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autoSpaceDE w:val="0"/>
        <w:autoSpaceDN w:val="0"/>
        <w:adjustRightInd w:val="0"/>
        <w:snapToGrid/>
        <w:spacing w:after="120" w:line="240" w:lineRule="auto"/>
        <w:ind w:firstLine="0" w:firstLineChars="0"/>
        <w:jc w:val="center"/>
        <w:rPr>
          <w:bCs/>
          <w:color w:val="auto"/>
          <w:sz w:val="92"/>
          <w:szCs w:val="92"/>
          <w:lang w:val="en-US"/>
        </w:rPr>
      </w:pPr>
      <w:r>
        <w:rPr>
          <w:rFonts w:hint="eastAsia"/>
          <w:bCs/>
          <w:color w:val="auto"/>
          <w:sz w:val="92"/>
          <w:szCs w:val="92"/>
          <w:lang w:val="en-US"/>
        </w:rPr>
        <w:t>招 标 文 件</w:t>
      </w:r>
    </w:p>
    <w:p>
      <w:pPr>
        <w:rPr>
          <w:color w:val="auto"/>
        </w:rPr>
      </w:pPr>
    </w:p>
    <w:p>
      <w:pPr>
        <w:autoSpaceDE w:val="0"/>
        <w:autoSpaceDN w:val="0"/>
        <w:adjustRightInd w:val="0"/>
        <w:snapToGrid/>
        <w:spacing w:line="720" w:lineRule="exact"/>
        <w:ind w:firstLine="0" w:firstLineChars="0"/>
        <w:jc w:val="left"/>
        <w:rPr>
          <w:color w:val="auto"/>
        </w:rPr>
      </w:pPr>
    </w:p>
    <w:p>
      <w:pPr>
        <w:autoSpaceDE w:val="0"/>
        <w:autoSpaceDN w:val="0"/>
        <w:adjustRightInd w:val="0"/>
        <w:snapToGrid/>
        <w:spacing w:line="720" w:lineRule="exact"/>
        <w:ind w:firstLine="0" w:firstLineChars="0"/>
        <w:jc w:val="left"/>
        <w:rPr>
          <w:color w:val="auto"/>
        </w:rPr>
      </w:pPr>
    </w:p>
    <w:p>
      <w:pPr>
        <w:autoSpaceDE w:val="0"/>
        <w:autoSpaceDN w:val="0"/>
        <w:adjustRightInd w:val="0"/>
        <w:snapToGrid/>
        <w:spacing w:line="720" w:lineRule="exact"/>
        <w:ind w:firstLine="422" w:firstLineChars="151"/>
        <w:jc w:val="left"/>
        <w:rPr>
          <w:color w:val="auto"/>
          <w:sz w:val="28"/>
          <w:szCs w:val="28"/>
        </w:rPr>
      </w:pPr>
      <w:r>
        <w:rPr>
          <w:rFonts w:hint="eastAsia"/>
          <w:color w:val="auto"/>
          <w:sz w:val="28"/>
          <w:szCs w:val="28"/>
        </w:rPr>
        <w:t>采购项目编号：</w:t>
      </w:r>
      <w:r>
        <w:rPr>
          <w:rFonts w:hint="eastAsia" w:ascii="Times New Roman" w:hAnsi="Times New Roman"/>
          <w:b w:val="0"/>
          <w:color w:val="auto"/>
          <w:sz w:val="28"/>
          <w:szCs w:val="28"/>
        </w:rPr>
        <w:t>510101202100223</w:t>
      </w:r>
    </w:p>
    <w:p>
      <w:pPr>
        <w:autoSpaceDE w:val="0"/>
        <w:autoSpaceDN w:val="0"/>
        <w:adjustRightInd w:val="0"/>
        <w:snapToGrid/>
        <w:spacing w:line="720" w:lineRule="exact"/>
        <w:ind w:firstLine="422" w:firstLineChars="151"/>
        <w:jc w:val="left"/>
        <w:rPr>
          <w:color w:val="auto"/>
          <w:sz w:val="28"/>
          <w:szCs w:val="28"/>
        </w:rPr>
      </w:pPr>
      <w:r>
        <w:rPr>
          <w:rFonts w:hint="eastAsia"/>
          <w:color w:val="auto"/>
          <w:sz w:val="28"/>
          <w:szCs w:val="28"/>
        </w:rPr>
        <w:t>采购项目名称：</w:t>
      </w:r>
      <w:r>
        <w:rPr>
          <w:rFonts w:hint="eastAsia"/>
          <w:b w:val="0"/>
          <w:color w:val="auto"/>
          <w:sz w:val="28"/>
          <w:szCs w:val="28"/>
        </w:rPr>
        <w:t>成都市生态环境局信息化硬件运维服务采购项目（</w:t>
      </w:r>
      <w:r>
        <w:rPr>
          <w:rFonts w:hint="eastAsia"/>
          <w:b w:val="0"/>
          <w:color w:val="auto"/>
          <w:sz w:val="28"/>
          <w:szCs w:val="28"/>
          <w:lang w:val="en-US"/>
        </w:rPr>
        <w:t>二次</w:t>
      </w:r>
      <w:r>
        <w:rPr>
          <w:rFonts w:hint="eastAsia"/>
          <w:b w:val="0"/>
          <w:color w:val="auto"/>
          <w:sz w:val="28"/>
          <w:szCs w:val="28"/>
        </w:rPr>
        <w:t>）</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0" w:firstLineChars="0"/>
        <w:jc w:val="center"/>
        <w:rPr>
          <w:color w:val="auto"/>
          <w:sz w:val="28"/>
          <w:szCs w:val="28"/>
        </w:rPr>
      </w:pPr>
      <w:r>
        <w:rPr>
          <w:rFonts w:hint="eastAsia"/>
          <w:color w:val="auto"/>
          <w:sz w:val="28"/>
          <w:szCs w:val="28"/>
        </w:rPr>
        <w:t>中国•四川（成都）</w:t>
      </w:r>
    </w:p>
    <w:p>
      <w:pPr>
        <w:ind w:firstLine="0" w:firstLineChars="0"/>
        <w:jc w:val="center"/>
        <w:rPr>
          <w:color w:val="auto"/>
          <w:sz w:val="28"/>
          <w:szCs w:val="28"/>
        </w:rPr>
      </w:pPr>
      <w:r>
        <w:rPr>
          <w:rFonts w:hint="eastAsia"/>
          <w:color w:val="auto"/>
          <w:sz w:val="28"/>
          <w:szCs w:val="28"/>
        </w:rPr>
        <w:t xml:space="preserve">     成都市环境保护信息中心、四川慧采招标代理有限公司</w:t>
      </w:r>
    </w:p>
    <w:p>
      <w:pPr>
        <w:ind w:firstLine="0" w:firstLineChars="0"/>
        <w:jc w:val="center"/>
        <w:rPr>
          <w:color w:val="auto"/>
          <w:sz w:val="28"/>
          <w:szCs w:val="28"/>
        </w:rPr>
      </w:pPr>
      <w:r>
        <w:rPr>
          <w:rFonts w:hint="eastAsia"/>
          <w:color w:val="auto"/>
          <w:sz w:val="28"/>
          <w:szCs w:val="28"/>
        </w:rPr>
        <w:t>共同编制</w:t>
      </w:r>
    </w:p>
    <w:p>
      <w:pPr>
        <w:ind w:firstLine="0" w:firstLineChars="0"/>
        <w:jc w:val="center"/>
        <w:rPr>
          <w:color w:val="auto"/>
        </w:rPr>
      </w:pPr>
      <w:r>
        <w:rPr>
          <w:rFonts w:hint="eastAsia"/>
          <w:color w:val="auto"/>
          <w:sz w:val="28"/>
          <w:szCs w:val="28"/>
        </w:rPr>
        <w:t>二〇</w:t>
      </w:r>
      <w:r>
        <w:rPr>
          <w:rFonts w:hint="eastAsia"/>
          <w:color w:val="auto"/>
          <w:sz w:val="28"/>
          <w:szCs w:val="28"/>
          <w:lang w:val="en-US"/>
        </w:rPr>
        <w:t>二一</w:t>
      </w:r>
      <w:r>
        <w:rPr>
          <w:rFonts w:hint="eastAsia"/>
          <w:color w:val="auto"/>
          <w:sz w:val="28"/>
          <w:szCs w:val="28"/>
        </w:rPr>
        <w:t>年</w:t>
      </w:r>
      <w:r>
        <w:rPr>
          <w:rFonts w:hint="eastAsia"/>
          <w:color w:val="auto"/>
          <w:sz w:val="28"/>
          <w:szCs w:val="28"/>
          <w:lang w:val="en-US"/>
        </w:rPr>
        <w:t>六</w:t>
      </w:r>
      <w:r>
        <w:rPr>
          <w:rFonts w:hint="eastAsia"/>
          <w:color w:val="auto"/>
          <w:sz w:val="28"/>
          <w:szCs w:val="28"/>
        </w:rPr>
        <w:t>月</w:t>
      </w:r>
    </w:p>
    <w:p>
      <w:pPr>
        <w:rPr>
          <w:color w:val="auto"/>
        </w:rPr>
      </w:pPr>
    </w:p>
    <w:p>
      <w:pPr>
        <w:jc w:val="center"/>
        <w:rPr>
          <w:color w:val="auto"/>
        </w:rPr>
        <w:sectPr>
          <w:headerReference r:id="rId7" w:type="first"/>
          <w:footerReference r:id="rId10" w:type="first"/>
          <w:headerReference r:id="rId5" w:type="default"/>
          <w:footerReference r:id="rId8" w:type="default"/>
          <w:headerReference r:id="rId6" w:type="even"/>
          <w:footerReference r:id="rId9" w:type="even"/>
          <w:pgSz w:w="11907" w:h="16840"/>
          <w:pgMar w:top="1440" w:right="1080" w:bottom="1440" w:left="1080" w:header="851" w:footer="992" w:gutter="0"/>
          <w:pgBorders>
            <w:top w:val="none" w:sz="0" w:space="0"/>
            <w:left w:val="none" w:sz="0" w:space="0"/>
            <w:bottom w:val="none" w:sz="0" w:space="0"/>
            <w:right w:val="none" w:sz="0" w:space="0"/>
          </w:pgBorders>
          <w:pgNumType w:start="0"/>
          <w:cols w:space="720" w:num="1"/>
          <w:titlePg/>
          <w:docGrid w:type="linesAndChars" w:linePitch="312" w:charSpace="0"/>
        </w:sectPr>
      </w:pPr>
    </w:p>
    <w:p>
      <w:pPr>
        <w:pStyle w:val="313"/>
        <w:keepNext w:val="0"/>
        <w:spacing w:before="120"/>
        <w:ind w:firstLine="357"/>
        <w:jc w:val="center"/>
        <w:rPr>
          <w:color w:val="auto"/>
        </w:rPr>
      </w:pPr>
      <w:bookmarkStart w:id="0" w:name="_Hlt101843627"/>
      <w:bookmarkEnd w:id="0"/>
      <w:bookmarkStart w:id="1" w:name="_Hlt101233737"/>
      <w:bookmarkEnd w:id="1"/>
      <w:bookmarkStart w:id="2" w:name="_Toc3674"/>
      <w:bookmarkStart w:id="3" w:name="_Toc494198585"/>
      <w:r>
        <w:rPr>
          <w:color w:val="auto"/>
          <w:lang w:val="zh-CN"/>
        </w:rPr>
        <w:t>目</w:t>
      </w:r>
      <w:r>
        <w:rPr>
          <w:rFonts w:hint="eastAsia"/>
          <w:color w:val="auto"/>
          <w:lang w:val="zh-CN"/>
        </w:rPr>
        <w:t xml:space="preserve">  </w:t>
      </w:r>
      <w:r>
        <w:rPr>
          <w:color w:val="auto"/>
          <w:lang w:val="zh-CN"/>
        </w:rPr>
        <w:t>录</w:t>
      </w:r>
      <w:bookmarkEnd w:id="2"/>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rPr>
          <w:bCs/>
          <w:caps/>
          <w:color w:val="auto"/>
          <w:sz w:val="22"/>
          <w:szCs w:val="20"/>
        </w:rPr>
        <w:fldChar w:fldCharType="begin"/>
      </w:r>
      <w:r>
        <w:rPr>
          <w:rStyle w:val="88"/>
          <w:bCs/>
          <w:caps/>
          <w:color w:val="auto"/>
          <w:sz w:val="22"/>
          <w:szCs w:val="20"/>
          <w:u w:val="none"/>
        </w:rPr>
        <w:instrText xml:space="preserve"> TOC \o "1-1" \h \z \u </w:instrText>
      </w:r>
      <w:r>
        <w:rPr>
          <w:bCs/>
          <w:caps/>
          <w:color w:val="auto"/>
          <w:sz w:val="22"/>
          <w:szCs w:val="20"/>
        </w:rPr>
        <w:fldChar w:fldCharType="separate"/>
      </w:r>
      <w:r>
        <w:fldChar w:fldCharType="begin"/>
      </w:r>
      <w:r>
        <w:instrText xml:space="preserve"> HYPERLINK \l "_Toc3943" </w:instrText>
      </w:r>
      <w:r>
        <w:fldChar w:fldCharType="separate"/>
      </w:r>
      <w:r>
        <w:rPr>
          <w:rFonts w:ascii="Times New Roman" w:hAnsi="Times New Roman"/>
          <w:color w:val="auto"/>
          <w:sz w:val="24"/>
          <w:szCs w:val="24"/>
        </w:rPr>
        <w:t xml:space="preserve">第1章 </w:t>
      </w:r>
      <w:r>
        <w:rPr>
          <w:rFonts w:hint="eastAsia"/>
          <w:color w:val="auto"/>
          <w:sz w:val="24"/>
          <w:szCs w:val="24"/>
        </w:rPr>
        <w:t>投标邀请</w:t>
      </w:r>
      <w:r>
        <w:rPr>
          <w:color w:val="auto"/>
          <w:sz w:val="24"/>
          <w:szCs w:val="24"/>
        </w:rPr>
        <w:tab/>
      </w:r>
      <w:r>
        <w:rPr>
          <w:color w:val="auto"/>
          <w:sz w:val="24"/>
          <w:szCs w:val="24"/>
        </w:rPr>
        <w:fldChar w:fldCharType="begin"/>
      </w:r>
      <w:r>
        <w:rPr>
          <w:color w:val="auto"/>
          <w:sz w:val="24"/>
          <w:szCs w:val="24"/>
        </w:rPr>
        <w:instrText xml:space="preserve"> PAGEREF _Toc3943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fldChar w:fldCharType="begin"/>
      </w:r>
      <w:r>
        <w:instrText xml:space="preserve"> HYPERLINK \l "_Toc21767" </w:instrText>
      </w:r>
      <w:r>
        <w:fldChar w:fldCharType="separate"/>
      </w:r>
      <w:r>
        <w:rPr>
          <w:rFonts w:ascii="Times New Roman" w:hAnsi="Times New Roman"/>
          <w:color w:val="auto"/>
          <w:sz w:val="24"/>
          <w:szCs w:val="24"/>
        </w:rPr>
        <w:t xml:space="preserve">第2章 </w:t>
      </w:r>
      <w:r>
        <w:rPr>
          <w:rFonts w:hint="eastAsia"/>
          <w:color w:val="auto"/>
          <w:sz w:val="24"/>
          <w:szCs w:val="24"/>
        </w:rPr>
        <w:t>投标人须知</w:t>
      </w:r>
      <w:r>
        <w:rPr>
          <w:color w:val="auto"/>
          <w:sz w:val="24"/>
          <w:szCs w:val="24"/>
        </w:rPr>
        <w:tab/>
      </w:r>
      <w:r>
        <w:rPr>
          <w:color w:val="auto"/>
          <w:sz w:val="24"/>
          <w:szCs w:val="24"/>
        </w:rPr>
        <w:fldChar w:fldCharType="begin"/>
      </w:r>
      <w:r>
        <w:rPr>
          <w:color w:val="auto"/>
          <w:sz w:val="24"/>
          <w:szCs w:val="24"/>
        </w:rPr>
        <w:instrText xml:space="preserve"> PAGEREF _Toc21767 \h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fldChar w:fldCharType="begin"/>
      </w:r>
      <w:r>
        <w:instrText xml:space="preserve"> HYPERLINK \l "_Toc1475" </w:instrText>
      </w:r>
      <w:r>
        <w:fldChar w:fldCharType="separate"/>
      </w:r>
      <w:r>
        <w:rPr>
          <w:rFonts w:ascii="Times New Roman" w:hAnsi="Times New Roman"/>
          <w:color w:val="auto"/>
          <w:sz w:val="24"/>
          <w:szCs w:val="24"/>
        </w:rPr>
        <w:t xml:space="preserve">第3章 </w:t>
      </w:r>
      <w:r>
        <w:rPr>
          <w:rFonts w:hint="eastAsia"/>
          <w:color w:val="auto"/>
          <w:sz w:val="24"/>
          <w:szCs w:val="24"/>
        </w:rPr>
        <w:t>投标文件格式</w:t>
      </w:r>
      <w:r>
        <w:rPr>
          <w:color w:val="auto"/>
          <w:sz w:val="24"/>
          <w:szCs w:val="24"/>
        </w:rPr>
        <w:tab/>
      </w:r>
      <w:r>
        <w:rPr>
          <w:color w:val="auto"/>
          <w:sz w:val="24"/>
          <w:szCs w:val="24"/>
        </w:rPr>
        <w:fldChar w:fldCharType="begin"/>
      </w:r>
      <w:r>
        <w:rPr>
          <w:color w:val="auto"/>
          <w:sz w:val="24"/>
          <w:szCs w:val="24"/>
        </w:rPr>
        <w:instrText xml:space="preserve"> PAGEREF _Toc1475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fldChar w:fldCharType="begin"/>
      </w:r>
      <w:r>
        <w:instrText xml:space="preserve"> HYPERLINK \l "_Toc6886" </w:instrText>
      </w:r>
      <w:r>
        <w:fldChar w:fldCharType="separate"/>
      </w:r>
      <w:r>
        <w:rPr>
          <w:rFonts w:ascii="Times New Roman" w:hAnsi="Times New Roman"/>
          <w:color w:val="auto"/>
          <w:sz w:val="24"/>
          <w:szCs w:val="24"/>
        </w:rPr>
        <w:t xml:space="preserve">第4章 </w:t>
      </w:r>
      <w:r>
        <w:rPr>
          <w:rFonts w:hint="eastAsia"/>
          <w:color w:val="auto"/>
          <w:sz w:val="24"/>
          <w:szCs w:val="24"/>
        </w:rPr>
        <w:t>投标人和投标产品的资格、资质性及其他具有类似效力的要求</w:t>
      </w:r>
      <w:r>
        <w:rPr>
          <w:color w:val="auto"/>
          <w:sz w:val="24"/>
          <w:szCs w:val="24"/>
        </w:rPr>
        <w:tab/>
      </w:r>
      <w:r>
        <w:rPr>
          <w:color w:val="auto"/>
          <w:sz w:val="24"/>
          <w:szCs w:val="24"/>
        </w:rPr>
        <w:fldChar w:fldCharType="begin"/>
      </w:r>
      <w:r>
        <w:rPr>
          <w:color w:val="auto"/>
          <w:sz w:val="24"/>
          <w:szCs w:val="24"/>
        </w:rPr>
        <w:instrText xml:space="preserve"> PAGEREF _Toc6886 \h </w:instrText>
      </w:r>
      <w:r>
        <w:rPr>
          <w:color w:val="auto"/>
          <w:sz w:val="24"/>
          <w:szCs w:val="24"/>
        </w:rPr>
        <w:fldChar w:fldCharType="separate"/>
      </w:r>
      <w:r>
        <w:rPr>
          <w:color w:val="auto"/>
          <w:sz w:val="24"/>
          <w:szCs w:val="24"/>
        </w:rPr>
        <w:t>48</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fldChar w:fldCharType="begin"/>
      </w:r>
      <w:r>
        <w:instrText xml:space="preserve"> HYPERLINK \l "_Toc8421" </w:instrText>
      </w:r>
      <w:r>
        <w:fldChar w:fldCharType="separate"/>
      </w:r>
      <w:r>
        <w:rPr>
          <w:rFonts w:ascii="Times New Roman" w:hAnsi="Times New Roman"/>
          <w:color w:val="auto"/>
          <w:sz w:val="24"/>
          <w:szCs w:val="24"/>
        </w:rPr>
        <w:t xml:space="preserve">第5章 </w:t>
      </w:r>
      <w:r>
        <w:rPr>
          <w:rFonts w:hint="eastAsia"/>
          <w:color w:val="auto"/>
          <w:sz w:val="24"/>
          <w:szCs w:val="24"/>
        </w:rPr>
        <w:t>投标人应当提供的资格、资质性及其他具有类似效力的要求的相关证明材料</w:t>
      </w:r>
      <w:r>
        <w:rPr>
          <w:color w:val="auto"/>
          <w:sz w:val="24"/>
          <w:szCs w:val="24"/>
        </w:rPr>
        <w:tab/>
      </w:r>
      <w:r>
        <w:rPr>
          <w:color w:val="auto"/>
          <w:sz w:val="24"/>
          <w:szCs w:val="24"/>
        </w:rPr>
        <w:fldChar w:fldCharType="begin"/>
      </w:r>
      <w:r>
        <w:rPr>
          <w:color w:val="auto"/>
          <w:sz w:val="24"/>
          <w:szCs w:val="24"/>
        </w:rPr>
        <w:instrText xml:space="preserve"> PAGEREF _Toc8421 \h </w:instrText>
      </w:r>
      <w:r>
        <w:rPr>
          <w:color w:val="auto"/>
          <w:sz w:val="24"/>
          <w:szCs w:val="24"/>
        </w:rPr>
        <w:fldChar w:fldCharType="separate"/>
      </w:r>
      <w:r>
        <w:rPr>
          <w:color w:val="auto"/>
          <w:sz w:val="24"/>
          <w:szCs w:val="24"/>
        </w:rPr>
        <w:t>52</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fldChar w:fldCharType="begin"/>
      </w:r>
      <w:r>
        <w:instrText xml:space="preserve"> HYPERLINK \l "_Toc19554" </w:instrText>
      </w:r>
      <w:r>
        <w:fldChar w:fldCharType="separate"/>
      </w:r>
      <w:r>
        <w:rPr>
          <w:rFonts w:ascii="Times New Roman" w:hAnsi="Times New Roman"/>
          <w:color w:val="auto"/>
          <w:sz w:val="24"/>
          <w:szCs w:val="24"/>
        </w:rPr>
        <w:t xml:space="preserve">第6章 </w:t>
      </w:r>
      <w:r>
        <w:rPr>
          <w:rFonts w:hint="eastAsia"/>
          <w:color w:val="auto"/>
          <w:sz w:val="24"/>
          <w:szCs w:val="24"/>
        </w:rPr>
        <w:t>技术、商务及其他要求</w:t>
      </w:r>
      <w:bookmarkStart w:id="985" w:name="_GoBack"/>
      <w:bookmarkEnd w:id="985"/>
      <w:r>
        <w:rPr>
          <w:color w:val="auto"/>
          <w:sz w:val="24"/>
          <w:szCs w:val="24"/>
        </w:rPr>
        <w:tab/>
      </w:r>
      <w:r>
        <w:rPr>
          <w:color w:val="auto"/>
          <w:sz w:val="24"/>
          <w:szCs w:val="24"/>
        </w:rPr>
        <w:fldChar w:fldCharType="begin"/>
      </w:r>
      <w:r>
        <w:rPr>
          <w:color w:val="auto"/>
          <w:sz w:val="24"/>
          <w:szCs w:val="24"/>
        </w:rPr>
        <w:instrText xml:space="preserve"> PAGEREF _Toc19554 \h </w:instrText>
      </w:r>
      <w:r>
        <w:rPr>
          <w:color w:val="auto"/>
          <w:sz w:val="24"/>
          <w:szCs w:val="24"/>
        </w:rPr>
        <w:fldChar w:fldCharType="separate"/>
      </w:r>
      <w:r>
        <w:rPr>
          <w:color w:val="auto"/>
          <w:sz w:val="24"/>
          <w:szCs w:val="24"/>
        </w:rPr>
        <w:t>55</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sz w:val="24"/>
          <w:szCs w:val="24"/>
        </w:rPr>
      </w:pPr>
      <w:r>
        <w:fldChar w:fldCharType="begin"/>
      </w:r>
      <w:r>
        <w:instrText xml:space="preserve"> HYPERLINK \l "_Toc8005" </w:instrText>
      </w:r>
      <w:r>
        <w:fldChar w:fldCharType="separate"/>
      </w:r>
      <w:r>
        <w:rPr>
          <w:rFonts w:ascii="Times New Roman" w:hAnsi="Times New Roman"/>
          <w:color w:val="auto"/>
          <w:sz w:val="24"/>
          <w:szCs w:val="24"/>
        </w:rPr>
        <w:t xml:space="preserve">第7章 </w:t>
      </w:r>
      <w:r>
        <w:rPr>
          <w:rFonts w:hint="eastAsia"/>
          <w:color w:val="auto"/>
          <w:sz w:val="24"/>
          <w:szCs w:val="24"/>
        </w:rPr>
        <w:t>评标办法</w:t>
      </w:r>
      <w:r>
        <w:rPr>
          <w:color w:val="auto"/>
          <w:sz w:val="24"/>
          <w:szCs w:val="24"/>
        </w:rPr>
        <w:tab/>
      </w:r>
      <w:r>
        <w:rPr>
          <w:color w:val="auto"/>
          <w:sz w:val="24"/>
          <w:szCs w:val="24"/>
        </w:rPr>
        <w:fldChar w:fldCharType="begin"/>
      </w:r>
      <w:r>
        <w:rPr>
          <w:color w:val="auto"/>
          <w:sz w:val="24"/>
          <w:szCs w:val="24"/>
        </w:rPr>
        <w:instrText xml:space="preserve"> PAGEREF _Toc8005 \h </w:instrText>
      </w:r>
      <w:r>
        <w:rPr>
          <w:color w:val="auto"/>
          <w:sz w:val="24"/>
          <w:szCs w:val="24"/>
        </w:rPr>
        <w:fldChar w:fldCharType="separate"/>
      </w:r>
      <w:r>
        <w:rPr>
          <w:color w:val="auto"/>
          <w:sz w:val="24"/>
          <w:szCs w:val="24"/>
        </w:rPr>
        <w:t>62</w:t>
      </w:r>
      <w:r>
        <w:rPr>
          <w:color w:val="auto"/>
          <w:sz w:val="24"/>
          <w:szCs w:val="24"/>
        </w:rPr>
        <w:fldChar w:fldCharType="end"/>
      </w:r>
      <w:r>
        <w:rPr>
          <w:color w:val="auto"/>
          <w:sz w:val="24"/>
          <w:szCs w:val="24"/>
        </w:rPr>
        <w:fldChar w:fldCharType="end"/>
      </w:r>
    </w:p>
    <w:p>
      <w:pPr>
        <w:pStyle w:val="52"/>
        <w:tabs>
          <w:tab w:val="right" w:leader="dot" w:pos="9747"/>
          <w:tab w:val="clear" w:pos="851"/>
          <w:tab w:val="clear" w:pos="8931"/>
        </w:tabs>
        <w:adjustRightInd w:val="0"/>
        <w:snapToGrid/>
        <w:spacing w:line="480" w:lineRule="auto"/>
        <w:ind w:firstLine="0" w:firstLineChars="0"/>
        <w:jc w:val="left"/>
        <w:rPr>
          <w:color w:val="auto"/>
        </w:rPr>
      </w:pPr>
      <w:r>
        <w:fldChar w:fldCharType="begin"/>
      </w:r>
      <w:r>
        <w:instrText xml:space="preserve"> HYPERLINK \l "_Toc7887" </w:instrText>
      </w:r>
      <w:r>
        <w:fldChar w:fldCharType="separate"/>
      </w:r>
      <w:r>
        <w:rPr>
          <w:rFonts w:ascii="Times New Roman" w:hAnsi="Times New Roman"/>
          <w:color w:val="auto"/>
          <w:sz w:val="24"/>
          <w:szCs w:val="24"/>
        </w:rPr>
        <w:t xml:space="preserve">第8章 </w:t>
      </w:r>
      <w:r>
        <w:rPr>
          <w:rFonts w:hint="eastAsia"/>
          <w:color w:val="auto"/>
          <w:sz w:val="24"/>
          <w:szCs w:val="24"/>
          <w:lang w:val="en-US"/>
        </w:rPr>
        <w:t>拟签订的合同文本</w:t>
      </w:r>
      <w:r>
        <w:rPr>
          <w:color w:val="auto"/>
          <w:sz w:val="24"/>
          <w:szCs w:val="24"/>
        </w:rPr>
        <w:tab/>
      </w:r>
      <w:r>
        <w:rPr>
          <w:color w:val="auto"/>
          <w:sz w:val="24"/>
          <w:szCs w:val="24"/>
        </w:rPr>
        <w:fldChar w:fldCharType="begin"/>
      </w:r>
      <w:r>
        <w:rPr>
          <w:color w:val="auto"/>
          <w:sz w:val="24"/>
          <w:szCs w:val="24"/>
        </w:rPr>
        <w:instrText xml:space="preserve"> PAGEREF _Toc7887 \h </w:instrText>
      </w:r>
      <w:r>
        <w:rPr>
          <w:color w:val="auto"/>
          <w:sz w:val="24"/>
          <w:szCs w:val="24"/>
        </w:rPr>
        <w:fldChar w:fldCharType="separate"/>
      </w:r>
      <w:r>
        <w:rPr>
          <w:color w:val="auto"/>
          <w:sz w:val="24"/>
          <w:szCs w:val="24"/>
        </w:rPr>
        <w:t>75</w:t>
      </w:r>
      <w:r>
        <w:rPr>
          <w:color w:val="auto"/>
          <w:sz w:val="24"/>
          <w:szCs w:val="24"/>
        </w:rPr>
        <w:fldChar w:fldCharType="end"/>
      </w:r>
      <w:r>
        <w:rPr>
          <w:color w:val="auto"/>
          <w:sz w:val="24"/>
          <w:szCs w:val="24"/>
        </w:rPr>
        <w:fldChar w:fldCharType="end"/>
      </w:r>
    </w:p>
    <w:p>
      <w:pPr>
        <w:pStyle w:val="52"/>
        <w:tabs>
          <w:tab w:val="left" w:pos="1280"/>
          <w:tab w:val="right" w:leader="dot" w:pos="9203"/>
          <w:tab w:val="clear" w:pos="851"/>
          <w:tab w:val="clear" w:pos="8931"/>
        </w:tabs>
        <w:snapToGrid/>
        <w:spacing w:before="120" w:after="120" w:line="580" w:lineRule="exact"/>
        <w:ind w:firstLine="640"/>
        <w:jc w:val="left"/>
        <w:rPr>
          <w:rStyle w:val="88"/>
          <w:bCs/>
          <w:caps/>
          <w:color w:val="auto"/>
          <w:sz w:val="22"/>
          <w:szCs w:val="20"/>
          <w:u w:val="none"/>
        </w:rPr>
      </w:pPr>
      <w:r>
        <w:rPr>
          <w:bCs/>
          <w:caps/>
          <w:color w:val="auto"/>
          <w:szCs w:val="20"/>
        </w:rPr>
        <w:fldChar w:fldCharType="end"/>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keepNext w:val="0"/>
        <w:numPr>
          <w:ilvl w:val="0"/>
          <w:numId w:val="16"/>
        </w:numPr>
        <w:spacing w:before="218" w:beforeLines="50" w:after="218" w:afterLines="50" w:line="360" w:lineRule="auto"/>
        <w:ind w:left="0" w:firstLine="0"/>
        <w:rPr>
          <w:b/>
          <w:color w:val="auto"/>
        </w:rPr>
      </w:pPr>
      <w:r>
        <w:rPr>
          <w:rFonts w:hint="eastAsia"/>
          <w:b/>
          <w:color w:val="auto"/>
        </w:rPr>
        <w:t xml:space="preserve"> </w:t>
      </w:r>
      <w:bookmarkStart w:id="4" w:name="_Toc3943"/>
      <w:r>
        <w:rPr>
          <w:rFonts w:hint="eastAsia"/>
          <w:b/>
          <w:color w:val="auto"/>
        </w:rPr>
        <w:t>投标邀请</w:t>
      </w:r>
      <w:bookmarkEnd w:id="3"/>
      <w:bookmarkEnd w:id="4"/>
    </w:p>
    <w:p>
      <w:pPr>
        <w:spacing w:line="520" w:lineRule="atLeast"/>
        <w:ind w:firstLine="480"/>
        <w:jc w:val="left"/>
        <w:rPr>
          <w:b w:val="0"/>
          <w:color w:val="auto"/>
          <w:kern w:val="2"/>
          <w:sz w:val="24"/>
          <w:szCs w:val="24"/>
          <w:lang w:val="en-US"/>
        </w:rPr>
      </w:pPr>
      <w:r>
        <w:rPr>
          <w:b w:val="0"/>
          <w:color w:val="auto"/>
          <w:kern w:val="2"/>
          <w:sz w:val="24"/>
          <w:szCs w:val="24"/>
          <w:lang w:val="en-US"/>
        </w:rPr>
        <w:t>四川慧采招标代理有限公司受</w:t>
      </w:r>
      <w:r>
        <w:rPr>
          <w:rFonts w:hint="eastAsia"/>
          <w:b w:val="0"/>
          <w:color w:val="auto"/>
          <w:kern w:val="2"/>
          <w:sz w:val="24"/>
          <w:szCs w:val="24"/>
          <w:lang w:val="en-US"/>
        </w:rPr>
        <w:t>成都市环境保护信息中心</w:t>
      </w:r>
      <w:r>
        <w:rPr>
          <w:b w:val="0"/>
          <w:color w:val="auto"/>
          <w:kern w:val="2"/>
          <w:sz w:val="24"/>
          <w:szCs w:val="24"/>
          <w:lang w:val="en-US"/>
        </w:rPr>
        <w:t>的委托，就</w:t>
      </w:r>
      <w:r>
        <w:rPr>
          <w:rFonts w:hint="eastAsia"/>
          <w:b w:val="0"/>
          <w:color w:val="auto"/>
          <w:kern w:val="2"/>
          <w:sz w:val="24"/>
          <w:szCs w:val="24"/>
          <w:lang w:val="en-US"/>
        </w:rPr>
        <w:t>成都市生态环境局信息化硬件运维服务采购项目（二次）</w:t>
      </w:r>
      <w:r>
        <w:rPr>
          <w:b w:val="0"/>
          <w:color w:val="auto"/>
          <w:kern w:val="2"/>
          <w:sz w:val="24"/>
          <w:szCs w:val="24"/>
          <w:lang w:val="en-US"/>
        </w:rPr>
        <w:t>进行国内公开招标，兹邀请符合招标要求的</w:t>
      </w:r>
      <w:r>
        <w:rPr>
          <w:rFonts w:hint="eastAsia"/>
          <w:b w:val="0"/>
          <w:color w:val="auto"/>
          <w:kern w:val="2"/>
          <w:sz w:val="24"/>
          <w:szCs w:val="24"/>
          <w:lang w:val="en-US"/>
        </w:rPr>
        <w:t>供应商</w:t>
      </w:r>
      <w:r>
        <w:rPr>
          <w:b w:val="0"/>
          <w:color w:val="auto"/>
          <w:kern w:val="2"/>
          <w:sz w:val="24"/>
          <w:szCs w:val="24"/>
          <w:lang w:val="en-US"/>
        </w:rPr>
        <w:t>参加投标。</w:t>
      </w:r>
    </w:p>
    <w:p>
      <w:pPr>
        <w:numPr>
          <w:ilvl w:val="0"/>
          <w:numId w:val="22"/>
        </w:numPr>
        <w:spacing w:line="520" w:lineRule="atLeast"/>
        <w:ind w:left="0" w:firstLine="482"/>
        <w:rPr>
          <w:b w:val="0"/>
          <w:color w:val="auto"/>
          <w:kern w:val="2"/>
          <w:sz w:val="24"/>
          <w:szCs w:val="24"/>
          <w:lang w:val="en-US"/>
        </w:rPr>
      </w:pPr>
      <w:r>
        <w:rPr>
          <w:color w:val="auto"/>
          <w:kern w:val="2"/>
          <w:sz w:val="24"/>
          <w:szCs w:val="24"/>
          <w:lang w:val="en-US"/>
        </w:rPr>
        <w:t>采购项目编号：</w:t>
      </w:r>
      <w:r>
        <w:rPr>
          <w:rFonts w:hint="eastAsia" w:ascii="Times New Roman" w:hAnsi="Times New Roman"/>
          <w:b w:val="0"/>
          <w:color w:val="auto"/>
          <w:kern w:val="2"/>
          <w:sz w:val="24"/>
          <w:szCs w:val="24"/>
          <w:lang w:val="en-US"/>
        </w:rPr>
        <w:t xml:space="preserve">510101202100223 </w:t>
      </w:r>
    </w:p>
    <w:p>
      <w:pPr>
        <w:numPr>
          <w:ilvl w:val="0"/>
          <w:numId w:val="22"/>
        </w:numPr>
        <w:spacing w:line="520" w:lineRule="atLeast"/>
        <w:ind w:left="0" w:firstLine="482"/>
        <w:rPr>
          <w:b w:val="0"/>
          <w:color w:val="auto"/>
          <w:kern w:val="2"/>
          <w:sz w:val="24"/>
          <w:szCs w:val="24"/>
          <w:lang w:val="en-US"/>
        </w:rPr>
      </w:pPr>
      <w:r>
        <w:rPr>
          <w:color w:val="auto"/>
          <w:kern w:val="2"/>
          <w:sz w:val="24"/>
          <w:szCs w:val="24"/>
          <w:lang w:val="en-US"/>
        </w:rPr>
        <w:t>采购项目名称：</w:t>
      </w:r>
      <w:r>
        <w:rPr>
          <w:rFonts w:hint="eastAsia"/>
          <w:b w:val="0"/>
          <w:color w:val="auto"/>
          <w:kern w:val="2"/>
          <w:sz w:val="24"/>
          <w:szCs w:val="24"/>
          <w:lang w:val="en-US"/>
        </w:rPr>
        <w:t>成都市生态环境局信息化硬件运维服务采购项目（二次）</w:t>
      </w:r>
    </w:p>
    <w:p>
      <w:pPr>
        <w:numPr>
          <w:ilvl w:val="0"/>
          <w:numId w:val="22"/>
        </w:numPr>
        <w:spacing w:line="520" w:lineRule="atLeast"/>
        <w:ind w:left="0" w:firstLine="482"/>
        <w:rPr>
          <w:b w:val="0"/>
          <w:color w:val="auto"/>
          <w:kern w:val="2"/>
          <w:sz w:val="24"/>
          <w:szCs w:val="24"/>
          <w:lang w:val="en-US"/>
        </w:rPr>
      </w:pPr>
      <w:r>
        <w:rPr>
          <w:color w:val="auto"/>
          <w:kern w:val="2"/>
          <w:sz w:val="24"/>
          <w:szCs w:val="24"/>
          <w:lang w:val="en-US"/>
        </w:rPr>
        <w:t>资金来源：</w:t>
      </w:r>
      <w:r>
        <w:rPr>
          <w:b w:val="0"/>
          <w:color w:val="auto"/>
          <w:kern w:val="2"/>
          <w:sz w:val="24"/>
          <w:szCs w:val="24"/>
          <w:lang w:val="en-US"/>
        </w:rPr>
        <w:t>财政性资金，已落实。</w:t>
      </w:r>
    </w:p>
    <w:p>
      <w:pPr>
        <w:numPr>
          <w:ilvl w:val="0"/>
          <w:numId w:val="22"/>
        </w:numPr>
        <w:spacing w:line="520" w:lineRule="atLeast"/>
        <w:ind w:left="0" w:firstLine="482"/>
        <w:rPr>
          <w:color w:val="auto"/>
          <w:kern w:val="2"/>
          <w:sz w:val="24"/>
          <w:szCs w:val="24"/>
          <w:lang w:val="en-US"/>
        </w:rPr>
      </w:pPr>
      <w:r>
        <w:rPr>
          <w:color w:val="auto"/>
          <w:kern w:val="2"/>
          <w:sz w:val="24"/>
          <w:szCs w:val="24"/>
          <w:lang w:val="en-US"/>
        </w:rPr>
        <w:t>采购内容：</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本项目采购内容为</w:t>
      </w:r>
      <w:r>
        <w:rPr>
          <w:rFonts w:hint="eastAsia"/>
          <w:b w:val="0"/>
          <w:color w:val="auto"/>
          <w:kern w:val="2"/>
          <w:sz w:val="24"/>
          <w:szCs w:val="24"/>
          <w:u w:val="single"/>
          <w:lang w:val="en-US"/>
        </w:rPr>
        <w:t>安全设备运维服务采购</w:t>
      </w:r>
      <w:r>
        <w:rPr>
          <w:b w:val="0"/>
          <w:color w:val="auto"/>
          <w:kern w:val="2"/>
          <w:sz w:val="24"/>
          <w:szCs w:val="24"/>
          <w:lang w:val="en-US"/>
        </w:rPr>
        <w:t>，详细的技术、商务要求见第6章</w:t>
      </w:r>
      <w:r>
        <w:rPr>
          <w:rFonts w:hint="eastAsia"/>
          <w:b w:val="0"/>
          <w:color w:val="auto"/>
          <w:kern w:val="2"/>
          <w:sz w:val="24"/>
          <w:szCs w:val="24"/>
          <w:lang w:val="en-US"/>
        </w:rPr>
        <w:t>。</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凡购买招标文件的</w:t>
      </w:r>
      <w:r>
        <w:rPr>
          <w:rFonts w:hint="eastAsia"/>
          <w:b w:val="0"/>
          <w:color w:val="auto"/>
          <w:kern w:val="2"/>
          <w:sz w:val="24"/>
          <w:szCs w:val="24"/>
          <w:lang w:val="en-US"/>
        </w:rPr>
        <w:t>供应商</w:t>
      </w:r>
      <w:r>
        <w:rPr>
          <w:b w:val="0"/>
          <w:color w:val="auto"/>
          <w:kern w:val="2"/>
          <w:sz w:val="24"/>
          <w:szCs w:val="24"/>
          <w:lang w:val="en-US"/>
        </w:rPr>
        <w:t>，对招标内容进行投标的，必须制作投标文件和开标一览表，并响应招标文件的要求。</w:t>
      </w:r>
    </w:p>
    <w:p>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供应商</w:t>
      </w:r>
      <w:r>
        <w:rPr>
          <w:color w:val="auto"/>
          <w:kern w:val="2"/>
          <w:sz w:val="24"/>
          <w:szCs w:val="24"/>
          <w:lang w:val="en-US"/>
        </w:rPr>
        <w:t>应具备的资格条件：</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1、具有独立承担民事责任的能力；</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2、具有良好的商业信誉和健全的财务会计制度；</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3、具有履行合同所必需的设备和专业技术能力；</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4、具有依法缴纳税收和社会保障资金的良好记录；</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5、参加本次政府采购活动前三年内，在经营活动中没有重大违法记录；</w:t>
      </w:r>
    </w:p>
    <w:p>
      <w:pPr>
        <w:tabs>
          <w:tab w:val="left" w:pos="1134"/>
        </w:tabs>
        <w:spacing w:line="520" w:lineRule="atLeast"/>
        <w:ind w:firstLine="480"/>
        <w:jc w:val="left"/>
        <w:rPr>
          <w:b w:val="0"/>
          <w:color w:val="auto"/>
          <w:kern w:val="2"/>
          <w:sz w:val="24"/>
          <w:szCs w:val="24"/>
          <w:lang w:val="en-US"/>
        </w:rPr>
      </w:pPr>
      <w:r>
        <w:rPr>
          <w:b w:val="0"/>
          <w:color w:val="auto"/>
          <w:kern w:val="2"/>
          <w:sz w:val="24"/>
          <w:szCs w:val="24"/>
          <w:lang w:val="en-US"/>
        </w:rPr>
        <w:t>6、法律、行政法规规定的其他条件；</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7</w:t>
      </w:r>
      <w:r>
        <w:rPr>
          <w:b w:val="0"/>
          <w:color w:val="auto"/>
          <w:kern w:val="2"/>
          <w:sz w:val="24"/>
          <w:szCs w:val="24"/>
          <w:lang w:val="en-US"/>
        </w:rPr>
        <w:t>、</w:t>
      </w:r>
      <w:r>
        <w:rPr>
          <w:rFonts w:hint="eastAsia"/>
          <w:b w:val="0"/>
          <w:color w:val="auto"/>
          <w:kern w:val="2"/>
          <w:sz w:val="24"/>
          <w:szCs w:val="24"/>
          <w:lang w:val="en-US"/>
        </w:rPr>
        <w:t>采购人根据采购项目提出的特殊条件</w:t>
      </w:r>
      <w:r>
        <w:rPr>
          <w:b w:val="0"/>
          <w:color w:val="auto"/>
          <w:kern w:val="2"/>
          <w:sz w:val="24"/>
          <w:szCs w:val="24"/>
          <w:lang w:val="en-US"/>
        </w:rPr>
        <w:t>：</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（1）按招标文件要求报名成功；</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（2）根据《关于在政府采购活动中查询及使用信用记录有关问题的通知》（财库〔</w:t>
      </w:r>
      <w:r>
        <w:rPr>
          <w:b w:val="0"/>
          <w:color w:val="auto"/>
          <w:kern w:val="2"/>
          <w:sz w:val="24"/>
          <w:szCs w:val="24"/>
          <w:lang w:val="en-US"/>
        </w:rPr>
        <w:t>2016〕125号）的要求，采购代理机构将通过“信用中国”网站（www.creditchina.gov.cn）、“中国政府采购网”网站（www.ccgp.gov.cn）等渠道查询供应商在开标当日之前的信用信息记录并保存信用记录结果网页截图，拒绝</w:t>
      </w:r>
      <w:r>
        <w:rPr>
          <w:rFonts w:hint="eastAsia"/>
          <w:b w:val="0"/>
          <w:color w:val="auto"/>
          <w:kern w:val="2"/>
          <w:sz w:val="24"/>
          <w:szCs w:val="24"/>
          <w:lang w:val="en-US"/>
        </w:rPr>
        <w:t>列入失信被执行人、重大税收违法案件当事人名单、政府采购严重违法失信行为记录名单的供应商</w:t>
      </w:r>
      <w:r>
        <w:rPr>
          <w:b w:val="0"/>
          <w:color w:val="auto"/>
          <w:kern w:val="2"/>
          <w:sz w:val="24"/>
          <w:szCs w:val="24"/>
          <w:lang w:val="en-US"/>
        </w:rPr>
        <w:t>参加本项目的采购活动</w:t>
      </w:r>
      <w:r>
        <w:rPr>
          <w:rFonts w:hint="eastAsia"/>
          <w:b w:val="0"/>
          <w:color w:val="auto"/>
          <w:kern w:val="2"/>
          <w:sz w:val="24"/>
          <w:szCs w:val="24"/>
          <w:lang w:val="en-US"/>
        </w:rPr>
        <w:t>；</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（3）不属于其他国家相关法律法规规定的禁止参加投标的供应商；</w:t>
      </w:r>
    </w:p>
    <w:p>
      <w:pPr>
        <w:tabs>
          <w:tab w:val="left" w:pos="1134"/>
        </w:tabs>
        <w:spacing w:line="520" w:lineRule="atLeast"/>
        <w:ind w:firstLine="480"/>
        <w:jc w:val="left"/>
        <w:rPr>
          <w:b w:val="0"/>
          <w:bCs/>
          <w:color w:val="auto"/>
          <w:kern w:val="2"/>
          <w:sz w:val="24"/>
          <w:szCs w:val="24"/>
          <w:lang w:val="en-US"/>
        </w:rPr>
      </w:pPr>
      <w:r>
        <w:rPr>
          <w:rFonts w:hint="eastAsia"/>
          <w:b w:val="0"/>
          <w:bCs/>
          <w:color w:val="auto"/>
          <w:kern w:val="2"/>
          <w:sz w:val="24"/>
          <w:szCs w:val="24"/>
          <w:lang w:val="en-US"/>
        </w:rPr>
        <w:t>（4）本项目专门面向中小企业采购。</w:t>
      </w:r>
    </w:p>
    <w:p>
      <w:pPr>
        <w:spacing w:line="520" w:lineRule="atLeast"/>
        <w:ind w:firstLine="482"/>
        <w:rPr>
          <w:color w:val="auto"/>
          <w:kern w:val="2"/>
          <w:sz w:val="24"/>
          <w:szCs w:val="24"/>
          <w:lang w:val="en-US"/>
        </w:rPr>
      </w:pPr>
      <w:r>
        <w:rPr>
          <w:color w:val="auto"/>
          <w:kern w:val="2"/>
          <w:sz w:val="24"/>
          <w:szCs w:val="24"/>
          <w:lang w:val="en-US"/>
        </w:rPr>
        <w:t>资格条件要求详见本文件第4章，资格条件证明材料详见本文件第5章。</w:t>
      </w:r>
    </w:p>
    <w:p>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本项目不接受联合体投标。</w:t>
      </w:r>
    </w:p>
    <w:p>
      <w:pPr>
        <w:numPr>
          <w:ilvl w:val="0"/>
          <w:numId w:val="22"/>
        </w:numPr>
        <w:spacing w:line="520" w:lineRule="atLeast"/>
        <w:ind w:left="0" w:firstLine="482"/>
        <w:rPr>
          <w:color w:val="auto"/>
          <w:kern w:val="2"/>
          <w:sz w:val="24"/>
          <w:szCs w:val="24"/>
          <w:lang w:val="en-US"/>
        </w:rPr>
      </w:pPr>
      <w:r>
        <w:rPr>
          <w:color w:val="auto"/>
          <w:kern w:val="2"/>
          <w:sz w:val="24"/>
          <w:szCs w:val="24"/>
          <w:lang w:val="en-US"/>
        </w:rPr>
        <w:t>招标文件发售时间及地点</w:t>
      </w:r>
    </w:p>
    <w:p>
      <w:pPr>
        <w:tabs>
          <w:tab w:val="left" w:pos="1080"/>
        </w:tabs>
        <w:spacing w:line="520" w:lineRule="atLeast"/>
        <w:ind w:firstLine="480"/>
        <w:rPr>
          <w:b w:val="0"/>
          <w:color w:val="auto"/>
          <w:kern w:val="2"/>
          <w:sz w:val="24"/>
          <w:szCs w:val="24"/>
          <w:lang w:val="en-US"/>
        </w:rPr>
      </w:pPr>
      <w:r>
        <w:rPr>
          <w:b w:val="0"/>
          <w:color w:val="auto"/>
          <w:kern w:val="2"/>
          <w:sz w:val="24"/>
          <w:szCs w:val="24"/>
          <w:lang w:val="en-US"/>
        </w:rPr>
        <w:t>招标文件发售时间：自20</w:t>
      </w:r>
      <w:r>
        <w:rPr>
          <w:rFonts w:hint="eastAsia"/>
          <w:b w:val="0"/>
          <w:kern w:val="2"/>
          <w:sz w:val="24"/>
          <w:szCs w:val="24"/>
          <w:u w:val="single"/>
          <w:lang w:val="en-US"/>
        </w:rPr>
        <w:t>21</w:t>
      </w:r>
      <w:r>
        <w:rPr>
          <w:b w:val="0"/>
          <w:kern w:val="2"/>
          <w:sz w:val="24"/>
          <w:szCs w:val="24"/>
          <w:lang w:val="en-US"/>
        </w:rPr>
        <w:t>年</w:t>
      </w:r>
      <w:r>
        <w:rPr>
          <w:rFonts w:hint="eastAsia"/>
          <w:b w:val="0"/>
          <w:kern w:val="2"/>
          <w:sz w:val="24"/>
          <w:szCs w:val="24"/>
          <w:u w:val="single"/>
          <w:lang w:val="en-US" w:eastAsia="zh-CN"/>
        </w:rPr>
        <w:t>6</w:t>
      </w:r>
      <w:r>
        <w:rPr>
          <w:b w:val="0"/>
          <w:kern w:val="2"/>
          <w:sz w:val="24"/>
          <w:szCs w:val="24"/>
          <w:lang w:val="en-US"/>
        </w:rPr>
        <w:t>月</w:t>
      </w:r>
      <w:r>
        <w:rPr>
          <w:rFonts w:hint="eastAsia"/>
          <w:b w:val="0"/>
          <w:kern w:val="2"/>
          <w:sz w:val="24"/>
          <w:szCs w:val="24"/>
          <w:u w:val="single"/>
          <w:lang w:val="en-US" w:eastAsia="zh-CN"/>
        </w:rPr>
        <w:t>30</w:t>
      </w:r>
      <w:r>
        <w:rPr>
          <w:b w:val="0"/>
          <w:kern w:val="2"/>
          <w:sz w:val="24"/>
          <w:szCs w:val="24"/>
          <w:lang w:val="en-US"/>
        </w:rPr>
        <w:t>日至20</w:t>
      </w:r>
      <w:r>
        <w:rPr>
          <w:rFonts w:hint="eastAsia"/>
          <w:b w:val="0"/>
          <w:kern w:val="2"/>
          <w:sz w:val="24"/>
          <w:szCs w:val="24"/>
          <w:u w:val="single"/>
          <w:lang w:val="en-US"/>
        </w:rPr>
        <w:t>21</w:t>
      </w:r>
      <w:r>
        <w:rPr>
          <w:b w:val="0"/>
          <w:kern w:val="2"/>
          <w:sz w:val="24"/>
          <w:szCs w:val="24"/>
          <w:lang w:val="en-US"/>
        </w:rPr>
        <w:t>年</w:t>
      </w:r>
      <w:r>
        <w:rPr>
          <w:rFonts w:hint="eastAsia"/>
          <w:b w:val="0"/>
          <w:kern w:val="2"/>
          <w:sz w:val="24"/>
          <w:szCs w:val="24"/>
          <w:u w:val="single"/>
          <w:lang w:val="en-US" w:eastAsia="zh-CN"/>
        </w:rPr>
        <w:t>7</w:t>
      </w:r>
      <w:r>
        <w:rPr>
          <w:b w:val="0"/>
          <w:kern w:val="2"/>
          <w:sz w:val="24"/>
          <w:szCs w:val="24"/>
          <w:lang w:val="en-US"/>
        </w:rPr>
        <w:t>月</w:t>
      </w:r>
      <w:r>
        <w:rPr>
          <w:rFonts w:hint="eastAsia"/>
          <w:b w:val="0"/>
          <w:kern w:val="2"/>
          <w:sz w:val="24"/>
          <w:szCs w:val="24"/>
          <w:u w:val="single"/>
          <w:lang w:val="en-US" w:eastAsia="zh-CN"/>
        </w:rPr>
        <w:t>6</w:t>
      </w:r>
      <w:r>
        <w:rPr>
          <w:b w:val="0"/>
          <w:kern w:val="2"/>
          <w:sz w:val="24"/>
          <w:szCs w:val="24"/>
          <w:lang w:val="en-US"/>
        </w:rPr>
        <w:t>日9:00-17:00（</w:t>
      </w:r>
      <w:r>
        <w:rPr>
          <w:b w:val="0"/>
          <w:color w:val="auto"/>
          <w:kern w:val="2"/>
          <w:sz w:val="24"/>
          <w:szCs w:val="24"/>
          <w:lang w:val="en-US"/>
        </w:rPr>
        <w:t>北京时间，法定节假日除外）。</w:t>
      </w:r>
    </w:p>
    <w:p>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招标文件售价：人民币</w:t>
      </w:r>
      <w:r>
        <w:rPr>
          <w:b w:val="0"/>
          <w:color w:val="auto"/>
          <w:kern w:val="2"/>
          <w:sz w:val="24"/>
          <w:szCs w:val="24"/>
          <w:lang w:val="en-US"/>
        </w:rPr>
        <w:t>200元/份。招标文件发售方式分为线下发售纸质招标文件和网络获取电子招标文件。线下发售纸质招标文件方式：招标文件可以现场购买，也可以通过邮件方式办理邮购，售价含邮寄费，招标文件售后不退，投标资格不得转让。网络获取电子招标文件方式：可以选择通过网络（邮件）获取电子招标文件，网络获取电子招标文件的不收取费用。邮件购买的请将汇款凭证、购买招标文件须提供的资料、单位名称、联系人、联系方式、邮箱地址、所购采购项目名称等信息传至采购代理机构。</w:t>
      </w:r>
    </w:p>
    <w:p>
      <w:pPr>
        <w:tabs>
          <w:tab w:val="left" w:pos="1080"/>
        </w:tabs>
        <w:spacing w:line="520" w:lineRule="atLeast"/>
        <w:ind w:firstLine="480"/>
        <w:rPr>
          <w:b w:val="0"/>
          <w:color w:val="auto"/>
          <w:kern w:val="2"/>
          <w:sz w:val="24"/>
          <w:szCs w:val="24"/>
          <w:lang w:val="en-US"/>
        </w:rPr>
      </w:pPr>
      <w:r>
        <w:rPr>
          <w:b w:val="0"/>
          <w:color w:val="auto"/>
          <w:kern w:val="2"/>
          <w:sz w:val="24"/>
          <w:szCs w:val="24"/>
          <w:lang w:val="en-US"/>
        </w:rPr>
        <w:t>招标文件发售地点：</w:t>
      </w:r>
      <w:r>
        <w:rPr>
          <w:rFonts w:hint="eastAsia"/>
          <w:b w:val="0"/>
          <w:color w:val="auto"/>
          <w:kern w:val="2"/>
          <w:sz w:val="24"/>
          <w:szCs w:val="24"/>
          <w:lang w:val="en-US"/>
        </w:rPr>
        <w:t>成都市青羊区光华东三路</w:t>
      </w:r>
      <w:r>
        <w:rPr>
          <w:b w:val="0"/>
          <w:color w:val="auto"/>
          <w:kern w:val="2"/>
          <w:sz w:val="24"/>
          <w:szCs w:val="24"/>
          <w:lang w:val="en-US"/>
        </w:rPr>
        <w:t>486号5栋7层709号</w:t>
      </w:r>
      <w:r>
        <w:rPr>
          <w:rFonts w:hint="eastAsia"/>
          <w:b w:val="0"/>
          <w:color w:val="auto"/>
          <w:kern w:val="2"/>
          <w:sz w:val="24"/>
          <w:szCs w:val="24"/>
          <w:lang w:val="en-US"/>
        </w:rPr>
        <w:t>（中铁西城写字楼）</w:t>
      </w:r>
      <w:r>
        <w:rPr>
          <w:b w:val="0"/>
          <w:color w:val="auto"/>
          <w:kern w:val="2"/>
          <w:sz w:val="24"/>
          <w:szCs w:val="24"/>
          <w:lang w:val="en-US"/>
        </w:rPr>
        <w:t>。</w:t>
      </w:r>
    </w:p>
    <w:p>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供应商</w:t>
      </w:r>
      <w:r>
        <w:rPr>
          <w:b w:val="0"/>
          <w:color w:val="auto"/>
          <w:kern w:val="2"/>
          <w:sz w:val="24"/>
          <w:szCs w:val="24"/>
          <w:lang w:val="en-US"/>
        </w:rPr>
        <w:t>在购买招标文件时须携带下列有效证明文件：</w:t>
      </w:r>
    </w:p>
    <w:p>
      <w:pPr>
        <w:tabs>
          <w:tab w:val="left" w:pos="1080"/>
        </w:tabs>
        <w:spacing w:line="520" w:lineRule="atLeast"/>
        <w:ind w:firstLine="480"/>
        <w:rPr>
          <w:b w:val="0"/>
          <w:color w:val="auto"/>
          <w:kern w:val="2"/>
          <w:sz w:val="24"/>
          <w:szCs w:val="24"/>
          <w:lang w:val="en-US"/>
        </w:rPr>
      </w:pPr>
      <w:r>
        <w:rPr>
          <w:b w:val="0"/>
          <w:color w:val="auto"/>
          <w:kern w:val="2"/>
          <w:sz w:val="24"/>
          <w:szCs w:val="24"/>
          <w:lang w:val="en-US"/>
        </w:rPr>
        <w:t>单位介绍信</w:t>
      </w:r>
      <w:r>
        <w:rPr>
          <w:rFonts w:hint="eastAsia"/>
          <w:b w:val="0"/>
          <w:color w:val="auto"/>
          <w:kern w:val="2"/>
          <w:sz w:val="24"/>
          <w:szCs w:val="24"/>
          <w:lang w:val="en-US"/>
        </w:rPr>
        <w:t>或委托书</w:t>
      </w:r>
      <w:r>
        <w:rPr>
          <w:b w:val="0"/>
          <w:color w:val="auto"/>
          <w:kern w:val="2"/>
          <w:sz w:val="24"/>
          <w:szCs w:val="24"/>
          <w:lang w:val="en-US"/>
        </w:rPr>
        <w:t>原件及经办人身份证复印件。</w:t>
      </w:r>
    </w:p>
    <w:p>
      <w:pPr>
        <w:tabs>
          <w:tab w:val="left" w:pos="1080"/>
        </w:tabs>
        <w:spacing w:line="520" w:lineRule="atLeast"/>
        <w:ind w:firstLine="480"/>
        <w:rPr>
          <w:b w:val="0"/>
          <w:color w:val="auto"/>
          <w:kern w:val="2"/>
          <w:sz w:val="24"/>
          <w:szCs w:val="24"/>
          <w:lang w:val="en-US"/>
        </w:rPr>
      </w:pPr>
      <w:r>
        <w:rPr>
          <w:rFonts w:hint="eastAsia"/>
          <w:b w:val="0"/>
          <w:color w:val="auto"/>
          <w:kern w:val="2"/>
          <w:sz w:val="24"/>
          <w:szCs w:val="24"/>
          <w:lang w:val="en-US"/>
        </w:rPr>
        <w:t>供应商</w:t>
      </w:r>
      <w:r>
        <w:rPr>
          <w:b w:val="0"/>
          <w:color w:val="auto"/>
          <w:kern w:val="2"/>
          <w:sz w:val="24"/>
          <w:szCs w:val="24"/>
          <w:lang w:val="en-US"/>
        </w:rPr>
        <w:t>购买招标文件时必须如实认真填写项目信息及</w:t>
      </w:r>
      <w:r>
        <w:rPr>
          <w:rFonts w:hint="eastAsia"/>
          <w:b w:val="0"/>
          <w:color w:val="auto"/>
          <w:kern w:val="2"/>
          <w:sz w:val="24"/>
          <w:szCs w:val="24"/>
          <w:lang w:val="en-US"/>
        </w:rPr>
        <w:t>供应商</w:t>
      </w:r>
      <w:r>
        <w:rPr>
          <w:b w:val="0"/>
          <w:color w:val="auto"/>
          <w:kern w:val="2"/>
          <w:sz w:val="24"/>
          <w:szCs w:val="24"/>
          <w:lang w:val="en-US"/>
        </w:rPr>
        <w:t>信息；若因</w:t>
      </w:r>
      <w:r>
        <w:rPr>
          <w:rFonts w:hint="eastAsia"/>
          <w:b w:val="0"/>
          <w:color w:val="auto"/>
          <w:kern w:val="2"/>
          <w:sz w:val="24"/>
          <w:szCs w:val="24"/>
          <w:lang w:val="en-US"/>
        </w:rPr>
        <w:t>供应商</w:t>
      </w:r>
      <w:r>
        <w:rPr>
          <w:b w:val="0"/>
          <w:color w:val="auto"/>
          <w:kern w:val="2"/>
          <w:sz w:val="24"/>
          <w:szCs w:val="24"/>
          <w:lang w:val="en-US"/>
        </w:rPr>
        <w:t>提供的错误信息，对自身投标事宜造成影响的，由</w:t>
      </w:r>
      <w:r>
        <w:rPr>
          <w:rFonts w:hint="eastAsia"/>
          <w:b w:val="0"/>
          <w:color w:val="auto"/>
          <w:kern w:val="2"/>
          <w:sz w:val="24"/>
          <w:szCs w:val="24"/>
          <w:lang w:val="en-US"/>
        </w:rPr>
        <w:t>供应商</w:t>
      </w:r>
      <w:r>
        <w:rPr>
          <w:b w:val="0"/>
          <w:color w:val="auto"/>
          <w:kern w:val="2"/>
          <w:sz w:val="24"/>
          <w:szCs w:val="24"/>
          <w:lang w:val="en-US"/>
        </w:rPr>
        <w:t>自行承担责任（</w:t>
      </w:r>
      <w:r>
        <w:rPr>
          <w:rFonts w:hint="eastAsia"/>
          <w:b w:val="0"/>
          <w:color w:val="auto"/>
          <w:kern w:val="2"/>
          <w:sz w:val="24"/>
          <w:szCs w:val="24"/>
          <w:lang w:val="en-US"/>
        </w:rPr>
        <w:t>供应商</w:t>
      </w:r>
      <w:r>
        <w:rPr>
          <w:b w:val="0"/>
          <w:color w:val="auto"/>
          <w:kern w:val="2"/>
          <w:sz w:val="24"/>
          <w:szCs w:val="24"/>
          <w:lang w:val="en-US"/>
        </w:rPr>
        <w:t>欲修改报名信息，请于截止日前到</w:t>
      </w:r>
      <w:r>
        <w:rPr>
          <w:rFonts w:hint="eastAsia"/>
          <w:b w:val="0"/>
          <w:color w:val="auto"/>
          <w:kern w:val="2"/>
          <w:sz w:val="24"/>
          <w:szCs w:val="24"/>
          <w:lang w:val="en-US"/>
        </w:rPr>
        <w:t>采购代理机构</w:t>
      </w:r>
      <w:r>
        <w:rPr>
          <w:b w:val="0"/>
          <w:color w:val="auto"/>
          <w:kern w:val="2"/>
          <w:sz w:val="24"/>
          <w:szCs w:val="24"/>
          <w:lang w:val="en-US"/>
        </w:rPr>
        <w:t>重新填写报名登记表）。</w:t>
      </w:r>
    </w:p>
    <w:p>
      <w:pPr>
        <w:numPr>
          <w:ilvl w:val="0"/>
          <w:numId w:val="22"/>
        </w:numPr>
        <w:spacing w:line="520" w:lineRule="atLeast"/>
        <w:ind w:left="0" w:firstLine="482"/>
        <w:rPr>
          <w:b w:val="0"/>
          <w:color w:val="auto"/>
          <w:kern w:val="2"/>
          <w:sz w:val="24"/>
          <w:szCs w:val="24"/>
          <w:lang w:val="en-US"/>
        </w:rPr>
      </w:pPr>
      <w:r>
        <w:rPr>
          <w:color w:val="auto"/>
          <w:kern w:val="2"/>
          <w:sz w:val="24"/>
          <w:szCs w:val="24"/>
          <w:lang w:val="en-US"/>
        </w:rPr>
        <w:t>投标截止时间</w:t>
      </w:r>
      <w:r>
        <w:rPr>
          <w:rFonts w:hint="eastAsia"/>
          <w:color w:val="auto"/>
          <w:kern w:val="2"/>
          <w:sz w:val="24"/>
          <w:szCs w:val="24"/>
          <w:lang w:val="en-US"/>
        </w:rPr>
        <w:t>和</w:t>
      </w:r>
      <w:r>
        <w:rPr>
          <w:color w:val="auto"/>
          <w:kern w:val="2"/>
          <w:sz w:val="24"/>
          <w:szCs w:val="24"/>
          <w:lang w:val="en-US"/>
        </w:rPr>
        <w:t>开标时间：</w:t>
      </w:r>
      <w:r>
        <w:rPr>
          <w:b w:val="0"/>
          <w:kern w:val="2"/>
          <w:sz w:val="24"/>
          <w:szCs w:val="24"/>
          <w:lang w:val="en-US"/>
        </w:rPr>
        <w:t>20</w:t>
      </w:r>
      <w:r>
        <w:rPr>
          <w:rFonts w:hint="eastAsia"/>
          <w:b w:val="0"/>
          <w:kern w:val="2"/>
          <w:sz w:val="24"/>
          <w:szCs w:val="24"/>
          <w:u w:val="single"/>
          <w:lang w:val="en-US"/>
        </w:rPr>
        <w:t>21</w:t>
      </w:r>
      <w:r>
        <w:rPr>
          <w:b w:val="0"/>
          <w:kern w:val="2"/>
          <w:sz w:val="24"/>
          <w:szCs w:val="24"/>
          <w:lang w:val="en-US"/>
        </w:rPr>
        <w:t>年</w:t>
      </w:r>
      <w:r>
        <w:rPr>
          <w:rFonts w:hint="eastAsia"/>
          <w:b w:val="0"/>
          <w:kern w:val="2"/>
          <w:sz w:val="24"/>
          <w:szCs w:val="24"/>
          <w:u w:val="single"/>
          <w:lang w:val="en-US" w:eastAsia="zh-CN"/>
        </w:rPr>
        <w:t>7</w:t>
      </w:r>
      <w:r>
        <w:rPr>
          <w:b w:val="0"/>
          <w:kern w:val="2"/>
          <w:sz w:val="24"/>
          <w:szCs w:val="24"/>
          <w:lang w:val="en-US"/>
        </w:rPr>
        <w:t>月</w:t>
      </w:r>
      <w:r>
        <w:rPr>
          <w:rFonts w:hint="eastAsia"/>
          <w:b w:val="0"/>
          <w:kern w:val="2"/>
          <w:sz w:val="24"/>
          <w:szCs w:val="24"/>
          <w:u w:val="single"/>
          <w:lang w:val="en-US" w:eastAsia="zh-CN"/>
        </w:rPr>
        <w:t>20</w:t>
      </w:r>
      <w:r>
        <w:rPr>
          <w:b w:val="0"/>
          <w:kern w:val="2"/>
          <w:sz w:val="24"/>
          <w:szCs w:val="24"/>
          <w:lang w:val="en-US"/>
        </w:rPr>
        <w:t>日10:00（北</w:t>
      </w:r>
      <w:r>
        <w:rPr>
          <w:b w:val="0"/>
          <w:color w:val="auto"/>
          <w:kern w:val="2"/>
          <w:sz w:val="24"/>
          <w:szCs w:val="24"/>
          <w:lang w:val="en-US"/>
        </w:rPr>
        <w:t>京时间）。</w:t>
      </w:r>
    </w:p>
    <w:p>
      <w:pPr>
        <w:spacing w:line="520" w:lineRule="atLeast"/>
        <w:ind w:firstLine="480"/>
        <w:rPr>
          <w:b w:val="0"/>
          <w:color w:val="auto"/>
          <w:kern w:val="2"/>
          <w:sz w:val="24"/>
          <w:szCs w:val="24"/>
          <w:lang w:val="en-US"/>
        </w:rPr>
      </w:pPr>
      <w:r>
        <w:rPr>
          <w:rFonts w:hint="eastAsia"/>
          <w:b w:val="0"/>
          <w:color w:val="auto"/>
          <w:kern w:val="2"/>
          <w:sz w:val="24"/>
          <w:szCs w:val="24"/>
          <w:lang w:val="en-US"/>
        </w:rPr>
        <w:t>投标文件应在开标当日投标截止时间之前送达开标地点，本次招标不接受以电子邮件、传真方式递交的投标文件。</w:t>
      </w:r>
    </w:p>
    <w:p>
      <w:pPr>
        <w:spacing w:line="520" w:lineRule="atLeast"/>
        <w:ind w:firstLine="480"/>
        <w:rPr>
          <w:b w:val="0"/>
          <w:color w:val="auto"/>
          <w:kern w:val="2"/>
          <w:sz w:val="24"/>
          <w:szCs w:val="24"/>
          <w:lang w:val="en-US"/>
        </w:rPr>
      </w:pPr>
      <w:r>
        <w:rPr>
          <w:rFonts w:hint="eastAsia"/>
          <w:b w:val="0"/>
          <w:color w:val="auto"/>
          <w:kern w:val="2"/>
          <w:sz w:val="24"/>
          <w:szCs w:val="24"/>
          <w:lang w:val="en-US"/>
        </w:rPr>
        <w:t>本次招标接收邮寄的投标文件，代理机构签收邮件不等于签收了投标文件，投标文件包装、密封和标注符合招标文件要求方可进行签收，否则，投标人未在截止时间前将投标文件邮寄到达我公司的或者因邮寄破损或者因邮寄信息不清楚造成的提前误拆、不符合招标文件要求而被拒收等不利情形及风险，由投标人自行承担，采购代理机构均不承担任何责任。</w:t>
      </w:r>
    </w:p>
    <w:p>
      <w:pPr>
        <w:spacing w:line="520" w:lineRule="atLeast"/>
        <w:ind w:firstLine="480"/>
        <w:rPr>
          <w:b w:val="0"/>
          <w:color w:val="auto"/>
          <w:kern w:val="2"/>
          <w:sz w:val="24"/>
          <w:szCs w:val="24"/>
          <w:lang w:val="en-US"/>
        </w:rPr>
      </w:pPr>
      <w:r>
        <w:rPr>
          <w:rFonts w:hint="eastAsia"/>
          <w:b w:val="0"/>
          <w:color w:val="auto"/>
          <w:kern w:val="2"/>
          <w:sz w:val="24"/>
          <w:szCs w:val="24"/>
          <w:lang w:val="en-US"/>
        </w:rPr>
        <w:t>请投标人按时参与本项目的开标，投标人未参加开标的，视同认可开标结果。</w:t>
      </w:r>
    </w:p>
    <w:p>
      <w:pPr>
        <w:numPr>
          <w:ilvl w:val="0"/>
          <w:numId w:val="22"/>
        </w:numPr>
        <w:spacing w:line="520" w:lineRule="atLeast"/>
        <w:ind w:left="0" w:firstLine="482"/>
        <w:rPr>
          <w:color w:val="auto"/>
          <w:kern w:val="2"/>
          <w:sz w:val="24"/>
          <w:szCs w:val="24"/>
          <w:lang w:val="en-US"/>
        </w:rPr>
      </w:pPr>
      <w:r>
        <w:rPr>
          <w:color w:val="auto"/>
          <w:kern w:val="2"/>
          <w:sz w:val="24"/>
          <w:szCs w:val="24"/>
          <w:lang w:val="en-US"/>
        </w:rPr>
        <w:t>投标文件递交地点及开标地点：</w:t>
      </w:r>
    </w:p>
    <w:p>
      <w:pPr>
        <w:spacing w:line="520" w:lineRule="atLeast"/>
        <w:ind w:firstLine="480"/>
        <w:rPr>
          <w:b w:val="0"/>
          <w:color w:val="auto"/>
          <w:kern w:val="2"/>
          <w:sz w:val="24"/>
          <w:szCs w:val="24"/>
          <w:lang w:val="en-US"/>
        </w:rPr>
      </w:pPr>
      <w:r>
        <w:rPr>
          <w:rFonts w:hint="eastAsia"/>
          <w:b w:val="0"/>
          <w:color w:val="auto"/>
          <w:kern w:val="2"/>
          <w:sz w:val="24"/>
          <w:szCs w:val="24"/>
          <w:lang w:val="en-US"/>
        </w:rPr>
        <w:t>成都市青羊区光华东三路</w:t>
      </w:r>
      <w:r>
        <w:rPr>
          <w:b w:val="0"/>
          <w:color w:val="auto"/>
          <w:kern w:val="2"/>
          <w:sz w:val="24"/>
          <w:szCs w:val="24"/>
          <w:lang w:val="en-US"/>
        </w:rPr>
        <w:t>486号5栋7层709号</w:t>
      </w:r>
      <w:r>
        <w:rPr>
          <w:rFonts w:hint="eastAsia"/>
          <w:b w:val="0"/>
          <w:color w:val="auto"/>
          <w:kern w:val="2"/>
          <w:sz w:val="24"/>
          <w:szCs w:val="24"/>
          <w:lang w:val="en-US"/>
        </w:rPr>
        <w:t>（中铁西城写字楼）</w:t>
      </w:r>
      <w:r>
        <w:rPr>
          <w:b w:val="0"/>
          <w:color w:val="auto"/>
          <w:kern w:val="2"/>
          <w:sz w:val="24"/>
          <w:szCs w:val="24"/>
          <w:lang w:val="en-US"/>
        </w:rPr>
        <w:t>四川慧采招标代理有限公司。</w:t>
      </w:r>
    </w:p>
    <w:p>
      <w:pPr>
        <w:numPr>
          <w:ilvl w:val="0"/>
          <w:numId w:val="22"/>
        </w:numPr>
        <w:spacing w:line="520" w:lineRule="atLeast"/>
        <w:ind w:left="0" w:firstLine="482"/>
        <w:rPr>
          <w:color w:val="auto"/>
          <w:kern w:val="2"/>
          <w:sz w:val="24"/>
          <w:szCs w:val="24"/>
          <w:lang w:val="en-US"/>
        </w:rPr>
      </w:pPr>
      <w:r>
        <w:rPr>
          <w:color w:val="auto"/>
          <w:kern w:val="2"/>
          <w:sz w:val="24"/>
          <w:szCs w:val="24"/>
          <w:lang w:val="en-US"/>
        </w:rPr>
        <w:t>本投标邀请在四川政府采购网上以公告形式发布</w:t>
      </w:r>
      <w:r>
        <w:rPr>
          <w:rFonts w:hint="eastAsia"/>
          <w:color w:val="auto"/>
          <w:kern w:val="2"/>
          <w:sz w:val="24"/>
          <w:szCs w:val="24"/>
          <w:lang w:val="en-US"/>
        </w:rPr>
        <w:t>，公告期限为发布之日起5个工作日。</w:t>
      </w:r>
    </w:p>
    <w:p>
      <w:pPr>
        <w:numPr>
          <w:ilvl w:val="0"/>
          <w:numId w:val="22"/>
        </w:numPr>
        <w:spacing w:line="520" w:lineRule="atLeast"/>
        <w:ind w:left="0" w:firstLine="482"/>
        <w:rPr>
          <w:color w:val="auto"/>
          <w:kern w:val="2"/>
          <w:sz w:val="24"/>
          <w:szCs w:val="24"/>
          <w:lang w:val="en-US"/>
        </w:rPr>
      </w:pPr>
      <w:r>
        <w:rPr>
          <w:rFonts w:hint="eastAsia"/>
          <w:color w:val="auto"/>
          <w:kern w:val="2"/>
          <w:sz w:val="24"/>
          <w:szCs w:val="24"/>
          <w:lang w:val="en-US"/>
        </w:rPr>
        <w:t>本项目支持中小企业信用融资（详见第2章投标人须知）。</w:t>
      </w:r>
    </w:p>
    <w:p>
      <w:pPr>
        <w:numPr>
          <w:ilvl w:val="0"/>
          <w:numId w:val="22"/>
        </w:numPr>
        <w:spacing w:line="520" w:lineRule="atLeast"/>
        <w:ind w:left="0" w:firstLine="482"/>
        <w:rPr>
          <w:color w:val="auto"/>
          <w:kern w:val="2"/>
          <w:sz w:val="24"/>
          <w:szCs w:val="24"/>
          <w:lang w:val="en-US"/>
        </w:rPr>
      </w:pPr>
      <w:r>
        <w:rPr>
          <w:color w:val="auto"/>
          <w:kern w:val="2"/>
          <w:sz w:val="24"/>
          <w:szCs w:val="24"/>
          <w:lang w:val="en-US"/>
        </w:rPr>
        <w:t>联系方式</w:t>
      </w:r>
    </w:p>
    <w:p>
      <w:pPr>
        <w:spacing w:line="520" w:lineRule="atLeast"/>
        <w:ind w:firstLine="566" w:firstLineChars="236"/>
        <w:rPr>
          <w:b w:val="0"/>
          <w:color w:val="auto"/>
          <w:kern w:val="2"/>
          <w:sz w:val="24"/>
          <w:szCs w:val="24"/>
          <w:lang w:val="en-US"/>
        </w:rPr>
      </w:pPr>
      <w:r>
        <w:rPr>
          <w:b w:val="0"/>
          <w:color w:val="auto"/>
          <w:kern w:val="2"/>
          <w:sz w:val="24"/>
          <w:szCs w:val="24"/>
          <w:lang w:val="en-US"/>
        </w:rPr>
        <w:t>采 购 人：</w:t>
      </w:r>
      <w:r>
        <w:rPr>
          <w:rFonts w:hint="eastAsia"/>
          <w:b w:val="0"/>
          <w:color w:val="auto"/>
          <w:kern w:val="2"/>
          <w:sz w:val="24"/>
          <w:szCs w:val="24"/>
          <w:lang w:val="en-US"/>
        </w:rPr>
        <w:t>成都市环境保护信息中心</w:t>
      </w:r>
    </w:p>
    <w:p>
      <w:pPr>
        <w:spacing w:line="520" w:lineRule="atLeast"/>
        <w:ind w:firstLine="566" w:firstLineChars="236"/>
        <w:rPr>
          <w:b w:val="0"/>
          <w:color w:val="auto"/>
          <w:kern w:val="2"/>
          <w:sz w:val="24"/>
          <w:szCs w:val="24"/>
          <w:lang w:val="en-US"/>
        </w:rPr>
      </w:pPr>
      <w:r>
        <w:rPr>
          <w:b w:val="0"/>
          <w:color w:val="auto"/>
          <w:kern w:val="2"/>
          <w:sz w:val="24"/>
          <w:szCs w:val="24"/>
          <w:lang w:val="en-US"/>
        </w:rPr>
        <w:t>联 系 人：</w:t>
      </w:r>
      <w:r>
        <w:rPr>
          <w:rFonts w:hint="eastAsia"/>
          <w:b w:val="0"/>
          <w:color w:val="auto"/>
          <w:kern w:val="2"/>
          <w:sz w:val="24"/>
          <w:szCs w:val="24"/>
          <w:lang w:val="en-US"/>
        </w:rPr>
        <w:t>朱老师</w:t>
      </w:r>
    </w:p>
    <w:p>
      <w:pPr>
        <w:spacing w:line="520" w:lineRule="atLeast"/>
        <w:ind w:firstLine="566" w:firstLineChars="236"/>
        <w:rPr>
          <w:b w:val="0"/>
          <w:color w:val="auto"/>
          <w:kern w:val="2"/>
          <w:sz w:val="24"/>
          <w:szCs w:val="24"/>
          <w:lang w:val="en-US"/>
        </w:rPr>
      </w:pPr>
      <w:r>
        <w:rPr>
          <w:b w:val="0"/>
          <w:color w:val="auto"/>
          <w:kern w:val="2"/>
          <w:sz w:val="24"/>
          <w:szCs w:val="24"/>
          <w:lang w:val="en-US"/>
        </w:rPr>
        <w:t>电话传真：028-86111413</w:t>
      </w:r>
    </w:p>
    <w:p>
      <w:pPr>
        <w:spacing w:line="520" w:lineRule="atLeast"/>
        <w:ind w:firstLine="566" w:firstLineChars="236"/>
        <w:rPr>
          <w:b w:val="0"/>
          <w:color w:val="auto"/>
          <w:kern w:val="2"/>
          <w:sz w:val="24"/>
          <w:szCs w:val="24"/>
          <w:lang w:val="en-US"/>
        </w:rPr>
      </w:pPr>
      <w:r>
        <w:rPr>
          <w:b w:val="0"/>
          <w:color w:val="auto"/>
          <w:kern w:val="2"/>
          <w:sz w:val="24"/>
          <w:szCs w:val="24"/>
          <w:lang w:val="en-US"/>
        </w:rPr>
        <w:t>通讯地址：</w:t>
      </w:r>
      <w:r>
        <w:rPr>
          <w:rFonts w:hint="eastAsia"/>
          <w:b w:val="0"/>
          <w:color w:val="auto"/>
          <w:kern w:val="2"/>
          <w:sz w:val="24"/>
          <w:szCs w:val="24"/>
          <w:lang w:val="en-US"/>
        </w:rPr>
        <w:t>成都市青羊区君平街</w:t>
      </w:r>
      <w:r>
        <w:rPr>
          <w:b w:val="0"/>
          <w:color w:val="auto"/>
          <w:kern w:val="2"/>
          <w:sz w:val="24"/>
          <w:szCs w:val="24"/>
          <w:lang w:val="en-US"/>
        </w:rPr>
        <w:t>26号</w:t>
      </w:r>
    </w:p>
    <w:p>
      <w:pPr>
        <w:spacing w:line="520" w:lineRule="atLeast"/>
        <w:ind w:firstLine="566" w:firstLineChars="236"/>
        <w:rPr>
          <w:b w:val="0"/>
          <w:color w:val="auto"/>
          <w:kern w:val="2"/>
          <w:sz w:val="24"/>
          <w:szCs w:val="24"/>
          <w:lang w:val="en-US"/>
        </w:rPr>
      </w:pPr>
      <w:r>
        <w:rPr>
          <w:b w:val="0"/>
          <w:color w:val="auto"/>
          <w:kern w:val="2"/>
          <w:sz w:val="24"/>
          <w:szCs w:val="24"/>
          <w:lang w:val="en-US"/>
        </w:rPr>
        <w:t>采购代理机构：四川慧采招标代理有限公司</w:t>
      </w:r>
    </w:p>
    <w:p>
      <w:pPr>
        <w:spacing w:line="520" w:lineRule="atLeast"/>
        <w:ind w:firstLine="566" w:firstLineChars="236"/>
        <w:rPr>
          <w:b w:val="0"/>
          <w:color w:val="auto"/>
          <w:kern w:val="2"/>
          <w:sz w:val="24"/>
          <w:szCs w:val="24"/>
          <w:lang w:val="en-US"/>
        </w:rPr>
      </w:pPr>
      <w:r>
        <w:rPr>
          <w:b w:val="0"/>
          <w:color w:val="auto"/>
          <w:kern w:val="2"/>
          <w:sz w:val="24"/>
          <w:szCs w:val="24"/>
          <w:lang w:val="en-US"/>
        </w:rPr>
        <w:t>开户银行：</w:t>
      </w:r>
      <w:r>
        <w:rPr>
          <w:rFonts w:hint="eastAsia"/>
          <w:b w:val="0"/>
          <w:color w:val="auto"/>
          <w:kern w:val="2"/>
          <w:sz w:val="24"/>
          <w:szCs w:val="24"/>
          <w:lang w:val="en-US"/>
        </w:rPr>
        <w:t>哈尔滨银行股份有限公司成都温江支行</w:t>
      </w:r>
    </w:p>
    <w:p>
      <w:pPr>
        <w:spacing w:line="520" w:lineRule="atLeast"/>
        <w:ind w:firstLine="566" w:firstLineChars="236"/>
        <w:rPr>
          <w:b w:val="0"/>
          <w:color w:val="auto"/>
          <w:kern w:val="2"/>
          <w:sz w:val="24"/>
          <w:szCs w:val="24"/>
          <w:lang w:val="en-US"/>
        </w:rPr>
      </w:pPr>
      <w:r>
        <w:rPr>
          <w:b w:val="0"/>
          <w:color w:val="auto"/>
          <w:kern w:val="2"/>
          <w:sz w:val="24"/>
          <w:szCs w:val="24"/>
          <w:lang w:val="en-US"/>
        </w:rPr>
        <w:t xml:space="preserve">帐    号：18010000001447211 </w:t>
      </w:r>
    </w:p>
    <w:p>
      <w:pPr>
        <w:spacing w:line="520" w:lineRule="atLeast"/>
        <w:ind w:firstLine="566" w:firstLineChars="236"/>
        <w:rPr>
          <w:b w:val="0"/>
          <w:color w:val="auto"/>
          <w:kern w:val="2"/>
          <w:sz w:val="24"/>
          <w:szCs w:val="24"/>
          <w:lang w:val="en-US"/>
        </w:rPr>
      </w:pPr>
      <w:r>
        <w:rPr>
          <w:b w:val="0"/>
          <w:color w:val="auto"/>
          <w:kern w:val="2"/>
          <w:sz w:val="24"/>
          <w:szCs w:val="24"/>
          <w:lang w:val="en-US"/>
        </w:rPr>
        <w:t>通讯地址：</w:t>
      </w:r>
      <w:r>
        <w:rPr>
          <w:rFonts w:hint="eastAsia"/>
          <w:b w:val="0"/>
          <w:color w:val="auto"/>
          <w:kern w:val="2"/>
          <w:sz w:val="24"/>
          <w:szCs w:val="24"/>
          <w:lang w:val="en-US"/>
        </w:rPr>
        <w:t>成都市青羊区光华东三路</w:t>
      </w:r>
      <w:r>
        <w:rPr>
          <w:b w:val="0"/>
          <w:color w:val="auto"/>
          <w:kern w:val="2"/>
          <w:sz w:val="24"/>
          <w:szCs w:val="24"/>
          <w:lang w:val="en-US"/>
        </w:rPr>
        <w:t>486号5栋7层709号</w:t>
      </w:r>
      <w:r>
        <w:rPr>
          <w:rFonts w:hint="eastAsia"/>
          <w:b w:val="0"/>
          <w:color w:val="auto"/>
          <w:kern w:val="2"/>
          <w:sz w:val="24"/>
          <w:szCs w:val="24"/>
          <w:lang w:val="en-US"/>
        </w:rPr>
        <w:t>（中铁西城写字楼）</w:t>
      </w:r>
    </w:p>
    <w:p>
      <w:pPr>
        <w:spacing w:line="520" w:lineRule="atLeast"/>
        <w:ind w:firstLine="566" w:firstLineChars="236"/>
        <w:rPr>
          <w:b w:val="0"/>
          <w:color w:val="auto"/>
          <w:kern w:val="2"/>
          <w:sz w:val="24"/>
          <w:szCs w:val="24"/>
          <w:lang w:val="en-US"/>
        </w:rPr>
      </w:pPr>
      <w:r>
        <w:rPr>
          <w:b w:val="0"/>
          <w:color w:val="auto"/>
          <w:kern w:val="2"/>
          <w:sz w:val="24"/>
          <w:szCs w:val="24"/>
          <w:lang w:val="en-US"/>
        </w:rPr>
        <w:t>联 系 人：</w:t>
      </w:r>
      <w:r>
        <w:rPr>
          <w:rFonts w:hint="eastAsia"/>
          <w:b w:val="0"/>
          <w:color w:val="auto"/>
          <w:kern w:val="2"/>
          <w:sz w:val="24"/>
          <w:szCs w:val="24"/>
          <w:lang w:val="en-US"/>
        </w:rPr>
        <w:t>李先生</w:t>
      </w:r>
    </w:p>
    <w:p>
      <w:pPr>
        <w:spacing w:line="520" w:lineRule="atLeast"/>
        <w:ind w:firstLine="566" w:firstLineChars="236"/>
        <w:rPr>
          <w:b w:val="0"/>
          <w:color w:val="auto"/>
          <w:kern w:val="2"/>
          <w:sz w:val="24"/>
          <w:szCs w:val="24"/>
          <w:lang w:val="en-US"/>
        </w:rPr>
      </w:pPr>
      <w:r>
        <w:rPr>
          <w:b w:val="0"/>
          <w:color w:val="auto"/>
          <w:kern w:val="2"/>
          <w:sz w:val="24"/>
          <w:szCs w:val="24"/>
          <w:lang w:val="en-US"/>
        </w:rPr>
        <w:t>电话传真：028-82753723</w:t>
      </w:r>
    </w:p>
    <w:p>
      <w:pPr>
        <w:spacing w:line="520" w:lineRule="atLeast"/>
        <w:ind w:firstLine="566" w:firstLineChars="236"/>
        <w:rPr>
          <w:b w:val="0"/>
          <w:color w:val="auto"/>
          <w:kern w:val="2"/>
          <w:sz w:val="24"/>
          <w:szCs w:val="24"/>
          <w:lang w:val="en-US"/>
        </w:rPr>
      </w:pPr>
      <w:r>
        <w:rPr>
          <w:b w:val="0"/>
          <w:color w:val="auto"/>
          <w:kern w:val="2"/>
          <w:sz w:val="24"/>
          <w:szCs w:val="24"/>
          <w:lang w:val="en-US"/>
        </w:rPr>
        <w:t>电子邮件：2725928110@qq.com</w:t>
      </w:r>
    </w:p>
    <w:p>
      <w:pPr>
        <w:spacing w:line="520" w:lineRule="atLeast"/>
        <w:ind w:firstLine="482"/>
        <w:rPr>
          <w:color w:val="auto"/>
          <w:sz w:val="24"/>
          <w:szCs w:val="24"/>
          <w:lang w:val="en-US"/>
        </w:rPr>
      </w:pPr>
      <w:r>
        <w:rPr>
          <w:rFonts w:hint="eastAsia"/>
          <w:color w:val="auto"/>
          <w:sz w:val="24"/>
          <w:szCs w:val="24"/>
          <w:lang w:val="en-US"/>
        </w:rPr>
        <w:t xml:space="preserve">                                                   </w:t>
      </w:r>
      <w:r>
        <w:rPr>
          <w:rFonts w:hint="eastAsia"/>
          <w:b w:val="0"/>
          <w:bCs/>
          <w:color w:val="auto"/>
          <w:sz w:val="24"/>
          <w:szCs w:val="24"/>
          <w:lang w:val="en-US"/>
        </w:rPr>
        <w:t>四川慧采招标代理有限公司</w:t>
      </w:r>
    </w:p>
    <w:p>
      <w:pPr>
        <w:spacing w:line="520" w:lineRule="atLeast"/>
        <w:ind w:firstLine="480"/>
        <w:jc w:val="center"/>
        <w:rPr>
          <w:lang w:val="en-US"/>
        </w:rPr>
      </w:pPr>
      <w:r>
        <w:rPr>
          <w:rFonts w:hint="eastAsia"/>
          <w:b w:val="0"/>
          <w:color w:val="auto"/>
          <w:kern w:val="2"/>
          <w:sz w:val="24"/>
          <w:szCs w:val="24"/>
          <w:lang w:val="en-US"/>
        </w:rPr>
        <w:t xml:space="preserve">                                                </w:t>
      </w:r>
      <w:r>
        <w:rPr>
          <w:rFonts w:hint="eastAsia"/>
          <w:b w:val="0"/>
          <w:kern w:val="2"/>
          <w:sz w:val="24"/>
          <w:szCs w:val="24"/>
          <w:lang w:val="en-US"/>
        </w:rPr>
        <w:t xml:space="preserve">  </w:t>
      </w:r>
      <w:r>
        <w:rPr>
          <w:b w:val="0"/>
          <w:kern w:val="2"/>
          <w:sz w:val="24"/>
          <w:szCs w:val="24"/>
          <w:lang w:val="en-US"/>
        </w:rPr>
        <w:t>20</w:t>
      </w:r>
      <w:r>
        <w:rPr>
          <w:rFonts w:hint="eastAsia"/>
          <w:b w:val="0"/>
          <w:kern w:val="2"/>
          <w:sz w:val="24"/>
          <w:szCs w:val="24"/>
          <w:lang w:val="en-US"/>
        </w:rPr>
        <w:t>21</w:t>
      </w:r>
      <w:r>
        <w:rPr>
          <w:b w:val="0"/>
          <w:kern w:val="2"/>
          <w:sz w:val="24"/>
          <w:szCs w:val="24"/>
          <w:lang w:val="en-US"/>
        </w:rPr>
        <w:t>年</w:t>
      </w:r>
      <w:r>
        <w:rPr>
          <w:rFonts w:hint="eastAsia"/>
          <w:b w:val="0"/>
          <w:kern w:val="2"/>
          <w:sz w:val="24"/>
          <w:szCs w:val="24"/>
          <w:lang w:val="en-US" w:eastAsia="zh-CN"/>
        </w:rPr>
        <w:t>6</w:t>
      </w:r>
      <w:r>
        <w:rPr>
          <w:b w:val="0"/>
          <w:kern w:val="2"/>
          <w:sz w:val="24"/>
          <w:szCs w:val="24"/>
          <w:lang w:val="en-US"/>
        </w:rPr>
        <w:t>月</w:t>
      </w:r>
      <w:r>
        <w:rPr>
          <w:rFonts w:hint="eastAsia"/>
          <w:b w:val="0"/>
          <w:kern w:val="2"/>
          <w:sz w:val="24"/>
          <w:szCs w:val="24"/>
          <w:lang w:val="en-US" w:eastAsia="zh-CN"/>
        </w:rPr>
        <w:t>29</w:t>
      </w:r>
      <w:r>
        <w:rPr>
          <w:b w:val="0"/>
          <w:kern w:val="2"/>
          <w:sz w:val="24"/>
          <w:szCs w:val="24"/>
          <w:lang w:val="en-US"/>
        </w:rPr>
        <w:t>日</w:t>
      </w:r>
    </w:p>
    <w:p>
      <w:pPr>
        <w:rPr>
          <w:color w:val="auto"/>
          <w:lang w:val="en-US"/>
        </w:rPr>
      </w:pPr>
    </w:p>
    <w:p>
      <w:pPr>
        <w:rPr>
          <w:color w:val="auto"/>
          <w:lang w:val="en-US"/>
        </w:rPr>
      </w:pPr>
    </w:p>
    <w:p>
      <w:pPr>
        <w:rPr>
          <w:color w:val="auto"/>
          <w:lang w:val="en-US"/>
        </w:rPr>
      </w:pPr>
    </w:p>
    <w:p>
      <w:pPr>
        <w:pStyle w:val="2"/>
        <w:spacing w:before="109" w:line="240" w:lineRule="auto"/>
        <w:ind w:firstLine="480"/>
        <w:rPr>
          <w:color w:val="auto"/>
          <w:lang w:val="en-US"/>
        </w:rPr>
      </w:pPr>
    </w:p>
    <w:p>
      <w:pPr>
        <w:pStyle w:val="2"/>
        <w:spacing w:before="109" w:line="240" w:lineRule="auto"/>
        <w:ind w:firstLine="480"/>
        <w:rPr>
          <w:color w:val="auto"/>
          <w:lang w:val="en-US"/>
        </w:rPr>
      </w:pPr>
    </w:p>
    <w:p>
      <w:pPr>
        <w:pStyle w:val="3"/>
        <w:keepNext w:val="0"/>
        <w:numPr>
          <w:ilvl w:val="0"/>
          <w:numId w:val="16"/>
        </w:numPr>
        <w:spacing w:before="218" w:beforeLines="50" w:after="218" w:afterLines="50" w:line="360" w:lineRule="auto"/>
        <w:ind w:left="0" w:firstLine="0"/>
        <w:rPr>
          <w:b/>
          <w:color w:val="auto"/>
        </w:rPr>
      </w:pPr>
      <w:bookmarkStart w:id="5" w:name="_Toc213396759"/>
      <w:bookmarkStart w:id="6" w:name="_Toc217446031"/>
      <w:bookmarkStart w:id="7" w:name="_Toc213496267"/>
      <w:bookmarkStart w:id="8" w:name="_Toc213397009"/>
      <w:bookmarkStart w:id="9" w:name="_Toc494198586"/>
      <w:bookmarkStart w:id="10" w:name="_Toc213396945"/>
      <w:r>
        <w:rPr>
          <w:rFonts w:hint="eastAsia"/>
          <w:b/>
          <w:color w:val="auto"/>
        </w:rPr>
        <w:t xml:space="preserve"> </w:t>
      </w:r>
      <w:bookmarkStart w:id="11" w:name="_Toc21767"/>
      <w:r>
        <w:rPr>
          <w:rFonts w:hint="eastAsia"/>
          <w:b/>
          <w:color w:val="auto"/>
        </w:rPr>
        <w:t>投标人须知</w:t>
      </w:r>
      <w:bookmarkEnd w:id="5"/>
      <w:bookmarkEnd w:id="6"/>
      <w:bookmarkEnd w:id="7"/>
      <w:bookmarkEnd w:id="8"/>
      <w:bookmarkEnd w:id="9"/>
      <w:bookmarkEnd w:id="10"/>
      <w:bookmarkEnd w:id="11"/>
    </w:p>
    <w:p>
      <w:pPr>
        <w:numPr>
          <w:ilvl w:val="1"/>
          <w:numId w:val="16"/>
        </w:numPr>
        <w:tabs>
          <w:tab w:val="left" w:pos="567"/>
        </w:tabs>
        <w:snapToGrid/>
        <w:spacing w:line="240" w:lineRule="auto"/>
        <w:ind w:left="0" w:firstLine="0" w:firstLineChars="0"/>
        <w:jc w:val="left"/>
        <w:outlineLvl w:val="1"/>
        <w:rPr>
          <w:bCs/>
          <w:color w:val="auto"/>
          <w:kern w:val="2"/>
          <w:sz w:val="24"/>
          <w:szCs w:val="24"/>
          <w:lang w:val="en-US"/>
        </w:rPr>
      </w:pPr>
      <w:bookmarkStart w:id="12" w:name="_Toc213496268"/>
      <w:bookmarkStart w:id="13" w:name="_Toc213396760"/>
      <w:bookmarkStart w:id="14" w:name="_Toc213396946"/>
      <w:bookmarkStart w:id="15" w:name="_Toc189727030"/>
      <w:bookmarkStart w:id="16" w:name="_Toc213397010"/>
      <w:bookmarkStart w:id="17" w:name="_Toc217446032"/>
      <w:bookmarkStart w:id="18" w:name="_Toc351016476"/>
      <w:r>
        <w:rPr>
          <w:rFonts w:hint="eastAsia"/>
          <w:bCs/>
          <w:color w:val="auto"/>
          <w:kern w:val="2"/>
          <w:sz w:val="24"/>
          <w:szCs w:val="24"/>
          <w:lang w:val="en-US"/>
        </w:rPr>
        <w:t xml:space="preserve"> </w:t>
      </w:r>
      <w:bookmarkStart w:id="19" w:name="_Toc494198587"/>
      <w:r>
        <w:rPr>
          <w:rFonts w:hint="eastAsia"/>
          <w:bCs/>
          <w:color w:val="auto"/>
          <w:kern w:val="2"/>
          <w:sz w:val="24"/>
          <w:szCs w:val="24"/>
          <w:lang w:val="en-US"/>
        </w:rPr>
        <w:t>投标人须知前附表</w:t>
      </w:r>
      <w:bookmarkEnd w:id="12"/>
      <w:bookmarkEnd w:id="13"/>
      <w:bookmarkEnd w:id="14"/>
      <w:bookmarkEnd w:id="15"/>
      <w:bookmarkEnd w:id="16"/>
      <w:bookmarkEnd w:id="17"/>
      <w:bookmarkEnd w:id="18"/>
      <w:bookmarkEnd w:id="19"/>
    </w:p>
    <w:tbl>
      <w:tblPr>
        <w:tblStyle w:val="77"/>
        <w:tblW w:w="9692" w:type="dxa"/>
        <w:jc w:val="center"/>
        <w:tblLayout w:type="fixed"/>
        <w:tblCellMar>
          <w:top w:w="0" w:type="dxa"/>
          <w:left w:w="108" w:type="dxa"/>
          <w:bottom w:w="0" w:type="dxa"/>
          <w:right w:w="108" w:type="dxa"/>
        </w:tblCellMar>
      </w:tblPr>
      <w:tblGrid>
        <w:gridCol w:w="710"/>
        <w:gridCol w:w="2178"/>
        <w:gridCol w:w="6804"/>
      </w:tblGrid>
      <w:tr>
        <w:tblPrEx>
          <w:tblCellMar>
            <w:top w:w="0" w:type="dxa"/>
            <w:left w:w="108" w:type="dxa"/>
            <w:bottom w:w="0" w:type="dxa"/>
            <w:right w:w="108" w:type="dxa"/>
          </w:tblCellMar>
        </w:tblPrEx>
        <w:trPr>
          <w:trHeight w:val="558"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tabs>
                <w:tab w:val="left" w:pos="7665"/>
              </w:tabs>
              <w:snapToGrid/>
              <w:spacing w:line="440" w:lineRule="exact"/>
              <w:ind w:firstLine="0" w:firstLineChars="0"/>
              <w:jc w:val="center"/>
              <w:rPr>
                <w:rFonts w:ascii="Times New Roman" w:hAnsi="Times New Roman"/>
                <w:bCs/>
                <w:color w:val="auto"/>
                <w:kern w:val="2"/>
                <w:sz w:val="24"/>
                <w:szCs w:val="24"/>
                <w:lang w:val="en-US"/>
              </w:rPr>
            </w:pPr>
            <w:r>
              <w:rPr>
                <w:rFonts w:ascii="Times New Roman"/>
                <w:bCs/>
                <w:color w:val="auto"/>
                <w:kern w:val="2"/>
                <w:sz w:val="24"/>
                <w:szCs w:val="24"/>
                <w:lang w:val="en-US"/>
              </w:rPr>
              <w:t>序号</w:t>
            </w:r>
          </w:p>
        </w:tc>
        <w:tc>
          <w:tcPr>
            <w:tcW w:w="2178" w:type="dxa"/>
            <w:tcBorders>
              <w:top w:val="single" w:color="auto" w:sz="6" w:space="0"/>
              <w:left w:val="single" w:color="auto" w:sz="6" w:space="0"/>
              <w:bottom w:val="single" w:color="auto" w:sz="6" w:space="0"/>
              <w:right w:val="single" w:color="auto" w:sz="6" w:space="0"/>
            </w:tcBorders>
            <w:vAlign w:val="center"/>
          </w:tcPr>
          <w:p>
            <w:pPr>
              <w:tabs>
                <w:tab w:val="left" w:pos="7665"/>
              </w:tabs>
              <w:snapToGrid/>
              <w:spacing w:line="440" w:lineRule="exact"/>
              <w:ind w:firstLine="0" w:firstLineChars="0"/>
              <w:jc w:val="center"/>
              <w:rPr>
                <w:rFonts w:ascii="Times New Roman" w:hAnsi="Times New Roman"/>
                <w:bCs/>
                <w:color w:val="auto"/>
                <w:kern w:val="2"/>
                <w:sz w:val="24"/>
                <w:szCs w:val="24"/>
                <w:lang w:val="en-US"/>
              </w:rPr>
            </w:pPr>
            <w:r>
              <w:rPr>
                <w:rFonts w:ascii="Times New Roman"/>
                <w:bCs/>
                <w:color w:val="auto"/>
                <w:kern w:val="2"/>
                <w:sz w:val="24"/>
                <w:szCs w:val="24"/>
                <w:lang w:val="en-US"/>
              </w:rPr>
              <w:t>条款名称</w:t>
            </w:r>
          </w:p>
        </w:tc>
        <w:tc>
          <w:tcPr>
            <w:tcW w:w="6804" w:type="dxa"/>
            <w:tcBorders>
              <w:top w:val="single" w:color="auto" w:sz="6" w:space="0"/>
              <w:left w:val="single" w:color="auto" w:sz="6" w:space="0"/>
              <w:bottom w:val="single" w:color="auto" w:sz="6" w:space="0"/>
              <w:right w:val="single" w:color="auto" w:sz="6" w:space="0"/>
            </w:tcBorders>
            <w:vAlign w:val="center"/>
          </w:tcPr>
          <w:p>
            <w:pPr>
              <w:tabs>
                <w:tab w:val="left" w:pos="7665"/>
              </w:tabs>
              <w:snapToGrid/>
              <w:spacing w:line="440" w:lineRule="exact"/>
              <w:ind w:firstLine="0" w:firstLineChars="0"/>
              <w:jc w:val="center"/>
              <w:rPr>
                <w:rFonts w:ascii="Times New Roman" w:hAnsi="Times New Roman"/>
                <w:bCs/>
                <w:color w:val="auto"/>
                <w:kern w:val="2"/>
                <w:sz w:val="24"/>
                <w:szCs w:val="24"/>
                <w:lang w:val="en-US"/>
              </w:rPr>
            </w:pPr>
            <w:r>
              <w:rPr>
                <w:rFonts w:ascii="Times New Roman"/>
                <w:bCs/>
                <w:color w:val="auto"/>
                <w:kern w:val="2"/>
                <w:sz w:val="24"/>
                <w:szCs w:val="24"/>
                <w:lang w:val="en-US"/>
              </w:rPr>
              <w:t>说明与要求</w:t>
            </w:r>
          </w:p>
        </w:tc>
      </w:tr>
      <w:tr>
        <w:tblPrEx>
          <w:tblCellMar>
            <w:top w:w="0" w:type="dxa"/>
            <w:left w:w="108" w:type="dxa"/>
            <w:bottom w:w="0" w:type="dxa"/>
            <w:right w:w="108" w:type="dxa"/>
          </w:tblCellMar>
        </w:tblPrEx>
        <w:trPr>
          <w:trHeight w:val="373" w:hRule="atLeast"/>
          <w:jc w:val="center"/>
        </w:trPr>
        <w:tc>
          <w:tcPr>
            <w:tcW w:w="9692" w:type="dxa"/>
            <w:gridSpan w:val="3"/>
            <w:tcBorders>
              <w:top w:val="single" w:color="auto" w:sz="6" w:space="0"/>
              <w:left w:val="single" w:color="auto" w:sz="6" w:space="0"/>
              <w:right w:val="single" w:color="auto" w:sz="6" w:space="0"/>
            </w:tcBorders>
            <w:vAlign w:val="center"/>
          </w:tcPr>
          <w:p>
            <w:pPr>
              <w:pStyle w:val="331"/>
              <w:spacing w:line="440" w:lineRule="exact"/>
              <w:ind w:firstLine="480" w:firstLineChars="200"/>
              <w:rPr>
                <w:rFonts w:ascii="黑体" w:hAnsi="黑体" w:eastAsia="黑体" w:cs="Times New Roman"/>
                <w:b/>
                <w:bCs/>
              </w:rPr>
            </w:pPr>
            <w:r>
              <w:rPr>
                <w:rFonts w:hint="eastAsia" w:ascii="黑体" w:hAnsi="黑体" w:eastAsia="黑体" w:cs="Times New Roman"/>
                <w:b/>
                <w:bCs/>
              </w:rPr>
              <w:t>为规范政府采购活动，推进政府采购诚信建设，请投标人确保投标文件中提供的相关资料、承诺的真实性（如人员、业绩等证明材料，缴纳税收和社会保障资金等承诺，第三方材料、承诺等），严禁提供虚假材料、虚假承诺。项目采购活动结束后，采购人或者采购代理机构可对相关材料、承诺进行核实，如提供虚假材料、承诺，将报告政府采购监督管理部门严肃追究有关责任。</w:t>
            </w:r>
          </w:p>
        </w:tc>
      </w:tr>
      <w:tr>
        <w:tblPrEx>
          <w:tblCellMar>
            <w:top w:w="0" w:type="dxa"/>
            <w:left w:w="108" w:type="dxa"/>
            <w:bottom w:w="0" w:type="dxa"/>
            <w:right w:w="108" w:type="dxa"/>
          </w:tblCellMar>
        </w:tblPrEx>
        <w:trPr>
          <w:trHeight w:val="373" w:hRule="atLeast"/>
          <w:jc w:val="center"/>
        </w:trPr>
        <w:tc>
          <w:tcPr>
            <w:tcW w:w="710" w:type="dxa"/>
            <w:vMerge w:val="restart"/>
            <w:tcBorders>
              <w:top w:val="single" w:color="auto" w:sz="6" w:space="0"/>
              <w:left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hint="eastAsia" w:ascii="Times New Roman" w:hAnsi="Times New Roman" w:cs="Times New Roman"/>
                <w:lang w:val="zh-CN"/>
              </w:rPr>
              <w:t>1</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cs="Times New Roman"/>
                <w:lang w:val="zh-CN"/>
              </w:rPr>
            </w:pPr>
            <w:r>
              <w:rPr>
                <w:rFonts w:ascii="Times New Roman" w:cs="Times New Roman"/>
                <w:lang w:val="zh-CN"/>
              </w:rPr>
              <w:t>采购预算</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cs="Times New Roman"/>
                <w:lang w:val="zh-CN"/>
              </w:rPr>
            </w:pPr>
            <w:r>
              <w:rPr>
                <w:rFonts w:ascii="Times New Roman" w:cs="Times New Roman"/>
                <w:lang w:val="zh-CN"/>
              </w:rPr>
              <w:t>本项目</w:t>
            </w:r>
            <w:r>
              <w:rPr>
                <w:rFonts w:hint="eastAsia"/>
                <w:szCs w:val="21"/>
                <w:lang w:val="zh-CN"/>
              </w:rPr>
              <w:t>备案号：</w:t>
            </w:r>
            <w:r>
              <w:fldChar w:fldCharType="begin"/>
            </w:r>
            <w:r>
              <w:instrText xml:space="preserve"> HYPERLINK "https://pay.zcygov.cn/purchaseplan_front/" \l "/order/orderDetail/6793425558893920734/_blank" \t "https://www.zcygov.cn/bidding-entrust/" \o "(2021)0325号-001" </w:instrText>
            </w:r>
            <w:r>
              <w:fldChar w:fldCharType="separate"/>
            </w:r>
            <w:r>
              <w:rPr>
                <w:rFonts w:hint="eastAsia"/>
                <w:szCs w:val="21"/>
                <w:u w:val="single"/>
                <w:lang w:val="zh-CN"/>
              </w:rPr>
              <w:t>(2021)0325号</w:t>
            </w:r>
            <w:r>
              <w:rPr>
                <w:rFonts w:hint="eastAsia"/>
                <w:szCs w:val="21"/>
                <w:u w:val="single"/>
                <w:lang w:val="zh-CN"/>
              </w:rPr>
              <w:fldChar w:fldCharType="end"/>
            </w:r>
            <w:r>
              <w:rPr>
                <w:rFonts w:hint="eastAsia"/>
                <w:szCs w:val="21"/>
                <w:lang w:val="zh-CN"/>
              </w:rPr>
              <w:t>，</w:t>
            </w:r>
            <w:r>
              <w:rPr>
                <w:rFonts w:ascii="Times New Roman" w:cs="Times New Roman"/>
                <w:lang w:val="zh-CN"/>
              </w:rPr>
              <w:t>采购预算品目</w:t>
            </w:r>
            <w:r>
              <w:rPr>
                <w:rFonts w:ascii="Times New Roman" w:cs="Times New Roman"/>
                <w:u w:val="single"/>
                <w:lang w:val="zh-CN"/>
              </w:rPr>
              <w:t>为C020602硬件运维服务</w:t>
            </w:r>
            <w:r>
              <w:rPr>
                <w:rFonts w:ascii="Times New Roman" w:cs="Times New Roman"/>
                <w:lang w:val="zh-CN"/>
              </w:rPr>
              <w:t>，预算金额为人民币</w:t>
            </w:r>
            <w:r>
              <w:rPr>
                <w:rFonts w:hint="eastAsia" w:ascii="Times New Roman" w:hAnsi="Times New Roman" w:cs="Times New Roman"/>
                <w:color w:val="000000"/>
                <w:u w:val="single"/>
              </w:rPr>
              <w:t>34.5</w:t>
            </w:r>
            <w:r>
              <w:rPr>
                <w:rFonts w:ascii="Times New Roman" w:cs="Times New Roman"/>
                <w:color w:val="000000"/>
                <w:lang w:val="zh-CN"/>
              </w:rPr>
              <w:t>万元</w:t>
            </w:r>
            <w:r>
              <w:rPr>
                <w:rFonts w:ascii="Times New Roman" w:cs="Times New Roman"/>
                <w:lang w:val="zh-CN"/>
              </w:rPr>
              <w:t>。</w:t>
            </w:r>
          </w:p>
        </w:tc>
      </w:tr>
      <w:tr>
        <w:tblPrEx>
          <w:tblCellMar>
            <w:top w:w="0" w:type="dxa"/>
            <w:left w:w="108" w:type="dxa"/>
            <w:bottom w:w="0" w:type="dxa"/>
            <w:right w:w="108" w:type="dxa"/>
          </w:tblCellMar>
        </w:tblPrEx>
        <w:trPr>
          <w:trHeight w:val="373" w:hRule="atLeast"/>
          <w:jc w:val="center"/>
        </w:trPr>
        <w:tc>
          <w:tcPr>
            <w:tcW w:w="710" w:type="dxa"/>
            <w:vMerge w:val="continue"/>
            <w:tcBorders>
              <w:left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cs="Times New Roman"/>
                <w:lang w:val="zh-CN"/>
              </w:rPr>
            </w:pPr>
            <w:r>
              <w:rPr>
                <w:rFonts w:hint="eastAsia" w:ascii="Times New Roman" w:cs="Times New Roman"/>
                <w:lang w:val="zh-CN"/>
              </w:rPr>
              <w:t>支持中小企业发展</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hAnsi="Times New Roman"/>
                <w:lang w:val="zh-CN"/>
              </w:rPr>
            </w:pPr>
            <w:r>
              <w:rPr>
                <w:rFonts w:hint="eastAsia" w:hAnsi="Times New Roman"/>
              </w:rPr>
              <w:t>本项目</w:t>
            </w:r>
            <w:r>
              <w:rPr>
                <w:rFonts w:hAnsi="Times New Roman"/>
              </w:rPr>
              <w:t>专门面向中小企业采购，本项目标的</w:t>
            </w:r>
            <w:r>
              <w:rPr>
                <w:rFonts w:hint="eastAsia"/>
                <w:kern w:val="2"/>
                <w:u w:val="single"/>
              </w:rPr>
              <w:t>安全设备运维</w:t>
            </w:r>
            <w:r>
              <w:rPr>
                <w:rFonts w:hint="eastAsia"/>
                <w:kern w:val="2"/>
              </w:rPr>
              <w:t>对应的中小企业划分标准所属行业为</w:t>
            </w:r>
            <w:r>
              <w:rPr>
                <w:rFonts w:hint="eastAsia"/>
                <w:kern w:val="2"/>
                <w:u w:val="single"/>
              </w:rPr>
              <w:t>软件和信息技术服务业。</w:t>
            </w:r>
          </w:p>
        </w:tc>
      </w:tr>
      <w:tr>
        <w:tblPrEx>
          <w:tblCellMar>
            <w:top w:w="0" w:type="dxa"/>
            <w:left w:w="108" w:type="dxa"/>
            <w:bottom w:w="0" w:type="dxa"/>
            <w:right w:w="108" w:type="dxa"/>
          </w:tblCellMar>
        </w:tblPrEx>
        <w:trPr>
          <w:trHeight w:val="373" w:hRule="atLeast"/>
          <w:jc w:val="center"/>
        </w:trPr>
        <w:tc>
          <w:tcPr>
            <w:tcW w:w="710" w:type="dxa"/>
            <w:vMerge w:val="continue"/>
            <w:tcBorders>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最高限价</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本项目最高限价为人民币</w:t>
            </w:r>
            <w:r>
              <w:rPr>
                <w:rFonts w:hint="eastAsia" w:ascii="Times New Roman" w:hAnsi="Times New Roman" w:cs="Times New Roman"/>
                <w:u w:val="single"/>
              </w:rPr>
              <w:t>34.5</w:t>
            </w:r>
            <w:r>
              <w:rPr>
                <w:rFonts w:ascii="Times New Roman" w:cs="Times New Roman"/>
                <w:lang w:val="zh-CN"/>
              </w:rPr>
              <w:t>万元</w:t>
            </w:r>
            <w:r>
              <w:rPr>
                <w:rFonts w:hint="eastAsia" w:ascii="Times New Roman" w:hAnsi="Times New Roman" w:cs="Times New Roman"/>
                <w:lang w:val="zh-CN"/>
              </w:rPr>
              <w:t>，投标报价超过本项目最高限价的作无效投标处理。</w:t>
            </w:r>
          </w:p>
        </w:tc>
      </w:tr>
      <w:tr>
        <w:tblPrEx>
          <w:tblCellMar>
            <w:top w:w="0" w:type="dxa"/>
            <w:left w:w="108" w:type="dxa"/>
            <w:bottom w:w="0" w:type="dxa"/>
            <w:right w:w="108" w:type="dxa"/>
          </w:tblCellMar>
        </w:tblPrEx>
        <w:trPr>
          <w:trHeight w:val="373" w:hRule="atLeast"/>
          <w:jc w:val="center"/>
        </w:trPr>
        <w:tc>
          <w:tcPr>
            <w:tcW w:w="710" w:type="dxa"/>
            <w:tcBorders>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hint="eastAsia" w:ascii="Times New Roman" w:hAnsi="Times New Roman" w:cs="Times New Roman"/>
                <w:lang w:val="zh-CN"/>
              </w:rPr>
              <w:t>2</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低于成本价</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rPr>
            </w:pPr>
            <w:r>
              <w:rPr>
                <w:rFonts w:hint="eastAsia" w:ascii="Times New Roman" w:cs="Times New Roman"/>
              </w:rPr>
              <w:t>评标委员会认为投标人的报价明显低于其他通过符合性审查投标人的报价，有可能影响产品质量或者不能诚信履约的，应当要求其在评标现场合理的时间内提供书面说明，必要时提交相关证明材料。</w:t>
            </w:r>
          </w:p>
          <w:p>
            <w:pPr>
              <w:pStyle w:val="331"/>
              <w:spacing w:line="440" w:lineRule="exact"/>
              <w:rPr>
                <w:rFonts w:ascii="Times New Roman" w:hAnsi="Times New Roman" w:cs="Times New Roman"/>
              </w:rPr>
            </w:pPr>
            <w:r>
              <w:rPr>
                <w:rFonts w:ascii="Times New Roman" w:cs="Times New Roman"/>
              </w:rPr>
              <w:t>投标人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331"/>
              <w:spacing w:line="440" w:lineRule="exact"/>
              <w:rPr>
                <w:rFonts w:ascii="Times New Roman" w:hAnsi="Times New Roman" w:cs="Times New Roman"/>
              </w:rPr>
            </w:pPr>
            <w:r>
              <w:rPr>
                <w:rFonts w:ascii="Times New Roman" w:cs="Times New Roma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pStyle w:val="331"/>
              <w:spacing w:line="440" w:lineRule="exact"/>
              <w:rPr>
                <w:rFonts w:ascii="Times New Roman" w:hAnsi="Times New Roman" w:cs="Times New Roman"/>
              </w:rPr>
            </w:pPr>
            <w:r>
              <w:rPr>
                <w:rFonts w:ascii="Times New Roman" w:cs="Times New Roman"/>
              </w:rPr>
              <w:t>投标人提供书面说明后，评标委员会应当结合采购项目采购需求、专业实际情况、供应商财务状况报告、与其他供应商比较情况等就供应商书面说明进行审查评价。</w:t>
            </w:r>
          </w:p>
          <w:p>
            <w:pPr>
              <w:pStyle w:val="331"/>
              <w:spacing w:line="440" w:lineRule="exact"/>
              <w:rPr>
                <w:rFonts w:ascii="Times New Roman" w:hAnsi="Times New Roman" w:cs="Times New Roman"/>
              </w:rPr>
            </w:pPr>
            <w:r>
              <w:rPr>
                <w:rFonts w:ascii="Times New Roman" w:cs="Times New Roman"/>
              </w:rPr>
              <w:t>投标人拒绝或者变相拒绝提供有效书面说明或者书面说明不能证明其报价合理性的，评标委员会应当将其作为无效投标处理。</w:t>
            </w:r>
          </w:p>
        </w:tc>
      </w:tr>
      <w:tr>
        <w:tblPrEx>
          <w:tblCellMar>
            <w:top w:w="0" w:type="dxa"/>
            <w:left w:w="108" w:type="dxa"/>
            <w:bottom w:w="0" w:type="dxa"/>
            <w:right w:w="108" w:type="dxa"/>
          </w:tblCellMar>
        </w:tblPrEx>
        <w:trPr>
          <w:trHeight w:val="373" w:hRule="atLeast"/>
          <w:jc w:val="center"/>
        </w:trPr>
        <w:tc>
          <w:tcPr>
            <w:tcW w:w="710" w:type="dxa"/>
            <w:tcBorders>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hint="eastAsia" w:ascii="Times New Roman" w:hAnsi="Times New Roman" w:cs="Times New Roman"/>
                <w:lang w:val="zh-CN"/>
              </w:rPr>
              <w:t>3</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kern w:val="2"/>
              </w:rPr>
              <w:t>小微企业、监狱企业、残疾人福利性单位价格扣除</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rPr>
            </w:pPr>
            <w:r>
              <w:rPr>
                <w:rFonts w:hint="eastAsia" w:ascii="Times New Roman" w:hAnsi="Times New Roman" w:cs="Times New Roman"/>
              </w:rPr>
              <w:t>一、小微企业价格扣除</w:t>
            </w:r>
          </w:p>
          <w:p>
            <w:pPr>
              <w:pStyle w:val="331"/>
              <w:spacing w:line="440" w:lineRule="exact"/>
              <w:rPr>
                <w:rFonts w:ascii="Times New Roman" w:hAnsi="Times New Roman" w:cs="Times New Roman"/>
              </w:rPr>
            </w:pPr>
            <w:r>
              <w:rPr>
                <w:rFonts w:hint="eastAsia" w:ascii="Times New Roman" w:hAnsi="Times New Roman" w:cs="Times New Roman"/>
              </w:rPr>
              <w:t>本项目专门面向中小企业采购，不再对小微企业产品的价格进行扣除。</w:t>
            </w:r>
            <w:r>
              <w:rPr>
                <w:rFonts w:ascii="Times New Roman" w:hAnsi="Times New Roman" w:cs="Times New Roman"/>
              </w:rPr>
              <w:t xml:space="preserve"> </w:t>
            </w:r>
          </w:p>
          <w:p>
            <w:pPr>
              <w:pStyle w:val="331"/>
              <w:spacing w:line="440" w:lineRule="exact"/>
              <w:rPr>
                <w:rFonts w:ascii="Times New Roman" w:hAnsi="Times New Roman" w:cs="Times New Roman"/>
              </w:rPr>
            </w:pPr>
            <w:r>
              <w:rPr>
                <w:rFonts w:hint="eastAsia" w:ascii="Times New Roman" w:hAnsi="Times New Roman" w:cs="Times New Roman"/>
              </w:rPr>
              <w:t>二、监狱企业价格扣除</w:t>
            </w:r>
          </w:p>
          <w:p>
            <w:pPr>
              <w:pStyle w:val="331"/>
              <w:spacing w:line="440" w:lineRule="exact"/>
              <w:rPr>
                <w:rFonts w:ascii="Times New Roman" w:hAnsi="Times New Roman" w:cs="Times New Roman"/>
              </w:rPr>
            </w:pPr>
            <w:r>
              <w:rPr>
                <w:rFonts w:ascii="Times New Roman" w:hAnsi="Times New Roman" w:cs="Times New Roman"/>
              </w:rPr>
              <w:t>根据《关于政府采购支持监狱企业发展有关问题的通知》（财库[2014]68号）的规定，</w:t>
            </w:r>
            <w:r>
              <w:rPr>
                <w:rFonts w:hint="eastAsia" w:ascii="Times New Roman" w:hAnsi="Times New Roman" w:cs="Times New Roman"/>
              </w:rPr>
              <w:t>监狱企业视同小、微企业，本项目专门面向中小企业采购，不再</w:t>
            </w:r>
            <w:r>
              <w:rPr>
                <w:rFonts w:ascii="Times New Roman" w:hAnsi="Times New Roman" w:cs="Times New Roman"/>
              </w:rPr>
              <w:t>对监狱企业产品的价格</w:t>
            </w:r>
            <w:r>
              <w:rPr>
                <w:rFonts w:hint="eastAsia" w:ascii="Times New Roman" w:hAnsi="Times New Roman" w:cs="Times New Roman"/>
              </w:rPr>
              <w:t>进行扣除</w:t>
            </w:r>
            <w:r>
              <w:rPr>
                <w:rFonts w:ascii="Times New Roman" w:hAnsi="Times New Roman" w:cs="Times New Roman"/>
              </w:rPr>
              <w:t>。</w:t>
            </w:r>
          </w:p>
          <w:p>
            <w:pPr>
              <w:pStyle w:val="331"/>
              <w:spacing w:line="440" w:lineRule="exact"/>
              <w:rPr>
                <w:rFonts w:ascii="Times New Roman" w:hAnsi="Times New Roman" w:cs="Times New Roman"/>
              </w:rPr>
            </w:pPr>
            <w:r>
              <w:rPr>
                <w:rFonts w:hint="eastAsia" w:ascii="Times New Roman" w:hAnsi="Times New Roman" w:cs="Times New Roman"/>
              </w:rPr>
              <w:t>三、残疾人福利性单位价格扣除</w:t>
            </w:r>
          </w:p>
          <w:p>
            <w:pPr>
              <w:pStyle w:val="331"/>
              <w:spacing w:line="440" w:lineRule="exact"/>
              <w:rPr>
                <w:rFonts w:ascii="Times New Roman" w:hAnsi="Times New Roman" w:cs="Times New Roman"/>
              </w:rPr>
            </w:pPr>
            <w:r>
              <w:rPr>
                <w:rFonts w:ascii="Times New Roman" w:hAnsi="Times New Roman" w:cs="Times New Roman"/>
              </w:rPr>
              <w:t>根据《财政部 民政部 中国残疾人联合会关于促进残疾人就业政府采购政策的通知》（财库[2017]141号）的规定，</w:t>
            </w:r>
            <w:r>
              <w:rPr>
                <w:rFonts w:hint="eastAsia" w:ascii="Times New Roman" w:hAnsi="Times New Roman" w:cs="Times New Roman"/>
              </w:rPr>
              <w:t>残疾人福利性单位视同小、微企业，本项目专门面向中小企业采购，不再</w:t>
            </w:r>
            <w:r>
              <w:rPr>
                <w:rFonts w:ascii="Times New Roman" w:hAnsi="Times New Roman" w:cs="Times New Roman"/>
              </w:rPr>
              <w:t>对残疾人福利性单位产品的价格</w:t>
            </w:r>
            <w:r>
              <w:rPr>
                <w:rFonts w:hint="eastAsia" w:ascii="Times New Roman" w:hAnsi="Times New Roman" w:cs="Times New Roman"/>
              </w:rPr>
              <w:t>进行扣除</w:t>
            </w:r>
            <w:r>
              <w:rPr>
                <w:rFonts w:ascii="Times New Roman" w:hAnsi="Times New Roman" w:cs="Times New Roman"/>
              </w:rPr>
              <w:t>。</w:t>
            </w:r>
          </w:p>
        </w:tc>
      </w:tr>
      <w:tr>
        <w:tblPrEx>
          <w:tblCellMar>
            <w:top w:w="0" w:type="dxa"/>
            <w:left w:w="108" w:type="dxa"/>
            <w:bottom w:w="0" w:type="dxa"/>
            <w:right w:w="108" w:type="dxa"/>
          </w:tblCellMar>
        </w:tblPrEx>
        <w:trPr>
          <w:trHeight w:val="373" w:hRule="atLeast"/>
          <w:jc w:val="center"/>
        </w:trPr>
        <w:tc>
          <w:tcPr>
            <w:tcW w:w="710" w:type="dxa"/>
            <w:tcBorders>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4</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cs="Times New Roman"/>
                <w:lang w:val="zh-CN"/>
              </w:rPr>
            </w:pPr>
            <w:r>
              <w:rPr>
                <w:rFonts w:hint="eastAsia" w:ascii="Times New Roman" w:cs="Times New Roman"/>
                <w:lang w:val="zh-CN"/>
              </w:rPr>
              <w:t>标准和规范</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cs="Times New Roman"/>
                <w:lang w:val="zh-CN"/>
              </w:rPr>
            </w:pPr>
            <w:r>
              <w:rPr>
                <w:rFonts w:hint="eastAsia" w:ascii="Times New Roman" w:cs="Times New Roman"/>
                <w:lang w:val="zh-CN"/>
              </w:rPr>
              <w:t>在招标文件中有未提及到的技术细节或招标文件中任何条款的叙述中没有明确的规定的，都视为是指国家（或部颁行业）的标准和规范。</w:t>
            </w:r>
          </w:p>
        </w:tc>
      </w:tr>
      <w:tr>
        <w:tblPrEx>
          <w:tblCellMar>
            <w:top w:w="0" w:type="dxa"/>
            <w:left w:w="108" w:type="dxa"/>
            <w:bottom w:w="0" w:type="dxa"/>
            <w:right w:w="108" w:type="dxa"/>
          </w:tblCellMar>
        </w:tblPrEx>
        <w:trPr>
          <w:trHeight w:val="553"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5</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采购方式</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公开招标。</w:t>
            </w:r>
          </w:p>
        </w:tc>
      </w:tr>
      <w:tr>
        <w:tblPrEx>
          <w:tblCellMar>
            <w:top w:w="0" w:type="dxa"/>
            <w:left w:w="108" w:type="dxa"/>
            <w:bottom w:w="0" w:type="dxa"/>
            <w:right w:w="108" w:type="dxa"/>
          </w:tblCellMar>
        </w:tblPrEx>
        <w:trPr>
          <w:trHeight w:val="267"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6</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进口产品</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详见投标人须知</w:t>
            </w:r>
            <w:r>
              <w:rPr>
                <w:rFonts w:ascii="Times New Roman" w:hAnsi="Times New Roman" w:cs="Times New Roman"/>
                <w:lang w:val="zh-CN"/>
              </w:rPr>
              <w:t>2.4.5</w:t>
            </w:r>
            <w:r>
              <w:rPr>
                <w:rFonts w:hint="eastAsia" w:ascii="Times New Roman" w:hAnsi="Times New Roman" w:cs="Times New Roman"/>
                <w:lang w:val="zh-CN"/>
              </w:rPr>
              <w:t>。</w:t>
            </w:r>
          </w:p>
        </w:tc>
      </w:tr>
      <w:tr>
        <w:tblPrEx>
          <w:tblCellMar>
            <w:top w:w="0" w:type="dxa"/>
            <w:left w:w="108" w:type="dxa"/>
            <w:bottom w:w="0" w:type="dxa"/>
            <w:right w:w="108" w:type="dxa"/>
          </w:tblCellMar>
        </w:tblPrEx>
        <w:trPr>
          <w:trHeight w:val="660" w:hRule="atLeast"/>
          <w:jc w:val="center"/>
        </w:trPr>
        <w:tc>
          <w:tcPr>
            <w:tcW w:w="710" w:type="dxa"/>
            <w:vMerge w:val="restart"/>
            <w:tcBorders>
              <w:top w:val="single" w:color="auto" w:sz="6" w:space="0"/>
              <w:left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7</w:t>
            </w:r>
          </w:p>
        </w:tc>
        <w:tc>
          <w:tcPr>
            <w:tcW w:w="2178" w:type="dxa"/>
            <w:vMerge w:val="restart"/>
            <w:tcBorders>
              <w:top w:val="single" w:color="auto" w:sz="6" w:space="0"/>
              <w:left w:val="single" w:color="auto" w:sz="6" w:space="0"/>
              <w:right w:val="single" w:color="auto" w:sz="6" w:space="0"/>
            </w:tcBorders>
            <w:vAlign w:val="center"/>
          </w:tcPr>
          <w:p>
            <w:pPr>
              <w:pStyle w:val="331"/>
              <w:spacing w:line="440" w:lineRule="exact"/>
              <w:jc w:val="center"/>
              <w:rPr>
                <w:rFonts w:ascii="Times New Roman" w:cs="Times New Roman"/>
              </w:rPr>
            </w:pPr>
            <w:r>
              <w:rPr>
                <w:rFonts w:ascii="Times New Roman" w:cs="Times New Roman"/>
              </w:rPr>
              <w:t>国家规定的优先、强制采购范围</w:t>
            </w:r>
          </w:p>
          <w:p>
            <w:pPr>
              <w:pStyle w:val="331"/>
              <w:spacing w:line="440" w:lineRule="exact"/>
              <w:jc w:val="center"/>
              <w:rPr>
                <w:rFonts w:ascii="Times New Roman" w:hAnsi="Times New Roman" w:cs="Times New Roman"/>
              </w:rPr>
            </w:pPr>
            <w:r>
              <w:rPr>
                <w:rFonts w:ascii="Times New Roman" w:cs="Times New Roman"/>
              </w:rPr>
              <w:t>（节能、环保）</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rPr>
            </w:pPr>
            <w:r>
              <w:rPr>
                <w:rFonts w:hint="eastAsia"/>
                <w:lang w:val="zh-CN"/>
              </w:rPr>
              <w:t>本项目为服务类采购项目，不涉及国家规定的强制采购产品范围</w:t>
            </w:r>
            <w:r>
              <w:rPr>
                <w:rFonts w:hint="eastAsia"/>
              </w:rPr>
              <w:t>。</w:t>
            </w:r>
          </w:p>
        </w:tc>
      </w:tr>
      <w:tr>
        <w:tblPrEx>
          <w:tblCellMar>
            <w:top w:w="0" w:type="dxa"/>
            <w:left w:w="108" w:type="dxa"/>
            <w:bottom w:w="0" w:type="dxa"/>
            <w:right w:w="108" w:type="dxa"/>
          </w:tblCellMar>
        </w:tblPrEx>
        <w:trPr>
          <w:trHeight w:val="660" w:hRule="atLeast"/>
          <w:jc w:val="center"/>
        </w:trPr>
        <w:tc>
          <w:tcPr>
            <w:tcW w:w="710" w:type="dxa"/>
            <w:vMerge w:val="continue"/>
            <w:tcBorders>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p>
        </w:tc>
        <w:tc>
          <w:tcPr>
            <w:tcW w:w="2178" w:type="dxa"/>
            <w:vMerge w:val="continue"/>
            <w:tcBorders>
              <w:left w:val="single" w:color="auto" w:sz="6" w:space="0"/>
              <w:bottom w:val="single" w:color="auto" w:sz="6" w:space="0"/>
              <w:right w:val="single" w:color="auto" w:sz="6" w:space="0"/>
            </w:tcBorders>
            <w:vAlign w:val="center"/>
          </w:tcPr>
          <w:p>
            <w:pPr>
              <w:pStyle w:val="331"/>
              <w:spacing w:line="440" w:lineRule="exact"/>
              <w:jc w:val="center"/>
              <w:rPr>
                <w:rFonts w:ascii="Times New Roman" w:cs="Times New Roman"/>
              </w:rPr>
            </w:pP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cs="Times New Roman"/>
              </w:rPr>
            </w:pPr>
            <w:r>
              <w:rPr>
                <w:rFonts w:hint="eastAsia"/>
                <w:lang w:val="zh-CN"/>
              </w:rPr>
              <w:t>本项目为服务类采购项目，不涉及国家规定的强制采购产品范围</w:t>
            </w:r>
            <w:r>
              <w:rPr>
                <w:rFonts w:hint="eastAsia"/>
              </w:rPr>
              <w:t>。</w:t>
            </w:r>
          </w:p>
        </w:tc>
      </w:tr>
      <w:tr>
        <w:tblPrEx>
          <w:tblCellMar>
            <w:top w:w="0" w:type="dxa"/>
            <w:left w:w="108" w:type="dxa"/>
            <w:bottom w:w="0" w:type="dxa"/>
            <w:right w:w="108" w:type="dxa"/>
          </w:tblCellMar>
        </w:tblPrEx>
        <w:trPr>
          <w:trHeight w:val="520"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8</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构成招标文件的</w:t>
            </w:r>
          </w:p>
          <w:p>
            <w:pPr>
              <w:pStyle w:val="331"/>
              <w:spacing w:line="440" w:lineRule="exact"/>
              <w:jc w:val="center"/>
              <w:rPr>
                <w:rFonts w:ascii="Times New Roman" w:hAnsi="Times New Roman" w:cs="Times New Roman"/>
                <w:lang w:val="zh-CN"/>
              </w:rPr>
            </w:pPr>
            <w:r>
              <w:rPr>
                <w:rFonts w:ascii="Times New Roman" w:cs="Times New Roman"/>
                <w:lang w:val="zh-CN"/>
              </w:rPr>
              <w:t>其他文件</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招标文件的澄清、修改书及有关补充通知为招标文件的有效组成部分。</w:t>
            </w:r>
          </w:p>
        </w:tc>
      </w:tr>
      <w:tr>
        <w:tblPrEx>
          <w:tblCellMar>
            <w:top w:w="0" w:type="dxa"/>
            <w:left w:w="108" w:type="dxa"/>
            <w:bottom w:w="0" w:type="dxa"/>
            <w:right w:w="108" w:type="dxa"/>
          </w:tblCellMar>
        </w:tblPrEx>
        <w:trPr>
          <w:trHeight w:val="520"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9</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cs="Times New Roman"/>
                <w:lang w:val="zh-CN"/>
              </w:rPr>
            </w:pPr>
            <w:r>
              <w:rPr>
                <w:rFonts w:ascii="Times New Roman" w:cs="Times New Roman"/>
                <w:lang w:val="zh-CN"/>
              </w:rPr>
              <w:t>考察现场标前</w:t>
            </w:r>
          </w:p>
          <w:p>
            <w:pPr>
              <w:pStyle w:val="331"/>
              <w:spacing w:line="440" w:lineRule="exact"/>
              <w:jc w:val="center"/>
              <w:rPr>
                <w:rFonts w:ascii="Times New Roman" w:hAnsi="Times New Roman" w:cs="Times New Roman"/>
                <w:lang w:val="zh-CN"/>
              </w:rPr>
            </w:pPr>
            <w:r>
              <w:rPr>
                <w:rFonts w:ascii="Times New Roman" w:cs="Times New Roman"/>
                <w:lang w:val="zh-CN"/>
              </w:rPr>
              <w:t>答疑会</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rPr>
              <w:t>详见投标人须知</w:t>
            </w:r>
            <w:r>
              <w:rPr>
                <w:rFonts w:ascii="Times New Roman" w:hAnsi="Times New Roman" w:cs="Times New Roman"/>
              </w:rPr>
              <w:t>2.3.3</w:t>
            </w:r>
            <w:r>
              <w:rPr>
                <w:rFonts w:ascii="Times New Roman" w:cs="Times New Roman"/>
              </w:rPr>
              <w:t>。</w:t>
            </w:r>
          </w:p>
        </w:tc>
      </w:tr>
      <w:tr>
        <w:tblPrEx>
          <w:tblCellMar>
            <w:top w:w="0" w:type="dxa"/>
            <w:left w:w="108" w:type="dxa"/>
            <w:bottom w:w="0" w:type="dxa"/>
            <w:right w:w="108" w:type="dxa"/>
          </w:tblCellMar>
        </w:tblPrEx>
        <w:trPr>
          <w:trHeight w:val="90"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hAnsi="Times New Roman"/>
                <w:b w:val="0"/>
                <w:color w:val="auto"/>
                <w:sz w:val="24"/>
                <w:szCs w:val="24"/>
              </w:rPr>
              <w:t>1</w:t>
            </w:r>
            <w:r>
              <w:rPr>
                <w:rFonts w:hint="eastAsia" w:ascii="Times New Roman" w:hAnsi="Times New Roman"/>
                <w:b w:val="0"/>
                <w:color w:val="auto"/>
                <w:sz w:val="24"/>
                <w:szCs w:val="24"/>
              </w:rPr>
              <w:t>0</w:t>
            </w:r>
          </w:p>
        </w:tc>
        <w:tc>
          <w:tcPr>
            <w:tcW w:w="2178" w:type="dxa"/>
            <w:tcBorders>
              <w:top w:val="single" w:color="auto" w:sz="6" w:space="0"/>
              <w:left w:val="single" w:color="auto" w:sz="6" w:space="0"/>
              <w:bottom w:val="single" w:color="auto" w:sz="6" w:space="0"/>
              <w:right w:val="single" w:color="auto" w:sz="6" w:space="0"/>
            </w:tcBorders>
            <w:vAlign w:val="center"/>
          </w:tcPr>
          <w:p>
            <w:pPr>
              <w:pStyle w:val="30"/>
              <w:snapToGrid/>
              <w:spacing w:line="440" w:lineRule="exact"/>
              <w:ind w:firstLine="0" w:firstLineChars="0"/>
              <w:jc w:val="center"/>
              <w:rPr>
                <w:kern w:val="2"/>
                <w:sz w:val="24"/>
              </w:rPr>
            </w:pPr>
            <w:r>
              <w:rPr>
                <w:rFonts w:hint="eastAsia" w:ascii="宋体" w:hAnsi="宋体"/>
                <w:kern w:val="2"/>
                <w:sz w:val="24"/>
              </w:rPr>
              <w:t>投标保证金</w:t>
            </w:r>
          </w:p>
        </w:tc>
        <w:tc>
          <w:tcPr>
            <w:tcW w:w="6804" w:type="dxa"/>
            <w:tcBorders>
              <w:top w:val="single" w:color="auto" w:sz="6" w:space="0"/>
              <w:left w:val="single" w:color="auto" w:sz="6" w:space="0"/>
              <w:bottom w:val="single" w:color="auto" w:sz="6" w:space="0"/>
              <w:right w:val="single" w:color="auto" w:sz="6" w:space="0"/>
            </w:tcBorders>
            <w:vAlign w:val="center"/>
          </w:tcPr>
          <w:p>
            <w:pPr>
              <w:pStyle w:val="334"/>
              <w:spacing w:line="440" w:lineRule="exact"/>
              <w:jc w:val="left"/>
              <w:rPr>
                <w:sz w:val="24"/>
                <w:szCs w:val="24"/>
                <w:lang w:val="zh-CN"/>
              </w:rPr>
            </w:pPr>
            <w:r>
              <w:rPr>
                <w:rFonts w:hint="eastAsia"/>
                <w:sz w:val="24"/>
                <w:szCs w:val="24"/>
                <w:lang w:val="zh-CN"/>
              </w:rPr>
              <w:t>本项目不作要求。</w:t>
            </w:r>
          </w:p>
        </w:tc>
      </w:tr>
      <w:tr>
        <w:tblPrEx>
          <w:tblCellMar>
            <w:top w:w="0" w:type="dxa"/>
            <w:left w:w="108" w:type="dxa"/>
            <w:bottom w:w="0" w:type="dxa"/>
            <w:right w:w="108" w:type="dxa"/>
          </w:tblCellMar>
        </w:tblPrEx>
        <w:trPr>
          <w:trHeight w:val="267"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11</w:t>
            </w:r>
          </w:p>
        </w:tc>
        <w:tc>
          <w:tcPr>
            <w:tcW w:w="2178" w:type="dxa"/>
            <w:tcBorders>
              <w:top w:val="single" w:color="auto" w:sz="6" w:space="0"/>
              <w:left w:val="single" w:color="auto" w:sz="6" w:space="0"/>
              <w:bottom w:val="single" w:color="auto" w:sz="6" w:space="0"/>
              <w:right w:val="single" w:color="auto" w:sz="6" w:space="0"/>
            </w:tcBorders>
            <w:vAlign w:val="center"/>
          </w:tcPr>
          <w:p>
            <w:pPr>
              <w:pStyle w:val="30"/>
              <w:snapToGrid/>
              <w:spacing w:line="440" w:lineRule="exact"/>
              <w:ind w:firstLine="0" w:firstLineChars="0"/>
              <w:jc w:val="center"/>
              <w:rPr>
                <w:kern w:val="2"/>
                <w:sz w:val="24"/>
              </w:rPr>
            </w:pPr>
            <w:r>
              <w:rPr>
                <w:rFonts w:hAnsi="宋体"/>
                <w:kern w:val="2"/>
                <w:sz w:val="24"/>
              </w:rPr>
              <w:t>投标有效期</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rPr>
              <w:t>从提交投标文件的截止之日起</w:t>
            </w:r>
            <w:r>
              <w:rPr>
                <w:rFonts w:ascii="Times New Roman" w:hAnsi="Times New Roman" w:cs="Times New Roman"/>
                <w:lang w:val="zh-CN"/>
              </w:rPr>
              <w:t>90</w:t>
            </w:r>
            <w:r>
              <w:rPr>
                <w:rFonts w:ascii="Times New Roman" w:cs="Times New Roman"/>
                <w:lang w:val="zh-CN"/>
              </w:rPr>
              <w:t>天。</w:t>
            </w:r>
          </w:p>
        </w:tc>
      </w:tr>
      <w:tr>
        <w:tblPrEx>
          <w:tblCellMar>
            <w:top w:w="0" w:type="dxa"/>
            <w:left w:w="108" w:type="dxa"/>
            <w:bottom w:w="0" w:type="dxa"/>
            <w:right w:w="108" w:type="dxa"/>
          </w:tblCellMar>
        </w:tblPrEx>
        <w:trPr>
          <w:trHeight w:val="267"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hAnsi="Times New Roman"/>
                <w:b w:val="0"/>
                <w:color w:val="auto"/>
                <w:sz w:val="24"/>
                <w:szCs w:val="24"/>
              </w:rPr>
              <w:t>1</w:t>
            </w:r>
            <w:r>
              <w:rPr>
                <w:rFonts w:hint="eastAsia" w:ascii="Times New Roman" w:hAnsi="Times New Roman"/>
                <w:b w:val="0"/>
                <w:color w:val="auto"/>
                <w:sz w:val="24"/>
                <w:szCs w:val="24"/>
              </w:rPr>
              <w:t>2</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备选投标方案和报价</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备选投标方案和多个报价</w:t>
            </w:r>
            <w:r>
              <w:rPr>
                <w:rFonts w:hint="eastAsia" w:ascii="Times New Roman" w:cs="Times New Roman"/>
                <w:lang w:val="zh-CN"/>
              </w:rPr>
              <w:t>的作无效投标处理</w:t>
            </w:r>
            <w:r>
              <w:rPr>
                <w:rFonts w:ascii="Times New Roman" w:cs="Times New Roman"/>
                <w:lang w:val="zh-CN"/>
              </w:rPr>
              <w:t>。</w:t>
            </w:r>
          </w:p>
        </w:tc>
      </w:tr>
      <w:tr>
        <w:tblPrEx>
          <w:tblCellMar>
            <w:top w:w="0" w:type="dxa"/>
            <w:left w:w="108" w:type="dxa"/>
            <w:bottom w:w="0" w:type="dxa"/>
            <w:right w:w="108" w:type="dxa"/>
          </w:tblCellMar>
        </w:tblPrEx>
        <w:trPr>
          <w:trHeight w:val="469"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hAnsi="Times New Roman"/>
                <w:b w:val="0"/>
                <w:color w:val="auto"/>
                <w:sz w:val="24"/>
                <w:szCs w:val="24"/>
              </w:rPr>
              <w:t>1</w:t>
            </w:r>
            <w:r>
              <w:rPr>
                <w:rFonts w:hint="eastAsia" w:ascii="Times New Roman" w:hAnsi="Times New Roman"/>
                <w:b w:val="0"/>
                <w:color w:val="auto"/>
                <w:sz w:val="24"/>
                <w:szCs w:val="24"/>
              </w:rPr>
              <w:t>3</w:t>
            </w:r>
          </w:p>
        </w:tc>
        <w:tc>
          <w:tcPr>
            <w:tcW w:w="2178" w:type="dxa"/>
            <w:tcBorders>
              <w:top w:val="single" w:color="auto" w:sz="6" w:space="0"/>
              <w:left w:val="single" w:color="auto" w:sz="6" w:space="0"/>
              <w:bottom w:val="single" w:color="auto" w:sz="6" w:space="0"/>
              <w:right w:val="single" w:color="auto" w:sz="6" w:space="0"/>
            </w:tcBorders>
            <w:vAlign w:val="center"/>
          </w:tcPr>
          <w:p>
            <w:pPr>
              <w:pStyle w:val="30"/>
              <w:snapToGrid/>
              <w:spacing w:line="440" w:lineRule="exact"/>
              <w:ind w:firstLine="0" w:firstLineChars="0"/>
              <w:jc w:val="center"/>
              <w:rPr>
                <w:kern w:val="2"/>
                <w:sz w:val="24"/>
              </w:rPr>
            </w:pPr>
            <w:r>
              <w:rPr>
                <w:rFonts w:hAnsi="宋体"/>
                <w:kern w:val="2"/>
                <w:sz w:val="24"/>
              </w:rPr>
              <w:t>投标文件装订方式</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胶装方式装订成册</w:t>
            </w:r>
            <w:r>
              <w:rPr>
                <w:rFonts w:hint="eastAsia" w:ascii="Times New Roman" w:cs="Times New Roman"/>
                <w:lang w:val="zh-CN"/>
              </w:rPr>
              <w:t>（</w:t>
            </w:r>
            <w:r>
              <w:rPr>
                <w:rFonts w:ascii="Times New Roman" w:cs="Times New Roman"/>
              </w:rPr>
              <w:t>单独密封提交的开标一览表除外</w:t>
            </w:r>
            <w:r>
              <w:rPr>
                <w:rFonts w:hint="eastAsia" w:ascii="Times New Roman" w:cs="Times New Roman"/>
              </w:rPr>
              <w:t>）</w:t>
            </w:r>
            <w:r>
              <w:rPr>
                <w:rFonts w:ascii="Times New Roman" w:cs="Times New Roman"/>
                <w:lang w:val="zh-CN"/>
              </w:rPr>
              <w:t>。</w:t>
            </w:r>
          </w:p>
        </w:tc>
      </w:tr>
      <w:tr>
        <w:tblPrEx>
          <w:tblCellMar>
            <w:top w:w="0" w:type="dxa"/>
            <w:left w:w="108" w:type="dxa"/>
            <w:bottom w:w="0" w:type="dxa"/>
            <w:right w:w="108" w:type="dxa"/>
          </w:tblCellMar>
        </w:tblPrEx>
        <w:trPr>
          <w:trHeight w:val="469" w:hRule="atLeast"/>
          <w:jc w:val="center"/>
        </w:trPr>
        <w:tc>
          <w:tcPr>
            <w:tcW w:w="710" w:type="dxa"/>
            <w:tcBorders>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14</w:t>
            </w:r>
          </w:p>
        </w:tc>
        <w:tc>
          <w:tcPr>
            <w:tcW w:w="2178" w:type="dxa"/>
            <w:tcBorders>
              <w:left w:val="single" w:color="auto" w:sz="6" w:space="0"/>
              <w:bottom w:val="single" w:color="auto" w:sz="6" w:space="0"/>
              <w:right w:val="single" w:color="auto" w:sz="6" w:space="0"/>
            </w:tcBorders>
            <w:vAlign w:val="center"/>
          </w:tcPr>
          <w:p>
            <w:pPr>
              <w:pStyle w:val="30"/>
              <w:snapToGrid/>
              <w:spacing w:line="440" w:lineRule="exact"/>
              <w:ind w:firstLine="0" w:firstLineChars="0"/>
              <w:jc w:val="center"/>
              <w:rPr>
                <w:rFonts w:hAnsi="宋体"/>
                <w:sz w:val="24"/>
              </w:rPr>
            </w:pPr>
            <w:r>
              <w:rPr>
                <w:rFonts w:hint="eastAsia" w:hAnsi="宋体"/>
                <w:sz w:val="24"/>
              </w:rPr>
              <w:t>电子文档</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cs="Times New Roman"/>
                <w:lang w:val="zh-CN"/>
              </w:rPr>
            </w:pPr>
            <w:r>
              <w:rPr>
                <w:rFonts w:hint="eastAsia" w:ascii="Times New Roman" w:cs="Times New Roman"/>
                <w:lang w:val="zh-CN"/>
              </w:rPr>
              <w:t>投标文件</w:t>
            </w:r>
            <w:r>
              <w:rPr>
                <w:rFonts w:ascii="Times New Roman" w:cs="Times New Roman"/>
                <w:lang w:val="zh-CN"/>
              </w:rPr>
              <w:t>W</w:t>
            </w:r>
            <w:r>
              <w:rPr>
                <w:rFonts w:hint="eastAsia" w:ascii="Times New Roman" w:cs="Times New Roman"/>
                <w:lang w:val="zh-CN"/>
              </w:rPr>
              <w:t>ord或WPS版本一份，和PDF版本一份。</w:t>
            </w:r>
          </w:p>
        </w:tc>
      </w:tr>
      <w:tr>
        <w:tblPrEx>
          <w:tblCellMar>
            <w:top w:w="0" w:type="dxa"/>
            <w:left w:w="108" w:type="dxa"/>
            <w:bottom w:w="0" w:type="dxa"/>
            <w:right w:w="108" w:type="dxa"/>
          </w:tblCellMar>
        </w:tblPrEx>
        <w:trPr>
          <w:trHeight w:val="599"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15</w:t>
            </w:r>
          </w:p>
        </w:tc>
        <w:tc>
          <w:tcPr>
            <w:tcW w:w="2178" w:type="dxa"/>
            <w:tcBorders>
              <w:top w:val="single" w:color="auto" w:sz="6" w:space="0"/>
              <w:left w:val="single" w:color="auto" w:sz="6" w:space="0"/>
              <w:bottom w:val="single" w:color="auto" w:sz="6" w:space="0"/>
              <w:right w:val="single" w:color="auto" w:sz="6" w:space="0"/>
            </w:tcBorders>
            <w:vAlign w:val="center"/>
          </w:tcPr>
          <w:p>
            <w:pPr>
              <w:pStyle w:val="30"/>
              <w:snapToGrid/>
              <w:spacing w:line="440" w:lineRule="exact"/>
              <w:ind w:firstLine="0" w:firstLineChars="0"/>
              <w:jc w:val="center"/>
              <w:rPr>
                <w:kern w:val="2"/>
                <w:sz w:val="24"/>
              </w:rPr>
            </w:pPr>
            <w:r>
              <w:rPr>
                <w:rFonts w:hAnsi="宋体"/>
                <w:kern w:val="2"/>
                <w:sz w:val="24"/>
              </w:rPr>
              <w:t>投标文件、开标一览表</w:t>
            </w:r>
            <w:r>
              <w:rPr>
                <w:rFonts w:hint="eastAsia" w:hAnsi="宋体"/>
                <w:kern w:val="2"/>
                <w:sz w:val="24"/>
              </w:rPr>
              <w:t>、</w:t>
            </w:r>
            <w:r>
              <w:rPr>
                <w:rFonts w:hint="eastAsia" w:hAnsi="宋体"/>
                <w:sz w:val="24"/>
              </w:rPr>
              <w:t>电子文档</w:t>
            </w:r>
            <w:r>
              <w:rPr>
                <w:rFonts w:hAnsi="宋体"/>
                <w:kern w:val="2"/>
                <w:sz w:val="24"/>
              </w:rPr>
              <w:t>的包装和密封</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详见投标人须知</w:t>
            </w:r>
            <w:r>
              <w:rPr>
                <w:rFonts w:ascii="Times New Roman" w:hAnsi="Times New Roman" w:cs="Times New Roman"/>
                <w:lang w:val="zh-CN"/>
              </w:rPr>
              <w:t>2.4.13</w:t>
            </w:r>
            <w:r>
              <w:rPr>
                <w:rFonts w:ascii="Times New Roman" w:cs="Times New Roman"/>
                <w:lang w:val="zh-CN"/>
              </w:rPr>
              <w:t>。</w:t>
            </w:r>
          </w:p>
        </w:tc>
      </w:tr>
      <w:tr>
        <w:tblPrEx>
          <w:tblCellMar>
            <w:top w:w="0" w:type="dxa"/>
            <w:left w:w="108" w:type="dxa"/>
            <w:bottom w:w="0" w:type="dxa"/>
            <w:right w:w="108" w:type="dxa"/>
          </w:tblCellMar>
        </w:tblPrEx>
        <w:trPr>
          <w:trHeight w:val="513"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hAnsi="Times New Roman"/>
                <w:b w:val="0"/>
                <w:color w:val="auto"/>
                <w:sz w:val="24"/>
                <w:szCs w:val="24"/>
              </w:rPr>
              <w:t>1</w:t>
            </w:r>
            <w:r>
              <w:rPr>
                <w:rFonts w:hint="eastAsia" w:ascii="Times New Roman" w:hAnsi="Times New Roman"/>
                <w:b w:val="0"/>
                <w:color w:val="auto"/>
                <w:sz w:val="24"/>
                <w:szCs w:val="24"/>
              </w:rPr>
              <w:t>6</w:t>
            </w:r>
          </w:p>
        </w:tc>
        <w:tc>
          <w:tcPr>
            <w:tcW w:w="2178"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b w:val="0"/>
                <w:color w:val="auto"/>
                <w:sz w:val="24"/>
                <w:szCs w:val="24"/>
              </w:rPr>
              <w:t>评标方法</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综合评分法。</w:t>
            </w:r>
          </w:p>
        </w:tc>
      </w:tr>
      <w:tr>
        <w:tblPrEx>
          <w:tblCellMar>
            <w:top w:w="0" w:type="dxa"/>
            <w:left w:w="108" w:type="dxa"/>
            <w:bottom w:w="0" w:type="dxa"/>
            <w:right w:w="108" w:type="dxa"/>
          </w:tblCellMar>
        </w:tblPrEx>
        <w:trPr>
          <w:trHeight w:val="513"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17</w:t>
            </w:r>
          </w:p>
        </w:tc>
        <w:tc>
          <w:tcPr>
            <w:tcW w:w="2178"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b w:val="0"/>
                <w:color w:val="auto"/>
                <w:sz w:val="24"/>
                <w:szCs w:val="24"/>
              </w:rPr>
              <w:t>质疑</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hAnsi="Times New Roman" w:cs="Times New Roman"/>
                <w:lang w:val="zh-CN"/>
              </w:rPr>
              <w:t>1.</w:t>
            </w:r>
            <w:r>
              <w:rPr>
                <w:rFonts w:ascii="Times New Roman" w:cs="Times New Roman"/>
                <w:lang w:val="zh-CN"/>
              </w:rPr>
              <w:t>对招标文件技术指标、参数、资质要求、评分办法的质疑：</w:t>
            </w:r>
          </w:p>
          <w:p>
            <w:pPr>
              <w:pStyle w:val="331"/>
              <w:spacing w:line="440" w:lineRule="exact"/>
              <w:rPr>
                <w:rFonts w:ascii="Times New Roman" w:hAnsi="Times New Roman" w:cs="Times New Roman"/>
                <w:lang w:val="zh-CN"/>
              </w:rPr>
            </w:pPr>
            <w:r>
              <w:rPr>
                <w:rFonts w:ascii="Times New Roman" w:cs="Times New Roman"/>
                <w:lang w:val="zh-CN"/>
              </w:rPr>
              <w:t>向采购人提出，并由采购人按相关规定作出答复</w:t>
            </w:r>
            <w:r>
              <w:rPr>
                <w:rFonts w:hint="eastAsia" w:ascii="Times New Roman" w:cs="Times New Roman"/>
                <w:lang w:val="zh-CN"/>
              </w:rPr>
              <w:t>或采购代理机构代为答复</w:t>
            </w:r>
            <w:r>
              <w:rPr>
                <w:rFonts w:ascii="Times New Roman" w:cs="Times New Roman"/>
                <w:lang w:val="zh-CN"/>
              </w:rPr>
              <w:t>。</w:t>
            </w:r>
          </w:p>
          <w:p>
            <w:pPr>
              <w:pStyle w:val="331"/>
              <w:spacing w:line="440" w:lineRule="exact"/>
              <w:rPr>
                <w:rFonts w:ascii="Times New Roman" w:cs="Times New Roman"/>
                <w:lang w:val="zh-CN"/>
              </w:rPr>
            </w:pPr>
            <w:r>
              <w:rPr>
                <w:rFonts w:ascii="Times New Roman" w:cs="Times New Roman"/>
                <w:lang w:val="zh-CN"/>
              </w:rPr>
              <w:t>质疑时间：购买招标文件之日起七个工作日内。</w:t>
            </w:r>
          </w:p>
          <w:p>
            <w:pPr>
              <w:pStyle w:val="331"/>
              <w:spacing w:line="440" w:lineRule="exact"/>
              <w:rPr>
                <w:rFonts w:ascii="Times New Roman" w:hAnsi="Times New Roman" w:cs="Times New Roman"/>
                <w:lang w:val="zh-CN"/>
              </w:rPr>
            </w:pPr>
            <w:r>
              <w:rPr>
                <w:rFonts w:hint="eastAsia" w:ascii="Times New Roman" w:hAnsi="Times New Roman" w:cs="Times New Roman"/>
                <w:lang w:val="zh-CN"/>
              </w:rPr>
              <w:t>联 系 人、联系电话、联系地址：详见第1章投标邀请中的采购人联系方式。</w:t>
            </w:r>
          </w:p>
          <w:p>
            <w:pPr>
              <w:pStyle w:val="331"/>
              <w:spacing w:line="440" w:lineRule="exact"/>
              <w:rPr>
                <w:rFonts w:ascii="Times New Roman" w:hAnsi="Times New Roman" w:cs="Times New Roman"/>
                <w:kern w:val="2"/>
              </w:rPr>
            </w:pPr>
            <w:r>
              <w:rPr>
                <w:rFonts w:ascii="Times New Roman" w:hAnsi="Times New Roman" w:cs="Times New Roman"/>
                <w:lang w:val="zh-CN"/>
              </w:rPr>
              <w:t>2.</w:t>
            </w:r>
            <w:r>
              <w:rPr>
                <w:rFonts w:ascii="Times New Roman" w:cs="Times New Roman"/>
                <w:kern w:val="2"/>
              </w:rPr>
              <w:t>对采购过程和采购结果的质疑：</w:t>
            </w:r>
          </w:p>
          <w:p>
            <w:pPr>
              <w:pStyle w:val="331"/>
              <w:spacing w:line="440" w:lineRule="exact"/>
              <w:rPr>
                <w:rFonts w:ascii="Times New Roman" w:hAnsi="Times New Roman" w:cs="Times New Roman"/>
              </w:rPr>
            </w:pPr>
            <w:r>
              <w:rPr>
                <w:rFonts w:ascii="Times New Roman" w:cs="Times New Roman"/>
              </w:rPr>
              <w:t>向采购代理机构提出，并由采购代理机构按相关规定作出答复。</w:t>
            </w:r>
          </w:p>
          <w:p>
            <w:pPr>
              <w:pStyle w:val="331"/>
              <w:spacing w:line="440" w:lineRule="exact"/>
              <w:rPr>
                <w:rFonts w:ascii="Times New Roman" w:hAnsi="Times New Roman" w:cs="Times New Roman"/>
              </w:rPr>
            </w:pPr>
            <w:r>
              <w:rPr>
                <w:rFonts w:ascii="Times New Roman" w:cs="Times New Roman"/>
              </w:rPr>
              <w:t>对采购过程质疑时间：为各采购程序环节结束之日起七个工作日内。</w:t>
            </w:r>
          </w:p>
          <w:p>
            <w:pPr>
              <w:pStyle w:val="331"/>
              <w:spacing w:line="440" w:lineRule="exact"/>
              <w:rPr>
                <w:rFonts w:ascii="Times New Roman" w:cs="Times New Roman"/>
              </w:rPr>
            </w:pPr>
            <w:r>
              <w:rPr>
                <w:rFonts w:ascii="Times New Roman" w:cs="Times New Roman"/>
              </w:rPr>
              <w:t>对采购结果提出质疑时间：为中标结果公告</w:t>
            </w:r>
            <w:r>
              <w:rPr>
                <w:rFonts w:hint="eastAsia" w:ascii="Times New Roman" w:cs="Times New Roman"/>
              </w:rPr>
              <w:t>期限届满</w:t>
            </w:r>
            <w:r>
              <w:rPr>
                <w:rFonts w:ascii="Times New Roman" w:cs="Times New Roman"/>
              </w:rPr>
              <w:t>之日起七个工作日内。</w:t>
            </w:r>
          </w:p>
          <w:p>
            <w:pPr>
              <w:pStyle w:val="331"/>
              <w:spacing w:line="440" w:lineRule="exact"/>
              <w:rPr>
                <w:rFonts w:ascii="Times New Roman" w:hAnsi="Times New Roman" w:cs="Times New Roman"/>
              </w:rPr>
            </w:pPr>
            <w:r>
              <w:rPr>
                <w:rFonts w:hint="eastAsia" w:ascii="Times New Roman" w:hAnsi="Times New Roman" w:cs="Times New Roman"/>
                <w:lang w:val="zh-CN"/>
              </w:rPr>
              <w:t>联 系 人、联系电话、联系地址：详见第1章投标邀请中的采购代理机构联系方式。</w:t>
            </w:r>
          </w:p>
          <w:p>
            <w:pPr>
              <w:pStyle w:val="331"/>
              <w:spacing w:line="440" w:lineRule="exact"/>
              <w:rPr>
                <w:rFonts w:ascii="Times New Roman" w:cs="Times New Roman"/>
              </w:rPr>
            </w:pPr>
            <w:r>
              <w:rPr>
                <w:rFonts w:ascii="Times New Roman" w:hAnsi="Times New Roman" w:cs="Times New Roman"/>
              </w:rPr>
              <w:t>3.</w:t>
            </w:r>
            <w:r>
              <w:rPr>
                <w:rFonts w:ascii="Times New Roman" w:cs="Times New Roman"/>
              </w:rPr>
              <w:t>质疑必须以书面形式</w:t>
            </w:r>
            <w:r>
              <w:rPr>
                <w:rFonts w:hint="eastAsia" w:ascii="Times New Roman" w:cs="Times New Roman"/>
              </w:rPr>
              <w:t>（</w:t>
            </w:r>
            <w:r>
              <w:rPr>
                <w:rFonts w:ascii="Times New Roman" w:cs="Times New Roman"/>
              </w:rPr>
              <w:t>原件</w:t>
            </w:r>
            <w:r>
              <w:rPr>
                <w:rFonts w:hint="eastAsia" w:ascii="Times New Roman" w:cs="Times New Roman"/>
              </w:rPr>
              <w:t>）</w:t>
            </w:r>
            <w:r>
              <w:rPr>
                <w:rFonts w:ascii="Times New Roman" w:cs="Times New Roman"/>
              </w:rPr>
              <w:t>提出，以其他形式提出的质疑均不接受和回复。</w:t>
            </w:r>
          </w:p>
          <w:p>
            <w:pPr>
              <w:pStyle w:val="331"/>
              <w:spacing w:line="440" w:lineRule="exact"/>
              <w:rPr>
                <w:rFonts w:ascii="Times New Roman" w:hAnsi="Times New Roman" w:cs="Times New Roman"/>
              </w:rPr>
            </w:pPr>
            <w:r>
              <w:rPr>
                <w:rFonts w:hint="eastAsia"/>
                <w:b/>
              </w:rPr>
              <w:t>注：供应商按要求报名成功并购买招标文件的，为依法获取招标文件的供应商，可以对该文件提出质疑。供应商质疑不得超出招标文件、招标过程、招标结果的范围，供应商在法定质疑期内一次性提出针对同一采购程序环节的质疑。</w:t>
            </w:r>
          </w:p>
        </w:tc>
      </w:tr>
      <w:tr>
        <w:tblPrEx>
          <w:tblCellMar>
            <w:top w:w="0" w:type="dxa"/>
            <w:left w:w="108" w:type="dxa"/>
            <w:bottom w:w="0" w:type="dxa"/>
            <w:right w:w="108" w:type="dxa"/>
          </w:tblCellMar>
        </w:tblPrEx>
        <w:trPr>
          <w:trHeight w:val="513"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18</w:t>
            </w:r>
          </w:p>
        </w:tc>
        <w:tc>
          <w:tcPr>
            <w:tcW w:w="2178"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b w:val="0"/>
                <w:color w:val="auto"/>
                <w:sz w:val="24"/>
                <w:szCs w:val="24"/>
              </w:rPr>
              <w:t>投诉</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rPr>
            </w:pPr>
            <w:r>
              <w:rPr>
                <w:rFonts w:hint="eastAsia" w:ascii="Times New Roman"/>
              </w:rPr>
              <w:t>投诉受理单位：本项目同级财政部门，即成都市财政局。</w:t>
            </w:r>
          </w:p>
          <w:p>
            <w:pPr>
              <w:pStyle w:val="331"/>
              <w:spacing w:line="440" w:lineRule="exact"/>
              <w:rPr>
                <w:rFonts w:ascii="Times New Roman"/>
              </w:rPr>
            </w:pPr>
            <w:r>
              <w:rPr>
                <w:rFonts w:hint="eastAsia" w:ascii="Times New Roman"/>
              </w:rPr>
              <w:t>联</w:t>
            </w:r>
            <w:r>
              <w:rPr>
                <w:rFonts w:ascii="Times New Roman"/>
              </w:rPr>
              <w:t xml:space="preserve"> 系 人：</w:t>
            </w:r>
            <w:r>
              <w:rPr>
                <w:rFonts w:hint="eastAsia" w:ascii="Times New Roman"/>
              </w:rPr>
              <w:t>赵</w:t>
            </w:r>
            <w:r>
              <w:rPr>
                <w:rFonts w:ascii="Times New Roman"/>
              </w:rPr>
              <w:t>老师</w:t>
            </w:r>
          </w:p>
          <w:p>
            <w:pPr>
              <w:pStyle w:val="331"/>
              <w:spacing w:line="440" w:lineRule="exact"/>
              <w:rPr>
                <w:rFonts w:ascii="Times New Roman"/>
              </w:rPr>
            </w:pPr>
            <w:r>
              <w:rPr>
                <w:rFonts w:hint="eastAsia" w:ascii="Times New Roman"/>
              </w:rPr>
              <w:t>联系电话：</w:t>
            </w:r>
            <w:r>
              <w:rPr>
                <w:rFonts w:ascii="Times New Roman"/>
              </w:rPr>
              <w:t>028-61882648</w:t>
            </w:r>
          </w:p>
          <w:p>
            <w:pPr>
              <w:pStyle w:val="331"/>
              <w:spacing w:line="440" w:lineRule="exact"/>
              <w:rPr>
                <w:rFonts w:ascii="Times New Roman"/>
              </w:rPr>
            </w:pPr>
            <w:r>
              <w:rPr>
                <w:rFonts w:hint="eastAsia" w:ascii="Times New Roman"/>
              </w:rPr>
              <w:t>联系地址：成都市高新区锦城大道</w:t>
            </w:r>
            <w:r>
              <w:rPr>
                <w:rFonts w:ascii="Times New Roman"/>
              </w:rPr>
              <w:t>366号</w:t>
            </w:r>
          </w:p>
          <w:p>
            <w:pPr>
              <w:pStyle w:val="331"/>
              <w:spacing w:line="440" w:lineRule="exact"/>
              <w:rPr>
                <w:rFonts w:ascii="Times New Roman" w:hAnsi="Times New Roman" w:cs="Times New Roman"/>
                <w:lang w:val="zh-CN"/>
              </w:rPr>
            </w:pPr>
            <w:r>
              <w:rPr>
                <w:rFonts w:hint="eastAsia" w:ascii="Times New Roman" w:cs="Times New Roman"/>
                <w:b/>
                <w:lang w:val="zh-CN"/>
              </w:rPr>
              <w:t>注：投诉事项不得超出已质疑事项的范围。</w:t>
            </w:r>
          </w:p>
        </w:tc>
      </w:tr>
      <w:tr>
        <w:tblPrEx>
          <w:tblCellMar>
            <w:top w:w="0" w:type="dxa"/>
            <w:left w:w="108" w:type="dxa"/>
            <w:bottom w:w="0" w:type="dxa"/>
            <w:right w:w="108" w:type="dxa"/>
          </w:tblCellMar>
        </w:tblPrEx>
        <w:trPr>
          <w:trHeight w:val="205"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hint="eastAsia" w:ascii="Times New Roman" w:hAnsi="Times New Roman"/>
                <w:b w:val="0"/>
                <w:color w:val="auto"/>
                <w:sz w:val="24"/>
                <w:szCs w:val="24"/>
              </w:rPr>
              <w:t>19</w:t>
            </w:r>
          </w:p>
        </w:tc>
        <w:tc>
          <w:tcPr>
            <w:tcW w:w="2178"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jc w:val="center"/>
              <w:rPr>
                <w:rFonts w:ascii="Times New Roman" w:hAnsi="Times New Roman" w:cs="Times New Roman"/>
                <w:lang w:val="zh-CN"/>
              </w:rPr>
            </w:pPr>
            <w:r>
              <w:rPr>
                <w:rFonts w:ascii="Times New Roman" w:cs="Times New Roman"/>
                <w:lang w:val="zh-CN"/>
              </w:rPr>
              <w:t>履约保证金</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hint="eastAsia" w:ascii="Times New Roman" w:cs="Times New Roman"/>
                <w:lang w:val="zh-CN"/>
              </w:rPr>
              <w:t>金    额：中标金额</w:t>
            </w:r>
            <w:r>
              <w:rPr>
                <w:rFonts w:ascii="Times New Roman" w:cs="Times New Roman"/>
                <w:lang w:val="zh-CN"/>
              </w:rPr>
              <w:t>的</w:t>
            </w:r>
            <w:r>
              <w:rPr>
                <w:rFonts w:hint="eastAsia" w:ascii="Times New Roman" w:cs="Times New Roman"/>
                <w:u w:val="single"/>
              </w:rPr>
              <w:t>5</w:t>
            </w:r>
            <w:r>
              <w:rPr>
                <w:rFonts w:ascii="Times New Roman" w:hAnsi="Times New Roman" w:cs="Times New Roman"/>
                <w:lang w:val="zh-CN"/>
              </w:rPr>
              <w:t>%</w:t>
            </w:r>
            <w:r>
              <w:rPr>
                <w:rFonts w:hint="eastAsia" w:ascii="Times New Roman" w:hAnsi="Times New Roman" w:cs="Times New Roman"/>
                <w:lang w:val="zh-CN"/>
              </w:rPr>
              <w:t>。</w:t>
            </w:r>
          </w:p>
          <w:p>
            <w:pPr>
              <w:pStyle w:val="334"/>
              <w:spacing w:line="440" w:lineRule="exact"/>
              <w:jc w:val="left"/>
              <w:rPr>
                <w:sz w:val="24"/>
                <w:szCs w:val="24"/>
                <w:lang w:val="zh-CN"/>
              </w:rPr>
            </w:pPr>
            <w:r>
              <w:rPr>
                <w:rFonts w:hAnsi="宋体"/>
                <w:sz w:val="24"/>
                <w:szCs w:val="24"/>
                <w:lang w:val="zh-CN"/>
              </w:rPr>
              <w:t>交付时间：</w:t>
            </w:r>
            <w:r>
              <w:rPr>
                <w:rFonts w:hint="eastAsia" w:hAnsi="宋体"/>
                <w:sz w:val="24"/>
                <w:szCs w:val="24"/>
                <w:lang w:val="zh-CN"/>
              </w:rPr>
              <w:t>采购人与中标人签订合同后</w:t>
            </w:r>
            <w:r>
              <w:rPr>
                <w:rFonts w:hAnsi="宋体"/>
                <w:sz w:val="24"/>
                <w:szCs w:val="24"/>
                <w:lang w:val="zh-CN"/>
              </w:rPr>
              <w:t>。</w:t>
            </w:r>
          </w:p>
          <w:p>
            <w:pPr>
              <w:pStyle w:val="334"/>
              <w:spacing w:line="440" w:lineRule="exact"/>
              <w:jc w:val="left"/>
              <w:rPr>
                <w:rFonts w:hAnsi="宋体"/>
                <w:sz w:val="24"/>
                <w:szCs w:val="24"/>
                <w:lang w:val="zh-CN"/>
              </w:rPr>
            </w:pPr>
            <w:r>
              <w:rPr>
                <w:rFonts w:hAnsi="宋体"/>
                <w:sz w:val="24"/>
                <w:szCs w:val="24"/>
                <w:lang w:val="zh-CN"/>
              </w:rPr>
              <w:t>交付方式：</w:t>
            </w:r>
            <w:r>
              <w:rPr>
                <w:rFonts w:hint="eastAsia" w:hAnsi="宋体"/>
                <w:sz w:val="24"/>
                <w:szCs w:val="24"/>
                <w:lang w:val="zh-CN"/>
              </w:rPr>
              <w:t>履约保证金可以以支票、汇票、本票或者金融机构出具的保函等非现金形式提交（包括网银转账，电汇等方式）。</w:t>
            </w:r>
          </w:p>
          <w:p>
            <w:pPr>
              <w:pStyle w:val="334"/>
              <w:spacing w:line="440" w:lineRule="exact"/>
              <w:jc w:val="left"/>
              <w:rPr>
                <w:rFonts w:hAnsi="宋体"/>
                <w:sz w:val="24"/>
                <w:szCs w:val="24"/>
                <w:lang w:val="zh-CN"/>
              </w:rPr>
            </w:pPr>
            <w:r>
              <w:rPr>
                <w:rFonts w:hint="eastAsia" w:hAnsi="宋体"/>
                <w:sz w:val="24"/>
                <w:szCs w:val="24"/>
                <w:lang w:val="zh-CN"/>
              </w:rPr>
              <w:t>退还时间：项目验收合格后</w:t>
            </w:r>
            <w:r>
              <w:rPr>
                <w:rFonts w:hAnsi="宋体"/>
                <w:sz w:val="24"/>
                <w:szCs w:val="24"/>
                <w:lang w:val="zh-CN"/>
              </w:rPr>
              <w:t>30个工作日内无未尽事宜，采购人将履约保证金一次性无息退还。</w:t>
            </w:r>
          </w:p>
          <w:p>
            <w:pPr>
              <w:pStyle w:val="334"/>
              <w:spacing w:line="440" w:lineRule="exact"/>
              <w:jc w:val="left"/>
              <w:rPr>
                <w:sz w:val="24"/>
                <w:szCs w:val="24"/>
                <w:lang w:val="zh-CN"/>
              </w:rPr>
            </w:pPr>
            <w:r>
              <w:rPr>
                <w:rFonts w:hint="eastAsia" w:hAnsi="宋体"/>
                <w:sz w:val="24"/>
                <w:szCs w:val="24"/>
                <w:lang w:val="zh-CN"/>
              </w:rPr>
              <w:t>注：提供保函的担保机构必须是依法成立的具有相关资质和偿付能力的担保机构。保函是银行等金融机构出具的，保函必须要在中国人民银行征信系统能够进行查询，否则将取消中标资格，采购人将重新确定中标人，并依法追究法律责任。</w:t>
            </w:r>
          </w:p>
        </w:tc>
      </w:tr>
      <w:tr>
        <w:tblPrEx>
          <w:tblCellMar>
            <w:top w:w="0" w:type="dxa"/>
            <w:left w:w="108" w:type="dxa"/>
            <w:bottom w:w="0" w:type="dxa"/>
            <w:right w:w="108" w:type="dxa"/>
          </w:tblCellMar>
        </w:tblPrEx>
        <w:trPr>
          <w:trHeight w:val="90"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hAnsi="Times New Roman"/>
                <w:b w:val="0"/>
                <w:color w:val="auto"/>
                <w:sz w:val="24"/>
                <w:szCs w:val="24"/>
              </w:rPr>
              <w:t>2</w:t>
            </w:r>
            <w:r>
              <w:rPr>
                <w:rFonts w:hint="eastAsia" w:ascii="Times New Roman" w:hAnsi="Times New Roman"/>
                <w:b w:val="0"/>
                <w:color w:val="auto"/>
                <w:sz w:val="24"/>
                <w:szCs w:val="24"/>
              </w:rPr>
              <w:t>0</w:t>
            </w:r>
          </w:p>
        </w:tc>
        <w:tc>
          <w:tcPr>
            <w:tcW w:w="2178"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b w:val="0"/>
                <w:color w:val="auto"/>
                <w:sz w:val="24"/>
                <w:szCs w:val="24"/>
              </w:rPr>
              <w:t>招标代理服务费</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 xml:space="preserve"> 根据成本加合理利润原则，经采购人与招标代理公司确定，招标代理服务费以中标金额作为收费的计算基数按照下表中收费标准采用差额定率累进法计算后</w:t>
            </w:r>
            <w:r>
              <w:rPr>
                <w:rFonts w:ascii="Times New Roman" w:hAnsi="Times New Roman" w:cs="Times New Roman"/>
              </w:rPr>
              <w:t>下浮10%向中标人收取。</w:t>
            </w:r>
          </w:p>
          <w:p>
            <w:pPr>
              <w:widowControl/>
              <w:shd w:val="clear" w:color="auto" w:fill="FFFFFF"/>
              <w:ind w:firstLine="0" w:firstLineChars="0"/>
              <w:rPr>
                <w:rFonts w:ascii="Times New Roman" w:hAnsi="Times New Roman"/>
                <w:b w:val="0"/>
                <w:color w:val="auto"/>
                <w:sz w:val="24"/>
                <w:szCs w:val="24"/>
                <w:lang w:val="en-US"/>
              </w:rPr>
            </w:pPr>
            <w:r>
              <w:rPr>
                <w:rFonts w:ascii="Times New Roman" w:hAnsi="Times New Roman"/>
                <w:b w:val="0"/>
                <w:color w:val="auto"/>
                <w:sz w:val="24"/>
                <w:szCs w:val="24"/>
                <w:lang w:val="en-US"/>
              </w:rPr>
              <w:t xml:space="preserve"> </w:t>
            </w:r>
            <w:r>
              <w:rPr>
                <w:rFonts w:ascii="Times New Roman" w:hAnsi="Times New Roman"/>
                <w:color w:val="auto"/>
                <w:sz w:val="24"/>
                <w:szCs w:val="24"/>
                <w:lang w:val="en-US"/>
              </w:rPr>
              <w:drawing>
                <wp:inline distT="0" distB="0" distL="114300" distR="114300">
                  <wp:extent cx="3977640" cy="279146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3"/>
                          <a:stretch>
                            <a:fillRect/>
                          </a:stretch>
                        </pic:blipFill>
                        <pic:spPr>
                          <a:xfrm>
                            <a:off x="0" y="0"/>
                            <a:ext cx="3977640" cy="2791460"/>
                          </a:xfrm>
                          <a:prstGeom prst="rect">
                            <a:avLst/>
                          </a:prstGeom>
                          <a:noFill/>
                          <a:ln>
                            <a:noFill/>
                          </a:ln>
                        </pic:spPr>
                      </pic:pic>
                    </a:graphicData>
                  </a:graphic>
                </wp:inline>
              </w:drawing>
            </w:r>
          </w:p>
          <w:p>
            <w:pPr>
              <w:widowControl/>
              <w:shd w:val="clear" w:color="auto" w:fill="FFFFFF"/>
              <w:snapToGrid/>
              <w:spacing w:line="240" w:lineRule="auto"/>
              <w:ind w:firstLine="0" w:firstLineChars="0"/>
              <w:jc w:val="left"/>
              <w:rPr>
                <w:rFonts w:ascii="Times New Roman" w:hAnsi="Times New Roman"/>
                <w:b w:val="0"/>
                <w:color w:val="auto"/>
                <w:sz w:val="24"/>
                <w:szCs w:val="24"/>
                <w:lang w:val="en-US"/>
              </w:rPr>
            </w:pPr>
            <w:r>
              <w:rPr>
                <w:rFonts w:hint="eastAsia" w:ascii="Times New Roman" w:hAnsi="Times New Roman"/>
                <w:b w:val="0"/>
                <w:color w:val="auto"/>
                <w:sz w:val="24"/>
                <w:szCs w:val="24"/>
                <w:lang w:val="en-US"/>
              </w:rPr>
              <w:t> 注：招标代理服务收费按差额定率累进法计算。 </w:t>
            </w:r>
          </w:p>
          <w:p>
            <w:pPr>
              <w:widowControl/>
              <w:shd w:val="clear" w:color="auto" w:fill="FFFFFF"/>
              <w:snapToGrid/>
              <w:spacing w:line="240" w:lineRule="auto"/>
              <w:ind w:firstLine="420" w:firstLineChars="0"/>
              <w:jc w:val="left"/>
              <w:rPr>
                <w:rFonts w:ascii="Times New Roman" w:hAnsi="Times New Roman"/>
                <w:b w:val="0"/>
                <w:color w:val="auto"/>
                <w:sz w:val="24"/>
                <w:szCs w:val="24"/>
                <w:lang w:val="en-US"/>
              </w:rPr>
            </w:pPr>
            <w:r>
              <w:rPr>
                <w:rFonts w:hint="eastAsia" w:ascii="Times New Roman" w:hAnsi="Times New Roman"/>
                <w:b w:val="0"/>
                <w:color w:val="auto"/>
                <w:sz w:val="24"/>
                <w:szCs w:val="24"/>
                <w:lang w:val="en-US"/>
              </w:rPr>
              <w:t>例如：某服务招标代理业务中标金额为</w:t>
            </w:r>
            <w:r>
              <w:rPr>
                <w:rFonts w:ascii="Times New Roman" w:hAnsi="Times New Roman"/>
                <w:b w:val="0"/>
                <w:color w:val="auto"/>
                <w:sz w:val="24"/>
                <w:szCs w:val="24"/>
                <w:lang w:val="en-US"/>
              </w:rPr>
              <w:t>1</w:t>
            </w:r>
            <w:r>
              <w:rPr>
                <w:rFonts w:hint="eastAsia" w:ascii="Times New Roman" w:hAnsi="Times New Roman"/>
                <w:b w:val="0"/>
                <w:color w:val="auto"/>
                <w:sz w:val="24"/>
                <w:szCs w:val="24"/>
                <w:lang w:val="en-US"/>
              </w:rPr>
              <w:t>00万元，计算招标代理服务收费额如下：</w:t>
            </w:r>
          </w:p>
          <w:p>
            <w:pPr>
              <w:widowControl/>
              <w:shd w:val="clear" w:color="auto" w:fill="FFFFFF"/>
              <w:snapToGrid/>
              <w:spacing w:line="240" w:lineRule="auto"/>
              <w:ind w:firstLine="420" w:firstLineChars="0"/>
              <w:jc w:val="left"/>
              <w:rPr>
                <w:rFonts w:ascii="Times New Roman" w:hAnsi="Times New Roman"/>
                <w:b w:val="0"/>
                <w:color w:val="auto"/>
                <w:sz w:val="24"/>
                <w:szCs w:val="24"/>
                <w:lang w:val="en-US"/>
              </w:rPr>
            </w:pPr>
            <w:r>
              <w:rPr>
                <w:rFonts w:hint="eastAsia" w:ascii="Times New Roman" w:hAnsi="Times New Roman"/>
                <w:b w:val="0"/>
                <w:color w:val="auto"/>
                <w:sz w:val="24"/>
                <w:szCs w:val="24"/>
                <w:lang w:val="en-US"/>
              </w:rPr>
              <w:t>100万元×1.5%=1</w:t>
            </w:r>
            <w:r>
              <w:rPr>
                <w:rFonts w:ascii="Times New Roman" w:hAnsi="Times New Roman"/>
                <w:b w:val="0"/>
                <w:color w:val="auto"/>
                <w:sz w:val="24"/>
                <w:szCs w:val="24"/>
                <w:lang w:val="en-US"/>
              </w:rPr>
              <w:t>.5</w:t>
            </w:r>
            <w:r>
              <w:rPr>
                <w:rFonts w:hint="eastAsia" w:ascii="Times New Roman" w:hAnsi="Times New Roman"/>
                <w:b w:val="0"/>
                <w:color w:val="auto"/>
                <w:sz w:val="24"/>
                <w:szCs w:val="24"/>
                <w:lang w:val="en-US"/>
              </w:rPr>
              <w:t>万元</w:t>
            </w:r>
          </w:p>
          <w:p>
            <w:pPr>
              <w:pStyle w:val="331"/>
              <w:spacing w:line="440" w:lineRule="exact"/>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.中标人在领取中标通知书前应按规定缴纳招标代理服务费，可使用银行转账或采购代理机构认可的方式支付。</w:t>
            </w:r>
          </w:p>
        </w:tc>
      </w:tr>
      <w:tr>
        <w:tblPrEx>
          <w:tblCellMar>
            <w:top w:w="0" w:type="dxa"/>
            <w:left w:w="108" w:type="dxa"/>
            <w:bottom w:w="0" w:type="dxa"/>
            <w:right w:w="108" w:type="dxa"/>
          </w:tblCellMar>
        </w:tblPrEx>
        <w:trPr>
          <w:trHeight w:val="269" w:hRule="atLeast"/>
          <w:jc w:val="center"/>
        </w:trPr>
        <w:tc>
          <w:tcPr>
            <w:tcW w:w="710"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hAnsi="Times New Roman"/>
                <w:b w:val="0"/>
                <w:color w:val="auto"/>
                <w:sz w:val="24"/>
                <w:szCs w:val="24"/>
              </w:rPr>
              <w:t>2</w:t>
            </w:r>
            <w:r>
              <w:rPr>
                <w:rFonts w:hint="eastAsia" w:ascii="Times New Roman" w:hAnsi="Times New Roman"/>
                <w:b w:val="0"/>
                <w:color w:val="auto"/>
                <w:sz w:val="24"/>
                <w:szCs w:val="24"/>
              </w:rPr>
              <w:t>1</w:t>
            </w:r>
          </w:p>
        </w:tc>
        <w:tc>
          <w:tcPr>
            <w:tcW w:w="2178" w:type="dxa"/>
            <w:tcBorders>
              <w:top w:val="single" w:color="auto" w:sz="6" w:space="0"/>
              <w:left w:val="single" w:color="auto" w:sz="6" w:space="0"/>
              <w:bottom w:val="single" w:color="auto" w:sz="6" w:space="0"/>
              <w:right w:val="single" w:color="auto" w:sz="6" w:space="0"/>
            </w:tcBorders>
            <w:vAlign w:val="center"/>
          </w:tcPr>
          <w:p>
            <w:pPr>
              <w:snapToGrid/>
              <w:spacing w:line="440" w:lineRule="exact"/>
              <w:ind w:firstLine="0" w:firstLineChars="0"/>
              <w:jc w:val="center"/>
              <w:rPr>
                <w:rFonts w:ascii="Times New Roman" w:hAnsi="Times New Roman"/>
                <w:b w:val="0"/>
                <w:color w:val="auto"/>
                <w:sz w:val="24"/>
                <w:szCs w:val="24"/>
              </w:rPr>
            </w:pPr>
            <w:r>
              <w:rPr>
                <w:rFonts w:ascii="Times New Roman"/>
                <w:b w:val="0"/>
                <w:color w:val="auto"/>
                <w:sz w:val="24"/>
                <w:szCs w:val="24"/>
              </w:rPr>
              <w:t>中标通知书领取</w:t>
            </w:r>
          </w:p>
        </w:tc>
        <w:tc>
          <w:tcPr>
            <w:tcW w:w="6804" w:type="dxa"/>
            <w:tcBorders>
              <w:top w:val="single" w:color="auto" w:sz="6" w:space="0"/>
              <w:left w:val="single" w:color="auto" w:sz="6" w:space="0"/>
              <w:bottom w:val="single" w:color="auto" w:sz="6" w:space="0"/>
              <w:right w:val="single" w:color="auto" w:sz="6" w:space="0"/>
            </w:tcBorders>
            <w:vAlign w:val="center"/>
          </w:tcPr>
          <w:p>
            <w:pPr>
              <w:pStyle w:val="331"/>
              <w:spacing w:line="440" w:lineRule="exact"/>
              <w:rPr>
                <w:rFonts w:ascii="Times New Roman" w:hAnsi="Times New Roman" w:cs="Times New Roman"/>
                <w:lang w:val="zh-CN"/>
              </w:rPr>
            </w:pPr>
            <w:r>
              <w:rPr>
                <w:rFonts w:ascii="Times New Roman" w:cs="Times New Roman"/>
                <w:lang w:val="zh-CN"/>
              </w:rPr>
              <w:t>接采购代理机构通知后，中标人应凭有效身份证明证件及招标代理服务费交纳凭证到四川慧采招标代理有限公司领取中标通知书。</w:t>
            </w:r>
          </w:p>
          <w:p>
            <w:pPr>
              <w:pStyle w:val="331"/>
              <w:spacing w:line="440" w:lineRule="exact"/>
              <w:rPr>
                <w:rFonts w:ascii="Times New Roman" w:hAnsi="Times New Roman" w:cs="Times New Roman"/>
                <w:lang w:val="zh-CN"/>
              </w:rPr>
            </w:pPr>
            <w:r>
              <w:rPr>
                <w:rFonts w:ascii="Times New Roman" w:cs="Times New Roman"/>
                <w:lang w:val="zh-CN"/>
              </w:rPr>
              <w:t>联系人：</w:t>
            </w:r>
            <w:r>
              <w:rPr>
                <w:rFonts w:hint="eastAsia" w:ascii="Times New Roman" w:cs="Times New Roman"/>
                <w:lang w:val="zh-CN"/>
              </w:rPr>
              <w:t>李</w:t>
            </w:r>
            <w:r>
              <w:rPr>
                <w:rFonts w:ascii="Times New Roman" w:cs="Times New Roman"/>
                <w:lang w:val="zh-CN"/>
              </w:rPr>
              <w:t>先生</w:t>
            </w:r>
          </w:p>
          <w:p>
            <w:pPr>
              <w:pStyle w:val="331"/>
              <w:spacing w:line="440" w:lineRule="exact"/>
              <w:rPr>
                <w:rFonts w:ascii="Times New Roman" w:hAnsi="Times New Roman" w:cs="Times New Roman"/>
                <w:lang w:val="zh-CN"/>
              </w:rPr>
            </w:pPr>
            <w:r>
              <w:rPr>
                <w:rFonts w:ascii="Times New Roman" w:cs="Times New Roman"/>
                <w:lang w:val="zh-CN"/>
              </w:rPr>
              <w:t>联系电话：</w:t>
            </w:r>
            <w:r>
              <w:rPr>
                <w:kern w:val="2"/>
              </w:rPr>
              <w:t>028-82753723</w:t>
            </w:r>
          </w:p>
          <w:p>
            <w:pPr>
              <w:pStyle w:val="331"/>
              <w:spacing w:line="440" w:lineRule="exact"/>
              <w:rPr>
                <w:rFonts w:ascii="Times New Roman" w:cs="Times New Roman"/>
                <w:lang w:val="zh-CN"/>
              </w:rPr>
            </w:pPr>
            <w:r>
              <w:rPr>
                <w:rFonts w:ascii="Times New Roman" w:cs="Times New Roman"/>
                <w:lang w:val="zh-CN"/>
              </w:rPr>
              <w:t>地址：</w:t>
            </w:r>
            <w:r>
              <w:rPr>
                <w:rFonts w:hint="eastAsia" w:ascii="Times New Roman" w:cs="Times New Roman"/>
                <w:lang w:val="zh-CN"/>
              </w:rPr>
              <w:t>成都市青羊区光华东三路</w:t>
            </w:r>
            <w:r>
              <w:rPr>
                <w:rFonts w:ascii="Times New Roman" w:cs="Times New Roman"/>
                <w:lang w:val="zh-CN"/>
              </w:rPr>
              <w:t>486号5栋7层709号</w:t>
            </w:r>
            <w:r>
              <w:rPr>
                <w:rFonts w:hint="eastAsia" w:ascii="Times New Roman" w:cs="Times New Roman"/>
                <w:lang w:val="zh-CN"/>
              </w:rPr>
              <w:t>（</w:t>
            </w:r>
            <w:r>
              <w:rPr>
                <w:rFonts w:ascii="Times New Roman" w:cs="Times New Roman"/>
                <w:lang w:val="zh-CN"/>
              </w:rPr>
              <w:t>中铁西城写字楼</w:t>
            </w:r>
            <w:r>
              <w:rPr>
                <w:rFonts w:hint="eastAsia" w:ascii="Times New Roman" w:cs="Times New Roman"/>
                <w:lang w:val="zh-CN"/>
              </w:rPr>
              <w:t>）</w:t>
            </w:r>
            <w:r>
              <w:rPr>
                <w:rFonts w:ascii="Times New Roman" w:cs="Times New Roman"/>
                <w:lang w:val="zh-CN"/>
              </w:rPr>
              <w:t>。</w:t>
            </w:r>
          </w:p>
          <w:p>
            <w:pPr>
              <w:pStyle w:val="331"/>
              <w:spacing w:line="440" w:lineRule="exact"/>
              <w:rPr>
                <w:rFonts w:ascii="Times New Roman" w:hAnsi="Times New Roman" w:cs="Times New Roman"/>
                <w:b/>
                <w:lang w:val="zh-CN"/>
              </w:rPr>
            </w:pPr>
            <w:r>
              <w:rPr>
                <w:rFonts w:hint="eastAsia" w:ascii="Times New Roman" w:cs="Times New Roman"/>
                <w:b/>
                <w:lang w:val="zh-CN"/>
              </w:rPr>
              <w:t>注：领取中标通知书时，</w:t>
            </w:r>
            <w:r>
              <w:rPr>
                <w:rFonts w:hint="eastAsia"/>
                <w:b/>
                <w:kern w:val="2"/>
              </w:rPr>
              <w:t>根据成都市财政局 中国人民银行成都分行营业管理部关于印发《成都市中小企业政府采购信用融资暂行办法》和《成都市级支持中小企业政府采购信用融资实施方案》的通知（成财采[2019</w:t>
            </w:r>
            <w:r>
              <w:rPr>
                <w:rFonts w:hint="eastAsia"/>
                <w:b/>
                <w:kern w:val="2"/>
                <w:sz w:val="22"/>
              </w:rPr>
              <w:t>]17号</w:t>
            </w:r>
            <w:r>
              <w:rPr>
                <w:rFonts w:hint="eastAsia"/>
                <w:b/>
                <w:kern w:val="2"/>
              </w:rPr>
              <w:t>）的要求，符合通知要求、有融资需求的供应商可根据成都市政府采购监督管理系统集中展示的融资机构及其“政采贷”产品，自行选择符合自身情况的“政采贷”银行及其产品，选择“政采贷”银行及其产品的需向代理机构进行登记。</w:t>
            </w:r>
          </w:p>
        </w:tc>
      </w:tr>
    </w:tbl>
    <w:p>
      <w:pPr>
        <w:numPr>
          <w:ilvl w:val="1"/>
          <w:numId w:val="16"/>
        </w:numPr>
        <w:tabs>
          <w:tab w:val="left" w:pos="360"/>
        </w:tabs>
        <w:spacing w:line="520" w:lineRule="exact"/>
        <w:ind w:left="0" w:firstLine="482"/>
        <w:jc w:val="left"/>
        <w:outlineLvl w:val="1"/>
        <w:rPr>
          <w:bCs/>
          <w:color w:val="auto"/>
          <w:kern w:val="2"/>
          <w:sz w:val="24"/>
          <w:szCs w:val="24"/>
          <w:lang w:val="en-US"/>
        </w:rPr>
      </w:pPr>
      <w:bookmarkStart w:id="20" w:name="_Toc351016477"/>
      <w:r>
        <w:rPr>
          <w:rFonts w:hint="eastAsia"/>
          <w:bCs/>
          <w:color w:val="auto"/>
          <w:kern w:val="2"/>
          <w:sz w:val="24"/>
          <w:szCs w:val="24"/>
          <w:lang w:val="en-US"/>
        </w:rPr>
        <w:t xml:space="preserve"> </w:t>
      </w:r>
      <w:bookmarkStart w:id="21" w:name="_Toc494198588"/>
      <w:r>
        <w:rPr>
          <w:rFonts w:hint="eastAsia"/>
          <w:bCs/>
          <w:color w:val="auto"/>
          <w:kern w:val="2"/>
          <w:sz w:val="24"/>
          <w:szCs w:val="24"/>
          <w:lang w:val="en-US"/>
        </w:rPr>
        <w:t>总  则</w:t>
      </w:r>
      <w:bookmarkEnd w:id="20"/>
      <w:bookmarkEnd w:id="21"/>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2" w:name="_Toc496605581"/>
      <w:bookmarkStart w:id="23" w:name="_Toc217446034"/>
      <w:bookmarkStart w:id="24" w:name="_Toc494198873"/>
      <w:bookmarkStart w:id="25" w:name="_Toc500492677"/>
      <w:r>
        <w:rPr>
          <w:rFonts w:hint="eastAsia"/>
          <w:bCs/>
          <w:color w:val="auto"/>
          <w:kern w:val="2"/>
          <w:sz w:val="24"/>
          <w:szCs w:val="24"/>
          <w:lang w:val="en-US"/>
        </w:rPr>
        <w:t>适用范围</w:t>
      </w:r>
      <w:bookmarkEnd w:id="22"/>
      <w:bookmarkEnd w:id="23"/>
      <w:bookmarkEnd w:id="24"/>
      <w:bookmarkEnd w:id="25"/>
    </w:p>
    <w:p>
      <w:pPr>
        <w:tabs>
          <w:tab w:val="left" w:pos="0"/>
          <w:tab w:val="left" w:pos="845"/>
        </w:tabs>
        <w:spacing w:line="520" w:lineRule="exact"/>
        <w:ind w:left="480" w:firstLine="0" w:firstLineChars="0"/>
        <w:rPr>
          <w:b w:val="0"/>
          <w:color w:val="auto"/>
          <w:kern w:val="2"/>
          <w:sz w:val="24"/>
          <w:szCs w:val="24"/>
          <w:lang w:val="en-US"/>
        </w:rPr>
      </w:pPr>
      <w:r>
        <w:rPr>
          <w:rFonts w:hint="eastAsia"/>
          <w:b w:val="0"/>
          <w:color w:val="auto"/>
          <w:kern w:val="2"/>
          <w:sz w:val="24"/>
          <w:szCs w:val="24"/>
          <w:lang w:val="en-US"/>
        </w:rPr>
        <w:t>本招标文件仅适用于本次公开招标采购项目。</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6" w:name="_Toc496605582"/>
      <w:bookmarkStart w:id="27" w:name="_Toc500492678"/>
      <w:bookmarkStart w:id="28" w:name="_Toc217446035"/>
      <w:bookmarkStart w:id="29" w:name="_Toc494198874"/>
      <w:r>
        <w:rPr>
          <w:rFonts w:hint="eastAsia"/>
          <w:bCs/>
          <w:color w:val="auto"/>
          <w:kern w:val="2"/>
          <w:sz w:val="24"/>
          <w:szCs w:val="24"/>
          <w:lang w:val="en-US"/>
        </w:rPr>
        <w:t>有关定义</w:t>
      </w:r>
      <w:bookmarkEnd w:id="26"/>
      <w:bookmarkEnd w:id="27"/>
      <w:bookmarkEnd w:id="28"/>
      <w:bookmarkEnd w:id="29"/>
    </w:p>
    <w:p>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“采购人”和“甲方”系指依法进行政府采购的国家机关、事业单位、团体组织。本项目的采购人是成都市环境保护信息中心。</w:t>
      </w:r>
    </w:p>
    <w:p>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“采购代理机构”系指根据采购人的委托依法办理招标事宜的采购机构。本项目的采购代理机构是四川慧采招标代理有限公司。</w:t>
      </w:r>
    </w:p>
    <w:p>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“投标人”系指响应招标、参加投标竞争的法人、其他组织或者自然人。</w:t>
      </w:r>
    </w:p>
    <w:p>
      <w:pPr>
        <w:numPr>
          <w:ilvl w:val="1"/>
          <w:numId w:val="23"/>
        </w:numPr>
        <w:tabs>
          <w:tab w:val="left" w:pos="0"/>
          <w:tab w:val="left" w:pos="845"/>
        </w:tabs>
        <w:spacing w:line="520" w:lineRule="exact"/>
        <w:ind w:left="0" w:firstLine="480"/>
        <w:rPr>
          <w:b w:val="0"/>
          <w:color w:val="auto"/>
          <w:kern w:val="2"/>
          <w:sz w:val="24"/>
          <w:szCs w:val="24"/>
          <w:lang w:val="en-US"/>
        </w:rPr>
      </w:pPr>
      <w:r>
        <w:rPr>
          <w:rFonts w:hint="eastAsia"/>
          <w:b w:val="0"/>
          <w:color w:val="auto"/>
          <w:kern w:val="2"/>
          <w:sz w:val="24"/>
          <w:szCs w:val="24"/>
          <w:lang w:val="en-US"/>
        </w:rPr>
        <w:t>本招标文件</w:t>
      </w:r>
      <w:r>
        <w:rPr>
          <w:b w:val="0"/>
          <w:color w:val="auto"/>
          <w:kern w:val="2"/>
          <w:sz w:val="24"/>
          <w:szCs w:val="24"/>
          <w:lang w:val="en-US"/>
        </w:rPr>
        <w:t>按日计算期间的，开始当天不计入，从次日开始计算。期限的最后一日是国家法定节假日的，顺延到节假日后的次日为期限的最后一日。</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30" w:name="_Toc496605583"/>
      <w:bookmarkStart w:id="31" w:name="_Toc217446037"/>
      <w:bookmarkStart w:id="32" w:name="_Toc183582208"/>
      <w:bookmarkStart w:id="33" w:name="_Toc494198876"/>
      <w:bookmarkStart w:id="34" w:name="_Toc183682345"/>
      <w:bookmarkStart w:id="35" w:name="_Toc500492679"/>
      <w:r>
        <w:rPr>
          <w:rFonts w:hint="eastAsia"/>
          <w:bCs/>
          <w:color w:val="auto"/>
          <w:kern w:val="2"/>
          <w:sz w:val="24"/>
          <w:szCs w:val="24"/>
          <w:lang w:val="en-US"/>
        </w:rPr>
        <w:t>投标费用</w:t>
      </w:r>
      <w:bookmarkEnd w:id="30"/>
      <w:bookmarkEnd w:id="31"/>
      <w:bookmarkEnd w:id="32"/>
      <w:bookmarkEnd w:id="33"/>
      <w:bookmarkEnd w:id="34"/>
      <w:bookmarkEnd w:id="35"/>
    </w:p>
    <w:p>
      <w:pPr>
        <w:tabs>
          <w:tab w:val="left" w:pos="7665"/>
        </w:tabs>
        <w:spacing w:line="520" w:lineRule="exact"/>
        <w:ind w:firstLine="480"/>
        <w:rPr>
          <w:b w:val="0"/>
          <w:color w:val="auto"/>
          <w:kern w:val="2"/>
          <w:sz w:val="24"/>
          <w:szCs w:val="24"/>
          <w:lang w:val="en-US"/>
        </w:rPr>
      </w:pPr>
      <w:r>
        <w:rPr>
          <w:b w:val="0"/>
          <w:color w:val="auto"/>
          <w:kern w:val="2"/>
          <w:sz w:val="24"/>
          <w:szCs w:val="24"/>
          <w:lang w:val="en-US"/>
        </w:rPr>
        <w:t>投标人</w:t>
      </w:r>
      <w:r>
        <w:rPr>
          <w:rFonts w:hint="eastAsia"/>
          <w:b w:val="0"/>
          <w:color w:val="auto"/>
          <w:kern w:val="2"/>
          <w:sz w:val="24"/>
          <w:szCs w:val="24"/>
          <w:lang w:val="en-US"/>
        </w:rPr>
        <w:t>应自行承担</w:t>
      </w:r>
      <w:r>
        <w:rPr>
          <w:b w:val="0"/>
          <w:color w:val="auto"/>
          <w:kern w:val="2"/>
          <w:sz w:val="24"/>
          <w:szCs w:val="24"/>
          <w:lang w:val="en-US"/>
        </w:rPr>
        <w:t>参加投标的</w:t>
      </w:r>
      <w:r>
        <w:rPr>
          <w:rFonts w:hint="eastAsia"/>
          <w:b w:val="0"/>
          <w:color w:val="auto"/>
          <w:kern w:val="2"/>
          <w:sz w:val="24"/>
          <w:szCs w:val="24"/>
          <w:lang w:val="en-US"/>
        </w:rPr>
        <w:t>全部</w:t>
      </w:r>
      <w:r>
        <w:rPr>
          <w:b w:val="0"/>
          <w:color w:val="auto"/>
          <w:kern w:val="2"/>
          <w:sz w:val="24"/>
          <w:szCs w:val="24"/>
          <w:lang w:val="en-US"/>
        </w:rPr>
        <w:t>费用。</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36" w:name="_Toc496605584"/>
      <w:bookmarkStart w:id="37" w:name="_Toc494198877"/>
      <w:bookmarkStart w:id="38" w:name="_Toc500492680"/>
      <w:r>
        <w:rPr>
          <w:rFonts w:hint="eastAsia"/>
          <w:bCs/>
          <w:color w:val="auto"/>
          <w:kern w:val="2"/>
          <w:sz w:val="24"/>
          <w:szCs w:val="24"/>
          <w:lang w:val="en-US"/>
        </w:rPr>
        <w:t>充分、公平竞争保障措施</w:t>
      </w:r>
      <w:bookmarkEnd w:id="36"/>
      <w:bookmarkEnd w:id="37"/>
      <w:bookmarkEnd w:id="38"/>
    </w:p>
    <w:p>
      <w:pPr>
        <w:pStyle w:val="520"/>
        <w:snapToGrid w:val="0"/>
        <w:spacing w:line="520" w:lineRule="exact"/>
        <w:ind w:firstLine="480" w:firstLineChars="200"/>
        <w:rPr>
          <w:rFonts w:hAnsi="宋体"/>
          <w:b/>
          <w:sz w:val="24"/>
          <w:szCs w:val="24"/>
        </w:rPr>
      </w:pPr>
      <w:r>
        <w:rPr>
          <w:rFonts w:hint="eastAsia" w:hAnsi="宋体"/>
          <w:sz w:val="24"/>
          <w:szCs w:val="24"/>
        </w:rPr>
        <w:t>1.</w:t>
      </w:r>
      <w:r>
        <w:rPr>
          <w:rFonts w:hint="eastAsia" w:hAnsi="宋体"/>
          <w:b/>
          <w:sz w:val="24"/>
          <w:szCs w:val="24"/>
        </w:rPr>
        <w:t>提供相同品牌产品处理。</w:t>
      </w:r>
    </w:p>
    <w:p>
      <w:pPr>
        <w:pStyle w:val="520"/>
        <w:snapToGrid w:val="0"/>
        <w:spacing w:line="520" w:lineRule="exact"/>
        <w:ind w:firstLine="480" w:firstLineChars="200"/>
        <w:rPr>
          <w:rFonts w:hAnsi="宋体"/>
          <w:sz w:val="24"/>
          <w:szCs w:val="24"/>
        </w:rPr>
      </w:pPr>
      <w:r>
        <w:rPr>
          <w:rFonts w:hint="eastAsia" w:hAnsi="宋体"/>
          <w:sz w:val="24"/>
          <w:szCs w:val="24"/>
        </w:rPr>
        <w:t>本项目为服务类项目，不涉及提供相同品牌产品处理。</w:t>
      </w:r>
    </w:p>
    <w:p>
      <w:pPr>
        <w:pStyle w:val="520"/>
        <w:snapToGrid w:val="0"/>
        <w:spacing w:line="520" w:lineRule="exact"/>
        <w:ind w:firstLine="480" w:firstLineChars="200"/>
        <w:rPr>
          <w:rFonts w:hAnsi="宋体"/>
          <w:sz w:val="24"/>
          <w:szCs w:val="24"/>
        </w:rPr>
      </w:pPr>
      <w:r>
        <w:rPr>
          <w:rFonts w:hint="eastAsia" w:hAnsi="宋体"/>
          <w:sz w:val="24"/>
          <w:szCs w:val="24"/>
        </w:rPr>
        <w:t>2.</w:t>
      </w:r>
      <w:r>
        <w:rPr>
          <w:rFonts w:hint="eastAsia" w:hAnsi="宋体"/>
          <w:b/>
          <w:sz w:val="24"/>
          <w:szCs w:val="24"/>
        </w:rPr>
        <w:t>利害关系投标人处理。</w:t>
      </w:r>
      <w:r>
        <w:rPr>
          <w:rFonts w:hint="eastAsia" w:hAnsi="宋体"/>
          <w:sz w:val="24"/>
          <w:szCs w:val="24"/>
        </w:rPr>
        <w:t>单位负责人为同一人或者存在直接控股、管理关系的不同投标人不得参加同一合同项下的政府采购活动。（提供承诺函原件加盖投标人公章，可以与其他承诺一并进行承诺。）</w:t>
      </w:r>
    </w:p>
    <w:p>
      <w:pPr>
        <w:pStyle w:val="520"/>
        <w:snapToGrid w:val="0"/>
        <w:spacing w:line="520" w:lineRule="exact"/>
        <w:ind w:firstLine="480" w:firstLineChars="200"/>
        <w:rPr>
          <w:rFonts w:hAnsi="宋体"/>
          <w:sz w:val="24"/>
          <w:szCs w:val="24"/>
        </w:rPr>
      </w:pPr>
      <w:r>
        <w:rPr>
          <w:rFonts w:hint="eastAsia" w:hAnsi="宋体"/>
          <w:sz w:val="24"/>
          <w:szCs w:val="24"/>
        </w:rPr>
        <w:t>3.</w:t>
      </w:r>
      <w:r>
        <w:rPr>
          <w:rFonts w:hint="eastAsia" w:hAnsi="宋体"/>
          <w:b/>
          <w:sz w:val="24"/>
          <w:szCs w:val="24"/>
        </w:rPr>
        <w:t>利害关系授权代表处理。</w:t>
      </w:r>
      <w:r>
        <w:rPr>
          <w:rFonts w:hint="eastAsia" w:hAnsi="宋体"/>
          <w:sz w:val="24"/>
          <w:szCs w:val="24"/>
        </w:rPr>
        <w:t>两家以上的供应商不得在同一合同项下的采购项目中，委托同一个自然人、同一家庭的人员、同一单位的人员作为其授权代表，否则，其投标文件作为无效处理。（提供承诺函原件加盖投标人公章，可以与其他承诺一并进行承诺。）</w:t>
      </w:r>
    </w:p>
    <w:p>
      <w:pPr>
        <w:pStyle w:val="520"/>
        <w:snapToGrid w:val="0"/>
        <w:spacing w:line="520" w:lineRule="exact"/>
        <w:ind w:firstLine="480" w:firstLineChars="200"/>
        <w:rPr>
          <w:rFonts w:hAnsi="宋体"/>
          <w:sz w:val="24"/>
          <w:szCs w:val="24"/>
        </w:rPr>
      </w:pPr>
      <w:r>
        <w:rPr>
          <w:rFonts w:hint="eastAsia" w:hAnsi="宋体"/>
          <w:sz w:val="24"/>
          <w:szCs w:val="24"/>
        </w:rPr>
        <w:t>4.</w:t>
      </w:r>
      <w:r>
        <w:rPr>
          <w:rFonts w:hint="eastAsia" w:hAnsi="宋体"/>
          <w:b/>
          <w:sz w:val="24"/>
          <w:szCs w:val="24"/>
        </w:rPr>
        <w:t>前期参与投标人处理。</w:t>
      </w:r>
      <w:r>
        <w:rPr>
          <w:rFonts w:hint="eastAsia" w:hAnsi="宋体"/>
          <w:sz w:val="24"/>
          <w:szCs w:val="24"/>
        </w:rPr>
        <w:t>为采购项目提供整体设计、规范编制或者项目管理、监理、检测等服务的投标人，不得再参加该采购项目的其他采购活动。投标人为采购人、采购代理机构在确定采购需求、编制招标文件过程中提供咨询论证，其提供的咨询论证意见成为招标文件中规定的投标人资格条件、技术服务商务要求、评标因素和标准、政府采购合同等实质性内容条款的，视同为采购项目提供规范编制。（提供承诺函原件加盖投标人公章，可以与其他承诺一并进行承诺。）</w:t>
      </w:r>
    </w:p>
    <w:p>
      <w:pPr>
        <w:adjustRightInd w:val="0"/>
        <w:spacing w:line="520" w:lineRule="exact"/>
        <w:ind w:left="1" w:firstLine="480"/>
        <w:textAlignment w:val="baseline"/>
        <w:rPr>
          <w:b w:val="0"/>
          <w:color w:val="auto"/>
          <w:sz w:val="24"/>
          <w:szCs w:val="24"/>
          <w:lang w:val="en-US"/>
        </w:rPr>
      </w:pPr>
      <w:r>
        <w:rPr>
          <w:rFonts w:hint="eastAsia"/>
          <w:b w:val="0"/>
          <w:color w:val="auto"/>
          <w:sz w:val="24"/>
          <w:szCs w:val="24"/>
          <w:lang w:val="en-US"/>
        </w:rPr>
        <w:t>5.供应商实际控制人或者中高级管理人员，同时是采购代理机构工作人员，不得参与本项目政府采购活动。（提供承诺函原件加盖投标人公章，可以与其他承诺一并进行承诺。）</w:t>
      </w:r>
    </w:p>
    <w:p>
      <w:pPr>
        <w:spacing w:line="520" w:lineRule="exact"/>
        <w:ind w:firstLine="480"/>
        <w:rPr>
          <w:b w:val="0"/>
          <w:color w:val="auto"/>
          <w:sz w:val="24"/>
          <w:szCs w:val="24"/>
          <w:lang w:val="en-US"/>
        </w:rPr>
      </w:pPr>
      <w:r>
        <w:rPr>
          <w:rFonts w:hint="eastAsia"/>
          <w:b w:val="0"/>
          <w:color w:val="auto"/>
          <w:sz w:val="24"/>
          <w:szCs w:val="24"/>
          <w:lang w:val="en-US"/>
        </w:rPr>
        <w:t>6.供应商与采购代理机构存在关联关系，或者是采购代理机构的母公司或子公司，不得参加本项目政府采购活动。（提供承诺函原件加盖投标人公章，可以与其他承诺一并进行承诺。）</w:t>
      </w:r>
    </w:p>
    <w:p>
      <w:pPr>
        <w:adjustRightInd w:val="0"/>
        <w:spacing w:line="520" w:lineRule="exact"/>
        <w:ind w:left="1" w:firstLine="480"/>
        <w:textAlignment w:val="baseline"/>
        <w:rPr>
          <w:b w:val="0"/>
          <w:color w:val="auto"/>
          <w:sz w:val="24"/>
          <w:szCs w:val="24"/>
          <w:lang w:val="en-US"/>
        </w:rPr>
      </w:pPr>
      <w:r>
        <w:rPr>
          <w:rFonts w:hint="eastAsia"/>
          <w:b w:val="0"/>
          <w:color w:val="auto"/>
          <w:sz w:val="24"/>
          <w:szCs w:val="24"/>
          <w:lang w:val="en-US"/>
        </w:rPr>
        <w:t>7.回避。政府采购活动中，采购人员及相关人员与供应商有下列利害关系之一的，应当回避：</w:t>
      </w:r>
    </w:p>
    <w:p>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（1）参加采购活动前3年内与供应商存在劳动关系；</w:t>
      </w:r>
    </w:p>
    <w:p>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（2）参加采购活动前3年内担任供应商的董事、监事；</w:t>
      </w:r>
    </w:p>
    <w:p>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（3）参加采购活动前3年内是供应商的控股股东或者实际控制人；</w:t>
      </w:r>
    </w:p>
    <w:p>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（4）与供应商的法定代表人或者负责人有夫妻、直系血亲、三代以内旁系血亲或者近姻亲关系；</w:t>
      </w:r>
    </w:p>
    <w:p>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（5）与供应商有其他可能影响政府采购活动公平、公正进行的关系。</w:t>
      </w:r>
    </w:p>
    <w:p>
      <w:pPr>
        <w:adjustRightInd w:val="0"/>
        <w:spacing w:line="520" w:lineRule="exact"/>
        <w:ind w:left="1" w:firstLine="480"/>
        <w:textAlignment w:val="baseline"/>
        <w:rPr>
          <w:b w:val="0"/>
          <w:color w:val="auto"/>
          <w:sz w:val="24"/>
          <w:szCs w:val="20"/>
          <w:lang w:val="en-US"/>
        </w:rPr>
      </w:pPr>
      <w:r>
        <w:rPr>
          <w:rFonts w:hint="eastAsia"/>
          <w:b w:val="0"/>
          <w:color w:val="auto"/>
          <w:sz w:val="24"/>
          <w:szCs w:val="20"/>
          <w:lang w:val="en-US"/>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520"/>
        <w:snapToGrid w:val="0"/>
        <w:spacing w:line="520" w:lineRule="exact"/>
        <w:ind w:firstLine="480" w:firstLineChars="200"/>
        <w:rPr>
          <w:rFonts w:hAnsi="宋体"/>
          <w:sz w:val="24"/>
          <w:szCs w:val="24"/>
        </w:rPr>
      </w:pPr>
      <w:r>
        <w:rPr>
          <w:rFonts w:hint="eastAsia" w:ascii="Times New Roman" w:hAnsi="宋体"/>
          <w:kern w:val="2"/>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numPr>
          <w:ilvl w:val="1"/>
          <w:numId w:val="16"/>
        </w:numPr>
        <w:tabs>
          <w:tab w:val="left" w:pos="360"/>
        </w:tabs>
        <w:spacing w:line="520" w:lineRule="exact"/>
        <w:ind w:left="0" w:firstLine="482"/>
        <w:jc w:val="left"/>
        <w:outlineLvl w:val="1"/>
        <w:rPr>
          <w:bCs/>
          <w:color w:val="auto"/>
          <w:kern w:val="2"/>
          <w:sz w:val="24"/>
          <w:szCs w:val="24"/>
          <w:lang w:val="en-US"/>
        </w:rPr>
      </w:pPr>
      <w:bookmarkStart w:id="39" w:name="_Toc183682346"/>
      <w:bookmarkStart w:id="40" w:name="_Toc351016478"/>
      <w:bookmarkStart w:id="41" w:name="_Toc494198589"/>
      <w:bookmarkStart w:id="42" w:name="_Toc89075875"/>
      <w:bookmarkStart w:id="43" w:name="_Toc217446038"/>
      <w:bookmarkStart w:id="44" w:name="_Toc183582209"/>
      <w:bookmarkStart w:id="45" w:name="_Toc77400779"/>
      <w:r>
        <w:rPr>
          <w:rFonts w:hint="eastAsia"/>
          <w:bCs/>
          <w:color w:val="auto"/>
          <w:kern w:val="2"/>
          <w:sz w:val="24"/>
          <w:szCs w:val="24"/>
          <w:lang w:val="en-US"/>
        </w:rPr>
        <w:t>招标文件</w:t>
      </w:r>
      <w:bookmarkEnd w:id="39"/>
      <w:bookmarkEnd w:id="40"/>
      <w:bookmarkEnd w:id="41"/>
      <w:bookmarkEnd w:id="42"/>
      <w:bookmarkEnd w:id="43"/>
      <w:bookmarkEnd w:id="44"/>
      <w:bookmarkEnd w:id="45"/>
    </w:p>
    <w:p>
      <w:pPr>
        <w:keepLines/>
        <w:numPr>
          <w:ilvl w:val="2"/>
          <w:numId w:val="16"/>
        </w:numPr>
        <w:tabs>
          <w:tab w:val="left" w:pos="360"/>
        </w:tabs>
        <w:spacing w:line="520" w:lineRule="exact"/>
        <w:ind w:left="0" w:firstLine="482"/>
        <w:outlineLvl w:val="2"/>
        <w:rPr>
          <w:bCs/>
          <w:color w:val="auto"/>
          <w:kern w:val="2"/>
          <w:sz w:val="24"/>
          <w:szCs w:val="24"/>
          <w:lang w:val="en-US"/>
        </w:rPr>
      </w:pPr>
      <w:bookmarkStart w:id="46" w:name="_Toc183582210"/>
      <w:bookmarkStart w:id="47" w:name="_Toc494198879"/>
      <w:bookmarkStart w:id="48" w:name="_Toc500492682"/>
      <w:bookmarkStart w:id="49" w:name="_Toc496605586"/>
      <w:bookmarkStart w:id="50" w:name="_Toc183682347"/>
      <w:bookmarkStart w:id="51" w:name="_Toc217446039"/>
      <w:r>
        <w:rPr>
          <w:rFonts w:hint="eastAsia"/>
          <w:bCs/>
          <w:color w:val="auto"/>
          <w:kern w:val="2"/>
          <w:sz w:val="24"/>
          <w:szCs w:val="24"/>
          <w:lang w:val="en-US"/>
        </w:rPr>
        <w:t>招标文件的构成</w:t>
      </w:r>
      <w:bookmarkEnd w:id="46"/>
      <w:bookmarkEnd w:id="47"/>
      <w:bookmarkEnd w:id="48"/>
      <w:bookmarkEnd w:id="49"/>
      <w:bookmarkEnd w:id="50"/>
      <w:bookmarkEnd w:id="51"/>
    </w:p>
    <w:p>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招标文件是投标人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投标邀请；</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投标人须知；</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投标文件格式；</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投标人和投标产品的资格、资质性及其他类似效力要求；</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投标人应当提供的资格、资质性及其他类似效力要求的相关证明材料；</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招标项目技术、商务及其他要求；</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评标办法；</w:t>
      </w:r>
    </w:p>
    <w:p>
      <w:pPr>
        <w:numPr>
          <w:ilvl w:val="0"/>
          <w:numId w:val="24"/>
        </w:numPr>
        <w:tabs>
          <w:tab w:val="left" w:pos="0"/>
        </w:tabs>
        <w:spacing w:line="520" w:lineRule="exact"/>
        <w:ind w:firstLineChars="0"/>
        <w:rPr>
          <w:b w:val="0"/>
          <w:color w:val="auto"/>
          <w:kern w:val="2"/>
          <w:sz w:val="24"/>
          <w:szCs w:val="24"/>
          <w:lang w:val="en-US"/>
        </w:rPr>
      </w:pPr>
      <w:r>
        <w:rPr>
          <w:rFonts w:hint="eastAsia"/>
          <w:b w:val="0"/>
          <w:color w:val="auto"/>
          <w:kern w:val="2"/>
          <w:sz w:val="24"/>
          <w:szCs w:val="24"/>
          <w:lang w:val="en-US"/>
        </w:rPr>
        <w:t>拟签订的合同文本。</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52" w:name="_Toc183582211"/>
      <w:bookmarkStart w:id="53" w:name="_Toc183682348"/>
      <w:bookmarkStart w:id="54" w:name="_Toc217446040"/>
      <w:bookmarkStart w:id="55" w:name="_Toc494198880"/>
      <w:bookmarkStart w:id="56" w:name="_Toc500492683"/>
      <w:bookmarkStart w:id="57" w:name="_Toc496605587"/>
      <w:r>
        <w:rPr>
          <w:rFonts w:hint="eastAsia"/>
          <w:bCs/>
          <w:color w:val="auto"/>
          <w:kern w:val="2"/>
          <w:sz w:val="24"/>
          <w:szCs w:val="24"/>
          <w:lang w:val="en-US"/>
        </w:rPr>
        <w:t>招标文件的澄清</w:t>
      </w:r>
      <w:bookmarkEnd w:id="52"/>
      <w:bookmarkEnd w:id="53"/>
      <w:r>
        <w:rPr>
          <w:rFonts w:hint="eastAsia"/>
          <w:bCs/>
          <w:color w:val="auto"/>
          <w:kern w:val="2"/>
          <w:sz w:val="24"/>
          <w:szCs w:val="24"/>
          <w:lang w:val="en-US"/>
        </w:rPr>
        <w:t>和修改</w:t>
      </w:r>
      <w:bookmarkEnd w:id="54"/>
      <w:bookmarkEnd w:id="55"/>
      <w:bookmarkEnd w:id="56"/>
      <w:bookmarkEnd w:id="57"/>
    </w:p>
    <w:p>
      <w:pPr>
        <w:numPr>
          <w:ilvl w:val="1"/>
          <w:numId w:val="2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采购人或者采购代理机构可以依法对招标文件进行澄清或者修改。</w:t>
      </w:r>
    </w:p>
    <w:p>
      <w:pPr>
        <w:numPr>
          <w:ilvl w:val="1"/>
          <w:numId w:val="2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人或者采购代理机构可以对已发出的招标文件进行必要的澄清或者修改，但不得改变采购标的和资格条件。澄清或者修改的内容可能影响投标文件编制的，采购人或者采购代理机构应当在投标截止时间至少15日前，以书面形式将澄清或者修改的内容通知所有购买了招标文件的投标人，同时在四川政府采购网上发布更正公告。该澄清或者修改的内容为招标文件的组成部分。</w:t>
      </w:r>
    </w:p>
    <w:p>
      <w:pPr>
        <w:numPr>
          <w:ilvl w:val="1"/>
          <w:numId w:val="2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投标人要求对招标文件进行澄清的，均应按招标文件中的联系方式，以书面形式向采购人或者采购代理机构提出申请，但采购人或者采购代理机构可以决定是否采纳投标人的申请事项。</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58" w:name="_Toc217446041"/>
      <w:bookmarkStart w:id="59" w:name="_Toc208848971"/>
      <w:bookmarkStart w:id="60" w:name="_Toc500492684"/>
      <w:bookmarkStart w:id="61" w:name="_Toc496605588"/>
      <w:bookmarkStart w:id="62" w:name="_Toc494198881"/>
      <w:r>
        <w:rPr>
          <w:rFonts w:hint="eastAsia"/>
          <w:bCs/>
          <w:color w:val="auto"/>
          <w:kern w:val="2"/>
          <w:sz w:val="24"/>
          <w:szCs w:val="24"/>
          <w:lang w:val="en-US"/>
        </w:rPr>
        <w:t>答疑会和现场</w:t>
      </w:r>
      <w:bookmarkEnd w:id="58"/>
      <w:bookmarkEnd w:id="59"/>
      <w:r>
        <w:rPr>
          <w:rFonts w:hint="eastAsia"/>
          <w:bCs/>
          <w:color w:val="auto"/>
          <w:kern w:val="2"/>
          <w:sz w:val="24"/>
          <w:szCs w:val="24"/>
          <w:lang w:val="en-US"/>
        </w:rPr>
        <w:t>踏勘</w:t>
      </w:r>
      <w:bookmarkEnd w:id="60"/>
      <w:bookmarkEnd w:id="61"/>
      <w:bookmarkEnd w:id="62"/>
    </w:p>
    <w:p>
      <w:pPr>
        <w:tabs>
          <w:tab w:val="left" w:pos="-142"/>
        </w:tabs>
        <w:spacing w:line="520" w:lineRule="exact"/>
        <w:ind w:firstLine="480"/>
        <w:rPr>
          <w:b w:val="0"/>
          <w:color w:val="auto"/>
          <w:kern w:val="2"/>
          <w:sz w:val="24"/>
          <w:szCs w:val="24"/>
          <w:lang w:val="en-US"/>
        </w:rPr>
      </w:pPr>
      <w:bookmarkStart w:id="63" w:name="_Toc183582214"/>
      <w:bookmarkStart w:id="64" w:name="_Toc77400780"/>
      <w:bookmarkStart w:id="65" w:name="_Toc217446042"/>
      <w:bookmarkStart w:id="66" w:name="_Toc183682351"/>
      <w:bookmarkStart w:id="67" w:name="_Toc351016479"/>
      <w:bookmarkStart w:id="68" w:name="_Toc89075876"/>
      <w:r>
        <w:rPr>
          <w:rFonts w:hint="eastAsia"/>
          <w:b w:val="0"/>
          <w:color w:val="auto"/>
          <w:kern w:val="2"/>
          <w:sz w:val="24"/>
          <w:szCs w:val="24"/>
          <w:lang w:val="en-US"/>
        </w:rPr>
        <w:t>根据采购项目和具体情况，采购人或者采购代理机构认为有必要，可以组织召开标前答疑会或组织投标人对项目现场进行考察。答疑会或进行现场考察的时间，采购人或者采购代理机构将以书面形式通知所有购买了招标文件的投标人。</w:t>
      </w:r>
    </w:p>
    <w:bookmarkEnd w:id="63"/>
    <w:bookmarkEnd w:id="64"/>
    <w:bookmarkEnd w:id="65"/>
    <w:bookmarkEnd w:id="66"/>
    <w:bookmarkEnd w:id="67"/>
    <w:bookmarkEnd w:id="68"/>
    <w:p>
      <w:pPr>
        <w:numPr>
          <w:ilvl w:val="1"/>
          <w:numId w:val="16"/>
        </w:numPr>
        <w:tabs>
          <w:tab w:val="left" w:pos="360"/>
        </w:tabs>
        <w:spacing w:line="520" w:lineRule="exact"/>
        <w:ind w:left="0" w:firstLine="482"/>
        <w:jc w:val="left"/>
        <w:outlineLvl w:val="1"/>
        <w:rPr>
          <w:bCs/>
          <w:color w:val="auto"/>
          <w:kern w:val="2"/>
          <w:sz w:val="24"/>
          <w:szCs w:val="24"/>
          <w:lang w:val="en-US"/>
        </w:rPr>
      </w:pPr>
      <w:bookmarkStart w:id="69" w:name="_Toc353972047"/>
      <w:bookmarkStart w:id="70" w:name="_Toc217446043"/>
      <w:bookmarkStart w:id="71" w:name="_Toc183682352"/>
      <w:bookmarkStart w:id="72" w:name="_Toc183582215"/>
      <w:r>
        <w:rPr>
          <w:rFonts w:hint="eastAsia"/>
          <w:bCs/>
          <w:color w:val="auto"/>
          <w:kern w:val="2"/>
          <w:sz w:val="24"/>
          <w:szCs w:val="24"/>
          <w:lang w:val="en-US"/>
        </w:rPr>
        <w:t xml:space="preserve"> </w:t>
      </w:r>
      <w:bookmarkStart w:id="73" w:name="_Toc494198590"/>
      <w:r>
        <w:rPr>
          <w:rFonts w:hint="eastAsia"/>
          <w:bCs/>
          <w:color w:val="auto"/>
          <w:kern w:val="2"/>
          <w:sz w:val="24"/>
          <w:szCs w:val="24"/>
          <w:lang w:val="en-US"/>
        </w:rPr>
        <w:t>投标文件</w:t>
      </w:r>
      <w:bookmarkEnd w:id="69"/>
      <w:bookmarkEnd w:id="73"/>
    </w:p>
    <w:p>
      <w:pPr>
        <w:keepLines/>
        <w:numPr>
          <w:ilvl w:val="2"/>
          <w:numId w:val="16"/>
        </w:numPr>
        <w:tabs>
          <w:tab w:val="left" w:pos="360"/>
        </w:tabs>
        <w:spacing w:line="520" w:lineRule="exact"/>
        <w:ind w:left="0" w:firstLine="482"/>
        <w:outlineLvl w:val="2"/>
        <w:rPr>
          <w:bCs/>
          <w:color w:val="auto"/>
          <w:kern w:val="2"/>
          <w:sz w:val="24"/>
          <w:szCs w:val="24"/>
          <w:lang w:val="en-US"/>
        </w:rPr>
      </w:pPr>
      <w:bookmarkStart w:id="74" w:name="_Toc494198883"/>
      <w:bookmarkStart w:id="75" w:name="_Toc500492686"/>
      <w:bookmarkStart w:id="76" w:name="_Toc496605590"/>
      <w:r>
        <w:rPr>
          <w:rFonts w:hint="eastAsia"/>
          <w:bCs/>
          <w:color w:val="auto"/>
          <w:kern w:val="2"/>
          <w:sz w:val="24"/>
          <w:szCs w:val="24"/>
          <w:lang w:val="en-US"/>
        </w:rPr>
        <w:t>投标文件的语言</w:t>
      </w:r>
      <w:bookmarkEnd w:id="70"/>
      <w:bookmarkEnd w:id="71"/>
      <w:bookmarkEnd w:id="72"/>
      <w:bookmarkEnd w:id="74"/>
      <w:bookmarkEnd w:id="75"/>
      <w:bookmarkEnd w:id="76"/>
    </w:p>
    <w:p>
      <w:pPr>
        <w:numPr>
          <w:ilvl w:val="1"/>
          <w:numId w:val="2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提交的投标文件以及投标人与采购人或者采购代理机构就有关投标的所有来往书面文件均须使用中文。投标文件中所附或引用的外文资料，应翻译成中文并加盖投标人公章后附在相关外文资料后面，若影响评审，则该部分外文资料为无效材料。投标人的法定代表人为外籍人士的，则法定代表人的签字或印章、护照除外。</w:t>
      </w:r>
    </w:p>
    <w:p>
      <w:pPr>
        <w:numPr>
          <w:ilvl w:val="1"/>
          <w:numId w:val="2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对不同文字文本投标文件的解释发生异议的，以中文文本为准，若投标人投标文件中提供的外文资料未翻译成中文，则将可视为无效材料。</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77" w:name="_Toc183582216"/>
      <w:bookmarkStart w:id="78" w:name="_Toc217446044"/>
      <w:bookmarkStart w:id="79" w:name="_Toc500492687"/>
      <w:bookmarkStart w:id="80" w:name="_Toc183682353"/>
      <w:bookmarkStart w:id="81" w:name="_Toc494198884"/>
      <w:bookmarkStart w:id="82" w:name="_Toc496605591"/>
      <w:r>
        <w:rPr>
          <w:rFonts w:hint="eastAsia"/>
          <w:bCs/>
          <w:color w:val="auto"/>
          <w:kern w:val="2"/>
          <w:sz w:val="24"/>
          <w:szCs w:val="24"/>
          <w:lang w:val="en-US"/>
        </w:rPr>
        <w:t>计量单位</w:t>
      </w:r>
      <w:bookmarkEnd w:id="77"/>
      <w:bookmarkEnd w:id="78"/>
      <w:bookmarkEnd w:id="79"/>
      <w:bookmarkEnd w:id="80"/>
      <w:bookmarkEnd w:id="81"/>
      <w:bookmarkEnd w:id="82"/>
    </w:p>
    <w:p>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除技术规格及要求中另有规定外，本采购项目的投标均采用国家法定的计量单位。</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83" w:name="_Toc494198885"/>
      <w:bookmarkStart w:id="84" w:name="_Toc496605592"/>
      <w:bookmarkStart w:id="85" w:name="_Toc217446045"/>
      <w:bookmarkStart w:id="86" w:name="_Toc500492688"/>
      <w:r>
        <w:rPr>
          <w:rFonts w:hint="eastAsia"/>
          <w:bCs/>
          <w:color w:val="auto"/>
          <w:kern w:val="2"/>
          <w:sz w:val="24"/>
          <w:szCs w:val="24"/>
          <w:lang w:val="en-US"/>
        </w:rPr>
        <w:t>投标货币</w:t>
      </w:r>
      <w:bookmarkEnd w:id="83"/>
      <w:bookmarkEnd w:id="84"/>
      <w:bookmarkEnd w:id="85"/>
      <w:bookmarkEnd w:id="86"/>
    </w:p>
    <w:p>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本次招标项目投标货币为人民币，报价以招标文件约定为准。</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87" w:name="_Toc494198886"/>
      <w:bookmarkStart w:id="88" w:name="_Toc315871016"/>
      <w:bookmarkStart w:id="89" w:name="_Toc496605593"/>
      <w:bookmarkStart w:id="90" w:name="_Toc500492689"/>
      <w:bookmarkStart w:id="91" w:name="_Toc217446046"/>
      <w:r>
        <w:rPr>
          <w:rFonts w:hint="eastAsia"/>
          <w:bCs/>
          <w:color w:val="auto"/>
          <w:kern w:val="2"/>
          <w:sz w:val="24"/>
          <w:szCs w:val="24"/>
          <w:lang w:val="en-US"/>
        </w:rPr>
        <w:t>联合体投标</w:t>
      </w:r>
      <w:bookmarkEnd w:id="87"/>
      <w:bookmarkEnd w:id="88"/>
      <w:bookmarkEnd w:id="89"/>
      <w:bookmarkEnd w:id="90"/>
      <w:bookmarkEnd w:id="91"/>
    </w:p>
    <w:p>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本项目不接受联合体投标，投标人应以非联合体形式参加投标，否则作无效投标处理。</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92" w:name="_Toc494198887"/>
      <w:bookmarkStart w:id="93" w:name="_Toc496605594"/>
      <w:bookmarkStart w:id="94" w:name="_Toc500492690"/>
      <w:bookmarkStart w:id="95" w:name="_Toc217446047"/>
      <w:r>
        <w:rPr>
          <w:rFonts w:hint="eastAsia"/>
          <w:bCs/>
          <w:color w:val="auto"/>
          <w:kern w:val="2"/>
          <w:sz w:val="24"/>
          <w:szCs w:val="24"/>
          <w:lang w:val="en-US"/>
        </w:rPr>
        <w:t>进口产品</w:t>
      </w:r>
      <w:bookmarkEnd w:id="92"/>
      <w:bookmarkEnd w:id="93"/>
      <w:bookmarkEnd w:id="94"/>
    </w:p>
    <w:p>
      <w:pPr>
        <w:tabs>
          <w:tab w:val="left" w:pos="-142"/>
        </w:tabs>
        <w:spacing w:line="520" w:lineRule="exact"/>
        <w:ind w:firstLine="480"/>
        <w:rPr>
          <w:b w:val="0"/>
          <w:color w:val="auto"/>
          <w:kern w:val="2"/>
          <w:sz w:val="24"/>
          <w:szCs w:val="24"/>
          <w:lang w:val="en-US"/>
        </w:rPr>
      </w:pPr>
      <w:r>
        <w:rPr>
          <w:rFonts w:hint="eastAsia"/>
          <w:b w:val="0"/>
          <w:color w:val="auto"/>
          <w:kern w:val="2"/>
          <w:sz w:val="24"/>
          <w:szCs w:val="24"/>
          <w:lang w:val="en-US"/>
        </w:rPr>
        <w:t>本项目为服务类项目，不涉及采购进口产品。</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96" w:name="_Toc496605595"/>
      <w:bookmarkStart w:id="97" w:name="_Toc494198888"/>
      <w:bookmarkStart w:id="98" w:name="_Toc500492691"/>
      <w:r>
        <w:rPr>
          <w:rFonts w:hint="eastAsia"/>
          <w:bCs/>
          <w:color w:val="auto"/>
          <w:kern w:val="2"/>
          <w:sz w:val="24"/>
          <w:szCs w:val="24"/>
          <w:lang w:val="en-US"/>
        </w:rPr>
        <w:t>知识产权</w:t>
      </w:r>
      <w:bookmarkEnd w:id="95"/>
      <w:bookmarkEnd w:id="96"/>
      <w:bookmarkEnd w:id="97"/>
      <w:bookmarkEnd w:id="98"/>
    </w:p>
    <w:p>
      <w:pPr>
        <w:tabs>
          <w:tab w:val="left" w:pos="-142"/>
        </w:tabs>
        <w:spacing w:line="520" w:lineRule="exact"/>
        <w:ind w:firstLine="480"/>
        <w:rPr>
          <w:b w:val="0"/>
          <w:color w:val="auto"/>
          <w:kern w:val="2"/>
          <w:sz w:val="24"/>
          <w:szCs w:val="24"/>
        </w:rPr>
      </w:pPr>
      <w:r>
        <w:rPr>
          <w:rFonts w:hint="eastAsia"/>
          <w:b w:val="0"/>
          <w:bCs/>
          <w:color w:val="auto"/>
          <w:kern w:val="2"/>
          <w:sz w:val="24"/>
          <w:szCs w:val="24"/>
          <w:lang w:val="en-US"/>
        </w:rPr>
        <w:t>投标人应对以下有关知识产权进行承诺，否则作无效投标处理。</w:t>
      </w:r>
    </w:p>
    <w:p>
      <w:pPr>
        <w:numPr>
          <w:ilvl w:val="1"/>
          <w:numId w:val="27"/>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投标人应保证在本项目使用的任何产品和服务（包括部分使用）时，不会产生因第三方提出侵犯其专利权、商标权或其它</w:t>
      </w:r>
      <w:r>
        <w:rPr>
          <w:rFonts w:hint="eastAsia"/>
          <w:b w:val="0"/>
          <w:color w:val="auto"/>
          <w:kern w:val="2"/>
          <w:sz w:val="24"/>
          <w:szCs w:val="24"/>
          <w:lang w:val="en-US"/>
        </w:rPr>
        <w:t>合法权益</w:t>
      </w:r>
      <w:r>
        <w:rPr>
          <w:b w:val="0"/>
          <w:color w:val="auto"/>
          <w:kern w:val="2"/>
          <w:sz w:val="24"/>
          <w:szCs w:val="24"/>
          <w:lang w:val="en-US"/>
        </w:rPr>
        <w:t>而引起的法律和经济纠纷，如因专利权、商标权或其它</w:t>
      </w:r>
      <w:r>
        <w:rPr>
          <w:rFonts w:hint="eastAsia"/>
          <w:b w:val="0"/>
          <w:color w:val="auto"/>
          <w:kern w:val="2"/>
          <w:sz w:val="24"/>
          <w:szCs w:val="24"/>
          <w:lang w:val="en-US"/>
        </w:rPr>
        <w:t>合法权益</w:t>
      </w:r>
      <w:r>
        <w:rPr>
          <w:b w:val="0"/>
          <w:color w:val="auto"/>
          <w:kern w:val="2"/>
          <w:sz w:val="24"/>
          <w:szCs w:val="24"/>
          <w:lang w:val="en-US"/>
        </w:rPr>
        <w:t>而引起法律和经济纠纷，由投标人承担所有相关责任。</w:t>
      </w:r>
    </w:p>
    <w:p>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除非招标文件特别规定，</w:t>
      </w:r>
      <w:r>
        <w:rPr>
          <w:b w:val="0"/>
          <w:color w:val="auto"/>
          <w:kern w:val="2"/>
          <w:sz w:val="24"/>
          <w:szCs w:val="24"/>
          <w:lang w:val="en-US"/>
        </w:rPr>
        <w:t>采购人享有本项目实施过程中产生的知识成果及知识产权。</w:t>
      </w:r>
    </w:p>
    <w:p>
      <w:pPr>
        <w:numPr>
          <w:ilvl w:val="1"/>
          <w:numId w:val="27"/>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投标人如欲在项目实施过程中采用自有知识成果，使用该知识成果后，投标人需提供开发接口和开发手册等技术文档，并承诺提供无限期技术支持，采购人享有永久使用权</w:t>
      </w:r>
      <w:r>
        <w:rPr>
          <w:rFonts w:hint="eastAsia"/>
          <w:b w:val="0"/>
          <w:color w:val="auto"/>
          <w:kern w:val="2"/>
          <w:sz w:val="24"/>
          <w:szCs w:val="24"/>
          <w:lang w:val="en-US"/>
        </w:rPr>
        <w:t>，</w:t>
      </w:r>
      <w:r>
        <w:rPr>
          <w:rFonts w:hint="eastAsia"/>
          <w:bCs/>
          <w:color w:val="auto"/>
          <w:kern w:val="2"/>
          <w:sz w:val="24"/>
          <w:szCs w:val="24"/>
          <w:lang w:val="en-US"/>
        </w:rPr>
        <w:t>同时</w:t>
      </w:r>
      <w:r>
        <w:rPr>
          <w:color w:val="auto"/>
          <w:kern w:val="2"/>
          <w:sz w:val="24"/>
          <w:szCs w:val="24"/>
          <w:lang w:val="en-US"/>
        </w:rPr>
        <w:t>需在投标文件中</w:t>
      </w:r>
      <w:r>
        <w:rPr>
          <w:rFonts w:hint="eastAsia"/>
          <w:color w:val="auto"/>
          <w:kern w:val="2"/>
          <w:sz w:val="24"/>
          <w:szCs w:val="24"/>
          <w:lang w:val="en-US"/>
        </w:rPr>
        <w:t>提供</w:t>
      </w:r>
      <w:r>
        <w:rPr>
          <w:color w:val="auto"/>
          <w:kern w:val="2"/>
          <w:sz w:val="24"/>
          <w:szCs w:val="24"/>
          <w:lang w:val="en-US"/>
        </w:rPr>
        <w:t>声明，并提供相关知识产权证明文件</w:t>
      </w:r>
      <w:r>
        <w:rPr>
          <w:rFonts w:hint="eastAsia"/>
          <w:color w:val="auto"/>
          <w:kern w:val="2"/>
          <w:sz w:val="24"/>
          <w:szCs w:val="24"/>
          <w:lang w:val="en-US"/>
        </w:rPr>
        <w:t>，否则视为</w:t>
      </w:r>
      <w:r>
        <w:rPr>
          <w:color w:val="auto"/>
          <w:kern w:val="2"/>
          <w:sz w:val="24"/>
          <w:szCs w:val="24"/>
          <w:lang w:val="en-US"/>
        </w:rPr>
        <w:t>投标人</w:t>
      </w:r>
      <w:r>
        <w:rPr>
          <w:rFonts w:hint="eastAsia"/>
          <w:color w:val="auto"/>
          <w:kern w:val="2"/>
          <w:sz w:val="24"/>
          <w:szCs w:val="24"/>
          <w:lang w:val="en-US"/>
        </w:rPr>
        <w:t>未</w:t>
      </w:r>
      <w:r>
        <w:rPr>
          <w:color w:val="auto"/>
          <w:kern w:val="2"/>
          <w:sz w:val="24"/>
          <w:szCs w:val="24"/>
          <w:lang w:val="en-US"/>
        </w:rPr>
        <w:t>在</w:t>
      </w:r>
      <w:r>
        <w:rPr>
          <w:rFonts w:hint="eastAsia"/>
          <w:color w:val="auto"/>
          <w:kern w:val="2"/>
          <w:sz w:val="24"/>
          <w:szCs w:val="24"/>
          <w:lang w:val="en-US"/>
        </w:rPr>
        <w:t>本</w:t>
      </w:r>
      <w:r>
        <w:rPr>
          <w:color w:val="auto"/>
          <w:kern w:val="2"/>
          <w:sz w:val="24"/>
          <w:szCs w:val="24"/>
          <w:lang w:val="en-US"/>
        </w:rPr>
        <w:t>项目实施过程中采用自有知识成果</w:t>
      </w:r>
      <w:r>
        <w:rPr>
          <w:rFonts w:hint="eastAsia"/>
          <w:color w:val="auto"/>
          <w:kern w:val="2"/>
          <w:sz w:val="24"/>
          <w:szCs w:val="24"/>
          <w:lang w:val="en-US"/>
        </w:rPr>
        <w:t>，不影响有效性</w:t>
      </w:r>
      <w:r>
        <w:rPr>
          <w:color w:val="auto"/>
          <w:kern w:val="2"/>
          <w:sz w:val="24"/>
          <w:szCs w:val="24"/>
          <w:lang w:val="en-US"/>
        </w:rPr>
        <w:t>。</w:t>
      </w:r>
    </w:p>
    <w:p>
      <w:pPr>
        <w:numPr>
          <w:ilvl w:val="1"/>
          <w:numId w:val="27"/>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如采用投标人所不拥有的知识产权，则在投标报价中必须包括合法获取该知识产权的相关费用</w:t>
      </w:r>
      <w:r>
        <w:rPr>
          <w:rFonts w:hint="eastAsia"/>
          <w:b w:val="0"/>
          <w:color w:val="auto"/>
          <w:kern w:val="2"/>
          <w:sz w:val="24"/>
          <w:szCs w:val="24"/>
          <w:lang w:val="en-US"/>
        </w:rPr>
        <w:t>，</w:t>
      </w:r>
      <w:r>
        <w:rPr>
          <w:rFonts w:hint="eastAsia"/>
          <w:bCs/>
          <w:color w:val="auto"/>
          <w:kern w:val="2"/>
          <w:sz w:val="24"/>
          <w:szCs w:val="24"/>
          <w:lang w:val="en-US"/>
        </w:rPr>
        <w:t>采购人不再因</w:t>
      </w:r>
      <w:r>
        <w:rPr>
          <w:color w:val="auto"/>
          <w:kern w:val="2"/>
          <w:sz w:val="24"/>
          <w:szCs w:val="24"/>
          <w:lang w:val="en-US"/>
        </w:rPr>
        <w:t>投标人采用所不拥有的知识产权</w:t>
      </w:r>
      <w:r>
        <w:rPr>
          <w:rFonts w:hint="eastAsia"/>
          <w:color w:val="auto"/>
          <w:kern w:val="2"/>
          <w:sz w:val="24"/>
          <w:szCs w:val="24"/>
          <w:lang w:val="en-US"/>
        </w:rPr>
        <w:t>而另行支付任何费用</w:t>
      </w:r>
      <w:r>
        <w:rPr>
          <w:b w:val="0"/>
          <w:color w:val="auto"/>
          <w:kern w:val="2"/>
          <w:sz w:val="24"/>
          <w:szCs w:val="24"/>
          <w:lang w:val="en-US"/>
        </w:rPr>
        <w:t xml:space="preserve">。 </w:t>
      </w:r>
    </w:p>
    <w:p>
      <w:pPr>
        <w:numPr>
          <w:ilvl w:val="1"/>
          <w:numId w:val="2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根据《中华人民共和国政府采购法实施条例》第四十三条的规定，公告内容应当包括主要中标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99" w:name="_Toc494198889"/>
      <w:bookmarkStart w:id="100" w:name="_Toc496605596"/>
      <w:bookmarkStart w:id="101" w:name="_Toc500492692"/>
      <w:bookmarkStart w:id="102" w:name="_Toc183682354"/>
      <w:bookmarkStart w:id="103" w:name="_Toc217446048"/>
      <w:bookmarkStart w:id="104" w:name="_Toc183582217"/>
      <w:r>
        <w:rPr>
          <w:rFonts w:hint="eastAsia"/>
          <w:bCs/>
          <w:color w:val="auto"/>
          <w:kern w:val="2"/>
          <w:sz w:val="24"/>
          <w:szCs w:val="24"/>
          <w:lang w:val="en-US"/>
        </w:rPr>
        <w:t>投标文件的组成</w:t>
      </w:r>
      <w:bookmarkEnd w:id="99"/>
      <w:bookmarkEnd w:id="100"/>
      <w:bookmarkEnd w:id="101"/>
      <w:bookmarkEnd w:id="102"/>
      <w:bookmarkEnd w:id="103"/>
      <w:bookmarkEnd w:id="104"/>
    </w:p>
    <w:p>
      <w:pPr>
        <w:spacing w:line="520" w:lineRule="exact"/>
        <w:ind w:firstLine="482"/>
        <w:rPr>
          <w:color w:val="auto"/>
          <w:kern w:val="2"/>
          <w:sz w:val="24"/>
          <w:szCs w:val="24"/>
          <w:lang w:val="en-US"/>
        </w:rPr>
      </w:pPr>
      <w:r>
        <w:rPr>
          <w:rFonts w:hint="eastAsia"/>
          <w:color w:val="auto"/>
          <w:kern w:val="2"/>
          <w:sz w:val="24"/>
          <w:szCs w:val="24"/>
          <w:lang w:val="en-US"/>
        </w:rPr>
        <w:t>投标人编写的投标文件应包括资格性投标文件和其他投标文件两部分，分册装订，否则作无效投标处理。</w:t>
      </w:r>
    </w:p>
    <w:p>
      <w:pPr>
        <w:spacing w:line="520" w:lineRule="exact"/>
        <w:ind w:firstLine="482"/>
        <w:rPr>
          <w:b w:val="0"/>
          <w:color w:val="auto"/>
          <w:kern w:val="2"/>
          <w:sz w:val="24"/>
          <w:szCs w:val="24"/>
          <w:lang w:val="en-US"/>
        </w:rPr>
      </w:pPr>
      <w:r>
        <w:rPr>
          <w:rFonts w:hint="eastAsia"/>
          <w:color w:val="auto"/>
          <w:kern w:val="2"/>
          <w:sz w:val="24"/>
          <w:szCs w:val="24"/>
          <w:lang w:val="en-US"/>
        </w:rPr>
        <w:t>资格性投标文件用于资格审查，应包括投标人响应招标文件要求的资格条件的所有证明材料。（详见招标文件第4章、第5章）</w:t>
      </w:r>
    </w:p>
    <w:p>
      <w:pPr>
        <w:spacing w:line="520" w:lineRule="exact"/>
        <w:ind w:firstLine="482"/>
        <w:rPr>
          <w:b w:val="0"/>
          <w:color w:val="auto"/>
          <w:kern w:val="2"/>
          <w:sz w:val="24"/>
          <w:szCs w:val="24"/>
          <w:lang w:val="en-US"/>
        </w:rPr>
      </w:pPr>
      <w:r>
        <w:rPr>
          <w:rFonts w:hint="eastAsia"/>
          <w:color w:val="auto"/>
          <w:kern w:val="2"/>
          <w:sz w:val="24"/>
          <w:szCs w:val="24"/>
          <w:lang w:val="en-US"/>
        </w:rPr>
        <w:t>其他投标文件用于符合性审查和综合评审，包括投标人响应招标文件要求的资格条件以外的所有材料（详见招标文件第3章），包括下列部分：</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投标函</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服务偏离表</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商务应答表</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投标人基本情况表</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实施本项目的主要人员情况表</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项目实施方案</w:t>
      </w:r>
    </w:p>
    <w:p>
      <w:pPr>
        <w:numPr>
          <w:ilvl w:val="0"/>
          <w:numId w:val="28"/>
        </w:numPr>
        <w:tabs>
          <w:tab w:val="left" w:pos="1060"/>
          <w:tab w:val="left" w:pos="1260"/>
        </w:tabs>
        <w:spacing w:line="520" w:lineRule="exact"/>
        <w:ind w:firstLineChars="0"/>
        <w:rPr>
          <w:b w:val="0"/>
          <w:bCs/>
          <w:color w:val="auto"/>
          <w:kern w:val="2"/>
          <w:sz w:val="24"/>
          <w:szCs w:val="24"/>
          <w:lang w:val="en-US"/>
        </w:rPr>
      </w:pPr>
      <w:r>
        <w:rPr>
          <w:rFonts w:hint="eastAsia"/>
          <w:b w:val="0"/>
          <w:bCs/>
          <w:color w:val="auto"/>
          <w:kern w:val="2"/>
          <w:sz w:val="24"/>
          <w:szCs w:val="24"/>
          <w:lang w:val="en-US"/>
        </w:rPr>
        <w:t>★承诺函</w:t>
      </w:r>
    </w:p>
    <w:p>
      <w:pPr>
        <w:numPr>
          <w:ilvl w:val="0"/>
          <w:numId w:val="28"/>
        </w:numPr>
        <w:tabs>
          <w:tab w:val="left" w:pos="1060"/>
          <w:tab w:val="left" w:pos="1260"/>
        </w:tabs>
        <w:spacing w:line="520" w:lineRule="exact"/>
        <w:ind w:firstLineChars="0"/>
        <w:rPr>
          <w:b w:val="0"/>
          <w:bCs/>
          <w:color w:val="auto"/>
          <w:kern w:val="2"/>
          <w:sz w:val="24"/>
          <w:szCs w:val="24"/>
          <w:lang w:val="en-US"/>
        </w:rPr>
      </w:pPr>
      <w:r>
        <w:rPr>
          <w:rFonts w:hint="eastAsia"/>
          <w:b w:val="0"/>
          <w:bCs/>
          <w:color w:val="auto"/>
          <w:kern w:val="2"/>
          <w:sz w:val="24"/>
          <w:szCs w:val="24"/>
          <w:lang w:val="en-US"/>
        </w:rPr>
        <w:t>知识产权承诺函</w:t>
      </w:r>
    </w:p>
    <w:p>
      <w:pPr>
        <w:numPr>
          <w:ilvl w:val="0"/>
          <w:numId w:val="28"/>
        </w:numPr>
        <w:tabs>
          <w:tab w:val="left" w:pos="1060"/>
          <w:tab w:val="left" w:pos="1260"/>
        </w:tabs>
        <w:spacing w:line="520" w:lineRule="exact"/>
        <w:ind w:firstLineChars="0"/>
        <w:rPr>
          <w:b w:val="0"/>
          <w:color w:val="auto"/>
          <w:kern w:val="2"/>
          <w:sz w:val="24"/>
          <w:szCs w:val="24"/>
          <w:lang w:val="en-US"/>
        </w:rPr>
      </w:pPr>
      <w:r>
        <w:rPr>
          <w:rFonts w:hint="eastAsia"/>
          <w:b w:val="0"/>
          <w:color w:val="auto"/>
          <w:kern w:val="2"/>
          <w:sz w:val="24"/>
          <w:szCs w:val="24"/>
          <w:lang w:val="en-US"/>
        </w:rPr>
        <w:t>投标人认为需要提供的其他文件和资料</w:t>
      </w:r>
    </w:p>
    <w:p>
      <w:pPr>
        <w:spacing w:line="520" w:lineRule="exact"/>
        <w:ind w:firstLine="482"/>
        <w:rPr>
          <w:color w:val="auto"/>
          <w:kern w:val="2"/>
          <w:sz w:val="24"/>
          <w:szCs w:val="24"/>
          <w:lang w:val="en-US"/>
        </w:rPr>
      </w:pPr>
      <w:r>
        <w:rPr>
          <w:rFonts w:hint="eastAsia"/>
          <w:color w:val="auto"/>
          <w:kern w:val="2"/>
          <w:sz w:val="24"/>
          <w:szCs w:val="24"/>
          <w:lang w:val="en-US"/>
        </w:rPr>
        <w:t>开标一览表</w:t>
      </w:r>
    </w:p>
    <w:p>
      <w:pPr>
        <w:tabs>
          <w:tab w:val="left" w:pos="1060"/>
          <w:tab w:val="left" w:pos="1260"/>
        </w:tabs>
        <w:spacing w:line="520" w:lineRule="exact"/>
        <w:ind w:firstLine="480"/>
        <w:rPr>
          <w:b w:val="0"/>
          <w:color w:val="auto"/>
          <w:kern w:val="2"/>
          <w:sz w:val="24"/>
          <w:szCs w:val="24"/>
          <w:lang w:val="en-US"/>
        </w:rPr>
      </w:pPr>
      <w:r>
        <w:rPr>
          <w:rFonts w:hint="eastAsia"/>
          <w:b w:val="0"/>
          <w:color w:val="auto"/>
          <w:kern w:val="2"/>
          <w:sz w:val="24"/>
          <w:szCs w:val="24"/>
          <w:lang w:val="en-US"/>
        </w:rPr>
        <w:t>开标一览表单独密封提交，投标文件中可不装订该项内容。</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05" w:name="_Toc494198890"/>
      <w:bookmarkStart w:id="106" w:name="_Toc183582218"/>
      <w:bookmarkStart w:id="107" w:name="_Toc500492693"/>
      <w:bookmarkStart w:id="108" w:name="_Toc496605597"/>
      <w:bookmarkStart w:id="109" w:name="_Toc217446049"/>
      <w:bookmarkStart w:id="110" w:name="_Toc183682355"/>
      <w:r>
        <w:rPr>
          <w:rFonts w:hint="eastAsia"/>
          <w:bCs/>
          <w:color w:val="auto"/>
          <w:kern w:val="2"/>
          <w:sz w:val="24"/>
          <w:szCs w:val="24"/>
          <w:lang w:val="en-US"/>
        </w:rPr>
        <w:t>投标文件格式</w:t>
      </w:r>
      <w:bookmarkEnd w:id="105"/>
      <w:bookmarkEnd w:id="106"/>
      <w:bookmarkEnd w:id="107"/>
      <w:bookmarkEnd w:id="108"/>
      <w:bookmarkEnd w:id="109"/>
      <w:bookmarkEnd w:id="110"/>
      <w:r>
        <w:rPr>
          <w:bCs/>
          <w:color w:val="auto"/>
          <w:kern w:val="2"/>
          <w:sz w:val="24"/>
          <w:szCs w:val="24"/>
          <w:lang w:val="en-US"/>
        </w:rPr>
        <w:tab/>
      </w:r>
    </w:p>
    <w:p>
      <w:pPr>
        <w:numPr>
          <w:ilvl w:val="1"/>
          <w:numId w:val="29"/>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投标人应严格按照招标文件第3章中提供的“投标文件格式”填写相关内容。</w:t>
      </w:r>
    </w:p>
    <w:p>
      <w:pPr>
        <w:numPr>
          <w:ilvl w:val="1"/>
          <w:numId w:val="29"/>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对于没有格式要求的投标文件由投标人自行编写。</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11" w:name="_Toc263753546"/>
      <w:bookmarkStart w:id="112" w:name="_Toc500492694"/>
      <w:bookmarkStart w:id="113" w:name="_Toc298399331"/>
      <w:bookmarkStart w:id="114" w:name="_Toc263768807"/>
      <w:bookmarkStart w:id="115" w:name="_Toc496605598"/>
      <w:bookmarkStart w:id="116" w:name="_Toc494198891"/>
      <w:r>
        <w:rPr>
          <w:rFonts w:hint="eastAsia"/>
          <w:bCs/>
          <w:color w:val="auto"/>
          <w:kern w:val="2"/>
          <w:sz w:val="24"/>
          <w:szCs w:val="24"/>
          <w:lang w:val="en-US"/>
        </w:rPr>
        <w:t>投标报价</w:t>
      </w:r>
      <w:bookmarkEnd w:id="111"/>
      <w:bookmarkEnd w:id="112"/>
      <w:bookmarkEnd w:id="113"/>
      <w:bookmarkEnd w:id="114"/>
      <w:bookmarkEnd w:id="115"/>
      <w:bookmarkEnd w:id="116"/>
    </w:p>
    <w:p>
      <w:pPr>
        <w:numPr>
          <w:ilvl w:val="1"/>
          <w:numId w:val="3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投标人的报价是投标人响应招标项目要求的全部工作内容的价格体现，包括投标人完成本项目所需的一切费用。</w:t>
      </w:r>
    </w:p>
    <w:p>
      <w:pPr>
        <w:numPr>
          <w:ilvl w:val="1"/>
          <w:numId w:val="30"/>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投标人对每一种服务的报价，在合同履行过程中是固定不变的。</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17" w:name="_Toc183682360"/>
      <w:bookmarkStart w:id="118" w:name="_Toc217446050"/>
      <w:bookmarkStart w:id="119" w:name="_Toc496605599"/>
      <w:bookmarkStart w:id="120" w:name="_Toc494198892"/>
      <w:bookmarkStart w:id="121" w:name="_Toc183582223"/>
      <w:bookmarkStart w:id="122" w:name="_Toc500492695"/>
      <w:r>
        <w:rPr>
          <w:rFonts w:hint="eastAsia"/>
          <w:bCs/>
          <w:color w:val="auto"/>
          <w:kern w:val="2"/>
          <w:sz w:val="24"/>
          <w:szCs w:val="24"/>
          <w:lang w:val="en-US"/>
        </w:rPr>
        <w:t>投标保证金</w:t>
      </w:r>
      <w:bookmarkEnd w:id="117"/>
      <w:bookmarkEnd w:id="118"/>
      <w:bookmarkEnd w:id="119"/>
      <w:bookmarkEnd w:id="120"/>
      <w:bookmarkEnd w:id="121"/>
      <w:bookmarkEnd w:id="122"/>
    </w:p>
    <w:p>
      <w:pPr>
        <w:spacing w:line="520" w:lineRule="exact"/>
        <w:ind w:firstLine="480"/>
        <w:rPr>
          <w:b w:val="0"/>
          <w:color w:val="auto"/>
          <w:kern w:val="2"/>
          <w:sz w:val="24"/>
          <w:szCs w:val="24"/>
          <w:lang w:val="en-US"/>
        </w:rPr>
      </w:pPr>
      <w:r>
        <w:rPr>
          <w:rFonts w:hint="eastAsia"/>
          <w:b w:val="0"/>
          <w:color w:val="auto"/>
          <w:kern w:val="2"/>
          <w:sz w:val="24"/>
          <w:szCs w:val="24"/>
          <w:lang w:val="en-US"/>
        </w:rPr>
        <w:t>本项目不作要求。</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23" w:name="_Toc496605600"/>
      <w:bookmarkStart w:id="124" w:name="_Toc183682361"/>
      <w:bookmarkStart w:id="125" w:name="_Toc500492696"/>
      <w:bookmarkStart w:id="126" w:name="_Toc183582224"/>
      <w:bookmarkStart w:id="127" w:name="_Toc494198893"/>
      <w:bookmarkStart w:id="128" w:name="_Toc217446051"/>
      <w:r>
        <w:rPr>
          <w:rFonts w:hint="eastAsia"/>
          <w:bCs/>
          <w:color w:val="auto"/>
          <w:kern w:val="2"/>
          <w:sz w:val="24"/>
          <w:szCs w:val="24"/>
          <w:lang w:val="en-US"/>
        </w:rPr>
        <w:t>投标有效期</w:t>
      </w:r>
      <w:bookmarkEnd w:id="123"/>
      <w:bookmarkEnd w:id="124"/>
      <w:bookmarkEnd w:id="125"/>
      <w:bookmarkEnd w:id="126"/>
      <w:bookmarkEnd w:id="127"/>
      <w:bookmarkEnd w:id="128"/>
    </w:p>
    <w:p>
      <w:pPr>
        <w:numPr>
          <w:ilvl w:val="1"/>
          <w:numId w:val="3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投标有效期</w:t>
      </w:r>
      <w:r>
        <w:rPr>
          <w:b w:val="0"/>
          <w:color w:val="auto"/>
          <w:kern w:val="2"/>
          <w:sz w:val="24"/>
          <w:szCs w:val="24"/>
          <w:lang w:val="en-US"/>
        </w:rPr>
        <w:t>从提交投标文件的截止之日起</w:t>
      </w:r>
      <w:r>
        <w:rPr>
          <w:rFonts w:hint="eastAsia"/>
          <w:b w:val="0"/>
          <w:color w:val="auto"/>
          <w:kern w:val="2"/>
          <w:sz w:val="24"/>
          <w:szCs w:val="24"/>
          <w:lang w:val="en-US"/>
        </w:rPr>
        <w:t>90天。投标文件中必须载明投标有效期，投标文件中载明的投标有效期可以长于招标文件规定的期限，但不得短于招标文件规定期限，否则，其投标文件将按无效投标文件处理。</w:t>
      </w:r>
    </w:p>
    <w:p>
      <w:pPr>
        <w:numPr>
          <w:ilvl w:val="1"/>
          <w:numId w:val="3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投标人不能修改其投标文件。</w:t>
      </w:r>
    </w:p>
    <w:p>
      <w:pPr>
        <w:numPr>
          <w:ilvl w:val="1"/>
          <w:numId w:val="3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因采购人采购需求作出必要调整，采购人可于投标有效期届满之前与投标人协商延长投标有效期。投标人拒绝延长投标有效期的，不得再参与该项目后续采购活动，但由此给投标人造成的损失，采购人应当予以适当赔偿或者合理补偿。投标人同意延长投标有效期的，投标人不能修改其投标文件。</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29" w:name="_Toc263768809"/>
      <w:bookmarkStart w:id="130" w:name="_Toc295978769"/>
      <w:bookmarkStart w:id="131" w:name="_Toc500492697"/>
      <w:bookmarkStart w:id="132" w:name="_Toc494198894"/>
      <w:bookmarkStart w:id="133" w:name="_Toc496605601"/>
      <w:bookmarkStart w:id="134" w:name="_Toc263753548"/>
      <w:r>
        <w:rPr>
          <w:rFonts w:hint="eastAsia"/>
          <w:bCs/>
          <w:color w:val="auto"/>
          <w:kern w:val="2"/>
          <w:sz w:val="24"/>
          <w:szCs w:val="24"/>
          <w:lang w:val="en-US"/>
        </w:rPr>
        <w:t>投标文件的印制和签署</w:t>
      </w:r>
      <w:bookmarkEnd w:id="129"/>
      <w:bookmarkEnd w:id="130"/>
      <w:bookmarkEnd w:id="131"/>
      <w:bookmarkEnd w:id="132"/>
      <w:bookmarkEnd w:id="133"/>
      <w:bookmarkEnd w:id="134"/>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资格性投标文件正本一份副本两份，正副本数量不足的按无效投标处理。资格性投标文件正本和副本应分别制作。资格性投标文件封面上清楚地标明资格性投标文件、采购项目名称、项目编号、供应商名称以及“正本”或“副本”字样。若正本和副本有不一致的内容，以正本书面投标文件为准。</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其他投标文件正本一份副本两份，正副本数量不足的按无效响应处理。其他投标文件正本和副本应分别制作。其他投标文件封面上清楚地标明其他投标文件、采购项目名称、项目编号、供应商名称以及“正本”或“副本”字样。若正本和副本有不一致的内容，以正本书面投标文件为准。</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投标文件的打印和书写清楚工整。</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投标文件编制目录并逐页编码。</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投标文件统一用</w:t>
      </w:r>
      <w:r>
        <w:rPr>
          <w:b w:val="0"/>
          <w:color w:val="auto"/>
          <w:kern w:val="2"/>
          <w:sz w:val="24"/>
          <w:szCs w:val="24"/>
          <w:lang w:val="en-US"/>
        </w:rPr>
        <w:t>A4</w:t>
      </w:r>
      <w:r>
        <w:rPr>
          <w:rFonts w:hint="eastAsia"/>
          <w:b w:val="0"/>
          <w:color w:val="auto"/>
          <w:kern w:val="2"/>
          <w:sz w:val="24"/>
          <w:szCs w:val="24"/>
          <w:lang w:val="en-US"/>
        </w:rPr>
        <w:t>幅面纸印制，另有规定除外。</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应在招标文件要求签字的地方签字或加盖印章（投标人为法人的，由其法定代表人或者代理人签字或加盖印章；投标人为其他组织的，由其负责人或者代理人签字或加盖印章；投标人为自然人的，由其本人或者代理人签字或加盖印章），要求加盖公章的地方加盖单位公章，不得使用专用章（如经济合同章、投标专用章等）或下属单位印章代替，本招标文件要求加盖公章均指要求加盖公章鲜章，否则，作无效投标处理，但招标文件另有规定的除外。</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投标文件中任何行间插字、涂改或增删，必须由投标人的法定代表人或其授权代表签字并盖供应商公章，否则，作无效投标处理，但招标文件另有规定的除外。</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投标文件正本和副本应当采用胶装方式装订成册，不得散装或者合页装订。</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投标文件应根据招标文件的要求制作，投标文件副本可采用正本的复印件。</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一览表应按招标要求在要求签字或加盖印章的地方签字或加盖印章，要求加盖公章的地方加盖公章，开标一览表应为原件，否则，作无效投标处理，但招标文件另有规定的除外。唱标的开标一览表与投标文件中的开标一览表（若提供）不一致的，以唱标的开标一览表为准。</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提供的电子文档为两份，一份为投标文件Word或WPS版本，一份为PDF版本。电子文档保存介质推荐使用USB闪存盘（U盘）。PDF版的电子文档可以为按招标文件要求制作完成并加盖相应公章及签名的投标文件的扫描件；也可为加盖了相应电子签名或电子印章的投标文件电子文档。</w:t>
      </w:r>
    </w:p>
    <w:p>
      <w:pPr>
        <w:numPr>
          <w:ilvl w:val="1"/>
          <w:numId w:val="3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若电子文档与书面投标文件有不一致的内容，以正本书面投标文件为准。</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35" w:name="_Toc263768811"/>
      <w:bookmarkStart w:id="136" w:name="_Toc295978770"/>
      <w:bookmarkStart w:id="137" w:name="_Toc263753550"/>
      <w:bookmarkStart w:id="138" w:name="_Toc494198895"/>
      <w:bookmarkStart w:id="139" w:name="_Toc500492698"/>
      <w:bookmarkStart w:id="140" w:name="_Toc496605602"/>
      <w:r>
        <w:rPr>
          <w:rFonts w:hint="eastAsia"/>
          <w:bCs/>
          <w:color w:val="auto"/>
          <w:kern w:val="2"/>
          <w:sz w:val="24"/>
          <w:szCs w:val="24"/>
          <w:lang w:val="en-US"/>
        </w:rPr>
        <w:t>投标文件、开标一览表和电子文档的包装、密封和标</w:t>
      </w:r>
      <w:bookmarkEnd w:id="135"/>
      <w:bookmarkEnd w:id="136"/>
      <w:bookmarkEnd w:id="137"/>
      <w:r>
        <w:rPr>
          <w:rFonts w:hint="eastAsia"/>
          <w:bCs/>
          <w:color w:val="auto"/>
          <w:kern w:val="2"/>
          <w:sz w:val="24"/>
          <w:szCs w:val="24"/>
          <w:lang w:val="en-US"/>
        </w:rPr>
        <w:t>注</w:t>
      </w:r>
      <w:bookmarkEnd w:id="138"/>
      <w:bookmarkEnd w:id="139"/>
      <w:bookmarkEnd w:id="140"/>
      <w:r>
        <w:rPr>
          <w:rFonts w:hint="eastAsia"/>
          <w:bCs/>
          <w:color w:val="auto"/>
          <w:kern w:val="2"/>
          <w:sz w:val="24"/>
          <w:szCs w:val="24"/>
          <w:lang w:val="en-US"/>
        </w:rPr>
        <w:t>（不属于本项目评标委员会评审范畴，由采购人、采购代理机构在接收时及时处理）</w:t>
      </w:r>
    </w:p>
    <w:p>
      <w:pPr>
        <w:keepLines/>
        <w:numPr>
          <w:ilvl w:val="3"/>
          <w:numId w:val="16"/>
        </w:numPr>
        <w:tabs>
          <w:tab w:val="left" w:pos="360"/>
        </w:tabs>
        <w:spacing w:line="520" w:lineRule="exact"/>
        <w:ind w:left="0" w:firstLine="482"/>
        <w:outlineLvl w:val="3"/>
        <w:rPr>
          <w:bCs/>
          <w:color w:val="auto"/>
          <w:kern w:val="2"/>
          <w:sz w:val="24"/>
          <w:szCs w:val="24"/>
          <w:lang w:val="en-US"/>
        </w:rPr>
      </w:pPr>
      <w:r>
        <w:rPr>
          <w:rFonts w:hint="eastAsia"/>
          <w:bCs/>
          <w:color w:val="auto"/>
          <w:kern w:val="2"/>
          <w:sz w:val="24"/>
          <w:szCs w:val="24"/>
          <w:lang w:val="en-US"/>
        </w:rPr>
        <w:t xml:space="preserve"> 投标文件正本、副本的包装和密封、标注</w:t>
      </w:r>
    </w:p>
    <w:p>
      <w:pPr>
        <w:numPr>
          <w:ilvl w:val="1"/>
          <w:numId w:val="3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资格性投标文件和其他投标文件应分别密封包装。</w:t>
      </w:r>
    </w:p>
    <w:p>
      <w:pPr>
        <w:numPr>
          <w:ilvl w:val="1"/>
          <w:numId w:val="3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每一个包装的最外层应标明采购项目名称、采购项目编号、“资格性投标文件”或“其他投标文件”、投标人名称，以及“开标时间之前不准启封” 或“</w:t>
      </w:r>
      <w:r>
        <w:rPr>
          <w:b w:val="0"/>
          <w:color w:val="auto"/>
          <w:kern w:val="2"/>
          <w:sz w:val="24"/>
          <w:szCs w:val="24"/>
          <w:lang w:val="en-US"/>
        </w:rPr>
        <w:t>20</w:t>
      </w:r>
      <w:r>
        <w:rPr>
          <w:rFonts w:hint="eastAsia"/>
          <w:b w:val="0"/>
          <w:color w:val="auto"/>
          <w:kern w:val="2"/>
          <w:sz w:val="24"/>
          <w:szCs w:val="24"/>
          <w:u w:val="single"/>
          <w:lang w:val="en-US"/>
        </w:rPr>
        <w:t xml:space="preserve">   </w:t>
      </w:r>
      <w:r>
        <w:rPr>
          <w:b w:val="0"/>
          <w:color w:val="auto"/>
          <w:kern w:val="2"/>
          <w:sz w:val="24"/>
          <w:szCs w:val="24"/>
          <w:lang w:val="en-US"/>
        </w:rPr>
        <w:t>年</w:t>
      </w:r>
      <w:r>
        <w:rPr>
          <w:b w:val="0"/>
          <w:color w:val="auto"/>
          <w:kern w:val="2"/>
          <w:sz w:val="24"/>
          <w:szCs w:val="24"/>
          <w:u w:val="single"/>
          <w:lang w:val="en-US"/>
        </w:rPr>
        <w:t xml:space="preserve">   </w:t>
      </w:r>
      <w:r>
        <w:rPr>
          <w:b w:val="0"/>
          <w:color w:val="auto"/>
          <w:kern w:val="2"/>
          <w:sz w:val="24"/>
          <w:szCs w:val="24"/>
          <w:lang w:val="en-US"/>
        </w:rPr>
        <w:t>月</w:t>
      </w:r>
      <w:r>
        <w:rPr>
          <w:b w:val="0"/>
          <w:color w:val="auto"/>
          <w:kern w:val="2"/>
          <w:sz w:val="24"/>
          <w:szCs w:val="24"/>
          <w:u w:val="single"/>
          <w:lang w:val="en-US"/>
        </w:rPr>
        <w:t xml:space="preserve">   </w:t>
      </w:r>
      <w:r>
        <w:rPr>
          <w:b w:val="0"/>
          <w:color w:val="auto"/>
          <w:kern w:val="2"/>
          <w:sz w:val="24"/>
          <w:szCs w:val="24"/>
          <w:lang w:val="en-US"/>
        </w:rPr>
        <w:t>日</w:t>
      </w:r>
      <w:r>
        <w:rPr>
          <w:rFonts w:hint="eastAsia"/>
          <w:b w:val="0"/>
          <w:color w:val="auto"/>
          <w:kern w:val="2"/>
          <w:sz w:val="24"/>
          <w:szCs w:val="24"/>
          <w:u w:val="single"/>
          <w:lang w:val="en-US"/>
        </w:rPr>
        <w:t xml:space="preserve">   </w:t>
      </w:r>
      <w:r>
        <w:rPr>
          <w:b w:val="0"/>
          <w:color w:val="auto"/>
          <w:kern w:val="2"/>
          <w:sz w:val="24"/>
          <w:szCs w:val="24"/>
          <w:lang w:val="en-US"/>
        </w:rPr>
        <w:t>:</w:t>
      </w:r>
      <w:r>
        <w:rPr>
          <w:rFonts w:hint="eastAsia"/>
          <w:b w:val="0"/>
          <w:color w:val="auto"/>
          <w:kern w:val="2"/>
          <w:sz w:val="24"/>
          <w:szCs w:val="24"/>
          <w:u w:val="single"/>
          <w:lang w:val="en-US"/>
        </w:rPr>
        <w:t xml:space="preserve">   </w:t>
      </w:r>
      <w:r>
        <w:rPr>
          <w:rFonts w:hint="eastAsia"/>
          <w:b w:val="0"/>
          <w:color w:val="auto"/>
          <w:kern w:val="2"/>
          <w:sz w:val="24"/>
          <w:szCs w:val="24"/>
          <w:lang w:val="en-US"/>
        </w:rPr>
        <w:t>前不准启封”的内容，并加盖投标人公章。</w:t>
      </w:r>
    </w:p>
    <w:p>
      <w:pPr>
        <w:keepLines/>
        <w:numPr>
          <w:ilvl w:val="3"/>
          <w:numId w:val="16"/>
        </w:numPr>
        <w:tabs>
          <w:tab w:val="left" w:pos="360"/>
        </w:tabs>
        <w:spacing w:line="520" w:lineRule="exact"/>
        <w:ind w:left="0" w:firstLine="482"/>
        <w:outlineLvl w:val="3"/>
        <w:rPr>
          <w:bCs/>
          <w:color w:val="auto"/>
          <w:kern w:val="2"/>
          <w:sz w:val="24"/>
          <w:szCs w:val="24"/>
          <w:lang w:val="en-US"/>
        </w:rPr>
      </w:pPr>
      <w:r>
        <w:rPr>
          <w:rFonts w:hint="eastAsia"/>
          <w:bCs/>
          <w:color w:val="auto"/>
          <w:kern w:val="2"/>
          <w:sz w:val="24"/>
          <w:szCs w:val="24"/>
          <w:lang w:val="en-US"/>
        </w:rPr>
        <w:t>开标一览表的包装和密封、标注</w:t>
      </w:r>
    </w:p>
    <w:p>
      <w:pPr>
        <w:numPr>
          <w:ilvl w:val="1"/>
          <w:numId w:val="3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为方便开标唱标，投标人应将开标一览表分别制作并与投标文件分开单独包装，投标时，同时递交。</w:t>
      </w:r>
    </w:p>
    <w:p>
      <w:pPr>
        <w:numPr>
          <w:ilvl w:val="1"/>
          <w:numId w:val="3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每一个包装的最外层应标明采购项目名称、采购项目编号、投标人名称，以及“开标时间之前不准启封” 或“</w:t>
      </w:r>
      <w:r>
        <w:rPr>
          <w:b w:val="0"/>
          <w:color w:val="auto"/>
          <w:kern w:val="2"/>
          <w:sz w:val="24"/>
          <w:szCs w:val="24"/>
          <w:lang w:val="en-US"/>
        </w:rPr>
        <w:t>20</w:t>
      </w:r>
      <w:r>
        <w:rPr>
          <w:rFonts w:hint="eastAsia"/>
          <w:b w:val="0"/>
          <w:color w:val="auto"/>
          <w:kern w:val="2"/>
          <w:sz w:val="24"/>
          <w:szCs w:val="24"/>
          <w:u w:val="single"/>
          <w:lang w:val="en-US"/>
        </w:rPr>
        <w:t xml:space="preserve">   </w:t>
      </w:r>
      <w:r>
        <w:rPr>
          <w:b w:val="0"/>
          <w:color w:val="auto"/>
          <w:kern w:val="2"/>
          <w:sz w:val="24"/>
          <w:szCs w:val="24"/>
          <w:lang w:val="en-US"/>
        </w:rPr>
        <w:t>年</w:t>
      </w:r>
      <w:r>
        <w:rPr>
          <w:b w:val="0"/>
          <w:color w:val="auto"/>
          <w:kern w:val="2"/>
          <w:sz w:val="24"/>
          <w:szCs w:val="24"/>
          <w:u w:val="single"/>
          <w:lang w:val="en-US"/>
        </w:rPr>
        <w:t xml:space="preserve">   </w:t>
      </w:r>
      <w:r>
        <w:rPr>
          <w:b w:val="0"/>
          <w:color w:val="auto"/>
          <w:kern w:val="2"/>
          <w:sz w:val="24"/>
          <w:szCs w:val="24"/>
          <w:lang w:val="en-US"/>
        </w:rPr>
        <w:t>月</w:t>
      </w:r>
      <w:r>
        <w:rPr>
          <w:b w:val="0"/>
          <w:color w:val="auto"/>
          <w:kern w:val="2"/>
          <w:sz w:val="24"/>
          <w:szCs w:val="24"/>
          <w:u w:val="single"/>
          <w:lang w:val="en-US"/>
        </w:rPr>
        <w:t xml:space="preserve">   </w:t>
      </w:r>
      <w:r>
        <w:rPr>
          <w:b w:val="0"/>
          <w:color w:val="auto"/>
          <w:kern w:val="2"/>
          <w:sz w:val="24"/>
          <w:szCs w:val="24"/>
          <w:lang w:val="en-US"/>
        </w:rPr>
        <w:t>日</w:t>
      </w:r>
      <w:r>
        <w:rPr>
          <w:rFonts w:hint="eastAsia"/>
          <w:b w:val="0"/>
          <w:color w:val="auto"/>
          <w:kern w:val="2"/>
          <w:sz w:val="24"/>
          <w:szCs w:val="24"/>
          <w:u w:val="single"/>
          <w:lang w:val="en-US"/>
        </w:rPr>
        <w:t xml:space="preserve">   </w:t>
      </w:r>
      <w:r>
        <w:rPr>
          <w:b w:val="0"/>
          <w:color w:val="auto"/>
          <w:kern w:val="2"/>
          <w:sz w:val="24"/>
          <w:szCs w:val="24"/>
          <w:lang w:val="en-US"/>
        </w:rPr>
        <w:t>:</w:t>
      </w:r>
      <w:r>
        <w:rPr>
          <w:rFonts w:hint="eastAsia"/>
          <w:b w:val="0"/>
          <w:color w:val="auto"/>
          <w:kern w:val="2"/>
          <w:sz w:val="24"/>
          <w:szCs w:val="24"/>
          <w:u w:val="single"/>
          <w:lang w:val="en-US"/>
        </w:rPr>
        <w:t xml:space="preserve">   </w:t>
      </w:r>
      <w:r>
        <w:rPr>
          <w:rFonts w:hint="eastAsia"/>
          <w:b w:val="0"/>
          <w:color w:val="auto"/>
          <w:kern w:val="2"/>
          <w:sz w:val="24"/>
          <w:szCs w:val="24"/>
          <w:lang w:val="en-US"/>
        </w:rPr>
        <w:t>前不准启封”的内容，并加盖投标人公章。</w:t>
      </w:r>
    </w:p>
    <w:p>
      <w:pPr>
        <w:keepLines/>
        <w:numPr>
          <w:ilvl w:val="3"/>
          <w:numId w:val="16"/>
        </w:numPr>
        <w:tabs>
          <w:tab w:val="left" w:pos="360"/>
        </w:tabs>
        <w:spacing w:line="520" w:lineRule="exact"/>
        <w:ind w:left="0" w:firstLine="482"/>
        <w:outlineLvl w:val="3"/>
        <w:rPr>
          <w:bCs/>
          <w:color w:val="auto"/>
          <w:kern w:val="2"/>
          <w:sz w:val="24"/>
          <w:szCs w:val="24"/>
          <w:lang w:val="en-US"/>
        </w:rPr>
      </w:pPr>
      <w:r>
        <w:rPr>
          <w:rFonts w:hint="eastAsia"/>
          <w:bCs/>
          <w:color w:val="auto"/>
          <w:kern w:val="2"/>
          <w:sz w:val="24"/>
          <w:szCs w:val="24"/>
          <w:lang w:val="en-US"/>
        </w:rPr>
        <w:t>电子文档的包装和密封、标注</w:t>
      </w:r>
    </w:p>
    <w:p>
      <w:pPr>
        <w:tabs>
          <w:tab w:val="left" w:pos="0"/>
        </w:tabs>
        <w:spacing w:line="520" w:lineRule="exact"/>
        <w:ind w:firstLine="480"/>
        <w:rPr>
          <w:b w:val="0"/>
          <w:color w:val="auto"/>
          <w:kern w:val="2"/>
          <w:sz w:val="24"/>
          <w:szCs w:val="24"/>
          <w:lang w:val="en-US"/>
        </w:rPr>
      </w:pPr>
      <w:r>
        <w:rPr>
          <w:rFonts w:hint="eastAsia"/>
          <w:b w:val="0"/>
          <w:color w:val="auto"/>
          <w:kern w:val="2"/>
          <w:sz w:val="24"/>
          <w:szCs w:val="24"/>
          <w:lang w:val="en-US"/>
        </w:rPr>
        <w:t>电子文档须单独密封包装，且包装最外层应清楚地标明采购项目名称、采购项目编号及名称、投标人名称以及“电子文档”字样，加盖投标人公章。投标时，与投标文件一起同时递交。</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41" w:name="_Toc496605603"/>
      <w:bookmarkStart w:id="142" w:name="_Toc295978771"/>
      <w:bookmarkStart w:id="143" w:name="_Toc263768812"/>
      <w:bookmarkStart w:id="144" w:name="_Toc500492699"/>
      <w:bookmarkStart w:id="145" w:name="_Toc494198896"/>
      <w:bookmarkStart w:id="146" w:name="_Toc263753551"/>
      <w:r>
        <w:rPr>
          <w:rFonts w:hint="eastAsia"/>
          <w:bCs/>
          <w:color w:val="auto"/>
          <w:kern w:val="2"/>
          <w:sz w:val="24"/>
          <w:szCs w:val="24"/>
          <w:lang w:val="en-US"/>
        </w:rPr>
        <w:t>投标文件的递交</w:t>
      </w:r>
      <w:bookmarkEnd w:id="141"/>
      <w:bookmarkEnd w:id="142"/>
      <w:bookmarkEnd w:id="143"/>
      <w:bookmarkEnd w:id="144"/>
      <w:bookmarkEnd w:id="145"/>
      <w:bookmarkEnd w:id="146"/>
    </w:p>
    <w:p>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文件递交的地点、开标地点、开标时间及递交投标文件的截止时间详见“第1章投标邀请”，投标人应在投标截止时间之前将投标文件送达开标地点。投标截止时间以后送达的投标文件将不予接收，采购人、采购代理机构将告知投标人不予接收的原因。</w:t>
      </w:r>
    </w:p>
    <w:p>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因招标文件的修改推迟投标截止日期的，按四川慧采招标代理有限公司书面通知修改的时间递交。</w:t>
      </w:r>
    </w:p>
    <w:p>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递交投标文件时，报名投标人名称和招标文件的项目名称、编号与投标人名称和招标文件的项目名称、编号必须一致，</w:t>
      </w:r>
      <w:r>
        <w:rPr>
          <w:rFonts w:hint="eastAsia"/>
          <w:color w:val="auto"/>
          <w:kern w:val="2"/>
          <w:sz w:val="24"/>
          <w:szCs w:val="24"/>
          <w:lang w:val="en-US"/>
        </w:rPr>
        <w:t>否则</w:t>
      </w:r>
      <w:r>
        <w:rPr>
          <w:color w:val="auto"/>
          <w:kern w:val="2"/>
          <w:sz w:val="24"/>
          <w:szCs w:val="24"/>
          <w:lang w:val="en-US"/>
        </w:rPr>
        <w:t>采购人、采购代理机构应当拒收</w:t>
      </w:r>
      <w:r>
        <w:rPr>
          <w:rFonts w:hint="eastAsia"/>
          <w:b w:val="0"/>
          <w:color w:val="auto"/>
          <w:kern w:val="2"/>
          <w:sz w:val="24"/>
          <w:szCs w:val="24"/>
          <w:lang w:val="en-US"/>
        </w:rPr>
        <w:t>。</w:t>
      </w:r>
    </w:p>
    <w:p>
      <w:pPr>
        <w:numPr>
          <w:ilvl w:val="1"/>
          <w:numId w:val="3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本次招标接收邮寄的投标文件。邮寄的投标文件符合招标文件包装、密封和标注要求的，由采购代理代签并注明邮寄。</w:t>
      </w:r>
    </w:p>
    <w:p>
      <w:pPr>
        <w:numPr>
          <w:ilvl w:val="1"/>
          <w:numId w:val="35"/>
        </w:numPr>
        <w:tabs>
          <w:tab w:val="left" w:pos="0"/>
        </w:tabs>
        <w:spacing w:line="520" w:lineRule="exact"/>
        <w:ind w:left="0" w:firstLine="482"/>
        <w:rPr>
          <w:b w:val="0"/>
          <w:color w:val="auto"/>
          <w:kern w:val="2"/>
          <w:sz w:val="24"/>
          <w:szCs w:val="24"/>
          <w:lang w:val="en-US"/>
        </w:rPr>
      </w:pPr>
      <w:r>
        <w:rPr>
          <w:rFonts w:hint="eastAsia"/>
          <w:color w:val="auto"/>
          <w:kern w:val="2"/>
          <w:sz w:val="24"/>
          <w:szCs w:val="24"/>
          <w:lang w:val="en-US"/>
        </w:rPr>
        <w:t>资格性投标文件、其他投标文件、开标一览表、电子文档</w:t>
      </w:r>
      <w:r>
        <w:rPr>
          <w:color w:val="auto"/>
          <w:kern w:val="2"/>
          <w:sz w:val="24"/>
          <w:szCs w:val="24"/>
          <w:lang w:val="en-US"/>
        </w:rPr>
        <w:t>未按照招标文件要求</w:t>
      </w:r>
      <w:r>
        <w:rPr>
          <w:rFonts w:hint="eastAsia"/>
          <w:color w:val="auto"/>
          <w:kern w:val="2"/>
          <w:sz w:val="24"/>
          <w:szCs w:val="24"/>
          <w:lang w:val="en-US"/>
        </w:rPr>
        <w:t>包装、</w:t>
      </w:r>
      <w:r>
        <w:rPr>
          <w:color w:val="auto"/>
          <w:kern w:val="2"/>
          <w:sz w:val="24"/>
          <w:szCs w:val="24"/>
          <w:lang w:val="en-US"/>
        </w:rPr>
        <w:t>密封和标注的，采购人、采购代理机构应当拒收</w:t>
      </w:r>
      <w:r>
        <w:rPr>
          <w:rFonts w:hint="eastAsia"/>
          <w:color w:val="auto"/>
          <w:kern w:val="2"/>
          <w:sz w:val="24"/>
          <w:szCs w:val="24"/>
          <w:lang w:val="en-US"/>
        </w:rPr>
        <w:t>。</w:t>
      </w:r>
      <w:r>
        <w:rPr>
          <w:rFonts w:hint="eastAsia"/>
          <w:b w:val="0"/>
          <w:color w:val="auto"/>
          <w:kern w:val="2"/>
          <w:sz w:val="24"/>
          <w:szCs w:val="24"/>
          <w:lang w:val="en-US"/>
        </w:rPr>
        <w:t>投标人可以对不符合包装、密封和标注要求的投标文件进行修改完善后再次递交，但递交时间不得迟于招标文件规定的递交截止时间。</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47" w:name="_Toc494198897"/>
      <w:bookmarkStart w:id="148" w:name="_Toc263753552"/>
      <w:bookmarkStart w:id="149" w:name="_Toc295978772"/>
      <w:bookmarkStart w:id="150" w:name="_Toc500492700"/>
      <w:bookmarkStart w:id="151" w:name="_Toc263768813"/>
      <w:bookmarkStart w:id="152" w:name="_Toc496605604"/>
      <w:r>
        <w:rPr>
          <w:rFonts w:hint="eastAsia"/>
          <w:bCs/>
          <w:color w:val="auto"/>
          <w:kern w:val="2"/>
          <w:sz w:val="24"/>
          <w:szCs w:val="24"/>
          <w:lang w:val="en-US"/>
        </w:rPr>
        <w:t>投标文件的修改和撤回</w:t>
      </w:r>
      <w:bookmarkEnd w:id="147"/>
      <w:bookmarkEnd w:id="148"/>
      <w:bookmarkEnd w:id="149"/>
      <w:bookmarkEnd w:id="150"/>
      <w:bookmarkEnd w:id="151"/>
      <w:bookmarkEnd w:id="152"/>
    </w:p>
    <w:p>
      <w:pPr>
        <w:numPr>
          <w:ilvl w:val="1"/>
          <w:numId w:val="36"/>
        </w:numPr>
        <w:tabs>
          <w:tab w:val="left" w:pos="0"/>
        </w:tabs>
        <w:spacing w:line="520" w:lineRule="exact"/>
        <w:ind w:left="0" w:firstLine="480"/>
        <w:rPr>
          <w:b w:val="0"/>
          <w:color w:val="auto"/>
          <w:kern w:val="2"/>
          <w:sz w:val="24"/>
          <w:szCs w:val="24"/>
          <w:lang w:val="en-US"/>
        </w:rPr>
      </w:pPr>
      <w:r>
        <w:rPr>
          <w:rFonts w:ascii="Arial" w:hAnsi="Arial" w:cs="Arial"/>
          <w:b w:val="0"/>
          <w:color w:val="auto"/>
          <w:sz w:val="24"/>
          <w:szCs w:val="24"/>
        </w:rPr>
        <w:t>投标人在投标截止时间前，可以对所递交的投标文件进行补充、修改或者撤回，并书面通知采购人或者采购代理机构。补充、修改的内容应当按照招标文件要求签署、盖章、密封后，作为投标文件的组成部分。</w:t>
      </w:r>
    </w:p>
    <w:p>
      <w:pPr>
        <w:numPr>
          <w:ilvl w:val="1"/>
          <w:numId w:val="3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投标人修改或撤回的书面通知，应由其法定代表人或授权代理人签署并加盖投标人公章。修改或撤回的书面通知应按第</w:t>
      </w:r>
      <w:r>
        <w:rPr>
          <w:b w:val="0"/>
          <w:color w:val="auto"/>
          <w:kern w:val="2"/>
          <w:sz w:val="24"/>
          <w:szCs w:val="24"/>
          <w:lang w:val="en-US"/>
        </w:rPr>
        <w:t>2.4.1</w:t>
      </w:r>
      <w:r>
        <w:rPr>
          <w:rFonts w:hint="eastAsia"/>
          <w:b w:val="0"/>
          <w:color w:val="auto"/>
          <w:kern w:val="2"/>
          <w:sz w:val="24"/>
          <w:szCs w:val="24"/>
          <w:lang w:val="en-US"/>
        </w:rPr>
        <w:t>2</w:t>
      </w:r>
      <w:r>
        <w:rPr>
          <w:b w:val="0"/>
          <w:color w:val="auto"/>
          <w:kern w:val="2"/>
          <w:sz w:val="24"/>
          <w:szCs w:val="24"/>
          <w:lang w:val="en-US"/>
        </w:rPr>
        <w:t>.</w:t>
      </w:r>
      <w:r>
        <w:rPr>
          <w:rFonts w:hint="eastAsia"/>
          <w:b w:val="0"/>
          <w:color w:val="auto"/>
          <w:kern w:val="2"/>
          <w:sz w:val="24"/>
          <w:szCs w:val="24"/>
          <w:lang w:val="en-US"/>
        </w:rPr>
        <w:t>条、第</w:t>
      </w:r>
      <w:r>
        <w:rPr>
          <w:b w:val="0"/>
          <w:color w:val="auto"/>
          <w:kern w:val="2"/>
          <w:sz w:val="24"/>
          <w:szCs w:val="24"/>
          <w:lang w:val="en-US"/>
        </w:rPr>
        <w:t>2.4.1</w:t>
      </w:r>
      <w:r>
        <w:rPr>
          <w:rFonts w:hint="eastAsia"/>
          <w:b w:val="0"/>
          <w:color w:val="auto"/>
          <w:kern w:val="2"/>
          <w:sz w:val="24"/>
          <w:szCs w:val="24"/>
          <w:lang w:val="en-US"/>
        </w:rPr>
        <w:t>3</w:t>
      </w:r>
      <w:r>
        <w:rPr>
          <w:b w:val="0"/>
          <w:color w:val="auto"/>
          <w:kern w:val="2"/>
          <w:sz w:val="24"/>
          <w:szCs w:val="24"/>
          <w:lang w:val="en-US"/>
        </w:rPr>
        <w:t>.</w:t>
      </w:r>
      <w:r>
        <w:rPr>
          <w:rFonts w:hint="eastAsia"/>
          <w:b w:val="0"/>
          <w:color w:val="auto"/>
          <w:kern w:val="2"/>
          <w:sz w:val="24"/>
          <w:szCs w:val="24"/>
          <w:lang w:val="en-US"/>
        </w:rPr>
        <w:t>条规定进行编制、密封、标注，并在每个包装的最外层标明“修改投标文件”或“撤回投标”字样。</w:t>
      </w:r>
    </w:p>
    <w:p>
      <w:pPr>
        <w:numPr>
          <w:ilvl w:val="1"/>
          <w:numId w:val="36"/>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在投标截止时间之后，投标人不得对其递交的投标文件做任何修改或撤回投标。</w:t>
      </w:r>
    </w:p>
    <w:p>
      <w:pPr>
        <w:numPr>
          <w:ilvl w:val="1"/>
          <w:numId w:val="16"/>
        </w:numPr>
        <w:tabs>
          <w:tab w:val="left" w:pos="360"/>
        </w:tabs>
        <w:spacing w:line="520" w:lineRule="exact"/>
        <w:ind w:left="0" w:firstLine="482"/>
        <w:jc w:val="left"/>
        <w:outlineLvl w:val="1"/>
        <w:rPr>
          <w:bCs/>
          <w:color w:val="auto"/>
          <w:kern w:val="2"/>
          <w:sz w:val="24"/>
          <w:szCs w:val="24"/>
          <w:lang w:val="en-US"/>
        </w:rPr>
      </w:pPr>
      <w:bookmarkStart w:id="153" w:name="_Toc183682368"/>
      <w:bookmarkStart w:id="154" w:name="_Toc89075878"/>
      <w:bookmarkStart w:id="155" w:name="_Toc351016480"/>
      <w:bookmarkStart w:id="156" w:name="_Toc77400782"/>
      <w:bookmarkStart w:id="157" w:name="_Toc183582231"/>
      <w:bookmarkStart w:id="158" w:name="_Toc217446056"/>
      <w:r>
        <w:rPr>
          <w:rFonts w:hint="eastAsia"/>
          <w:bCs/>
          <w:color w:val="auto"/>
          <w:kern w:val="2"/>
          <w:sz w:val="24"/>
          <w:szCs w:val="24"/>
          <w:lang w:val="en-US"/>
        </w:rPr>
        <w:t xml:space="preserve"> </w:t>
      </w:r>
      <w:bookmarkStart w:id="159" w:name="_Toc494198591"/>
      <w:r>
        <w:rPr>
          <w:rFonts w:hint="eastAsia"/>
          <w:bCs/>
          <w:color w:val="auto"/>
          <w:kern w:val="2"/>
          <w:sz w:val="24"/>
          <w:szCs w:val="24"/>
          <w:lang w:val="en-US"/>
        </w:rPr>
        <w:t>开标、评标和中标</w:t>
      </w:r>
      <w:bookmarkEnd w:id="153"/>
      <w:bookmarkEnd w:id="154"/>
      <w:bookmarkEnd w:id="155"/>
      <w:bookmarkEnd w:id="156"/>
      <w:bookmarkEnd w:id="157"/>
      <w:bookmarkEnd w:id="158"/>
      <w:bookmarkEnd w:id="159"/>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60" w:name="_Toc500492702"/>
      <w:bookmarkStart w:id="161" w:name="_Toc494198899"/>
      <w:bookmarkStart w:id="162" w:name="_Toc183582232"/>
      <w:bookmarkStart w:id="163" w:name="_Toc183682369"/>
      <w:bookmarkStart w:id="164" w:name="_Toc496605606"/>
      <w:bookmarkStart w:id="165" w:name="_Toc217446057"/>
      <w:r>
        <w:rPr>
          <w:rFonts w:hint="eastAsia"/>
          <w:bCs/>
          <w:color w:val="auto"/>
          <w:kern w:val="2"/>
          <w:sz w:val="24"/>
          <w:szCs w:val="24"/>
          <w:lang w:val="en-US"/>
        </w:rPr>
        <w:t>开标</w:t>
      </w:r>
      <w:bookmarkEnd w:id="160"/>
      <w:bookmarkEnd w:id="161"/>
      <w:bookmarkEnd w:id="162"/>
      <w:bookmarkEnd w:id="163"/>
      <w:bookmarkEnd w:id="164"/>
      <w:bookmarkEnd w:id="165"/>
    </w:p>
    <w:p>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采购代理机构在招标文件规定的时间和地点组织公开开标，投标人法定代表或代理人参加并签到以证明其出席。</w:t>
      </w:r>
    </w:p>
    <w:p>
      <w:pPr>
        <w:numPr>
          <w:ilvl w:val="1"/>
          <w:numId w:val="37"/>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采购人或者采购代理机构收到投标文件后，应当如实记载投标文件的送达时间和密封情况，签收保存，并向投标人出具签收回执。任何单位和个人不得在开标前开启投标文件。</w:t>
      </w:r>
    </w:p>
    <w:p>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开标时，采购代理机构可以邀请有关人员参加。</w:t>
      </w:r>
    </w:p>
    <w:p>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开标时，由投标人代表自行检查其自己递交的投标文件的密封情况，经确认无误后，由工作人员将投标人单独递交的“开标一览表”当众拆封，并由唱标人员按照招标文件规定的内容进行宣读，并加以记录。</w:t>
      </w:r>
    </w:p>
    <w:p>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投标人代表确认投标文件情况，仅限于确认其自己递交的投标文件的密封情况，不得对其他投标人的投标文件的密封情况进行确认。</w:t>
      </w:r>
    </w:p>
    <w:p>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唱标完毕，如投标人代表对宣读的“开标一览表”上的内容有异议的，应在获得开标会主持人同意后当场提出。如确实属于唱标人员宣读错了的，经现场监督人员核实后，当场予以更正。</w:t>
      </w:r>
    </w:p>
    <w:p>
      <w:pPr>
        <w:numPr>
          <w:ilvl w:val="1"/>
          <w:numId w:val="37"/>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Pr>
          <w:rFonts w:hint="eastAsia"/>
          <w:b w:val="0"/>
          <w:color w:val="auto"/>
          <w:kern w:val="2"/>
          <w:sz w:val="24"/>
          <w:szCs w:val="24"/>
          <w:lang w:val="en-US"/>
        </w:rPr>
        <w:t>投标人未当场提出的，开标后质疑采购人或者采购代理机构不予受理。</w:t>
      </w:r>
    </w:p>
    <w:p>
      <w:pPr>
        <w:numPr>
          <w:ilvl w:val="1"/>
          <w:numId w:val="3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无论何种原因，在开标时没有宣读的报价在评标时不予考虑，采购代理机构对此不承担任何责任。</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66" w:name="_Toc494198900"/>
      <w:bookmarkStart w:id="167" w:name="_Toc500492703"/>
      <w:bookmarkStart w:id="168" w:name="_Toc496605607"/>
      <w:r>
        <w:rPr>
          <w:rFonts w:hint="eastAsia"/>
          <w:bCs/>
          <w:color w:val="auto"/>
          <w:kern w:val="2"/>
          <w:sz w:val="24"/>
          <w:szCs w:val="24"/>
          <w:lang w:val="en-US"/>
        </w:rPr>
        <w:t>开标程序</w:t>
      </w:r>
      <w:bookmarkEnd w:id="166"/>
      <w:bookmarkEnd w:id="167"/>
      <w:bookmarkEnd w:id="168"/>
    </w:p>
    <w:p>
      <w:pPr>
        <w:spacing w:line="520" w:lineRule="exact"/>
        <w:ind w:firstLine="480"/>
        <w:rPr>
          <w:b w:val="0"/>
          <w:color w:val="auto"/>
          <w:kern w:val="2"/>
          <w:sz w:val="24"/>
          <w:szCs w:val="24"/>
          <w:lang w:val="en-US"/>
        </w:rPr>
      </w:pPr>
      <w:r>
        <w:rPr>
          <w:rFonts w:hint="eastAsia"/>
          <w:b w:val="0"/>
          <w:color w:val="auto"/>
          <w:kern w:val="2"/>
          <w:sz w:val="24"/>
          <w:szCs w:val="24"/>
          <w:lang w:val="en-US"/>
        </w:rPr>
        <w:t>开标会主持人按照招标文件规定的开标时间宣布开标，按照规定要求主持开标会。开标将按以下程序进行：</w:t>
      </w:r>
    </w:p>
    <w:p>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宣布开标会开始。开标时间到，主持人宣布开标会开始，当众宣布参加开标会的主持人、唱标、监标（督）人、会议记录等招标工作人员，宣布参加投标的投标人名单。</w:t>
      </w:r>
    </w:p>
    <w:p>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投标人代表对投标文件的密封情况进行检查并签字确认，主持人当众宣布检查投标文件的密封情况。</w:t>
      </w:r>
    </w:p>
    <w:p>
      <w:pPr>
        <w:numPr>
          <w:ilvl w:val="1"/>
          <w:numId w:val="38"/>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投标人不足3家的，不得开标。</w:t>
      </w:r>
    </w:p>
    <w:p>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开标唱标。主持人宣布唱标后，由招标工作人员按任意顺序对投标人的“开标一览表”当众进行拆封唱标，宣读投标人名称、投标报价，以及采购人认为合适的其他内容并加以记录。唱标时仅宣读投标报价，分项报价内容可以宣读或投影展示。唱标人员在唱标过程中，如遇有字迹不清楚或有明显错误的（未签字或加盖印章，未盖章，未报价除外），应即刻报告主持人，经现场核实后，主持人立即请投标人代表现场进行澄清或确认，但不得实质性修改报价。唱标完毕后投标人代表需现场对开标记录进行签字确认，投标人代表对唱标内容有异议的，可以当场提出，并要求会议记录人在开标记录中予以记录，不签字又不提出异议的，视同认可唱标内容和结果，且不得干扰、阻挠开（唱）标、评标工作。</w:t>
      </w:r>
    </w:p>
    <w:p>
      <w:pPr>
        <w:numPr>
          <w:ilvl w:val="1"/>
          <w:numId w:val="38"/>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宣布开标会结束。主持人宣布开标会结束后，所有投标人代表应立即退场（招标文件要求投标人演示、介绍等的除外）。同时所有投标人应保持通讯畅通，以方便在评标过程中评标委员会要求投标人对投标文件的必要澄清、说明和纠正。评标结果请投标人在四川政府采购网上查询。</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69" w:name="_Toc496605608"/>
      <w:bookmarkStart w:id="170" w:name="_Toc494198901"/>
      <w:bookmarkStart w:id="171" w:name="_Toc500492704"/>
      <w:r>
        <w:rPr>
          <w:rFonts w:hint="eastAsia"/>
          <w:bCs/>
          <w:color w:val="auto"/>
          <w:kern w:val="2"/>
          <w:sz w:val="24"/>
          <w:szCs w:val="24"/>
          <w:lang w:val="en-US"/>
        </w:rPr>
        <w:t>评标（详见招标文件第7章）</w:t>
      </w:r>
      <w:bookmarkEnd w:id="169"/>
      <w:bookmarkEnd w:id="170"/>
      <w:bookmarkEnd w:id="171"/>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72" w:name="_Toc500492705"/>
      <w:bookmarkStart w:id="173" w:name="_Toc494198902"/>
      <w:bookmarkStart w:id="174" w:name="_Toc496605609"/>
      <w:r>
        <w:rPr>
          <w:rFonts w:hint="eastAsia"/>
          <w:bCs/>
          <w:color w:val="auto"/>
          <w:kern w:val="2"/>
          <w:sz w:val="24"/>
          <w:szCs w:val="24"/>
          <w:lang w:val="en-US"/>
        </w:rPr>
        <w:t>关于行贿犯罪档案查询</w:t>
      </w:r>
      <w:bookmarkEnd w:id="172"/>
      <w:bookmarkEnd w:id="173"/>
      <w:bookmarkEnd w:id="174"/>
    </w:p>
    <w:p>
      <w:pPr>
        <w:numPr>
          <w:ilvl w:val="1"/>
          <w:numId w:val="39"/>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 xml:space="preserve"> </w:t>
      </w:r>
      <w:bookmarkStart w:id="175" w:name="_Toc477423530"/>
      <w:bookmarkStart w:id="176" w:name="_Toc477425538"/>
      <w:bookmarkStart w:id="177" w:name="_Toc482094330"/>
      <w:bookmarkStart w:id="178" w:name="_Toc477358988"/>
      <w:r>
        <w:rPr>
          <w:rFonts w:hint="eastAsia"/>
          <w:b w:val="0"/>
          <w:color w:val="auto"/>
          <w:kern w:val="2"/>
          <w:sz w:val="24"/>
          <w:szCs w:val="24"/>
          <w:lang w:val="en-US"/>
        </w:rPr>
        <w:t>根据《最高人民检察院关于行贿犯罪档案查询工作的规定》和《关于在政府采购活动中全面开展行贿犯罪档案查询的通知》（川检会[2016]5号）的要求，</w:t>
      </w:r>
      <w:bookmarkEnd w:id="175"/>
      <w:bookmarkEnd w:id="176"/>
      <w:bookmarkEnd w:id="177"/>
      <w:bookmarkEnd w:id="178"/>
      <w:r>
        <w:rPr>
          <w:rFonts w:hint="eastAsia"/>
          <w:b w:val="0"/>
          <w:color w:val="auto"/>
          <w:sz w:val="24"/>
          <w:szCs w:val="24"/>
        </w:rPr>
        <w:t>供应商单位及其现任法定代表人、主要负责人不得具有行贿犯罪记录，否则供应商投标文件应当认定为无效。[供应商承诺单位及其现任法定代表人、主要负责人不存在行贿犯罪记录或者可以通过“中国裁判文书网”自行查询供应商及其现任法定代表人、主要负责人的行贿犯罪记录，提供查询网页截图（现任法定代表人、主要负责人为同一人的需进行情况说明）]。</w:t>
      </w:r>
    </w:p>
    <w:p>
      <w:pPr>
        <w:numPr>
          <w:ilvl w:val="1"/>
          <w:numId w:val="39"/>
        </w:numPr>
        <w:tabs>
          <w:tab w:val="left" w:pos="0"/>
        </w:tabs>
        <w:spacing w:line="520" w:lineRule="exact"/>
        <w:ind w:left="0" w:firstLine="480"/>
        <w:rPr>
          <w:b w:val="0"/>
          <w:color w:val="auto"/>
          <w:kern w:val="2"/>
          <w:sz w:val="24"/>
          <w:szCs w:val="24"/>
          <w:lang w:val="en-US"/>
        </w:rPr>
      </w:pPr>
      <w:bookmarkStart w:id="179" w:name="_Toc477423531"/>
      <w:bookmarkStart w:id="180" w:name="_Toc482094332"/>
      <w:bookmarkStart w:id="181" w:name="_Toc477425539"/>
      <w:bookmarkStart w:id="182" w:name="_Toc477358989"/>
      <w:r>
        <w:rPr>
          <w:rFonts w:hint="eastAsia"/>
          <w:b w:val="0"/>
          <w:color w:val="auto"/>
          <w:kern w:val="2"/>
          <w:sz w:val="24"/>
          <w:szCs w:val="24"/>
          <w:lang w:val="en-US"/>
        </w:rPr>
        <w:t>若存在行贿犯罪记录的，</w:t>
      </w:r>
      <w:r>
        <w:rPr>
          <w:b w:val="0"/>
          <w:color w:val="auto"/>
          <w:kern w:val="2"/>
          <w:sz w:val="24"/>
          <w:szCs w:val="24"/>
          <w:lang w:val="en-US"/>
        </w:rPr>
        <w:t>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bookmarkEnd w:id="179"/>
      <w:bookmarkEnd w:id="180"/>
      <w:bookmarkEnd w:id="181"/>
      <w:bookmarkEnd w:id="182"/>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83" w:name="_Toc494198903"/>
      <w:bookmarkStart w:id="184" w:name="_Toc500492706"/>
      <w:bookmarkStart w:id="185" w:name="_Toc496605610"/>
      <w:r>
        <w:rPr>
          <w:rFonts w:hint="eastAsia"/>
          <w:bCs/>
          <w:color w:val="auto"/>
          <w:kern w:val="2"/>
          <w:sz w:val="24"/>
          <w:szCs w:val="24"/>
          <w:lang w:val="en-US"/>
        </w:rPr>
        <w:t>中标结果公告</w:t>
      </w:r>
      <w:bookmarkEnd w:id="183"/>
      <w:bookmarkEnd w:id="184"/>
      <w:bookmarkEnd w:id="185"/>
    </w:p>
    <w:p>
      <w:pPr>
        <w:numPr>
          <w:ilvl w:val="1"/>
          <w:numId w:val="40"/>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采购人或者采购代理机构应当自中标人确定之日起2个工作日内，在</w:t>
      </w:r>
      <w:r>
        <w:rPr>
          <w:rFonts w:hint="eastAsia"/>
          <w:b w:val="0"/>
          <w:color w:val="auto"/>
          <w:kern w:val="2"/>
          <w:sz w:val="24"/>
          <w:szCs w:val="24"/>
          <w:lang w:val="en-US"/>
        </w:rPr>
        <w:t>四川政府采购网</w:t>
      </w:r>
      <w:r>
        <w:rPr>
          <w:b w:val="0"/>
          <w:color w:val="auto"/>
          <w:kern w:val="2"/>
          <w:sz w:val="24"/>
          <w:szCs w:val="24"/>
          <w:lang w:val="en-US"/>
        </w:rPr>
        <w:t>上公告中标结果，招标文件应当随中标结果同时公告。</w:t>
      </w:r>
    </w:p>
    <w:p>
      <w:pPr>
        <w:numPr>
          <w:ilvl w:val="1"/>
          <w:numId w:val="40"/>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中标结果公告内容应当包括采购人及其委托的采购代理机构的名称、地址、联系方式，项目名称和项目编号，中标人名称、地址和中标金额，主要中标标的的名称、规格型号、数量、单价、服务要求，中标公告期限</w:t>
      </w:r>
      <w:r>
        <w:rPr>
          <w:rFonts w:hint="eastAsia"/>
          <w:b w:val="0"/>
          <w:color w:val="auto"/>
          <w:kern w:val="2"/>
          <w:sz w:val="24"/>
          <w:szCs w:val="24"/>
          <w:lang w:val="en-US"/>
        </w:rPr>
        <w:t>，</w:t>
      </w:r>
      <w:r>
        <w:rPr>
          <w:b w:val="0"/>
          <w:color w:val="auto"/>
          <w:kern w:val="2"/>
          <w:sz w:val="24"/>
          <w:szCs w:val="24"/>
          <w:lang w:val="en-US"/>
        </w:rPr>
        <w:t>评审专家名单</w:t>
      </w:r>
      <w:r>
        <w:rPr>
          <w:rFonts w:hint="eastAsia"/>
          <w:b w:val="0"/>
          <w:color w:val="auto"/>
          <w:kern w:val="2"/>
          <w:sz w:val="24"/>
          <w:szCs w:val="24"/>
          <w:lang w:val="en-US"/>
        </w:rPr>
        <w:t>以及所有供应商投标文件资格、符合性检查情况、采用综合评分法时的总得分和分项汇总得分情况、评标结果等。</w:t>
      </w:r>
    </w:p>
    <w:p>
      <w:pPr>
        <w:numPr>
          <w:ilvl w:val="1"/>
          <w:numId w:val="40"/>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numPr>
          <w:ilvl w:val="1"/>
          <w:numId w:val="40"/>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中标公告期限</w:t>
      </w:r>
      <w:r>
        <w:rPr>
          <w:rFonts w:hint="eastAsia"/>
          <w:b w:val="0"/>
          <w:color w:val="auto"/>
          <w:kern w:val="2"/>
          <w:sz w:val="24"/>
          <w:szCs w:val="24"/>
          <w:lang w:val="en-US"/>
        </w:rPr>
        <w:t>自发布公告之日起</w:t>
      </w:r>
      <w:r>
        <w:rPr>
          <w:b w:val="0"/>
          <w:color w:val="auto"/>
          <w:kern w:val="2"/>
          <w:sz w:val="24"/>
          <w:szCs w:val="24"/>
          <w:lang w:val="en-US"/>
        </w:rPr>
        <w:t>1个工作日。</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186" w:name="_Toc183582238"/>
      <w:bookmarkStart w:id="187" w:name="_Toc183682375"/>
      <w:bookmarkStart w:id="188" w:name="_Toc217446063"/>
      <w:bookmarkStart w:id="189" w:name="_Toc500492707"/>
      <w:bookmarkStart w:id="190" w:name="_Toc496605611"/>
      <w:bookmarkStart w:id="191" w:name="_Toc494198904"/>
      <w:r>
        <w:rPr>
          <w:rFonts w:hint="eastAsia"/>
          <w:bCs/>
          <w:color w:val="auto"/>
          <w:kern w:val="2"/>
          <w:sz w:val="24"/>
          <w:szCs w:val="24"/>
          <w:lang w:val="en-US"/>
        </w:rPr>
        <w:t>中标通知</w:t>
      </w:r>
      <w:bookmarkEnd w:id="186"/>
      <w:bookmarkEnd w:id="187"/>
      <w:r>
        <w:rPr>
          <w:rFonts w:hint="eastAsia"/>
          <w:bCs/>
          <w:color w:val="auto"/>
          <w:kern w:val="2"/>
          <w:sz w:val="24"/>
          <w:szCs w:val="24"/>
          <w:lang w:val="en-US"/>
        </w:rPr>
        <w:t>书</w:t>
      </w:r>
      <w:bookmarkEnd w:id="188"/>
      <w:bookmarkEnd w:id="189"/>
      <w:bookmarkEnd w:id="190"/>
      <w:bookmarkEnd w:id="191"/>
    </w:p>
    <w:p>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中标通知书为签订政府采购合同的依据，是合同的有效组成部分。</w:t>
      </w:r>
    </w:p>
    <w:p>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投标人中标后，拒绝领取中标通知书的，采购代理机构将采取邮寄、快递方式按照投标人投标文件中的地址发出中标通知书，同时，中标通知书邮寄、快递发出之日起即视中标人已领取中标通知书。</w:t>
      </w:r>
    </w:p>
    <w:p>
      <w:pPr>
        <w:numPr>
          <w:ilvl w:val="1"/>
          <w:numId w:val="41"/>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中标通知书发出后，采购人不得违法改变中标结果，中标人无正当理由不得放弃中标。</w:t>
      </w:r>
    </w:p>
    <w:p>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中标通知书对采购人和中标人均具有法律效力。中标通知书发出后，采购人改变中标结果，或者中标人无正当理由放弃中标的，应当承担相应的法律责任。</w:t>
      </w:r>
    </w:p>
    <w:p>
      <w:pPr>
        <w:numPr>
          <w:ilvl w:val="1"/>
          <w:numId w:val="41"/>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的投标文件本应作为无效投标处理或者有政府采购法律法规规章制度规定的中标无效情形的，四川慧采招标代理有限公司在取得有权主体的认定以后，应当宣布发出的中标通知书无效，并收回发出的中标通知书（中标人也应当缴回），依法重新确定中标人或者重新开展采购活动。</w:t>
      </w:r>
    </w:p>
    <w:p>
      <w:pPr>
        <w:keepLines/>
        <w:numPr>
          <w:ilvl w:val="2"/>
          <w:numId w:val="16"/>
        </w:numPr>
        <w:tabs>
          <w:tab w:val="left" w:pos="360"/>
        </w:tabs>
        <w:spacing w:line="520" w:lineRule="exact"/>
        <w:ind w:left="0" w:firstLine="482"/>
        <w:outlineLvl w:val="2"/>
        <w:rPr>
          <w:bCs/>
          <w:color w:val="auto"/>
          <w:kern w:val="2"/>
          <w:sz w:val="24"/>
          <w:szCs w:val="24"/>
          <w:lang w:val="en-US"/>
        </w:rPr>
      </w:pPr>
      <w:r>
        <w:rPr>
          <w:rFonts w:hint="eastAsia"/>
          <w:bCs/>
          <w:color w:val="auto"/>
          <w:kern w:val="2"/>
          <w:sz w:val="24"/>
          <w:szCs w:val="24"/>
          <w:lang w:val="en-US"/>
        </w:rPr>
        <w:t xml:space="preserve"> </w:t>
      </w:r>
      <w:bookmarkStart w:id="192" w:name="_Toc500492708"/>
      <w:bookmarkStart w:id="193" w:name="_Toc496605612"/>
      <w:bookmarkStart w:id="194" w:name="_Toc494198905"/>
      <w:r>
        <w:rPr>
          <w:rFonts w:hint="eastAsia"/>
          <w:bCs/>
          <w:color w:val="auto"/>
          <w:kern w:val="2"/>
          <w:sz w:val="24"/>
          <w:szCs w:val="24"/>
          <w:lang w:val="en-US"/>
        </w:rPr>
        <w:t>招标代理服务费</w:t>
      </w:r>
      <w:bookmarkEnd w:id="192"/>
      <w:bookmarkEnd w:id="193"/>
      <w:bookmarkEnd w:id="194"/>
    </w:p>
    <w:p>
      <w:pPr>
        <w:tabs>
          <w:tab w:val="left" w:pos="1620"/>
        </w:tabs>
        <w:spacing w:line="520" w:lineRule="exact"/>
        <w:ind w:firstLine="480"/>
        <w:rPr>
          <w:b w:val="0"/>
          <w:color w:val="auto"/>
          <w:kern w:val="2"/>
          <w:sz w:val="24"/>
          <w:szCs w:val="24"/>
          <w:lang w:val="en-US"/>
        </w:rPr>
      </w:pPr>
      <w:r>
        <w:rPr>
          <w:rFonts w:hint="eastAsia"/>
          <w:b w:val="0"/>
          <w:color w:val="auto"/>
          <w:kern w:val="2"/>
          <w:sz w:val="24"/>
          <w:szCs w:val="24"/>
          <w:lang w:val="en-US"/>
        </w:rPr>
        <w:t>详见投标人须知前附表。</w:t>
      </w:r>
    </w:p>
    <w:p>
      <w:pPr>
        <w:numPr>
          <w:ilvl w:val="1"/>
          <w:numId w:val="16"/>
        </w:numPr>
        <w:tabs>
          <w:tab w:val="left" w:pos="360"/>
        </w:tabs>
        <w:spacing w:line="520" w:lineRule="exact"/>
        <w:ind w:left="0" w:firstLine="482"/>
        <w:jc w:val="left"/>
        <w:outlineLvl w:val="1"/>
        <w:rPr>
          <w:bCs/>
          <w:color w:val="auto"/>
          <w:kern w:val="2"/>
          <w:sz w:val="24"/>
          <w:szCs w:val="24"/>
          <w:lang w:val="en-US"/>
        </w:rPr>
      </w:pPr>
      <w:bookmarkStart w:id="195" w:name="_Toc217446064"/>
      <w:bookmarkStart w:id="196" w:name="_Toc351016481"/>
      <w:bookmarkStart w:id="197" w:name="_Toc183682377"/>
      <w:bookmarkStart w:id="198" w:name="_Toc183582240"/>
      <w:r>
        <w:rPr>
          <w:rFonts w:hint="eastAsia"/>
          <w:bCs/>
          <w:color w:val="auto"/>
          <w:kern w:val="2"/>
          <w:sz w:val="24"/>
          <w:szCs w:val="24"/>
          <w:lang w:val="en-US"/>
        </w:rPr>
        <w:t xml:space="preserve"> </w:t>
      </w:r>
      <w:bookmarkStart w:id="199" w:name="_Toc494198592"/>
      <w:r>
        <w:rPr>
          <w:rFonts w:hint="eastAsia"/>
          <w:bCs/>
          <w:color w:val="auto"/>
          <w:kern w:val="2"/>
          <w:sz w:val="24"/>
          <w:szCs w:val="24"/>
          <w:lang w:val="en-US"/>
        </w:rPr>
        <w:t>签订及履行合同</w:t>
      </w:r>
      <w:bookmarkEnd w:id="195"/>
      <w:bookmarkEnd w:id="196"/>
      <w:bookmarkEnd w:id="199"/>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00" w:name="_Toc494198907"/>
      <w:bookmarkStart w:id="201" w:name="_Toc217446065"/>
      <w:bookmarkStart w:id="202" w:name="_Toc500492710"/>
      <w:bookmarkStart w:id="203" w:name="_Toc496605614"/>
      <w:r>
        <w:rPr>
          <w:rFonts w:hint="eastAsia"/>
          <w:bCs/>
          <w:color w:val="auto"/>
          <w:kern w:val="2"/>
          <w:sz w:val="24"/>
          <w:szCs w:val="24"/>
          <w:lang w:val="en-US"/>
        </w:rPr>
        <w:t>签订合同</w:t>
      </w:r>
      <w:bookmarkEnd w:id="200"/>
      <w:bookmarkEnd w:id="201"/>
      <w:bookmarkEnd w:id="202"/>
      <w:bookmarkEnd w:id="203"/>
    </w:p>
    <w:p>
      <w:pPr>
        <w:numPr>
          <w:ilvl w:val="1"/>
          <w:numId w:val="42"/>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采购人应当自中标通知书发出之日起30日内，按照招标文件和中标人投标文件的规定，与中标人签订书面合同。所签订的合同不得对招标文件确定的事项和中标人投标文件作实质性修改。</w:t>
      </w:r>
    </w:p>
    <w:p>
      <w:pPr>
        <w:numPr>
          <w:ilvl w:val="1"/>
          <w:numId w:val="42"/>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采购人不得向中标人提出任何不合理的要求作为签订合同的条件。</w:t>
      </w:r>
    </w:p>
    <w:p>
      <w:pPr>
        <w:numPr>
          <w:ilvl w:val="1"/>
          <w:numId w:val="42"/>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政府采购合同应当包括采购人与中标人的名称和住所、标的、数量、质量、价款或者报酬、履行期限及地点和方式、验收要求、违约责任、解决争议的方法等内容。</w:t>
      </w:r>
    </w:p>
    <w:p>
      <w:pPr>
        <w:numPr>
          <w:ilvl w:val="1"/>
          <w:numId w:val="42"/>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中标人因不可抗力原因不能履行采购合同或放弃中标的，采购人可以与排在中标人之后第一位的中标候选人签订采购合同，以此类推。</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04" w:name="_Toc500492711"/>
      <w:bookmarkStart w:id="205" w:name="_Toc494198908"/>
      <w:bookmarkStart w:id="206" w:name="_Toc496605615"/>
      <w:bookmarkStart w:id="207" w:name="_Toc217446066"/>
      <w:r>
        <w:rPr>
          <w:rFonts w:hint="eastAsia"/>
          <w:bCs/>
          <w:color w:val="auto"/>
          <w:kern w:val="2"/>
          <w:sz w:val="24"/>
          <w:szCs w:val="24"/>
          <w:lang w:val="en-US"/>
        </w:rPr>
        <w:t>合同分包</w:t>
      </w:r>
      <w:bookmarkEnd w:id="204"/>
      <w:bookmarkEnd w:id="205"/>
      <w:bookmarkEnd w:id="206"/>
      <w:bookmarkEnd w:id="207"/>
    </w:p>
    <w:p>
      <w:pPr>
        <w:tabs>
          <w:tab w:val="left" w:pos="0"/>
        </w:tabs>
        <w:spacing w:line="520" w:lineRule="exact"/>
        <w:ind w:left="480" w:firstLine="0" w:firstLineChars="0"/>
        <w:rPr>
          <w:b w:val="0"/>
          <w:color w:val="auto"/>
          <w:kern w:val="2"/>
          <w:sz w:val="24"/>
          <w:szCs w:val="24"/>
          <w:lang w:val="en-US"/>
        </w:rPr>
      </w:pPr>
      <w:r>
        <w:rPr>
          <w:rFonts w:hint="eastAsia"/>
          <w:b w:val="0"/>
          <w:color w:val="auto"/>
          <w:kern w:val="2"/>
          <w:sz w:val="24"/>
          <w:szCs w:val="24"/>
          <w:lang w:val="en-US"/>
        </w:rPr>
        <w:t>本项目不允许合同分包，否则作无效投标处理。</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08" w:name="_Toc500492712"/>
      <w:bookmarkStart w:id="209" w:name="_Toc494198909"/>
      <w:bookmarkStart w:id="210" w:name="_Toc496605616"/>
      <w:r>
        <w:rPr>
          <w:rFonts w:hint="eastAsia"/>
          <w:bCs/>
          <w:color w:val="auto"/>
          <w:kern w:val="2"/>
          <w:sz w:val="24"/>
          <w:szCs w:val="24"/>
          <w:lang w:val="en-US"/>
        </w:rPr>
        <w:t>合同转包</w:t>
      </w:r>
      <w:bookmarkEnd w:id="208"/>
      <w:bookmarkEnd w:id="209"/>
      <w:bookmarkEnd w:id="210"/>
    </w:p>
    <w:p>
      <w:pPr>
        <w:numPr>
          <w:ilvl w:val="1"/>
          <w:numId w:val="4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项目严禁中标人将任何政府采购合同义务转包。本项目所称转包，是指中标人将政府采购合同义务转让给第三人，并退出现有政府采购合同当事人双方的权利义务关系，受让人（第三人）成为政府采购合同的另一方当事人的行为。</w:t>
      </w:r>
    </w:p>
    <w:p>
      <w:pPr>
        <w:numPr>
          <w:ilvl w:val="1"/>
          <w:numId w:val="43"/>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中标人转包的，视同拒绝履行政府采购合同义务，将依法追究法律责任。</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11" w:name="_Toc217446067"/>
      <w:bookmarkStart w:id="212" w:name="_Toc496605617"/>
      <w:bookmarkStart w:id="213" w:name="_Toc494198910"/>
      <w:bookmarkStart w:id="214" w:name="_Toc500492713"/>
      <w:r>
        <w:rPr>
          <w:rFonts w:hint="eastAsia"/>
          <w:bCs/>
          <w:color w:val="auto"/>
          <w:kern w:val="2"/>
          <w:sz w:val="24"/>
          <w:szCs w:val="24"/>
          <w:lang w:val="en-US"/>
        </w:rPr>
        <w:t>采购人增加合同标的权</w:t>
      </w:r>
      <w:bookmarkEnd w:id="211"/>
      <w:r>
        <w:rPr>
          <w:rFonts w:hint="eastAsia"/>
          <w:bCs/>
          <w:color w:val="auto"/>
          <w:kern w:val="2"/>
          <w:sz w:val="24"/>
          <w:szCs w:val="24"/>
          <w:lang w:val="en-US"/>
        </w:rPr>
        <w:t>利</w:t>
      </w:r>
      <w:bookmarkEnd w:id="212"/>
      <w:bookmarkEnd w:id="213"/>
      <w:bookmarkEnd w:id="214"/>
    </w:p>
    <w:p>
      <w:pPr>
        <w:spacing w:line="520" w:lineRule="exact"/>
        <w:ind w:firstLine="480"/>
        <w:rPr>
          <w:b w:val="0"/>
          <w:color w:val="auto"/>
          <w:kern w:val="2"/>
          <w:sz w:val="24"/>
          <w:szCs w:val="24"/>
          <w:lang w:val="en-US"/>
        </w:rPr>
      </w:pPr>
      <w:r>
        <w:rPr>
          <w:rFonts w:hint="eastAsia"/>
          <w:b w:val="0"/>
          <w:color w:val="auto"/>
          <w:kern w:val="2"/>
          <w:sz w:val="24"/>
          <w:szCs w:val="24"/>
          <w:lang w:val="en-US"/>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15" w:name="_Toc496605618"/>
      <w:bookmarkStart w:id="216" w:name="_Toc500492714"/>
      <w:bookmarkStart w:id="217" w:name="_Toc217446068"/>
      <w:bookmarkStart w:id="218" w:name="_Toc494198911"/>
      <w:r>
        <w:rPr>
          <w:rFonts w:hint="eastAsia"/>
          <w:bCs/>
          <w:color w:val="auto"/>
          <w:kern w:val="2"/>
          <w:sz w:val="24"/>
          <w:szCs w:val="24"/>
          <w:lang w:val="en-US"/>
        </w:rPr>
        <w:t>履约保证金</w:t>
      </w:r>
      <w:bookmarkEnd w:id="215"/>
      <w:bookmarkEnd w:id="216"/>
      <w:bookmarkEnd w:id="217"/>
      <w:bookmarkEnd w:id="218"/>
    </w:p>
    <w:p>
      <w:pPr>
        <w:numPr>
          <w:ilvl w:val="1"/>
          <w:numId w:val="4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中标人签订合同后，须根据招标文件的规定向采购人交纳规定数额的履约保证金。如果中标人在规定的时间内，没有按照招标文件的规定交纳履约保证金，且又无正当理由的，视为拒签合同，采购人可以与排在中标人之后第一位的中标候选人签订采购合同，以此类推，或重新开展采购活动。</w:t>
      </w:r>
    </w:p>
    <w:p>
      <w:pPr>
        <w:numPr>
          <w:ilvl w:val="1"/>
          <w:numId w:val="44"/>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履约保证金在中标人对合同规定义务履行完毕时全额退还（无息）；如果中标人未能履行合同规定的部分或全部义务，该保证金将视情况予以没收。</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19" w:name="_Toc500492715"/>
      <w:bookmarkStart w:id="220" w:name="_Toc494198912"/>
      <w:bookmarkStart w:id="221" w:name="_Toc496605619"/>
      <w:r>
        <w:rPr>
          <w:rFonts w:hint="eastAsia"/>
          <w:bCs/>
          <w:color w:val="auto"/>
          <w:kern w:val="2"/>
          <w:sz w:val="24"/>
          <w:szCs w:val="24"/>
          <w:lang w:val="en-US"/>
        </w:rPr>
        <w:t>合同公告</w:t>
      </w:r>
      <w:bookmarkEnd w:id="219"/>
      <w:bookmarkEnd w:id="220"/>
      <w:bookmarkEnd w:id="221"/>
    </w:p>
    <w:p>
      <w:pPr>
        <w:spacing w:line="520" w:lineRule="exact"/>
        <w:ind w:firstLine="480"/>
        <w:rPr>
          <w:b w:val="0"/>
          <w:color w:val="auto"/>
          <w:kern w:val="2"/>
          <w:sz w:val="24"/>
          <w:szCs w:val="24"/>
          <w:lang w:val="en-US"/>
        </w:rPr>
      </w:pPr>
      <w:r>
        <w:rPr>
          <w:rFonts w:hint="eastAsia"/>
          <w:b w:val="0"/>
          <w:color w:val="auto"/>
          <w:kern w:val="2"/>
          <w:sz w:val="24"/>
          <w:szCs w:val="24"/>
          <w:lang w:val="en-US"/>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22" w:name="_Toc494198913"/>
      <w:bookmarkStart w:id="223" w:name="_Toc500492716"/>
      <w:bookmarkStart w:id="224" w:name="_Toc496605620"/>
      <w:r>
        <w:rPr>
          <w:rFonts w:hint="eastAsia"/>
          <w:bCs/>
          <w:color w:val="auto"/>
          <w:kern w:val="2"/>
          <w:sz w:val="24"/>
          <w:szCs w:val="24"/>
          <w:lang w:val="en-US"/>
        </w:rPr>
        <w:t>合同备案</w:t>
      </w:r>
      <w:bookmarkEnd w:id="222"/>
      <w:bookmarkEnd w:id="223"/>
      <w:bookmarkEnd w:id="224"/>
    </w:p>
    <w:p>
      <w:pPr>
        <w:spacing w:line="520" w:lineRule="exact"/>
        <w:ind w:firstLine="480"/>
        <w:rPr>
          <w:b w:val="0"/>
          <w:color w:val="auto"/>
          <w:kern w:val="2"/>
          <w:sz w:val="24"/>
          <w:szCs w:val="24"/>
          <w:lang w:val="en-US"/>
        </w:rPr>
      </w:pPr>
      <w:r>
        <w:rPr>
          <w:rFonts w:hint="eastAsia"/>
          <w:b w:val="0"/>
          <w:color w:val="auto"/>
          <w:kern w:val="2"/>
          <w:sz w:val="24"/>
          <w:szCs w:val="24"/>
          <w:lang w:val="en-US"/>
        </w:rPr>
        <w:t>采购人应当将政府采购合同副本自签订（双方当事人均已签字盖章）之日起七个工作日内通过四川政府采购网报同级财政部门备案。</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25" w:name="_Toc494198914"/>
      <w:bookmarkStart w:id="226" w:name="_Toc500492717"/>
      <w:bookmarkStart w:id="227" w:name="_Toc496605621"/>
      <w:bookmarkStart w:id="228" w:name="_Toc217446069"/>
      <w:r>
        <w:rPr>
          <w:rFonts w:hint="eastAsia"/>
          <w:bCs/>
          <w:color w:val="auto"/>
          <w:kern w:val="2"/>
          <w:sz w:val="24"/>
          <w:szCs w:val="24"/>
          <w:lang w:val="en-US"/>
        </w:rPr>
        <w:t>履行合同</w:t>
      </w:r>
      <w:bookmarkEnd w:id="225"/>
      <w:bookmarkEnd w:id="226"/>
      <w:bookmarkEnd w:id="227"/>
      <w:bookmarkEnd w:id="228"/>
    </w:p>
    <w:p>
      <w:pPr>
        <w:spacing w:line="520" w:lineRule="exact"/>
        <w:ind w:firstLine="480"/>
        <w:rPr>
          <w:b w:val="0"/>
          <w:color w:val="auto"/>
          <w:kern w:val="2"/>
          <w:sz w:val="24"/>
          <w:szCs w:val="24"/>
          <w:lang w:val="en-US"/>
        </w:rPr>
      </w:pPr>
      <w:bookmarkStart w:id="229" w:name="_Toc217446070"/>
      <w:r>
        <w:rPr>
          <w:b w:val="0"/>
          <w:color w:val="auto"/>
          <w:kern w:val="2"/>
          <w:sz w:val="24"/>
          <w:szCs w:val="24"/>
          <w:lang w:val="en-US"/>
        </w:rPr>
        <w:t>采购人与中标人应当根据合同的约定依法履行合同义务。政府采购合同的履行、违约责任和解决争议的方法等适用《</w:t>
      </w:r>
      <w:r>
        <w:rPr>
          <w:rFonts w:hint="eastAsia"/>
          <w:b w:val="0"/>
          <w:color w:val="auto"/>
          <w:kern w:val="2"/>
          <w:sz w:val="24"/>
          <w:szCs w:val="24"/>
          <w:lang w:val="en-US"/>
        </w:rPr>
        <w:t>中华人民共和国民法典</w:t>
      </w:r>
      <w:r>
        <w:rPr>
          <w:b w:val="0"/>
          <w:color w:val="auto"/>
          <w:kern w:val="2"/>
          <w:sz w:val="24"/>
          <w:szCs w:val="24"/>
          <w:lang w:val="en-US"/>
        </w:rPr>
        <w:t>》。</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30" w:name="_Toc496605622"/>
      <w:bookmarkStart w:id="231" w:name="_Toc494198915"/>
      <w:bookmarkStart w:id="232" w:name="_Toc500492718"/>
      <w:r>
        <w:rPr>
          <w:rFonts w:hint="eastAsia"/>
          <w:bCs/>
          <w:color w:val="auto"/>
          <w:kern w:val="2"/>
          <w:sz w:val="24"/>
          <w:szCs w:val="24"/>
          <w:lang w:val="en-US"/>
        </w:rPr>
        <w:t>验收</w:t>
      </w:r>
      <w:bookmarkEnd w:id="229"/>
      <w:bookmarkEnd w:id="230"/>
      <w:bookmarkEnd w:id="231"/>
      <w:bookmarkEnd w:id="232"/>
    </w:p>
    <w:p>
      <w:pPr>
        <w:spacing w:line="520" w:lineRule="exact"/>
        <w:ind w:firstLine="480"/>
        <w:rPr>
          <w:b w:val="0"/>
          <w:color w:val="auto"/>
          <w:kern w:val="2"/>
          <w:sz w:val="24"/>
          <w:szCs w:val="24"/>
          <w:lang w:val="en-US"/>
        </w:rPr>
      </w:pPr>
      <w:bookmarkStart w:id="233" w:name="_Toc217446071"/>
      <w:r>
        <w:rPr>
          <w:rFonts w:hint="eastAsia"/>
          <w:b w:val="0"/>
          <w:color w:val="auto"/>
          <w:kern w:val="2"/>
          <w:sz w:val="24"/>
          <w:szCs w:val="24"/>
          <w:lang w:val="en-US"/>
        </w:rPr>
        <w:t>严格按照政府采购相关法律法规以及财库[2016]205号的要求进行验收。</w:t>
      </w:r>
    </w:p>
    <w:bookmarkEnd w:id="197"/>
    <w:bookmarkEnd w:id="198"/>
    <w:bookmarkEnd w:id="233"/>
    <w:p>
      <w:pPr>
        <w:numPr>
          <w:ilvl w:val="1"/>
          <w:numId w:val="16"/>
        </w:numPr>
        <w:tabs>
          <w:tab w:val="left" w:pos="360"/>
        </w:tabs>
        <w:spacing w:line="520" w:lineRule="exact"/>
        <w:ind w:left="0" w:firstLine="482"/>
        <w:jc w:val="left"/>
        <w:outlineLvl w:val="1"/>
        <w:rPr>
          <w:bCs/>
          <w:color w:val="auto"/>
          <w:kern w:val="2"/>
          <w:sz w:val="24"/>
          <w:szCs w:val="24"/>
          <w:lang w:val="en-US"/>
        </w:rPr>
      </w:pPr>
      <w:bookmarkStart w:id="234" w:name="_Toc217446074"/>
      <w:bookmarkStart w:id="235" w:name="_Toc351016482"/>
      <w:bookmarkStart w:id="236" w:name="_Toc183682380"/>
      <w:bookmarkStart w:id="237" w:name="_Toc183582243"/>
      <w:r>
        <w:rPr>
          <w:rFonts w:hint="eastAsia"/>
          <w:bCs/>
          <w:color w:val="auto"/>
          <w:kern w:val="2"/>
          <w:sz w:val="24"/>
          <w:szCs w:val="24"/>
          <w:lang w:val="en-US"/>
        </w:rPr>
        <w:t xml:space="preserve"> </w:t>
      </w:r>
      <w:bookmarkStart w:id="238" w:name="_Toc494198593"/>
      <w:r>
        <w:rPr>
          <w:rFonts w:hint="eastAsia"/>
          <w:bCs/>
          <w:color w:val="auto"/>
          <w:kern w:val="2"/>
          <w:sz w:val="24"/>
          <w:szCs w:val="24"/>
          <w:lang w:val="en-US"/>
        </w:rPr>
        <w:t>投标纪律要求</w:t>
      </w:r>
      <w:bookmarkEnd w:id="234"/>
      <w:bookmarkEnd w:id="235"/>
      <w:bookmarkEnd w:id="238"/>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39" w:name="_Toc494198917"/>
      <w:bookmarkStart w:id="240" w:name="_Toc217446075"/>
      <w:bookmarkStart w:id="241" w:name="_Toc500492720"/>
      <w:bookmarkStart w:id="242" w:name="_Toc496605624"/>
      <w:r>
        <w:rPr>
          <w:rFonts w:hint="eastAsia"/>
          <w:bCs/>
          <w:color w:val="auto"/>
          <w:kern w:val="2"/>
          <w:sz w:val="24"/>
          <w:szCs w:val="24"/>
          <w:lang w:val="en-US"/>
        </w:rPr>
        <w:t>投标人不得具有的情形</w:t>
      </w:r>
      <w:bookmarkEnd w:id="239"/>
      <w:bookmarkEnd w:id="240"/>
      <w:bookmarkEnd w:id="241"/>
      <w:bookmarkEnd w:id="242"/>
    </w:p>
    <w:p>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提供虚假材料谋取中标；</w:t>
      </w:r>
    </w:p>
    <w:p>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采取不正当手段诋毁、排挤其他投标人；</w:t>
      </w:r>
    </w:p>
    <w:p>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与采购人或者采购代理机构、其他投标人恶意串通；</w:t>
      </w:r>
    </w:p>
    <w:p>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向采购人或者采购代理机构、评标委员会成员行贿或者提供其他不正当利益；</w:t>
      </w:r>
    </w:p>
    <w:p>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在招标过程中与采购人或者采购代理机构进行协商谈判；</w:t>
      </w:r>
    </w:p>
    <w:p>
      <w:pPr>
        <w:numPr>
          <w:ilvl w:val="1"/>
          <w:numId w:val="45"/>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拒绝有关部门的监督检查或者向监督检查部门提供虚假情况。</w:t>
      </w:r>
    </w:p>
    <w:p>
      <w:pPr>
        <w:spacing w:line="520" w:lineRule="exact"/>
        <w:ind w:firstLine="480"/>
        <w:rPr>
          <w:b w:val="0"/>
          <w:color w:val="auto"/>
          <w:kern w:val="2"/>
          <w:sz w:val="24"/>
          <w:szCs w:val="24"/>
          <w:lang w:val="en-US"/>
        </w:rPr>
      </w:pPr>
      <w:r>
        <w:rPr>
          <w:rFonts w:hint="eastAsia"/>
          <w:b w:val="0"/>
          <w:color w:val="auto"/>
          <w:kern w:val="2"/>
          <w:sz w:val="24"/>
          <w:szCs w:val="24"/>
          <w:lang w:val="en-US"/>
        </w:rPr>
        <w:t>有上述情形之一的投标人，属于不合格投标人，其投标或中标资格将被取消。</w:t>
      </w:r>
    </w:p>
    <w:p>
      <w:pPr>
        <w:keepLines/>
        <w:numPr>
          <w:ilvl w:val="2"/>
          <w:numId w:val="16"/>
        </w:numPr>
        <w:tabs>
          <w:tab w:val="left" w:pos="360"/>
        </w:tabs>
        <w:spacing w:line="520" w:lineRule="exact"/>
        <w:ind w:left="0" w:firstLine="482"/>
        <w:outlineLvl w:val="2"/>
        <w:rPr>
          <w:bCs/>
          <w:color w:val="auto"/>
          <w:kern w:val="2"/>
          <w:sz w:val="24"/>
          <w:szCs w:val="24"/>
          <w:lang w:val="en-US"/>
        </w:rPr>
      </w:pPr>
      <w:bookmarkStart w:id="243" w:name="_Toc500492721"/>
      <w:bookmarkStart w:id="244" w:name="_Toc496605625"/>
      <w:bookmarkStart w:id="245" w:name="_Toc494198918"/>
      <w:r>
        <w:rPr>
          <w:bCs/>
          <w:color w:val="auto"/>
          <w:kern w:val="2"/>
          <w:sz w:val="24"/>
          <w:szCs w:val="24"/>
          <w:lang w:val="en-US"/>
        </w:rPr>
        <w:t>有下列情形之一的，视为投标人串通投标，其投标无效：</w:t>
      </w:r>
      <w:bookmarkEnd w:id="243"/>
      <w:bookmarkEnd w:id="244"/>
      <w:bookmarkEnd w:id="245"/>
    </w:p>
    <w:p>
      <w:pPr>
        <w:numPr>
          <w:ilvl w:val="1"/>
          <w:numId w:val="46"/>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不同投标人的投标文件由同一单位或者个人编制；</w:t>
      </w:r>
    </w:p>
    <w:p>
      <w:pPr>
        <w:numPr>
          <w:ilvl w:val="1"/>
          <w:numId w:val="46"/>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不同投标人委托同一单位或者个人办理投标事宜；</w:t>
      </w:r>
    </w:p>
    <w:p>
      <w:pPr>
        <w:numPr>
          <w:ilvl w:val="1"/>
          <w:numId w:val="46"/>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不同投标人的投标文件载明的项目管理成员或者联系人员为同一人；</w:t>
      </w:r>
    </w:p>
    <w:p>
      <w:pPr>
        <w:numPr>
          <w:ilvl w:val="1"/>
          <w:numId w:val="46"/>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不同投标人的投标文件异常一致或者投标报价呈规律性差异；</w:t>
      </w:r>
    </w:p>
    <w:p>
      <w:pPr>
        <w:numPr>
          <w:ilvl w:val="1"/>
          <w:numId w:val="46"/>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不同投标人的投标文件相互混装；</w:t>
      </w:r>
    </w:p>
    <w:p>
      <w:pPr>
        <w:numPr>
          <w:ilvl w:val="1"/>
          <w:numId w:val="46"/>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不同投标人的投标保证金</w:t>
      </w:r>
      <w:r>
        <w:rPr>
          <w:rFonts w:hint="eastAsia"/>
          <w:b w:val="0"/>
          <w:color w:val="auto"/>
          <w:kern w:val="2"/>
          <w:sz w:val="24"/>
          <w:szCs w:val="24"/>
          <w:lang w:val="en-US"/>
        </w:rPr>
        <w:t>（若有）</w:t>
      </w:r>
      <w:r>
        <w:rPr>
          <w:b w:val="0"/>
          <w:color w:val="auto"/>
          <w:kern w:val="2"/>
          <w:sz w:val="24"/>
          <w:szCs w:val="24"/>
          <w:lang w:val="en-US"/>
        </w:rPr>
        <w:t>从同一单位或者个人的账户转出。</w:t>
      </w:r>
    </w:p>
    <w:bookmarkEnd w:id="236"/>
    <w:bookmarkEnd w:id="237"/>
    <w:p>
      <w:pPr>
        <w:keepLines/>
        <w:numPr>
          <w:ilvl w:val="2"/>
          <w:numId w:val="16"/>
        </w:numPr>
        <w:tabs>
          <w:tab w:val="left" w:pos="360"/>
        </w:tabs>
        <w:spacing w:line="520" w:lineRule="exact"/>
        <w:ind w:left="0" w:firstLine="482"/>
        <w:outlineLvl w:val="2"/>
        <w:rPr>
          <w:bCs/>
          <w:color w:val="auto"/>
          <w:kern w:val="2"/>
          <w:sz w:val="24"/>
          <w:szCs w:val="24"/>
          <w:lang w:val="en-US"/>
        </w:rPr>
      </w:pPr>
      <w:bookmarkStart w:id="246" w:name="_Toc496605626"/>
      <w:bookmarkStart w:id="247" w:name="_Toc494198919"/>
      <w:bookmarkStart w:id="248" w:name="_Toc500492722"/>
      <w:bookmarkStart w:id="249" w:name="_Toc314574786"/>
      <w:r>
        <w:rPr>
          <w:rFonts w:hint="eastAsia"/>
          <w:bCs/>
          <w:color w:val="auto"/>
          <w:kern w:val="2"/>
          <w:sz w:val="24"/>
          <w:szCs w:val="24"/>
          <w:lang w:val="en-US"/>
        </w:rPr>
        <w:t>保密</w:t>
      </w:r>
      <w:bookmarkEnd w:id="246"/>
      <w:bookmarkEnd w:id="247"/>
      <w:bookmarkEnd w:id="248"/>
      <w:bookmarkEnd w:id="249"/>
    </w:p>
    <w:p>
      <w:pPr>
        <w:spacing w:line="520" w:lineRule="exact"/>
        <w:ind w:firstLine="480"/>
        <w:rPr>
          <w:b w:val="0"/>
          <w:color w:val="auto"/>
          <w:kern w:val="2"/>
          <w:sz w:val="24"/>
          <w:szCs w:val="24"/>
          <w:lang w:val="en-US"/>
        </w:rPr>
      </w:pPr>
      <w:r>
        <w:rPr>
          <w:b w:val="0"/>
          <w:color w:val="auto"/>
          <w:kern w:val="2"/>
          <w:sz w:val="24"/>
          <w:szCs w:val="24"/>
          <w:lang w:val="en-US"/>
        </w:rPr>
        <w:t>投标截止时间前，采购人、采购代理机构和有关人员不得向他人透露已获取招标文件的潜在投标人的名称、数量以及可能影响公平竞争的有关招标投标的其他情况。</w:t>
      </w:r>
    </w:p>
    <w:p>
      <w:pPr>
        <w:numPr>
          <w:ilvl w:val="1"/>
          <w:numId w:val="16"/>
        </w:numPr>
        <w:tabs>
          <w:tab w:val="left" w:pos="360"/>
        </w:tabs>
        <w:spacing w:line="520" w:lineRule="exact"/>
        <w:ind w:left="0" w:firstLine="482"/>
        <w:jc w:val="left"/>
        <w:outlineLvl w:val="1"/>
        <w:rPr>
          <w:bCs/>
          <w:color w:val="auto"/>
          <w:kern w:val="2"/>
          <w:sz w:val="24"/>
          <w:szCs w:val="24"/>
          <w:lang w:val="en-US"/>
        </w:rPr>
      </w:pPr>
      <w:bookmarkStart w:id="250" w:name="_Toc351016483"/>
      <w:bookmarkStart w:id="251" w:name="_Toc21247"/>
      <w:r>
        <w:rPr>
          <w:rFonts w:hint="eastAsia"/>
          <w:bCs/>
          <w:color w:val="auto"/>
          <w:kern w:val="2"/>
          <w:sz w:val="24"/>
          <w:szCs w:val="24"/>
          <w:lang w:val="en-US"/>
        </w:rPr>
        <w:t xml:space="preserve"> </w:t>
      </w:r>
      <w:bookmarkStart w:id="252" w:name="_Toc494198594"/>
      <w:r>
        <w:rPr>
          <w:rFonts w:hint="eastAsia"/>
          <w:bCs/>
          <w:color w:val="auto"/>
          <w:kern w:val="2"/>
          <w:sz w:val="24"/>
          <w:szCs w:val="24"/>
          <w:lang w:val="en-US"/>
        </w:rPr>
        <w:t>资金支付</w:t>
      </w:r>
      <w:bookmarkEnd w:id="250"/>
      <w:bookmarkEnd w:id="251"/>
      <w:bookmarkEnd w:id="252"/>
    </w:p>
    <w:p>
      <w:pPr>
        <w:spacing w:line="520" w:lineRule="exact"/>
        <w:ind w:firstLine="480"/>
        <w:rPr>
          <w:b w:val="0"/>
          <w:color w:val="auto"/>
          <w:kern w:val="2"/>
          <w:sz w:val="24"/>
          <w:szCs w:val="24"/>
          <w:lang w:val="en-US"/>
        </w:rPr>
      </w:pPr>
      <w:r>
        <w:rPr>
          <w:rFonts w:hint="eastAsia"/>
          <w:b w:val="0"/>
          <w:color w:val="auto"/>
          <w:kern w:val="2"/>
          <w:sz w:val="24"/>
          <w:szCs w:val="24"/>
          <w:lang w:val="en-US"/>
        </w:rPr>
        <w:t>采购人将按照政府采购合同规定，及时向中标人支付采购资金。</w:t>
      </w:r>
    </w:p>
    <w:p>
      <w:pPr>
        <w:numPr>
          <w:ilvl w:val="1"/>
          <w:numId w:val="16"/>
        </w:numPr>
        <w:tabs>
          <w:tab w:val="left" w:pos="360"/>
        </w:tabs>
        <w:spacing w:line="520" w:lineRule="exact"/>
        <w:ind w:left="0" w:firstLine="482"/>
        <w:jc w:val="left"/>
        <w:outlineLvl w:val="1"/>
        <w:rPr>
          <w:bCs/>
          <w:color w:val="auto"/>
          <w:kern w:val="2"/>
          <w:sz w:val="24"/>
          <w:szCs w:val="24"/>
          <w:lang w:val="en-US"/>
        </w:rPr>
      </w:pPr>
      <w:bookmarkStart w:id="253" w:name="_Toc351016484"/>
      <w:bookmarkStart w:id="254" w:name="_Toc11604"/>
      <w:bookmarkStart w:id="255" w:name="_Toc217446078"/>
      <w:r>
        <w:rPr>
          <w:rFonts w:hint="eastAsia"/>
          <w:bCs/>
          <w:color w:val="auto"/>
          <w:kern w:val="2"/>
          <w:sz w:val="24"/>
          <w:szCs w:val="24"/>
          <w:lang w:val="en-US"/>
        </w:rPr>
        <w:t xml:space="preserve"> </w:t>
      </w:r>
      <w:bookmarkStart w:id="256" w:name="_Toc494198595"/>
      <w:r>
        <w:rPr>
          <w:rFonts w:hint="eastAsia"/>
          <w:bCs/>
          <w:color w:val="auto"/>
          <w:kern w:val="2"/>
          <w:sz w:val="24"/>
          <w:szCs w:val="24"/>
          <w:lang w:val="en-US"/>
        </w:rPr>
        <w:t>询问、质疑和投诉</w:t>
      </w:r>
      <w:bookmarkEnd w:id="253"/>
      <w:bookmarkEnd w:id="254"/>
      <w:bookmarkEnd w:id="255"/>
      <w:bookmarkEnd w:id="256"/>
      <w:bookmarkStart w:id="257" w:name="_Toc217446079"/>
    </w:p>
    <w:bookmarkEnd w:id="257"/>
    <w:p>
      <w:pPr>
        <w:spacing w:line="520" w:lineRule="exact"/>
        <w:ind w:firstLine="480"/>
        <w:rPr>
          <w:b w:val="0"/>
          <w:color w:val="auto"/>
          <w:kern w:val="2"/>
          <w:sz w:val="24"/>
          <w:szCs w:val="24"/>
          <w:lang w:val="en-US"/>
        </w:rPr>
      </w:pPr>
      <w:r>
        <w:rPr>
          <w:rFonts w:hint="eastAsia"/>
          <w:b w:val="0"/>
          <w:color w:val="auto"/>
          <w:kern w:val="2"/>
          <w:sz w:val="24"/>
          <w:szCs w:val="24"/>
          <w:lang w:val="en-US"/>
        </w:rPr>
        <w:t>询问、质疑、投诉的接收和处理严格按照《中华人民共和国政府采购法》、《中华人民共和国政府采购法实施条例》、《政府采购货物和服务招标投标管理办法》（财政部令第87号）、《政府采购质疑和投诉办法》、《财政部关于加强政府采购供应商投诉受理审查工作的通知》和《四川省政府采购供应商投诉处理工作规程》的规定办理。</w:t>
      </w:r>
    </w:p>
    <w:p>
      <w:pPr>
        <w:numPr>
          <w:ilvl w:val="1"/>
          <w:numId w:val="16"/>
        </w:numPr>
        <w:tabs>
          <w:tab w:val="left" w:pos="360"/>
        </w:tabs>
        <w:spacing w:line="520" w:lineRule="exact"/>
        <w:ind w:left="0" w:firstLine="482"/>
        <w:jc w:val="left"/>
        <w:outlineLvl w:val="1"/>
        <w:rPr>
          <w:bCs/>
          <w:color w:val="auto"/>
          <w:kern w:val="2"/>
          <w:sz w:val="24"/>
          <w:szCs w:val="24"/>
          <w:lang w:val="en-US"/>
        </w:rPr>
      </w:pPr>
      <w:r>
        <w:rPr>
          <w:rFonts w:hint="eastAsia"/>
          <w:bCs/>
          <w:color w:val="auto"/>
          <w:kern w:val="2"/>
          <w:sz w:val="24"/>
          <w:szCs w:val="24"/>
          <w:lang w:val="en-US"/>
        </w:rPr>
        <w:t xml:space="preserve"> </w:t>
      </w:r>
      <w:bookmarkStart w:id="258" w:name="_Toc494198596"/>
      <w:r>
        <w:rPr>
          <w:rFonts w:hint="eastAsia"/>
          <w:bCs/>
          <w:color w:val="auto"/>
          <w:kern w:val="2"/>
          <w:sz w:val="24"/>
          <w:szCs w:val="24"/>
          <w:lang w:val="en-US"/>
        </w:rPr>
        <w:t>其他</w:t>
      </w:r>
      <w:bookmarkEnd w:id="258"/>
    </w:p>
    <w:p>
      <w:pPr>
        <w:numPr>
          <w:ilvl w:val="1"/>
          <w:numId w:val="47"/>
        </w:numPr>
        <w:tabs>
          <w:tab w:val="left" w:pos="0"/>
        </w:tabs>
        <w:spacing w:line="520" w:lineRule="exact"/>
        <w:ind w:left="0" w:firstLine="480"/>
        <w:rPr>
          <w:b w:val="0"/>
          <w:color w:val="auto"/>
          <w:kern w:val="2"/>
          <w:sz w:val="24"/>
          <w:szCs w:val="24"/>
          <w:lang w:val="en-US"/>
        </w:rPr>
      </w:pPr>
      <w:r>
        <w:rPr>
          <w:rFonts w:hint="eastAsia"/>
          <w:b w:val="0"/>
          <w:color w:val="auto"/>
          <w:kern w:val="2"/>
          <w:sz w:val="24"/>
          <w:szCs w:val="24"/>
          <w:lang w:val="en-US"/>
        </w:rPr>
        <w:t>本招标文件中所引相关法律制度规定以及政府采购政策，在政府采购过程中有变化的，按照变化后的相关法律制度规定及政府采购政策执行。本章和第7章中“1.总则、2.评标方法、3.评标程序”规定的内容条款，在本项目投标截止时间届满后，因相关法律制度规定及政府采购政策的变化导致不符合相关法律制度规定及政府采购政策的，直接按照变化后的相关法律制度规定及政府采购政策执行，本项目不再发布更正公告、招标文件</w:t>
      </w:r>
      <w:r>
        <w:rPr>
          <w:rFonts w:hint="eastAsia" w:ascii="Times New Roman"/>
          <w:b w:val="0"/>
          <w:color w:val="auto"/>
          <w:kern w:val="2"/>
          <w:sz w:val="24"/>
          <w:szCs w:val="24"/>
          <w:lang w:val="en-US"/>
        </w:rPr>
        <w:t>不再作调整。</w:t>
      </w:r>
    </w:p>
    <w:p>
      <w:pPr>
        <w:spacing w:line="520" w:lineRule="exact"/>
        <w:ind w:firstLine="480"/>
        <w:rPr>
          <w:b w:val="0"/>
          <w:color w:val="auto"/>
          <w:kern w:val="2"/>
          <w:sz w:val="24"/>
          <w:szCs w:val="24"/>
          <w:lang w:val="en-US"/>
        </w:rPr>
      </w:pPr>
      <w:r>
        <w:rPr>
          <w:rFonts w:hint="eastAsia"/>
          <w:b w:val="0"/>
          <w:color w:val="auto"/>
          <w:kern w:val="2"/>
          <w:sz w:val="24"/>
          <w:szCs w:val="24"/>
          <w:lang w:val="en-US"/>
        </w:rPr>
        <w:t>本招标文件中未引用的相关法律制度规定，按照中华人民共和国政府采购法及其实施条例，以及其他相关的法律、规章的规定执行。</w:t>
      </w:r>
    </w:p>
    <w:p>
      <w:pPr>
        <w:numPr>
          <w:ilvl w:val="1"/>
          <w:numId w:val="47"/>
        </w:numPr>
        <w:tabs>
          <w:tab w:val="left" w:pos="0"/>
        </w:tabs>
        <w:spacing w:line="520" w:lineRule="exact"/>
        <w:ind w:left="0" w:firstLine="480"/>
        <w:rPr>
          <w:b w:val="0"/>
          <w:color w:val="auto"/>
          <w:kern w:val="2"/>
          <w:sz w:val="24"/>
          <w:szCs w:val="24"/>
          <w:lang w:val="en-US"/>
        </w:rPr>
      </w:pPr>
      <w:r>
        <w:rPr>
          <w:b w:val="0"/>
          <w:color w:val="auto"/>
          <w:kern w:val="2"/>
          <w:sz w:val="24"/>
          <w:szCs w:val="24"/>
          <w:lang w:val="en-US"/>
        </w:rPr>
        <w:t>国家</w:t>
      </w:r>
      <w:r>
        <w:rPr>
          <w:rFonts w:hint="eastAsia"/>
          <w:b w:val="0"/>
          <w:color w:val="auto"/>
          <w:kern w:val="2"/>
          <w:sz w:val="24"/>
          <w:szCs w:val="24"/>
          <w:lang w:val="en-US"/>
        </w:rPr>
        <w:t>或行业主管部门</w:t>
      </w:r>
      <w:r>
        <w:rPr>
          <w:b w:val="0"/>
          <w:color w:val="auto"/>
          <w:kern w:val="2"/>
          <w:sz w:val="24"/>
          <w:szCs w:val="24"/>
          <w:lang w:val="en-US"/>
        </w:rPr>
        <w:t>对</w:t>
      </w:r>
      <w:r>
        <w:rPr>
          <w:rFonts w:hint="eastAsia"/>
          <w:b w:val="0"/>
          <w:color w:val="auto"/>
          <w:kern w:val="2"/>
          <w:sz w:val="24"/>
          <w:szCs w:val="24"/>
          <w:lang w:val="en-US"/>
        </w:rPr>
        <w:t>投标人和采购产品的</w:t>
      </w:r>
      <w:r>
        <w:rPr>
          <w:b w:val="0"/>
          <w:color w:val="auto"/>
          <w:kern w:val="2"/>
          <w:sz w:val="24"/>
          <w:szCs w:val="24"/>
          <w:lang w:val="en-US"/>
        </w:rPr>
        <w:t>技术</w:t>
      </w:r>
      <w:r>
        <w:rPr>
          <w:rFonts w:hint="eastAsia"/>
          <w:b w:val="0"/>
          <w:color w:val="auto"/>
          <w:kern w:val="2"/>
          <w:sz w:val="24"/>
          <w:szCs w:val="24"/>
          <w:lang w:val="en-US"/>
        </w:rPr>
        <w:t>标准、</w:t>
      </w:r>
      <w:r>
        <w:rPr>
          <w:b w:val="0"/>
          <w:color w:val="auto"/>
          <w:kern w:val="2"/>
          <w:sz w:val="24"/>
          <w:szCs w:val="24"/>
          <w:lang w:val="en-US"/>
        </w:rPr>
        <w:t>质量</w:t>
      </w:r>
      <w:r>
        <w:rPr>
          <w:rFonts w:hint="eastAsia"/>
          <w:b w:val="0"/>
          <w:color w:val="auto"/>
          <w:kern w:val="2"/>
          <w:sz w:val="24"/>
          <w:szCs w:val="24"/>
          <w:lang w:val="en-US"/>
        </w:rPr>
        <w:t>标准和资格资质条件</w:t>
      </w:r>
      <w:r>
        <w:rPr>
          <w:b w:val="0"/>
          <w:color w:val="auto"/>
          <w:kern w:val="2"/>
          <w:sz w:val="24"/>
          <w:szCs w:val="24"/>
          <w:lang w:val="en-US"/>
        </w:rPr>
        <w:t>等有</w:t>
      </w:r>
      <w:r>
        <w:rPr>
          <w:rFonts w:hint="eastAsia"/>
          <w:b w:val="0"/>
          <w:color w:val="auto"/>
          <w:kern w:val="2"/>
          <w:sz w:val="24"/>
          <w:szCs w:val="24"/>
          <w:lang w:val="en-US"/>
        </w:rPr>
        <w:t>强制性规定</w:t>
      </w:r>
      <w:r>
        <w:rPr>
          <w:b w:val="0"/>
          <w:color w:val="auto"/>
          <w:kern w:val="2"/>
          <w:sz w:val="24"/>
          <w:szCs w:val="24"/>
          <w:lang w:val="en-US"/>
        </w:rPr>
        <w:t>的</w:t>
      </w:r>
      <w:r>
        <w:rPr>
          <w:rFonts w:hint="eastAsia" w:ascii="Times New Roman"/>
          <w:b w:val="0"/>
          <w:color w:val="auto"/>
          <w:kern w:val="2"/>
          <w:sz w:val="24"/>
          <w:szCs w:val="24"/>
          <w:lang w:val="en-US"/>
        </w:rPr>
        <w:t>，投标人必须承诺符合其要求，否则作无效投标处理。</w:t>
      </w:r>
    </w:p>
    <w:p>
      <w:pPr>
        <w:numPr>
          <w:ilvl w:val="1"/>
          <w:numId w:val="47"/>
        </w:numPr>
        <w:tabs>
          <w:tab w:val="left" w:pos="0"/>
        </w:tabs>
        <w:spacing w:line="520" w:lineRule="exact"/>
        <w:ind w:left="0" w:firstLine="480"/>
        <w:rPr>
          <w:color w:val="auto"/>
        </w:rPr>
      </w:pPr>
      <w:r>
        <w:rPr>
          <w:rFonts w:hint="eastAsia"/>
          <w:b w:val="0"/>
          <w:color w:val="auto"/>
          <w:kern w:val="2"/>
          <w:sz w:val="24"/>
          <w:szCs w:val="24"/>
          <w:lang w:val="en-US"/>
        </w:rPr>
        <w:t>根据成都市财政局 中国人民银行成都分行营业管理部关于印发《成都市中小企业政府采购信用融资暂行办法》和《成都市级支持中小企业政府采购信用融资实施方案》的通知（成财采[2019</w:t>
      </w:r>
      <w:r>
        <w:rPr>
          <w:rFonts w:hint="eastAsia"/>
          <w:b w:val="0"/>
          <w:color w:val="auto"/>
          <w:kern w:val="2"/>
          <w:sz w:val="22"/>
          <w:szCs w:val="24"/>
          <w:lang w:val="en-US"/>
        </w:rPr>
        <w:t>]17号</w:t>
      </w:r>
      <w:r>
        <w:rPr>
          <w:rFonts w:hint="eastAsia"/>
          <w:b w:val="0"/>
          <w:color w:val="auto"/>
          <w:kern w:val="2"/>
          <w:sz w:val="24"/>
          <w:szCs w:val="24"/>
          <w:lang w:val="en-US"/>
        </w:rPr>
        <w:t>）的要求，符合通知要求、有融资需求的供应商可根据成都市政府采购监督管理系统集中展示的融资机构及其“政采贷”产品，自行选择符合自身情况的“政采贷”银行及其产品，凭中标通知书向银行提出贷款意向申请。银行应及时按照有关规定完成对供应商的信用审查以及开设账户等相关工作。</w:t>
      </w:r>
    </w:p>
    <w:p>
      <w:pPr>
        <w:rPr>
          <w:color w:val="auto"/>
        </w:rPr>
      </w:pPr>
    </w:p>
    <w:p>
      <w:pPr>
        <w:rPr>
          <w:color w:val="auto"/>
        </w:rPr>
      </w:pPr>
    </w:p>
    <w:p>
      <w:pPr>
        <w:pStyle w:val="3"/>
        <w:keepNext w:val="0"/>
        <w:numPr>
          <w:ilvl w:val="0"/>
          <w:numId w:val="16"/>
        </w:numPr>
        <w:spacing w:before="218" w:beforeLines="50" w:after="218" w:afterLines="50" w:line="360" w:lineRule="auto"/>
        <w:ind w:left="0" w:firstLine="0"/>
        <w:rPr>
          <w:b/>
          <w:color w:val="auto"/>
        </w:rPr>
      </w:pPr>
      <w:r>
        <w:rPr>
          <w:color w:val="auto"/>
          <w:sz w:val="24"/>
          <w:szCs w:val="24"/>
        </w:rPr>
        <w:br w:type="page"/>
      </w:r>
      <w:bookmarkStart w:id="259" w:name="_Toc318203496"/>
      <w:bookmarkEnd w:id="259"/>
      <w:bookmarkStart w:id="260" w:name="_Toc318203495"/>
      <w:bookmarkEnd w:id="260"/>
      <w:bookmarkStart w:id="261" w:name="_Toc494198598"/>
      <w:r>
        <w:rPr>
          <w:rFonts w:hint="eastAsia"/>
          <w:color w:val="auto"/>
        </w:rPr>
        <w:t xml:space="preserve"> </w:t>
      </w:r>
      <w:bookmarkStart w:id="262" w:name="_Toc1475"/>
      <w:r>
        <w:rPr>
          <w:rFonts w:hint="eastAsia"/>
          <w:b/>
          <w:color w:val="auto"/>
        </w:rPr>
        <w:t>投标文件格式</w:t>
      </w:r>
      <w:bookmarkEnd w:id="261"/>
      <w:bookmarkEnd w:id="262"/>
    </w:p>
    <w:p>
      <w:pPr>
        <w:rPr>
          <w:color w:val="auto"/>
        </w:rPr>
      </w:pPr>
    </w:p>
    <w:p>
      <w:pPr>
        <w:rPr>
          <w:color w:val="auto"/>
        </w:rPr>
      </w:pPr>
    </w:p>
    <w:p>
      <w:pPr>
        <w:rPr>
          <w:color w:val="auto"/>
        </w:rPr>
      </w:pPr>
    </w:p>
    <w:p>
      <w:pPr>
        <w:rPr>
          <w:color w:val="auto"/>
        </w:rPr>
      </w:pPr>
    </w:p>
    <w:p>
      <w:pPr>
        <w:rPr>
          <w:color w:val="auto"/>
        </w:rPr>
      </w:pPr>
    </w:p>
    <w:p>
      <w:pPr>
        <w:snapToGrid/>
        <w:spacing w:line="240" w:lineRule="auto"/>
        <w:ind w:firstLine="560"/>
        <w:rPr>
          <w:rFonts w:ascii="Times New Roman" w:hAnsi="Times New Roman"/>
          <w:b w:val="0"/>
          <w:color w:val="auto"/>
          <w:kern w:val="2"/>
          <w:sz w:val="28"/>
          <w:szCs w:val="28"/>
          <w:lang w:val="en-US"/>
        </w:rPr>
      </w:pPr>
      <w:r>
        <w:rPr>
          <w:rFonts w:hint="eastAsia" w:ascii="Times New Roman" w:hAnsi="Times New Roman"/>
          <w:b w:val="0"/>
          <w:color w:val="auto"/>
          <w:kern w:val="2"/>
          <w:sz w:val="28"/>
          <w:szCs w:val="28"/>
          <w:lang w:val="en-US"/>
        </w:rPr>
        <w:t>一、本章所制投标文件格式，除格式中明确将该格式作为强制要求的外，一律不具有强制性，但是，投标人投标文件相关资料和本章所制格式不一致的，评标委员会将在评分时以投标文件不规范予以扣分处理。</w:t>
      </w:r>
    </w:p>
    <w:p>
      <w:pPr>
        <w:snapToGrid/>
        <w:spacing w:line="240" w:lineRule="auto"/>
        <w:ind w:firstLine="560"/>
        <w:rPr>
          <w:rFonts w:ascii="Times New Roman" w:hAnsi="Times New Roman"/>
          <w:b w:val="0"/>
          <w:color w:val="auto"/>
          <w:kern w:val="2"/>
          <w:sz w:val="28"/>
          <w:szCs w:val="28"/>
          <w:lang w:val="en-US"/>
        </w:rPr>
      </w:pPr>
      <w:r>
        <w:rPr>
          <w:rFonts w:hint="eastAsia" w:ascii="Times New Roman" w:hAnsi="Times New Roman"/>
          <w:b w:val="0"/>
          <w:color w:val="auto"/>
          <w:kern w:val="2"/>
          <w:sz w:val="28"/>
          <w:szCs w:val="28"/>
          <w:lang w:val="en-US"/>
        </w:rPr>
        <w:t>二、本章所制投标文件格式有关表格中的备注栏，由投标人根据自身投标情况作解释性说明，不作为必填项。</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numPr>
          <w:ilvl w:val="1"/>
          <w:numId w:val="16"/>
        </w:numPr>
        <w:tabs>
          <w:tab w:val="left" w:pos="360"/>
        </w:tabs>
        <w:snapToGrid/>
        <w:spacing w:before="260" w:after="260"/>
        <w:ind w:firstLineChars="0"/>
        <w:jc w:val="left"/>
        <w:outlineLvl w:val="1"/>
        <w:rPr>
          <w:bCs/>
          <w:color w:val="auto"/>
          <w:kern w:val="2"/>
          <w:sz w:val="24"/>
          <w:szCs w:val="24"/>
          <w:lang w:val="en-US"/>
        </w:rPr>
      </w:pPr>
      <w:bookmarkStart w:id="263" w:name="_Toc318203498"/>
      <w:bookmarkEnd w:id="263"/>
      <w:r>
        <w:rPr>
          <w:rFonts w:hint="eastAsia"/>
          <w:bCs/>
          <w:color w:val="auto"/>
          <w:kern w:val="2"/>
          <w:sz w:val="24"/>
          <w:szCs w:val="24"/>
          <w:lang w:val="en-US"/>
        </w:rPr>
        <w:t>开标一览表格式</w:t>
      </w:r>
      <w:bookmarkStart w:id="264" w:name="_Toc257208344"/>
      <w:bookmarkEnd w:id="264"/>
      <w:bookmarkStart w:id="265" w:name="_Toc257208277"/>
      <w:bookmarkEnd w:id="265"/>
      <w:bookmarkStart w:id="266" w:name="_Toc257273645"/>
      <w:bookmarkEnd w:id="266"/>
      <w:bookmarkStart w:id="267" w:name="_Toc257208332"/>
      <w:bookmarkEnd w:id="267"/>
      <w:bookmarkStart w:id="268" w:name="_Toc257208180"/>
      <w:bookmarkEnd w:id="268"/>
      <w:bookmarkStart w:id="269" w:name="_Toc257273550"/>
      <w:bookmarkEnd w:id="269"/>
      <w:bookmarkStart w:id="270" w:name="_Toc257273625"/>
      <w:bookmarkEnd w:id="270"/>
      <w:bookmarkStart w:id="271" w:name="_Toc257208272"/>
      <w:bookmarkEnd w:id="271"/>
      <w:bookmarkStart w:id="272" w:name="_Toc257208342"/>
      <w:bookmarkEnd w:id="272"/>
      <w:bookmarkStart w:id="273" w:name="_Toc257273685"/>
      <w:bookmarkEnd w:id="273"/>
      <w:bookmarkStart w:id="274" w:name="_Toc257208343"/>
      <w:bookmarkEnd w:id="274"/>
      <w:bookmarkStart w:id="275" w:name="_Toc257273709"/>
      <w:bookmarkEnd w:id="275"/>
      <w:bookmarkStart w:id="276" w:name="_Toc257208287"/>
      <w:bookmarkEnd w:id="276"/>
      <w:bookmarkStart w:id="277" w:name="_Toc257273574"/>
      <w:bookmarkEnd w:id="277"/>
      <w:bookmarkStart w:id="278" w:name="_Toc257273655"/>
      <w:bookmarkEnd w:id="278"/>
      <w:bookmarkStart w:id="279" w:name="_Toc257208203"/>
      <w:bookmarkEnd w:id="279"/>
      <w:bookmarkStart w:id="280" w:name="_Toc257208184"/>
      <w:bookmarkEnd w:id="280"/>
      <w:bookmarkStart w:id="281" w:name="_Toc257273580"/>
      <w:bookmarkEnd w:id="281"/>
      <w:bookmarkStart w:id="282" w:name="_Toc257273533"/>
      <w:bookmarkEnd w:id="282"/>
      <w:bookmarkStart w:id="283" w:name="_Toc257273670"/>
      <w:bookmarkEnd w:id="283"/>
      <w:bookmarkStart w:id="284" w:name="_Toc257273675"/>
      <w:bookmarkEnd w:id="284"/>
      <w:bookmarkStart w:id="285" w:name="_Toc257273534"/>
      <w:bookmarkEnd w:id="285"/>
      <w:bookmarkStart w:id="286" w:name="_Toc257208357"/>
      <w:bookmarkEnd w:id="286"/>
      <w:bookmarkStart w:id="287" w:name="_Toc257208221"/>
      <w:bookmarkEnd w:id="287"/>
      <w:bookmarkStart w:id="288" w:name="_Toc257273535"/>
      <w:bookmarkEnd w:id="288"/>
      <w:bookmarkStart w:id="289" w:name="_Toc257208227"/>
      <w:bookmarkEnd w:id="289"/>
      <w:bookmarkStart w:id="290" w:name="_Toc257208302"/>
      <w:bookmarkEnd w:id="290"/>
      <w:bookmarkStart w:id="291" w:name="_Toc257273696"/>
      <w:bookmarkEnd w:id="291"/>
      <w:bookmarkStart w:id="292" w:name="_Toc257273531"/>
      <w:bookmarkEnd w:id="292"/>
      <w:bookmarkStart w:id="293" w:name="_Toc257273530"/>
      <w:bookmarkEnd w:id="293"/>
      <w:bookmarkStart w:id="294" w:name="_Toc257273697"/>
      <w:bookmarkEnd w:id="294"/>
      <w:bookmarkStart w:id="295" w:name="_Toc257273532"/>
      <w:bookmarkEnd w:id="295"/>
      <w:bookmarkStart w:id="296" w:name="_Toc257208292"/>
      <w:bookmarkEnd w:id="296"/>
      <w:bookmarkStart w:id="297" w:name="_Toc257208179"/>
      <w:bookmarkEnd w:id="297"/>
      <w:bookmarkStart w:id="298" w:name="_Toc257273529"/>
      <w:bookmarkEnd w:id="298"/>
      <w:bookmarkStart w:id="299" w:name="_Toc257208322"/>
      <w:bookmarkEnd w:id="299"/>
      <w:bookmarkStart w:id="300" w:name="_Toc257208356"/>
      <w:bookmarkEnd w:id="300"/>
      <w:bookmarkStart w:id="301" w:name="_Toc257208197"/>
      <w:bookmarkEnd w:id="301"/>
      <w:bookmarkStart w:id="302" w:name="_Toc257273695"/>
      <w:bookmarkEnd w:id="302"/>
      <w:bookmarkStart w:id="303" w:name="_Toc257208177"/>
      <w:bookmarkEnd w:id="303"/>
      <w:bookmarkStart w:id="304" w:name="_Toc257208358"/>
      <w:bookmarkEnd w:id="304"/>
      <w:bookmarkStart w:id="305" w:name="_Toc257208181"/>
      <w:bookmarkEnd w:id="305"/>
      <w:bookmarkStart w:id="306" w:name="_Toc257208182"/>
      <w:bookmarkEnd w:id="306"/>
      <w:bookmarkStart w:id="307" w:name="_Toc257273587"/>
      <w:bookmarkEnd w:id="307"/>
      <w:bookmarkStart w:id="308" w:name="_Toc257208176"/>
      <w:bookmarkEnd w:id="308"/>
      <w:bookmarkStart w:id="309" w:name="_Toc257273711"/>
      <w:bookmarkEnd w:id="309"/>
      <w:bookmarkStart w:id="310" w:name="_Toc257273660"/>
      <w:bookmarkEnd w:id="310"/>
      <w:bookmarkStart w:id="311" w:name="_Toc257273536"/>
      <w:bookmarkEnd w:id="311"/>
      <w:bookmarkStart w:id="312" w:name="_Toc257273630"/>
      <w:bookmarkEnd w:id="312"/>
      <w:bookmarkStart w:id="313" w:name="_Toc257208317"/>
      <w:bookmarkEnd w:id="313"/>
      <w:bookmarkStart w:id="314" w:name="_Toc257273556"/>
      <w:bookmarkEnd w:id="314"/>
      <w:bookmarkStart w:id="315" w:name="_Toc257208183"/>
      <w:bookmarkEnd w:id="315"/>
      <w:bookmarkStart w:id="316" w:name="_Toc257208178"/>
      <w:bookmarkEnd w:id="316"/>
      <w:bookmarkStart w:id="317" w:name="_Toc257208234"/>
      <w:bookmarkEnd w:id="317"/>
      <w:bookmarkStart w:id="318" w:name="_Toc257273710"/>
      <w:bookmarkEnd w:id="318"/>
      <w:bookmarkStart w:id="319" w:name="_Toc257273640"/>
      <w:bookmarkEnd w:id="319"/>
      <w:bookmarkStart w:id="320" w:name="_Toc257273537"/>
      <w:bookmarkEnd w:id="320"/>
      <w:bookmarkStart w:id="321" w:name="_Toc257208307"/>
      <w:bookmarkEnd w:id="321"/>
      <w:bookmarkStart w:id="322" w:name="_Toc531661861"/>
      <w:bookmarkStart w:id="323" w:name="_Toc46394754"/>
      <w:bookmarkStart w:id="324" w:name="_Toc532292615"/>
      <w:bookmarkStart w:id="325" w:name="_Toc532292533"/>
      <w:bookmarkStart w:id="326" w:name="_Toc76132174"/>
      <w:bookmarkStart w:id="327" w:name="_Toc532292813"/>
      <w:bookmarkStart w:id="328" w:name="_Toc531764933"/>
      <w:bookmarkStart w:id="329" w:name="_Toc76132887"/>
      <w:bookmarkStart w:id="330" w:name="_Toc532877864"/>
      <w:bookmarkStart w:id="331" w:name="_Toc531666042"/>
      <w:bookmarkStart w:id="332" w:name="_Toc95295156"/>
      <w:bookmarkStart w:id="333" w:name="_Toc351016487"/>
      <w:bookmarkStart w:id="334" w:name="_Toc295978803"/>
      <w:bookmarkStart w:id="335" w:name="_Toc256175344"/>
      <w:bookmarkStart w:id="336" w:name="_Toc174767228"/>
      <w:bookmarkStart w:id="337" w:name="_Toc263768863"/>
      <w:bookmarkStart w:id="338" w:name="_Toc263753599"/>
    </w:p>
    <w:p>
      <w:pPr>
        <w:numPr>
          <w:ilvl w:val="2"/>
          <w:numId w:val="16"/>
        </w:numPr>
        <w:tabs>
          <w:tab w:val="left" w:pos="360"/>
        </w:tabs>
        <w:snapToGrid/>
        <w:spacing w:before="260" w:after="260"/>
        <w:ind w:left="0" w:firstLine="284" w:firstLineChars="0"/>
        <w:jc w:val="left"/>
        <w:outlineLvl w:val="1"/>
        <w:rPr>
          <w:bCs/>
          <w:color w:val="auto"/>
          <w:kern w:val="2"/>
          <w:sz w:val="24"/>
          <w:szCs w:val="24"/>
          <w:lang w:val="en-US"/>
        </w:rPr>
      </w:pPr>
      <w:bookmarkStart w:id="339" w:name="_Toc466895946"/>
      <w:bookmarkStart w:id="340" w:name="_Toc500492729"/>
      <w:bookmarkStart w:id="341" w:name="_Toc494198926"/>
      <w:bookmarkStart w:id="342" w:name="_Toc494198600"/>
      <w:bookmarkStart w:id="343" w:name="_Toc496605633"/>
      <w:r>
        <w:rPr>
          <w:rFonts w:hint="eastAsia"/>
          <w:bCs/>
          <w:color w:val="auto"/>
          <w:kern w:val="2"/>
          <w:sz w:val="24"/>
          <w:szCs w:val="24"/>
          <w:lang w:val="en-US"/>
        </w:rPr>
        <w:t>开标一览表</w:t>
      </w:r>
      <w:bookmarkEnd w:id="339"/>
      <w:bookmarkEnd w:id="340"/>
      <w:bookmarkEnd w:id="341"/>
      <w:bookmarkEnd w:id="342"/>
      <w:bookmarkEnd w:id="343"/>
      <w:r>
        <w:rPr>
          <w:rFonts w:hint="eastAsia"/>
          <w:bCs/>
          <w:color w:val="auto"/>
          <w:kern w:val="2"/>
          <w:sz w:val="24"/>
          <w:szCs w:val="24"/>
          <w:lang w:val="en-US"/>
        </w:rPr>
        <w:t>密封包装最外层格式</w:t>
      </w:r>
    </w:p>
    <w:p>
      <w:pPr>
        <w:snapToGrid/>
        <w:ind w:firstLine="0" w:firstLineChars="0"/>
        <w:jc w:val="center"/>
        <w:rPr>
          <w:b w:val="0"/>
          <w:color w:val="auto"/>
          <w:spacing w:val="78"/>
          <w:kern w:val="2"/>
          <w:sz w:val="120"/>
          <w:szCs w:val="120"/>
          <w:lang w:val="en-US"/>
        </w:rPr>
      </w:pPr>
      <w:r>
        <w:rPr>
          <w:rFonts w:hint="eastAsia"/>
          <w:b w:val="0"/>
          <w:color w:val="auto"/>
          <w:spacing w:val="78"/>
          <w:kern w:val="2"/>
          <w:sz w:val="120"/>
          <w:szCs w:val="120"/>
          <w:lang w:val="en-US"/>
        </w:rPr>
        <w:t>开标一览表</w:t>
      </w:r>
    </w:p>
    <w:p>
      <w:pPr>
        <w:rPr>
          <w:color w:val="auto"/>
        </w:rPr>
      </w:pPr>
    </w:p>
    <w:p>
      <w:pPr>
        <w:rPr>
          <w:color w:val="auto"/>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采购项目名称：</w:t>
      </w:r>
    </w:p>
    <w:p>
      <w:pPr>
        <w:snapToGrid/>
        <w:spacing w:line="240" w:lineRule="auto"/>
        <w:ind w:left="2723" w:leftChars="355" w:hanging="1587" w:hangingChars="496"/>
        <w:rPr>
          <w:bCs/>
          <w:color w:val="auto"/>
          <w:kern w:val="2"/>
          <w:lang w:val="en-US"/>
        </w:rPr>
      </w:pPr>
      <w:r>
        <w:rPr>
          <w:rFonts w:hint="eastAsia"/>
          <w:bCs/>
          <w:color w:val="auto"/>
          <w:kern w:val="2"/>
          <w:lang w:val="en-US"/>
        </w:rPr>
        <w:t>采购项目编号：</w:t>
      </w:r>
    </w:p>
    <w:p>
      <w:pPr>
        <w:rPr>
          <w:color w:val="auto"/>
        </w:rPr>
      </w:pPr>
    </w:p>
    <w:p>
      <w:pPr>
        <w:rPr>
          <w:color w:val="auto"/>
        </w:rPr>
      </w:pPr>
    </w:p>
    <w:p>
      <w:pPr>
        <w:rPr>
          <w:color w:val="auto"/>
        </w:rPr>
      </w:pPr>
    </w:p>
    <w:p>
      <w:pPr>
        <w:snapToGrid/>
        <w:ind w:firstLine="1600" w:firstLineChars="500"/>
        <w:jc w:val="left"/>
        <w:rPr>
          <w:color w:val="auto"/>
          <w:kern w:val="2"/>
          <w:lang w:val="en-US"/>
        </w:rPr>
      </w:pPr>
      <w:r>
        <w:rPr>
          <w:rFonts w:hint="eastAsia"/>
          <w:color w:val="auto"/>
          <w:kern w:val="2"/>
          <w:lang w:val="en-US"/>
        </w:rPr>
        <w:t>投标人名称：</w:t>
      </w:r>
      <w:r>
        <w:rPr>
          <w:rFonts w:hint="eastAsia"/>
          <w:color w:val="auto"/>
          <w:kern w:val="2"/>
          <w:u w:val="single"/>
          <w:lang w:val="en-US"/>
        </w:rPr>
        <w:t xml:space="preserve">               （加盖公章）</w:t>
      </w:r>
    </w:p>
    <w:p>
      <w:pPr>
        <w:snapToGrid/>
        <w:ind w:firstLine="1600" w:firstLineChars="500"/>
        <w:jc w:val="left"/>
        <w:rPr>
          <w:color w:val="auto"/>
          <w:kern w:val="2"/>
          <w:lang w:val="en-US"/>
        </w:rPr>
      </w:pPr>
    </w:p>
    <w:p>
      <w:pPr>
        <w:snapToGrid/>
        <w:ind w:firstLine="1600" w:firstLineChars="500"/>
        <w:jc w:val="left"/>
        <w:rPr>
          <w:color w:val="auto"/>
          <w:kern w:val="2"/>
          <w:lang w:val="en-US"/>
        </w:rPr>
      </w:pPr>
    </w:p>
    <w:p>
      <w:pPr>
        <w:snapToGrid/>
        <w:ind w:firstLine="1600" w:firstLineChars="500"/>
        <w:jc w:val="left"/>
        <w:rPr>
          <w:color w:val="auto"/>
          <w:kern w:val="2"/>
          <w:lang w:val="en-US"/>
        </w:rPr>
      </w:pPr>
    </w:p>
    <w:p>
      <w:pPr>
        <w:rPr>
          <w:color w:val="auto"/>
        </w:rPr>
      </w:pPr>
      <w:r>
        <w:rPr>
          <w:rFonts w:hint="eastAsia"/>
          <w:color w:val="auto"/>
          <w:kern w:val="2"/>
          <w:lang w:val="en-US"/>
        </w:rPr>
        <w:t xml:space="preserve">开标时间之前不准启封 或 </w:t>
      </w:r>
      <w:r>
        <w:rPr>
          <w:color w:val="auto"/>
          <w:kern w:val="2"/>
          <w:lang w:val="en-US"/>
        </w:rPr>
        <w:t>20</w:t>
      </w:r>
      <w:r>
        <w:rPr>
          <w:rFonts w:hint="eastAsia"/>
          <w:color w:val="auto"/>
          <w:kern w:val="2"/>
          <w:lang w:val="en-US"/>
        </w:rPr>
        <w:t xml:space="preserve">   </w:t>
      </w:r>
      <w:r>
        <w:rPr>
          <w:color w:val="auto"/>
          <w:kern w:val="2"/>
          <w:lang w:val="en-US"/>
        </w:rPr>
        <w:t>年   月   日</w:t>
      </w:r>
      <w:r>
        <w:rPr>
          <w:rFonts w:hint="eastAsia"/>
          <w:color w:val="auto"/>
          <w:kern w:val="2"/>
          <w:lang w:val="en-US"/>
        </w:rPr>
        <w:t xml:space="preserve">   </w:t>
      </w:r>
      <w:r>
        <w:rPr>
          <w:color w:val="auto"/>
          <w:kern w:val="2"/>
          <w:lang w:val="en-US"/>
        </w:rPr>
        <w:t>:</w:t>
      </w:r>
      <w:r>
        <w:rPr>
          <w:rFonts w:hint="eastAsia"/>
          <w:color w:val="auto"/>
          <w:kern w:val="2"/>
          <w:lang w:val="en-US"/>
        </w:rPr>
        <w:t xml:space="preserve">   前不准启封</w:t>
      </w:r>
    </w:p>
    <w:p>
      <w:pPr>
        <w:rPr>
          <w:color w:val="auto"/>
        </w:rPr>
      </w:pPr>
    </w:p>
    <w:p>
      <w:pPr>
        <w:rPr>
          <w:color w:val="auto"/>
        </w:rPr>
      </w:pPr>
    </w:p>
    <w:p>
      <w:pPr>
        <w:rPr>
          <w:color w:val="auto"/>
        </w:rPr>
      </w:pPr>
    </w:p>
    <w:p>
      <w:pPr>
        <w:numPr>
          <w:ilvl w:val="2"/>
          <w:numId w:val="16"/>
        </w:numPr>
        <w:tabs>
          <w:tab w:val="left" w:pos="360"/>
        </w:tabs>
        <w:snapToGrid/>
        <w:spacing w:before="260" w:after="260"/>
        <w:ind w:left="0" w:firstLine="284" w:firstLineChars="0"/>
        <w:jc w:val="left"/>
        <w:outlineLvl w:val="1"/>
        <w:rPr>
          <w:bCs/>
          <w:color w:val="auto"/>
          <w:kern w:val="2"/>
          <w:sz w:val="24"/>
          <w:szCs w:val="24"/>
          <w:lang w:val="en-US"/>
        </w:rPr>
      </w:pPr>
      <w:bookmarkStart w:id="344" w:name="_Toc494198603"/>
      <w:bookmarkStart w:id="345" w:name="_Toc294518930"/>
      <w:bookmarkStart w:id="346" w:name="_Toc351016488"/>
      <w:bookmarkStart w:id="347" w:name="_Toc295978804"/>
      <w:r>
        <w:rPr>
          <w:rFonts w:hint="eastAsia"/>
          <w:bCs/>
          <w:color w:val="auto"/>
          <w:kern w:val="2"/>
          <w:sz w:val="24"/>
          <w:szCs w:val="24"/>
          <w:lang w:val="en-US"/>
        </w:rPr>
        <w:t>开标一览表</w:t>
      </w:r>
      <w:bookmarkEnd w:id="344"/>
      <w:bookmarkEnd w:id="345"/>
      <w:bookmarkEnd w:id="346"/>
      <w:bookmarkEnd w:id="347"/>
    </w:p>
    <w:p>
      <w:pPr>
        <w:ind w:firstLine="480"/>
        <w:rPr>
          <w:b w:val="0"/>
          <w:color w:val="auto"/>
          <w:kern w:val="2"/>
          <w:sz w:val="24"/>
          <w:szCs w:val="24"/>
          <w:lang w:val="en-US"/>
        </w:rPr>
      </w:pPr>
      <w:bookmarkStart w:id="348" w:name="_Toc351016490"/>
      <w:r>
        <w:rPr>
          <w:rFonts w:hint="eastAsia"/>
          <w:b w:val="0"/>
          <w:color w:val="auto"/>
          <w:kern w:val="2"/>
          <w:sz w:val="24"/>
          <w:szCs w:val="24"/>
          <w:lang w:val="en-US"/>
        </w:rPr>
        <w:t>采购项目名称：</w:t>
      </w:r>
    </w:p>
    <w:p>
      <w:pPr>
        <w:ind w:firstLine="480"/>
        <w:rPr>
          <w:b w:val="0"/>
          <w:color w:val="auto"/>
          <w:kern w:val="2"/>
          <w:sz w:val="24"/>
          <w:szCs w:val="24"/>
          <w:lang w:val="en-US"/>
        </w:rPr>
      </w:pPr>
      <w:r>
        <w:rPr>
          <w:rFonts w:hint="eastAsia"/>
          <w:b w:val="0"/>
          <w:color w:val="auto"/>
          <w:kern w:val="2"/>
          <w:sz w:val="24"/>
          <w:szCs w:val="24"/>
          <w:lang w:val="en-US"/>
        </w:rPr>
        <w:t>采购项目编号：</w:t>
      </w:r>
    </w:p>
    <w:tbl>
      <w:tblPr>
        <w:tblStyle w:val="77"/>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30"/>
        <w:gridCol w:w="1755"/>
        <w:gridCol w:w="735"/>
        <w:gridCol w:w="1636"/>
        <w:gridCol w:w="1275"/>
        <w:gridCol w:w="1276"/>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531"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序号</w:t>
            </w:r>
          </w:p>
        </w:tc>
        <w:tc>
          <w:tcPr>
            <w:tcW w:w="1330"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设备名称</w:t>
            </w:r>
          </w:p>
        </w:tc>
        <w:tc>
          <w:tcPr>
            <w:tcW w:w="1755"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品牌型号</w:t>
            </w:r>
          </w:p>
        </w:tc>
        <w:tc>
          <w:tcPr>
            <w:tcW w:w="735"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数量</w:t>
            </w:r>
          </w:p>
        </w:tc>
        <w:tc>
          <w:tcPr>
            <w:tcW w:w="1636"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单价（元/台.月）</w:t>
            </w:r>
          </w:p>
        </w:tc>
        <w:tc>
          <w:tcPr>
            <w:tcW w:w="1275"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运维期限</w:t>
            </w:r>
          </w:p>
        </w:tc>
        <w:tc>
          <w:tcPr>
            <w:tcW w:w="1276"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金额</w:t>
            </w:r>
          </w:p>
        </w:tc>
        <w:tc>
          <w:tcPr>
            <w:tcW w:w="990" w:type="dxa"/>
            <w:vAlign w:val="center"/>
          </w:tcPr>
          <w:p>
            <w:pPr>
              <w:adjustRightInd w:val="0"/>
              <w:spacing w:line="240" w:lineRule="auto"/>
              <w:ind w:firstLine="0" w:firstLineChars="0"/>
              <w:jc w:val="center"/>
              <w:rPr>
                <w:rFonts w:ascii="Calibri" w:hAnsi="Calibri"/>
                <w:bCs/>
                <w:color w:val="auto"/>
                <w:kern w:val="2"/>
                <w:sz w:val="21"/>
                <w:szCs w:val="22"/>
                <w:lang w:val="en-US"/>
              </w:rPr>
            </w:pPr>
            <w:r>
              <w:rPr>
                <w:rFonts w:hint="eastAsia" w:ascii="Calibri" w:hAnsi="Calibri"/>
                <w:bCs/>
                <w:color w:val="auto"/>
                <w:kern w:val="2"/>
                <w:sz w:val="21"/>
                <w:szCs w:val="22"/>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1</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万兆安全网关（二级）</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山石</w:t>
            </w:r>
            <w:r>
              <w:rPr>
                <w:rFonts w:ascii="Calibri" w:hAnsi="Calibri"/>
                <w:b w:val="0"/>
                <w:color w:val="auto"/>
                <w:kern w:val="2"/>
                <w:sz w:val="21"/>
                <w:szCs w:val="22"/>
                <w:lang w:val="en-US"/>
              </w:rPr>
              <w:t>SG-6000-M8860</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2</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restart"/>
          </w:tcPr>
          <w:p>
            <w:pPr>
              <w:adjustRightInd w:val="0"/>
              <w:spacing w:line="240" w:lineRule="auto"/>
              <w:ind w:firstLine="0" w:firstLineChars="0"/>
              <w:rPr>
                <w:rFonts w:ascii="Calibri" w:hAnsi="Calibri"/>
                <w:b w:val="0"/>
                <w:color w:val="auto"/>
                <w:kern w:val="2"/>
                <w:sz w:val="18"/>
                <w:szCs w:val="18"/>
                <w:lang w:val="en-US"/>
              </w:rPr>
            </w:pPr>
            <w:r>
              <w:rPr>
                <w:rFonts w:hint="eastAsia" w:ascii="Calibri" w:hAnsi="Calibri"/>
                <w:b w:val="0"/>
                <w:color w:val="auto"/>
                <w:kern w:val="2"/>
                <w:sz w:val="21"/>
                <w:szCs w:val="22"/>
                <w:lang w:val="en-US"/>
              </w:rPr>
              <w:t>如若因设备厂商停止服务导致产品无法维修或者无法使用的，投标人应承诺提供可用产品作为服务期内的备件使用。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2</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万兆入侵防御系统（二级）</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绿盟</w:t>
            </w:r>
            <w:r>
              <w:rPr>
                <w:rFonts w:ascii="Calibri" w:hAnsi="Calibri"/>
                <w:b w:val="0"/>
                <w:color w:val="auto"/>
                <w:kern w:val="2"/>
                <w:sz w:val="21"/>
                <w:szCs w:val="22"/>
                <w:lang w:val="en-US"/>
              </w:rPr>
              <w:t>NIPS NX5-T9010A-C</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2</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3</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上网行为管理</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深信服</w:t>
            </w:r>
            <w:r>
              <w:rPr>
                <w:rFonts w:ascii="Calibri" w:hAnsi="Calibri"/>
                <w:b w:val="0"/>
                <w:color w:val="auto"/>
                <w:kern w:val="2"/>
                <w:sz w:val="21"/>
                <w:szCs w:val="22"/>
                <w:lang w:val="en-US"/>
              </w:rPr>
              <w:t>AC-6000-EX</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1</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4</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天融信防火墙</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NGFW4000-UF</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2</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5</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绿盟入侵防护系统</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绿盟</w:t>
            </w:r>
            <w:r>
              <w:rPr>
                <w:rFonts w:ascii="Calibri" w:hAnsi="Calibri"/>
                <w:b w:val="0"/>
                <w:color w:val="auto"/>
                <w:kern w:val="2"/>
                <w:sz w:val="21"/>
                <w:szCs w:val="22"/>
                <w:lang w:val="en-US"/>
              </w:rPr>
              <w:t>NIPS-NX3-N2000A-C</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2</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绿盟抗</w:t>
            </w:r>
            <w:r>
              <w:rPr>
                <w:rFonts w:ascii="Calibri" w:hAnsi="Calibri"/>
                <w:b w:val="0"/>
                <w:color w:val="auto"/>
                <w:kern w:val="2"/>
                <w:sz w:val="21"/>
                <w:szCs w:val="22"/>
                <w:lang w:val="en-US"/>
              </w:rPr>
              <w:t>DDOS</w:t>
            </w:r>
            <w:r>
              <w:rPr>
                <w:rFonts w:hint="eastAsia" w:ascii="Calibri" w:hAnsi="Calibri"/>
                <w:b w:val="0"/>
                <w:color w:val="auto"/>
                <w:kern w:val="2"/>
                <w:sz w:val="21"/>
                <w:szCs w:val="22"/>
                <w:lang w:val="en-US"/>
              </w:rPr>
              <w:t>设备</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绿盟</w:t>
            </w:r>
            <w:r>
              <w:rPr>
                <w:rFonts w:ascii="Calibri" w:hAnsi="Calibri"/>
                <w:b w:val="0"/>
                <w:color w:val="auto"/>
                <w:kern w:val="2"/>
                <w:sz w:val="21"/>
                <w:szCs w:val="22"/>
                <w:lang w:val="en-US"/>
              </w:rPr>
              <w:t>ADS-NX3-1200A-C</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1</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7</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ascii="Calibri" w:hAnsi="Calibri"/>
                <w:b w:val="0"/>
                <w:color w:val="auto"/>
                <w:kern w:val="2"/>
                <w:sz w:val="21"/>
                <w:szCs w:val="22"/>
                <w:lang w:val="en-US"/>
              </w:rPr>
              <w:t>VPN</w:t>
            </w:r>
            <w:r>
              <w:rPr>
                <w:rFonts w:hint="eastAsia" w:ascii="Calibri" w:hAnsi="Calibri"/>
                <w:b w:val="0"/>
                <w:color w:val="auto"/>
                <w:kern w:val="2"/>
                <w:sz w:val="21"/>
                <w:szCs w:val="22"/>
                <w:lang w:val="en-US"/>
              </w:rPr>
              <w:t>设备</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深信服</w:t>
            </w:r>
            <w:r>
              <w:rPr>
                <w:rFonts w:ascii="Calibri" w:hAnsi="Calibri"/>
                <w:b w:val="0"/>
                <w:color w:val="auto"/>
                <w:kern w:val="2"/>
                <w:sz w:val="21"/>
                <w:szCs w:val="22"/>
                <w:lang w:val="en-US"/>
              </w:rPr>
              <w:t>AF-1520-EX</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1</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8</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ascii="Calibri" w:hAnsi="Calibri"/>
                <w:b w:val="0"/>
                <w:color w:val="auto"/>
                <w:kern w:val="2"/>
                <w:sz w:val="21"/>
                <w:szCs w:val="22"/>
                <w:lang w:val="en-US"/>
              </w:rPr>
              <w:t>VPN</w:t>
            </w:r>
            <w:r>
              <w:rPr>
                <w:rFonts w:hint="eastAsia" w:ascii="Calibri" w:hAnsi="Calibri"/>
                <w:b w:val="0"/>
                <w:color w:val="auto"/>
                <w:kern w:val="2"/>
                <w:sz w:val="21"/>
                <w:szCs w:val="22"/>
                <w:lang w:val="en-US"/>
              </w:rPr>
              <w:t>设备</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深信服AF-2020-EX</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1</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1"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9</w:t>
            </w:r>
          </w:p>
        </w:tc>
        <w:tc>
          <w:tcPr>
            <w:tcW w:w="1330"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2"/>
                <w:lang w:val="en-US"/>
              </w:rPr>
              <w:t>上网行为管理系统规则库升级及硬件维护</w:t>
            </w:r>
          </w:p>
        </w:tc>
        <w:tc>
          <w:tcPr>
            <w:tcW w:w="1755" w:type="dxa"/>
          </w:tcPr>
          <w:p>
            <w:pPr>
              <w:adjustRightInd w:val="0"/>
              <w:spacing w:line="240" w:lineRule="auto"/>
              <w:ind w:firstLine="0" w:firstLineChars="0"/>
              <w:jc w:val="left"/>
              <w:rPr>
                <w:rFonts w:ascii="Calibri" w:hAnsi="Calibri"/>
                <w:color w:val="auto"/>
                <w:kern w:val="2"/>
                <w:sz w:val="18"/>
                <w:szCs w:val="18"/>
                <w:lang w:val="en-US"/>
              </w:rPr>
            </w:pPr>
            <w:r>
              <w:rPr>
                <w:rFonts w:hint="eastAsia" w:ascii="Calibri" w:hAnsi="Calibri"/>
                <w:b w:val="0"/>
                <w:color w:val="auto"/>
                <w:kern w:val="2"/>
                <w:sz w:val="21"/>
                <w:szCs w:val="22"/>
                <w:lang w:val="en-US"/>
              </w:rPr>
              <w:t>深信服AC-1700-EX</w:t>
            </w:r>
          </w:p>
        </w:tc>
        <w:tc>
          <w:tcPr>
            <w:tcW w:w="735" w:type="dxa"/>
          </w:tcPr>
          <w:p>
            <w:pPr>
              <w:adjustRightInd w:val="0"/>
              <w:spacing w:line="240" w:lineRule="auto"/>
              <w:ind w:firstLine="0" w:firstLineChars="0"/>
              <w:rPr>
                <w:rFonts w:ascii="Calibri" w:hAnsi="Calibri"/>
                <w:color w:val="auto"/>
                <w:kern w:val="2"/>
                <w:sz w:val="18"/>
                <w:szCs w:val="18"/>
                <w:lang w:val="en-US"/>
              </w:rPr>
            </w:pPr>
            <w:r>
              <w:rPr>
                <w:rFonts w:hint="eastAsia" w:ascii="Calibri" w:hAnsi="Calibri"/>
                <w:b w:val="0"/>
                <w:color w:val="auto"/>
                <w:kern w:val="2"/>
                <w:sz w:val="21"/>
                <w:szCs w:val="21"/>
                <w:lang w:val="en-US"/>
              </w:rPr>
              <w:t>1</w:t>
            </w:r>
          </w:p>
        </w:tc>
        <w:tc>
          <w:tcPr>
            <w:tcW w:w="1636" w:type="dxa"/>
          </w:tcPr>
          <w:p>
            <w:pPr>
              <w:adjustRightInd w:val="0"/>
              <w:spacing w:line="240" w:lineRule="auto"/>
              <w:ind w:firstLine="0" w:firstLineChars="0"/>
              <w:rPr>
                <w:rFonts w:ascii="Calibri" w:hAnsi="Calibri"/>
                <w:b w:val="0"/>
                <w:color w:val="auto"/>
                <w:kern w:val="2"/>
                <w:sz w:val="18"/>
                <w:szCs w:val="18"/>
                <w:lang w:val="en-US"/>
              </w:rPr>
            </w:pPr>
          </w:p>
        </w:tc>
        <w:tc>
          <w:tcPr>
            <w:tcW w:w="1275" w:type="dxa"/>
            <w:vAlign w:val="center"/>
          </w:tcPr>
          <w:p>
            <w:pPr>
              <w:adjustRightInd w:val="0"/>
              <w:spacing w:line="240" w:lineRule="auto"/>
              <w:ind w:firstLine="0" w:firstLineChars="0"/>
              <w:jc w:val="center"/>
              <w:rPr>
                <w:rFonts w:ascii="Calibri" w:hAnsi="Calibri"/>
                <w:b w:val="0"/>
                <w:color w:val="auto"/>
                <w:kern w:val="2"/>
                <w:sz w:val="18"/>
                <w:szCs w:val="18"/>
                <w:lang w:val="en-US"/>
              </w:rPr>
            </w:pPr>
            <w:r>
              <w:rPr>
                <w:rFonts w:hint="eastAsia" w:ascii="Calibri" w:hAnsi="Calibri"/>
                <w:b w:val="0"/>
                <w:color w:val="auto"/>
                <w:kern w:val="2"/>
                <w:sz w:val="18"/>
                <w:szCs w:val="18"/>
                <w:lang w:val="en-US"/>
              </w:rPr>
              <w:t>6个月</w:t>
            </w:r>
          </w:p>
        </w:tc>
        <w:tc>
          <w:tcPr>
            <w:tcW w:w="1276" w:type="dxa"/>
          </w:tcPr>
          <w:p>
            <w:pPr>
              <w:adjustRightInd w:val="0"/>
              <w:spacing w:line="240" w:lineRule="auto"/>
              <w:ind w:firstLine="0" w:firstLineChars="0"/>
              <w:rPr>
                <w:rFonts w:ascii="Calibri" w:hAnsi="Calibri"/>
                <w:b w:val="0"/>
                <w:color w:val="auto"/>
                <w:kern w:val="2"/>
                <w:sz w:val="18"/>
                <w:szCs w:val="18"/>
                <w:lang w:val="en-US"/>
              </w:rPr>
            </w:pPr>
          </w:p>
        </w:tc>
        <w:tc>
          <w:tcPr>
            <w:tcW w:w="990" w:type="dxa"/>
            <w:vMerge w:val="continue"/>
          </w:tcPr>
          <w:p>
            <w:pPr>
              <w:adjustRightInd w:val="0"/>
              <w:spacing w:line="240" w:lineRule="auto"/>
              <w:ind w:firstLine="0" w:firstLineChars="0"/>
              <w:rPr>
                <w:rFonts w:ascii="Calibri" w:hAnsi="Calibri"/>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3616" w:type="dxa"/>
            <w:gridSpan w:val="3"/>
            <w:vAlign w:val="center"/>
          </w:tcPr>
          <w:p>
            <w:pPr>
              <w:adjustRightInd w:val="0"/>
              <w:spacing w:line="240" w:lineRule="auto"/>
              <w:ind w:firstLine="482"/>
              <w:rPr>
                <w:rFonts w:ascii="Calibri" w:hAnsi="Calibri"/>
                <w:b w:val="0"/>
                <w:color w:val="auto"/>
                <w:kern w:val="2"/>
                <w:sz w:val="21"/>
                <w:szCs w:val="22"/>
                <w:lang w:val="en-US"/>
              </w:rPr>
            </w:pPr>
            <w:r>
              <w:rPr>
                <w:rFonts w:hint="eastAsia"/>
                <w:color w:val="auto"/>
                <w:kern w:val="2"/>
                <w:sz w:val="24"/>
                <w:szCs w:val="24"/>
                <w:lang w:val="en-US"/>
              </w:rPr>
              <w:t>投标报价（总价）</w:t>
            </w:r>
          </w:p>
        </w:tc>
        <w:tc>
          <w:tcPr>
            <w:tcW w:w="5912" w:type="dxa"/>
            <w:gridSpan w:val="5"/>
          </w:tcPr>
          <w:p>
            <w:pPr>
              <w:adjustRightInd w:val="0"/>
              <w:spacing w:line="240" w:lineRule="auto"/>
              <w:ind w:firstLine="480"/>
              <w:rPr>
                <w:b w:val="0"/>
                <w:color w:val="auto"/>
                <w:kern w:val="2"/>
                <w:sz w:val="24"/>
                <w:szCs w:val="24"/>
                <w:lang w:val="en-US"/>
              </w:rPr>
            </w:pPr>
            <w:r>
              <w:rPr>
                <w:rFonts w:hint="eastAsia"/>
                <w:b w:val="0"/>
                <w:color w:val="auto"/>
                <w:kern w:val="2"/>
                <w:sz w:val="24"/>
                <w:szCs w:val="24"/>
                <w:lang w:val="en-US"/>
              </w:rPr>
              <w:t>大写：</w:t>
            </w:r>
          </w:p>
          <w:p>
            <w:pPr>
              <w:pStyle w:val="2"/>
              <w:spacing w:before="0" w:beforeLines="0" w:beforeAutospacing="0" w:after="0" w:afterAutospacing="0" w:line="240" w:lineRule="auto"/>
              <w:ind w:firstLine="480"/>
              <w:rPr>
                <w:color w:val="auto"/>
                <w:lang w:val="en-US"/>
              </w:rPr>
            </w:pPr>
            <w:r>
              <w:rPr>
                <w:rFonts w:hint="eastAsia"/>
                <w:color w:val="auto"/>
                <w:lang w:val="en-US"/>
              </w:rPr>
              <w:t>小写：</w:t>
            </w:r>
          </w:p>
        </w:tc>
      </w:tr>
    </w:tbl>
    <w:p>
      <w:pPr>
        <w:ind w:firstLine="480"/>
        <w:rPr>
          <w:b w:val="0"/>
          <w:color w:val="auto"/>
          <w:kern w:val="2"/>
          <w:sz w:val="24"/>
          <w:szCs w:val="24"/>
          <w:lang w:val="en-US"/>
        </w:rPr>
      </w:pPr>
    </w:p>
    <w:p>
      <w:pPr>
        <w:snapToGrid/>
        <w:spacing w:line="520" w:lineRule="exact"/>
        <w:ind w:firstLine="0" w:firstLineChars="0"/>
        <w:rPr>
          <w:b w:val="0"/>
          <w:color w:val="auto"/>
          <w:kern w:val="2"/>
          <w:sz w:val="24"/>
          <w:szCs w:val="24"/>
          <w:lang w:val="en-US"/>
        </w:rPr>
      </w:pPr>
      <w:r>
        <w:rPr>
          <w:rFonts w:hint="eastAsia"/>
          <w:b w:val="0"/>
          <w:color w:val="auto"/>
          <w:kern w:val="2"/>
          <w:sz w:val="24"/>
          <w:szCs w:val="24"/>
          <w:lang w:val="en-US"/>
        </w:rPr>
        <w:t>注：</w:t>
      </w:r>
    </w:p>
    <w:p>
      <w:pPr>
        <w:snapToGrid/>
        <w:spacing w:line="240" w:lineRule="auto"/>
        <w:ind w:firstLine="480"/>
        <w:rPr>
          <w:b w:val="0"/>
          <w:color w:val="auto"/>
          <w:kern w:val="2"/>
          <w:sz w:val="24"/>
          <w:szCs w:val="24"/>
          <w:lang w:val="en-US"/>
        </w:rPr>
      </w:pPr>
      <w:r>
        <w:rPr>
          <w:rFonts w:hint="eastAsia"/>
          <w:b w:val="0"/>
          <w:color w:val="auto"/>
          <w:kern w:val="2"/>
          <w:sz w:val="24"/>
          <w:szCs w:val="24"/>
          <w:lang w:val="en-US"/>
        </w:rPr>
        <w:t>1.投标人按“开标一览表”的格式及招标所需服务（招标文件第6章）进行报价，不得漏报，否则视为已包含在投标总价中不再单独另行报价，不影响投标有效性。</w:t>
      </w:r>
    </w:p>
    <w:p>
      <w:pPr>
        <w:snapToGrid/>
        <w:spacing w:line="240" w:lineRule="auto"/>
        <w:ind w:firstLine="480"/>
        <w:rPr>
          <w:b w:val="0"/>
          <w:color w:val="auto"/>
          <w:kern w:val="2"/>
          <w:sz w:val="24"/>
          <w:szCs w:val="24"/>
          <w:lang w:val="en-US"/>
        </w:rPr>
      </w:pPr>
      <w:r>
        <w:rPr>
          <w:rFonts w:hint="eastAsia"/>
          <w:b w:val="0"/>
          <w:color w:val="auto"/>
          <w:kern w:val="2"/>
          <w:sz w:val="24"/>
          <w:szCs w:val="24"/>
          <w:lang w:val="en-US"/>
        </w:rPr>
        <w:t>2.报价应是招标文件要求的全部服务的最终报价，包括人工费、国内税费、培训、知识产权费（若有）、招标代理等费用以及一切其它相关费用。</w:t>
      </w:r>
    </w:p>
    <w:p>
      <w:pPr>
        <w:snapToGrid/>
        <w:spacing w:line="240" w:lineRule="auto"/>
        <w:ind w:firstLine="480"/>
        <w:rPr>
          <w:b w:val="0"/>
          <w:color w:val="auto"/>
          <w:kern w:val="2"/>
          <w:sz w:val="24"/>
          <w:szCs w:val="24"/>
          <w:lang w:val="en-US"/>
        </w:rPr>
      </w:pPr>
      <w:r>
        <w:rPr>
          <w:rFonts w:hint="eastAsia"/>
          <w:b w:val="0"/>
          <w:color w:val="auto"/>
          <w:kern w:val="2"/>
          <w:sz w:val="24"/>
          <w:szCs w:val="24"/>
          <w:lang w:val="en-US"/>
        </w:rPr>
        <w:t>3.“开标一览表”为多页的，每页均需加盖投标人公章</w:t>
      </w:r>
      <w:r>
        <w:rPr>
          <w:rFonts w:hint="eastAsia"/>
          <w:b w:val="0"/>
          <w:color w:val="auto"/>
          <w:kern w:val="2"/>
          <w:sz w:val="22"/>
          <w:szCs w:val="24"/>
          <w:lang w:val="en-US"/>
        </w:rPr>
        <w:t>，否</w:t>
      </w:r>
      <w:r>
        <w:rPr>
          <w:rFonts w:hint="eastAsia"/>
          <w:b w:val="0"/>
          <w:color w:val="auto"/>
          <w:kern w:val="2"/>
          <w:sz w:val="24"/>
          <w:szCs w:val="24"/>
          <w:lang w:val="en-US"/>
        </w:rPr>
        <w:t>则作无效投标处理。</w:t>
      </w:r>
    </w:p>
    <w:p>
      <w:pPr>
        <w:snapToGrid/>
        <w:spacing w:line="240" w:lineRule="auto"/>
        <w:ind w:firstLine="480"/>
        <w:rPr>
          <w:b w:val="0"/>
          <w:color w:val="auto"/>
          <w:kern w:val="2"/>
          <w:sz w:val="22"/>
          <w:szCs w:val="24"/>
          <w:lang w:val="en-US"/>
        </w:rPr>
      </w:pPr>
      <w:r>
        <w:rPr>
          <w:rFonts w:hint="eastAsia"/>
          <w:b w:val="0"/>
          <w:color w:val="auto"/>
          <w:kern w:val="2"/>
          <w:sz w:val="24"/>
          <w:szCs w:val="24"/>
          <w:lang w:val="en-US"/>
        </w:rPr>
        <w:t>4. 唱标时仅宣读投标报价，分项报价内容可以宣读或投影展示。</w:t>
      </w:r>
    </w:p>
    <w:p>
      <w:pPr>
        <w:snapToGrid/>
        <w:spacing w:line="240" w:lineRule="auto"/>
        <w:ind w:firstLine="440"/>
        <w:rPr>
          <w:b w:val="0"/>
          <w:color w:val="auto"/>
          <w:kern w:val="2"/>
          <w:sz w:val="22"/>
          <w:szCs w:val="24"/>
          <w:lang w:val="en-US"/>
        </w:rPr>
      </w:pPr>
    </w:p>
    <w:p>
      <w:pPr>
        <w:snapToGrid/>
        <w:spacing w:line="520" w:lineRule="exact"/>
        <w:ind w:left="1569" w:leftChars="228" w:hanging="840" w:hangingChars="350"/>
        <w:rPr>
          <w:b w:val="0"/>
          <w:color w:val="auto"/>
          <w:kern w:val="2"/>
          <w:sz w:val="24"/>
          <w:szCs w:val="24"/>
          <w:lang w:val="en-US"/>
        </w:rPr>
      </w:pPr>
      <w:r>
        <w:rPr>
          <w:rFonts w:hint="eastAsia"/>
          <w:b w:val="0"/>
          <w:color w:val="auto"/>
          <w:kern w:val="2"/>
          <w:sz w:val="24"/>
          <w:szCs w:val="24"/>
          <w:lang w:val="en-US"/>
        </w:rPr>
        <w:t>投标人名称（公章）：</w:t>
      </w:r>
    </w:p>
    <w:p>
      <w:pPr>
        <w:snapToGrid/>
        <w:spacing w:line="520" w:lineRule="exact"/>
        <w:ind w:left="1569" w:leftChars="228" w:hanging="840" w:hangingChars="350"/>
        <w:rPr>
          <w:b w:val="0"/>
          <w:color w:val="auto"/>
          <w:kern w:val="2"/>
          <w:sz w:val="24"/>
          <w:szCs w:val="24"/>
          <w:lang w:val="en-US"/>
        </w:rPr>
      </w:pPr>
      <w:r>
        <w:rPr>
          <w:rFonts w:hint="eastAsia"/>
          <w:b w:val="0"/>
          <w:color w:val="auto"/>
          <w:kern w:val="2"/>
          <w:sz w:val="24"/>
          <w:szCs w:val="24"/>
          <w:lang w:val="en-US"/>
        </w:rPr>
        <w:t>法定代表人或代理人（签字或加盖印章）：</w:t>
      </w:r>
    </w:p>
    <w:p>
      <w:pPr>
        <w:snapToGrid/>
        <w:spacing w:line="520" w:lineRule="exact"/>
        <w:ind w:left="1569" w:leftChars="228" w:hanging="840" w:hangingChars="350"/>
        <w:rPr>
          <w:color w:val="auto"/>
        </w:rPr>
      </w:pPr>
      <w:r>
        <w:rPr>
          <w:rFonts w:hint="eastAsia"/>
          <w:b w:val="0"/>
          <w:color w:val="auto"/>
          <w:kern w:val="2"/>
          <w:sz w:val="24"/>
          <w:szCs w:val="24"/>
          <w:lang w:val="en-US"/>
        </w:rPr>
        <w:t>日  期：</w:t>
      </w:r>
      <w:bookmarkEnd w:id="348"/>
    </w:p>
    <w:p>
      <w:pPr>
        <w:pStyle w:val="2"/>
        <w:spacing w:before="109"/>
        <w:ind w:firstLine="480"/>
        <w:rPr>
          <w:color w:val="auto"/>
        </w:rPr>
      </w:pPr>
    </w:p>
    <w:p>
      <w:pPr>
        <w:ind w:firstLine="480"/>
        <w:rPr>
          <w:b w:val="0"/>
          <w:color w:val="auto"/>
          <w:kern w:val="2"/>
          <w:sz w:val="24"/>
          <w:szCs w:val="24"/>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pStyle w:val="2"/>
        <w:spacing w:before="109"/>
        <w:ind w:firstLine="480"/>
        <w:rPr>
          <w:color w:val="auto"/>
          <w:lang w:val="en-US"/>
        </w:rPr>
      </w:pPr>
    </w:p>
    <w:p>
      <w:pPr>
        <w:numPr>
          <w:ilvl w:val="2"/>
          <w:numId w:val="16"/>
        </w:numPr>
        <w:tabs>
          <w:tab w:val="left" w:pos="360"/>
        </w:tabs>
        <w:snapToGrid/>
        <w:spacing w:before="260" w:after="260"/>
        <w:ind w:left="0" w:firstLine="284" w:firstLineChars="0"/>
        <w:jc w:val="left"/>
        <w:outlineLvl w:val="1"/>
        <w:rPr>
          <w:bCs/>
          <w:color w:val="auto"/>
          <w:kern w:val="2"/>
          <w:sz w:val="24"/>
          <w:szCs w:val="24"/>
          <w:lang w:val="en-US"/>
        </w:rPr>
      </w:pPr>
      <w:r>
        <w:rPr>
          <w:rFonts w:hint="eastAsia"/>
          <w:bCs/>
          <w:color w:val="auto"/>
          <w:kern w:val="2"/>
          <w:sz w:val="24"/>
          <w:szCs w:val="24"/>
          <w:lang w:val="en-US"/>
        </w:rPr>
        <w:t xml:space="preserve"> </w:t>
      </w:r>
      <w:bookmarkStart w:id="349" w:name="_Toc496605634"/>
      <w:bookmarkStart w:id="350" w:name="_Toc494198927"/>
      <w:bookmarkStart w:id="351" w:name="_Toc500492730"/>
      <w:bookmarkStart w:id="352" w:name="_Toc494198601"/>
      <w:bookmarkStart w:id="353" w:name="_Toc466895947"/>
      <w:r>
        <w:rPr>
          <w:rFonts w:hint="eastAsia"/>
          <w:bCs/>
          <w:color w:val="auto"/>
          <w:kern w:val="2"/>
          <w:sz w:val="24"/>
          <w:szCs w:val="24"/>
          <w:lang w:val="en-US"/>
        </w:rPr>
        <w:t>资格性投标文件格式</w:t>
      </w:r>
      <w:bookmarkEnd w:id="349"/>
      <w:bookmarkEnd w:id="350"/>
      <w:bookmarkEnd w:id="351"/>
      <w:bookmarkEnd w:id="352"/>
      <w:bookmarkEnd w:id="353"/>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资格性投标文件密封包装最外层格式</w:t>
      </w:r>
    </w:p>
    <w:p>
      <w:pPr>
        <w:rPr>
          <w:color w:val="auto"/>
        </w:rPr>
      </w:pPr>
    </w:p>
    <w:p>
      <w:pPr>
        <w:snapToGrid/>
        <w:ind w:firstLine="0" w:firstLineChars="0"/>
        <w:jc w:val="center"/>
        <w:rPr>
          <w:b w:val="0"/>
          <w:color w:val="auto"/>
          <w:spacing w:val="78"/>
          <w:kern w:val="2"/>
          <w:sz w:val="120"/>
          <w:szCs w:val="120"/>
          <w:lang w:val="en-US"/>
        </w:rPr>
      </w:pPr>
      <w:r>
        <w:rPr>
          <w:rFonts w:hint="eastAsia"/>
          <w:b w:val="0"/>
          <w:color w:val="auto"/>
          <w:spacing w:val="78"/>
          <w:kern w:val="2"/>
          <w:sz w:val="96"/>
          <w:szCs w:val="120"/>
          <w:lang w:val="en-US"/>
        </w:rPr>
        <w:t>资格性投标文件</w:t>
      </w:r>
    </w:p>
    <w:p>
      <w:pPr>
        <w:rPr>
          <w:color w:val="auto"/>
        </w:rPr>
      </w:pPr>
    </w:p>
    <w:p>
      <w:pPr>
        <w:rPr>
          <w:color w:val="auto"/>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采购项目名称：</w:t>
      </w:r>
    </w:p>
    <w:p>
      <w:pPr>
        <w:snapToGrid/>
        <w:spacing w:line="240" w:lineRule="auto"/>
        <w:ind w:left="2723" w:leftChars="355" w:hanging="1587" w:hangingChars="496"/>
        <w:rPr>
          <w:bCs/>
          <w:color w:val="auto"/>
          <w:kern w:val="2"/>
          <w:lang w:val="en-US"/>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采购项目编号：</w:t>
      </w:r>
    </w:p>
    <w:p>
      <w:pPr>
        <w:rPr>
          <w:color w:val="auto"/>
        </w:rPr>
      </w:pPr>
    </w:p>
    <w:p>
      <w:pPr>
        <w:rPr>
          <w:color w:val="auto"/>
        </w:rPr>
      </w:pPr>
    </w:p>
    <w:p>
      <w:pPr>
        <w:rPr>
          <w:color w:val="auto"/>
        </w:rPr>
      </w:pPr>
    </w:p>
    <w:p>
      <w:pPr>
        <w:rPr>
          <w:color w:val="auto"/>
        </w:rPr>
      </w:pPr>
    </w:p>
    <w:p>
      <w:pPr>
        <w:snapToGrid/>
        <w:ind w:firstLine="1600" w:firstLineChars="500"/>
        <w:jc w:val="left"/>
        <w:rPr>
          <w:color w:val="auto"/>
          <w:kern w:val="2"/>
          <w:lang w:val="en-US"/>
        </w:rPr>
      </w:pPr>
      <w:r>
        <w:rPr>
          <w:rFonts w:hint="eastAsia"/>
          <w:color w:val="auto"/>
          <w:kern w:val="2"/>
          <w:lang w:val="en-US"/>
        </w:rPr>
        <w:t>投标人名称：</w:t>
      </w:r>
      <w:r>
        <w:rPr>
          <w:rFonts w:hint="eastAsia"/>
          <w:color w:val="auto"/>
          <w:kern w:val="2"/>
          <w:u w:val="single"/>
          <w:lang w:val="en-US"/>
        </w:rPr>
        <w:t xml:space="preserve">               （加盖公章） </w:t>
      </w:r>
    </w:p>
    <w:p>
      <w:pPr>
        <w:snapToGrid/>
        <w:ind w:firstLine="1600" w:firstLineChars="500"/>
        <w:jc w:val="left"/>
        <w:rPr>
          <w:color w:val="auto"/>
          <w:kern w:val="2"/>
          <w:lang w:val="en-US"/>
        </w:rPr>
      </w:pPr>
    </w:p>
    <w:p>
      <w:pPr>
        <w:rPr>
          <w:color w:val="auto"/>
        </w:rPr>
      </w:pPr>
    </w:p>
    <w:p>
      <w:pPr>
        <w:snapToGrid/>
        <w:ind w:firstLine="0" w:firstLineChars="0"/>
        <w:jc w:val="left"/>
        <w:rPr>
          <w:color w:val="auto"/>
          <w:kern w:val="2"/>
          <w:lang w:val="en-US"/>
        </w:rPr>
      </w:pPr>
      <w:r>
        <w:rPr>
          <w:rFonts w:hint="eastAsia"/>
          <w:color w:val="auto"/>
          <w:kern w:val="2"/>
          <w:lang w:val="en-US"/>
        </w:rPr>
        <w:t xml:space="preserve">开标时间之前不准启封 或 </w:t>
      </w:r>
      <w:r>
        <w:rPr>
          <w:color w:val="auto"/>
          <w:kern w:val="2"/>
          <w:lang w:val="en-US"/>
        </w:rPr>
        <w:t>20</w:t>
      </w:r>
      <w:r>
        <w:rPr>
          <w:rFonts w:hint="eastAsia"/>
          <w:color w:val="auto"/>
          <w:kern w:val="2"/>
          <w:lang w:val="en-US"/>
        </w:rPr>
        <w:t xml:space="preserve">   </w:t>
      </w:r>
      <w:r>
        <w:rPr>
          <w:color w:val="auto"/>
          <w:kern w:val="2"/>
          <w:lang w:val="en-US"/>
        </w:rPr>
        <w:t>年   月   日</w:t>
      </w:r>
      <w:r>
        <w:rPr>
          <w:rFonts w:hint="eastAsia"/>
          <w:color w:val="auto"/>
          <w:kern w:val="2"/>
          <w:lang w:val="en-US"/>
        </w:rPr>
        <w:t xml:space="preserve">   </w:t>
      </w:r>
      <w:r>
        <w:rPr>
          <w:color w:val="auto"/>
          <w:kern w:val="2"/>
          <w:lang w:val="en-US"/>
        </w:rPr>
        <w:t>:</w:t>
      </w:r>
      <w:r>
        <w:rPr>
          <w:rFonts w:hint="eastAsia"/>
          <w:color w:val="auto"/>
          <w:kern w:val="2"/>
          <w:lang w:val="en-US"/>
        </w:rPr>
        <w:t xml:space="preserve">   前不准启封</w:t>
      </w:r>
    </w:p>
    <w:p>
      <w:pPr>
        <w:snapToGrid/>
        <w:ind w:firstLine="0" w:firstLineChars="0"/>
        <w:jc w:val="left"/>
        <w:rPr>
          <w:color w:val="auto"/>
          <w:kern w:val="2"/>
          <w:lang w:val="en-US"/>
        </w:rPr>
      </w:pPr>
    </w:p>
    <w:p>
      <w:pPr>
        <w:snapToGrid/>
        <w:ind w:firstLine="0" w:firstLineChars="0"/>
        <w:jc w:val="left"/>
        <w:rPr>
          <w:color w:val="auto"/>
          <w:kern w:val="2"/>
          <w:lang w:val="en-US"/>
        </w:rPr>
      </w:pPr>
    </w:p>
    <w:p>
      <w:pPr>
        <w:snapToGrid/>
        <w:ind w:firstLine="0" w:firstLineChars="0"/>
        <w:jc w:val="left"/>
        <w:rPr>
          <w:color w:val="auto"/>
          <w:kern w:val="2"/>
          <w:lang w:val="en-US"/>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资格性投标文件封面格式</w:t>
      </w:r>
    </w:p>
    <w:p>
      <w:pPr>
        <w:snapToGrid/>
        <w:ind w:firstLine="0" w:firstLineChars="0"/>
        <w:jc w:val="center"/>
        <w:rPr>
          <w:b w:val="0"/>
          <w:color w:val="auto"/>
          <w:spacing w:val="78"/>
          <w:kern w:val="2"/>
          <w:sz w:val="120"/>
          <w:szCs w:val="120"/>
          <w:lang w:val="en-US"/>
        </w:rPr>
      </w:pPr>
      <w:r>
        <w:rPr>
          <w:rFonts w:hint="eastAsia"/>
          <w:b w:val="0"/>
          <w:color w:val="auto"/>
          <w:spacing w:val="78"/>
          <w:kern w:val="2"/>
          <w:sz w:val="96"/>
          <w:szCs w:val="120"/>
          <w:lang w:val="en-US"/>
        </w:rPr>
        <w:t>资格性投标文件</w:t>
      </w:r>
    </w:p>
    <w:p>
      <w:pPr>
        <w:rPr>
          <w:color w:val="auto"/>
        </w:rPr>
      </w:pPr>
    </w:p>
    <w:p>
      <w:pPr>
        <w:ind w:firstLine="1195"/>
        <w:jc w:val="center"/>
        <w:rPr>
          <w:color w:val="auto"/>
          <w:spacing w:val="78"/>
          <w:sz w:val="44"/>
          <w:szCs w:val="120"/>
        </w:rPr>
      </w:pPr>
      <w:r>
        <w:rPr>
          <w:rFonts w:hint="eastAsia"/>
          <w:color w:val="auto"/>
          <w:spacing w:val="78"/>
          <w:sz w:val="44"/>
          <w:szCs w:val="120"/>
        </w:rPr>
        <w:t>（正本或副本）</w:t>
      </w:r>
    </w:p>
    <w:p>
      <w:pPr>
        <w:jc w:val="center"/>
        <w:rPr>
          <w:color w:val="auto"/>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采购项目名称：</w:t>
      </w:r>
    </w:p>
    <w:p>
      <w:pPr>
        <w:pStyle w:val="2"/>
        <w:spacing w:before="109"/>
        <w:ind w:firstLine="480"/>
        <w:rPr>
          <w:lang w:val="en-US"/>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采购项目编号：</w:t>
      </w:r>
    </w:p>
    <w:p>
      <w:pPr>
        <w:rPr>
          <w:color w:val="auto"/>
        </w:rPr>
      </w:pPr>
    </w:p>
    <w:p>
      <w:pPr>
        <w:rPr>
          <w:color w:val="auto"/>
        </w:rPr>
      </w:pPr>
    </w:p>
    <w:p>
      <w:pPr>
        <w:rPr>
          <w:color w:val="auto"/>
        </w:rPr>
      </w:pPr>
    </w:p>
    <w:p>
      <w:pPr>
        <w:snapToGrid/>
        <w:ind w:firstLine="1600" w:firstLineChars="500"/>
        <w:jc w:val="left"/>
        <w:rPr>
          <w:color w:val="auto"/>
          <w:kern w:val="2"/>
          <w:lang w:val="en-US"/>
        </w:rPr>
      </w:pPr>
      <w:r>
        <w:rPr>
          <w:rFonts w:hint="eastAsia"/>
          <w:color w:val="auto"/>
          <w:kern w:val="2"/>
          <w:lang w:val="en-US"/>
        </w:rPr>
        <w:t>投标人名称：</w:t>
      </w:r>
      <w:r>
        <w:rPr>
          <w:rFonts w:hint="eastAsia"/>
          <w:color w:val="auto"/>
          <w:kern w:val="2"/>
          <w:u w:val="single"/>
          <w:lang w:val="en-US"/>
        </w:rPr>
        <w:t xml:space="preserve">                </w:t>
      </w:r>
    </w:p>
    <w:p>
      <w:pPr>
        <w:rPr>
          <w:color w:val="auto"/>
        </w:rPr>
      </w:pPr>
    </w:p>
    <w:p>
      <w:pPr>
        <w:snapToGrid/>
        <w:ind w:firstLine="0" w:firstLineChars="0"/>
        <w:jc w:val="left"/>
        <w:rPr>
          <w:color w:val="auto"/>
          <w:kern w:val="2"/>
          <w:lang w:val="en-US"/>
        </w:rPr>
      </w:pPr>
    </w:p>
    <w:p>
      <w:pPr>
        <w:snapToGrid/>
        <w:ind w:firstLine="0" w:firstLineChars="0"/>
        <w:rPr>
          <w:color w:val="auto"/>
          <w:kern w:val="2"/>
          <w:sz w:val="28"/>
          <w:szCs w:val="28"/>
          <w:lang w:val="en-US"/>
        </w:rPr>
      </w:pPr>
      <w:r>
        <w:rPr>
          <w:rFonts w:hint="eastAsia"/>
          <w:color w:val="auto"/>
          <w:kern w:val="2"/>
          <w:sz w:val="28"/>
          <w:szCs w:val="28"/>
          <w:lang w:val="en-US"/>
        </w:rPr>
        <w:t>温馨提示：</w:t>
      </w:r>
    </w:p>
    <w:p>
      <w:pPr>
        <w:snapToGrid/>
        <w:ind w:firstLine="548" w:firstLineChars="196"/>
        <w:rPr>
          <w:color w:val="auto"/>
          <w:kern w:val="2"/>
          <w:sz w:val="28"/>
          <w:szCs w:val="28"/>
          <w:lang w:val="en-US"/>
        </w:rPr>
      </w:pPr>
      <w:r>
        <w:rPr>
          <w:rFonts w:hint="eastAsia"/>
          <w:color w:val="auto"/>
          <w:kern w:val="2"/>
          <w:sz w:val="28"/>
          <w:szCs w:val="28"/>
          <w:lang w:val="en-US"/>
        </w:rPr>
        <w:t>一、资格性投标文件正本一份、副本二份；</w:t>
      </w:r>
    </w:p>
    <w:p>
      <w:pPr>
        <w:snapToGrid/>
        <w:ind w:firstLine="548" w:firstLineChars="196"/>
        <w:rPr>
          <w:color w:val="auto"/>
          <w:kern w:val="2"/>
          <w:sz w:val="28"/>
          <w:szCs w:val="28"/>
          <w:lang w:val="en-US"/>
        </w:rPr>
      </w:pPr>
      <w:r>
        <w:rPr>
          <w:rFonts w:hint="eastAsia"/>
          <w:color w:val="auto"/>
          <w:kern w:val="2"/>
          <w:sz w:val="28"/>
          <w:szCs w:val="28"/>
          <w:lang w:val="en-US"/>
        </w:rPr>
        <w:t>二、资格性投标文件应密封包装；</w:t>
      </w:r>
    </w:p>
    <w:p>
      <w:pPr>
        <w:snapToGrid/>
        <w:ind w:firstLine="548" w:firstLineChars="196"/>
        <w:rPr>
          <w:color w:val="auto"/>
          <w:kern w:val="2"/>
          <w:sz w:val="28"/>
          <w:szCs w:val="28"/>
          <w:lang w:val="en-US"/>
        </w:rPr>
      </w:pPr>
      <w:r>
        <w:rPr>
          <w:rFonts w:hint="eastAsia"/>
          <w:color w:val="auto"/>
          <w:kern w:val="2"/>
          <w:sz w:val="28"/>
          <w:szCs w:val="28"/>
          <w:lang w:val="en-US"/>
        </w:rPr>
        <w:t>三、供应商提供的资格证明材料如发证机关有年检要求的则应通过年检，如有有效期的则应提供在有效期内的证明材料。</w:t>
      </w:r>
    </w:p>
    <w:p>
      <w:pPr>
        <w:snapToGrid/>
        <w:ind w:firstLine="548" w:firstLineChars="196"/>
        <w:rPr>
          <w:color w:val="auto"/>
          <w:kern w:val="2"/>
          <w:sz w:val="28"/>
          <w:szCs w:val="28"/>
          <w:lang w:val="en-US"/>
        </w:rPr>
      </w:pPr>
    </w:p>
    <w:p>
      <w:pPr>
        <w:numPr>
          <w:ilvl w:val="2"/>
          <w:numId w:val="16"/>
        </w:numPr>
        <w:tabs>
          <w:tab w:val="left" w:pos="360"/>
        </w:tabs>
        <w:snapToGrid/>
        <w:spacing w:before="260" w:after="260"/>
        <w:ind w:left="0" w:firstLine="284" w:firstLineChars="0"/>
        <w:jc w:val="left"/>
        <w:outlineLvl w:val="1"/>
        <w:rPr>
          <w:color w:val="auto"/>
          <w:kern w:val="2"/>
          <w:lang w:val="en-US"/>
        </w:rPr>
      </w:pPr>
      <w:r>
        <w:rPr>
          <w:rFonts w:hint="eastAsia"/>
          <w:bCs/>
          <w:color w:val="auto"/>
          <w:kern w:val="2"/>
          <w:sz w:val="24"/>
          <w:szCs w:val="24"/>
          <w:lang w:val="en-US"/>
        </w:rPr>
        <w:t>资格性投标文件组成材料</w:t>
      </w: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具有独立承担民事责任能力的证明材料</w:t>
      </w:r>
    </w:p>
    <w:p>
      <w:pPr>
        <w:spacing w:line="520" w:lineRule="exact"/>
        <w:ind w:firstLine="480"/>
        <w:jc w:val="left"/>
        <w:rPr>
          <w:b w:val="0"/>
          <w:color w:val="auto"/>
          <w:sz w:val="24"/>
          <w:szCs w:val="24"/>
        </w:rPr>
      </w:pPr>
      <w:r>
        <w:rPr>
          <w:rFonts w:hint="eastAsia"/>
          <w:b w:val="0"/>
          <w:color w:val="auto"/>
          <w:sz w:val="24"/>
          <w:szCs w:val="24"/>
        </w:rPr>
        <w:t>按招标文件第5章“具有独立承担民事责任能力的证明材料复印件”的要求提供。</w:t>
      </w:r>
    </w:p>
    <w:p>
      <w:pPr>
        <w:ind w:firstLine="640"/>
        <w:jc w:val="center"/>
        <w:rPr>
          <w:b w:val="0"/>
          <w:color w:val="auto"/>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具有良好的商业信誉和健全的财务会计制度的证明材料</w:t>
      </w:r>
    </w:p>
    <w:p>
      <w:pPr>
        <w:spacing w:line="520" w:lineRule="exact"/>
        <w:ind w:firstLine="480"/>
        <w:jc w:val="left"/>
        <w:rPr>
          <w:b w:val="0"/>
          <w:color w:val="auto"/>
          <w:sz w:val="24"/>
          <w:szCs w:val="24"/>
        </w:rPr>
      </w:pPr>
      <w:r>
        <w:rPr>
          <w:rFonts w:hint="eastAsia"/>
          <w:b w:val="0"/>
          <w:color w:val="auto"/>
          <w:sz w:val="24"/>
          <w:szCs w:val="24"/>
        </w:rPr>
        <w:t>1、具有良好的商业信誉：按招标文件第5章“具有良好的商业信誉承诺函原件”的要求提供，可单独提供，也可按第3章“相关资格承诺函”格式内容与其他承诺内容一并提供。</w:t>
      </w:r>
    </w:p>
    <w:p>
      <w:pPr>
        <w:spacing w:line="520" w:lineRule="exact"/>
        <w:ind w:firstLine="480"/>
        <w:jc w:val="left"/>
        <w:rPr>
          <w:b w:val="0"/>
          <w:color w:val="auto"/>
          <w:sz w:val="24"/>
          <w:szCs w:val="24"/>
        </w:rPr>
      </w:pPr>
      <w:r>
        <w:rPr>
          <w:rFonts w:hint="eastAsia"/>
          <w:b w:val="0"/>
          <w:color w:val="auto"/>
          <w:sz w:val="24"/>
          <w:szCs w:val="24"/>
        </w:rPr>
        <w:t>2、健全的财务会计制度：按招标文件第5章的要求提供。</w:t>
      </w:r>
    </w:p>
    <w:p>
      <w:pPr>
        <w:ind w:firstLine="640"/>
        <w:jc w:val="center"/>
        <w:rPr>
          <w:b w:val="0"/>
          <w:color w:val="auto"/>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bCs/>
          <w:color w:val="auto"/>
          <w:kern w:val="2"/>
          <w:sz w:val="24"/>
          <w:szCs w:val="24"/>
          <w:lang w:val="en-US"/>
        </w:rPr>
        <w:t>具备履行合同所必需的设备和专业技术能力的证明材料</w:t>
      </w:r>
    </w:p>
    <w:p>
      <w:pPr>
        <w:spacing w:line="520" w:lineRule="exact"/>
        <w:ind w:firstLine="480"/>
        <w:jc w:val="left"/>
        <w:rPr>
          <w:b w:val="0"/>
          <w:color w:val="auto"/>
          <w:sz w:val="24"/>
          <w:szCs w:val="24"/>
        </w:rPr>
      </w:pPr>
      <w:r>
        <w:rPr>
          <w:rFonts w:hint="eastAsia"/>
          <w:b w:val="0"/>
          <w:color w:val="auto"/>
          <w:sz w:val="24"/>
          <w:szCs w:val="24"/>
        </w:rPr>
        <w:t>按招标文件第5章“</w:t>
      </w:r>
      <w:r>
        <w:rPr>
          <w:b w:val="0"/>
          <w:color w:val="auto"/>
          <w:sz w:val="24"/>
          <w:szCs w:val="24"/>
        </w:rPr>
        <w:t>具备履行合同所必需的设备和专业技术能力的证明材料</w:t>
      </w:r>
      <w:r>
        <w:rPr>
          <w:rFonts w:hint="eastAsia"/>
          <w:b w:val="0"/>
          <w:color w:val="auto"/>
          <w:sz w:val="24"/>
          <w:szCs w:val="24"/>
        </w:rPr>
        <w:t>”的要求提供，可单独提供，也可按第3章“相关资格承诺函”格式内容与其他承诺内容一并提供。</w:t>
      </w:r>
    </w:p>
    <w:p>
      <w:pPr>
        <w:ind w:firstLine="640"/>
        <w:jc w:val="center"/>
        <w:rPr>
          <w:b w:val="0"/>
          <w:color w:val="auto"/>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具有依法缴纳税收和社会保障资金的良好记录</w:t>
      </w:r>
      <w:r>
        <w:rPr>
          <w:bCs/>
          <w:color w:val="auto"/>
          <w:kern w:val="2"/>
          <w:sz w:val="24"/>
          <w:szCs w:val="24"/>
          <w:lang w:val="en-US"/>
        </w:rPr>
        <w:t>的相关材料</w:t>
      </w:r>
    </w:p>
    <w:p>
      <w:pPr>
        <w:spacing w:line="520" w:lineRule="exact"/>
        <w:ind w:firstLine="480"/>
        <w:jc w:val="left"/>
        <w:rPr>
          <w:b w:val="0"/>
          <w:color w:val="auto"/>
          <w:sz w:val="24"/>
          <w:szCs w:val="24"/>
        </w:rPr>
      </w:pPr>
      <w:r>
        <w:rPr>
          <w:rFonts w:hint="eastAsia"/>
          <w:b w:val="0"/>
          <w:color w:val="auto"/>
          <w:sz w:val="24"/>
          <w:szCs w:val="24"/>
        </w:rPr>
        <w:t>按招标文件第5章“具有依法缴纳税收和社会保障资金的良好记录</w:t>
      </w:r>
      <w:r>
        <w:rPr>
          <w:b w:val="0"/>
          <w:color w:val="auto"/>
          <w:sz w:val="24"/>
          <w:szCs w:val="24"/>
        </w:rPr>
        <w:t>的相关材料</w:t>
      </w:r>
      <w:r>
        <w:rPr>
          <w:rFonts w:hint="eastAsia"/>
          <w:b w:val="0"/>
          <w:color w:val="auto"/>
          <w:sz w:val="24"/>
          <w:szCs w:val="24"/>
        </w:rPr>
        <w:t>”的要求提供；证明材料为承诺函的，应提供承诺函原件加盖投标人公章。</w:t>
      </w:r>
    </w:p>
    <w:p>
      <w:pPr>
        <w:spacing w:line="520" w:lineRule="exact"/>
        <w:ind w:firstLine="480"/>
        <w:jc w:val="left"/>
        <w:rPr>
          <w:b w:val="0"/>
          <w:color w:val="auto"/>
          <w:sz w:val="24"/>
          <w:szCs w:val="24"/>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参加本次政府采购活动前三年内，在经营活动中没有重大违法记录的证明材料</w:t>
      </w:r>
    </w:p>
    <w:p>
      <w:pPr>
        <w:spacing w:line="520" w:lineRule="exact"/>
        <w:ind w:firstLine="480"/>
        <w:jc w:val="left"/>
        <w:rPr>
          <w:b w:val="0"/>
          <w:color w:val="auto"/>
          <w:sz w:val="24"/>
          <w:szCs w:val="24"/>
        </w:rPr>
      </w:pPr>
      <w:r>
        <w:rPr>
          <w:rFonts w:hint="eastAsia"/>
          <w:b w:val="0"/>
          <w:color w:val="auto"/>
          <w:sz w:val="24"/>
          <w:szCs w:val="24"/>
        </w:rPr>
        <w:t>按招标文件第5章“参加本次政府采购活动前三年内，在经营活动中没有重大违法记录的证明材料”的要求提供。</w:t>
      </w:r>
    </w:p>
    <w:p>
      <w:pPr>
        <w:ind w:firstLine="640"/>
        <w:jc w:val="center"/>
        <w:rPr>
          <w:b w:val="0"/>
          <w:color w:val="auto"/>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法律、行政法规规定的其他条件的证明材料</w:t>
      </w:r>
    </w:p>
    <w:p>
      <w:pPr>
        <w:spacing w:line="520" w:lineRule="exact"/>
        <w:ind w:firstLine="480"/>
        <w:jc w:val="left"/>
        <w:rPr>
          <w:b w:val="0"/>
          <w:color w:val="auto"/>
          <w:sz w:val="24"/>
          <w:szCs w:val="24"/>
        </w:rPr>
      </w:pPr>
      <w:r>
        <w:rPr>
          <w:rFonts w:hint="eastAsia"/>
          <w:b w:val="0"/>
          <w:color w:val="auto"/>
          <w:sz w:val="24"/>
          <w:szCs w:val="24"/>
        </w:rPr>
        <w:t>按招标文件第5章中相关要求提供证明材料复印件或承诺函原件。提供承诺函原件的，可单独提供，也可按第3章“相关资格承诺函”格式内容与其他承诺内容一并提供。</w:t>
      </w:r>
    </w:p>
    <w:p>
      <w:pPr>
        <w:spacing w:line="400" w:lineRule="exact"/>
        <w:ind w:firstLine="482"/>
        <w:jc w:val="left"/>
        <w:rPr>
          <w:color w:val="auto"/>
          <w:sz w:val="24"/>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不属于其他国家相关法律法规规定的禁止参加投标的供应商</w:t>
      </w:r>
      <w:bookmarkStart w:id="354" w:name="_Toc445814852"/>
      <w:bookmarkStart w:id="355" w:name="_Toc494198615"/>
    </w:p>
    <w:p>
      <w:pPr>
        <w:spacing w:line="520" w:lineRule="exact"/>
        <w:ind w:firstLine="480"/>
        <w:jc w:val="left"/>
        <w:rPr>
          <w:b w:val="0"/>
          <w:color w:val="auto"/>
          <w:sz w:val="24"/>
          <w:szCs w:val="24"/>
        </w:rPr>
      </w:pPr>
      <w:r>
        <w:rPr>
          <w:rFonts w:hint="eastAsia"/>
          <w:b w:val="0"/>
          <w:color w:val="auto"/>
          <w:sz w:val="24"/>
          <w:szCs w:val="24"/>
        </w:rPr>
        <w:t>按以下要求提供相关资格承诺函原件即可。</w:t>
      </w:r>
    </w:p>
    <w:p>
      <w:pPr>
        <w:ind w:firstLine="482"/>
        <w:jc w:val="left"/>
        <w:rPr>
          <w:color w:val="auto"/>
          <w:kern w:val="2"/>
          <w:sz w:val="24"/>
          <w:szCs w:val="24"/>
          <w:lang w:val="en-US"/>
        </w:rPr>
      </w:pPr>
      <w:r>
        <w:rPr>
          <w:rFonts w:hint="eastAsia"/>
          <w:color w:val="auto"/>
          <w:kern w:val="2"/>
          <w:sz w:val="24"/>
          <w:szCs w:val="24"/>
          <w:lang w:val="en-US"/>
        </w:rPr>
        <w:t>相关资格承诺函</w:t>
      </w:r>
      <w:bookmarkEnd w:id="354"/>
      <w:bookmarkEnd w:id="355"/>
    </w:p>
    <w:p>
      <w:pPr>
        <w:ind w:firstLine="480"/>
        <w:jc w:val="left"/>
        <w:rPr>
          <w:b w:val="0"/>
          <w:color w:val="auto"/>
          <w:kern w:val="2"/>
          <w:sz w:val="24"/>
          <w:szCs w:val="24"/>
          <w:lang w:val="en-US"/>
        </w:rPr>
      </w:pPr>
      <w:r>
        <w:rPr>
          <w:rFonts w:hint="eastAsia"/>
          <w:b w:val="0"/>
          <w:color w:val="auto"/>
          <w:kern w:val="2"/>
          <w:sz w:val="24"/>
          <w:szCs w:val="24"/>
          <w:lang w:val="en-US"/>
        </w:rPr>
        <w:t>采购项目名称：</w:t>
      </w:r>
    </w:p>
    <w:p>
      <w:pPr>
        <w:ind w:firstLine="480"/>
        <w:jc w:val="left"/>
        <w:rPr>
          <w:b w:val="0"/>
          <w:color w:val="auto"/>
          <w:kern w:val="2"/>
          <w:sz w:val="24"/>
          <w:szCs w:val="24"/>
          <w:lang w:val="en-US"/>
        </w:rPr>
      </w:pPr>
      <w:r>
        <w:rPr>
          <w:rFonts w:hint="eastAsia"/>
          <w:b w:val="0"/>
          <w:color w:val="auto"/>
          <w:kern w:val="2"/>
          <w:sz w:val="24"/>
          <w:szCs w:val="24"/>
          <w:lang w:val="en-US"/>
        </w:rPr>
        <w:t>采购项目编号：</w:t>
      </w:r>
    </w:p>
    <w:p>
      <w:pPr>
        <w:spacing w:line="560" w:lineRule="atLeast"/>
        <w:ind w:firstLine="0" w:firstLineChars="0"/>
        <w:jc w:val="left"/>
        <w:rPr>
          <w:b w:val="0"/>
          <w:color w:val="auto"/>
          <w:kern w:val="2"/>
          <w:sz w:val="24"/>
          <w:szCs w:val="24"/>
          <w:lang w:val="en-US"/>
        </w:rPr>
      </w:pPr>
      <w:r>
        <w:rPr>
          <w:rFonts w:hint="eastAsia"/>
          <w:b w:val="0"/>
          <w:color w:val="auto"/>
          <w:kern w:val="2"/>
          <w:sz w:val="24"/>
          <w:szCs w:val="24"/>
          <w:lang w:val="en-US"/>
        </w:rPr>
        <w:t>四川慧采招标代理有限公司：</w:t>
      </w:r>
    </w:p>
    <w:p>
      <w:pPr>
        <w:spacing w:line="560" w:lineRule="atLeast"/>
        <w:ind w:firstLine="480"/>
        <w:jc w:val="left"/>
        <w:rPr>
          <w:b w:val="0"/>
          <w:color w:val="auto"/>
          <w:sz w:val="24"/>
        </w:rPr>
      </w:pPr>
      <w:r>
        <w:rPr>
          <w:rFonts w:hint="eastAsia"/>
          <w:b w:val="0"/>
          <w:color w:val="auto"/>
          <w:sz w:val="24"/>
        </w:rPr>
        <w:t>我单位作为本项目的投标人，我单位：</w:t>
      </w:r>
    </w:p>
    <w:p>
      <w:pPr>
        <w:spacing w:line="560" w:lineRule="atLeast"/>
        <w:ind w:firstLine="480"/>
        <w:jc w:val="left"/>
        <w:rPr>
          <w:b w:val="0"/>
          <w:color w:val="auto"/>
          <w:sz w:val="24"/>
        </w:rPr>
      </w:pPr>
      <w:r>
        <w:rPr>
          <w:rFonts w:hint="eastAsia"/>
          <w:b w:val="0"/>
          <w:color w:val="auto"/>
          <w:sz w:val="24"/>
        </w:rPr>
        <w:t>1、在参加本次采购活动中，不存在与单位负责人为同一人或者存在直接控股、管理关系的其他供应商参与同一合同项下的政府采购活动的行为。</w:t>
      </w:r>
      <w:r>
        <w:rPr>
          <w:rFonts w:hint="eastAsia"/>
          <w:color w:val="auto"/>
          <w:sz w:val="24"/>
        </w:rPr>
        <w:t>或者</w:t>
      </w:r>
      <w:r>
        <w:rPr>
          <w:rFonts w:hint="eastAsia"/>
          <w:b w:val="0"/>
          <w:color w:val="auto"/>
          <w:sz w:val="24"/>
        </w:rPr>
        <w:t>1、在参加本次采购活动中，存在与单位负责人为同一人或者存在直接控股、管理关系的其他供应商参与同一合同项下的政府采购活动的行为，与单位负责人为同一人的供应商：</w:t>
      </w:r>
      <w:r>
        <w:rPr>
          <w:rFonts w:hint="eastAsia"/>
          <w:color w:val="auto"/>
          <w:sz w:val="24"/>
          <w:u w:val="single"/>
          <w:lang w:val="en-US"/>
        </w:rPr>
        <w:t xml:space="preserve">　      </w:t>
      </w:r>
      <w:r>
        <w:rPr>
          <w:rFonts w:hint="eastAsia"/>
          <w:b w:val="0"/>
          <w:color w:val="auto"/>
          <w:sz w:val="24"/>
          <w:lang w:val="en-US"/>
        </w:rPr>
        <w:t>；与我单位存在直接控股、管理关系的相关供应商：</w:t>
      </w:r>
      <w:r>
        <w:rPr>
          <w:rFonts w:hint="eastAsia"/>
          <w:color w:val="auto"/>
          <w:sz w:val="24"/>
          <w:u w:val="single"/>
          <w:lang w:val="en-US"/>
        </w:rPr>
        <w:t xml:space="preserve">　    </w:t>
      </w:r>
      <w:r>
        <w:rPr>
          <w:rFonts w:hint="eastAsia"/>
          <w:b w:val="0"/>
          <w:color w:val="auto"/>
          <w:sz w:val="24"/>
          <w:lang w:val="en-US"/>
        </w:rPr>
        <w:t>（说明：填写 “（1）供应商名称１；（2）供应商名称</w:t>
      </w:r>
      <w:r>
        <w:rPr>
          <w:rFonts w:hint="eastAsia"/>
          <w:b w:val="0"/>
          <w:bCs/>
          <w:color w:val="auto"/>
          <w:sz w:val="24"/>
          <w:lang w:val="en-US"/>
        </w:rPr>
        <w:t>２</w:t>
      </w:r>
      <w:r>
        <w:rPr>
          <w:rFonts w:hint="eastAsia"/>
          <w:b w:val="0"/>
          <w:color w:val="auto"/>
          <w:sz w:val="24"/>
          <w:lang w:val="en-US"/>
        </w:rPr>
        <w:t xml:space="preserve"> ；（3）</w:t>
      </w:r>
      <w:r>
        <w:rPr>
          <w:b w:val="0"/>
          <w:color w:val="auto"/>
          <w:sz w:val="24"/>
          <w:lang w:val="en-US"/>
        </w:rPr>
        <w:t>……</w:t>
      </w:r>
      <w:r>
        <w:rPr>
          <w:rFonts w:hint="eastAsia"/>
          <w:b w:val="0"/>
          <w:color w:val="auto"/>
          <w:sz w:val="24"/>
          <w:lang w:val="en-US"/>
        </w:rPr>
        <w:t>”） 。</w:t>
      </w:r>
    </w:p>
    <w:p>
      <w:pPr>
        <w:spacing w:line="560" w:lineRule="atLeast"/>
        <w:ind w:firstLine="480"/>
        <w:jc w:val="left"/>
        <w:rPr>
          <w:b w:val="0"/>
          <w:color w:val="auto"/>
          <w:sz w:val="24"/>
        </w:rPr>
      </w:pPr>
      <w:r>
        <w:rPr>
          <w:rFonts w:hint="eastAsia"/>
          <w:b w:val="0"/>
          <w:color w:val="auto"/>
          <w:sz w:val="24"/>
        </w:rPr>
        <w:t>2、在参加本次采购活动中，不存在和其他供应商在同一合同项下的采购项目中，同时委托同一个自然人、同一家庭的人员、同一单位的人员作为代理人的行为。</w:t>
      </w:r>
    </w:p>
    <w:p>
      <w:pPr>
        <w:spacing w:line="560" w:lineRule="atLeast"/>
        <w:ind w:firstLine="480"/>
        <w:rPr>
          <w:b w:val="0"/>
          <w:color w:val="auto"/>
          <w:sz w:val="24"/>
        </w:rPr>
      </w:pPr>
      <w:r>
        <w:rPr>
          <w:rFonts w:hint="eastAsia"/>
          <w:b w:val="0"/>
          <w:color w:val="auto"/>
          <w:sz w:val="24"/>
        </w:rPr>
        <w:t>3、在参加本次采购活动前，没有为采购项目提供整体设计、规范编制或者项目管理、监理、检测等服务。</w:t>
      </w:r>
    </w:p>
    <w:p>
      <w:pPr>
        <w:spacing w:line="560" w:lineRule="atLeast"/>
        <w:ind w:firstLine="480"/>
        <w:rPr>
          <w:b w:val="0"/>
          <w:color w:val="auto"/>
          <w:sz w:val="24"/>
        </w:rPr>
      </w:pPr>
      <w:r>
        <w:rPr>
          <w:rFonts w:hint="eastAsia"/>
          <w:b w:val="0"/>
          <w:color w:val="auto"/>
          <w:sz w:val="24"/>
        </w:rPr>
        <w:t>4、我方实际控制人或者中高级管理人员，不存在同时是采购代理机构工作人员的情形。</w:t>
      </w:r>
    </w:p>
    <w:p>
      <w:pPr>
        <w:spacing w:line="560" w:lineRule="atLeast"/>
        <w:ind w:firstLine="480"/>
        <w:rPr>
          <w:b w:val="0"/>
          <w:color w:val="auto"/>
          <w:sz w:val="24"/>
        </w:rPr>
      </w:pPr>
      <w:r>
        <w:rPr>
          <w:rFonts w:hint="eastAsia"/>
          <w:b w:val="0"/>
          <w:color w:val="auto"/>
          <w:sz w:val="24"/>
        </w:rPr>
        <w:t>5、我方与采购代理机构不存在关联关系，或者是采购代理机构的母公司或子公司。</w:t>
      </w:r>
    </w:p>
    <w:p>
      <w:pPr>
        <w:spacing w:line="560" w:lineRule="atLeast"/>
        <w:ind w:firstLine="480"/>
        <w:rPr>
          <w:b w:val="0"/>
          <w:color w:val="auto"/>
          <w:sz w:val="24"/>
        </w:rPr>
      </w:pPr>
      <w:r>
        <w:rPr>
          <w:rFonts w:hint="eastAsia"/>
          <w:b w:val="0"/>
          <w:color w:val="auto"/>
          <w:sz w:val="24"/>
        </w:rPr>
        <w:t>声明：</w:t>
      </w:r>
    </w:p>
    <w:p>
      <w:pPr>
        <w:spacing w:line="560" w:lineRule="atLeast"/>
        <w:ind w:firstLine="480"/>
        <w:rPr>
          <w:b w:val="0"/>
          <w:color w:val="auto"/>
          <w:sz w:val="24"/>
        </w:rPr>
      </w:pPr>
      <w:r>
        <w:rPr>
          <w:rFonts w:hint="eastAsia"/>
          <w:b w:val="0"/>
          <w:color w:val="auto"/>
          <w:sz w:val="24"/>
        </w:rPr>
        <w:t>我单位</w:t>
      </w:r>
      <w:r>
        <w:rPr>
          <w:rFonts w:hint="eastAsia"/>
          <w:b w:val="0"/>
          <w:color w:val="auto"/>
          <w:sz w:val="24"/>
          <w:szCs w:val="24"/>
        </w:rPr>
        <w:t>参加本次政府采购活动前三年内，在经营活动中没有重大违法记录</w:t>
      </w:r>
      <w:r>
        <w:rPr>
          <w:rFonts w:hint="eastAsia"/>
          <w:b w:val="0"/>
          <w:color w:val="auto"/>
          <w:sz w:val="24"/>
        </w:rPr>
        <w:t>。</w:t>
      </w:r>
    </w:p>
    <w:p>
      <w:pPr>
        <w:spacing w:line="560" w:lineRule="atLeast"/>
        <w:ind w:firstLine="480"/>
        <w:rPr>
          <w:b w:val="0"/>
          <w:color w:val="auto"/>
          <w:sz w:val="24"/>
        </w:rPr>
      </w:pPr>
      <w:r>
        <w:rPr>
          <w:rFonts w:hint="eastAsia"/>
          <w:b w:val="0"/>
          <w:color w:val="auto"/>
          <w:sz w:val="24"/>
        </w:rPr>
        <w:t>我单位具有良好的商业信誉。</w:t>
      </w:r>
    </w:p>
    <w:p>
      <w:pPr>
        <w:spacing w:line="560" w:lineRule="atLeast"/>
        <w:ind w:firstLine="480"/>
        <w:rPr>
          <w:b w:val="0"/>
          <w:color w:val="auto"/>
          <w:sz w:val="24"/>
        </w:rPr>
      </w:pPr>
      <w:r>
        <w:rPr>
          <w:rFonts w:hint="eastAsia"/>
          <w:b w:val="0"/>
          <w:color w:val="auto"/>
          <w:sz w:val="24"/>
        </w:rPr>
        <w:t>我单位具有履行合同所必需的设备和专业技术能力。</w:t>
      </w:r>
    </w:p>
    <w:p>
      <w:pPr>
        <w:spacing w:line="560" w:lineRule="atLeast"/>
        <w:ind w:firstLine="480"/>
        <w:rPr>
          <w:b w:val="0"/>
          <w:color w:val="auto"/>
          <w:sz w:val="24"/>
        </w:rPr>
      </w:pPr>
      <w:r>
        <w:rPr>
          <w:rFonts w:hint="eastAsia"/>
          <w:b w:val="0"/>
          <w:color w:val="auto"/>
          <w:sz w:val="24"/>
        </w:rPr>
        <w:t>我单位具备法律、行政法规规定的其他条件。</w:t>
      </w:r>
    </w:p>
    <w:p>
      <w:pPr>
        <w:spacing w:line="560" w:lineRule="atLeast"/>
        <w:ind w:firstLine="480"/>
        <w:rPr>
          <w:b w:val="0"/>
          <w:color w:val="auto"/>
          <w:kern w:val="2"/>
          <w:sz w:val="24"/>
          <w:szCs w:val="24"/>
          <w:lang w:val="en-US"/>
        </w:rPr>
      </w:pPr>
      <w:r>
        <w:rPr>
          <w:b w:val="0"/>
          <w:color w:val="auto"/>
          <w:kern w:val="2"/>
          <w:sz w:val="24"/>
          <w:szCs w:val="24"/>
          <w:lang w:val="en-US"/>
        </w:rPr>
        <w:t xml:space="preserve">我单位及其现任法定代表人、主要负责人不存在行贿犯罪记录。 </w:t>
      </w:r>
    </w:p>
    <w:p>
      <w:pPr>
        <w:spacing w:line="560" w:lineRule="atLeast"/>
        <w:ind w:firstLine="480"/>
        <w:rPr>
          <w:b w:val="0"/>
          <w:color w:val="auto"/>
          <w:sz w:val="24"/>
        </w:rPr>
      </w:pPr>
      <w:r>
        <w:rPr>
          <w:rFonts w:hint="eastAsia"/>
          <w:b w:val="0"/>
          <w:color w:val="auto"/>
          <w:sz w:val="24"/>
        </w:rPr>
        <w:t>我单位承诺对上述事项的真实性负责；如有虚假，我单位愿意承担相应的法律责任。</w:t>
      </w:r>
    </w:p>
    <w:p>
      <w:pPr>
        <w:spacing w:line="560" w:lineRule="atLeast"/>
        <w:ind w:firstLine="480"/>
        <w:rPr>
          <w:b w:val="0"/>
          <w:color w:val="auto"/>
          <w:sz w:val="24"/>
        </w:rPr>
      </w:pPr>
    </w:p>
    <w:p>
      <w:pPr>
        <w:spacing w:line="560" w:lineRule="atLeast"/>
        <w:ind w:firstLine="480"/>
        <w:rPr>
          <w:b w:val="0"/>
          <w:color w:val="auto"/>
          <w:sz w:val="24"/>
        </w:rPr>
      </w:pPr>
      <w:r>
        <w:rPr>
          <w:rFonts w:hint="eastAsia"/>
          <w:b w:val="0"/>
          <w:color w:val="auto"/>
          <w:sz w:val="24"/>
        </w:rPr>
        <w:t>投标人名称（公章）：</w:t>
      </w:r>
    </w:p>
    <w:p>
      <w:pPr>
        <w:spacing w:line="560" w:lineRule="atLeast"/>
        <w:ind w:firstLine="480"/>
        <w:rPr>
          <w:b w:val="0"/>
          <w:color w:val="auto"/>
          <w:sz w:val="24"/>
        </w:rPr>
      </w:pPr>
      <w:r>
        <w:rPr>
          <w:rFonts w:hint="eastAsia"/>
          <w:b w:val="0"/>
          <w:color w:val="auto"/>
          <w:sz w:val="24"/>
        </w:rPr>
        <w:t>法定代表人或代理人（签字</w:t>
      </w:r>
      <w:r>
        <w:rPr>
          <w:rFonts w:hint="eastAsia"/>
          <w:b w:val="0"/>
          <w:color w:val="auto"/>
          <w:kern w:val="2"/>
          <w:sz w:val="24"/>
          <w:szCs w:val="24"/>
          <w:lang w:val="en-US"/>
        </w:rPr>
        <w:t>或加盖印章</w:t>
      </w:r>
      <w:r>
        <w:rPr>
          <w:rFonts w:hint="eastAsia"/>
          <w:b w:val="0"/>
          <w:color w:val="auto"/>
          <w:sz w:val="24"/>
        </w:rPr>
        <w:t>）：</w:t>
      </w:r>
    </w:p>
    <w:p>
      <w:pPr>
        <w:spacing w:line="560" w:lineRule="atLeast"/>
        <w:ind w:firstLine="480"/>
        <w:rPr>
          <w:b w:val="0"/>
          <w:color w:val="auto"/>
          <w:sz w:val="24"/>
        </w:rPr>
      </w:pPr>
      <w:r>
        <w:rPr>
          <w:rFonts w:hint="eastAsia"/>
          <w:b w:val="0"/>
          <w:color w:val="auto"/>
          <w:sz w:val="24"/>
        </w:rPr>
        <w:t>日  期：</w:t>
      </w:r>
    </w:p>
    <w:p>
      <w:pPr>
        <w:spacing w:line="560" w:lineRule="atLeast"/>
        <w:ind w:firstLine="482"/>
        <w:rPr>
          <w:color w:val="auto"/>
          <w:sz w:val="24"/>
        </w:rPr>
      </w:pPr>
      <w:r>
        <w:rPr>
          <w:rFonts w:hint="eastAsia"/>
          <w:color w:val="auto"/>
          <w:sz w:val="24"/>
        </w:rPr>
        <w:t>注：</w:t>
      </w:r>
    </w:p>
    <w:p>
      <w:pPr>
        <w:spacing w:line="560" w:lineRule="atLeast"/>
        <w:ind w:firstLine="480"/>
        <w:rPr>
          <w:b w:val="0"/>
          <w:color w:val="auto"/>
          <w:sz w:val="24"/>
          <w:szCs w:val="20"/>
        </w:rPr>
      </w:pPr>
      <w:r>
        <w:rPr>
          <w:rFonts w:hint="eastAsia"/>
          <w:b w:val="0"/>
          <w:color w:val="auto"/>
          <w:sz w:val="24"/>
          <w:szCs w:val="20"/>
          <w:lang w:val="en-US"/>
        </w:rPr>
        <w:t>1</w:t>
      </w:r>
      <w:r>
        <w:rPr>
          <w:rFonts w:hint="eastAsia"/>
          <w:b w:val="0"/>
          <w:color w:val="auto"/>
          <w:sz w:val="24"/>
          <w:szCs w:val="20"/>
        </w:rPr>
        <w:t>.</w:t>
      </w:r>
      <w:r>
        <w:rPr>
          <w:rFonts w:hint="eastAsia"/>
          <w:b w:val="0"/>
          <w:color w:val="auto"/>
          <w:sz w:val="24"/>
          <w:szCs w:val="20"/>
          <w:lang w:val="en-US"/>
        </w:rPr>
        <w:t>投标人应针对上述内容根据自身实际情况据实进行承诺。</w:t>
      </w:r>
    </w:p>
    <w:p>
      <w:pPr>
        <w:spacing w:line="560" w:lineRule="atLeast"/>
        <w:ind w:firstLine="480"/>
        <w:rPr>
          <w:b w:val="0"/>
          <w:color w:val="auto"/>
          <w:sz w:val="24"/>
        </w:rPr>
      </w:pPr>
      <w:r>
        <w:rPr>
          <w:rFonts w:hint="eastAsia"/>
          <w:b w:val="0"/>
          <w:color w:val="auto"/>
          <w:sz w:val="24"/>
          <w:szCs w:val="20"/>
          <w:lang w:val="en-US"/>
        </w:rPr>
        <w:t>2.</w:t>
      </w:r>
      <w:r>
        <w:rPr>
          <w:rFonts w:hint="eastAsia"/>
          <w:b w:val="0"/>
          <w:color w:val="auto"/>
          <w:sz w:val="24"/>
        </w:rPr>
        <w:t>投标人在参加政府采购活动前三年，政府采购合同履约过程中及其他经营活动履约过程中未依法履约被有关部门处罚（处理）的，不能认定为具有良好的商业信誉。</w:t>
      </w:r>
    </w:p>
    <w:p>
      <w:pPr>
        <w:spacing w:line="560" w:lineRule="atLeast"/>
        <w:ind w:firstLine="480"/>
        <w:rPr>
          <w:b w:val="0"/>
          <w:color w:val="auto"/>
          <w:sz w:val="24"/>
        </w:rPr>
      </w:pPr>
      <w:r>
        <w:rPr>
          <w:rFonts w:hint="eastAsia"/>
          <w:b w:val="0"/>
          <w:color w:val="auto"/>
          <w:sz w:val="24"/>
          <w:lang w:val="en-US"/>
        </w:rPr>
        <w:t>3</w:t>
      </w:r>
      <w:r>
        <w:rPr>
          <w:rFonts w:hint="eastAsia"/>
          <w:b w:val="0"/>
          <w:color w:val="auto"/>
          <w:sz w:val="24"/>
        </w:rPr>
        <w:t>.重大违法记录，是指供应商因违法经营受到刑事处罚或者责令停产停业、吊销许可证或者执照、较大数额罚款等行政处罚。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即《四川省行政处罚听证程序规定》（省政府令第</w:t>
      </w:r>
      <w:r>
        <w:rPr>
          <w:b w:val="0"/>
          <w:color w:val="auto"/>
          <w:sz w:val="24"/>
        </w:rPr>
        <w:t>317号）</w:t>
      </w:r>
      <w:r>
        <w:rPr>
          <w:rFonts w:hint="eastAsia"/>
          <w:b w:val="0"/>
          <w:color w:val="auto"/>
          <w:sz w:val="24"/>
        </w:rPr>
        <w:t>第四条：即本规定所称较大数额，是指对非经营活动中公民的违法行为处以罚款或者没收财产</w:t>
      </w:r>
      <w:r>
        <w:rPr>
          <w:b w:val="0"/>
          <w:color w:val="auto"/>
          <w:sz w:val="24"/>
        </w:rPr>
        <w:t>2000元以上、法人或者其他组织的违法行为处以罚款或者没收财产2万元以上；对在经营活动中的违法行为处以罚款或者没收财产5万元以上。</w:t>
      </w:r>
      <w:r>
        <w:rPr>
          <w:rFonts w:hint="eastAsia"/>
          <w:b w:val="0"/>
          <w:color w:val="auto"/>
          <w:sz w:val="24"/>
        </w:rPr>
        <w:t>国务院有关部门规定的较大数额标准低于前款规定的，从其规定。</w:t>
      </w:r>
    </w:p>
    <w:p>
      <w:pPr>
        <w:spacing w:line="560" w:lineRule="atLeast"/>
        <w:ind w:firstLine="480"/>
        <w:rPr>
          <w:b w:val="0"/>
          <w:color w:val="auto"/>
          <w:sz w:val="24"/>
        </w:rPr>
      </w:pPr>
      <w:r>
        <w:rPr>
          <w:rFonts w:hint="eastAsia"/>
          <w:b w:val="0"/>
          <w:color w:val="auto"/>
          <w:sz w:val="24"/>
        </w:rPr>
        <w:t>部分部门较大数额标准：</w:t>
      </w:r>
    </w:p>
    <w:p>
      <w:pPr>
        <w:spacing w:line="560" w:lineRule="atLeast"/>
        <w:ind w:firstLine="480"/>
        <w:rPr>
          <w:b w:val="0"/>
          <w:color w:val="auto"/>
          <w:sz w:val="24"/>
        </w:rPr>
      </w:pPr>
      <w:r>
        <w:rPr>
          <w:rFonts w:hint="eastAsia"/>
          <w:b w:val="0"/>
          <w:color w:val="auto"/>
          <w:sz w:val="24"/>
        </w:rPr>
        <w:t>公安部 较大数额罚款金额为1万元以上。</w:t>
      </w:r>
    </w:p>
    <w:p>
      <w:pPr>
        <w:spacing w:line="560" w:lineRule="atLeast"/>
        <w:ind w:firstLine="480"/>
        <w:rPr>
          <w:b w:val="0"/>
          <w:color w:val="auto"/>
          <w:sz w:val="24"/>
        </w:rPr>
      </w:pPr>
      <w:r>
        <w:rPr>
          <w:rFonts w:hint="eastAsia"/>
          <w:b w:val="0"/>
          <w:color w:val="auto"/>
          <w:sz w:val="24"/>
        </w:rPr>
        <w:t>依据：《公安机关办理行政案件程序规定》</w:t>
      </w:r>
    </w:p>
    <w:p>
      <w:pPr>
        <w:spacing w:line="560" w:lineRule="atLeast"/>
        <w:ind w:firstLine="480"/>
        <w:rPr>
          <w:b w:val="0"/>
          <w:color w:val="auto"/>
          <w:sz w:val="24"/>
        </w:rPr>
      </w:pPr>
      <w:r>
        <w:rPr>
          <w:rFonts w:hint="eastAsia"/>
          <w:b w:val="0"/>
          <w:color w:val="auto"/>
          <w:sz w:val="24"/>
        </w:rPr>
        <w:t>“在作出下列行政处罚决定之前，应当告知违法嫌疑人有要求举行听证的权利：（一）责令停产停业；（二）吊销许可证或者执照；（三）较大数额罚款；（四）法律、法规和规章规定违法嫌疑人可以要求举行听证的其他情形。前款第三项所称 “较大数额罚款 ”，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p>
      <w:pPr>
        <w:spacing w:line="560" w:lineRule="atLeast"/>
        <w:ind w:firstLine="480"/>
        <w:rPr>
          <w:b w:val="0"/>
          <w:color w:val="auto"/>
          <w:sz w:val="24"/>
        </w:rPr>
      </w:pPr>
      <w:r>
        <w:rPr>
          <w:rFonts w:hint="eastAsia"/>
          <w:b w:val="0"/>
          <w:color w:val="auto"/>
          <w:sz w:val="24"/>
        </w:rPr>
        <w:t>中国保险监督管理委员会保险机构及保险资产管理机构较大数额罚款金额为20万元以上、分支机构20万元以上；保险中介机构为 30万元以上、分支机构为 10万元；其他为100万元以上。</w:t>
      </w:r>
    </w:p>
    <w:p>
      <w:pPr>
        <w:spacing w:line="560" w:lineRule="atLeast"/>
        <w:ind w:firstLine="480"/>
        <w:rPr>
          <w:b w:val="0"/>
          <w:color w:val="auto"/>
          <w:sz w:val="24"/>
        </w:rPr>
      </w:pPr>
      <w:r>
        <w:rPr>
          <w:rFonts w:hint="eastAsia"/>
          <w:b w:val="0"/>
          <w:color w:val="auto"/>
          <w:sz w:val="24"/>
        </w:rPr>
        <w:t>依据：《中国保险监督管理委员会行政处罚程序规定》</w:t>
      </w:r>
    </w:p>
    <w:p>
      <w:pPr>
        <w:spacing w:line="560" w:lineRule="atLeast"/>
        <w:ind w:firstLine="480"/>
        <w:rPr>
          <w:b w:val="0"/>
          <w:color w:val="auto"/>
          <w:sz w:val="24"/>
        </w:rPr>
      </w:pPr>
      <w:r>
        <w:rPr>
          <w:rFonts w:hint="eastAsia"/>
          <w:b w:val="0"/>
          <w:color w:val="auto"/>
          <w:sz w:val="24"/>
        </w:rPr>
        <w:t>“中国保监会或者派出机构拟依法作出下列行政处罚的，应当在《行政处罚事先告知书》中一并告知当事人有要求举行听证的权利 :（一）对保险机构及保险资产管理机构法人处以 100万元以上的罚款或者对其分支机构处以 20万元以上的罚款；对保险中介机构法人处以 30万元以上的罚款或者对其分支机构处以 10万元以上的罚款；对其他法人、组织处以 100万元以上的罚款；（二）对个人处以 5万元以上的罚款；（三）限制业务范围；（四）责令停止接受新业务；（五）责令停业整顿；（六）吊销业务许可证；（七）撤销外国保险机构驻华代表机构；（八）撤销任职资格；（九）责令撤换外国保险机构驻华代表机构的首席代表；（十）禁止进入保险业；（十一）法律、行政法规和中国保监会规章规定可以要求听证的其他处罚。”</w:t>
      </w:r>
    </w:p>
    <w:p>
      <w:pPr>
        <w:spacing w:line="560" w:lineRule="atLeast"/>
        <w:ind w:firstLine="480"/>
        <w:rPr>
          <w:b w:val="0"/>
          <w:color w:val="auto"/>
          <w:sz w:val="24"/>
        </w:rPr>
      </w:pPr>
      <w:r>
        <w:rPr>
          <w:rFonts w:hint="eastAsia"/>
          <w:b w:val="0"/>
          <w:color w:val="auto"/>
          <w:sz w:val="24"/>
        </w:rPr>
        <w:t>海关</w:t>
      </w:r>
      <w:r>
        <w:rPr>
          <w:rFonts w:hint="eastAsia"/>
          <w:b w:val="0"/>
          <w:color w:val="auto"/>
          <w:sz w:val="24"/>
          <w:lang w:val="en-US"/>
        </w:rPr>
        <w:t xml:space="preserve"> </w:t>
      </w:r>
      <w:r>
        <w:rPr>
          <w:rFonts w:hint="eastAsia"/>
          <w:b w:val="0"/>
          <w:color w:val="auto"/>
          <w:sz w:val="24"/>
        </w:rPr>
        <w:t>较大数额罚款金额为10万元以上。</w:t>
      </w:r>
    </w:p>
    <w:p>
      <w:pPr>
        <w:spacing w:line="560" w:lineRule="atLeast"/>
        <w:ind w:firstLine="480"/>
        <w:rPr>
          <w:b w:val="0"/>
          <w:color w:val="auto"/>
          <w:sz w:val="24"/>
        </w:rPr>
      </w:pPr>
      <w:r>
        <w:rPr>
          <w:rFonts w:hint="eastAsia"/>
          <w:b w:val="0"/>
          <w:color w:val="auto"/>
          <w:sz w:val="24"/>
        </w:rPr>
        <w:t>依据：《海关行政处罚听证办法》</w:t>
      </w:r>
    </w:p>
    <w:p>
      <w:pPr>
        <w:spacing w:line="560" w:lineRule="atLeast"/>
        <w:ind w:firstLine="480"/>
        <w:rPr>
          <w:b w:val="0"/>
          <w:color w:val="auto"/>
          <w:sz w:val="24"/>
        </w:rPr>
      </w:pPr>
      <w:r>
        <w:rPr>
          <w:rFonts w:hint="eastAsia"/>
          <w:b w:val="0"/>
          <w:color w:val="auto"/>
          <w:sz w:val="24"/>
        </w:rPr>
        <w:t>“海关作出暂停从事有关业务、撤销海关注册登记、对公民处 1万元以上罚款、对法人或者其他组织处 10万元以上罚款、没收有关货物、物品、走私运输工具等行政处罚决定之前，应当告知当事人有要求举行听证的权利；当事人要求听证的，海关应当组织听证。”</w:t>
      </w:r>
    </w:p>
    <w:p>
      <w:pPr>
        <w:spacing w:line="560" w:lineRule="atLeast"/>
        <w:ind w:firstLine="480"/>
        <w:rPr>
          <w:b w:val="0"/>
          <w:color w:val="auto"/>
          <w:sz w:val="24"/>
        </w:rPr>
      </w:pPr>
      <w:r>
        <w:rPr>
          <w:rFonts w:hint="eastAsia"/>
          <w:b w:val="0"/>
          <w:color w:val="auto"/>
          <w:sz w:val="24"/>
        </w:rPr>
        <w:t>财政机关  较大数额罚款金额为5万元以上。</w:t>
      </w:r>
    </w:p>
    <w:p>
      <w:pPr>
        <w:spacing w:line="560" w:lineRule="atLeast"/>
        <w:ind w:firstLine="480"/>
        <w:rPr>
          <w:b w:val="0"/>
          <w:color w:val="auto"/>
          <w:sz w:val="24"/>
        </w:rPr>
      </w:pPr>
      <w:r>
        <w:rPr>
          <w:rFonts w:hint="eastAsia"/>
          <w:b w:val="0"/>
          <w:color w:val="auto"/>
          <w:sz w:val="24"/>
        </w:rPr>
        <w:t>依据：《财政机关行政处罚听证实施办法》</w:t>
      </w:r>
    </w:p>
    <w:p>
      <w:pPr>
        <w:spacing w:line="560" w:lineRule="atLeast"/>
        <w:ind w:firstLine="480"/>
        <w:rPr>
          <w:b w:val="0"/>
          <w:color w:val="auto"/>
          <w:sz w:val="24"/>
        </w:rPr>
      </w:pPr>
      <w:r>
        <w:rPr>
          <w:rFonts w:hint="eastAsia"/>
          <w:b w:val="0"/>
          <w:color w:val="auto"/>
          <w:sz w:val="24"/>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四）吊销会计从业资格证书；（五）撤销会计师事务所；（六）取消政府采购业务代理资格；（七）较大数额罚款；（八）法律、法规和规章规定的其他应当告知听证权利的事项。财政部以及专员办作出罚款行政处罚的，其 “较大数额罚款 ”的标准为对公民作出 5000元以上罚款，对法人或者其他组织作出 5万元以上罚款。地方财政机关作出罚款行政处罚的，其“较大数额罚款 ”的标准按照各省、自治区、直辖市人大常委会或者人民政府的规定执行。”</w:t>
      </w:r>
    </w:p>
    <w:p>
      <w:pPr>
        <w:spacing w:line="560" w:lineRule="atLeast"/>
        <w:ind w:firstLine="480"/>
        <w:rPr>
          <w:b w:val="0"/>
          <w:color w:val="auto"/>
          <w:sz w:val="24"/>
        </w:rPr>
      </w:pPr>
      <w:r>
        <w:rPr>
          <w:rFonts w:hint="eastAsia"/>
          <w:b w:val="0"/>
          <w:color w:val="auto"/>
          <w:sz w:val="24"/>
        </w:rPr>
        <w:t>税务机关 较大数额罚款金额为1万元以上（含1万元）。</w:t>
      </w:r>
    </w:p>
    <w:p>
      <w:pPr>
        <w:spacing w:line="560" w:lineRule="atLeast"/>
        <w:ind w:firstLine="480"/>
        <w:rPr>
          <w:b w:val="0"/>
          <w:color w:val="auto"/>
          <w:sz w:val="24"/>
        </w:rPr>
      </w:pPr>
      <w:r>
        <w:rPr>
          <w:rFonts w:hint="eastAsia"/>
          <w:b w:val="0"/>
          <w:color w:val="auto"/>
          <w:sz w:val="24"/>
        </w:rPr>
        <w:t>依据：《税务行政处罚听证程序实施办法（试行）》</w:t>
      </w:r>
    </w:p>
    <w:p>
      <w:pPr>
        <w:spacing w:line="560" w:lineRule="atLeast"/>
        <w:ind w:firstLine="480"/>
        <w:rPr>
          <w:b w:val="0"/>
          <w:color w:val="auto"/>
          <w:sz w:val="24"/>
        </w:rPr>
      </w:pPr>
      <w:r>
        <w:rPr>
          <w:rFonts w:hint="eastAsia"/>
          <w:b w:val="0"/>
          <w:color w:val="auto"/>
          <w:sz w:val="24"/>
        </w:rPr>
        <w:t>“税务机关对公民作出2000元以上（含本数）罚款或者对法人或者其他组织作出1万元以上（含本数）罚款的行政处罚之前，应当向当事人送达《税务行政处罚事项告知书》，告知当事人已经查明的违法事实、证据、行政处罚的法律依据和拟将给予的行政处罚，并告知有要求举行听证的权利。”</w:t>
      </w:r>
    </w:p>
    <w:p>
      <w:pPr>
        <w:spacing w:line="560" w:lineRule="atLeast"/>
        <w:ind w:firstLine="480"/>
        <w:rPr>
          <w:b w:val="0"/>
          <w:color w:val="auto"/>
          <w:sz w:val="24"/>
        </w:rPr>
      </w:pPr>
      <w:r>
        <w:rPr>
          <w:rFonts w:hint="eastAsia"/>
          <w:b w:val="0"/>
          <w:color w:val="auto"/>
          <w:sz w:val="24"/>
        </w:rPr>
        <w:t>国家外汇管理局  较大数额罚款金额为100万元以上。</w:t>
      </w:r>
    </w:p>
    <w:p>
      <w:pPr>
        <w:spacing w:line="560" w:lineRule="atLeast"/>
        <w:ind w:firstLine="480"/>
        <w:rPr>
          <w:b w:val="0"/>
          <w:color w:val="auto"/>
          <w:sz w:val="24"/>
        </w:rPr>
      </w:pPr>
      <w:r>
        <w:rPr>
          <w:rFonts w:hint="eastAsia"/>
          <w:b w:val="0"/>
          <w:color w:val="auto"/>
          <w:sz w:val="24"/>
        </w:rPr>
        <w:t>依据：《国家外汇管理局行政处罚听证程序》</w:t>
      </w:r>
    </w:p>
    <w:p>
      <w:pPr>
        <w:spacing w:line="560" w:lineRule="atLeast"/>
        <w:ind w:firstLine="480"/>
        <w:rPr>
          <w:b w:val="0"/>
          <w:color w:val="auto"/>
          <w:sz w:val="24"/>
        </w:rPr>
      </w:pPr>
      <w:r>
        <w:rPr>
          <w:rFonts w:hint="eastAsia"/>
          <w:b w:val="0"/>
          <w:color w:val="auto"/>
          <w:sz w:val="24"/>
        </w:rPr>
        <w:t>“外汇局作出下列重大处罚决定前，应当告知当事人有要求举行听证的权利：</w:t>
      </w:r>
    </w:p>
    <w:p>
      <w:pPr>
        <w:spacing w:line="560" w:lineRule="atLeast"/>
        <w:ind w:firstLine="480"/>
        <w:rPr>
          <w:b w:val="0"/>
          <w:color w:val="auto"/>
          <w:sz w:val="24"/>
        </w:rPr>
      </w:pPr>
      <w:r>
        <w:rPr>
          <w:rFonts w:hint="eastAsia"/>
          <w:b w:val="0"/>
          <w:color w:val="auto"/>
          <w:sz w:val="24"/>
        </w:rPr>
        <w:t>（一）责令暂停或者停止经营结售汇业务；</w:t>
      </w:r>
    </w:p>
    <w:p>
      <w:pPr>
        <w:spacing w:line="560" w:lineRule="atLeast"/>
        <w:ind w:firstLine="480"/>
        <w:rPr>
          <w:b w:val="0"/>
          <w:color w:val="auto"/>
          <w:sz w:val="24"/>
        </w:rPr>
      </w:pPr>
      <w:r>
        <w:rPr>
          <w:rFonts w:hint="eastAsia"/>
          <w:b w:val="0"/>
          <w:color w:val="auto"/>
          <w:sz w:val="24"/>
        </w:rPr>
        <w:t>（二）责令暂停经营外汇业务或者吊销经营外汇业务许可证；</w:t>
      </w:r>
    </w:p>
    <w:p>
      <w:pPr>
        <w:spacing w:line="560" w:lineRule="atLeast"/>
        <w:ind w:firstLine="480"/>
        <w:rPr>
          <w:b w:val="0"/>
          <w:color w:val="auto"/>
          <w:sz w:val="24"/>
        </w:rPr>
      </w:pPr>
      <w:r>
        <w:rPr>
          <w:rFonts w:hint="eastAsia"/>
          <w:b w:val="0"/>
          <w:color w:val="auto"/>
          <w:sz w:val="24"/>
        </w:rPr>
        <w:t>（三）较大数额罚没款；</w:t>
      </w:r>
    </w:p>
    <w:p>
      <w:pPr>
        <w:spacing w:line="560" w:lineRule="atLeast"/>
        <w:ind w:firstLine="480"/>
        <w:rPr>
          <w:b w:val="0"/>
          <w:color w:val="auto"/>
          <w:sz w:val="24"/>
        </w:rPr>
      </w:pPr>
      <w:r>
        <w:rPr>
          <w:rFonts w:hint="eastAsia"/>
          <w:b w:val="0"/>
          <w:color w:val="auto"/>
          <w:sz w:val="24"/>
        </w:rPr>
        <w:t>（四）其他法律、行政法规规定应当举行听证的。</w:t>
      </w:r>
    </w:p>
    <w:p>
      <w:pPr>
        <w:spacing w:line="560" w:lineRule="atLeast"/>
        <w:ind w:firstLine="480"/>
        <w:rPr>
          <w:b w:val="0"/>
          <w:color w:val="auto"/>
          <w:sz w:val="24"/>
        </w:rPr>
      </w:pPr>
      <w:r>
        <w:rPr>
          <w:rFonts w:hint="eastAsia"/>
          <w:b w:val="0"/>
          <w:color w:val="auto"/>
          <w:sz w:val="24"/>
        </w:rPr>
        <w:t>前款（三）项所称较大数额罚没款，是指对自然人的违法行为处以5万元人民币以上，对法人或者其他经济组织经营活动中的违法行为处以100万元人民币以上的罚没款。”</w:t>
      </w:r>
    </w:p>
    <w:p>
      <w:pPr>
        <w:spacing w:line="560" w:lineRule="atLeast"/>
        <w:ind w:firstLine="480"/>
        <w:rPr>
          <w:b w:val="0"/>
          <w:color w:val="auto"/>
          <w:sz w:val="24"/>
        </w:rPr>
      </w:pPr>
      <w:r>
        <w:rPr>
          <w:rFonts w:hint="eastAsia"/>
          <w:b w:val="0"/>
          <w:color w:val="auto"/>
          <w:sz w:val="24"/>
        </w:rPr>
        <w:t>人民银行  较大数额罚款金额为县级支行5万元、地市级分行20万元、省级分行50万元、总行300万元以上。</w:t>
      </w:r>
    </w:p>
    <w:p>
      <w:pPr>
        <w:spacing w:line="560" w:lineRule="atLeast"/>
        <w:ind w:firstLine="480"/>
        <w:rPr>
          <w:b w:val="0"/>
          <w:color w:val="auto"/>
          <w:sz w:val="24"/>
        </w:rPr>
      </w:pPr>
      <w:r>
        <w:rPr>
          <w:rFonts w:hint="eastAsia"/>
          <w:b w:val="0"/>
          <w:color w:val="auto"/>
          <w:sz w:val="24"/>
        </w:rPr>
        <w:t>依据：《关于确定中国人民银行举行听证的较大数额罚款幅度的通知》</w:t>
      </w:r>
    </w:p>
    <w:p>
      <w:pPr>
        <w:spacing w:line="560" w:lineRule="atLeast"/>
        <w:ind w:firstLine="480"/>
        <w:rPr>
          <w:b w:val="0"/>
          <w:color w:val="auto"/>
          <w:sz w:val="24"/>
        </w:rPr>
      </w:pPr>
      <w:r>
        <w:rPr>
          <w:rFonts w:hint="eastAsia"/>
          <w:b w:val="0"/>
          <w:color w:val="auto"/>
          <w:sz w:val="24"/>
        </w:rPr>
        <w:t>注：有新标准的，以新标准为准。</w:t>
      </w: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中小企业证明材料</w:t>
      </w:r>
    </w:p>
    <w:p>
      <w:pPr>
        <w:tabs>
          <w:tab w:val="left" w:pos="360"/>
        </w:tabs>
        <w:spacing w:line="240" w:lineRule="auto"/>
        <w:ind w:left="851" w:firstLine="0" w:firstLineChars="0"/>
        <w:jc w:val="left"/>
        <w:outlineLvl w:val="1"/>
        <w:rPr>
          <w:bCs/>
          <w:color w:val="auto"/>
          <w:kern w:val="2"/>
          <w:sz w:val="24"/>
          <w:szCs w:val="24"/>
          <w:lang w:val="en-US"/>
        </w:rPr>
      </w:pPr>
    </w:p>
    <w:p>
      <w:pPr>
        <w:numPr>
          <w:ilvl w:val="4"/>
          <w:numId w:val="16"/>
        </w:numPr>
        <w:tabs>
          <w:tab w:val="left" w:pos="360"/>
        </w:tabs>
        <w:spacing w:line="240" w:lineRule="auto"/>
        <w:ind w:left="0" w:firstLine="0" w:firstLineChars="0"/>
        <w:jc w:val="center"/>
        <w:outlineLvl w:val="1"/>
        <w:rPr>
          <w:bCs/>
          <w:color w:val="auto"/>
          <w:kern w:val="2"/>
          <w:sz w:val="24"/>
          <w:szCs w:val="24"/>
          <w:lang w:val="en-US"/>
        </w:rPr>
      </w:pPr>
      <w:r>
        <w:rPr>
          <w:rFonts w:hint="eastAsia"/>
          <w:bCs/>
          <w:color w:val="auto"/>
          <w:kern w:val="2"/>
          <w:sz w:val="24"/>
          <w:szCs w:val="24"/>
          <w:lang w:val="en-US"/>
        </w:rPr>
        <w:t>中小企业声明函（服务）</w:t>
      </w:r>
    </w:p>
    <w:p>
      <w:pPr>
        <w:ind w:firstLine="480"/>
        <w:rPr>
          <w:b w:val="0"/>
          <w:color w:val="auto"/>
          <w:sz w:val="24"/>
          <w:szCs w:val="24"/>
          <w:lang w:val="en-US"/>
        </w:rPr>
      </w:pPr>
    </w:p>
    <w:p>
      <w:pPr>
        <w:ind w:firstLine="480"/>
        <w:rPr>
          <w:b w:val="0"/>
          <w:color w:val="auto"/>
          <w:sz w:val="24"/>
          <w:szCs w:val="24"/>
          <w:lang w:val="en-US"/>
        </w:rPr>
      </w:pPr>
      <w:r>
        <w:rPr>
          <w:rFonts w:hint="eastAsia"/>
          <w:b w:val="0"/>
          <w:color w:val="auto"/>
          <w:sz w:val="24"/>
          <w:szCs w:val="24"/>
          <w:lang w:val="en-US"/>
        </w:rPr>
        <w:t>本公司郑重声明，根据《政府采购促进中小企业发展管理办法》（财库﹝2020﹞46 号）的规定，本公司参加</w:t>
      </w:r>
      <w:r>
        <w:rPr>
          <w:rFonts w:hint="eastAsia"/>
          <w:b w:val="0"/>
          <w:color w:val="auto"/>
          <w:sz w:val="24"/>
          <w:szCs w:val="24"/>
          <w:u w:val="single"/>
          <w:lang w:val="en-US"/>
        </w:rPr>
        <w:t>成都市环境保护信息中心</w:t>
      </w:r>
      <w:r>
        <w:rPr>
          <w:b w:val="0"/>
          <w:color w:val="auto"/>
          <w:sz w:val="24"/>
          <w:szCs w:val="24"/>
          <w:lang w:val="en-US"/>
        </w:rPr>
        <w:t>的</w:t>
      </w:r>
      <w:r>
        <w:rPr>
          <w:rFonts w:hint="eastAsia"/>
          <w:b w:val="0"/>
          <w:color w:val="auto"/>
          <w:sz w:val="24"/>
          <w:szCs w:val="24"/>
          <w:u w:val="single"/>
          <w:lang w:val="en-US"/>
        </w:rPr>
        <w:t>成都市生态环境局信息化硬件运维服务采购项目（二次）</w:t>
      </w:r>
      <w:r>
        <w:rPr>
          <w:rFonts w:hint="eastAsia"/>
          <w:b w:val="0"/>
          <w:color w:val="auto"/>
          <w:sz w:val="24"/>
          <w:szCs w:val="24"/>
          <w:lang w:val="en-US"/>
        </w:rPr>
        <w:t>采购活动，服务全部由符合政策要求的中小企业承接，相关企业的具体情况如下：</w:t>
      </w:r>
    </w:p>
    <w:p>
      <w:pPr>
        <w:ind w:firstLine="480"/>
        <w:rPr>
          <w:b w:val="0"/>
          <w:color w:val="auto"/>
          <w:sz w:val="24"/>
          <w:szCs w:val="24"/>
          <w:lang w:val="en-US"/>
        </w:rPr>
      </w:pPr>
      <w:r>
        <w:rPr>
          <w:rFonts w:hint="eastAsia"/>
          <w:b w:val="0"/>
          <w:color w:val="auto"/>
          <w:sz w:val="24"/>
          <w:szCs w:val="24"/>
          <w:lang w:val="en-US"/>
        </w:rPr>
        <w:t>1.标的名称：</w:t>
      </w:r>
      <w:r>
        <w:rPr>
          <w:rFonts w:hint="eastAsia"/>
          <w:b w:val="0"/>
          <w:color w:val="auto"/>
          <w:kern w:val="2"/>
          <w:sz w:val="24"/>
          <w:szCs w:val="24"/>
          <w:u w:val="single"/>
          <w:lang w:val="en-US"/>
        </w:rPr>
        <w:t>安全设备运维</w:t>
      </w:r>
      <w:r>
        <w:rPr>
          <w:rFonts w:hint="eastAsia"/>
          <w:b w:val="0"/>
          <w:color w:val="auto"/>
          <w:sz w:val="24"/>
          <w:szCs w:val="24"/>
          <w:lang w:val="en-US"/>
        </w:rPr>
        <w:t>，属于</w:t>
      </w:r>
      <w:r>
        <w:rPr>
          <w:b w:val="0"/>
          <w:color w:val="auto"/>
          <w:sz w:val="24"/>
          <w:szCs w:val="24"/>
          <w:u w:val="single"/>
          <w:lang w:val="en-US"/>
        </w:rPr>
        <w:t>软件和信息技术服务业</w:t>
      </w:r>
      <w:r>
        <w:rPr>
          <w:rFonts w:hint="eastAsia"/>
          <w:b w:val="0"/>
          <w:color w:val="auto"/>
          <w:sz w:val="24"/>
          <w:szCs w:val="24"/>
          <w:lang w:val="en-US"/>
        </w:rPr>
        <w:t>；承接企业为</w:t>
      </w:r>
      <w:r>
        <w:rPr>
          <w:rFonts w:hint="eastAsia"/>
          <w:b w:val="0"/>
          <w:color w:val="auto"/>
          <w:sz w:val="24"/>
          <w:szCs w:val="24"/>
          <w:u w:val="single"/>
          <w:lang w:val="en-US"/>
        </w:rPr>
        <w:t>（企业名称）</w:t>
      </w:r>
      <w:r>
        <w:rPr>
          <w:rFonts w:hint="eastAsia"/>
          <w:b w:val="0"/>
          <w:color w:val="auto"/>
          <w:sz w:val="24"/>
          <w:szCs w:val="24"/>
          <w:lang w:val="en-US"/>
        </w:rPr>
        <w:t>，从业人员</w:t>
      </w:r>
      <w:r>
        <w:rPr>
          <w:rFonts w:hint="eastAsia"/>
          <w:b w:val="0"/>
          <w:color w:val="auto"/>
          <w:sz w:val="24"/>
          <w:szCs w:val="24"/>
          <w:u w:val="single"/>
          <w:lang w:val="en-US"/>
        </w:rPr>
        <w:t>XXX</w:t>
      </w:r>
      <w:r>
        <w:rPr>
          <w:rFonts w:hint="eastAsia"/>
          <w:b w:val="0"/>
          <w:color w:val="auto"/>
          <w:sz w:val="24"/>
          <w:szCs w:val="24"/>
          <w:lang w:val="en-US"/>
        </w:rPr>
        <w:t>人，营业收入为</w:t>
      </w:r>
      <w:r>
        <w:rPr>
          <w:rFonts w:hint="eastAsia"/>
          <w:b w:val="0"/>
          <w:color w:val="auto"/>
          <w:sz w:val="24"/>
          <w:szCs w:val="24"/>
          <w:u w:val="single"/>
          <w:lang w:val="en-US"/>
        </w:rPr>
        <w:t>XX</w:t>
      </w:r>
      <w:r>
        <w:rPr>
          <w:rFonts w:hint="eastAsia"/>
          <w:b w:val="0"/>
          <w:color w:val="auto"/>
          <w:sz w:val="24"/>
          <w:szCs w:val="24"/>
          <w:lang w:val="en-US"/>
        </w:rPr>
        <w:t>万元，资产总额为</w:t>
      </w:r>
      <w:r>
        <w:rPr>
          <w:rFonts w:hint="eastAsia"/>
          <w:b w:val="0"/>
          <w:color w:val="auto"/>
          <w:sz w:val="24"/>
          <w:szCs w:val="24"/>
          <w:u w:val="single"/>
          <w:lang w:val="en-US"/>
        </w:rPr>
        <w:t>XX</w:t>
      </w:r>
      <w:r>
        <w:rPr>
          <w:rFonts w:hint="eastAsia"/>
          <w:b w:val="0"/>
          <w:color w:val="auto"/>
          <w:sz w:val="24"/>
          <w:szCs w:val="24"/>
          <w:lang w:val="en-US"/>
        </w:rPr>
        <w:t xml:space="preserve">万元，属于 </w:t>
      </w:r>
      <w:r>
        <w:rPr>
          <w:rFonts w:hint="eastAsia"/>
          <w:b w:val="0"/>
          <w:color w:val="auto"/>
          <w:sz w:val="24"/>
          <w:szCs w:val="24"/>
          <w:u w:val="single"/>
          <w:lang w:val="en-US"/>
        </w:rPr>
        <w:t>（中型企业、小型企业、微型企业）</w:t>
      </w:r>
      <w:r>
        <w:rPr>
          <w:rFonts w:hint="eastAsia"/>
          <w:b w:val="0"/>
          <w:color w:val="auto"/>
          <w:sz w:val="24"/>
          <w:szCs w:val="24"/>
          <w:lang w:val="en-US"/>
        </w:rPr>
        <w:t>；</w:t>
      </w:r>
    </w:p>
    <w:p>
      <w:pPr>
        <w:ind w:firstLine="480"/>
        <w:rPr>
          <w:b w:val="0"/>
          <w:color w:val="auto"/>
          <w:sz w:val="24"/>
          <w:szCs w:val="24"/>
          <w:lang w:val="en-US"/>
        </w:rPr>
      </w:pPr>
      <w:r>
        <w:rPr>
          <w:rFonts w:hint="eastAsia"/>
          <w:b w:val="0"/>
          <w:color w:val="auto"/>
          <w:sz w:val="24"/>
          <w:szCs w:val="24"/>
          <w:lang w:val="en-US"/>
        </w:rPr>
        <w:t xml:space="preserve">以上企业，不属于大企业的分支机构，不存在控股股东为大企业的情形，也不存在与大企业的负责人为同一人的情形。 本企业对上述声明内容的真实性负责。如有虚假，将依法承担相应责任。 </w:t>
      </w:r>
    </w:p>
    <w:p>
      <w:pPr>
        <w:ind w:firstLine="480"/>
        <w:rPr>
          <w:b w:val="0"/>
          <w:color w:val="auto"/>
          <w:sz w:val="24"/>
          <w:szCs w:val="24"/>
          <w:lang w:val="en-US"/>
        </w:rPr>
      </w:pPr>
      <w:r>
        <w:rPr>
          <w:rFonts w:hint="eastAsia"/>
          <w:b w:val="0"/>
          <w:color w:val="auto"/>
          <w:sz w:val="24"/>
          <w:szCs w:val="24"/>
          <w:lang w:val="en-US"/>
        </w:rPr>
        <w:t>企业名称（盖章）：</w:t>
      </w:r>
    </w:p>
    <w:p>
      <w:pPr>
        <w:ind w:firstLine="480"/>
        <w:rPr>
          <w:b w:val="0"/>
          <w:color w:val="auto"/>
          <w:sz w:val="24"/>
          <w:szCs w:val="24"/>
          <w:lang w:val="en-US"/>
        </w:rPr>
      </w:pPr>
      <w:r>
        <w:rPr>
          <w:rFonts w:hint="eastAsia"/>
          <w:b w:val="0"/>
          <w:color w:val="auto"/>
          <w:sz w:val="24"/>
          <w:szCs w:val="24"/>
          <w:lang w:val="en-US"/>
        </w:rPr>
        <w:t>日 期：</w:t>
      </w:r>
    </w:p>
    <w:p>
      <w:pPr>
        <w:ind w:firstLine="0" w:firstLineChars="0"/>
        <w:rPr>
          <w:b w:val="0"/>
          <w:color w:val="auto"/>
          <w:sz w:val="24"/>
          <w:szCs w:val="24"/>
        </w:rPr>
      </w:pPr>
    </w:p>
    <w:p>
      <w:pPr>
        <w:ind w:firstLine="0" w:firstLineChars="0"/>
        <w:rPr>
          <w:b w:val="0"/>
          <w:color w:val="auto"/>
          <w:sz w:val="24"/>
          <w:szCs w:val="24"/>
        </w:rPr>
      </w:pPr>
      <w:r>
        <w:rPr>
          <w:rFonts w:hint="eastAsia"/>
          <w:b w:val="0"/>
          <w:color w:val="auto"/>
          <w:sz w:val="24"/>
          <w:szCs w:val="24"/>
        </w:rPr>
        <w:t>注：</w:t>
      </w:r>
    </w:p>
    <w:p>
      <w:pPr>
        <w:ind w:firstLine="480"/>
        <w:rPr>
          <w:b w:val="0"/>
          <w:color w:val="auto"/>
          <w:sz w:val="24"/>
          <w:szCs w:val="24"/>
        </w:rPr>
      </w:pPr>
      <w:r>
        <w:rPr>
          <w:rFonts w:hint="eastAsia"/>
          <w:b w:val="0"/>
          <w:color w:val="auto"/>
          <w:sz w:val="24"/>
          <w:szCs w:val="24"/>
        </w:rPr>
        <w:t>1</w:t>
      </w:r>
      <w:r>
        <w:rPr>
          <w:b w:val="0"/>
          <w:color w:val="auto"/>
          <w:sz w:val="24"/>
          <w:szCs w:val="24"/>
        </w:rPr>
        <w:t>.</w:t>
      </w:r>
      <w:r>
        <w:rPr>
          <w:rFonts w:hint="eastAsia"/>
          <w:b w:val="0"/>
          <w:color w:val="auto"/>
          <w:sz w:val="24"/>
          <w:szCs w:val="24"/>
        </w:rPr>
        <w:t>从业人员、营业收入、资产总额填报上一年度数据，无上一年度数据的新成立企业可不填报。</w:t>
      </w:r>
    </w:p>
    <w:p>
      <w:pPr>
        <w:ind w:firstLine="480"/>
        <w:rPr>
          <w:b w:val="0"/>
          <w:color w:val="auto"/>
          <w:sz w:val="24"/>
          <w:szCs w:val="24"/>
        </w:rPr>
      </w:pPr>
      <w:r>
        <w:rPr>
          <w:rFonts w:hint="eastAsia"/>
          <w:b w:val="0"/>
          <w:color w:val="auto"/>
          <w:sz w:val="24"/>
          <w:szCs w:val="24"/>
        </w:rPr>
        <w:t>2.投标人提供虚假中小企业声明函的，以提供虚假材料谋取中标处理。</w:t>
      </w:r>
    </w:p>
    <w:p>
      <w:pPr>
        <w:pStyle w:val="2"/>
        <w:spacing w:before="109"/>
        <w:ind w:firstLine="480"/>
        <w:rPr>
          <w:color w:val="auto"/>
        </w:rPr>
      </w:pPr>
    </w:p>
    <w:p>
      <w:pPr>
        <w:numPr>
          <w:ilvl w:val="4"/>
          <w:numId w:val="16"/>
        </w:numPr>
        <w:tabs>
          <w:tab w:val="left" w:pos="360"/>
        </w:tabs>
        <w:spacing w:line="240" w:lineRule="auto"/>
        <w:ind w:left="0" w:firstLine="0" w:firstLineChars="0"/>
        <w:jc w:val="center"/>
        <w:outlineLvl w:val="1"/>
        <w:rPr>
          <w:bCs/>
          <w:color w:val="auto"/>
          <w:kern w:val="2"/>
          <w:sz w:val="24"/>
          <w:szCs w:val="24"/>
          <w:lang w:val="en-US"/>
        </w:rPr>
      </w:pPr>
      <w:r>
        <w:rPr>
          <w:rFonts w:hint="eastAsia"/>
          <w:bCs/>
          <w:color w:val="auto"/>
          <w:kern w:val="2"/>
          <w:sz w:val="24"/>
          <w:szCs w:val="24"/>
          <w:lang w:val="en-US"/>
        </w:rPr>
        <w:t>监狱企业证明材料</w:t>
      </w:r>
    </w:p>
    <w:p>
      <w:pPr>
        <w:rPr>
          <w:color w:val="auto"/>
        </w:rPr>
      </w:pPr>
    </w:p>
    <w:p>
      <w:pPr>
        <w:ind w:firstLine="480"/>
        <w:rPr>
          <w:b w:val="0"/>
          <w:color w:val="auto"/>
          <w:sz w:val="24"/>
          <w:szCs w:val="24"/>
        </w:rPr>
      </w:pPr>
      <w:r>
        <w:rPr>
          <w:rFonts w:hint="eastAsia"/>
          <w:b w:val="0"/>
          <w:color w:val="auto"/>
          <w:sz w:val="24"/>
          <w:szCs w:val="24"/>
        </w:rPr>
        <w:t>参加政府采购活动的监狱企业应当提供省级以上监狱管理局、戒毒管理局（含新疆生产建设兵团）出具的属于监狱企业的证明文件复印件加盖投标人公章。</w:t>
      </w:r>
    </w:p>
    <w:p>
      <w:pPr>
        <w:rPr>
          <w:color w:val="auto"/>
        </w:rPr>
      </w:pPr>
    </w:p>
    <w:p>
      <w:pPr>
        <w:numPr>
          <w:ilvl w:val="4"/>
          <w:numId w:val="16"/>
        </w:numPr>
        <w:tabs>
          <w:tab w:val="left" w:pos="360"/>
        </w:tabs>
        <w:spacing w:line="240" w:lineRule="auto"/>
        <w:ind w:left="0" w:firstLine="0" w:firstLineChars="0"/>
        <w:jc w:val="center"/>
        <w:outlineLvl w:val="1"/>
        <w:rPr>
          <w:bCs/>
          <w:color w:val="auto"/>
          <w:kern w:val="2"/>
          <w:sz w:val="24"/>
          <w:szCs w:val="24"/>
          <w:lang w:val="en-US"/>
        </w:rPr>
      </w:pPr>
      <w:r>
        <w:rPr>
          <w:rFonts w:hint="eastAsia"/>
          <w:bCs/>
          <w:color w:val="auto"/>
          <w:kern w:val="2"/>
          <w:sz w:val="24"/>
          <w:szCs w:val="24"/>
          <w:lang w:val="en-US"/>
        </w:rPr>
        <w:t>残疾人福利性单位声明函</w:t>
      </w:r>
    </w:p>
    <w:p>
      <w:pPr>
        <w:ind w:firstLine="562"/>
        <w:jc w:val="center"/>
        <w:rPr>
          <w:color w:val="auto"/>
          <w:sz w:val="28"/>
        </w:rPr>
      </w:pPr>
    </w:p>
    <w:p>
      <w:pPr>
        <w:ind w:firstLine="562"/>
        <w:jc w:val="center"/>
        <w:rPr>
          <w:color w:val="auto"/>
          <w:sz w:val="28"/>
        </w:rPr>
      </w:pPr>
      <w:r>
        <w:rPr>
          <w:rFonts w:hint="eastAsia"/>
          <w:color w:val="auto"/>
          <w:sz w:val="28"/>
        </w:rPr>
        <w:t>残疾人福利性单位声明函</w:t>
      </w:r>
    </w:p>
    <w:p>
      <w:pPr>
        <w:ind w:firstLine="480"/>
        <w:rPr>
          <w:b w:val="0"/>
          <w:color w:val="auto"/>
          <w:sz w:val="24"/>
          <w:szCs w:val="24"/>
        </w:rPr>
      </w:pPr>
      <w:r>
        <w:rPr>
          <w:rFonts w:hint="eastAsia"/>
          <w:b w:val="0"/>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ind w:firstLine="480"/>
        <w:rPr>
          <w:b w:val="0"/>
          <w:color w:val="auto"/>
          <w:sz w:val="24"/>
          <w:szCs w:val="24"/>
        </w:rPr>
      </w:pPr>
      <w:r>
        <w:rPr>
          <w:rFonts w:hint="eastAsia"/>
          <w:b w:val="0"/>
          <w:color w:val="auto"/>
          <w:sz w:val="24"/>
          <w:szCs w:val="24"/>
        </w:rPr>
        <w:t>本单位对上述声明的真实性负责。如有虚假，将依法承担相应责任。</w:t>
      </w:r>
    </w:p>
    <w:p>
      <w:pPr>
        <w:ind w:firstLine="480"/>
        <w:rPr>
          <w:b w:val="0"/>
          <w:color w:val="auto"/>
          <w:sz w:val="24"/>
          <w:szCs w:val="24"/>
        </w:rPr>
      </w:pPr>
    </w:p>
    <w:p>
      <w:pPr>
        <w:ind w:firstLine="480"/>
        <w:rPr>
          <w:b w:val="0"/>
          <w:color w:val="auto"/>
          <w:sz w:val="24"/>
          <w:szCs w:val="24"/>
        </w:rPr>
      </w:pPr>
      <w:r>
        <w:rPr>
          <w:rFonts w:hint="eastAsia"/>
          <w:b w:val="0"/>
          <w:color w:val="auto"/>
          <w:sz w:val="24"/>
          <w:szCs w:val="24"/>
        </w:rPr>
        <w:t>单位名称（盖章）：</w:t>
      </w:r>
    </w:p>
    <w:p>
      <w:pPr>
        <w:ind w:firstLine="480"/>
        <w:rPr>
          <w:b w:val="0"/>
          <w:color w:val="auto"/>
          <w:sz w:val="24"/>
          <w:szCs w:val="24"/>
        </w:rPr>
      </w:pPr>
      <w:r>
        <w:rPr>
          <w:rFonts w:hint="eastAsia"/>
          <w:b w:val="0"/>
          <w:color w:val="auto"/>
          <w:sz w:val="24"/>
          <w:szCs w:val="24"/>
        </w:rPr>
        <w:t>日  期：</w:t>
      </w:r>
    </w:p>
    <w:p>
      <w:pPr>
        <w:ind w:firstLine="0" w:firstLineChars="0"/>
        <w:jc w:val="left"/>
        <w:rPr>
          <w:color w:val="auto"/>
          <w:sz w:val="28"/>
        </w:rPr>
      </w:pPr>
      <w:r>
        <w:rPr>
          <w:rFonts w:hint="eastAsia"/>
          <w:color w:val="auto"/>
          <w:sz w:val="28"/>
        </w:rPr>
        <w:t>说明：</w:t>
      </w:r>
    </w:p>
    <w:p>
      <w:pPr>
        <w:ind w:firstLine="482"/>
        <w:rPr>
          <w:bCs/>
          <w:color w:val="auto"/>
          <w:sz w:val="24"/>
          <w:szCs w:val="24"/>
        </w:rPr>
      </w:pPr>
      <w:r>
        <w:rPr>
          <w:rFonts w:hint="eastAsia"/>
          <w:bCs/>
          <w:color w:val="auto"/>
          <w:sz w:val="24"/>
          <w:szCs w:val="24"/>
        </w:rPr>
        <w:t>1</w:t>
      </w:r>
      <w:r>
        <w:rPr>
          <w:bCs/>
          <w:color w:val="auto"/>
          <w:sz w:val="24"/>
          <w:szCs w:val="24"/>
        </w:rPr>
        <w:t>.</w:t>
      </w:r>
      <w:r>
        <w:rPr>
          <w:rFonts w:hint="eastAsia"/>
          <w:bCs/>
          <w:color w:val="auto"/>
          <w:sz w:val="24"/>
          <w:szCs w:val="24"/>
        </w:rPr>
        <w:t>本项目专门面向中小企业采购，监狱企业或残疾人福利性单位视同小、微企业，未提供中小企业声明函原件或监狱企业证明材料复印件或残疾人福利性单位声明函原件的，作无效处理。</w:t>
      </w:r>
    </w:p>
    <w:p>
      <w:pPr>
        <w:ind w:firstLine="482"/>
        <w:rPr>
          <w:bCs/>
          <w:color w:val="auto"/>
          <w:sz w:val="24"/>
          <w:szCs w:val="24"/>
        </w:rPr>
      </w:pPr>
      <w:r>
        <w:rPr>
          <w:rFonts w:hint="eastAsia"/>
          <w:bCs/>
          <w:color w:val="auto"/>
          <w:sz w:val="24"/>
          <w:szCs w:val="24"/>
        </w:rPr>
        <w:t>2.投标人参加政府采购活动时，提供虚假残疾人福利性单位声明函的，以提供虚假材料谋取中标处理。</w:t>
      </w:r>
    </w:p>
    <w:p>
      <w:pPr>
        <w:pStyle w:val="2"/>
        <w:spacing w:before="109"/>
        <w:ind w:firstLine="480"/>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授权参加本次投标活动的投标人代表</w:t>
      </w:r>
    </w:p>
    <w:p>
      <w:pPr>
        <w:spacing w:line="520" w:lineRule="exact"/>
        <w:ind w:firstLine="480"/>
        <w:jc w:val="left"/>
        <w:rPr>
          <w:b w:val="0"/>
          <w:color w:val="auto"/>
          <w:sz w:val="24"/>
          <w:szCs w:val="24"/>
        </w:rPr>
      </w:pPr>
      <w:r>
        <w:rPr>
          <w:rFonts w:hint="eastAsia"/>
          <w:b w:val="0"/>
          <w:color w:val="auto"/>
          <w:sz w:val="24"/>
          <w:szCs w:val="24"/>
        </w:rPr>
        <w:t>按以下要求提供法定代表人授权书原件及法定代表人身份证、代理人身份证复印件</w:t>
      </w:r>
    </w:p>
    <w:p>
      <w:pPr>
        <w:snapToGrid/>
        <w:spacing w:line="560" w:lineRule="exact"/>
        <w:ind w:firstLine="0" w:firstLineChars="0"/>
        <w:rPr>
          <w:b w:val="0"/>
          <w:color w:val="auto"/>
          <w:sz w:val="24"/>
          <w:szCs w:val="24"/>
          <w:lang w:val="en-US"/>
        </w:rPr>
      </w:pPr>
      <w:r>
        <w:rPr>
          <w:rFonts w:hint="eastAsia"/>
          <w:b w:val="0"/>
          <w:color w:val="auto"/>
          <w:sz w:val="24"/>
          <w:szCs w:val="24"/>
          <w:lang w:val="en-US"/>
        </w:rPr>
        <w:t>四川慧采招标代理有限公司：</w:t>
      </w:r>
    </w:p>
    <w:p>
      <w:pPr>
        <w:spacing w:line="560" w:lineRule="exact"/>
        <w:ind w:firstLine="480"/>
        <w:rPr>
          <w:b w:val="0"/>
          <w:color w:val="auto"/>
          <w:sz w:val="24"/>
          <w:szCs w:val="24"/>
        </w:rPr>
      </w:pPr>
      <w:r>
        <w:rPr>
          <w:rFonts w:hint="eastAsia"/>
          <w:b w:val="0"/>
          <w:color w:val="auto"/>
          <w:sz w:val="24"/>
          <w:szCs w:val="24"/>
          <w:u w:val="single"/>
        </w:rPr>
        <w:t xml:space="preserve">        （投标人全称）</w:t>
      </w:r>
      <w:r>
        <w:rPr>
          <w:rFonts w:hint="eastAsia"/>
          <w:b w:val="0"/>
          <w:color w:val="auto"/>
          <w:sz w:val="24"/>
          <w:szCs w:val="24"/>
        </w:rPr>
        <w:t>法定代表人____________ 授权委托_____________为我的代理人，参加贵单位组织的</w:t>
      </w:r>
      <w:r>
        <w:rPr>
          <w:rFonts w:hint="eastAsia"/>
          <w:b w:val="0"/>
          <w:color w:val="auto"/>
          <w:sz w:val="24"/>
          <w:szCs w:val="24"/>
          <w:u w:val="single"/>
        </w:rPr>
        <w:t xml:space="preserve">            项目</w:t>
      </w:r>
      <w:r>
        <w:rPr>
          <w:rFonts w:hint="eastAsia"/>
          <w:b w:val="0"/>
          <w:color w:val="auto"/>
          <w:sz w:val="24"/>
          <w:szCs w:val="24"/>
        </w:rPr>
        <w:t>（采购项目编号：</w:t>
      </w:r>
      <w:r>
        <w:rPr>
          <w:rFonts w:hint="eastAsia"/>
          <w:b w:val="0"/>
          <w:bCs/>
          <w:color w:val="auto"/>
          <w:sz w:val="24"/>
          <w:szCs w:val="24"/>
          <w:u w:val="single"/>
        </w:rPr>
        <w:t xml:space="preserve">          </w:t>
      </w:r>
      <w:r>
        <w:rPr>
          <w:rFonts w:hint="eastAsia"/>
          <w:b w:val="0"/>
          <w:color w:val="auto"/>
          <w:sz w:val="24"/>
          <w:szCs w:val="24"/>
        </w:rPr>
        <w:t>）的投标。代理人在本次招标中所签署的一切文件和处理的一切有关事宜，我公司均予承认，所产生的法律后果均由我单位承担。</w:t>
      </w:r>
    </w:p>
    <w:p>
      <w:pPr>
        <w:spacing w:line="560" w:lineRule="exact"/>
        <w:ind w:firstLine="480"/>
        <w:rPr>
          <w:b w:val="0"/>
          <w:color w:val="auto"/>
          <w:sz w:val="24"/>
          <w:szCs w:val="24"/>
        </w:rPr>
      </w:pPr>
      <w:r>
        <w:rPr>
          <w:rFonts w:hint="eastAsia"/>
          <w:b w:val="0"/>
          <w:color w:val="auto"/>
          <w:sz w:val="24"/>
          <w:szCs w:val="24"/>
        </w:rPr>
        <w:t xml:space="preserve">代理人无转委托权，本授权书自 </w:t>
      </w:r>
      <w:r>
        <w:rPr>
          <w:rFonts w:hint="eastAsia"/>
          <w:b w:val="0"/>
          <w:color w:val="auto"/>
          <w:sz w:val="24"/>
          <w:szCs w:val="24"/>
          <w:u w:val="single"/>
        </w:rPr>
        <w:t xml:space="preserve">  </w:t>
      </w:r>
      <w:r>
        <w:rPr>
          <w:rFonts w:hint="eastAsia"/>
          <w:b w:val="0"/>
          <w:color w:val="auto"/>
          <w:sz w:val="24"/>
          <w:szCs w:val="24"/>
        </w:rPr>
        <w:t>年</w:t>
      </w:r>
      <w:r>
        <w:rPr>
          <w:rFonts w:hint="eastAsia"/>
          <w:b w:val="0"/>
          <w:color w:val="auto"/>
          <w:sz w:val="24"/>
          <w:szCs w:val="24"/>
          <w:u w:val="single"/>
        </w:rPr>
        <w:t xml:space="preserve">  </w:t>
      </w:r>
      <w:r>
        <w:rPr>
          <w:rFonts w:hint="eastAsia"/>
          <w:b w:val="0"/>
          <w:color w:val="auto"/>
          <w:sz w:val="24"/>
          <w:szCs w:val="24"/>
        </w:rPr>
        <w:t>月</w:t>
      </w:r>
      <w:r>
        <w:rPr>
          <w:rFonts w:hint="eastAsia"/>
          <w:b w:val="0"/>
          <w:color w:val="auto"/>
          <w:sz w:val="24"/>
          <w:szCs w:val="24"/>
          <w:u w:val="single"/>
        </w:rPr>
        <w:t xml:space="preserve">  </w:t>
      </w:r>
      <w:r>
        <w:rPr>
          <w:rFonts w:hint="eastAsia"/>
          <w:b w:val="0"/>
          <w:color w:val="auto"/>
          <w:sz w:val="24"/>
          <w:szCs w:val="24"/>
        </w:rPr>
        <w:t>日生效，特此声明。</w:t>
      </w:r>
    </w:p>
    <w:p>
      <w:pPr>
        <w:spacing w:line="560" w:lineRule="exact"/>
        <w:ind w:firstLine="480"/>
        <w:rPr>
          <w:b w:val="0"/>
          <w:color w:val="auto"/>
          <w:sz w:val="24"/>
          <w:szCs w:val="24"/>
        </w:rPr>
      </w:pPr>
    </w:p>
    <w:p>
      <w:pPr>
        <w:spacing w:line="560" w:lineRule="exact"/>
        <w:ind w:firstLine="480"/>
        <w:rPr>
          <w:b w:val="0"/>
          <w:color w:val="auto"/>
          <w:sz w:val="24"/>
          <w:szCs w:val="24"/>
        </w:rPr>
      </w:pPr>
      <w:r>
        <w:rPr>
          <w:rFonts w:hint="eastAsia"/>
          <w:b w:val="0"/>
          <w:color w:val="auto"/>
          <w:sz w:val="24"/>
          <w:szCs w:val="24"/>
        </w:rPr>
        <w:t>投标人名称（公章）：</w:t>
      </w:r>
    </w:p>
    <w:p>
      <w:pPr>
        <w:spacing w:line="560" w:lineRule="exact"/>
        <w:ind w:firstLine="480"/>
        <w:rPr>
          <w:b w:val="0"/>
          <w:color w:val="auto"/>
          <w:sz w:val="24"/>
          <w:szCs w:val="24"/>
        </w:rPr>
      </w:pPr>
      <w:r>
        <w:rPr>
          <w:rFonts w:hint="eastAsia"/>
          <w:b w:val="0"/>
          <w:color w:val="auto"/>
          <w:sz w:val="24"/>
          <w:szCs w:val="24"/>
        </w:rPr>
        <w:t>法定代表人</w:t>
      </w:r>
      <w:r>
        <w:rPr>
          <w:rFonts w:hint="eastAsia"/>
          <w:b w:val="0"/>
          <w:bCs/>
          <w:color w:val="auto"/>
          <w:sz w:val="24"/>
          <w:szCs w:val="24"/>
        </w:rPr>
        <w:t>（签字</w:t>
      </w:r>
      <w:r>
        <w:rPr>
          <w:rFonts w:hint="eastAsia"/>
          <w:b w:val="0"/>
          <w:color w:val="auto"/>
          <w:kern w:val="2"/>
          <w:sz w:val="24"/>
          <w:szCs w:val="24"/>
          <w:lang w:val="en-US"/>
        </w:rPr>
        <w:t>或加盖印章</w:t>
      </w:r>
      <w:r>
        <w:rPr>
          <w:rFonts w:hint="eastAsia"/>
          <w:b w:val="0"/>
          <w:bCs/>
          <w:color w:val="auto"/>
          <w:sz w:val="24"/>
          <w:szCs w:val="24"/>
        </w:rPr>
        <w:t>）：</w:t>
      </w:r>
    </w:p>
    <w:p>
      <w:pPr>
        <w:spacing w:line="560" w:lineRule="exact"/>
        <w:ind w:firstLine="480"/>
        <w:rPr>
          <w:b w:val="0"/>
          <w:color w:val="auto"/>
          <w:sz w:val="24"/>
          <w:szCs w:val="24"/>
        </w:rPr>
      </w:pPr>
      <w:r>
        <w:rPr>
          <w:rFonts w:hint="eastAsia"/>
          <w:b w:val="0"/>
          <w:color w:val="auto"/>
          <w:sz w:val="24"/>
          <w:szCs w:val="24"/>
        </w:rPr>
        <w:t>代理人（签字</w:t>
      </w:r>
      <w:r>
        <w:rPr>
          <w:rFonts w:hint="eastAsia"/>
          <w:b w:val="0"/>
          <w:color w:val="auto"/>
          <w:kern w:val="2"/>
          <w:sz w:val="24"/>
          <w:szCs w:val="24"/>
          <w:lang w:val="en-US"/>
        </w:rPr>
        <w:t>或加盖印章</w:t>
      </w:r>
      <w:r>
        <w:rPr>
          <w:rFonts w:hint="eastAsia"/>
          <w:b w:val="0"/>
          <w:color w:val="auto"/>
          <w:sz w:val="24"/>
          <w:szCs w:val="24"/>
        </w:rPr>
        <w:t>）：</w:t>
      </w:r>
    </w:p>
    <w:p>
      <w:pPr>
        <w:spacing w:line="560" w:lineRule="exact"/>
        <w:rPr>
          <w:color w:val="auto"/>
        </w:rPr>
      </w:pPr>
    </w:p>
    <w:p>
      <w:pPr>
        <w:ind w:firstLine="480"/>
        <w:rPr>
          <w:b w:val="0"/>
          <w:color w:val="auto"/>
          <w:sz w:val="24"/>
          <w:szCs w:val="24"/>
        </w:rPr>
      </w:pPr>
      <w:r>
        <w:rPr>
          <w:rFonts w:hint="eastAsia"/>
          <w:b w:val="0"/>
          <w:color w:val="auto"/>
          <w:sz w:val="24"/>
          <w:szCs w:val="24"/>
        </w:rPr>
        <w:t>说明：1）上述证明文件在资格性投标文件中附有法定代表人身份证复印件和代理人身份证复印件（身份证两面均应复印）时才能生效，不允许粘贴。2）投标文件均由投标人法定代表人签字</w:t>
      </w:r>
      <w:r>
        <w:rPr>
          <w:rFonts w:hint="eastAsia"/>
          <w:b w:val="0"/>
          <w:color w:val="auto"/>
          <w:kern w:val="2"/>
          <w:sz w:val="24"/>
          <w:szCs w:val="24"/>
          <w:lang w:val="en-US"/>
        </w:rPr>
        <w:t>或加盖印章</w:t>
      </w:r>
      <w:r>
        <w:rPr>
          <w:rFonts w:hint="eastAsia"/>
          <w:b w:val="0"/>
          <w:color w:val="auto"/>
          <w:sz w:val="24"/>
          <w:szCs w:val="24"/>
        </w:rPr>
        <w:t>的，资格性投标文件中可不提供法定代表人授权委托书及代理人身份证复印件，但必须提供法定代表人身份证复印件。</w:t>
      </w:r>
    </w:p>
    <w:p>
      <w:pPr>
        <w:ind w:firstLine="480"/>
        <w:rPr>
          <w:b w:val="0"/>
          <w:color w:val="auto"/>
          <w:sz w:val="24"/>
          <w:szCs w:val="24"/>
        </w:rPr>
      </w:pPr>
      <w:r>
        <w:rPr>
          <w:rFonts w:hint="eastAsia"/>
          <w:b w:val="0"/>
          <w:color w:val="auto"/>
          <w:sz w:val="24"/>
          <w:szCs w:val="24"/>
        </w:rPr>
        <w:t>法定代表人身份证和代理人身份证样式（仅供参考）：</w:t>
      </w:r>
    </w:p>
    <w:p>
      <w:pPr>
        <w:rPr>
          <w:color w:val="auto"/>
        </w:rPr>
      </w:pPr>
      <w:r>
        <w:rPr>
          <w:rFonts w:hint="eastAsia"/>
          <w:color w:val="auto"/>
        </w:rPr>
        <mc:AlternateContent>
          <mc:Choice Requires="wps">
            <w:drawing>
              <wp:anchor distT="0" distB="0" distL="114300" distR="114300" simplePos="0" relativeHeight="251659264" behindDoc="1" locked="0" layoutInCell="1" allowOverlap="1">
                <wp:simplePos x="0" y="0"/>
                <wp:positionH relativeFrom="column">
                  <wp:posOffset>344170</wp:posOffset>
                </wp:positionH>
                <wp:positionV relativeFrom="paragraph">
                  <wp:posOffset>179705</wp:posOffset>
                </wp:positionV>
                <wp:extent cx="2405380" cy="1461770"/>
                <wp:effectExtent l="0" t="0" r="0" b="0"/>
                <wp:wrapTight wrapText="bothSides">
                  <wp:wrapPolygon>
                    <wp:start x="-85" y="-141"/>
                    <wp:lineTo x="-85" y="21459"/>
                    <wp:lineTo x="21685" y="21459"/>
                    <wp:lineTo x="21685" y="-141"/>
                    <wp:lineTo x="-85" y="-141"/>
                  </wp:wrapPolygon>
                </wp:wrapTight>
                <wp:docPr id="1" name="文本框 8"/>
                <wp:cNvGraphicFramePr/>
                <a:graphic xmlns:a="http://schemas.openxmlformats.org/drawingml/2006/main">
                  <a:graphicData uri="http://schemas.microsoft.com/office/word/2010/wordprocessingShape">
                    <wps:wsp>
                      <wps:cNvSpPr txBox="1"/>
                      <wps:spPr>
                        <a:xfrm>
                          <a:off x="0" y="0"/>
                          <a:ext cx="2405380" cy="146177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ind w:firstLine="0" w:firstLineChars="0"/>
                              <w:jc w:val="center"/>
                              <w:rPr>
                                <w:color w:val="auto"/>
                              </w:rPr>
                            </w:pPr>
                            <w:r>
                              <w:rPr>
                                <w:rFonts w:hint="eastAsia"/>
                                <w:color w:val="auto"/>
                              </w:rPr>
                              <w:t>身份证复印件正面</w:t>
                            </w:r>
                          </w:p>
                        </w:txbxContent>
                      </wps:txbx>
                      <wps:bodyPr wrap="square" upright="1"/>
                    </wps:wsp>
                  </a:graphicData>
                </a:graphic>
              </wp:anchor>
            </w:drawing>
          </mc:Choice>
          <mc:Fallback>
            <w:pict>
              <v:shape id="文本框 8" o:spid="_x0000_s1026" o:spt="202" type="#_x0000_t202" style="position:absolute;left:0pt;margin-left:27.1pt;margin-top:14.15pt;height:115.1pt;width:189.4pt;mso-wrap-distance-left:9pt;mso-wrap-distance-right:9pt;z-index:-251657216;mso-width-relative:page;mso-height-relative:page;" fillcolor="#FFFFFF" filled="t" stroked="t" coordsize="21600,21600" wrapcoords="-85 -141 -85 21459 21685 21459 21685 -141 -85 -141" o:gfxdata="UEsDBAoAAAAAAIdO4kAAAAAAAAAAAAAAAAAEAAAAZHJzL1BLAwQUAAAACACHTuJAJyicSdcAAAAJ&#10;AQAADwAAAGRycy9kb3ducmV2LnhtbE2PS0/DMBCE70j8B2uRuFGnSUOjEKcHnrdKhB44buLNQ8R2&#10;FLtJ+fcsJzjuzGj2m+JwMaNYaPaDswq2mwgE2cbpwXYKTh8vdxkIH9BqHJ0lBd/k4VBeXxWYa7fa&#10;d1qq0AkusT5HBX0IUy6lb3oy6DduIste62aDgc+5k3rGlcvNKOMoupcGB8sfepzosafmqzobBcc3&#10;n9X75+XztTq5p+O6bzGNW6Vub7bRA4hAl/AXhl98RoeSmWp3ttqLUUG6izmpIM4SEOzvkoS31Syk&#10;WQqyLOT/BeUPUEsDBBQAAAAIAIdO4kDyzGtOFwIAAEQEAAAOAAAAZHJzL2Uyb0RvYy54bWytU0uO&#10;EzEQ3SNxB8t7ppMwmQmtdEaCEDYIkAYO4LTd3Zb8w3bSnQvADVixYT/nyjl4dkLmA4ss6IW77Cq/&#10;qveqPL8ZtCJb4YO0pqLjixElwtSWS9NW9Mvn1YsZJSEyw5myRlR0JwK9WTx/Nu9dKSa2s4oLTwBi&#10;Qtm7inYxurIoQt0JzcKFdcLA2VivWcTWtwX3rAe6VsVkNLoqeuu587YWIeB0eXDSI6I/B9A2jazF&#10;0tYbLUw8oHqhWASl0EkX6CJX2zSijh+bJohIVEXBNOYVSWCv01os5qxsPXOdrI8lsHNKeMJJM2mQ&#10;9AS1ZJGRjZd/QWlZextsEy9qq4sDkawIWIxHT7S57ZgTmQukDu4kevh/sPWH7SdPJMckUGKYRsP3&#10;P77vf97tf30jsyRP70KJqFuHuDi8tkMKPZ4HHCbWQ+N1+oMPgR/i7k7iiiGSGoeTy9H05QyuGr7x&#10;5dX4+jrLX9xfdz7Ed8JqkoyKenQvi8q270NESoT+CUnZglWSr6RSeePb9RvlyZah06v8pSpx5VGY&#10;MqSv6KvpZIpCGMa3wdjA1A4SBNPmfI9uhIfAo/z9CzgVtmShOxTAYaUoVmoZhc9WJxh/aziJOweV&#10;DR4XTbVowSlRAm8xWTkyMqnOiQQ5ZcAxtejQimTFYT0AJplry3doW4/5BruvG+aRc+O8bDvom9uY&#10;L2O4slTHh5Cm9+E+p7h//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yicSdcAAAAJAQAADwAA&#10;AAAAAAABACAAAAAiAAAAZHJzL2Rvd25yZXYueG1sUEsBAhQAFAAAAAgAh07iQPLMa04XAgAARAQA&#10;AA4AAAAAAAAAAQAgAAAAJgEAAGRycy9lMm9Eb2MueG1sUEsFBgAAAAAGAAYAWQEAAK8FAAAAAA==&#10;">
                <v:fill on="t" focussize="0,0"/>
                <v:stroke color="#000000" joinstyle="miter" dashstyle="dash"/>
                <v:imagedata o:title=""/>
                <o:lock v:ext="edit" aspectratio="f"/>
                <v:textbox>
                  <w:txbxContent>
                    <w:p/>
                    <w:p>
                      <w:pPr>
                        <w:ind w:firstLine="0" w:firstLineChars="0"/>
                        <w:jc w:val="center"/>
                        <w:rPr>
                          <w:color w:val="auto"/>
                        </w:rPr>
                      </w:pPr>
                      <w:r>
                        <w:rPr>
                          <w:rFonts w:hint="eastAsia"/>
                          <w:color w:val="auto"/>
                        </w:rPr>
                        <w:t>身份证复印件正面</w:t>
                      </w:r>
                    </w:p>
                  </w:txbxContent>
                </v:textbox>
                <w10:wrap type="tight"/>
              </v:shape>
            </w:pict>
          </mc:Fallback>
        </mc:AlternateContent>
      </w: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179705</wp:posOffset>
                </wp:positionV>
                <wp:extent cx="2405380" cy="1461770"/>
                <wp:effectExtent l="0" t="0" r="0" b="0"/>
                <wp:wrapTight wrapText="bothSides">
                  <wp:wrapPolygon>
                    <wp:start x="-85" y="-141"/>
                    <wp:lineTo x="-85" y="21459"/>
                    <wp:lineTo x="21685" y="21459"/>
                    <wp:lineTo x="21685" y="-141"/>
                    <wp:lineTo x="-85" y="-141"/>
                  </wp:wrapPolygon>
                </wp:wrapTight>
                <wp:docPr id="2" name="文本框 9"/>
                <wp:cNvGraphicFramePr/>
                <a:graphic xmlns:a="http://schemas.openxmlformats.org/drawingml/2006/main">
                  <a:graphicData uri="http://schemas.microsoft.com/office/word/2010/wordprocessingShape">
                    <wps:wsp>
                      <wps:cNvSpPr txBox="1"/>
                      <wps:spPr>
                        <a:xfrm>
                          <a:off x="0" y="0"/>
                          <a:ext cx="2405380" cy="146177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ind w:firstLine="0" w:firstLineChars="0"/>
                              <w:jc w:val="center"/>
                              <w:rPr>
                                <w:color w:val="auto"/>
                              </w:rPr>
                            </w:pPr>
                            <w:r>
                              <w:rPr>
                                <w:rFonts w:hint="eastAsia"/>
                                <w:color w:val="auto"/>
                              </w:rPr>
                              <w:t>身份证复印件背面</w:t>
                            </w:r>
                          </w:p>
                        </w:txbxContent>
                      </wps:txbx>
                      <wps:bodyPr wrap="square" upright="1"/>
                    </wps:wsp>
                  </a:graphicData>
                </a:graphic>
              </wp:anchor>
            </w:drawing>
          </mc:Choice>
          <mc:Fallback>
            <w:pict>
              <v:shape id="文本框 9" o:spid="_x0000_s1026" o:spt="202" type="#_x0000_t202" style="position:absolute;left:0pt;margin-left:228.35pt;margin-top:14.15pt;height:115.1pt;width:189.4pt;mso-wrap-distance-left:9pt;mso-wrap-distance-right:9pt;z-index:251660288;mso-width-relative:page;mso-height-relative:page;" fillcolor="#FFFFFF" filled="t" stroked="t" coordsize="21600,21600" wrapcoords="-85 -141 -85 21459 21685 21459 21685 -141 -85 -141" o:gfxdata="UEsDBAoAAAAAAIdO4kAAAAAAAAAAAAAAAAAEAAAAZHJzL1BLAwQUAAAACACHTuJAlZ+PNdgAAAAK&#10;AQAADwAAAGRycy9kb3ducmV2LnhtbE2Py07DMBBF90j8gzVI7KjTFDdWiNMFz10lQhcsJ/HkIWI7&#10;it2k/D1mBcuZObpzbnG4mJEtNPvBWQXbTQKMbOP0YDsFp4+XOwnMB7QaR2dJwTd5OJTXVwXm2q32&#10;nZYqdCyGWJ+jgj6EKefcNz0Z9Bs3kY231s0GQxznjusZ1xhuRp4myZ4bHGz80ONEjz01X9XZKDi+&#10;eVlnz8vna3VyT8c1a1GkrVK3N9vkAVigS/iD4Vc/qkMZnWp3ttqzUcG92GcRVZDKHbAIyJ0QwOq4&#10;EFIALwv+v0L5A1BLAwQUAAAACACHTuJAufnW2BgCAABEBAAADgAAAGRycy9lMm9Eb2MueG1srVNL&#10;jhMxEN0jcQfLe6Y7YTKfVjojQQgbBEgDB3Da7rQl/7CddOcCcANWbNjPuXIOnp1M5gOLLOiFu+wq&#10;v6r3qjy9GbQiG+GDtKamo7OSEmEay6VZ1fTrl8WrK0pCZIYzZY2o6VYEejN7+WLau0qMbWcVF54A&#10;xISqdzXtYnRVUYSmE5qFM+uEgbO1XrOIrV8V3LMe6FoV47K8KHrrufO2ESHgdL530gOiPwXQtq1s&#10;xNw2ay1M3KN6oVgEpdBJF+gsV9u2oomf2jaISFRNwTTmFUlgL9NazKasWnnmOtkcSmCnlPCMk2bS&#10;IOkRas4iI2sv/4LSsvE22DaeNVYXeyJZEbAYlc+0ue2YE5kLpA7uKHr4f7DNx81nTySv6ZgSwzQa&#10;vvv5Y/frbvf7O7lO8vQuVIi6dYiLwxs7YGjuzwMOE+uh9Tr9wYfAD3G3R3HFEEmDw/F5OXl9BVcD&#10;3+j8YnR5meUvHq47H+J7YTVJRk09updFZZsPIaIUhN6HpGzBKskXUqm88avlW+XJhqHTi/ylKnHl&#10;SZgypK/p9WQ8QSEM49tibGBqBwmCWeV8T26Ex8Bl/v4FnAqbs9DtC+CwUhSrtIzCZ6sTjL8znMSt&#10;g8oGj4umWrTglCiBt5isHBmZVKdEgpwy4JhatG9FsuKwHACTzKXlW7Stx3yD3bc188i5dl6uOuib&#10;25gvY7iyVIeHkKb38T6neHj8s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n4812AAAAAoBAAAP&#10;AAAAAAAAAAEAIAAAACIAAABkcnMvZG93bnJldi54bWxQSwECFAAUAAAACACHTuJAufnW2BgCAABE&#10;BAAADgAAAAAAAAABACAAAAAnAQAAZHJzL2Uyb0RvYy54bWxQSwUGAAAAAAYABgBZAQAAsQUAAAAA&#10;">
                <v:fill on="t" focussize="0,0"/>
                <v:stroke color="#000000" joinstyle="miter" dashstyle="dash"/>
                <v:imagedata o:title=""/>
                <o:lock v:ext="edit" aspectratio="f"/>
                <v:textbox>
                  <w:txbxContent>
                    <w:p/>
                    <w:p>
                      <w:pPr>
                        <w:ind w:firstLine="0" w:firstLineChars="0"/>
                        <w:jc w:val="center"/>
                        <w:rPr>
                          <w:color w:val="auto"/>
                        </w:rPr>
                      </w:pPr>
                      <w:r>
                        <w:rPr>
                          <w:rFonts w:hint="eastAsia"/>
                          <w:color w:val="auto"/>
                        </w:rPr>
                        <w:t>身份证复印件背面</w:t>
                      </w:r>
                    </w:p>
                  </w:txbxContent>
                </v:textbox>
                <w10:wrap type="tight"/>
              </v:shape>
            </w:pict>
          </mc:Fallback>
        </mc:AlternateContent>
      </w:r>
    </w:p>
    <w:p>
      <w:pPr>
        <w:rPr>
          <w:color w:val="auto"/>
        </w:rPr>
      </w:pPr>
    </w:p>
    <w:p>
      <w:pPr>
        <w:spacing w:line="520" w:lineRule="exact"/>
        <w:ind w:firstLine="480"/>
        <w:jc w:val="left"/>
        <w:rPr>
          <w:b w:val="0"/>
          <w:color w:val="auto"/>
          <w:sz w:val="24"/>
          <w:szCs w:val="24"/>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numPr>
          <w:ilvl w:val="2"/>
          <w:numId w:val="16"/>
        </w:numPr>
        <w:tabs>
          <w:tab w:val="left" w:pos="360"/>
        </w:tabs>
        <w:snapToGrid/>
        <w:spacing w:before="260" w:after="260"/>
        <w:ind w:left="0" w:firstLine="284" w:firstLineChars="0"/>
        <w:jc w:val="left"/>
        <w:outlineLvl w:val="1"/>
        <w:rPr>
          <w:bCs/>
          <w:color w:val="auto"/>
          <w:kern w:val="2"/>
          <w:sz w:val="24"/>
          <w:szCs w:val="24"/>
          <w:lang w:val="en-US"/>
        </w:rPr>
      </w:pPr>
      <w:r>
        <w:rPr>
          <w:rFonts w:hint="eastAsia"/>
          <w:bCs/>
          <w:color w:val="auto"/>
          <w:kern w:val="2"/>
          <w:sz w:val="24"/>
          <w:szCs w:val="24"/>
          <w:lang w:val="en-US"/>
        </w:rPr>
        <w:t>其他投标文件格式</w:t>
      </w: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其他投标文件密封包装最外层格式</w:t>
      </w:r>
    </w:p>
    <w:p>
      <w:pPr>
        <w:rPr>
          <w:color w:val="auto"/>
        </w:rPr>
      </w:pPr>
    </w:p>
    <w:p>
      <w:pPr>
        <w:snapToGrid/>
        <w:ind w:firstLine="0" w:firstLineChars="0"/>
        <w:jc w:val="center"/>
        <w:rPr>
          <w:b w:val="0"/>
          <w:color w:val="auto"/>
          <w:spacing w:val="78"/>
          <w:kern w:val="2"/>
          <w:sz w:val="120"/>
          <w:szCs w:val="120"/>
          <w:lang w:val="en-US"/>
        </w:rPr>
      </w:pPr>
      <w:r>
        <w:rPr>
          <w:rFonts w:hint="eastAsia"/>
          <w:b w:val="0"/>
          <w:color w:val="auto"/>
          <w:spacing w:val="78"/>
          <w:kern w:val="2"/>
          <w:sz w:val="96"/>
          <w:szCs w:val="120"/>
          <w:lang w:val="en-US"/>
        </w:rPr>
        <w:t>其他投标文件</w:t>
      </w:r>
    </w:p>
    <w:p>
      <w:pPr>
        <w:rPr>
          <w:color w:val="auto"/>
        </w:rPr>
      </w:pPr>
    </w:p>
    <w:p>
      <w:pPr>
        <w:rPr>
          <w:color w:val="auto"/>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采购项目名称：</w:t>
      </w:r>
    </w:p>
    <w:p>
      <w:pPr>
        <w:snapToGrid/>
        <w:spacing w:line="240" w:lineRule="auto"/>
        <w:ind w:left="2723" w:leftChars="355" w:hanging="1587" w:hangingChars="496"/>
        <w:rPr>
          <w:bCs/>
          <w:color w:val="auto"/>
          <w:kern w:val="2"/>
          <w:lang w:val="en-US"/>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采购项目编号：</w:t>
      </w:r>
    </w:p>
    <w:p>
      <w:pPr>
        <w:rPr>
          <w:color w:val="auto"/>
        </w:rPr>
      </w:pPr>
    </w:p>
    <w:p>
      <w:pPr>
        <w:rPr>
          <w:color w:val="auto"/>
        </w:rPr>
      </w:pPr>
    </w:p>
    <w:p>
      <w:pPr>
        <w:rPr>
          <w:color w:val="auto"/>
        </w:rPr>
      </w:pPr>
    </w:p>
    <w:p>
      <w:pPr>
        <w:rPr>
          <w:color w:val="auto"/>
        </w:rPr>
      </w:pPr>
    </w:p>
    <w:p>
      <w:pPr>
        <w:snapToGrid/>
        <w:ind w:firstLine="1600" w:firstLineChars="500"/>
        <w:jc w:val="left"/>
        <w:rPr>
          <w:color w:val="auto"/>
          <w:kern w:val="2"/>
          <w:lang w:val="en-US"/>
        </w:rPr>
      </w:pPr>
      <w:r>
        <w:rPr>
          <w:rFonts w:hint="eastAsia"/>
          <w:color w:val="auto"/>
          <w:kern w:val="2"/>
          <w:lang w:val="en-US"/>
        </w:rPr>
        <w:t>投标人名称：</w:t>
      </w:r>
      <w:r>
        <w:rPr>
          <w:rFonts w:hint="eastAsia"/>
          <w:color w:val="auto"/>
          <w:kern w:val="2"/>
          <w:u w:val="single"/>
          <w:lang w:val="en-US"/>
        </w:rPr>
        <w:t xml:space="preserve">              （加盖公章）  </w:t>
      </w:r>
    </w:p>
    <w:p>
      <w:pPr>
        <w:snapToGrid/>
        <w:ind w:firstLine="1600" w:firstLineChars="500"/>
        <w:jc w:val="left"/>
        <w:rPr>
          <w:color w:val="auto"/>
          <w:kern w:val="2"/>
          <w:lang w:val="en-US"/>
        </w:rPr>
      </w:pPr>
    </w:p>
    <w:p>
      <w:pPr>
        <w:rPr>
          <w:color w:val="auto"/>
        </w:rPr>
      </w:pPr>
    </w:p>
    <w:p>
      <w:pPr>
        <w:snapToGrid/>
        <w:ind w:firstLine="0" w:firstLineChars="0"/>
        <w:jc w:val="left"/>
        <w:rPr>
          <w:color w:val="auto"/>
          <w:kern w:val="2"/>
          <w:lang w:val="en-US"/>
        </w:rPr>
      </w:pPr>
      <w:r>
        <w:rPr>
          <w:rFonts w:hint="eastAsia"/>
          <w:color w:val="auto"/>
          <w:kern w:val="2"/>
          <w:lang w:val="en-US"/>
        </w:rPr>
        <w:t xml:space="preserve">开标时间之前不准启封 或 </w:t>
      </w:r>
      <w:r>
        <w:rPr>
          <w:color w:val="auto"/>
          <w:kern w:val="2"/>
          <w:lang w:val="en-US"/>
        </w:rPr>
        <w:t>20</w:t>
      </w:r>
      <w:r>
        <w:rPr>
          <w:rFonts w:hint="eastAsia"/>
          <w:color w:val="auto"/>
          <w:kern w:val="2"/>
          <w:lang w:val="en-US"/>
        </w:rPr>
        <w:t xml:space="preserve">   </w:t>
      </w:r>
      <w:r>
        <w:rPr>
          <w:color w:val="auto"/>
          <w:kern w:val="2"/>
          <w:lang w:val="en-US"/>
        </w:rPr>
        <w:t>年   月   日</w:t>
      </w:r>
      <w:r>
        <w:rPr>
          <w:rFonts w:hint="eastAsia"/>
          <w:color w:val="auto"/>
          <w:kern w:val="2"/>
          <w:lang w:val="en-US"/>
        </w:rPr>
        <w:t xml:space="preserve">   </w:t>
      </w:r>
      <w:r>
        <w:rPr>
          <w:color w:val="auto"/>
          <w:kern w:val="2"/>
          <w:lang w:val="en-US"/>
        </w:rPr>
        <w:t>:</w:t>
      </w:r>
      <w:r>
        <w:rPr>
          <w:rFonts w:hint="eastAsia"/>
          <w:color w:val="auto"/>
          <w:kern w:val="2"/>
          <w:lang w:val="en-US"/>
        </w:rPr>
        <w:t xml:space="preserve">   前不准启封</w:t>
      </w:r>
    </w:p>
    <w:p>
      <w:pPr>
        <w:snapToGrid/>
        <w:ind w:firstLine="0" w:firstLineChars="0"/>
        <w:jc w:val="left"/>
        <w:rPr>
          <w:color w:val="auto"/>
          <w:kern w:val="2"/>
          <w:lang w:val="en-US"/>
        </w:rPr>
      </w:pPr>
    </w:p>
    <w:p>
      <w:pPr>
        <w:snapToGrid/>
        <w:ind w:firstLine="0" w:firstLineChars="0"/>
        <w:jc w:val="left"/>
        <w:rPr>
          <w:color w:val="auto"/>
          <w:kern w:val="2"/>
          <w:lang w:val="en-US"/>
        </w:rPr>
      </w:pPr>
    </w:p>
    <w:p>
      <w:pPr>
        <w:snapToGrid/>
        <w:ind w:firstLine="0" w:firstLineChars="0"/>
        <w:jc w:val="left"/>
        <w:rPr>
          <w:color w:val="auto"/>
          <w:kern w:val="2"/>
          <w:lang w:val="en-US"/>
        </w:rPr>
      </w:pPr>
    </w:p>
    <w:p>
      <w:pPr>
        <w:numPr>
          <w:ilvl w:val="3"/>
          <w:numId w:val="16"/>
        </w:numPr>
        <w:tabs>
          <w:tab w:val="left" w:pos="360"/>
        </w:tabs>
        <w:snapToGrid/>
        <w:spacing w:before="260" w:after="260"/>
        <w:ind w:left="532" w:hanging="530" w:hangingChars="221"/>
        <w:jc w:val="left"/>
        <w:outlineLvl w:val="1"/>
        <w:rPr>
          <w:bCs/>
          <w:color w:val="auto"/>
          <w:kern w:val="2"/>
          <w:sz w:val="24"/>
          <w:szCs w:val="24"/>
          <w:lang w:val="en-US"/>
        </w:rPr>
      </w:pPr>
      <w:r>
        <w:rPr>
          <w:rFonts w:hint="eastAsia"/>
          <w:bCs/>
          <w:color w:val="auto"/>
          <w:kern w:val="2"/>
          <w:sz w:val="24"/>
          <w:szCs w:val="24"/>
          <w:lang w:val="en-US"/>
        </w:rPr>
        <w:t>其他投标文件封面格式</w:t>
      </w:r>
    </w:p>
    <w:p>
      <w:pPr>
        <w:snapToGrid/>
        <w:ind w:firstLine="0" w:firstLineChars="0"/>
        <w:jc w:val="center"/>
        <w:rPr>
          <w:b w:val="0"/>
          <w:color w:val="auto"/>
          <w:spacing w:val="78"/>
          <w:kern w:val="2"/>
          <w:sz w:val="120"/>
          <w:szCs w:val="120"/>
          <w:lang w:val="en-US"/>
        </w:rPr>
      </w:pPr>
      <w:r>
        <w:rPr>
          <w:rFonts w:hint="eastAsia"/>
          <w:b w:val="0"/>
          <w:color w:val="auto"/>
          <w:spacing w:val="78"/>
          <w:kern w:val="2"/>
          <w:sz w:val="96"/>
          <w:szCs w:val="120"/>
          <w:lang w:val="en-US"/>
        </w:rPr>
        <w:t>其他投标文件</w:t>
      </w:r>
    </w:p>
    <w:p>
      <w:pPr>
        <w:rPr>
          <w:color w:val="auto"/>
        </w:rPr>
      </w:pPr>
    </w:p>
    <w:p>
      <w:pPr>
        <w:ind w:firstLine="1195"/>
        <w:jc w:val="center"/>
        <w:rPr>
          <w:color w:val="auto"/>
          <w:spacing w:val="78"/>
          <w:sz w:val="44"/>
          <w:szCs w:val="120"/>
        </w:rPr>
      </w:pPr>
      <w:r>
        <w:rPr>
          <w:rFonts w:hint="eastAsia"/>
          <w:color w:val="auto"/>
          <w:spacing w:val="78"/>
          <w:sz w:val="44"/>
          <w:szCs w:val="120"/>
        </w:rPr>
        <w:t>（正本或副本）</w:t>
      </w:r>
    </w:p>
    <w:p>
      <w:pPr>
        <w:jc w:val="center"/>
        <w:rPr>
          <w:color w:val="auto"/>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采购项目名称：</w:t>
      </w:r>
    </w:p>
    <w:p>
      <w:pPr>
        <w:snapToGrid/>
        <w:spacing w:line="240" w:lineRule="auto"/>
        <w:ind w:left="2723" w:leftChars="355" w:hanging="1587" w:hangingChars="496"/>
        <w:rPr>
          <w:bCs/>
          <w:color w:val="auto"/>
          <w:kern w:val="2"/>
          <w:lang w:val="en-US"/>
        </w:rPr>
      </w:pPr>
    </w:p>
    <w:p>
      <w:pPr>
        <w:snapToGrid/>
        <w:spacing w:line="240" w:lineRule="auto"/>
        <w:ind w:left="2723" w:leftChars="355" w:hanging="1587" w:hangingChars="496"/>
        <w:rPr>
          <w:bCs/>
          <w:color w:val="auto"/>
          <w:kern w:val="2"/>
          <w:lang w:val="en-US"/>
        </w:rPr>
      </w:pPr>
      <w:r>
        <w:rPr>
          <w:rFonts w:hint="eastAsia"/>
          <w:bCs/>
          <w:color w:val="auto"/>
          <w:kern w:val="2"/>
          <w:lang w:val="en-US"/>
        </w:rPr>
        <w:t>采购项目编号：</w:t>
      </w:r>
    </w:p>
    <w:p>
      <w:pPr>
        <w:rPr>
          <w:color w:val="auto"/>
        </w:rPr>
      </w:pPr>
    </w:p>
    <w:p>
      <w:pPr>
        <w:pStyle w:val="2"/>
        <w:spacing w:before="109"/>
        <w:ind w:firstLine="480"/>
      </w:pPr>
    </w:p>
    <w:p>
      <w:pPr>
        <w:rPr>
          <w:color w:val="auto"/>
        </w:rPr>
      </w:pPr>
    </w:p>
    <w:p>
      <w:pPr>
        <w:rPr>
          <w:color w:val="auto"/>
        </w:rPr>
      </w:pPr>
    </w:p>
    <w:p>
      <w:pPr>
        <w:snapToGrid/>
        <w:ind w:firstLine="1600" w:firstLineChars="500"/>
        <w:jc w:val="left"/>
        <w:rPr>
          <w:color w:val="auto"/>
          <w:kern w:val="2"/>
          <w:lang w:val="en-US"/>
        </w:rPr>
      </w:pPr>
      <w:r>
        <w:rPr>
          <w:rFonts w:hint="eastAsia"/>
          <w:color w:val="auto"/>
          <w:kern w:val="2"/>
          <w:lang w:val="en-US"/>
        </w:rPr>
        <w:t>投标人名称：</w:t>
      </w:r>
      <w:r>
        <w:rPr>
          <w:rFonts w:hint="eastAsia"/>
          <w:color w:val="auto"/>
          <w:kern w:val="2"/>
          <w:u w:val="single"/>
          <w:lang w:val="en-US"/>
        </w:rPr>
        <w:t xml:space="preserve">                </w:t>
      </w:r>
    </w:p>
    <w:p>
      <w:pPr>
        <w:rPr>
          <w:color w:val="auto"/>
        </w:rPr>
      </w:pPr>
    </w:p>
    <w:p>
      <w:pPr>
        <w:snapToGrid/>
        <w:ind w:firstLine="0" w:firstLineChars="0"/>
        <w:rPr>
          <w:color w:val="auto"/>
          <w:kern w:val="2"/>
          <w:sz w:val="28"/>
          <w:szCs w:val="28"/>
          <w:lang w:val="en-US"/>
        </w:rPr>
      </w:pPr>
      <w:r>
        <w:rPr>
          <w:rFonts w:hint="eastAsia"/>
          <w:color w:val="auto"/>
          <w:kern w:val="2"/>
          <w:sz w:val="28"/>
          <w:szCs w:val="28"/>
          <w:lang w:val="en-US"/>
        </w:rPr>
        <w:t>温馨提示：</w:t>
      </w:r>
    </w:p>
    <w:p>
      <w:pPr>
        <w:snapToGrid/>
        <w:ind w:firstLine="548" w:firstLineChars="196"/>
        <w:rPr>
          <w:color w:val="auto"/>
          <w:kern w:val="2"/>
          <w:sz w:val="28"/>
          <w:szCs w:val="28"/>
          <w:lang w:val="en-US"/>
        </w:rPr>
      </w:pPr>
      <w:r>
        <w:rPr>
          <w:rFonts w:hint="eastAsia"/>
          <w:color w:val="auto"/>
          <w:kern w:val="2"/>
          <w:sz w:val="28"/>
          <w:szCs w:val="28"/>
          <w:lang w:val="en-US"/>
        </w:rPr>
        <w:t>一、其他投标文件正本一份、副本二份；</w:t>
      </w:r>
    </w:p>
    <w:p>
      <w:pPr>
        <w:snapToGrid/>
        <w:ind w:firstLine="548" w:firstLineChars="196"/>
        <w:rPr>
          <w:color w:val="auto"/>
          <w:kern w:val="2"/>
          <w:sz w:val="28"/>
          <w:szCs w:val="28"/>
          <w:lang w:val="en-US"/>
        </w:rPr>
      </w:pPr>
      <w:r>
        <w:rPr>
          <w:rFonts w:hint="eastAsia"/>
          <w:color w:val="auto"/>
          <w:kern w:val="2"/>
          <w:sz w:val="28"/>
          <w:szCs w:val="28"/>
          <w:lang w:val="en-US"/>
        </w:rPr>
        <w:t>二、其他投标文件应密封包装；</w:t>
      </w:r>
    </w:p>
    <w:p>
      <w:pPr>
        <w:snapToGrid/>
        <w:ind w:firstLine="548" w:firstLineChars="196"/>
        <w:rPr>
          <w:color w:val="auto"/>
          <w:kern w:val="2"/>
          <w:sz w:val="28"/>
          <w:szCs w:val="28"/>
          <w:lang w:val="en-US"/>
        </w:rPr>
      </w:pPr>
      <w:r>
        <w:rPr>
          <w:rFonts w:hint="eastAsia"/>
          <w:color w:val="auto"/>
          <w:kern w:val="2"/>
          <w:sz w:val="28"/>
          <w:szCs w:val="28"/>
          <w:lang w:val="en-US"/>
        </w:rPr>
        <w:t>三、供应商提供的资格证明材料如发证机关有年检要求的则应通过年检，如有有效期的则应提供在有效期内的证明材料。</w:t>
      </w:r>
    </w:p>
    <w:p>
      <w:pPr>
        <w:snapToGrid/>
        <w:ind w:firstLine="548" w:firstLineChars="196"/>
        <w:rPr>
          <w:color w:val="auto"/>
          <w:kern w:val="2"/>
          <w:sz w:val="28"/>
          <w:szCs w:val="28"/>
          <w:lang w:val="en-US"/>
        </w:rPr>
      </w:pPr>
    </w:p>
    <w:p>
      <w:pPr>
        <w:numPr>
          <w:ilvl w:val="2"/>
          <w:numId w:val="16"/>
        </w:numPr>
        <w:tabs>
          <w:tab w:val="left" w:pos="360"/>
        </w:tabs>
        <w:snapToGrid/>
        <w:spacing w:before="260" w:after="260"/>
        <w:ind w:left="0" w:firstLine="284" w:firstLineChars="0"/>
        <w:jc w:val="left"/>
        <w:outlineLvl w:val="1"/>
        <w:rPr>
          <w:color w:val="auto"/>
          <w:kern w:val="2"/>
          <w:lang w:val="en-US"/>
        </w:rPr>
      </w:pPr>
      <w:r>
        <w:rPr>
          <w:rFonts w:hint="eastAsia"/>
          <w:bCs/>
          <w:color w:val="auto"/>
          <w:kern w:val="2"/>
          <w:sz w:val="24"/>
          <w:szCs w:val="24"/>
          <w:lang w:val="en-US"/>
        </w:rPr>
        <w:t>其他投标文件组成材料</w:t>
      </w: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r>
        <w:rPr>
          <w:rFonts w:hint="eastAsia"/>
          <w:bCs/>
          <w:color w:val="auto"/>
          <w:kern w:val="2"/>
          <w:sz w:val="24"/>
          <w:szCs w:val="24"/>
          <w:lang w:val="en-US"/>
        </w:rPr>
        <w:t xml:space="preserve"> </w:t>
      </w:r>
      <w:bookmarkStart w:id="356" w:name="_Toc494198602"/>
      <w:r>
        <w:rPr>
          <w:bCs/>
          <w:color w:val="auto"/>
          <w:kern w:val="2"/>
          <w:sz w:val="24"/>
          <w:szCs w:val="24"/>
          <w:lang w:val="en-US"/>
        </w:rPr>
        <w:t>投标</w:t>
      </w:r>
      <w:bookmarkEnd w:id="322"/>
      <w:bookmarkEnd w:id="323"/>
      <w:bookmarkEnd w:id="324"/>
      <w:bookmarkEnd w:id="325"/>
      <w:bookmarkEnd w:id="326"/>
      <w:bookmarkEnd w:id="327"/>
      <w:bookmarkEnd w:id="328"/>
      <w:bookmarkEnd w:id="329"/>
      <w:bookmarkEnd w:id="330"/>
      <w:bookmarkEnd w:id="331"/>
      <w:bookmarkEnd w:id="332"/>
      <w:r>
        <w:rPr>
          <w:bCs/>
          <w:color w:val="auto"/>
          <w:kern w:val="2"/>
          <w:sz w:val="24"/>
          <w:szCs w:val="24"/>
          <w:lang w:val="en-US"/>
        </w:rPr>
        <w:t>函</w:t>
      </w:r>
      <w:bookmarkEnd w:id="333"/>
      <w:bookmarkEnd w:id="334"/>
      <w:bookmarkEnd w:id="335"/>
      <w:bookmarkEnd w:id="336"/>
      <w:bookmarkEnd w:id="337"/>
      <w:bookmarkEnd w:id="338"/>
      <w:bookmarkEnd w:id="356"/>
    </w:p>
    <w:p>
      <w:pPr>
        <w:spacing w:line="420" w:lineRule="exact"/>
        <w:ind w:firstLine="0" w:firstLineChars="0"/>
        <w:rPr>
          <w:b w:val="0"/>
          <w:bCs/>
          <w:color w:val="auto"/>
          <w:kern w:val="2"/>
          <w:sz w:val="24"/>
          <w:szCs w:val="24"/>
          <w:lang w:val="en-US"/>
        </w:rPr>
      </w:pPr>
      <w:r>
        <w:rPr>
          <w:rFonts w:hint="eastAsia"/>
          <w:b w:val="0"/>
          <w:bCs/>
          <w:color w:val="auto"/>
          <w:kern w:val="2"/>
          <w:sz w:val="24"/>
          <w:szCs w:val="24"/>
          <w:lang w:val="en-US"/>
        </w:rPr>
        <w:t>四川慧采招标代理有限公司：</w:t>
      </w:r>
    </w:p>
    <w:p>
      <w:pPr>
        <w:spacing w:line="420" w:lineRule="exact"/>
        <w:ind w:firstLine="480"/>
        <w:rPr>
          <w:b w:val="0"/>
          <w:color w:val="auto"/>
          <w:kern w:val="2"/>
          <w:sz w:val="24"/>
          <w:szCs w:val="24"/>
          <w:lang w:val="en-US"/>
        </w:rPr>
      </w:pPr>
      <w:bookmarkStart w:id="357" w:name="_Toc320622602"/>
      <w:bookmarkEnd w:id="357"/>
      <w:bookmarkStart w:id="358" w:name="_Toc320622623"/>
      <w:bookmarkEnd w:id="358"/>
      <w:bookmarkStart w:id="359" w:name="_Toc320622620"/>
      <w:bookmarkEnd w:id="359"/>
      <w:bookmarkStart w:id="360" w:name="_Toc320622613"/>
      <w:bookmarkEnd w:id="360"/>
      <w:bookmarkStart w:id="361" w:name="_Toc320622626"/>
      <w:bookmarkEnd w:id="361"/>
      <w:bookmarkStart w:id="362" w:name="_Toc320622605"/>
      <w:bookmarkEnd w:id="362"/>
      <w:bookmarkStart w:id="363" w:name="_Toc320622627"/>
      <w:bookmarkEnd w:id="363"/>
      <w:bookmarkStart w:id="364" w:name="_Toc320622616"/>
      <w:bookmarkEnd w:id="364"/>
      <w:bookmarkStart w:id="365" w:name="_Toc320622598"/>
      <w:bookmarkEnd w:id="365"/>
      <w:bookmarkStart w:id="366" w:name="_Toc320622610"/>
      <w:bookmarkEnd w:id="366"/>
      <w:bookmarkStart w:id="367" w:name="_Toc320622625"/>
      <w:bookmarkEnd w:id="367"/>
      <w:bookmarkStart w:id="368" w:name="_Toc320622603"/>
      <w:bookmarkEnd w:id="368"/>
      <w:bookmarkStart w:id="369" w:name="_Toc320622622"/>
      <w:bookmarkEnd w:id="369"/>
      <w:bookmarkStart w:id="370" w:name="_Toc320622604"/>
      <w:bookmarkEnd w:id="370"/>
      <w:bookmarkStart w:id="371" w:name="_Toc320622608"/>
      <w:bookmarkEnd w:id="371"/>
      <w:bookmarkStart w:id="372" w:name="_Toc320622600"/>
      <w:bookmarkEnd w:id="372"/>
      <w:bookmarkStart w:id="373" w:name="_Toc320622619"/>
      <w:bookmarkEnd w:id="373"/>
      <w:bookmarkStart w:id="374" w:name="_Toc320622594"/>
      <w:bookmarkEnd w:id="374"/>
      <w:bookmarkStart w:id="375" w:name="_Toc320622609"/>
      <w:bookmarkEnd w:id="375"/>
      <w:bookmarkStart w:id="376" w:name="_Toc320622615"/>
      <w:bookmarkEnd w:id="376"/>
      <w:bookmarkStart w:id="377" w:name="_Toc320622617"/>
      <w:bookmarkEnd w:id="377"/>
      <w:bookmarkStart w:id="378" w:name="_Toc320622612"/>
      <w:bookmarkEnd w:id="378"/>
      <w:bookmarkStart w:id="379" w:name="_Toc320622606"/>
      <w:bookmarkEnd w:id="379"/>
      <w:bookmarkStart w:id="380" w:name="_Toc320622624"/>
      <w:bookmarkEnd w:id="380"/>
      <w:bookmarkStart w:id="381" w:name="_Toc320622611"/>
      <w:bookmarkEnd w:id="381"/>
      <w:bookmarkStart w:id="382" w:name="_Toc320622621"/>
      <w:bookmarkEnd w:id="382"/>
      <w:bookmarkStart w:id="383" w:name="_Toc320622595"/>
      <w:bookmarkEnd w:id="383"/>
      <w:bookmarkStart w:id="384" w:name="_Toc320622618"/>
      <w:bookmarkEnd w:id="384"/>
      <w:bookmarkStart w:id="385" w:name="_Toc320622599"/>
      <w:bookmarkEnd w:id="385"/>
      <w:bookmarkStart w:id="386" w:name="_Toc320622607"/>
      <w:bookmarkEnd w:id="386"/>
      <w:bookmarkStart w:id="387" w:name="_Toc320622597"/>
      <w:bookmarkEnd w:id="387"/>
      <w:bookmarkStart w:id="388" w:name="_Toc320622593"/>
      <w:bookmarkEnd w:id="388"/>
      <w:bookmarkStart w:id="389" w:name="_Toc320622596"/>
      <w:bookmarkEnd w:id="389"/>
      <w:bookmarkStart w:id="390" w:name="_Toc320622614"/>
      <w:bookmarkEnd w:id="390"/>
      <w:bookmarkStart w:id="391" w:name="_Toc320622601"/>
      <w:bookmarkEnd w:id="391"/>
      <w:r>
        <w:rPr>
          <w:rFonts w:hint="eastAsia"/>
          <w:b w:val="0"/>
          <w:color w:val="auto"/>
          <w:kern w:val="2"/>
          <w:sz w:val="24"/>
          <w:szCs w:val="24"/>
          <w:lang w:val="en-US"/>
        </w:rPr>
        <w:t>我方全面研究了“</w:t>
      </w:r>
      <w:r>
        <w:rPr>
          <w:rFonts w:hint="eastAsia"/>
          <w:b w:val="0"/>
          <w:color w:val="auto"/>
          <w:kern w:val="2"/>
          <w:sz w:val="24"/>
          <w:szCs w:val="24"/>
          <w:u w:val="single"/>
          <w:lang w:val="en-US"/>
        </w:rPr>
        <w:t xml:space="preserve">             </w:t>
      </w:r>
      <w:r>
        <w:rPr>
          <w:rFonts w:hint="eastAsia"/>
          <w:b w:val="0"/>
          <w:color w:val="auto"/>
          <w:kern w:val="2"/>
          <w:sz w:val="24"/>
          <w:szCs w:val="24"/>
          <w:lang w:val="en-US"/>
        </w:rPr>
        <w:t>”项目的招标文件（采购项目编号：</w:t>
      </w:r>
      <w:r>
        <w:rPr>
          <w:rFonts w:hint="eastAsia"/>
          <w:b w:val="0"/>
          <w:color w:val="auto"/>
          <w:kern w:val="2"/>
          <w:sz w:val="24"/>
          <w:szCs w:val="24"/>
          <w:u w:val="single"/>
          <w:lang w:val="en-US"/>
        </w:rPr>
        <w:t xml:space="preserve">         </w:t>
      </w:r>
      <w:r>
        <w:rPr>
          <w:rFonts w:hint="eastAsia"/>
          <w:b w:val="0"/>
          <w:color w:val="auto"/>
          <w:kern w:val="2"/>
          <w:sz w:val="24"/>
          <w:szCs w:val="24"/>
          <w:lang w:val="en-US"/>
        </w:rPr>
        <w:t>），决定参加贵单位组织的本项目的投标。我方授权</w:t>
      </w:r>
      <w:r>
        <w:rPr>
          <w:rFonts w:hint="eastAsia"/>
          <w:b w:val="0"/>
          <w:color w:val="auto"/>
          <w:kern w:val="2"/>
          <w:sz w:val="24"/>
          <w:szCs w:val="24"/>
          <w:u w:val="single"/>
          <w:lang w:val="en-US"/>
        </w:rPr>
        <w:t xml:space="preserve">    （姓名、职务）</w:t>
      </w:r>
      <w:r>
        <w:rPr>
          <w:rFonts w:hint="eastAsia"/>
          <w:b w:val="0"/>
          <w:color w:val="auto"/>
          <w:kern w:val="2"/>
          <w:sz w:val="24"/>
          <w:szCs w:val="24"/>
          <w:lang w:val="en-US"/>
        </w:rPr>
        <w:t>代表我方</w:t>
      </w:r>
      <w:r>
        <w:rPr>
          <w:rFonts w:hint="eastAsia"/>
          <w:b w:val="0"/>
          <w:color w:val="auto"/>
          <w:kern w:val="2"/>
          <w:sz w:val="24"/>
          <w:szCs w:val="24"/>
          <w:u w:val="single"/>
          <w:lang w:val="en-US"/>
        </w:rPr>
        <w:t xml:space="preserve">  （投标单位的名称）</w:t>
      </w:r>
      <w:r>
        <w:rPr>
          <w:rFonts w:hint="eastAsia"/>
          <w:b w:val="0"/>
          <w:color w:val="auto"/>
          <w:kern w:val="2"/>
          <w:sz w:val="24"/>
          <w:szCs w:val="24"/>
          <w:lang w:val="en-US"/>
        </w:rPr>
        <w:t>全权处理本项目投标的有关事宜。</w:t>
      </w:r>
    </w:p>
    <w:p>
      <w:pPr>
        <w:spacing w:line="420" w:lineRule="exact"/>
        <w:ind w:firstLine="480"/>
        <w:rPr>
          <w:b w:val="0"/>
          <w:color w:val="auto"/>
          <w:kern w:val="2"/>
          <w:sz w:val="24"/>
          <w:szCs w:val="24"/>
          <w:lang w:val="en-US"/>
        </w:rPr>
      </w:pPr>
      <w:r>
        <w:rPr>
          <w:rFonts w:hint="eastAsia"/>
          <w:b w:val="0"/>
          <w:color w:val="auto"/>
          <w:kern w:val="2"/>
          <w:sz w:val="24"/>
          <w:szCs w:val="24"/>
          <w:lang w:val="en-US"/>
        </w:rPr>
        <w:t>1、我方自愿按照招标文件规定的各项要求向甲方提供所需服务，投标总价见开标一览表。</w:t>
      </w:r>
    </w:p>
    <w:p>
      <w:pPr>
        <w:spacing w:line="420" w:lineRule="exact"/>
        <w:ind w:firstLine="480"/>
        <w:rPr>
          <w:b w:val="0"/>
          <w:color w:val="auto"/>
          <w:kern w:val="2"/>
          <w:sz w:val="24"/>
          <w:szCs w:val="24"/>
          <w:lang w:val="en-US"/>
        </w:rPr>
      </w:pPr>
      <w:r>
        <w:rPr>
          <w:rFonts w:hint="eastAsia"/>
          <w:b w:val="0"/>
          <w:color w:val="auto"/>
          <w:kern w:val="2"/>
          <w:sz w:val="24"/>
          <w:szCs w:val="24"/>
          <w:lang w:val="en-US"/>
        </w:rPr>
        <w:t>2、一旦我方中标，我方将严格履行合同规定的责任和义务，并完成项目的运维服务。</w:t>
      </w:r>
    </w:p>
    <w:p>
      <w:pPr>
        <w:spacing w:line="420" w:lineRule="exact"/>
        <w:ind w:firstLine="480"/>
        <w:rPr>
          <w:b w:val="0"/>
          <w:color w:val="auto"/>
          <w:kern w:val="2"/>
          <w:sz w:val="24"/>
          <w:szCs w:val="24"/>
          <w:lang w:val="en-US"/>
        </w:rPr>
      </w:pPr>
      <w:r>
        <w:rPr>
          <w:rFonts w:hint="eastAsia"/>
          <w:b w:val="0"/>
          <w:color w:val="auto"/>
          <w:kern w:val="2"/>
          <w:sz w:val="24"/>
          <w:szCs w:val="24"/>
          <w:lang w:val="en-US"/>
        </w:rPr>
        <w:t>3、本项目投标有效期为投标截止之日起90天。</w:t>
      </w:r>
    </w:p>
    <w:p>
      <w:pPr>
        <w:spacing w:line="420" w:lineRule="exact"/>
        <w:ind w:firstLine="480"/>
        <w:rPr>
          <w:b w:val="0"/>
          <w:color w:val="auto"/>
          <w:kern w:val="2"/>
          <w:sz w:val="24"/>
          <w:szCs w:val="24"/>
          <w:lang w:val="en-US"/>
        </w:rPr>
      </w:pPr>
      <w:r>
        <w:rPr>
          <w:rFonts w:hint="eastAsia"/>
          <w:b w:val="0"/>
          <w:color w:val="auto"/>
          <w:kern w:val="2"/>
          <w:sz w:val="24"/>
          <w:szCs w:val="24"/>
          <w:lang w:val="en-US"/>
        </w:rPr>
        <w:t>4、我方已详细阅读和审查了全部招标文件，包括修改文件（如有）以及全部相关资料和有关附件，并对上述文件均无异议。如对招标文件有异议，已经在投标截止时间届满前依法进行了维权救济，不存在对招标文件有异议的同时又参加投标以求侥幸中标或者为实现其他非法目的的行为。</w:t>
      </w:r>
    </w:p>
    <w:p>
      <w:pPr>
        <w:spacing w:line="420" w:lineRule="exact"/>
        <w:ind w:firstLine="480"/>
        <w:rPr>
          <w:b w:val="0"/>
          <w:color w:val="auto"/>
          <w:kern w:val="2"/>
          <w:sz w:val="24"/>
          <w:szCs w:val="24"/>
          <w:lang w:val="en-US"/>
        </w:rPr>
      </w:pPr>
      <w:r>
        <w:rPr>
          <w:rFonts w:hint="eastAsia"/>
          <w:b w:val="0"/>
          <w:color w:val="auto"/>
          <w:kern w:val="2"/>
          <w:sz w:val="24"/>
          <w:szCs w:val="24"/>
          <w:lang w:val="en-US"/>
        </w:rPr>
        <w:t>65、</w:t>
      </w:r>
      <w:r>
        <w:rPr>
          <w:rFonts w:ascii="Times New Roman"/>
          <w:b w:val="0"/>
          <w:color w:val="auto"/>
          <w:kern w:val="2"/>
          <w:sz w:val="24"/>
          <w:szCs w:val="24"/>
          <w:lang w:val="en-US"/>
        </w:rPr>
        <w:t>国家</w:t>
      </w:r>
      <w:r>
        <w:rPr>
          <w:rFonts w:hint="eastAsia" w:ascii="Times New Roman"/>
          <w:b w:val="0"/>
          <w:color w:val="auto"/>
          <w:kern w:val="2"/>
          <w:sz w:val="24"/>
          <w:szCs w:val="24"/>
          <w:lang w:val="en-US"/>
        </w:rPr>
        <w:t>或行业主管部门</w:t>
      </w:r>
      <w:r>
        <w:rPr>
          <w:rFonts w:ascii="Times New Roman"/>
          <w:b w:val="0"/>
          <w:color w:val="auto"/>
          <w:kern w:val="2"/>
          <w:sz w:val="24"/>
          <w:szCs w:val="24"/>
          <w:lang w:val="en-US"/>
        </w:rPr>
        <w:t>对</w:t>
      </w:r>
      <w:r>
        <w:rPr>
          <w:rFonts w:hint="eastAsia" w:ascii="Times New Roman"/>
          <w:b w:val="0"/>
          <w:color w:val="auto"/>
          <w:kern w:val="2"/>
          <w:sz w:val="24"/>
          <w:szCs w:val="24"/>
          <w:lang w:val="en-US"/>
        </w:rPr>
        <w:t>投标人和采购产品的</w:t>
      </w:r>
      <w:r>
        <w:rPr>
          <w:rFonts w:ascii="Times New Roman"/>
          <w:b w:val="0"/>
          <w:color w:val="auto"/>
          <w:kern w:val="2"/>
          <w:sz w:val="24"/>
          <w:szCs w:val="24"/>
          <w:lang w:val="en-US"/>
        </w:rPr>
        <w:t>技术</w:t>
      </w:r>
      <w:r>
        <w:rPr>
          <w:rFonts w:hint="eastAsia" w:ascii="Times New Roman"/>
          <w:b w:val="0"/>
          <w:color w:val="auto"/>
          <w:kern w:val="2"/>
          <w:sz w:val="24"/>
          <w:szCs w:val="24"/>
          <w:lang w:val="en-US"/>
        </w:rPr>
        <w:t>标准、</w:t>
      </w:r>
      <w:r>
        <w:rPr>
          <w:rFonts w:ascii="Times New Roman"/>
          <w:b w:val="0"/>
          <w:color w:val="auto"/>
          <w:kern w:val="2"/>
          <w:sz w:val="24"/>
          <w:szCs w:val="24"/>
          <w:lang w:val="en-US"/>
        </w:rPr>
        <w:t>质量</w:t>
      </w:r>
      <w:r>
        <w:rPr>
          <w:rFonts w:hint="eastAsia" w:ascii="Times New Roman"/>
          <w:b w:val="0"/>
          <w:color w:val="auto"/>
          <w:kern w:val="2"/>
          <w:sz w:val="24"/>
          <w:szCs w:val="24"/>
          <w:lang w:val="en-US"/>
        </w:rPr>
        <w:t>标准和资格资质条件</w:t>
      </w:r>
      <w:r>
        <w:rPr>
          <w:rFonts w:ascii="Times New Roman"/>
          <w:b w:val="0"/>
          <w:color w:val="auto"/>
          <w:kern w:val="2"/>
          <w:sz w:val="24"/>
          <w:szCs w:val="24"/>
          <w:lang w:val="en-US"/>
        </w:rPr>
        <w:t>等有</w:t>
      </w:r>
      <w:r>
        <w:rPr>
          <w:rFonts w:hint="eastAsia" w:ascii="Times New Roman"/>
          <w:b w:val="0"/>
          <w:color w:val="auto"/>
          <w:kern w:val="2"/>
          <w:sz w:val="24"/>
          <w:szCs w:val="24"/>
          <w:lang w:val="en-US"/>
        </w:rPr>
        <w:t>强制性规定</w:t>
      </w:r>
      <w:r>
        <w:rPr>
          <w:rFonts w:ascii="Times New Roman"/>
          <w:b w:val="0"/>
          <w:color w:val="auto"/>
          <w:kern w:val="2"/>
          <w:sz w:val="24"/>
          <w:szCs w:val="24"/>
          <w:lang w:val="en-US"/>
        </w:rPr>
        <w:t>的</w:t>
      </w:r>
      <w:r>
        <w:rPr>
          <w:rFonts w:hint="eastAsia" w:ascii="Times New Roman"/>
          <w:b w:val="0"/>
          <w:color w:val="auto"/>
          <w:kern w:val="2"/>
          <w:sz w:val="24"/>
          <w:szCs w:val="24"/>
          <w:lang w:val="en-US"/>
        </w:rPr>
        <w:t>，我方符合其要求。</w:t>
      </w:r>
    </w:p>
    <w:p>
      <w:pPr>
        <w:spacing w:line="420" w:lineRule="exact"/>
        <w:ind w:firstLine="480"/>
        <w:rPr>
          <w:b w:val="0"/>
          <w:color w:val="auto"/>
          <w:kern w:val="2"/>
          <w:sz w:val="24"/>
          <w:szCs w:val="24"/>
          <w:lang w:val="en-US"/>
        </w:rPr>
      </w:pPr>
      <w:r>
        <w:rPr>
          <w:rFonts w:hint="eastAsia"/>
          <w:b w:val="0"/>
          <w:color w:val="auto"/>
          <w:kern w:val="2"/>
          <w:sz w:val="24"/>
          <w:szCs w:val="24"/>
          <w:lang w:val="en-US"/>
        </w:rPr>
        <w:t>6、我方愿意提供贵单位可能另外要求的，与投标有关的文件资料，并保证我方已提供和将要提供的文件资料是真实、准确的。如本项目需要提供样品，则我方提供的样品即为中标后将要提供的中标产品，我方对样品的性能和质量负责，因样品存在缺陷或者不符合招标文件要求导致未能中标的，我方愿意承担相应不利后果。</w:t>
      </w:r>
    </w:p>
    <w:p>
      <w:pPr>
        <w:spacing w:line="440" w:lineRule="exact"/>
        <w:ind w:firstLine="480"/>
        <w:rPr>
          <w:b w:val="0"/>
          <w:color w:val="auto"/>
          <w:kern w:val="2"/>
          <w:sz w:val="24"/>
          <w:szCs w:val="24"/>
          <w:lang w:val="en-US"/>
        </w:rPr>
      </w:pPr>
      <w:r>
        <w:rPr>
          <w:rFonts w:hint="eastAsia"/>
          <w:b w:val="0"/>
          <w:color w:val="auto"/>
          <w:kern w:val="2"/>
          <w:sz w:val="24"/>
          <w:szCs w:val="24"/>
          <w:lang w:val="en-US"/>
        </w:rPr>
        <w:t>7</w:t>
      </w:r>
      <w:r>
        <w:rPr>
          <w:b w:val="0"/>
          <w:color w:val="auto"/>
          <w:kern w:val="2"/>
          <w:sz w:val="24"/>
          <w:szCs w:val="24"/>
          <w:lang w:val="en-US"/>
        </w:rPr>
        <w:t>、我方完全理解采购人不一定将合同授予最低报价的投标人的行为。</w:t>
      </w:r>
    </w:p>
    <w:p>
      <w:pPr>
        <w:spacing w:line="420" w:lineRule="exact"/>
        <w:ind w:firstLine="480"/>
        <w:rPr>
          <w:b w:val="0"/>
          <w:color w:val="auto"/>
          <w:kern w:val="2"/>
          <w:sz w:val="24"/>
          <w:szCs w:val="24"/>
          <w:lang w:val="en-US"/>
        </w:rPr>
      </w:pPr>
      <w:r>
        <w:rPr>
          <w:rFonts w:hint="eastAsia"/>
          <w:b w:val="0"/>
          <w:color w:val="auto"/>
          <w:kern w:val="2"/>
          <w:sz w:val="24"/>
          <w:szCs w:val="24"/>
          <w:lang w:val="en-US"/>
        </w:rPr>
        <w:t>8</w:t>
      </w:r>
      <w:r>
        <w:rPr>
          <w:b w:val="0"/>
          <w:color w:val="auto"/>
          <w:kern w:val="2"/>
          <w:sz w:val="24"/>
          <w:szCs w:val="24"/>
          <w:lang w:val="en-US"/>
        </w:rPr>
        <w:t>、若我方中标，我方承诺按照本招标文件约定支付招标代理服务费，否则视为虚假应标并承担由此带来的一切后果。</w:t>
      </w:r>
    </w:p>
    <w:p>
      <w:pPr>
        <w:spacing w:line="420" w:lineRule="exact"/>
        <w:ind w:firstLine="480"/>
        <w:rPr>
          <w:b w:val="0"/>
          <w:color w:val="auto"/>
          <w:kern w:val="2"/>
          <w:sz w:val="24"/>
          <w:szCs w:val="24"/>
          <w:lang w:val="en-US"/>
        </w:rPr>
      </w:pPr>
    </w:p>
    <w:p>
      <w:pPr>
        <w:spacing w:line="420" w:lineRule="exact"/>
        <w:ind w:firstLine="480"/>
        <w:rPr>
          <w:b w:val="0"/>
          <w:color w:val="auto"/>
          <w:kern w:val="2"/>
          <w:sz w:val="24"/>
          <w:szCs w:val="24"/>
          <w:lang w:val="en-US"/>
        </w:rPr>
      </w:pPr>
      <w:r>
        <w:rPr>
          <w:rFonts w:hint="eastAsia"/>
          <w:b w:val="0"/>
          <w:color w:val="auto"/>
          <w:kern w:val="2"/>
          <w:sz w:val="24"/>
          <w:szCs w:val="24"/>
          <w:lang w:val="en-US"/>
        </w:rPr>
        <w:t>投标人名称（公章）：</w:t>
      </w:r>
    </w:p>
    <w:p>
      <w:pPr>
        <w:spacing w:line="420" w:lineRule="exact"/>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pPr>
        <w:spacing w:line="420" w:lineRule="exact"/>
        <w:ind w:firstLine="480"/>
        <w:rPr>
          <w:b w:val="0"/>
          <w:color w:val="auto"/>
          <w:kern w:val="2"/>
          <w:sz w:val="24"/>
          <w:szCs w:val="24"/>
          <w:lang w:val="en-US"/>
        </w:rPr>
      </w:pPr>
      <w:r>
        <w:rPr>
          <w:rFonts w:hint="eastAsia"/>
          <w:b w:val="0"/>
          <w:color w:val="auto"/>
          <w:kern w:val="2"/>
          <w:sz w:val="24"/>
          <w:szCs w:val="24"/>
          <w:lang w:val="en-US"/>
        </w:rPr>
        <w:t>通讯地址：</w:t>
      </w:r>
    </w:p>
    <w:p>
      <w:pPr>
        <w:spacing w:line="420" w:lineRule="exact"/>
        <w:ind w:firstLine="480"/>
        <w:rPr>
          <w:b w:val="0"/>
          <w:color w:val="auto"/>
          <w:kern w:val="2"/>
          <w:sz w:val="24"/>
          <w:szCs w:val="24"/>
          <w:lang w:val="en-US"/>
        </w:rPr>
      </w:pPr>
      <w:r>
        <w:rPr>
          <w:rFonts w:hint="eastAsia"/>
          <w:b w:val="0"/>
          <w:color w:val="auto"/>
          <w:kern w:val="2"/>
          <w:sz w:val="24"/>
          <w:szCs w:val="24"/>
          <w:lang w:val="en-US"/>
        </w:rPr>
        <w:t>联系电话：</w:t>
      </w:r>
    </w:p>
    <w:p>
      <w:pPr>
        <w:spacing w:line="420" w:lineRule="exact"/>
        <w:ind w:firstLine="480"/>
        <w:rPr>
          <w:b w:val="0"/>
          <w:color w:val="auto"/>
          <w:kern w:val="2"/>
          <w:sz w:val="24"/>
          <w:szCs w:val="24"/>
          <w:lang w:val="en-US"/>
        </w:rPr>
      </w:pPr>
      <w:r>
        <w:rPr>
          <w:rFonts w:hint="eastAsia"/>
          <w:b w:val="0"/>
          <w:color w:val="auto"/>
          <w:kern w:val="2"/>
          <w:sz w:val="24"/>
          <w:szCs w:val="24"/>
          <w:lang w:val="en-US"/>
        </w:rPr>
        <w:t>传    真：</w:t>
      </w:r>
    </w:p>
    <w:p>
      <w:pPr>
        <w:spacing w:line="420" w:lineRule="exact"/>
        <w:ind w:firstLine="480"/>
        <w:rPr>
          <w:b w:val="0"/>
          <w:color w:val="auto"/>
          <w:kern w:val="2"/>
          <w:sz w:val="24"/>
          <w:szCs w:val="24"/>
          <w:lang w:val="en-US"/>
        </w:rPr>
      </w:pPr>
      <w:r>
        <w:rPr>
          <w:rFonts w:hint="eastAsia"/>
          <w:b w:val="0"/>
          <w:color w:val="auto"/>
          <w:kern w:val="2"/>
          <w:sz w:val="24"/>
          <w:szCs w:val="24"/>
          <w:lang w:val="en-US"/>
        </w:rPr>
        <w:t>日    期：</w:t>
      </w:r>
      <w:bookmarkStart w:id="392" w:name="_Toc256175345"/>
      <w:bookmarkEnd w:id="392"/>
      <w:bookmarkStart w:id="393" w:name="_Toc256175373"/>
      <w:bookmarkEnd w:id="393"/>
      <w:bookmarkStart w:id="394" w:name="_Toc256175376"/>
      <w:bookmarkEnd w:id="394"/>
      <w:bookmarkStart w:id="395" w:name="_Toc318203503"/>
      <w:bookmarkEnd w:id="395"/>
      <w:bookmarkStart w:id="396" w:name="_Toc256175378"/>
      <w:bookmarkEnd w:id="396"/>
      <w:bookmarkStart w:id="397" w:name="_Toc256175380"/>
      <w:bookmarkEnd w:id="397"/>
      <w:bookmarkStart w:id="398" w:name="_Toc256175377"/>
      <w:bookmarkEnd w:id="398"/>
      <w:bookmarkStart w:id="399" w:name="_Toc256175372"/>
      <w:bookmarkEnd w:id="399"/>
      <w:bookmarkStart w:id="400" w:name="_Toc256175374"/>
      <w:bookmarkEnd w:id="400"/>
      <w:bookmarkStart w:id="401" w:name="_Toc318203504"/>
      <w:bookmarkEnd w:id="401"/>
      <w:bookmarkStart w:id="402" w:name="_Toc256175379"/>
      <w:bookmarkEnd w:id="402"/>
      <w:bookmarkStart w:id="403" w:name="_Toc256175375"/>
      <w:bookmarkEnd w:id="403"/>
      <w:bookmarkStart w:id="404" w:name="_Toc256175381"/>
      <w:bookmarkEnd w:id="404"/>
    </w:p>
    <w:p>
      <w:pPr>
        <w:spacing w:line="420" w:lineRule="exact"/>
        <w:ind w:firstLine="480"/>
        <w:rPr>
          <w:b w:val="0"/>
          <w:color w:val="auto"/>
          <w:kern w:val="2"/>
          <w:sz w:val="24"/>
          <w:szCs w:val="24"/>
          <w:lang w:val="en-US"/>
        </w:rPr>
      </w:pPr>
    </w:p>
    <w:p>
      <w:pPr>
        <w:pStyle w:val="2"/>
        <w:spacing w:before="109"/>
        <w:ind w:firstLine="480"/>
        <w:rPr>
          <w:color w:val="auto"/>
          <w:lang w:val="en-US"/>
        </w:rPr>
      </w:pP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bookmarkStart w:id="405" w:name="_Toc494198605"/>
      <w:r>
        <w:rPr>
          <w:rFonts w:hint="eastAsia"/>
          <w:bCs/>
          <w:color w:val="auto"/>
          <w:kern w:val="2"/>
          <w:sz w:val="24"/>
          <w:szCs w:val="24"/>
          <w:lang w:val="en-US"/>
        </w:rPr>
        <w:t xml:space="preserve"> 服务偏离表</w:t>
      </w:r>
      <w:bookmarkEnd w:id="405"/>
    </w:p>
    <w:p>
      <w:pPr>
        <w:spacing w:line="520" w:lineRule="exact"/>
        <w:ind w:firstLine="480"/>
        <w:rPr>
          <w:b w:val="0"/>
          <w:color w:val="auto"/>
          <w:kern w:val="2"/>
          <w:sz w:val="24"/>
          <w:szCs w:val="24"/>
          <w:lang w:val="en-US"/>
        </w:rPr>
      </w:pPr>
    </w:p>
    <w:p>
      <w:pPr>
        <w:spacing w:line="520" w:lineRule="exact"/>
        <w:ind w:firstLine="480"/>
        <w:rPr>
          <w:b w:val="0"/>
          <w:color w:val="auto"/>
          <w:kern w:val="2"/>
          <w:sz w:val="24"/>
          <w:szCs w:val="24"/>
          <w:lang w:val="en-US"/>
        </w:rPr>
      </w:pPr>
      <w:r>
        <w:rPr>
          <w:rFonts w:hint="eastAsia"/>
          <w:b w:val="0"/>
          <w:color w:val="auto"/>
          <w:kern w:val="2"/>
          <w:sz w:val="24"/>
          <w:szCs w:val="24"/>
          <w:lang w:val="en-US"/>
        </w:rPr>
        <w:t>采购项目名称：</w:t>
      </w:r>
    </w:p>
    <w:p>
      <w:pPr>
        <w:spacing w:line="520" w:lineRule="exact"/>
        <w:ind w:firstLine="480"/>
        <w:rPr>
          <w:b w:val="0"/>
          <w:color w:val="auto"/>
          <w:kern w:val="2"/>
          <w:sz w:val="24"/>
          <w:szCs w:val="24"/>
          <w:lang w:val="en-US"/>
        </w:rPr>
      </w:pPr>
      <w:r>
        <w:rPr>
          <w:rFonts w:hint="eastAsia"/>
          <w:b w:val="0"/>
          <w:color w:val="auto"/>
          <w:kern w:val="2"/>
          <w:sz w:val="24"/>
          <w:szCs w:val="24"/>
          <w:lang w:val="en-US"/>
        </w:rPr>
        <w:t>采购项目编号：</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135"/>
        <w:gridCol w:w="3296"/>
        <w:gridCol w:w="219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80" w:type="dxa"/>
            <w:vAlign w:val="center"/>
          </w:tcPr>
          <w:p>
            <w:pPr>
              <w:snapToGrid/>
              <w:spacing w:line="520" w:lineRule="exact"/>
              <w:ind w:firstLine="0" w:firstLineChars="0"/>
              <w:jc w:val="left"/>
              <w:rPr>
                <w:color w:val="auto"/>
                <w:kern w:val="2"/>
                <w:sz w:val="24"/>
                <w:szCs w:val="24"/>
                <w:lang w:val="en-US"/>
              </w:rPr>
            </w:pPr>
            <w:r>
              <w:rPr>
                <w:rFonts w:hint="eastAsia"/>
                <w:color w:val="auto"/>
                <w:kern w:val="2"/>
                <w:sz w:val="24"/>
                <w:szCs w:val="24"/>
                <w:lang w:val="en-US"/>
              </w:rPr>
              <w:t>序号</w:t>
            </w:r>
          </w:p>
        </w:tc>
        <w:tc>
          <w:tcPr>
            <w:tcW w:w="2135" w:type="dxa"/>
            <w:vAlign w:val="center"/>
          </w:tcPr>
          <w:p>
            <w:pPr>
              <w:snapToGrid/>
              <w:spacing w:line="520" w:lineRule="exact"/>
              <w:ind w:firstLine="0" w:firstLineChars="0"/>
              <w:jc w:val="left"/>
              <w:rPr>
                <w:color w:val="auto"/>
                <w:kern w:val="2"/>
                <w:sz w:val="24"/>
                <w:szCs w:val="24"/>
                <w:lang w:val="en-US"/>
              </w:rPr>
            </w:pPr>
            <w:r>
              <w:rPr>
                <w:rFonts w:hint="eastAsia"/>
                <w:color w:val="auto"/>
                <w:kern w:val="2"/>
                <w:sz w:val="24"/>
                <w:szCs w:val="24"/>
                <w:lang w:val="en-US"/>
              </w:rPr>
              <w:t>招标文件要求</w:t>
            </w:r>
          </w:p>
        </w:tc>
        <w:tc>
          <w:tcPr>
            <w:tcW w:w="3296" w:type="dxa"/>
            <w:vAlign w:val="center"/>
          </w:tcPr>
          <w:p>
            <w:pPr>
              <w:snapToGrid/>
              <w:spacing w:line="520" w:lineRule="exact"/>
              <w:ind w:firstLine="0" w:firstLineChars="0"/>
              <w:jc w:val="left"/>
              <w:rPr>
                <w:color w:val="auto"/>
                <w:kern w:val="2"/>
                <w:sz w:val="24"/>
                <w:szCs w:val="24"/>
                <w:lang w:val="en-US"/>
              </w:rPr>
            </w:pPr>
            <w:r>
              <w:rPr>
                <w:rFonts w:hint="eastAsia"/>
                <w:color w:val="auto"/>
                <w:kern w:val="2"/>
                <w:sz w:val="24"/>
                <w:szCs w:val="24"/>
                <w:lang w:val="en-US"/>
              </w:rPr>
              <w:t>投标文件的应答</w:t>
            </w:r>
          </w:p>
        </w:tc>
        <w:tc>
          <w:tcPr>
            <w:tcW w:w="2197" w:type="dxa"/>
            <w:vAlign w:val="center"/>
          </w:tcPr>
          <w:p>
            <w:pPr>
              <w:snapToGrid/>
              <w:spacing w:line="520" w:lineRule="exact"/>
              <w:ind w:firstLine="0" w:firstLineChars="0"/>
              <w:jc w:val="left"/>
              <w:rPr>
                <w:color w:val="auto"/>
                <w:kern w:val="2"/>
                <w:sz w:val="24"/>
                <w:szCs w:val="24"/>
                <w:lang w:val="en-US"/>
              </w:rPr>
            </w:pPr>
            <w:r>
              <w:rPr>
                <w:rFonts w:hint="eastAsia"/>
                <w:color w:val="auto"/>
                <w:kern w:val="2"/>
                <w:sz w:val="24"/>
                <w:szCs w:val="24"/>
                <w:lang w:val="en-US"/>
              </w:rPr>
              <w:t>偏离说明</w:t>
            </w:r>
          </w:p>
        </w:tc>
        <w:tc>
          <w:tcPr>
            <w:tcW w:w="1026" w:type="dxa"/>
            <w:vAlign w:val="center"/>
          </w:tcPr>
          <w:p>
            <w:pPr>
              <w:snapToGrid/>
              <w:spacing w:line="520" w:lineRule="exact"/>
              <w:ind w:firstLine="0" w:firstLineChars="0"/>
              <w:jc w:val="left"/>
              <w:rPr>
                <w:color w:val="auto"/>
                <w:kern w:val="2"/>
                <w:sz w:val="24"/>
                <w:szCs w:val="24"/>
                <w:lang w:val="en-US"/>
              </w:rPr>
            </w:pPr>
            <w:r>
              <w:rPr>
                <w:rFonts w:hint="eastAsia"/>
                <w:color w:val="auto"/>
                <w:kern w:val="2"/>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80" w:type="dxa"/>
            <w:vAlign w:val="center"/>
          </w:tcPr>
          <w:p>
            <w:pPr>
              <w:snapToGrid/>
              <w:spacing w:line="520" w:lineRule="exact"/>
              <w:ind w:firstLine="0" w:firstLineChars="0"/>
              <w:jc w:val="center"/>
              <w:rPr>
                <w:b w:val="0"/>
                <w:color w:val="auto"/>
                <w:kern w:val="2"/>
                <w:sz w:val="24"/>
                <w:szCs w:val="24"/>
                <w:lang w:val="en-US"/>
              </w:rPr>
            </w:pPr>
            <w:r>
              <w:rPr>
                <w:rFonts w:hint="eastAsia"/>
                <w:b w:val="0"/>
                <w:color w:val="auto"/>
                <w:kern w:val="2"/>
                <w:sz w:val="24"/>
                <w:szCs w:val="24"/>
                <w:lang w:val="en-US"/>
              </w:rPr>
              <w:t>1</w:t>
            </w:r>
          </w:p>
        </w:tc>
        <w:tc>
          <w:tcPr>
            <w:tcW w:w="2135" w:type="dxa"/>
            <w:vAlign w:val="center"/>
          </w:tcPr>
          <w:p>
            <w:pPr>
              <w:snapToGrid/>
              <w:spacing w:line="520" w:lineRule="exact"/>
              <w:ind w:firstLine="0" w:firstLineChars="0"/>
              <w:jc w:val="left"/>
              <w:rPr>
                <w:b w:val="0"/>
                <w:color w:val="auto"/>
                <w:kern w:val="2"/>
                <w:sz w:val="24"/>
                <w:szCs w:val="24"/>
                <w:lang w:val="en-US"/>
              </w:rPr>
            </w:pPr>
            <w:r>
              <w:rPr>
                <w:rFonts w:hint="eastAsia"/>
                <w:b w:val="0"/>
                <w:color w:val="auto"/>
                <w:kern w:val="2"/>
                <w:sz w:val="24"/>
                <w:szCs w:val="24"/>
                <w:lang w:val="en-US"/>
              </w:rPr>
              <w:t>服务内容</w:t>
            </w:r>
          </w:p>
        </w:tc>
        <w:tc>
          <w:tcPr>
            <w:tcW w:w="3296" w:type="dxa"/>
            <w:vAlign w:val="center"/>
          </w:tcPr>
          <w:p>
            <w:pPr>
              <w:snapToGrid/>
              <w:spacing w:line="520" w:lineRule="exact"/>
              <w:ind w:firstLine="0" w:firstLineChars="0"/>
              <w:jc w:val="left"/>
              <w:rPr>
                <w:b w:val="0"/>
                <w:color w:val="auto"/>
                <w:kern w:val="2"/>
                <w:sz w:val="24"/>
                <w:szCs w:val="24"/>
                <w:lang w:val="en-US"/>
              </w:rPr>
            </w:pPr>
          </w:p>
        </w:tc>
        <w:tc>
          <w:tcPr>
            <w:tcW w:w="2197" w:type="dxa"/>
            <w:vAlign w:val="center"/>
          </w:tcPr>
          <w:p>
            <w:pPr>
              <w:snapToGrid/>
              <w:spacing w:line="520" w:lineRule="exact"/>
              <w:ind w:firstLine="0" w:firstLineChars="0"/>
              <w:jc w:val="left"/>
              <w:rPr>
                <w:b w:val="0"/>
                <w:color w:val="auto"/>
                <w:kern w:val="2"/>
                <w:sz w:val="24"/>
                <w:szCs w:val="24"/>
                <w:lang w:val="en-US"/>
              </w:rPr>
            </w:pPr>
          </w:p>
        </w:tc>
        <w:tc>
          <w:tcPr>
            <w:tcW w:w="1026" w:type="dxa"/>
          </w:tcPr>
          <w:p>
            <w:pPr>
              <w:snapToGrid/>
              <w:spacing w:line="520" w:lineRule="exact"/>
              <w:ind w:firstLine="0" w:firstLineChars="0"/>
              <w:jc w:val="left"/>
              <w:rPr>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80" w:type="dxa"/>
            <w:vAlign w:val="center"/>
          </w:tcPr>
          <w:p>
            <w:pPr>
              <w:snapToGrid/>
              <w:spacing w:line="520" w:lineRule="exact"/>
              <w:ind w:firstLine="0" w:firstLineChars="0"/>
              <w:jc w:val="center"/>
              <w:rPr>
                <w:b w:val="0"/>
                <w:color w:val="auto"/>
                <w:kern w:val="2"/>
                <w:sz w:val="24"/>
                <w:szCs w:val="24"/>
                <w:lang w:val="en-US"/>
              </w:rPr>
            </w:pPr>
            <w:r>
              <w:rPr>
                <w:rFonts w:hint="eastAsia"/>
                <w:b w:val="0"/>
                <w:color w:val="auto"/>
                <w:kern w:val="2"/>
                <w:sz w:val="24"/>
                <w:szCs w:val="24"/>
                <w:lang w:val="en-US"/>
              </w:rPr>
              <w:t>2</w:t>
            </w:r>
          </w:p>
        </w:tc>
        <w:tc>
          <w:tcPr>
            <w:tcW w:w="2135" w:type="dxa"/>
            <w:vAlign w:val="center"/>
          </w:tcPr>
          <w:p>
            <w:pPr>
              <w:snapToGrid/>
              <w:spacing w:line="520" w:lineRule="exact"/>
              <w:ind w:firstLine="0" w:firstLineChars="0"/>
              <w:jc w:val="left"/>
              <w:rPr>
                <w:b w:val="0"/>
                <w:color w:val="auto"/>
                <w:kern w:val="2"/>
                <w:sz w:val="24"/>
                <w:szCs w:val="24"/>
                <w:lang w:val="en-US"/>
              </w:rPr>
            </w:pPr>
            <w:r>
              <w:rPr>
                <w:rFonts w:hint="eastAsia"/>
                <w:b w:val="0"/>
                <w:color w:val="auto"/>
                <w:kern w:val="2"/>
                <w:sz w:val="24"/>
                <w:szCs w:val="24"/>
                <w:lang w:val="en-US"/>
              </w:rPr>
              <w:t>运维要求</w:t>
            </w:r>
          </w:p>
        </w:tc>
        <w:tc>
          <w:tcPr>
            <w:tcW w:w="3296" w:type="dxa"/>
            <w:vAlign w:val="center"/>
          </w:tcPr>
          <w:p>
            <w:pPr>
              <w:snapToGrid/>
              <w:spacing w:line="520" w:lineRule="exact"/>
              <w:ind w:firstLine="0" w:firstLineChars="0"/>
              <w:jc w:val="left"/>
              <w:rPr>
                <w:b w:val="0"/>
                <w:color w:val="auto"/>
                <w:kern w:val="2"/>
                <w:sz w:val="24"/>
                <w:szCs w:val="24"/>
                <w:lang w:val="en-US"/>
              </w:rPr>
            </w:pPr>
          </w:p>
        </w:tc>
        <w:tc>
          <w:tcPr>
            <w:tcW w:w="2197" w:type="dxa"/>
            <w:vAlign w:val="center"/>
          </w:tcPr>
          <w:p>
            <w:pPr>
              <w:snapToGrid/>
              <w:spacing w:line="520" w:lineRule="exact"/>
              <w:ind w:firstLine="0" w:firstLineChars="0"/>
              <w:jc w:val="left"/>
              <w:rPr>
                <w:b w:val="0"/>
                <w:color w:val="auto"/>
                <w:kern w:val="2"/>
                <w:sz w:val="24"/>
                <w:szCs w:val="24"/>
                <w:lang w:val="en-US"/>
              </w:rPr>
            </w:pPr>
          </w:p>
        </w:tc>
        <w:tc>
          <w:tcPr>
            <w:tcW w:w="1026" w:type="dxa"/>
          </w:tcPr>
          <w:p>
            <w:pPr>
              <w:snapToGrid/>
              <w:spacing w:line="520" w:lineRule="exact"/>
              <w:ind w:firstLine="0" w:firstLineChars="0"/>
              <w:jc w:val="left"/>
              <w:rPr>
                <w:b w:val="0"/>
                <w:color w:val="auto"/>
                <w:kern w:val="2"/>
                <w:sz w:val="24"/>
                <w:szCs w:val="24"/>
                <w:lang w:val="en-US"/>
              </w:rPr>
            </w:pPr>
          </w:p>
        </w:tc>
      </w:tr>
    </w:tbl>
    <w:p>
      <w:pPr>
        <w:snapToGrid/>
        <w:spacing w:line="520" w:lineRule="exact"/>
        <w:ind w:firstLine="0" w:firstLineChars="0"/>
        <w:jc w:val="left"/>
        <w:rPr>
          <w:b w:val="0"/>
          <w:color w:val="auto"/>
          <w:kern w:val="2"/>
          <w:sz w:val="24"/>
          <w:szCs w:val="24"/>
          <w:lang w:val="en-US"/>
        </w:rPr>
      </w:pPr>
      <w:r>
        <w:rPr>
          <w:rFonts w:hint="eastAsia"/>
          <w:b w:val="0"/>
          <w:color w:val="auto"/>
          <w:kern w:val="2"/>
          <w:sz w:val="24"/>
          <w:szCs w:val="24"/>
          <w:lang w:val="en-US"/>
        </w:rPr>
        <w:t>注：以上表格格式行可增减。</w:t>
      </w:r>
    </w:p>
    <w:p>
      <w:pPr>
        <w:snapToGrid/>
        <w:spacing w:line="520" w:lineRule="exact"/>
        <w:ind w:firstLine="480"/>
        <w:jc w:val="left"/>
        <w:rPr>
          <w:b w:val="0"/>
          <w:color w:val="auto"/>
          <w:kern w:val="2"/>
          <w:sz w:val="24"/>
          <w:szCs w:val="24"/>
          <w:lang w:val="en-US"/>
        </w:rPr>
      </w:pPr>
    </w:p>
    <w:p>
      <w:pPr>
        <w:snapToGrid/>
        <w:spacing w:line="520" w:lineRule="exact"/>
        <w:ind w:firstLine="480"/>
        <w:jc w:val="left"/>
        <w:rPr>
          <w:b w:val="0"/>
          <w:color w:val="auto"/>
          <w:kern w:val="2"/>
          <w:sz w:val="24"/>
          <w:szCs w:val="24"/>
          <w:lang w:val="en-US"/>
        </w:rPr>
      </w:pPr>
    </w:p>
    <w:p>
      <w:pPr>
        <w:snapToGrid/>
        <w:spacing w:line="520" w:lineRule="exact"/>
        <w:ind w:firstLine="480"/>
        <w:jc w:val="left"/>
        <w:rPr>
          <w:b w:val="0"/>
          <w:color w:val="auto"/>
          <w:kern w:val="2"/>
          <w:sz w:val="24"/>
          <w:szCs w:val="24"/>
          <w:lang w:val="en-US"/>
        </w:rPr>
      </w:pP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投标人名称（公章）：</w:t>
      </w: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法定代表人或代理人（签字或加盖印章）：</w:t>
      </w: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日  期：</w:t>
      </w:r>
    </w:p>
    <w:p>
      <w:pPr>
        <w:snapToGrid/>
        <w:spacing w:line="520" w:lineRule="exact"/>
        <w:jc w:val="left"/>
        <w:rPr>
          <w:color w:val="auto"/>
        </w:rPr>
      </w:pPr>
    </w:p>
    <w:p>
      <w:pPr>
        <w:snapToGrid/>
        <w:spacing w:line="520" w:lineRule="exact"/>
        <w:jc w:val="left"/>
        <w:rPr>
          <w:color w:val="auto"/>
        </w:rPr>
      </w:pPr>
    </w:p>
    <w:p>
      <w:pPr>
        <w:snapToGrid/>
        <w:spacing w:line="520" w:lineRule="exact"/>
        <w:jc w:val="left"/>
        <w:rPr>
          <w:color w:val="auto"/>
        </w:rPr>
      </w:pPr>
    </w:p>
    <w:p>
      <w:pPr>
        <w:pStyle w:val="2"/>
        <w:spacing w:before="109"/>
        <w:ind w:firstLine="480"/>
      </w:pP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r>
        <w:rPr>
          <w:rFonts w:hint="eastAsia"/>
          <w:bCs/>
          <w:color w:val="auto"/>
          <w:kern w:val="2"/>
          <w:sz w:val="24"/>
          <w:szCs w:val="24"/>
          <w:lang w:val="en-US"/>
        </w:rPr>
        <w:t xml:space="preserve"> </w:t>
      </w:r>
      <w:bookmarkStart w:id="406" w:name="_Toc494198606"/>
      <w:r>
        <w:rPr>
          <w:rFonts w:hint="eastAsia"/>
          <w:bCs/>
          <w:color w:val="auto"/>
          <w:kern w:val="2"/>
          <w:sz w:val="24"/>
          <w:szCs w:val="24"/>
          <w:lang w:val="en-US"/>
        </w:rPr>
        <w:t>商务应答表</w:t>
      </w:r>
      <w:bookmarkEnd w:id="406"/>
    </w:p>
    <w:p>
      <w:pPr>
        <w:ind w:firstLine="480"/>
        <w:rPr>
          <w:b w:val="0"/>
          <w:color w:val="auto"/>
          <w:kern w:val="2"/>
          <w:sz w:val="24"/>
          <w:szCs w:val="24"/>
          <w:lang w:val="en-US"/>
        </w:rPr>
      </w:pPr>
    </w:p>
    <w:p>
      <w:pPr>
        <w:ind w:firstLine="480"/>
        <w:rPr>
          <w:b w:val="0"/>
          <w:color w:val="auto"/>
          <w:kern w:val="2"/>
          <w:sz w:val="24"/>
          <w:szCs w:val="24"/>
          <w:lang w:val="en-US"/>
        </w:rPr>
      </w:pPr>
      <w:r>
        <w:rPr>
          <w:rFonts w:hint="eastAsia"/>
          <w:b w:val="0"/>
          <w:color w:val="auto"/>
          <w:kern w:val="2"/>
          <w:sz w:val="24"/>
          <w:szCs w:val="24"/>
          <w:lang w:val="en-US"/>
        </w:rPr>
        <w:t>采购项目名称：</w:t>
      </w:r>
    </w:p>
    <w:p>
      <w:pPr>
        <w:ind w:firstLine="480"/>
        <w:rPr>
          <w:b w:val="0"/>
          <w:color w:val="auto"/>
          <w:kern w:val="2"/>
          <w:sz w:val="24"/>
          <w:szCs w:val="24"/>
          <w:lang w:val="en-US"/>
        </w:rPr>
      </w:pPr>
      <w:r>
        <w:rPr>
          <w:rFonts w:hint="eastAsia"/>
          <w:b w:val="0"/>
          <w:color w:val="auto"/>
          <w:kern w:val="2"/>
          <w:sz w:val="24"/>
          <w:szCs w:val="24"/>
          <w:lang w:val="en-US"/>
        </w:rPr>
        <w:t>采购项目编号：</w:t>
      </w:r>
    </w:p>
    <w:tbl>
      <w:tblPr>
        <w:tblStyle w:val="77"/>
        <w:tblW w:w="0" w:type="auto"/>
        <w:tblInd w:w="108" w:type="dxa"/>
        <w:tblLayout w:type="fixed"/>
        <w:tblCellMar>
          <w:top w:w="0" w:type="dxa"/>
          <w:left w:w="108" w:type="dxa"/>
          <w:bottom w:w="0" w:type="dxa"/>
          <w:right w:w="108" w:type="dxa"/>
        </w:tblCellMar>
      </w:tblPr>
      <w:tblGrid>
        <w:gridCol w:w="956"/>
        <w:gridCol w:w="3155"/>
        <w:gridCol w:w="1985"/>
        <w:gridCol w:w="2976"/>
      </w:tblGrid>
      <w:tr>
        <w:tblPrEx>
          <w:tblCellMar>
            <w:top w:w="0" w:type="dxa"/>
            <w:left w:w="108" w:type="dxa"/>
            <w:bottom w:w="0" w:type="dxa"/>
            <w:right w:w="108" w:type="dxa"/>
          </w:tblCellMar>
        </w:tblPrEx>
        <w:trPr>
          <w:trHeight w:val="632" w:hRule="exact"/>
        </w:trPr>
        <w:tc>
          <w:tcPr>
            <w:tcW w:w="956" w:type="dxa"/>
            <w:tcBorders>
              <w:top w:val="single" w:color="auto" w:sz="6" w:space="0"/>
              <w:left w:val="single" w:color="auto" w:sz="6" w:space="0"/>
              <w:bottom w:val="single" w:color="auto" w:sz="6" w:space="0"/>
              <w:right w:val="single" w:color="auto" w:sz="6" w:space="0"/>
            </w:tcBorders>
            <w:vAlign w:val="center"/>
          </w:tcPr>
          <w:p>
            <w:pPr>
              <w:snapToGrid/>
              <w:spacing w:line="240" w:lineRule="auto"/>
              <w:ind w:firstLine="0" w:firstLineChars="0"/>
              <w:jc w:val="center"/>
              <w:rPr>
                <w:bCs/>
                <w:color w:val="auto"/>
                <w:kern w:val="2"/>
                <w:sz w:val="24"/>
                <w:szCs w:val="24"/>
                <w:lang w:val="en-US"/>
              </w:rPr>
            </w:pPr>
            <w:r>
              <w:rPr>
                <w:rFonts w:hint="eastAsia"/>
                <w:bCs/>
                <w:color w:val="auto"/>
                <w:kern w:val="2"/>
                <w:sz w:val="24"/>
                <w:szCs w:val="24"/>
                <w:lang w:val="en-US"/>
              </w:rPr>
              <w:t>序号</w:t>
            </w:r>
          </w:p>
        </w:tc>
        <w:tc>
          <w:tcPr>
            <w:tcW w:w="3155" w:type="dxa"/>
            <w:tcBorders>
              <w:top w:val="single" w:color="auto" w:sz="6" w:space="0"/>
              <w:left w:val="single" w:color="auto" w:sz="6" w:space="0"/>
              <w:bottom w:val="single" w:color="auto" w:sz="4" w:space="0"/>
              <w:right w:val="single" w:color="auto" w:sz="6" w:space="0"/>
            </w:tcBorders>
            <w:vAlign w:val="center"/>
          </w:tcPr>
          <w:p>
            <w:pPr>
              <w:snapToGrid/>
              <w:spacing w:line="240" w:lineRule="auto"/>
              <w:ind w:firstLine="0" w:firstLineChars="0"/>
              <w:jc w:val="center"/>
              <w:rPr>
                <w:bCs/>
                <w:color w:val="auto"/>
                <w:kern w:val="2"/>
                <w:sz w:val="24"/>
                <w:szCs w:val="24"/>
                <w:lang w:val="en-US"/>
              </w:rPr>
            </w:pPr>
            <w:r>
              <w:rPr>
                <w:rFonts w:hint="eastAsia"/>
                <w:bCs/>
                <w:color w:val="auto"/>
                <w:kern w:val="2"/>
                <w:sz w:val="24"/>
                <w:szCs w:val="24"/>
                <w:lang w:val="en-US"/>
              </w:rPr>
              <w:t>商务要求</w:t>
            </w:r>
          </w:p>
        </w:tc>
        <w:tc>
          <w:tcPr>
            <w:tcW w:w="1985" w:type="dxa"/>
            <w:tcBorders>
              <w:top w:val="single" w:color="auto" w:sz="6" w:space="0"/>
              <w:left w:val="single" w:color="auto" w:sz="6" w:space="0"/>
              <w:bottom w:val="single" w:color="auto" w:sz="4" w:space="0"/>
              <w:right w:val="single" w:color="auto" w:sz="6" w:space="0"/>
            </w:tcBorders>
            <w:vAlign w:val="center"/>
          </w:tcPr>
          <w:p>
            <w:pPr>
              <w:snapToGrid/>
              <w:spacing w:line="240" w:lineRule="auto"/>
              <w:ind w:firstLine="0" w:firstLineChars="0"/>
              <w:jc w:val="center"/>
              <w:rPr>
                <w:bCs/>
                <w:color w:val="auto"/>
                <w:kern w:val="2"/>
                <w:sz w:val="24"/>
                <w:szCs w:val="24"/>
                <w:lang w:val="en-US"/>
              </w:rPr>
            </w:pPr>
            <w:r>
              <w:rPr>
                <w:rFonts w:hint="eastAsia"/>
                <w:bCs/>
                <w:color w:val="auto"/>
                <w:kern w:val="2"/>
                <w:sz w:val="24"/>
                <w:szCs w:val="24"/>
                <w:lang w:val="en-US"/>
              </w:rPr>
              <w:t>详细说明</w:t>
            </w:r>
          </w:p>
        </w:tc>
        <w:tc>
          <w:tcPr>
            <w:tcW w:w="2976" w:type="dxa"/>
            <w:tcBorders>
              <w:top w:val="single" w:color="auto" w:sz="6" w:space="0"/>
              <w:left w:val="single" w:color="auto" w:sz="6" w:space="0"/>
              <w:bottom w:val="single" w:color="auto" w:sz="4" w:space="0"/>
              <w:right w:val="single" w:color="auto" w:sz="6" w:space="0"/>
            </w:tcBorders>
            <w:vAlign w:val="center"/>
          </w:tcPr>
          <w:p>
            <w:pPr>
              <w:snapToGrid/>
              <w:spacing w:line="240" w:lineRule="auto"/>
              <w:ind w:firstLine="0" w:firstLineChars="0"/>
              <w:jc w:val="center"/>
              <w:rPr>
                <w:bCs/>
                <w:color w:val="auto"/>
                <w:kern w:val="2"/>
                <w:sz w:val="24"/>
                <w:szCs w:val="24"/>
                <w:lang w:val="en-US"/>
              </w:rPr>
            </w:pPr>
            <w:r>
              <w:rPr>
                <w:rFonts w:hint="eastAsia"/>
                <w:bCs/>
                <w:color w:val="auto"/>
                <w:kern w:val="2"/>
                <w:sz w:val="24"/>
                <w:szCs w:val="24"/>
                <w:lang w:val="en-US"/>
              </w:rPr>
              <w:t>投标应答</w:t>
            </w:r>
          </w:p>
        </w:tc>
      </w:tr>
      <w:tr>
        <w:tblPrEx>
          <w:tblCellMar>
            <w:top w:w="0" w:type="dxa"/>
            <w:left w:w="108" w:type="dxa"/>
            <w:bottom w:w="0" w:type="dxa"/>
            <w:right w:w="108" w:type="dxa"/>
          </w:tblCellMar>
        </w:tblPrEx>
        <w:trPr>
          <w:trHeight w:val="909" w:hRule="exact"/>
        </w:trPr>
        <w:tc>
          <w:tcPr>
            <w:tcW w:w="956" w:type="dxa"/>
            <w:tcBorders>
              <w:top w:val="single" w:color="auto" w:sz="6" w:space="0"/>
              <w:left w:val="single" w:color="auto" w:sz="6" w:space="0"/>
              <w:bottom w:val="single" w:color="auto" w:sz="6" w:space="0"/>
              <w:right w:val="single" w:color="auto" w:sz="4" w:space="0"/>
            </w:tcBorders>
            <w:vAlign w:val="center"/>
          </w:tcPr>
          <w:p>
            <w:pPr>
              <w:snapToGrid/>
              <w:spacing w:line="240" w:lineRule="auto"/>
              <w:ind w:firstLine="0" w:firstLineChars="0"/>
              <w:jc w:val="center"/>
              <w:rPr>
                <w:b w:val="0"/>
                <w:bCs/>
                <w:color w:val="auto"/>
                <w:kern w:val="2"/>
                <w:sz w:val="24"/>
                <w:szCs w:val="24"/>
                <w:lang w:val="en-US"/>
              </w:rPr>
            </w:pPr>
            <w:r>
              <w:rPr>
                <w:rFonts w:hint="eastAsia"/>
                <w:b w:val="0"/>
                <w:bCs/>
                <w:color w:val="auto"/>
                <w:kern w:val="2"/>
                <w:sz w:val="24"/>
                <w:szCs w:val="24"/>
                <w:lang w:val="en-US"/>
              </w:rPr>
              <w:t>1</w:t>
            </w:r>
          </w:p>
        </w:tc>
        <w:tc>
          <w:tcPr>
            <w:tcW w:w="3155"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 w:val="0"/>
                <w:color w:val="auto"/>
                <w:kern w:val="2"/>
                <w:sz w:val="24"/>
                <w:szCs w:val="24"/>
                <w:lang w:val="en-US"/>
              </w:rPr>
            </w:pPr>
            <w:r>
              <w:rPr>
                <w:rFonts w:hint="eastAsia"/>
                <w:b w:val="0"/>
                <w:color w:val="auto"/>
                <w:kern w:val="2"/>
                <w:sz w:val="24"/>
                <w:szCs w:val="24"/>
                <w:lang w:val="en-US"/>
              </w:rPr>
              <w:t>服务期限</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 w:val="0"/>
                <w:bCs/>
                <w:color w:val="auto"/>
                <w:kern w:val="2"/>
                <w:sz w:val="24"/>
                <w:szCs w:val="24"/>
                <w:lang w:val="en-US"/>
              </w:rPr>
            </w:pPr>
            <w:r>
              <w:rPr>
                <w:rFonts w:hint="eastAsia"/>
                <w:b w:val="0"/>
                <w:bCs/>
                <w:color w:val="auto"/>
                <w:kern w:val="2"/>
                <w:sz w:val="24"/>
                <w:szCs w:val="24"/>
                <w:lang w:val="en-US"/>
              </w:rPr>
              <w:t>详见招标文件</w:t>
            </w:r>
          </w:p>
          <w:p>
            <w:pPr>
              <w:snapToGrid/>
              <w:spacing w:line="240" w:lineRule="auto"/>
              <w:ind w:firstLine="0" w:firstLineChars="0"/>
              <w:jc w:val="center"/>
              <w:rPr>
                <w:bCs/>
                <w:color w:val="auto"/>
                <w:kern w:val="2"/>
                <w:sz w:val="24"/>
                <w:szCs w:val="24"/>
                <w:lang w:val="en-US"/>
              </w:rPr>
            </w:pPr>
            <w:r>
              <w:rPr>
                <w:rFonts w:hint="eastAsia"/>
                <w:b w:val="0"/>
                <w:bCs/>
                <w:color w:val="auto"/>
                <w:kern w:val="2"/>
                <w:sz w:val="24"/>
                <w:szCs w:val="24"/>
                <w:lang w:val="en-US"/>
              </w:rPr>
              <w:t>第6章</w:t>
            </w:r>
          </w:p>
        </w:tc>
        <w:tc>
          <w:tcPr>
            <w:tcW w:w="2976"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Cs/>
                <w:color w:val="auto"/>
                <w:kern w:val="2"/>
                <w:sz w:val="24"/>
                <w:szCs w:val="24"/>
                <w:lang w:val="en-US"/>
              </w:rPr>
            </w:pPr>
          </w:p>
        </w:tc>
      </w:tr>
      <w:tr>
        <w:tblPrEx>
          <w:tblCellMar>
            <w:top w:w="0" w:type="dxa"/>
            <w:left w:w="108" w:type="dxa"/>
            <w:bottom w:w="0" w:type="dxa"/>
            <w:right w:w="108" w:type="dxa"/>
          </w:tblCellMar>
        </w:tblPrEx>
        <w:trPr>
          <w:trHeight w:val="909" w:hRule="exact"/>
        </w:trPr>
        <w:tc>
          <w:tcPr>
            <w:tcW w:w="956" w:type="dxa"/>
            <w:tcBorders>
              <w:top w:val="single" w:color="auto" w:sz="6" w:space="0"/>
              <w:left w:val="single" w:color="auto" w:sz="6" w:space="0"/>
              <w:bottom w:val="single" w:color="auto" w:sz="6" w:space="0"/>
              <w:right w:val="single" w:color="auto" w:sz="4" w:space="0"/>
            </w:tcBorders>
            <w:vAlign w:val="center"/>
          </w:tcPr>
          <w:p>
            <w:pPr>
              <w:snapToGrid/>
              <w:spacing w:line="240" w:lineRule="auto"/>
              <w:ind w:firstLine="0" w:firstLineChars="0"/>
              <w:jc w:val="center"/>
              <w:rPr>
                <w:b w:val="0"/>
                <w:bCs/>
                <w:color w:val="auto"/>
                <w:kern w:val="2"/>
                <w:sz w:val="24"/>
                <w:szCs w:val="24"/>
                <w:lang w:val="en-US"/>
              </w:rPr>
            </w:pPr>
            <w:r>
              <w:rPr>
                <w:rFonts w:hint="eastAsia"/>
                <w:b w:val="0"/>
                <w:bCs/>
                <w:color w:val="auto"/>
                <w:kern w:val="2"/>
                <w:sz w:val="24"/>
                <w:szCs w:val="24"/>
                <w:lang w:val="en-US"/>
              </w:rPr>
              <w:t>2</w:t>
            </w:r>
          </w:p>
        </w:tc>
        <w:tc>
          <w:tcPr>
            <w:tcW w:w="3155"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 w:val="0"/>
                <w:color w:val="auto"/>
                <w:kern w:val="2"/>
                <w:sz w:val="24"/>
                <w:szCs w:val="24"/>
                <w:lang w:val="en-US"/>
              </w:rPr>
            </w:pPr>
            <w:r>
              <w:rPr>
                <w:rFonts w:hint="eastAsia"/>
                <w:b w:val="0"/>
                <w:color w:val="auto"/>
                <w:kern w:val="2"/>
                <w:sz w:val="24"/>
                <w:szCs w:val="24"/>
                <w:lang w:val="en-US"/>
              </w:rPr>
              <w:t>服务地点</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Cs/>
                <w:color w:val="auto"/>
                <w:kern w:val="2"/>
                <w:sz w:val="24"/>
                <w:szCs w:val="24"/>
                <w:lang w:val="en-US"/>
              </w:rPr>
            </w:pPr>
          </w:p>
        </w:tc>
        <w:tc>
          <w:tcPr>
            <w:tcW w:w="2976"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Cs/>
                <w:color w:val="auto"/>
                <w:kern w:val="2"/>
                <w:sz w:val="24"/>
                <w:szCs w:val="24"/>
                <w:lang w:val="en-US"/>
              </w:rPr>
            </w:pPr>
          </w:p>
        </w:tc>
      </w:tr>
      <w:tr>
        <w:tblPrEx>
          <w:tblCellMar>
            <w:top w:w="0" w:type="dxa"/>
            <w:left w:w="108" w:type="dxa"/>
            <w:bottom w:w="0" w:type="dxa"/>
            <w:right w:w="108" w:type="dxa"/>
          </w:tblCellMar>
        </w:tblPrEx>
        <w:trPr>
          <w:trHeight w:val="909" w:hRule="exact"/>
        </w:trPr>
        <w:tc>
          <w:tcPr>
            <w:tcW w:w="956" w:type="dxa"/>
            <w:tcBorders>
              <w:top w:val="single" w:color="auto" w:sz="6" w:space="0"/>
              <w:left w:val="single" w:color="auto" w:sz="6" w:space="0"/>
              <w:bottom w:val="single" w:color="auto" w:sz="6" w:space="0"/>
              <w:right w:val="single" w:color="auto" w:sz="4" w:space="0"/>
            </w:tcBorders>
            <w:vAlign w:val="center"/>
          </w:tcPr>
          <w:p>
            <w:pPr>
              <w:snapToGrid/>
              <w:spacing w:line="240" w:lineRule="auto"/>
              <w:ind w:firstLine="0" w:firstLineChars="0"/>
              <w:jc w:val="center"/>
              <w:rPr>
                <w:b w:val="0"/>
                <w:bCs/>
                <w:color w:val="auto"/>
                <w:kern w:val="2"/>
                <w:sz w:val="24"/>
                <w:szCs w:val="24"/>
                <w:lang w:val="en-US"/>
              </w:rPr>
            </w:pPr>
            <w:r>
              <w:rPr>
                <w:rFonts w:hint="eastAsia"/>
                <w:b w:val="0"/>
                <w:bCs/>
                <w:color w:val="auto"/>
                <w:kern w:val="2"/>
                <w:sz w:val="24"/>
                <w:szCs w:val="24"/>
                <w:lang w:val="en-US"/>
              </w:rPr>
              <w:t>3</w:t>
            </w:r>
          </w:p>
        </w:tc>
        <w:tc>
          <w:tcPr>
            <w:tcW w:w="3155"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 w:val="0"/>
                <w:bCs/>
                <w:color w:val="auto"/>
                <w:kern w:val="2"/>
                <w:sz w:val="24"/>
                <w:szCs w:val="24"/>
                <w:lang w:val="en-US"/>
              </w:rPr>
            </w:pPr>
            <w:r>
              <w:rPr>
                <w:rFonts w:hint="eastAsia"/>
                <w:b w:val="0"/>
                <w:bCs/>
                <w:color w:val="auto"/>
                <w:kern w:val="2"/>
                <w:sz w:val="24"/>
                <w:szCs w:val="24"/>
                <w:lang w:val="en-US"/>
              </w:rPr>
              <w:t>付款方式</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Cs/>
                <w:color w:val="auto"/>
                <w:kern w:val="2"/>
                <w:sz w:val="24"/>
                <w:szCs w:val="24"/>
                <w:lang w:val="en-US"/>
              </w:rPr>
            </w:pPr>
          </w:p>
        </w:tc>
        <w:tc>
          <w:tcPr>
            <w:tcW w:w="2976"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firstLine="0" w:firstLineChars="0"/>
              <w:jc w:val="center"/>
              <w:rPr>
                <w:bCs/>
                <w:color w:val="auto"/>
                <w:kern w:val="2"/>
                <w:sz w:val="24"/>
                <w:szCs w:val="24"/>
                <w:lang w:val="en-US"/>
              </w:rPr>
            </w:pPr>
          </w:p>
        </w:tc>
      </w:tr>
    </w:tbl>
    <w:p>
      <w:pPr>
        <w:rPr>
          <w:color w:val="auto"/>
          <w:lang w:val="en-US"/>
        </w:rPr>
      </w:pPr>
    </w:p>
    <w:p>
      <w:pPr>
        <w:rPr>
          <w:color w:val="auto"/>
          <w:lang w:val="en-US"/>
        </w:rPr>
      </w:pP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投标人名称（公章）：</w:t>
      </w: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法定代表人或代理人（签字或加盖印章）：</w:t>
      </w: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 xml:space="preserve">日  期：   </w:t>
      </w:r>
    </w:p>
    <w:p>
      <w:pPr>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snapToGrid/>
        <w:spacing w:line="520" w:lineRule="exact"/>
        <w:ind w:firstLine="0" w:firstLineChars="0"/>
        <w:jc w:val="left"/>
        <w:rPr>
          <w:b w:val="0"/>
          <w:color w:val="auto"/>
          <w:kern w:val="2"/>
          <w:sz w:val="24"/>
          <w:szCs w:val="24"/>
          <w:lang w:val="en-US"/>
        </w:rPr>
      </w:pPr>
    </w:p>
    <w:p>
      <w:pPr>
        <w:pStyle w:val="2"/>
        <w:spacing w:before="109"/>
        <w:ind w:firstLine="480"/>
        <w:rPr>
          <w:color w:val="auto"/>
          <w:lang w:val="en-US"/>
        </w:rPr>
      </w:pPr>
    </w:p>
    <w:p>
      <w:pPr>
        <w:pStyle w:val="2"/>
        <w:spacing w:before="109"/>
        <w:ind w:firstLine="480"/>
        <w:rPr>
          <w:color w:val="auto"/>
          <w:lang w:val="en-US"/>
        </w:rPr>
      </w:pP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bookmarkStart w:id="407" w:name="_Toc346010016"/>
      <w:bookmarkStart w:id="408" w:name="_Toc217446088"/>
      <w:r>
        <w:rPr>
          <w:rFonts w:hint="eastAsia"/>
          <w:bCs/>
          <w:color w:val="auto"/>
          <w:kern w:val="2"/>
          <w:sz w:val="24"/>
          <w:szCs w:val="24"/>
          <w:lang w:val="en-US"/>
        </w:rPr>
        <w:t xml:space="preserve"> </w:t>
      </w:r>
      <w:bookmarkStart w:id="409" w:name="_Toc494198607"/>
      <w:r>
        <w:rPr>
          <w:rFonts w:hint="eastAsia"/>
          <w:bCs/>
          <w:color w:val="auto"/>
          <w:kern w:val="2"/>
          <w:sz w:val="24"/>
          <w:szCs w:val="24"/>
          <w:lang w:val="en-US"/>
        </w:rPr>
        <w:t>投标人基本情况表</w:t>
      </w:r>
      <w:bookmarkEnd w:id="407"/>
      <w:bookmarkEnd w:id="408"/>
      <w:bookmarkEnd w:id="409"/>
    </w:p>
    <w:tbl>
      <w:tblPr>
        <w:tblStyle w:val="77"/>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110"/>
        <w:gridCol w:w="2066"/>
        <w:gridCol w:w="150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单位名称</w:t>
            </w:r>
          </w:p>
        </w:tc>
        <w:tc>
          <w:tcPr>
            <w:tcW w:w="3176" w:type="dxa"/>
            <w:gridSpan w:val="2"/>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组织形式</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成立时间</w:t>
            </w:r>
          </w:p>
        </w:tc>
        <w:tc>
          <w:tcPr>
            <w:tcW w:w="3176" w:type="dxa"/>
            <w:gridSpan w:val="2"/>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员工总人数</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营业地址</w:t>
            </w:r>
          </w:p>
        </w:tc>
        <w:tc>
          <w:tcPr>
            <w:tcW w:w="3176" w:type="dxa"/>
            <w:gridSpan w:val="2"/>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邮政编码</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企业资质等级（如有）</w:t>
            </w:r>
          </w:p>
        </w:tc>
        <w:tc>
          <w:tcPr>
            <w:tcW w:w="3176" w:type="dxa"/>
            <w:gridSpan w:val="2"/>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统一社会信用代码</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开户银行</w:t>
            </w:r>
          </w:p>
        </w:tc>
        <w:tc>
          <w:tcPr>
            <w:tcW w:w="3176" w:type="dxa"/>
            <w:gridSpan w:val="2"/>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账号</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24" w:type="dxa"/>
            <w:vMerge w:val="restart"/>
            <w:vAlign w:val="center"/>
          </w:tcPr>
          <w:p>
            <w:pPr>
              <w:pStyle w:val="286"/>
              <w:ind w:firstLine="0" w:firstLineChars="0"/>
              <w:jc w:val="center"/>
              <w:rPr>
                <w:rFonts w:ascii="宋体" w:hAnsi="宋体" w:eastAsia="宋体"/>
              </w:rPr>
            </w:pPr>
            <w:r>
              <w:rPr>
                <w:rFonts w:hint="eastAsia" w:ascii="宋体" w:hAnsi="宋体" w:eastAsia="宋体"/>
              </w:rPr>
              <w:t>联系方式</w:t>
            </w:r>
          </w:p>
        </w:tc>
        <w:tc>
          <w:tcPr>
            <w:tcW w:w="1110" w:type="dxa"/>
            <w:vAlign w:val="center"/>
          </w:tcPr>
          <w:p>
            <w:pPr>
              <w:pStyle w:val="286"/>
              <w:ind w:firstLine="0" w:firstLineChars="0"/>
              <w:jc w:val="center"/>
              <w:rPr>
                <w:rFonts w:ascii="宋体" w:hAnsi="宋体" w:eastAsia="宋体"/>
              </w:rPr>
            </w:pPr>
            <w:r>
              <w:rPr>
                <w:rFonts w:hint="eastAsia" w:ascii="宋体" w:hAnsi="宋体" w:eastAsia="宋体"/>
              </w:rPr>
              <w:t>联系人</w:t>
            </w:r>
          </w:p>
        </w:tc>
        <w:tc>
          <w:tcPr>
            <w:tcW w:w="2065" w:type="dxa"/>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电话</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1624" w:type="dxa"/>
            <w:vMerge w:val="continue"/>
            <w:vAlign w:val="center"/>
          </w:tcPr>
          <w:p>
            <w:pPr>
              <w:pStyle w:val="286"/>
              <w:ind w:firstLine="480"/>
              <w:jc w:val="center"/>
              <w:rPr>
                <w:rFonts w:ascii="宋体" w:hAnsi="宋体" w:eastAsia="宋体"/>
              </w:rPr>
            </w:pPr>
          </w:p>
        </w:tc>
        <w:tc>
          <w:tcPr>
            <w:tcW w:w="1110" w:type="dxa"/>
            <w:vAlign w:val="center"/>
          </w:tcPr>
          <w:p>
            <w:pPr>
              <w:pStyle w:val="286"/>
              <w:ind w:firstLine="0" w:firstLineChars="0"/>
              <w:jc w:val="center"/>
              <w:rPr>
                <w:rFonts w:ascii="宋体" w:hAnsi="宋体" w:eastAsia="宋体"/>
              </w:rPr>
            </w:pPr>
            <w:r>
              <w:rPr>
                <w:rFonts w:hint="eastAsia" w:ascii="宋体" w:hAnsi="宋体" w:eastAsia="宋体"/>
              </w:rPr>
              <w:t>传真</w:t>
            </w:r>
          </w:p>
        </w:tc>
        <w:tc>
          <w:tcPr>
            <w:tcW w:w="2065" w:type="dxa"/>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邮箱</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法定代表人</w:t>
            </w:r>
          </w:p>
        </w:tc>
        <w:tc>
          <w:tcPr>
            <w:tcW w:w="1110" w:type="dxa"/>
            <w:vAlign w:val="center"/>
          </w:tcPr>
          <w:p>
            <w:pPr>
              <w:pStyle w:val="286"/>
              <w:ind w:firstLine="0" w:firstLineChars="0"/>
              <w:jc w:val="center"/>
              <w:rPr>
                <w:rFonts w:ascii="宋体" w:hAnsi="宋体" w:eastAsia="宋体"/>
              </w:rPr>
            </w:pPr>
            <w:r>
              <w:rPr>
                <w:rFonts w:hint="eastAsia" w:ascii="宋体" w:hAnsi="宋体" w:eastAsia="宋体"/>
              </w:rPr>
              <w:t>姓名</w:t>
            </w:r>
          </w:p>
        </w:tc>
        <w:tc>
          <w:tcPr>
            <w:tcW w:w="2065" w:type="dxa"/>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电话</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主要负责人</w:t>
            </w:r>
          </w:p>
        </w:tc>
        <w:tc>
          <w:tcPr>
            <w:tcW w:w="1110" w:type="dxa"/>
            <w:vAlign w:val="center"/>
          </w:tcPr>
          <w:p>
            <w:pPr>
              <w:pStyle w:val="286"/>
              <w:ind w:firstLine="0" w:firstLineChars="0"/>
              <w:jc w:val="center"/>
              <w:rPr>
                <w:rFonts w:ascii="宋体" w:hAnsi="宋体" w:eastAsia="宋体"/>
              </w:rPr>
            </w:pPr>
            <w:r>
              <w:rPr>
                <w:rFonts w:hint="eastAsia" w:ascii="宋体" w:hAnsi="宋体" w:eastAsia="宋体"/>
              </w:rPr>
              <w:t>姓名</w:t>
            </w:r>
          </w:p>
        </w:tc>
        <w:tc>
          <w:tcPr>
            <w:tcW w:w="2065" w:type="dxa"/>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电话</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4" w:type="dxa"/>
            <w:vAlign w:val="center"/>
          </w:tcPr>
          <w:p>
            <w:pPr>
              <w:pStyle w:val="286"/>
              <w:ind w:firstLine="0" w:firstLineChars="0"/>
              <w:jc w:val="center"/>
              <w:rPr>
                <w:rFonts w:ascii="宋体" w:hAnsi="宋体" w:eastAsia="宋体"/>
              </w:rPr>
            </w:pPr>
            <w:r>
              <w:rPr>
                <w:rFonts w:hint="eastAsia" w:ascii="宋体" w:hAnsi="宋体" w:eastAsia="宋体"/>
              </w:rPr>
              <w:t>经营负责人</w:t>
            </w:r>
          </w:p>
        </w:tc>
        <w:tc>
          <w:tcPr>
            <w:tcW w:w="1110" w:type="dxa"/>
            <w:vAlign w:val="center"/>
          </w:tcPr>
          <w:p>
            <w:pPr>
              <w:pStyle w:val="286"/>
              <w:ind w:firstLine="0" w:firstLineChars="0"/>
              <w:jc w:val="center"/>
              <w:rPr>
                <w:rFonts w:ascii="宋体" w:hAnsi="宋体" w:eastAsia="宋体"/>
              </w:rPr>
            </w:pPr>
            <w:r>
              <w:rPr>
                <w:rFonts w:hint="eastAsia" w:ascii="宋体" w:hAnsi="宋体" w:eastAsia="宋体"/>
              </w:rPr>
              <w:t>姓名</w:t>
            </w:r>
          </w:p>
        </w:tc>
        <w:tc>
          <w:tcPr>
            <w:tcW w:w="2065" w:type="dxa"/>
            <w:vAlign w:val="center"/>
          </w:tcPr>
          <w:p>
            <w:pPr>
              <w:pStyle w:val="286"/>
              <w:ind w:firstLine="480"/>
              <w:jc w:val="center"/>
              <w:rPr>
                <w:rFonts w:ascii="宋体" w:hAnsi="宋体" w:eastAsia="宋体"/>
              </w:rPr>
            </w:pPr>
          </w:p>
        </w:tc>
        <w:tc>
          <w:tcPr>
            <w:tcW w:w="1500" w:type="dxa"/>
            <w:vAlign w:val="center"/>
          </w:tcPr>
          <w:p>
            <w:pPr>
              <w:pStyle w:val="286"/>
              <w:ind w:firstLine="0" w:firstLineChars="0"/>
              <w:rPr>
                <w:rFonts w:ascii="宋体" w:hAnsi="宋体" w:eastAsia="宋体"/>
              </w:rPr>
            </w:pPr>
            <w:r>
              <w:rPr>
                <w:rFonts w:hint="eastAsia" w:ascii="宋体" w:hAnsi="宋体" w:eastAsia="宋体"/>
              </w:rPr>
              <w:t>电话</w:t>
            </w:r>
          </w:p>
        </w:tc>
        <w:tc>
          <w:tcPr>
            <w:tcW w:w="2641" w:type="dxa"/>
            <w:vAlign w:val="center"/>
          </w:tcPr>
          <w:p>
            <w:pPr>
              <w:pStyle w:val="286"/>
              <w:ind w:firstLine="48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2734" w:type="dxa"/>
            <w:gridSpan w:val="2"/>
            <w:vAlign w:val="center"/>
          </w:tcPr>
          <w:p>
            <w:pPr>
              <w:pStyle w:val="286"/>
              <w:ind w:firstLine="0" w:firstLineChars="0"/>
              <w:jc w:val="center"/>
              <w:rPr>
                <w:rFonts w:ascii="宋体" w:hAnsi="宋体" w:eastAsia="宋体"/>
              </w:rPr>
            </w:pPr>
            <w:r>
              <w:rPr>
                <w:rFonts w:hint="eastAsia" w:ascii="宋体" w:hAnsi="宋体" w:eastAsia="宋体"/>
              </w:rPr>
              <w:t>经营范围</w:t>
            </w:r>
          </w:p>
        </w:tc>
        <w:tc>
          <w:tcPr>
            <w:tcW w:w="6206" w:type="dxa"/>
            <w:gridSpan w:val="3"/>
          </w:tcPr>
          <w:p>
            <w:pPr>
              <w:pStyle w:val="286"/>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8" w:hRule="atLeast"/>
          <w:jc w:val="center"/>
        </w:trPr>
        <w:tc>
          <w:tcPr>
            <w:tcW w:w="2734" w:type="dxa"/>
            <w:gridSpan w:val="2"/>
            <w:vAlign w:val="center"/>
          </w:tcPr>
          <w:p>
            <w:pPr>
              <w:pStyle w:val="286"/>
              <w:ind w:firstLine="0" w:firstLineChars="0"/>
              <w:jc w:val="center"/>
              <w:rPr>
                <w:rFonts w:ascii="宋体" w:hAnsi="宋体" w:eastAsia="宋体"/>
              </w:rPr>
            </w:pPr>
            <w:r>
              <w:rPr>
                <w:rFonts w:hint="eastAsia" w:ascii="宋体" w:hAnsi="宋体" w:eastAsia="宋体"/>
              </w:rPr>
              <w:t>单位负责人为同一人或者存在直接控股、管理关系的供应商名称</w:t>
            </w:r>
          </w:p>
        </w:tc>
        <w:tc>
          <w:tcPr>
            <w:tcW w:w="6206" w:type="dxa"/>
            <w:gridSpan w:val="3"/>
          </w:tcPr>
          <w:p>
            <w:pPr>
              <w:pStyle w:val="286"/>
              <w:ind w:firstLine="48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2734" w:type="dxa"/>
            <w:gridSpan w:val="2"/>
            <w:vAlign w:val="center"/>
          </w:tcPr>
          <w:p>
            <w:pPr>
              <w:pStyle w:val="286"/>
              <w:ind w:firstLine="0" w:firstLineChars="0"/>
              <w:jc w:val="center"/>
              <w:rPr>
                <w:rFonts w:ascii="宋体" w:hAnsi="宋体" w:eastAsia="宋体"/>
              </w:rPr>
            </w:pPr>
            <w:r>
              <w:rPr>
                <w:rFonts w:hint="eastAsia" w:ascii="宋体" w:hAnsi="宋体" w:eastAsia="宋体"/>
              </w:rPr>
              <w:t>备注</w:t>
            </w:r>
          </w:p>
        </w:tc>
        <w:tc>
          <w:tcPr>
            <w:tcW w:w="6206" w:type="dxa"/>
            <w:gridSpan w:val="3"/>
          </w:tcPr>
          <w:p>
            <w:pPr>
              <w:pStyle w:val="286"/>
              <w:ind w:firstLine="480"/>
              <w:jc w:val="center"/>
              <w:rPr>
                <w:rFonts w:ascii="宋体" w:hAnsi="宋体" w:eastAsia="宋体"/>
              </w:rPr>
            </w:pPr>
          </w:p>
        </w:tc>
      </w:tr>
    </w:tbl>
    <w:p>
      <w:pPr>
        <w:snapToGrid/>
        <w:spacing w:line="520" w:lineRule="exact"/>
        <w:ind w:firstLine="480"/>
        <w:jc w:val="left"/>
        <w:rPr>
          <w:b w:val="0"/>
          <w:color w:val="auto"/>
          <w:kern w:val="2"/>
          <w:sz w:val="24"/>
          <w:szCs w:val="24"/>
          <w:lang w:val="en-US"/>
        </w:rPr>
      </w:pP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投标人名称（公章）：</w:t>
      </w:r>
    </w:p>
    <w:p>
      <w:pPr>
        <w:snapToGrid/>
        <w:spacing w:line="520" w:lineRule="exact"/>
        <w:ind w:firstLine="480"/>
        <w:jc w:val="left"/>
        <w:rPr>
          <w:b w:val="0"/>
          <w:color w:val="auto"/>
          <w:kern w:val="2"/>
          <w:sz w:val="24"/>
          <w:szCs w:val="24"/>
          <w:lang w:val="en-US"/>
        </w:rPr>
      </w:pPr>
      <w:r>
        <w:rPr>
          <w:rFonts w:hint="eastAsia"/>
          <w:b w:val="0"/>
          <w:color w:val="auto"/>
          <w:kern w:val="2"/>
          <w:sz w:val="24"/>
          <w:szCs w:val="24"/>
          <w:lang w:val="en-US"/>
        </w:rPr>
        <w:t>法定代表人或代理人（签字或加盖印章）：</w:t>
      </w:r>
    </w:p>
    <w:p>
      <w:pPr>
        <w:snapToGrid/>
        <w:spacing w:line="520" w:lineRule="exact"/>
        <w:ind w:firstLine="480"/>
        <w:jc w:val="left"/>
        <w:rPr>
          <w:color w:val="auto"/>
        </w:rPr>
      </w:pPr>
      <w:r>
        <w:rPr>
          <w:rFonts w:hint="eastAsia"/>
          <w:b w:val="0"/>
          <w:color w:val="auto"/>
          <w:kern w:val="2"/>
          <w:sz w:val="24"/>
          <w:szCs w:val="24"/>
          <w:lang w:val="en-US"/>
        </w:rPr>
        <w:t>日  期：</w:t>
      </w: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r>
        <w:rPr>
          <w:rFonts w:hint="eastAsia"/>
          <w:bCs/>
          <w:color w:val="auto"/>
          <w:kern w:val="2"/>
          <w:sz w:val="24"/>
          <w:szCs w:val="24"/>
          <w:lang w:val="en-US"/>
        </w:rPr>
        <w:t xml:space="preserve"> </w:t>
      </w:r>
      <w:bookmarkStart w:id="410" w:name="_Toc494198609"/>
      <w:r>
        <w:rPr>
          <w:rFonts w:hint="eastAsia"/>
          <w:bCs/>
          <w:color w:val="auto"/>
          <w:kern w:val="2"/>
          <w:sz w:val="24"/>
          <w:szCs w:val="24"/>
          <w:lang w:val="en-US"/>
        </w:rPr>
        <w:t>实施本项目的主要人员情况表</w:t>
      </w:r>
      <w:bookmarkEnd w:id="410"/>
    </w:p>
    <w:p>
      <w:pPr>
        <w:ind w:firstLine="480"/>
        <w:rPr>
          <w:b w:val="0"/>
          <w:color w:val="auto"/>
          <w:kern w:val="2"/>
          <w:sz w:val="24"/>
          <w:szCs w:val="24"/>
          <w:lang w:val="en-US"/>
        </w:rPr>
      </w:pPr>
    </w:p>
    <w:p>
      <w:pPr>
        <w:ind w:firstLine="480"/>
        <w:rPr>
          <w:b w:val="0"/>
          <w:color w:val="auto"/>
          <w:kern w:val="2"/>
          <w:sz w:val="24"/>
          <w:szCs w:val="24"/>
          <w:lang w:val="en-US"/>
        </w:rPr>
      </w:pPr>
      <w:r>
        <w:rPr>
          <w:rFonts w:hint="eastAsia"/>
          <w:b w:val="0"/>
          <w:color w:val="auto"/>
          <w:kern w:val="2"/>
          <w:sz w:val="24"/>
          <w:szCs w:val="24"/>
          <w:lang w:val="en-US"/>
        </w:rPr>
        <w:t>采购项目名称：</w:t>
      </w:r>
    </w:p>
    <w:p>
      <w:pPr>
        <w:ind w:firstLine="480"/>
        <w:rPr>
          <w:b w:val="0"/>
          <w:color w:val="auto"/>
          <w:kern w:val="2"/>
          <w:sz w:val="24"/>
          <w:szCs w:val="24"/>
          <w:lang w:val="en-US"/>
        </w:rPr>
      </w:pPr>
      <w:r>
        <w:rPr>
          <w:rFonts w:hint="eastAsia"/>
          <w:b w:val="0"/>
          <w:color w:val="auto"/>
          <w:kern w:val="2"/>
          <w:sz w:val="24"/>
          <w:szCs w:val="24"/>
          <w:lang w:val="en-US"/>
        </w:rPr>
        <w:t>采购项目编号：</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01"/>
        <w:gridCol w:w="901"/>
        <w:gridCol w:w="901"/>
        <w:gridCol w:w="1168"/>
        <w:gridCol w:w="1276"/>
        <w:gridCol w:w="708"/>
        <w:gridCol w:w="716"/>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类别</w:t>
            </w:r>
          </w:p>
        </w:tc>
        <w:tc>
          <w:tcPr>
            <w:tcW w:w="901" w:type="dxa"/>
            <w:vMerge w:val="restart"/>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职务</w:t>
            </w:r>
          </w:p>
        </w:tc>
        <w:tc>
          <w:tcPr>
            <w:tcW w:w="901" w:type="dxa"/>
            <w:vMerge w:val="restart"/>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姓名</w:t>
            </w:r>
          </w:p>
        </w:tc>
        <w:tc>
          <w:tcPr>
            <w:tcW w:w="901" w:type="dxa"/>
            <w:vMerge w:val="restart"/>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职称</w:t>
            </w:r>
          </w:p>
        </w:tc>
        <w:tc>
          <w:tcPr>
            <w:tcW w:w="1168" w:type="dxa"/>
            <w:vMerge w:val="restart"/>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常住地</w:t>
            </w:r>
          </w:p>
        </w:tc>
        <w:tc>
          <w:tcPr>
            <w:tcW w:w="3517" w:type="dxa"/>
            <w:gridSpan w:val="4"/>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vAlign w:val="center"/>
          </w:tcPr>
          <w:p>
            <w:pPr>
              <w:snapToGrid/>
              <w:spacing w:line="400" w:lineRule="exact"/>
              <w:ind w:firstLine="0" w:firstLineChars="0"/>
              <w:jc w:val="center"/>
              <w:rPr>
                <w:rFonts w:cs="Arial"/>
                <w:b w:val="0"/>
                <w:color w:val="auto"/>
                <w:kern w:val="2"/>
                <w:sz w:val="24"/>
                <w:szCs w:val="24"/>
                <w:lang w:val="en-US"/>
              </w:rPr>
            </w:pPr>
          </w:p>
        </w:tc>
        <w:tc>
          <w:tcPr>
            <w:tcW w:w="901" w:type="dxa"/>
            <w:vMerge w:val="continue"/>
            <w:vAlign w:val="center"/>
          </w:tcPr>
          <w:p>
            <w:pPr>
              <w:snapToGrid/>
              <w:spacing w:line="400" w:lineRule="exact"/>
              <w:ind w:firstLine="0" w:firstLineChars="0"/>
              <w:jc w:val="center"/>
              <w:rPr>
                <w:rFonts w:cs="Arial"/>
                <w:b w:val="0"/>
                <w:color w:val="auto"/>
                <w:kern w:val="2"/>
                <w:sz w:val="24"/>
                <w:szCs w:val="24"/>
                <w:lang w:val="en-US"/>
              </w:rPr>
            </w:pPr>
          </w:p>
        </w:tc>
        <w:tc>
          <w:tcPr>
            <w:tcW w:w="901" w:type="dxa"/>
            <w:vMerge w:val="continue"/>
            <w:vAlign w:val="center"/>
          </w:tcPr>
          <w:p>
            <w:pPr>
              <w:snapToGrid/>
              <w:spacing w:line="400" w:lineRule="exact"/>
              <w:ind w:firstLine="0" w:firstLineChars="0"/>
              <w:jc w:val="center"/>
              <w:rPr>
                <w:rFonts w:cs="Arial"/>
                <w:b w:val="0"/>
                <w:color w:val="auto"/>
                <w:kern w:val="2"/>
                <w:sz w:val="24"/>
                <w:szCs w:val="24"/>
                <w:lang w:val="en-US"/>
              </w:rPr>
            </w:pPr>
          </w:p>
        </w:tc>
        <w:tc>
          <w:tcPr>
            <w:tcW w:w="901" w:type="dxa"/>
            <w:vMerge w:val="continue"/>
            <w:vAlign w:val="center"/>
          </w:tcPr>
          <w:p>
            <w:pPr>
              <w:snapToGrid/>
              <w:spacing w:line="400" w:lineRule="exact"/>
              <w:ind w:firstLine="0" w:firstLineChars="0"/>
              <w:jc w:val="center"/>
              <w:rPr>
                <w:rFonts w:cs="Arial"/>
                <w:b w:val="0"/>
                <w:color w:val="auto"/>
                <w:kern w:val="2"/>
                <w:sz w:val="24"/>
                <w:szCs w:val="24"/>
                <w:lang w:val="en-US"/>
              </w:rPr>
            </w:pPr>
          </w:p>
        </w:tc>
        <w:tc>
          <w:tcPr>
            <w:tcW w:w="1168" w:type="dxa"/>
            <w:vMerge w:val="continue"/>
            <w:vAlign w:val="center"/>
          </w:tcPr>
          <w:p>
            <w:pPr>
              <w:snapToGrid/>
              <w:spacing w:line="400" w:lineRule="exact"/>
              <w:ind w:firstLine="0" w:firstLineChars="0"/>
              <w:jc w:val="center"/>
              <w:rPr>
                <w:rFonts w:cs="Arial"/>
                <w:b w:val="0"/>
                <w:color w:val="auto"/>
                <w:kern w:val="2"/>
                <w:sz w:val="24"/>
                <w:szCs w:val="24"/>
                <w:lang w:val="en-US"/>
              </w:rPr>
            </w:pPr>
          </w:p>
        </w:tc>
        <w:tc>
          <w:tcPr>
            <w:tcW w:w="1276" w:type="dxa"/>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证书名称</w:t>
            </w:r>
          </w:p>
        </w:tc>
        <w:tc>
          <w:tcPr>
            <w:tcW w:w="708" w:type="dxa"/>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级别</w:t>
            </w:r>
          </w:p>
        </w:tc>
        <w:tc>
          <w:tcPr>
            <w:tcW w:w="716" w:type="dxa"/>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证号</w:t>
            </w:r>
          </w:p>
        </w:tc>
        <w:tc>
          <w:tcPr>
            <w:tcW w:w="817" w:type="dxa"/>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vAlign w:val="center"/>
          </w:tcPr>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管理</w:t>
            </w:r>
          </w:p>
          <w:p>
            <w:pPr>
              <w:snapToGrid/>
              <w:spacing w:line="400" w:lineRule="exact"/>
              <w:ind w:firstLine="0" w:firstLineChars="0"/>
              <w:jc w:val="center"/>
              <w:rPr>
                <w:rFonts w:cs="Arial"/>
                <w:b w:val="0"/>
                <w:color w:val="auto"/>
                <w:kern w:val="2"/>
                <w:sz w:val="24"/>
                <w:szCs w:val="24"/>
                <w:lang w:val="en-US"/>
              </w:rPr>
            </w:pPr>
            <w:r>
              <w:rPr>
                <w:rFonts w:hint="eastAsia" w:cs="Arial"/>
                <w:b w:val="0"/>
                <w:color w:val="auto"/>
                <w:kern w:val="2"/>
                <w:sz w:val="24"/>
                <w:szCs w:val="24"/>
                <w:lang w:val="en-US"/>
              </w:rPr>
              <w:t>人员</w:t>
            </w:r>
          </w:p>
        </w:tc>
        <w:tc>
          <w:tcPr>
            <w:tcW w:w="901" w:type="dxa"/>
            <w:vAlign w:val="center"/>
          </w:tcPr>
          <w:p>
            <w:pPr>
              <w:snapToGrid/>
              <w:spacing w:line="400" w:lineRule="exact"/>
              <w:ind w:firstLine="0" w:firstLineChars="0"/>
              <w:jc w:val="center"/>
              <w:rPr>
                <w:rFonts w:cs="Arial"/>
                <w:b w:val="0"/>
                <w:color w:val="auto"/>
                <w:kern w:val="2"/>
                <w:sz w:val="24"/>
                <w:szCs w:val="24"/>
                <w:lang w:val="en-US"/>
              </w:rPr>
            </w:pPr>
          </w:p>
        </w:tc>
        <w:tc>
          <w:tcPr>
            <w:tcW w:w="901" w:type="dxa"/>
            <w:vAlign w:val="center"/>
          </w:tcPr>
          <w:p>
            <w:pPr>
              <w:snapToGrid/>
              <w:spacing w:line="400" w:lineRule="exact"/>
              <w:ind w:firstLine="0" w:firstLineChars="0"/>
              <w:jc w:val="center"/>
              <w:rPr>
                <w:rFonts w:cs="Arial"/>
                <w:b w:val="0"/>
                <w:color w:val="auto"/>
                <w:kern w:val="2"/>
                <w:sz w:val="24"/>
                <w:szCs w:val="24"/>
                <w:lang w:val="en-US"/>
              </w:rPr>
            </w:pPr>
          </w:p>
        </w:tc>
        <w:tc>
          <w:tcPr>
            <w:tcW w:w="901" w:type="dxa"/>
            <w:vAlign w:val="center"/>
          </w:tcPr>
          <w:p>
            <w:pPr>
              <w:snapToGrid/>
              <w:spacing w:line="400" w:lineRule="exact"/>
              <w:ind w:firstLine="0" w:firstLineChars="0"/>
              <w:jc w:val="center"/>
              <w:rPr>
                <w:rFonts w:cs="Arial"/>
                <w:b w:val="0"/>
                <w:color w:val="auto"/>
                <w:kern w:val="2"/>
                <w:sz w:val="24"/>
                <w:szCs w:val="24"/>
                <w:lang w:val="en-US"/>
              </w:rPr>
            </w:pPr>
          </w:p>
        </w:tc>
        <w:tc>
          <w:tcPr>
            <w:tcW w:w="1168" w:type="dxa"/>
            <w:vAlign w:val="center"/>
          </w:tcPr>
          <w:p>
            <w:pPr>
              <w:snapToGrid/>
              <w:spacing w:line="400" w:lineRule="exact"/>
              <w:ind w:firstLine="0" w:firstLineChars="0"/>
              <w:jc w:val="center"/>
              <w:rPr>
                <w:rFonts w:cs="Arial"/>
                <w:b w:val="0"/>
                <w:color w:val="auto"/>
                <w:kern w:val="2"/>
                <w:sz w:val="24"/>
                <w:szCs w:val="24"/>
                <w:lang w:val="en-US"/>
              </w:rPr>
            </w:pPr>
          </w:p>
        </w:tc>
        <w:tc>
          <w:tcPr>
            <w:tcW w:w="1276" w:type="dxa"/>
            <w:vAlign w:val="center"/>
          </w:tcPr>
          <w:p>
            <w:pPr>
              <w:snapToGrid/>
              <w:spacing w:line="400" w:lineRule="exact"/>
              <w:ind w:firstLine="0" w:firstLineChars="0"/>
              <w:jc w:val="center"/>
              <w:rPr>
                <w:rFonts w:cs="Arial"/>
                <w:b w:val="0"/>
                <w:color w:val="auto"/>
                <w:kern w:val="2"/>
                <w:sz w:val="24"/>
                <w:szCs w:val="24"/>
                <w:lang w:val="en-US"/>
              </w:rPr>
            </w:pPr>
          </w:p>
        </w:tc>
        <w:tc>
          <w:tcPr>
            <w:tcW w:w="708" w:type="dxa"/>
            <w:vAlign w:val="center"/>
          </w:tcPr>
          <w:p>
            <w:pPr>
              <w:snapToGrid/>
              <w:spacing w:line="400" w:lineRule="exact"/>
              <w:ind w:firstLine="0" w:firstLineChars="0"/>
              <w:jc w:val="center"/>
              <w:rPr>
                <w:rFonts w:cs="Arial"/>
                <w:b w:val="0"/>
                <w:color w:val="auto"/>
                <w:kern w:val="2"/>
                <w:sz w:val="24"/>
                <w:szCs w:val="24"/>
                <w:lang w:val="en-US"/>
              </w:rPr>
            </w:pPr>
          </w:p>
        </w:tc>
        <w:tc>
          <w:tcPr>
            <w:tcW w:w="716" w:type="dxa"/>
            <w:vAlign w:val="center"/>
          </w:tcPr>
          <w:p>
            <w:pPr>
              <w:snapToGrid/>
              <w:spacing w:line="400" w:lineRule="exact"/>
              <w:ind w:firstLine="0" w:firstLineChars="0"/>
              <w:jc w:val="center"/>
              <w:rPr>
                <w:rFonts w:cs="Arial"/>
                <w:b w:val="0"/>
                <w:color w:val="auto"/>
                <w:kern w:val="2"/>
                <w:sz w:val="24"/>
                <w:szCs w:val="24"/>
                <w:lang w:val="en-US"/>
              </w:rPr>
            </w:pPr>
          </w:p>
        </w:tc>
        <w:tc>
          <w:tcPr>
            <w:tcW w:w="817" w:type="dxa"/>
            <w:vAlign w:val="center"/>
          </w:tcPr>
          <w:p>
            <w:pPr>
              <w:snapToGrid/>
              <w:spacing w:line="400" w:lineRule="exact"/>
              <w:ind w:firstLine="0" w:firstLineChars="0"/>
              <w:jc w:val="center"/>
              <w:rPr>
                <w:rFonts w:cs="Arial"/>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65" w:type="dxa"/>
            <w:vMerge w:val="continue"/>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restart"/>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restart"/>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5" w:type="dxa"/>
            <w:vMerge w:val="continue"/>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5" w:type="dxa"/>
            <w:vMerge w:val="continue"/>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901" w:type="dxa"/>
            <w:vAlign w:val="center"/>
          </w:tcPr>
          <w:p>
            <w:pPr>
              <w:rPr>
                <w:color w:val="auto"/>
              </w:rPr>
            </w:pPr>
          </w:p>
        </w:tc>
        <w:tc>
          <w:tcPr>
            <w:tcW w:w="1168" w:type="dxa"/>
            <w:vAlign w:val="center"/>
          </w:tcPr>
          <w:p>
            <w:pPr>
              <w:rPr>
                <w:color w:val="auto"/>
              </w:rPr>
            </w:pPr>
          </w:p>
        </w:tc>
        <w:tc>
          <w:tcPr>
            <w:tcW w:w="1276" w:type="dxa"/>
            <w:vAlign w:val="center"/>
          </w:tcPr>
          <w:p>
            <w:pPr>
              <w:rPr>
                <w:color w:val="auto"/>
              </w:rPr>
            </w:pPr>
          </w:p>
        </w:tc>
        <w:tc>
          <w:tcPr>
            <w:tcW w:w="708" w:type="dxa"/>
            <w:vAlign w:val="center"/>
          </w:tcPr>
          <w:p>
            <w:pPr>
              <w:rPr>
                <w:color w:val="auto"/>
              </w:rPr>
            </w:pPr>
          </w:p>
        </w:tc>
        <w:tc>
          <w:tcPr>
            <w:tcW w:w="716" w:type="dxa"/>
            <w:vAlign w:val="center"/>
          </w:tcPr>
          <w:p>
            <w:pPr>
              <w:rPr>
                <w:color w:val="auto"/>
              </w:rPr>
            </w:pPr>
          </w:p>
        </w:tc>
        <w:tc>
          <w:tcPr>
            <w:tcW w:w="817" w:type="dxa"/>
            <w:vAlign w:val="center"/>
          </w:tcPr>
          <w:p>
            <w:pPr>
              <w:rPr>
                <w:color w:val="auto"/>
              </w:rPr>
            </w:pPr>
          </w:p>
        </w:tc>
      </w:tr>
    </w:tbl>
    <w:p>
      <w:pPr>
        <w:ind w:firstLine="480"/>
        <w:rPr>
          <w:b w:val="0"/>
          <w:color w:val="auto"/>
          <w:kern w:val="2"/>
          <w:sz w:val="24"/>
          <w:szCs w:val="24"/>
          <w:lang w:val="en-US"/>
        </w:rPr>
      </w:pPr>
      <w:r>
        <w:rPr>
          <w:rFonts w:hint="eastAsia"/>
          <w:b w:val="0"/>
          <w:color w:val="auto"/>
          <w:kern w:val="2"/>
          <w:sz w:val="24"/>
          <w:szCs w:val="24"/>
          <w:lang w:val="en-US"/>
        </w:rPr>
        <w:t>注：</w:t>
      </w:r>
    </w:p>
    <w:p>
      <w:pPr>
        <w:ind w:firstLine="480"/>
        <w:rPr>
          <w:b w:val="0"/>
          <w:color w:val="auto"/>
          <w:kern w:val="2"/>
          <w:sz w:val="24"/>
          <w:szCs w:val="24"/>
          <w:lang w:val="en-US"/>
        </w:rPr>
      </w:pPr>
      <w:r>
        <w:rPr>
          <w:rFonts w:hint="eastAsia"/>
          <w:b w:val="0"/>
          <w:color w:val="auto"/>
          <w:kern w:val="2"/>
          <w:sz w:val="24"/>
          <w:szCs w:val="24"/>
          <w:lang w:val="en-US"/>
        </w:rPr>
        <w:t>1</w:t>
      </w:r>
      <w:r>
        <w:rPr>
          <w:b w:val="0"/>
          <w:color w:val="auto"/>
          <w:kern w:val="2"/>
          <w:sz w:val="24"/>
          <w:szCs w:val="24"/>
          <w:lang w:val="en-US"/>
        </w:rPr>
        <w:t>.</w:t>
      </w:r>
      <w:r>
        <w:rPr>
          <w:rFonts w:hint="eastAsia"/>
          <w:b w:val="0"/>
          <w:color w:val="auto"/>
          <w:kern w:val="2"/>
          <w:sz w:val="24"/>
          <w:szCs w:val="24"/>
          <w:lang w:val="en-US"/>
        </w:rPr>
        <w:t>投标人按照本表格式列明实施本项目的主要人员，作为其他投标文件的一部分。</w:t>
      </w:r>
    </w:p>
    <w:p>
      <w:pPr>
        <w:ind w:firstLine="480"/>
        <w:rPr>
          <w:b w:val="0"/>
          <w:color w:val="auto"/>
          <w:kern w:val="2"/>
          <w:sz w:val="24"/>
          <w:szCs w:val="24"/>
          <w:lang w:val="en-US"/>
        </w:rPr>
      </w:pPr>
      <w:r>
        <w:rPr>
          <w:b w:val="0"/>
          <w:color w:val="auto"/>
          <w:kern w:val="2"/>
          <w:sz w:val="24"/>
          <w:szCs w:val="24"/>
          <w:lang w:val="en-US"/>
        </w:rPr>
        <w:t>2</w:t>
      </w:r>
      <w:r>
        <w:rPr>
          <w:rFonts w:hint="eastAsia"/>
          <w:b w:val="0"/>
          <w:color w:val="auto"/>
          <w:kern w:val="2"/>
          <w:sz w:val="24"/>
          <w:szCs w:val="24"/>
          <w:lang w:val="en-US"/>
        </w:rPr>
        <w:t>.以上表格格式行可增减，人员相关要求以招标文件要求为准。</w:t>
      </w:r>
    </w:p>
    <w:p>
      <w:pPr>
        <w:ind w:firstLine="480"/>
        <w:rPr>
          <w:b w:val="0"/>
          <w:color w:val="auto"/>
          <w:kern w:val="2"/>
          <w:sz w:val="24"/>
          <w:szCs w:val="24"/>
          <w:lang w:val="en-US"/>
        </w:rPr>
      </w:pPr>
      <w:r>
        <w:rPr>
          <w:b w:val="0"/>
          <w:color w:val="auto"/>
          <w:kern w:val="2"/>
          <w:sz w:val="24"/>
          <w:szCs w:val="24"/>
          <w:lang w:val="en-US"/>
        </w:rPr>
        <w:t>3.</w:t>
      </w:r>
      <w:r>
        <w:rPr>
          <w:rFonts w:hint="eastAsia"/>
          <w:b w:val="0"/>
          <w:color w:val="auto"/>
          <w:kern w:val="2"/>
          <w:sz w:val="24"/>
          <w:szCs w:val="24"/>
          <w:lang w:val="en-US"/>
        </w:rPr>
        <w:t>本表中所列管理人员即为《政府采购货物和服务招标投标管理办法》（财政部令第8</w:t>
      </w:r>
      <w:r>
        <w:rPr>
          <w:b w:val="0"/>
          <w:color w:val="auto"/>
          <w:kern w:val="2"/>
          <w:sz w:val="24"/>
          <w:szCs w:val="24"/>
          <w:lang w:val="en-US"/>
        </w:rPr>
        <w:t>7</w:t>
      </w:r>
      <w:r>
        <w:rPr>
          <w:rFonts w:hint="eastAsia"/>
          <w:b w:val="0"/>
          <w:color w:val="auto"/>
          <w:kern w:val="2"/>
          <w:sz w:val="24"/>
          <w:szCs w:val="24"/>
          <w:lang w:val="en-US"/>
        </w:rPr>
        <w:t>号）第三十七条中所指的项目管理人员，投标文件中有与本表不一致的人员配备的，均以本表为准。</w:t>
      </w:r>
    </w:p>
    <w:p>
      <w:pPr>
        <w:ind w:firstLine="480"/>
        <w:rPr>
          <w:b w:val="0"/>
          <w:color w:val="auto"/>
          <w:kern w:val="2"/>
          <w:sz w:val="24"/>
          <w:szCs w:val="24"/>
          <w:lang w:val="en-US"/>
        </w:rPr>
      </w:pPr>
      <w:r>
        <w:rPr>
          <w:rFonts w:hint="eastAsia"/>
          <w:b w:val="0"/>
          <w:color w:val="auto"/>
          <w:kern w:val="2"/>
          <w:sz w:val="24"/>
          <w:szCs w:val="24"/>
          <w:lang w:val="en-US"/>
        </w:rPr>
        <w:t>4</w:t>
      </w:r>
      <w:r>
        <w:rPr>
          <w:b w:val="0"/>
          <w:color w:val="auto"/>
          <w:kern w:val="2"/>
          <w:sz w:val="24"/>
          <w:szCs w:val="24"/>
          <w:lang w:val="en-US"/>
        </w:rPr>
        <w:t>.</w:t>
      </w:r>
      <w:r>
        <w:rPr>
          <w:rFonts w:hint="eastAsia"/>
          <w:b w:val="0"/>
          <w:color w:val="auto"/>
          <w:kern w:val="2"/>
          <w:sz w:val="24"/>
          <w:szCs w:val="24"/>
          <w:lang w:val="en-US"/>
        </w:rPr>
        <w:t>投标人未按本表要求提供或者提供有误的，均由投标人自行承担相关责任。</w:t>
      </w:r>
    </w:p>
    <w:p>
      <w:pPr>
        <w:ind w:firstLine="480"/>
        <w:rPr>
          <w:b w:val="0"/>
          <w:color w:val="auto"/>
          <w:kern w:val="2"/>
          <w:sz w:val="24"/>
          <w:szCs w:val="24"/>
          <w:lang w:val="en-US"/>
        </w:rPr>
      </w:pPr>
    </w:p>
    <w:p>
      <w:pPr>
        <w:ind w:firstLine="480"/>
        <w:rPr>
          <w:b w:val="0"/>
          <w:color w:val="auto"/>
          <w:kern w:val="2"/>
          <w:sz w:val="24"/>
          <w:szCs w:val="24"/>
          <w:lang w:val="en-US"/>
        </w:rPr>
      </w:pPr>
      <w:r>
        <w:rPr>
          <w:rFonts w:hint="eastAsia"/>
          <w:b w:val="0"/>
          <w:color w:val="auto"/>
          <w:kern w:val="2"/>
          <w:sz w:val="24"/>
          <w:szCs w:val="24"/>
          <w:lang w:val="en-US"/>
        </w:rPr>
        <w:t>投标人名称（公章）：</w:t>
      </w:r>
    </w:p>
    <w:p>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pPr>
        <w:ind w:firstLine="480"/>
        <w:rPr>
          <w:b w:val="0"/>
          <w:color w:val="auto"/>
          <w:kern w:val="2"/>
          <w:sz w:val="24"/>
          <w:szCs w:val="24"/>
          <w:lang w:val="en-US"/>
        </w:rPr>
      </w:pPr>
      <w:r>
        <w:rPr>
          <w:rFonts w:hint="eastAsia"/>
          <w:b w:val="0"/>
          <w:color w:val="auto"/>
          <w:kern w:val="2"/>
          <w:sz w:val="24"/>
          <w:szCs w:val="24"/>
          <w:lang w:val="en-US"/>
        </w:rPr>
        <w:t>日  期：</w:t>
      </w:r>
    </w:p>
    <w:p>
      <w:pPr>
        <w:ind w:firstLine="480"/>
        <w:rPr>
          <w:b w:val="0"/>
          <w:color w:val="auto"/>
          <w:kern w:val="2"/>
          <w:sz w:val="24"/>
          <w:szCs w:val="24"/>
          <w:lang w:val="en-US"/>
        </w:rPr>
      </w:pP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r>
        <w:rPr>
          <w:rFonts w:hint="eastAsia"/>
          <w:bCs/>
          <w:color w:val="auto"/>
          <w:kern w:val="2"/>
          <w:sz w:val="24"/>
          <w:szCs w:val="24"/>
          <w:lang w:val="en-US"/>
        </w:rPr>
        <w:t xml:space="preserve"> </w:t>
      </w:r>
      <w:bookmarkStart w:id="411" w:name="_Toc494198610"/>
      <w:r>
        <w:rPr>
          <w:rFonts w:hint="eastAsia"/>
          <w:bCs/>
          <w:color w:val="auto"/>
          <w:kern w:val="2"/>
          <w:sz w:val="24"/>
          <w:szCs w:val="24"/>
          <w:lang w:val="en-US"/>
        </w:rPr>
        <w:t>项目实施方案</w:t>
      </w:r>
      <w:bookmarkEnd w:id="411"/>
    </w:p>
    <w:p>
      <w:pPr>
        <w:ind w:firstLine="480"/>
        <w:rPr>
          <w:b w:val="0"/>
          <w:color w:val="auto"/>
          <w:kern w:val="2"/>
          <w:sz w:val="24"/>
          <w:szCs w:val="24"/>
          <w:lang w:val="en-US"/>
        </w:rPr>
      </w:pPr>
    </w:p>
    <w:p>
      <w:pPr>
        <w:ind w:firstLine="480"/>
        <w:rPr>
          <w:b w:val="0"/>
          <w:color w:val="auto"/>
          <w:kern w:val="2"/>
          <w:sz w:val="24"/>
          <w:szCs w:val="24"/>
          <w:lang w:val="en-US"/>
        </w:rPr>
      </w:pPr>
      <w:r>
        <w:rPr>
          <w:rFonts w:hint="eastAsia"/>
          <w:b w:val="0"/>
          <w:color w:val="auto"/>
          <w:kern w:val="2"/>
          <w:sz w:val="24"/>
          <w:szCs w:val="24"/>
          <w:lang w:val="en-US"/>
        </w:rPr>
        <w:t xml:space="preserve">采购项目名称： </w:t>
      </w:r>
    </w:p>
    <w:p>
      <w:pPr>
        <w:ind w:firstLine="480"/>
        <w:rPr>
          <w:b w:val="0"/>
          <w:color w:val="auto"/>
          <w:kern w:val="2"/>
          <w:sz w:val="24"/>
          <w:szCs w:val="24"/>
          <w:lang w:val="en-US"/>
        </w:rPr>
      </w:pPr>
      <w:r>
        <w:rPr>
          <w:rFonts w:hint="eastAsia"/>
          <w:b w:val="0"/>
          <w:color w:val="auto"/>
          <w:kern w:val="2"/>
          <w:sz w:val="24"/>
          <w:szCs w:val="24"/>
          <w:lang w:val="en-US"/>
        </w:rPr>
        <w:t>采购项目编号：</w:t>
      </w:r>
    </w:p>
    <w:p>
      <w:pPr>
        <w:rPr>
          <w:color w:val="auto"/>
        </w:rPr>
      </w:pPr>
    </w:p>
    <w:p>
      <w:pPr>
        <w:rPr>
          <w:color w:val="auto"/>
        </w:rPr>
      </w:pPr>
    </w:p>
    <w:p>
      <w:pPr>
        <w:ind w:firstLine="480"/>
        <w:rPr>
          <w:b w:val="0"/>
          <w:color w:val="auto"/>
          <w:kern w:val="2"/>
          <w:sz w:val="24"/>
          <w:szCs w:val="24"/>
          <w:lang w:val="en-US"/>
        </w:rPr>
      </w:pPr>
      <w:r>
        <w:rPr>
          <w:rFonts w:hint="eastAsia"/>
          <w:b w:val="0"/>
          <w:color w:val="auto"/>
          <w:kern w:val="2"/>
          <w:sz w:val="24"/>
          <w:szCs w:val="24"/>
          <w:lang w:val="en-US"/>
        </w:rPr>
        <w:t>由投标人自行编写，格式不限。包括评分明细表涉及内容。</w:t>
      </w:r>
    </w:p>
    <w:p>
      <w:pPr>
        <w:rPr>
          <w:color w:val="auto"/>
        </w:rPr>
      </w:pPr>
    </w:p>
    <w:p>
      <w:pPr>
        <w:rPr>
          <w:color w:val="auto"/>
        </w:rPr>
      </w:pPr>
    </w:p>
    <w:p>
      <w:pPr>
        <w:rPr>
          <w:color w:val="auto"/>
        </w:rPr>
      </w:pPr>
    </w:p>
    <w:p>
      <w:pPr>
        <w:rPr>
          <w:color w:val="auto"/>
        </w:rPr>
      </w:pPr>
    </w:p>
    <w:p>
      <w:pPr>
        <w:ind w:firstLine="480"/>
        <w:rPr>
          <w:b w:val="0"/>
          <w:color w:val="auto"/>
          <w:kern w:val="2"/>
          <w:sz w:val="24"/>
          <w:szCs w:val="24"/>
          <w:lang w:val="en-US"/>
        </w:rPr>
      </w:pPr>
      <w:r>
        <w:rPr>
          <w:rFonts w:hint="eastAsia"/>
          <w:b w:val="0"/>
          <w:color w:val="auto"/>
          <w:kern w:val="2"/>
          <w:sz w:val="24"/>
          <w:szCs w:val="24"/>
          <w:lang w:val="en-US"/>
        </w:rPr>
        <w:t>投标人名称（公章）：</w:t>
      </w:r>
    </w:p>
    <w:p>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pPr>
        <w:ind w:firstLine="480"/>
        <w:rPr>
          <w:b w:val="0"/>
          <w:color w:val="auto"/>
          <w:kern w:val="2"/>
          <w:sz w:val="24"/>
          <w:szCs w:val="24"/>
          <w:lang w:val="en-US"/>
        </w:rPr>
      </w:pPr>
      <w:r>
        <w:rPr>
          <w:rFonts w:hint="eastAsia"/>
          <w:b w:val="0"/>
          <w:color w:val="auto"/>
          <w:kern w:val="2"/>
          <w:sz w:val="24"/>
          <w:szCs w:val="24"/>
          <w:lang w:val="en-US"/>
        </w:rPr>
        <w:t>日  期：</w:t>
      </w:r>
    </w:p>
    <w:p>
      <w:pPr>
        <w:rPr>
          <w:color w:val="auto"/>
        </w:rPr>
      </w:pPr>
    </w:p>
    <w:p>
      <w:pPr>
        <w:rPr>
          <w:color w:val="auto"/>
        </w:rPr>
      </w:pPr>
    </w:p>
    <w:p>
      <w:pPr>
        <w:rPr>
          <w:color w:val="auto"/>
        </w:rPr>
      </w:pPr>
    </w:p>
    <w:p>
      <w:pPr>
        <w:rPr>
          <w:color w:val="auto"/>
        </w:rPr>
      </w:pPr>
      <w:r>
        <w:rPr>
          <w:rFonts w:hint="eastAsia"/>
          <w:color w:val="auto"/>
        </w:rPr>
        <w:tab/>
      </w:r>
    </w:p>
    <w:p>
      <w:pPr>
        <w:rPr>
          <w:color w:val="auto"/>
        </w:rPr>
      </w:pPr>
    </w:p>
    <w:p>
      <w:pPr>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r>
        <w:rPr>
          <w:rFonts w:hint="eastAsia"/>
          <w:bCs/>
          <w:color w:val="auto"/>
          <w:kern w:val="2"/>
          <w:sz w:val="24"/>
          <w:szCs w:val="24"/>
          <w:lang w:val="en-US"/>
        </w:rPr>
        <w:t xml:space="preserve"> ★承诺函</w:t>
      </w:r>
    </w:p>
    <w:p>
      <w:pPr>
        <w:widowControl/>
        <w:snapToGrid/>
        <w:spacing w:line="400" w:lineRule="exact"/>
        <w:ind w:firstLine="0" w:firstLineChars="0"/>
        <w:jc w:val="left"/>
        <w:rPr>
          <w:b w:val="0"/>
          <w:color w:val="auto"/>
          <w:sz w:val="24"/>
          <w:szCs w:val="24"/>
          <w:lang w:val="en-US"/>
        </w:rPr>
      </w:pPr>
    </w:p>
    <w:p>
      <w:pPr>
        <w:widowControl/>
        <w:snapToGrid/>
        <w:spacing w:line="400" w:lineRule="exact"/>
        <w:ind w:firstLine="0" w:firstLineChars="0"/>
        <w:jc w:val="left"/>
        <w:rPr>
          <w:b w:val="0"/>
          <w:color w:val="auto"/>
          <w:sz w:val="24"/>
          <w:szCs w:val="24"/>
          <w:lang w:val="en-US"/>
        </w:rPr>
      </w:pPr>
      <w:r>
        <w:rPr>
          <w:rFonts w:hint="eastAsia"/>
          <w:b w:val="0"/>
          <w:color w:val="auto"/>
          <w:sz w:val="24"/>
          <w:szCs w:val="24"/>
          <w:lang w:val="en-US"/>
        </w:rPr>
        <w:t>项目名称：</w:t>
      </w:r>
    </w:p>
    <w:p>
      <w:pPr>
        <w:widowControl/>
        <w:snapToGrid/>
        <w:spacing w:line="400" w:lineRule="exact"/>
        <w:ind w:firstLine="0" w:firstLineChars="0"/>
        <w:jc w:val="left"/>
        <w:rPr>
          <w:b w:val="0"/>
          <w:color w:val="auto"/>
          <w:sz w:val="24"/>
          <w:szCs w:val="24"/>
          <w:lang w:val="en-US"/>
        </w:rPr>
      </w:pPr>
      <w:r>
        <w:rPr>
          <w:rFonts w:hint="eastAsia"/>
          <w:b w:val="0"/>
          <w:color w:val="auto"/>
          <w:sz w:val="24"/>
          <w:szCs w:val="24"/>
          <w:lang w:val="en-US"/>
        </w:rPr>
        <w:t>项目编号：</w:t>
      </w:r>
    </w:p>
    <w:p>
      <w:pPr>
        <w:snapToGrid/>
        <w:spacing w:line="400" w:lineRule="exact"/>
        <w:ind w:firstLine="0" w:firstLineChars="0"/>
        <w:rPr>
          <w:rFonts w:ascii="Times New Roman" w:hAnsi="Times New Roman"/>
          <w:b w:val="0"/>
          <w:color w:val="auto"/>
          <w:kern w:val="2"/>
          <w:sz w:val="24"/>
          <w:szCs w:val="20"/>
          <w:lang w:val="en-US"/>
        </w:rPr>
      </w:pPr>
    </w:p>
    <w:p>
      <w:pPr>
        <w:widowControl/>
        <w:snapToGrid/>
        <w:spacing w:line="520" w:lineRule="exact"/>
        <w:ind w:firstLine="0" w:firstLineChars="0"/>
        <w:jc w:val="left"/>
        <w:rPr>
          <w:b w:val="0"/>
          <w:bCs/>
          <w:color w:val="auto"/>
          <w:sz w:val="24"/>
          <w:szCs w:val="24"/>
          <w:lang w:val="en-US"/>
        </w:rPr>
      </w:pPr>
      <w:r>
        <w:rPr>
          <w:rFonts w:hint="eastAsia"/>
          <w:b w:val="0"/>
          <w:bCs/>
          <w:color w:val="auto"/>
          <w:sz w:val="24"/>
          <w:szCs w:val="24"/>
          <w:lang w:val="en-US"/>
        </w:rPr>
        <w:t>成都市环境保护信息中心：</w:t>
      </w:r>
    </w:p>
    <w:p>
      <w:pPr>
        <w:snapToGrid/>
        <w:spacing w:line="400" w:lineRule="exact"/>
        <w:ind w:firstLine="480"/>
        <w:rPr>
          <w:b w:val="0"/>
          <w:color w:val="auto"/>
          <w:kern w:val="2"/>
          <w:sz w:val="24"/>
          <w:szCs w:val="20"/>
          <w:lang w:val="en-US"/>
        </w:rPr>
      </w:pPr>
      <w:r>
        <w:rPr>
          <w:rFonts w:hint="eastAsia"/>
          <w:b w:val="0"/>
          <w:color w:val="auto"/>
          <w:kern w:val="2"/>
          <w:sz w:val="24"/>
          <w:szCs w:val="20"/>
          <w:lang w:val="en-US"/>
        </w:rPr>
        <w:t>针对以下内容：</w:t>
      </w:r>
    </w:p>
    <w:p>
      <w:pPr>
        <w:snapToGrid/>
        <w:spacing w:line="400" w:lineRule="exact"/>
        <w:ind w:firstLine="460" w:firstLineChars="192"/>
        <w:rPr>
          <w:b w:val="0"/>
          <w:color w:val="auto"/>
          <w:kern w:val="2"/>
          <w:sz w:val="24"/>
          <w:szCs w:val="24"/>
          <w:lang w:val="en-US"/>
        </w:rPr>
      </w:pPr>
      <w:r>
        <w:rPr>
          <w:rFonts w:hint="eastAsia"/>
          <w:b w:val="0"/>
          <w:color w:val="auto"/>
          <w:kern w:val="2"/>
          <w:sz w:val="24"/>
          <w:szCs w:val="24"/>
          <w:lang w:val="en-US"/>
        </w:rPr>
        <w:t>投标人应承诺指定不少于2名技术人员，对本项目范围内设备进行定期巡检、应急响应服务。</w:t>
      </w:r>
    </w:p>
    <w:p>
      <w:pPr>
        <w:pStyle w:val="2"/>
        <w:spacing w:before="109"/>
        <w:ind w:firstLine="480"/>
        <w:rPr>
          <w:bCs w:val="0"/>
          <w:color w:val="auto"/>
          <w:kern w:val="2"/>
          <w:lang w:val="en-US"/>
        </w:rPr>
      </w:pPr>
      <w:r>
        <w:rPr>
          <w:rFonts w:hint="eastAsia"/>
          <w:bCs w:val="0"/>
          <w:color w:val="auto"/>
          <w:kern w:val="2"/>
          <w:lang w:val="en-US"/>
        </w:rPr>
        <w:t>4.信息安全管理</w:t>
      </w:r>
    </w:p>
    <w:p>
      <w:pPr>
        <w:pStyle w:val="2"/>
        <w:spacing w:before="109"/>
        <w:ind w:firstLine="480"/>
        <w:rPr>
          <w:bCs w:val="0"/>
          <w:color w:val="auto"/>
          <w:kern w:val="2"/>
          <w:lang w:val="en-US"/>
        </w:rPr>
      </w:pPr>
      <w:r>
        <w:rPr>
          <w:rFonts w:hint="eastAsia"/>
          <w:bCs w:val="0"/>
          <w:color w:val="auto"/>
          <w:kern w:val="2"/>
          <w:lang w:val="en-US"/>
        </w:rPr>
        <w:t>投标人必须服从采购人对网络与信息安全的各项管理规定和要求。</w:t>
      </w:r>
    </w:p>
    <w:p>
      <w:pPr>
        <w:pStyle w:val="2"/>
        <w:spacing w:before="109"/>
        <w:ind w:firstLine="480"/>
        <w:rPr>
          <w:bCs w:val="0"/>
          <w:color w:val="auto"/>
          <w:kern w:val="2"/>
          <w:lang w:val="en-US"/>
        </w:rPr>
      </w:pPr>
      <w:r>
        <w:rPr>
          <w:rFonts w:hint="eastAsia"/>
          <w:bCs w:val="0"/>
          <w:color w:val="auto"/>
          <w:kern w:val="2"/>
          <w:lang w:val="en-US"/>
        </w:rPr>
        <w:t>5.服务安全管理</w:t>
      </w:r>
    </w:p>
    <w:p>
      <w:pPr>
        <w:pStyle w:val="2"/>
        <w:spacing w:before="109"/>
        <w:ind w:firstLine="480"/>
        <w:rPr>
          <w:color w:val="auto"/>
          <w:kern w:val="2"/>
          <w:lang w:val="en-US"/>
        </w:rPr>
      </w:pPr>
      <w:r>
        <w:rPr>
          <w:rFonts w:hint="eastAsia"/>
          <w:bCs w:val="0"/>
          <w:color w:val="auto"/>
          <w:kern w:val="2"/>
          <w:lang w:val="en-US"/>
        </w:rPr>
        <w:t>投标人承诺提供的技术服务人员具备相对应工作的知识和技能，遵循相应的国家规范和操作流程。对有特殊要求的维护操作，需要专业人员进行操作，包括但不限于网络安全、计算存储、云平台等。</w:t>
      </w:r>
    </w:p>
    <w:p>
      <w:pPr>
        <w:snapToGrid/>
        <w:spacing w:line="240" w:lineRule="auto"/>
        <w:ind w:firstLine="480"/>
        <w:rPr>
          <w:b w:val="0"/>
          <w:color w:val="auto"/>
          <w:kern w:val="2"/>
          <w:sz w:val="24"/>
          <w:szCs w:val="24"/>
          <w:lang w:val="en-US"/>
        </w:rPr>
      </w:pPr>
      <w:r>
        <w:rPr>
          <w:rFonts w:hint="eastAsia"/>
          <w:b w:val="0"/>
          <w:color w:val="auto"/>
          <w:kern w:val="2"/>
          <w:sz w:val="24"/>
          <w:szCs w:val="24"/>
          <w:lang w:val="en-US"/>
        </w:rPr>
        <w:t>我方承诺完全满足并响应，并对上述承诺的内容事项真实性负责。如经查实上述承诺的内容事项存在虚假，愿意接受以提供虚假材料谋取成交的法律责任。</w:t>
      </w:r>
    </w:p>
    <w:p>
      <w:pPr>
        <w:spacing w:line="560" w:lineRule="atLeast"/>
        <w:rPr>
          <w:color w:val="auto"/>
          <w:lang w:val="en-US"/>
        </w:rPr>
      </w:pPr>
    </w:p>
    <w:p>
      <w:pPr>
        <w:ind w:firstLine="480"/>
        <w:rPr>
          <w:b w:val="0"/>
          <w:color w:val="auto"/>
          <w:kern w:val="2"/>
          <w:sz w:val="24"/>
          <w:szCs w:val="24"/>
          <w:lang w:val="en-US"/>
        </w:rPr>
      </w:pPr>
      <w:r>
        <w:rPr>
          <w:rFonts w:hint="eastAsia"/>
          <w:b w:val="0"/>
          <w:color w:val="auto"/>
          <w:kern w:val="2"/>
          <w:sz w:val="24"/>
          <w:szCs w:val="24"/>
          <w:lang w:val="en-US"/>
        </w:rPr>
        <w:t>投标人名称（公章）：</w:t>
      </w:r>
    </w:p>
    <w:p>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pPr>
        <w:ind w:firstLine="480"/>
        <w:rPr>
          <w:b w:val="0"/>
          <w:color w:val="auto"/>
          <w:kern w:val="2"/>
          <w:sz w:val="24"/>
          <w:szCs w:val="24"/>
          <w:lang w:val="en-US"/>
        </w:rPr>
      </w:pPr>
      <w:r>
        <w:rPr>
          <w:rFonts w:hint="eastAsia"/>
          <w:b w:val="0"/>
          <w:color w:val="auto"/>
          <w:kern w:val="2"/>
          <w:sz w:val="24"/>
          <w:szCs w:val="24"/>
          <w:lang w:val="en-US"/>
        </w:rPr>
        <w:t>日  期：</w:t>
      </w:r>
    </w:p>
    <w:p>
      <w:pPr>
        <w:rPr>
          <w:color w:val="auto"/>
        </w:rPr>
      </w:pPr>
    </w:p>
    <w:p>
      <w:pPr>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numPr>
          <w:ilvl w:val="3"/>
          <w:numId w:val="16"/>
        </w:numPr>
        <w:tabs>
          <w:tab w:val="left" w:pos="360"/>
        </w:tabs>
        <w:spacing w:line="240" w:lineRule="auto"/>
        <w:ind w:left="532" w:hanging="530" w:hangingChars="221"/>
        <w:jc w:val="left"/>
        <w:outlineLvl w:val="1"/>
        <w:rPr>
          <w:bCs/>
          <w:color w:val="auto"/>
          <w:kern w:val="2"/>
          <w:sz w:val="24"/>
          <w:szCs w:val="24"/>
          <w:lang w:val="en-US"/>
        </w:rPr>
      </w:pPr>
      <w:bookmarkStart w:id="412" w:name="_Toc421277563"/>
      <w:bookmarkStart w:id="413" w:name="_Toc22640"/>
      <w:bookmarkStart w:id="414" w:name="_Toc14320"/>
      <w:bookmarkStart w:id="415" w:name="_Toc3408"/>
      <w:r>
        <w:rPr>
          <w:rFonts w:hint="eastAsia"/>
          <w:bCs/>
          <w:color w:val="auto"/>
          <w:kern w:val="2"/>
          <w:sz w:val="24"/>
          <w:szCs w:val="24"/>
          <w:lang w:val="en-US"/>
        </w:rPr>
        <w:t xml:space="preserve"> </w:t>
      </w:r>
      <w:bookmarkEnd w:id="412"/>
      <w:bookmarkEnd w:id="413"/>
      <w:bookmarkEnd w:id="414"/>
      <w:bookmarkEnd w:id="415"/>
      <w:r>
        <w:rPr>
          <w:rFonts w:hint="eastAsia"/>
          <w:bCs/>
          <w:color w:val="auto"/>
          <w:kern w:val="2"/>
          <w:sz w:val="24"/>
          <w:szCs w:val="24"/>
          <w:lang w:val="en-US"/>
        </w:rPr>
        <w:t>知识产权承诺函</w:t>
      </w:r>
    </w:p>
    <w:p>
      <w:pPr>
        <w:widowControl/>
        <w:snapToGrid/>
        <w:spacing w:line="400" w:lineRule="exact"/>
        <w:ind w:firstLine="0" w:firstLineChars="0"/>
        <w:jc w:val="left"/>
        <w:rPr>
          <w:b w:val="0"/>
          <w:color w:val="auto"/>
          <w:sz w:val="24"/>
          <w:szCs w:val="24"/>
          <w:lang w:val="en-US"/>
        </w:rPr>
      </w:pPr>
    </w:p>
    <w:p>
      <w:pPr>
        <w:widowControl/>
        <w:snapToGrid/>
        <w:spacing w:line="400" w:lineRule="exact"/>
        <w:ind w:firstLine="0" w:firstLineChars="0"/>
        <w:jc w:val="left"/>
        <w:rPr>
          <w:b w:val="0"/>
          <w:color w:val="auto"/>
          <w:sz w:val="24"/>
          <w:szCs w:val="24"/>
          <w:lang w:val="en-US"/>
        </w:rPr>
      </w:pPr>
      <w:r>
        <w:rPr>
          <w:rFonts w:hint="eastAsia"/>
          <w:b w:val="0"/>
          <w:color w:val="auto"/>
          <w:sz w:val="24"/>
          <w:szCs w:val="24"/>
          <w:lang w:val="en-US"/>
        </w:rPr>
        <w:t>项目名称：</w:t>
      </w:r>
    </w:p>
    <w:p>
      <w:pPr>
        <w:widowControl/>
        <w:snapToGrid/>
        <w:spacing w:line="400" w:lineRule="exact"/>
        <w:ind w:firstLine="0" w:firstLineChars="0"/>
        <w:jc w:val="left"/>
        <w:rPr>
          <w:b w:val="0"/>
          <w:color w:val="auto"/>
          <w:sz w:val="24"/>
          <w:szCs w:val="24"/>
          <w:lang w:val="en-US"/>
        </w:rPr>
      </w:pPr>
      <w:r>
        <w:rPr>
          <w:rFonts w:hint="eastAsia"/>
          <w:b w:val="0"/>
          <w:color w:val="auto"/>
          <w:sz w:val="24"/>
          <w:szCs w:val="24"/>
          <w:lang w:val="en-US"/>
        </w:rPr>
        <w:t>项目编号：</w:t>
      </w:r>
    </w:p>
    <w:p>
      <w:pPr>
        <w:snapToGrid/>
        <w:spacing w:line="400" w:lineRule="exact"/>
        <w:ind w:firstLine="0" w:firstLineChars="0"/>
        <w:rPr>
          <w:rFonts w:ascii="Times New Roman" w:hAnsi="Times New Roman"/>
          <w:b w:val="0"/>
          <w:color w:val="auto"/>
          <w:kern w:val="2"/>
          <w:sz w:val="24"/>
          <w:szCs w:val="20"/>
          <w:lang w:val="en-US"/>
        </w:rPr>
      </w:pPr>
    </w:p>
    <w:p>
      <w:pPr>
        <w:widowControl/>
        <w:snapToGrid/>
        <w:spacing w:line="520" w:lineRule="exact"/>
        <w:ind w:firstLine="0" w:firstLineChars="0"/>
        <w:jc w:val="left"/>
        <w:rPr>
          <w:b w:val="0"/>
          <w:bCs/>
          <w:color w:val="auto"/>
          <w:sz w:val="24"/>
          <w:szCs w:val="24"/>
          <w:lang w:val="en-US"/>
        </w:rPr>
      </w:pPr>
      <w:r>
        <w:rPr>
          <w:rFonts w:hint="eastAsia"/>
          <w:b w:val="0"/>
          <w:bCs/>
          <w:color w:val="auto"/>
          <w:sz w:val="24"/>
          <w:szCs w:val="24"/>
          <w:lang w:val="en-US"/>
        </w:rPr>
        <w:t>成都市环境保护信息中心：</w:t>
      </w:r>
    </w:p>
    <w:p>
      <w:pPr>
        <w:snapToGrid/>
        <w:spacing w:line="400" w:lineRule="exact"/>
        <w:ind w:firstLine="480"/>
        <w:rPr>
          <w:b w:val="0"/>
          <w:color w:val="auto"/>
          <w:kern w:val="2"/>
          <w:sz w:val="24"/>
          <w:szCs w:val="20"/>
          <w:lang w:val="en-US"/>
        </w:rPr>
      </w:pPr>
      <w:r>
        <w:rPr>
          <w:rFonts w:hint="eastAsia"/>
          <w:b w:val="0"/>
          <w:color w:val="auto"/>
          <w:kern w:val="2"/>
          <w:sz w:val="24"/>
          <w:szCs w:val="20"/>
          <w:lang w:val="en-US"/>
        </w:rPr>
        <w:t>针对以下内容，我方承诺：</w:t>
      </w:r>
    </w:p>
    <w:p>
      <w:pPr>
        <w:snapToGrid/>
        <w:spacing w:line="400" w:lineRule="exact"/>
        <w:ind w:firstLine="480"/>
        <w:rPr>
          <w:b w:val="0"/>
          <w:color w:val="auto"/>
          <w:kern w:val="2"/>
          <w:sz w:val="24"/>
          <w:szCs w:val="24"/>
          <w:lang w:val="en-US"/>
        </w:rPr>
      </w:pPr>
      <w:r>
        <w:rPr>
          <w:rFonts w:hint="eastAsia"/>
          <w:b w:val="0"/>
          <w:color w:val="auto"/>
          <w:kern w:val="2"/>
          <w:sz w:val="24"/>
          <w:szCs w:val="20"/>
          <w:lang w:val="en-US"/>
        </w:rPr>
        <w:t>我方</w:t>
      </w:r>
      <w:r>
        <w:rPr>
          <w:rFonts w:hint="eastAsia"/>
          <w:b w:val="0"/>
          <w:color w:val="auto"/>
          <w:kern w:val="2"/>
          <w:sz w:val="24"/>
          <w:szCs w:val="24"/>
          <w:lang w:val="en-US"/>
        </w:rPr>
        <w:t>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b w:val="0"/>
          <w:color w:val="auto"/>
          <w:kern w:val="2"/>
          <w:sz w:val="24"/>
          <w:szCs w:val="20"/>
          <w:lang w:val="en-US"/>
        </w:rPr>
        <w:t>我方</w:t>
      </w:r>
      <w:r>
        <w:rPr>
          <w:rFonts w:hint="eastAsia"/>
          <w:b w:val="0"/>
          <w:color w:val="auto"/>
          <w:kern w:val="2"/>
          <w:sz w:val="24"/>
          <w:szCs w:val="24"/>
          <w:lang w:val="en-US"/>
        </w:rPr>
        <w:t>承担所有相关责任。</w:t>
      </w:r>
    </w:p>
    <w:p>
      <w:pPr>
        <w:snapToGrid/>
        <w:spacing w:line="400" w:lineRule="exact"/>
        <w:ind w:firstLine="480"/>
        <w:rPr>
          <w:b w:val="0"/>
          <w:color w:val="auto"/>
          <w:kern w:val="2"/>
          <w:sz w:val="24"/>
          <w:szCs w:val="24"/>
          <w:lang w:val="en-US"/>
        </w:rPr>
      </w:pPr>
      <w:r>
        <w:rPr>
          <w:rFonts w:hint="eastAsia"/>
          <w:b w:val="0"/>
          <w:color w:val="auto"/>
          <w:kern w:val="2"/>
          <w:sz w:val="24"/>
          <w:szCs w:val="24"/>
          <w:lang w:val="en-US"/>
        </w:rPr>
        <w:t>除非招标文件特别规定，采购人享有本项目实施过程中产生的知识成果及知识产权。</w:t>
      </w:r>
    </w:p>
    <w:p>
      <w:pPr>
        <w:snapToGrid/>
        <w:spacing w:line="400" w:lineRule="exact"/>
        <w:ind w:firstLine="480"/>
        <w:rPr>
          <w:rFonts w:ascii="仿宋_GB2312" w:hAnsi="Times New Roman" w:eastAsia="仿宋_GB2312"/>
          <w:b w:val="0"/>
          <w:color w:val="auto"/>
          <w:kern w:val="2"/>
          <w:lang w:val="en-US"/>
        </w:rPr>
      </w:pPr>
      <w:r>
        <w:rPr>
          <w:rFonts w:hint="eastAsia"/>
          <w:b w:val="0"/>
          <w:color w:val="auto"/>
          <w:kern w:val="2"/>
          <w:sz w:val="24"/>
          <w:szCs w:val="24"/>
          <w:lang w:val="en-US"/>
        </w:rPr>
        <w:t>我方如在采购项目实施过程中采用自有或者第三方知识成果的，使用该知识成果后，我方需提供开发接口和开发手册等技术资料，并承诺提供无限期支持，采购人享有使用权（含采购人委托第三方在该项目后续开发的使用权），同时将在投标文件中声明并提供相关知识产权证明文件</w:t>
      </w:r>
      <w:r>
        <w:rPr>
          <w:b w:val="0"/>
          <w:color w:val="auto"/>
          <w:kern w:val="2"/>
          <w:sz w:val="24"/>
          <w:szCs w:val="24"/>
          <w:lang w:val="en-US"/>
        </w:rPr>
        <w:t>。</w:t>
      </w:r>
    </w:p>
    <w:p>
      <w:pPr>
        <w:snapToGrid/>
        <w:spacing w:line="400" w:lineRule="exact"/>
        <w:ind w:firstLine="460" w:firstLineChars="192"/>
        <w:rPr>
          <w:b w:val="0"/>
          <w:color w:val="auto"/>
          <w:kern w:val="2"/>
          <w:sz w:val="24"/>
          <w:szCs w:val="24"/>
          <w:lang w:val="en-US"/>
        </w:rPr>
      </w:pPr>
      <w:r>
        <w:rPr>
          <w:rFonts w:hint="eastAsia"/>
          <w:b w:val="0"/>
          <w:color w:val="auto"/>
          <w:kern w:val="2"/>
          <w:sz w:val="24"/>
          <w:szCs w:val="24"/>
          <w:lang w:val="en-US"/>
        </w:rPr>
        <w:t>我方如采用所不拥有的知识产权，则在报价中必须包括合法获取该知识产权的相关费用，</w:t>
      </w:r>
      <w:r>
        <w:rPr>
          <w:rFonts w:hint="eastAsia"/>
          <w:b w:val="0"/>
          <w:bCs/>
          <w:color w:val="auto"/>
          <w:kern w:val="2"/>
          <w:sz w:val="24"/>
          <w:szCs w:val="24"/>
          <w:lang w:val="en-US"/>
        </w:rPr>
        <w:t>采购人不再因</w:t>
      </w:r>
      <w:r>
        <w:rPr>
          <w:rFonts w:hint="eastAsia"/>
          <w:b w:val="0"/>
          <w:color w:val="auto"/>
          <w:kern w:val="2"/>
          <w:sz w:val="24"/>
          <w:szCs w:val="24"/>
          <w:lang w:val="en-US"/>
        </w:rPr>
        <w:t>供应商</w:t>
      </w:r>
      <w:r>
        <w:rPr>
          <w:b w:val="0"/>
          <w:color w:val="auto"/>
          <w:kern w:val="2"/>
          <w:sz w:val="24"/>
          <w:szCs w:val="24"/>
          <w:lang w:val="en-US"/>
        </w:rPr>
        <w:t>采用所不拥有的知识产权</w:t>
      </w:r>
      <w:r>
        <w:rPr>
          <w:rFonts w:hint="eastAsia"/>
          <w:b w:val="0"/>
          <w:color w:val="auto"/>
          <w:kern w:val="2"/>
          <w:sz w:val="24"/>
          <w:szCs w:val="24"/>
          <w:lang w:val="en-US"/>
        </w:rPr>
        <w:t>而另行支付任何费用</w:t>
      </w:r>
      <w:r>
        <w:rPr>
          <w:b w:val="0"/>
          <w:color w:val="auto"/>
          <w:kern w:val="2"/>
          <w:sz w:val="24"/>
          <w:szCs w:val="24"/>
          <w:lang w:val="en-US"/>
        </w:rPr>
        <w:t>。</w:t>
      </w:r>
    </w:p>
    <w:p>
      <w:pPr>
        <w:snapToGrid/>
        <w:spacing w:line="400" w:lineRule="exact"/>
        <w:ind w:firstLine="460" w:firstLineChars="192"/>
        <w:rPr>
          <w:b w:val="0"/>
          <w:color w:val="auto"/>
          <w:kern w:val="2"/>
          <w:sz w:val="24"/>
          <w:szCs w:val="24"/>
          <w:lang w:val="en-US"/>
        </w:rPr>
      </w:pPr>
      <w:r>
        <w:rPr>
          <w:rFonts w:hint="eastAsia"/>
          <w:b w:val="0"/>
          <w:color w:val="auto"/>
          <w:kern w:val="2"/>
          <w:sz w:val="24"/>
          <w:szCs w:val="24"/>
          <w:lang w:val="en-US"/>
        </w:rPr>
        <w:t>根据《中华人民共和国政府采购法实施条例》第四十三条的规定，公告内容应当包括主要成交标的的名称、规格型号、数量、单价、服务要求以及评审专家名单。我方已将投标文件中涉及商业秘密和知识产权的内容进行了标注和说明。若未进行标注和说明的，视为全部内容均可公布，采购代理机构对此不承担任何责任。</w:t>
      </w:r>
    </w:p>
    <w:p>
      <w:pPr>
        <w:snapToGrid/>
        <w:spacing w:line="240" w:lineRule="auto"/>
        <w:ind w:firstLine="480"/>
        <w:rPr>
          <w:b w:val="0"/>
          <w:color w:val="auto"/>
          <w:kern w:val="2"/>
          <w:sz w:val="24"/>
          <w:szCs w:val="24"/>
          <w:lang w:val="en-US"/>
        </w:rPr>
      </w:pPr>
    </w:p>
    <w:p>
      <w:pPr>
        <w:snapToGrid/>
        <w:spacing w:line="240" w:lineRule="auto"/>
        <w:ind w:firstLine="480"/>
        <w:rPr>
          <w:b w:val="0"/>
          <w:color w:val="auto"/>
          <w:kern w:val="2"/>
          <w:sz w:val="24"/>
          <w:szCs w:val="24"/>
          <w:lang w:val="en-US"/>
        </w:rPr>
      </w:pPr>
      <w:r>
        <w:rPr>
          <w:rFonts w:hint="eastAsia"/>
          <w:b w:val="0"/>
          <w:color w:val="auto"/>
          <w:kern w:val="2"/>
          <w:sz w:val="24"/>
          <w:szCs w:val="24"/>
          <w:lang w:val="en-US"/>
        </w:rPr>
        <w:t>我方对上述承诺的内容事项真实性负责。如经查实上述承诺的内容事项存在虚假，愿意接受以提供虚假材料谋取成交的法律责任。</w:t>
      </w:r>
    </w:p>
    <w:p>
      <w:pPr>
        <w:spacing w:line="560" w:lineRule="atLeast"/>
        <w:rPr>
          <w:color w:val="auto"/>
          <w:lang w:val="en-US"/>
        </w:rPr>
      </w:pPr>
    </w:p>
    <w:p>
      <w:pPr>
        <w:ind w:firstLine="480"/>
        <w:rPr>
          <w:b w:val="0"/>
          <w:color w:val="auto"/>
          <w:kern w:val="2"/>
          <w:sz w:val="24"/>
          <w:szCs w:val="24"/>
          <w:lang w:val="en-US"/>
        </w:rPr>
      </w:pPr>
      <w:r>
        <w:rPr>
          <w:rFonts w:hint="eastAsia"/>
          <w:b w:val="0"/>
          <w:color w:val="auto"/>
          <w:kern w:val="2"/>
          <w:sz w:val="24"/>
          <w:szCs w:val="24"/>
          <w:lang w:val="en-US"/>
        </w:rPr>
        <w:t>投标人名称（公章）：</w:t>
      </w:r>
    </w:p>
    <w:p>
      <w:pPr>
        <w:ind w:firstLine="480"/>
        <w:rPr>
          <w:b w:val="0"/>
          <w:color w:val="auto"/>
          <w:kern w:val="2"/>
          <w:sz w:val="24"/>
          <w:szCs w:val="24"/>
          <w:lang w:val="en-US"/>
        </w:rPr>
      </w:pPr>
      <w:r>
        <w:rPr>
          <w:rFonts w:hint="eastAsia"/>
          <w:b w:val="0"/>
          <w:color w:val="auto"/>
          <w:kern w:val="2"/>
          <w:sz w:val="24"/>
          <w:szCs w:val="24"/>
          <w:lang w:val="en-US"/>
        </w:rPr>
        <w:t>法定代表人或代理人（签字或加盖印章）：</w:t>
      </w:r>
    </w:p>
    <w:p>
      <w:pPr>
        <w:ind w:firstLine="480"/>
        <w:rPr>
          <w:b w:val="0"/>
          <w:color w:val="auto"/>
          <w:kern w:val="2"/>
          <w:sz w:val="24"/>
          <w:szCs w:val="24"/>
          <w:lang w:val="en-US"/>
        </w:rPr>
      </w:pPr>
      <w:r>
        <w:rPr>
          <w:rFonts w:hint="eastAsia"/>
          <w:b w:val="0"/>
          <w:color w:val="auto"/>
          <w:kern w:val="2"/>
          <w:sz w:val="24"/>
          <w:szCs w:val="24"/>
          <w:lang w:val="en-US"/>
        </w:rPr>
        <w:t>日  期：</w:t>
      </w:r>
    </w:p>
    <w:p>
      <w:pPr>
        <w:spacing w:line="560" w:lineRule="atLeast"/>
        <w:rPr>
          <w:color w:val="auto"/>
        </w:rPr>
      </w:pPr>
    </w:p>
    <w:p>
      <w:pPr>
        <w:spacing w:line="560" w:lineRule="exact"/>
        <w:ind w:firstLine="480"/>
        <w:rPr>
          <w:b w:val="0"/>
          <w:color w:val="auto"/>
          <w:sz w:val="24"/>
          <w:szCs w:val="24"/>
        </w:rPr>
      </w:pPr>
    </w:p>
    <w:p>
      <w:pPr>
        <w:spacing w:line="560" w:lineRule="atLeast"/>
        <w:rPr>
          <w:color w:val="auto"/>
        </w:rPr>
      </w:pPr>
    </w:p>
    <w:p>
      <w:pPr>
        <w:spacing w:line="560" w:lineRule="atLeast"/>
        <w:rPr>
          <w:color w:val="auto"/>
        </w:rPr>
      </w:pPr>
    </w:p>
    <w:p>
      <w:pPr>
        <w:pStyle w:val="3"/>
        <w:keepNext w:val="0"/>
        <w:numPr>
          <w:ilvl w:val="0"/>
          <w:numId w:val="16"/>
        </w:numPr>
        <w:spacing w:before="0" w:after="0" w:line="360" w:lineRule="auto"/>
        <w:ind w:left="0" w:firstLine="0"/>
        <w:rPr>
          <w:b/>
          <w:color w:val="auto"/>
        </w:rPr>
      </w:pPr>
      <w:bookmarkStart w:id="416" w:name="_Toc320622724"/>
      <w:bookmarkEnd w:id="416"/>
      <w:bookmarkStart w:id="417" w:name="_Toc320622710"/>
      <w:bookmarkEnd w:id="417"/>
      <w:bookmarkStart w:id="418" w:name="_Toc320622703"/>
      <w:bookmarkEnd w:id="418"/>
      <w:bookmarkStart w:id="419" w:name="_Toc320622743"/>
      <w:bookmarkEnd w:id="419"/>
      <w:bookmarkStart w:id="420" w:name="_Toc320622774"/>
      <w:bookmarkEnd w:id="420"/>
      <w:bookmarkStart w:id="421" w:name="_Toc320622676"/>
      <w:bookmarkEnd w:id="421"/>
      <w:bookmarkStart w:id="422" w:name="_Toc320622730"/>
      <w:bookmarkEnd w:id="422"/>
      <w:bookmarkStart w:id="423" w:name="_Toc320622719"/>
      <w:bookmarkEnd w:id="423"/>
      <w:bookmarkStart w:id="424" w:name="_Toc320622678"/>
      <w:bookmarkEnd w:id="424"/>
      <w:bookmarkStart w:id="425" w:name="_Toc320622732"/>
      <w:bookmarkEnd w:id="425"/>
      <w:bookmarkStart w:id="426" w:name="_Toc320622680"/>
      <w:bookmarkEnd w:id="426"/>
      <w:bookmarkStart w:id="427" w:name="_Toc320622739"/>
      <w:bookmarkEnd w:id="427"/>
      <w:bookmarkStart w:id="428" w:name="_Toc320622737"/>
      <w:bookmarkEnd w:id="428"/>
      <w:bookmarkStart w:id="429" w:name="_Toc320622720"/>
      <w:bookmarkEnd w:id="429"/>
      <w:bookmarkStart w:id="430" w:name="_Toc320622689"/>
      <w:bookmarkEnd w:id="430"/>
      <w:bookmarkStart w:id="431" w:name="_Toc320622695"/>
      <w:bookmarkEnd w:id="431"/>
      <w:bookmarkStart w:id="432" w:name="_Toc320622692"/>
      <w:bookmarkEnd w:id="432"/>
      <w:bookmarkStart w:id="433" w:name="_Toc320622704"/>
      <w:bookmarkEnd w:id="433"/>
      <w:bookmarkStart w:id="434" w:name="_Toc320622686"/>
      <w:bookmarkEnd w:id="434"/>
      <w:bookmarkStart w:id="435" w:name="_Toc320622698"/>
      <w:bookmarkEnd w:id="435"/>
      <w:bookmarkStart w:id="436" w:name="_Toc320622662"/>
      <w:bookmarkEnd w:id="436"/>
      <w:bookmarkStart w:id="437" w:name="_Toc320622711"/>
      <w:bookmarkEnd w:id="437"/>
      <w:bookmarkStart w:id="438" w:name="_Toc320622736"/>
      <w:bookmarkEnd w:id="438"/>
      <w:bookmarkStart w:id="439" w:name="_Toc320622663"/>
      <w:bookmarkEnd w:id="439"/>
      <w:bookmarkStart w:id="440" w:name="_Toc320622746"/>
      <w:bookmarkEnd w:id="440"/>
      <w:bookmarkStart w:id="441" w:name="_Toc320622661"/>
      <w:bookmarkEnd w:id="441"/>
      <w:bookmarkStart w:id="442" w:name="_Toc320622745"/>
      <w:bookmarkEnd w:id="442"/>
      <w:bookmarkStart w:id="443" w:name="_Toc320622723"/>
      <w:bookmarkEnd w:id="443"/>
      <w:bookmarkStart w:id="444" w:name="_Toc320622681"/>
      <w:bookmarkEnd w:id="444"/>
      <w:bookmarkStart w:id="445" w:name="_Toc320622693"/>
      <w:bookmarkEnd w:id="445"/>
      <w:bookmarkStart w:id="446" w:name="_Toc320622666"/>
      <w:bookmarkEnd w:id="446"/>
      <w:bookmarkStart w:id="447" w:name="_Toc320622731"/>
      <w:bookmarkEnd w:id="447"/>
      <w:bookmarkStart w:id="448" w:name="_Toc320622668"/>
      <w:bookmarkEnd w:id="448"/>
      <w:bookmarkStart w:id="449" w:name="_Toc320622734"/>
      <w:bookmarkEnd w:id="449"/>
      <w:bookmarkStart w:id="450" w:name="_Toc320622747"/>
      <w:bookmarkEnd w:id="450"/>
      <w:bookmarkStart w:id="451" w:name="_Toc320622776"/>
      <w:bookmarkEnd w:id="451"/>
      <w:bookmarkStart w:id="452" w:name="_Toc320622700"/>
      <w:bookmarkEnd w:id="452"/>
      <w:bookmarkStart w:id="453" w:name="_Toc320622727"/>
      <w:bookmarkEnd w:id="453"/>
      <w:bookmarkStart w:id="454" w:name="_Toc320622684"/>
      <w:bookmarkEnd w:id="454"/>
      <w:bookmarkStart w:id="455" w:name="_Toc320622709"/>
      <w:bookmarkEnd w:id="455"/>
      <w:bookmarkStart w:id="456" w:name="_Toc320622713"/>
      <w:bookmarkEnd w:id="456"/>
      <w:bookmarkStart w:id="457" w:name="_Toc320622707"/>
      <w:bookmarkEnd w:id="457"/>
      <w:bookmarkStart w:id="458" w:name="_Toc320622717"/>
      <w:bookmarkEnd w:id="458"/>
      <w:bookmarkStart w:id="459" w:name="_Toc320622729"/>
      <w:bookmarkEnd w:id="459"/>
      <w:bookmarkStart w:id="460" w:name="_Toc320622715"/>
      <w:bookmarkEnd w:id="460"/>
      <w:bookmarkStart w:id="461" w:name="_Toc320622702"/>
      <w:bookmarkEnd w:id="461"/>
      <w:bookmarkStart w:id="462" w:name="_Toc320622728"/>
      <w:bookmarkEnd w:id="462"/>
      <w:bookmarkStart w:id="463" w:name="_Toc320622708"/>
      <w:bookmarkEnd w:id="463"/>
      <w:bookmarkStart w:id="464" w:name="_Toc320622655"/>
      <w:bookmarkEnd w:id="464"/>
      <w:bookmarkStart w:id="465" w:name="_Toc320622697"/>
      <w:bookmarkEnd w:id="465"/>
      <w:bookmarkStart w:id="466" w:name="_Toc320622733"/>
      <w:bookmarkEnd w:id="466"/>
      <w:bookmarkStart w:id="467" w:name="_Toc320622687"/>
      <w:bookmarkEnd w:id="467"/>
      <w:bookmarkStart w:id="468" w:name="_Toc320622735"/>
      <w:bookmarkEnd w:id="468"/>
      <w:bookmarkStart w:id="469" w:name="_Toc320622673"/>
      <w:bookmarkEnd w:id="469"/>
      <w:bookmarkStart w:id="470" w:name="_Toc320622674"/>
      <w:bookmarkEnd w:id="470"/>
      <w:bookmarkStart w:id="471" w:name="_Toc320622691"/>
      <w:bookmarkEnd w:id="471"/>
      <w:bookmarkStart w:id="472" w:name="_Toc320622677"/>
      <w:bookmarkEnd w:id="472"/>
      <w:bookmarkStart w:id="473" w:name="_Toc320622664"/>
      <w:bookmarkEnd w:id="473"/>
      <w:bookmarkStart w:id="474" w:name="_Toc320622658"/>
      <w:bookmarkEnd w:id="474"/>
      <w:bookmarkStart w:id="475" w:name="_Toc320622675"/>
      <w:bookmarkEnd w:id="475"/>
      <w:bookmarkStart w:id="476" w:name="_Toc320622714"/>
      <w:bookmarkEnd w:id="476"/>
      <w:bookmarkStart w:id="477" w:name="_Toc320622699"/>
      <w:bookmarkEnd w:id="477"/>
      <w:bookmarkStart w:id="478" w:name="_Toc320622659"/>
      <w:bookmarkEnd w:id="478"/>
      <w:bookmarkStart w:id="479" w:name="_Toc320622679"/>
      <w:bookmarkEnd w:id="479"/>
      <w:bookmarkStart w:id="480" w:name="_Toc320622742"/>
      <w:bookmarkEnd w:id="480"/>
      <w:bookmarkStart w:id="481" w:name="_Toc320622667"/>
      <w:bookmarkEnd w:id="481"/>
      <w:bookmarkStart w:id="482" w:name="_Toc320622683"/>
      <w:bookmarkEnd w:id="482"/>
      <w:bookmarkStart w:id="483" w:name="_Toc320622671"/>
      <w:bookmarkEnd w:id="483"/>
      <w:bookmarkStart w:id="484" w:name="_Toc320622722"/>
      <w:bookmarkEnd w:id="484"/>
      <w:bookmarkStart w:id="485" w:name="_Toc320622777"/>
      <w:bookmarkEnd w:id="485"/>
      <w:bookmarkStart w:id="486" w:name="_Toc320622682"/>
      <w:bookmarkEnd w:id="486"/>
      <w:bookmarkStart w:id="487" w:name="_Toc320622741"/>
      <w:bookmarkEnd w:id="487"/>
      <w:bookmarkStart w:id="488" w:name="_Toc320622744"/>
      <w:bookmarkEnd w:id="488"/>
      <w:bookmarkStart w:id="489" w:name="_Toc320622696"/>
      <w:bookmarkEnd w:id="489"/>
      <w:bookmarkStart w:id="490" w:name="_Toc320622690"/>
      <w:bookmarkEnd w:id="490"/>
      <w:bookmarkStart w:id="491" w:name="_Toc320622740"/>
      <w:bookmarkEnd w:id="491"/>
      <w:bookmarkStart w:id="492" w:name="_Toc320622688"/>
      <w:bookmarkEnd w:id="492"/>
      <w:bookmarkStart w:id="493" w:name="_Toc320622660"/>
      <w:bookmarkEnd w:id="493"/>
      <w:bookmarkStart w:id="494" w:name="_Toc320622672"/>
      <w:bookmarkEnd w:id="494"/>
      <w:bookmarkStart w:id="495" w:name="_Toc320622778"/>
      <w:bookmarkEnd w:id="495"/>
      <w:bookmarkStart w:id="496" w:name="_Toc320622738"/>
      <w:bookmarkEnd w:id="496"/>
      <w:bookmarkStart w:id="497" w:name="_Toc320622694"/>
      <w:bookmarkEnd w:id="497"/>
      <w:bookmarkStart w:id="498" w:name="_Toc320622701"/>
      <w:bookmarkEnd w:id="498"/>
      <w:bookmarkStart w:id="499" w:name="_Toc320622712"/>
      <w:bookmarkEnd w:id="499"/>
      <w:bookmarkStart w:id="500" w:name="_Toc320622716"/>
      <w:bookmarkEnd w:id="500"/>
      <w:bookmarkStart w:id="501" w:name="_Toc320622656"/>
      <w:bookmarkEnd w:id="501"/>
      <w:bookmarkStart w:id="502" w:name="_Toc320622705"/>
      <w:bookmarkEnd w:id="502"/>
      <w:bookmarkStart w:id="503" w:name="_Toc320622748"/>
      <w:bookmarkEnd w:id="503"/>
      <w:bookmarkStart w:id="504" w:name="_Toc320622725"/>
      <w:bookmarkEnd w:id="504"/>
      <w:bookmarkStart w:id="505" w:name="_Toc320622718"/>
      <w:bookmarkEnd w:id="505"/>
      <w:bookmarkStart w:id="506" w:name="_Toc320622726"/>
      <w:bookmarkEnd w:id="506"/>
      <w:bookmarkStart w:id="507" w:name="_Toc320622685"/>
      <w:bookmarkEnd w:id="507"/>
      <w:bookmarkStart w:id="508" w:name="_Toc320622721"/>
      <w:bookmarkEnd w:id="508"/>
      <w:bookmarkStart w:id="509" w:name="_Toc320622665"/>
      <w:bookmarkEnd w:id="509"/>
      <w:bookmarkStart w:id="510" w:name="_Toc320622657"/>
      <w:bookmarkEnd w:id="510"/>
      <w:bookmarkStart w:id="511" w:name="_Toc320622669"/>
      <w:bookmarkEnd w:id="511"/>
      <w:bookmarkStart w:id="512" w:name="_Toc320622773"/>
      <w:bookmarkEnd w:id="512"/>
      <w:bookmarkStart w:id="513" w:name="_Toc320622706"/>
      <w:bookmarkEnd w:id="513"/>
      <w:bookmarkStart w:id="514" w:name="_Toc494198616"/>
      <w:bookmarkStart w:id="515" w:name="_Toc325356170"/>
      <w:r>
        <w:rPr>
          <w:rFonts w:hint="eastAsia"/>
          <w:b/>
          <w:color w:val="auto"/>
        </w:rPr>
        <w:t xml:space="preserve"> </w:t>
      </w:r>
      <w:bookmarkStart w:id="516" w:name="_Toc6886"/>
      <w:r>
        <w:rPr>
          <w:rFonts w:hint="eastAsia"/>
          <w:b/>
          <w:color w:val="auto"/>
        </w:rPr>
        <w:t>投标人和投标产品的资格、资质性及其他具有类似效力的要求</w:t>
      </w:r>
      <w:bookmarkEnd w:id="514"/>
      <w:bookmarkEnd w:id="515"/>
      <w:bookmarkEnd w:id="516"/>
    </w:p>
    <w:p>
      <w:pPr>
        <w:spacing w:line="560" w:lineRule="exact"/>
        <w:ind w:firstLine="0" w:firstLineChars="0"/>
        <w:rPr>
          <w:color w:val="auto"/>
          <w:sz w:val="24"/>
          <w:szCs w:val="24"/>
        </w:rPr>
      </w:pPr>
      <w:r>
        <w:rPr>
          <w:rFonts w:hint="eastAsia"/>
          <w:color w:val="auto"/>
          <w:sz w:val="24"/>
          <w:szCs w:val="24"/>
        </w:rPr>
        <w:t>一、投标人的资格、资质性要求</w:t>
      </w:r>
    </w:p>
    <w:p>
      <w:pPr>
        <w:spacing w:line="560" w:lineRule="exact"/>
        <w:ind w:firstLine="480"/>
        <w:rPr>
          <w:b w:val="0"/>
          <w:color w:val="auto"/>
          <w:sz w:val="24"/>
          <w:szCs w:val="24"/>
        </w:rPr>
      </w:pPr>
      <w:r>
        <w:rPr>
          <w:rFonts w:hint="eastAsia"/>
          <w:b w:val="0"/>
          <w:color w:val="auto"/>
          <w:sz w:val="24"/>
          <w:szCs w:val="24"/>
        </w:rPr>
        <w:t>1、具有独立承担民事责任能力；</w:t>
      </w:r>
    </w:p>
    <w:p>
      <w:pPr>
        <w:spacing w:line="560" w:lineRule="exact"/>
        <w:ind w:firstLine="480"/>
        <w:rPr>
          <w:b w:val="0"/>
          <w:color w:val="auto"/>
          <w:sz w:val="24"/>
          <w:szCs w:val="24"/>
        </w:rPr>
      </w:pPr>
      <w:r>
        <w:rPr>
          <w:rFonts w:hint="eastAsia"/>
          <w:b w:val="0"/>
          <w:color w:val="auto"/>
          <w:sz w:val="24"/>
          <w:szCs w:val="24"/>
        </w:rPr>
        <w:t>2、具有良好的商业信誉和健全的财务会计制度；</w:t>
      </w:r>
    </w:p>
    <w:p>
      <w:pPr>
        <w:spacing w:line="560" w:lineRule="exact"/>
        <w:ind w:firstLine="480"/>
        <w:rPr>
          <w:b w:val="0"/>
          <w:color w:val="auto"/>
          <w:sz w:val="24"/>
          <w:szCs w:val="24"/>
        </w:rPr>
      </w:pPr>
      <w:r>
        <w:rPr>
          <w:rFonts w:hint="eastAsia"/>
          <w:b w:val="0"/>
          <w:color w:val="auto"/>
          <w:sz w:val="24"/>
          <w:szCs w:val="24"/>
        </w:rPr>
        <w:t>3、具有履行合同所必需的设备和专业技术能力；</w:t>
      </w:r>
    </w:p>
    <w:p>
      <w:pPr>
        <w:spacing w:line="560" w:lineRule="exact"/>
        <w:ind w:firstLine="480"/>
        <w:rPr>
          <w:b w:val="0"/>
          <w:color w:val="auto"/>
          <w:sz w:val="24"/>
          <w:szCs w:val="24"/>
        </w:rPr>
      </w:pPr>
      <w:r>
        <w:rPr>
          <w:rFonts w:hint="eastAsia"/>
          <w:b w:val="0"/>
          <w:color w:val="auto"/>
          <w:sz w:val="24"/>
          <w:szCs w:val="24"/>
        </w:rPr>
        <w:t>4、有依法缴纳税收和社会保障资金的良好记录；</w:t>
      </w:r>
    </w:p>
    <w:p>
      <w:pPr>
        <w:spacing w:line="560" w:lineRule="exact"/>
        <w:ind w:firstLine="480"/>
        <w:rPr>
          <w:b w:val="0"/>
          <w:color w:val="auto"/>
          <w:sz w:val="24"/>
          <w:szCs w:val="24"/>
        </w:rPr>
      </w:pPr>
      <w:r>
        <w:rPr>
          <w:rFonts w:hint="eastAsia"/>
          <w:b w:val="0"/>
          <w:color w:val="auto"/>
          <w:sz w:val="24"/>
          <w:szCs w:val="24"/>
        </w:rPr>
        <w:t>5、参加政府采购活动前三年内，在经营活动中没有重大违法记录；</w:t>
      </w:r>
    </w:p>
    <w:p>
      <w:pPr>
        <w:spacing w:line="560" w:lineRule="exact"/>
        <w:ind w:firstLine="480"/>
        <w:rPr>
          <w:b w:val="0"/>
          <w:color w:val="auto"/>
          <w:sz w:val="24"/>
          <w:szCs w:val="24"/>
        </w:rPr>
      </w:pPr>
      <w:r>
        <w:rPr>
          <w:rFonts w:hint="eastAsia"/>
          <w:b w:val="0"/>
          <w:color w:val="auto"/>
          <w:sz w:val="24"/>
          <w:szCs w:val="24"/>
        </w:rPr>
        <w:t>6、具备法律、行政法规规定的其他条件；</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7、采购人根据采购项目提出的特殊条件</w:t>
      </w:r>
      <w:r>
        <w:rPr>
          <w:b w:val="0"/>
          <w:color w:val="auto"/>
          <w:kern w:val="2"/>
          <w:sz w:val="24"/>
          <w:szCs w:val="24"/>
          <w:lang w:val="en-US"/>
        </w:rPr>
        <w:t>：</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（1）按招标文件要求报名成功；</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（2）根据《关于在政府采购活动中查询及使用信用记录有关问题的通知》（财库〔</w:t>
      </w:r>
      <w:r>
        <w:rPr>
          <w:b w:val="0"/>
          <w:color w:val="auto"/>
          <w:kern w:val="2"/>
          <w:sz w:val="24"/>
          <w:szCs w:val="24"/>
          <w:lang w:val="en-US"/>
        </w:rPr>
        <w:t>2016〕125号）的要求，采购代理机构将通过“信用中国”网站（www.creditchina.gov.cn）、“中国政府采购网”网站（www.ccgp.gov.cn）等渠道查询供应商在开标当日之前的信用信息记录并保存信用记录结果网页截图，拒绝</w:t>
      </w:r>
      <w:r>
        <w:rPr>
          <w:rFonts w:hint="eastAsia"/>
          <w:b w:val="0"/>
          <w:color w:val="auto"/>
          <w:kern w:val="2"/>
          <w:sz w:val="24"/>
          <w:szCs w:val="24"/>
          <w:lang w:val="en-US"/>
        </w:rPr>
        <w:t>列入失信被执行人、重大税收违法案件当事人名单、政府采购严重违法失信行为记录名单的供应商</w:t>
      </w:r>
      <w:r>
        <w:rPr>
          <w:b w:val="0"/>
          <w:color w:val="auto"/>
          <w:kern w:val="2"/>
          <w:sz w:val="24"/>
          <w:szCs w:val="24"/>
          <w:lang w:val="en-US"/>
        </w:rPr>
        <w:t>参加本项目的采购活动</w:t>
      </w:r>
      <w:r>
        <w:rPr>
          <w:rFonts w:hint="eastAsia"/>
          <w:b w:val="0"/>
          <w:color w:val="auto"/>
          <w:kern w:val="2"/>
          <w:sz w:val="24"/>
          <w:szCs w:val="24"/>
          <w:lang w:val="en-US"/>
        </w:rPr>
        <w:t>；</w:t>
      </w:r>
    </w:p>
    <w:p>
      <w:pPr>
        <w:spacing w:line="560" w:lineRule="exact"/>
        <w:ind w:firstLine="480"/>
        <w:rPr>
          <w:b w:val="0"/>
          <w:color w:val="auto"/>
          <w:kern w:val="2"/>
          <w:sz w:val="24"/>
          <w:szCs w:val="24"/>
          <w:lang w:val="en-US"/>
        </w:rPr>
      </w:pPr>
      <w:r>
        <w:rPr>
          <w:rFonts w:hint="eastAsia"/>
          <w:b w:val="0"/>
          <w:color w:val="auto"/>
          <w:kern w:val="2"/>
          <w:sz w:val="24"/>
          <w:szCs w:val="24"/>
          <w:lang w:val="en-US"/>
        </w:rPr>
        <w:t>（3）不属于其他国家相关法律法规规定的禁止参加投标的供应商；</w:t>
      </w:r>
    </w:p>
    <w:p>
      <w:pPr>
        <w:spacing w:line="560" w:lineRule="exact"/>
        <w:ind w:firstLine="480"/>
        <w:rPr>
          <w:b w:val="0"/>
          <w:color w:val="auto"/>
          <w:sz w:val="24"/>
          <w:szCs w:val="24"/>
          <w:lang w:val="en-US"/>
        </w:rPr>
      </w:pPr>
      <w:r>
        <w:rPr>
          <w:rFonts w:hint="eastAsia"/>
          <w:b w:val="0"/>
          <w:bCs/>
          <w:color w:val="auto"/>
          <w:kern w:val="2"/>
          <w:sz w:val="24"/>
          <w:szCs w:val="24"/>
          <w:lang w:val="en-US"/>
        </w:rPr>
        <w:t>（4）本项目专门面向中小企业采购。</w:t>
      </w:r>
    </w:p>
    <w:p>
      <w:pPr>
        <w:spacing w:line="560" w:lineRule="exact"/>
        <w:ind w:firstLine="0" w:firstLineChars="0"/>
        <w:rPr>
          <w:color w:val="auto"/>
          <w:sz w:val="24"/>
          <w:szCs w:val="24"/>
        </w:rPr>
      </w:pPr>
      <w:r>
        <w:rPr>
          <w:rFonts w:hint="eastAsia"/>
          <w:color w:val="auto"/>
          <w:sz w:val="24"/>
          <w:szCs w:val="24"/>
        </w:rPr>
        <w:t>二、投标产品的资格、资质性要求：</w:t>
      </w:r>
    </w:p>
    <w:p>
      <w:pPr>
        <w:spacing w:line="560" w:lineRule="exact"/>
        <w:ind w:firstLine="480"/>
        <w:rPr>
          <w:b w:val="0"/>
          <w:color w:val="auto"/>
          <w:sz w:val="24"/>
          <w:szCs w:val="24"/>
        </w:rPr>
      </w:pPr>
      <w:r>
        <w:rPr>
          <w:rFonts w:hint="eastAsia"/>
          <w:b w:val="0"/>
          <w:color w:val="auto"/>
          <w:sz w:val="24"/>
          <w:szCs w:val="24"/>
        </w:rPr>
        <w:t>无。</w:t>
      </w:r>
    </w:p>
    <w:p>
      <w:pPr>
        <w:spacing w:line="560" w:lineRule="exact"/>
        <w:ind w:firstLine="0" w:firstLineChars="0"/>
        <w:rPr>
          <w:color w:val="auto"/>
          <w:sz w:val="24"/>
          <w:szCs w:val="24"/>
        </w:rPr>
      </w:pPr>
      <w:r>
        <w:rPr>
          <w:rFonts w:hint="eastAsia"/>
          <w:color w:val="auto"/>
          <w:sz w:val="24"/>
          <w:szCs w:val="24"/>
        </w:rPr>
        <w:t>三、其他类似效力要求：</w:t>
      </w:r>
    </w:p>
    <w:p>
      <w:pPr>
        <w:spacing w:line="560" w:lineRule="exact"/>
        <w:ind w:firstLine="480"/>
        <w:rPr>
          <w:b w:val="0"/>
          <w:color w:val="auto"/>
          <w:sz w:val="24"/>
          <w:szCs w:val="24"/>
        </w:rPr>
      </w:pPr>
      <w:r>
        <w:rPr>
          <w:rFonts w:hint="eastAsia"/>
          <w:b w:val="0"/>
          <w:color w:val="auto"/>
          <w:sz w:val="24"/>
          <w:szCs w:val="24"/>
        </w:rPr>
        <w:t>授权参加本次投标活动的投标人代表。</w:t>
      </w:r>
    </w:p>
    <w:p>
      <w:pPr>
        <w:spacing w:line="560" w:lineRule="exact"/>
        <w:ind w:firstLine="0" w:firstLineChars="0"/>
        <w:rPr>
          <w:color w:val="auto"/>
          <w:sz w:val="24"/>
          <w:szCs w:val="24"/>
        </w:rPr>
      </w:pPr>
      <w:r>
        <w:rPr>
          <w:rFonts w:hint="eastAsia"/>
          <w:color w:val="auto"/>
          <w:sz w:val="24"/>
          <w:szCs w:val="24"/>
        </w:rPr>
        <w:t>四、本项目不接受联合体投标。</w:t>
      </w:r>
    </w:p>
    <w:p>
      <w:pPr>
        <w:pStyle w:val="2"/>
        <w:spacing w:before="109"/>
        <w:ind w:firstLine="480"/>
        <w:rPr>
          <w:color w:val="auto"/>
        </w:rPr>
      </w:pPr>
    </w:p>
    <w:p>
      <w:pPr>
        <w:ind w:firstLine="482"/>
        <w:rPr>
          <w:color w:val="auto"/>
          <w:sz w:val="24"/>
          <w:szCs w:val="24"/>
        </w:rPr>
      </w:pPr>
      <w:r>
        <w:rPr>
          <w:rFonts w:hint="eastAsia"/>
          <w:color w:val="auto"/>
          <w:sz w:val="24"/>
          <w:szCs w:val="24"/>
        </w:rPr>
        <w:t>注：</w:t>
      </w:r>
    </w:p>
    <w:p>
      <w:pPr>
        <w:ind w:firstLine="480"/>
        <w:rPr>
          <w:b w:val="0"/>
          <w:color w:val="auto"/>
          <w:sz w:val="24"/>
          <w:lang w:val="en-US"/>
        </w:rPr>
      </w:pPr>
      <w:r>
        <w:rPr>
          <w:b w:val="0"/>
          <w:color w:val="auto"/>
          <w:sz w:val="24"/>
          <w:lang w:val="en-US"/>
        </w:rPr>
        <w:t>1</w:t>
      </w:r>
      <w:r>
        <w:rPr>
          <w:rFonts w:hint="eastAsia"/>
          <w:b w:val="0"/>
          <w:color w:val="auto"/>
          <w:sz w:val="24"/>
          <w:lang w:val="en-US"/>
        </w:rPr>
        <w:t>.投标人在参加政府采购活动前三年，政府采购合同履约过程中及其他经营活动履约过程中未依法履约被有关部门处罚（处理）的，不能认定为具有良好的商业信誉。</w:t>
      </w:r>
    </w:p>
    <w:p>
      <w:pPr>
        <w:ind w:firstLine="480"/>
        <w:rPr>
          <w:b w:val="0"/>
          <w:color w:val="auto"/>
          <w:sz w:val="24"/>
        </w:rPr>
      </w:pPr>
      <w:r>
        <w:rPr>
          <w:b w:val="0"/>
          <w:color w:val="auto"/>
          <w:sz w:val="24"/>
          <w:lang w:val="en-US"/>
        </w:rPr>
        <w:t>2</w:t>
      </w:r>
      <w:r>
        <w:rPr>
          <w:rFonts w:hint="eastAsia"/>
          <w:b w:val="0"/>
          <w:color w:val="auto"/>
          <w:sz w:val="24"/>
        </w:rPr>
        <w:t>.重大违法记录，是指供应商因违法经营受到刑事处罚或者责令停产停业、吊销许可证或者执照、较大数额罚款等行政处罚。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即《四川省行政处罚听证程序规定》（省政府令第</w:t>
      </w:r>
      <w:r>
        <w:rPr>
          <w:b w:val="0"/>
          <w:color w:val="auto"/>
          <w:sz w:val="24"/>
        </w:rPr>
        <w:t>317号）</w:t>
      </w:r>
      <w:r>
        <w:rPr>
          <w:rFonts w:hint="eastAsia"/>
          <w:b w:val="0"/>
          <w:color w:val="auto"/>
          <w:sz w:val="24"/>
        </w:rPr>
        <w:t>第四条：即本规定所称较大数额，是指对非经营活动中公民的违法行为处以罚款或者没收财产</w:t>
      </w:r>
      <w:r>
        <w:rPr>
          <w:b w:val="0"/>
          <w:color w:val="auto"/>
          <w:sz w:val="24"/>
        </w:rPr>
        <w:t>2000元以上、法人或者其他组织的违法行为处以罚款或者没收财产2万元以上；对在经营活动中的违法行为处以罚款或者没收财产5万元以上。</w:t>
      </w:r>
      <w:r>
        <w:rPr>
          <w:rFonts w:hint="eastAsia"/>
          <w:b w:val="0"/>
          <w:color w:val="auto"/>
          <w:sz w:val="24"/>
        </w:rPr>
        <w:t>国务院有关部门规定的较大数额标准低于前款规定的，从其规定。</w:t>
      </w:r>
    </w:p>
    <w:p>
      <w:pPr>
        <w:ind w:firstLine="480"/>
        <w:rPr>
          <w:b w:val="0"/>
          <w:color w:val="auto"/>
          <w:sz w:val="24"/>
        </w:rPr>
      </w:pPr>
      <w:r>
        <w:rPr>
          <w:rFonts w:hint="eastAsia"/>
          <w:b w:val="0"/>
          <w:color w:val="auto"/>
          <w:sz w:val="24"/>
        </w:rPr>
        <w:t>部分部门较大数额标准：</w:t>
      </w:r>
    </w:p>
    <w:p>
      <w:pPr>
        <w:ind w:firstLine="480"/>
        <w:rPr>
          <w:b w:val="0"/>
          <w:color w:val="auto"/>
          <w:sz w:val="24"/>
        </w:rPr>
      </w:pPr>
      <w:r>
        <w:rPr>
          <w:rFonts w:hint="eastAsia"/>
          <w:b w:val="0"/>
          <w:color w:val="auto"/>
          <w:sz w:val="24"/>
        </w:rPr>
        <w:t>公安部 较大数额罚款金额为1万元以上。</w:t>
      </w:r>
    </w:p>
    <w:p>
      <w:pPr>
        <w:ind w:firstLine="480"/>
        <w:rPr>
          <w:b w:val="0"/>
          <w:color w:val="auto"/>
          <w:sz w:val="24"/>
        </w:rPr>
      </w:pPr>
      <w:r>
        <w:rPr>
          <w:rFonts w:hint="eastAsia"/>
          <w:b w:val="0"/>
          <w:color w:val="auto"/>
          <w:sz w:val="24"/>
        </w:rPr>
        <w:t>依据：《公安机关办理行政案件程序规定》</w:t>
      </w:r>
    </w:p>
    <w:p>
      <w:pPr>
        <w:ind w:firstLine="480"/>
        <w:rPr>
          <w:b w:val="0"/>
          <w:color w:val="auto"/>
          <w:sz w:val="24"/>
        </w:rPr>
      </w:pPr>
      <w:r>
        <w:rPr>
          <w:rFonts w:hint="eastAsia"/>
          <w:b w:val="0"/>
          <w:color w:val="auto"/>
          <w:sz w:val="24"/>
        </w:rPr>
        <w:t>“在作出下列行政处罚决定之前，应当告知违法嫌疑人有要求举行听证的权利：（一）责令停产停业；（二）吊销许可证或者执照；（三）较大数额罚款；（四）法律、法规和规章规定违法嫌疑人可以要求举行听证的其他情形。前款第三项所称 “较大数额罚款 ”，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p>
      <w:pPr>
        <w:ind w:firstLine="480"/>
        <w:rPr>
          <w:b w:val="0"/>
          <w:color w:val="auto"/>
          <w:sz w:val="24"/>
        </w:rPr>
      </w:pPr>
      <w:r>
        <w:rPr>
          <w:rFonts w:hint="eastAsia"/>
          <w:b w:val="0"/>
          <w:color w:val="auto"/>
          <w:sz w:val="24"/>
        </w:rPr>
        <w:t>中国保险监督管理委员会保险机构及保险资产管理机构较大数额罚款金额为20万元以上、分支机构20万元以上；保险中介机构为 30万元以上、分支机构为 10万元；其他为100万元以上。</w:t>
      </w:r>
    </w:p>
    <w:p>
      <w:pPr>
        <w:ind w:firstLine="480"/>
        <w:rPr>
          <w:b w:val="0"/>
          <w:color w:val="auto"/>
          <w:sz w:val="24"/>
        </w:rPr>
      </w:pPr>
      <w:r>
        <w:rPr>
          <w:rFonts w:hint="eastAsia"/>
          <w:b w:val="0"/>
          <w:color w:val="auto"/>
          <w:sz w:val="24"/>
        </w:rPr>
        <w:t>依据：《中国保险监督管理委员会行政处罚程序规定》</w:t>
      </w:r>
    </w:p>
    <w:p>
      <w:pPr>
        <w:ind w:firstLine="480"/>
        <w:rPr>
          <w:b w:val="0"/>
          <w:color w:val="auto"/>
          <w:sz w:val="24"/>
        </w:rPr>
      </w:pPr>
      <w:r>
        <w:rPr>
          <w:rFonts w:hint="eastAsia"/>
          <w:b w:val="0"/>
          <w:color w:val="auto"/>
          <w:sz w:val="24"/>
        </w:rPr>
        <w:t>“中国保监会或者派出机构拟依法作出下列行政处罚的，应当在《行政处罚事先告知书》中一并告知当事人有要求举行听证的权利 :（一）对保险机构及保险资产管理机构法人处以 100万元以上的罚款或者对其分支机构处以 20万元以上的罚款；对保险中介机构法人处以 30万元以上的罚款或者对其分支机构处以 10万元以上的罚款；对其他法人、组织处以 100万元以上的罚款；（二）对个人处以 5万元以上的罚款；（三）限制业务范围；（四）责令停止接受新业务；（五）责令停业整顿；（六）吊销业务许可证；（七）撤销外国保险机构驻华代表机构；（八）撤销任职资格；（九）责令撤换外国保险机构驻华代表机构的首席代表；（十）禁止进入保险业；（十一）法律、行政法规和中国保监会规章规定可以要求听证的其他处罚。”</w:t>
      </w:r>
    </w:p>
    <w:p>
      <w:pPr>
        <w:ind w:firstLine="480"/>
        <w:rPr>
          <w:b w:val="0"/>
          <w:color w:val="auto"/>
          <w:sz w:val="24"/>
        </w:rPr>
      </w:pPr>
      <w:r>
        <w:rPr>
          <w:rFonts w:hint="eastAsia"/>
          <w:b w:val="0"/>
          <w:color w:val="auto"/>
          <w:sz w:val="24"/>
        </w:rPr>
        <w:t>海关 较大数额罚款金额为10万元以上。</w:t>
      </w:r>
    </w:p>
    <w:p>
      <w:pPr>
        <w:ind w:firstLine="480"/>
        <w:rPr>
          <w:b w:val="0"/>
          <w:color w:val="auto"/>
          <w:sz w:val="24"/>
        </w:rPr>
      </w:pPr>
      <w:r>
        <w:rPr>
          <w:rFonts w:hint="eastAsia"/>
          <w:b w:val="0"/>
          <w:color w:val="auto"/>
          <w:sz w:val="24"/>
        </w:rPr>
        <w:t>依据：《海关行政处罚听证办法》</w:t>
      </w:r>
    </w:p>
    <w:p>
      <w:pPr>
        <w:ind w:firstLine="480"/>
        <w:rPr>
          <w:b w:val="0"/>
          <w:color w:val="auto"/>
          <w:sz w:val="24"/>
        </w:rPr>
      </w:pPr>
      <w:r>
        <w:rPr>
          <w:rFonts w:hint="eastAsia"/>
          <w:b w:val="0"/>
          <w:color w:val="auto"/>
          <w:sz w:val="24"/>
        </w:rPr>
        <w:t>“海关作出暂停从事有关业务、撤销海关注册登记、对公民处 1万元以上罚款、对法人或者其他组织处 10万元以上罚款、没收有关货物、物品、走私运输工具等行政处罚决定之前，应当告知当事人有要求举行听证的权利；当事人要求听证的，海关应当组织听证。”</w:t>
      </w:r>
    </w:p>
    <w:p>
      <w:pPr>
        <w:ind w:firstLine="480"/>
        <w:rPr>
          <w:b w:val="0"/>
          <w:color w:val="auto"/>
          <w:sz w:val="24"/>
        </w:rPr>
      </w:pPr>
      <w:r>
        <w:rPr>
          <w:rFonts w:hint="eastAsia"/>
          <w:b w:val="0"/>
          <w:color w:val="auto"/>
          <w:sz w:val="24"/>
        </w:rPr>
        <w:t>财政机关  较大数额罚款金额为5万元以上。</w:t>
      </w:r>
    </w:p>
    <w:p>
      <w:pPr>
        <w:ind w:firstLine="480"/>
        <w:rPr>
          <w:b w:val="0"/>
          <w:color w:val="auto"/>
          <w:sz w:val="24"/>
        </w:rPr>
      </w:pPr>
      <w:r>
        <w:rPr>
          <w:rFonts w:hint="eastAsia"/>
          <w:b w:val="0"/>
          <w:color w:val="auto"/>
          <w:sz w:val="24"/>
        </w:rPr>
        <w:t>依据：《财政机关行政处罚听证实施办法》</w:t>
      </w:r>
    </w:p>
    <w:p>
      <w:pPr>
        <w:ind w:firstLine="480"/>
        <w:rPr>
          <w:b w:val="0"/>
          <w:color w:val="auto"/>
          <w:sz w:val="24"/>
        </w:rPr>
      </w:pPr>
      <w:r>
        <w:rPr>
          <w:rFonts w:hint="eastAsia"/>
          <w:b w:val="0"/>
          <w:color w:val="auto"/>
          <w:sz w:val="24"/>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四）吊销会计从业资格证书；（五）撤销会计师事务所；（六）取消政府采购业务代理资格；（七）较大数额罚款；（八）法律、法规和规章规定的其他应当告知听证权利的事项。财政部以及专员办作出罚款行政处罚的，其 “较大数额罚款 ”的标准为对公民作出 5000元以上罚款，对法人或者其他组织作出 5万元以上罚款。地方财政机关作出罚款行政处罚的，其“较大数额罚款 ”的标准按照各省、自治区、直辖市人大常委会或者人民政府的规定执行。”</w:t>
      </w:r>
    </w:p>
    <w:p>
      <w:pPr>
        <w:ind w:firstLine="480"/>
        <w:rPr>
          <w:b w:val="0"/>
          <w:color w:val="auto"/>
          <w:sz w:val="24"/>
        </w:rPr>
      </w:pPr>
      <w:r>
        <w:rPr>
          <w:rFonts w:hint="eastAsia"/>
          <w:b w:val="0"/>
          <w:color w:val="auto"/>
          <w:sz w:val="24"/>
        </w:rPr>
        <w:t>税务机关 较大数额罚款金额为1万元以上（含1万元）。</w:t>
      </w:r>
    </w:p>
    <w:p>
      <w:pPr>
        <w:ind w:firstLine="480"/>
        <w:rPr>
          <w:b w:val="0"/>
          <w:color w:val="auto"/>
          <w:sz w:val="24"/>
        </w:rPr>
      </w:pPr>
      <w:r>
        <w:rPr>
          <w:rFonts w:hint="eastAsia"/>
          <w:b w:val="0"/>
          <w:color w:val="auto"/>
          <w:sz w:val="24"/>
        </w:rPr>
        <w:t>依据：《税务行政处罚听证程序实施办法（试行）》</w:t>
      </w:r>
    </w:p>
    <w:p>
      <w:pPr>
        <w:ind w:firstLine="480"/>
        <w:rPr>
          <w:b w:val="0"/>
          <w:color w:val="auto"/>
          <w:sz w:val="24"/>
        </w:rPr>
      </w:pPr>
      <w:r>
        <w:rPr>
          <w:rFonts w:hint="eastAsia"/>
          <w:b w:val="0"/>
          <w:color w:val="auto"/>
          <w:sz w:val="24"/>
        </w:rPr>
        <w:t>“税务机关对公民作出2000元以上（含本数）罚款或者对法人或者其他组织作出1万元以上（含本数）罚款的行政处罚之前，应当向当事人送达《税务行政处罚事项告知书》，告知当事人已经查明的违法事实、证据、行政处罚的法律依据和拟将给予的行政处罚，并告知有要求举行听证的权利。”</w:t>
      </w:r>
    </w:p>
    <w:p>
      <w:pPr>
        <w:ind w:firstLine="480"/>
        <w:rPr>
          <w:b w:val="0"/>
          <w:color w:val="auto"/>
          <w:sz w:val="24"/>
        </w:rPr>
      </w:pPr>
      <w:r>
        <w:rPr>
          <w:rFonts w:hint="eastAsia"/>
          <w:b w:val="0"/>
          <w:color w:val="auto"/>
          <w:sz w:val="24"/>
        </w:rPr>
        <w:t>国家外汇管理局  较大数额罚款金额为100万元以上。</w:t>
      </w:r>
    </w:p>
    <w:p>
      <w:pPr>
        <w:ind w:firstLine="480"/>
        <w:rPr>
          <w:b w:val="0"/>
          <w:color w:val="auto"/>
          <w:sz w:val="24"/>
        </w:rPr>
      </w:pPr>
      <w:r>
        <w:rPr>
          <w:rFonts w:hint="eastAsia"/>
          <w:b w:val="0"/>
          <w:color w:val="auto"/>
          <w:sz w:val="24"/>
        </w:rPr>
        <w:t>依据：《国家外汇管理局行政处罚听证程序》</w:t>
      </w:r>
    </w:p>
    <w:p>
      <w:pPr>
        <w:ind w:firstLine="480"/>
        <w:rPr>
          <w:b w:val="0"/>
          <w:color w:val="auto"/>
          <w:sz w:val="24"/>
        </w:rPr>
      </w:pPr>
      <w:r>
        <w:rPr>
          <w:rFonts w:hint="eastAsia"/>
          <w:b w:val="0"/>
          <w:color w:val="auto"/>
          <w:sz w:val="24"/>
        </w:rPr>
        <w:t>外汇局作出下列重大处罚决定前，应当告知当事人有要求举行听证的权利：</w:t>
      </w:r>
    </w:p>
    <w:p>
      <w:pPr>
        <w:ind w:firstLine="480"/>
        <w:rPr>
          <w:b w:val="0"/>
          <w:color w:val="auto"/>
          <w:sz w:val="24"/>
        </w:rPr>
      </w:pPr>
      <w:r>
        <w:rPr>
          <w:rFonts w:hint="eastAsia"/>
          <w:b w:val="0"/>
          <w:color w:val="auto"/>
          <w:sz w:val="24"/>
        </w:rPr>
        <w:t>（一）责令暂停或者停止经营结售汇业务；</w:t>
      </w:r>
    </w:p>
    <w:p>
      <w:pPr>
        <w:ind w:firstLine="480"/>
        <w:rPr>
          <w:b w:val="0"/>
          <w:color w:val="auto"/>
          <w:sz w:val="24"/>
        </w:rPr>
      </w:pPr>
      <w:r>
        <w:rPr>
          <w:rFonts w:hint="eastAsia"/>
          <w:b w:val="0"/>
          <w:color w:val="auto"/>
          <w:sz w:val="24"/>
        </w:rPr>
        <w:t>（二）责令暂停经营外汇业务或者吊销经营外汇业务许可证；</w:t>
      </w:r>
    </w:p>
    <w:p>
      <w:pPr>
        <w:ind w:firstLine="480"/>
        <w:rPr>
          <w:b w:val="0"/>
          <w:color w:val="auto"/>
          <w:sz w:val="24"/>
        </w:rPr>
      </w:pPr>
      <w:r>
        <w:rPr>
          <w:rFonts w:hint="eastAsia"/>
          <w:b w:val="0"/>
          <w:color w:val="auto"/>
          <w:sz w:val="24"/>
        </w:rPr>
        <w:t>（三）较大数额罚没款；</w:t>
      </w:r>
    </w:p>
    <w:p>
      <w:pPr>
        <w:ind w:firstLine="480"/>
        <w:rPr>
          <w:b w:val="0"/>
          <w:color w:val="auto"/>
          <w:sz w:val="24"/>
        </w:rPr>
      </w:pPr>
      <w:r>
        <w:rPr>
          <w:rFonts w:hint="eastAsia"/>
          <w:b w:val="0"/>
          <w:color w:val="auto"/>
          <w:sz w:val="24"/>
        </w:rPr>
        <w:t>（四）其他法律、行政法规规定应当举行听证的。</w:t>
      </w:r>
    </w:p>
    <w:p>
      <w:pPr>
        <w:ind w:firstLine="480"/>
        <w:rPr>
          <w:b w:val="0"/>
          <w:color w:val="auto"/>
          <w:sz w:val="24"/>
        </w:rPr>
      </w:pPr>
      <w:r>
        <w:rPr>
          <w:rFonts w:hint="eastAsia"/>
          <w:b w:val="0"/>
          <w:color w:val="auto"/>
          <w:sz w:val="24"/>
        </w:rPr>
        <w:t>前款（三）项所称较大数额罚没款，是指对自然人的违法行为处以5万元人民币以上，对法人或者其他经济组织经营活动中的违法行为处以100万元人民币以上的罚没款。”</w:t>
      </w:r>
    </w:p>
    <w:p>
      <w:pPr>
        <w:ind w:firstLine="480"/>
        <w:rPr>
          <w:b w:val="0"/>
          <w:color w:val="auto"/>
          <w:sz w:val="24"/>
        </w:rPr>
      </w:pPr>
      <w:r>
        <w:rPr>
          <w:rFonts w:hint="eastAsia"/>
          <w:b w:val="0"/>
          <w:color w:val="auto"/>
          <w:sz w:val="24"/>
        </w:rPr>
        <w:t>人民银行 较大数额罚款金额为县级支行5万元、地市级分行20万元、省级分行50万元、总行300万元以上。</w:t>
      </w:r>
    </w:p>
    <w:p>
      <w:pPr>
        <w:ind w:firstLine="480"/>
        <w:rPr>
          <w:b w:val="0"/>
          <w:color w:val="auto"/>
          <w:sz w:val="24"/>
        </w:rPr>
      </w:pPr>
      <w:r>
        <w:rPr>
          <w:rFonts w:hint="eastAsia"/>
          <w:b w:val="0"/>
          <w:color w:val="auto"/>
          <w:sz w:val="24"/>
        </w:rPr>
        <w:t>依据：《关于确定中国人民银行举行听证的较大数额罚款幅度的通知》</w:t>
      </w:r>
    </w:p>
    <w:p>
      <w:pPr>
        <w:ind w:firstLine="480"/>
        <w:rPr>
          <w:color w:val="auto"/>
          <w:sz w:val="24"/>
          <w:szCs w:val="24"/>
        </w:rPr>
      </w:pPr>
      <w:r>
        <w:rPr>
          <w:rFonts w:hint="eastAsia"/>
          <w:b w:val="0"/>
          <w:color w:val="auto"/>
          <w:sz w:val="24"/>
        </w:rPr>
        <w:t>注：有新标准的，以新标准为准。</w:t>
      </w:r>
    </w:p>
    <w:p>
      <w:pPr>
        <w:ind w:firstLine="482"/>
        <w:rPr>
          <w:color w:val="auto"/>
          <w:sz w:val="24"/>
          <w:szCs w:val="24"/>
        </w:rPr>
      </w:pPr>
      <w:r>
        <w:rPr>
          <w:rFonts w:hint="eastAsia"/>
          <w:color w:val="auto"/>
          <w:sz w:val="24"/>
          <w:szCs w:val="24"/>
        </w:rPr>
        <w:t>3</w:t>
      </w:r>
      <w:r>
        <w:rPr>
          <w:color w:val="auto"/>
          <w:sz w:val="24"/>
          <w:szCs w:val="24"/>
        </w:rPr>
        <w:t>.</w:t>
      </w:r>
      <w:r>
        <w:rPr>
          <w:rFonts w:hint="eastAsia"/>
          <w:color w:val="auto"/>
          <w:sz w:val="24"/>
          <w:szCs w:val="24"/>
        </w:rPr>
        <w:t>投标人和投标产品的资格、资质性及其他具有类似效力的要求的证明材料详见招标文件第5章。</w:t>
      </w:r>
    </w:p>
    <w:p>
      <w:pPr>
        <w:ind w:firstLine="482"/>
        <w:rPr>
          <w:color w:val="auto"/>
          <w:sz w:val="24"/>
          <w:szCs w:val="24"/>
        </w:rPr>
      </w:pPr>
    </w:p>
    <w:p>
      <w:pPr>
        <w:ind w:firstLine="482"/>
        <w:rPr>
          <w:color w:val="auto"/>
          <w:sz w:val="24"/>
          <w:szCs w:val="24"/>
        </w:rPr>
      </w:pPr>
    </w:p>
    <w:p>
      <w:pPr>
        <w:ind w:firstLine="482"/>
        <w:rPr>
          <w:color w:val="auto"/>
          <w:sz w:val="24"/>
          <w:szCs w:val="24"/>
        </w:rPr>
      </w:pPr>
    </w:p>
    <w:p>
      <w:pPr>
        <w:ind w:firstLine="482"/>
        <w:rPr>
          <w:color w:val="auto"/>
          <w:sz w:val="24"/>
          <w:szCs w:val="24"/>
        </w:rPr>
      </w:pPr>
    </w:p>
    <w:p>
      <w:pPr>
        <w:ind w:firstLine="482"/>
        <w:rPr>
          <w:color w:val="auto"/>
          <w:sz w:val="24"/>
          <w:szCs w:val="24"/>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3"/>
        <w:keepNext w:val="0"/>
        <w:numPr>
          <w:ilvl w:val="0"/>
          <w:numId w:val="16"/>
        </w:numPr>
        <w:spacing w:before="0" w:after="0" w:line="360" w:lineRule="auto"/>
        <w:ind w:left="0" w:firstLine="0"/>
        <w:rPr>
          <w:b/>
          <w:color w:val="auto"/>
        </w:rPr>
      </w:pPr>
      <w:bookmarkStart w:id="517" w:name="_Toc325356173"/>
      <w:bookmarkStart w:id="518" w:name="_Toc353972070"/>
      <w:bookmarkStart w:id="519" w:name="_Toc494198617"/>
      <w:r>
        <w:rPr>
          <w:rFonts w:hint="eastAsia"/>
          <w:b/>
          <w:color w:val="auto"/>
        </w:rPr>
        <w:t xml:space="preserve"> </w:t>
      </w:r>
      <w:bookmarkStart w:id="520" w:name="_Toc8421"/>
      <w:r>
        <w:rPr>
          <w:rFonts w:hint="eastAsia"/>
          <w:b/>
          <w:color w:val="auto"/>
        </w:rPr>
        <w:t>投标人应当提供的资格、资质性及其他具有类似效力的要求的相关证明材料</w:t>
      </w:r>
      <w:bookmarkEnd w:id="517"/>
      <w:bookmarkEnd w:id="518"/>
      <w:bookmarkEnd w:id="519"/>
      <w:bookmarkEnd w:id="520"/>
      <w:bookmarkStart w:id="521" w:name="_Toc353972071"/>
      <w:r>
        <w:rPr>
          <w:rFonts w:hint="eastAsia"/>
          <w:b/>
          <w:color w:val="auto"/>
        </w:rPr>
        <w:t xml:space="preserve"> </w:t>
      </w:r>
    </w:p>
    <w:bookmarkEnd w:id="521"/>
    <w:p>
      <w:pPr>
        <w:spacing w:line="520" w:lineRule="exact"/>
        <w:ind w:firstLine="0" w:firstLineChars="0"/>
        <w:rPr>
          <w:color w:val="auto"/>
          <w:sz w:val="24"/>
          <w:szCs w:val="24"/>
        </w:rPr>
      </w:pPr>
      <w:r>
        <w:rPr>
          <w:rFonts w:hint="eastAsia"/>
          <w:color w:val="auto"/>
          <w:sz w:val="24"/>
          <w:szCs w:val="24"/>
        </w:rPr>
        <w:t>一、投标人的资格、资质性要求相关证明材料：</w:t>
      </w:r>
    </w:p>
    <w:p>
      <w:pPr>
        <w:spacing w:line="520" w:lineRule="exact"/>
        <w:ind w:firstLine="480"/>
        <w:rPr>
          <w:b w:val="0"/>
          <w:color w:val="auto"/>
          <w:sz w:val="24"/>
          <w:szCs w:val="24"/>
        </w:rPr>
      </w:pPr>
      <w:r>
        <w:rPr>
          <w:rFonts w:hint="eastAsia"/>
          <w:b w:val="0"/>
          <w:color w:val="auto"/>
          <w:sz w:val="24"/>
          <w:szCs w:val="24"/>
        </w:rPr>
        <w:t>1、具有独立承担民事责任能力的证明材料复印件（①供应商是企业法人的提供营业执照，是社会团体、事业单位的提供法人证书，是非企业专业服务机构的提供执业许可，是自然人的提供自然人身份证明；②加盖投标人公章。）；</w:t>
      </w:r>
    </w:p>
    <w:p>
      <w:pPr>
        <w:spacing w:line="520" w:lineRule="exact"/>
        <w:ind w:firstLine="480"/>
        <w:rPr>
          <w:b w:val="0"/>
          <w:color w:val="auto"/>
          <w:sz w:val="24"/>
          <w:szCs w:val="24"/>
        </w:rPr>
      </w:pPr>
      <w:r>
        <w:rPr>
          <w:rFonts w:hint="eastAsia"/>
          <w:b w:val="0"/>
          <w:color w:val="auto"/>
          <w:sz w:val="24"/>
          <w:szCs w:val="24"/>
        </w:rPr>
        <w:t>2、具有良好的商业信誉和健全的财务会计制度的证明材料（加盖投标人公章）：</w:t>
      </w:r>
    </w:p>
    <w:p>
      <w:pPr>
        <w:spacing w:line="520" w:lineRule="exact"/>
        <w:ind w:firstLine="480"/>
        <w:rPr>
          <w:b w:val="0"/>
          <w:color w:val="auto"/>
          <w:sz w:val="24"/>
          <w:szCs w:val="24"/>
        </w:rPr>
      </w:pPr>
      <w:r>
        <w:rPr>
          <w:rFonts w:hint="eastAsia"/>
          <w:b w:val="0"/>
          <w:color w:val="auto"/>
          <w:sz w:val="24"/>
          <w:szCs w:val="24"/>
        </w:rPr>
        <w:t>（1）提供具有良好的商业信誉承诺函原件；</w:t>
      </w:r>
    </w:p>
    <w:p>
      <w:pPr>
        <w:spacing w:line="520" w:lineRule="exact"/>
        <w:ind w:firstLine="480"/>
        <w:rPr>
          <w:b w:val="0"/>
          <w:color w:val="auto"/>
          <w:sz w:val="24"/>
          <w:szCs w:val="24"/>
        </w:rPr>
      </w:pPr>
      <w:r>
        <w:rPr>
          <w:rFonts w:hint="eastAsia"/>
          <w:b w:val="0"/>
          <w:color w:val="auto"/>
          <w:sz w:val="24"/>
          <w:szCs w:val="24"/>
        </w:rPr>
        <w:t>（2）</w:t>
      </w:r>
      <w:bookmarkStart w:id="522" w:name="_Hlk66265233"/>
      <w:r>
        <w:rPr>
          <w:rFonts w:hint="eastAsia"/>
          <w:b w:val="0"/>
          <w:color w:val="auto"/>
          <w:sz w:val="24"/>
          <w:szCs w:val="24"/>
        </w:rPr>
        <w:t>健全的财务会计制度的证明材料</w:t>
      </w:r>
      <w:bookmarkEnd w:id="522"/>
      <w:r>
        <w:rPr>
          <w:rFonts w:hint="eastAsia"/>
          <w:b w:val="0"/>
          <w:color w:val="auto"/>
          <w:sz w:val="24"/>
          <w:szCs w:val="24"/>
        </w:rPr>
        <w:t>：①2019年度或2020年度经审计的财务报告（包含审计报告和审计报告中所涉及的财务报表、报表附注和出具报告机构、人员的证照）复印件或②供应商内部出具的2019年度或2020年度财务报表复印件（至少包含资产负债表）或③银行出具的资信证明复印件；</w:t>
      </w:r>
    </w:p>
    <w:p>
      <w:pPr>
        <w:spacing w:line="520" w:lineRule="exact"/>
        <w:ind w:firstLine="480"/>
        <w:rPr>
          <w:b w:val="0"/>
          <w:color w:val="auto"/>
          <w:sz w:val="24"/>
          <w:szCs w:val="24"/>
        </w:rPr>
      </w:pPr>
      <w:r>
        <w:rPr>
          <w:rFonts w:hint="eastAsia"/>
          <w:b w:val="0"/>
          <w:color w:val="auto"/>
          <w:sz w:val="24"/>
          <w:szCs w:val="24"/>
        </w:rPr>
        <w:t>注：a.以上</w:t>
      </w:r>
      <w:r>
        <w:rPr>
          <w:b w:val="0"/>
          <w:color w:val="auto"/>
          <w:sz w:val="24"/>
          <w:szCs w:val="24"/>
        </w:rPr>
        <w:t>①</w:t>
      </w:r>
      <w:r>
        <w:rPr>
          <w:rFonts w:hint="eastAsia"/>
          <w:b w:val="0"/>
          <w:color w:val="auto"/>
          <w:sz w:val="24"/>
          <w:szCs w:val="24"/>
        </w:rPr>
        <w:t>②③提供任意一项即可；b.供应商</w:t>
      </w:r>
      <w:r>
        <w:rPr>
          <w:b w:val="0"/>
          <w:color w:val="auto"/>
          <w:sz w:val="24"/>
          <w:szCs w:val="24"/>
        </w:rPr>
        <w:t>成立时间至递交投标文件截止时间为止不足一年的，提供任意时间段的资产负债表复印件或银行出具的资信证明复印件</w:t>
      </w:r>
      <w:r>
        <w:rPr>
          <w:rFonts w:hint="eastAsia"/>
          <w:b w:val="0"/>
          <w:color w:val="auto"/>
          <w:sz w:val="24"/>
          <w:szCs w:val="24"/>
        </w:rPr>
        <w:t>即可；c.供应商</w:t>
      </w:r>
      <w:r>
        <w:rPr>
          <w:b w:val="0"/>
          <w:color w:val="auto"/>
          <w:sz w:val="24"/>
          <w:szCs w:val="24"/>
        </w:rPr>
        <w:t>为事业单位或其他组织的提供其具有健全的财务会计制度的承诺函原件</w:t>
      </w:r>
      <w:r>
        <w:rPr>
          <w:rFonts w:hint="eastAsia"/>
          <w:b w:val="0"/>
          <w:color w:val="auto"/>
          <w:sz w:val="24"/>
          <w:szCs w:val="24"/>
        </w:rPr>
        <w:t>即可</w:t>
      </w:r>
      <w:r>
        <w:rPr>
          <w:b w:val="0"/>
          <w:color w:val="auto"/>
          <w:sz w:val="24"/>
          <w:szCs w:val="24"/>
        </w:rPr>
        <w:t>；</w:t>
      </w:r>
    </w:p>
    <w:p>
      <w:pPr>
        <w:spacing w:line="520" w:lineRule="exact"/>
        <w:ind w:firstLine="480"/>
        <w:rPr>
          <w:b w:val="0"/>
          <w:color w:val="auto"/>
          <w:sz w:val="24"/>
          <w:szCs w:val="24"/>
        </w:rPr>
      </w:pPr>
      <w:r>
        <w:rPr>
          <w:rFonts w:hint="eastAsia"/>
          <w:b w:val="0"/>
          <w:color w:val="auto"/>
          <w:sz w:val="24"/>
          <w:szCs w:val="24"/>
        </w:rPr>
        <w:t>3、</w:t>
      </w:r>
      <w:r>
        <w:rPr>
          <w:b w:val="0"/>
          <w:color w:val="auto"/>
          <w:sz w:val="24"/>
          <w:szCs w:val="24"/>
        </w:rPr>
        <w:t>具备履行合同所必需的设备和专业技术能力的证明材料</w:t>
      </w:r>
      <w:r>
        <w:rPr>
          <w:rFonts w:hint="eastAsia"/>
          <w:b w:val="0"/>
          <w:color w:val="auto"/>
          <w:sz w:val="24"/>
          <w:szCs w:val="24"/>
        </w:rPr>
        <w:t xml:space="preserve"> （承诺函原件并加盖投标人公章）；</w:t>
      </w:r>
    </w:p>
    <w:p>
      <w:pPr>
        <w:spacing w:line="520" w:lineRule="exact"/>
        <w:ind w:firstLine="480"/>
        <w:rPr>
          <w:b w:val="0"/>
          <w:color w:val="auto"/>
          <w:sz w:val="24"/>
          <w:szCs w:val="24"/>
        </w:rPr>
      </w:pPr>
      <w:r>
        <w:rPr>
          <w:rFonts w:hint="eastAsia"/>
          <w:b w:val="0"/>
          <w:color w:val="auto"/>
          <w:sz w:val="24"/>
          <w:szCs w:val="24"/>
        </w:rPr>
        <w:t>4、具有依法缴纳税收和社会保障资金的良好记录</w:t>
      </w:r>
      <w:r>
        <w:rPr>
          <w:b w:val="0"/>
          <w:color w:val="auto"/>
          <w:sz w:val="24"/>
          <w:szCs w:val="24"/>
        </w:rPr>
        <w:t>的相关材料</w:t>
      </w:r>
      <w:r>
        <w:rPr>
          <w:rFonts w:hint="eastAsia"/>
          <w:b w:val="0"/>
          <w:color w:val="auto"/>
          <w:sz w:val="24"/>
          <w:szCs w:val="24"/>
        </w:rPr>
        <w:t>（加盖投标人公章）：</w:t>
      </w:r>
    </w:p>
    <w:p>
      <w:pPr>
        <w:spacing w:line="520" w:lineRule="exact"/>
        <w:ind w:firstLine="480"/>
        <w:rPr>
          <w:b w:val="0"/>
          <w:color w:val="auto"/>
          <w:sz w:val="24"/>
          <w:szCs w:val="24"/>
        </w:rPr>
      </w:pPr>
      <w:r>
        <w:rPr>
          <w:rFonts w:hint="eastAsia"/>
          <w:b w:val="0"/>
          <w:color w:val="auto"/>
          <w:sz w:val="24"/>
          <w:szCs w:val="24"/>
        </w:rPr>
        <w:t>（</w:t>
      </w:r>
      <w:r>
        <w:rPr>
          <w:b w:val="0"/>
          <w:color w:val="auto"/>
          <w:sz w:val="24"/>
          <w:szCs w:val="24"/>
        </w:rPr>
        <w:t>1）</w:t>
      </w:r>
      <w:r>
        <w:rPr>
          <w:rFonts w:hint="eastAsia"/>
          <w:b w:val="0"/>
          <w:color w:val="auto"/>
          <w:sz w:val="24"/>
          <w:szCs w:val="24"/>
        </w:rPr>
        <w:t>202</w:t>
      </w:r>
      <w:r>
        <w:rPr>
          <w:rFonts w:hint="eastAsia"/>
          <w:b w:val="0"/>
          <w:color w:val="auto"/>
          <w:sz w:val="24"/>
          <w:szCs w:val="24"/>
          <w:lang w:val="en-US"/>
        </w:rPr>
        <w:t>1</w:t>
      </w:r>
      <w:r>
        <w:rPr>
          <w:rFonts w:hint="eastAsia"/>
          <w:b w:val="0"/>
          <w:color w:val="auto"/>
          <w:sz w:val="24"/>
          <w:szCs w:val="24"/>
        </w:rPr>
        <w:t>年以来任意1个月的税收缴纳证明材料复印件或税收缴纳的承诺函原件（注：缴纳的税收所属期限应为</w:t>
      </w:r>
      <w:r>
        <w:rPr>
          <w:b w:val="0"/>
          <w:color w:val="auto"/>
          <w:sz w:val="24"/>
          <w:szCs w:val="24"/>
        </w:rPr>
        <w:t>202</w:t>
      </w:r>
      <w:r>
        <w:rPr>
          <w:rFonts w:hint="eastAsia"/>
          <w:b w:val="0"/>
          <w:color w:val="auto"/>
          <w:sz w:val="24"/>
          <w:szCs w:val="24"/>
          <w:lang w:val="en-US"/>
        </w:rPr>
        <w:t>1</w:t>
      </w:r>
      <w:r>
        <w:rPr>
          <w:b w:val="0"/>
          <w:color w:val="auto"/>
          <w:sz w:val="24"/>
          <w:szCs w:val="24"/>
        </w:rPr>
        <w:t>年以来的任意1个月或多个月，证明材料可为银行电子回单或者税务部门出具的纳税证明或完税证明或有效票据的复印件</w:t>
      </w:r>
      <w:r>
        <w:rPr>
          <w:rFonts w:hint="eastAsia"/>
          <w:b w:val="0"/>
          <w:color w:val="auto"/>
          <w:sz w:val="24"/>
          <w:szCs w:val="24"/>
        </w:rPr>
        <w:t>）；</w:t>
      </w:r>
    </w:p>
    <w:p>
      <w:pPr>
        <w:spacing w:line="520" w:lineRule="exact"/>
        <w:ind w:firstLine="480"/>
        <w:rPr>
          <w:b w:val="0"/>
          <w:color w:val="auto"/>
          <w:sz w:val="24"/>
          <w:szCs w:val="24"/>
        </w:rPr>
      </w:pPr>
      <w:r>
        <w:rPr>
          <w:rFonts w:hint="eastAsia"/>
          <w:b w:val="0"/>
          <w:color w:val="auto"/>
          <w:sz w:val="24"/>
          <w:szCs w:val="24"/>
        </w:rPr>
        <w:t>（2）202</w:t>
      </w:r>
      <w:r>
        <w:rPr>
          <w:rFonts w:hint="eastAsia"/>
          <w:b w:val="0"/>
          <w:color w:val="auto"/>
          <w:sz w:val="24"/>
          <w:szCs w:val="24"/>
          <w:lang w:val="en-US"/>
        </w:rPr>
        <w:t>1</w:t>
      </w:r>
      <w:r>
        <w:rPr>
          <w:rFonts w:hint="eastAsia"/>
          <w:b w:val="0"/>
          <w:color w:val="auto"/>
          <w:sz w:val="24"/>
          <w:szCs w:val="24"/>
        </w:rPr>
        <w:t>年以来任意1个月的社保缴纳证明材料复印件或社保缴纳的承诺函原件（注：缴纳的社保所属期限应为</w:t>
      </w:r>
      <w:r>
        <w:rPr>
          <w:b w:val="0"/>
          <w:color w:val="auto"/>
          <w:sz w:val="24"/>
          <w:szCs w:val="24"/>
        </w:rPr>
        <w:t>202</w:t>
      </w:r>
      <w:r>
        <w:rPr>
          <w:rFonts w:hint="eastAsia"/>
          <w:b w:val="0"/>
          <w:color w:val="auto"/>
          <w:sz w:val="24"/>
          <w:szCs w:val="24"/>
          <w:lang w:val="en-US"/>
        </w:rPr>
        <w:t>1</w:t>
      </w:r>
      <w:r>
        <w:rPr>
          <w:b w:val="0"/>
          <w:color w:val="auto"/>
          <w:sz w:val="24"/>
          <w:szCs w:val="24"/>
        </w:rPr>
        <w:t>年以来的任意1个月或多个月，证明材料可为银行电子回单或社保部门出具的社保缴纳证明材料或有效票据复印件</w:t>
      </w:r>
      <w:r>
        <w:rPr>
          <w:rFonts w:hint="eastAsia"/>
          <w:b w:val="0"/>
          <w:color w:val="auto"/>
          <w:sz w:val="24"/>
          <w:szCs w:val="24"/>
        </w:rPr>
        <w:t>）</w:t>
      </w:r>
      <w:r>
        <w:rPr>
          <w:b w:val="0"/>
          <w:color w:val="auto"/>
          <w:sz w:val="24"/>
          <w:szCs w:val="24"/>
        </w:rPr>
        <w:t>；</w:t>
      </w:r>
    </w:p>
    <w:p>
      <w:pPr>
        <w:spacing w:line="520" w:lineRule="exact"/>
        <w:ind w:firstLine="480"/>
        <w:rPr>
          <w:b w:val="0"/>
          <w:color w:val="auto"/>
          <w:sz w:val="24"/>
          <w:szCs w:val="24"/>
        </w:rPr>
      </w:pPr>
      <w:r>
        <w:rPr>
          <w:rFonts w:hint="eastAsia"/>
          <w:b w:val="0"/>
          <w:color w:val="auto"/>
          <w:sz w:val="24"/>
          <w:szCs w:val="24"/>
        </w:rPr>
        <w:t>5、参加本次政府采购活动前三年内，在经营活动中没有重大违法记录的证明材料（承诺函原件并加盖投标人公章）；</w:t>
      </w:r>
    </w:p>
    <w:p>
      <w:pPr>
        <w:spacing w:line="520" w:lineRule="exact"/>
        <w:ind w:firstLine="480"/>
        <w:rPr>
          <w:b w:val="0"/>
          <w:color w:val="auto"/>
          <w:sz w:val="24"/>
          <w:szCs w:val="24"/>
        </w:rPr>
      </w:pPr>
      <w:r>
        <w:rPr>
          <w:rFonts w:hint="eastAsia"/>
          <w:b w:val="0"/>
          <w:color w:val="auto"/>
          <w:sz w:val="24"/>
          <w:szCs w:val="24"/>
        </w:rPr>
        <w:t>6、具备法律、行政法规规定的其他条件的证明材料复印件或承诺函原件（加盖投标人公章）；</w:t>
      </w:r>
    </w:p>
    <w:p>
      <w:pPr>
        <w:spacing w:line="520" w:lineRule="exact"/>
        <w:ind w:firstLine="480"/>
        <w:rPr>
          <w:b w:val="0"/>
          <w:color w:val="auto"/>
          <w:sz w:val="24"/>
          <w:szCs w:val="24"/>
        </w:rPr>
      </w:pPr>
      <w:r>
        <w:rPr>
          <w:rFonts w:hint="eastAsia"/>
          <w:b w:val="0"/>
          <w:color w:val="auto"/>
          <w:sz w:val="24"/>
          <w:szCs w:val="24"/>
        </w:rPr>
        <w:t>7、采购人根据采购项目提出的特殊条件证明材料：</w:t>
      </w:r>
    </w:p>
    <w:p>
      <w:pPr>
        <w:tabs>
          <w:tab w:val="left" w:pos="1134"/>
        </w:tabs>
        <w:spacing w:line="520" w:lineRule="atLeast"/>
        <w:ind w:firstLine="480"/>
        <w:jc w:val="left"/>
        <w:rPr>
          <w:b w:val="0"/>
          <w:color w:val="auto"/>
          <w:kern w:val="2"/>
          <w:sz w:val="24"/>
          <w:szCs w:val="24"/>
          <w:lang w:val="en-US"/>
        </w:rPr>
      </w:pPr>
      <w:r>
        <w:rPr>
          <w:rFonts w:hint="eastAsia"/>
          <w:b w:val="0"/>
          <w:color w:val="auto"/>
          <w:kern w:val="2"/>
          <w:sz w:val="24"/>
          <w:szCs w:val="24"/>
          <w:lang w:val="en-US"/>
        </w:rPr>
        <w:t>（1）按招标文件要求报名成功的证明材料（采购代理机构出具的报名登记表即可，供应商无须提供）；</w:t>
      </w:r>
    </w:p>
    <w:p>
      <w:pPr>
        <w:spacing w:line="520" w:lineRule="exact"/>
        <w:ind w:firstLine="480"/>
        <w:rPr>
          <w:b w:val="0"/>
          <w:color w:val="auto"/>
          <w:kern w:val="2"/>
          <w:sz w:val="24"/>
          <w:szCs w:val="24"/>
          <w:lang w:val="en-US"/>
        </w:rPr>
      </w:pPr>
      <w:r>
        <w:rPr>
          <w:rFonts w:hint="eastAsia"/>
          <w:b w:val="0"/>
          <w:color w:val="auto"/>
          <w:kern w:val="2"/>
          <w:sz w:val="24"/>
          <w:szCs w:val="24"/>
          <w:lang w:val="en-US"/>
        </w:rPr>
        <w:t>（2）根据《关于在政府采购活动中查询及使用信用记录有关问题的通知》（财库〔</w:t>
      </w:r>
      <w:r>
        <w:rPr>
          <w:b w:val="0"/>
          <w:color w:val="auto"/>
          <w:kern w:val="2"/>
          <w:sz w:val="24"/>
          <w:szCs w:val="24"/>
          <w:lang w:val="en-US"/>
        </w:rPr>
        <w:t>2016〕125号）的要求，采购代理机构将通过“信用中国”网站（www.creditchina.gov.cn）、“中国政府采购网”网站（www.ccgp.gov.cn）等渠道查询供应商在开标当日之前的信用信息记录并保存信用记录结果网页截图，拒绝</w:t>
      </w:r>
      <w:r>
        <w:rPr>
          <w:rFonts w:hint="eastAsia"/>
          <w:b w:val="0"/>
          <w:color w:val="auto"/>
          <w:kern w:val="2"/>
          <w:sz w:val="24"/>
          <w:szCs w:val="24"/>
          <w:lang w:val="en-US"/>
        </w:rPr>
        <w:t>列入失信被执行人、重大税收违法案件当事人名单、政府采购严重违法失信行为记录名单的供应商</w:t>
      </w:r>
      <w:r>
        <w:rPr>
          <w:b w:val="0"/>
          <w:color w:val="auto"/>
          <w:kern w:val="2"/>
          <w:sz w:val="24"/>
          <w:szCs w:val="24"/>
          <w:lang w:val="en-US"/>
        </w:rPr>
        <w:t>参加本项目的采购活动</w:t>
      </w:r>
      <w:r>
        <w:rPr>
          <w:rFonts w:hint="eastAsia"/>
          <w:b w:val="0"/>
          <w:color w:val="auto"/>
          <w:kern w:val="2"/>
          <w:sz w:val="24"/>
          <w:szCs w:val="24"/>
          <w:lang w:val="en-US"/>
        </w:rPr>
        <w:t>（采购代理机构出具的</w:t>
      </w:r>
      <w:r>
        <w:rPr>
          <w:b w:val="0"/>
          <w:color w:val="auto"/>
          <w:kern w:val="2"/>
          <w:sz w:val="24"/>
          <w:szCs w:val="24"/>
          <w:lang w:val="en-US"/>
        </w:rPr>
        <w:t>信用记录结果网页截图</w:t>
      </w:r>
      <w:r>
        <w:rPr>
          <w:rFonts w:hint="eastAsia"/>
          <w:b w:val="0"/>
          <w:color w:val="auto"/>
          <w:kern w:val="2"/>
          <w:sz w:val="24"/>
          <w:szCs w:val="24"/>
          <w:lang w:val="en-US"/>
        </w:rPr>
        <w:t>即可，供应商无须提供）；</w:t>
      </w:r>
    </w:p>
    <w:p>
      <w:pPr>
        <w:spacing w:line="520" w:lineRule="exact"/>
        <w:ind w:firstLine="480"/>
        <w:rPr>
          <w:b w:val="0"/>
          <w:color w:val="auto"/>
          <w:kern w:val="2"/>
          <w:sz w:val="24"/>
          <w:szCs w:val="24"/>
          <w:lang w:val="en-US"/>
        </w:rPr>
      </w:pPr>
      <w:r>
        <w:rPr>
          <w:rFonts w:hint="eastAsia"/>
          <w:b w:val="0"/>
          <w:color w:val="auto"/>
          <w:kern w:val="2"/>
          <w:sz w:val="24"/>
          <w:szCs w:val="24"/>
          <w:lang w:val="en-US"/>
        </w:rPr>
        <w:t>（3）不属于其他国家相关法律法规规定的禁止参加投标的供应商（按招标文件第3章 相关资格承诺函要求，提供承诺函原件并加盖投标人公章。）；</w:t>
      </w:r>
    </w:p>
    <w:p>
      <w:pPr>
        <w:spacing w:line="520" w:lineRule="exact"/>
        <w:ind w:firstLine="480"/>
        <w:rPr>
          <w:b w:val="0"/>
          <w:color w:val="auto"/>
          <w:sz w:val="24"/>
          <w:szCs w:val="24"/>
        </w:rPr>
      </w:pPr>
      <w:r>
        <w:rPr>
          <w:rFonts w:hint="eastAsia"/>
          <w:b w:val="0"/>
          <w:color w:val="auto"/>
          <w:sz w:val="24"/>
          <w:szCs w:val="24"/>
          <w:lang w:val="en-US"/>
        </w:rPr>
        <w:t>（4）提供中小企业证明材料（按招标文件第3章中提供中小企业声明函原件或监狱企业证明材料复印件或残疾人福利性单位声明函原件并加盖投标人公章）</w:t>
      </w:r>
      <w:r>
        <w:rPr>
          <w:rFonts w:hint="eastAsia"/>
          <w:b w:val="0"/>
          <w:color w:val="auto"/>
          <w:sz w:val="24"/>
          <w:szCs w:val="24"/>
        </w:rPr>
        <w:t>。</w:t>
      </w:r>
    </w:p>
    <w:p>
      <w:pPr>
        <w:spacing w:line="520" w:lineRule="exact"/>
        <w:ind w:firstLine="0" w:firstLineChars="0"/>
        <w:rPr>
          <w:color w:val="auto"/>
          <w:sz w:val="24"/>
          <w:szCs w:val="24"/>
        </w:rPr>
      </w:pPr>
      <w:r>
        <w:rPr>
          <w:rFonts w:hint="eastAsia"/>
          <w:color w:val="auto"/>
          <w:sz w:val="24"/>
          <w:szCs w:val="24"/>
        </w:rPr>
        <w:t>二、投标产品的资格、资质性要求相关证明材料：</w:t>
      </w:r>
    </w:p>
    <w:p>
      <w:pPr>
        <w:spacing w:line="520" w:lineRule="exact"/>
        <w:ind w:firstLine="480"/>
        <w:rPr>
          <w:b w:val="0"/>
          <w:color w:val="auto"/>
          <w:sz w:val="24"/>
          <w:szCs w:val="24"/>
        </w:rPr>
      </w:pPr>
      <w:r>
        <w:rPr>
          <w:rFonts w:hint="eastAsia"/>
          <w:b w:val="0"/>
          <w:color w:val="auto"/>
          <w:sz w:val="24"/>
          <w:szCs w:val="24"/>
        </w:rPr>
        <w:t>无。</w:t>
      </w:r>
    </w:p>
    <w:p>
      <w:pPr>
        <w:spacing w:line="520" w:lineRule="exact"/>
        <w:ind w:firstLine="0" w:firstLineChars="0"/>
        <w:rPr>
          <w:color w:val="auto"/>
          <w:sz w:val="24"/>
          <w:szCs w:val="24"/>
        </w:rPr>
      </w:pPr>
      <w:r>
        <w:rPr>
          <w:rFonts w:hint="eastAsia"/>
          <w:color w:val="auto"/>
          <w:sz w:val="24"/>
          <w:szCs w:val="24"/>
        </w:rPr>
        <w:t>三、其他类似效力要求相关证明材料：</w:t>
      </w:r>
    </w:p>
    <w:p>
      <w:pPr>
        <w:spacing w:line="520" w:lineRule="exact"/>
        <w:ind w:firstLine="480"/>
        <w:rPr>
          <w:b w:val="0"/>
          <w:color w:val="auto"/>
          <w:sz w:val="24"/>
          <w:szCs w:val="24"/>
        </w:rPr>
      </w:pPr>
      <w:r>
        <w:rPr>
          <w:rFonts w:hint="eastAsia"/>
          <w:b w:val="0"/>
          <w:color w:val="auto"/>
          <w:sz w:val="24"/>
          <w:szCs w:val="24"/>
        </w:rPr>
        <w:t>法定代表人授权委托书原件及法定代表人身份证、代理人身份证复印件（注：①授权书按本招标文件第3章“法定代表人授权委托书及代理人身份证复印件”格式提供，并按格式要求签字或加盖印章；②如投标文件均由投标人法定代表人签字</w:t>
      </w:r>
      <w:r>
        <w:rPr>
          <w:rFonts w:hint="eastAsia"/>
          <w:b w:val="0"/>
          <w:color w:val="auto"/>
          <w:kern w:val="2"/>
          <w:sz w:val="24"/>
          <w:szCs w:val="24"/>
          <w:lang w:val="en-US"/>
        </w:rPr>
        <w:t>或加盖印章</w:t>
      </w:r>
      <w:r>
        <w:rPr>
          <w:rFonts w:hint="eastAsia"/>
          <w:b w:val="0"/>
          <w:color w:val="auto"/>
          <w:sz w:val="24"/>
          <w:szCs w:val="24"/>
        </w:rPr>
        <w:t>的，则可不提供法定代表人授权委托书及代理人身份证复印件但必须提供法定代表人身份证复印件。）。</w:t>
      </w:r>
    </w:p>
    <w:p>
      <w:pPr>
        <w:spacing w:line="520" w:lineRule="exact"/>
        <w:ind w:firstLine="0" w:firstLineChars="0"/>
        <w:rPr>
          <w:color w:val="auto"/>
          <w:sz w:val="24"/>
          <w:szCs w:val="24"/>
        </w:rPr>
      </w:pPr>
      <w:r>
        <w:rPr>
          <w:rFonts w:hint="eastAsia"/>
          <w:color w:val="auto"/>
          <w:sz w:val="24"/>
          <w:szCs w:val="24"/>
        </w:rPr>
        <w:t>四、本项目不接受联合体投标。</w:t>
      </w:r>
    </w:p>
    <w:p>
      <w:pPr>
        <w:spacing w:line="520" w:lineRule="exact"/>
        <w:ind w:firstLine="480"/>
        <w:rPr>
          <w:b w:val="0"/>
          <w:color w:val="auto"/>
          <w:sz w:val="24"/>
          <w:szCs w:val="24"/>
        </w:rPr>
      </w:pPr>
      <w:r>
        <w:rPr>
          <w:rFonts w:hint="eastAsia"/>
          <w:b w:val="0"/>
          <w:color w:val="auto"/>
          <w:sz w:val="24"/>
          <w:szCs w:val="24"/>
        </w:rPr>
        <w:t>本项目</w:t>
      </w:r>
      <w:r>
        <w:rPr>
          <w:rFonts w:hint="eastAsia"/>
          <w:b w:val="0"/>
          <w:color w:val="auto"/>
          <w:sz w:val="24"/>
          <w:szCs w:val="24"/>
          <w:lang w:val="en-US"/>
        </w:rPr>
        <w:t>均</w:t>
      </w:r>
      <w:r>
        <w:rPr>
          <w:rFonts w:hint="eastAsia"/>
          <w:b w:val="0"/>
          <w:color w:val="auto"/>
          <w:sz w:val="24"/>
          <w:szCs w:val="24"/>
        </w:rPr>
        <w:t>不接受联合体投标，供应商应以非联合体形式参加投标，否则作无效处理。</w:t>
      </w:r>
    </w:p>
    <w:p>
      <w:pPr>
        <w:spacing w:line="520" w:lineRule="exact"/>
        <w:ind w:firstLine="0" w:firstLineChars="0"/>
        <w:rPr>
          <w:b w:val="0"/>
          <w:color w:val="auto"/>
          <w:sz w:val="24"/>
          <w:szCs w:val="24"/>
        </w:rPr>
      </w:pPr>
      <w:r>
        <w:rPr>
          <w:rFonts w:hint="eastAsia"/>
          <w:b w:val="0"/>
          <w:color w:val="auto"/>
          <w:sz w:val="24"/>
          <w:szCs w:val="24"/>
        </w:rPr>
        <w:t>注意：</w:t>
      </w:r>
    </w:p>
    <w:p>
      <w:pPr>
        <w:spacing w:line="520" w:lineRule="exact"/>
        <w:ind w:firstLine="480"/>
        <w:rPr>
          <w:b w:val="0"/>
          <w:color w:val="auto"/>
          <w:sz w:val="24"/>
          <w:szCs w:val="24"/>
        </w:rPr>
      </w:pPr>
      <w:r>
        <w:rPr>
          <w:rFonts w:hint="eastAsia"/>
          <w:b w:val="0"/>
          <w:color w:val="auto"/>
          <w:sz w:val="24"/>
          <w:szCs w:val="24"/>
        </w:rPr>
        <w:t>1.招标文件要求相关证明材料签字或盖章的，应签字或盖章，否则视为无效证明材料；</w:t>
      </w:r>
    </w:p>
    <w:p>
      <w:pPr>
        <w:spacing w:line="520" w:lineRule="exact"/>
        <w:ind w:firstLine="480"/>
        <w:rPr>
          <w:b w:val="0"/>
          <w:color w:val="auto"/>
          <w:sz w:val="24"/>
          <w:szCs w:val="24"/>
        </w:rPr>
      </w:pPr>
      <w:r>
        <w:rPr>
          <w:rFonts w:hint="eastAsia"/>
          <w:b w:val="0"/>
          <w:color w:val="auto"/>
          <w:sz w:val="24"/>
          <w:szCs w:val="24"/>
        </w:rPr>
        <w:t>2.上述内容中涉及承诺函的，投标人可以单独提供，也可以一并进行承诺。</w:t>
      </w:r>
    </w:p>
    <w:p>
      <w:pPr>
        <w:spacing w:line="520" w:lineRule="exact"/>
        <w:ind w:firstLine="480"/>
        <w:rPr>
          <w:b w:val="0"/>
          <w:color w:val="auto"/>
          <w:sz w:val="24"/>
          <w:szCs w:val="24"/>
        </w:rPr>
      </w:pPr>
      <w:r>
        <w:rPr>
          <w:rFonts w:hint="eastAsia"/>
          <w:b w:val="0"/>
          <w:color w:val="auto"/>
          <w:sz w:val="24"/>
          <w:szCs w:val="24"/>
        </w:rPr>
        <w:t>3.本章要求提供的相关证明材料应当与第4章的规定要求对应，除投标人自愿以外，不能要求投标人提供额外的证明材料。如果要求提供额外的证明材料，投标人有权不予提供，且不影响投标文件的有效性和完整性。</w:t>
      </w:r>
    </w:p>
    <w:p>
      <w:pPr>
        <w:spacing w:line="520" w:lineRule="exact"/>
        <w:ind w:firstLine="482"/>
        <w:rPr>
          <w:bCs/>
          <w:color w:val="auto"/>
          <w:sz w:val="24"/>
          <w:szCs w:val="24"/>
          <w:lang w:val="en-US"/>
        </w:rPr>
      </w:pPr>
      <w:r>
        <w:rPr>
          <w:rFonts w:hint="eastAsia"/>
          <w:bCs/>
          <w:color w:val="auto"/>
          <w:sz w:val="24"/>
          <w:szCs w:val="24"/>
          <w:lang w:val="en-US"/>
        </w:rPr>
        <w:t>4.投标人若未将用于资格审查的证明材料装订入资格性投标文件的，视为未提供相应资格证明材料，资格审查将不予通过。</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pStyle w:val="2"/>
        <w:spacing w:before="109"/>
        <w:ind w:firstLine="480"/>
        <w:rPr>
          <w:color w:val="auto"/>
        </w:rPr>
      </w:pPr>
    </w:p>
    <w:p>
      <w:pPr>
        <w:rPr>
          <w:color w:val="auto"/>
        </w:rPr>
      </w:pPr>
    </w:p>
    <w:p>
      <w:pPr>
        <w:pStyle w:val="2"/>
        <w:spacing w:before="109"/>
        <w:ind w:firstLine="480"/>
      </w:pPr>
    </w:p>
    <w:p>
      <w:pPr>
        <w:pStyle w:val="3"/>
        <w:keepNext w:val="0"/>
        <w:numPr>
          <w:ilvl w:val="0"/>
          <w:numId w:val="16"/>
        </w:numPr>
        <w:spacing w:before="0" w:after="0" w:line="360" w:lineRule="auto"/>
        <w:ind w:left="0" w:firstLine="0"/>
        <w:rPr>
          <w:b/>
          <w:color w:val="auto"/>
        </w:rPr>
      </w:pPr>
      <w:bookmarkStart w:id="523" w:name="_Toc494198618"/>
      <w:r>
        <w:rPr>
          <w:rFonts w:hint="eastAsia"/>
          <w:b/>
          <w:color w:val="auto"/>
        </w:rPr>
        <w:t xml:space="preserve"> </w:t>
      </w:r>
      <w:bookmarkStart w:id="524" w:name="_Toc19554"/>
      <w:r>
        <w:rPr>
          <w:rFonts w:hint="eastAsia"/>
          <w:b/>
          <w:color w:val="auto"/>
        </w:rPr>
        <w:t>技术、商务及其他要求</w:t>
      </w:r>
      <w:bookmarkEnd w:id="523"/>
      <w:bookmarkEnd w:id="524"/>
    </w:p>
    <w:p>
      <w:pPr>
        <w:spacing w:before="218" w:beforeLines="50"/>
        <w:ind w:firstLine="482"/>
        <w:rPr>
          <w:rFonts w:ascii="Times New Roman" w:hAnsi="Times New Roman"/>
          <w:color w:val="auto"/>
          <w:kern w:val="44"/>
          <w:sz w:val="24"/>
          <w:szCs w:val="24"/>
        </w:rPr>
      </w:pPr>
      <w:bookmarkStart w:id="525" w:name="_Toc414266428"/>
      <w:bookmarkStart w:id="526" w:name="_Toc421277690"/>
      <w:bookmarkStart w:id="527" w:name="_Toc414614594"/>
      <w:bookmarkStart w:id="528" w:name="_Toc427148984"/>
      <w:bookmarkStart w:id="529" w:name="_Toc414266274"/>
      <w:r>
        <w:rPr>
          <w:rFonts w:ascii="Times New Roman" w:hAnsi="Times New Roman"/>
          <w:color w:val="auto"/>
          <w:kern w:val="44"/>
          <w:sz w:val="24"/>
          <w:szCs w:val="24"/>
        </w:rPr>
        <w:t>一、项目概况</w:t>
      </w:r>
      <w:bookmarkEnd w:id="525"/>
      <w:bookmarkEnd w:id="526"/>
      <w:bookmarkEnd w:id="527"/>
      <w:bookmarkEnd w:id="528"/>
      <w:bookmarkEnd w:id="529"/>
    </w:p>
    <w:p>
      <w:pPr>
        <w:ind w:firstLine="480"/>
        <w:rPr>
          <w:rFonts w:ascii="Times New Roman" w:hAnsi="Times New Roman"/>
          <w:b w:val="0"/>
          <w:color w:val="auto"/>
          <w:sz w:val="24"/>
          <w:szCs w:val="24"/>
        </w:rPr>
      </w:pPr>
      <w:r>
        <w:rPr>
          <w:rFonts w:hint="eastAsia" w:ascii="Times New Roman" w:hAnsi="Times New Roman"/>
          <w:b w:val="0"/>
          <w:color w:val="auto"/>
          <w:sz w:val="24"/>
          <w:szCs w:val="24"/>
        </w:rPr>
        <w:t>成都市环境保护局重污染天气应急指挥大厅及机房由成都市环境保护信息中心于</w:t>
      </w:r>
      <w:r>
        <w:rPr>
          <w:rFonts w:ascii="Times New Roman" w:hAnsi="Times New Roman"/>
          <w:b w:val="0"/>
          <w:color w:val="auto"/>
          <w:sz w:val="24"/>
          <w:szCs w:val="24"/>
        </w:rPr>
        <w:t>2015年建成投用，为保障环境业务系统的正常运转和安全，需要对相关的安全设备进行运维</w:t>
      </w:r>
      <w:r>
        <w:rPr>
          <w:rFonts w:hint="eastAsia" w:ascii="Times New Roman" w:hAnsi="Times New Roman"/>
          <w:b w:val="0"/>
          <w:color w:val="auto"/>
          <w:sz w:val="24"/>
          <w:szCs w:val="24"/>
        </w:rPr>
        <w:t>。</w:t>
      </w:r>
    </w:p>
    <w:p>
      <w:pPr>
        <w:ind w:firstLine="482"/>
        <w:rPr>
          <w:rFonts w:ascii="Times New Roman" w:hAnsi="Times New Roman"/>
          <w:color w:val="auto"/>
          <w:kern w:val="44"/>
          <w:sz w:val="24"/>
          <w:szCs w:val="24"/>
        </w:rPr>
      </w:pPr>
      <w:bookmarkStart w:id="530" w:name="_Toc414266275"/>
      <w:bookmarkStart w:id="531" w:name="_Toc421277691"/>
      <w:bookmarkStart w:id="532" w:name="_Toc9553"/>
      <w:bookmarkStart w:id="533" w:name="_Toc414266429"/>
      <w:bookmarkStart w:id="534" w:name="_Toc269717608"/>
      <w:bookmarkStart w:id="535" w:name="_Toc414614595"/>
      <w:bookmarkStart w:id="536" w:name="_Toc427148985"/>
      <w:r>
        <w:rPr>
          <w:rFonts w:ascii="Times New Roman" w:hAnsi="Times New Roman"/>
          <w:color w:val="auto"/>
          <w:kern w:val="44"/>
          <w:sz w:val="24"/>
          <w:szCs w:val="24"/>
        </w:rPr>
        <w:t>二、</w:t>
      </w:r>
      <w:r>
        <w:rPr>
          <w:rFonts w:hint="eastAsia" w:ascii="Times New Roman" w:hAnsi="Times New Roman"/>
          <w:color w:val="auto"/>
          <w:kern w:val="44"/>
          <w:sz w:val="24"/>
          <w:szCs w:val="24"/>
        </w:rPr>
        <w:t>服务</w:t>
      </w:r>
      <w:r>
        <w:rPr>
          <w:rFonts w:ascii="Times New Roman" w:hAnsi="Times New Roman"/>
          <w:color w:val="auto"/>
          <w:kern w:val="44"/>
          <w:sz w:val="24"/>
          <w:szCs w:val="24"/>
        </w:rPr>
        <w:t>内容</w:t>
      </w:r>
      <w:bookmarkEnd w:id="530"/>
      <w:bookmarkEnd w:id="531"/>
      <w:bookmarkEnd w:id="532"/>
      <w:bookmarkEnd w:id="533"/>
      <w:bookmarkEnd w:id="534"/>
      <w:bookmarkEnd w:id="535"/>
      <w:bookmarkEnd w:id="536"/>
    </w:p>
    <w:p>
      <w:pPr>
        <w:ind w:firstLine="480"/>
        <w:rPr>
          <w:rFonts w:ascii="Times New Roman" w:hAnsi="Times New Roman"/>
          <w:b w:val="0"/>
          <w:color w:val="auto"/>
          <w:sz w:val="24"/>
          <w:szCs w:val="24"/>
        </w:rPr>
      </w:pPr>
      <w:r>
        <w:rPr>
          <w:rFonts w:hint="eastAsia" w:ascii="Times New Roman" w:hAnsi="Times New Roman"/>
          <w:b w:val="0"/>
          <w:color w:val="auto"/>
          <w:sz w:val="24"/>
          <w:szCs w:val="24"/>
        </w:rPr>
        <w:t>运维服务主要内容包括：运维清单中的防火墙、</w:t>
      </w:r>
      <w:r>
        <w:rPr>
          <w:rFonts w:ascii="Times New Roman" w:hAnsi="Times New Roman"/>
          <w:b w:val="0"/>
          <w:color w:val="auto"/>
          <w:sz w:val="24"/>
          <w:szCs w:val="24"/>
        </w:rPr>
        <w:t>IPS、上网行为管理、</w:t>
      </w:r>
      <w:r>
        <w:rPr>
          <w:rFonts w:hint="eastAsia" w:ascii="Times New Roman" w:hAnsi="Times New Roman"/>
          <w:b w:val="0"/>
          <w:color w:val="auto"/>
          <w:sz w:val="24"/>
          <w:szCs w:val="24"/>
        </w:rPr>
        <w:t>V</w:t>
      </w:r>
      <w:r>
        <w:rPr>
          <w:rFonts w:ascii="Times New Roman" w:hAnsi="Times New Roman"/>
          <w:b w:val="0"/>
          <w:color w:val="auto"/>
          <w:sz w:val="24"/>
          <w:szCs w:val="24"/>
        </w:rPr>
        <w:t>PN等</w:t>
      </w:r>
      <w:r>
        <w:rPr>
          <w:rFonts w:hint="eastAsia" w:ascii="Times New Roman" w:hAnsi="Times New Roman"/>
          <w:b w:val="0"/>
          <w:color w:val="auto"/>
          <w:sz w:val="24"/>
          <w:szCs w:val="24"/>
        </w:rPr>
        <w:t>设备</w:t>
      </w:r>
      <w:r>
        <w:rPr>
          <w:rFonts w:ascii="Times New Roman" w:hAnsi="Times New Roman"/>
          <w:b w:val="0"/>
          <w:color w:val="auto"/>
          <w:sz w:val="24"/>
          <w:szCs w:val="24"/>
        </w:rPr>
        <w:t>的</w:t>
      </w:r>
      <w:r>
        <w:rPr>
          <w:rFonts w:hint="eastAsia" w:ascii="Times New Roman" w:hAnsi="Times New Roman"/>
          <w:b w:val="0"/>
          <w:color w:val="auto"/>
          <w:sz w:val="24"/>
          <w:szCs w:val="24"/>
        </w:rPr>
        <w:t>维保，同时</w:t>
      </w:r>
      <w:r>
        <w:rPr>
          <w:rFonts w:hint="eastAsia" w:ascii="Times New Roman" w:hAnsi="Times New Roman"/>
          <w:b w:val="0"/>
          <w:color w:val="auto"/>
          <w:sz w:val="24"/>
          <w:szCs w:val="24"/>
          <w:lang w:val="en-US"/>
        </w:rPr>
        <w:t>需</w:t>
      </w:r>
      <w:r>
        <w:rPr>
          <w:rFonts w:hint="eastAsia" w:ascii="Times New Roman" w:hAnsi="Times New Roman"/>
          <w:b w:val="0"/>
          <w:color w:val="auto"/>
          <w:sz w:val="24"/>
          <w:szCs w:val="24"/>
        </w:rPr>
        <w:t>对本项目</w:t>
      </w:r>
      <w:r>
        <w:rPr>
          <w:rFonts w:hint="eastAsia" w:ascii="Times New Roman" w:hAnsi="Times New Roman"/>
          <w:b w:val="0"/>
          <w:color w:val="auto"/>
          <w:sz w:val="24"/>
          <w:szCs w:val="24"/>
          <w:lang w:val="en-US"/>
        </w:rPr>
        <w:t>服务</w:t>
      </w:r>
      <w:r>
        <w:rPr>
          <w:rFonts w:hint="eastAsia" w:ascii="Times New Roman" w:hAnsi="Times New Roman"/>
          <w:b w:val="0"/>
          <w:color w:val="auto"/>
          <w:sz w:val="24"/>
          <w:szCs w:val="24"/>
        </w:rPr>
        <w:t>范围内</w:t>
      </w:r>
      <w:r>
        <w:rPr>
          <w:rFonts w:hint="eastAsia" w:ascii="Times New Roman" w:hAnsi="Times New Roman"/>
          <w:b w:val="0"/>
          <w:color w:val="auto"/>
          <w:sz w:val="24"/>
          <w:szCs w:val="24"/>
          <w:lang w:val="en-US"/>
        </w:rPr>
        <w:t>关联的</w:t>
      </w:r>
      <w:r>
        <w:rPr>
          <w:rFonts w:hint="eastAsia" w:ascii="Times New Roman" w:hAnsi="Times New Roman"/>
          <w:b w:val="0"/>
          <w:color w:val="auto"/>
          <w:sz w:val="24"/>
          <w:szCs w:val="24"/>
        </w:rPr>
        <w:t>网络、服务器、存储、</w:t>
      </w:r>
      <w:r>
        <w:rPr>
          <w:rFonts w:hint="eastAsia" w:ascii="Times New Roman" w:hAnsi="Times New Roman"/>
          <w:b w:val="0"/>
          <w:color w:val="auto"/>
          <w:sz w:val="24"/>
          <w:szCs w:val="24"/>
          <w:lang w:val="en-US"/>
        </w:rPr>
        <w:t>备份</w:t>
      </w:r>
      <w:r>
        <w:rPr>
          <w:rFonts w:hint="eastAsia" w:ascii="Times New Roman" w:hAnsi="Times New Roman"/>
          <w:b w:val="0"/>
          <w:color w:val="auto"/>
          <w:sz w:val="24"/>
          <w:szCs w:val="24"/>
        </w:rPr>
        <w:t>等</w:t>
      </w:r>
      <w:r>
        <w:rPr>
          <w:rFonts w:hint="eastAsia" w:ascii="Times New Roman" w:hAnsi="Times New Roman"/>
          <w:b w:val="0"/>
          <w:color w:val="auto"/>
          <w:sz w:val="24"/>
          <w:szCs w:val="24"/>
          <w:lang w:val="en-US"/>
        </w:rPr>
        <w:t>软硬件</w:t>
      </w:r>
      <w:r>
        <w:rPr>
          <w:rFonts w:hint="eastAsia" w:ascii="Times New Roman" w:hAnsi="Times New Roman"/>
          <w:b w:val="0"/>
          <w:color w:val="auto"/>
          <w:sz w:val="24"/>
          <w:szCs w:val="24"/>
        </w:rPr>
        <w:t>进行巡检、</w:t>
      </w:r>
      <w:r>
        <w:rPr>
          <w:rFonts w:ascii="Times New Roman" w:hAnsi="Times New Roman"/>
          <w:b w:val="0"/>
          <w:color w:val="auto"/>
          <w:sz w:val="24"/>
          <w:szCs w:val="24"/>
        </w:rPr>
        <w:t>策略配置调优、应急响应处置等。</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运维服务地点：成都市海桐街</w:t>
      </w:r>
      <w:r>
        <w:rPr>
          <w:rFonts w:ascii="Times New Roman" w:hAnsi="Times New Roman"/>
          <w:b w:val="0"/>
          <w:color w:val="auto"/>
          <w:sz w:val="24"/>
          <w:szCs w:val="24"/>
        </w:rPr>
        <w:t>69号环境监测大楼1栋11楼机房。</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运维工作包含以下部分：</w:t>
      </w:r>
    </w:p>
    <w:p>
      <w:pPr>
        <w:ind w:firstLine="480"/>
        <w:rPr>
          <w:rFonts w:ascii="Times New Roman" w:hAnsi="Times New Roman"/>
          <w:b w:val="0"/>
          <w:color w:val="auto"/>
          <w:sz w:val="24"/>
          <w:szCs w:val="24"/>
        </w:rPr>
      </w:pPr>
      <w:r>
        <w:rPr>
          <w:rFonts w:ascii="Times New Roman" w:hAnsi="Times New Roman"/>
          <w:b w:val="0"/>
          <w:color w:val="auto"/>
          <w:sz w:val="24"/>
          <w:szCs w:val="24"/>
        </w:rPr>
        <w:t>1.设备维护</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负责所有设备的运行及维护工作（详见机房安全设备运维清单），定期进行巡检。</w:t>
      </w:r>
    </w:p>
    <w:p>
      <w:pPr>
        <w:ind w:firstLine="480"/>
        <w:rPr>
          <w:rFonts w:ascii="Times New Roman" w:hAnsi="Times New Roman"/>
          <w:b w:val="0"/>
          <w:color w:val="auto"/>
          <w:sz w:val="24"/>
          <w:szCs w:val="24"/>
        </w:rPr>
      </w:pPr>
      <w:r>
        <w:rPr>
          <w:rFonts w:ascii="Times New Roman" w:hAnsi="Times New Roman"/>
          <w:b w:val="0"/>
          <w:color w:val="auto"/>
          <w:sz w:val="24"/>
          <w:szCs w:val="24"/>
        </w:rPr>
        <w:t>2.</w:t>
      </w:r>
      <w:r>
        <w:rPr>
          <w:rFonts w:hint="eastAsia" w:ascii="Times New Roman" w:hAnsi="Times New Roman"/>
          <w:b w:val="0"/>
          <w:color w:val="auto"/>
          <w:sz w:val="24"/>
          <w:szCs w:val="24"/>
        </w:rPr>
        <w:t>策略配置</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对本项目所涉及产品相应安全策略的配置及调优。</w:t>
      </w:r>
    </w:p>
    <w:p>
      <w:pPr>
        <w:ind w:firstLine="480"/>
        <w:rPr>
          <w:rFonts w:ascii="Times New Roman" w:hAnsi="Times New Roman"/>
          <w:b w:val="0"/>
          <w:color w:val="auto"/>
          <w:sz w:val="24"/>
          <w:szCs w:val="24"/>
        </w:rPr>
      </w:pPr>
      <w:r>
        <w:rPr>
          <w:rFonts w:ascii="Times New Roman" w:hAnsi="Times New Roman"/>
          <w:b w:val="0"/>
          <w:color w:val="auto"/>
          <w:sz w:val="24"/>
          <w:szCs w:val="24"/>
        </w:rPr>
        <w:t>3.应急响应支持</w:t>
      </w:r>
    </w:p>
    <w:p>
      <w:pPr>
        <w:ind w:firstLine="480"/>
        <w:rPr>
          <w:rFonts w:ascii="Times New Roman" w:hAnsi="Times New Roman"/>
          <w:b w:val="0"/>
          <w:color w:val="auto"/>
          <w:sz w:val="24"/>
          <w:szCs w:val="24"/>
        </w:rPr>
      </w:pPr>
      <w:r>
        <w:rPr>
          <w:rFonts w:ascii="Times New Roman" w:hAnsi="Times New Roman"/>
          <w:b w:val="0"/>
          <w:color w:val="auto"/>
          <w:sz w:val="24"/>
          <w:szCs w:val="24"/>
        </w:rPr>
        <w:t>当出现安全问题时，投标人需要提供应急响应及咨询服务。服务内容包括但不限于：应急响应支持、安全演练、安全咨询</w:t>
      </w:r>
      <w:r>
        <w:rPr>
          <w:rFonts w:hint="eastAsia" w:ascii="Times New Roman" w:hAnsi="Times New Roman"/>
          <w:b w:val="0"/>
          <w:color w:val="auto"/>
          <w:sz w:val="24"/>
          <w:szCs w:val="24"/>
        </w:rPr>
        <w:t>。</w:t>
      </w:r>
    </w:p>
    <w:p>
      <w:pPr>
        <w:ind w:firstLine="482"/>
        <w:rPr>
          <w:rFonts w:ascii="Times New Roman" w:hAnsi="Times New Roman"/>
          <w:color w:val="auto"/>
          <w:kern w:val="44"/>
          <w:sz w:val="24"/>
          <w:szCs w:val="24"/>
        </w:rPr>
      </w:pPr>
      <w:bookmarkStart w:id="537" w:name="_Toc414614597"/>
      <w:bookmarkStart w:id="538" w:name="_Toc421277693"/>
      <w:bookmarkStart w:id="539" w:name="_Toc414266277"/>
      <w:bookmarkStart w:id="540" w:name="_Toc24197"/>
      <w:bookmarkStart w:id="541" w:name="_Toc414266431"/>
      <w:bookmarkStart w:id="542" w:name="_Toc269717612"/>
      <w:bookmarkStart w:id="543" w:name="_Toc427148987"/>
      <w:r>
        <w:rPr>
          <w:rFonts w:hint="eastAsia" w:ascii="Times New Roman" w:hAnsi="Times New Roman"/>
          <w:color w:val="auto"/>
          <w:kern w:val="44"/>
          <w:sz w:val="24"/>
          <w:szCs w:val="24"/>
        </w:rPr>
        <w:t>三</w:t>
      </w:r>
      <w:r>
        <w:rPr>
          <w:rFonts w:ascii="Times New Roman" w:hAnsi="Times New Roman"/>
          <w:color w:val="auto"/>
          <w:kern w:val="44"/>
          <w:sz w:val="24"/>
          <w:szCs w:val="24"/>
        </w:rPr>
        <w:t>、</w:t>
      </w:r>
      <w:r>
        <w:rPr>
          <w:rFonts w:hint="eastAsia" w:ascii="Times New Roman" w:hAnsi="Times New Roman"/>
          <w:color w:val="auto"/>
          <w:kern w:val="44"/>
          <w:sz w:val="24"/>
          <w:szCs w:val="24"/>
        </w:rPr>
        <w:t>团队</w:t>
      </w:r>
      <w:r>
        <w:rPr>
          <w:rFonts w:ascii="Times New Roman" w:hAnsi="Times New Roman"/>
          <w:color w:val="auto"/>
          <w:kern w:val="44"/>
          <w:sz w:val="24"/>
          <w:szCs w:val="24"/>
        </w:rPr>
        <w:t>要求</w:t>
      </w:r>
      <w:bookmarkEnd w:id="537"/>
      <w:bookmarkEnd w:id="538"/>
      <w:bookmarkEnd w:id="539"/>
      <w:bookmarkEnd w:id="540"/>
      <w:bookmarkEnd w:id="541"/>
      <w:bookmarkEnd w:id="542"/>
      <w:bookmarkEnd w:id="543"/>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★投标人应承诺指定不少于</w:t>
      </w:r>
      <w:r>
        <w:rPr>
          <w:rFonts w:hint="eastAsia" w:ascii="Times New Roman" w:hAnsi="Times New Roman"/>
          <w:b w:val="0"/>
          <w:color w:val="auto"/>
          <w:sz w:val="24"/>
          <w:szCs w:val="24"/>
          <w:lang w:val="en-US"/>
        </w:rPr>
        <w:t>2</w:t>
      </w:r>
      <w:r>
        <w:rPr>
          <w:rFonts w:ascii="Times New Roman" w:hAnsi="Times New Roman"/>
          <w:b w:val="0"/>
          <w:color w:val="auto"/>
          <w:sz w:val="24"/>
          <w:szCs w:val="24"/>
        </w:rPr>
        <w:t>名技术人员，对本项目范围内设备进行定期巡检、应急响应服务。</w:t>
      </w:r>
    </w:p>
    <w:p>
      <w:pPr>
        <w:ind w:firstLine="482"/>
        <w:rPr>
          <w:rFonts w:ascii="Times New Roman" w:hAnsi="Times New Roman"/>
          <w:color w:val="auto"/>
          <w:kern w:val="44"/>
          <w:sz w:val="24"/>
          <w:szCs w:val="24"/>
        </w:rPr>
      </w:pPr>
      <w:r>
        <w:rPr>
          <w:rFonts w:hint="eastAsia" w:ascii="Times New Roman" w:hAnsi="Times New Roman"/>
          <w:color w:val="auto"/>
          <w:kern w:val="44"/>
          <w:sz w:val="24"/>
          <w:szCs w:val="24"/>
        </w:rPr>
        <w:t>四</w:t>
      </w:r>
      <w:r>
        <w:rPr>
          <w:rFonts w:ascii="Times New Roman" w:hAnsi="Times New Roman"/>
          <w:color w:val="auto"/>
          <w:kern w:val="44"/>
          <w:sz w:val="24"/>
          <w:szCs w:val="24"/>
        </w:rPr>
        <w:t>、</w:t>
      </w:r>
      <w:r>
        <w:rPr>
          <w:rFonts w:hint="eastAsia" w:ascii="Times New Roman" w:hAnsi="Times New Roman"/>
          <w:color w:val="auto"/>
          <w:kern w:val="44"/>
          <w:sz w:val="24"/>
          <w:szCs w:val="24"/>
        </w:rPr>
        <w:t>运维</w:t>
      </w:r>
      <w:r>
        <w:rPr>
          <w:rFonts w:ascii="Times New Roman" w:hAnsi="Times New Roman"/>
          <w:color w:val="auto"/>
          <w:kern w:val="44"/>
          <w:sz w:val="24"/>
          <w:szCs w:val="24"/>
        </w:rPr>
        <w:t>要求</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投标人提供运行监控、日常维护、故障处理、制度管理、系统评估优化、网络与安全运行管理、应急事件处理与维护保障、运维文档管理服务等。具体如下：</w:t>
      </w:r>
    </w:p>
    <w:p>
      <w:pPr>
        <w:ind w:firstLine="480"/>
        <w:rPr>
          <w:rFonts w:ascii="Times New Roman" w:hAnsi="Times New Roman"/>
          <w:b w:val="0"/>
          <w:color w:val="auto"/>
          <w:sz w:val="24"/>
          <w:szCs w:val="24"/>
        </w:rPr>
      </w:pPr>
      <w:r>
        <w:rPr>
          <w:rFonts w:ascii="Times New Roman" w:hAnsi="Times New Roman"/>
          <w:b w:val="0"/>
          <w:color w:val="auto"/>
          <w:sz w:val="24"/>
          <w:szCs w:val="24"/>
        </w:rPr>
        <w:t>1.</w:t>
      </w:r>
      <w:r>
        <w:rPr>
          <w:rFonts w:hint="eastAsia" w:ascii="Times New Roman" w:hAnsi="Times New Roman"/>
          <w:b w:val="0"/>
          <w:color w:val="auto"/>
          <w:sz w:val="24"/>
          <w:szCs w:val="24"/>
        </w:rPr>
        <w:t>投标人需提供运维管理工具</w:t>
      </w:r>
      <w:r>
        <w:rPr>
          <w:rFonts w:ascii="Times New Roman" w:hAnsi="Times New Roman"/>
          <w:b w:val="0"/>
          <w:color w:val="auto"/>
          <w:sz w:val="24"/>
          <w:szCs w:val="24"/>
        </w:rPr>
        <w:t>对本项目范围内的设备和软件进行网络安全运行状况监控</w:t>
      </w:r>
      <w:r>
        <w:rPr>
          <w:rFonts w:hint="eastAsia" w:ascii="Times New Roman" w:hAnsi="Times New Roman"/>
          <w:b w:val="0"/>
          <w:color w:val="auto"/>
          <w:sz w:val="24"/>
          <w:szCs w:val="24"/>
        </w:rPr>
        <w:t>，</w:t>
      </w:r>
      <w:r>
        <w:rPr>
          <w:rFonts w:hint="eastAsia" w:ascii="Times New Roman" w:hAnsi="Times New Roman"/>
          <w:b w:val="0"/>
          <w:color w:val="auto"/>
          <w:sz w:val="24"/>
          <w:szCs w:val="24"/>
          <w:lang w:val="en-US"/>
        </w:rPr>
        <w:t>并</w:t>
      </w:r>
      <w:r>
        <w:rPr>
          <w:rFonts w:hint="eastAsia" w:ascii="Times New Roman" w:hAnsi="Times New Roman"/>
          <w:b w:val="0"/>
          <w:color w:val="auto"/>
          <w:sz w:val="24"/>
          <w:szCs w:val="24"/>
        </w:rPr>
        <w:t>提供</w:t>
      </w:r>
      <w:r>
        <w:rPr>
          <w:rFonts w:ascii="Times New Roman" w:hAnsi="Times New Roman"/>
          <w:b w:val="0"/>
          <w:color w:val="auto"/>
          <w:sz w:val="24"/>
          <w:szCs w:val="24"/>
        </w:rPr>
        <w:t>系统更新维护、数据备份、应急事件处置等</w:t>
      </w:r>
      <w:r>
        <w:rPr>
          <w:rFonts w:hint="eastAsia" w:ascii="Times New Roman" w:hAnsi="Times New Roman"/>
          <w:b w:val="0"/>
          <w:color w:val="auto"/>
          <w:sz w:val="24"/>
          <w:szCs w:val="24"/>
          <w:lang w:val="en-US"/>
        </w:rPr>
        <w:t>相关服务</w:t>
      </w:r>
      <w:r>
        <w:rPr>
          <w:rFonts w:ascii="Times New Roman" w:hAnsi="Times New Roman"/>
          <w:b w:val="0"/>
          <w:color w:val="auto"/>
          <w:sz w:val="24"/>
          <w:szCs w:val="24"/>
        </w:rPr>
        <w:t>。当发现设备、软件和网络出现故障时，如可远程连线解决，应在1小时内响应并解决；远程无法解决，应在2小时之内到达现场，4小时内排除故障；如需更换设备和配件超过48小时的，投标人应提供备品备件供采购人使用。</w:t>
      </w:r>
    </w:p>
    <w:p>
      <w:pPr>
        <w:ind w:firstLine="480"/>
        <w:rPr>
          <w:rFonts w:ascii="Times New Roman" w:hAnsi="Times New Roman"/>
          <w:b w:val="0"/>
          <w:color w:val="auto"/>
          <w:sz w:val="24"/>
          <w:szCs w:val="24"/>
        </w:rPr>
      </w:pPr>
      <w:r>
        <w:rPr>
          <w:rFonts w:ascii="Times New Roman" w:hAnsi="Times New Roman"/>
          <w:b w:val="0"/>
          <w:color w:val="auto"/>
          <w:sz w:val="24"/>
          <w:szCs w:val="24"/>
        </w:rPr>
        <w:t>2.每</w:t>
      </w:r>
      <w:r>
        <w:rPr>
          <w:rFonts w:hint="eastAsia" w:ascii="Times New Roman" w:hAnsi="Times New Roman"/>
          <w:b w:val="0"/>
          <w:color w:val="auto"/>
          <w:sz w:val="24"/>
          <w:szCs w:val="24"/>
        </w:rPr>
        <w:t>季度</w:t>
      </w:r>
      <w:r>
        <w:rPr>
          <w:rFonts w:ascii="Times New Roman" w:hAnsi="Times New Roman"/>
          <w:b w:val="0"/>
          <w:color w:val="auto"/>
          <w:sz w:val="24"/>
          <w:szCs w:val="24"/>
        </w:rPr>
        <w:t xml:space="preserve">针对本项目范围内的设备和运维平台进行定期巡检，巡检内容包括软硬件设备运行情况、网络运行情况、系统安全检查等，并提供巡检记录； </w:t>
      </w:r>
    </w:p>
    <w:p>
      <w:pPr>
        <w:ind w:firstLine="480"/>
        <w:rPr>
          <w:rFonts w:ascii="Times New Roman" w:hAnsi="Times New Roman"/>
          <w:b w:val="0"/>
          <w:color w:val="auto"/>
          <w:sz w:val="24"/>
          <w:szCs w:val="24"/>
        </w:rPr>
      </w:pPr>
      <w:r>
        <w:rPr>
          <w:rFonts w:ascii="Times New Roman" w:hAnsi="Times New Roman"/>
          <w:b w:val="0"/>
          <w:color w:val="auto"/>
          <w:sz w:val="24"/>
          <w:szCs w:val="24"/>
        </w:rPr>
        <w:t>3.协助采购人编制完善安全、运维相关管理制度并执行。</w:t>
      </w:r>
    </w:p>
    <w:p>
      <w:pPr>
        <w:ind w:firstLine="480"/>
        <w:rPr>
          <w:rFonts w:ascii="Times New Roman" w:hAnsi="Times New Roman"/>
          <w:b w:val="0"/>
          <w:color w:val="auto"/>
          <w:sz w:val="24"/>
          <w:szCs w:val="24"/>
        </w:rPr>
      </w:pPr>
      <w:r>
        <w:rPr>
          <w:rFonts w:ascii="Times New Roman" w:hAnsi="Times New Roman"/>
          <w:b w:val="0"/>
          <w:color w:val="auto"/>
          <w:sz w:val="24"/>
          <w:szCs w:val="24"/>
        </w:rPr>
        <w:t>4.运维人员运维过程中所需运维工具及耗材（网线、清洁工具、文具耗材等）由投标人提供。</w:t>
      </w:r>
    </w:p>
    <w:p>
      <w:pPr>
        <w:ind w:firstLine="480"/>
        <w:rPr>
          <w:rFonts w:ascii="Times New Roman" w:hAnsi="Times New Roman"/>
          <w:b w:val="0"/>
          <w:color w:val="auto"/>
          <w:sz w:val="24"/>
          <w:szCs w:val="24"/>
        </w:rPr>
      </w:pPr>
      <w:r>
        <w:rPr>
          <w:rFonts w:ascii="Times New Roman" w:hAnsi="Times New Roman"/>
          <w:b w:val="0"/>
          <w:color w:val="auto"/>
          <w:sz w:val="24"/>
          <w:szCs w:val="24"/>
        </w:rPr>
        <w:t>5.设备维修、更换费用：</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涉及到设备维修更换零部件或更换设备时，投标人提供的设备或材料应经采购人验收合格后，方能使用，其产生的相关费用由投标人承担，所维修、更换的设备、零部件须确保在维保期内正常使用。</w:t>
      </w:r>
    </w:p>
    <w:p>
      <w:pPr>
        <w:ind w:firstLine="480"/>
        <w:rPr>
          <w:rFonts w:ascii="Times New Roman" w:hAnsi="Times New Roman"/>
          <w:b w:val="0"/>
          <w:color w:val="auto"/>
          <w:sz w:val="24"/>
          <w:szCs w:val="24"/>
        </w:rPr>
      </w:pPr>
      <w:r>
        <w:rPr>
          <w:rFonts w:ascii="Times New Roman" w:hAnsi="Times New Roman"/>
          <w:b w:val="0"/>
          <w:color w:val="auto"/>
          <w:sz w:val="24"/>
          <w:szCs w:val="24"/>
        </w:rPr>
        <w:t>6.投标人应对采购人的安全管理人员提供本次采购所涉及运维内容的技术培训。</w:t>
      </w:r>
    </w:p>
    <w:p>
      <w:pPr>
        <w:ind w:firstLine="482"/>
        <w:rPr>
          <w:rFonts w:ascii="Times New Roman" w:hAnsi="Times New Roman"/>
          <w:color w:val="auto"/>
          <w:kern w:val="44"/>
          <w:sz w:val="24"/>
          <w:szCs w:val="24"/>
        </w:rPr>
      </w:pPr>
      <w:r>
        <w:rPr>
          <w:rFonts w:hint="eastAsia" w:ascii="Times New Roman" w:hAnsi="Times New Roman"/>
          <w:color w:val="auto"/>
          <w:kern w:val="44"/>
          <w:sz w:val="24"/>
          <w:szCs w:val="24"/>
        </w:rPr>
        <w:t>五</w:t>
      </w:r>
      <w:r>
        <w:rPr>
          <w:rFonts w:ascii="Times New Roman" w:hAnsi="Times New Roman"/>
          <w:color w:val="auto"/>
          <w:kern w:val="44"/>
          <w:sz w:val="24"/>
          <w:szCs w:val="24"/>
        </w:rPr>
        <w:t>、</w:t>
      </w:r>
      <w:r>
        <w:rPr>
          <w:rFonts w:hint="eastAsia" w:ascii="Times New Roman" w:hAnsi="Times New Roman"/>
          <w:color w:val="auto"/>
          <w:kern w:val="44"/>
          <w:sz w:val="24"/>
          <w:szCs w:val="24"/>
        </w:rPr>
        <w:t>培训</w:t>
      </w:r>
      <w:r>
        <w:rPr>
          <w:rFonts w:ascii="Times New Roman" w:hAnsi="Times New Roman"/>
          <w:color w:val="auto"/>
          <w:kern w:val="44"/>
          <w:sz w:val="24"/>
          <w:szCs w:val="24"/>
        </w:rPr>
        <w:t>要求</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投标人应在维保期内至少组织一次培训，培训对象为采购人的技术人员，培训内容包括信息安全管理、主流安全技术及原理等。</w:t>
      </w:r>
    </w:p>
    <w:p>
      <w:pPr>
        <w:ind w:firstLine="482"/>
        <w:rPr>
          <w:rFonts w:ascii="Times New Roman" w:hAnsi="Times New Roman"/>
          <w:color w:val="auto"/>
          <w:kern w:val="44"/>
          <w:sz w:val="24"/>
          <w:szCs w:val="24"/>
        </w:rPr>
      </w:pPr>
      <w:r>
        <w:rPr>
          <w:rFonts w:hint="eastAsia" w:ascii="Times New Roman" w:hAnsi="Times New Roman"/>
          <w:color w:val="auto"/>
          <w:kern w:val="44"/>
          <w:sz w:val="24"/>
          <w:szCs w:val="24"/>
        </w:rPr>
        <w:t>六</w:t>
      </w:r>
      <w:r>
        <w:rPr>
          <w:rFonts w:ascii="Times New Roman" w:hAnsi="Times New Roman"/>
          <w:color w:val="auto"/>
          <w:kern w:val="44"/>
          <w:sz w:val="24"/>
          <w:szCs w:val="24"/>
        </w:rPr>
        <w:t>、</w:t>
      </w:r>
      <w:r>
        <w:rPr>
          <w:rFonts w:hint="eastAsia" w:ascii="Times New Roman" w:hAnsi="Times New Roman"/>
          <w:color w:val="auto"/>
          <w:kern w:val="44"/>
          <w:sz w:val="24"/>
          <w:szCs w:val="24"/>
        </w:rPr>
        <w:t>管理</w:t>
      </w:r>
      <w:r>
        <w:rPr>
          <w:rFonts w:ascii="Times New Roman" w:hAnsi="Times New Roman"/>
          <w:color w:val="auto"/>
          <w:kern w:val="44"/>
          <w:sz w:val="24"/>
          <w:szCs w:val="24"/>
        </w:rPr>
        <w:t>要求</w:t>
      </w:r>
    </w:p>
    <w:p>
      <w:pPr>
        <w:ind w:firstLine="480"/>
        <w:rPr>
          <w:rFonts w:ascii="Times New Roman" w:hAnsi="Times New Roman"/>
          <w:b w:val="0"/>
          <w:color w:val="auto"/>
          <w:sz w:val="24"/>
          <w:szCs w:val="24"/>
        </w:rPr>
      </w:pPr>
      <w:r>
        <w:rPr>
          <w:rFonts w:ascii="Times New Roman" w:hAnsi="Times New Roman"/>
          <w:b w:val="0"/>
          <w:color w:val="auto"/>
          <w:sz w:val="24"/>
          <w:szCs w:val="24"/>
        </w:rPr>
        <w:t>1.运维管理</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投标人提供的技术服务人员应接受采购人的监督管理。</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应以提供优质服务为工作目标，建立工作规范、服务流程和管理制度等。合同期内，采购人对投标人开展的运维服务工作每季度进行评价，投标人须按采购人管理人员针对运维工作提出的整改意见及时响应并改进。</w:t>
      </w:r>
    </w:p>
    <w:p>
      <w:pPr>
        <w:ind w:firstLine="480"/>
        <w:rPr>
          <w:rFonts w:ascii="Times New Roman" w:hAnsi="Times New Roman"/>
          <w:b w:val="0"/>
          <w:color w:val="auto"/>
          <w:sz w:val="24"/>
          <w:szCs w:val="24"/>
        </w:rPr>
      </w:pPr>
      <w:r>
        <w:rPr>
          <w:rFonts w:ascii="Times New Roman" w:hAnsi="Times New Roman"/>
          <w:b w:val="0"/>
          <w:color w:val="auto"/>
          <w:sz w:val="24"/>
          <w:szCs w:val="24"/>
        </w:rPr>
        <w:t>2.文档管理</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需要根据采购人运维工作要求，做好运维过程的所有文档的记录和归档工作，包括但不限于服务报告、工作汇报、技术方案以及往来的传真、邮件等，每季度汇总一次，提交采购人的管理人员审阅，并按照要求装订成册归档。</w:t>
      </w:r>
    </w:p>
    <w:p>
      <w:pPr>
        <w:ind w:firstLine="480"/>
        <w:rPr>
          <w:rFonts w:ascii="Times New Roman" w:hAnsi="Times New Roman"/>
          <w:b w:val="0"/>
          <w:color w:val="auto"/>
          <w:sz w:val="24"/>
          <w:szCs w:val="24"/>
        </w:rPr>
      </w:pPr>
      <w:r>
        <w:rPr>
          <w:rFonts w:ascii="Times New Roman" w:hAnsi="Times New Roman"/>
          <w:b w:val="0"/>
          <w:color w:val="auto"/>
          <w:sz w:val="24"/>
          <w:szCs w:val="24"/>
        </w:rPr>
        <w:t>3.人员管理</w:t>
      </w:r>
    </w:p>
    <w:p>
      <w:pPr>
        <w:ind w:firstLine="480"/>
        <w:rPr>
          <w:rFonts w:ascii="Times New Roman" w:hAnsi="Times New Roman"/>
          <w:b w:val="0"/>
          <w:color w:val="auto"/>
          <w:sz w:val="24"/>
          <w:szCs w:val="24"/>
        </w:rPr>
      </w:pPr>
      <w:r>
        <w:rPr>
          <w:rFonts w:hint="eastAsia" w:ascii="Times New Roman" w:hAnsi="Times New Roman"/>
          <w:b w:val="0"/>
          <w:color w:val="auto"/>
          <w:sz w:val="24"/>
          <w:szCs w:val="24"/>
        </w:rPr>
        <w:t>投标人根据采购人的有关工作制度，如作息时间、考勤制度、管理规范、工作规程、重大活动保障、应急事件管理规定等，制定有关规范对技术人员进行管理。</w:t>
      </w:r>
    </w:p>
    <w:p>
      <w:pPr>
        <w:ind w:firstLine="480" w:firstLineChars="0"/>
        <w:rPr>
          <w:color w:val="auto"/>
          <w:kern w:val="2"/>
          <w:sz w:val="24"/>
          <w:szCs w:val="24"/>
          <w:lang w:val="en-US"/>
        </w:rPr>
      </w:pPr>
      <w:r>
        <w:rPr>
          <w:rFonts w:hint="eastAsia"/>
          <w:b w:val="0"/>
          <w:color w:val="auto"/>
          <w:kern w:val="2"/>
          <w:sz w:val="24"/>
          <w:szCs w:val="24"/>
          <w:lang w:val="en-US"/>
        </w:rPr>
        <w:t>★</w:t>
      </w:r>
      <w:r>
        <w:rPr>
          <w:b w:val="0"/>
          <w:color w:val="auto"/>
          <w:kern w:val="2"/>
          <w:sz w:val="24"/>
          <w:szCs w:val="24"/>
          <w:lang w:val="en-US"/>
        </w:rPr>
        <w:t>4.信息安全管理</w:t>
      </w:r>
    </w:p>
    <w:p>
      <w:pPr>
        <w:ind w:firstLine="480"/>
        <w:rPr>
          <w:rFonts w:ascii="Times New Roman" w:hAnsi="Times New Roman"/>
          <w:b w:val="0"/>
          <w:color w:val="auto"/>
          <w:sz w:val="24"/>
          <w:szCs w:val="24"/>
        </w:rPr>
      </w:pPr>
      <w:r>
        <w:rPr>
          <w:rFonts w:hint="eastAsia"/>
          <w:b w:val="0"/>
          <w:color w:val="auto"/>
          <w:kern w:val="2"/>
          <w:sz w:val="24"/>
          <w:szCs w:val="24"/>
          <w:lang w:val="en-US"/>
        </w:rPr>
        <w:t>投标人必须服从采购人对网络与信息安全的各项管理规定和要求。（提供承诺函原件加盖投标人公章）</w:t>
      </w:r>
      <w:r>
        <w:rPr>
          <w:b w:val="0"/>
          <w:color w:val="auto"/>
          <w:kern w:val="2"/>
          <w:sz w:val="24"/>
          <w:szCs w:val="24"/>
          <w:lang w:val="en-US"/>
        </w:rPr>
        <w:t xml:space="preserve"> </w:t>
      </w:r>
    </w:p>
    <w:p>
      <w:pPr>
        <w:ind w:firstLine="480" w:firstLineChars="0"/>
        <w:rPr>
          <w:color w:val="auto"/>
          <w:kern w:val="2"/>
          <w:sz w:val="24"/>
          <w:szCs w:val="24"/>
          <w:lang w:val="en-US"/>
        </w:rPr>
      </w:pPr>
      <w:bookmarkStart w:id="544" w:name="_Hlk66982262"/>
      <w:r>
        <w:rPr>
          <w:rFonts w:hint="eastAsia"/>
          <w:b w:val="0"/>
          <w:color w:val="auto"/>
          <w:kern w:val="2"/>
          <w:sz w:val="24"/>
          <w:szCs w:val="24"/>
          <w:lang w:val="en-US"/>
        </w:rPr>
        <w:t>★</w:t>
      </w:r>
      <w:bookmarkEnd w:id="544"/>
      <w:r>
        <w:rPr>
          <w:b w:val="0"/>
          <w:color w:val="auto"/>
          <w:kern w:val="2"/>
          <w:sz w:val="24"/>
          <w:szCs w:val="24"/>
          <w:lang w:val="en-US"/>
        </w:rPr>
        <w:t>5.服务安全管理</w:t>
      </w:r>
    </w:p>
    <w:p>
      <w:pPr>
        <w:ind w:firstLine="480"/>
        <w:rPr>
          <w:rFonts w:ascii="Times New Roman" w:hAnsi="Times New Roman"/>
          <w:b w:val="0"/>
          <w:color w:val="auto"/>
          <w:sz w:val="24"/>
          <w:szCs w:val="24"/>
        </w:rPr>
      </w:pPr>
      <w:r>
        <w:rPr>
          <w:rFonts w:hint="eastAsia"/>
          <w:b w:val="0"/>
          <w:color w:val="auto"/>
          <w:kern w:val="2"/>
          <w:sz w:val="24"/>
          <w:szCs w:val="24"/>
          <w:lang w:val="en-US"/>
        </w:rPr>
        <w:t>投标人承诺提供的技术服务人员具备相对应工作的知识和技能，遵循相应的国家规范和操作流程。对有特殊要求的维护操作，需要专业人员进行操作，包括但不限于网络安全、计算存储、云平台等。（提供承诺函原件加盖投标人公章）</w:t>
      </w:r>
    </w:p>
    <w:p>
      <w:pPr>
        <w:ind w:firstLine="482"/>
        <w:rPr>
          <w:rFonts w:ascii="Times New Roman" w:hAnsi="Times New Roman"/>
          <w:color w:val="auto"/>
          <w:kern w:val="44"/>
          <w:sz w:val="24"/>
          <w:szCs w:val="24"/>
        </w:rPr>
      </w:pPr>
      <w:r>
        <w:rPr>
          <w:rFonts w:hint="eastAsia" w:ascii="Times New Roman" w:hAnsi="Times New Roman"/>
          <w:color w:val="auto"/>
          <w:kern w:val="44"/>
          <w:sz w:val="24"/>
          <w:szCs w:val="24"/>
        </w:rPr>
        <w:t>七</w:t>
      </w:r>
      <w:r>
        <w:rPr>
          <w:rFonts w:ascii="Times New Roman" w:hAnsi="Times New Roman"/>
          <w:color w:val="auto"/>
          <w:kern w:val="44"/>
          <w:sz w:val="24"/>
          <w:szCs w:val="24"/>
        </w:rPr>
        <w:t>、</w:t>
      </w:r>
      <w:r>
        <w:rPr>
          <w:rFonts w:hint="eastAsia" w:ascii="Times New Roman" w:hAnsi="Times New Roman"/>
          <w:color w:val="auto"/>
          <w:kern w:val="44"/>
          <w:sz w:val="24"/>
          <w:szCs w:val="24"/>
        </w:rPr>
        <w:t>项目验收</w:t>
      </w:r>
    </w:p>
    <w:p>
      <w:pPr>
        <w:autoSpaceDE w:val="0"/>
        <w:autoSpaceDN w:val="0"/>
        <w:adjustRightInd w:val="0"/>
        <w:ind w:firstLine="410" w:firstLineChars="171"/>
        <w:jc w:val="left"/>
        <w:outlineLvl w:val="1"/>
        <w:rPr>
          <w:rFonts w:ascii="Times New Roman" w:hAnsi="Times New Roman"/>
          <w:b w:val="0"/>
          <w:color w:val="auto"/>
          <w:sz w:val="24"/>
          <w:szCs w:val="24"/>
        </w:rPr>
      </w:pPr>
      <w:r>
        <w:rPr>
          <w:rFonts w:hint="eastAsia" w:ascii="Times New Roman" w:hAnsi="Times New Roman"/>
          <w:b w:val="0"/>
          <w:color w:val="auto"/>
          <w:sz w:val="24"/>
          <w:szCs w:val="24"/>
        </w:rPr>
        <w:t>（一）</w:t>
      </w:r>
      <w:r>
        <w:rPr>
          <w:rFonts w:ascii="Times New Roman" w:hAnsi="Times New Roman"/>
          <w:b w:val="0"/>
          <w:color w:val="auto"/>
          <w:sz w:val="24"/>
          <w:szCs w:val="24"/>
        </w:rPr>
        <w:tab/>
      </w:r>
      <w:r>
        <w:rPr>
          <w:rFonts w:ascii="Times New Roman" w:hAnsi="Times New Roman"/>
          <w:b w:val="0"/>
          <w:color w:val="auto"/>
          <w:sz w:val="24"/>
          <w:szCs w:val="24"/>
        </w:rPr>
        <w:t>服务考核方法</w:t>
      </w:r>
    </w:p>
    <w:p>
      <w:pPr>
        <w:autoSpaceDE w:val="0"/>
        <w:autoSpaceDN w:val="0"/>
        <w:adjustRightInd w:val="0"/>
        <w:ind w:firstLine="410" w:firstLineChars="171"/>
        <w:jc w:val="left"/>
        <w:rPr>
          <w:rFonts w:ascii="Times New Roman" w:hAnsi="Times New Roman"/>
          <w:b w:val="0"/>
          <w:color w:val="auto"/>
          <w:sz w:val="24"/>
          <w:szCs w:val="24"/>
        </w:rPr>
      </w:pPr>
      <w:r>
        <w:rPr>
          <w:rFonts w:hint="eastAsia"/>
          <w:b w:val="0"/>
          <w:color w:val="auto"/>
          <w:kern w:val="2"/>
          <w:sz w:val="24"/>
          <w:szCs w:val="24"/>
          <w:lang w:val="en-US"/>
        </w:rPr>
        <w:t>本项目将引入第三方监理，采购人按照本项目运维考核标准进行考核，服务期满，中标人提出验收申请且采购人同意后，依据考核结果进行项目验收。</w:t>
      </w:r>
    </w:p>
    <w:p>
      <w:pPr>
        <w:autoSpaceDE w:val="0"/>
        <w:autoSpaceDN w:val="0"/>
        <w:adjustRightInd w:val="0"/>
        <w:ind w:firstLine="410" w:firstLineChars="171"/>
        <w:jc w:val="left"/>
        <w:outlineLvl w:val="1"/>
        <w:rPr>
          <w:rFonts w:ascii="Times New Roman" w:hAnsi="Times New Roman"/>
          <w:b w:val="0"/>
          <w:color w:val="auto"/>
          <w:sz w:val="24"/>
          <w:szCs w:val="24"/>
          <w:lang w:val="en-US"/>
        </w:rPr>
      </w:pPr>
      <w:r>
        <w:rPr>
          <w:rFonts w:hint="eastAsia" w:ascii="Times New Roman" w:hAnsi="Times New Roman"/>
          <w:b w:val="0"/>
          <w:color w:val="auto"/>
          <w:sz w:val="24"/>
          <w:szCs w:val="24"/>
        </w:rPr>
        <w:t>（二）</w:t>
      </w:r>
      <w:r>
        <w:rPr>
          <w:rFonts w:ascii="Times New Roman" w:hAnsi="Times New Roman"/>
          <w:b w:val="0"/>
          <w:color w:val="auto"/>
          <w:sz w:val="24"/>
          <w:szCs w:val="24"/>
        </w:rPr>
        <w:tab/>
      </w:r>
      <w:r>
        <w:rPr>
          <w:rFonts w:ascii="Times New Roman" w:hAnsi="Times New Roman"/>
          <w:b w:val="0"/>
          <w:color w:val="auto"/>
          <w:sz w:val="24"/>
          <w:szCs w:val="24"/>
        </w:rPr>
        <w:t>服务考核标准</w:t>
      </w:r>
    </w:p>
    <w:p>
      <w:pPr>
        <w:autoSpaceDE w:val="0"/>
        <w:autoSpaceDN w:val="0"/>
        <w:adjustRightInd w:val="0"/>
        <w:ind w:firstLine="410" w:firstLineChars="171"/>
        <w:jc w:val="left"/>
        <w:rPr>
          <w:rFonts w:ascii="Times New Roman" w:hAnsi="Times New Roman"/>
          <w:b w:val="0"/>
          <w:color w:val="auto"/>
          <w:sz w:val="24"/>
          <w:szCs w:val="24"/>
        </w:rPr>
      </w:pPr>
      <w:r>
        <w:rPr>
          <w:rFonts w:hint="eastAsia" w:ascii="Times New Roman" w:hAnsi="Times New Roman"/>
          <w:b w:val="0"/>
          <w:color w:val="auto"/>
          <w:sz w:val="24"/>
          <w:szCs w:val="24"/>
        </w:rPr>
        <w:t>主要考核指标包括：工作完成质量、服务质量、系统运行保障、培训、资料、后台管理等方面内容。</w:t>
      </w:r>
    </w:p>
    <w:p>
      <w:pPr>
        <w:autoSpaceDE w:val="0"/>
        <w:autoSpaceDN w:val="0"/>
        <w:adjustRightInd w:val="0"/>
        <w:ind w:firstLine="410" w:firstLineChars="171"/>
        <w:jc w:val="left"/>
        <w:rPr>
          <w:rFonts w:ascii="Times New Roman" w:hAnsi="Times New Roman"/>
          <w:b w:val="0"/>
          <w:color w:val="auto"/>
          <w:sz w:val="24"/>
          <w:szCs w:val="24"/>
        </w:rPr>
      </w:pPr>
      <w:r>
        <w:rPr>
          <w:rFonts w:hint="eastAsia" w:ascii="Times New Roman" w:hAnsi="Times New Roman"/>
          <w:b w:val="0"/>
          <w:color w:val="auto"/>
          <w:sz w:val="24"/>
          <w:szCs w:val="24"/>
        </w:rPr>
        <w:t>运维绩效考核表如下表所示：</w:t>
      </w:r>
    </w:p>
    <w:p>
      <w:pPr>
        <w:autoSpaceDE w:val="0"/>
        <w:autoSpaceDN w:val="0"/>
        <w:adjustRightInd w:val="0"/>
        <w:ind w:firstLine="410" w:firstLineChars="171"/>
        <w:jc w:val="left"/>
        <w:rPr>
          <w:rFonts w:ascii="Times New Roman" w:hAnsi="Times New Roman"/>
          <w:b w:val="0"/>
          <w:color w:val="auto"/>
          <w:sz w:val="24"/>
          <w:szCs w:val="24"/>
        </w:rPr>
      </w:pPr>
      <w:r>
        <w:rPr>
          <w:rFonts w:hint="eastAsia" w:ascii="Times New Roman" w:hAnsi="Times New Roman"/>
          <w:b w:val="0"/>
          <w:color w:val="auto"/>
          <w:sz w:val="24"/>
          <w:szCs w:val="24"/>
        </w:rPr>
        <w:t>运维项目名称：</w:t>
      </w:r>
      <w:r>
        <w:rPr>
          <w:rFonts w:ascii="Times New Roman" w:hAnsi="Times New Roman"/>
          <w:b w:val="0"/>
          <w:color w:val="auto"/>
          <w:sz w:val="24"/>
          <w:szCs w:val="24"/>
        </w:rPr>
        <w:t>______________________</w:t>
      </w:r>
    </w:p>
    <w:p>
      <w:pPr>
        <w:autoSpaceDE w:val="0"/>
        <w:autoSpaceDN w:val="0"/>
        <w:adjustRightInd w:val="0"/>
        <w:ind w:firstLine="410" w:firstLineChars="171"/>
        <w:jc w:val="left"/>
        <w:rPr>
          <w:rFonts w:ascii="Times New Roman" w:hAnsi="Times New Roman"/>
          <w:b w:val="0"/>
          <w:color w:val="auto"/>
          <w:sz w:val="24"/>
          <w:szCs w:val="24"/>
        </w:rPr>
      </w:pPr>
      <w:r>
        <w:rPr>
          <w:rFonts w:hint="eastAsia" w:ascii="Times New Roman" w:hAnsi="Times New Roman"/>
          <w:b w:val="0"/>
          <w:color w:val="auto"/>
          <w:sz w:val="24"/>
          <w:szCs w:val="24"/>
        </w:rPr>
        <w:t>运维公司名称：</w:t>
      </w:r>
      <w:r>
        <w:rPr>
          <w:rFonts w:ascii="Times New Roman" w:hAnsi="Times New Roman"/>
          <w:b w:val="0"/>
          <w:color w:val="auto"/>
          <w:sz w:val="24"/>
          <w:szCs w:val="24"/>
        </w:rPr>
        <w:t>_________________________</w:t>
      </w:r>
    </w:p>
    <w:p>
      <w:pPr>
        <w:autoSpaceDE w:val="0"/>
        <w:autoSpaceDN w:val="0"/>
        <w:adjustRightInd w:val="0"/>
        <w:ind w:firstLine="410" w:firstLineChars="171"/>
        <w:jc w:val="left"/>
        <w:rPr>
          <w:rFonts w:ascii="Times New Roman" w:hAnsi="Times New Roman"/>
          <w:b w:val="0"/>
          <w:color w:val="auto"/>
          <w:sz w:val="24"/>
          <w:szCs w:val="24"/>
        </w:rPr>
      </w:pPr>
      <w:r>
        <w:rPr>
          <w:rFonts w:hint="eastAsia" w:ascii="Times New Roman" w:hAnsi="Times New Roman"/>
          <w:b w:val="0"/>
          <w:color w:val="auto"/>
          <w:sz w:val="24"/>
          <w:szCs w:val="24"/>
        </w:rPr>
        <w:t>运维期</w:t>
      </w:r>
      <w:r>
        <w:rPr>
          <w:rFonts w:ascii="Times New Roman" w:hAnsi="Times New Roman"/>
          <w:b w:val="0"/>
          <w:color w:val="auto"/>
          <w:sz w:val="24"/>
          <w:szCs w:val="24"/>
        </w:rPr>
        <w:t>____至_________________</w:t>
      </w:r>
    </w:p>
    <w:p>
      <w:pPr>
        <w:autoSpaceDE w:val="0"/>
        <w:autoSpaceDN w:val="0"/>
        <w:adjustRightInd w:val="0"/>
        <w:ind w:firstLine="410" w:firstLineChars="171"/>
        <w:jc w:val="left"/>
        <w:rPr>
          <w:rFonts w:ascii="Times New Roman" w:hAnsi="Times New Roman"/>
          <w:b w:val="0"/>
          <w:color w:val="auto"/>
          <w:sz w:val="24"/>
          <w:szCs w:val="24"/>
        </w:rPr>
      </w:pPr>
      <w:r>
        <w:rPr>
          <w:rFonts w:hint="eastAsia" w:ascii="Times New Roman" w:hAnsi="Times New Roman"/>
          <w:b w:val="0"/>
          <w:color w:val="auto"/>
          <w:sz w:val="24"/>
          <w:szCs w:val="24"/>
        </w:rPr>
        <w:t>运维绩效考核表</w:t>
      </w:r>
    </w:p>
    <w:p>
      <w:pPr>
        <w:ind w:firstLine="0" w:firstLineChars="0"/>
        <w:jc w:val="center"/>
        <w:outlineLvl w:val="2"/>
        <w:rPr>
          <w:color w:val="auto"/>
          <w:sz w:val="24"/>
          <w:szCs w:val="24"/>
        </w:rPr>
      </w:pPr>
      <w:r>
        <w:rPr>
          <w:rFonts w:hint="eastAsia"/>
          <w:color w:val="auto"/>
          <w:sz w:val="24"/>
          <w:szCs w:val="24"/>
        </w:rPr>
        <w:t>成都市环境保护信息中心</w:t>
      </w:r>
      <w:r>
        <w:rPr>
          <w:rFonts w:hint="eastAsia"/>
          <w:color w:val="auto"/>
          <w:sz w:val="24"/>
          <w:szCs w:val="24"/>
          <w:lang w:val="en-US"/>
        </w:rPr>
        <w:t>信息化</w:t>
      </w:r>
      <w:r>
        <w:rPr>
          <w:color w:val="auto"/>
          <w:sz w:val="24"/>
          <w:szCs w:val="24"/>
        </w:rPr>
        <w:t>硬件运维服务</w:t>
      </w:r>
    </w:p>
    <w:p>
      <w:pPr>
        <w:ind w:firstLine="0" w:firstLineChars="0"/>
        <w:jc w:val="center"/>
        <w:outlineLvl w:val="2"/>
        <w:rPr>
          <w:color w:val="auto"/>
          <w:sz w:val="24"/>
          <w:szCs w:val="24"/>
        </w:rPr>
      </w:pPr>
      <w:r>
        <w:rPr>
          <w:color w:val="auto"/>
          <w:sz w:val="24"/>
          <w:szCs w:val="24"/>
        </w:rPr>
        <w:t>（</w:t>
      </w:r>
      <w:r>
        <w:rPr>
          <w:rFonts w:hint="eastAsia"/>
          <w:color w:val="auto"/>
          <w:sz w:val="24"/>
          <w:szCs w:val="24"/>
        </w:rPr>
        <w:t>安全设备运维</w:t>
      </w:r>
      <w:r>
        <w:rPr>
          <w:color w:val="auto"/>
          <w:sz w:val="24"/>
          <w:szCs w:val="24"/>
        </w:rPr>
        <w:t>）绩效考核表</w:t>
      </w:r>
      <w:r>
        <w:rPr>
          <w:rFonts w:hint="eastAsia"/>
          <w:color w:val="auto"/>
          <w:sz w:val="24"/>
          <w:szCs w:val="24"/>
        </w:rPr>
        <w:t>（月度）</w:t>
      </w:r>
    </w:p>
    <w:p>
      <w:pPr>
        <w:ind w:firstLine="0" w:firstLineChars="0"/>
        <w:jc w:val="center"/>
        <w:outlineLvl w:val="2"/>
        <w:rPr>
          <w:color w:val="auto"/>
          <w:sz w:val="24"/>
          <w:szCs w:val="24"/>
        </w:rPr>
      </w:pPr>
      <w:r>
        <w:rPr>
          <w:rFonts w:hint="eastAsia"/>
          <w:color w:val="auto"/>
          <w:sz w:val="24"/>
          <w:szCs w:val="24"/>
        </w:rPr>
        <w:t>（</w:t>
      </w:r>
      <w:r>
        <w:rPr>
          <w:rFonts w:hint="eastAsia"/>
          <w:color w:val="auto"/>
          <w:sz w:val="24"/>
          <w:szCs w:val="24"/>
          <w:lang w:val="en-US"/>
        </w:rPr>
        <w:t xml:space="preserve">  </w:t>
      </w:r>
      <w:r>
        <w:rPr>
          <w:color w:val="auto"/>
          <w:sz w:val="24"/>
          <w:szCs w:val="24"/>
        </w:rPr>
        <w:t>年</w:t>
      </w:r>
      <w:r>
        <w:rPr>
          <w:rFonts w:hint="eastAsia"/>
          <w:color w:val="auto"/>
          <w:sz w:val="24"/>
          <w:szCs w:val="24"/>
        </w:rPr>
        <w:t xml:space="preserve"> </w:t>
      </w:r>
      <w:r>
        <w:rPr>
          <w:color w:val="auto"/>
          <w:sz w:val="24"/>
          <w:szCs w:val="24"/>
        </w:rPr>
        <w:t xml:space="preserve"> 月</w:t>
      </w:r>
      <w:r>
        <w:rPr>
          <w:rFonts w:hint="eastAsia"/>
          <w:color w:val="auto"/>
          <w:sz w:val="24"/>
          <w:szCs w:val="24"/>
        </w:rPr>
        <w:t xml:space="preserve"> </w:t>
      </w:r>
      <w:r>
        <w:rPr>
          <w:color w:val="auto"/>
          <w:sz w:val="24"/>
          <w:szCs w:val="24"/>
        </w:rPr>
        <w:t xml:space="preserve"> </w:t>
      </w:r>
      <w:r>
        <w:rPr>
          <w:rFonts w:hint="eastAsia"/>
          <w:color w:val="auto"/>
          <w:sz w:val="24"/>
          <w:szCs w:val="24"/>
        </w:rPr>
        <w:t>）</w:t>
      </w:r>
    </w:p>
    <w:tbl>
      <w:tblPr>
        <w:tblStyle w:val="77"/>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283"/>
        <w:gridCol w:w="709"/>
        <w:gridCol w:w="1462"/>
        <w:gridCol w:w="3827"/>
        <w:gridCol w:w="85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Align w:val="center"/>
          </w:tcPr>
          <w:p>
            <w:pPr>
              <w:ind w:firstLine="0" w:firstLineChars="0"/>
              <w:jc w:val="center"/>
              <w:rPr>
                <w:color w:val="auto"/>
                <w:sz w:val="18"/>
                <w:szCs w:val="18"/>
              </w:rPr>
            </w:pPr>
            <w:r>
              <w:rPr>
                <w:rFonts w:hint="eastAsia"/>
                <w:color w:val="auto"/>
                <w:sz w:val="18"/>
                <w:szCs w:val="18"/>
              </w:rPr>
              <w:t>分类</w:t>
            </w:r>
          </w:p>
        </w:tc>
        <w:tc>
          <w:tcPr>
            <w:tcW w:w="709" w:type="dxa"/>
            <w:vAlign w:val="center"/>
          </w:tcPr>
          <w:p>
            <w:pPr>
              <w:ind w:firstLine="0" w:firstLineChars="0"/>
              <w:jc w:val="center"/>
              <w:rPr>
                <w:color w:val="auto"/>
                <w:sz w:val="18"/>
                <w:szCs w:val="18"/>
              </w:rPr>
            </w:pPr>
            <w:r>
              <w:rPr>
                <w:rFonts w:hint="eastAsia"/>
                <w:color w:val="auto"/>
                <w:sz w:val="18"/>
                <w:szCs w:val="18"/>
              </w:rPr>
              <w:t>分值</w:t>
            </w:r>
          </w:p>
        </w:tc>
        <w:tc>
          <w:tcPr>
            <w:tcW w:w="1462" w:type="dxa"/>
            <w:vAlign w:val="center"/>
          </w:tcPr>
          <w:p>
            <w:pPr>
              <w:ind w:firstLine="0" w:firstLineChars="0"/>
              <w:jc w:val="center"/>
              <w:rPr>
                <w:color w:val="auto"/>
                <w:sz w:val="18"/>
                <w:szCs w:val="18"/>
              </w:rPr>
            </w:pPr>
            <w:r>
              <w:rPr>
                <w:rFonts w:hint="eastAsia"/>
                <w:color w:val="auto"/>
                <w:sz w:val="18"/>
                <w:szCs w:val="18"/>
              </w:rPr>
              <w:t>检查</w:t>
            </w:r>
            <w:r>
              <w:rPr>
                <w:color w:val="auto"/>
                <w:sz w:val="18"/>
                <w:szCs w:val="18"/>
              </w:rPr>
              <w:t>项</w:t>
            </w:r>
          </w:p>
        </w:tc>
        <w:tc>
          <w:tcPr>
            <w:tcW w:w="3827" w:type="dxa"/>
            <w:vAlign w:val="center"/>
          </w:tcPr>
          <w:p>
            <w:pPr>
              <w:ind w:firstLine="361"/>
              <w:jc w:val="center"/>
              <w:rPr>
                <w:color w:val="auto"/>
                <w:sz w:val="18"/>
                <w:szCs w:val="18"/>
              </w:rPr>
            </w:pPr>
            <w:r>
              <w:rPr>
                <w:rFonts w:hint="eastAsia"/>
                <w:color w:val="auto"/>
                <w:sz w:val="18"/>
                <w:szCs w:val="18"/>
              </w:rPr>
              <w:t>考核</w:t>
            </w:r>
            <w:r>
              <w:rPr>
                <w:color w:val="auto"/>
                <w:sz w:val="18"/>
                <w:szCs w:val="18"/>
              </w:rPr>
              <w:t>指标</w:t>
            </w:r>
          </w:p>
        </w:tc>
        <w:tc>
          <w:tcPr>
            <w:tcW w:w="851" w:type="dxa"/>
            <w:vAlign w:val="center"/>
          </w:tcPr>
          <w:p>
            <w:pPr>
              <w:ind w:firstLine="0" w:firstLineChars="0"/>
              <w:jc w:val="center"/>
              <w:rPr>
                <w:color w:val="auto"/>
                <w:sz w:val="18"/>
                <w:szCs w:val="18"/>
              </w:rPr>
            </w:pPr>
            <w:r>
              <w:rPr>
                <w:rFonts w:hint="eastAsia"/>
                <w:color w:val="auto"/>
                <w:sz w:val="18"/>
                <w:szCs w:val="18"/>
              </w:rPr>
              <w:t>考核</w:t>
            </w:r>
          </w:p>
          <w:p>
            <w:pPr>
              <w:ind w:firstLine="0" w:firstLineChars="0"/>
              <w:jc w:val="center"/>
              <w:rPr>
                <w:color w:val="auto"/>
                <w:sz w:val="18"/>
                <w:szCs w:val="18"/>
              </w:rPr>
            </w:pPr>
            <w:r>
              <w:rPr>
                <w:rFonts w:hint="eastAsia"/>
                <w:color w:val="auto"/>
                <w:sz w:val="18"/>
                <w:szCs w:val="18"/>
              </w:rPr>
              <w:t>分值</w:t>
            </w:r>
          </w:p>
        </w:tc>
        <w:tc>
          <w:tcPr>
            <w:tcW w:w="731" w:type="dxa"/>
            <w:vAlign w:val="center"/>
          </w:tcPr>
          <w:p>
            <w:pPr>
              <w:ind w:firstLine="0" w:firstLineChars="0"/>
              <w:jc w:val="center"/>
              <w:rPr>
                <w:color w:val="auto"/>
                <w:sz w:val="18"/>
                <w:szCs w:val="18"/>
              </w:rPr>
            </w:pPr>
            <w:r>
              <w:rPr>
                <w:rFonts w:hint="eastAsia"/>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Merge w:val="restart"/>
            <w:vAlign w:val="center"/>
          </w:tcPr>
          <w:p>
            <w:pPr>
              <w:ind w:firstLine="0" w:firstLineChars="0"/>
              <w:jc w:val="left"/>
              <w:rPr>
                <w:b w:val="0"/>
                <w:bCs/>
                <w:color w:val="auto"/>
                <w:sz w:val="18"/>
                <w:szCs w:val="18"/>
              </w:rPr>
            </w:pPr>
            <w:r>
              <w:rPr>
                <w:b w:val="0"/>
                <w:bCs/>
                <w:color w:val="auto"/>
                <w:sz w:val="18"/>
                <w:szCs w:val="18"/>
              </w:rPr>
              <w:t>运维实施</w:t>
            </w:r>
          </w:p>
        </w:tc>
        <w:tc>
          <w:tcPr>
            <w:tcW w:w="709" w:type="dxa"/>
            <w:vMerge w:val="restart"/>
            <w:vAlign w:val="center"/>
          </w:tcPr>
          <w:p>
            <w:pPr>
              <w:ind w:firstLine="0" w:firstLineChars="0"/>
              <w:rPr>
                <w:b w:val="0"/>
                <w:bCs/>
                <w:color w:val="auto"/>
                <w:sz w:val="18"/>
                <w:szCs w:val="18"/>
              </w:rPr>
            </w:pPr>
            <w:r>
              <w:rPr>
                <w:b w:val="0"/>
                <w:bCs/>
                <w:color w:val="auto"/>
                <w:sz w:val="18"/>
                <w:szCs w:val="18"/>
              </w:rPr>
              <w:t>80</w:t>
            </w:r>
          </w:p>
        </w:tc>
        <w:tc>
          <w:tcPr>
            <w:tcW w:w="1462" w:type="dxa"/>
            <w:vAlign w:val="center"/>
          </w:tcPr>
          <w:p>
            <w:pPr>
              <w:ind w:firstLine="0" w:firstLineChars="0"/>
              <w:jc w:val="left"/>
              <w:rPr>
                <w:b w:val="0"/>
                <w:bCs/>
                <w:color w:val="auto"/>
                <w:sz w:val="18"/>
                <w:szCs w:val="18"/>
              </w:rPr>
            </w:pPr>
            <w:r>
              <w:rPr>
                <w:rFonts w:hint="eastAsia"/>
                <w:b w:val="0"/>
                <w:bCs/>
                <w:color w:val="auto"/>
                <w:sz w:val="18"/>
                <w:szCs w:val="18"/>
              </w:rPr>
              <w:t>例行巡检</w:t>
            </w:r>
          </w:p>
          <w:p>
            <w:pPr>
              <w:ind w:firstLine="0" w:firstLineChars="0"/>
              <w:jc w:val="left"/>
              <w:rPr>
                <w:b w:val="0"/>
                <w:bCs/>
                <w:color w:val="auto"/>
                <w:sz w:val="18"/>
                <w:szCs w:val="18"/>
              </w:rPr>
            </w:pPr>
            <w:r>
              <w:rPr>
                <w:rFonts w:hint="eastAsia"/>
                <w:b w:val="0"/>
                <w:bCs/>
                <w:color w:val="auto"/>
                <w:sz w:val="18"/>
                <w:szCs w:val="18"/>
              </w:rPr>
              <w:t>（1</w:t>
            </w:r>
            <w:r>
              <w:rPr>
                <w:b w:val="0"/>
                <w:bCs/>
                <w:color w:val="auto"/>
                <w:sz w:val="18"/>
                <w:szCs w:val="18"/>
              </w:rPr>
              <w:t>5分</w:t>
            </w:r>
            <w:r>
              <w:rPr>
                <w:rFonts w:hint="eastAsia"/>
                <w:b w:val="0"/>
                <w:bCs/>
                <w:color w:val="auto"/>
                <w:sz w:val="18"/>
                <w:szCs w:val="18"/>
              </w:rPr>
              <w:t>）</w:t>
            </w:r>
          </w:p>
        </w:tc>
        <w:tc>
          <w:tcPr>
            <w:tcW w:w="3827" w:type="dxa"/>
            <w:vAlign w:val="center"/>
          </w:tcPr>
          <w:p>
            <w:pPr>
              <w:ind w:firstLine="360"/>
              <w:jc w:val="left"/>
              <w:rPr>
                <w:b w:val="0"/>
                <w:bCs/>
                <w:color w:val="auto"/>
                <w:sz w:val="18"/>
                <w:szCs w:val="18"/>
              </w:rPr>
            </w:pPr>
            <w:r>
              <w:rPr>
                <w:rFonts w:hint="eastAsia"/>
                <w:b w:val="0"/>
                <w:bCs/>
                <w:color w:val="auto"/>
                <w:sz w:val="18"/>
                <w:szCs w:val="18"/>
              </w:rPr>
              <w:t>是否按照招投标文件及合同和服务级别协议要求进行巡检，是否形成记录；巡检记录缺失一份扣</w:t>
            </w:r>
            <w:r>
              <w:rPr>
                <w:b w:val="0"/>
                <w:bCs/>
                <w:color w:val="auto"/>
                <w:sz w:val="18"/>
                <w:szCs w:val="18"/>
              </w:rPr>
              <w:t>1分；月度缺三份以上不得分。</w:t>
            </w:r>
            <w:r>
              <w:rPr>
                <w:rFonts w:hint="eastAsia"/>
                <w:b w:val="0"/>
                <w:bCs/>
                <w:color w:val="auto"/>
                <w:sz w:val="18"/>
                <w:szCs w:val="18"/>
              </w:rPr>
              <w:t>（巡检记录包含照片及需方代表签字）</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Merge w:val="continue"/>
            <w:vAlign w:val="center"/>
          </w:tcPr>
          <w:p>
            <w:pPr>
              <w:ind w:firstLine="360"/>
              <w:jc w:val="center"/>
              <w:rPr>
                <w:b w:val="0"/>
                <w:bCs/>
                <w:color w:val="auto"/>
                <w:sz w:val="18"/>
                <w:szCs w:val="18"/>
              </w:rPr>
            </w:pPr>
          </w:p>
        </w:tc>
        <w:tc>
          <w:tcPr>
            <w:tcW w:w="709" w:type="dxa"/>
            <w:vMerge w:val="continue"/>
            <w:vAlign w:val="center"/>
          </w:tcPr>
          <w:p>
            <w:pPr>
              <w:ind w:firstLine="360"/>
              <w:jc w:val="center"/>
              <w:rPr>
                <w:b w:val="0"/>
                <w:bCs/>
                <w:color w:val="auto"/>
                <w:sz w:val="18"/>
                <w:szCs w:val="18"/>
              </w:rPr>
            </w:pPr>
          </w:p>
        </w:tc>
        <w:tc>
          <w:tcPr>
            <w:tcW w:w="1462" w:type="dxa"/>
            <w:vAlign w:val="center"/>
          </w:tcPr>
          <w:p>
            <w:pPr>
              <w:ind w:firstLine="0" w:firstLineChars="0"/>
              <w:rPr>
                <w:b w:val="0"/>
                <w:bCs/>
                <w:color w:val="auto"/>
                <w:sz w:val="18"/>
                <w:szCs w:val="18"/>
              </w:rPr>
            </w:pPr>
            <w:r>
              <w:rPr>
                <w:rFonts w:hint="eastAsia"/>
                <w:b w:val="0"/>
                <w:bCs/>
                <w:color w:val="auto"/>
                <w:sz w:val="18"/>
                <w:szCs w:val="18"/>
              </w:rPr>
              <w:t>例行维护</w:t>
            </w:r>
          </w:p>
          <w:p>
            <w:pPr>
              <w:ind w:firstLine="0" w:firstLineChars="0"/>
              <w:rPr>
                <w:b w:val="0"/>
                <w:bCs/>
                <w:color w:val="auto"/>
                <w:sz w:val="18"/>
                <w:szCs w:val="18"/>
              </w:rPr>
            </w:pPr>
            <w:r>
              <w:rPr>
                <w:rFonts w:hint="eastAsia"/>
                <w:b w:val="0"/>
                <w:bCs/>
                <w:color w:val="auto"/>
                <w:sz w:val="18"/>
                <w:szCs w:val="18"/>
              </w:rPr>
              <w:t>（</w:t>
            </w:r>
            <w:r>
              <w:rPr>
                <w:b w:val="0"/>
                <w:bCs/>
                <w:color w:val="auto"/>
                <w:sz w:val="18"/>
                <w:szCs w:val="18"/>
              </w:rPr>
              <w:t>15</w:t>
            </w:r>
            <w:r>
              <w:rPr>
                <w:rFonts w:hint="eastAsia"/>
                <w:b w:val="0"/>
                <w:bCs/>
                <w:color w:val="auto"/>
                <w:sz w:val="18"/>
                <w:szCs w:val="18"/>
              </w:rPr>
              <w:t>分）</w:t>
            </w:r>
          </w:p>
        </w:tc>
        <w:tc>
          <w:tcPr>
            <w:tcW w:w="3827" w:type="dxa"/>
            <w:vAlign w:val="center"/>
          </w:tcPr>
          <w:p>
            <w:pPr>
              <w:ind w:firstLine="360"/>
              <w:rPr>
                <w:b w:val="0"/>
                <w:bCs/>
                <w:color w:val="auto"/>
                <w:sz w:val="18"/>
                <w:szCs w:val="18"/>
              </w:rPr>
            </w:pPr>
            <w:r>
              <w:rPr>
                <w:rFonts w:hint="eastAsia"/>
                <w:b w:val="0"/>
                <w:bCs/>
                <w:color w:val="auto"/>
                <w:sz w:val="18"/>
                <w:szCs w:val="18"/>
              </w:rPr>
              <w:t>是否按照招投标文件及合同和服务级别协议要求进行维护工作，是否形成记录；维护记录缺失一份每次扣</w:t>
            </w:r>
            <w:r>
              <w:rPr>
                <w:b w:val="0"/>
                <w:bCs/>
                <w:color w:val="auto"/>
                <w:sz w:val="18"/>
                <w:szCs w:val="18"/>
              </w:rPr>
              <w:t>2分，缺三份以上不得分。</w:t>
            </w:r>
            <w:r>
              <w:rPr>
                <w:rFonts w:hint="eastAsia"/>
                <w:b w:val="0"/>
                <w:bCs/>
                <w:color w:val="auto"/>
                <w:sz w:val="18"/>
                <w:szCs w:val="18"/>
              </w:rPr>
              <w:t>（升级后通知需方）</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Merge w:val="continue"/>
            <w:vAlign w:val="center"/>
          </w:tcPr>
          <w:p>
            <w:pPr>
              <w:ind w:firstLine="360"/>
              <w:jc w:val="center"/>
              <w:rPr>
                <w:b w:val="0"/>
                <w:bCs/>
                <w:color w:val="auto"/>
                <w:sz w:val="18"/>
                <w:szCs w:val="18"/>
              </w:rPr>
            </w:pPr>
          </w:p>
        </w:tc>
        <w:tc>
          <w:tcPr>
            <w:tcW w:w="709" w:type="dxa"/>
            <w:vMerge w:val="continue"/>
            <w:vAlign w:val="center"/>
          </w:tcPr>
          <w:p>
            <w:pPr>
              <w:ind w:firstLine="360"/>
              <w:jc w:val="center"/>
              <w:rPr>
                <w:b w:val="0"/>
                <w:bCs/>
                <w:color w:val="auto"/>
                <w:sz w:val="18"/>
                <w:szCs w:val="18"/>
              </w:rPr>
            </w:pPr>
          </w:p>
        </w:tc>
        <w:tc>
          <w:tcPr>
            <w:tcW w:w="1462" w:type="dxa"/>
            <w:vAlign w:val="center"/>
          </w:tcPr>
          <w:p>
            <w:pPr>
              <w:ind w:firstLine="0" w:firstLineChars="0"/>
              <w:rPr>
                <w:b w:val="0"/>
                <w:bCs/>
                <w:color w:val="auto"/>
                <w:sz w:val="18"/>
                <w:szCs w:val="18"/>
              </w:rPr>
            </w:pPr>
            <w:r>
              <w:rPr>
                <w:rFonts w:hint="eastAsia"/>
                <w:b w:val="0"/>
                <w:bCs/>
                <w:color w:val="auto"/>
                <w:sz w:val="18"/>
                <w:szCs w:val="18"/>
              </w:rPr>
              <w:t>故障处理</w:t>
            </w:r>
          </w:p>
          <w:p>
            <w:pPr>
              <w:ind w:firstLine="0" w:firstLineChars="0"/>
              <w:rPr>
                <w:b w:val="0"/>
                <w:bCs/>
                <w:color w:val="auto"/>
                <w:sz w:val="18"/>
                <w:szCs w:val="18"/>
              </w:rPr>
            </w:pPr>
            <w:r>
              <w:rPr>
                <w:rFonts w:hint="eastAsia"/>
                <w:b w:val="0"/>
                <w:bCs/>
                <w:color w:val="auto"/>
                <w:sz w:val="18"/>
                <w:szCs w:val="18"/>
              </w:rPr>
              <w:t>（</w:t>
            </w:r>
            <w:r>
              <w:rPr>
                <w:b w:val="0"/>
                <w:bCs/>
                <w:color w:val="auto"/>
                <w:sz w:val="18"/>
                <w:szCs w:val="18"/>
              </w:rPr>
              <w:t>20</w:t>
            </w:r>
            <w:r>
              <w:rPr>
                <w:rFonts w:hint="eastAsia"/>
                <w:b w:val="0"/>
                <w:bCs/>
                <w:color w:val="auto"/>
                <w:sz w:val="18"/>
                <w:szCs w:val="18"/>
              </w:rPr>
              <w:t>分）</w:t>
            </w:r>
          </w:p>
        </w:tc>
        <w:tc>
          <w:tcPr>
            <w:tcW w:w="3827" w:type="dxa"/>
            <w:vAlign w:val="center"/>
          </w:tcPr>
          <w:p>
            <w:pPr>
              <w:ind w:firstLine="360"/>
              <w:rPr>
                <w:b w:val="0"/>
                <w:bCs/>
                <w:color w:val="auto"/>
                <w:sz w:val="18"/>
                <w:szCs w:val="18"/>
              </w:rPr>
            </w:pPr>
            <w:r>
              <w:rPr>
                <w:rFonts w:hint="eastAsia"/>
                <w:b w:val="0"/>
                <w:bCs/>
                <w:color w:val="auto"/>
                <w:sz w:val="18"/>
                <w:szCs w:val="18"/>
              </w:rPr>
              <w:t>响应时限和故障处理完成时限参考招投标文件及合同和服务级别协议要求，并形成故障处理报告；未在规定时间内响应扣</w:t>
            </w:r>
            <w:r>
              <w:rPr>
                <w:b w:val="0"/>
                <w:bCs/>
                <w:color w:val="auto"/>
                <w:sz w:val="18"/>
                <w:szCs w:val="18"/>
              </w:rPr>
              <w:t>10分，未在规定时间内处理完成扣5分，未形成故障处理报告扣5分。</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Merge w:val="continue"/>
            <w:vAlign w:val="center"/>
          </w:tcPr>
          <w:p>
            <w:pPr>
              <w:ind w:firstLine="360"/>
              <w:jc w:val="center"/>
              <w:rPr>
                <w:b w:val="0"/>
                <w:bCs/>
                <w:color w:val="auto"/>
                <w:sz w:val="18"/>
                <w:szCs w:val="18"/>
              </w:rPr>
            </w:pPr>
          </w:p>
        </w:tc>
        <w:tc>
          <w:tcPr>
            <w:tcW w:w="709" w:type="dxa"/>
            <w:vMerge w:val="continue"/>
            <w:vAlign w:val="center"/>
          </w:tcPr>
          <w:p>
            <w:pPr>
              <w:ind w:firstLine="360"/>
              <w:jc w:val="center"/>
              <w:rPr>
                <w:b w:val="0"/>
                <w:bCs/>
                <w:color w:val="auto"/>
                <w:sz w:val="18"/>
                <w:szCs w:val="18"/>
              </w:rPr>
            </w:pPr>
          </w:p>
        </w:tc>
        <w:tc>
          <w:tcPr>
            <w:tcW w:w="1462" w:type="dxa"/>
            <w:vAlign w:val="center"/>
          </w:tcPr>
          <w:p>
            <w:pPr>
              <w:ind w:firstLine="0" w:firstLineChars="0"/>
              <w:rPr>
                <w:b w:val="0"/>
                <w:bCs/>
                <w:color w:val="auto"/>
                <w:sz w:val="18"/>
                <w:szCs w:val="18"/>
              </w:rPr>
            </w:pPr>
            <w:r>
              <w:rPr>
                <w:rFonts w:hint="eastAsia"/>
                <w:b w:val="0"/>
                <w:bCs/>
                <w:color w:val="auto"/>
                <w:sz w:val="18"/>
                <w:szCs w:val="18"/>
              </w:rPr>
              <w:t>应急事件响应（参考需方的应急预案制度）</w:t>
            </w:r>
          </w:p>
          <w:p>
            <w:pPr>
              <w:ind w:firstLine="0" w:firstLineChars="0"/>
              <w:rPr>
                <w:b w:val="0"/>
                <w:bCs/>
                <w:color w:val="auto"/>
                <w:sz w:val="18"/>
                <w:szCs w:val="18"/>
              </w:rPr>
            </w:pPr>
            <w:r>
              <w:rPr>
                <w:rFonts w:hint="eastAsia"/>
                <w:b w:val="0"/>
                <w:bCs/>
                <w:color w:val="auto"/>
                <w:sz w:val="18"/>
                <w:szCs w:val="18"/>
              </w:rPr>
              <w:t>（</w:t>
            </w:r>
            <w:r>
              <w:rPr>
                <w:b w:val="0"/>
                <w:bCs/>
                <w:color w:val="auto"/>
                <w:sz w:val="18"/>
                <w:szCs w:val="18"/>
              </w:rPr>
              <w:t>10</w:t>
            </w:r>
            <w:r>
              <w:rPr>
                <w:rFonts w:hint="eastAsia"/>
                <w:b w:val="0"/>
                <w:bCs/>
                <w:color w:val="auto"/>
                <w:sz w:val="18"/>
                <w:szCs w:val="18"/>
              </w:rPr>
              <w:t>分）</w:t>
            </w:r>
          </w:p>
        </w:tc>
        <w:tc>
          <w:tcPr>
            <w:tcW w:w="3827" w:type="dxa"/>
            <w:vAlign w:val="center"/>
          </w:tcPr>
          <w:p>
            <w:pPr>
              <w:ind w:firstLine="360"/>
              <w:rPr>
                <w:b w:val="0"/>
                <w:bCs/>
                <w:color w:val="auto"/>
                <w:sz w:val="18"/>
                <w:szCs w:val="18"/>
              </w:rPr>
            </w:pPr>
            <w:r>
              <w:rPr>
                <w:rFonts w:hint="eastAsia"/>
                <w:b w:val="0"/>
                <w:bCs/>
                <w:color w:val="auto"/>
                <w:sz w:val="18"/>
                <w:szCs w:val="18"/>
              </w:rPr>
              <w:t>发生应急事件时，是否及时响应，是否按应急方案组织保障；未在规定时间内响应扣</w:t>
            </w:r>
            <w:r>
              <w:rPr>
                <w:b w:val="0"/>
                <w:bCs/>
                <w:color w:val="auto"/>
                <w:sz w:val="18"/>
                <w:szCs w:val="18"/>
              </w:rPr>
              <w:t>5分，未能履行职责扣10分。</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Merge w:val="continue"/>
            <w:vAlign w:val="center"/>
          </w:tcPr>
          <w:p>
            <w:pPr>
              <w:ind w:firstLine="360"/>
              <w:jc w:val="center"/>
              <w:rPr>
                <w:b w:val="0"/>
                <w:bCs/>
                <w:color w:val="auto"/>
                <w:sz w:val="18"/>
                <w:szCs w:val="18"/>
              </w:rPr>
            </w:pPr>
          </w:p>
        </w:tc>
        <w:tc>
          <w:tcPr>
            <w:tcW w:w="709" w:type="dxa"/>
            <w:vMerge w:val="continue"/>
            <w:vAlign w:val="center"/>
          </w:tcPr>
          <w:p>
            <w:pPr>
              <w:ind w:firstLine="360"/>
              <w:jc w:val="center"/>
              <w:rPr>
                <w:b w:val="0"/>
                <w:bCs/>
                <w:color w:val="auto"/>
                <w:sz w:val="18"/>
                <w:szCs w:val="18"/>
              </w:rPr>
            </w:pPr>
          </w:p>
        </w:tc>
        <w:tc>
          <w:tcPr>
            <w:tcW w:w="1462" w:type="dxa"/>
            <w:vAlign w:val="center"/>
          </w:tcPr>
          <w:p>
            <w:pPr>
              <w:ind w:firstLine="0" w:firstLineChars="0"/>
              <w:rPr>
                <w:b w:val="0"/>
                <w:bCs/>
                <w:color w:val="auto"/>
                <w:sz w:val="18"/>
                <w:szCs w:val="18"/>
              </w:rPr>
            </w:pPr>
            <w:r>
              <w:rPr>
                <w:rFonts w:hint="eastAsia"/>
                <w:b w:val="0"/>
                <w:bCs/>
                <w:color w:val="auto"/>
                <w:sz w:val="18"/>
                <w:szCs w:val="18"/>
              </w:rPr>
              <w:t>技术支持</w:t>
            </w:r>
          </w:p>
          <w:p>
            <w:pPr>
              <w:ind w:firstLine="0" w:firstLineChars="0"/>
              <w:rPr>
                <w:b w:val="0"/>
                <w:bCs/>
                <w:color w:val="auto"/>
                <w:sz w:val="18"/>
                <w:szCs w:val="18"/>
              </w:rPr>
            </w:pPr>
            <w:r>
              <w:rPr>
                <w:rFonts w:hint="eastAsia"/>
                <w:b w:val="0"/>
                <w:bCs/>
                <w:color w:val="auto"/>
                <w:sz w:val="18"/>
                <w:szCs w:val="18"/>
              </w:rPr>
              <w:t>（</w:t>
            </w:r>
            <w:r>
              <w:rPr>
                <w:b w:val="0"/>
                <w:bCs/>
                <w:color w:val="auto"/>
                <w:sz w:val="18"/>
                <w:szCs w:val="18"/>
              </w:rPr>
              <w:t>10</w:t>
            </w:r>
            <w:r>
              <w:rPr>
                <w:rFonts w:hint="eastAsia"/>
                <w:b w:val="0"/>
                <w:bCs/>
                <w:color w:val="auto"/>
                <w:sz w:val="18"/>
                <w:szCs w:val="18"/>
              </w:rPr>
              <w:t>分）</w:t>
            </w:r>
          </w:p>
        </w:tc>
        <w:tc>
          <w:tcPr>
            <w:tcW w:w="3827" w:type="dxa"/>
            <w:vAlign w:val="center"/>
          </w:tcPr>
          <w:p>
            <w:pPr>
              <w:adjustRightInd w:val="0"/>
              <w:ind w:firstLine="360"/>
              <w:rPr>
                <w:b w:val="0"/>
                <w:bCs/>
                <w:color w:val="auto"/>
                <w:sz w:val="18"/>
                <w:szCs w:val="18"/>
              </w:rPr>
            </w:pPr>
            <w:r>
              <w:rPr>
                <w:rFonts w:hint="eastAsia"/>
                <w:b w:val="0"/>
                <w:bCs/>
                <w:color w:val="auto"/>
                <w:sz w:val="18"/>
                <w:szCs w:val="18"/>
              </w:rPr>
              <w:t>根据需方需求提供远程</w:t>
            </w:r>
            <w:r>
              <w:rPr>
                <w:b w:val="0"/>
                <w:bCs/>
                <w:color w:val="auto"/>
                <w:sz w:val="18"/>
                <w:szCs w:val="18"/>
              </w:rPr>
              <w:t>技术支持</w:t>
            </w:r>
            <w:r>
              <w:rPr>
                <w:rFonts w:hint="eastAsia"/>
                <w:b w:val="0"/>
                <w:bCs/>
                <w:color w:val="auto"/>
                <w:sz w:val="18"/>
                <w:szCs w:val="18"/>
              </w:rPr>
              <w:t>服务，根据现场对需方的询问访谈了解技术支持情况进行考核。未依据招投标和合同响应一次扣5分，需方不满意服务反馈一次扣3分，未提供远程技术支持凭证一次扣2分</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Merge w:val="continue"/>
            <w:vAlign w:val="center"/>
          </w:tcPr>
          <w:p>
            <w:pPr>
              <w:ind w:firstLine="360"/>
              <w:jc w:val="center"/>
              <w:rPr>
                <w:b w:val="0"/>
                <w:bCs/>
                <w:color w:val="auto"/>
                <w:sz w:val="18"/>
                <w:szCs w:val="18"/>
              </w:rPr>
            </w:pPr>
          </w:p>
        </w:tc>
        <w:tc>
          <w:tcPr>
            <w:tcW w:w="709" w:type="dxa"/>
            <w:vMerge w:val="continue"/>
            <w:vAlign w:val="center"/>
          </w:tcPr>
          <w:p>
            <w:pPr>
              <w:ind w:firstLine="360"/>
              <w:jc w:val="center"/>
              <w:rPr>
                <w:b w:val="0"/>
                <w:bCs/>
                <w:color w:val="auto"/>
                <w:sz w:val="18"/>
                <w:szCs w:val="18"/>
              </w:rPr>
            </w:pPr>
          </w:p>
        </w:tc>
        <w:tc>
          <w:tcPr>
            <w:tcW w:w="1462" w:type="dxa"/>
            <w:vAlign w:val="center"/>
          </w:tcPr>
          <w:p>
            <w:pPr>
              <w:ind w:firstLine="0" w:firstLineChars="0"/>
              <w:rPr>
                <w:b w:val="0"/>
                <w:bCs/>
                <w:color w:val="auto"/>
                <w:sz w:val="18"/>
                <w:szCs w:val="18"/>
              </w:rPr>
            </w:pPr>
            <w:r>
              <w:rPr>
                <w:rFonts w:hint="eastAsia"/>
                <w:b w:val="0"/>
                <w:bCs/>
                <w:color w:val="auto"/>
                <w:sz w:val="18"/>
                <w:szCs w:val="18"/>
              </w:rPr>
              <w:t>人员培训（</w:t>
            </w:r>
            <w:r>
              <w:rPr>
                <w:b w:val="0"/>
                <w:bCs/>
                <w:color w:val="auto"/>
                <w:sz w:val="18"/>
                <w:szCs w:val="18"/>
              </w:rPr>
              <w:t>10分）</w:t>
            </w:r>
          </w:p>
        </w:tc>
        <w:tc>
          <w:tcPr>
            <w:tcW w:w="3827" w:type="dxa"/>
            <w:vAlign w:val="center"/>
          </w:tcPr>
          <w:p>
            <w:pPr>
              <w:adjustRightInd w:val="0"/>
              <w:ind w:firstLine="360"/>
              <w:rPr>
                <w:b w:val="0"/>
                <w:bCs/>
                <w:color w:val="auto"/>
                <w:sz w:val="18"/>
                <w:szCs w:val="18"/>
              </w:rPr>
            </w:pPr>
            <w:r>
              <w:rPr>
                <w:rFonts w:hint="eastAsia"/>
                <w:b w:val="0"/>
                <w:bCs/>
                <w:color w:val="auto"/>
                <w:sz w:val="18"/>
                <w:szCs w:val="18"/>
              </w:rPr>
              <w:t>提供系统用户定期和不定期培训，形成培训记录；未满足要求一次扣</w:t>
            </w:r>
            <w:r>
              <w:rPr>
                <w:b w:val="0"/>
                <w:bCs/>
                <w:color w:val="auto"/>
                <w:sz w:val="18"/>
                <w:szCs w:val="18"/>
              </w:rPr>
              <w:t>2分</w:t>
            </w:r>
            <w:r>
              <w:rPr>
                <w:rFonts w:hint="eastAsia"/>
                <w:b w:val="0"/>
                <w:bCs/>
                <w:color w:val="auto"/>
                <w:sz w:val="18"/>
                <w:szCs w:val="18"/>
              </w:rPr>
              <w:t>；</w:t>
            </w:r>
            <w:r>
              <w:rPr>
                <w:b w:val="0"/>
                <w:bCs/>
                <w:color w:val="auto"/>
                <w:sz w:val="18"/>
                <w:szCs w:val="18"/>
              </w:rPr>
              <w:t>若无招投标及合同要求的专业认证培训扣</w:t>
            </w:r>
            <w:r>
              <w:rPr>
                <w:rFonts w:hint="eastAsia"/>
                <w:b w:val="0"/>
                <w:bCs/>
                <w:color w:val="auto"/>
                <w:sz w:val="18"/>
                <w:szCs w:val="18"/>
              </w:rPr>
              <w:t>5分。</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gridSpan w:val="2"/>
            <w:vAlign w:val="center"/>
          </w:tcPr>
          <w:p>
            <w:pPr>
              <w:ind w:firstLine="0" w:firstLineChars="0"/>
              <w:rPr>
                <w:b w:val="0"/>
                <w:bCs/>
                <w:color w:val="auto"/>
                <w:sz w:val="18"/>
                <w:szCs w:val="18"/>
              </w:rPr>
            </w:pPr>
            <w:r>
              <w:rPr>
                <w:rFonts w:hint="eastAsia"/>
                <w:b w:val="0"/>
                <w:bCs/>
                <w:color w:val="auto"/>
                <w:sz w:val="18"/>
                <w:szCs w:val="18"/>
              </w:rPr>
              <w:t>安全管理</w:t>
            </w:r>
          </w:p>
        </w:tc>
        <w:tc>
          <w:tcPr>
            <w:tcW w:w="709" w:type="dxa"/>
            <w:vAlign w:val="center"/>
          </w:tcPr>
          <w:p>
            <w:pPr>
              <w:ind w:firstLine="0" w:firstLineChars="0"/>
              <w:rPr>
                <w:b w:val="0"/>
                <w:bCs/>
                <w:color w:val="auto"/>
                <w:sz w:val="18"/>
                <w:szCs w:val="18"/>
              </w:rPr>
            </w:pPr>
            <w:r>
              <w:rPr>
                <w:rFonts w:hint="eastAsia"/>
                <w:b w:val="0"/>
                <w:bCs/>
                <w:color w:val="auto"/>
                <w:sz w:val="18"/>
                <w:szCs w:val="18"/>
              </w:rPr>
              <w:t>1</w:t>
            </w:r>
            <w:r>
              <w:rPr>
                <w:b w:val="0"/>
                <w:bCs/>
                <w:color w:val="auto"/>
                <w:sz w:val="18"/>
                <w:szCs w:val="18"/>
              </w:rPr>
              <w:t>0</w:t>
            </w:r>
          </w:p>
        </w:tc>
        <w:tc>
          <w:tcPr>
            <w:tcW w:w="1462" w:type="dxa"/>
            <w:vAlign w:val="center"/>
          </w:tcPr>
          <w:p>
            <w:pPr>
              <w:ind w:firstLine="0" w:firstLineChars="0"/>
              <w:rPr>
                <w:b w:val="0"/>
                <w:bCs/>
                <w:color w:val="auto"/>
                <w:sz w:val="18"/>
                <w:szCs w:val="18"/>
              </w:rPr>
            </w:pPr>
            <w:r>
              <w:rPr>
                <w:rFonts w:hint="eastAsia"/>
                <w:b w:val="0"/>
                <w:bCs/>
                <w:color w:val="auto"/>
                <w:sz w:val="18"/>
                <w:szCs w:val="18"/>
              </w:rPr>
              <w:t>信息安全管理（</w:t>
            </w:r>
            <w:r>
              <w:rPr>
                <w:b w:val="0"/>
                <w:bCs/>
                <w:color w:val="auto"/>
                <w:sz w:val="18"/>
                <w:szCs w:val="18"/>
              </w:rPr>
              <w:t>10</w:t>
            </w:r>
            <w:r>
              <w:rPr>
                <w:rFonts w:hint="eastAsia"/>
                <w:b w:val="0"/>
                <w:bCs/>
                <w:color w:val="auto"/>
                <w:sz w:val="18"/>
                <w:szCs w:val="18"/>
              </w:rPr>
              <w:t>分）</w:t>
            </w:r>
          </w:p>
        </w:tc>
        <w:tc>
          <w:tcPr>
            <w:tcW w:w="3827" w:type="dxa"/>
            <w:vAlign w:val="center"/>
          </w:tcPr>
          <w:p>
            <w:pPr>
              <w:ind w:firstLine="360"/>
              <w:rPr>
                <w:b w:val="0"/>
                <w:bCs/>
                <w:color w:val="auto"/>
                <w:sz w:val="18"/>
                <w:szCs w:val="18"/>
              </w:rPr>
            </w:pPr>
            <w:r>
              <w:rPr>
                <w:rFonts w:hint="eastAsia"/>
                <w:b w:val="0"/>
                <w:bCs/>
                <w:color w:val="auto"/>
                <w:sz w:val="18"/>
                <w:szCs w:val="18"/>
              </w:rPr>
              <w:t>是否根据信息安全相关管理制度要求开展维护工作，发现一次违规扣</w:t>
            </w:r>
            <w:r>
              <w:rPr>
                <w:b w:val="0"/>
                <w:bCs/>
                <w:color w:val="auto"/>
                <w:sz w:val="18"/>
                <w:szCs w:val="18"/>
              </w:rPr>
              <w:t>5分，出现网络与信息安全责任事故考核不</w:t>
            </w:r>
            <w:r>
              <w:rPr>
                <w:rFonts w:hint="eastAsia"/>
                <w:b w:val="0"/>
                <w:bCs/>
                <w:color w:val="auto"/>
                <w:sz w:val="18"/>
                <w:szCs w:val="18"/>
              </w:rPr>
              <w:t>合格。</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78" w:type="dxa"/>
            <w:gridSpan w:val="2"/>
            <w:vAlign w:val="center"/>
          </w:tcPr>
          <w:p>
            <w:pPr>
              <w:ind w:firstLine="0" w:firstLineChars="0"/>
              <w:rPr>
                <w:b w:val="0"/>
                <w:bCs/>
                <w:color w:val="auto"/>
                <w:sz w:val="18"/>
                <w:szCs w:val="18"/>
              </w:rPr>
            </w:pPr>
            <w:r>
              <w:rPr>
                <w:b w:val="0"/>
                <w:bCs/>
                <w:color w:val="auto"/>
                <w:sz w:val="18"/>
                <w:szCs w:val="18"/>
              </w:rPr>
              <w:t>文档管理</w:t>
            </w:r>
          </w:p>
        </w:tc>
        <w:tc>
          <w:tcPr>
            <w:tcW w:w="709" w:type="dxa"/>
            <w:vAlign w:val="center"/>
          </w:tcPr>
          <w:p>
            <w:pPr>
              <w:ind w:firstLine="0" w:firstLineChars="0"/>
              <w:rPr>
                <w:b w:val="0"/>
                <w:bCs/>
                <w:color w:val="auto"/>
                <w:sz w:val="18"/>
                <w:szCs w:val="18"/>
              </w:rPr>
            </w:pPr>
            <w:r>
              <w:rPr>
                <w:rFonts w:hint="eastAsia"/>
                <w:b w:val="0"/>
                <w:bCs/>
                <w:color w:val="auto"/>
                <w:sz w:val="18"/>
                <w:szCs w:val="18"/>
              </w:rPr>
              <w:t>1</w:t>
            </w:r>
            <w:r>
              <w:rPr>
                <w:b w:val="0"/>
                <w:bCs/>
                <w:color w:val="auto"/>
                <w:sz w:val="18"/>
                <w:szCs w:val="18"/>
              </w:rPr>
              <w:t>0</w:t>
            </w:r>
          </w:p>
        </w:tc>
        <w:tc>
          <w:tcPr>
            <w:tcW w:w="1462" w:type="dxa"/>
            <w:vAlign w:val="center"/>
          </w:tcPr>
          <w:p>
            <w:pPr>
              <w:ind w:firstLine="0" w:firstLineChars="0"/>
              <w:rPr>
                <w:b w:val="0"/>
                <w:bCs/>
                <w:color w:val="auto"/>
                <w:sz w:val="18"/>
                <w:szCs w:val="18"/>
              </w:rPr>
            </w:pPr>
            <w:r>
              <w:rPr>
                <w:rFonts w:hint="eastAsia"/>
                <w:b w:val="0"/>
                <w:bCs/>
                <w:color w:val="auto"/>
                <w:sz w:val="18"/>
                <w:szCs w:val="18"/>
              </w:rPr>
              <w:t>文档管理</w:t>
            </w:r>
          </w:p>
        </w:tc>
        <w:tc>
          <w:tcPr>
            <w:tcW w:w="3827" w:type="dxa"/>
            <w:vAlign w:val="center"/>
          </w:tcPr>
          <w:p>
            <w:pPr>
              <w:adjustRightInd w:val="0"/>
              <w:ind w:firstLine="360"/>
              <w:rPr>
                <w:b w:val="0"/>
                <w:bCs/>
                <w:color w:val="auto"/>
                <w:sz w:val="18"/>
                <w:szCs w:val="18"/>
              </w:rPr>
            </w:pPr>
            <w:r>
              <w:rPr>
                <w:rFonts w:hint="eastAsia"/>
                <w:b w:val="0"/>
                <w:bCs/>
                <w:color w:val="auto"/>
                <w:sz w:val="18"/>
                <w:szCs w:val="18"/>
              </w:rPr>
              <w:t>根据招投标及合同和服务级别协议要求每月提交运维记录文档及总结报告，包括协助甲方编写项目相关文档。文档缺失每份扣2分，文档质量不合格每份扣1分。</w:t>
            </w:r>
          </w:p>
        </w:tc>
        <w:tc>
          <w:tcPr>
            <w:tcW w:w="851" w:type="dxa"/>
            <w:vAlign w:val="center"/>
          </w:tcPr>
          <w:p>
            <w:pPr>
              <w:ind w:firstLine="360"/>
              <w:rPr>
                <w:b w:val="0"/>
                <w:bCs/>
                <w:color w:val="auto"/>
                <w:sz w:val="18"/>
                <w:szCs w:val="18"/>
              </w:rPr>
            </w:pP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27" w:type="dxa"/>
            <w:gridSpan w:val="6"/>
            <w:vAlign w:val="center"/>
          </w:tcPr>
          <w:p>
            <w:pPr>
              <w:ind w:firstLine="360"/>
              <w:rPr>
                <w:b w:val="0"/>
                <w:bCs/>
                <w:color w:val="auto"/>
                <w:sz w:val="18"/>
                <w:szCs w:val="18"/>
              </w:rPr>
            </w:pPr>
            <w:r>
              <w:rPr>
                <w:rFonts w:hint="eastAsia"/>
                <w:b w:val="0"/>
                <w:bCs/>
                <w:color w:val="auto"/>
                <w:sz w:val="18"/>
                <w:szCs w:val="18"/>
              </w:rPr>
              <w:t>得分：</w:t>
            </w:r>
          </w:p>
        </w:tc>
        <w:tc>
          <w:tcPr>
            <w:tcW w:w="731" w:type="dxa"/>
            <w:vAlign w:val="center"/>
          </w:tcPr>
          <w:p>
            <w:pPr>
              <w:ind w:firstLine="360"/>
              <w:rPr>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58" w:type="dxa"/>
            <w:gridSpan w:val="7"/>
            <w:vAlign w:val="center"/>
          </w:tcPr>
          <w:p>
            <w:pPr>
              <w:ind w:firstLine="360"/>
              <w:rPr>
                <w:b w:val="0"/>
                <w:bCs/>
                <w:color w:val="auto"/>
                <w:sz w:val="18"/>
                <w:szCs w:val="18"/>
              </w:rPr>
            </w:pPr>
            <w:r>
              <w:rPr>
                <w:b w:val="0"/>
                <w:bCs/>
                <w:color w:val="auto"/>
                <w:sz w:val="18"/>
                <w:szCs w:val="18"/>
              </w:rPr>
              <w:t>考核结论</w:t>
            </w:r>
            <w:r>
              <w:rPr>
                <w:rFonts w:hint="eastAsia"/>
                <w:b w:val="0"/>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5" w:type="dxa"/>
            <w:vMerge w:val="restart"/>
            <w:vAlign w:val="center"/>
          </w:tcPr>
          <w:p>
            <w:pPr>
              <w:ind w:firstLine="0" w:firstLineChars="0"/>
              <w:rPr>
                <w:b w:val="0"/>
                <w:bCs/>
                <w:color w:val="auto"/>
                <w:sz w:val="18"/>
                <w:szCs w:val="18"/>
              </w:rPr>
            </w:pPr>
            <w:r>
              <w:rPr>
                <w:b w:val="0"/>
                <w:bCs/>
                <w:color w:val="auto"/>
                <w:sz w:val="18"/>
                <w:szCs w:val="18"/>
              </w:rPr>
              <w:t>考核人</w:t>
            </w:r>
          </w:p>
        </w:tc>
        <w:tc>
          <w:tcPr>
            <w:tcW w:w="2454" w:type="dxa"/>
            <w:gridSpan w:val="3"/>
            <w:vAlign w:val="center"/>
          </w:tcPr>
          <w:p>
            <w:pPr>
              <w:ind w:firstLine="360"/>
              <w:rPr>
                <w:b w:val="0"/>
                <w:bCs/>
                <w:color w:val="auto"/>
                <w:sz w:val="18"/>
                <w:szCs w:val="18"/>
              </w:rPr>
            </w:pPr>
            <w:r>
              <w:rPr>
                <w:b w:val="0"/>
                <w:bCs/>
                <w:color w:val="auto"/>
                <w:sz w:val="18"/>
                <w:szCs w:val="18"/>
              </w:rPr>
              <w:t>需方</w:t>
            </w:r>
            <w:r>
              <w:rPr>
                <w:rFonts w:hint="eastAsia"/>
                <w:b w:val="0"/>
                <w:bCs/>
                <w:color w:val="auto"/>
                <w:sz w:val="18"/>
                <w:szCs w:val="18"/>
              </w:rPr>
              <w:t>：</w:t>
            </w:r>
          </w:p>
        </w:tc>
        <w:tc>
          <w:tcPr>
            <w:tcW w:w="3827" w:type="dxa"/>
            <w:vMerge w:val="restart"/>
            <w:vAlign w:val="center"/>
          </w:tcPr>
          <w:p>
            <w:pPr>
              <w:adjustRightInd w:val="0"/>
              <w:ind w:firstLine="360"/>
              <w:rPr>
                <w:b w:val="0"/>
                <w:bCs/>
                <w:color w:val="auto"/>
                <w:sz w:val="18"/>
                <w:szCs w:val="18"/>
              </w:rPr>
            </w:pPr>
            <w:r>
              <w:rPr>
                <w:b w:val="0"/>
                <w:bCs/>
                <w:color w:val="auto"/>
                <w:sz w:val="18"/>
                <w:szCs w:val="18"/>
              </w:rPr>
              <w:t>供方</w:t>
            </w:r>
            <w:r>
              <w:rPr>
                <w:rFonts w:hint="eastAsia"/>
                <w:b w:val="0"/>
                <w:bCs/>
                <w:color w:val="auto"/>
                <w:sz w:val="18"/>
                <w:szCs w:val="18"/>
              </w:rPr>
              <w:t>（代表）：</w:t>
            </w:r>
          </w:p>
        </w:tc>
        <w:tc>
          <w:tcPr>
            <w:tcW w:w="1582" w:type="dxa"/>
            <w:gridSpan w:val="2"/>
            <w:vMerge w:val="restart"/>
            <w:vAlign w:val="center"/>
          </w:tcPr>
          <w:p>
            <w:pPr>
              <w:ind w:firstLine="360"/>
              <w:rPr>
                <w:b w:val="0"/>
                <w:bCs/>
                <w:color w:val="auto"/>
                <w:sz w:val="18"/>
                <w:szCs w:val="18"/>
              </w:rPr>
            </w:pPr>
            <w:r>
              <w:rPr>
                <w:b w:val="0"/>
                <w:bCs/>
                <w:color w:val="auto"/>
                <w:sz w:val="18"/>
                <w:szCs w:val="18"/>
              </w:rPr>
              <w:t>时间</w:t>
            </w:r>
            <w:r>
              <w:rPr>
                <w:rFonts w:hint="eastAsia"/>
                <w:b w:val="0"/>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5" w:type="dxa"/>
            <w:vMerge w:val="continue"/>
            <w:vAlign w:val="center"/>
          </w:tcPr>
          <w:p>
            <w:pPr>
              <w:ind w:firstLine="360"/>
              <w:rPr>
                <w:b w:val="0"/>
                <w:bCs/>
                <w:color w:val="auto"/>
                <w:sz w:val="18"/>
                <w:szCs w:val="18"/>
              </w:rPr>
            </w:pPr>
          </w:p>
        </w:tc>
        <w:tc>
          <w:tcPr>
            <w:tcW w:w="2454" w:type="dxa"/>
            <w:gridSpan w:val="3"/>
            <w:vAlign w:val="center"/>
          </w:tcPr>
          <w:p>
            <w:pPr>
              <w:ind w:firstLine="360"/>
              <w:rPr>
                <w:b w:val="0"/>
                <w:bCs/>
                <w:color w:val="auto"/>
                <w:sz w:val="18"/>
                <w:szCs w:val="18"/>
              </w:rPr>
            </w:pPr>
            <w:r>
              <w:rPr>
                <w:b w:val="0"/>
                <w:bCs/>
                <w:color w:val="auto"/>
                <w:sz w:val="18"/>
                <w:szCs w:val="18"/>
              </w:rPr>
              <w:t>监理方</w:t>
            </w:r>
            <w:r>
              <w:rPr>
                <w:rFonts w:hint="eastAsia"/>
                <w:b w:val="0"/>
                <w:bCs/>
                <w:color w:val="auto"/>
                <w:sz w:val="18"/>
                <w:szCs w:val="18"/>
              </w:rPr>
              <w:t>：</w:t>
            </w:r>
          </w:p>
        </w:tc>
        <w:tc>
          <w:tcPr>
            <w:tcW w:w="3827" w:type="dxa"/>
            <w:vMerge w:val="continue"/>
            <w:vAlign w:val="center"/>
          </w:tcPr>
          <w:p>
            <w:pPr>
              <w:adjustRightInd w:val="0"/>
              <w:ind w:firstLine="360"/>
              <w:rPr>
                <w:b w:val="0"/>
                <w:bCs/>
                <w:color w:val="auto"/>
                <w:sz w:val="18"/>
                <w:szCs w:val="18"/>
              </w:rPr>
            </w:pPr>
          </w:p>
        </w:tc>
        <w:tc>
          <w:tcPr>
            <w:tcW w:w="1582" w:type="dxa"/>
            <w:gridSpan w:val="2"/>
            <w:vMerge w:val="continue"/>
            <w:vAlign w:val="center"/>
          </w:tcPr>
          <w:p>
            <w:pPr>
              <w:ind w:firstLine="360"/>
              <w:rPr>
                <w:b w:val="0"/>
                <w:bCs/>
                <w:color w:val="auto"/>
                <w:sz w:val="18"/>
                <w:szCs w:val="18"/>
              </w:rPr>
            </w:pPr>
          </w:p>
        </w:tc>
      </w:tr>
    </w:tbl>
    <w:p>
      <w:pPr>
        <w:ind w:firstLine="482"/>
        <w:rPr>
          <w:color w:val="auto"/>
          <w:sz w:val="24"/>
          <w:szCs w:val="24"/>
        </w:rPr>
      </w:pPr>
    </w:p>
    <w:p>
      <w:pPr>
        <w:ind w:firstLine="1200" w:firstLineChars="500"/>
        <w:rPr>
          <w:rFonts w:hint="eastAsia"/>
          <w:color w:val="auto"/>
          <w:sz w:val="24"/>
          <w:szCs w:val="24"/>
        </w:rPr>
      </w:pPr>
    </w:p>
    <w:p>
      <w:pPr>
        <w:ind w:firstLine="1200" w:firstLineChars="500"/>
        <w:rPr>
          <w:color w:val="auto"/>
          <w:sz w:val="24"/>
          <w:szCs w:val="24"/>
        </w:rPr>
      </w:pPr>
      <w:r>
        <w:rPr>
          <w:rFonts w:hint="eastAsia"/>
          <w:color w:val="auto"/>
          <w:sz w:val="24"/>
          <w:szCs w:val="24"/>
        </w:rPr>
        <w:t>成都市环境保护信息中心</w:t>
      </w:r>
      <w:r>
        <w:rPr>
          <w:rFonts w:hint="eastAsia"/>
          <w:color w:val="auto"/>
          <w:sz w:val="24"/>
          <w:szCs w:val="24"/>
          <w:lang w:val="en-US"/>
        </w:rPr>
        <w:t>信息化</w:t>
      </w:r>
      <w:r>
        <w:rPr>
          <w:color w:val="auto"/>
          <w:sz w:val="24"/>
          <w:szCs w:val="24"/>
        </w:rPr>
        <w:t>硬件运维服务</w:t>
      </w:r>
    </w:p>
    <w:p>
      <w:pPr>
        <w:ind w:firstLine="482"/>
        <w:jc w:val="center"/>
        <w:outlineLvl w:val="2"/>
        <w:rPr>
          <w:color w:val="auto"/>
          <w:sz w:val="24"/>
          <w:szCs w:val="24"/>
        </w:rPr>
      </w:pPr>
      <w:r>
        <w:rPr>
          <w:rFonts w:hint="eastAsia"/>
          <w:color w:val="auto"/>
          <w:sz w:val="24"/>
          <w:szCs w:val="24"/>
        </w:rPr>
        <w:t>安全设备运维（服务期满）</w:t>
      </w:r>
    </w:p>
    <w:tbl>
      <w:tblPr>
        <w:tblStyle w:val="77"/>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754"/>
        <w:gridCol w:w="1233"/>
        <w:gridCol w:w="751"/>
        <w:gridCol w:w="2508"/>
        <w:gridCol w:w="752"/>
        <w:gridCol w:w="70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vAlign w:val="center"/>
          </w:tcPr>
          <w:p>
            <w:pPr>
              <w:ind w:firstLine="0" w:firstLineChars="0"/>
              <w:jc w:val="center"/>
              <w:rPr>
                <w:color w:val="auto"/>
                <w:sz w:val="18"/>
                <w:szCs w:val="18"/>
              </w:rPr>
            </w:pPr>
            <w:r>
              <w:rPr>
                <w:rFonts w:hint="eastAsia"/>
                <w:color w:val="auto"/>
                <w:sz w:val="18"/>
                <w:szCs w:val="18"/>
              </w:rPr>
              <w:t>分类</w:t>
            </w:r>
          </w:p>
        </w:tc>
        <w:tc>
          <w:tcPr>
            <w:tcW w:w="754" w:type="dxa"/>
            <w:vAlign w:val="center"/>
          </w:tcPr>
          <w:p>
            <w:pPr>
              <w:ind w:firstLine="0" w:firstLineChars="0"/>
              <w:jc w:val="center"/>
              <w:rPr>
                <w:color w:val="auto"/>
                <w:sz w:val="18"/>
                <w:szCs w:val="18"/>
              </w:rPr>
            </w:pPr>
            <w:r>
              <w:rPr>
                <w:rFonts w:hint="eastAsia"/>
                <w:color w:val="auto"/>
                <w:sz w:val="18"/>
                <w:szCs w:val="18"/>
              </w:rPr>
              <w:t>分值</w:t>
            </w:r>
          </w:p>
        </w:tc>
        <w:tc>
          <w:tcPr>
            <w:tcW w:w="1984" w:type="dxa"/>
            <w:gridSpan w:val="2"/>
            <w:vAlign w:val="center"/>
          </w:tcPr>
          <w:p>
            <w:pPr>
              <w:ind w:firstLine="0" w:firstLineChars="0"/>
              <w:jc w:val="center"/>
              <w:rPr>
                <w:color w:val="auto"/>
                <w:sz w:val="18"/>
                <w:szCs w:val="18"/>
              </w:rPr>
            </w:pPr>
            <w:r>
              <w:rPr>
                <w:rFonts w:hint="eastAsia"/>
                <w:color w:val="auto"/>
                <w:sz w:val="18"/>
                <w:szCs w:val="18"/>
              </w:rPr>
              <w:t>检查</w:t>
            </w:r>
            <w:r>
              <w:rPr>
                <w:color w:val="auto"/>
                <w:sz w:val="18"/>
                <w:szCs w:val="18"/>
              </w:rPr>
              <w:t>项</w:t>
            </w:r>
          </w:p>
        </w:tc>
        <w:tc>
          <w:tcPr>
            <w:tcW w:w="3260" w:type="dxa"/>
            <w:gridSpan w:val="2"/>
            <w:vAlign w:val="center"/>
          </w:tcPr>
          <w:p>
            <w:pPr>
              <w:ind w:firstLine="0" w:firstLineChars="0"/>
              <w:jc w:val="center"/>
              <w:rPr>
                <w:color w:val="auto"/>
                <w:sz w:val="18"/>
                <w:szCs w:val="18"/>
              </w:rPr>
            </w:pPr>
            <w:r>
              <w:rPr>
                <w:rFonts w:hint="eastAsia"/>
                <w:color w:val="auto"/>
                <w:sz w:val="18"/>
                <w:szCs w:val="18"/>
              </w:rPr>
              <w:t>考核</w:t>
            </w:r>
            <w:r>
              <w:rPr>
                <w:color w:val="auto"/>
                <w:sz w:val="18"/>
                <w:szCs w:val="18"/>
              </w:rPr>
              <w:t>指标</w:t>
            </w:r>
          </w:p>
        </w:tc>
        <w:tc>
          <w:tcPr>
            <w:tcW w:w="709" w:type="dxa"/>
            <w:vAlign w:val="center"/>
          </w:tcPr>
          <w:p>
            <w:pPr>
              <w:ind w:firstLine="0" w:firstLineChars="0"/>
              <w:jc w:val="center"/>
              <w:rPr>
                <w:color w:val="auto"/>
                <w:sz w:val="18"/>
                <w:szCs w:val="18"/>
              </w:rPr>
            </w:pPr>
            <w:r>
              <w:rPr>
                <w:rFonts w:hint="eastAsia"/>
                <w:color w:val="auto"/>
                <w:sz w:val="18"/>
                <w:szCs w:val="18"/>
              </w:rPr>
              <w:t>考核分值</w:t>
            </w:r>
          </w:p>
        </w:tc>
        <w:tc>
          <w:tcPr>
            <w:tcW w:w="731" w:type="dxa"/>
            <w:vAlign w:val="center"/>
          </w:tcPr>
          <w:p>
            <w:pPr>
              <w:ind w:firstLine="0" w:firstLineChars="0"/>
              <w:jc w:val="center"/>
              <w:rPr>
                <w:color w:val="auto"/>
                <w:sz w:val="18"/>
                <w:szCs w:val="18"/>
              </w:rPr>
            </w:pPr>
            <w:r>
              <w:rPr>
                <w:rFonts w:hint="eastAsia"/>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vAlign w:val="center"/>
          </w:tcPr>
          <w:p>
            <w:pPr>
              <w:ind w:firstLine="0" w:firstLineChars="0"/>
              <w:rPr>
                <w:b w:val="0"/>
                <w:bCs/>
                <w:color w:val="auto"/>
                <w:sz w:val="18"/>
                <w:szCs w:val="18"/>
              </w:rPr>
            </w:pPr>
            <w:r>
              <w:rPr>
                <w:rFonts w:hint="eastAsia"/>
                <w:b w:val="0"/>
                <w:bCs/>
                <w:color w:val="auto"/>
                <w:sz w:val="18"/>
                <w:szCs w:val="18"/>
              </w:rPr>
              <w:t>购买质保服务</w:t>
            </w:r>
          </w:p>
        </w:tc>
        <w:tc>
          <w:tcPr>
            <w:tcW w:w="754" w:type="dxa"/>
            <w:vAlign w:val="center"/>
          </w:tcPr>
          <w:p>
            <w:pPr>
              <w:ind w:firstLine="0" w:firstLineChars="0"/>
              <w:rPr>
                <w:b w:val="0"/>
                <w:bCs/>
                <w:color w:val="auto"/>
                <w:sz w:val="18"/>
                <w:szCs w:val="18"/>
              </w:rPr>
            </w:pPr>
            <w:r>
              <w:rPr>
                <w:b w:val="0"/>
                <w:bCs/>
                <w:color w:val="auto"/>
                <w:sz w:val="18"/>
                <w:szCs w:val="18"/>
              </w:rPr>
              <w:t>80</w:t>
            </w:r>
          </w:p>
        </w:tc>
        <w:tc>
          <w:tcPr>
            <w:tcW w:w="1984" w:type="dxa"/>
            <w:gridSpan w:val="2"/>
            <w:vAlign w:val="center"/>
          </w:tcPr>
          <w:p>
            <w:pPr>
              <w:ind w:firstLine="0" w:firstLineChars="0"/>
              <w:rPr>
                <w:b w:val="0"/>
                <w:bCs/>
                <w:color w:val="auto"/>
                <w:sz w:val="18"/>
                <w:szCs w:val="18"/>
              </w:rPr>
            </w:pPr>
            <w:r>
              <w:rPr>
                <w:rFonts w:hint="eastAsia"/>
                <w:b w:val="0"/>
                <w:bCs/>
                <w:color w:val="auto"/>
                <w:sz w:val="18"/>
                <w:szCs w:val="18"/>
              </w:rPr>
              <w:t>是否根据招投文件及合同和服务级别协议要求购买质保服务</w:t>
            </w:r>
          </w:p>
        </w:tc>
        <w:tc>
          <w:tcPr>
            <w:tcW w:w="3260" w:type="dxa"/>
            <w:gridSpan w:val="2"/>
            <w:vAlign w:val="center"/>
          </w:tcPr>
          <w:p>
            <w:pPr>
              <w:ind w:firstLine="0" w:firstLineChars="0"/>
              <w:rPr>
                <w:b w:val="0"/>
                <w:bCs/>
                <w:color w:val="auto"/>
                <w:sz w:val="18"/>
                <w:szCs w:val="18"/>
              </w:rPr>
            </w:pPr>
            <w:r>
              <w:rPr>
                <w:rFonts w:hint="eastAsia"/>
                <w:b w:val="0"/>
                <w:bCs/>
                <w:color w:val="auto"/>
                <w:sz w:val="18"/>
                <w:szCs w:val="18"/>
              </w:rPr>
              <w:t>是否根据招投文件及合同和服务级别协议要求购买质保服务，根据购买质保服务的完成率计分。</w:t>
            </w:r>
          </w:p>
        </w:tc>
        <w:tc>
          <w:tcPr>
            <w:tcW w:w="709" w:type="dxa"/>
            <w:vAlign w:val="center"/>
          </w:tcPr>
          <w:p>
            <w:pPr>
              <w:ind w:firstLine="360"/>
              <w:rPr>
                <w:b w:val="0"/>
                <w:bCs/>
                <w:color w:val="auto"/>
                <w:sz w:val="18"/>
                <w:szCs w:val="18"/>
              </w:rPr>
            </w:pPr>
          </w:p>
        </w:tc>
        <w:tc>
          <w:tcPr>
            <w:tcW w:w="731" w:type="dxa"/>
            <w:vAlign w:val="center"/>
          </w:tcPr>
          <w:p>
            <w:pPr>
              <w:ind w:firstLine="361"/>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8" w:type="dxa"/>
            <w:vAlign w:val="center"/>
          </w:tcPr>
          <w:p>
            <w:pPr>
              <w:ind w:firstLine="0" w:firstLineChars="0"/>
              <w:rPr>
                <w:b w:val="0"/>
                <w:bCs/>
                <w:color w:val="auto"/>
                <w:sz w:val="18"/>
                <w:szCs w:val="18"/>
              </w:rPr>
            </w:pPr>
            <w:r>
              <w:rPr>
                <w:rFonts w:hint="eastAsia"/>
                <w:b w:val="0"/>
                <w:bCs/>
                <w:color w:val="auto"/>
                <w:sz w:val="18"/>
                <w:szCs w:val="18"/>
              </w:rPr>
              <w:t>安全责任事故</w:t>
            </w:r>
          </w:p>
        </w:tc>
        <w:tc>
          <w:tcPr>
            <w:tcW w:w="754" w:type="dxa"/>
            <w:vAlign w:val="center"/>
          </w:tcPr>
          <w:p>
            <w:pPr>
              <w:ind w:firstLine="0" w:firstLineChars="0"/>
              <w:rPr>
                <w:b w:val="0"/>
                <w:bCs/>
                <w:color w:val="auto"/>
                <w:sz w:val="18"/>
                <w:szCs w:val="18"/>
              </w:rPr>
            </w:pPr>
            <w:r>
              <w:rPr>
                <w:b w:val="0"/>
                <w:bCs/>
                <w:color w:val="auto"/>
                <w:sz w:val="18"/>
                <w:szCs w:val="18"/>
              </w:rPr>
              <w:t>10</w:t>
            </w:r>
          </w:p>
        </w:tc>
        <w:tc>
          <w:tcPr>
            <w:tcW w:w="1984" w:type="dxa"/>
            <w:gridSpan w:val="2"/>
            <w:vAlign w:val="center"/>
          </w:tcPr>
          <w:p>
            <w:pPr>
              <w:ind w:firstLine="0" w:firstLineChars="0"/>
              <w:jc w:val="left"/>
              <w:rPr>
                <w:b w:val="0"/>
                <w:bCs/>
                <w:color w:val="auto"/>
                <w:sz w:val="18"/>
                <w:szCs w:val="18"/>
              </w:rPr>
            </w:pPr>
            <w:r>
              <w:rPr>
                <w:rFonts w:hint="eastAsia"/>
                <w:b w:val="0"/>
                <w:bCs/>
                <w:color w:val="auto"/>
                <w:sz w:val="18"/>
                <w:szCs w:val="18"/>
              </w:rPr>
              <w:t>供方在运维服务期内有无出现重大安全事故或运维事故。</w:t>
            </w:r>
          </w:p>
        </w:tc>
        <w:tc>
          <w:tcPr>
            <w:tcW w:w="3260" w:type="dxa"/>
            <w:gridSpan w:val="2"/>
            <w:vAlign w:val="center"/>
          </w:tcPr>
          <w:p>
            <w:pPr>
              <w:ind w:firstLine="0" w:firstLineChars="0"/>
              <w:jc w:val="left"/>
              <w:rPr>
                <w:b w:val="0"/>
                <w:bCs/>
                <w:color w:val="auto"/>
                <w:sz w:val="18"/>
                <w:szCs w:val="18"/>
              </w:rPr>
            </w:pPr>
            <w:r>
              <w:rPr>
                <w:rFonts w:hint="eastAsia"/>
                <w:b w:val="0"/>
                <w:bCs/>
                <w:color w:val="auto"/>
                <w:sz w:val="18"/>
                <w:szCs w:val="18"/>
              </w:rPr>
              <w:t>供方在运维服务期内未出现重大安全事故或运维事故得</w:t>
            </w:r>
            <w:r>
              <w:rPr>
                <w:b w:val="0"/>
                <w:bCs/>
                <w:color w:val="auto"/>
                <w:sz w:val="18"/>
                <w:szCs w:val="18"/>
              </w:rPr>
              <w:t>10分</w:t>
            </w:r>
            <w:r>
              <w:rPr>
                <w:rFonts w:hint="eastAsia"/>
                <w:b w:val="0"/>
                <w:bCs/>
                <w:color w:val="auto"/>
                <w:sz w:val="18"/>
                <w:szCs w:val="18"/>
              </w:rPr>
              <w:t>；供方在运维服务期内出现重大安全事故或运维事故不得分。</w:t>
            </w:r>
          </w:p>
        </w:tc>
        <w:tc>
          <w:tcPr>
            <w:tcW w:w="709" w:type="dxa"/>
            <w:vAlign w:val="center"/>
          </w:tcPr>
          <w:p>
            <w:pPr>
              <w:ind w:firstLine="360"/>
              <w:rPr>
                <w:b w:val="0"/>
                <w:bCs/>
                <w:color w:val="auto"/>
                <w:sz w:val="18"/>
                <w:szCs w:val="18"/>
              </w:rPr>
            </w:pPr>
          </w:p>
        </w:tc>
        <w:tc>
          <w:tcPr>
            <w:tcW w:w="731" w:type="dxa"/>
            <w:vAlign w:val="center"/>
          </w:tcPr>
          <w:p>
            <w:pPr>
              <w:ind w:firstLine="361"/>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78" w:type="dxa"/>
            <w:vAlign w:val="center"/>
          </w:tcPr>
          <w:p>
            <w:pPr>
              <w:ind w:firstLine="0" w:firstLineChars="0"/>
              <w:rPr>
                <w:b w:val="0"/>
                <w:bCs/>
                <w:color w:val="auto"/>
                <w:sz w:val="18"/>
                <w:szCs w:val="18"/>
              </w:rPr>
            </w:pPr>
            <w:r>
              <w:rPr>
                <w:rFonts w:hint="eastAsia"/>
                <w:b w:val="0"/>
                <w:bCs/>
                <w:color w:val="auto"/>
                <w:sz w:val="18"/>
                <w:szCs w:val="18"/>
              </w:rPr>
              <w:t>验收文档</w:t>
            </w:r>
          </w:p>
        </w:tc>
        <w:tc>
          <w:tcPr>
            <w:tcW w:w="754" w:type="dxa"/>
            <w:vAlign w:val="center"/>
          </w:tcPr>
          <w:p>
            <w:pPr>
              <w:ind w:firstLine="0" w:firstLineChars="0"/>
              <w:rPr>
                <w:b w:val="0"/>
                <w:bCs/>
                <w:color w:val="auto"/>
                <w:sz w:val="18"/>
                <w:szCs w:val="18"/>
              </w:rPr>
            </w:pPr>
            <w:r>
              <w:rPr>
                <w:b w:val="0"/>
                <w:bCs/>
                <w:color w:val="auto"/>
                <w:sz w:val="18"/>
                <w:szCs w:val="18"/>
              </w:rPr>
              <w:t>10</w:t>
            </w:r>
          </w:p>
        </w:tc>
        <w:tc>
          <w:tcPr>
            <w:tcW w:w="1984" w:type="dxa"/>
            <w:gridSpan w:val="2"/>
            <w:vAlign w:val="center"/>
          </w:tcPr>
          <w:p>
            <w:pPr>
              <w:ind w:firstLine="0" w:firstLineChars="0"/>
              <w:rPr>
                <w:b w:val="0"/>
                <w:bCs/>
                <w:color w:val="auto"/>
                <w:sz w:val="18"/>
                <w:szCs w:val="18"/>
              </w:rPr>
            </w:pPr>
            <w:r>
              <w:rPr>
                <w:rFonts w:hint="eastAsia"/>
                <w:b w:val="0"/>
                <w:bCs/>
                <w:color w:val="auto"/>
                <w:sz w:val="18"/>
                <w:szCs w:val="18"/>
              </w:rPr>
              <w:t>是否按照监理方要求准备验收文档。</w:t>
            </w:r>
          </w:p>
        </w:tc>
        <w:tc>
          <w:tcPr>
            <w:tcW w:w="3260" w:type="dxa"/>
            <w:gridSpan w:val="2"/>
            <w:vAlign w:val="center"/>
          </w:tcPr>
          <w:p>
            <w:pPr>
              <w:ind w:firstLine="0" w:firstLineChars="0"/>
              <w:rPr>
                <w:b w:val="0"/>
                <w:bCs/>
                <w:color w:val="auto"/>
                <w:sz w:val="18"/>
                <w:szCs w:val="18"/>
              </w:rPr>
            </w:pPr>
            <w:r>
              <w:rPr>
                <w:rFonts w:hint="eastAsia"/>
                <w:b w:val="0"/>
                <w:bCs/>
                <w:color w:val="auto"/>
                <w:sz w:val="18"/>
                <w:szCs w:val="18"/>
              </w:rPr>
              <w:t>供方准备的验收文档缺失扣</w:t>
            </w:r>
            <w:r>
              <w:rPr>
                <w:b w:val="0"/>
                <w:bCs/>
                <w:color w:val="auto"/>
                <w:sz w:val="18"/>
                <w:szCs w:val="18"/>
              </w:rPr>
              <w:t>10分；供方准备的验收文档质量未通过审核扣10分；</w:t>
            </w:r>
          </w:p>
        </w:tc>
        <w:tc>
          <w:tcPr>
            <w:tcW w:w="709" w:type="dxa"/>
            <w:vAlign w:val="center"/>
          </w:tcPr>
          <w:p>
            <w:pPr>
              <w:ind w:firstLine="360"/>
              <w:rPr>
                <w:b w:val="0"/>
                <w:bCs/>
                <w:color w:val="auto"/>
                <w:sz w:val="18"/>
                <w:szCs w:val="18"/>
              </w:rPr>
            </w:pPr>
          </w:p>
        </w:tc>
        <w:tc>
          <w:tcPr>
            <w:tcW w:w="731" w:type="dxa"/>
            <w:vAlign w:val="center"/>
          </w:tcPr>
          <w:p>
            <w:pPr>
              <w:ind w:firstLine="361"/>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432" w:type="dxa"/>
            <w:gridSpan w:val="2"/>
            <w:vAlign w:val="center"/>
          </w:tcPr>
          <w:p>
            <w:pPr>
              <w:ind w:firstLine="360"/>
              <w:rPr>
                <w:b w:val="0"/>
                <w:bCs/>
                <w:color w:val="auto"/>
                <w:sz w:val="18"/>
                <w:szCs w:val="18"/>
              </w:rPr>
            </w:pPr>
            <w:r>
              <w:rPr>
                <w:rFonts w:hint="eastAsia"/>
                <w:b w:val="0"/>
                <w:bCs/>
                <w:color w:val="auto"/>
                <w:sz w:val="18"/>
                <w:szCs w:val="18"/>
              </w:rPr>
              <w:t>最终得分：</w:t>
            </w:r>
          </w:p>
        </w:tc>
        <w:tc>
          <w:tcPr>
            <w:tcW w:w="5953" w:type="dxa"/>
            <w:gridSpan w:val="5"/>
            <w:vAlign w:val="center"/>
          </w:tcPr>
          <w:p>
            <w:pPr>
              <w:ind w:firstLine="360"/>
              <w:rPr>
                <w:b w:val="0"/>
                <w:bCs/>
                <w:color w:val="auto"/>
                <w:sz w:val="18"/>
                <w:szCs w:val="18"/>
              </w:rPr>
            </w:pPr>
            <w:r>
              <w:rPr>
                <w:b w:val="0"/>
                <w:bCs/>
                <w:color w:val="auto"/>
                <w:sz w:val="18"/>
                <w:szCs w:val="18"/>
              </w:rPr>
              <w:t>计算规则</w:t>
            </w:r>
            <w:r>
              <w:rPr>
                <w:rFonts w:hint="eastAsia"/>
                <w:b w:val="0"/>
                <w:bCs/>
                <w:color w:val="auto"/>
                <w:sz w:val="18"/>
                <w:szCs w:val="18"/>
              </w:rPr>
              <w:t>：</w:t>
            </w:r>
            <w:r>
              <w:rPr>
                <w:b w:val="0"/>
                <w:bCs/>
                <w:color w:val="auto"/>
                <w:sz w:val="18"/>
                <w:szCs w:val="18"/>
              </w:rPr>
              <w:t>最终得分</w:t>
            </w:r>
            <w:r>
              <w:rPr>
                <w:rFonts w:hint="eastAsia"/>
                <w:b w:val="0"/>
                <w:bCs/>
                <w:color w:val="auto"/>
                <w:sz w:val="18"/>
                <w:szCs w:val="18"/>
              </w:rPr>
              <w:t>=月度平均得分</w:t>
            </w:r>
            <w:r>
              <w:rPr>
                <w:b w:val="0"/>
                <w:bCs/>
                <w:color w:val="auto"/>
                <w:sz w:val="18"/>
                <w:szCs w:val="18"/>
              </w:rPr>
              <w:t>×30%+整体考核得分×70</w:t>
            </w:r>
            <w:r>
              <w:rPr>
                <w:rFonts w:hint="eastAsia"/>
                <w:b w:val="0"/>
                <w:bCs/>
                <w:color w:val="auto"/>
                <w:sz w:val="18"/>
                <w:szCs w:val="18"/>
              </w:rPr>
              <w:t>%</w:t>
            </w:r>
          </w:p>
        </w:tc>
        <w:tc>
          <w:tcPr>
            <w:tcW w:w="731" w:type="dxa"/>
            <w:vAlign w:val="center"/>
          </w:tcPr>
          <w:p>
            <w:pPr>
              <w:ind w:firstLine="361"/>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116" w:type="dxa"/>
            <w:gridSpan w:val="8"/>
            <w:vAlign w:val="center"/>
          </w:tcPr>
          <w:p>
            <w:pPr>
              <w:ind w:firstLine="360"/>
              <w:rPr>
                <w:b w:val="0"/>
                <w:bCs/>
                <w:color w:val="auto"/>
                <w:sz w:val="18"/>
                <w:szCs w:val="18"/>
              </w:rPr>
            </w:pPr>
            <w:r>
              <w:rPr>
                <w:b w:val="0"/>
                <w:bCs/>
                <w:color w:val="auto"/>
                <w:sz w:val="18"/>
                <w:szCs w:val="18"/>
              </w:rPr>
              <w:t>考核结论</w:t>
            </w:r>
            <w:r>
              <w:rPr>
                <w:rFonts w:hint="eastAsia"/>
                <w:b w:val="0"/>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2665" w:type="dxa"/>
            <w:gridSpan w:val="3"/>
            <w:vAlign w:val="center"/>
          </w:tcPr>
          <w:p>
            <w:pPr>
              <w:ind w:firstLine="360"/>
              <w:rPr>
                <w:b w:val="0"/>
                <w:bCs/>
                <w:color w:val="auto"/>
                <w:sz w:val="18"/>
                <w:szCs w:val="18"/>
              </w:rPr>
            </w:pPr>
            <w:r>
              <w:rPr>
                <w:b w:val="0"/>
                <w:bCs/>
                <w:color w:val="auto"/>
                <w:sz w:val="18"/>
                <w:szCs w:val="18"/>
              </w:rPr>
              <w:t>供方</w:t>
            </w:r>
            <w:r>
              <w:rPr>
                <w:rFonts w:hint="eastAsia"/>
                <w:b w:val="0"/>
                <w:bCs/>
                <w:color w:val="auto"/>
                <w:sz w:val="18"/>
                <w:szCs w:val="18"/>
              </w:rPr>
              <w:t>（章）</w:t>
            </w:r>
          </w:p>
          <w:p>
            <w:pPr>
              <w:ind w:firstLine="360"/>
              <w:rPr>
                <w:b w:val="0"/>
                <w:bCs/>
                <w:color w:val="auto"/>
                <w:sz w:val="18"/>
                <w:szCs w:val="18"/>
              </w:rPr>
            </w:pPr>
          </w:p>
          <w:p>
            <w:pPr>
              <w:ind w:firstLine="360"/>
              <w:rPr>
                <w:b w:val="0"/>
                <w:bCs/>
                <w:color w:val="auto"/>
                <w:sz w:val="18"/>
                <w:szCs w:val="18"/>
              </w:rPr>
            </w:pPr>
          </w:p>
          <w:p>
            <w:pPr>
              <w:ind w:firstLine="360"/>
              <w:rPr>
                <w:b w:val="0"/>
                <w:bCs/>
                <w:color w:val="auto"/>
                <w:sz w:val="18"/>
                <w:szCs w:val="18"/>
              </w:rPr>
            </w:pPr>
            <w:r>
              <w:rPr>
                <w:b w:val="0"/>
                <w:bCs/>
                <w:color w:val="auto"/>
                <w:sz w:val="18"/>
                <w:szCs w:val="18"/>
              </w:rPr>
              <w:t>项目经理</w:t>
            </w:r>
            <w:r>
              <w:rPr>
                <w:rFonts w:hint="eastAsia"/>
                <w:b w:val="0"/>
                <w:bCs/>
                <w:color w:val="auto"/>
                <w:sz w:val="18"/>
                <w:szCs w:val="18"/>
              </w:rPr>
              <w:t>：</w:t>
            </w:r>
          </w:p>
          <w:p>
            <w:pPr>
              <w:ind w:firstLine="360"/>
              <w:rPr>
                <w:b w:val="0"/>
                <w:bCs/>
                <w:color w:val="auto"/>
                <w:sz w:val="18"/>
                <w:szCs w:val="18"/>
              </w:rPr>
            </w:pPr>
            <w:r>
              <w:rPr>
                <w:b w:val="0"/>
                <w:bCs/>
                <w:color w:val="auto"/>
                <w:sz w:val="18"/>
                <w:szCs w:val="18"/>
              </w:rPr>
              <w:t>日期</w:t>
            </w:r>
            <w:r>
              <w:rPr>
                <w:rFonts w:hint="eastAsia"/>
                <w:b w:val="0"/>
                <w:bCs/>
                <w:color w:val="auto"/>
                <w:sz w:val="18"/>
                <w:szCs w:val="18"/>
              </w:rPr>
              <w:t>：</w:t>
            </w:r>
          </w:p>
        </w:tc>
        <w:tc>
          <w:tcPr>
            <w:tcW w:w="3259" w:type="dxa"/>
            <w:gridSpan w:val="2"/>
            <w:vAlign w:val="center"/>
          </w:tcPr>
          <w:p>
            <w:pPr>
              <w:ind w:firstLine="360"/>
              <w:rPr>
                <w:b w:val="0"/>
                <w:bCs/>
                <w:color w:val="auto"/>
                <w:sz w:val="18"/>
                <w:szCs w:val="18"/>
              </w:rPr>
            </w:pPr>
            <w:r>
              <w:rPr>
                <w:b w:val="0"/>
                <w:bCs/>
                <w:color w:val="auto"/>
                <w:sz w:val="18"/>
                <w:szCs w:val="18"/>
              </w:rPr>
              <w:t>监理方</w:t>
            </w:r>
            <w:r>
              <w:rPr>
                <w:rFonts w:hint="eastAsia"/>
                <w:b w:val="0"/>
                <w:bCs/>
                <w:color w:val="auto"/>
                <w:sz w:val="18"/>
                <w:szCs w:val="18"/>
              </w:rPr>
              <w:t>（章）</w:t>
            </w:r>
          </w:p>
          <w:p>
            <w:pPr>
              <w:ind w:firstLine="360"/>
              <w:rPr>
                <w:b w:val="0"/>
                <w:bCs/>
                <w:color w:val="auto"/>
                <w:sz w:val="18"/>
                <w:szCs w:val="18"/>
              </w:rPr>
            </w:pPr>
          </w:p>
          <w:p>
            <w:pPr>
              <w:ind w:firstLine="360"/>
              <w:rPr>
                <w:b w:val="0"/>
                <w:bCs/>
                <w:color w:val="auto"/>
                <w:sz w:val="18"/>
                <w:szCs w:val="18"/>
              </w:rPr>
            </w:pPr>
          </w:p>
          <w:p>
            <w:pPr>
              <w:ind w:firstLine="360"/>
              <w:rPr>
                <w:b w:val="0"/>
                <w:bCs/>
                <w:color w:val="auto"/>
                <w:sz w:val="18"/>
                <w:szCs w:val="18"/>
              </w:rPr>
            </w:pPr>
            <w:r>
              <w:rPr>
                <w:b w:val="0"/>
                <w:bCs/>
                <w:color w:val="auto"/>
                <w:sz w:val="18"/>
                <w:szCs w:val="18"/>
              </w:rPr>
              <w:t>总监理工程师</w:t>
            </w:r>
            <w:r>
              <w:rPr>
                <w:rFonts w:hint="eastAsia"/>
                <w:b w:val="0"/>
                <w:bCs/>
                <w:color w:val="auto"/>
                <w:sz w:val="18"/>
                <w:szCs w:val="18"/>
              </w:rPr>
              <w:t>：</w:t>
            </w:r>
          </w:p>
          <w:p>
            <w:pPr>
              <w:ind w:firstLine="360"/>
              <w:rPr>
                <w:b w:val="0"/>
                <w:bCs/>
                <w:color w:val="auto"/>
                <w:sz w:val="18"/>
                <w:szCs w:val="18"/>
              </w:rPr>
            </w:pPr>
            <w:r>
              <w:rPr>
                <w:b w:val="0"/>
                <w:bCs/>
                <w:color w:val="auto"/>
                <w:sz w:val="18"/>
                <w:szCs w:val="18"/>
              </w:rPr>
              <w:t>日期</w:t>
            </w:r>
            <w:r>
              <w:rPr>
                <w:rFonts w:hint="eastAsia"/>
                <w:b w:val="0"/>
                <w:bCs/>
                <w:color w:val="auto"/>
                <w:sz w:val="18"/>
                <w:szCs w:val="18"/>
              </w:rPr>
              <w:t>：</w:t>
            </w:r>
          </w:p>
        </w:tc>
        <w:tc>
          <w:tcPr>
            <w:tcW w:w="2192" w:type="dxa"/>
            <w:gridSpan w:val="3"/>
            <w:vAlign w:val="center"/>
          </w:tcPr>
          <w:p>
            <w:pPr>
              <w:ind w:firstLine="360"/>
              <w:rPr>
                <w:b w:val="0"/>
                <w:bCs/>
                <w:color w:val="auto"/>
                <w:sz w:val="18"/>
                <w:szCs w:val="18"/>
              </w:rPr>
            </w:pPr>
            <w:r>
              <w:rPr>
                <w:b w:val="0"/>
                <w:bCs/>
                <w:color w:val="auto"/>
                <w:sz w:val="18"/>
                <w:szCs w:val="18"/>
              </w:rPr>
              <w:t>需方</w:t>
            </w:r>
            <w:r>
              <w:rPr>
                <w:rFonts w:hint="eastAsia"/>
                <w:b w:val="0"/>
                <w:bCs/>
                <w:color w:val="auto"/>
                <w:sz w:val="18"/>
                <w:szCs w:val="18"/>
              </w:rPr>
              <w:t>（章）</w:t>
            </w:r>
          </w:p>
          <w:p>
            <w:pPr>
              <w:ind w:firstLine="360"/>
              <w:rPr>
                <w:b w:val="0"/>
                <w:bCs/>
                <w:color w:val="auto"/>
                <w:sz w:val="18"/>
                <w:szCs w:val="18"/>
              </w:rPr>
            </w:pPr>
          </w:p>
          <w:p>
            <w:pPr>
              <w:ind w:firstLine="360"/>
              <w:rPr>
                <w:b w:val="0"/>
                <w:bCs/>
                <w:color w:val="auto"/>
                <w:sz w:val="18"/>
                <w:szCs w:val="18"/>
              </w:rPr>
            </w:pPr>
          </w:p>
          <w:p>
            <w:pPr>
              <w:ind w:firstLine="360"/>
              <w:rPr>
                <w:b w:val="0"/>
                <w:bCs/>
                <w:color w:val="auto"/>
                <w:sz w:val="18"/>
                <w:szCs w:val="18"/>
              </w:rPr>
            </w:pPr>
            <w:r>
              <w:rPr>
                <w:b w:val="0"/>
                <w:bCs/>
                <w:color w:val="auto"/>
                <w:sz w:val="18"/>
                <w:szCs w:val="18"/>
              </w:rPr>
              <w:t>需方代表</w:t>
            </w:r>
            <w:r>
              <w:rPr>
                <w:rFonts w:hint="eastAsia"/>
                <w:b w:val="0"/>
                <w:bCs/>
                <w:color w:val="auto"/>
                <w:sz w:val="18"/>
                <w:szCs w:val="18"/>
              </w:rPr>
              <w:t>：</w:t>
            </w:r>
          </w:p>
          <w:p>
            <w:pPr>
              <w:ind w:firstLine="360"/>
              <w:rPr>
                <w:b w:val="0"/>
                <w:bCs/>
                <w:color w:val="auto"/>
                <w:sz w:val="18"/>
                <w:szCs w:val="18"/>
              </w:rPr>
            </w:pPr>
            <w:r>
              <w:rPr>
                <w:b w:val="0"/>
                <w:bCs/>
                <w:color w:val="auto"/>
                <w:sz w:val="18"/>
                <w:szCs w:val="18"/>
              </w:rPr>
              <w:t>日期</w:t>
            </w:r>
            <w:r>
              <w:rPr>
                <w:rFonts w:hint="eastAsia"/>
                <w:b w:val="0"/>
                <w:bCs/>
                <w:color w:val="auto"/>
                <w:sz w:val="18"/>
                <w:szCs w:val="18"/>
              </w:rPr>
              <w:t>：</w:t>
            </w:r>
          </w:p>
        </w:tc>
      </w:tr>
    </w:tbl>
    <w:p>
      <w:pPr>
        <w:ind w:firstLine="0" w:firstLineChars="0"/>
        <w:jc w:val="left"/>
        <w:rPr>
          <w:color w:val="auto"/>
          <w:sz w:val="24"/>
          <w:szCs w:val="24"/>
        </w:rPr>
      </w:pPr>
    </w:p>
    <w:p>
      <w:pPr>
        <w:ind w:firstLine="482"/>
        <w:jc w:val="left"/>
        <w:rPr>
          <w:color w:val="auto"/>
          <w:sz w:val="24"/>
          <w:szCs w:val="24"/>
        </w:rPr>
      </w:pPr>
    </w:p>
    <w:p>
      <w:pPr>
        <w:ind w:firstLine="482"/>
        <w:jc w:val="left"/>
        <w:rPr>
          <w:color w:val="auto"/>
          <w:sz w:val="24"/>
          <w:szCs w:val="24"/>
        </w:rPr>
      </w:pPr>
      <w:r>
        <w:rPr>
          <w:color w:val="auto"/>
          <w:sz w:val="24"/>
          <w:szCs w:val="24"/>
        </w:rPr>
        <w:t>注</w:t>
      </w:r>
      <w:r>
        <w:rPr>
          <w:rFonts w:hint="eastAsia"/>
          <w:color w:val="auto"/>
          <w:sz w:val="24"/>
          <w:szCs w:val="24"/>
        </w:rPr>
        <w:t>：</w:t>
      </w:r>
      <w:r>
        <w:rPr>
          <w:color w:val="auto"/>
          <w:sz w:val="24"/>
          <w:szCs w:val="24"/>
        </w:rPr>
        <w:t>月度考核表占最终考核成绩的30</w:t>
      </w:r>
      <w:r>
        <w:rPr>
          <w:rFonts w:hint="eastAsia"/>
          <w:color w:val="auto"/>
          <w:sz w:val="24"/>
          <w:szCs w:val="24"/>
        </w:rPr>
        <w:t>%，整体考核表占最终考核成绩的</w:t>
      </w:r>
      <w:r>
        <w:rPr>
          <w:color w:val="auto"/>
          <w:sz w:val="24"/>
          <w:szCs w:val="24"/>
        </w:rPr>
        <w:t>70</w:t>
      </w:r>
      <w:r>
        <w:rPr>
          <w:rFonts w:hint="eastAsia"/>
          <w:color w:val="auto"/>
          <w:sz w:val="24"/>
          <w:szCs w:val="24"/>
        </w:rPr>
        <w:t>%。</w:t>
      </w:r>
    </w:p>
    <w:p>
      <w:pPr>
        <w:autoSpaceDE w:val="0"/>
        <w:autoSpaceDN w:val="0"/>
        <w:adjustRightInd w:val="0"/>
        <w:ind w:left="255" w:firstLine="51" w:firstLineChars="0"/>
        <w:jc w:val="left"/>
        <w:outlineLvl w:val="1"/>
        <w:rPr>
          <w:rFonts w:hint="eastAsia" w:ascii="Times New Roman" w:hAnsi="Times New Roman"/>
          <w:b w:val="0"/>
          <w:color w:val="auto"/>
          <w:kern w:val="2"/>
          <w:sz w:val="24"/>
          <w:szCs w:val="24"/>
          <w:lang w:val="en-US"/>
        </w:rPr>
      </w:pPr>
    </w:p>
    <w:p>
      <w:pPr>
        <w:autoSpaceDE w:val="0"/>
        <w:autoSpaceDN w:val="0"/>
        <w:adjustRightInd w:val="0"/>
        <w:ind w:left="255" w:firstLine="51" w:firstLineChars="0"/>
        <w:jc w:val="left"/>
        <w:outlineLvl w:val="1"/>
        <w:rPr>
          <w:rFonts w:ascii="Times New Roman" w:hAnsi="Times New Roman"/>
          <w:b w:val="0"/>
          <w:color w:val="auto"/>
          <w:kern w:val="2"/>
          <w:sz w:val="24"/>
          <w:szCs w:val="24"/>
          <w:lang w:val="en-US"/>
        </w:rPr>
      </w:pPr>
      <w:r>
        <w:rPr>
          <w:rFonts w:hint="eastAsia" w:ascii="Times New Roman" w:hAnsi="Times New Roman"/>
          <w:b w:val="0"/>
          <w:color w:val="auto"/>
          <w:kern w:val="2"/>
          <w:sz w:val="24"/>
          <w:szCs w:val="24"/>
          <w:lang w:val="en-US"/>
        </w:rPr>
        <w:t>（三）</w:t>
      </w:r>
      <w:r>
        <w:rPr>
          <w:rFonts w:ascii="Times New Roman" w:hAnsi="Times New Roman"/>
          <w:b w:val="0"/>
          <w:color w:val="auto"/>
          <w:kern w:val="2"/>
          <w:sz w:val="24"/>
          <w:szCs w:val="24"/>
          <w:lang w:val="en-US"/>
        </w:rPr>
        <w:t xml:space="preserve"> 服务考核应用</w:t>
      </w:r>
    </w:p>
    <w:p>
      <w:pPr>
        <w:autoSpaceDE w:val="0"/>
        <w:autoSpaceDN w:val="0"/>
        <w:adjustRightInd w:val="0"/>
        <w:ind w:firstLine="410" w:firstLineChars="171"/>
        <w:jc w:val="left"/>
        <w:rPr>
          <w:rFonts w:ascii="Times New Roman" w:hAnsi="Times New Roman"/>
          <w:b w:val="0"/>
          <w:color w:val="auto"/>
          <w:kern w:val="2"/>
          <w:sz w:val="24"/>
          <w:szCs w:val="24"/>
          <w:lang w:val="en-US"/>
        </w:rPr>
      </w:pPr>
      <w:r>
        <w:rPr>
          <w:rFonts w:hint="eastAsia" w:ascii="Times New Roman" w:hAnsi="Times New Roman"/>
          <w:b w:val="0"/>
          <w:color w:val="auto"/>
          <w:kern w:val="2"/>
          <w:sz w:val="24"/>
          <w:szCs w:val="24"/>
          <w:lang w:val="en-US"/>
        </w:rPr>
        <w:t>运维服务提供商严格遵循成都市环境保护信息中心信息化管理相关文件要求，并按照信息化运维管理考核进行</w:t>
      </w:r>
      <w:r>
        <w:rPr>
          <w:rFonts w:ascii="Times New Roman" w:hAnsi="Times New Roman"/>
          <w:b w:val="0"/>
          <w:color w:val="auto"/>
          <w:kern w:val="2"/>
          <w:sz w:val="24"/>
          <w:szCs w:val="24"/>
          <w:lang w:val="en-US"/>
        </w:rPr>
        <w:t>考核，对考核不达标的情况进行记录。</w:t>
      </w:r>
    </w:p>
    <w:p>
      <w:pPr>
        <w:ind w:firstLine="480"/>
        <w:rPr>
          <w:rFonts w:ascii="Times New Roman" w:hAnsi="Times New Roman"/>
          <w:b w:val="0"/>
          <w:color w:val="auto"/>
          <w:kern w:val="2"/>
          <w:sz w:val="24"/>
          <w:szCs w:val="24"/>
          <w:lang w:val="en-US"/>
        </w:rPr>
      </w:pPr>
      <w:r>
        <w:rPr>
          <w:rFonts w:hint="eastAsia" w:ascii="Times New Roman" w:hAnsi="Times New Roman"/>
          <w:b w:val="0"/>
          <w:color w:val="auto"/>
          <w:kern w:val="2"/>
          <w:sz w:val="24"/>
          <w:szCs w:val="24"/>
          <w:lang w:val="en-US"/>
        </w:rPr>
        <w:t>根据考核评分表结果，</w:t>
      </w:r>
      <w:r>
        <w:rPr>
          <w:rFonts w:ascii="Times New Roman" w:hAnsi="Times New Roman"/>
          <w:b w:val="0"/>
          <w:color w:val="auto"/>
          <w:kern w:val="2"/>
          <w:sz w:val="24"/>
          <w:szCs w:val="24"/>
          <w:lang w:val="en-US"/>
        </w:rPr>
        <w:t>70分以下为运维考核不合格，每少1分扣除合同的金额的1%</w:t>
      </w:r>
      <w:r>
        <w:rPr>
          <w:rFonts w:hint="eastAsia" w:ascii="Times New Roman" w:hAnsi="Times New Roman"/>
          <w:b w:val="0"/>
          <w:color w:val="auto"/>
          <w:kern w:val="2"/>
          <w:sz w:val="24"/>
          <w:szCs w:val="24"/>
          <w:lang w:val="en-US"/>
        </w:rPr>
        <w:t>累计不超过合同总额的30%</w:t>
      </w:r>
      <w:r>
        <w:rPr>
          <w:rFonts w:ascii="Times New Roman" w:hAnsi="Times New Roman"/>
          <w:b w:val="0"/>
          <w:color w:val="auto"/>
          <w:kern w:val="2"/>
          <w:sz w:val="24"/>
          <w:szCs w:val="24"/>
          <w:lang w:val="en-US"/>
        </w:rPr>
        <w:t>；由运维服务商原因造成重大运维事故，由运维服务商赔偿损失，设备损坏无法恢复的，由运维服务商提供同类同性能设备替代； 70分及以上80分以下为基本合格，延缓30个工作日退还履约保证金；80-90分为良，按时退还履约保证金；90分以上为优秀，给与运维服务商正面意见反馈。</w:t>
      </w:r>
    </w:p>
    <w:p>
      <w:pPr>
        <w:ind w:firstLine="482"/>
        <w:rPr>
          <w:rFonts w:ascii="Times New Roman" w:hAnsi="Times New Roman"/>
          <w:color w:val="auto"/>
          <w:kern w:val="44"/>
          <w:sz w:val="24"/>
          <w:szCs w:val="24"/>
        </w:rPr>
      </w:pPr>
      <w:r>
        <w:rPr>
          <w:rFonts w:hint="eastAsia" w:ascii="Times New Roman" w:hAnsi="Times New Roman"/>
          <w:color w:val="auto"/>
          <w:kern w:val="44"/>
          <w:sz w:val="24"/>
          <w:szCs w:val="24"/>
        </w:rPr>
        <w:t>八</w:t>
      </w:r>
      <w:r>
        <w:rPr>
          <w:rFonts w:ascii="Times New Roman" w:hAnsi="Times New Roman"/>
          <w:color w:val="auto"/>
          <w:kern w:val="44"/>
          <w:sz w:val="24"/>
          <w:szCs w:val="24"/>
        </w:rPr>
        <w:t>、机房安全设备运维清单</w:t>
      </w:r>
    </w:p>
    <w:tbl>
      <w:tblPr>
        <w:tblStyle w:val="7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692"/>
        <w:gridCol w:w="1217"/>
        <w:gridCol w:w="1692"/>
        <w:gridCol w:w="791"/>
        <w:gridCol w:w="797"/>
        <w:gridCol w:w="172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blHeader/>
          <w:jc w:val="center"/>
        </w:trPr>
        <w:tc>
          <w:tcPr>
            <w:tcW w:w="738"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类别</w:t>
            </w:r>
          </w:p>
        </w:tc>
        <w:tc>
          <w:tcPr>
            <w:tcW w:w="692"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序号</w:t>
            </w:r>
          </w:p>
        </w:tc>
        <w:tc>
          <w:tcPr>
            <w:tcW w:w="1217"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设备名称</w:t>
            </w:r>
          </w:p>
        </w:tc>
        <w:tc>
          <w:tcPr>
            <w:tcW w:w="1692"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品牌型号</w:t>
            </w:r>
          </w:p>
        </w:tc>
        <w:tc>
          <w:tcPr>
            <w:tcW w:w="791"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数量</w:t>
            </w:r>
          </w:p>
        </w:tc>
        <w:tc>
          <w:tcPr>
            <w:tcW w:w="797"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运行状况</w:t>
            </w:r>
          </w:p>
        </w:tc>
        <w:tc>
          <w:tcPr>
            <w:tcW w:w="1723"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服务内容</w:t>
            </w:r>
          </w:p>
        </w:tc>
        <w:tc>
          <w:tcPr>
            <w:tcW w:w="1396" w:type="dxa"/>
            <w:shd w:val="clear" w:color="auto" w:fill="auto"/>
            <w:vAlign w:val="center"/>
          </w:tcPr>
          <w:p>
            <w:pPr>
              <w:snapToGrid/>
              <w:spacing w:line="240" w:lineRule="auto"/>
              <w:ind w:firstLine="0" w:firstLineChars="0"/>
              <w:jc w:val="center"/>
              <w:rPr>
                <w:rFonts w:ascii="Calibri" w:hAnsi="Calibri"/>
                <w:b/>
                <w:bCs/>
                <w:color w:val="auto"/>
                <w:kern w:val="2"/>
                <w:sz w:val="21"/>
                <w:szCs w:val="22"/>
                <w:lang w:val="en-US"/>
              </w:rPr>
            </w:pPr>
            <w:r>
              <w:rPr>
                <w:rFonts w:hint="eastAsia" w:ascii="Calibri" w:hAnsi="Calibri"/>
                <w:b/>
                <w:bCs/>
                <w:color w:val="auto"/>
                <w:kern w:val="2"/>
                <w:sz w:val="21"/>
                <w:szCs w:val="22"/>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38" w:type="dxa"/>
            <w:vMerge w:val="restart"/>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安全设备维保</w:t>
            </w: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1</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万兆安全网关（二级）</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山石</w:t>
            </w:r>
            <w:r>
              <w:rPr>
                <w:rFonts w:ascii="Calibri" w:hAnsi="Calibri"/>
                <w:b w:val="0"/>
                <w:color w:val="auto"/>
                <w:kern w:val="2"/>
                <w:sz w:val="21"/>
                <w:szCs w:val="22"/>
                <w:lang w:val="en-US"/>
              </w:rPr>
              <w:t>SG-6000-M8860</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2</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p>
        </w:tc>
        <w:tc>
          <w:tcPr>
            <w:tcW w:w="1396" w:type="dxa"/>
            <w:vMerge w:val="restart"/>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如若因设备厂商停止服务导致产品无法维修或者无法使用的，投标人应承诺提供可用产品作为服务期内的备件使用。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2</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万兆入侵防御系统（二级）</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绿盟</w:t>
            </w:r>
            <w:r>
              <w:rPr>
                <w:rFonts w:ascii="Calibri" w:hAnsi="Calibri"/>
                <w:b w:val="0"/>
                <w:color w:val="auto"/>
                <w:kern w:val="2"/>
                <w:sz w:val="21"/>
                <w:szCs w:val="22"/>
                <w:lang w:val="en-US"/>
              </w:rPr>
              <w:t>NIPS NX5-T9010A-C</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2</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r>
              <w:rPr>
                <w:rFonts w:ascii="Calibri" w:hAnsi="Calibri"/>
                <w:b w:val="0"/>
                <w:color w:val="auto"/>
                <w:kern w:val="2"/>
                <w:sz w:val="21"/>
                <w:szCs w:val="22"/>
                <w:lang w:val="en-US"/>
              </w:rPr>
              <w:t xml:space="preserve"> </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3</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上网行为管理</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深信服</w:t>
            </w:r>
            <w:r>
              <w:rPr>
                <w:rFonts w:ascii="Calibri" w:hAnsi="Calibri"/>
                <w:b w:val="0"/>
                <w:color w:val="auto"/>
                <w:kern w:val="2"/>
                <w:sz w:val="21"/>
                <w:szCs w:val="22"/>
                <w:lang w:val="en-US"/>
              </w:rPr>
              <w:t>AC-6000-EX</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1</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4</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天融信防火墙</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NGFW4000-UF</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2</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5</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绿盟入侵防护系统</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绿盟</w:t>
            </w:r>
            <w:r>
              <w:rPr>
                <w:rFonts w:ascii="Calibri" w:hAnsi="Calibri"/>
                <w:b w:val="0"/>
                <w:color w:val="auto"/>
                <w:kern w:val="2"/>
                <w:sz w:val="21"/>
                <w:szCs w:val="22"/>
                <w:lang w:val="en-US"/>
              </w:rPr>
              <w:t>NIPS-NX3-N2000A-C</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2</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r>
              <w:rPr>
                <w:rFonts w:ascii="Calibri" w:hAnsi="Calibri"/>
                <w:b w:val="0"/>
                <w:color w:val="auto"/>
                <w:kern w:val="2"/>
                <w:sz w:val="21"/>
                <w:szCs w:val="22"/>
                <w:lang w:val="en-US"/>
              </w:rPr>
              <w:t xml:space="preserve"> </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6</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绿盟抗</w:t>
            </w:r>
            <w:r>
              <w:rPr>
                <w:rFonts w:ascii="Calibri" w:hAnsi="Calibri"/>
                <w:b w:val="0"/>
                <w:color w:val="auto"/>
                <w:kern w:val="2"/>
                <w:sz w:val="21"/>
                <w:szCs w:val="22"/>
                <w:lang w:val="en-US"/>
              </w:rPr>
              <w:t>DDOS</w:t>
            </w:r>
            <w:r>
              <w:rPr>
                <w:rFonts w:hint="eastAsia" w:ascii="Calibri" w:hAnsi="Calibri"/>
                <w:b w:val="0"/>
                <w:color w:val="auto"/>
                <w:kern w:val="2"/>
                <w:sz w:val="21"/>
                <w:szCs w:val="22"/>
                <w:lang w:val="en-US"/>
              </w:rPr>
              <w:t>设备</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绿盟</w:t>
            </w:r>
            <w:r>
              <w:rPr>
                <w:rFonts w:ascii="Calibri" w:hAnsi="Calibri"/>
                <w:b w:val="0"/>
                <w:color w:val="auto"/>
                <w:kern w:val="2"/>
                <w:sz w:val="21"/>
                <w:szCs w:val="22"/>
                <w:lang w:val="en-US"/>
              </w:rPr>
              <w:t>ADS-NX3-1200A-C</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1</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r>
              <w:rPr>
                <w:rFonts w:ascii="Calibri" w:hAnsi="Calibri"/>
                <w:b w:val="0"/>
                <w:color w:val="auto"/>
                <w:kern w:val="2"/>
                <w:sz w:val="21"/>
                <w:szCs w:val="22"/>
                <w:lang w:val="en-US"/>
              </w:rPr>
              <w:t xml:space="preserve"> </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7</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ascii="Calibri" w:hAnsi="Calibri"/>
                <w:b w:val="0"/>
                <w:color w:val="auto"/>
                <w:kern w:val="2"/>
                <w:sz w:val="21"/>
                <w:szCs w:val="22"/>
                <w:lang w:val="en-US"/>
              </w:rPr>
              <w:t>VPN</w:t>
            </w:r>
            <w:r>
              <w:rPr>
                <w:rFonts w:hint="eastAsia" w:ascii="Calibri" w:hAnsi="Calibri"/>
                <w:b w:val="0"/>
                <w:color w:val="auto"/>
                <w:kern w:val="2"/>
                <w:sz w:val="21"/>
                <w:szCs w:val="22"/>
                <w:lang w:val="en-US"/>
              </w:rPr>
              <w:t>设备</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深信服</w:t>
            </w:r>
            <w:r>
              <w:rPr>
                <w:rFonts w:ascii="Calibri" w:hAnsi="Calibri"/>
                <w:b w:val="0"/>
                <w:color w:val="auto"/>
                <w:kern w:val="2"/>
                <w:sz w:val="21"/>
                <w:szCs w:val="22"/>
                <w:lang w:val="en-US"/>
              </w:rPr>
              <w:t>AF-1520-EX</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1</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8</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ascii="Calibri" w:hAnsi="Calibri"/>
                <w:b w:val="0"/>
                <w:color w:val="auto"/>
                <w:kern w:val="2"/>
                <w:sz w:val="21"/>
                <w:szCs w:val="22"/>
                <w:lang w:val="en-US"/>
              </w:rPr>
              <w:t>VPN</w:t>
            </w:r>
            <w:r>
              <w:rPr>
                <w:rFonts w:hint="eastAsia" w:ascii="Calibri" w:hAnsi="Calibri"/>
                <w:b w:val="0"/>
                <w:color w:val="auto"/>
                <w:kern w:val="2"/>
                <w:sz w:val="21"/>
                <w:szCs w:val="22"/>
                <w:lang w:val="en-US"/>
              </w:rPr>
              <w:t>设备</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深信服AF-2020-EX</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1</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38" w:type="dxa"/>
            <w:vMerge w:val="continue"/>
          </w:tcPr>
          <w:p>
            <w:pPr>
              <w:snapToGrid/>
              <w:spacing w:line="240" w:lineRule="auto"/>
              <w:ind w:firstLine="0" w:firstLineChars="0"/>
              <w:rPr>
                <w:rFonts w:ascii="Calibri" w:hAnsi="Calibri"/>
                <w:b w:val="0"/>
                <w:color w:val="auto"/>
                <w:kern w:val="2"/>
                <w:sz w:val="21"/>
                <w:szCs w:val="22"/>
                <w:lang w:val="en-US"/>
              </w:rPr>
            </w:pPr>
          </w:p>
        </w:tc>
        <w:tc>
          <w:tcPr>
            <w:tcW w:w="692"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9</w:t>
            </w:r>
          </w:p>
        </w:tc>
        <w:tc>
          <w:tcPr>
            <w:tcW w:w="121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上网行为管理系统规则库升级及硬件维护</w:t>
            </w:r>
          </w:p>
        </w:tc>
        <w:tc>
          <w:tcPr>
            <w:tcW w:w="1692" w:type="dxa"/>
          </w:tcPr>
          <w:p>
            <w:pPr>
              <w:snapToGrid/>
              <w:spacing w:line="240" w:lineRule="auto"/>
              <w:ind w:firstLine="0" w:firstLineChars="0"/>
              <w:jc w:val="left"/>
              <w:rPr>
                <w:rFonts w:ascii="Calibri" w:hAnsi="Calibri"/>
                <w:b w:val="0"/>
                <w:color w:val="auto"/>
                <w:kern w:val="2"/>
                <w:sz w:val="21"/>
                <w:szCs w:val="22"/>
                <w:lang w:val="en-US"/>
              </w:rPr>
            </w:pPr>
            <w:r>
              <w:rPr>
                <w:rFonts w:hint="eastAsia" w:ascii="Calibri" w:hAnsi="Calibri"/>
                <w:b w:val="0"/>
                <w:color w:val="auto"/>
                <w:kern w:val="2"/>
                <w:sz w:val="21"/>
                <w:szCs w:val="22"/>
                <w:lang w:val="en-US"/>
              </w:rPr>
              <w:t>深信服AC-1700-EX</w:t>
            </w:r>
          </w:p>
        </w:tc>
        <w:tc>
          <w:tcPr>
            <w:tcW w:w="791"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1"/>
                <w:lang w:val="en-US"/>
              </w:rPr>
              <w:t>1</w:t>
            </w:r>
          </w:p>
        </w:tc>
        <w:tc>
          <w:tcPr>
            <w:tcW w:w="797"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正常运行</w:t>
            </w:r>
          </w:p>
        </w:tc>
        <w:tc>
          <w:tcPr>
            <w:tcW w:w="1723" w:type="dxa"/>
          </w:tcPr>
          <w:p>
            <w:pPr>
              <w:snapToGrid/>
              <w:spacing w:line="240" w:lineRule="auto"/>
              <w:ind w:firstLine="0" w:firstLineChars="0"/>
              <w:rPr>
                <w:rFonts w:ascii="Calibri" w:hAnsi="Calibri"/>
                <w:b w:val="0"/>
                <w:color w:val="auto"/>
                <w:kern w:val="2"/>
                <w:sz w:val="21"/>
                <w:szCs w:val="22"/>
                <w:lang w:val="en-US"/>
              </w:rPr>
            </w:pPr>
            <w:r>
              <w:rPr>
                <w:rFonts w:hint="eastAsia" w:ascii="Calibri" w:hAnsi="Calibri"/>
                <w:b w:val="0"/>
                <w:color w:val="auto"/>
                <w:kern w:val="2"/>
                <w:sz w:val="21"/>
                <w:szCs w:val="22"/>
                <w:lang w:val="en-US"/>
              </w:rPr>
              <w:t>设备维保6个月</w:t>
            </w:r>
          </w:p>
        </w:tc>
        <w:tc>
          <w:tcPr>
            <w:tcW w:w="1396" w:type="dxa"/>
            <w:vMerge w:val="continue"/>
          </w:tcPr>
          <w:p>
            <w:pPr>
              <w:snapToGrid/>
              <w:spacing w:line="240" w:lineRule="auto"/>
              <w:ind w:firstLine="0" w:firstLineChars="0"/>
              <w:rPr>
                <w:rFonts w:ascii="Calibri" w:hAnsi="Calibri"/>
                <w:b w:val="0"/>
                <w:color w:val="auto"/>
                <w:kern w:val="2"/>
                <w:sz w:val="21"/>
                <w:szCs w:val="22"/>
                <w:lang w:val="en-US"/>
              </w:rPr>
            </w:pPr>
          </w:p>
        </w:tc>
      </w:tr>
    </w:tbl>
    <w:p>
      <w:pPr>
        <w:ind w:firstLine="482"/>
        <w:rPr>
          <w:rFonts w:ascii="Times New Roman" w:hAnsi="Times New Roman"/>
          <w:color w:val="auto"/>
          <w:kern w:val="44"/>
          <w:sz w:val="24"/>
          <w:szCs w:val="24"/>
        </w:rPr>
      </w:pPr>
      <w:bookmarkStart w:id="545" w:name="_Toc13620"/>
      <w:bookmarkStart w:id="546" w:name="_Toc414266276"/>
      <w:bookmarkStart w:id="547" w:name="_Toc414614596"/>
      <w:bookmarkStart w:id="548" w:name="_Toc269717613"/>
      <w:bookmarkStart w:id="549" w:name="_Toc421277692"/>
      <w:bookmarkStart w:id="550" w:name="_Toc427148986"/>
      <w:bookmarkStart w:id="551" w:name="_Toc414266430"/>
      <w:r>
        <w:rPr>
          <w:rFonts w:hint="eastAsia"/>
          <w:bCs/>
          <w:color w:val="auto"/>
          <w:kern w:val="44"/>
          <w:sz w:val="24"/>
          <w:szCs w:val="24"/>
          <w:lang w:val="en-US"/>
        </w:rPr>
        <w:t>★</w:t>
      </w:r>
      <w:r>
        <w:rPr>
          <w:rFonts w:hint="eastAsia" w:ascii="Times New Roman" w:hAnsi="Times New Roman"/>
          <w:color w:val="auto"/>
          <w:kern w:val="44"/>
          <w:sz w:val="24"/>
          <w:szCs w:val="24"/>
        </w:rPr>
        <w:t>九</w:t>
      </w:r>
      <w:r>
        <w:rPr>
          <w:rFonts w:ascii="Times New Roman" w:hAnsi="Times New Roman"/>
          <w:color w:val="auto"/>
          <w:kern w:val="44"/>
          <w:sz w:val="24"/>
          <w:szCs w:val="24"/>
        </w:rPr>
        <w:t>、商务要求</w:t>
      </w:r>
      <w:bookmarkEnd w:id="545"/>
      <w:bookmarkEnd w:id="546"/>
      <w:bookmarkEnd w:id="547"/>
      <w:bookmarkEnd w:id="548"/>
      <w:bookmarkEnd w:id="549"/>
      <w:bookmarkEnd w:id="550"/>
      <w:bookmarkEnd w:id="551"/>
    </w:p>
    <w:p>
      <w:pPr>
        <w:ind w:firstLine="480" w:firstLineChars="0"/>
        <w:rPr>
          <w:color w:val="auto"/>
          <w:kern w:val="2"/>
          <w:sz w:val="24"/>
          <w:szCs w:val="24"/>
          <w:lang w:val="en-US"/>
        </w:rPr>
      </w:pPr>
      <w:r>
        <w:rPr>
          <w:rFonts w:hint="eastAsia"/>
          <w:b w:val="0"/>
          <w:color w:val="auto"/>
          <w:kern w:val="2"/>
          <w:sz w:val="24"/>
          <w:szCs w:val="24"/>
          <w:lang w:val="en-US"/>
        </w:rPr>
        <w:t>1、服务</w:t>
      </w:r>
      <w:r>
        <w:rPr>
          <w:b w:val="0"/>
          <w:color w:val="auto"/>
          <w:kern w:val="2"/>
          <w:sz w:val="24"/>
          <w:szCs w:val="24"/>
          <w:lang w:val="en-US"/>
        </w:rPr>
        <w:t>期限：</w:t>
      </w:r>
      <w:r>
        <w:rPr>
          <w:rFonts w:hint="eastAsia"/>
          <w:b w:val="0"/>
          <w:color w:val="auto"/>
          <w:kern w:val="2"/>
          <w:sz w:val="24"/>
          <w:szCs w:val="24"/>
          <w:lang w:val="en-US"/>
        </w:rPr>
        <w:t>合同生效之日起的6</w:t>
      </w:r>
      <w:r>
        <w:rPr>
          <w:b w:val="0"/>
          <w:color w:val="auto"/>
          <w:kern w:val="2"/>
          <w:sz w:val="24"/>
          <w:szCs w:val="24"/>
          <w:lang w:val="en-US"/>
        </w:rPr>
        <w:t>个月</w:t>
      </w:r>
    </w:p>
    <w:p>
      <w:pPr>
        <w:ind w:firstLine="480" w:firstLineChars="0"/>
        <w:rPr>
          <w:color w:val="auto"/>
          <w:kern w:val="2"/>
          <w:sz w:val="24"/>
          <w:szCs w:val="24"/>
          <w:lang w:val="en-US"/>
        </w:rPr>
      </w:pPr>
      <w:r>
        <w:rPr>
          <w:rFonts w:hint="eastAsia"/>
          <w:b w:val="0"/>
          <w:color w:val="auto"/>
          <w:kern w:val="2"/>
          <w:sz w:val="24"/>
          <w:szCs w:val="24"/>
          <w:lang w:val="en-US"/>
        </w:rPr>
        <w:t>2、服务</w:t>
      </w:r>
      <w:r>
        <w:rPr>
          <w:b w:val="0"/>
          <w:color w:val="auto"/>
          <w:kern w:val="2"/>
          <w:sz w:val="24"/>
          <w:szCs w:val="24"/>
          <w:lang w:val="en-US"/>
        </w:rPr>
        <w:t>地点：</w:t>
      </w:r>
      <w:r>
        <w:rPr>
          <w:rFonts w:hint="eastAsia"/>
          <w:b w:val="0"/>
          <w:color w:val="auto"/>
          <w:kern w:val="2"/>
          <w:sz w:val="24"/>
          <w:szCs w:val="24"/>
          <w:lang w:val="en-US"/>
        </w:rPr>
        <w:t>成都市海桐街</w:t>
      </w:r>
      <w:r>
        <w:rPr>
          <w:b w:val="0"/>
          <w:color w:val="auto"/>
          <w:kern w:val="2"/>
          <w:sz w:val="24"/>
          <w:szCs w:val="24"/>
          <w:lang w:val="en-US"/>
        </w:rPr>
        <w:t>69号</w:t>
      </w:r>
    </w:p>
    <w:p>
      <w:pPr>
        <w:ind w:firstLine="480"/>
        <w:rPr>
          <w:b w:val="0"/>
          <w:color w:val="auto"/>
          <w:kern w:val="2"/>
          <w:sz w:val="24"/>
          <w:szCs w:val="24"/>
          <w:lang w:val="en-US"/>
        </w:rPr>
      </w:pPr>
      <w:r>
        <w:rPr>
          <w:rFonts w:hint="eastAsia"/>
          <w:b w:val="0"/>
          <w:color w:val="auto"/>
          <w:kern w:val="2"/>
          <w:sz w:val="24"/>
          <w:szCs w:val="24"/>
          <w:lang w:val="en-US"/>
        </w:rPr>
        <w:t>3、</w:t>
      </w:r>
      <w:r>
        <w:rPr>
          <w:b w:val="0"/>
          <w:color w:val="auto"/>
          <w:kern w:val="2"/>
          <w:sz w:val="24"/>
          <w:szCs w:val="24"/>
          <w:lang w:val="en-US"/>
        </w:rPr>
        <w:t>付款方式：</w:t>
      </w:r>
      <w:r>
        <w:rPr>
          <w:rFonts w:hint="eastAsia"/>
          <w:b w:val="0"/>
          <w:color w:val="auto"/>
          <w:kern w:val="2"/>
          <w:sz w:val="24"/>
          <w:szCs w:val="24"/>
          <w:lang w:val="en-US"/>
        </w:rPr>
        <w:t>采购人与中标人签订合同后，中标人预先向采购人支付</w:t>
      </w:r>
      <w:r>
        <w:rPr>
          <w:b w:val="0"/>
          <w:color w:val="auto"/>
          <w:kern w:val="2"/>
          <w:sz w:val="24"/>
          <w:szCs w:val="24"/>
          <w:lang w:val="en-US"/>
        </w:rPr>
        <w:t>5%合同款的履约保证金。采购人在收到中标人</w:t>
      </w:r>
      <w:r>
        <w:rPr>
          <w:rFonts w:hint="eastAsia"/>
          <w:b w:val="0"/>
          <w:color w:val="auto"/>
          <w:kern w:val="2"/>
          <w:sz w:val="24"/>
          <w:szCs w:val="24"/>
          <w:lang w:val="en-US"/>
        </w:rPr>
        <w:t>70</w:t>
      </w:r>
      <w:r>
        <w:rPr>
          <w:b w:val="0"/>
          <w:color w:val="auto"/>
          <w:kern w:val="2"/>
          <w:sz w:val="24"/>
          <w:szCs w:val="24"/>
          <w:lang w:val="en-US"/>
        </w:rPr>
        <w:t>%合同金额的发票及履约保证金后的</w:t>
      </w:r>
      <w:r>
        <w:rPr>
          <w:rFonts w:hint="eastAsia"/>
          <w:b w:val="0"/>
          <w:color w:val="auto"/>
          <w:kern w:val="2"/>
          <w:sz w:val="24"/>
          <w:szCs w:val="24"/>
          <w:lang w:val="en-US"/>
        </w:rPr>
        <w:t>20</w:t>
      </w:r>
      <w:r>
        <w:rPr>
          <w:b w:val="0"/>
          <w:color w:val="auto"/>
          <w:kern w:val="2"/>
          <w:sz w:val="24"/>
          <w:szCs w:val="24"/>
          <w:lang w:val="en-US"/>
        </w:rPr>
        <w:t>个工作日内，向中标人支付合同金额的</w:t>
      </w:r>
      <w:r>
        <w:rPr>
          <w:rFonts w:hint="eastAsia"/>
          <w:b w:val="0"/>
          <w:color w:val="auto"/>
          <w:kern w:val="2"/>
          <w:sz w:val="24"/>
          <w:szCs w:val="24"/>
          <w:lang w:val="en-US"/>
        </w:rPr>
        <w:t>70%</w:t>
      </w:r>
      <w:r>
        <w:rPr>
          <w:b w:val="0"/>
          <w:color w:val="auto"/>
          <w:kern w:val="2"/>
          <w:sz w:val="24"/>
          <w:szCs w:val="24"/>
          <w:lang w:val="en-US"/>
        </w:rPr>
        <w:t>。项目验</w:t>
      </w:r>
      <w:r>
        <w:rPr>
          <w:rFonts w:hint="eastAsia"/>
          <w:b w:val="0"/>
          <w:color w:val="auto"/>
          <w:kern w:val="2"/>
          <w:sz w:val="24"/>
          <w:szCs w:val="24"/>
          <w:lang w:val="en-US"/>
        </w:rPr>
        <w:t>收</w:t>
      </w:r>
      <w:r>
        <w:rPr>
          <w:b w:val="0"/>
          <w:color w:val="auto"/>
          <w:kern w:val="2"/>
          <w:sz w:val="24"/>
          <w:szCs w:val="24"/>
          <w:lang w:val="en-US"/>
        </w:rPr>
        <w:t>合格后，采购人在收到中标人</w:t>
      </w:r>
      <w:r>
        <w:rPr>
          <w:rFonts w:hint="eastAsia"/>
          <w:b w:val="0"/>
          <w:color w:val="auto"/>
          <w:kern w:val="2"/>
          <w:sz w:val="24"/>
          <w:szCs w:val="24"/>
          <w:lang w:val="en-US"/>
        </w:rPr>
        <w:t>30%</w:t>
      </w:r>
      <w:r>
        <w:rPr>
          <w:b w:val="0"/>
          <w:color w:val="auto"/>
          <w:kern w:val="2"/>
          <w:sz w:val="24"/>
          <w:szCs w:val="24"/>
          <w:lang w:val="en-US"/>
        </w:rPr>
        <w:t>合同金额发票的15个工作日内，向中标人支付合同金额</w:t>
      </w:r>
      <w:r>
        <w:rPr>
          <w:rFonts w:hint="eastAsia"/>
          <w:b w:val="0"/>
          <w:color w:val="auto"/>
          <w:kern w:val="2"/>
          <w:sz w:val="24"/>
          <w:szCs w:val="24"/>
          <w:lang w:val="en-US"/>
        </w:rPr>
        <w:t>30%（根据考核结果应扣除的除外）</w:t>
      </w:r>
      <w:r>
        <w:rPr>
          <w:b w:val="0"/>
          <w:color w:val="auto"/>
          <w:kern w:val="2"/>
          <w:sz w:val="24"/>
          <w:szCs w:val="24"/>
          <w:lang w:val="en-US"/>
        </w:rPr>
        <w:t>，30个工作日内无未尽事宜，采购人将履约保证金一次性无息退还</w:t>
      </w:r>
      <w:r>
        <w:rPr>
          <w:rFonts w:hint="eastAsia"/>
          <w:b w:val="0"/>
          <w:color w:val="auto"/>
          <w:kern w:val="2"/>
          <w:sz w:val="24"/>
          <w:szCs w:val="24"/>
          <w:lang w:val="en-US"/>
        </w:rPr>
        <w:t>。</w:t>
      </w:r>
    </w:p>
    <w:p>
      <w:pPr>
        <w:pStyle w:val="2"/>
        <w:spacing w:before="109"/>
        <w:ind w:firstLine="480"/>
        <w:rPr>
          <w:color w:val="auto"/>
          <w:lang w:val="en-US"/>
        </w:rPr>
      </w:pPr>
    </w:p>
    <w:p>
      <w:pPr>
        <w:ind w:firstLine="482"/>
        <w:rPr>
          <w:b w:val="0"/>
          <w:color w:val="auto"/>
          <w:sz w:val="24"/>
          <w:szCs w:val="24"/>
        </w:rPr>
      </w:pPr>
      <w:r>
        <w:rPr>
          <w:rFonts w:hint="eastAsia" w:ascii="Calibri" w:hAnsi="Calibri"/>
          <w:bCs/>
          <w:color w:val="auto"/>
          <w:sz w:val="24"/>
          <w:szCs w:val="24"/>
          <w:lang w:val="en-US"/>
        </w:rPr>
        <w:t>本章中上述打★号的为本次招标项目的实质性要求，不允许有负偏离，否则作无效投标处理</w:t>
      </w:r>
      <w:r>
        <w:rPr>
          <w:rFonts w:hint="eastAsia"/>
          <w:b w:val="0"/>
          <w:color w:val="auto"/>
          <w:sz w:val="24"/>
          <w:szCs w:val="24"/>
        </w:rPr>
        <w:t>。</w:t>
      </w: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3"/>
        <w:keepNext w:val="0"/>
        <w:numPr>
          <w:ilvl w:val="0"/>
          <w:numId w:val="16"/>
        </w:numPr>
        <w:spacing w:before="0" w:after="0" w:line="360" w:lineRule="auto"/>
        <w:ind w:left="0" w:firstLine="0"/>
        <w:rPr>
          <w:b/>
          <w:color w:val="auto"/>
        </w:rPr>
      </w:pPr>
      <w:bookmarkStart w:id="552" w:name="_Toc494198619"/>
      <w:r>
        <w:rPr>
          <w:rFonts w:hint="eastAsia"/>
          <w:b/>
          <w:color w:val="auto"/>
        </w:rPr>
        <w:t xml:space="preserve"> </w:t>
      </w:r>
      <w:bookmarkStart w:id="553" w:name="_Toc8005"/>
      <w:r>
        <w:rPr>
          <w:rFonts w:hint="eastAsia"/>
          <w:b/>
          <w:color w:val="auto"/>
        </w:rPr>
        <w:t>评标办法</w:t>
      </w:r>
      <w:bookmarkEnd w:id="552"/>
      <w:bookmarkEnd w:id="553"/>
      <w:bookmarkStart w:id="554" w:name="_Hlt101846155"/>
      <w:bookmarkEnd w:id="554"/>
      <w:bookmarkStart w:id="555" w:name="_Toc217446097"/>
      <w:bookmarkStart w:id="556" w:name="_Toc183582280"/>
      <w:bookmarkStart w:id="557" w:name="_Toc183682415"/>
      <w:bookmarkStart w:id="558" w:name="_Toc208849007"/>
    </w:p>
    <w:bookmarkEnd w:id="555"/>
    <w:bookmarkEnd w:id="556"/>
    <w:bookmarkEnd w:id="557"/>
    <w:bookmarkEnd w:id="558"/>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559" w:name="_Toc5815"/>
      <w:bookmarkStart w:id="560" w:name="_Toc217446099"/>
      <w:r>
        <w:rPr>
          <w:rFonts w:hint="eastAsia"/>
          <w:bCs/>
          <w:color w:val="auto"/>
          <w:kern w:val="2"/>
          <w:sz w:val="24"/>
          <w:szCs w:val="24"/>
          <w:lang w:val="en-US"/>
        </w:rPr>
        <w:t xml:space="preserve"> </w:t>
      </w:r>
      <w:bookmarkStart w:id="561" w:name="_Toc496605653"/>
      <w:bookmarkStart w:id="562" w:name="_Toc494198620"/>
      <w:r>
        <w:rPr>
          <w:rFonts w:hint="eastAsia"/>
          <w:bCs/>
          <w:color w:val="auto"/>
          <w:kern w:val="2"/>
          <w:sz w:val="24"/>
          <w:szCs w:val="24"/>
          <w:lang w:val="en-US"/>
        </w:rPr>
        <w:t>总则</w:t>
      </w:r>
      <w:bookmarkEnd w:id="559"/>
      <w:bookmarkEnd w:id="561"/>
      <w:bookmarkEnd w:id="562"/>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563" w:name="_Toc496605654"/>
      <w:bookmarkStart w:id="564" w:name="_Toc500492749"/>
      <w:bookmarkStart w:id="565" w:name="_Toc494198947"/>
      <w:bookmarkStart w:id="566" w:name="_Toc477425569"/>
      <w:bookmarkStart w:id="567" w:name="_Toc494198621"/>
      <w:bookmarkStart w:id="568" w:name="_Toc466896283"/>
      <w:bookmarkStart w:id="569" w:name="_Toc475005614"/>
      <w:bookmarkStart w:id="570" w:name="_Toc476748789"/>
      <w:bookmarkStart w:id="571" w:name="_Toc466292933"/>
      <w:bookmarkStart w:id="572" w:name="_Toc482094361"/>
      <w:r>
        <w:rPr>
          <w:rFonts w:hint="eastAsia"/>
          <w:b w:val="0"/>
          <w:color w:val="auto"/>
          <w:kern w:val="2"/>
          <w:sz w:val="24"/>
          <w:szCs w:val="24"/>
          <w:lang w:val="en-US"/>
        </w:rPr>
        <w:t>根据《中华人民共和国政府采购法》、《中华人民共和国政府采购法实施条例》、《政府采购货物和服务招标投标管理办法》（财政部令第87号）等法律规章，结合采购项目特点制定本评标办法。</w:t>
      </w:r>
      <w:bookmarkEnd w:id="563"/>
      <w:bookmarkEnd w:id="564"/>
      <w:bookmarkEnd w:id="565"/>
      <w:bookmarkEnd w:id="566"/>
      <w:bookmarkEnd w:id="567"/>
      <w:bookmarkEnd w:id="568"/>
      <w:bookmarkEnd w:id="569"/>
      <w:bookmarkEnd w:id="570"/>
      <w:bookmarkEnd w:id="571"/>
      <w:bookmarkEnd w:id="572"/>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573" w:name="_Toc500492750"/>
      <w:bookmarkStart w:id="574" w:name="_Toc496605655"/>
      <w:bookmarkStart w:id="575" w:name="_Toc494198623"/>
      <w:bookmarkStart w:id="576" w:name="_Toc494198949"/>
      <w:r>
        <w:rPr>
          <w:b w:val="0"/>
          <w:color w:val="auto"/>
          <w:kern w:val="2"/>
          <w:sz w:val="24"/>
          <w:szCs w:val="24"/>
          <w:lang w:val="en-US"/>
        </w:rPr>
        <w:t>采购人或者采购代理机构负责组织评标工作，并履行下列职责：</w:t>
      </w:r>
      <w:bookmarkEnd w:id="573"/>
      <w:bookmarkEnd w:id="574"/>
      <w:bookmarkEnd w:id="575"/>
      <w:bookmarkEnd w:id="576"/>
    </w:p>
    <w:p>
      <w:pPr>
        <w:numPr>
          <w:ilvl w:val="0"/>
          <w:numId w:val="48"/>
        </w:numPr>
        <w:spacing w:line="540" w:lineRule="exact"/>
        <w:ind w:left="0" w:firstLine="480"/>
        <w:rPr>
          <w:b w:val="0"/>
          <w:color w:val="auto"/>
          <w:sz w:val="24"/>
          <w:szCs w:val="24"/>
        </w:rPr>
      </w:pPr>
      <w:r>
        <w:rPr>
          <w:b w:val="0"/>
          <w:color w:val="auto"/>
          <w:sz w:val="24"/>
          <w:szCs w:val="24"/>
        </w:rPr>
        <w:t>核对评审专家身份和采购人代表授权函，对评审专家在政府采购活动中的职责履行情况予以记录，并及时将有关违法违规行为向财政部门报告；</w:t>
      </w:r>
    </w:p>
    <w:p>
      <w:pPr>
        <w:numPr>
          <w:ilvl w:val="0"/>
          <w:numId w:val="48"/>
        </w:numPr>
        <w:spacing w:line="540" w:lineRule="exact"/>
        <w:ind w:left="0" w:firstLine="480"/>
        <w:rPr>
          <w:b w:val="0"/>
          <w:color w:val="auto"/>
          <w:sz w:val="24"/>
          <w:szCs w:val="24"/>
        </w:rPr>
      </w:pPr>
      <w:r>
        <w:rPr>
          <w:b w:val="0"/>
          <w:color w:val="auto"/>
          <w:sz w:val="24"/>
          <w:szCs w:val="24"/>
        </w:rPr>
        <w:t>宣布评标纪律；</w:t>
      </w:r>
    </w:p>
    <w:p>
      <w:pPr>
        <w:numPr>
          <w:ilvl w:val="0"/>
          <w:numId w:val="48"/>
        </w:numPr>
        <w:spacing w:line="540" w:lineRule="exact"/>
        <w:ind w:left="0" w:firstLine="480"/>
        <w:rPr>
          <w:b w:val="0"/>
          <w:color w:val="auto"/>
          <w:sz w:val="24"/>
          <w:szCs w:val="24"/>
        </w:rPr>
      </w:pPr>
      <w:r>
        <w:rPr>
          <w:b w:val="0"/>
          <w:color w:val="auto"/>
          <w:sz w:val="24"/>
          <w:szCs w:val="24"/>
        </w:rPr>
        <w:t>公布投标人名单，告知评审专家应当回避的情形；</w:t>
      </w:r>
    </w:p>
    <w:p>
      <w:pPr>
        <w:numPr>
          <w:ilvl w:val="0"/>
          <w:numId w:val="48"/>
        </w:numPr>
        <w:spacing w:line="540" w:lineRule="exact"/>
        <w:ind w:left="0" w:firstLine="480"/>
        <w:rPr>
          <w:b w:val="0"/>
          <w:color w:val="auto"/>
          <w:sz w:val="24"/>
          <w:szCs w:val="24"/>
        </w:rPr>
      </w:pPr>
      <w:r>
        <w:rPr>
          <w:b w:val="0"/>
          <w:color w:val="auto"/>
          <w:sz w:val="24"/>
          <w:szCs w:val="24"/>
        </w:rPr>
        <w:t>组织评标委员会推选评标组长，采购人代表不得担任组长；</w:t>
      </w:r>
    </w:p>
    <w:p>
      <w:pPr>
        <w:numPr>
          <w:ilvl w:val="0"/>
          <w:numId w:val="48"/>
        </w:numPr>
        <w:spacing w:line="540" w:lineRule="exact"/>
        <w:ind w:left="0" w:firstLine="480"/>
        <w:rPr>
          <w:b w:val="0"/>
          <w:color w:val="auto"/>
          <w:sz w:val="24"/>
          <w:szCs w:val="24"/>
        </w:rPr>
      </w:pPr>
      <w:r>
        <w:rPr>
          <w:b w:val="0"/>
          <w:color w:val="auto"/>
          <w:sz w:val="24"/>
          <w:szCs w:val="24"/>
        </w:rPr>
        <w:t>在评标期间采取必要的通讯管理措施，保证评标活动不受外界干扰；</w:t>
      </w:r>
    </w:p>
    <w:p>
      <w:pPr>
        <w:numPr>
          <w:ilvl w:val="0"/>
          <w:numId w:val="48"/>
        </w:numPr>
        <w:spacing w:line="540" w:lineRule="exact"/>
        <w:ind w:left="0" w:firstLine="480"/>
        <w:rPr>
          <w:b w:val="0"/>
          <w:color w:val="auto"/>
          <w:sz w:val="24"/>
          <w:szCs w:val="24"/>
        </w:rPr>
      </w:pPr>
      <w:r>
        <w:rPr>
          <w:b w:val="0"/>
          <w:color w:val="auto"/>
          <w:sz w:val="24"/>
          <w:szCs w:val="24"/>
        </w:rPr>
        <w:t>根据评标委员会的要求介绍政府采购相关政策法规、招标文件；</w:t>
      </w:r>
    </w:p>
    <w:p>
      <w:pPr>
        <w:numPr>
          <w:ilvl w:val="0"/>
          <w:numId w:val="48"/>
        </w:numPr>
        <w:spacing w:line="540" w:lineRule="exact"/>
        <w:ind w:left="0" w:firstLine="480"/>
        <w:rPr>
          <w:b w:val="0"/>
          <w:color w:val="auto"/>
          <w:sz w:val="24"/>
          <w:szCs w:val="24"/>
        </w:rPr>
      </w:pPr>
      <w:r>
        <w:rPr>
          <w:b w:val="0"/>
          <w:color w:val="auto"/>
          <w:sz w:val="24"/>
          <w:szCs w:val="24"/>
        </w:rPr>
        <w:t>维护评标秩序，监督评标委员会依照招标文件规定的评标程序、方法和标准进行独立评审，及时制止和纠正采购人代表、评审专家的倾向性言论或者违法违规行为；</w:t>
      </w:r>
    </w:p>
    <w:p>
      <w:pPr>
        <w:numPr>
          <w:ilvl w:val="0"/>
          <w:numId w:val="48"/>
        </w:numPr>
        <w:spacing w:line="540" w:lineRule="exact"/>
        <w:ind w:left="0" w:firstLine="480"/>
        <w:rPr>
          <w:b w:val="0"/>
          <w:color w:val="auto"/>
          <w:sz w:val="24"/>
          <w:szCs w:val="24"/>
        </w:rPr>
      </w:pPr>
      <w:r>
        <w:rPr>
          <w:b w:val="0"/>
          <w:color w:val="auto"/>
          <w:sz w:val="24"/>
          <w:szCs w:val="24"/>
        </w:rPr>
        <w:t>核对评标结果，有</w:t>
      </w:r>
      <w:r>
        <w:rPr>
          <w:b w:val="0"/>
          <w:bCs/>
          <w:color w:val="auto"/>
          <w:sz w:val="24"/>
          <w:szCs w:val="24"/>
        </w:rPr>
        <w:t>中华人民共和国财政部令第87号</w:t>
      </w:r>
      <w:r>
        <w:rPr>
          <w:rFonts w:hint="eastAsia"/>
          <w:b w:val="0"/>
          <w:bCs/>
          <w:color w:val="auto"/>
          <w:sz w:val="24"/>
          <w:szCs w:val="24"/>
        </w:rPr>
        <w:t>－－</w:t>
      </w:r>
      <w:r>
        <w:rPr>
          <w:b w:val="0"/>
          <w:bCs/>
          <w:color w:val="auto"/>
          <w:sz w:val="24"/>
          <w:szCs w:val="24"/>
        </w:rPr>
        <w:t>政府采购货物和服务招标投标管理办法</w:t>
      </w:r>
      <w:r>
        <w:rPr>
          <w:b w:val="0"/>
          <w:color w:val="auto"/>
          <w:sz w:val="24"/>
          <w:szCs w:val="24"/>
        </w:rPr>
        <w:t>第六十四条规定情形的，要求评标委员会复核或者书面说明理由，评标委员会拒绝的，应予记录并向本级财政部门报告；</w:t>
      </w:r>
    </w:p>
    <w:p>
      <w:pPr>
        <w:numPr>
          <w:ilvl w:val="0"/>
          <w:numId w:val="48"/>
        </w:numPr>
        <w:spacing w:line="540" w:lineRule="exact"/>
        <w:ind w:left="0" w:firstLine="480"/>
        <w:rPr>
          <w:b w:val="0"/>
          <w:color w:val="auto"/>
          <w:sz w:val="24"/>
          <w:szCs w:val="24"/>
        </w:rPr>
      </w:pPr>
      <w:r>
        <w:rPr>
          <w:b w:val="0"/>
          <w:color w:val="auto"/>
          <w:sz w:val="24"/>
          <w:szCs w:val="24"/>
        </w:rPr>
        <w:t>评审工作完成后，按照规定向评审专家支付劳务报酬和异地评审差旅费，不得向评审专家以外的其他人员支付评审劳务报酬；</w:t>
      </w:r>
    </w:p>
    <w:p>
      <w:pPr>
        <w:numPr>
          <w:ilvl w:val="0"/>
          <w:numId w:val="48"/>
        </w:numPr>
        <w:spacing w:line="540" w:lineRule="exact"/>
        <w:ind w:left="0" w:firstLine="480"/>
        <w:rPr>
          <w:b w:val="0"/>
          <w:color w:val="auto"/>
          <w:sz w:val="24"/>
          <w:szCs w:val="24"/>
        </w:rPr>
      </w:pPr>
      <w:r>
        <w:rPr>
          <w:b w:val="0"/>
          <w:color w:val="auto"/>
          <w:sz w:val="24"/>
          <w:szCs w:val="24"/>
        </w:rPr>
        <w:t>处理与评标有关的其他事项。</w:t>
      </w:r>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577" w:name="_Toc500492751"/>
      <w:bookmarkStart w:id="578" w:name="_Toc494198624"/>
      <w:bookmarkStart w:id="579" w:name="_Toc494198950"/>
      <w:bookmarkStart w:id="580" w:name="_Toc496605656"/>
      <w:r>
        <w:rPr>
          <w:b w:val="0"/>
          <w:color w:val="auto"/>
          <w:kern w:val="2"/>
          <w:sz w:val="24"/>
          <w:szCs w:val="24"/>
          <w:lang w:val="en-US"/>
        </w:rPr>
        <w:t>采购人可以在评标前说明项目背景和采购需求，说明内容不得含有歧视性、倾向性意见，不得超出招标文件所述范围。说明应当提交书面材料，并随招标文件一并存档。</w:t>
      </w:r>
      <w:bookmarkEnd w:id="577"/>
      <w:bookmarkEnd w:id="578"/>
      <w:bookmarkEnd w:id="579"/>
      <w:bookmarkEnd w:id="580"/>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581" w:name="_Toc466896284"/>
      <w:bookmarkStart w:id="582" w:name="_Toc475005615"/>
      <w:bookmarkStart w:id="583" w:name="_Toc477425570"/>
      <w:bookmarkStart w:id="584" w:name="_Toc496605657"/>
      <w:bookmarkStart w:id="585" w:name="_Toc466292934"/>
      <w:bookmarkStart w:id="586" w:name="_Toc476748790"/>
      <w:bookmarkStart w:id="587" w:name="_Toc494198625"/>
      <w:bookmarkStart w:id="588" w:name="_Toc500492752"/>
      <w:bookmarkStart w:id="589" w:name="_Toc482094362"/>
      <w:bookmarkStart w:id="590" w:name="_Toc494198951"/>
      <w:r>
        <w:rPr>
          <w:rFonts w:hint="eastAsia"/>
          <w:b w:val="0"/>
          <w:color w:val="auto"/>
          <w:kern w:val="2"/>
          <w:sz w:val="24"/>
          <w:szCs w:val="24"/>
          <w:lang w:val="en-US"/>
        </w:rPr>
        <w:t>评标工作由采购代理机构负责组织，具体评标事务由依法组建的评标委员会负责。评标委员会由采购人代表和有关技术、经济等方面的专家组成。</w:t>
      </w:r>
      <w:bookmarkEnd w:id="581"/>
      <w:bookmarkEnd w:id="582"/>
      <w:bookmarkEnd w:id="583"/>
      <w:bookmarkEnd w:id="584"/>
      <w:bookmarkEnd w:id="585"/>
      <w:bookmarkEnd w:id="586"/>
      <w:bookmarkEnd w:id="587"/>
      <w:bookmarkEnd w:id="588"/>
      <w:bookmarkEnd w:id="589"/>
      <w:bookmarkEnd w:id="590"/>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591" w:name="_Toc475005616"/>
      <w:bookmarkStart w:id="592" w:name="_Toc500492753"/>
      <w:bookmarkStart w:id="593" w:name="_Toc494198952"/>
      <w:bookmarkStart w:id="594" w:name="_Toc466292935"/>
      <w:bookmarkStart w:id="595" w:name="_Toc494198626"/>
      <w:bookmarkStart w:id="596" w:name="_Toc476748791"/>
      <w:bookmarkStart w:id="597" w:name="_Toc466896285"/>
      <w:bookmarkStart w:id="598" w:name="_Toc496605658"/>
      <w:bookmarkStart w:id="599" w:name="_Toc482094363"/>
      <w:bookmarkStart w:id="600" w:name="_Toc477425571"/>
      <w:r>
        <w:rPr>
          <w:rFonts w:hint="eastAsia"/>
          <w:b w:val="0"/>
          <w:color w:val="auto"/>
          <w:kern w:val="2"/>
          <w:sz w:val="24"/>
          <w:szCs w:val="24"/>
          <w:lang w:val="en-US"/>
        </w:rPr>
        <w:t>评标工作应遵循公平、公正、科学及择优的原则，并以相同的评标程序和标准对待所有的投标人。</w:t>
      </w:r>
      <w:bookmarkEnd w:id="591"/>
      <w:bookmarkEnd w:id="592"/>
      <w:bookmarkEnd w:id="593"/>
      <w:bookmarkEnd w:id="594"/>
      <w:bookmarkEnd w:id="595"/>
      <w:bookmarkEnd w:id="596"/>
      <w:bookmarkEnd w:id="597"/>
      <w:bookmarkEnd w:id="598"/>
      <w:bookmarkEnd w:id="599"/>
      <w:bookmarkEnd w:id="600"/>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601" w:name="_Toc496605659"/>
      <w:bookmarkStart w:id="602" w:name="_Toc494198953"/>
      <w:bookmarkStart w:id="603" w:name="_Toc500492754"/>
      <w:bookmarkStart w:id="604" w:name="_Toc494198627"/>
      <w:r>
        <w:rPr>
          <w:b w:val="0"/>
          <w:color w:val="auto"/>
          <w:kern w:val="2"/>
          <w:sz w:val="24"/>
          <w:szCs w:val="24"/>
          <w:lang w:val="en-US"/>
        </w:rPr>
        <w:t>评标委员会负责具体评标事务，并独立履行下列职责：</w:t>
      </w:r>
      <w:bookmarkEnd w:id="601"/>
      <w:bookmarkEnd w:id="602"/>
      <w:bookmarkEnd w:id="603"/>
      <w:bookmarkEnd w:id="604"/>
    </w:p>
    <w:p>
      <w:pPr>
        <w:numPr>
          <w:ilvl w:val="0"/>
          <w:numId w:val="49"/>
        </w:numPr>
        <w:spacing w:line="540" w:lineRule="exact"/>
        <w:ind w:left="0" w:firstLine="480"/>
        <w:rPr>
          <w:b w:val="0"/>
          <w:color w:val="auto"/>
          <w:sz w:val="24"/>
          <w:szCs w:val="24"/>
        </w:rPr>
      </w:pPr>
      <w:r>
        <w:rPr>
          <w:b w:val="0"/>
          <w:color w:val="auto"/>
          <w:sz w:val="24"/>
          <w:szCs w:val="24"/>
        </w:rPr>
        <w:t>审查、评价投标文件是否符合招标文件的商务、技术等实质性要求；</w:t>
      </w:r>
    </w:p>
    <w:p>
      <w:pPr>
        <w:numPr>
          <w:ilvl w:val="0"/>
          <w:numId w:val="49"/>
        </w:numPr>
        <w:spacing w:line="540" w:lineRule="exact"/>
        <w:ind w:left="0" w:firstLine="480"/>
        <w:rPr>
          <w:b w:val="0"/>
          <w:color w:val="auto"/>
          <w:sz w:val="24"/>
          <w:szCs w:val="24"/>
        </w:rPr>
      </w:pPr>
      <w:r>
        <w:rPr>
          <w:b w:val="0"/>
          <w:color w:val="auto"/>
          <w:sz w:val="24"/>
          <w:szCs w:val="24"/>
        </w:rPr>
        <w:t>要求投标人对投标文件有关事项作出澄清或者说明；</w:t>
      </w:r>
    </w:p>
    <w:p>
      <w:pPr>
        <w:numPr>
          <w:ilvl w:val="0"/>
          <w:numId w:val="49"/>
        </w:numPr>
        <w:spacing w:line="540" w:lineRule="exact"/>
        <w:ind w:left="0" w:firstLine="480"/>
        <w:rPr>
          <w:b w:val="0"/>
          <w:color w:val="auto"/>
          <w:sz w:val="24"/>
          <w:szCs w:val="24"/>
        </w:rPr>
      </w:pPr>
      <w:r>
        <w:rPr>
          <w:b w:val="0"/>
          <w:color w:val="auto"/>
          <w:sz w:val="24"/>
          <w:szCs w:val="24"/>
        </w:rPr>
        <w:t>对投标文件进行比较和评价；</w:t>
      </w:r>
    </w:p>
    <w:p>
      <w:pPr>
        <w:numPr>
          <w:ilvl w:val="0"/>
          <w:numId w:val="49"/>
        </w:numPr>
        <w:spacing w:line="540" w:lineRule="exact"/>
        <w:ind w:left="0" w:firstLine="480"/>
        <w:rPr>
          <w:b w:val="0"/>
          <w:color w:val="auto"/>
          <w:sz w:val="24"/>
          <w:szCs w:val="24"/>
        </w:rPr>
      </w:pPr>
      <w:r>
        <w:rPr>
          <w:b w:val="0"/>
          <w:color w:val="auto"/>
          <w:sz w:val="24"/>
          <w:szCs w:val="24"/>
        </w:rPr>
        <w:t>确定中标候选人名单，以及根据采购人委托</w:t>
      </w:r>
      <w:r>
        <w:rPr>
          <w:rFonts w:hint="eastAsia"/>
          <w:b w:val="0"/>
          <w:color w:val="auto"/>
          <w:sz w:val="24"/>
          <w:szCs w:val="24"/>
        </w:rPr>
        <w:t>（若有）</w:t>
      </w:r>
      <w:r>
        <w:rPr>
          <w:b w:val="0"/>
          <w:color w:val="auto"/>
          <w:sz w:val="24"/>
          <w:szCs w:val="24"/>
        </w:rPr>
        <w:t>直接确定中标人；</w:t>
      </w:r>
    </w:p>
    <w:p>
      <w:pPr>
        <w:numPr>
          <w:ilvl w:val="0"/>
          <w:numId w:val="49"/>
        </w:numPr>
        <w:spacing w:line="540" w:lineRule="exact"/>
        <w:ind w:left="0" w:firstLine="480"/>
        <w:rPr>
          <w:b w:val="0"/>
          <w:color w:val="auto"/>
          <w:sz w:val="24"/>
          <w:szCs w:val="24"/>
        </w:rPr>
      </w:pPr>
      <w:r>
        <w:rPr>
          <w:b w:val="0"/>
          <w:color w:val="auto"/>
          <w:sz w:val="24"/>
          <w:szCs w:val="24"/>
        </w:rPr>
        <w:t>向采购人、采购代理机构或者有关部门报告评标中发现的违法行为。</w:t>
      </w:r>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605" w:name="_Toc466292937"/>
      <w:bookmarkStart w:id="606" w:name="_Toc482094365"/>
      <w:bookmarkStart w:id="607" w:name="_Toc476748793"/>
      <w:bookmarkStart w:id="608" w:name="_Toc494198628"/>
      <w:bookmarkStart w:id="609" w:name="_Toc494198954"/>
      <w:bookmarkStart w:id="610" w:name="_Toc475005618"/>
      <w:bookmarkStart w:id="611" w:name="_Toc477425573"/>
      <w:bookmarkStart w:id="612" w:name="_Toc466896287"/>
      <w:bookmarkStart w:id="613" w:name="_Toc500492755"/>
      <w:bookmarkStart w:id="614" w:name="_Toc496605660"/>
      <w:r>
        <w:rPr>
          <w:rFonts w:hint="eastAsia"/>
          <w:b w:val="0"/>
          <w:color w:val="auto"/>
          <w:kern w:val="2"/>
          <w:sz w:val="24"/>
          <w:szCs w:val="24"/>
          <w:lang w:val="en-US"/>
        </w:rPr>
        <w:t>评标过程独立、保密。投标人非法干预评标过程的行为将导致其投标文件作为无效处理。</w:t>
      </w:r>
      <w:bookmarkEnd w:id="605"/>
      <w:bookmarkEnd w:id="606"/>
      <w:bookmarkEnd w:id="607"/>
      <w:bookmarkEnd w:id="608"/>
      <w:bookmarkEnd w:id="609"/>
      <w:bookmarkEnd w:id="610"/>
      <w:bookmarkEnd w:id="611"/>
      <w:bookmarkEnd w:id="612"/>
      <w:bookmarkEnd w:id="613"/>
      <w:bookmarkEnd w:id="614"/>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615" w:name="_Toc500492756"/>
      <w:bookmarkStart w:id="616" w:name="_Toc466896288"/>
      <w:bookmarkStart w:id="617" w:name="_Toc477425574"/>
      <w:bookmarkStart w:id="618" w:name="_Toc496605661"/>
      <w:bookmarkStart w:id="619" w:name="_Toc494198955"/>
      <w:bookmarkStart w:id="620" w:name="_Toc482094366"/>
      <w:bookmarkStart w:id="621" w:name="_Toc494198629"/>
      <w:bookmarkStart w:id="622" w:name="_Toc475005619"/>
      <w:bookmarkStart w:id="623" w:name="_Toc466292938"/>
      <w:bookmarkStart w:id="624" w:name="_Toc476748794"/>
      <w:r>
        <w:rPr>
          <w:rFonts w:hint="eastAsia"/>
          <w:b w:val="0"/>
          <w:color w:val="auto"/>
          <w:kern w:val="2"/>
          <w:sz w:val="24"/>
          <w:szCs w:val="24"/>
          <w:lang w:val="en-US"/>
        </w:rPr>
        <w:t>评标委员会评价投标文件的响应性，对于投标人而言，除评标委员会要求其澄清、说明或者更正而提供的资料外，仅依据投标文件本身的内容，而不寻求外部的证据。</w:t>
      </w:r>
      <w:bookmarkEnd w:id="615"/>
      <w:bookmarkEnd w:id="616"/>
      <w:bookmarkEnd w:id="617"/>
      <w:bookmarkEnd w:id="618"/>
      <w:bookmarkEnd w:id="619"/>
      <w:bookmarkEnd w:id="620"/>
      <w:bookmarkEnd w:id="621"/>
      <w:bookmarkEnd w:id="622"/>
      <w:bookmarkEnd w:id="623"/>
      <w:bookmarkEnd w:id="624"/>
    </w:p>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625" w:name="_Toc323824972"/>
      <w:bookmarkStart w:id="626" w:name="_Toc11599"/>
      <w:r>
        <w:rPr>
          <w:rFonts w:hint="eastAsia"/>
          <w:bCs/>
          <w:color w:val="auto"/>
          <w:kern w:val="2"/>
          <w:sz w:val="24"/>
          <w:szCs w:val="24"/>
          <w:lang w:val="en-US"/>
        </w:rPr>
        <w:t xml:space="preserve"> </w:t>
      </w:r>
      <w:bookmarkStart w:id="627" w:name="_Toc496605662"/>
      <w:bookmarkStart w:id="628" w:name="_Toc494198630"/>
      <w:r>
        <w:rPr>
          <w:rFonts w:hint="eastAsia"/>
          <w:bCs/>
          <w:color w:val="auto"/>
          <w:kern w:val="2"/>
          <w:sz w:val="24"/>
          <w:szCs w:val="24"/>
          <w:lang w:val="en-US"/>
        </w:rPr>
        <w:t>评标方法</w:t>
      </w:r>
      <w:bookmarkEnd w:id="625"/>
      <w:bookmarkEnd w:id="626"/>
      <w:bookmarkEnd w:id="627"/>
      <w:bookmarkEnd w:id="628"/>
    </w:p>
    <w:p>
      <w:pPr>
        <w:spacing w:line="540" w:lineRule="exact"/>
        <w:ind w:firstLine="480"/>
        <w:rPr>
          <w:b w:val="0"/>
          <w:color w:val="auto"/>
          <w:sz w:val="24"/>
          <w:szCs w:val="24"/>
        </w:rPr>
      </w:pPr>
      <w:r>
        <w:rPr>
          <w:rFonts w:hint="eastAsia"/>
          <w:b w:val="0"/>
          <w:color w:val="auto"/>
          <w:sz w:val="24"/>
          <w:szCs w:val="24"/>
        </w:rPr>
        <w:t>本项目评标方法为：综合评分法。</w:t>
      </w:r>
    </w:p>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629" w:name="_Toc323824973"/>
      <w:r>
        <w:rPr>
          <w:rFonts w:hint="eastAsia"/>
          <w:bCs/>
          <w:color w:val="auto"/>
          <w:kern w:val="2"/>
          <w:sz w:val="24"/>
          <w:szCs w:val="24"/>
          <w:lang w:val="en-US"/>
        </w:rPr>
        <w:t xml:space="preserve"> </w:t>
      </w:r>
      <w:bookmarkStart w:id="630" w:name="_Toc494198631"/>
      <w:bookmarkStart w:id="631" w:name="_Toc496605663"/>
      <w:bookmarkStart w:id="632" w:name="_Toc29439"/>
      <w:r>
        <w:rPr>
          <w:rFonts w:hint="eastAsia"/>
          <w:bCs/>
          <w:color w:val="auto"/>
          <w:kern w:val="2"/>
          <w:sz w:val="24"/>
          <w:szCs w:val="24"/>
          <w:lang w:val="en-US"/>
        </w:rPr>
        <w:t>评标程序</w:t>
      </w:r>
      <w:bookmarkEnd w:id="629"/>
      <w:bookmarkEnd w:id="630"/>
      <w:bookmarkEnd w:id="631"/>
      <w:bookmarkEnd w:id="632"/>
    </w:p>
    <w:p>
      <w:pPr>
        <w:numPr>
          <w:ilvl w:val="2"/>
          <w:numId w:val="16"/>
        </w:numPr>
        <w:tabs>
          <w:tab w:val="left" w:pos="360"/>
        </w:tabs>
        <w:spacing w:line="540" w:lineRule="exact"/>
        <w:ind w:left="0" w:firstLine="482"/>
        <w:jc w:val="left"/>
        <w:outlineLvl w:val="1"/>
        <w:rPr>
          <w:color w:val="auto"/>
          <w:kern w:val="2"/>
          <w:sz w:val="24"/>
          <w:szCs w:val="24"/>
          <w:lang w:val="en-US"/>
        </w:rPr>
      </w:pPr>
      <w:bookmarkStart w:id="633" w:name="_Toc494198958"/>
      <w:bookmarkStart w:id="634" w:name="_Toc494198632"/>
      <w:bookmarkStart w:id="635" w:name="_Toc496605664"/>
      <w:bookmarkStart w:id="636" w:name="_Toc500492759"/>
      <w:bookmarkStart w:id="637" w:name="_Toc482094369"/>
      <w:bookmarkStart w:id="638" w:name="_Toc477425577"/>
      <w:bookmarkStart w:id="639" w:name="_Toc476748797"/>
      <w:bookmarkStart w:id="640" w:name="_Toc475005622"/>
      <w:r>
        <w:rPr>
          <w:color w:val="auto"/>
          <w:kern w:val="2"/>
          <w:sz w:val="24"/>
          <w:szCs w:val="24"/>
          <w:lang w:val="en-US"/>
        </w:rPr>
        <w:t>采购人或者采购代理机构依法对投标人</w:t>
      </w:r>
      <w:r>
        <w:rPr>
          <w:rFonts w:hint="eastAsia"/>
          <w:color w:val="auto"/>
          <w:kern w:val="2"/>
          <w:sz w:val="24"/>
          <w:szCs w:val="24"/>
          <w:lang w:val="en-US"/>
        </w:rPr>
        <w:t>递交</w:t>
      </w:r>
      <w:r>
        <w:rPr>
          <w:color w:val="auto"/>
          <w:kern w:val="2"/>
          <w:sz w:val="24"/>
          <w:szCs w:val="24"/>
          <w:lang w:val="en-US"/>
        </w:rPr>
        <w:t>的资格</w:t>
      </w:r>
      <w:r>
        <w:rPr>
          <w:rFonts w:hint="eastAsia"/>
          <w:color w:val="auto"/>
          <w:kern w:val="2"/>
          <w:sz w:val="24"/>
          <w:szCs w:val="24"/>
          <w:lang w:val="en-US"/>
        </w:rPr>
        <w:t>性投标文件按第5章要求</w:t>
      </w:r>
      <w:r>
        <w:rPr>
          <w:color w:val="auto"/>
          <w:kern w:val="2"/>
          <w:sz w:val="24"/>
          <w:szCs w:val="24"/>
          <w:lang w:val="en-US"/>
        </w:rPr>
        <w:t>进行</w:t>
      </w:r>
      <w:r>
        <w:rPr>
          <w:rFonts w:hint="eastAsia"/>
          <w:color w:val="auto"/>
          <w:kern w:val="2"/>
          <w:sz w:val="24"/>
          <w:szCs w:val="24"/>
          <w:lang w:val="en-US"/>
        </w:rPr>
        <w:t>资格</w:t>
      </w:r>
      <w:r>
        <w:rPr>
          <w:color w:val="auto"/>
          <w:kern w:val="2"/>
          <w:sz w:val="24"/>
          <w:szCs w:val="24"/>
          <w:lang w:val="en-US"/>
        </w:rPr>
        <w:t>审查</w:t>
      </w:r>
      <w:bookmarkEnd w:id="633"/>
      <w:bookmarkEnd w:id="634"/>
      <w:bookmarkEnd w:id="635"/>
      <w:bookmarkEnd w:id="636"/>
    </w:p>
    <w:p>
      <w:pPr>
        <w:numPr>
          <w:ilvl w:val="3"/>
          <w:numId w:val="16"/>
        </w:numPr>
        <w:tabs>
          <w:tab w:val="left" w:pos="360"/>
        </w:tabs>
        <w:spacing w:line="540" w:lineRule="exact"/>
        <w:ind w:left="0" w:firstLine="426" w:firstLineChars="0"/>
        <w:jc w:val="left"/>
        <w:outlineLvl w:val="1"/>
        <w:rPr>
          <w:color w:val="auto"/>
          <w:kern w:val="2"/>
          <w:sz w:val="24"/>
          <w:szCs w:val="24"/>
          <w:lang w:val="en-US"/>
        </w:rPr>
      </w:pPr>
      <w:bookmarkStart w:id="641" w:name="_Toc500492760"/>
      <w:r>
        <w:rPr>
          <w:rFonts w:hint="eastAsia"/>
          <w:color w:val="auto"/>
          <w:kern w:val="2"/>
          <w:sz w:val="24"/>
          <w:szCs w:val="24"/>
          <w:lang w:val="en-US"/>
        </w:rPr>
        <w:t>资格审查表</w:t>
      </w:r>
      <w:bookmarkEnd w:id="641"/>
      <w:r>
        <w:rPr>
          <w:rFonts w:hint="eastAsia"/>
          <w:color w:val="auto"/>
          <w:kern w:val="2"/>
          <w:sz w:val="24"/>
          <w:szCs w:val="24"/>
          <w:lang w:val="en-US"/>
        </w:rPr>
        <w:t>（仅限资格性投标文件）</w:t>
      </w:r>
    </w:p>
    <w:tbl>
      <w:tblPr>
        <w:tblStyle w:val="7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54"/>
        <w:gridCol w:w="3694"/>
        <w:gridCol w:w="2826"/>
        <w:gridCol w:w="9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snapToGrid/>
              <w:ind w:firstLine="0" w:firstLineChars="0"/>
              <w:jc w:val="center"/>
              <w:rPr>
                <w:color w:val="auto"/>
                <w:sz w:val="24"/>
                <w:szCs w:val="24"/>
              </w:rPr>
            </w:pPr>
            <w:r>
              <w:rPr>
                <w:rFonts w:hint="eastAsia"/>
                <w:color w:val="auto"/>
                <w:sz w:val="24"/>
                <w:szCs w:val="24"/>
              </w:rPr>
              <w:t>评审因素</w:t>
            </w:r>
          </w:p>
        </w:tc>
        <w:tc>
          <w:tcPr>
            <w:tcW w:w="2826" w:type="dxa"/>
            <w:vAlign w:val="center"/>
          </w:tcPr>
          <w:p>
            <w:pPr>
              <w:snapToGrid/>
              <w:ind w:firstLine="0" w:firstLineChars="0"/>
              <w:jc w:val="center"/>
              <w:rPr>
                <w:color w:val="auto"/>
                <w:sz w:val="24"/>
                <w:szCs w:val="24"/>
              </w:rPr>
            </w:pPr>
            <w:r>
              <w:rPr>
                <w:rFonts w:hint="eastAsia"/>
                <w:color w:val="auto"/>
                <w:sz w:val="24"/>
                <w:szCs w:val="24"/>
              </w:rPr>
              <w:t>合格条件</w:t>
            </w:r>
          </w:p>
        </w:tc>
        <w:tc>
          <w:tcPr>
            <w:tcW w:w="911" w:type="dxa"/>
            <w:vAlign w:val="center"/>
          </w:tcPr>
          <w:p>
            <w:pPr>
              <w:snapToGrid/>
              <w:ind w:firstLine="0" w:firstLineChars="0"/>
              <w:jc w:val="center"/>
              <w:rPr>
                <w:color w:val="auto"/>
                <w:sz w:val="24"/>
                <w:szCs w:val="24"/>
              </w:rPr>
            </w:pPr>
            <w:r>
              <w:rPr>
                <w:rFonts w:hint="eastAsia"/>
                <w:color w:val="auto"/>
                <w:sz w:val="24"/>
                <w:szCs w:val="24"/>
              </w:rPr>
              <w:t>结论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rFonts w:hint="eastAsia"/>
                <w:b w:val="0"/>
                <w:color w:val="auto"/>
                <w:sz w:val="24"/>
                <w:szCs w:val="24"/>
                <w:lang w:val="en-US"/>
              </w:rPr>
              <w:t>具有独立承担民事责任能力的证明材料</w:t>
            </w:r>
          </w:p>
        </w:tc>
        <w:tc>
          <w:tcPr>
            <w:tcW w:w="2826" w:type="dxa"/>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rFonts w:hint="eastAsia"/>
                <w:b w:val="0"/>
                <w:bCs/>
                <w:color w:val="auto"/>
                <w:sz w:val="24"/>
                <w:szCs w:val="24"/>
                <w:lang w:val="en-US"/>
              </w:rPr>
              <w:t>具有良</w:t>
            </w:r>
            <w:r>
              <w:rPr>
                <w:rFonts w:hint="eastAsia"/>
                <w:b w:val="0"/>
                <w:color w:val="auto"/>
                <w:sz w:val="24"/>
                <w:szCs w:val="24"/>
                <w:lang w:val="en-US"/>
              </w:rPr>
              <w:t>好的商业信誉和</w:t>
            </w:r>
            <w:r>
              <w:rPr>
                <w:rFonts w:hint="eastAsia"/>
                <w:b w:val="0"/>
                <w:bCs/>
                <w:color w:val="auto"/>
                <w:sz w:val="24"/>
                <w:szCs w:val="24"/>
                <w:lang w:val="en-US"/>
              </w:rPr>
              <w:t>健全的财务会计制度的证明材料</w:t>
            </w:r>
          </w:p>
        </w:tc>
        <w:tc>
          <w:tcPr>
            <w:tcW w:w="2826" w:type="dxa"/>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b w:val="0"/>
                <w:color w:val="auto"/>
                <w:sz w:val="24"/>
                <w:szCs w:val="24"/>
                <w:lang w:val="en-US"/>
              </w:rPr>
              <w:t>具备履行合同所必需的设备和专业技术能力的证明材料</w:t>
            </w:r>
          </w:p>
        </w:tc>
        <w:tc>
          <w:tcPr>
            <w:tcW w:w="2826" w:type="dxa"/>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b w:val="0"/>
                <w:color w:val="auto"/>
                <w:sz w:val="24"/>
                <w:szCs w:val="24"/>
                <w:lang w:val="en-US"/>
              </w:rPr>
              <w:t>依法缴纳税收和社会保障资金的相关材料</w:t>
            </w:r>
          </w:p>
        </w:tc>
        <w:tc>
          <w:tcPr>
            <w:tcW w:w="2826" w:type="dxa"/>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rFonts w:hint="eastAsia"/>
                <w:b w:val="0"/>
                <w:color w:val="auto"/>
                <w:sz w:val="24"/>
                <w:szCs w:val="24"/>
                <w:lang w:val="en-US"/>
              </w:rPr>
              <w:t>参加本次政府采购活动前三年内，在经营活动中没有重大违法记录的证明材料</w:t>
            </w:r>
          </w:p>
        </w:tc>
        <w:tc>
          <w:tcPr>
            <w:tcW w:w="2826" w:type="dxa"/>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rFonts w:hint="eastAsia"/>
                <w:b w:val="0"/>
                <w:color w:val="auto"/>
                <w:sz w:val="24"/>
                <w:szCs w:val="24"/>
                <w:lang w:val="en-US"/>
              </w:rPr>
              <w:t>具备法律、行政法规规定的其他条件的证明材料复印件或承诺函原件</w:t>
            </w:r>
          </w:p>
        </w:tc>
        <w:tc>
          <w:tcPr>
            <w:tcW w:w="2826" w:type="dxa"/>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rFonts w:hint="eastAsia"/>
                <w:b w:val="0"/>
                <w:color w:val="auto"/>
                <w:sz w:val="24"/>
                <w:szCs w:val="24"/>
                <w:lang w:val="en-US"/>
              </w:rPr>
              <w:t>采购人根据采购项目提出的特殊条件</w:t>
            </w:r>
          </w:p>
        </w:tc>
        <w:tc>
          <w:tcPr>
            <w:tcW w:w="2826" w:type="dxa"/>
            <w:tcBorders>
              <w:top w:val="single" w:color="auto" w:sz="4" w:space="0"/>
              <w:bottom w:val="single" w:color="auto" w:sz="4" w:space="0"/>
            </w:tcBorders>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Borders>
              <w:top w:val="single" w:color="auto" w:sz="4" w:space="0"/>
              <w:bottom w:val="single" w:color="auto" w:sz="4" w:space="0"/>
            </w:tcBorders>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748" w:type="dxa"/>
            <w:gridSpan w:val="2"/>
            <w:vAlign w:val="center"/>
          </w:tcPr>
          <w:p>
            <w:pPr>
              <w:widowControl/>
              <w:spacing w:line="240" w:lineRule="auto"/>
              <w:ind w:firstLine="0" w:firstLineChars="0"/>
              <w:jc w:val="left"/>
              <w:rPr>
                <w:b w:val="0"/>
                <w:color w:val="auto"/>
                <w:sz w:val="24"/>
                <w:szCs w:val="24"/>
                <w:lang w:val="en-US"/>
              </w:rPr>
            </w:pPr>
            <w:r>
              <w:rPr>
                <w:rFonts w:hint="eastAsia"/>
                <w:b w:val="0"/>
                <w:color w:val="auto"/>
                <w:sz w:val="24"/>
                <w:szCs w:val="24"/>
                <w:lang w:val="en-US"/>
              </w:rPr>
              <w:t>法定代表人授权委托书原件及法定代表人身份证、代理人身份证复印件</w:t>
            </w:r>
          </w:p>
        </w:tc>
        <w:tc>
          <w:tcPr>
            <w:tcW w:w="2826" w:type="dxa"/>
            <w:tcBorders>
              <w:top w:val="single" w:color="auto" w:sz="4" w:space="0"/>
              <w:bottom w:val="single" w:color="auto" w:sz="4" w:space="0"/>
            </w:tcBorders>
            <w:vAlign w:val="center"/>
          </w:tcPr>
          <w:p>
            <w:pPr>
              <w:widowControl/>
              <w:spacing w:line="240" w:lineRule="auto"/>
              <w:ind w:firstLine="0" w:firstLineChars="0"/>
              <w:rPr>
                <w:b w:val="0"/>
                <w:color w:val="auto"/>
                <w:sz w:val="24"/>
                <w:szCs w:val="24"/>
                <w:lang w:val="en-US"/>
              </w:rPr>
            </w:pPr>
            <w:r>
              <w:rPr>
                <w:rFonts w:hint="eastAsia"/>
                <w:b w:val="0"/>
                <w:color w:val="auto"/>
                <w:sz w:val="24"/>
                <w:szCs w:val="24"/>
                <w:lang w:val="en-US"/>
              </w:rPr>
              <w:t>符合招标文件要求</w:t>
            </w:r>
          </w:p>
        </w:tc>
        <w:tc>
          <w:tcPr>
            <w:tcW w:w="911" w:type="dxa"/>
            <w:tcBorders>
              <w:top w:val="single" w:color="auto" w:sz="4" w:space="0"/>
              <w:bottom w:val="single" w:color="auto" w:sz="4" w:space="0"/>
            </w:tcBorders>
          </w:tcPr>
          <w:p>
            <w:pPr>
              <w:ind w:firstLine="482"/>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5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联合体</w:t>
            </w:r>
          </w:p>
        </w:tc>
        <w:tc>
          <w:tcPr>
            <w:tcW w:w="369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非联合体形式投标</w:t>
            </w:r>
          </w:p>
        </w:tc>
        <w:tc>
          <w:tcPr>
            <w:tcW w:w="2826" w:type="dxa"/>
            <w:tcBorders>
              <w:top w:val="single" w:color="auto" w:sz="4" w:space="0"/>
              <w:bottom w:val="single" w:color="auto" w:sz="4" w:space="0"/>
            </w:tcBorders>
            <w:vAlign w:val="center"/>
          </w:tcPr>
          <w:p>
            <w:pPr>
              <w:ind w:firstLine="0" w:firstLineChars="0"/>
              <w:rPr>
                <w:color w:val="auto"/>
                <w:sz w:val="24"/>
                <w:szCs w:val="24"/>
              </w:rPr>
            </w:pPr>
            <w:r>
              <w:rPr>
                <w:rFonts w:hint="eastAsia"/>
                <w:b w:val="0"/>
                <w:color w:val="auto"/>
                <w:sz w:val="24"/>
                <w:szCs w:val="24"/>
                <w:lang w:val="en-US"/>
              </w:rPr>
              <w:t>符合招标文件要求</w:t>
            </w:r>
          </w:p>
        </w:tc>
        <w:tc>
          <w:tcPr>
            <w:tcW w:w="911" w:type="dxa"/>
            <w:tcBorders>
              <w:top w:val="single" w:color="auto" w:sz="4" w:space="0"/>
              <w:bottom w:val="single" w:color="auto" w:sz="4" w:space="0"/>
            </w:tcBorders>
          </w:tcPr>
          <w:p>
            <w:pPr>
              <w:ind w:firstLine="482"/>
              <w:rPr>
                <w:color w:val="auto"/>
                <w:sz w:val="24"/>
                <w:szCs w:val="24"/>
              </w:rPr>
            </w:pPr>
          </w:p>
        </w:tc>
      </w:tr>
    </w:tbl>
    <w:p>
      <w:pPr>
        <w:snapToGrid/>
        <w:spacing w:line="400" w:lineRule="exact"/>
        <w:ind w:firstLine="470" w:firstLineChars="196"/>
        <w:outlineLvl w:val="1"/>
        <w:rPr>
          <w:b w:val="0"/>
          <w:bCs/>
          <w:color w:val="auto"/>
          <w:kern w:val="2"/>
          <w:sz w:val="24"/>
          <w:szCs w:val="24"/>
          <w:lang w:val="en-US"/>
        </w:rPr>
      </w:pPr>
      <w:r>
        <w:rPr>
          <w:rFonts w:hint="eastAsia"/>
          <w:b w:val="0"/>
          <w:bCs/>
          <w:color w:val="auto"/>
          <w:kern w:val="2"/>
          <w:sz w:val="24"/>
          <w:szCs w:val="24"/>
          <w:lang w:val="en-US"/>
        </w:rPr>
        <w:t>注：</w:t>
      </w:r>
    </w:p>
    <w:p>
      <w:pPr>
        <w:snapToGrid/>
        <w:spacing w:line="400" w:lineRule="exact"/>
        <w:ind w:firstLine="470" w:firstLineChars="196"/>
        <w:outlineLvl w:val="1"/>
        <w:rPr>
          <w:b w:val="0"/>
          <w:bCs/>
          <w:color w:val="auto"/>
          <w:kern w:val="2"/>
          <w:sz w:val="24"/>
          <w:szCs w:val="24"/>
          <w:lang w:val="en-US"/>
        </w:rPr>
      </w:pPr>
      <w:r>
        <w:rPr>
          <w:rFonts w:hint="eastAsia"/>
          <w:b w:val="0"/>
          <w:bCs/>
          <w:color w:val="auto"/>
          <w:kern w:val="2"/>
          <w:sz w:val="24"/>
          <w:szCs w:val="24"/>
          <w:lang w:val="en-US"/>
        </w:rPr>
        <w:t>（1）以上每一项结论均为“合格”的，则投标人通过资格审查，如有任意一项结论为“不合格”的，则投标人不通过资格审查，其投标文件按无效投标文件处理。如果认为投标人有任意一项不合格的，应载明不合格的具体原因。</w:t>
      </w:r>
    </w:p>
    <w:p>
      <w:pPr>
        <w:snapToGrid/>
        <w:spacing w:line="400" w:lineRule="exact"/>
        <w:ind w:firstLine="470" w:firstLineChars="196"/>
        <w:outlineLvl w:val="1"/>
        <w:rPr>
          <w:color w:val="auto"/>
          <w:kern w:val="2"/>
          <w:sz w:val="24"/>
          <w:szCs w:val="24"/>
        </w:rPr>
      </w:pPr>
      <w:r>
        <w:rPr>
          <w:rFonts w:hint="eastAsia"/>
          <w:b w:val="0"/>
          <w:bCs/>
          <w:color w:val="auto"/>
          <w:kern w:val="2"/>
          <w:sz w:val="24"/>
          <w:szCs w:val="24"/>
          <w:lang w:val="en-US"/>
        </w:rPr>
        <w:t>（2）采购人根据采购项目提出的特殊条件中第（1）（2）的证明材料由采购代理机构出具即可，供应商无须提供。</w:t>
      </w:r>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642" w:name="_Toc496605666"/>
      <w:bookmarkStart w:id="643" w:name="_Toc500492761"/>
      <w:bookmarkStart w:id="644" w:name="_Toc494198960"/>
      <w:bookmarkStart w:id="645" w:name="_Toc494198634"/>
      <w:r>
        <w:rPr>
          <w:b w:val="0"/>
          <w:color w:val="auto"/>
          <w:kern w:val="2"/>
          <w:sz w:val="24"/>
          <w:szCs w:val="24"/>
          <w:lang w:val="en-US"/>
        </w:rPr>
        <w:t>采购人或者采购代理机构依法对投标人的资格进行审查</w:t>
      </w:r>
      <w:r>
        <w:rPr>
          <w:rFonts w:hint="eastAsia"/>
          <w:b w:val="0"/>
          <w:color w:val="auto"/>
          <w:kern w:val="2"/>
          <w:sz w:val="24"/>
          <w:szCs w:val="24"/>
          <w:lang w:val="en-US"/>
        </w:rPr>
        <w:t>结束后，出具资格审查报告。</w:t>
      </w:r>
      <w:bookmarkEnd w:id="642"/>
      <w:bookmarkEnd w:id="643"/>
      <w:bookmarkEnd w:id="644"/>
      <w:bookmarkEnd w:id="645"/>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646" w:name="_Toc496605667"/>
      <w:bookmarkStart w:id="647" w:name="_Toc494198961"/>
      <w:bookmarkStart w:id="648" w:name="_Toc494198635"/>
      <w:bookmarkStart w:id="649" w:name="_Toc500492762"/>
      <w:r>
        <w:rPr>
          <w:rFonts w:hint="eastAsia"/>
          <w:b w:val="0"/>
          <w:color w:val="auto"/>
          <w:kern w:val="2"/>
          <w:sz w:val="24"/>
          <w:szCs w:val="24"/>
          <w:lang w:val="en-US"/>
        </w:rPr>
        <w:t>通过资格审查的投标人</w:t>
      </w:r>
      <w:r>
        <w:rPr>
          <w:b w:val="0"/>
          <w:color w:val="auto"/>
          <w:kern w:val="2"/>
          <w:sz w:val="24"/>
          <w:szCs w:val="24"/>
          <w:lang w:val="en-US"/>
        </w:rPr>
        <w:t>不足3家的，不得评标。</w:t>
      </w:r>
      <w:bookmarkEnd w:id="646"/>
      <w:bookmarkEnd w:id="647"/>
      <w:bookmarkEnd w:id="648"/>
      <w:bookmarkEnd w:id="649"/>
    </w:p>
    <w:p>
      <w:pPr>
        <w:numPr>
          <w:ilvl w:val="2"/>
          <w:numId w:val="16"/>
        </w:numPr>
        <w:tabs>
          <w:tab w:val="left" w:pos="360"/>
        </w:tabs>
        <w:spacing w:line="540" w:lineRule="exact"/>
        <w:ind w:left="0" w:firstLine="482"/>
        <w:jc w:val="left"/>
        <w:outlineLvl w:val="1"/>
        <w:rPr>
          <w:color w:val="auto"/>
          <w:kern w:val="2"/>
          <w:sz w:val="24"/>
          <w:szCs w:val="24"/>
          <w:lang w:val="en-US"/>
        </w:rPr>
      </w:pPr>
      <w:bookmarkStart w:id="650" w:name="_Toc494198636"/>
      <w:bookmarkStart w:id="651" w:name="_Toc500492763"/>
      <w:bookmarkStart w:id="652" w:name="_Toc494198962"/>
      <w:bookmarkStart w:id="653" w:name="_Toc496605668"/>
      <w:r>
        <w:rPr>
          <w:rFonts w:hint="eastAsia"/>
          <w:color w:val="auto"/>
          <w:kern w:val="2"/>
          <w:sz w:val="24"/>
          <w:szCs w:val="24"/>
          <w:lang w:val="en-US"/>
        </w:rPr>
        <w:t>评标委员会熟悉、理解招标文件和停止评标</w:t>
      </w:r>
      <w:bookmarkEnd w:id="637"/>
      <w:bookmarkEnd w:id="638"/>
      <w:bookmarkEnd w:id="639"/>
      <w:bookmarkEnd w:id="640"/>
      <w:bookmarkEnd w:id="650"/>
      <w:bookmarkEnd w:id="651"/>
      <w:bookmarkEnd w:id="652"/>
      <w:bookmarkEnd w:id="653"/>
      <w:bookmarkStart w:id="654" w:name="_Toc466896292"/>
      <w:bookmarkStart w:id="655" w:name="_Toc466292942"/>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656" w:name="_Toc475005623"/>
      <w:bookmarkStart w:id="657" w:name="_Toc482094370"/>
      <w:bookmarkStart w:id="658" w:name="_Toc476748798"/>
      <w:bookmarkStart w:id="659" w:name="_Toc477425578"/>
      <w:r>
        <w:rPr>
          <w:rFonts w:hint="eastAsia"/>
          <w:b w:val="0"/>
          <w:color w:val="auto"/>
          <w:kern w:val="2"/>
          <w:sz w:val="24"/>
          <w:szCs w:val="24"/>
          <w:lang w:val="en-US"/>
        </w:rPr>
        <w:t xml:space="preserve"> </w:t>
      </w:r>
      <w:bookmarkStart w:id="660" w:name="_Toc496605669"/>
      <w:bookmarkStart w:id="661" w:name="_Toc494198637"/>
      <w:bookmarkStart w:id="662" w:name="_Toc500492764"/>
      <w:bookmarkStart w:id="663" w:name="_Toc494198963"/>
      <w:r>
        <w:rPr>
          <w:rFonts w:hint="eastAsia"/>
          <w:b w:val="0"/>
          <w:color w:val="auto"/>
          <w:kern w:val="2"/>
          <w:sz w:val="24"/>
          <w:szCs w:val="24"/>
          <w:lang w:val="en-US"/>
        </w:rPr>
        <w:t>评标委员会正式评标前，</w:t>
      </w:r>
      <w:bookmarkEnd w:id="656"/>
      <w:bookmarkEnd w:id="657"/>
      <w:bookmarkEnd w:id="658"/>
      <w:bookmarkEnd w:id="659"/>
      <w:bookmarkStart w:id="664" w:name="_Toc482094371"/>
      <w:bookmarkStart w:id="665" w:name="_Toc477425579"/>
      <w:bookmarkStart w:id="666" w:name="_Toc475005624"/>
      <w:bookmarkStart w:id="667" w:name="_Toc476748799"/>
      <w:r>
        <w:rPr>
          <w:rFonts w:hint="eastAsia"/>
          <w:b w:val="0"/>
          <w:color w:val="auto"/>
          <w:kern w:val="2"/>
          <w:sz w:val="24"/>
          <w:szCs w:val="24"/>
          <w:lang w:val="en-US"/>
        </w:rPr>
        <w:t>评标委员会熟悉和理解招标文件的过程中，发现本招标文件有下列情形之一的，评标委员会应当停止评标：</w:t>
      </w:r>
      <w:bookmarkEnd w:id="660"/>
      <w:bookmarkEnd w:id="661"/>
      <w:bookmarkEnd w:id="662"/>
      <w:bookmarkEnd w:id="663"/>
      <w:bookmarkEnd w:id="664"/>
      <w:bookmarkEnd w:id="665"/>
      <w:bookmarkEnd w:id="666"/>
      <w:bookmarkEnd w:id="667"/>
    </w:p>
    <w:p>
      <w:pPr>
        <w:numPr>
          <w:ilvl w:val="0"/>
          <w:numId w:val="50"/>
        </w:numPr>
        <w:spacing w:line="540" w:lineRule="exact"/>
        <w:ind w:left="0" w:firstLine="480"/>
        <w:rPr>
          <w:b w:val="0"/>
          <w:color w:val="auto"/>
          <w:sz w:val="24"/>
          <w:szCs w:val="24"/>
        </w:rPr>
      </w:pPr>
      <w:r>
        <w:rPr>
          <w:b w:val="0"/>
          <w:color w:val="auto"/>
          <w:sz w:val="24"/>
          <w:szCs w:val="24"/>
        </w:rPr>
        <w:t>招标文件存在重大缺陷导致评标工作无法进行</w:t>
      </w:r>
      <w:r>
        <w:rPr>
          <w:rFonts w:hint="eastAsia"/>
          <w:b w:val="0"/>
          <w:color w:val="auto"/>
          <w:sz w:val="24"/>
          <w:szCs w:val="24"/>
        </w:rPr>
        <w:t>；</w:t>
      </w:r>
    </w:p>
    <w:p>
      <w:pPr>
        <w:numPr>
          <w:ilvl w:val="0"/>
          <w:numId w:val="50"/>
        </w:numPr>
        <w:spacing w:line="540" w:lineRule="exact"/>
        <w:ind w:left="0" w:firstLine="480"/>
        <w:rPr>
          <w:b w:val="0"/>
          <w:color w:val="auto"/>
          <w:sz w:val="24"/>
          <w:szCs w:val="24"/>
        </w:rPr>
      </w:pPr>
      <w:r>
        <w:rPr>
          <w:rFonts w:hint="eastAsia"/>
          <w:b w:val="0"/>
          <w:color w:val="auto"/>
          <w:sz w:val="24"/>
          <w:szCs w:val="24"/>
        </w:rPr>
        <w:t>招标文件的规定存在歧义，采购人或者采购代理机构未进行书面澄清</w:t>
      </w:r>
      <w:r>
        <w:rPr>
          <w:b w:val="0"/>
          <w:color w:val="auto"/>
          <w:sz w:val="24"/>
          <w:szCs w:val="24"/>
        </w:rPr>
        <w:t>导致评标工作无法进行</w:t>
      </w:r>
      <w:r>
        <w:rPr>
          <w:rFonts w:hint="eastAsia"/>
          <w:b w:val="0"/>
          <w:color w:val="auto"/>
          <w:sz w:val="24"/>
          <w:szCs w:val="24"/>
        </w:rPr>
        <w:t>；</w:t>
      </w:r>
    </w:p>
    <w:p>
      <w:pPr>
        <w:numPr>
          <w:ilvl w:val="0"/>
          <w:numId w:val="50"/>
        </w:numPr>
        <w:spacing w:line="540" w:lineRule="exact"/>
        <w:ind w:left="0" w:firstLine="480"/>
        <w:rPr>
          <w:b w:val="0"/>
          <w:color w:val="auto"/>
          <w:sz w:val="24"/>
          <w:szCs w:val="24"/>
        </w:rPr>
      </w:pPr>
      <w:r>
        <w:rPr>
          <w:rFonts w:hint="eastAsia"/>
          <w:b w:val="0"/>
          <w:color w:val="auto"/>
          <w:sz w:val="24"/>
          <w:szCs w:val="24"/>
        </w:rPr>
        <w:t>招标文件明显以不合理条件对投标人实行差别待遇或歧视待遇的；</w:t>
      </w:r>
    </w:p>
    <w:p>
      <w:pPr>
        <w:numPr>
          <w:ilvl w:val="0"/>
          <w:numId w:val="50"/>
        </w:numPr>
        <w:spacing w:line="540" w:lineRule="exact"/>
        <w:ind w:left="0" w:firstLine="480"/>
        <w:rPr>
          <w:b w:val="0"/>
          <w:color w:val="auto"/>
          <w:sz w:val="24"/>
          <w:szCs w:val="24"/>
        </w:rPr>
      </w:pPr>
      <w:r>
        <w:rPr>
          <w:rFonts w:hint="eastAsia"/>
          <w:b w:val="0"/>
          <w:color w:val="auto"/>
          <w:sz w:val="24"/>
          <w:szCs w:val="24"/>
        </w:rPr>
        <w:t>采购项目属于国家规定的优先、强制采购范围，但是招标文件未依法体现优先、强制采购相关规定的；</w:t>
      </w:r>
    </w:p>
    <w:p>
      <w:pPr>
        <w:numPr>
          <w:ilvl w:val="0"/>
          <w:numId w:val="50"/>
        </w:numPr>
        <w:spacing w:line="540" w:lineRule="exact"/>
        <w:ind w:left="0" w:firstLine="480"/>
        <w:rPr>
          <w:b w:val="0"/>
          <w:color w:val="auto"/>
          <w:sz w:val="24"/>
          <w:szCs w:val="24"/>
        </w:rPr>
      </w:pPr>
      <w:r>
        <w:rPr>
          <w:rFonts w:hint="eastAsia"/>
          <w:b w:val="0"/>
          <w:color w:val="auto"/>
          <w:sz w:val="24"/>
          <w:szCs w:val="24"/>
        </w:rPr>
        <w:t>采购项目属于政府采购促进中小企业发展的范围，但是招标文件未依法体现促进中小企业发展相关规定的；</w:t>
      </w:r>
    </w:p>
    <w:p>
      <w:pPr>
        <w:numPr>
          <w:ilvl w:val="0"/>
          <w:numId w:val="50"/>
        </w:numPr>
        <w:spacing w:line="540" w:lineRule="exact"/>
        <w:ind w:left="0" w:firstLine="480"/>
        <w:rPr>
          <w:b w:val="0"/>
          <w:color w:val="auto"/>
          <w:sz w:val="24"/>
          <w:szCs w:val="24"/>
        </w:rPr>
      </w:pPr>
      <w:r>
        <w:rPr>
          <w:rFonts w:hint="eastAsia"/>
          <w:b w:val="0"/>
          <w:color w:val="auto"/>
          <w:sz w:val="24"/>
          <w:szCs w:val="24"/>
        </w:rPr>
        <w:t>招标文件规定的评标方法是综合评分法、最低评标价法之外的评标方法，或者虽然名称为综合评分法、最低评标价法，但实际上不符合国家规定；</w:t>
      </w:r>
    </w:p>
    <w:p>
      <w:pPr>
        <w:numPr>
          <w:ilvl w:val="0"/>
          <w:numId w:val="50"/>
        </w:numPr>
        <w:spacing w:line="540" w:lineRule="exact"/>
        <w:ind w:left="0" w:firstLine="480"/>
        <w:rPr>
          <w:b w:val="0"/>
          <w:color w:val="auto"/>
          <w:sz w:val="24"/>
          <w:szCs w:val="24"/>
        </w:rPr>
      </w:pPr>
      <w:r>
        <w:rPr>
          <w:rFonts w:hint="eastAsia"/>
          <w:b w:val="0"/>
          <w:color w:val="auto"/>
          <w:sz w:val="24"/>
          <w:szCs w:val="24"/>
        </w:rPr>
        <w:t>招标文件将投标人的资格条件列为评分因素的；</w:t>
      </w:r>
    </w:p>
    <w:p>
      <w:pPr>
        <w:numPr>
          <w:ilvl w:val="0"/>
          <w:numId w:val="50"/>
        </w:numPr>
        <w:spacing w:line="540" w:lineRule="exact"/>
        <w:ind w:left="0" w:firstLine="480"/>
        <w:rPr>
          <w:b w:val="0"/>
          <w:color w:val="auto"/>
          <w:sz w:val="24"/>
          <w:szCs w:val="24"/>
        </w:rPr>
      </w:pPr>
      <w:r>
        <w:rPr>
          <w:b w:val="0"/>
          <w:color w:val="auto"/>
          <w:sz w:val="24"/>
          <w:szCs w:val="24"/>
        </w:rPr>
        <w:t>招标文件内容违反国家有关强制性规定的</w:t>
      </w:r>
      <w:r>
        <w:rPr>
          <w:rFonts w:hint="eastAsia"/>
          <w:b w:val="0"/>
          <w:color w:val="auto"/>
          <w:sz w:val="24"/>
          <w:szCs w:val="24"/>
        </w:rPr>
        <w:t>。</w:t>
      </w:r>
    </w:p>
    <w:p>
      <w:pPr>
        <w:spacing w:line="540" w:lineRule="exact"/>
        <w:ind w:firstLine="480"/>
        <w:rPr>
          <w:b w:val="0"/>
          <w:color w:val="auto"/>
          <w:sz w:val="24"/>
          <w:szCs w:val="24"/>
        </w:rPr>
      </w:pPr>
      <w:bookmarkStart w:id="668" w:name="_Toc476748800"/>
      <w:bookmarkStart w:id="669" w:name="_Toc477425580"/>
      <w:bookmarkStart w:id="670" w:name="_Toc475005625"/>
      <w:bookmarkStart w:id="671" w:name="_Toc482094372"/>
      <w:r>
        <w:rPr>
          <w:rFonts w:hint="eastAsia"/>
          <w:b w:val="0"/>
          <w:color w:val="auto"/>
          <w:sz w:val="24"/>
          <w:szCs w:val="24"/>
        </w:rPr>
        <w:t>出现7.3.2.1规定应当停止评标情形的，评标委员会应当向采购人或者采购代理机构书面说明情况。除本条规定和评标委员会无法依法组建的情形外，评标委员会不得以任何方式和理由停止评标。</w:t>
      </w:r>
      <w:bookmarkEnd w:id="668"/>
      <w:bookmarkEnd w:id="669"/>
      <w:bookmarkEnd w:id="670"/>
      <w:bookmarkEnd w:id="671"/>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672" w:name="_Toc477425581"/>
      <w:bookmarkStart w:id="673" w:name="_Toc475005626"/>
      <w:bookmarkStart w:id="674" w:name="_Toc496605670"/>
      <w:bookmarkStart w:id="675" w:name="_Toc494198638"/>
      <w:bookmarkStart w:id="676" w:name="_Toc482094373"/>
      <w:bookmarkStart w:id="677" w:name="_Toc494198964"/>
      <w:bookmarkStart w:id="678" w:name="_Toc476748801"/>
      <w:bookmarkStart w:id="679" w:name="_Toc500492765"/>
      <w:r>
        <w:rPr>
          <w:rFonts w:hint="eastAsia"/>
          <w:b w:val="0"/>
          <w:color w:val="auto"/>
          <w:kern w:val="2"/>
          <w:sz w:val="24"/>
          <w:szCs w:val="24"/>
          <w:lang w:val="en-US"/>
        </w:rPr>
        <w:t>评标委员会熟悉和理解招标文件完成后，应书面签字确认本招标文件是否有属于应当停止评标的情形。</w:t>
      </w:r>
      <w:bookmarkEnd w:id="672"/>
      <w:bookmarkEnd w:id="673"/>
      <w:bookmarkEnd w:id="674"/>
      <w:bookmarkEnd w:id="675"/>
      <w:bookmarkEnd w:id="676"/>
      <w:bookmarkEnd w:id="677"/>
      <w:bookmarkEnd w:id="678"/>
      <w:bookmarkEnd w:id="679"/>
    </w:p>
    <w:bookmarkEnd w:id="654"/>
    <w:bookmarkEnd w:id="655"/>
    <w:p>
      <w:pPr>
        <w:numPr>
          <w:ilvl w:val="2"/>
          <w:numId w:val="16"/>
        </w:numPr>
        <w:tabs>
          <w:tab w:val="left" w:pos="360"/>
        </w:tabs>
        <w:spacing w:line="540" w:lineRule="exact"/>
        <w:ind w:left="0" w:firstLine="482"/>
        <w:jc w:val="left"/>
        <w:outlineLvl w:val="1"/>
        <w:rPr>
          <w:color w:val="auto"/>
          <w:kern w:val="2"/>
          <w:sz w:val="24"/>
          <w:szCs w:val="24"/>
          <w:lang w:val="en-US"/>
        </w:rPr>
      </w:pPr>
      <w:bookmarkStart w:id="680" w:name="_Toc494198639"/>
      <w:bookmarkStart w:id="681" w:name="_Toc494198965"/>
      <w:bookmarkStart w:id="682" w:name="_Toc500492766"/>
      <w:bookmarkStart w:id="683" w:name="_Toc496605671"/>
      <w:bookmarkStart w:id="684" w:name="_Toc482094376"/>
      <w:bookmarkStart w:id="685" w:name="_Toc466292944"/>
      <w:bookmarkStart w:id="686" w:name="_Toc476748804"/>
      <w:bookmarkStart w:id="687" w:name="_Toc477425584"/>
      <w:bookmarkStart w:id="688" w:name="_Toc466896294"/>
      <w:bookmarkStart w:id="689" w:name="_Toc475005629"/>
      <w:r>
        <w:rPr>
          <w:rFonts w:hint="eastAsia"/>
          <w:color w:val="auto"/>
          <w:kern w:val="2"/>
          <w:sz w:val="24"/>
          <w:szCs w:val="24"/>
          <w:lang w:val="en-US"/>
        </w:rPr>
        <w:t>评标委员会符合性检查</w:t>
      </w:r>
      <w:bookmarkEnd w:id="680"/>
      <w:bookmarkEnd w:id="681"/>
      <w:bookmarkEnd w:id="682"/>
      <w:bookmarkEnd w:id="683"/>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690" w:name="_Toc494198966"/>
      <w:bookmarkStart w:id="691" w:name="_Toc496605672"/>
      <w:bookmarkStart w:id="692" w:name="_Toc500492767"/>
      <w:bookmarkStart w:id="693" w:name="_Toc494198640"/>
      <w:r>
        <w:rPr>
          <w:rFonts w:hint="eastAsia"/>
          <w:b w:val="0"/>
          <w:color w:val="auto"/>
          <w:kern w:val="2"/>
          <w:sz w:val="24"/>
          <w:szCs w:val="24"/>
          <w:lang w:val="en-US"/>
        </w:rPr>
        <w:t>评标委员会应当对符合资格的投标人的投标文件进行</w:t>
      </w:r>
      <w:r>
        <w:rPr>
          <w:b w:val="0"/>
          <w:color w:val="auto"/>
          <w:kern w:val="2"/>
          <w:sz w:val="24"/>
          <w:szCs w:val="24"/>
          <w:lang w:val="en-US"/>
        </w:rPr>
        <w:t>符合性审查，以确定其是否满足招标文件的实质性要求。</w:t>
      </w:r>
      <w:r>
        <w:rPr>
          <w:rFonts w:hint="eastAsia"/>
          <w:b w:val="0"/>
          <w:color w:val="auto"/>
          <w:kern w:val="2"/>
          <w:sz w:val="24"/>
          <w:szCs w:val="24"/>
          <w:lang w:val="en-US"/>
        </w:rPr>
        <w:t>本项目符合性审查事项仅限于本招标文件的明确规定。投标文件是否满足招标文件的实质性要求，必须以本项目招标文件的明确规定作为依据，否则，不能对投标文件作为无效处理，评标委员会不得臆测符合性审查事项。</w:t>
      </w:r>
      <w:bookmarkEnd w:id="690"/>
      <w:bookmarkEnd w:id="691"/>
      <w:bookmarkEnd w:id="692"/>
      <w:bookmarkEnd w:id="693"/>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694" w:name="_Toc500492768"/>
      <w:bookmarkStart w:id="695" w:name="_Toc494198967"/>
      <w:bookmarkStart w:id="696" w:name="_Toc494198641"/>
      <w:bookmarkStart w:id="697" w:name="_Toc496605673"/>
      <w:r>
        <w:rPr>
          <w:rFonts w:hint="eastAsia"/>
          <w:b w:val="0"/>
          <w:color w:val="auto"/>
          <w:kern w:val="2"/>
          <w:sz w:val="24"/>
          <w:szCs w:val="24"/>
          <w:lang w:val="en-US"/>
        </w:rPr>
        <w:t>投标文件（包括单独递交的开标一览表）有下列情形的，本项目不作为实质性要求进行规定，即不作为符合性审查事项，不得作为无效投标处理：</w:t>
      </w:r>
      <w:bookmarkEnd w:id="694"/>
      <w:bookmarkEnd w:id="695"/>
      <w:bookmarkEnd w:id="696"/>
      <w:bookmarkEnd w:id="697"/>
    </w:p>
    <w:p>
      <w:pPr>
        <w:numPr>
          <w:ilvl w:val="0"/>
          <w:numId w:val="51"/>
        </w:numPr>
        <w:spacing w:line="540" w:lineRule="exact"/>
        <w:ind w:left="0" w:firstLine="480"/>
        <w:rPr>
          <w:b w:val="0"/>
          <w:color w:val="auto"/>
          <w:sz w:val="24"/>
          <w:szCs w:val="24"/>
        </w:rPr>
      </w:pPr>
      <w:bookmarkStart w:id="698" w:name="_Hlk38356670"/>
      <w:r>
        <w:rPr>
          <w:b w:val="0"/>
          <w:color w:val="auto"/>
          <w:sz w:val="24"/>
          <w:szCs w:val="24"/>
        </w:rPr>
        <w:t>正副本数量齐全、密封完好，只是未按照招标文件要求进行分装或者统装的；</w:t>
      </w:r>
    </w:p>
    <w:p>
      <w:pPr>
        <w:numPr>
          <w:ilvl w:val="0"/>
          <w:numId w:val="51"/>
        </w:numPr>
        <w:spacing w:line="540" w:lineRule="exact"/>
        <w:ind w:left="0" w:firstLine="480"/>
        <w:rPr>
          <w:b w:val="0"/>
          <w:color w:val="auto"/>
          <w:sz w:val="24"/>
          <w:szCs w:val="24"/>
        </w:rPr>
      </w:pPr>
      <w:r>
        <w:rPr>
          <w:b w:val="0"/>
          <w:color w:val="auto"/>
          <w:sz w:val="24"/>
          <w:szCs w:val="24"/>
        </w:rPr>
        <w:t>个别地方（不超过2个）没有法定代表人签字，但有法定代表人的私人印章或者有效授权代理人签字的；</w:t>
      </w:r>
    </w:p>
    <w:p>
      <w:pPr>
        <w:numPr>
          <w:ilvl w:val="0"/>
          <w:numId w:val="51"/>
        </w:numPr>
        <w:spacing w:line="540" w:lineRule="exact"/>
        <w:ind w:left="0" w:firstLine="480"/>
        <w:rPr>
          <w:b w:val="0"/>
          <w:color w:val="auto"/>
          <w:sz w:val="24"/>
          <w:szCs w:val="24"/>
        </w:rPr>
      </w:pPr>
      <w:r>
        <w:rPr>
          <w:b w:val="0"/>
          <w:color w:val="auto"/>
          <w:sz w:val="24"/>
          <w:szCs w:val="24"/>
        </w:rPr>
        <w:t>除招标文件明确要求加盖单位</w:t>
      </w:r>
      <w:r>
        <w:rPr>
          <w:rFonts w:hint="eastAsia"/>
          <w:b w:val="0"/>
          <w:color w:val="auto"/>
          <w:sz w:val="24"/>
          <w:szCs w:val="24"/>
        </w:rPr>
        <w:t>（</w:t>
      </w:r>
      <w:r>
        <w:rPr>
          <w:b w:val="0"/>
          <w:color w:val="auto"/>
          <w:sz w:val="24"/>
          <w:szCs w:val="24"/>
        </w:rPr>
        <w:t>法人</w:t>
      </w:r>
      <w:r>
        <w:rPr>
          <w:rFonts w:hint="eastAsia"/>
          <w:b w:val="0"/>
          <w:color w:val="auto"/>
          <w:sz w:val="24"/>
          <w:szCs w:val="24"/>
        </w:rPr>
        <w:t>）</w:t>
      </w:r>
      <w:r>
        <w:rPr>
          <w:b w:val="0"/>
          <w:color w:val="auto"/>
          <w:sz w:val="24"/>
          <w:szCs w:val="24"/>
        </w:rPr>
        <w:t>公章的以外，其他地方以相关专用章加盖的；</w:t>
      </w:r>
    </w:p>
    <w:p>
      <w:pPr>
        <w:numPr>
          <w:ilvl w:val="0"/>
          <w:numId w:val="51"/>
        </w:numPr>
        <w:spacing w:line="540" w:lineRule="exact"/>
        <w:ind w:left="0" w:firstLine="480"/>
        <w:rPr>
          <w:b w:val="0"/>
          <w:color w:val="auto"/>
          <w:sz w:val="24"/>
          <w:szCs w:val="24"/>
        </w:rPr>
      </w:pPr>
      <w:r>
        <w:rPr>
          <w:b w:val="0"/>
          <w:color w:val="auto"/>
          <w:sz w:val="24"/>
          <w:szCs w:val="24"/>
        </w:rPr>
        <w:t>以骑缝章的形式代替投标文件内容逐页盖章的（但是骑缝章模糊不清，印章名称无法辨认的除外）；</w:t>
      </w:r>
    </w:p>
    <w:p>
      <w:pPr>
        <w:numPr>
          <w:ilvl w:val="0"/>
          <w:numId w:val="51"/>
        </w:numPr>
        <w:spacing w:line="540" w:lineRule="exact"/>
        <w:ind w:left="0" w:firstLine="480"/>
        <w:rPr>
          <w:b w:val="0"/>
          <w:color w:val="auto"/>
          <w:sz w:val="24"/>
          <w:szCs w:val="24"/>
        </w:rPr>
      </w:pPr>
      <w:r>
        <w:rPr>
          <w:b w:val="0"/>
          <w:color w:val="auto"/>
          <w:sz w:val="24"/>
          <w:szCs w:val="24"/>
        </w:rPr>
        <w:t>其他不影响采购项目实质性的情形。</w:t>
      </w:r>
    </w:p>
    <w:bookmarkEnd w:id="698"/>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699" w:name="_Toc494198642"/>
      <w:bookmarkStart w:id="700" w:name="_Toc494198968"/>
      <w:bookmarkStart w:id="701" w:name="_Toc500492769"/>
      <w:bookmarkStart w:id="702" w:name="_Toc496605674"/>
      <w:r>
        <w:rPr>
          <w:rFonts w:hint="eastAsia"/>
          <w:b w:val="0"/>
          <w:color w:val="auto"/>
          <w:kern w:val="2"/>
          <w:sz w:val="24"/>
          <w:szCs w:val="24"/>
          <w:lang w:val="en-US"/>
        </w:rPr>
        <w:t>除政府采购法律制度规定的情形外，本项目投标人或者其投标文件有下列情形之一的，作为无效投标处理：</w:t>
      </w:r>
      <w:bookmarkEnd w:id="684"/>
      <w:bookmarkEnd w:id="685"/>
      <w:bookmarkEnd w:id="686"/>
      <w:bookmarkEnd w:id="687"/>
      <w:bookmarkEnd w:id="688"/>
      <w:bookmarkEnd w:id="689"/>
      <w:bookmarkEnd w:id="699"/>
      <w:bookmarkEnd w:id="700"/>
      <w:bookmarkEnd w:id="701"/>
      <w:bookmarkEnd w:id="702"/>
    </w:p>
    <w:p>
      <w:pPr>
        <w:numPr>
          <w:ilvl w:val="0"/>
          <w:numId w:val="52"/>
        </w:numPr>
        <w:spacing w:line="540" w:lineRule="exact"/>
        <w:ind w:left="0" w:firstLine="480"/>
        <w:rPr>
          <w:b w:val="0"/>
          <w:color w:val="auto"/>
          <w:sz w:val="24"/>
          <w:szCs w:val="24"/>
        </w:rPr>
      </w:pPr>
      <w:r>
        <w:rPr>
          <w:rFonts w:hint="eastAsia"/>
          <w:b w:val="0"/>
          <w:color w:val="auto"/>
          <w:sz w:val="24"/>
          <w:szCs w:val="24"/>
        </w:rPr>
        <w:t>投标文件正副本数量不足的；</w:t>
      </w:r>
    </w:p>
    <w:p>
      <w:pPr>
        <w:numPr>
          <w:ilvl w:val="0"/>
          <w:numId w:val="52"/>
        </w:numPr>
        <w:spacing w:line="540" w:lineRule="exact"/>
        <w:ind w:left="0" w:firstLine="480"/>
        <w:rPr>
          <w:b w:val="0"/>
          <w:color w:val="auto"/>
          <w:sz w:val="24"/>
          <w:szCs w:val="24"/>
        </w:rPr>
      </w:pPr>
      <w:r>
        <w:rPr>
          <w:rFonts w:hint="eastAsia"/>
          <w:b w:val="0"/>
          <w:color w:val="auto"/>
          <w:sz w:val="24"/>
          <w:szCs w:val="24"/>
        </w:rPr>
        <w:t>投标文件载明的投标有效期少于招标文件要求的或未载明的；</w:t>
      </w:r>
    </w:p>
    <w:p>
      <w:pPr>
        <w:numPr>
          <w:ilvl w:val="0"/>
          <w:numId w:val="52"/>
        </w:numPr>
        <w:spacing w:line="540" w:lineRule="exact"/>
        <w:ind w:left="0" w:firstLine="480"/>
        <w:rPr>
          <w:b w:val="0"/>
          <w:color w:val="auto"/>
          <w:sz w:val="24"/>
          <w:szCs w:val="24"/>
        </w:rPr>
      </w:pPr>
      <w:r>
        <w:rPr>
          <w:rFonts w:hint="eastAsia"/>
          <w:b w:val="0"/>
          <w:color w:val="auto"/>
          <w:sz w:val="24"/>
          <w:szCs w:val="24"/>
        </w:rPr>
        <w:t>不满足招标文件第6章中★项要求的；</w:t>
      </w:r>
    </w:p>
    <w:p>
      <w:pPr>
        <w:numPr>
          <w:ilvl w:val="0"/>
          <w:numId w:val="52"/>
        </w:numPr>
        <w:spacing w:line="540" w:lineRule="exact"/>
        <w:ind w:left="0" w:firstLine="480"/>
        <w:rPr>
          <w:b w:val="0"/>
          <w:color w:val="auto"/>
          <w:sz w:val="24"/>
          <w:szCs w:val="24"/>
        </w:rPr>
      </w:pPr>
      <w:r>
        <w:rPr>
          <w:rFonts w:hint="eastAsia"/>
          <w:b w:val="0"/>
          <w:color w:val="auto"/>
          <w:sz w:val="24"/>
          <w:szCs w:val="24"/>
        </w:rPr>
        <w:t>投标文件的语言、计量单位、报价货币、知识产权等不符合招标文件的规定，影响评标委员会评判的；</w:t>
      </w:r>
    </w:p>
    <w:p>
      <w:pPr>
        <w:numPr>
          <w:ilvl w:val="0"/>
          <w:numId w:val="52"/>
        </w:numPr>
        <w:spacing w:line="540" w:lineRule="exact"/>
        <w:ind w:left="0" w:firstLine="480"/>
        <w:rPr>
          <w:b w:val="0"/>
          <w:color w:val="auto"/>
          <w:sz w:val="24"/>
          <w:szCs w:val="24"/>
        </w:rPr>
      </w:pPr>
      <w:r>
        <w:rPr>
          <w:rFonts w:hint="eastAsia"/>
          <w:b w:val="0"/>
          <w:color w:val="auto"/>
          <w:sz w:val="24"/>
          <w:szCs w:val="24"/>
        </w:rPr>
        <w:t>投标报价不符合招标文件规定的价格标底和其他报价规定的；</w:t>
      </w:r>
    </w:p>
    <w:p>
      <w:pPr>
        <w:numPr>
          <w:ilvl w:val="0"/>
          <w:numId w:val="52"/>
        </w:numPr>
        <w:spacing w:line="540" w:lineRule="exact"/>
        <w:ind w:left="0" w:firstLine="480"/>
        <w:rPr>
          <w:b w:val="0"/>
          <w:color w:val="auto"/>
          <w:sz w:val="24"/>
          <w:szCs w:val="24"/>
        </w:rPr>
      </w:pPr>
      <w:r>
        <w:rPr>
          <w:rFonts w:hint="eastAsia"/>
          <w:b w:val="0"/>
          <w:color w:val="auto"/>
          <w:sz w:val="24"/>
          <w:szCs w:val="24"/>
        </w:rPr>
        <w:t>投标文件存在招标文件第2章、第3章规定的投标无效情形（资格审查表的内容除外）；</w:t>
      </w:r>
    </w:p>
    <w:p>
      <w:pPr>
        <w:numPr>
          <w:ilvl w:val="0"/>
          <w:numId w:val="52"/>
        </w:numPr>
        <w:spacing w:line="540" w:lineRule="exact"/>
        <w:ind w:left="0" w:firstLine="480"/>
        <w:rPr>
          <w:b w:val="0"/>
          <w:color w:val="auto"/>
          <w:sz w:val="24"/>
          <w:szCs w:val="24"/>
        </w:rPr>
      </w:pPr>
      <w:r>
        <w:rPr>
          <w:rFonts w:hint="eastAsia"/>
          <w:b w:val="0"/>
          <w:color w:val="auto"/>
          <w:sz w:val="24"/>
          <w:szCs w:val="24"/>
        </w:rPr>
        <w:t>投标文件含有采购人不能接受的附加条件的；</w:t>
      </w:r>
    </w:p>
    <w:p>
      <w:pPr>
        <w:numPr>
          <w:ilvl w:val="0"/>
          <w:numId w:val="52"/>
        </w:numPr>
        <w:spacing w:line="540" w:lineRule="exact"/>
        <w:ind w:left="0" w:firstLine="480"/>
        <w:rPr>
          <w:b w:val="0"/>
          <w:color w:val="auto"/>
          <w:sz w:val="24"/>
          <w:szCs w:val="24"/>
        </w:rPr>
      </w:pPr>
      <w:r>
        <w:rPr>
          <w:rFonts w:hint="eastAsia"/>
          <w:b w:val="0"/>
          <w:color w:val="auto"/>
          <w:sz w:val="24"/>
          <w:szCs w:val="24"/>
        </w:rPr>
        <w:t>未按照招标文件规定和要求格式签署、盖章（骑缝章不能代替逐页盖章）的。</w:t>
      </w:r>
    </w:p>
    <w:p>
      <w:pPr>
        <w:pStyle w:val="19"/>
        <w:spacing w:line="540" w:lineRule="exact"/>
        <w:ind w:firstLine="482"/>
        <w:rPr>
          <w:rFonts w:ascii="宋体" w:hAnsi="宋体"/>
          <w:b/>
          <w:bCs/>
          <w:sz w:val="24"/>
        </w:rPr>
      </w:pPr>
      <w:r>
        <w:rPr>
          <w:rFonts w:hint="eastAsia" w:ascii="宋体" w:hAnsi="宋体"/>
          <w:b/>
          <w:bCs/>
          <w:sz w:val="24"/>
        </w:rPr>
        <w:t>符合性评审表</w:t>
      </w:r>
    </w:p>
    <w:tbl>
      <w:tblPr>
        <w:tblStyle w:val="7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570"/>
        <w:gridCol w:w="2904"/>
        <w:gridCol w:w="138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ind w:firstLine="0" w:firstLineChars="0"/>
              <w:jc w:val="center"/>
              <w:rPr>
                <w:color w:val="auto"/>
                <w:sz w:val="24"/>
                <w:szCs w:val="24"/>
              </w:rPr>
            </w:pPr>
            <w:r>
              <w:rPr>
                <w:rFonts w:hint="eastAsia"/>
                <w:color w:val="auto"/>
                <w:sz w:val="24"/>
                <w:szCs w:val="24"/>
              </w:rPr>
              <w:t>评审因素</w:t>
            </w:r>
          </w:p>
        </w:tc>
        <w:tc>
          <w:tcPr>
            <w:tcW w:w="2904" w:type="dxa"/>
            <w:vAlign w:val="center"/>
          </w:tcPr>
          <w:p>
            <w:pPr>
              <w:snapToGrid/>
              <w:ind w:firstLine="0" w:firstLineChars="0"/>
              <w:jc w:val="center"/>
              <w:rPr>
                <w:color w:val="auto"/>
                <w:sz w:val="24"/>
                <w:szCs w:val="24"/>
              </w:rPr>
            </w:pPr>
            <w:r>
              <w:rPr>
                <w:rFonts w:hint="eastAsia"/>
                <w:color w:val="auto"/>
                <w:sz w:val="24"/>
                <w:szCs w:val="24"/>
              </w:rPr>
              <w:t>合格条件</w:t>
            </w:r>
          </w:p>
        </w:tc>
        <w:tc>
          <w:tcPr>
            <w:tcW w:w="1384" w:type="dxa"/>
            <w:vAlign w:val="center"/>
          </w:tcPr>
          <w:p>
            <w:pPr>
              <w:snapToGrid/>
              <w:ind w:firstLine="0" w:firstLineChars="0"/>
              <w:jc w:val="center"/>
              <w:rPr>
                <w:color w:val="auto"/>
                <w:sz w:val="24"/>
                <w:szCs w:val="24"/>
              </w:rPr>
            </w:pPr>
            <w:r>
              <w:rPr>
                <w:rFonts w:hint="eastAsia"/>
                <w:color w:val="auto"/>
                <w:sz w:val="24"/>
                <w:szCs w:val="24"/>
              </w:rPr>
              <w:t>结论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bCs/>
                <w:color w:val="auto"/>
                <w:kern w:val="2"/>
                <w:sz w:val="24"/>
                <w:szCs w:val="24"/>
                <w:lang w:val="en-US"/>
              </w:rPr>
            </w:pPr>
            <w:r>
              <w:rPr>
                <w:rFonts w:hint="eastAsia"/>
                <w:b w:val="0"/>
                <w:bCs/>
                <w:color w:val="auto"/>
                <w:kern w:val="2"/>
                <w:sz w:val="24"/>
                <w:szCs w:val="24"/>
                <w:lang w:val="en-US"/>
              </w:rPr>
              <w:t>正副本数量</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投标有效期</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语言、计量单位、报价货币、知识产权等</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★项要求</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投标报价符合招标文件规定的价格标底和其他报价规定</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sz w:val="24"/>
                <w:szCs w:val="24"/>
              </w:rPr>
              <w:t>不存在招标文件第2章、第3章规定的投标无效情形（资格审查表的内容除外）</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不存在投标无效的情形</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未含有采购人不能接受的附加条件的</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70"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按招标文件规定和要求格式签署、盖章</w:t>
            </w:r>
          </w:p>
        </w:tc>
        <w:tc>
          <w:tcPr>
            <w:tcW w:w="2904" w:type="dxa"/>
            <w:vAlign w:val="center"/>
          </w:tcPr>
          <w:p>
            <w:pPr>
              <w:snapToGrid/>
              <w:spacing w:line="240" w:lineRule="auto"/>
              <w:ind w:firstLine="0" w:firstLineChars="0"/>
              <w:rPr>
                <w:b w:val="0"/>
                <w:color w:val="auto"/>
                <w:kern w:val="2"/>
                <w:sz w:val="24"/>
                <w:szCs w:val="24"/>
                <w:lang w:val="en-US"/>
              </w:rPr>
            </w:pPr>
            <w:r>
              <w:rPr>
                <w:rFonts w:hint="eastAsia"/>
                <w:b w:val="0"/>
                <w:color w:val="auto"/>
                <w:kern w:val="2"/>
                <w:sz w:val="24"/>
                <w:szCs w:val="24"/>
                <w:lang w:val="en-US"/>
              </w:rPr>
              <w:t>符合招标文件要求</w:t>
            </w:r>
          </w:p>
        </w:tc>
        <w:tc>
          <w:tcPr>
            <w:tcW w:w="1384" w:type="dxa"/>
            <w:vAlign w:val="center"/>
          </w:tcPr>
          <w:p>
            <w:pPr>
              <w:snapToGrid/>
              <w:spacing w:line="240" w:lineRule="auto"/>
              <w:ind w:firstLine="0" w:firstLineChars="0"/>
              <w:rPr>
                <w:b w:val="0"/>
                <w:color w:val="auto"/>
                <w:kern w:val="2"/>
                <w:sz w:val="24"/>
                <w:szCs w:val="24"/>
                <w:lang w:val="en-US"/>
              </w:rPr>
            </w:pPr>
          </w:p>
        </w:tc>
      </w:tr>
    </w:tbl>
    <w:p>
      <w:pPr>
        <w:snapToGrid/>
        <w:spacing w:line="400" w:lineRule="exact"/>
        <w:ind w:firstLine="470" w:firstLineChars="196"/>
        <w:outlineLvl w:val="1"/>
        <w:rPr>
          <w:b w:val="0"/>
          <w:bCs/>
          <w:color w:val="auto"/>
          <w:kern w:val="2"/>
          <w:sz w:val="24"/>
          <w:szCs w:val="24"/>
          <w:lang w:val="en-US"/>
        </w:rPr>
      </w:pPr>
      <w:r>
        <w:rPr>
          <w:rFonts w:hint="eastAsia"/>
          <w:b w:val="0"/>
          <w:bCs/>
          <w:color w:val="auto"/>
          <w:kern w:val="2"/>
          <w:sz w:val="24"/>
          <w:szCs w:val="24"/>
          <w:lang w:val="en-US"/>
        </w:rPr>
        <w:t>注：以上每一项结论均为“合格”的，则投标人通过符合性审查，如有任意一项结论为“不合格”的，则投标人不通过符合性审查，其投标文件按无效投标文件处理。如果认为投标人有任意一项不合格的，应载明不合格的具体原因。</w:t>
      </w:r>
      <w:bookmarkStart w:id="703" w:name="_Toc494198969"/>
      <w:bookmarkStart w:id="704" w:name="_Toc494198643"/>
      <w:bookmarkStart w:id="705" w:name="_Toc500492770"/>
      <w:bookmarkStart w:id="706" w:name="_Toc496605675"/>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评标委员会</w:t>
      </w:r>
      <w:r>
        <w:rPr>
          <w:b w:val="0"/>
          <w:color w:val="auto"/>
          <w:kern w:val="2"/>
          <w:sz w:val="24"/>
          <w:szCs w:val="24"/>
          <w:lang w:val="en-US"/>
        </w:rPr>
        <w:t>依法对投标人</w:t>
      </w:r>
      <w:r>
        <w:rPr>
          <w:rFonts w:hint="eastAsia"/>
          <w:b w:val="0"/>
          <w:color w:val="auto"/>
          <w:kern w:val="2"/>
          <w:sz w:val="24"/>
          <w:szCs w:val="24"/>
          <w:lang w:val="en-US"/>
        </w:rPr>
        <w:t>进行符合性</w:t>
      </w:r>
      <w:r>
        <w:rPr>
          <w:b w:val="0"/>
          <w:color w:val="auto"/>
          <w:kern w:val="2"/>
          <w:sz w:val="24"/>
          <w:szCs w:val="24"/>
          <w:lang w:val="en-US"/>
        </w:rPr>
        <w:t>审查</w:t>
      </w:r>
      <w:r>
        <w:rPr>
          <w:rFonts w:hint="eastAsia"/>
          <w:b w:val="0"/>
          <w:color w:val="auto"/>
          <w:kern w:val="2"/>
          <w:sz w:val="24"/>
          <w:szCs w:val="24"/>
          <w:lang w:val="en-US"/>
        </w:rPr>
        <w:t>结束后，出具符合性审查报告。</w:t>
      </w:r>
      <w:bookmarkEnd w:id="703"/>
      <w:bookmarkEnd w:id="704"/>
      <w:bookmarkEnd w:id="705"/>
      <w:bookmarkEnd w:id="706"/>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707" w:name="_Toc496605676"/>
      <w:bookmarkStart w:id="708" w:name="_Toc500492771"/>
      <w:r>
        <w:rPr>
          <w:rFonts w:hint="eastAsia"/>
          <w:b w:val="0"/>
          <w:color w:val="auto"/>
          <w:kern w:val="2"/>
          <w:sz w:val="24"/>
          <w:szCs w:val="24"/>
          <w:lang w:val="en-US"/>
        </w:rPr>
        <w:t>通过符合性审查的投标人</w:t>
      </w:r>
      <w:r>
        <w:rPr>
          <w:b w:val="0"/>
          <w:color w:val="auto"/>
          <w:kern w:val="2"/>
          <w:sz w:val="24"/>
          <w:szCs w:val="24"/>
          <w:lang w:val="en-US"/>
        </w:rPr>
        <w:t>不足3家的，</w:t>
      </w:r>
      <w:r>
        <w:rPr>
          <w:rFonts w:hint="eastAsia"/>
          <w:b w:val="0"/>
          <w:color w:val="auto"/>
          <w:kern w:val="2"/>
          <w:sz w:val="24"/>
          <w:szCs w:val="24"/>
          <w:lang w:val="en-US"/>
        </w:rPr>
        <w:t>本项目废标</w:t>
      </w:r>
      <w:r>
        <w:rPr>
          <w:b w:val="0"/>
          <w:color w:val="auto"/>
          <w:kern w:val="2"/>
          <w:sz w:val="24"/>
          <w:szCs w:val="24"/>
          <w:lang w:val="en-US"/>
        </w:rPr>
        <w:t>。</w:t>
      </w:r>
      <w:bookmarkEnd w:id="707"/>
      <w:bookmarkEnd w:id="708"/>
    </w:p>
    <w:p>
      <w:pPr>
        <w:numPr>
          <w:ilvl w:val="2"/>
          <w:numId w:val="16"/>
        </w:numPr>
        <w:tabs>
          <w:tab w:val="left" w:pos="360"/>
        </w:tabs>
        <w:spacing w:line="540" w:lineRule="exact"/>
        <w:ind w:left="0" w:firstLine="482"/>
        <w:jc w:val="left"/>
        <w:outlineLvl w:val="1"/>
        <w:rPr>
          <w:color w:val="auto"/>
          <w:kern w:val="2"/>
          <w:sz w:val="24"/>
          <w:szCs w:val="24"/>
          <w:lang w:val="en-US"/>
        </w:rPr>
      </w:pPr>
      <w:bookmarkStart w:id="709" w:name="_Toc477425592"/>
      <w:bookmarkStart w:id="710" w:name="_Toc494198644"/>
      <w:bookmarkStart w:id="711" w:name="_Toc476748812"/>
      <w:bookmarkStart w:id="712" w:name="_Toc475005637"/>
      <w:bookmarkStart w:id="713" w:name="_Toc466896302"/>
      <w:bookmarkStart w:id="714" w:name="_Toc500492772"/>
      <w:bookmarkStart w:id="715" w:name="_Toc494198970"/>
      <w:bookmarkStart w:id="716" w:name="_Toc466292952"/>
      <w:bookmarkStart w:id="717" w:name="_Toc482094384"/>
      <w:bookmarkStart w:id="718" w:name="_Toc496605677"/>
      <w:r>
        <w:rPr>
          <w:rFonts w:hint="eastAsia"/>
          <w:color w:val="auto"/>
          <w:kern w:val="2"/>
          <w:sz w:val="24"/>
          <w:szCs w:val="24"/>
          <w:lang w:val="en-US"/>
        </w:rPr>
        <w:t>比较与评价。</w:t>
      </w:r>
      <w:bookmarkEnd w:id="709"/>
      <w:bookmarkEnd w:id="710"/>
      <w:bookmarkEnd w:id="711"/>
      <w:bookmarkEnd w:id="712"/>
      <w:bookmarkEnd w:id="713"/>
      <w:bookmarkEnd w:id="714"/>
      <w:bookmarkEnd w:id="715"/>
      <w:bookmarkEnd w:id="716"/>
      <w:bookmarkEnd w:id="717"/>
      <w:bookmarkEnd w:id="718"/>
    </w:p>
    <w:p>
      <w:pPr>
        <w:spacing w:line="540" w:lineRule="exact"/>
        <w:ind w:firstLine="480"/>
        <w:rPr>
          <w:b w:val="0"/>
          <w:color w:val="auto"/>
          <w:sz w:val="24"/>
          <w:szCs w:val="24"/>
        </w:rPr>
      </w:pPr>
      <w:r>
        <w:rPr>
          <w:b w:val="0"/>
          <w:color w:val="auto"/>
          <w:sz w:val="24"/>
          <w:szCs w:val="24"/>
        </w:rPr>
        <w:t>评标委员会应当按照招标文件中规定的评标方法和标准，对符合性审查合格的投标文件进行商务和技术评估，综合比较与评价。</w:t>
      </w:r>
    </w:p>
    <w:p>
      <w:pPr>
        <w:numPr>
          <w:ilvl w:val="2"/>
          <w:numId w:val="16"/>
        </w:numPr>
        <w:tabs>
          <w:tab w:val="left" w:pos="360"/>
        </w:tabs>
        <w:spacing w:line="540" w:lineRule="exact"/>
        <w:ind w:left="0" w:firstLine="482"/>
        <w:jc w:val="left"/>
        <w:outlineLvl w:val="1"/>
        <w:rPr>
          <w:b w:val="0"/>
          <w:color w:val="auto"/>
          <w:kern w:val="2"/>
          <w:sz w:val="24"/>
          <w:szCs w:val="24"/>
          <w:lang w:val="en-US"/>
        </w:rPr>
      </w:pPr>
      <w:bookmarkStart w:id="719" w:name="_Toc500492773"/>
      <w:bookmarkStart w:id="720" w:name="_Toc494198645"/>
      <w:bookmarkStart w:id="721" w:name="_Toc494198971"/>
      <w:bookmarkStart w:id="722" w:name="_Toc496605678"/>
      <w:bookmarkStart w:id="723" w:name="_Toc476748813"/>
      <w:bookmarkStart w:id="724" w:name="_Toc466292953"/>
      <w:bookmarkStart w:id="725" w:name="_Toc477425593"/>
      <w:bookmarkStart w:id="726" w:name="_Toc482094385"/>
      <w:bookmarkStart w:id="727" w:name="_Toc475005638"/>
      <w:bookmarkStart w:id="728" w:name="_Toc466896303"/>
      <w:r>
        <w:rPr>
          <w:rFonts w:hint="eastAsia"/>
          <w:color w:val="auto"/>
          <w:kern w:val="2"/>
          <w:sz w:val="24"/>
          <w:szCs w:val="24"/>
          <w:lang w:val="en-US"/>
        </w:rPr>
        <w:t>复核。</w:t>
      </w:r>
      <w:bookmarkEnd w:id="719"/>
      <w:bookmarkEnd w:id="720"/>
      <w:bookmarkEnd w:id="721"/>
      <w:bookmarkEnd w:id="722"/>
    </w:p>
    <w:p>
      <w:pPr>
        <w:spacing w:line="540" w:lineRule="exact"/>
        <w:ind w:firstLine="480"/>
        <w:rPr>
          <w:b w:val="0"/>
          <w:color w:val="auto"/>
          <w:sz w:val="24"/>
          <w:szCs w:val="24"/>
        </w:rPr>
      </w:pPr>
      <w:r>
        <w:rPr>
          <w:rFonts w:hint="eastAsia"/>
          <w:b w:val="0"/>
          <w:color w:val="auto"/>
          <w:sz w:val="24"/>
          <w:szCs w:val="24"/>
        </w:rPr>
        <w:t>评分汇总结束后，评标委员会应当进行复核，对畸高、畸低的重大差异评分，特别要对拟推荐为中标候选人的、报价最低的、投标文件被认定为无效地进行重点复核。</w:t>
      </w:r>
      <w:bookmarkEnd w:id="723"/>
      <w:bookmarkEnd w:id="724"/>
      <w:bookmarkEnd w:id="725"/>
      <w:bookmarkEnd w:id="726"/>
      <w:bookmarkEnd w:id="727"/>
      <w:bookmarkEnd w:id="728"/>
    </w:p>
    <w:p>
      <w:pPr>
        <w:numPr>
          <w:ilvl w:val="2"/>
          <w:numId w:val="16"/>
        </w:numPr>
        <w:tabs>
          <w:tab w:val="left" w:pos="360"/>
        </w:tabs>
        <w:spacing w:line="540" w:lineRule="exact"/>
        <w:ind w:left="0" w:firstLine="482"/>
        <w:jc w:val="left"/>
        <w:outlineLvl w:val="1"/>
        <w:rPr>
          <w:b w:val="0"/>
          <w:color w:val="auto"/>
          <w:kern w:val="2"/>
          <w:sz w:val="24"/>
          <w:szCs w:val="24"/>
          <w:lang w:val="en-US"/>
        </w:rPr>
      </w:pPr>
      <w:bookmarkStart w:id="729" w:name="_Toc500492774"/>
      <w:bookmarkStart w:id="730" w:name="_Toc496605679"/>
      <w:bookmarkStart w:id="731" w:name="_Toc494198972"/>
      <w:bookmarkStart w:id="732" w:name="_Toc494198646"/>
      <w:bookmarkStart w:id="733" w:name="_Toc477425594"/>
      <w:bookmarkStart w:id="734" w:name="_Toc466292954"/>
      <w:bookmarkStart w:id="735" w:name="_Toc482094386"/>
      <w:bookmarkStart w:id="736" w:name="_Toc475005639"/>
      <w:bookmarkStart w:id="737" w:name="_Toc476748814"/>
      <w:bookmarkStart w:id="738" w:name="_Toc466896304"/>
      <w:r>
        <w:rPr>
          <w:rFonts w:hint="eastAsia"/>
          <w:color w:val="auto"/>
          <w:kern w:val="2"/>
          <w:sz w:val="24"/>
          <w:szCs w:val="24"/>
          <w:lang w:val="en-US"/>
        </w:rPr>
        <w:t>推荐中标候选人名单。</w:t>
      </w:r>
      <w:bookmarkEnd w:id="729"/>
      <w:bookmarkEnd w:id="730"/>
      <w:bookmarkEnd w:id="731"/>
      <w:bookmarkEnd w:id="732"/>
    </w:p>
    <w:bookmarkEnd w:id="733"/>
    <w:bookmarkEnd w:id="734"/>
    <w:bookmarkEnd w:id="735"/>
    <w:bookmarkEnd w:id="736"/>
    <w:bookmarkEnd w:id="737"/>
    <w:bookmarkEnd w:id="738"/>
    <w:p>
      <w:pPr>
        <w:spacing w:line="540" w:lineRule="exact"/>
        <w:ind w:firstLine="480"/>
        <w:rPr>
          <w:b w:val="0"/>
          <w:color w:val="auto"/>
          <w:sz w:val="24"/>
          <w:szCs w:val="24"/>
        </w:rPr>
      </w:pPr>
      <w:r>
        <w:rPr>
          <w:b w:val="0"/>
          <w:color w:val="auto"/>
          <w:sz w:val="24"/>
          <w:szCs w:val="24"/>
        </w:rPr>
        <w:t>采用综合评分法的</w:t>
      </w:r>
      <w:r>
        <w:rPr>
          <w:rFonts w:hint="eastAsia"/>
          <w:b w:val="0"/>
          <w:color w:val="auto"/>
          <w:sz w:val="24"/>
          <w:szCs w:val="24"/>
        </w:rPr>
        <w:t>：</w:t>
      </w:r>
      <w:r>
        <w:rPr>
          <w:b w:val="0"/>
          <w:color w:val="auto"/>
          <w:sz w:val="24"/>
          <w:szCs w:val="24"/>
        </w:rPr>
        <w:t>评标结果按评审后得分由高到低顺序排列。得分相同的，按投标报价由低到高顺序排列。得分且投标报价相同的并列</w:t>
      </w:r>
      <w:r>
        <w:rPr>
          <w:rFonts w:hint="eastAsia"/>
          <w:b w:val="0"/>
          <w:color w:val="auto"/>
          <w:sz w:val="24"/>
          <w:szCs w:val="24"/>
        </w:rPr>
        <w:t>（注：为扶持不发达地区和少数民族地区，</w:t>
      </w:r>
      <w:r>
        <w:rPr>
          <w:b w:val="0"/>
          <w:color w:val="auto"/>
          <w:sz w:val="24"/>
          <w:szCs w:val="24"/>
        </w:rPr>
        <w:t>得分且投标报价相同</w:t>
      </w:r>
      <w:r>
        <w:rPr>
          <w:rFonts w:hint="eastAsia"/>
          <w:b w:val="0"/>
          <w:color w:val="auto"/>
          <w:sz w:val="24"/>
          <w:szCs w:val="24"/>
        </w:rPr>
        <w:t>的，评标委员会优先推荐企业注册地在不发达地区和少数民族地区的投标人）。</w:t>
      </w:r>
      <w:r>
        <w:rPr>
          <w:b w:val="0"/>
          <w:color w:val="auto"/>
          <w:sz w:val="24"/>
          <w:szCs w:val="24"/>
        </w:rPr>
        <w:t>投标文件满足招标文件全部实质性要求，且按照评审因素的量化指标评审得分最高的投标人为排名第一的中标候选人。</w:t>
      </w:r>
    </w:p>
    <w:p>
      <w:pPr>
        <w:numPr>
          <w:ilvl w:val="2"/>
          <w:numId w:val="16"/>
        </w:numPr>
        <w:tabs>
          <w:tab w:val="left" w:pos="360"/>
        </w:tabs>
        <w:spacing w:line="540" w:lineRule="exact"/>
        <w:ind w:left="0" w:firstLine="482"/>
        <w:jc w:val="left"/>
        <w:outlineLvl w:val="1"/>
        <w:rPr>
          <w:color w:val="auto"/>
          <w:kern w:val="2"/>
          <w:sz w:val="24"/>
          <w:szCs w:val="24"/>
          <w:lang w:val="en-US"/>
        </w:rPr>
      </w:pPr>
      <w:bookmarkStart w:id="739" w:name="_Toc496605680"/>
      <w:bookmarkStart w:id="740" w:name="_Toc500492775"/>
      <w:bookmarkStart w:id="741" w:name="_Toc494198973"/>
      <w:bookmarkStart w:id="742" w:name="_Toc494198647"/>
      <w:r>
        <w:rPr>
          <w:rFonts w:hint="eastAsia"/>
          <w:color w:val="auto"/>
          <w:kern w:val="2"/>
          <w:sz w:val="24"/>
          <w:szCs w:val="24"/>
          <w:lang w:val="en-US"/>
        </w:rPr>
        <w:t>出具评标报告。</w:t>
      </w:r>
      <w:bookmarkEnd w:id="739"/>
      <w:bookmarkEnd w:id="740"/>
      <w:bookmarkEnd w:id="741"/>
      <w:bookmarkEnd w:id="742"/>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743" w:name="_Toc494198648"/>
      <w:bookmarkStart w:id="744" w:name="_Toc494198974"/>
      <w:bookmarkStart w:id="745" w:name="_Toc496605681"/>
      <w:bookmarkStart w:id="746" w:name="_Toc500492776"/>
      <w:r>
        <w:rPr>
          <w:b w:val="0"/>
          <w:color w:val="auto"/>
          <w:kern w:val="2"/>
          <w:sz w:val="24"/>
          <w:szCs w:val="24"/>
          <w:lang w:val="en-US"/>
        </w:rPr>
        <w:t>评标委员会根据全体评标成员签字的原始评标记录和评标结果编写评标报告。评标报告应当包括以下内容：</w:t>
      </w:r>
      <w:bookmarkEnd w:id="743"/>
      <w:bookmarkEnd w:id="744"/>
      <w:bookmarkEnd w:id="745"/>
      <w:bookmarkEnd w:id="746"/>
    </w:p>
    <w:p>
      <w:pPr>
        <w:numPr>
          <w:ilvl w:val="0"/>
          <w:numId w:val="53"/>
        </w:numPr>
        <w:spacing w:line="540" w:lineRule="exact"/>
        <w:ind w:left="0" w:firstLine="480"/>
        <w:rPr>
          <w:b w:val="0"/>
          <w:color w:val="auto"/>
          <w:sz w:val="24"/>
          <w:szCs w:val="24"/>
        </w:rPr>
      </w:pPr>
      <w:r>
        <w:rPr>
          <w:b w:val="0"/>
          <w:color w:val="auto"/>
          <w:sz w:val="24"/>
          <w:szCs w:val="24"/>
        </w:rPr>
        <w:t>招标公告刊登的媒体名称、开标日期和地点；</w:t>
      </w:r>
    </w:p>
    <w:p>
      <w:pPr>
        <w:numPr>
          <w:ilvl w:val="0"/>
          <w:numId w:val="53"/>
        </w:numPr>
        <w:spacing w:line="540" w:lineRule="exact"/>
        <w:ind w:left="0" w:firstLine="480"/>
        <w:rPr>
          <w:b w:val="0"/>
          <w:color w:val="auto"/>
          <w:sz w:val="24"/>
          <w:szCs w:val="24"/>
        </w:rPr>
      </w:pPr>
      <w:r>
        <w:rPr>
          <w:b w:val="0"/>
          <w:color w:val="auto"/>
          <w:sz w:val="24"/>
          <w:szCs w:val="24"/>
        </w:rPr>
        <w:t>投标人名单和评标委员会成员名单；</w:t>
      </w:r>
    </w:p>
    <w:p>
      <w:pPr>
        <w:numPr>
          <w:ilvl w:val="0"/>
          <w:numId w:val="53"/>
        </w:numPr>
        <w:spacing w:line="540" w:lineRule="exact"/>
        <w:ind w:left="0" w:firstLine="480"/>
        <w:rPr>
          <w:b w:val="0"/>
          <w:color w:val="auto"/>
          <w:sz w:val="24"/>
          <w:szCs w:val="24"/>
        </w:rPr>
      </w:pPr>
      <w:r>
        <w:rPr>
          <w:b w:val="0"/>
          <w:color w:val="auto"/>
          <w:sz w:val="24"/>
          <w:szCs w:val="24"/>
        </w:rPr>
        <w:t>评标方法和标准；</w:t>
      </w:r>
    </w:p>
    <w:p>
      <w:pPr>
        <w:numPr>
          <w:ilvl w:val="0"/>
          <w:numId w:val="53"/>
        </w:numPr>
        <w:spacing w:line="540" w:lineRule="exact"/>
        <w:ind w:left="0" w:firstLine="480"/>
        <w:rPr>
          <w:b w:val="0"/>
          <w:color w:val="auto"/>
          <w:sz w:val="24"/>
          <w:szCs w:val="24"/>
        </w:rPr>
      </w:pPr>
      <w:r>
        <w:rPr>
          <w:b w:val="0"/>
          <w:color w:val="auto"/>
          <w:sz w:val="24"/>
          <w:szCs w:val="24"/>
        </w:rPr>
        <w:t>开标记录和评标情况及说明，包括无效投标人名单及原因；</w:t>
      </w:r>
    </w:p>
    <w:p>
      <w:pPr>
        <w:numPr>
          <w:ilvl w:val="0"/>
          <w:numId w:val="53"/>
        </w:numPr>
        <w:spacing w:line="540" w:lineRule="exact"/>
        <w:ind w:left="0" w:firstLine="480"/>
        <w:rPr>
          <w:b w:val="0"/>
          <w:color w:val="auto"/>
          <w:sz w:val="24"/>
          <w:szCs w:val="24"/>
        </w:rPr>
      </w:pPr>
      <w:r>
        <w:rPr>
          <w:b w:val="0"/>
          <w:color w:val="auto"/>
          <w:sz w:val="24"/>
          <w:szCs w:val="24"/>
        </w:rPr>
        <w:t>评标结果，确定的中标候选人名单或者经采购人委托</w:t>
      </w:r>
      <w:r>
        <w:rPr>
          <w:rFonts w:hint="eastAsia"/>
          <w:b w:val="0"/>
          <w:color w:val="auto"/>
          <w:sz w:val="24"/>
          <w:szCs w:val="24"/>
        </w:rPr>
        <w:t>（若有）</w:t>
      </w:r>
      <w:r>
        <w:rPr>
          <w:b w:val="0"/>
          <w:color w:val="auto"/>
          <w:sz w:val="24"/>
          <w:szCs w:val="24"/>
        </w:rPr>
        <w:t>直接确定的中标人；</w:t>
      </w:r>
    </w:p>
    <w:p>
      <w:pPr>
        <w:numPr>
          <w:ilvl w:val="0"/>
          <w:numId w:val="53"/>
        </w:numPr>
        <w:spacing w:line="540" w:lineRule="exact"/>
        <w:ind w:left="0" w:firstLine="480"/>
        <w:rPr>
          <w:b w:val="0"/>
          <w:color w:val="auto"/>
          <w:sz w:val="24"/>
          <w:szCs w:val="24"/>
        </w:rPr>
      </w:pPr>
      <w:r>
        <w:rPr>
          <w:b w:val="0"/>
          <w:color w:val="auto"/>
          <w:sz w:val="24"/>
          <w:szCs w:val="24"/>
        </w:rPr>
        <w:t>其他需要说明的情况，包括评标过程中投标人根据评标委员会要求进行的澄清、说明或者补正，评标委员会成员的更换等。</w:t>
      </w:r>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747" w:name="_Toc500492777"/>
      <w:bookmarkStart w:id="748" w:name="_Toc494198975"/>
      <w:bookmarkStart w:id="749" w:name="_Toc496605682"/>
      <w:bookmarkStart w:id="750" w:name="_Toc494198649"/>
      <w:r>
        <w:rPr>
          <w:rFonts w:hint="eastAsia"/>
          <w:b w:val="0"/>
          <w:color w:val="auto"/>
          <w:kern w:val="2"/>
          <w:sz w:val="24"/>
          <w:szCs w:val="24"/>
          <w:lang w:val="en-US"/>
        </w:rPr>
        <w:t>评标委员会成员应当在评标报告中签字确认。</w:t>
      </w:r>
      <w:bookmarkEnd w:id="747"/>
      <w:bookmarkEnd w:id="748"/>
      <w:bookmarkEnd w:id="749"/>
      <w:bookmarkEnd w:id="750"/>
    </w:p>
    <w:p>
      <w:pPr>
        <w:numPr>
          <w:ilvl w:val="2"/>
          <w:numId w:val="16"/>
        </w:numPr>
        <w:tabs>
          <w:tab w:val="left" w:pos="360"/>
        </w:tabs>
        <w:spacing w:line="540" w:lineRule="exact"/>
        <w:ind w:left="0" w:firstLine="482"/>
        <w:jc w:val="left"/>
        <w:outlineLvl w:val="1"/>
        <w:rPr>
          <w:color w:val="auto"/>
          <w:kern w:val="2"/>
          <w:sz w:val="24"/>
          <w:szCs w:val="24"/>
          <w:lang w:val="en-US"/>
        </w:rPr>
      </w:pPr>
      <w:bookmarkStart w:id="751" w:name="_Toc496605683"/>
      <w:bookmarkStart w:id="752" w:name="_Toc494198650"/>
      <w:bookmarkStart w:id="753" w:name="_Toc466896295"/>
      <w:bookmarkStart w:id="754" w:name="_Toc482094377"/>
      <w:bookmarkStart w:id="755" w:name="_Toc477425585"/>
      <w:bookmarkStart w:id="756" w:name="_Toc475005630"/>
      <w:bookmarkStart w:id="757" w:name="_Toc476748805"/>
      <w:bookmarkStart w:id="758" w:name="_Toc466292945"/>
      <w:bookmarkStart w:id="759" w:name="_Toc500492778"/>
      <w:bookmarkStart w:id="760" w:name="_Toc494198976"/>
      <w:r>
        <w:rPr>
          <w:rFonts w:hint="eastAsia"/>
          <w:color w:val="auto"/>
          <w:kern w:val="2"/>
          <w:sz w:val="24"/>
          <w:szCs w:val="24"/>
          <w:lang w:val="en-US"/>
        </w:rPr>
        <w:t>评标争议处理规则。</w:t>
      </w:r>
      <w:bookmarkEnd w:id="751"/>
      <w:bookmarkEnd w:id="752"/>
      <w:bookmarkEnd w:id="753"/>
      <w:bookmarkEnd w:id="754"/>
      <w:bookmarkEnd w:id="755"/>
      <w:bookmarkEnd w:id="756"/>
      <w:bookmarkEnd w:id="757"/>
      <w:bookmarkEnd w:id="758"/>
      <w:bookmarkEnd w:id="759"/>
      <w:bookmarkEnd w:id="760"/>
    </w:p>
    <w:p>
      <w:pPr>
        <w:spacing w:line="540" w:lineRule="exact"/>
        <w:ind w:firstLine="480"/>
        <w:rPr>
          <w:b w:val="0"/>
          <w:color w:val="auto"/>
          <w:sz w:val="24"/>
          <w:szCs w:val="24"/>
        </w:rPr>
      </w:pPr>
      <w:r>
        <w:rPr>
          <w:b w:val="0"/>
          <w:color w:val="auto"/>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2"/>
          <w:numId w:val="16"/>
        </w:numPr>
        <w:tabs>
          <w:tab w:val="left" w:pos="360"/>
        </w:tabs>
        <w:spacing w:line="540" w:lineRule="exact"/>
        <w:ind w:left="0" w:firstLine="482"/>
        <w:jc w:val="left"/>
        <w:outlineLvl w:val="1"/>
        <w:rPr>
          <w:color w:val="auto"/>
          <w:kern w:val="2"/>
          <w:sz w:val="24"/>
          <w:szCs w:val="24"/>
          <w:lang w:val="en-US"/>
        </w:rPr>
      </w:pPr>
      <w:bookmarkStart w:id="761" w:name="_Toc475005631"/>
      <w:bookmarkStart w:id="762" w:name="_Toc477425586"/>
      <w:bookmarkStart w:id="763" w:name="_Toc482094378"/>
      <w:bookmarkStart w:id="764" w:name="_Toc476748806"/>
      <w:bookmarkStart w:id="765" w:name="_Toc466896296"/>
      <w:bookmarkStart w:id="766" w:name="_Toc466292946"/>
      <w:bookmarkStart w:id="767" w:name="_Toc494198977"/>
      <w:bookmarkStart w:id="768" w:name="_Toc500492779"/>
      <w:bookmarkStart w:id="769" w:name="_Toc494198651"/>
      <w:bookmarkStart w:id="770" w:name="_Toc496605684"/>
      <w:r>
        <w:rPr>
          <w:rFonts w:hint="eastAsia"/>
          <w:color w:val="auto"/>
          <w:kern w:val="2"/>
          <w:sz w:val="24"/>
          <w:szCs w:val="24"/>
          <w:lang w:val="en-US"/>
        </w:rPr>
        <w:t>投标人应当书面澄清、说明或者更正。</w:t>
      </w:r>
      <w:bookmarkEnd w:id="761"/>
      <w:bookmarkEnd w:id="762"/>
      <w:bookmarkEnd w:id="763"/>
      <w:bookmarkEnd w:id="764"/>
      <w:bookmarkEnd w:id="765"/>
      <w:bookmarkEnd w:id="766"/>
      <w:bookmarkEnd w:id="767"/>
      <w:bookmarkEnd w:id="768"/>
      <w:bookmarkEnd w:id="769"/>
      <w:bookmarkEnd w:id="770"/>
      <w:bookmarkStart w:id="771" w:name="_Toc183582287"/>
      <w:bookmarkStart w:id="772" w:name="_Toc217446104"/>
      <w:bookmarkStart w:id="773" w:name="_Toc183682422"/>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774" w:name="_Toc494198652"/>
      <w:bookmarkStart w:id="775" w:name="_Toc500492780"/>
      <w:bookmarkStart w:id="776" w:name="_Toc494198978"/>
      <w:bookmarkStart w:id="777" w:name="_Toc496605685"/>
      <w:r>
        <w:rPr>
          <w:b w:val="0"/>
          <w:color w:val="auto"/>
          <w:kern w:val="2"/>
          <w:sz w:val="24"/>
          <w:szCs w:val="24"/>
          <w:lang w:val="en-US"/>
        </w:rPr>
        <w:t>对于投标文件中含义不明确、同类问题表述不一致或者有明显文字和计算错误的内容，评标委员会应当以书面形式</w:t>
      </w:r>
      <w:r>
        <w:rPr>
          <w:rFonts w:hint="eastAsia"/>
          <w:b w:val="0"/>
          <w:color w:val="auto"/>
          <w:kern w:val="2"/>
          <w:sz w:val="24"/>
          <w:szCs w:val="24"/>
          <w:lang w:val="en-US"/>
        </w:rPr>
        <w:t>（须由评标委员会全体成员签字）</w:t>
      </w:r>
      <w:r>
        <w:rPr>
          <w:b w:val="0"/>
          <w:color w:val="auto"/>
          <w:kern w:val="2"/>
          <w:sz w:val="24"/>
          <w:szCs w:val="24"/>
          <w:lang w:val="en-US"/>
        </w:rPr>
        <w:t>要求投标人作出必要的澄清、说明或者补正。</w:t>
      </w:r>
      <w:bookmarkEnd w:id="774"/>
      <w:bookmarkEnd w:id="775"/>
      <w:bookmarkEnd w:id="776"/>
      <w:bookmarkEnd w:id="777"/>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778" w:name="_Toc494198979"/>
      <w:bookmarkStart w:id="779" w:name="_Toc494198653"/>
      <w:bookmarkStart w:id="780" w:name="_Toc500492781"/>
      <w:bookmarkStart w:id="781" w:name="_Toc496605686"/>
      <w:r>
        <w:rPr>
          <w:b w:val="0"/>
          <w:color w:val="auto"/>
          <w:kern w:val="2"/>
          <w:sz w:val="24"/>
          <w:szCs w:val="24"/>
          <w:lang w:val="en-US"/>
        </w:rPr>
        <w:t>投标人的澄清、说明或者补正应当采用书面形式，并加盖公章，或者由法定代表人或其授权的代表签字</w:t>
      </w:r>
      <w:r>
        <w:rPr>
          <w:rFonts w:hint="eastAsia"/>
          <w:b w:val="0"/>
          <w:color w:val="auto"/>
          <w:kern w:val="2"/>
          <w:sz w:val="24"/>
          <w:szCs w:val="24"/>
          <w:lang w:val="en-US"/>
        </w:rPr>
        <w:t>或加盖印章</w:t>
      </w:r>
      <w:r>
        <w:rPr>
          <w:b w:val="0"/>
          <w:color w:val="auto"/>
          <w:kern w:val="2"/>
          <w:sz w:val="24"/>
          <w:szCs w:val="24"/>
          <w:lang w:val="en-US"/>
        </w:rPr>
        <w:t>。投标人的澄清、说明或者补正不得超出投标文件的范围或者改变投标文件的实质性内容。</w:t>
      </w:r>
      <w:bookmarkEnd w:id="778"/>
      <w:bookmarkEnd w:id="779"/>
      <w:bookmarkEnd w:id="780"/>
      <w:bookmarkEnd w:id="781"/>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782" w:name="_Toc482094381"/>
      <w:bookmarkStart w:id="783" w:name="_Toc477425589"/>
      <w:bookmarkStart w:id="784" w:name="_Toc494198654"/>
      <w:bookmarkStart w:id="785" w:name="_Toc466896299"/>
      <w:bookmarkStart w:id="786" w:name="_Toc496605687"/>
      <w:bookmarkStart w:id="787" w:name="_Toc476748809"/>
      <w:bookmarkStart w:id="788" w:name="_Toc500492782"/>
      <w:bookmarkStart w:id="789" w:name="_Toc475005634"/>
      <w:bookmarkStart w:id="790" w:name="_Toc494198980"/>
      <w:bookmarkStart w:id="791" w:name="_Toc466292949"/>
      <w:r>
        <w:rPr>
          <w:rFonts w:hint="eastAsia"/>
          <w:b w:val="0"/>
          <w:color w:val="auto"/>
          <w:kern w:val="2"/>
          <w:sz w:val="24"/>
          <w:szCs w:val="24"/>
          <w:lang w:val="en-US"/>
        </w:rPr>
        <w:t>评标委员会要求投标人澄清、说明或者更正，不得超出招标文件的范围、不得以此让投标人实质改变投标文件的内容、不得影响投标人公平竞争。本项目下列内容不得澄清：</w:t>
      </w:r>
      <w:bookmarkEnd w:id="782"/>
      <w:bookmarkEnd w:id="783"/>
      <w:bookmarkEnd w:id="784"/>
      <w:bookmarkEnd w:id="785"/>
      <w:bookmarkEnd w:id="786"/>
      <w:bookmarkEnd w:id="787"/>
      <w:bookmarkEnd w:id="788"/>
      <w:bookmarkEnd w:id="789"/>
      <w:bookmarkEnd w:id="790"/>
      <w:bookmarkEnd w:id="791"/>
    </w:p>
    <w:p>
      <w:pPr>
        <w:numPr>
          <w:ilvl w:val="0"/>
          <w:numId w:val="54"/>
        </w:numPr>
        <w:spacing w:line="540" w:lineRule="exact"/>
        <w:ind w:left="0" w:firstLine="480"/>
        <w:rPr>
          <w:b w:val="0"/>
          <w:color w:val="auto"/>
          <w:sz w:val="24"/>
          <w:szCs w:val="24"/>
        </w:rPr>
      </w:pPr>
      <w:r>
        <w:rPr>
          <w:rFonts w:hint="eastAsia"/>
          <w:b w:val="0"/>
          <w:color w:val="auto"/>
          <w:sz w:val="24"/>
          <w:szCs w:val="24"/>
        </w:rPr>
        <w:t>按财政部规定应当在评标时不予承认的投标文件内容事项；</w:t>
      </w:r>
    </w:p>
    <w:p>
      <w:pPr>
        <w:numPr>
          <w:ilvl w:val="0"/>
          <w:numId w:val="54"/>
        </w:numPr>
        <w:spacing w:line="540" w:lineRule="exact"/>
        <w:ind w:left="0" w:firstLine="480"/>
        <w:rPr>
          <w:b w:val="0"/>
          <w:color w:val="auto"/>
          <w:sz w:val="24"/>
          <w:szCs w:val="24"/>
        </w:rPr>
      </w:pPr>
      <w:r>
        <w:rPr>
          <w:rFonts w:hint="eastAsia"/>
          <w:b w:val="0"/>
          <w:color w:val="auto"/>
          <w:sz w:val="24"/>
          <w:szCs w:val="24"/>
        </w:rPr>
        <w:t>投标文件中已经明确的内容事项；</w:t>
      </w:r>
    </w:p>
    <w:p>
      <w:pPr>
        <w:numPr>
          <w:ilvl w:val="0"/>
          <w:numId w:val="54"/>
        </w:numPr>
        <w:spacing w:line="540" w:lineRule="exact"/>
        <w:ind w:left="0" w:firstLine="480"/>
        <w:rPr>
          <w:b w:val="0"/>
          <w:color w:val="auto"/>
          <w:sz w:val="24"/>
          <w:szCs w:val="24"/>
        </w:rPr>
      </w:pPr>
      <w:r>
        <w:rPr>
          <w:rFonts w:hint="eastAsia"/>
          <w:b w:val="0"/>
          <w:color w:val="auto"/>
          <w:sz w:val="24"/>
          <w:szCs w:val="24"/>
        </w:rPr>
        <w:t>投标文件未提供的材料。</w:t>
      </w:r>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792" w:name="_Toc466896300"/>
      <w:bookmarkStart w:id="793" w:name="_Toc477425590"/>
      <w:bookmarkStart w:id="794" w:name="_Toc496605688"/>
      <w:bookmarkStart w:id="795" w:name="_Toc482094382"/>
      <w:bookmarkStart w:id="796" w:name="_Toc466292950"/>
      <w:bookmarkStart w:id="797" w:name="_Toc500492783"/>
      <w:bookmarkStart w:id="798" w:name="_Toc494198655"/>
      <w:bookmarkStart w:id="799" w:name="_Toc476748810"/>
      <w:bookmarkStart w:id="800" w:name="_Toc475005635"/>
      <w:bookmarkStart w:id="801" w:name="_Toc494198981"/>
      <w:r>
        <w:rPr>
          <w:rFonts w:hint="eastAsia"/>
          <w:b w:val="0"/>
          <w:color w:val="auto"/>
          <w:kern w:val="2"/>
          <w:sz w:val="24"/>
          <w:szCs w:val="24"/>
          <w:lang w:val="en-US"/>
        </w:rPr>
        <w:t>本项目采购过程中，投标文件出现下列情况的，不需要投标人澄清、说明或者更正，按照以下原则处理：</w:t>
      </w:r>
      <w:bookmarkEnd w:id="792"/>
      <w:bookmarkEnd w:id="793"/>
      <w:bookmarkEnd w:id="794"/>
      <w:bookmarkEnd w:id="795"/>
      <w:bookmarkEnd w:id="796"/>
      <w:bookmarkEnd w:id="797"/>
      <w:bookmarkEnd w:id="798"/>
      <w:bookmarkEnd w:id="799"/>
      <w:bookmarkEnd w:id="800"/>
      <w:bookmarkEnd w:id="801"/>
    </w:p>
    <w:p>
      <w:pPr>
        <w:numPr>
          <w:ilvl w:val="0"/>
          <w:numId w:val="55"/>
        </w:numPr>
        <w:spacing w:line="540" w:lineRule="exact"/>
        <w:ind w:left="0" w:firstLine="480"/>
        <w:rPr>
          <w:b w:val="0"/>
          <w:color w:val="auto"/>
          <w:sz w:val="24"/>
          <w:szCs w:val="24"/>
        </w:rPr>
      </w:pPr>
      <w:r>
        <w:rPr>
          <w:b w:val="0"/>
          <w:color w:val="auto"/>
          <w:sz w:val="24"/>
          <w:szCs w:val="24"/>
        </w:rPr>
        <w:t>投标文件中开标一览表（报价表）内容与投标文件中相应内容不一致的，以开标一览表（报价表）为准；</w:t>
      </w:r>
    </w:p>
    <w:p>
      <w:pPr>
        <w:numPr>
          <w:ilvl w:val="0"/>
          <w:numId w:val="55"/>
        </w:numPr>
        <w:spacing w:line="540" w:lineRule="exact"/>
        <w:ind w:left="0" w:firstLine="480"/>
        <w:rPr>
          <w:b w:val="0"/>
          <w:color w:val="auto"/>
          <w:sz w:val="24"/>
          <w:szCs w:val="24"/>
        </w:rPr>
      </w:pPr>
      <w:r>
        <w:rPr>
          <w:b w:val="0"/>
          <w:color w:val="auto"/>
          <w:sz w:val="24"/>
          <w:szCs w:val="24"/>
        </w:rPr>
        <w:t>大写金额和小写金额不一致的，以大写金额为准；</w:t>
      </w:r>
    </w:p>
    <w:p>
      <w:pPr>
        <w:numPr>
          <w:ilvl w:val="0"/>
          <w:numId w:val="55"/>
        </w:numPr>
        <w:spacing w:line="540" w:lineRule="exact"/>
        <w:ind w:left="0" w:firstLine="480"/>
        <w:rPr>
          <w:b w:val="0"/>
          <w:color w:val="auto"/>
          <w:sz w:val="24"/>
          <w:szCs w:val="24"/>
        </w:rPr>
      </w:pPr>
      <w:r>
        <w:rPr>
          <w:b w:val="0"/>
          <w:color w:val="auto"/>
          <w:sz w:val="24"/>
          <w:szCs w:val="24"/>
        </w:rPr>
        <w:t>单价金额小数点或者百分比有明显错位的，以开标一览表的总价为准，并修改单价；</w:t>
      </w:r>
    </w:p>
    <w:p>
      <w:pPr>
        <w:numPr>
          <w:ilvl w:val="0"/>
          <w:numId w:val="55"/>
        </w:numPr>
        <w:spacing w:line="540" w:lineRule="exact"/>
        <w:ind w:left="0" w:firstLine="480"/>
        <w:rPr>
          <w:b w:val="0"/>
          <w:color w:val="auto"/>
          <w:sz w:val="24"/>
          <w:szCs w:val="24"/>
        </w:rPr>
      </w:pPr>
      <w:r>
        <w:rPr>
          <w:b w:val="0"/>
          <w:color w:val="auto"/>
          <w:sz w:val="24"/>
          <w:szCs w:val="24"/>
        </w:rPr>
        <w:t>总价金额与按单价汇总金额不一致的，以单价金额计算结果为准。</w:t>
      </w:r>
    </w:p>
    <w:p>
      <w:pPr>
        <w:spacing w:line="540" w:lineRule="exact"/>
        <w:ind w:firstLine="480"/>
        <w:rPr>
          <w:b w:val="0"/>
          <w:color w:val="auto"/>
          <w:sz w:val="24"/>
          <w:szCs w:val="24"/>
        </w:rPr>
      </w:pPr>
      <w:r>
        <w:rPr>
          <w:b w:val="0"/>
          <w:color w:val="auto"/>
          <w:sz w:val="24"/>
          <w:szCs w:val="24"/>
        </w:rPr>
        <w:t>同时出现两种以上不一致的，按照前款规定的顺序修正。修正后的报价</w:t>
      </w:r>
      <w:r>
        <w:rPr>
          <w:b w:val="0"/>
          <w:color w:val="auto"/>
          <w:kern w:val="2"/>
          <w:sz w:val="24"/>
          <w:szCs w:val="24"/>
          <w:lang w:val="en-US"/>
        </w:rPr>
        <w:t>按照</w:t>
      </w:r>
      <w:r>
        <w:rPr>
          <w:rFonts w:hint="eastAsia"/>
          <w:b w:val="0"/>
          <w:color w:val="auto"/>
          <w:kern w:val="2"/>
          <w:sz w:val="24"/>
          <w:szCs w:val="24"/>
          <w:lang w:val="en-US"/>
        </w:rPr>
        <w:t>《</w:t>
      </w:r>
      <w:r>
        <w:rPr>
          <w:b w:val="0"/>
          <w:color w:val="auto"/>
          <w:kern w:val="2"/>
          <w:sz w:val="24"/>
          <w:szCs w:val="24"/>
          <w:lang w:val="en-US"/>
        </w:rPr>
        <w:t>政府采购货物和服务招标投标管理办法</w:t>
      </w:r>
      <w:r>
        <w:rPr>
          <w:rFonts w:hint="eastAsia"/>
          <w:b w:val="0"/>
          <w:color w:val="auto"/>
          <w:kern w:val="2"/>
          <w:sz w:val="24"/>
          <w:szCs w:val="24"/>
          <w:lang w:val="en-US"/>
        </w:rPr>
        <w:t>》（</w:t>
      </w:r>
      <w:r>
        <w:rPr>
          <w:b w:val="0"/>
          <w:color w:val="auto"/>
          <w:kern w:val="2"/>
          <w:sz w:val="24"/>
          <w:szCs w:val="24"/>
          <w:lang w:val="en-US"/>
        </w:rPr>
        <w:t>中华人民共和国财政部令第87号</w:t>
      </w:r>
      <w:r>
        <w:rPr>
          <w:rFonts w:hint="eastAsia"/>
          <w:b w:val="0"/>
          <w:color w:val="auto"/>
          <w:kern w:val="2"/>
          <w:sz w:val="24"/>
          <w:szCs w:val="24"/>
          <w:lang w:val="en-US"/>
        </w:rPr>
        <w:t>）</w:t>
      </w:r>
      <w:r>
        <w:rPr>
          <w:b w:val="0"/>
          <w:color w:val="auto"/>
          <w:sz w:val="24"/>
          <w:szCs w:val="24"/>
        </w:rPr>
        <w:t>第五十一条第二款的规定经投标人确认后产生约束力，投标人不确认的，其投标无效。</w:t>
      </w:r>
    </w:p>
    <w:p>
      <w:pPr>
        <w:spacing w:line="540" w:lineRule="exact"/>
        <w:ind w:firstLine="482"/>
        <w:rPr>
          <w:color w:val="auto"/>
          <w:sz w:val="24"/>
          <w:szCs w:val="24"/>
        </w:rPr>
      </w:pPr>
      <w:r>
        <w:rPr>
          <w:rFonts w:hint="eastAsia"/>
          <w:color w:val="auto"/>
          <w:sz w:val="24"/>
          <w:szCs w:val="24"/>
        </w:rPr>
        <w:t>注：评标委员会成员应当积极履行澄清、说明或者更正的职责，不得滥用权力。投标人的投标文件可以要求澄清、说明或者更正的，不得未经澄清、说明或者更正而直接作无效投标处理。</w:t>
      </w:r>
    </w:p>
    <w:p>
      <w:pPr>
        <w:numPr>
          <w:ilvl w:val="2"/>
          <w:numId w:val="16"/>
        </w:numPr>
        <w:tabs>
          <w:tab w:val="left" w:pos="360"/>
        </w:tabs>
        <w:spacing w:line="540" w:lineRule="exact"/>
        <w:ind w:left="0" w:firstLine="482"/>
        <w:jc w:val="left"/>
        <w:outlineLvl w:val="1"/>
        <w:rPr>
          <w:color w:val="auto"/>
          <w:kern w:val="2"/>
          <w:sz w:val="24"/>
          <w:szCs w:val="24"/>
          <w:lang w:val="en-US"/>
        </w:rPr>
      </w:pPr>
      <w:bookmarkStart w:id="802" w:name="_Toc500492784"/>
      <w:bookmarkStart w:id="803" w:name="_Toc494198656"/>
      <w:bookmarkStart w:id="804" w:name="_Toc466896301"/>
      <w:bookmarkStart w:id="805" w:name="_Toc494198982"/>
      <w:bookmarkStart w:id="806" w:name="_Toc496605689"/>
      <w:bookmarkStart w:id="807" w:name="_Toc466292951"/>
      <w:bookmarkStart w:id="808" w:name="_Toc476748811"/>
      <w:bookmarkStart w:id="809" w:name="_Toc477425591"/>
      <w:bookmarkStart w:id="810" w:name="_Toc475005636"/>
      <w:bookmarkStart w:id="811" w:name="_Toc482094383"/>
      <w:r>
        <w:rPr>
          <w:rFonts w:hint="eastAsia"/>
          <w:color w:val="auto"/>
          <w:kern w:val="2"/>
          <w:sz w:val="24"/>
          <w:szCs w:val="24"/>
          <w:lang w:val="en-US"/>
        </w:rPr>
        <w:t>低于成本价投标处理。</w:t>
      </w:r>
      <w:bookmarkEnd w:id="802"/>
      <w:bookmarkEnd w:id="803"/>
      <w:bookmarkEnd w:id="804"/>
      <w:bookmarkEnd w:id="805"/>
      <w:bookmarkEnd w:id="806"/>
      <w:bookmarkEnd w:id="807"/>
    </w:p>
    <w:p>
      <w:pPr>
        <w:spacing w:line="540" w:lineRule="exact"/>
        <w:ind w:firstLine="480"/>
        <w:rPr>
          <w:b w:val="0"/>
          <w:color w:val="auto"/>
          <w:sz w:val="24"/>
          <w:szCs w:val="24"/>
        </w:rPr>
      </w:pPr>
      <w:r>
        <w:rPr>
          <w:rFonts w:hint="eastAsia"/>
          <w:b w:val="0"/>
          <w:color w:val="auto"/>
          <w:sz w:val="24"/>
          <w:szCs w:val="24"/>
        </w:rPr>
        <w:t>详见投标人须知前附表。</w:t>
      </w:r>
      <w:bookmarkEnd w:id="808"/>
      <w:bookmarkEnd w:id="809"/>
      <w:bookmarkEnd w:id="810"/>
      <w:bookmarkEnd w:id="811"/>
    </w:p>
    <w:bookmarkEnd w:id="771"/>
    <w:bookmarkEnd w:id="772"/>
    <w:bookmarkEnd w:id="773"/>
    <w:p>
      <w:pPr>
        <w:numPr>
          <w:ilvl w:val="2"/>
          <w:numId w:val="16"/>
        </w:numPr>
        <w:tabs>
          <w:tab w:val="left" w:pos="360"/>
        </w:tabs>
        <w:spacing w:line="540" w:lineRule="exact"/>
        <w:ind w:left="0" w:firstLine="482"/>
        <w:jc w:val="left"/>
        <w:outlineLvl w:val="1"/>
        <w:rPr>
          <w:color w:val="auto"/>
          <w:kern w:val="2"/>
          <w:sz w:val="24"/>
          <w:szCs w:val="24"/>
          <w:lang w:val="en-US"/>
        </w:rPr>
      </w:pPr>
      <w:bookmarkStart w:id="812" w:name="_Toc482094388"/>
      <w:bookmarkStart w:id="813" w:name="_Toc466896306"/>
      <w:bookmarkStart w:id="814" w:name="_Toc476748816"/>
      <w:bookmarkStart w:id="815" w:name="_Toc494198657"/>
      <w:bookmarkStart w:id="816" w:name="_Toc500492785"/>
      <w:bookmarkStart w:id="817" w:name="_Toc494198983"/>
      <w:bookmarkStart w:id="818" w:name="_Toc477425596"/>
      <w:bookmarkStart w:id="819" w:name="_Toc496605690"/>
      <w:bookmarkStart w:id="820" w:name="_Toc466292956"/>
      <w:bookmarkStart w:id="821" w:name="_Toc475005641"/>
      <w:r>
        <w:rPr>
          <w:rFonts w:hint="eastAsia"/>
          <w:color w:val="auto"/>
          <w:kern w:val="2"/>
          <w:sz w:val="24"/>
          <w:szCs w:val="24"/>
          <w:lang w:val="en-US"/>
        </w:rPr>
        <w:t>采购代理机构现场复核评标结果。</w:t>
      </w:r>
      <w:bookmarkEnd w:id="812"/>
      <w:bookmarkEnd w:id="813"/>
      <w:bookmarkEnd w:id="814"/>
      <w:bookmarkEnd w:id="815"/>
      <w:bookmarkEnd w:id="816"/>
      <w:bookmarkEnd w:id="817"/>
      <w:bookmarkEnd w:id="818"/>
      <w:bookmarkEnd w:id="819"/>
      <w:bookmarkEnd w:id="820"/>
      <w:bookmarkEnd w:id="821"/>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822" w:name="_Toc496605691"/>
      <w:bookmarkStart w:id="823" w:name="_Toc494198658"/>
      <w:bookmarkStart w:id="824" w:name="_Toc494198984"/>
      <w:bookmarkStart w:id="825" w:name="_Toc500492786"/>
      <w:r>
        <w:rPr>
          <w:b w:val="0"/>
          <w:color w:val="auto"/>
          <w:kern w:val="2"/>
          <w:sz w:val="24"/>
          <w:szCs w:val="24"/>
          <w:lang w:val="en-US"/>
        </w:rPr>
        <w:t>评标结果汇总完成后，除下列情形外，任何人不得修改评标结果：</w:t>
      </w:r>
      <w:bookmarkEnd w:id="822"/>
      <w:bookmarkEnd w:id="823"/>
      <w:bookmarkEnd w:id="824"/>
      <w:bookmarkEnd w:id="825"/>
    </w:p>
    <w:p>
      <w:pPr>
        <w:numPr>
          <w:ilvl w:val="0"/>
          <w:numId w:val="56"/>
        </w:numPr>
        <w:spacing w:line="540" w:lineRule="exact"/>
        <w:ind w:left="0" w:firstLine="480"/>
        <w:rPr>
          <w:b w:val="0"/>
          <w:color w:val="auto"/>
          <w:sz w:val="24"/>
          <w:szCs w:val="24"/>
        </w:rPr>
      </w:pPr>
      <w:r>
        <w:rPr>
          <w:b w:val="0"/>
          <w:color w:val="auto"/>
          <w:sz w:val="24"/>
          <w:szCs w:val="24"/>
        </w:rPr>
        <w:t>分值汇总计算错误的；</w:t>
      </w:r>
    </w:p>
    <w:p>
      <w:pPr>
        <w:numPr>
          <w:ilvl w:val="0"/>
          <w:numId w:val="56"/>
        </w:numPr>
        <w:spacing w:line="540" w:lineRule="exact"/>
        <w:ind w:left="0" w:firstLine="480"/>
        <w:rPr>
          <w:b w:val="0"/>
          <w:color w:val="auto"/>
          <w:sz w:val="24"/>
          <w:szCs w:val="24"/>
        </w:rPr>
      </w:pPr>
      <w:r>
        <w:rPr>
          <w:b w:val="0"/>
          <w:color w:val="auto"/>
          <w:sz w:val="24"/>
          <w:szCs w:val="24"/>
        </w:rPr>
        <w:t>分项评分超出评分标准范围的；</w:t>
      </w:r>
    </w:p>
    <w:p>
      <w:pPr>
        <w:numPr>
          <w:ilvl w:val="0"/>
          <w:numId w:val="56"/>
        </w:numPr>
        <w:spacing w:line="540" w:lineRule="exact"/>
        <w:ind w:left="0" w:firstLine="480"/>
        <w:rPr>
          <w:b w:val="0"/>
          <w:color w:val="auto"/>
          <w:sz w:val="24"/>
          <w:szCs w:val="24"/>
        </w:rPr>
      </w:pPr>
      <w:r>
        <w:rPr>
          <w:b w:val="0"/>
          <w:color w:val="auto"/>
          <w:sz w:val="24"/>
          <w:szCs w:val="24"/>
        </w:rPr>
        <w:t>评标委员会成员对客观评审因素评分不一致的；</w:t>
      </w:r>
    </w:p>
    <w:p>
      <w:pPr>
        <w:numPr>
          <w:ilvl w:val="0"/>
          <w:numId w:val="56"/>
        </w:numPr>
        <w:spacing w:line="540" w:lineRule="exact"/>
        <w:ind w:left="0" w:firstLine="480"/>
        <w:rPr>
          <w:b w:val="0"/>
          <w:color w:val="auto"/>
          <w:sz w:val="24"/>
          <w:szCs w:val="24"/>
        </w:rPr>
      </w:pPr>
      <w:r>
        <w:rPr>
          <w:b w:val="0"/>
          <w:color w:val="auto"/>
          <w:sz w:val="24"/>
          <w:szCs w:val="24"/>
        </w:rPr>
        <w:t>经评标委员会认定评分畸高、畸低的。</w:t>
      </w:r>
      <w:r>
        <w:rPr>
          <w:rFonts w:hint="eastAsia"/>
          <w:b w:val="0"/>
          <w:color w:val="auto"/>
          <w:sz w:val="24"/>
          <w:szCs w:val="24"/>
        </w:rPr>
        <w:t xml:space="preserve"> </w:t>
      </w:r>
      <w:r>
        <w:rPr>
          <w:b w:val="0"/>
          <w:color w:val="auto"/>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826" w:name="_Toc496605692"/>
      <w:bookmarkStart w:id="827" w:name="_Toc494198659"/>
      <w:bookmarkStart w:id="828" w:name="_Toc494198985"/>
      <w:bookmarkStart w:id="829" w:name="_Toc500492787"/>
      <w:r>
        <w:rPr>
          <w:b w:val="0"/>
          <w:color w:val="auto"/>
          <w:kern w:val="2"/>
          <w:sz w:val="24"/>
          <w:szCs w:val="24"/>
          <w:lang w:val="en-US"/>
        </w:rPr>
        <w:t>投标人对本条第一款情形提出质疑的，采购人或者采购代理机构可以组织原评标委员会进行重新评审，重新评审改变评标结果的，应当书面报告本级财政部门。</w:t>
      </w:r>
      <w:bookmarkEnd w:id="826"/>
      <w:bookmarkEnd w:id="827"/>
      <w:bookmarkEnd w:id="828"/>
      <w:bookmarkEnd w:id="829"/>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830" w:name="_Toc466896308"/>
      <w:bookmarkStart w:id="831" w:name="_Toc466292958"/>
      <w:bookmarkStart w:id="832" w:name="_Toc475005644"/>
      <w:bookmarkStart w:id="833" w:name="_Toc482094391"/>
      <w:bookmarkStart w:id="834" w:name="_Toc476748819"/>
      <w:bookmarkStart w:id="835" w:name="_Toc477425599"/>
      <w:r>
        <w:rPr>
          <w:rFonts w:hint="eastAsia"/>
          <w:b w:val="0"/>
          <w:color w:val="auto"/>
          <w:kern w:val="2"/>
          <w:sz w:val="24"/>
          <w:szCs w:val="24"/>
          <w:lang w:val="en-US"/>
        </w:rPr>
        <w:t xml:space="preserve"> </w:t>
      </w:r>
      <w:bookmarkStart w:id="836" w:name="_Toc500492788"/>
      <w:bookmarkStart w:id="837" w:name="_Toc494198986"/>
      <w:bookmarkStart w:id="838" w:name="_Toc494198660"/>
      <w:bookmarkStart w:id="839" w:name="_Toc496605693"/>
      <w:r>
        <w:rPr>
          <w:rFonts w:hint="eastAsia"/>
          <w:b w:val="0"/>
          <w:color w:val="auto"/>
          <w:kern w:val="2"/>
          <w:sz w:val="24"/>
          <w:szCs w:val="24"/>
          <w:lang w:val="en-US"/>
        </w:rPr>
        <w:t>采购代理机构复核过程中，评标委员会不得离开评标现场。</w:t>
      </w:r>
      <w:bookmarkEnd w:id="830"/>
      <w:bookmarkEnd w:id="831"/>
      <w:bookmarkEnd w:id="832"/>
      <w:bookmarkEnd w:id="833"/>
      <w:bookmarkEnd w:id="834"/>
      <w:bookmarkEnd w:id="835"/>
      <w:bookmarkEnd w:id="836"/>
      <w:bookmarkEnd w:id="837"/>
      <w:bookmarkEnd w:id="838"/>
      <w:bookmarkEnd w:id="839"/>
    </w:p>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840" w:name="_Toc323824974"/>
      <w:r>
        <w:rPr>
          <w:rFonts w:hint="eastAsia"/>
          <w:bCs/>
          <w:color w:val="auto"/>
          <w:kern w:val="2"/>
          <w:sz w:val="24"/>
          <w:szCs w:val="24"/>
          <w:lang w:val="en-US"/>
        </w:rPr>
        <w:t xml:space="preserve"> </w:t>
      </w:r>
      <w:bookmarkStart w:id="841" w:name="_Toc494198661"/>
      <w:bookmarkStart w:id="842" w:name="_Toc496605694"/>
      <w:r>
        <w:rPr>
          <w:rFonts w:hint="eastAsia"/>
          <w:bCs/>
          <w:color w:val="auto"/>
          <w:kern w:val="2"/>
          <w:sz w:val="24"/>
          <w:szCs w:val="24"/>
          <w:lang w:val="en-US"/>
        </w:rPr>
        <w:t>评标细则及标准</w:t>
      </w:r>
      <w:bookmarkEnd w:id="840"/>
      <w:bookmarkEnd w:id="841"/>
      <w:bookmarkEnd w:id="842"/>
    </w:p>
    <w:p>
      <w:pPr>
        <w:numPr>
          <w:ilvl w:val="2"/>
          <w:numId w:val="16"/>
        </w:numPr>
        <w:tabs>
          <w:tab w:val="left" w:pos="360"/>
        </w:tabs>
        <w:spacing w:line="540" w:lineRule="exact"/>
        <w:ind w:left="0" w:firstLine="482"/>
        <w:jc w:val="left"/>
        <w:outlineLvl w:val="1"/>
        <w:rPr>
          <w:color w:val="auto"/>
          <w:kern w:val="2"/>
          <w:sz w:val="24"/>
          <w:szCs w:val="24"/>
          <w:lang w:val="en-US"/>
        </w:rPr>
      </w:pPr>
      <w:bookmarkStart w:id="843" w:name="_Toc494198662"/>
      <w:bookmarkStart w:id="844" w:name="_Toc500492790"/>
      <w:bookmarkStart w:id="845" w:name="_Toc496605695"/>
      <w:bookmarkStart w:id="846" w:name="_Toc494198988"/>
      <w:bookmarkStart w:id="847" w:name="_Toc476748822"/>
      <w:bookmarkStart w:id="848" w:name="_Toc466896312"/>
      <w:bookmarkStart w:id="849" w:name="_Toc477425602"/>
      <w:bookmarkStart w:id="850" w:name="_Toc482094394"/>
      <w:bookmarkStart w:id="851" w:name="_Toc475005647"/>
      <w:bookmarkStart w:id="852" w:name="_Toc466292962"/>
      <w:r>
        <w:rPr>
          <w:rFonts w:hint="eastAsia"/>
          <w:color w:val="auto"/>
          <w:kern w:val="2"/>
          <w:sz w:val="24"/>
          <w:szCs w:val="24"/>
          <w:lang w:val="en-US"/>
        </w:rPr>
        <w:t>本次综合评分的因素</w:t>
      </w:r>
      <w:bookmarkEnd w:id="843"/>
      <w:bookmarkEnd w:id="844"/>
      <w:bookmarkEnd w:id="845"/>
      <w:bookmarkEnd w:id="846"/>
    </w:p>
    <w:p>
      <w:pPr>
        <w:spacing w:line="540" w:lineRule="exact"/>
        <w:ind w:firstLine="480"/>
        <w:rPr>
          <w:b w:val="0"/>
          <w:color w:val="auto"/>
          <w:sz w:val="24"/>
          <w:szCs w:val="24"/>
        </w:rPr>
      </w:pPr>
      <w:r>
        <w:rPr>
          <w:rFonts w:hint="eastAsia"/>
          <w:b w:val="0"/>
          <w:color w:val="auto"/>
          <w:sz w:val="24"/>
          <w:szCs w:val="24"/>
        </w:rPr>
        <w:t>详见综合评分明细表。</w:t>
      </w:r>
      <w:bookmarkEnd w:id="847"/>
      <w:bookmarkEnd w:id="848"/>
      <w:bookmarkEnd w:id="849"/>
      <w:bookmarkEnd w:id="850"/>
      <w:bookmarkEnd w:id="851"/>
      <w:bookmarkEnd w:id="852"/>
    </w:p>
    <w:p>
      <w:pPr>
        <w:numPr>
          <w:ilvl w:val="2"/>
          <w:numId w:val="16"/>
        </w:numPr>
        <w:tabs>
          <w:tab w:val="left" w:pos="360"/>
        </w:tabs>
        <w:spacing w:line="540" w:lineRule="exact"/>
        <w:ind w:left="0" w:firstLine="480"/>
        <w:jc w:val="left"/>
        <w:outlineLvl w:val="1"/>
        <w:rPr>
          <w:b w:val="0"/>
          <w:color w:val="auto"/>
          <w:kern w:val="2"/>
          <w:sz w:val="24"/>
          <w:szCs w:val="24"/>
          <w:lang w:val="en-US"/>
        </w:rPr>
      </w:pPr>
      <w:bookmarkStart w:id="853" w:name="_Toc494198663"/>
      <w:bookmarkStart w:id="854" w:name="_Toc500492791"/>
      <w:bookmarkStart w:id="855" w:name="_Toc494198989"/>
      <w:bookmarkStart w:id="856" w:name="_Toc496605696"/>
      <w:r>
        <w:rPr>
          <w:rFonts w:hint="eastAsia"/>
          <w:b w:val="0"/>
          <w:color w:val="auto"/>
          <w:kern w:val="2"/>
          <w:sz w:val="24"/>
          <w:szCs w:val="24"/>
          <w:lang w:val="en-US"/>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bookmarkEnd w:id="853"/>
      <w:bookmarkEnd w:id="854"/>
      <w:bookmarkEnd w:id="855"/>
      <w:bookmarkEnd w:id="856"/>
    </w:p>
    <w:p>
      <w:pPr>
        <w:numPr>
          <w:ilvl w:val="2"/>
          <w:numId w:val="16"/>
        </w:numPr>
        <w:tabs>
          <w:tab w:val="left" w:pos="360"/>
        </w:tabs>
        <w:spacing w:line="540" w:lineRule="exact"/>
        <w:ind w:left="0" w:firstLine="482"/>
        <w:jc w:val="left"/>
        <w:outlineLvl w:val="1"/>
        <w:rPr>
          <w:color w:val="auto"/>
          <w:kern w:val="2"/>
          <w:sz w:val="24"/>
          <w:szCs w:val="24"/>
          <w:lang w:val="en-US"/>
        </w:rPr>
      </w:pPr>
      <w:bookmarkStart w:id="857" w:name="_Toc466896315"/>
      <w:bookmarkStart w:id="858" w:name="_Toc476748824"/>
      <w:bookmarkStart w:id="859" w:name="_Toc494198990"/>
      <w:bookmarkStart w:id="860" w:name="_Toc496605697"/>
      <w:bookmarkStart w:id="861" w:name="_Toc482094396"/>
      <w:bookmarkStart w:id="862" w:name="_Toc475005649"/>
      <w:bookmarkStart w:id="863" w:name="_Toc494198664"/>
      <w:bookmarkStart w:id="864" w:name="_Toc466292965"/>
      <w:bookmarkStart w:id="865" w:name="_Toc477425604"/>
      <w:bookmarkStart w:id="866" w:name="_Toc500492792"/>
      <w:r>
        <w:rPr>
          <w:rFonts w:hint="eastAsia"/>
          <w:color w:val="auto"/>
          <w:kern w:val="2"/>
          <w:sz w:val="24"/>
          <w:szCs w:val="24"/>
          <w:lang w:val="en-US"/>
        </w:rPr>
        <w:t>综合评分明细表</w:t>
      </w:r>
      <w:bookmarkEnd w:id="857"/>
      <w:bookmarkEnd w:id="858"/>
      <w:bookmarkEnd w:id="859"/>
      <w:bookmarkEnd w:id="860"/>
      <w:bookmarkEnd w:id="861"/>
      <w:bookmarkEnd w:id="862"/>
      <w:bookmarkEnd w:id="863"/>
      <w:bookmarkEnd w:id="864"/>
      <w:bookmarkEnd w:id="865"/>
      <w:bookmarkEnd w:id="866"/>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867" w:name="_Toc494198665"/>
      <w:bookmarkStart w:id="868" w:name="_Toc500492793"/>
      <w:bookmarkStart w:id="869" w:name="_Toc496605698"/>
      <w:bookmarkStart w:id="870" w:name="_Toc477425605"/>
      <w:bookmarkStart w:id="871" w:name="_Toc475005650"/>
      <w:bookmarkStart w:id="872" w:name="_Toc482094397"/>
      <w:bookmarkStart w:id="873" w:name="_Toc494198991"/>
      <w:bookmarkStart w:id="874" w:name="_Toc466292966"/>
      <w:bookmarkStart w:id="875" w:name="_Toc466896316"/>
      <w:bookmarkStart w:id="876" w:name="_Toc476748825"/>
      <w:r>
        <w:rPr>
          <w:rFonts w:hint="eastAsia"/>
          <w:b w:val="0"/>
          <w:color w:val="auto"/>
          <w:kern w:val="2"/>
          <w:sz w:val="24"/>
          <w:szCs w:val="24"/>
          <w:lang w:val="en-US"/>
        </w:rPr>
        <w:t>综合评分明细表的制定以科学合理、降低评标委员会自由裁量权为原则。</w:t>
      </w:r>
      <w:bookmarkEnd w:id="867"/>
      <w:bookmarkEnd w:id="868"/>
      <w:bookmarkEnd w:id="869"/>
      <w:bookmarkEnd w:id="870"/>
      <w:bookmarkEnd w:id="871"/>
      <w:bookmarkEnd w:id="872"/>
      <w:bookmarkEnd w:id="873"/>
      <w:bookmarkEnd w:id="874"/>
      <w:bookmarkEnd w:id="875"/>
      <w:bookmarkEnd w:id="876"/>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877" w:name="_Toc494198992"/>
      <w:bookmarkStart w:id="878" w:name="_Toc477425606"/>
      <w:bookmarkStart w:id="879" w:name="_Toc500492794"/>
      <w:bookmarkStart w:id="880" w:name="_Toc476748826"/>
      <w:bookmarkStart w:id="881" w:name="_Toc494198666"/>
      <w:bookmarkStart w:id="882" w:name="_Toc466896317"/>
      <w:bookmarkStart w:id="883" w:name="_Toc475005651"/>
      <w:bookmarkStart w:id="884" w:name="_Toc496605699"/>
      <w:bookmarkStart w:id="885" w:name="_Toc466292967"/>
      <w:bookmarkStart w:id="886" w:name="_Toc482094398"/>
      <w:r>
        <w:rPr>
          <w:rFonts w:hint="eastAsia"/>
          <w:b w:val="0"/>
          <w:color w:val="auto"/>
          <w:kern w:val="2"/>
          <w:sz w:val="24"/>
          <w:szCs w:val="24"/>
          <w:lang w:val="en-US"/>
        </w:rPr>
        <w:t>综合评分明细表</w:t>
      </w:r>
      <w:bookmarkEnd w:id="877"/>
      <w:bookmarkEnd w:id="878"/>
      <w:bookmarkEnd w:id="879"/>
      <w:bookmarkEnd w:id="880"/>
      <w:bookmarkEnd w:id="881"/>
      <w:bookmarkEnd w:id="882"/>
      <w:bookmarkEnd w:id="883"/>
      <w:bookmarkEnd w:id="884"/>
      <w:bookmarkEnd w:id="885"/>
      <w:bookmarkEnd w:id="886"/>
    </w:p>
    <w:bookmarkEnd w:id="560"/>
    <w:tbl>
      <w:tblPr>
        <w:tblStyle w:val="77"/>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91"/>
        <w:gridCol w:w="736"/>
        <w:gridCol w:w="552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743" w:type="dxa"/>
            <w:vAlign w:val="center"/>
          </w:tcPr>
          <w:p>
            <w:pPr>
              <w:snapToGrid/>
              <w:spacing w:line="240" w:lineRule="auto"/>
              <w:ind w:firstLine="0" w:firstLineChars="0"/>
              <w:jc w:val="center"/>
              <w:rPr>
                <w:rFonts w:cs="仿宋"/>
                <w:b w:val="0"/>
                <w:color w:val="auto"/>
                <w:kern w:val="2"/>
                <w:sz w:val="24"/>
                <w:szCs w:val="24"/>
                <w:lang w:val="en-US"/>
              </w:rPr>
            </w:pPr>
            <w:bookmarkStart w:id="887" w:name="_Hlk66985552"/>
            <w:r>
              <w:rPr>
                <w:rFonts w:hint="eastAsia" w:cs="仿宋"/>
                <w:b w:val="0"/>
                <w:color w:val="auto"/>
                <w:kern w:val="2"/>
                <w:sz w:val="24"/>
                <w:szCs w:val="24"/>
                <w:lang w:val="en-US"/>
              </w:rPr>
              <w:t>序号</w:t>
            </w:r>
          </w:p>
        </w:tc>
        <w:tc>
          <w:tcPr>
            <w:tcW w:w="1491"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评分因素</w:t>
            </w:r>
          </w:p>
        </w:tc>
        <w:tc>
          <w:tcPr>
            <w:tcW w:w="736"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分值</w:t>
            </w:r>
          </w:p>
        </w:tc>
        <w:tc>
          <w:tcPr>
            <w:tcW w:w="5528"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评分标准</w:t>
            </w:r>
          </w:p>
        </w:tc>
        <w:tc>
          <w:tcPr>
            <w:tcW w:w="880"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一</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报价</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10</w:t>
            </w:r>
          </w:p>
        </w:tc>
        <w:tc>
          <w:tcPr>
            <w:tcW w:w="5528" w:type="dxa"/>
            <w:vAlign w:val="center"/>
          </w:tcPr>
          <w:p>
            <w:pPr>
              <w:snapToGrid/>
              <w:spacing w:line="240" w:lineRule="auto"/>
              <w:ind w:firstLine="0" w:firstLineChars="0"/>
              <w:rPr>
                <w:rFonts w:cs="仿宋"/>
                <w:color w:val="auto"/>
                <w:kern w:val="2"/>
                <w:sz w:val="24"/>
                <w:szCs w:val="24"/>
                <w:lang w:val="en-US"/>
              </w:rPr>
            </w:pPr>
            <w:r>
              <w:rPr>
                <w:rFonts w:hint="eastAsia" w:cs="仿宋"/>
                <w:b w:val="0"/>
                <w:color w:val="auto"/>
                <w:kern w:val="2"/>
                <w:sz w:val="24"/>
                <w:szCs w:val="24"/>
                <w:lang w:val="en-US"/>
              </w:rPr>
              <w:t>通过资格和符合性审查的投标报价中，投标报价最低的作为评标基准价，其价格分为满分。其他投标人的价格分统一按照下列公式计算：投标报价得分=（评标基准价÷投标报价）×分值。</w:t>
            </w:r>
          </w:p>
        </w:tc>
        <w:tc>
          <w:tcPr>
            <w:tcW w:w="880"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共同评审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二</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服务评审</w:t>
            </w:r>
          </w:p>
        </w:tc>
        <w:tc>
          <w:tcPr>
            <w:tcW w:w="736"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40</w:t>
            </w:r>
          </w:p>
        </w:tc>
        <w:tc>
          <w:tcPr>
            <w:tcW w:w="5528" w:type="dxa"/>
            <w:vAlign w:val="center"/>
          </w:tcPr>
          <w:p>
            <w:pPr>
              <w:snapToGrid/>
              <w:spacing w:line="240" w:lineRule="auto"/>
              <w:ind w:firstLine="0" w:firstLineChars="0"/>
              <w:rPr>
                <w:rFonts w:cs="仿宋"/>
                <w:color w:val="auto"/>
                <w:kern w:val="2"/>
                <w:sz w:val="24"/>
                <w:szCs w:val="24"/>
                <w:lang w:val="en-US"/>
              </w:rPr>
            </w:pPr>
          </w:p>
        </w:tc>
        <w:tc>
          <w:tcPr>
            <w:tcW w:w="880"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1</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运维服务方案</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20</w:t>
            </w:r>
          </w:p>
        </w:tc>
        <w:tc>
          <w:tcPr>
            <w:tcW w:w="5528" w:type="dxa"/>
            <w:vAlign w:val="center"/>
          </w:tcPr>
          <w:p>
            <w:pPr>
              <w:snapToGrid/>
              <w:spacing w:line="240" w:lineRule="auto"/>
              <w:ind w:firstLine="0" w:firstLineChars="0"/>
              <w:rPr>
                <w:rFonts w:cs="仿宋"/>
                <w:b w:val="0"/>
                <w:color w:val="auto"/>
                <w:kern w:val="2"/>
                <w:sz w:val="24"/>
                <w:szCs w:val="24"/>
                <w:lang w:val="en-US"/>
              </w:rPr>
            </w:pPr>
            <w:r>
              <w:rPr>
                <w:rFonts w:hint="eastAsia" w:cs="仿宋"/>
                <w:b w:val="0"/>
                <w:color w:val="auto"/>
                <w:kern w:val="2"/>
                <w:sz w:val="24"/>
                <w:szCs w:val="24"/>
                <w:lang w:val="en-US"/>
              </w:rPr>
              <w:t>投标人针对本项目提供运维服务方案，内容包括：①项目现状的理解与分析，②运维重点难点的把控与应对措施，③运维服务内容，④运维保障体系，⑤应急方案。每提供1项得4分，最多得20分；提供的内容中每有一处有缺失或者逻辑不合理或者与本项目不相符的扣2分，该项分值4分扣完为止。</w:t>
            </w:r>
          </w:p>
        </w:tc>
        <w:tc>
          <w:tcPr>
            <w:tcW w:w="880" w:type="dxa"/>
            <w:vAlign w:val="center"/>
          </w:tcPr>
          <w:p>
            <w:pPr>
              <w:snapToGrid/>
              <w:spacing w:line="240" w:lineRule="auto"/>
              <w:ind w:firstLine="0" w:firstLineChars="0"/>
              <w:rPr>
                <w:rFonts w:cs="仿宋"/>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2</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风险控制能力</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20</w:t>
            </w:r>
          </w:p>
        </w:tc>
        <w:tc>
          <w:tcPr>
            <w:tcW w:w="5528" w:type="dxa"/>
            <w:vAlign w:val="center"/>
          </w:tcPr>
          <w:p>
            <w:pPr>
              <w:snapToGrid/>
              <w:spacing w:line="240" w:lineRule="auto"/>
              <w:ind w:firstLine="0" w:firstLineChars="0"/>
              <w:rPr>
                <w:rFonts w:hint="eastAsia" w:cs="仿宋"/>
                <w:b w:val="0"/>
                <w:color w:val="auto"/>
                <w:kern w:val="2"/>
                <w:sz w:val="24"/>
                <w:szCs w:val="24"/>
                <w:lang w:val="en-US"/>
              </w:rPr>
            </w:pPr>
            <w:r>
              <w:rPr>
                <w:rFonts w:hint="eastAsia" w:cs="仿宋"/>
                <w:b w:val="0"/>
                <w:color w:val="auto"/>
                <w:kern w:val="2"/>
                <w:sz w:val="24"/>
                <w:szCs w:val="24"/>
                <w:lang w:val="en-US"/>
              </w:rPr>
              <w:t>投标人结合行业实践和信息安全运维经验，对本项目运维中的风险管控进行描述，内容包括：1、设备损坏风险；2、应急响应风险；3、业务中断风险；4、数据丢失风险；5、病毒和攻击风险，评标委员会按以下要求进行评审（总分为20</w:t>
            </w:r>
            <w:r>
              <w:rPr>
                <w:rFonts w:hint="eastAsia" w:cs="仿宋"/>
                <w:b w:val="0"/>
                <w:color w:val="auto"/>
                <w:kern w:val="2"/>
                <w:sz w:val="24"/>
                <w:szCs w:val="24"/>
                <w:lang w:val="en-US"/>
              </w:rPr>
              <w:t>分）：</w:t>
            </w:r>
          </w:p>
          <w:p>
            <w:pPr>
              <w:snapToGrid/>
              <w:spacing w:line="240" w:lineRule="auto"/>
              <w:ind w:firstLine="0" w:firstLineChars="0"/>
              <w:rPr>
                <w:rFonts w:hint="eastAsia" w:cs="仿宋"/>
                <w:b w:val="0"/>
                <w:color w:val="auto"/>
                <w:kern w:val="2"/>
                <w:sz w:val="24"/>
                <w:szCs w:val="24"/>
                <w:lang w:val="en-US"/>
              </w:rPr>
            </w:pPr>
            <w:r>
              <w:rPr>
                <w:rFonts w:hint="eastAsia" w:cs="仿宋"/>
                <w:b w:val="0"/>
                <w:color w:val="auto"/>
                <w:kern w:val="2"/>
                <w:sz w:val="24"/>
                <w:szCs w:val="24"/>
                <w:lang w:val="en-US"/>
              </w:rPr>
              <w:t>1.</w:t>
            </w:r>
            <w:r>
              <w:rPr>
                <w:rFonts w:hint="eastAsia" w:cs="仿宋"/>
                <w:b w:val="0"/>
                <w:color w:val="auto"/>
                <w:kern w:val="2"/>
                <w:sz w:val="24"/>
                <w:szCs w:val="24"/>
                <w:lang w:val="en-US"/>
              </w:rPr>
              <w:t>上述5项内容描述清晰的，每有1项得1分，最多得5分；</w:t>
            </w:r>
          </w:p>
          <w:p>
            <w:pPr>
              <w:snapToGrid/>
              <w:spacing w:line="240" w:lineRule="auto"/>
              <w:ind w:firstLine="0" w:firstLineChars="0"/>
              <w:rPr>
                <w:rFonts w:hint="eastAsia" w:cs="仿宋"/>
                <w:b w:val="0"/>
                <w:color w:val="auto"/>
                <w:kern w:val="2"/>
                <w:sz w:val="24"/>
                <w:szCs w:val="24"/>
                <w:lang w:val="en-US"/>
              </w:rPr>
            </w:pPr>
            <w:r>
              <w:rPr>
                <w:rFonts w:hint="eastAsia" w:cs="仿宋"/>
                <w:b w:val="0"/>
                <w:color w:val="auto"/>
                <w:kern w:val="2"/>
                <w:sz w:val="24"/>
                <w:szCs w:val="24"/>
                <w:lang w:val="en-US"/>
              </w:rPr>
              <w:t>2.</w:t>
            </w:r>
            <w:r>
              <w:rPr>
                <w:rFonts w:hint="eastAsia" w:cs="仿宋"/>
                <w:b w:val="0"/>
                <w:color w:val="auto"/>
                <w:kern w:val="2"/>
                <w:sz w:val="24"/>
                <w:szCs w:val="24"/>
                <w:lang w:val="en-US"/>
              </w:rPr>
              <w:t>上述5项内容重点突出的，每有1项得1分，最多得5分；</w:t>
            </w:r>
          </w:p>
          <w:p>
            <w:pPr>
              <w:snapToGrid/>
              <w:spacing w:line="240" w:lineRule="auto"/>
              <w:ind w:firstLine="0" w:firstLineChars="0"/>
              <w:rPr>
                <w:rFonts w:hint="eastAsia" w:cs="仿宋"/>
                <w:b w:val="0"/>
                <w:color w:val="auto"/>
                <w:kern w:val="2"/>
                <w:sz w:val="24"/>
                <w:szCs w:val="24"/>
                <w:lang w:val="en-US"/>
              </w:rPr>
            </w:pPr>
            <w:r>
              <w:rPr>
                <w:rFonts w:hint="eastAsia" w:cs="仿宋"/>
                <w:b w:val="0"/>
                <w:color w:val="auto"/>
                <w:kern w:val="2"/>
                <w:sz w:val="24"/>
                <w:szCs w:val="24"/>
                <w:lang w:val="en-US"/>
              </w:rPr>
              <w:t>3.</w:t>
            </w:r>
            <w:r>
              <w:rPr>
                <w:rFonts w:hint="eastAsia" w:cs="仿宋"/>
                <w:b w:val="0"/>
                <w:color w:val="auto"/>
                <w:kern w:val="2"/>
                <w:sz w:val="24"/>
                <w:szCs w:val="24"/>
                <w:lang w:val="en-US"/>
              </w:rPr>
              <w:t>上述5项内容风险控制及时的，每有1项得1分，最多得5分；</w:t>
            </w:r>
          </w:p>
          <w:p>
            <w:pPr>
              <w:snapToGrid/>
              <w:spacing w:line="240" w:lineRule="auto"/>
              <w:ind w:firstLine="0" w:firstLineChars="0"/>
              <w:rPr>
                <w:rFonts w:cs="仿宋"/>
                <w:b w:val="0"/>
                <w:color w:val="auto"/>
                <w:kern w:val="2"/>
                <w:sz w:val="24"/>
                <w:szCs w:val="24"/>
                <w:lang w:val="en-US"/>
              </w:rPr>
            </w:pPr>
            <w:r>
              <w:rPr>
                <w:rFonts w:hint="eastAsia" w:cs="仿宋"/>
                <w:b w:val="0"/>
                <w:color w:val="auto"/>
                <w:kern w:val="2"/>
                <w:sz w:val="24"/>
                <w:szCs w:val="24"/>
                <w:lang w:val="en-US"/>
              </w:rPr>
              <w:t>4.</w:t>
            </w:r>
            <w:r>
              <w:rPr>
                <w:rFonts w:hint="eastAsia" w:cs="仿宋"/>
                <w:b w:val="0"/>
                <w:color w:val="auto"/>
                <w:kern w:val="2"/>
                <w:sz w:val="24"/>
                <w:szCs w:val="24"/>
                <w:lang w:val="en-US"/>
              </w:rPr>
              <w:t>上述5项内容管控措施有效的，每有1项得1分，最多得5分。</w:t>
            </w:r>
          </w:p>
        </w:tc>
        <w:tc>
          <w:tcPr>
            <w:tcW w:w="880" w:type="dxa"/>
            <w:vAlign w:val="center"/>
          </w:tcPr>
          <w:p>
            <w:pPr>
              <w:snapToGrid/>
              <w:spacing w:line="240" w:lineRule="auto"/>
              <w:ind w:firstLine="0" w:firstLineChars="0"/>
              <w:rPr>
                <w:rFonts w:cs="仿宋"/>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三</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运维团队及运维平台</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30</w:t>
            </w:r>
          </w:p>
        </w:tc>
        <w:tc>
          <w:tcPr>
            <w:tcW w:w="5528" w:type="dxa"/>
            <w:vAlign w:val="center"/>
          </w:tcPr>
          <w:p>
            <w:pPr>
              <w:snapToGrid/>
              <w:spacing w:line="240" w:lineRule="auto"/>
              <w:ind w:firstLine="0" w:firstLineChars="0"/>
              <w:rPr>
                <w:rFonts w:cs="仿宋"/>
                <w:color w:val="auto"/>
                <w:kern w:val="2"/>
                <w:sz w:val="24"/>
                <w:szCs w:val="24"/>
                <w:lang w:val="en-US"/>
              </w:rPr>
            </w:pPr>
          </w:p>
        </w:tc>
        <w:tc>
          <w:tcPr>
            <w:tcW w:w="880" w:type="dxa"/>
            <w:vAlign w:val="center"/>
          </w:tcPr>
          <w:p>
            <w:pPr>
              <w:snapToGrid/>
              <w:spacing w:line="240" w:lineRule="auto"/>
              <w:ind w:firstLine="0" w:firstLineChars="0"/>
              <w:jc w:val="left"/>
              <w:rPr>
                <w:rFonts w:cs="仿宋"/>
                <w:color w:val="auto"/>
                <w:kern w:val="2"/>
                <w:sz w:val="24"/>
                <w:szCs w:val="24"/>
                <w:lang w:val="en-US"/>
              </w:rPr>
            </w:pPr>
            <w:r>
              <w:rPr>
                <w:rFonts w:hint="eastAsia" w:cs="仿宋"/>
                <w:b w:val="0"/>
                <w:color w:val="auto"/>
                <w:kern w:val="2"/>
                <w:sz w:val="24"/>
                <w:szCs w:val="24"/>
                <w:lang w:val="en-US"/>
              </w:rPr>
              <w:t>共同评审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1</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运维人员</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3</w:t>
            </w:r>
          </w:p>
        </w:tc>
        <w:tc>
          <w:tcPr>
            <w:tcW w:w="5528" w:type="dxa"/>
            <w:vAlign w:val="center"/>
          </w:tcPr>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投入本项目的运维服务人员持有下列证书的（</w:t>
            </w:r>
            <w:r>
              <w:rPr>
                <w:rFonts w:cs="仿宋"/>
                <w:b w:val="0"/>
                <w:color w:val="auto"/>
                <w:kern w:val="2"/>
                <w:sz w:val="24"/>
                <w:szCs w:val="24"/>
                <w:lang w:val="en-US"/>
              </w:rPr>
              <w:t>CCIE、H3CIE、HCIE、CISP、CISSP），每提供一个得0.</w:t>
            </w:r>
            <w:r>
              <w:rPr>
                <w:rFonts w:hint="eastAsia" w:cs="仿宋"/>
                <w:b w:val="0"/>
                <w:color w:val="auto"/>
                <w:kern w:val="2"/>
                <w:sz w:val="24"/>
                <w:szCs w:val="24"/>
                <w:lang w:val="en-US"/>
              </w:rPr>
              <w:t>6</w:t>
            </w:r>
            <w:r>
              <w:rPr>
                <w:rFonts w:cs="仿宋"/>
                <w:b w:val="0"/>
                <w:color w:val="auto"/>
                <w:kern w:val="2"/>
                <w:sz w:val="24"/>
                <w:szCs w:val="24"/>
                <w:lang w:val="en-US"/>
              </w:rPr>
              <w:t>分，最多3分。（说明：一个人员多个证书不重复计算）</w:t>
            </w:r>
          </w:p>
          <w:p>
            <w:pPr>
              <w:snapToGrid/>
              <w:spacing w:after="218" w:afterLines="50" w:line="240" w:lineRule="auto"/>
              <w:ind w:firstLine="0" w:firstLineChars="0"/>
              <w:jc w:val="left"/>
              <w:rPr>
                <w:b w:val="0"/>
                <w:color w:val="auto"/>
                <w:kern w:val="2"/>
                <w:sz w:val="24"/>
                <w:szCs w:val="24"/>
                <w:lang w:val="en-US"/>
              </w:rPr>
            </w:pPr>
            <w:r>
              <w:rPr>
                <w:rFonts w:hint="eastAsia" w:cs="仿宋"/>
                <w:b w:val="0"/>
                <w:color w:val="auto"/>
                <w:kern w:val="2"/>
                <w:sz w:val="24"/>
                <w:szCs w:val="24"/>
                <w:lang w:val="en-US"/>
              </w:rPr>
              <w:t>注：提供相关证书复印件及其为投标人单位员工的证明材料复印件加盖投标人公章。</w:t>
            </w:r>
          </w:p>
        </w:tc>
        <w:tc>
          <w:tcPr>
            <w:tcW w:w="880" w:type="dxa"/>
            <w:vAlign w:val="center"/>
          </w:tcPr>
          <w:p>
            <w:pPr>
              <w:snapToGrid/>
              <w:spacing w:line="240" w:lineRule="auto"/>
              <w:ind w:firstLine="0" w:firstLineChars="0"/>
              <w:rPr>
                <w:rFonts w:cs="仿宋"/>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2</w:t>
            </w:r>
          </w:p>
        </w:tc>
        <w:tc>
          <w:tcPr>
            <w:tcW w:w="1491"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投标人</w:t>
            </w:r>
          </w:p>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实力</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6</w:t>
            </w:r>
          </w:p>
        </w:tc>
        <w:tc>
          <w:tcPr>
            <w:tcW w:w="5528" w:type="dxa"/>
            <w:vAlign w:val="center"/>
          </w:tcPr>
          <w:p>
            <w:pPr>
              <w:widowControl/>
              <w:snapToGrid/>
              <w:spacing w:line="240" w:lineRule="auto"/>
              <w:ind w:firstLine="0" w:firstLineChars="0"/>
              <w:jc w:val="left"/>
              <w:rPr>
                <w:rFonts w:cs="仿宋"/>
                <w:b w:val="0"/>
                <w:color w:val="auto"/>
                <w:kern w:val="2"/>
                <w:sz w:val="24"/>
                <w:szCs w:val="24"/>
                <w:lang w:val="en-US"/>
              </w:rPr>
            </w:pPr>
            <w:r>
              <w:rPr>
                <w:rFonts w:cs="仿宋"/>
                <w:b w:val="0"/>
                <w:color w:val="auto"/>
                <w:kern w:val="2"/>
                <w:sz w:val="24"/>
                <w:szCs w:val="24"/>
                <w:lang w:val="en-US"/>
              </w:rPr>
              <w:t>1、投标人具有信息安全服务资质认证－信息安全风险评估服务类证书</w:t>
            </w:r>
            <w:r>
              <w:rPr>
                <w:rFonts w:hint="eastAsia" w:cs="仿宋"/>
                <w:b w:val="0"/>
                <w:color w:val="auto"/>
                <w:kern w:val="2"/>
                <w:sz w:val="24"/>
                <w:szCs w:val="24"/>
                <w:lang w:val="en-US"/>
              </w:rPr>
              <w:t>：</w:t>
            </w:r>
            <w:r>
              <w:rPr>
                <w:rFonts w:cs="仿宋"/>
                <w:b w:val="0"/>
                <w:color w:val="auto"/>
                <w:kern w:val="2"/>
                <w:sz w:val="24"/>
                <w:szCs w:val="24"/>
                <w:lang w:val="en-US"/>
              </w:rPr>
              <w:t>一级</w:t>
            </w:r>
            <w:r>
              <w:rPr>
                <w:rFonts w:hint="eastAsia" w:cs="仿宋"/>
                <w:b w:val="0"/>
                <w:color w:val="auto"/>
                <w:kern w:val="2"/>
                <w:sz w:val="24"/>
                <w:szCs w:val="24"/>
                <w:lang w:val="en-US"/>
              </w:rPr>
              <w:t>的</w:t>
            </w:r>
            <w:r>
              <w:rPr>
                <w:rFonts w:cs="仿宋"/>
                <w:b w:val="0"/>
                <w:color w:val="auto"/>
                <w:kern w:val="2"/>
                <w:sz w:val="24"/>
                <w:szCs w:val="24"/>
                <w:lang w:val="en-US"/>
              </w:rPr>
              <w:t>得3分，二级的得1分，三级及以下的得0.5分。</w:t>
            </w:r>
          </w:p>
          <w:p>
            <w:pPr>
              <w:widowControl/>
              <w:snapToGrid/>
              <w:spacing w:line="240" w:lineRule="auto"/>
              <w:ind w:firstLine="0" w:firstLineChars="0"/>
              <w:jc w:val="left"/>
              <w:rPr>
                <w:rFonts w:cs="仿宋"/>
                <w:b w:val="0"/>
                <w:color w:val="auto"/>
                <w:kern w:val="2"/>
                <w:sz w:val="24"/>
                <w:szCs w:val="24"/>
                <w:lang w:val="en-US"/>
              </w:rPr>
            </w:pPr>
            <w:r>
              <w:rPr>
                <w:rFonts w:cs="仿宋"/>
                <w:b w:val="0"/>
                <w:color w:val="auto"/>
                <w:kern w:val="2"/>
                <w:sz w:val="24"/>
                <w:szCs w:val="24"/>
                <w:lang w:val="en-US"/>
              </w:rPr>
              <w:t>2、投标人具有ITSS（信息技术服务标准）认证—运行维护类证书</w:t>
            </w:r>
            <w:r>
              <w:rPr>
                <w:rFonts w:hint="eastAsia" w:cs="仿宋"/>
                <w:b w:val="0"/>
                <w:color w:val="auto"/>
                <w:kern w:val="2"/>
                <w:sz w:val="24"/>
                <w:szCs w:val="24"/>
                <w:lang w:val="en-US"/>
              </w:rPr>
              <w:t>：</w:t>
            </w:r>
            <w:r>
              <w:rPr>
                <w:rFonts w:cs="仿宋"/>
                <w:b w:val="0"/>
                <w:color w:val="auto"/>
                <w:kern w:val="2"/>
                <w:sz w:val="24"/>
                <w:szCs w:val="24"/>
                <w:lang w:val="en-US"/>
              </w:rPr>
              <w:t>一级的得3分，二级的得1分，三级及以下的得0.5分。</w:t>
            </w:r>
          </w:p>
          <w:p>
            <w:pPr>
              <w:spacing w:line="240" w:lineRule="auto"/>
              <w:ind w:firstLine="0" w:firstLineChars="0"/>
              <w:rPr>
                <w:rFonts w:cs="仿宋"/>
                <w:b w:val="0"/>
                <w:color w:val="auto"/>
                <w:kern w:val="2"/>
                <w:sz w:val="24"/>
                <w:szCs w:val="24"/>
                <w:lang w:val="en-US"/>
              </w:rPr>
            </w:pPr>
            <w:r>
              <w:rPr>
                <w:rFonts w:hint="eastAsia" w:cs="仿宋"/>
                <w:b w:val="0"/>
                <w:color w:val="auto"/>
                <w:kern w:val="2"/>
                <w:sz w:val="24"/>
                <w:szCs w:val="24"/>
                <w:lang w:val="en-US"/>
              </w:rPr>
              <w:t>注：以上提供相关证书复印件加盖投标人公章。</w:t>
            </w:r>
          </w:p>
        </w:tc>
        <w:tc>
          <w:tcPr>
            <w:tcW w:w="880" w:type="dxa"/>
            <w:vAlign w:val="center"/>
          </w:tcPr>
          <w:p>
            <w:pPr>
              <w:widowControl/>
              <w:snapToGrid/>
              <w:spacing w:line="240" w:lineRule="auto"/>
              <w:ind w:firstLine="0" w:firstLineChars="0"/>
              <w:jc w:val="left"/>
              <w:rPr>
                <w:rFonts w:cs="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3</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投标人运维管理平台</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21</w:t>
            </w:r>
          </w:p>
        </w:tc>
        <w:tc>
          <w:tcPr>
            <w:tcW w:w="5528" w:type="dxa"/>
            <w:vAlign w:val="center"/>
          </w:tcPr>
          <w:p>
            <w:pPr>
              <w:widowControl/>
              <w:snapToGrid/>
              <w:spacing w:line="240" w:lineRule="auto"/>
              <w:ind w:firstLine="0" w:firstLineChars="0"/>
              <w:jc w:val="left"/>
              <w:rPr>
                <w:rFonts w:cs="仿宋"/>
                <w:b w:val="0"/>
                <w:color w:val="auto"/>
                <w:kern w:val="2"/>
                <w:sz w:val="24"/>
                <w:szCs w:val="24"/>
                <w:lang w:val="en-US"/>
              </w:rPr>
            </w:pPr>
            <w:r>
              <w:rPr>
                <w:rFonts w:cs="仿宋"/>
                <w:b w:val="0"/>
                <w:color w:val="auto"/>
                <w:kern w:val="2"/>
                <w:sz w:val="24"/>
                <w:szCs w:val="24"/>
                <w:lang w:val="en-US"/>
              </w:rPr>
              <w:t>1、投标人</w:t>
            </w:r>
            <w:r>
              <w:rPr>
                <w:rFonts w:hint="eastAsia" w:cs="仿宋"/>
                <w:b w:val="0"/>
                <w:color w:val="auto"/>
                <w:kern w:val="2"/>
                <w:sz w:val="24"/>
                <w:szCs w:val="24"/>
                <w:lang w:val="en-US"/>
              </w:rPr>
              <w:t>具有与本项目运维内容相关的运维系统或平台</w:t>
            </w:r>
            <w:r>
              <w:rPr>
                <w:rFonts w:cs="仿宋"/>
                <w:b w:val="0"/>
                <w:color w:val="auto"/>
                <w:kern w:val="2"/>
                <w:sz w:val="24"/>
                <w:szCs w:val="24"/>
                <w:lang w:val="en-US"/>
              </w:rPr>
              <w:t>（</w:t>
            </w:r>
            <w:r>
              <w:rPr>
                <w:rFonts w:hint="eastAsia" w:cs="仿宋"/>
                <w:b w:val="0"/>
                <w:color w:val="auto"/>
                <w:kern w:val="2"/>
                <w:sz w:val="24"/>
                <w:szCs w:val="24"/>
                <w:lang w:val="en-US"/>
              </w:rPr>
              <w:t>类型包括</w:t>
            </w:r>
            <w:r>
              <w:rPr>
                <w:rFonts w:cs="仿宋"/>
                <w:b w:val="0"/>
                <w:color w:val="auto"/>
                <w:kern w:val="2"/>
                <w:sz w:val="24"/>
                <w:szCs w:val="24"/>
                <w:lang w:val="en-US"/>
              </w:rPr>
              <w:t>网络</w:t>
            </w:r>
            <w:r>
              <w:rPr>
                <w:rFonts w:hint="eastAsia" w:cs="仿宋"/>
                <w:b w:val="0"/>
                <w:color w:val="auto"/>
                <w:kern w:val="2"/>
                <w:sz w:val="24"/>
                <w:szCs w:val="24"/>
                <w:lang w:val="en-US"/>
              </w:rPr>
              <w:t>或</w:t>
            </w:r>
            <w:r>
              <w:rPr>
                <w:rFonts w:cs="仿宋"/>
                <w:b w:val="0"/>
                <w:color w:val="auto"/>
                <w:kern w:val="2"/>
                <w:sz w:val="24"/>
                <w:szCs w:val="24"/>
                <w:lang w:val="en-US"/>
              </w:rPr>
              <w:t>安全</w:t>
            </w:r>
            <w:r>
              <w:rPr>
                <w:rFonts w:hint="eastAsia" w:cs="仿宋"/>
                <w:b w:val="0"/>
                <w:color w:val="auto"/>
                <w:kern w:val="2"/>
                <w:sz w:val="24"/>
                <w:szCs w:val="24"/>
                <w:lang w:val="en-US"/>
              </w:rPr>
              <w:t>或</w:t>
            </w:r>
            <w:r>
              <w:rPr>
                <w:rFonts w:cs="仿宋"/>
                <w:b w:val="0"/>
                <w:color w:val="auto"/>
                <w:kern w:val="2"/>
                <w:sz w:val="24"/>
                <w:szCs w:val="24"/>
                <w:lang w:val="en-US"/>
              </w:rPr>
              <w:t>服务器</w:t>
            </w:r>
            <w:r>
              <w:rPr>
                <w:rFonts w:hint="eastAsia" w:cs="仿宋"/>
                <w:b w:val="0"/>
                <w:color w:val="auto"/>
                <w:kern w:val="2"/>
                <w:sz w:val="24"/>
                <w:szCs w:val="24"/>
                <w:lang w:val="en-US"/>
              </w:rPr>
              <w:t>或</w:t>
            </w:r>
            <w:r>
              <w:rPr>
                <w:rFonts w:cs="仿宋"/>
                <w:b w:val="0"/>
                <w:color w:val="auto"/>
                <w:kern w:val="2"/>
                <w:sz w:val="24"/>
                <w:szCs w:val="24"/>
                <w:lang w:val="en-US"/>
              </w:rPr>
              <w:t>存储</w:t>
            </w:r>
            <w:r>
              <w:rPr>
                <w:rFonts w:hint="eastAsia" w:cs="仿宋"/>
                <w:b w:val="0"/>
                <w:color w:val="auto"/>
                <w:kern w:val="2"/>
                <w:sz w:val="24"/>
                <w:szCs w:val="24"/>
                <w:lang w:val="en-US"/>
              </w:rPr>
              <w:t>或</w:t>
            </w:r>
            <w:r>
              <w:rPr>
                <w:rFonts w:cs="仿宋"/>
                <w:b w:val="0"/>
                <w:color w:val="auto"/>
                <w:kern w:val="2"/>
                <w:sz w:val="24"/>
                <w:szCs w:val="24"/>
                <w:lang w:val="en-US"/>
              </w:rPr>
              <w:t>备份</w:t>
            </w:r>
            <w:r>
              <w:rPr>
                <w:rFonts w:hint="eastAsia" w:cs="仿宋"/>
                <w:b w:val="0"/>
                <w:color w:val="auto"/>
                <w:kern w:val="2"/>
                <w:sz w:val="24"/>
                <w:szCs w:val="24"/>
                <w:lang w:val="en-US"/>
              </w:rPr>
              <w:t>系统</w:t>
            </w:r>
            <w:r>
              <w:rPr>
                <w:rFonts w:cs="仿宋"/>
                <w:b w:val="0"/>
                <w:color w:val="auto"/>
                <w:kern w:val="2"/>
                <w:sz w:val="24"/>
                <w:szCs w:val="24"/>
                <w:lang w:val="en-US"/>
              </w:rPr>
              <w:t>）的，每有1个得</w:t>
            </w:r>
            <w:r>
              <w:rPr>
                <w:rFonts w:hint="eastAsia" w:cs="仿宋"/>
                <w:b w:val="0"/>
                <w:color w:val="auto"/>
                <w:kern w:val="2"/>
                <w:sz w:val="24"/>
                <w:szCs w:val="24"/>
                <w:lang w:val="en-US"/>
              </w:rPr>
              <w:t>3</w:t>
            </w:r>
            <w:r>
              <w:rPr>
                <w:rFonts w:cs="仿宋"/>
                <w:b w:val="0"/>
                <w:color w:val="auto"/>
                <w:kern w:val="2"/>
                <w:sz w:val="24"/>
                <w:szCs w:val="24"/>
                <w:lang w:val="en-US"/>
              </w:rPr>
              <w:t>分，最多得1</w:t>
            </w:r>
            <w:r>
              <w:rPr>
                <w:rFonts w:hint="eastAsia" w:cs="仿宋"/>
                <w:b w:val="0"/>
                <w:color w:val="auto"/>
                <w:kern w:val="2"/>
                <w:sz w:val="24"/>
                <w:szCs w:val="24"/>
                <w:lang w:val="en-US"/>
              </w:rPr>
              <w:t>5</w:t>
            </w:r>
            <w:r>
              <w:rPr>
                <w:rFonts w:cs="仿宋"/>
                <w:b w:val="0"/>
                <w:color w:val="auto"/>
                <w:kern w:val="2"/>
                <w:sz w:val="24"/>
                <w:szCs w:val="24"/>
                <w:lang w:val="en-US"/>
              </w:rPr>
              <w:t>分，无不得分。</w:t>
            </w:r>
          </w:p>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注：1</w:t>
            </w:r>
            <w:r>
              <w:rPr>
                <w:rFonts w:cs="仿宋"/>
                <w:b w:val="0"/>
                <w:color w:val="auto"/>
                <w:kern w:val="2"/>
                <w:sz w:val="24"/>
                <w:szCs w:val="24"/>
                <w:lang w:val="en-US"/>
              </w:rPr>
              <w:t>.</w:t>
            </w:r>
            <w:r>
              <w:rPr>
                <w:rFonts w:hint="eastAsia" w:cs="仿宋"/>
                <w:b w:val="0"/>
                <w:color w:val="auto"/>
                <w:kern w:val="2"/>
                <w:sz w:val="24"/>
                <w:szCs w:val="24"/>
                <w:lang w:val="en-US"/>
              </w:rPr>
              <w:t>提供与本项目运维内容相关的</w:t>
            </w:r>
            <w:r>
              <w:rPr>
                <w:rFonts w:cs="仿宋"/>
                <w:b w:val="0"/>
                <w:color w:val="auto"/>
                <w:kern w:val="2"/>
                <w:sz w:val="24"/>
                <w:szCs w:val="24"/>
                <w:lang w:val="en-US"/>
              </w:rPr>
              <w:t>运维系统或平台</w:t>
            </w:r>
            <w:r>
              <w:rPr>
                <w:rFonts w:hint="eastAsia" w:cs="仿宋"/>
                <w:b w:val="0"/>
                <w:color w:val="auto"/>
                <w:kern w:val="2"/>
                <w:sz w:val="24"/>
                <w:szCs w:val="24"/>
                <w:lang w:val="en-US"/>
              </w:rPr>
              <w:t>的软件著作权证书复印件加盖投标人公章；2</w:t>
            </w:r>
            <w:r>
              <w:rPr>
                <w:rFonts w:cs="仿宋"/>
                <w:b w:val="0"/>
                <w:color w:val="auto"/>
                <w:kern w:val="2"/>
                <w:sz w:val="24"/>
                <w:szCs w:val="24"/>
                <w:lang w:val="en-US"/>
              </w:rPr>
              <w:t>.</w:t>
            </w:r>
            <w:r>
              <w:rPr>
                <w:rFonts w:hint="eastAsia" w:cs="仿宋"/>
                <w:b w:val="0"/>
                <w:color w:val="auto"/>
                <w:kern w:val="2"/>
                <w:sz w:val="24"/>
                <w:szCs w:val="24"/>
                <w:lang w:val="en-US"/>
              </w:rPr>
              <w:t>同一类型提供多个软件著作权证书的，可重复计分。</w:t>
            </w:r>
          </w:p>
          <w:p>
            <w:pPr>
              <w:widowControl/>
              <w:snapToGrid/>
              <w:spacing w:line="240" w:lineRule="auto"/>
              <w:ind w:firstLine="0" w:firstLineChars="0"/>
              <w:jc w:val="left"/>
              <w:rPr>
                <w:rFonts w:cs="仿宋"/>
                <w:b w:val="0"/>
                <w:color w:val="auto"/>
                <w:kern w:val="2"/>
                <w:sz w:val="24"/>
                <w:szCs w:val="24"/>
                <w:lang w:val="en-US"/>
              </w:rPr>
            </w:pPr>
            <w:r>
              <w:rPr>
                <w:rFonts w:cs="仿宋"/>
                <w:b w:val="0"/>
                <w:color w:val="auto"/>
                <w:kern w:val="2"/>
                <w:sz w:val="24"/>
                <w:szCs w:val="24"/>
                <w:lang w:val="en-US"/>
              </w:rPr>
              <w:t>2、投标人</w:t>
            </w:r>
            <w:r>
              <w:rPr>
                <w:rFonts w:hint="eastAsia" w:cs="仿宋"/>
                <w:b w:val="0"/>
                <w:color w:val="auto"/>
                <w:kern w:val="2"/>
                <w:sz w:val="24"/>
                <w:szCs w:val="24"/>
                <w:lang w:val="en-US"/>
              </w:rPr>
              <w:t>为本项目</w:t>
            </w:r>
            <w:r>
              <w:rPr>
                <w:rFonts w:cs="仿宋"/>
                <w:b w:val="0"/>
                <w:color w:val="auto"/>
                <w:kern w:val="2"/>
                <w:sz w:val="24"/>
                <w:szCs w:val="24"/>
                <w:lang w:val="en-US"/>
              </w:rPr>
              <w:t>提供的运维工具支持以表格方式批量导出端口监控信息的得</w:t>
            </w:r>
            <w:r>
              <w:rPr>
                <w:rFonts w:hint="eastAsia" w:cs="仿宋"/>
                <w:b w:val="0"/>
                <w:color w:val="auto"/>
                <w:kern w:val="2"/>
                <w:sz w:val="24"/>
                <w:szCs w:val="24"/>
                <w:lang w:val="en-US"/>
              </w:rPr>
              <w:t>3</w:t>
            </w:r>
            <w:r>
              <w:rPr>
                <w:rFonts w:cs="仿宋"/>
                <w:b w:val="0"/>
                <w:color w:val="auto"/>
                <w:kern w:val="2"/>
                <w:sz w:val="24"/>
                <w:szCs w:val="24"/>
                <w:lang w:val="en-US"/>
              </w:rPr>
              <w:t>分；支持</w:t>
            </w:r>
            <w:r>
              <w:rPr>
                <w:rFonts w:hint="eastAsia" w:cs="仿宋"/>
                <w:b w:val="0"/>
                <w:color w:val="auto"/>
                <w:kern w:val="2"/>
                <w:sz w:val="24"/>
                <w:szCs w:val="24"/>
                <w:lang w:val="en-US"/>
              </w:rPr>
              <w:t>①多条件、阶梯等告警方式告警</w:t>
            </w:r>
            <w:r>
              <w:rPr>
                <w:rFonts w:cs="仿宋"/>
                <w:b w:val="0"/>
                <w:color w:val="auto"/>
                <w:kern w:val="2"/>
                <w:sz w:val="24"/>
                <w:szCs w:val="24"/>
                <w:lang w:val="en-US"/>
              </w:rPr>
              <w:t>模板设置</w:t>
            </w:r>
            <w:r>
              <w:rPr>
                <w:rFonts w:hint="eastAsia" w:cs="仿宋"/>
                <w:b w:val="0"/>
                <w:color w:val="auto"/>
                <w:kern w:val="2"/>
                <w:sz w:val="24"/>
                <w:szCs w:val="24"/>
                <w:lang w:val="en-US"/>
              </w:rPr>
              <w:t>②</w:t>
            </w:r>
            <w:r>
              <w:rPr>
                <w:rFonts w:cs="仿宋"/>
                <w:b w:val="0"/>
                <w:color w:val="auto"/>
                <w:kern w:val="2"/>
                <w:sz w:val="24"/>
                <w:szCs w:val="24"/>
                <w:lang w:val="en-US"/>
              </w:rPr>
              <w:t>自定义告警内容设置</w:t>
            </w:r>
            <w:r>
              <w:rPr>
                <w:rFonts w:hint="eastAsia" w:cs="仿宋"/>
                <w:b w:val="0"/>
                <w:color w:val="auto"/>
                <w:kern w:val="2"/>
                <w:sz w:val="24"/>
                <w:szCs w:val="24"/>
                <w:lang w:val="en-US"/>
              </w:rPr>
              <w:t>③</w:t>
            </w:r>
            <w:r>
              <w:rPr>
                <w:rFonts w:cs="仿宋"/>
                <w:b w:val="0"/>
                <w:color w:val="auto"/>
                <w:kern w:val="2"/>
                <w:sz w:val="24"/>
                <w:szCs w:val="24"/>
                <w:lang w:val="en-US"/>
              </w:rPr>
              <w:t>按告警内容识别告警通知人、组</w:t>
            </w:r>
            <w:r>
              <w:rPr>
                <w:rFonts w:hint="eastAsia" w:cs="仿宋"/>
                <w:b w:val="0"/>
                <w:color w:val="auto"/>
                <w:kern w:val="2"/>
                <w:sz w:val="24"/>
                <w:szCs w:val="24"/>
                <w:lang w:val="en-US"/>
              </w:rPr>
              <w:t>、虚拟组</w:t>
            </w:r>
            <w:r>
              <w:rPr>
                <w:rFonts w:cs="仿宋"/>
                <w:b w:val="0"/>
                <w:color w:val="auto"/>
                <w:kern w:val="2"/>
                <w:sz w:val="24"/>
                <w:szCs w:val="24"/>
                <w:lang w:val="en-US"/>
              </w:rPr>
              <w:t>等的</w:t>
            </w:r>
            <w:r>
              <w:rPr>
                <w:rFonts w:hint="eastAsia" w:cs="仿宋"/>
                <w:b w:val="0"/>
                <w:color w:val="auto"/>
                <w:kern w:val="2"/>
                <w:sz w:val="24"/>
                <w:szCs w:val="24"/>
                <w:lang w:val="en-US"/>
              </w:rPr>
              <w:t>，每有1个得1分，最多</w:t>
            </w:r>
            <w:r>
              <w:rPr>
                <w:rFonts w:cs="仿宋"/>
                <w:b w:val="0"/>
                <w:color w:val="auto"/>
                <w:kern w:val="2"/>
                <w:sz w:val="24"/>
                <w:szCs w:val="24"/>
                <w:lang w:val="en-US"/>
              </w:rPr>
              <w:t>得3分；</w:t>
            </w:r>
            <w:r>
              <w:rPr>
                <w:rFonts w:hint="eastAsia" w:cs="仿宋"/>
                <w:b w:val="0"/>
                <w:color w:val="auto"/>
                <w:kern w:val="2"/>
                <w:sz w:val="24"/>
                <w:szCs w:val="24"/>
                <w:lang w:val="en-US"/>
              </w:rPr>
              <w:t>本项评审最多得6分。</w:t>
            </w:r>
          </w:p>
          <w:p>
            <w:pPr>
              <w:spacing w:line="240" w:lineRule="auto"/>
              <w:ind w:firstLine="0" w:firstLineChars="0"/>
              <w:rPr>
                <w:rFonts w:cs="仿宋"/>
                <w:b w:val="0"/>
                <w:color w:val="auto"/>
                <w:kern w:val="2"/>
                <w:sz w:val="24"/>
                <w:szCs w:val="24"/>
                <w:lang w:val="en-US"/>
              </w:rPr>
            </w:pPr>
            <w:r>
              <w:rPr>
                <w:rFonts w:hint="eastAsia" w:cs="仿宋"/>
                <w:b w:val="0"/>
                <w:color w:val="auto"/>
                <w:kern w:val="2"/>
                <w:sz w:val="24"/>
                <w:szCs w:val="24"/>
                <w:lang w:val="en-US"/>
              </w:rPr>
              <w:t>注：提供对应功能截图证明材料并加盖投标人公章；</w:t>
            </w:r>
          </w:p>
        </w:tc>
        <w:tc>
          <w:tcPr>
            <w:tcW w:w="880" w:type="dxa"/>
            <w:vAlign w:val="center"/>
          </w:tcPr>
          <w:p>
            <w:pPr>
              <w:snapToGrid/>
              <w:spacing w:line="240" w:lineRule="auto"/>
              <w:ind w:firstLine="0" w:firstLineChars="0"/>
              <w:rPr>
                <w:rFonts w:cs="仿宋"/>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四</w:t>
            </w:r>
          </w:p>
        </w:tc>
        <w:tc>
          <w:tcPr>
            <w:tcW w:w="1491"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售后支持</w:t>
            </w:r>
          </w:p>
        </w:tc>
        <w:tc>
          <w:tcPr>
            <w:tcW w:w="736"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15</w:t>
            </w:r>
          </w:p>
        </w:tc>
        <w:tc>
          <w:tcPr>
            <w:tcW w:w="5528" w:type="dxa"/>
            <w:vAlign w:val="center"/>
          </w:tcPr>
          <w:p>
            <w:pPr>
              <w:spacing w:line="240" w:lineRule="auto"/>
              <w:ind w:firstLine="0" w:firstLineChars="0"/>
              <w:rPr>
                <w:rFonts w:cs="仿宋"/>
                <w:b w:val="0"/>
                <w:color w:val="auto"/>
                <w:kern w:val="2"/>
                <w:sz w:val="24"/>
                <w:szCs w:val="24"/>
                <w:lang w:val="en-US"/>
              </w:rPr>
            </w:pPr>
          </w:p>
        </w:tc>
        <w:tc>
          <w:tcPr>
            <w:tcW w:w="880" w:type="dxa"/>
            <w:vAlign w:val="center"/>
          </w:tcPr>
          <w:p>
            <w:pPr>
              <w:snapToGrid/>
              <w:spacing w:line="240" w:lineRule="auto"/>
              <w:ind w:firstLine="0" w:firstLineChars="0"/>
              <w:jc w:val="left"/>
              <w:rPr>
                <w:rFonts w:cs="仿宋"/>
                <w:color w:val="auto"/>
                <w:kern w:val="2"/>
                <w:sz w:val="24"/>
                <w:szCs w:val="24"/>
                <w:lang w:val="en-US"/>
              </w:rPr>
            </w:pPr>
            <w:r>
              <w:rPr>
                <w:rFonts w:hint="eastAsia" w:cs="仿宋"/>
                <w:b w:val="0"/>
                <w:color w:val="auto"/>
                <w:kern w:val="2"/>
                <w:sz w:val="24"/>
                <w:szCs w:val="24"/>
                <w:lang w:val="en-US"/>
              </w:rPr>
              <w:t>共同评审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43"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1</w:t>
            </w:r>
          </w:p>
        </w:tc>
        <w:tc>
          <w:tcPr>
            <w:tcW w:w="1491"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备件库支持</w:t>
            </w:r>
          </w:p>
        </w:tc>
        <w:tc>
          <w:tcPr>
            <w:tcW w:w="736"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5</w:t>
            </w:r>
          </w:p>
        </w:tc>
        <w:tc>
          <w:tcPr>
            <w:tcW w:w="5528" w:type="dxa"/>
            <w:vAlign w:val="center"/>
          </w:tcPr>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投标人为本项目设立有备件库的得5分，无不得分。</w:t>
            </w:r>
          </w:p>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注：提供备件库图片加盖投标人公章。</w:t>
            </w:r>
          </w:p>
        </w:tc>
        <w:tc>
          <w:tcPr>
            <w:tcW w:w="880" w:type="dxa"/>
            <w:vAlign w:val="center"/>
          </w:tcPr>
          <w:p>
            <w:pPr>
              <w:snapToGrid/>
              <w:spacing w:line="240" w:lineRule="auto"/>
              <w:ind w:firstLine="0" w:firstLineChars="0"/>
              <w:jc w:val="left"/>
              <w:rPr>
                <w:rFonts w:cs="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43"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2</w:t>
            </w:r>
          </w:p>
        </w:tc>
        <w:tc>
          <w:tcPr>
            <w:tcW w:w="1491"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原厂支持</w:t>
            </w:r>
          </w:p>
        </w:tc>
        <w:tc>
          <w:tcPr>
            <w:tcW w:w="736" w:type="dxa"/>
            <w:vAlign w:val="center"/>
          </w:tcPr>
          <w:p>
            <w:pPr>
              <w:snapToGrid/>
              <w:spacing w:line="240" w:lineRule="auto"/>
              <w:ind w:firstLine="0" w:firstLineChars="0"/>
              <w:jc w:val="center"/>
              <w:rPr>
                <w:rFonts w:cs="仿宋"/>
                <w:b w:val="0"/>
                <w:color w:val="auto"/>
                <w:kern w:val="2"/>
                <w:sz w:val="24"/>
                <w:szCs w:val="24"/>
                <w:lang w:val="en-US"/>
              </w:rPr>
            </w:pPr>
            <w:r>
              <w:rPr>
                <w:rFonts w:hint="eastAsia" w:cs="仿宋"/>
                <w:b w:val="0"/>
                <w:color w:val="auto"/>
                <w:kern w:val="2"/>
                <w:sz w:val="24"/>
                <w:szCs w:val="24"/>
                <w:lang w:val="en-US"/>
              </w:rPr>
              <w:t>1</w:t>
            </w:r>
            <w:r>
              <w:rPr>
                <w:rFonts w:cs="仿宋"/>
                <w:b w:val="0"/>
                <w:color w:val="auto"/>
                <w:kern w:val="2"/>
                <w:sz w:val="24"/>
                <w:szCs w:val="24"/>
                <w:lang w:val="en-US"/>
              </w:rPr>
              <w:t>0</w:t>
            </w:r>
          </w:p>
        </w:tc>
        <w:tc>
          <w:tcPr>
            <w:tcW w:w="5528" w:type="dxa"/>
            <w:vAlign w:val="center"/>
          </w:tcPr>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1、投标人提供原厂出具的针对本项目售后服务承诺函，</w:t>
            </w:r>
            <w:r>
              <w:rPr>
                <w:rFonts w:cs="仿宋"/>
                <w:b w:val="0"/>
                <w:color w:val="auto"/>
                <w:kern w:val="2"/>
                <w:sz w:val="24"/>
                <w:szCs w:val="24"/>
                <w:lang w:val="en-US"/>
              </w:rPr>
              <w:t>每</w:t>
            </w:r>
            <w:r>
              <w:rPr>
                <w:rFonts w:hint="eastAsia" w:cs="仿宋"/>
                <w:b w:val="0"/>
                <w:color w:val="auto"/>
                <w:kern w:val="2"/>
                <w:sz w:val="24"/>
                <w:szCs w:val="24"/>
                <w:lang w:val="en-US"/>
              </w:rPr>
              <w:t>提供</w:t>
            </w:r>
            <w:r>
              <w:rPr>
                <w:rFonts w:cs="仿宋"/>
                <w:b w:val="0"/>
                <w:color w:val="auto"/>
                <w:kern w:val="2"/>
                <w:sz w:val="24"/>
                <w:szCs w:val="24"/>
                <w:lang w:val="en-US"/>
              </w:rPr>
              <w:t>一</w:t>
            </w:r>
            <w:r>
              <w:rPr>
                <w:rFonts w:hint="eastAsia" w:cs="仿宋"/>
                <w:b w:val="0"/>
                <w:color w:val="auto"/>
                <w:kern w:val="2"/>
                <w:sz w:val="24"/>
                <w:szCs w:val="24"/>
                <w:lang w:val="en-US"/>
              </w:rPr>
              <w:t>个“机房安全设备运维清单”中产品的得1分，最多得9分；未提供的不得分</w:t>
            </w:r>
            <w:r>
              <w:rPr>
                <w:rFonts w:cs="仿宋"/>
                <w:b w:val="0"/>
                <w:color w:val="auto"/>
                <w:kern w:val="2"/>
                <w:sz w:val="24"/>
                <w:szCs w:val="24"/>
                <w:lang w:val="en-US"/>
              </w:rPr>
              <w:t>。</w:t>
            </w:r>
          </w:p>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2、投标人为本项目提供的运维工具具有原厂出具的针对本项目售后服务承诺函的</w:t>
            </w:r>
            <w:r>
              <w:rPr>
                <w:rFonts w:cs="仿宋"/>
                <w:b w:val="0"/>
                <w:color w:val="auto"/>
                <w:kern w:val="2"/>
                <w:sz w:val="24"/>
                <w:szCs w:val="24"/>
                <w:lang w:val="en-US"/>
              </w:rPr>
              <w:t>得1分</w:t>
            </w:r>
            <w:r>
              <w:rPr>
                <w:rFonts w:hint="eastAsia" w:cs="仿宋"/>
                <w:b w:val="0"/>
                <w:color w:val="auto"/>
                <w:kern w:val="2"/>
                <w:sz w:val="24"/>
                <w:szCs w:val="24"/>
                <w:lang w:val="en-US"/>
              </w:rPr>
              <w:t>；未提供的不得分</w:t>
            </w:r>
            <w:r>
              <w:rPr>
                <w:rFonts w:cs="仿宋"/>
                <w:b w:val="0"/>
                <w:color w:val="auto"/>
                <w:kern w:val="2"/>
                <w:sz w:val="24"/>
                <w:szCs w:val="24"/>
                <w:lang w:val="en-US"/>
              </w:rPr>
              <w:t>。</w:t>
            </w:r>
          </w:p>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注：1-2项提供加盖原厂鲜章的售后服务承诺函原件。</w:t>
            </w:r>
          </w:p>
        </w:tc>
        <w:tc>
          <w:tcPr>
            <w:tcW w:w="880" w:type="dxa"/>
            <w:vAlign w:val="center"/>
          </w:tcPr>
          <w:p>
            <w:pPr>
              <w:snapToGrid/>
              <w:spacing w:line="240" w:lineRule="auto"/>
              <w:ind w:firstLine="0" w:firstLineChars="0"/>
              <w:jc w:val="left"/>
              <w:rPr>
                <w:rFonts w:cs="仿宋"/>
                <w:b w:val="0"/>
                <w:color w:val="auto"/>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五</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履约能力</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3</w:t>
            </w:r>
          </w:p>
        </w:tc>
        <w:tc>
          <w:tcPr>
            <w:tcW w:w="5528" w:type="dxa"/>
            <w:vAlign w:val="center"/>
          </w:tcPr>
          <w:p>
            <w:pPr>
              <w:widowControl/>
              <w:snapToGrid/>
              <w:spacing w:line="240" w:lineRule="auto"/>
              <w:ind w:firstLine="0" w:firstLineChars="0"/>
              <w:jc w:val="left"/>
              <w:rPr>
                <w:rFonts w:cs="仿宋"/>
                <w:b w:val="0"/>
                <w:color w:val="auto"/>
                <w:kern w:val="2"/>
                <w:sz w:val="24"/>
                <w:szCs w:val="24"/>
                <w:lang w:val="en-US"/>
              </w:rPr>
            </w:pPr>
            <w:r>
              <w:rPr>
                <w:rFonts w:hint="eastAsia" w:cs="仿宋"/>
                <w:b w:val="0"/>
                <w:color w:val="auto"/>
                <w:kern w:val="2"/>
                <w:sz w:val="24"/>
                <w:szCs w:val="24"/>
                <w:lang w:val="en-US"/>
              </w:rPr>
              <w:t>投标人提供2019年1月1日（含）后的类似信息安全运维案例的，每提供一个得</w:t>
            </w:r>
            <w:r>
              <w:rPr>
                <w:rFonts w:cs="仿宋"/>
                <w:b w:val="0"/>
                <w:color w:val="auto"/>
                <w:kern w:val="2"/>
                <w:sz w:val="24"/>
                <w:szCs w:val="24"/>
                <w:lang w:val="en-US"/>
              </w:rPr>
              <w:t>0.5</w:t>
            </w:r>
            <w:r>
              <w:rPr>
                <w:rFonts w:hint="eastAsia" w:cs="仿宋"/>
                <w:b w:val="0"/>
                <w:color w:val="auto"/>
                <w:kern w:val="2"/>
                <w:sz w:val="24"/>
                <w:szCs w:val="24"/>
                <w:lang w:val="en-US"/>
              </w:rPr>
              <w:t>分，最多得</w:t>
            </w:r>
            <w:r>
              <w:rPr>
                <w:rFonts w:cs="仿宋"/>
                <w:b w:val="0"/>
                <w:color w:val="auto"/>
                <w:kern w:val="2"/>
                <w:sz w:val="24"/>
                <w:szCs w:val="24"/>
                <w:lang w:val="en-US"/>
              </w:rPr>
              <w:t>3</w:t>
            </w:r>
            <w:r>
              <w:rPr>
                <w:rFonts w:hint="eastAsia" w:cs="仿宋"/>
                <w:b w:val="0"/>
                <w:color w:val="auto"/>
                <w:kern w:val="2"/>
                <w:sz w:val="24"/>
                <w:szCs w:val="24"/>
                <w:lang w:val="en-US"/>
              </w:rPr>
              <w:t>分；无不得分。</w:t>
            </w:r>
          </w:p>
          <w:p>
            <w:pPr>
              <w:snapToGrid/>
              <w:spacing w:line="240" w:lineRule="auto"/>
              <w:ind w:firstLine="0" w:firstLineChars="0"/>
              <w:rPr>
                <w:rFonts w:cs="仿宋"/>
                <w:color w:val="auto"/>
                <w:kern w:val="2"/>
                <w:sz w:val="24"/>
                <w:szCs w:val="24"/>
                <w:lang w:val="en-US"/>
              </w:rPr>
            </w:pPr>
            <w:r>
              <w:rPr>
                <w:rFonts w:hint="eastAsia" w:cs="仿宋"/>
                <w:b w:val="0"/>
                <w:color w:val="auto"/>
                <w:kern w:val="2"/>
                <w:sz w:val="24"/>
                <w:szCs w:val="24"/>
                <w:lang w:val="en-US"/>
              </w:rPr>
              <w:t>注：提供相关案例完整合同复印件加盖投标人公章。</w:t>
            </w:r>
          </w:p>
        </w:tc>
        <w:tc>
          <w:tcPr>
            <w:tcW w:w="880" w:type="dxa"/>
            <w:vAlign w:val="center"/>
          </w:tcPr>
          <w:p>
            <w:pPr>
              <w:snapToGrid/>
              <w:spacing w:line="240" w:lineRule="auto"/>
              <w:ind w:firstLine="0" w:firstLineChars="0"/>
              <w:jc w:val="left"/>
              <w:rPr>
                <w:rFonts w:cs="仿宋"/>
                <w:color w:val="auto"/>
                <w:kern w:val="2"/>
                <w:sz w:val="24"/>
                <w:szCs w:val="24"/>
                <w:lang w:val="en-US"/>
              </w:rPr>
            </w:pPr>
            <w:r>
              <w:rPr>
                <w:rFonts w:hint="eastAsia" w:cs="仿宋"/>
                <w:b w:val="0"/>
                <w:color w:val="auto"/>
                <w:kern w:val="2"/>
                <w:sz w:val="24"/>
                <w:szCs w:val="24"/>
                <w:lang w:val="en-US"/>
              </w:rPr>
              <w:t>共同评审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743"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六</w:t>
            </w:r>
          </w:p>
        </w:tc>
        <w:tc>
          <w:tcPr>
            <w:tcW w:w="1491"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投标文件规范性</w:t>
            </w:r>
          </w:p>
        </w:tc>
        <w:tc>
          <w:tcPr>
            <w:tcW w:w="736" w:type="dxa"/>
            <w:vAlign w:val="center"/>
          </w:tcPr>
          <w:p>
            <w:pPr>
              <w:snapToGrid/>
              <w:spacing w:line="240" w:lineRule="auto"/>
              <w:ind w:firstLine="0" w:firstLineChars="0"/>
              <w:jc w:val="center"/>
              <w:rPr>
                <w:rFonts w:cs="仿宋"/>
                <w:color w:val="auto"/>
                <w:kern w:val="2"/>
                <w:sz w:val="24"/>
                <w:szCs w:val="24"/>
                <w:lang w:val="en-US"/>
              </w:rPr>
            </w:pPr>
            <w:r>
              <w:rPr>
                <w:rFonts w:hint="eastAsia" w:cs="仿宋"/>
                <w:b w:val="0"/>
                <w:color w:val="auto"/>
                <w:kern w:val="2"/>
                <w:sz w:val="24"/>
                <w:szCs w:val="24"/>
                <w:lang w:val="en-US"/>
              </w:rPr>
              <w:t>2</w:t>
            </w:r>
          </w:p>
        </w:tc>
        <w:tc>
          <w:tcPr>
            <w:tcW w:w="5528" w:type="dxa"/>
            <w:vAlign w:val="center"/>
          </w:tcPr>
          <w:p>
            <w:pPr>
              <w:snapToGrid/>
              <w:spacing w:line="240" w:lineRule="auto"/>
              <w:ind w:firstLine="0" w:firstLineChars="0"/>
              <w:rPr>
                <w:rFonts w:cs="仿宋"/>
                <w:color w:val="auto"/>
                <w:kern w:val="2"/>
                <w:sz w:val="24"/>
                <w:szCs w:val="24"/>
                <w:lang w:val="en-US"/>
              </w:rPr>
            </w:pPr>
            <w:r>
              <w:rPr>
                <w:rFonts w:hint="eastAsia" w:cs="仿宋"/>
                <w:b w:val="0"/>
                <w:color w:val="auto"/>
                <w:kern w:val="2"/>
                <w:sz w:val="24"/>
                <w:szCs w:val="24"/>
                <w:lang w:val="en-US"/>
              </w:rPr>
              <w:t>投标文件制作规范，没有细微偏差情形的得2分；每有一处细微偏差扣0.5分，直至该项分值扣完为止。</w:t>
            </w:r>
          </w:p>
        </w:tc>
        <w:tc>
          <w:tcPr>
            <w:tcW w:w="880" w:type="dxa"/>
            <w:vAlign w:val="center"/>
          </w:tcPr>
          <w:p>
            <w:pPr>
              <w:snapToGrid/>
              <w:spacing w:line="240" w:lineRule="auto"/>
              <w:ind w:firstLine="0" w:firstLineChars="0"/>
              <w:jc w:val="left"/>
              <w:rPr>
                <w:rFonts w:cs="仿宋"/>
                <w:color w:val="auto"/>
                <w:kern w:val="2"/>
                <w:sz w:val="24"/>
                <w:szCs w:val="24"/>
                <w:lang w:val="en-US"/>
              </w:rPr>
            </w:pPr>
            <w:r>
              <w:rPr>
                <w:rFonts w:hint="eastAsia" w:cs="仿宋"/>
                <w:b w:val="0"/>
                <w:color w:val="auto"/>
                <w:kern w:val="2"/>
                <w:sz w:val="24"/>
                <w:szCs w:val="24"/>
                <w:lang w:val="en-US"/>
              </w:rPr>
              <w:t>共同评审</w:t>
            </w:r>
          </w:p>
        </w:tc>
      </w:tr>
      <w:bookmarkEnd w:id="887"/>
    </w:tbl>
    <w:p>
      <w:pPr>
        <w:spacing w:line="540" w:lineRule="exact"/>
        <w:ind w:firstLine="480"/>
        <w:rPr>
          <w:b w:val="0"/>
          <w:color w:val="auto"/>
          <w:sz w:val="24"/>
          <w:szCs w:val="24"/>
        </w:rPr>
      </w:pPr>
      <w:r>
        <w:rPr>
          <w:rFonts w:hint="eastAsia"/>
          <w:b w:val="0"/>
          <w:color w:val="auto"/>
          <w:sz w:val="24"/>
          <w:szCs w:val="24"/>
          <w:lang w:val="en-US"/>
        </w:rPr>
        <w:t>注：①评分的取值按四舍五入法，小数点后保留两位。②因本项目不涉及节能、环境标志、无线局域网产品，故在综合评分明细表中不作体现。③</w:t>
      </w:r>
      <w:r>
        <w:rPr>
          <w:rFonts w:hint="eastAsia"/>
          <w:b w:val="0"/>
          <w:color w:val="auto"/>
          <w:sz w:val="24"/>
          <w:szCs w:val="24"/>
        </w:rPr>
        <w:t>评审专家应对每个投标人每项评分因素给出详细的评审说明（报价评分项除外）</w:t>
      </w:r>
      <w:r>
        <w:rPr>
          <w:b w:val="0"/>
          <w:color w:val="auto"/>
          <w:sz w:val="24"/>
          <w:szCs w:val="24"/>
        </w:rPr>
        <w:t>。</w:t>
      </w:r>
    </w:p>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888" w:name="_Toc217446060"/>
      <w:r>
        <w:rPr>
          <w:rFonts w:hint="eastAsia"/>
          <w:bCs/>
          <w:color w:val="auto"/>
          <w:kern w:val="2"/>
          <w:sz w:val="24"/>
          <w:szCs w:val="24"/>
          <w:lang w:val="en-US"/>
        </w:rPr>
        <w:t xml:space="preserve"> </w:t>
      </w:r>
      <w:bookmarkStart w:id="889" w:name="_Toc494198667"/>
      <w:bookmarkStart w:id="890" w:name="_Toc496605700"/>
      <w:r>
        <w:rPr>
          <w:rFonts w:hint="eastAsia"/>
          <w:bCs/>
          <w:color w:val="auto"/>
          <w:kern w:val="2"/>
          <w:sz w:val="24"/>
          <w:szCs w:val="24"/>
          <w:lang w:val="en-US"/>
        </w:rPr>
        <w:t>废 标</w:t>
      </w:r>
      <w:bookmarkEnd w:id="889"/>
      <w:bookmarkEnd w:id="890"/>
    </w:p>
    <w:p>
      <w:pPr>
        <w:numPr>
          <w:ilvl w:val="2"/>
          <w:numId w:val="16"/>
        </w:numPr>
        <w:tabs>
          <w:tab w:val="left" w:pos="360"/>
        </w:tabs>
        <w:spacing w:line="540" w:lineRule="exact"/>
        <w:ind w:left="0" w:firstLine="482"/>
        <w:jc w:val="left"/>
        <w:outlineLvl w:val="1"/>
        <w:rPr>
          <w:color w:val="auto"/>
          <w:kern w:val="2"/>
          <w:sz w:val="24"/>
          <w:szCs w:val="24"/>
          <w:lang w:val="en-US"/>
        </w:rPr>
      </w:pPr>
      <w:bookmarkStart w:id="891" w:name="_Toc500492796"/>
      <w:bookmarkStart w:id="892" w:name="_Toc494198668"/>
      <w:bookmarkStart w:id="893" w:name="_Toc494198994"/>
      <w:bookmarkStart w:id="894" w:name="_Toc496605701"/>
      <w:r>
        <w:rPr>
          <w:rFonts w:hint="eastAsia"/>
          <w:color w:val="auto"/>
          <w:kern w:val="2"/>
          <w:sz w:val="24"/>
          <w:szCs w:val="24"/>
          <w:lang w:val="en-US"/>
        </w:rPr>
        <w:t>本次政府采购活动中，出现下列情形之一的，予以废标：</w:t>
      </w:r>
      <w:bookmarkEnd w:id="891"/>
      <w:bookmarkEnd w:id="892"/>
      <w:bookmarkEnd w:id="893"/>
      <w:bookmarkEnd w:id="894"/>
    </w:p>
    <w:p>
      <w:pPr>
        <w:numPr>
          <w:ilvl w:val="0"/>
          <w:numId w:val="57"/>
        </w:numPr>
        <w:spacing w:line="540" w:lineRule="exact"/>
        <w:ind w:left="0" w:firstLine="480"/>
        <w:rPr>
          <w:b w:val="0"/>
          <w:color w:val="auto"/>
          <w:kern w:val="2"/>
          <w:sz w:val="24"/>
          <w:szCs w:val="24"/>
          <w:lang w:val="en-US"/>
        </w:rPr>
      </w:pPr>
      <w:r>
        <w:rPr>
          <w:rFonts w:hint="eastAsia"/>
          <w:b w:val="0"/>
          <w:color w:val="auto"/>
          <w:kern w:val="2"/>
          <w:sz w:val="24"/>
          <w:szCs w:val="24"/>
          <w:lang w:val="en-US"/>
        </w:rPr>
        <w:t>符合专业条件的供应商或者对招标文件作实质响应的供应商不足三家的；</w:t>
      </w:r>
    </w:p>
    <w:p>
      <w:pPr>
        <w:numPr>
          <w:ilvl w:val="0"/>
          <w:numId w:val="57"/>
        </w:numPr>
        <w:spacing w:line="540" w:lineRule="exact"/>
        <w:ind w:left="0" w:firstLine="480"/>
        <w:rPr>
          <w:b w:val="0"/>
          <w:color w:val="auto"/>
          <w:kern w:val="2"/>
          <w:sz w:val="24"/>
          <w:szCs w:val="24"/>
          <w:lang w:val="en-US"/>
        </w:rPr>
      </w:pPr>
      <w:r>
        <w:rPr>
          <w:rFonts w:hint="eastAsia"/>
          <w:b w:val="0"/>
          <w:color w:val="auto"/>
          <w:kern w:val="2"/>
          <w:sz w:val="24"/>
          <w:szCs w:val="24"/>
          <w:lang w:val="en-US"/>
        </w:rPr>
        <w:t>出现影响采购公正的违法、违规行为的；</w:t>
      </w:r>
    </w:p>
    <w:p>
      <w:pPr>
        <w:numPr>
          <w:ilvl w:val="0"/>
          <w:numId w:val="57"/>
        </w:numPr>
        <w:spacing w:line="540" w:lineRule="exact"/>
        <w:ind w:left="0" w:firstLine="480"/>
        <w:rPr>
          <w:b w:val="0"/>
          <w:color w:val="auto"/>
          <w:kern w:val="2"/>
          <w:sz w:val="24"/>
          <w:szCs w:val="24"/>
          <w:lang w:val="en-US"/>
        </w:rPr>
      </w:pPr>
      <w:r>
        <w:rPr>
          <w:rFonts w:hint="eastAsia"/>
          <w:b w:val="0"/>
          <w:color w:val="auto"/>
          <w:kern w:val="2"/>
          <w:sz w:val="24"/>
          <w:szCs w:val="24"/>
          <w:lang w:val="en-US"/>
        </w:rPr>
        <w:t>投标人的报价均超过了采购预算，采购人不能支付的；</w:t>
      </w:r>
    </w:p>
    <w:p>
      <w:pPr>
        <w:numPr>
          <w:ilvl w:val="0"/>
          <w:numId w:val="57"/>
        </w:numPr>
        <w:spacing w:line="540" w:lineRule="exact"/>
        <w:ind w:left="0" w:firstLine="480"/>
        <w:rPr>
          <w:b w:val="0"/>
          <w:color w:val="auto"/>
          <w:kern w:val="2"/>
          <w:sz w:val="24"/>
          <w:szCs w:val="24"/>
          <w:lang w:val="en-US"/>
        </w:rPr>
      </w:pPr>
      <w:r>
        <w:rPr>
          <w:rFonts w:hint="eastAsia"/>
          <w:b w:val="0"/>
          <w:color w:val="auto"/>
          <w:kern w:val="2"/>
          <w:sz w:val="24"/>
          <w:szCs w:val="24"/>
          <w:lang w:val="en-US"/>
        </w:rPr>
        <w:t>因重大变故，采购任务取消的。</w:t>
      </w:r>
    </w:p>
    <w:p>
      <w:pPr>
        <w:spacing w:line="540" w:lineRule="exact"/>
        <w:ind w:firstLine="480"/>
        <w:rPr>
          <w:b w:val="0"/>
          <w:color w:val="auto"/>
          <w:kern w:val="2"/>
          <w:sz w:val="24"/>
          <w:szCs w:val="24"/>
          <w:lang w:val="en-US"/>
        </w:rPr>
      </w:pPr>
      <w:r>
        <w:rPr>
          <w:rFonts w:hint="eastAsia"/>
          <w:b w:val="0"/>
          <w:color w:val="auto"/>
          <w:kern w:val="2"/>
          <w:sz w:val="24"/>
          <w:szCs w:val="24"/>
          <w:lang w:val="en-US"/>
        </w:rPr>
        <w:t>废标后，采购代理机构应在四川政府采购网上公告，并公告废标的情形。</w:t>
      </w:r>
    </w:p>
    <w:p>
      <w:pPr>
        <w:numPr>
          <w:ilvl w:val="2"/>
          <w:numId w:val="16"/>
        </w:numPr>
        <w:tabs>
          <w:tab w:val="left" w:pos="360"/>
        </w:tabs>
        <w:spacing w:line="540" w:lineRule="exact"/>
        <w:ind w:left="0" w:firstLine="482"/>
        <w:jc w:val="left"/>
        <w:outlineLvl w:val="1"/>
        <w:rPr>
          <w:color w:val="auto"/>
          <w:kern w:val="2"/>
          <w:sz w:val="24"/>
          <w:szCs w:val="24"/>
          <w:lang w:val="en-US"/>
        </w:rPr>
      </w:pPr>
      <w:bookmarkStart w:id="895" w:name="_Toc494198669"/>
      <w:bookmarkStart w:id="896" w:name="_Toc496605702"/>
      <w:bookmarkStart w:id="897" w:name="_Toc500492797"/>
      <w:bookmarkStart w:id="898" w:name="_Toc494198995"/>
      <w:r>
        <w:rPr>
          <w:rFonts w:hint="eastAsia"/>
          <w:color w:val="auto"/>
          <w:kern w:val="2"/>
          <w:sz w:val="24"/>
          <w:szCs w:val="24"/>
          <w:lang w:val="en-US"/>
        </w:rPr>
        <w:t>对于评标过程中废标的采购项目，评标委员会应当对招标文件是否存在倾向性和歧视性、是否存在不合理条款进行论证，并出具书面论证意见。</w:t>
      </w:r>
      <w:bookmarkEnd w:id="895"/>
      <w:bookmarkEnd w:id="896"/>
      <w:bookmarkEnd w:id="897"/>
      <w:bookmarkEnd w:id="898"/>
    </w:p>
    <w:p>
      <w:pPr>
        <w:numPr>
          <w:ilvl w:val="1"/>
          <w:numId w:val="16"/>
        </w:numPr>
        <w:tabs>
          <w:tab w:val="left" w:pos="360"/>
        </w:tabs>
        <w:spacing w:line="540" w:lineRule="exact"/>
        <w:ind w:left="0" w:firstLine="0" w:firstLineChars="0"/>
        <w:jc w:val="left"/>
        <w:outlineLvl w:val="1"/>
        <w:rPr>
          <w:bCs/>
          <w:color w:val="auto"/>
          <w:kern w:val="2"/>
          <w:sz w:val="24"/>
          <w:szCs w:val="24"/>
          <w:lang w:val="en-US"/>
        </w:rPr>
      </w:pPr>
      <w:r>
        <w:rPr>
          <w:rFonts w:hint="eastAsia"/>
          <w:bCs/>
          <w:color w:val="auto"/>
          <w:kern w:val="2"/>
          <w:sz w:val="24"/>
          <w:szCs w:val="24"/>
          <w:lang w:val="en-US"/>
        </w:rPr>
        <w:t xml:space="preserve"> </w:t>
      </w:r>
      <w:bookmarkStart w:id="899" w:name="_Toc494198670"/>
      <w:bookmarkStart w:id="900" w:name="_Toc496605703"/>
      <w:r>
        <w:rPr>
          <w:rFonts w:hint="eastAsia"/>
          <w:bCs/>
          <w:color w:val="auto"/>
          <w:kern w:val="2"/>
          <w:sz w:val="24"/>
          <w:szCs w:val="24"/>
          <w:lang w:val="en-US"/>
        </w:rPr>
        <w:t>定标</w:t>
      </w:r>
      <w:bookmarkEnd w:id="888"/>
      <w:bookmarkEnd w:id="899"/>
      <w:bookmarkEnd w:id="900"/>
      <w:bookmarkStart w:id="901" w:name="_Toc217446061"/>
    </w:p>
    <w:p>
      <w:pPr>
        <w:numPr>
          <w:ilvl w:val="2"/>
          <w:numId w:val="16"/>
        </w:numPr>
        <w:tabs>
          <w:tab w:val="left" w:pos="360"/>
        </w:tabs>
        <w:spacing w:line="540" w:lineRule="exact"/>
        <w:ind w:left="0" w:firstLine="482"/>
        <w:jc w:val="left"/>
        <w:outlineLvl w:val="1"/>
        <w:rPr>
          <w:b w:val="0"/>
          <w:color w:val="auto"/>
          <w:kern w:val="2"/>
          <w:sz w:val="24"/>
          <w:szCs w:val="24"/>
          <w:lang w:val="en-US"/>
        </w:rPr>
      </w:pPr>
      <w:r>
        <w:rPr>
          <w:rFonts w:hint="eastAsia"/>
          <w:color w:val="auto"/>
          <w:kern w:val="2"/>
          <w:sz w:val="24"/>
          <w:szCs w:val="24"/>
          <w:lang w:val="en-US"/>
        </w:rPr>
        <w:t xml:space="preserve"> </w:t>
      </w:r>
      <w:bookmarkStart w:id="902" w:name="_Toc466292970"/>
      <w:bookmarkStart w:id="903" w:name="_Toc476748829"/>
      <w:bookmarkStart w:id="904" w:name="_Toc482094401"/>
      <w:bookmarkStart w:id="905" w:name="_Toc466896320"/>
      <w:bookmarkStart w:id="906" w:name="_Toc477425609"/>
      <w:bookmarkStart w:id="907" w:name="_Toc475005654"/>
      <w:bookmarkStart w:id="908" w:name="_Toc494198671"/>
      <w:bookmarkStart w:id="909" w:name="_Toc496605704"/>
      <w:bookmarkStart w:id="910" w:name="_Toc500492799"/>
      <w:bookmarkStart w:id="911" w:name="_Toc494198997"/>
      <w:r>
        <w:rPr>
          <w:rFonts w:hint="eastAsia"/>
          <w:color w:val="auto"/>
          <w:kern w:val="2"/>
          <w:sz w:val="24"/>
          <w:szCs w:val="24"/>
          <w:lang w:val="en-US"/>
        </w:rPr>
        <w:t>定标原则</w:t>
      </w:r>
      <w:bookmarkEnd w:id="901"/>
      <w:r>
        <w:rPr>
          <w:rFonts w:hint="eastAsia"/>
          <w:color w:val="auto"/>
          <w:kern w:val="2"/>
          <w:sz w:val="24"/>
          <w:szCs w:val="24"/>
          <w:lang w:val="en-US"/>
        </w:rPr>
        <w:t>：</w:t>
      </w:r>
      <w:r>
        <w:rPr>
          <w:rFonts w:hint="eastAsia"/>
          <w:b w:val="0"/>
          <w:color w:val="auto"/>
          <w:kern w:val="2"/>
          <w:sz w:val="24"/>
          <w:szCs w:val="24"/>
          <w:lang w:val="en-US"/>
        </w:rPr>
        <w:t>本项目根据评标委员会推荐的中标候选人名单，按顺序确定中标人。</w:t>
      </w:r>
      <w:bookmarkEnd w:id="902"/>
      <w:bookmarkEnd w:id="903"/>
      <w:bookmarkEnd w:id="904"/>
      <w:bookmarkEnd w:id="905"/>
      <w:bookmarkEnd w:id="906"/>
      <w:bookmarkEnd w:id="907"/>
      <w:r>
        <w:rPr>
          <w:rFonts w:hint="eastAsia"/>
          <w:b w:val="0"/>
          <w:color w:val="auto"/>
          <w:kern w:val="2"/>
          <w:sz w:val="24"/>
          <w:szCs w:val="24"/>
          <w:lang w:val="en-US"/>
        </w:rPr>
        <w:t xml:space="preserve"> </w:t>
      </w:r>
      <w:bookmarkEnd w:id="908"/>
      <w:bookmarkEnd w:id="909"/>
      <w:bookmarkEnd w:id="910"/>
      <w:bookmarkEnd w:id="911"/>
    </w:p>
    <w:p>
      <w:pPr>
        <w:numPr>
          <w:ilvl w:val="2"/>
          <w:numId w:val="16"/>
        </w:numPr>
        <w:tabs>
          <w:tab w:val="left" w:pos="360"/>
        </w:tabs>
        <w:spacing w:line="540" w:lineRule="exact"/>
        <w:ind w:left="0" w:firstLine="482"/>
        <w:jc w:val="left"/>
        <w:outlineLvl w:val="1"/>
        <w:rPr>
          <w:color w:val="auto"/>
          <w:kern w:val="2"/>
          <w:sz w:val="24"/>
          <w:szCs w:val="24"/>
          <w:lang w:val="en-US"/>
        </w:rPr>
      </w:pPr>
      <w:bookmarkStart w:id="912" w:name="_Toc217446062"/>
      <w:r>
        <w:rPr>
          <w:rFonts w:hint="eastAsia"/>
          <w:color w:val="auto"/>
          <w:kern w:val="2"/>
          <w:sz w:val="24"/>
          <w:szCs w:val="24"/>
          <w:lang w:val="en-US"/>
        </w:rPr>
        <w:t xml:space="preserve"> </w:t>
      </w:r>
      <w:bookmarkStart w:id="913" w:name="_Toc494198672"/>
      <w:bookmarkStart w:id="914" w:name="_Toc477425610"/>
      <w:bookmarkStart w:id="915" w:name="_Toc475005655"/>
      <w:bookmarkStart w:id="916" w:name="_Toc494198998"/>
      <w:bookmarkStart w:id="917" w:name="_Toc482094402"/>
      <w:bookmarkStart w:id="918" w:name="_Toc466896321"/>
      <w:bookmarkStart w:id="919" w:name="_Toc476748830"/>
      <w:bookmarkStart w:id="920" w:name="_Toc500492800"/>
      <w:bookmarkStart w:id="921" w:name="_Toc466292971"/>
      <w:bookmarkStart w:id="922" w:name="_Toc496605705"/>
      <w:r>
        <w:rPr>
          <w:rFonts w:hint="eastAsia"/>
          <w:color w:val="auto"/>
          <w:kern w:val="2"/>
          <w:sz w:val="24"/>
          <w:szCs w:val="24"/>
          <w:lang w:val="en-US"/>
        </w:rPr>
        <w:t>定标程序</w:t>
      </w:r>
      <w:bookmarkEnd w:id="912"/>
      <w:bookmarkEnd w:id="913"/>
      <w:bookmarkEnd w:id="914"/>
      <w:bookmarkEnd w:id="915"/>
      <w:bookmarkEnd w:id="916"/>
      <w:bookmarkEnd w:id="917"/>
      <w:bookmarkEnd w:id="918"/>
      <w:bookmarkEnd w:id="919"/>
      <w:bookmarkEnd w:id="920"/>
      <w:bookmarkEnd w:id="921"/>
      <w:bookmarkEnd w:id="922"/>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923" w:name="_Toc475005657"/>
      <w:bookmarkStart w:id="924" w:name="_Toc466896323"/>
      <w:bookmarkStart w:id="925" w:name="_Toc476748832"/>
      <w:bookmarkStart w:id="926" w:name="_Toc477425612"/>
      <w:bookmarkStart w:id="927" w:name="_Toc482094404"/>
      <w:bookmarkStart w:id="928" w:name="_Toc466292973"/>
      <w:r>
        <w:rPr>
          <w:rFonts w:hint="eastAsia"/>
          <w:b w:val="0"/>
          <w:color w:val="auto"/>
          <w:kern w:val="2"/>
          <w:sz w:val="24"/>
          <w:szCs w:val="24"/>
          <w:lang w:val="en-US"/>
        </w:rPr>
        <w:t xml:space="preserve"> </w:t>
      </w:r>
      <w:bookmarkStart w:id="929" w:name="_Toc496605706"/>
      <w:bookmarkStart w:id="930" w:name="_Toc494198673"/>
      <w:bookmarkStart w:id="931" w:name="_Toc500492801"/>
      <w:bookmarkStart w:id="932" w:name="_Toc494198999"/>
      <w:r>
        <w:rPr>
          <w:rFonts w:hint="eastAsia"/>
          <w:b w:val="0"/>
          <w:color w:val="auto"/>
          <w:kern w:val="2"/>
          <w:sz w:val="24"/>
          <w:szCs w:val="24"/>
          <w:lang w:val="en-US"/>
        </w:rPr>
        <w:t>四川慧采招标代理有限公司自评审结束后2个工作日内将评审报告及有关资料送交采购人确定中标人。</w:t>
      </w:r>
      <w:bookmarkEnd w:id="923"/>
      <w:bookmarkEnd w:id="924"/>
      <w:bookmarkEnd w:id="925"/>
      <w:bookmarkEnd w:id="926"/>
      <w:bookmarkEnd w:id="927"/>
      <w:bookmarkEnd w:id="928"/>
      <w:bookmarkEnd w:id="929"/>
      <w:bookmarkEnd w:id="930"/>
      <w:bookmarkEnd w:id="931"/>
      <w:bookmarkEnd w:id="932"/>
      <w:r>
        <w:rPr>
          <w:rFonts w:hint="eastAsia"/>
          <w:b w:val="0"/>
          <w:color w:val="auto"/>
          <w:kern w:val="2"/>
          <w:sz w:val="24"/>
          <w:szCs w:val="24"/>
          <w:lang w:val="en-US"/>
        </w:rPr>
        <w:t xml:space="preserve"> </w:t>
      </w:r>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r>
        <w:rPr>
          <w:rFonts w:hint="eastAsia"/>
          <w:b w:val="0"/>
          <w:color w:val="auto"/>
          <w:kern w:val="2"/>
          <w:sz w:val="24"/>
          <w:szCs w:val="24"/>
          <w:lang w:val="en-US"/>
        </w:rPr>
        <w:t xml:space="preserve"> </w:t>
      </w:r>
      <w:bookmarkStart w:id="933" w:name="_Toc466292974"/>
      <w:bookmarkStart w:id="934" w:name="_Toc466896324"/>
      <w:bookmarkStart w:id="935" w:name="_Toc496605707"/>
      <w:bookmarkStart w:id="936" w:name="_Toc494199000"/>
      <w:bookmarkStart w:id="937" w:name="_Toc494198674"/>
      <w:bookmarkStart w:id="938" w:name="_Toc500492802"/>
      <w:r>
        <w:rPr>
          <w:rFonts w:hint="eastAsia"/>
          <w:b w:val="0"/>
          <w:color w:val="auto"/>
          <w:kern w:val="2"/>
          <w:sz w:val="24"/>
          <w:szCs w:val="24"/>
          <w:lang w:val="en-US"/>
        </w:rPr>
        <w:t>采购人收到评审报告及有关资料后，应当在5个工作日内按照评审报告中推荐的中标候选人顺序确定中标人</w:t>
      </w:r>
      <w:bookmarkEnd w:id="933"/>
      <w:bookmarkEnd w:id="934"/>
      <w:r>
        <w:rPr>
          <w:rFonts w:hint="eastAsia"/>
          <w:b w:val="0"/>
          <w:color w:val="auto"/>
          <w:kern w:val="2"/>
          <w:sz w:val="24"/>
          <w:szCs w:val="24"/>
          <w:lang w:val="en-US"/>
        </w:rPr>
        <w:t>。</w:t>
      </w:r>
      <w:bookmarkEnd w:id="935"/>
      <w:bookmarkEnd w:id="936"/>
      <w:bookmarkEnd w:id="937"/>
      <w:bookmarkEnd w:id="938"/>
    </w:p>
    <w:p>
      <w:pPr>
        <w:numPr>
          <w:ilvl w:val="3"/>
          <w:numId w:val="16"/>
        </w:numPr>
        <w:tabs>
          <w:tab w:val="left" w:pos="360"/>
        </w:tabs>
        <w:spacing w:line="540" w:lineRule="exact"/>
        <w:ind w:left="0" w:firstLine="426" w:firstLineChars="0"/>
        <w:jc w:val="left"/>
        <w:outlineLvl w:val="1"/>
        <w:rPr>
          <w:b w:val="0"/>
          <w:color w:val="auto"/>
          <w:kern w:val="2"/>
          <w:sz w:val="24"/>
          <w:szCs w:val="24"/>
          <w:lang w:val="en-US"/>
        </w:rPr>
      </w:pPr>
      <w:bookmarkStart w:id="939" w:name="_Toc466896325"/>
      <w:bookmarkStart w:id="940" w:name="_Toc476748833"/>
      <w:bookmarkStart w:id="941" w:name="_Toc477425613"/>
      <w:bookmarkStart w:id="942" w:name="_Toc466292975"/>
      <w:bookmarkStart w:id="943" w:name="_Toc475005658"/>
      <w:bookmarkStart w:id="944" w:name="_Toc482094405"/>
      <w:r>
        <w:rPr>
          <w:rFonts w:hint="eastAsia"/>
          <w:b w:val="0"/>
          <w:color w:val="auto"/>
          <w:kern w:val="2"/>
          <w:sz w:val="24"/>
          <w:szCs w:val="24"/>
          <w:lang w:val="en-US"/>
        </w:rPr>
        <w:t xml:space="preserve"> </w:t>
      </w:r>
      <w:bookmarkStart w:id="945" w:name="_Toc494198675"/>
      <w:bookmarkStart w:id="946" w:name="_Toc494199001"/>
      <w:bookmarkStart w:id="947" w:name="_Toc500492803"/>
      <w:bookmarkStart w:id="948" w:name="_Toc496605708"/>
      <w:r>
        <w:rPr>
          <w:rFonts w:hint="eastAsia"/>
          <w:b w:val="0"/>
          <w:color w:val="auto"/>
          <w:kern w:val="2"/>
          <w:sz w:val="24"/>
          <w:szCs w:val="24"/>
          <w:lang w:val="en-US"/>
        </w:rPr>
        <w:t>采购人确定中标人后，应当及时书面通知四川慧采招标代理有限公司，由其发出中标通知书并发布中标结果公告。</w:t>
      </w:r>
      <w:bookmarkEnd w:id="939"/>
      <w:bookmarkEnd w:id="940"/>
      <w:bookmarkEnd w:id="941"/>
      <w:bookmarkEnd w:id="942"/>
      <w:bookmarkEnd w:id="943"/>
      <w:bookmarkEnd w:id="944"/>
      <w:bookmarkEnd w:id="945"/>
      <w:bookmarkEnd w:id="946"/>
      <w:bookmarkEnd w:id="947"/>
      <w:bookmarkEnd w:id="948"/>
    </w:p>
    <w:p>
      <w:pPr>
        <w:spacing w:line="540" w:lineRule="exact"/>
        <w:ind w:firstLine="482"/>
        <w:rPr>
          <w:b w:val="0"/>
          <w:color w:val="auto"/>
          <w:kern w:val="2"/>
          <w:sz w:val="24"/>
          <w:szCs w:val="24"/>
          <w:lang w:val="en-US"/>
        </w:rPr>
      </w:pPr>
      <w:r>
        <w:rPr>
          <w:rFonts w:hint="eastAsia"/>
          <w:color w:val="auto"/>
          <w:kern w:val="2"/>
          <w:sz w:val="24"/>
          <w:szCs w:val="24"/>
          <w:lang w:val="en-US"/>
        </w:rPr>
        <w:t xml:space="preserve"> </w:t>
      </w:r>
      <w:r>
        <w:rPr>
          <w:rFonts w:hint="eastAsia"/>
          <w:b w:val="0"/>
          <w:color w:val="auto"/>
          <w:kern w:val="2"/>
          <w:sz w:val="24"/>
          <w:szCs w:val="24"/>
          <w:lang w:val="en-US"/>
        </w:rPr>
        <w:t xml:space="preserve"> </w:t>
      </w:r>
      <w:bookmarkStart w:id="949" w:name="_Toc476748834"/>
      <w:bookmarkStart w:id="950" w:name="_Toc466292976"/>
      <w:bookmarkStart w:id="951" w:name="_Toc496605709"/>
      <w:bookmarkStart w:id="952" w:name="_Toc477425614"/>
      <w:bookmarkStart w:id="953" w:name="_Toc494198676"/>
      <w:bookmarkStart w:id="954" w:name="_Toc500492804"/>
      <w:bookmarkStart w:id="955" w:name="_Toc466896326"/>
      <w:bookmarkStart w:id="956" w:name="_Toc494199002"/>
      <w:bookmarkStart w:id="957" w:name="_Toc475005659"/>
      <w:bookmarkStart w:id="958" w:name="_Toc482094406"/>
      <w:r>
        <w:rPr>
          <w:rFonts w:hint="eastAsia"/>
          <w:b w:val="0"/>
          <w:color w:val="auto"/>
          <w:kern w:val="2"/>
          <w:sz w:val="24"/>
          <w:szCs w:val="24"/>
          <w:lang w:val="en-US"/>
        </w:rPr>
        <w:t>采购代理机构不退回投标文件和其他投标资料（招标文件另有约定的除外）。</w:t>
      </w:r>
      <w:bookmarkEnd w:id="949"/>
      <w:bookmarkEnd w:id="950"/>
      <w:bookmarkEnd w:id="951"/>
      <w:bookmarkEnd w:id="952"/>
      <w:bookmarkEnd w:id="953"/>
      <w:bookmarkEnd w:id="954"/>
      <w:bookmarkEnd w:id="955"/>
      <w:bookmarkEnd w:id="956"/>
      <w:bookmarkEnd w:id="957"/>
      <w:bookmarkEnd w:id="958"/>
    </w:p>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959" w:name="_Toc208849022"/>
      <w:bookmarkStart w:id="960" w:name="_Toc217446105"/>
      <w:bookmarkStart w:id="961" w:name="_Toc183682432"/>
      <w:bookmarkStart w:id="962" w:name="_Toc183582297"/>
      <w:r>
        <w:rPr>
          <w:rFonts w:hint="eastAsia"/>
          <w:bCs/>
          <w:color w:val="auto"/>
          <w:kern w:val="2"/>
          <w:sz w:val="24"/>
          <w:szCs w:val="24"/>
          <w:lang w:val="en-US"/>
        </w:rPr>
        <w:t xml:space="preserve"> </w:t>
      </w:r>
      <w:bookmarkEnd w:id="959"/>
      <w:bookmarkEnd w:id="960"/>
      <w:bookmarkEnd w:id="961"/>
      <w:bookmarkEnd w:id="962"/>
      <w:bookmarkStart w:id="963" w:name="_Toc494198677"/>
      <w:bookmarkStart w:id="964" w:name="_Toc496605710"/>
      <w:r>
        <w:rPr>
          <w:rFonts w:hint="eastAsia"/>
          <w:bCs/>
          <w:color w:val="auto"/>
          <w:kern w:val="2"/>
          <w:sz w:val="24"/>
          <w:szCs w:val="24"/>
          <w:lang w:val="en-US"/>
        </w:rPr>
        <w:t>评标专家在政府采购活动中承担以下义务</w:t>
      </w:r>
      <w:bookmarkEnd w:id="963"/>
      <w:bookmarkEnd w:id="964"/>
    </w:p>
    <w:p>
      <w:pPr>
        <w:numPr>
          <w:ilvl w:val="1"/>
          <w:numId w:val="58"/>
        </w:numPr>
        <w:spacing w:line="540" w:lineRule="exact"/>
        <w:ind w:left="0" w:firstLine="480"/>
        <w:rPr>
          <w:b w:val="0"/>
          <w:color w:val="auto"/>
          <w:sz w:val="24"/>
          <w:szCs w:val="24"/>
        </w:rPr>
      </w:pPr>
      <w:r>
        <w:rPr>
          <w:rFonts w:hint="eastAsia"/>
          <w:b w:val="0"/>
          <w:color w:val="auto"/>
          <w:sz w:val="24"/>
          <w:szCs w:val="24"/>
        </w:rPr>
        <w:t xml:space="preserve">遵守评审工作纪律； </w:t>
      </w:r>
    </w:p>
    <w:p>
      <w:pPr>
        <w:numPr>
          <w:ilvl w:val="1"/>
          <w:numId w:val="58"/>
        </w:numPr>
        <w:spacing w:line="540" w:lineRule="exact"/>
        <w:ind w:left="0" w:firstLine="480"/>
        <w:rPr>
          <w:b w:val="0"/>
          <w:color w:val="auto"/>
          <w:sz w:val="24"/>
          <w:szCs w:val="24"/>
        </w:rPr>
      </w:pPr>
      <w:r>
        <w:rPr>
          <w:rFonts w:hint="eastAsia"/>
          <w:b w:val="0"/>
          <w:color w:val="auto"/>
          <w:sz w:val="24"/>
          <w:szCs w:val="24"/>
        </w:rPr>
        <w:t>按照客观、公正、审慎的原则，根据采购文件规定的评审程序、评审方法和评审标准进行独立评审；</w:t>
      </w:r>
    </w:p>
    <w:p>
      <w:pPr>
        <w:numPr>
          <w:ilvl w:val="1"/>
          <w:numId w:val="58"/>
        </w:numPr>
        <w:spacing w:line="540" w:lineRule="exact"/>
        <w:ind w:left="0" w:firstLine="480"/>
        <w:rPr>
          <w:b w:val="0"/>
          <w:color w:val="auto"/>
          <w:sz w:val="24"/>
          <w:szCs w:val="24"/>
        </w:rPr>
      </w:pPr>
      <w:r>
        <w:rPr>
          <w:rFonts w:hint="eastAsia"/>
          <w:b w:val="0"/>
          <w:color w:val="auto"/>
          <w:sz w:val="24"/>
          <w:szCs w:val="24"/>
        </w:rPr>
        <w:t>不得泄露评审文件、评审情况和在评审过程中获悉的商业秘密；</w:t>
      </w:r>
    </w:p>
    <w:p>
      <w:pPr>
        <w:numPr>
          <w:ilvl w:val="1"/>
          <w:numId w:val="58"/>
        </w:numPr>
        <w:spacing w:line="540" w:lineRule="exact"/>
        <w:ind w:left="0" w:firstLine="480"/>
        <w:rPr>
          <w:b w:val="0"/>
          <w:color w:val="auto"/>
          <w:sz w:val="24"/>
          <w:szCs w:val="24"/>
        </w:rPr>
      </w:pPr>
      <w:r>
        <w:rPr>
          <w:rFonts w:hint="eastAsia"/>
          <w:b w:val="0"/>
          <w:color w:val="auto"/>
          <w:sz w:val="24"/>
          <w:szCs w:val="24"/>
        </w:rPr>
        <w:t>及时向监督部门报告评审过程中采购组织单位向评审专家做倾向性、误导性的解释或者说明，供应商行贿、提供虚假材料或者串通、受到的非法干预情况等违法违规行为；</w:t>
      </w:r>
    </w:p>
    <w:p>
      <w:pPr>
        <w:numPr>
          <w:ilvl w:val="1"/>
          <w:numId w:val="58"/>
        </w:numPr>
        <w:spacing w:line="540" w:lineRule="exact"/>
        <w:ind w:left="0" w:firstLine="480"/>
        <w:rPr>
          <w:b w:val="0"/>
          <w:color w:val="auto"/>
          <w:sz w:val="24"/>
          <w:szCs w:val="24"/>
        </w:rPr>
      </w:pPr>
      <w:r>
        <w:rPr>
          <w:rFonts w:hint="eastAsia"/>
          <w:b w:val="0"/>
          <w:color w:val="auto"/>
          <w:sz w:val="24"/>
          <w:szCs w:val="24"/>
        </w:rPr>
        <w:t>发现采购文件内容违反国家有关强制性规定或者存在歧义、重大缺陷导致评审工作无法进行时，停止评审并向采购组织单位书面说明情况；</w:t>
      </w:r>
    </w:p>
    <w:p>
      <w:pPr>
        <w:numPr>
          <w:ilvl w:val="1"/>
          <w:numId w:val="58"/>
        </w:numPr>
        <w:spacing w:line="540" w:lineRule="exact"/>
        <w:ind w:left="0" w:firstLine="480"/>
        <w:rPr>
          <w:b w:val="0"/>
          <w:color w:val="auto"/>
          <w:sz w:val="24"/>
          <w:szCs w:val="24"/>
        </w:rPr>
      </w:pPr>
      <w:r>
        <w:rPr>
          <w:rFonts w:hint="eastAsia"/>
          <w:b w:val="0"/>
          <w:color w:val="auto"/>
          <w:sz w:val="24"/>
          <w:szCs w:val="24"/>
        </w:rPr>
        <w:t>配合答复处理供应商的询问、质疑和投诉等事项；</w:t>
      </w:r>
    </w:p>
    <w:p>
      <w:pPr>
        <w:numPr>
          <w:ilvl w:val="1"/>
          <w:numId w:val="58"/>
        </w:numPr>
        <w:spacing w:line="540" w:lineRule="exact"/>
        <w:ind w:left="0" w:firstLine="480"/>
        <w:rPr>
          <w:b w:val="0"/>
          <w:color w:val="auto"/>
          <w:sz w:val="24"/>
          <w:szCs w:val="24"/>
        </w:rPr>
      </w:pPr>
      <w:r>
        <w:rPr>
          <w:rFonts w:hint="eastAsia"/>
          <w:b w:val="0"/>
          <w:color w:val="auto"/>
          <w:sz w:val="24"/>
          <w:szCs w:val="24"/>
        </w:rPr>
        <w:t>法律、法规和规章规定的其他义务。</w:t>
      </w:r>
    </w:p>
    <w:p>
      <w:pPr>
        <w:numPr>
          <w:ilvl w:val="1"/>
          <w:numId w:val="16"/>
        </w:numPr>
        <w:tabs>
          <w:tab w:val="left" w:pos="360"/>
        </w:tabs>
        <w:spacing w:line="540" w:lineRule="exact"/>
        <w:ind w:left="0" w:firstLine="0" w:firstLineChars="0"/>
        <w:jc w:val="left"/>
        <w:outlineLvl w:val="1"/>
        <w:rPr>
          <w:bCs/>
          <w:color w:val="auto"/>
          <w:kern w:val="2"/>
          <w:sz w:val="24"/>
          <w:szCs w:val="24"/>
          <w:lang w:val="en-US"/>
        </w:rPr>
      </w:pPr>
      <w:bookmarkStart w:id="965" w:name="_Toc494198678"/>
      <w:bookmarkStart w:id="966" w:name="_Toc496605711"/>
      <w:r>
        <w:rPr>
          <w:rFonts w:hint="eastAsia"/>
          <w:bCs/>
          <w:color w:val="auto"/>
          <w:kern w:val="2"/>
          <w:sz w:val="24"/>
          <w:szCs w:val="24"/>
          <w:lang w:val="en-US"/>
        </w:rPr>
        <w:t>评审专家在政府采购活动中应当遵守以下工作纪律</w:t>
      </w:r>
      <w:bookmarkEnd w:id="965"/>
      <w:bookmarkEnd w:id="966"/>
      <w:bookmarkStart w:id="967" w:name="_Toc466896340"/>
      <w:bookmarkStart w:id="968" w:name="_Toc476748848"/>
      <w:bookmarkStart w:id="969" w:name="_Toc475005673"/>
      <w:bookmarkStart w:id="970" w:name="_Toc466292990"/>
      <w:bookmarkStart w:id="971" w:name="_Toc482094420"/>
      <w:bookmarkStart w:id="972" w:name="_Toc477425628"/>
    </w:p>
    <w:p>
      <w:pPr>
        <w:numPr>
          <w:ilvl w:val="1"/>
          <w:numId w:val="59"/>
        </w:numPr>
        <w:spacing w:line="520" w:lineRule="exact"/>
        <w:ind w:left="0" w:firstLine="480"/>
        <w:rPr>
          <w:b w:val="0"/>
          <w:color w:val="auto"/>
          <w:sz w:val="24"/>
          <w:szCs w:val="24"/>
        </w:rPr>
      </w:pPr>
      <w:r>
        <w:rPr>
          <w:b w:val="0"/>
          <w:color w:val="auto"/>
          <w:sz w:val="24"/>
          <w:szCs w:val="24"/>
        </w:rPr>
        <w:t>遵行《政府采购法》第十二条和《政府采购法实施条例》第九条及财政部关于回避的规定。</w:t>
      </w:r>
    </w:p>
    <w:p>
      <w:pPr>
        <w:numPr>
          <w:ilvl w:val="1"/>
          <w:numId w:val="59"/>
        </w:numPr>
        <w:spacing w:line="520" w:lineRule="exact"/>
        <w:ind w:left="0" w:firstLine="480"/>
        <w:rPr>
          <w:b w:val="0"/>
          <w:color w:val="auto"/>
          <w:sz w:val="24"/>
          <w:szCs w:val="24"/>
        </w:rPr>
      </w:pPr>
      <w:r>
        <w:rPr>
          <w:b w:val="0"/>
          <w:color w:val="auto"/>
          <w:sz w:val="24"/>
          <w:szCs w:val="24"/>
        </w:rPr>
        <w:t>评审前，应当将通讯工具或者相关电子设备交由采购组织单位统一保管。</w:t>
      </w:r>
    </w:p>
    <w:p>
      <w:pPr>
        <w:numPr>
          <w:ilvl w:val="1"/>
          <w:numId w:val="59"/>
        </w:numPr>
        <w:spacing w:line="520" w:lineRule="exact"/>
        <w:ind w:left="0" w:firstLine="480"/>
        <w:rPr>
          <w:b w:val="0"/>
          <w:color w:val="auto"/>
          <w:sz w:val="24"/>
          <w:szCs w:val="24"/>
        </w:rPr>
      </w:pPr>
      <w:r>
        <w:rPr>
          <w:b w:val="0"/>
          <w:color w:val="auto"/>
          <w:sz w:val="24"/>
          <w:szCs w:val="24"/>
        </w:rPr>
        <w:t>评审过程中，不得与外界联系，因发生不可预见情况，确实需要与外界联系的，应当在监督人员监督之下办理。</w:t>
      </w:r>
    </w:p>
    <w:p>
      <w:pPr>
        <w:numPr>
          <w:ilvl w:val="1"/>
          <w:numId w:val="59"/>
        </w:numPr>
        <w:spacing w:line="520" w:lineRule="exact"/>
        <w:ind w:left="0" w:firstLine="480"/>
        <w:rPr>
          <w:b w:val="0"/>
          <w:color w:val="auto"/>
          <w:sz w:val="24"/>
          <w:szCs w:val="24"/>
        </w:rPr>
      </w:pPr>
      <w:r>
        <w:rPr>
          <w:b w:val="0"/>
          <w:color w:val="auto"/>
          <w:sz w:val="24"/>
          <w:szCs w:val="24"/>
        </w:rPr>
        <w:t>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numPr>
          <w:ilvl w:val="1"/>
          <w:numId w:val="59"/>
        </w:numPr>
        <w:spacing w:line="520" w:lineRule="exact"/>
        <w:ind w:left="0" w:firstLine="480"/>
        <w:rPr>
          <w:b w:val="0"/>
          <w:color w:val="auto"/>
          <w:sz w:val="24"/>
          <w:szCs w:val="24"/>
        </w:rPr>
      </w:pPr>
      <w:r>
        <w:rPr>
          <w:b w:val="0"/>
          <w:color w:val="auto"/>
          <w:sz w:val="24"/>
          <w:szCs w:val="24"/>
        </w:rPr>
        <w:t>在评审过程中和评审结束后，不得记录、复制或带走任何评审资料，除因履行</w:t>
      </w:r>
      <w:r>
        <w:rPr>
          <w:rFonts w:hint="eastAsia"/>
          <w:b w:val="0"/>
          <w:color w:val="auto"/>
          <w:sz w:val="24"/>
          <w:szCs w:val="24"/>
        </w:rPr>
        <w:t>《四川省政府采购评审工作规程（修订）》</w:t>
      </w:r>
      <w:r>
        <w:rPr>
          <w:b w:val="0"/>
          <w:color w:val="auto"/>
          <w:sz w:val="24"/>
          <w:szCs w:val="24"/>
        </w:rPr>
        <w:t>第十三条第（六）项规定的义务，不得向外界透露评审内容。</w:t>
      </w:r>
    </w:p>
    <w:p>
      <w:pPr>
        <w:numPr>
          <w:ilvl w:val="1"/>
          <w:numId w:val="59"/>
        </w:numPr>
        <w:spacing w:line="520" w:lineRule="exact"/>
        <w:ind w:left="0" w:firstLine="480"/>
        <w:rPr>
          <w:b w:val="0"/>
          <w:color w:val="auto"/>
          <w:sz w:val="24"/>
          <w:szCs w:val="24"/>
        </w:rPr>
      </w:pPr>
      <w:r>
        <w:rPr>
          <w:b w:val="0"/>
          <w:color w:val="auto"/>
          <w:sz w:val="24"/>
          <w:szCs w:val="24"/>
        </w:rPr>
        <w:t>服从评审现场采购组织单位的现场秩序管理，接受评审现场监督人员的合法监督。</w:t>
      </w:r>
    </w:p>
    <w:p>
      <w:pPr>
        <w:numPr>
          <w:ilvl w:val="1"/>
          <w:numId w:val="59"/>
        </w:numPr>
        <w:spacing w:line="520" w:lineRule="exact"/>
        <w:ind w:left="0" w:firstLine="480"/>
        <w:rPr>
          <w:b w:val="0"/>
          <w:color w:val="auto"/>
          <w:sz w:val="24"/>
          <w:szCs w:val="24"/>
        </w:rPr>
      </w:pPr>
      <w:r>
        <w:rPr>
          <w:b w:val="0"/>
          <w:color w:val="auto"/>
          <w:sz w:val="24"/>
          <w:szCs w:val="24"/>
        </w:rPr>
        <w:t>遵守有关廉洁自律规定，不得私下接触供应商，不得收受供应商及有关业务单位和个人的财物或好处，不得接受采购组织单位的请托。</w:t>
      </w:r>
      <w:bookmarkEnd w:id="967"/>
      <w:bookmarkEnd w:id="968"/>
      <w:bookmarkEnd w:id="969"/>
      <w:bookmarkEnd w:id="970"/>
      <w:bookmarkEnd w:id="971"/>
      <w:bookmarkEnd w:id="972"/>
    </w:p>
    <w:p>
      <w:pPr>
        <w:spacing w:line="520" w:lineRule="exact"/>
        <w:ind w:firstLineChars="0"/>
        <w:rPr>
          <w:b w:val="0"/>
          <w:color w:val="auto"/>
          <w:sz w:val="24"/>
          <w:szCs w:val="24"/>
        </w:rPr>
      </w:pPr>
    </w:p>
    <w:p>
      <w:pPr>
        <w:spacing w:line="520" w:lineRule="exact"/>
        <w:ind w:firstLineChars="0"/>
        <w:rPr>
          <w:b w:val="0"/>
          <w:color w:val="auto"/>
          <w:sz w:val="24"/>
          <w:szCs w:val="24"/>
        </w:rPr>
      </w:pPr>
    </w:p>
    <w:p>
      <w:pPr>
        <w:spacing w:line="520" w:lineRule="exact"/>
        <w:ind w:firstLineChars="0"/>
        <w:rPr>
          <w:b w:val="0"/>
          <w:color w:val="auto"/>
          <w:sz w:val="24"/>
          <w:szCs w:val="24"/>
        </w:rPr>
      </w:pPr>
    </w:p>
    <w:p>
      <w:pPr>
        <w:spacing w:line="520" w:lineRule="exact"/>
        <w:ind w:firstLineChars="0"/>
        <w:rPr>
          <w:b w:val="0"/>
          <w:color w:val="auto"/>
          <w:sz w:val="24"/>
          <w:szCs w:val="24"/>
        </w:rPr>
      </w:pPr>
    </w:p>
    <w:p>
      <w:pPr>
        <w:spacing w:line="520" w:lineRule="exact"/>
        <w:ind w:firstLineChars="0"/>
        <w:rPr>
          <w:b w:val="0"/>
          <w:color w:val="auto"/>
          <w:sz w:val="24"/>
          <w:szCs w:val="24"/>
        </w:rPr>
      </w:pPr>
    </w:p>
    <w:p>
      <w:pPr>
        <w:spacing w:line="520" w:lineRule="exact"/>
        <w:ind w:firstLineChars="0"/>
        <w:rPr>
          <w:b w:val="0"/>
          <w:color w:val="auto"/>
          <w:sz w:val="24"/>
          <w:szCs w:val="24"/>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2"/>
        <w:spacing w:before="109"/>
        <w:ind w:firstLine="482"/>
        <w:rPr>
          <w:b/>
          <w:color w:val="auto"/>
        </w:rPr>
      </w:pPr>
    </w:p>
    <w:p>
      <w:pPr>
        <w:pStyle w:val="3"/>
        <w:keepNext w:val="0"/>
        <w:numPr>
          <w:ilvl w:val="0"/>
          <w:numId w:val="16"/>
        </w:numPr>
        <w:spacing w:before="0" w:after="0" w:line="360" w:lineRule="auto"/>
        <w:ind w:left="0" w:firstLine="0"/>
        <w:rPr>
          <w:b/>
          <w:color w:val="auto"/>
        </w:rPr>
      </w:pPr>
      <w:r>
        <w:rPr>
          <w:rFonts w:hint="eastAsia"/>
          <w:b/>
          <w:color w:val="auto"/>
          <w:lang w:val="en-US"/>
        </w:rPr>
        <w:t xml:space="preserve"> </w:t>
      </w:r>
      <w:bookmarkStart w:id="973" w:name="_Toc7887"/>
      <w:bookmarkStart w:id="974" w:name="_Toc66268225"/>
      <w:r>
        <w:rPr>
          <w:rFonts w:hint="eastAsia"/>
          <w:b/>
          <w:color w:val="auto"/>
          <w:lang w:val="en-US"/>
        </w:rPr>
        <w:t>拟签订的合同文本</w:t>
      </w:r>
      <w:bookmarkEnd w:id="973"/>
      <w:bookmarkEnd w:id="974"/>
    </w:p>
    <w:p>
      <w:pPr>
        <w:ind w:firstLine="0" w:firstLineChars="0"/>
        <w:jc w:val="left"/>
        <w:rPr>
          <w:b w:val="0"/>
          <w:color w:val="auto"/>
          <w:sz w:val="24"/>
          <w:szCs w:val="24"/>
        </w:rPr>
      </w:pPr>
    </w:p>
    <w:p>
      <w:pPr>
        <w:ind w:firstLine="480"/>
        <w:jc w:val="left"/>
        <w:rPr>
          <w:b w:val="0"/>
          <w:color w:val="auto"/>
          <w:sz w:val="24"/>
          <w:szCs w:val="24"/>
          <w:u w:val="single"/>
        </w:rPr>
      </w:pPr>
      <w:r>
        <w:rPr>
          <w:rFonts w:hint="eastAsia"/>
          <w:b w:val="0"/>
          <w:color w:val="auto"/>
          <w:sz w:val="24"/>
          <w:szCs w:val="24"/>
        </w:rPr>
        <w:t>项目名称：</w:t>
      </w:r>
      <w:r>
        <w:rPr>
          <w:rFonts w:hint="eastAsia"/>
          <w:b w:val="0"/>
          <w:color w:val="auto"/>
          <w:sz w:val="24"/>
          <w:szCs w:val="24"/>
          <w:u w:val="single"/>
        </w:rPr>
        <w:t xml:space="preserve">                          </w:t>
      </w:r>
    </w:p>
    <w:p>
      <w:pPr>
        <w:ind w:firstLine="480"/>
        <w:jc w:val="left"/>
        <w:rPr>
          <w:b w:val="0"/>
          <w:color w:val="auto"/>
          <w:sz w:val="24"/>
          <w:szCs w:val="24"/>
          <w:u w:val="single"/>
        </w:rPr>
      </w:pPr>
      <w:r>
        <w:rPr>
          <w:rFonts w:hint="eastAsia"/>
          <w:b w:val="0"/>
          <w:color w:val="auto"/>
          <w:sz w:val="24"/>
          <w:szCs w:val="24"/>
        </w:rPr>
        <w:t>政府采购管理部门备案编号：</w:t>
      </w:r>
      <w:r>
        <w:rPr>
          <w:rFonts w:hint="eastAsia"/>
          <w:b w:val="0"/>
          <w:color w:val="auto"/>
          <w:sz w:val="24"/>
          <w:szCs w:val="24"/>
          <w:u w:val="single"/>
        </w:rPr>
        <w:t xml:space="preserve">                          </w:t>
      </w:r>
    </w:p>
    <w:p>
      <w:pPr>
        <w:ind w:firstLine="480"/>
        <w:jc w:val="left"/>
        <w:rPr>
          <w:b w:val="0"/>
          <w:color w:val="auto"/>
          <w:sz w:val="24"/>
          <w:szCs w:val="24"/>
          <w:u w:val="single"/>
        </w:rPr>
      </w:pPr>
      <w:r>
        <w:rPr>
          <w:rFonts w:hint="eastAsia"/>
          <w:b w:val="0"/>
          <w:color w:val="auto"/>
          <w:sz w:val="24"/>
          <w:szCs w:val="24"/>
        </w:rPr>
        <w:t>招标文件编号：</w:t>
      </w:r>
      <w:r>
        <w:rPr>
          <w:rFonts w:hint="eastAsia"/>
          <w:b w:val="0"/>
          <w:color w:val="auto"/>
          <w:sz w:val="24"/>
          <w:szCs w:val="24"/>
          <w:u w:val="single"/>
        </w:rPr>
        <w:t xml:space="preserve">                                 </w:t>
      </w:r>
    </w:p>
    <w:p>
      <w:pPr>
        <w:ind w:firstLine="480"/>
        <w:jc w:val="left"/>
        <w:rPr>
          <w:b w:val="0"/>
          <w:color w:val="auto"/>
          <w:sz w:val="24"/>
          <w:szCs w:val="24"/>
          <w:u w:val="single"/>
        </w:rPr>
      </w:pPr>
      <w:r>
        <w:rPr>
          <w:rFonts w:hint="eastAsia"/>
          <w:b w:val="0"/>
          <w:color w:val="auto"/>
          <w:sz w:val="24"/>
          <w:szCs w:val="24"/>
        </w:rPr>
        <w:t>甲方合同编号：</w:t>
      </w:r>
      <w:r>
        <w:rPr>
          <w:rFonts w:hint="eastAsia"/>
          <w:b w:val="0"/>
          <w:color w:val="auto"/>
          <w:sz w:val="24"/>
          <w:szCs w:val="24"/>
          <w:u w:val="single"/>
        </w:rPr>
        <w:t xml:space="preserve">                                    </w:t>
      </w:r>
    </w:p>
    <w:p>
      <w:pPr>
        <w:ind w:firstLine="480"/>
        <w:jc w:val="left"/>
        <w:rPr>
          <w:b w:val="0"/>
          <w:color w:val="auto"/>
          <w:sz w:val="24"/>
          <w:szCs w:val="24"/>
          <w:u w:val="single"/>
        </w:rPr>
      </w:pPr>
      <w:r>
        <w:rPr>
          <w:rFonts w:hint="eastAsia"/>
          <w:b w:val="0"/>
          <w:color w:val="auto"/>
          <w:sz w:val="24"/>
          <w:szCs w:val="24"/>
        </w:rPr>
        <w:t>甲方（采购人）：</w:t>
      </w:r>
      <w:r>
        <w:rPr>
          <w:rFonts w:hint="eastAsia"/>
          <w:b w:val="0"/>
          <w:color w:val="auto"/>
          <w:sz w:val="24"/>
          <w:szCs w:val="24"/>
          <w:u w:val="single"/>
        </w:rPr>
        <w:t xml:space="preserve">                                  </w:t>
      </w:r>
    </w:p>
    <w:p>
      <w:pPr>
        <w:ind w:firstLine="480"/>
        <w:jc w:val="left"/>
        <w:rPr>
          <w:b w:val="0"/>
          <w:color w:val="auto"/>
          <w:sz w:val="24"/>
          <w:szCs w:val="24"/>
          <w:u w:val="single"/>
        </w:rPr>
      </w:pPr>
      <w:r>
        <w:rPr>
          <w:rFonts w:hint="eastAsia"/>
          <w:b w:val="0"/>
          <w:color w:val="auto"/>
          <w:sz w:val="24"/>
          <w:szCs w:val="24"/>
        </w:rPr>
        <w:t>乙方（供应商）：</w:t>
      </w:r>
      <w:r>
        <w:rPr>
          <w:rFonts w:hint="eastAsia"/>
          <w:b w:val="0"/>
          <w:color w:val="auto"/>
          <w:sz w:val="24"/>
          <w:szCs w:val="24"/>
          <w:u w:val="single"/>
        </w:rPr>
        <w:t xml:space="preserve">                                  </w:t>
      </w:r>
    </w:p>
    <w:p>
      <w:pPr>
        <w:ind w:firstLine="480"/>
        <w:jc w:val="left"/>
        <w:rPr>
          <w:b w:val="0"/>
          <w:color w:val="auto"/>
          <w:sz w:val="24"/>
          <w:szCs w:val="24"/>
          <w:u w:val="single"/>
        </w:rPr>
      </w:pPr>
    </w:p>
    <w:p>
      <w:pPr>
        <w:ind w:firstLine="480"/>
        <w:jc w:val="left"/>
        <w:rPr>
          <w:b w:val="0"/>
          <w:color w:val="auto"/>
          <w:sz w:val="24"/>
          <w:szCs w:val="24"/>
        </w:rPr>
      </w:pPr>
      <w:r>
        <w:rPr>
          <w:rFonts w:hint="eastAsia"/>
          <w:b w:val="0"/>
          <w:color w:val="auto"/>
          <w:sz w:val="24"/>
          <w:szCs w:val="24"/>
        </w:rPr>
        <w:t>根据《中华人民共和国政府采购法》、《中华人民共和国</w:t>
      </w:r>
      <w:r>
        <w:rPr>
          <w:rFonts w:hint="eastAsia"/>
          <w:b w:val="0"/>
          <w:color w:val="auto"/>
          <w:sz w:val="24"/>
          <w:szCs w:val="24"/>
          <w:lang w:val="en-US"/>
        </w:rPr>
        <w:t>民法典</w:t>
      </w:r>
      <w:r>
        <w:rPr>
          <w:rFonts w:hint="eastAsia"/>
          <w:b w:val="0"/>
          <w:color w:val="auto"/>
          <w:sz w:val="24"/>
          <w:szCs w:val="24"/>
        </w:rPr>
        <w:t>》及</w:t>
      </w:r>
      <w:r>
        <w:rPr>
          <w:rFonts w:hint="eastAsia"/>
          <w:b w:val="0"/>
          <w:color w:val="auto"/>
          <w:sz w:val="24"/>
          <w:szCs w:val="24"/>
          <w:lang w:val="en-US"/>
        </w:rPr>
        <w:t>_________________</w:t>
      </w:r>
      <w:r>
        <w:rPr>
          <w:rFonts w:hint="eastAsia"/>
          <w:b w:val="0"/>
          <w:color w:val="auto"/>
          <w:sz w:val="24"/>
          <w:szCs w:val="24"/>
        </w:rPr>
        <w:t>（项目编号：</w:t>
      </w:r>
      <w:r>
        <w:rPr>
          <w:rFonts w:hint="eastAsia"/>
          <w:b w:val="0"/>
          <w:color w:val="auto"/>
          <w:sz w:val="24"/>
          <w:szCs w:val="24"/>
          <w:lang w:val="en-US"/>
        </w:rPr>
        <w:t>_________________</w:t>
      </w:r>
      <w:r>
        <w:rPr>
          <w:rFonts w:hint="eastAsia"/>
          <w:b w:val="0"/>
          <w:color w:val="auto"/>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ind w:firstLine="480"/>
        <w:jc w:val="left"/>
        <w:rPr>
          <w:b w:val="0"/>
          <w:color w:val="auto"/>
          <w:sz w:val="24"/>
          <w:szCs w:val="24"/>
          <w:lang w:val="en-US"/>
        </w:rPr>
      </w:pPr>
      <w:r>
        <w:rPr>
          <w:rFonts w:hint="eastAsia"/>
          <w:b w:val="0"/>
          <w:color w:val="auto"/>
          <w:sz w:val="24"/>
          <w:szCs w:val="24"/>
          <w:lang w:val="en-US"/>
        </w:rPr>
        <w:t xml:space="preserve">第一条   合同文件 </w:t>
      </w:r>
    </w:p>
    <w:p>
      <w:pPr>
        <w:ind w:firstLine="480"/>
        <w:jc w:val="left"/>
        <w:rPr>
          <w:b w:val="0"/>
          <w:color w:val="auto"/>
          <w:sz w:val="24"/>
          <w:szCs w:val="24"/>
          <w:lang w:val="en-US"/>
        </w:rPr>
      </w:pPr>
      <w:r>
        <w:rPr>
          <w:rFonts w:hint="eastAsia"/>
          <w:b w:val="0"/>
          <w:color w:val="auto"/>
          <w:sz w:val="24"/>
          <w:szCs w:val="24"/>
          <w:lang w:val="en-US"/>
        </w:rPr>
        <w:t xml:space="preserve">下列与本次采购活动有关的文件及附件是本合同不可分割的组成部分，与本合同具有同等法律效力，这些文件包括： </w:t>
      </w:r>
    </w:p>
    <w:p>
      <w:pPr>
        <w:ind w:firstLine="480"/>
        <w:jc w:val="left"/>
        <w:rPr>
          <w:b w:val="0"/>
          <w:color w:val="auto"/>
          <w:sz w:val="24"/>
          <w:szCs w:val="24"/>
          <w:lang w:val="en-US"/>
        </w:rPr>
      </w:pPr>
      <w:r>
        <w:rPr>
          <w:rFonts w:hint="eastAsia"/>
          <w:b w:val="0"/>
          <w:color w:val="auto"/>
          <w:sz w:val="24"/>
          <w:szCs w:val="24"/>
          <w:lang w:val="en-US"/>
        </w:rPr>
        <w:t xml:space="preserve">1.招标文件 </w:t>
      </w:r>
    </w:p>
    <w:p>
      <w:pPr>
        <w:ind w:firstLine="480"/>
        <w:jc w:val="left"/>
        <w:rPr>
          <w:b w:val="0"/>
          <w:color w:val="auto"/>
          <w:sz w:val="24"/>
          <w:szCs w:val="24"/>
          <w:lang w:val="en-US"/>
        </w:rPr>
      </w:pPr>
      <w:r>
        <w:rPr>
          <w:rFonts w:hint="eastAsia"/>
          <w:b w:val="0"/>
          <w:color w:val="auto"/>
          <w:sz w:val="24"/>
          <w:szCs w:val="24"/>
          <w:lang w:val="en-US"/>
        </w:rPr>
        <w:t xml:space="preserve">2.投标文件 </w:t>
      </w:r>
    </w:p>
    <w:p>
      <w:pPr>
        <w:ind w:firstLine="480"/>
        <w:jc w:val="left"/>
        <w:rPr>
          <w:b w:val="0"/>
          <w:color w:val="auto"/>
          <w:sz w:val="24"/>
          <w:szCs w:val="24"/>
          <w:lang w:val="en-US"/>
        </w:rPr>
      </w:pPr>
      <w:r>
        <w:rPr>
          <w:rFonts w:hint="eastAsia"/>
          <w:b w:val="0"/>
          <w:color w:val="auto"/>
          <w:sz w:val="24"/>
          <w:szCs w:val="24"/>
          <w:lang w:val="en-US"/>
        </w:rPr>
        <w:t xml:space="preserve">3.乙方在响应时的书面承诺 </w:t>
      </w:r>
    </w:p>
    <w:p>
      <w:pPr>
        <w:ind w:firstLine="480"/>
        <w:jc w:val="left"/>
        <w:rPr>
          <w:b w:val="0"/>
          <w:color w:val="auto"/>
          <w:sz w:val="24"/>
          <w:szCs w:val="24"/>
          <w:lang w:val="en-US"/>
        </w:rPr>
      </w:pPr>
      <w:r>
        <w:rPr>
          <w:rFonts w:hint="eastAsia"/>
          <w:b w:val="0"/>
          <w:color w:val="auto"/>
          <w:sz w:val="24"/>
          <w:szCs w:val="24"/>
          <w:lang w:val="en-US"/>
        </w:rPr>
        <w:t xml:space="preserve">4.中标/中标通知书 </w:t>
      </w:r>
    </w:p>
    <w:p>
      <w:pPr>
        <w:ind w:firstLine="480"/>
        <w:jc w:val="left"/>
        <w:rPr>
          <w:b w:val="0"/>
          <w:color w:val="auto"/>
          <w:sz w:val="24"/>
          <w:szCs w:val="24"/>
          <w:lang w:val="en-US"/>
        </w:rPr>
      </w:pPr>
      <w:r>
        <w:rPr>
          <w:rFonts w:hint="eastAsia"/>
          <w:b w:val="0"/>
          <w:color w:val="auto"/>
          <w:sz w:val="24"/>
          <w:szCs w:val="24"/>
          <w:lang w:val="en-US"/>
        </w:rPr>
        <w:t xml:space="preserve">5.合同补充条款或说明 </w:t>
      </w:r>
    </w:p>
    <w:p>
      <w:pPr>
        <w:ind w:firstLine="480"/>
        <w:jc w:val="left"/>
        <w:rPr>
          <w:b w:val="0"/>
          <w:color w:val="auto"/>
          <w:sz w:val="24"/>
          <w:szCs w:val="24"/>
          <w:lang w:val="en-US"/>
        </w:rPr>
      </w:pPr>
      <w:r>
        <w:rPr>
          <w:rFonts w:hint="eastAsia"/>
          <w:b w:val="0"/>
          <w:color w:val="auto"/>
          <w:sz w:val="24"/>
          <w:szCs w:val="24"/>
          <w:lang w:val="en-US"/>
        </w:rPr>
        <w:t xml:space="preserve">6.保密协议或条款 </w:t>
      </w:r>
    </w:p>
    <w:p>
      <w:pPr>
        <w:ind w:firstLine="480"/>
        <w:jc w:val="left"/>
        <w:rPr>
          <w:b w:val="0"/>
          <w:color w:val="auto"/>
          <w:sz w:val="24"/>
          <w:szCs w:val="24"/>
          <w:lang w:val="en-US"/>
        </w:rPr>
      </w:pPr>
      <w:r>
        <w:rPr>
          <w:rFonts w:hint="eastAsia"/>
          <w:b w:val="0"/>
          <w:color w:val="auto"/>
          <w:sz w:val="24"/>
          <w:szCs w:val="24"/>
          <w:lang w:val="en-US"/>
        </w:rPr>
        <w:t>7.相关附件</w:t>
      </w:r>
    </w:p>
    <w:p>
      <w:pPr>
        <w:ind w:firstLine="480"/>
        <w:jc w:val="left"/>
        <w:rPr>
          <w:b w:val="0"/>
          <w:color w:val="auto"/>
          <w:sz w:val="24"/>
          <w:szCs w:val="24"/>
          <w:lang w:val="en-US"/>
        </w:rPr>
      </w:pPr>
      <w:r>
        <w:rPr>
          <w:rFonts w:hint="eastAsia"/>
          <w:b w:val="0"/>
          <w:color w:val="auto"/>
          <w:sz w:val="24"/>
          <w:szCs w:val="24"/>
          <w:lang w:val="en-US"/>
        </w:rPr>
        <w:t>第二条   服务期限</w:t>
      </w:r>
    </w:p>
    <w:p>
      <w:pPr>
        <w:ind w:firstLine="480"/>
        <w:jc w:val="left"/>
        <w:rPr>
          <w:b w:val="0"/>
          <w:color w:val="auto"/>
          <w:sz w:val="24"/>
          <w:szCs w:val="24"/>
          <w:lang w:val="en-US"/>
        </w:rPr>
      </w:pPr>
      <w:r>
        <w:rPr>
          <w:rFonts w:hint="eastAsia"/>
          <w:b w:val="0"/>
          <w:color w:val="auto"/>
          <w:sz w:val="24"/>
          <w:szCs w:val="24"/>
          <w:lang w:val="en-US"/>
        </w:rPr>
        <w:t>合同生效之日起的</w:t>
      </w:r>
      <w:r>
        <w:rPr>
          <w:b w:val="0"/>
          <w:color w:val="auto"/>
          <w:sz w:val="24"/>
          <w:szCs w:val="24"/>
          <w:lang w:val="en-US"/>
        </w:rPr>
        <w:t>6个月</w:t>
      </w:r>
      <w:r>
        <w:rPr>
          <w:rFonts w:hint="eastAsia"/>
          <w:b w:val="0"/>
          <w:color w:val="auto"/>
          <w:sz w:val="24"/>
          <w:szCs w:val="24"/>
          <w:lang w:val="en-US"/>
        </w:rPr>
        <w:t>。</w:t>
      </w:r>
    </w:p>
    <w:p>
      <w:pPr>
        <w:ind w:firstLine="480"/>
        <w:jc w:val="left"/>
        <w:rPr>
          <w:b w:val="0"/>
          <w:color w:val="auto"/>
          <w:sz w:val="24"/>
          <w:szCs w:val="24"/>
          <w:lang w:val="en-US"/>
        </w:rPr>
      </w:pPr>
      <w:r>
        <w:rPr>
          <w:rFonts w:hint="eastAsia"/>
          <w:b w:val="0"/>
          <w:color w:val="auto"/>
          <w:sz w:val="24"/>
          <w:szCs w:val="24"/>
          <w:lang w:val="en-US"/>
        </w:rPr>
        <w:t>第三条  服务内容与服务标准</w:t>
      </w:r>
    </w:p>
    <w:p>
      <w:pPr>
        <w:ind w:firstLine="480"/>
        <w:jc w:val="left"/>
        <w:rPr>
          <w:b w:val="0"/>
          <w:color w:val="auto"/>
          <w:sz w:val="24"/>
          <w:szCs w:val="24"/>
          <w:lang w:val="en-US"/>
        </w:rPr>
      </w:pPr>
    </w:p>
    <w:p>
      <w:pPr>
        <w:ind w:firstLine="480"/>
        <w:jc w:val="left"/>
        <w:rPr>
          <w:b w:val="0"/>
          <w:color w:val="auto"/>
          <w:sz w:val="24"/>
          <w:szCs w:val="24"/>
          <w:lang w:val="en-US"/>
        </w:rPr>
      </w:pPr>
      <w:r>
        <w:rPr>
          <w:rFonts w:hint="eastAsia"/>
          <w:b w:val="0"/>
          <w:color w:val="auto"/>
          <w:sz w:val="24"/>
          <w:szCs w:val="24"/>
          <w:lang w:val="en-US"/>
        </w:rPr>
        <w:t>招标文件要求、投标文件响应的服务内容（合同签订时明确）</w:t>
      </w:r>
    </w:p>
    <w:p>
      <w:pPr>
        <w:ind w:firstLine="480"/>
        <w:jc w:val="left"/>
        <w:rPr>
          <w:b w:val="0"/>
          <w:color w:val="auto"/>
          <w:sz w:val="24"/>
          <w:szCs w:val="24"/>
          <w:lang w:val="en-US"/>
        </w:rPr>
      </w:pPr>
      <w:r>
        <w:rPr>
          <w:rFonts w:hint="eastAsia"/>
          <w:b w:val="0"/>
          <w:color w:val="auto"/>
          <w:sz w:val="24"/>
          <w:szCs w:val="24"/>
          <w:lang w:val="en-US"/>
        </w:rPr>
        <w:t>第四条   合同金额及支付方式</w:t>
      </w:r>
    </w:p>
    <w:p>
      <w:pPr>
        <w:ind w:firstLine="480"/>
        <w:jc w:val="left"/>
        <w:rPr>
          <w:b w:val="0"/>
          <w:color w:val="auto"/>
          <w:sz w:val="24"/>
          <w:szCs w:val="24"/>
          <w:lang w:val="en-US"/>
        </w:rPr>
      </w:pPr>
      <w:r>
        <w:rPr>
          <w:rFonts w:hint="eastAsia"/>
          <w:b w:val="0"/>
          <w:color w:val="auto"/>
          <w:sz w:val="24"/>
          <w:szCs w:val="24"/>
          <w:lang w:val="en-US"/>
        </w:rPr>
        <w:t>4.1</w:t>
      </w:r>
      <w:r>
        <w:rPr>
          <w:b w:val="0"/>
          <w:color w:val="auto"/>
          <w:sz w:val="24"/>
          <w:szCs w:val="24"/>
          <w:lang w:val="en-US"/>
        </w:rPr>
        <w:t xml:space="preserve">  </w:t>
      </w:r>
      <w:r>
        <w:rPr>
          <w:rFonts w:hint="eastAsia"/>
          <w:b w:val="0"/>
          <w:color w:val="auto"/>
          <w:sz w:val="24"/>
          <w:szCs w:val="24"/>
          <w:lang w:val="en-US"/>
        </w:rPr>
        <w:t>合同金额为：人民币 （大写）_________________元（￥_______________元）。本合同执行期间合同金额不变，甲方无需另向乙方支付本合同规定之外的其他任何费用。</w:t>
      </w:r>
    </w:p>
    <w:p>
      <w:pPr>
        <w:ind w:firstLine="480"/>
        <w:jc w:val="left"/>
        <w:rPr>
          <w:b w:val="0"/>
          <w:color w:val="auto"/>
          <w:sz w:val="24"/>
          <w:szCs w:val="24"/>
          <w:lang w:val="en-US"/>
        </w:rPr>
      </w:pPr>
      <w:r>
        <w:rPr>
          <w:rFonts w:hint="eastAsia"/>
          <w:b w:val="0"/>
          <w:color w:val="auto"/>
          <w:sz w:val="24"/>
          <w:szCs w:val="24"/>
          <w:lang w:val="en-US"/>
        </w:rPr>
        <w:t>4.2</w:t>
      </w:r>
      <w:r>
        <w:rPr>
          <w:b w:val="0"/>
          <w:color w:val="auto"/>
          <w:sz w:val="24"/>
          <w:szCs w:val="24"/>
          <w:lang w:val="en-US"/>
        </w:rPr>
        <w:t xml:space="preserve">  </w:t>
      </w:r>
      <w:r>
        <w:rPr>
          <w:rFonts w:hint="eastAsia"/>
          <w:b w:val="0"/>
          <w:color w:val="auto"/>
          <w:sz w:val="24"/>
          <w:szCs w:val="24"/>
          <w:lang w:val="en-US"/>
        </w:rPr>
        <w:t>支付方式</w:t>
      </w:r>
    </w:p>
    <w:p>
      <w:pPr>
        <w:ind w:firstLine="480"/>
        <w:jc w:val="left"/>
        <w:rPr>
          <w:b w:val="0"/>
          <w:color w:val="auto"/>
          <w:sz w:val="24"/>
          <w:szCs w:val="24"/>
          <w:lang w:val="en-US"/>
        </w:rPr>
      </w:pPr>
      <w:r>
        <w:rPr>
          <w:rFonts w:hint="eastAsia"/>
          <w:b w:val="0"/>
          <w:color w:val="auto"/>
          <w:sz w:val="24"/>
          <w:szCs w:val="24"/>
          <w:lang w:val="en-US"/>
        </w:rPr>
        <w:t>采购人在收到中标人</w:t>
      </w:r>
      <w:r>
        <w:rPr>
          <w:b w:val="0"/>
          <w:color w:val="auto"/>
          <w:sz w:val="24"/>
          <w:szCs w:val="24"/>
          <w:lang w:val="en-US"/>
        </w:rPr>
        <w:t>70%合同金额的发票及履约保证金后的20个工作日内，向中标人支付合同金额的70%。项目验收合格后，采购人在收到中标人30%合同金额发票的15个工作日内，向中标人支付合同金额30%（根据考核结果应扣除的除外）。</w:t>
      </w:r>
    </w:p>
    <w:p>
      <w:pPr>
        <w:ind w:firstLine="480"/>
        <w:jc w:val="left"/>
        <w:rPr>
          <w:b w:val="0"/>
          <w:color w:val="auto"/>
          <w:sz w:val="24"/>
          <w:szCs w:val="24"/>
          <w:lang w:val="en-US"/>
        </w:rPr>
      </w:pPr>
      <w:r>
        <w:rPr>
          <w:rFonts w:hint="eastAsia"/>
          <w:b w:val="0"/>
          <w:color w:val="auto"/>
          <w:sz w:val="24"/>
          <w:szCs w:val="24"/>
          <w:lang w:val="en-US"/>
        </w:rPr>
        <w:t>第五条   知识产权及承诺</w:t>
      </w:r>
    </w:p>
    <w:p>
      <w:pPr>
        <w:ind w:firstLine="480"/>
        <w:jc w:val="left"/>
        <w:rPr>
          <w:b w:val="0"/>
          <w:color w:val="auto"/>
          <w:sz w:val="24"/>
          <w:szCs w:val="24"/>
          <w:lang w:val="en-US"/>
        </w:rPr>
      </w:pPr>
      <w:r>
        <w:rPr>
          <w:rFonts w:hint="eastAsia"/>
          <w:b w:val="0"/>
          <w:color w:val="auto"/>
          <w:sz w:val="24"/>
          <w:szCs w:val="24"/>
          <w:lang w:val="en-US"/>
        </w:rPr>
        <w:t>5.1</w:t>
      </w:r>
      <w:r>
        <w:rPr>
          <w:b w:val="0"/>
          <w:color w:val="auto"/>
          <w:sz w:val="24"/>
          <w:szCs w:val="24"/>
          <w:lang w:val="en-US"/>
        </w:rPr>
        <w:t xml:space="preserve">  </w:t>
      </w:r>
      <w:r>
        <w:rPr>
          <w:rFonts w:hint="eastAsia"/>
          <w:b w:val="0"/>
          <w:color w:val="auto"/>
          <w:sz w:val="24"/>
          <w:szCs w:val="24"/>
          <w:lang w:val="en-US"/>
        </w:rPr>
        <w:t>乙方保证所提供的服务或其任何一部分均不会侵犯任何第三方的专利权、商标权、著作权或其他合法权益，否则视为乙方违约，由此产生的一切损失由乙方承担。</w:t>
      </w:r>
    </w:p>
    <w:p>
      <w:pPr>
        <w:ind w:firstLine="480"/>
        <w:jc w:val="left"/>
        <w:rPr>
          <w:b w:val="0"/>
          <w:color w:val="auto"/>
          <w:sz w:val="24"/>
          <w:szCs w:val="24"/>
          <w:lang w:val="en-US"/>
        </w:rPr>
      </w:pPr>
      <w:r>
        <w:rPr>
          <w:rFonts w:hint="eastAsia"/>
          <w:b w:val="0"/>
          <w:color w:val="auto"/>
          <w:sz w:val="24"/>
          <w:szCs w:val="24"/>
          <w:lang w:val="en-US"/>
        </w:rPr>
        <w:t>5.2</w:t>
      </w:r>
      <w:r>
        <w:rPr>
          <w:b w:val="0"/>
          <w:color w:val="auto"/>
          <w:sz w:val="24"/>
          <w:szCs w:val="24"/>
          <w:lang w:val="en-US"/>
        </w:rPr>
        <w:t xml:space="preserve">  </w:t>
      </w:r>
      <w:r>
        <w:rPr>
          <w:rFonts w:hint="eastAsia"/>
          <w:b w:val="0"/>
          <w:color w:val="auto"/>
          <w:sz w:val="24"/>
          <w:szCs w:val="24"/>
          <w:lang w:val="en-US"/>
        </w:rPr>
        <w:t>甲方对项目实施过程中所产生的所有成果（包括发明、发现及相关技术资料、文档等）享有使用权。除本项目工作所需外，未经甲方书面同意，乙方不得擅自使用、复制采购人的标志、数据信息、文档及其他资料。</w:t>
      </w:r>
    </w:p>
    <w:p>
      <w:pPr>
        <w:ind w:firstLine="480"/>
        <w:jc w:val="left"/>
        <w:rPr>
          <w:b w:val="0"/>
          <w:color w:val="auto"/>
          <w:sz w:val="24"/>
          <w:szCs w:val="24"/>
          <w:lang w:val="en-US"/>
        </w:rPr>
      </w:pPr>
      <w:r>
        <w:rPr>
          <w:rFonts w:hint="eastAsia"/>
          <w:b w:val="0"/>
          <w:color w:val="auto"/>
          <w:sz w:val="24"/>
          <w:szCs w:val="24"/>
          <w:lang w:val="en-US"/>
        </w:rPr>
        <w:t>第六条   甲方的权利与义务</w:t>
      </w:r>
    </w:p>
    <w:p>
      <w:pPr>
        <w:ind w:firstLine="480"/>
        <w:jc w:val="left"/>
        <w:rPr>
          <w:b w:val="0"/>
          <w:color w:val="auto"/>
          <w:sz w:val="24"/>
          <w:szCs w:val="24"/>
          <w:lang w:val="en-US"/>
        </w:rPr>
      </w:pPr>
      <w:r>
        <w:rPr>
          <w:rFonts w:hint="eastAsia"/>
          <w:b w:val="0"/>
          <w:color w:val="auto"/>
          <w:sz w:val="24"/>
          <w:szCs w:val="24"/>
          <w:lang w:val="en-US"/>
        </w:rPr>
        <w:t xml:space="preserve">6.1 </w:t>
      </w:r>
      <w:r>
        <w:rPr>
          <w:b w:val="0"/>
          <w:color w:val="auto"/>
          <w:sz w:val="24"/>
          <w:szCs w:val="24"/>
          <w:lang w:val="en-US"/>
        </w:rPr>
        <w:t xml:space="preserve"> </w:t>
      </w:r>
      <w:r>
        <w:rPr>
          <w:rFonts w:hint="eastAsia"/>
          <w:b w:val="0"/>
          <w:color w:val="auto"/>
          <w:sz w:val="24"/>
          <w:szCs w:val="24"/>
          <w:lang w:val="en-US"/>
        </w:rPr>
        <w:t>甲方有权对合同规定范围内乙方的服务进行督促，并要求乙方进行符合服务质量标准的修改。</w:t>
      </w:r>
    </w:p>
    <w:p>
      <w:pPr>
        <w:ind w:firstLine="480"/>
        <w:jc w:val="left"/>
        <w:rPr>
          <w:b w:val="0"/>
          <w:color w:val="auto"/>
          <w:sz w:val="24"/>
          <w:szCs w:val="24"/>
          <w:lang w:val="en-US"/>
        </w:rPr>
      </w:pPr>
      <w:r>
        <w:rPr>
          <w:rFonts w:hint="eastAsia"/>
          <w:b w:val="0"/>
          <w:color w:val="auto"/>
          <w:sz w:val="24"/>
          <w:szCs w:val="24"/>
          <w:lang w:val="en-US"/>
        </w:rPr>
        <w:t xml:space="preserve">6.2 </w:t>
      </w:r>
      <w:r>
        <w:rPr>
          <w:b w:val="0"/>
          <w:color w:val="auto"/>
          <w:sz w:val="24"/>
          <w:szCs w:val="24"/>
          <w:lang w:val="en-US"/>
        </w:rPr>
        <w:t xml:space="preserve"> </w:t>
      </w:r>
      <w:r>
        <w:rPr>
          <w:rFonts w:hint="eastAsia"/>
          <w:b w:val="0"/>
          <w:color w:val="auto"/>
          <w:sz w:val="24"/>
          <w:szCs w:val="24"/>
          <w:lang w:val="en-US"/>
        </w:rPr>
        <w:t>负责监督乙方服务的实施及执行情况。</w:t>
      </w:r>
    </w:p>
    <w:p>
      <w:pPr>
        <w:ind w:firstLine="480"/>
        <w:jc w:val="left"/>
        <w:rPr>
          <w:b w:val="0"/>
          <w:color w:val="auto"/>
          <w:sz w:val="24"/>
          <w:szCs w:val="24"/>
          <w:lang w:val="en-US"/>
        </w:rPr>
      </w:pPr>
      <w:r>
        <w:rPr>
          <w:rFonts w:hint="eastAsia"/>
          <w:b w:val="0"/>
          <w:color w:val="auto"/>
          <w:sz w:val="24"/>
          <w:szCs w:val="24"/>
          <w:lang w:val="en-US"/>
        </w:rPr>
        <w:t xml:space="preserve">6.3 </w:t>
      </w:r>
      <w:r>
        <w:rPr>
          <w:b w:val="0"/>
          <w:color w:val="auto"/>
          <w:sz w:val="24"/>
          <w:szCs w:val="24"/>
          <w:lang w:val="en-US"/>
        </w:rPr>
        <w:t xml:space="preserve"> </w:t>
      </w:r>
      <w:r>
        <w:rPr>
          <w:rFonts w:hint="eastAsia"/>
          <w:b w:val="0"/>
          <w:color w:val="auto"/>
          <w:sz w:val="24"/>
          <w:szCs w:val="24"/>
          <w:lang w:val="en-US"/>
        </w:rPr>
        <w:t>根据本合同规定，按时向乙方支付应付服务费用。</w:t>
      </w:r>
    </w:p>
    <w:p>
      <w:pPr>
        <w:ind w:firstLine="480"/>
        <w:jc w:val="left"/>
        <w:rPr>
          <w:b w:val="0"/>
          <w:color w:val="auto"/>
          <w:sz w:val="24"/>
          <w:szCs w:val="24"/>
          <w:lang w:val="en-US"/>
        </w:rPr>
      </w:pPr>
      <w:r>
        <w:rPr>
          <w:rFonts w:hint="eastAsia"/>
          <w:b w:val="0"/>
          <w:color w:val="auto"/>
          <w:sz w:val="24"/>
          <w:szCs w:val="24"/>
          <w:lang w:val="en-US"/>
        </w:rPr>
        <w:t xml:space="preserve">6.4 </w:t>
      </w:r>
      <w:r>
        <w:rPr>
          <w:b w:val="0"/>
          <w:color w:val="auto"/>
          <w:sz w:val="24"/>
          <w:szCs w:val="24"/>
          <w:lang w:val="en-US"/>
        </w:rPr>
        <w:t xml:space="preserve"> </w:t>
      </w:r>
      <w:r>
        <w:rPr>
          <w:rFonts w:hint="eastAsia"/>
          <w:b w:val="0"/>
          <w:color w:val="auto"/>
          <w:sz w:val="24"/>
          <w:szCs w:val="24"/>
          <w:lang w:val="en-US"/>
        </w:rPr>
        <w:t>国家法律、法规所规定由甲方承担的其它责任。</w:t>
      </w:r>
    </w:p>
    <w:p>
      <w:pPr>
        <w:ind w:firstLine="480"/>
        <w:jc w:val="left"/>
        <w:rPr>
          <w:b w:val="0"/>
          <w:color w:val="auto"/>
          <w:sz w:val="24"/>
          <w:szCs w:val="24"/>
          <w:lang w:val="en-US"/>
        </w:rPr>
      </w:pPr>
      <w:r>
        <w:rPr>
          <w:rFonts w:hint="eastAsia"/>
          <w:b w:val="0"/>
          <w:color w:val="auto"/>
          <w:sz w:val="24"/>
          <w:szCs w:val="24"/>
          <w:lang w:val="en-US"/>
        </w:rPr>
        <w:t>第七条   乙方的权利与义务</w:t>
      </w:r>
    </w:p>
    <w:p>
      <w:pPr>
        <w:ind w:firstLine="480"/>
        <w:jc w:val="left"/>
        <w:rPr>
          <w:b w:val="0"/>
          <w:color w:val="auto"/>
          <w:sz w:val="24"/>
          <w:szCs w:val="24"/>
          <w:lang w:val="en-US"/>
        </w:rPr>
      </w:pPr>
      <w:r>
        <w:rPr>
          <w:rFonts w:hint="eastAsia"/>
          <w:b w:val="0"/>
          <w:color w:val="auto"/>
          <w:sz w:val="24"/>
          <w:szCs w:val="24"/>
          <w:lang w:val="en-US"/>
        </w:rPr>
        <w:t xml:space="preserve">    7.1 </w:t>
      </w:r>
      <w:r>
        <w:rPr>
          <w:b w:val="0"/>
          <w:color w:val="auto"/>
          <w:sz w:val="24"/>
          <w:szCs w:val="24"/>
          <w:lang w:val="en-US"/>
        </w:rPr>
        <w:t xml:space="preserve"> </w:t>
      </w:r>
      <w:r>
        <w:rPr>
          <w:rFonts w:hint="eastAsia"/>
          <w:b w:val="0"/>
          <w:color w:val="auto"/>
          <w:sz w:val="24"/>
          <w:szCs w:val="24"/>
          <w:lang w:val="en-US"/>
        </w:rPr>
        <w:t>对委托服务范围内的项目有管理权及服务义务。按照服务内容和质量标准按时保质完成服务。</w:t>
      </w:r>
    </w:p>
    <w:p>
      <w:pPr>
        <w:ind w:firstLine="480"/>
        <w:jc w:val="left"/>
        <w:rPr>
          <w:b w:val="0"/>
          <w:color w:val="auto"/>
          <w:sz w:val="24"/>
          <w:szCs w:val="24"/>
          <w:lang w:val="en-US"/>
        </w:rPr>
      </w:pPr>
      <w:r>
        <w:rPr>
          <w:rFonts w:hint="eastAsia"/>
          <w:b w:val="0"/>
          <w:color w:val="auto"/>
          <w:sz w:val="24"/>
          <w:szCs w:val="24"/>
          <w:lang w:val="en-US"/>
        </w:rPr>
        <w:t xml:space="preserve">7.2 </w:t>
      </w:r>
      <w:r>
        <w:rPr>
          <w:b w:val="0"/>
          <w:color w:val="auto"/>
          <w:sz w:val="24"/>
          <w:szCs w:val="24"/>
          <w:lang w:val="en-US"/>
        </w:rPr>
        <w:t xml:space="preserve"> </w:t>
      </w:r>
      <w:r>
        <w:rPr>
          <w:rFonts w:hint="eastAsia"/>
          <w:b w:val="0"/>
          <w:color w:val="auto"/>
          <w:sz w:val="24"/>
          <w:szCs w:val="24"/>
          <w:lang w:val="en-US"/>
        </w:rPr>
        <w:t>根据本合同规定向甲方收取服务费用，并有权在项目管理范围内管理及合理使用。</w:t>
      </w:r>
    </w:p>
    <w:p>
      <w:pPr>
        <w:ind w:firstLine="480"/>
        <w:jc w:val="left"/>
        <w:rPr>
          <w:b w:val="0"/>
          <w:color w:val="auto"/>
          <w:sz w:val="24"/>
          <w:szCs w:val="24"/>
          <w:lang w:val="en-US"/>
        </w:rPr>
      </w:pPr>
      <w:r>
        <w:rPr>
          <w:rFonts w:hint="eastAsia"/>
          <w:b w:val="0"/>
          <w:color w:val="auto"/>
          <w:sz w:val="24"/>
          <w:szCs w:val="24"/>
          <w:lang w:val="en-US"/>
        </w:rPr>
        <w:t xml:space="preserve">7.3 </w:t>
      </w:r>
      <w:r>
        <w:rPr>
          <w:b w:val="0"/>
          <w:color w:val="auto"/>
          <w:sz w:val="24"/>
          <w:szCs w:val="24"/>
          <w:lang w:val="en-US"/>
        </w:rPr>
        <w:t xml:space="preserve"> </w:t>
      </w:r>
      <w:r>
        <w:rPr>
          <w:rFonts w:hint="eastAsia"/>
          <w:b w:val="0"/>
          <w:color w:val="auto"/>
          <w:sz w:val="24"/>
          <w:szCs w:val="24"/>
          <w:lang w:val="en-US"/>
        </w:rPr>
        <w:t>及时向甲方通告项目服务范围内有关服务的重大事项。</w:t>
      </w:r>
    </w:p>
    <w:p>
      <w:pPr>
        <w:ind w:firstLine="480"/>
        <w:jc w:val="left"/>
        <w:rPr>
          <w:b w:val="0"/>
          <w:color w:val="auto"/>
          <w:sz w:val="24"/>
          <w:szCs w:val="24"/>
          <w:lang w:val="en-US"/>
        </w:rPr>
      </w:pPr>
      <w:r>
        <w:rPr>
          <w:rFonts w:hint="eastAsia"/>
          <w:b w:val="0"/>
          <w:color w:val="auto"/>
          <w:sz w:val="24"/>
          <w:szCs w:val="24"/>
          <w:lang w:val="en-US"/>
        </w:rPr>
        <w:t xml:space="preserve">7.4 </w:t>
      </w:r>
      <w:r>
        <w:rPr>
          <w:b w:val="0"/>
          <w:color w:val="auto"/>
          <w:sz w:val="24"/>
          <w:szCs w:val="24"/>
          <w:lang w:val="en-US"/>
        </w:rPr>
        <w:t xml:space="preserve"> </w:t>
      </w:r>
      <w:r>
        <w:rPr>
          <w:rFonts w:hint="eastAsia"/>
          <w:b w:val="0"/>
          <w:color w:val="auto"/>
          <w:sz w:val="24"/>
          <w:szCs w:val="24"/>
          <w:lang w:val="en-US"/>
        </w:rPr>
        <w:t>国家法律、法规所规定由乙方承担的其它责任。</w:t>
      </w:r>
    </w:p>
    <w:p>
      <w:pPr>
        <w:ind w:firstLine="480"/>
        <w:jc w:val="left"/>
        <w:rPr>
          <w:b w:val="0"/>
          <w:color w:val="auto"/>
          <w:sz w:val="24"/>
          <w:szCs w:val="24"/>
          <w:lang w:val="en-US"/>
        </w:rPr>
      </w:pPr>
      <w:r>
        <w:rPr>
          <w:rFonts w:hint="eastAsia"/>
          <w:b w:val="0"/>
          <w:color w:val="auto"/>
          <w:sz w:val="24"/>
          <w:szCs w:val="24"/>
          <w:lang w:val="en-US"/>
        </w:rPr>
        <w:t xml:space="preserve">第九条  </w:t>
      </w:r>
      <w:r>
        <w:rPr>
          <w:b w:val="0"/>
          <w:color w:val="auto"/>
          <w:sz w:val="24"/>
          <w:szCs w:val="24"/>
          <w:lang w:val="en-US"/>
        </w:rPr>
        <w:t xml:space="preserve"> </w:t>
      </w:r>
      <w:r>
        <w:rPr>
          <w:rFonts w:hint="eastAsia"/>
          <w:b w:val="0"/>
          <w:color w:val="auto"/>
          <w:sz w:val="24"/>
          <w:szCs w:val="24"/>
          <w:lang w:val="en-US"/>
        </w:rPr>
        <w:t>违约责任</w:t>
      </w:r>
    </w:p>
    <w:p>
      <w:pPr>
        <w:ind w:firstLine="480"/>
        <w:jc w:val="left"/>
        <w:rPr>
          <w:b w:val="0"/>
          <w:color w:val="auto"/>
          <w:sz w:val="24"/>
          <w:szCs w:val="24"/>
          <w:lang w:val="en-US"/>
        </w:rPr>
      </w:pPr>
      <w:r>
        <w:rPr>
          <w:rFonts w:hint="eastAsia"/>
          <w:b w:val="0"/>
          <w:color w:val="auto"/>
          <w:sz w:val="24"/>
          <w:szCs w:val="24"/>
          <w:lang w:val="en-US"/>
        </w:rPr>
        <w:t>10.1</w:t>
      </w:r>
      <w:r>
        <w:rPr>
          <w:b w:val="0"/>
          <w:color w:val="auto"/>
          <w:sz w:val="24"/>
          <w:szCs w:val="24"/>
          <w:lang w:val="en-US"/>
        </w:rPr>
        <w:t xml:space="preserve">  </w:t>
      </w:r>
      <w:r>
        <w:rPr>
          <w:rFonts w:hint="eastAsia"/>
          <w:b w:val="0"/>
          <w:color w:val="auto"/>
          <w:sz w:val="24"/>
          <w:szCs w:val="24"/>
          <w:lang w:val="en-US"/>
        </w:rPr>
        <w:t>甲乙双方必须遵守本合同并执行合同中的各项规定，保证本合同的合法正常履行。</w:t>
      </w:r>
    </w:p>
    <w:p>
      <w:pPr>
        <w:ind w:firstLine="480"/>
        <w:jc w:val="left"/>
        <w:rPr>
          <w:b w:val="0"/>
          <w:color w:val="auto"/>
          <w:sz w:val="24"/>
          <w:szCs w:val="24"/>
          <w:lang w:val="en-US"/>
        </w:rPr>
      </w:pPr>
      <w:r>
        <w:rPr>
          <w:rFonts w:hint="eastAsia"/>
          <w:b w:val="0"/>
          <w:color w:val="auto"/>
          <w:sz w:val="24"/>
          <w:szCs w:val="24"/>
          <w:lang w:val="en-US"/>
        </w:rPr>
        <w:t>10.2</w:t>
      </w:r>
      <w:r>
        <w:rPr>
          <w:b w:val="0"/>
          <w:color w:val="auto"/>
          <w:sz w:val="24"/>
          <w:szCs w:val="24"/>
          <w:lang w:val="en-US"/>
        </w:rPr>
        <w:t xml:space="preserve">  </w:t>
      </w:r>
      <w:r>
        <w:rPr>
          <w:rFonts w:hint="eastAsia"/>
          <w:b w:val="0"/>
          <w:color w:val="auto"/>
          <w:sz w:val="24"/>
          <w:szCs w:val="24"/>
          <w:lang w:val="en-US"/>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ind w:firstLine="480"/>
        <w:jc w:val="left"/>
        <w:rPr>
          <w:b w:val="0"/>
          <w:color w:val="auto"/>
          <w:sz w:val="24"/>
          <w:szCs w:val="24"/>
          <w:lang w:val="en-US"/>
        </w:rPr>
      </w:pPr>
      <w:r>
        <w:rPr>
          <w:rFonts w:hint="eastAsia"/>
          <w:b w:val="0"/>
          <w:color w:val="auto"/>
          <w:sz w:val="24"/>
          <w:szCs w:val="24"/>
          <w:lang w:val="en-US"/>
        </w:rPr>
        <w:t>10.3</w:t>
      </w:r>
      <w:r>
        <w:rPr>
          <w:b w:val="0"/>
          <w:color w:val="auto"/>
          <w:sz w:val="24"/>
          <w:szCs w:val="24"/>
          <w:lang w:val="en-US"/>
        </w:rPr>
        <w:t xml:space="preserve">  </w:t>
      </w:r>
      <w:r>
        <w:rPr>
          <w:rFonts w:hint="eastAsia"/>
          <w:b w:val="0"/>
          <w:color w:val="auto"/>
          <w:sz w:val="24"/>
          <w:szCs w:val="24"/>
          <w:lang w:val="en-US"/>
        </w:rPr>
        <w:t>乙方提供的服务不符合招标文件、报价文件或本合同规定的，每项违约乙方须向甲方支付本合同总价</w:t>
      </w:r>
      <w:r>
        <w:rPr>
          <w:b w:val="0"/>
          <w:color w:val="auto"/>
          <w:sz w:val="24"/>
          <w:szCs w:val="24"/>
          <w:u w:val="single"/>
          <w:lang w:val="en-US"/>
        </w:rPr>
        <w:t xml:space="preserve">    </w:t>
      </w:r>
      <w:r>
        <w:rPr>
          <w:rFonts w:hint="eastAsia"/>
          <w:b w:val="0"/>
          <w:color w:val="auto"/>
          <w:sz w:val="24"/>
          <w:szCs w:val="24"/>
          <w:lang w:val="en-US"/>
        </w:rPr>
        <w:t>%的违约金。</w:t>
      </w:r>
    </w:p>
    <w:p>
      <w:pPr>
        <w:ind w:firstLine="480"/>
        <w:jc w:val="left"/>
        <w:rPr>
          <w:b w:val="0"/>
          <w:color w:val="auto"/>
          <w:sz w:val="24"/>
          <w:szCs w:val="24"/>
          <w:lang w:val="en-US"/>
        </w:rPr>
      </w:pPr>
      <w:r>
        <w:rPr>
          <w:rFonts w:hint="eastAsia"/>
          <w:b w:val="0"/>
          <w:color w:val="auto"/>
          <w:sz w:val="24"/>
          <w:szCs w:val="24"/>
          <w:lang w:val="en-US"/>
        </w:rPr>
        <w:t>10.4</w:t>
      </w:r>
      <w:r>
        <w:rPr>
          <w:b w:val="0"/>
          <w:color w:val="auto"/>
          <w:sz w:val="24"/>
          <w:szCs w:val="24"/>
          <w:lang w:val="en-US"/>
        </w:rPr>
        <w:t xml:space="preserve">  </w:t>
      </w:r>
      <w:r>
        <w:rPr>
          <w:rFonts w:hint="eastAsia"/>
          <w:b w:val="0"/>
          <w:color w:val="auto"/>
          <w:sz w:val="24"/>
          <w:szCs w:val="24"/>
          <w:lang w:val="en-US"/>
        </w:rPr>
        <w:t>乙方未能按本合同规定时间提供服务，从逾期之日起每日按本合同总价</w:t>
      </w:r>
      <w:r>
        <w:rPr>
          <w:rFonts w:hint="eastAsia"/>
          <w:b w:val="0"/>
          <w:color w:val="auto"/>
          <w:sz w:val="24"/>
          <w:szCs w:val="24"/>
          <w:u w:val="single"/>
          <w:lang w:val="en-US"/>
        </w:rPr>
        <w:t xml:space="preserve"> </w:t>
      </w:r>
      <w:r>
        <w:rPr>
          <w:b w:val="0"/>
          <w:color w:val="auto"/>
          <w:sz w:val="24"/>
          <w:szCs w:val="24"/>
          <w:u w:val="single"/>
          <w:lang w:val="en-US"/>
        </w:rPr>
        <w:t xml:space="preserve"> </w:t>
      </w:r>
      <w:r>
        <w:rPr>
          <w:rFonts w:hint="eastAsia"/>
          <w:b w:val="0"/>
          <w:color w:val="auto"/>
          <w:sz w:val="24"/>
          <w:szCs w:val="24"/>
          <w:u w:val="single"/>
          <w:lang w:val="en-US"/>
        </w:rPr>
        <w:t xml:space="preserve">  </w:t>
      </w:r>
      <w:r>
        <w:rPr>
          <w:rFonts w:hint="eastAsia"/>
          <w:b w:val="0"/>
          <w:color w:val="auto"/>
          <w:sz w:val="24"/>
          <w:szCs w:val="24"/>
          <w:lang w:val="en-US"/>
        </w:rPr>
        <w:t>‰的数额向甲方支付违约金；逾期半个月以上的，甲方有权解除合同，由此造成的甲方经济损失由乙方承担。</w:t>
      </w:r>
    </w:p>
    <w:p>
      <w:pPr>
        <w:ind w:firstLine="480"/>
        <w:jc w:val="left"/>
        <w:rPr>
          <w:b w:val="0"/>
          <w:color w:val="auto"/>
          <w:sz w:val="24"/>
          <w:szCs w:val="24"/>
          <w:lang w:val="en-US"/>
        </w:rPr>
      </w:pPr>
      <w:r>
        <w:rPr>
          <w:rFonts w:hint="eastAsia"/>
          <w:b w:val="0"/>
          <w:color w:val="auto"/>
          <w:sz w:val="24"/>
          <w:szCs w:val="24"/>
          <w:lang w:val="en-US"/>
        </w:rPr>
        <w:t>10.5</w:t>
      </w:r>
      <w:r>
        <w:rPr>
          <w:b w:val="0"/>
          <w:color w:val="auto"/>
          <w:sz w:val="24"/>
          <w:szCs w:val="24"/>
          <w:lang w:val="en-US"/>
        </w:rPr>
        <w:t xml:space="preserve">  </w:t>
      </w:r>
      <w:r>
        <w:rPr>
          <w:rFonts w:hint="eastAsia"/>
          <w:b w:val="0"/>
          <w:color w:val="auto"/>
          <w:sz w:val="24"/>
          <w:szCs w:val="24"/>
          <w:lang w:val="en-US"/>
        </w:rPr>
        <w:t>甲方无正当理由拒收接受服务，到期拒付服务款项的，甲方向乙方偿付本合同总的</w:t>
      </w:r>
      <w:r>
        <w:rPr>
          <w:b w:val="0"/>
          <w:color w:val="auto"/>
          <w:sz w:val="24"/>
          <w:szCs w:val="24"/>
          <w:u w:val="single"/>
          <w:lang w:val="en-US"/>
        </w:rPr>
        <w:t xml:space="preserve">     </w:t>
      </w:r>
      <w:r>
        <w:rPr>
          <w:b w:val="0"/>
          <w:color w:val="auto"/>
          <w:sz w:val="24"/>
          <w:szCs w:val="24"/>
          <w:lang w:val="en-US"/>
        </w:rPr>
        <w:t>%</w:t>
      </w:r>
      <w:r>
        <w:rPr>
          <w:rFonts w:hint="eastAsia"/>
          <w:b w:val="0"/>
          <w:color w:val="auto"/>
          <w:sz w:val="24"/>
          <w:szCs w:val="24"/>
          <w:lang w:val="en-US"/>
        </w:rPr>
        <w:t>的违约金。甲方人逾期付款，则每日按本合同总价的</w:t>
      </w:r>
      <w:r>
        <w:rPr>
          <w:b w:val="0"/>
          <w:color w:val="auto"/>
          <w:sz w:val="24"/>
          <w:szCs w:val="24"/>
          <w:u w:val="single"/>
          <w:lang w:val="en-US"/>
        </w:rPr>
        <w:t xml:space="preserve">  </w:t>
      </w:r>
      <w:r>
        <w:rPr>
          <w:rFonts w:hint="eastAsia"/>
          <w:b w:val="0"/>
          <w:color w:val="auto"/>
          <w:sz w:val="24"/>
          <w:szCs w:val="24"/>
          <w:lang w:val="en-US"/>
        </w:rPr>
        <w:t>‰向乙方偿付违约金。</w:t>
      </w:r>
    </w:p>
    <w:p>
      <w:pPr>
        <w:ind w:firstLine="480"/>
        <w:jc w:val="left"/>
        <w:rPr>
          <w:b w:val="0"/>
          <w:color w:val="auto"/>
          <w:sz w:val="24"/>
          <w:szCs w:val="24"/>
          <w:lang w:val="en-US"/>
        </w:rPr>
      </w:pPr>
      <w:r>
        <w:rPr>
          <w:rFonts w:hint="eastAsia"/>
          <w:b w:val="0"/>
          <w:color w:val="auto"/>
          <w:sz w:val="24"/>
          <w:szCs w:val="24"/>
          <w:lang w:val="en-US"/>
        </w:rPr>
        <w:t>第十条   不可抗力</w:t>
      </w:r>
    </w:p>
    <w:p>
      <w:pPr>
        <w:ind w:firstLine="480"/>
        <w:jc w:val="left"/>
        <w:rPr>
          <w:b w:val="0"/>
          <w:color w:val="auto"/>
          <w:sz w:val="24"/>
          <w:szCs w:val="24"/>
          <w:lang w:val="en-US"/>
        </w:rPr>
      </w:pPr>
      <w:r>
        <w:rPr>
          <w:rFonts w:hint="eastAsia"/>
          <w:b w:val="0"/>
          <w:color w:val="auto"/>
          <w:sz w:val="24"/>
          <w:szCs w:val="24"/>
          <w:lang w:val="en-US"/>
        </w:rPr>
        <w:t>任何一方由于不可抗力原因不能履行合同时，应在不可抗力事件结束后</w:t>
      </w:r>
      <w:r>
        <w:rPr>
          <w:b w:val="0"/>
          <w:color w:val="auto"/>
          <w:sz w:val="24"/>
          <w:szCs w:val="24"/>
          <w:lang w:val="en-US"/>
        </w:rPr>
        <w:t>1</w:t>
      </w:r>
      <w:r>
        <w:rPr>
          <w:rFonts w:hint="eastAsia"/>
          <w:b w:val="0"/>
          <w:color w:val="auto"/>
          <w:sz w:val="24"/>
          <w:szCs w:val="24"/>
          <w:lang w:val="en-US"/>
        </w:rPr>
        <w:t>日内向对方通报，以减轻可能给对方造成的损失，在取得有关机构的不可抗力证明或双方谅解确认后，允许延期履行或修订合同，并根据情况可部分或全部免于承担违约责任。</w:t>
      </w:r>
    </w:p>
    <w:p>
      <w:pPr>
        <w:ind w:firstLine="480"/>
        <w:jc w:val="left"/>
        <w:rPr>
          <w:b w:val="0"/>
          <w:color w:val="auto"/>
          <w:sz w:val="24"/>
          <w:szCs w:val="24"/>
          <w:lang w:val="en-US"/>
        </w:rPr>
      </w:pPr>
      <w:r>
        <w:rPr>
          <w:rFonts w:hint="eastAsia"/>
          <w:b w:val="0"/>
          <w:color w:val="auto"/>
          <w:sz w:val="24"/>
          <w:szCs w:val="24"/>
          <w:lang w:val="en-US"/>
        </w:rPr>
        <w:t>第十一条   争议的解决</w:t>
      </w:r>
    </w:p>
    <w:p>
      <w:pPr>
        <w:ind w:firstLine="480"/>
        <w:jc w:val="left"/>
        <w:rPr>
          <w:b w:val="0"/>
          <w:color w:val="auto"/>
          <w:sz w:val="24"/>
          <w:szCs w:val="24"/>
          <w:lang w:val="en-US"/>
        </w:rPr>
      </w:pPr>
      <w:r>
        <w:rPr>
          <w:rFonts w:hint="eastAsia"/>
          <w:b w:val="0"/>
          <w:color w:val="auto"/>
          <w:sz w:val="24"/>
          <w:szCs w:val="24"/>
          <w:lang w:val="en-US"/>
        </w:rPr>
        <w:t>在执行本合同中发生的或与本合同有关的争端，双方应通过友好协商解决，经协商在不能达成协议时，应选择以下第</w:t>
      </w:r>
      <w:r>
        <w:rPr>
          <w:rFonts w:hint="eastAsia"/>
          <w:b w:val="0"/>
          <w:color w:val="auto"/>
          <w:sz w:val="24"/>
          <w:szCs w:val="24"/>
          <w:u w:val="single"/>
          <w:lang w:val="en-US"/>
        </w:rPr>
        <w:t xml:space="preserve">      </w:t>
      </w:r>
      <w:r>
        <w:rPr>
          <w:rFonts w:hint="eastAsia"/>
          <w:b w:val="0"/>
          <w:color w:val="auto"/>
          <w:sz w:val="24"/>
          <w:szCs w:val="24"/>
          <w:lang w:val="en-US"/>
        </w:rPr>
        <w:t>种解决方式：</w:t>
      </w:r>
    </w:p>
    <w:p>
      <w:pPr>
        <w:ind w:firstLine="480"/>
        <w:jc w:val="left"/>
        <w:rPr>
          <w:b w:val="0"/>
          <w:color w:val="auto"/>
          <w:sz w:val="24"/>
          <w:szCs w:val="24"/>
          <w:lang w:val="en-US"/>
        </w:rPr>
      </w:pPr>
      <w:r>
        <w:rPr>
          <w:rFonts w:hint="eastAsia"/>
          <w:b w:val="0"/>
          <w:color w:val="auto"/>
          <w:sz w:val="24"/>
          <w:szCs w:val="24"/>
          <w:lang w:val="en-US"/>
        </w:rPr>
        <w:t>1.</w:t>
      </w:r>
      <w:r>
        <w:rPr>
          <w:b w:val="0"/>
          <w:color w:val="auto"/>
          <w:sz w:val="24"/>
          <w:szCs w:val="24"/>
          <w:lang w:val="en-US"/>
        </w:rPr>
        <w:t xml:space="preserve"> </w:t>
      </w:r>
      <w:r>
        <w:rPr>
          <w:rFonts w:hint="eastAsia"/>
          <w:b w:val="0"/>
          <w:color w:val="auto"/>
          <w:sz w:val="24"/>
          <w:szCs w:val="24"/>
          <w:lang w:val="en-US"/>
        </w:rPr>
        <w:t>向成都仲裁委员会提起仲裁；</w:t>
      </w:r>
    </w:p>
    <w:p>
      <w:pPr>
        <w:ind w:firstLine="480"/>
        <w:jc w:val="left"/>
        <w:rPr>
          <w:b w:val="0"/>
          <w:color w:val="auto"/>
          <w:sz w:val="24"/>
          <w:szCs w:val="24"/>
          <w:lang w:val="en-US"/>
        </w:rPr>
      </w:pPr>
      <w:r>
        <w:rPr>
          <w:rFonts w:hint="eastAsia"/>
          <w:b w:val="0"/>
          <w:color w:val="auto"/>
          <w:sz w:val="24"/>
          <w:szCs w:val="24"/>
          <w:lang w:val="en-US"/>
        </w:rPr>
        <w:t>2.</w:t>
      </w:r>
      <w:r>
        <w:rPr>
          <w:b w:val="0"/>
          <w:color w:val="auto"/>
          <w:sz w:val="24"/>
          <w:szCs w:val="24"/>
          <w:lang w:val="en-US"/>
        </w:rPr>
        <w:t xml:space="preserve"> </w:t>
      </w:r>
      <w:r>
        <w:rPr>
          <w:rFonts w:hint="eastAsia"/>
          <w:b w:val="0"/>
          <w:color w:val="auto"/>
          <w:sz w:val="24"/>
          <w:szCs w:val="24"/>
          <w:lang w:val="en-US"/>
        </w:rPr>
        <w:t>向甲方所在地有管辖权的法院提起诉讼。</w:t>
      </w:r>
    </w:p>
    <w:p>
      <w:pPr>
        <w:ind w:firstLine="480"/>
        <w:jc w:val="left"/>
        <w:rPr>
          <w:b w:val="0"/>
          <w:color w:val="auto"/>
          <w:sz w:val="24"/>
          <w:szCs w:val="24"/>
          <w:lang w:val="en-US"/>
        </w:rPr>
      </w:pPr>
      <w:r>
        <w:rPr>
          <w:rFonts w:hint="eastAsia"/>
          <w:b w:val="0"/>
          <w:color w:val="auto"/>
          <w:sz w:val="24"/>
          <w:szCs w:val="24"/>
          <w:lang w:val="en-US"/>
        </w:rPr>
        <w:t>在法院审理和仲裁期间，除有争议部分外，本合同其他部分可以履行的仍应按合同条款继续履行。</w:t>
      </w:r>
    </w:p>
    <w:p>
      <w:pPr>
        <w:ind w:firstLine="480"/>
        <w:jc w:val="left"/>
        <w:rPr>
          <w:b w:val="0"/>
          <w:color w:val="auto"/>
          <w:sz w:val="24"/>
          <w:szCs w:val="24"/>
          <w:lang w:val="en-US"/>
        </w:rPr>
      </w:pPr>
      <w:r>
        <w:rPr>
          <w:rFonts w:hint="eastAsia"/>
          <w:b w:val="0"/>
          <w:color w:val="auto"/>
          <w:sz w:val="24"/>
          <w:szCs w:val="24"/>
          <w:lang w:val="en-US"/>
        </w:rPr>
        <w:t>第十二条 项目廉政承诺书</w:t>
      </w:r>
    </w:p>
    <w:p>
      <w:pPr>
        <w:ind w:firstLine="480"/>
        <w:jc w:val="left"/>
        <w:rPr>
          <w:b w:val="0"/>
          <w:color w:val="auto"/>
          <w:sz w:val="24"/>
          <w:szCs w:val="24"/>
          <w:lang w:val="en-US"/>
        </w:rPr>
      </w:pPr>
      <w:r>
        <w:rPr>
          <w:rFonts w:hint="eastAsia"/>
          <w:b w:val="0"/>
          <w:color w:val="auto"/>
          <w:sz w:val="24"/>
          <w:szCs w:val="24"/>
          <w:lang w:val="en-US"/>
        </w:rPr>
        <w:t>乙方按甲方要求签订项目廉政承诺书（附后）。</w:t>
      </w:r>
    </w:p>
    <w:p>
      <w:pPr>
        <w:ind w:firstLine="480"/>
        <w:jc w:val="left"/>
        <w:rPr>
          <w:b w:val="0"/>
          <w:color w:val="auto"/>
          <w:sz w:val="24"/>
          <w:szCs w:val="24"/>
          <w:lang w:val="en-US"/>
        </w:rPr>
      </w:pPr>
      <w:r>
        <w:rPr>
          <w:rFonts w:hint="eastAsia"/>
          <w:b w:val="0"/>
          <w:color w:val="auto"/>
          <w:sz w:val="24"/>
          <w:szCs w:val="24"/>
          <w:lang w:val="en-US"/>
        </w:rPr>
        <w:t>第十三条   其他</w:t>
      </w:r>
    </w:p>
    <w:p>
      <w:pPr>
        <w:ind w:firstLine="480"/>
        <w:jc w:val="left"/>
        <w:rPr>
          <w:b w:val="0"/>
          <w:color w:val="auto"/>
          <w:sz w:val="24"/>
          <w:szCs w:val="24"/>
          <w:lang w:val="en-US"/>
        </w:rPr>
      </w:pPr>
      <w:r>
        <w:rPr>
          <w:rFonts w:hint="eastAsia"/>
          <w:b w:val="0"/>
          <w:color w:val="auto"/>
          <w:sz w:val="24"/>
          <w:szCs w:val="24"/>
          <w:lang w:val="en-US"/>
        </w:rPr>
        <w:t>11.1</w:t>
      </w:r>
      <w:r>
        <w:rPr>
          <w:b w:val="0"/>
          <w:color w:val="auto"/>
          <w:sz w:val="24"/>
          <w:szCs w:val="24"/>
          <w:lang w:val="en-US"/>
        </w:rPr>
        <w:t xml:space="preserve">  </w:t>
      </w:r>
      <w:r>
        <w:rPr>
          <w:rFonts w:hint="eastAsia"/>
          <w:b w:val="0"/>
          <w:color w:val="auto"/>
          <w:sz w:val="24"/>
          <w:szCs w:val="24"/>
          <w:lang w:val="en-US"/>
        </w:rPr>
        <w:t>合同经双方法定代表人或授权委托代理人签字并加盖单位公章后生效。合同一经生效，双方应诚信履行合同，除双方协商一致解除合同外，一方不得无理由解除合同。</w:t>
      </w:r>
    </w:p>
    <w:p>
      <w:pPr>
        <w:ind w:firstLine="480"/>
        <w:jc w:val="left"/>
        <w:rPr>
          <w:b w:val="0"/>
          <w:color w:val="auto"/>
          <w:sz w:val="24"/>
          <w:szCs w:val="24"/>
          <w:lang w:val="en-US"/>
        </w:rPr>
      </w:pPr>
      <w:r>
        <w:rPr>
          <w:rFonts w:hint="eastAsia"/>
          <w:b w:val="0"/>
          <w:color w:val="auto"/>
          <w:sz w:val="24"/>
          <w:szCs w:val="24"/>
          <w:lang w:val="en-US"/>
        </w:rPr>
        <w:t>11.2</w:t>
      </w:r>
      <w:r>
        <w:rPr>
          <w:b w:val="0"/>
          <w:color w:val="auto"/>
          <w:sz w:val="24"/>
          <w:szCs w:val="24"/>
          <w:lang w:val="en-US"/>
        </w:rPr>
        <w:t xml:space="preserve">  </w:t>
      </w:r>
      <w:r>
        <w:rPr>
          <w:rFonts w:hint="eastAsia"/>
          <w:b w:val="0"/>
          <w:color w:val="auto"/>
          <w:sz w:val="24"/>
          <w:szCs w:val="24"/>
          <w:lang w:val="en-US"/>
        </w:rPr>
        <w:t>本合同一式</w:t>
      </w:r>
      <w:r>
        <w:rPr>
          <w:b w:val="0"/>
          <w:color w:val="auto"/>
          <w:sz w:val="24"/>
          <w:szCs w:val="24"/>
          <w:u w:val="single"/>
          <w:lang w:val="en-US"/>
        </w:rPr>
        <w:t xml:space="preserve">   </w:t>
      </w:r>
      <w:r>
        <w:rPr>
          <w:rFonts w:hint="eastAsia"/>
          <w:b w:val="0"/>
          <w:color w:val="auto"/>
          <w:sz w:val="24"/>
          <w:szCs w:val="24"/>
          <w:lang w:val="en-US"/>
        </w:rPr>
        <w:t>份，自双方签章之日起起效。甲方</w:t>
      </w:r>
      <w:r>
        <w:rPr>
          <w:b w:val="0"/>
          <w:color w:val="auto"/>
          <w:sz w:val="24"/>
          <w:szCs w:val="24"/>
          <w:u w:val="single"/>
          <w:lang w:val="en-US"/>
        </w:rPr>
        <w:t xml:space="preserve">  </w:t>
      </w:r>
      <w:r>
        <w:rPr>
          <w:rFonts w:hint="eastAsia"/>
          <w:b w:val="0"/>
          <w:color w:val="auto"/>
          <w:sz w:val="24"/>
          <w:szCs w:val="24"/>
          <w:lang w:val="en-US"/>
        </w:rPr>
        <w:t>份，乙方</w:t>
      </w:r>
      <w:r>
        <w:rPr>
          <w:b w:val="0"/>
          <w:color w:val="auto"/>
          <w:sz w:val="24"/>
          <w:szCs w:val="24"/>
          <w:u w:val="single"/>
          <w:lang w:val="en-US"/>
        </w:rPr>
        <w:t xml:space="preserve">  </w:t>
      </w:r>
      <w:r>
        <w:rPr>
          <w:rFonts w:hint="eastAsia"/>
          <w:b w:val="0"/>
          <w:color w:val="auto"/>
          <w:sz w:val="24"/>
          <w:szCs w:val="24"/>
          <w:lang w:val="en-US"/>
        </w:rPr>
        <w:t>份，政府采购代理机构</w:t>
      </w:r>
      <w:r>
        <w:rPr>
          <w:b w:val="0"/>
          <w:color w:val="auto"/>
          <w:sz w:val="24"/>
          <w:szCs w:val="24"/>
          <w:u w:val="single"/>
          <w:lang w:val="en-US"/>
        </w:rPr>
        <w:t xml:space="preserve">    </w:t>
      </w:r>
      <w:r>
        <w:rPr>
          <w:rFonts w:hint="eastAsia"/>
          <w:b w:val="0"/>
          <w:color w:val="auto"/>
          <w:sz w:val="24"/>
          <w:szCs w:val="24"/>
          <w:lang w:val="en-US"/>
        </w:rPr>
        <w:t>份，同级财政部门备案</w:t>
      </w:r>
      <w:r>
        <w:rPr>
          <w:b w:val="0"/>
          <w:color w:val="auto"/>
          <w:sz w:val="24"/>
          <w:szCs w:val="24"/>
          <w:u w:val="single"/>
          <w:lang w:val="en-US"/>
        </w:rPr>
        <w:t xml:space="preserve">   </w:t>
      </w:r>
      <w:r>
        <w:rPr>
          <w:rFonts w:hint="eastAsia"/>
          <w:b w:val="0"/>
          <w:color w:val="auto"/>
          <w:sz w:val="24"/>
          <w:szCs w:val="24"/>
          <w:lang w:val="en-US"/>
        </w:rPr>
        <w:t>份，具有同等法律效力。</w:t>
      </w:r>
    </w:p>
    <w:p>
      <w:pPr>
        <w:ind w:firstLine="0" w:firstLineChars="0"/>
        <w:jc w:val="left"/>
        <w:rPr>
          <w:b w:val="0"/>
          <w:color w:val="auto"/>
          <w:sz w:val="24"/>
          <w:szCs w:val="24"/>
        </w:rPr>
      </w:pPr>
      <w:r>
        <w:rPr>
          <w:rFonts w:hint="eastAsia"/>
          <w:b w:val="0"/>
          <w:color w:val="auto"/>
          <w:sz w:val="24"/>
          <w:szCs w:val="24"/>
        </w:rPr>
        <w:t>甲  方：                                 乙  方：</w:t>
      </w:r>
    </w:p>
    <w:p>
      <w:pPr>
        <w:ind w:firstLine="0" w:firstLineChars="0"/>
        <w:jc w:val="left"/>
        <w:rPr>
          <w:b w:val="0"/>
          <w:color w:val="auto"/>
          <w:sz w:val="24"/>
          <w:szCs w:val="24"/>
        </w:rPr>
      </w:pPr>
      <w:r>
        <w:rPr>
          <w:rFonts w:hint="eastAsia"/>
          <w:b w:val="0"/>
          <w:color w:val="auto"/>
          <w:sz w:val="24"/>
          <w:szCs w:val="24"/>
        </w:rPr>
        <w:t>法定代表人（授权代表）：                  法定代表人（授权代表）：</w:t>
      </w:r>
    </w:p>
    <w:p>
      <w:pPr>
        <w:ind w:firstLine="0" w:firstLineChars="0"/>
        <w:jc w:val="left"/>
        <w:rPr>
          <w:b w:val="0"/>
          <w:color w:val="auto"/>
          <w:sz w:val="24"/>
          <w:szCs w:val="24"/>
        </w:rPr>
      </w:pPr>
      <w:r>
        <w:rPr>
          <w:rFonts w:hint="eastAsia"/>
          <w:b w:val="0"/>
          <w:color w:val="auto"/>
          <w:sz w:val="24"/>
          <w:szCs w:val="24"/>
        </w:rPr>
        <w:t>地    址：                               地    址：</w:t>
      </w:r>
    </w:p>
    <w:p>
      <w:pPr>
        <w:ind w:firstLine="0" w:firstLineChars="0"/>
        <w:jc w:val="left"/>
        <w:rPr>
          <w:b w:val="0"/>
          <w:color w:val="auto"/>
          <w:sz w:val="24"/>
          <w:szCs w:val="24"/>
        </w:rPr>
      </w:pPr>
      <w:r>
        <w:rPr>
          <w:rFonts w:hint="eastAsia"/>
          <w:b w:val="0"/>
          <w:color w:val="auto"/>
          <w:sz w:val="24"/>
          <w:szCs w:val="24"/>
        </w:rPr>
        <w:t>开户银行：                               开户银行：</w:t>
      </w:r>
    </w:p>
    <w:p>
      <w:pPr>
        <w:ind w:firstLine="0" w:firstLineChars="0"/>
        <w:jc w:val="left"/>
        <w:rPr>
          <w:b w:val="0"/>
          <w:color w:val="auto"/>
          <w:sz w:val="24"/>
          <w:szCs w:val="24"/>
        </w:rPr>
      </w:pPr>
      <w:r>
        <w:rPr>
          <w:rFonts w:hint="eastAsia"/>
          <w:b w:val="0"/>
          <w:color w:val="auto"/>
          <w:sz w:val="24"/>
          <w:szCs w:val="24"/>
        </w:rPr>
        <w:t>账    号：                               账    号：</w:t>
      </w:r>
    </w:p>
    <w:p>
      <w:pPr>
        <w:ind w:firstLine="0" w:firstLineChars="0"/>
        <w:jc w:val="left"/>
        <w:rPr>
          <w:b w:val="0"/>
          <w:color w:val="auto"/>
          <w:sz w:val="24"/>
          <w:szCs w:val="24"/>
        </w:rPr>
      </w:pPr>
      <w:r>
        <w:rPr>
          <w:rFonts w:hint="eastAsia"/>
          <w:b w:val="0"/>
          <w:color w:val="auto"/>
          <w:sz w:val="24"/>
          <w:szCs w:val="24"/>
        </w:rPr>
        <w:t>电    话：                               电    话：</w:t>
      </w:r>
    </w:p>
    <w:p>
      <w:pPr>
        <w:ind w:firstLine="0" w:firstLineChars="0"/>
        <w:jc w:val="left"/>
        <w:rPr>
          <w:b w:val="0"/>
          <w:color w:val="auto"/>
          <w:sz w:val="24"/>
          <w:szCs w:val="24"/>
        </w:rPr>
      </w:pPr>
      <w:r>
        <w:rPr>
          <w:rFonts w:hint="eastAsia"/>
          <w:b w:val="0"/>
          <w:color w:val="auto"/>
          <w:sz w:val="24"/>
          <w:szCs w:val="24"/>
        </w:rPr>
        <w:t>传    真：                               传    真：</w:t>
      </w:r>
    </w:p>
    <w:p>
      <w:pPr>
        <w:ind w:firstLine="0" w:firstLineChars="0"/>
        <w:jc w:val="left"/>
        <w:rPr>
          <w:color w:val="auto"/>
        </w:rPr>
      </w:pPr>
      <w:r>
        <w:rPr>
          <w:rFonts w:hint="eastAsia"/>
          <w:b w:val="0"/>
          <w:color w:val="auto"/>
          <w:sz w:val="24"/>
          <w:szCs w:val="24"/>
        </w:rPr>
        <w:t>签约日期：     年  月   日               签约日期：    年  月   日</w:t>
      </w:r>
    </w:p>
    <w:p>
      <w:pPr>
        <w:snapToGrid/>
        <w:spacing w:line="240" w:lineRule="auto"/>
        <w:ind w:firstLine="0" w:firstLineChars="0"/>
        <w:jc w:val="center"/>
        <w:rPr>
          <w:rFonts w:ascii="方正小标宋简体" w:hAnsi="Times New Roman" w:eastAsia="方正小标宋简体"/>
          <w:b w:val="0"/>
          <w:color w:val="auto"/>
          <w:kern w:val="2"/>
          <w:sz w:val="40"/>
          <w:szCs w:val="44"/>
          <w:lang w:val="en-US"/>
        </w:rPr>
      </w:pPr>
    </w:p>
    <w:p>
      <w:pPr>
        <w:snapToGrid/>
        <w:spacing w:line="240" w:lineRule="auto"/>
        <w:ind w:firstLine="0" w:firstLineChars="0"/>
        <w:jc w:val="center"/>
        <w:rPr>
          <w:rFonts w:ascii="方正小标宋简体" w:hAnsi="Times New Roman" w:eastAsia="方正小标宋简体"/>
          <w:b w:val="0"/>
          <w:color w:val="auto"/>
          <w:kern w:val="2"/>
          <w:sz w:val="40"/>
          <w:szCs w:val="44"/>
          <w:lang w:val="en-US"/>
        </w:rPr>
      </w:pPr>
    </w:p>
    <w:p>
      <w:pPr>
        <w:snapToGrid/>
        <w:spacing w:line="240" w:lineRule="auto"/>
        <w:ind w:firstLine="0" w:firstLineChars="0"/>
        <w:jc w:val="center"/>
        <w:rPr>
          <w:rFonts w:ascii="方正小标宋简体" w:hAnsi="Times New Roman" w:eastAsia="方正小标宋简体"/>
          <w:b w:val="0"/>
          <w:color w:val="auto"/>
          <w:kern w:val="2"/>
          <w:sz w:val="40"/>
          <w:szCs w:val="44"/>
          <w:lang w:val="en-US"/>
        </w:rPr>
      </w:pPr>
      <w:r>
        <w:rPr>
          <w:rFonts w:hint="eastAsia" w:ascii="方正小标宋简体" w:hAnsi="Times New Roman" w:eastAsia="方正小标宋简体"/>
          <w:b w:val="0"/>
          <w:color w:val="auto"/>
          <w:kern w:val="2"/>
          <w:sz w:val="40"/>
          <w:szCs w:val="44"/>
          <w:lang w:val="en-US"/>
        </w:rPr>
        <w:t>项目廉政承诺书</w:t>
      </w:r>
    </w:p>
    <w:p>
      <w:pPr>
        <w:ind w:firstLine="0" w:firstLineChars="0"/>
        <w:rPr>
          <w:b w:val="0"/>
          <w:color w:val="auto"/>
          <w:sz w:val="24"/>
          <w:szCs w:val="24"/>
        </w:rPr>
      </w:pPr>
      <w:r>
        <w:rPr>
          <w:rFonts w:hint="eastAsia"/>
          <w:b w:val="0"/>
          <w:color w:val="auto"/>
          <w:sz w:val="24"/>
          <w:szCs w:val="24"/>
        </w:rPr>
        <w:t>致：</w:t>
      </w:r>
      <w:r>
        <w:rPr>
          <w:b w:val="0"/>
          <w:color w:val="auto"/>
          <w:sz w:val="24"/>
          <w:szCs w:val="24"/>
        </w:rPr>
        <w:t>成都市环境保护信息中心</w:t>
      </w:r>
    </w:p>
    <w:p>
      <w:pPr>
        <w:ind w:firstLine="480"/>
        <w:rPr>
          <w:b w:val="0"/>
          <w:color w:val="auto"/>
          <w:sz w:val="24"/>
          <w:szCs w:val="24"/>
        </w:rPr>
      </w:pPr>
      <w:r>
        <w:rPr>
          <w:rFonts w:hint="eastAsia"/>
          <w:b w:val="0"/>
          <w:color w:val="auto"/>
          <w:sz w:val="24"/>
          <w:szCs w:val="24"/>
        </w:rPr>
        <w:t>为加强项目的廉政建设，防止发生各种违法、违纪行为，我单位作为成都市生态环境局信息化硬件运维服务采购项目（</w:t>
      </w:r>
      <w:r>
        <w:rPr>
          <w:rFonts w:hint="eastAsia"/>
          <w:b w:val="0"/>
          <w:color w:val="auto"/>
          <w:sz w:val="24"/>
          <w:szCs w:val="24"/>
          <w:lang w:val="en-US"/>
        </w:rPr>
        <w:t>二次</w:t>
      </w:r>
      <w:r>
        <w:rPr>
          <w:rFonts w:hint="eastAsia"/>
          <w:b w:val="0"/>
          <w:color w:val="auto"/>
          <w:sz w:val="24"/>
          <w:szCs w:val="24"/>
        </w:rPr>
        <w:t>）的投标单位，向贵方庄重承诺：</w:t>
      </w:r>
      <w:r>
        <w:rPr>
          <w:b w:val="0"/>
          <w:color w:val="auto"/>
          <w:sz w:val="24"/>
          <w:szCs w:val="24"/>
        </w:rPr>
        <w:t xml:space="preserve"> </w:t>
      </w:r>
    </w:p>
    <w:p>
      <w:pPr>
        <w:ind w:firstLine="480"/>
        <w:rPr>
          <w:b w:val="0"/>
          <w:color w:val="auto"/>
          <w:sz w:val="24"/>
          <w:szCs w:val="24"/>
        </w:rPr>
      </w:pPr>
      <w:r>
        <w:rPr>
          <w:b w:val="0"/>
          <w:color w:val="auto"/>
          <w:sz w:val="24"/>
          <w:szCs w:val="24"/>
        </w:rPr>
        <w:t>1、我单位严格遵守廉政建设的各项规定，建立健全廉政制度，开展廉政教育与监督，杜绝我单位人员发生不廉洁行为。</w:t>
      </w:r>
    </w:p>
    <w:p>
      <w:pPr>
        <w:ind w:firstLine="480"/>
        <w:rPr>
          <w:b w:val="0"/>
          <w:color w:val="auto"/>
          <w:sz w:val="24"/>
          <w:szCs w:val="24"/>
        </w:rPr>
      </w:pPr>
      <w:r>
        <w:rPr>
          <w:b w:val="0"/>
          <w:color w:val="auto"/>
          <w:sz w:val="24"/>
          <w:szCs w:val="24"/>
        </w:rPr>
        <w:t>2、我单位保证不为获取不正当利益，与项目干系人私下达成默契，损害贵方及国家利益。</w:t>
      </w:r>
    </w:p>
    <w:p>
      <w:pPr>
        <w:ind w:firstLine="480"/>
        <w:rPr>
          <w:b w:val="0"/>
          <w:color w:val="auto"/>
          <w:sz w:val="24"/>
          <w:szCs w:val="24"/>
        </w:rPr>
      </w:pPr>
      <w:r>
        <w:rPr>
          <w:b w:val="0"/>
          <w:color w:val="auto"/>
          <w:sz w:val="24"/>
          <w:szCs w:val="24"/>
        </w:rPr>
        <w:t>3、我单位保证不予满足贵方人员以任何形式提出索要好处等违反法律及廉政规定的要求，情节严重的，直接向贵方或纪委机关检举。</w:t>
      </w:r>
    </w:p>
    <w:p>
      <w:pPr>
        <w:ind w:firstLine="480"/>
        <w:rPr>
          <w:b w:val="0"/>
          <w:color w:val="auto"/>
          <w:sz w:val="24"/>
          <w:szCs w:val="24"/>
        </w:rPr>
      </w:pPr>
      <w:r>
        <w:rPr>
          <w:b w:val="0"/>
          <w:color w:val="auto"/>
          <w:sz w:val="24"/>
          <w:szCs w:val="24"/>
        </w:rPr>
        <w:t>4、我单位保证不向贵方人员或亲属提供礼金、有价证券、贵重物品等，不以任何理由邀请贵方人员参加宴请、外出旅游等活动，以谋求项目不正当利益。</w:t>
      </w:r>
    </w:p>
    <w:p>
      <w:pPr>
        <w:ind w:firstLine="480"/>
        <w:rPr>
          <w:b w:val="0"/>
          <w:color w:val="auto"/>
          <w:sz w:val="24"/>
          <w:szCs w:val="24"/>
        </w:rPr>
      </w:pPr>
      <w:r>
        <w:rPr>
          <w:b w:val="0"/>
          <w:color w:val="auto"/>
          <w:sz w:val="24"/>
          <w:szCs w:val="24"/>
        </w:rPr>
        <w:t>5、我单位保证在本项目建设过程中，不从事、不参与其它任何一种违法、违规行为。</w:t>
      </w:r>
    </w:p>
    <w:p>
      <w:pPr>
        <w:ind w:firstLine="480"/>
        <w:rPr>
          <w:b w:val="0"/>
          <w:color w:val="auto"/>
          <w:sz w:val="24"/>
          <w:szCs w:val="24"/>
        </w:rPr>
      </w:pPr>
      <w:r>
        <w:rPr>
          <w:b w:val="0"/>
          <w:color w:val="auto"/>
          <w:sz w:val="24"/>
          <w:szCs w:val="24"/>
        </w:rPr>
        <w:t>6、如发现我单位及人员有违反上述保证的，我单位承诺每发现一次处以合同总价5%的罚款，贵方因此提出要解除合同的要求，我方无条件同意。造成国家资产损失的进行赔偿，涉及违纪、违法的情况，按照国家相关规定追究。</w:t>
      </w:r>
    </w:p>
    <w:p>
      <w:pPr>
        <w:ind w:firstLine="480"/>
        <w:rPr>
          <w:b w:val="0"/>
          <w:color w:val="auto"/>
          <w:sz w:val="24"/>
          <w:szCs w:val="24"/>
        </w:rPr>
      </w:pPr>
      <w:r>
        <w:rPr>
          <w:b w:val="0"/>
          <w:color w:val="auto"/>
          <w:sz w:val="24"/>
          <w:szCs w:val="24"/>
        </w:rPr>
        <w:t>7、本承诺书为</w:t>
      </w:r>
      <w:r>
        <w:rPr>
          <w:rFonts w:hint="eastAsia"/>
          <w:b w:val="0"/>
          <w:color w:val="auto"/>
          <w:sz w:val="24"/>
          <w:szCs w:val="24"/>
        </w:rPr>
        <w:t>成都市生态环境局信息化硬件运维服务采购项目（</w:t>
      </w:r>
      <w:r>
        <w:rPr>
          <w:rFonts w:hint="eastAsia"/>
          <w:b w:val="0"/>
          <w:color w:val="auto"/>
          <w:sz w:val="24"/>
          <w:szCs w:val="24"/>
          <w:lang w:val="en-US"/>
        </w:rPr>
        <w:t>二次</w:t>
      </w:r>
      <w:r>
        <w:rPr>
          <w:rFonts w:hint="eastAsia"/>
          <w:b w:val="0"/>
          <w:color w:val="auto"/>
          <w:sz w:val="24"/>
          <w:szCs w:val="24"/>
        </w:rPr>
        <w:t>）</w:t>
      </w:r>
      <w:r>
        <w:rPr>
          <w:b w:val="0"/>
          <w:color w:val="auto"/>
          <w:sz w:val="24"/>
          <w:szCs w:val="24"/>
        </w:rPr>
        <w:t>合同书不可分割的一部分。</w:t>
      </w:r>
    </w:p>
    <w:p>
      <w:pPr>
        <w:ind w:firstLine="480"/>
        <w:rPr>
          <w:b w:val="0"/>
          <w:color w:val="auto"/>
          <w:sz w:val="24"/>
          <w:szCs w:val="24"/>
        </w:rPr>
      </w:pPr>
    </w:p>
    <w:p>
      <w:pPr>
        <w:ind w:firstLine="4800" w:firstLineChars="2000"/>
        <w:jc w:val="left"/>
        <w:rPr>
          <w:b w:val="0"/>
          <w:color w:val="auto"/>
          <w:sz w:val="24"/>
          <w:szCs w:val="24"/>
        </w:rPr>
      </w:pPr>
      <w:r>
        <w:rPr>
          <w:rFonts w:hint="eastAsia"/>
          <w:b w:val="0"/>
          <w:color w:val="auto"/>
          <w:sz w:val="24"/>
          <w:szCs w:val="24"/>
        </w:rPr>
        <w:t xml:space="preserve">承诺单位（公章）： </w:t>
      </w:r>
    </w:p>
    <w:p>
      <w:pPr>
        <w:ind w:firstLine="4800" w:firstLineChars="2000"/>
        <w:jc w:val="left"/>
        <w:rPr>
          <w:b w:val="0"/>
          <w:color w:val="auto"/>
          <w:sz w:val="24"/>
          <w:szCs w:val="24"/>
        </w:rPr>
      </w:pPr>
      <w:r>
        <w:rPr>
          <w:rFonts w:hint="eastAsia"/>
          <w:b w:val="0"/>
          <w:color w:val="auto"/>
          <w:sz w:val="24"/>
          <w:szCs w:val="24"/>
        </w:rPr>
        <w:t>法定代表人（或授权代表）：</w:t>
      </w:r>
    </w:p>
    <w:p>
      <w:pPr>
        <w:ind w:firstLine="4800" w:firstLineChars="2000"/>
        <w:jc w:val="left"/>
        <w:rPr>
          <w:b w:val="0"/>
          <w:color w:val="auto"/>
          <w:sz w:val="24"/>
          <w:szCs w:val="24"/>
        </w:rPr>
      </w:pPr>
      <w:r>
        <w:rPr>
          <w:rFonts w:hint="eastAsia"/>
          <w:b w:val="0"/>
          <w:color w:val="auto"/>
          <w:sz w:val="24"/>
          <w:szCs w:val="24"/>
        </w:rPr>
        <w:t>日</w:t>
      </w:r>
      <w:r>
        <w:rPr>
          <w:b w:val="0"/>
          <w:color w:val="auto"/>
          <w:sz w:val="24"/>
          <w:szCs w:val="24"/>
        </w:rPr>
        <w:t xml:space="preserve">      期：20  年</w:t>
      </w:r>
      <w:r>
        <w:rPr>
          <w:rFonts w:hint="eastAsia"/>
          <w:b w:val="0"/>
          <w:color w:val="auto"/>
          <w:sz w:val="24"/>
          <w:szCs w:val="24"/>
        </w:rPr>
        <w:t xml:space="preserve"> </w:t>
      </w:r>
      <w:r>
        <w:rPr>
          <w:b w:val="0"/>
          <w:color w:val="auto"/>
          <w:sz w:val="24"/>
          <w:szCs w:val="24"/>
        </w:rPr>
        <w:t xml:space="preserve"> 月</w:t>
      </w:r>
      <w:r>
        <w:rPr>
          <w:rFonts w:hint="eastAsia"/>
          <w:b w:val="0"/>
          <w:color w:val="auto"/>
          <w:sz w:val="24"/>
          <w:szCs w:val="24"/>
        </w:rPr>
        <w:t xml:space="preserve"> </w:t>
      </w:r>
      <w:r>
        <w:rPr>
          <w:b w:val="0"/>
          <w:color w:val="auto"/>
          <w:sz w:val="24"/>
          <w:szCs w:val="24"/>
        </w:rPr>
        <w:t xml:space="preserve"> 日</w:t>
      </w:r>
    </w:p>
    <w:sectPr>
      <w:footerReference r:id="rId11" w:type="even"/>
      <w:pgSz w:w="11907" w:h="16840"/>
      <w:pgMar w:top="1440" w:right="1080" w:bottom="1440" w:left="1080" w:header="851" w:footer="992" w:gutter="0"/>
      <w:pgBorders>
        <w:top w:val="none" w:sz="0" w:space="0"/>
        <w:left w:val="none" w:sz="0" w:space="0"/>
        <w:bottom w:val="none" w:sz="0" w:space="0"/>
        <w:right w:val="none" w:sz="0" w:space="0"/>
      </w:pgBorders>
      <w:cols w:space="720" w:num="1"/>
      <w:docGrid w:type="linesAndChars" w:linePitch="43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Times New (W1)">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H Yg 2gj">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360"/>
      <w:jc w:val="center"/>
    </w:pPr>
    <w:r>
      <w:fldChar w:fldCharType="begin"/>
    </w:r>
    <w:r>
      <w:instrText xml:space="preserve">PAGE   \* MERGEFORMAT</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360"/>
      <w:rPr>
        <w:rStyle w:val="80"/>
      </w:rPr>
    </w:pPr>
    <w:r>
      <w:fldChar w:fldCharType="begin"/>
    </w:r>
    <w:r>
      <w:rPr>
        <w:rStyle w:val="80"/>
      </w:rPr>
      <w:instrText xml:space="preserve">PAGE  </w:instrText>
    </w:r>
    <w:r>
      <w:fldChar w:fldCharType="separate"/>
    </w:r>
    <w:r>
      <w:fldChar w:fldCharType="end"/>
    </w:r>
  </w:p>
  <w:p>
    <w:pPr>
      <w:pStyle w:val="4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360"/>
      <w:rPr>
        <w:rStyle w:val="80"/>
      </w:rPr>
    </w:pPr>
    <w:r>
      <w:fldChar w:fldCharType="begin"/>
    </w:r>
    <w:r>
      <w:rPr>
        <w:rStyle w:val="80"/>
      </w:rPr>
      <w:instrText xml:space="preserve">PAGE  </w:instrText>
    </w:r>
    <w:r>
      <w:fldChar w:fldCharType="separate"/>
    </w:r>
    <w:r>
      <w:rPr>
        <w:rStyle w:val="80"/>
      </w:rPr>
      <w:t>80</w:t>
    </w:r>
    <w:r>
      <w:fldChar w:fldCharType="end"/>
    </w:r>
  </w:p>
  <w:p>
    <w:pPr>
      <w:pStyle w:val="4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spacing w:line="240" w:lineRule="auto"/>
      <w:ind w:firstLine="0" w:firstLineChars="0"/>
      <w:jc w:val="left"/>
    </w:pPr>
    <w:bookmarkStart w:id="975" w:name="_Hlk37948066"/>
    <w:bookmarkStart w:id="976" w:name="_Hlk37948078"/>
    <w:bookmarkStart w:id="977" w:name="_Hlk37948063"/>
    <w:bookmarkStart w:id="978" w:name="_Hlk37948069"/>
    <w:bookmarkStart w:id="979" w:name="_Hlk37948065"/>
    <w:bookmarkStart w:id="980" w:name="_Hlk37948071"/>
    <w:bookmarkStart w:id="981" w:name="_Hlk37948068"/>
    <w:bookmarkStart w:id="982" w:name="_Hlk37948070"/>
    <w:bookmarkStart w:id="983" w:name="_Hlk37948064"/>
    <w:bookmarkStart w:id="984" w:name="_Hlk37948079"/>
    <w:r>
      <w:rPr>
        <w:b/>
        <w:lang w:val="en-US"/>
      </w:rPr>
      <w:drawing>
        <wp:inline distT="0" distB="0" distL="114300" distR="114300">
          <wp:extent cx="238125" cy="210185"/>
          <wp:effectExtent l="0" t="0" r="0" b="0"/>
          <wp:docPr id="4" name="图片 1" descr="慧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慧采LOGO"/>
                  <pic:cNvPicPr>
                    <a:picLocks noChangeAspect="1"/>
                  </pic:cNvPicPr>
                </pic:nvPicPr>
                <pic:blipFill>
                  <a:blip r:embed="rId1"/>
                  <a:stretch>
                    <a:fillRect/>
                  </a:stretch>
                </pic:blipFill>
                <pic:spPr>
                  <a:xfrm>
                    <a:off x="0" y="0"/>
                    <a:ext cx="238125" cy="210185"/>
                  </a:xfrm>
                  <a:prstGeom prst="rect">
                    <a:avLst/>
                  </a:prstGeom>
                  <a:noFill/>
                  <a:ln>
                    <a:noFill/>
                  </a:ln>
                </pic:spPr>
              </pic:pic>
            </a:graphicData>
          </a:graphic>
        </wp:inline>
      </w:drawing>
    </w:r>
    <w:r>
      <w:rPr>
        <w:rFonts w:ascii="楷体" w:hAnsi="楷体" w:eastAsia="楷体"/>
        <w:sz w:val="28"/>
        <w:szCs w:val="28"/>
        <w:lang w:val="en-US"/>
      </w:rPr>
      <w:t>四川慧采招标代理有限公司</w:t>
    </w:r>
    <w:bookmarkEnd w:id="975"/>
    <w:bookmarkEnd w:id="976"/>
    <w:bookmarkEnd w:id="977"/>
    <w:bookmarkEnd w:id="978"/>
    <w:bookmarkEnd w:id="979"/>
    <w:bookmarkEnd w:id="980"/>
    <w:bookmarkEnd w:id="981"/>
    <w:bookmarkEnd w:id="982"/>
    <w:bookmarkEnd w:id="983"/>
    <w:bookmarkEnd w:id="9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360"/>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pacing w:line="240" w:lineRule="auto"/>
      <w:ind w:firstLine="0" w:firstLineChars="0"/>
      <w:jc w:val="left"/>
    </w:pPr>
    <w:r>
      <w:rPr>
        <w:rFonts w:ascii="Times New Roman" w:hAnsi="Times New Roman"/>
        <w:color w:val="auto"/>
        <w:kern w:val="2"/>
        <w:sz w:val="18"/>
        <w:szCs w:val="20"/>
        <w:lang w:val="en-US"/>
      </w:rPr>
      <w:drawing>
        <wp:inline distT="0" distB="0" distL="114300" distR="114300">
          <wp:extent cx="238125" cy="210185"/>
          <wp:effectExtent l="0" t="0" r="0" b="0"/>
          <wp:docPr id="5" name="图片 2" descr="慧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慧采LOGO"/>
                  <pic:cNvPicPr>
                    <a:picLocks noChangeAspect="1"/>
                  </pic:cNvPicPr>
                </pic:nvPicPr>
                <pic:blipFill>
                  <a:blip r:embed="rId1"/>
                  <a:stretch>
                    <a:fillRect/>
                  </a:stretch>
                </pic:blipFill>
                <pic:spPr>
                  <a:xfrm>
                    <a:off x="0" y="0"/>
                    <a:ext cx="238125" cy="210185"/>
                  </a:xfrm>
                  <a:prstGeom prst="rect">
                    <a:avLst/>
                  </a:prstGeom>
                  <a:noFill/>
                  <a:ln>
                    <a:noFill/>
                  </a:ln>
                </pic:spPr>
              </pic:pic>
            </a:graphicData>
          </a:graphic>
        </wp:inline>
      </w:drawing>
    </w:r>
    <w:r>
      <w:rPr>
        <w:rFonts w:ascii="楷体" w:hAnsi="楷体" w:eastAsia="楷体"/>
        <w:b w:val="0"/>
        <w:color w:val="auto"/>
        <w:kern w:val="2"/>
        <w:sz w:val="28"/>
        <w:szCs w:val="28"/>
        <w:lang w:val="en-US"/>
      </w:rPr>
      <w:t>四川慧采招标代理有限公司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260"/>
        </w:tabs>
        <w:ind w:left="1260" w:hanging="420"/>
      </w:pPr>
      <w:rPr>
        <w:rFonts w:hint="default"/>
      </w:rPr>
    </w:lvl>
    <w:lvl w:ilvl="2" w:tentative="0">
      <w:start w:val="1"/>
      <w:numFmt w:val="decimal"/>
      <w:pStyle w:val="267"/>
      <w:lvlText w:val="%3."/>
      <w:lvlJc w:val="left"/>
      <w:pPr>
        <w:tabs>
          <w:tab w:val="left" w:pos="900"/>
        </w:tabs>
        <w:ind w:left="900" w:hanging="360"/>
      </w:pPr>
      <w:rPr>
        <w:rFonts w:hint="eastAsia"/>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000000A"/>
    <w:multiLevelType w:val="multilevel"/>
    <w:tmpl w:val="0000000A"/>
    <w:lvl w:ilvl="0" w:tentative="0">
      <w:start w:val="1"/>
      <w:numFmt w:val="upperLetter"/>
      <w:pStyle w:val="505"/>
      <w:suff w:val="nothing"/>
      <w:lvlText w:val="附　录　%1"/>
      <w:lvlJc w:val="left"/>
      <w:pPr>
        <w:ind w:left="0" w:firstLine="0"/>
      </w:pPr>
      <w:rPr>
        <w:rFonts w:hint="eastAsia" w:ascii="黑体" w:hAnsi="Times New Roman" w:eastAsia="黑体"/>
        <w:b w:val="0"/>
        <w:i w:val="0"/>
        <w:sz w:val="21"/>
      </w:rPr>
    </w:lvl>
    <w:lvl w:ilvl="1" w:tentative="0">
      <w:start w:val="1"/>
      <w:numFmt w:val="decimal"/>
      <w:pStyle w:val="32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19"/>
      <w:suff w:val="nothing"/>
      <w:lvlText w:val="%1.%2.%3　"/>
      <w:lvlJc w:val="left"/>
      <w:pPr>
        <w:ind w:left="0" w:firstLine="0"/>
      </w:pPr>
      <w:rPr>
        <w:rFonts w:hint="eastAsia" w:ascii="黑体" w:hAnsi="Times New Roman" w:eastAsia="黑体"/>
        <w:b w:val="0"/>
        <w:i w:val="0"/>
        <w:sz w:val="21"/>
      </w:rPr>
    </w:lvl>
    <w:lvl w:ilvl="3" w:tentative="0">
      <w:start w:val="1"/>
      <w:numFmt w:val="decimal"/>
      <w:pStyle w:val="318"/>
      <w:suff w:val="nothing"/>
      <w:lvlText w:val="%1.%2.%3.%4　"/>
      <w:lvlJc w:val="left"/>
      <w:pPr>
        <w:ind w:left="0" w:firstLine="0"/>
      </w:pPr>
      <w:rPr>
        <w:rFonts w:hint="eastAsia" w:ascii="黑体" w:hAnsi="Times New Roman" w:eastAsia="黑体"/>
        <w:b w:val="0"/>
        <w:i w:val="0"/>
        <w:sz w:val="21"/>
      </w:rPr>
    </w:lvl>
    <w:lvl w:ilvl="4" w:tentative="0">
      <w:start w:val="1"/>
      <w:numFmt w:val="decimal"/>
      <w:pStyle w:val="317"/>
      <w:suff w:val="nothing"/>
      <w:lvlText w:val="%1.%2.%3.%4.%5　"/>
      <w:lvlJc w:val="left"/>
      <w:pPr>
        <w:ind w:left="0" w:firstLine="0"/>
      </w:pPr>
      <w:rPr>
        <w:rFonts w:hint="eastAsia" w:ascii="黑体" w:hAnsi="Times New Roman" w:eastAsia="黑体"/>
        <w:b w:val="0"/>
        <w:i w:val="0"/>
        <w:sz w:val="21"/>
      </w:rPr>
    </w:lvl>
    <w:lvl w:ilvl="5" w:tentative="0">
      <w:start w:val="1"/>
      <w:numFmt w:val="decimal"/>
      <w:pStyle w:val="316"/>
      <w:suff w:val="nothing"/>
      <w:lvlText w:val="%1.%2.%3.%4.%5.%6　"/>
      <w:lvlJc w:val="left"/>
      <w:pPr>
        <w:ind w:left="0" w:firstLine="0"/>
      </w:pPr>
      <w:rPr>
        <w:rFonts w:hint="eastAsia" w:ascii="黑体" w:hAnsi="Times New Roman" w:eastAsia="黑体"/>
        <w:b w:val="0"/>
        <w:i w:val="0"/>
        <w:sz w:val="21"/>
      </w:rPr>
    </w:lvl>
    <w:lvl w:ilvl="6" w:tentative="0">
      <w:start w:val="1"/>
      <w:numFmt w:val="decimal"/>
      <w:pStyle w:val="3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12"/>
    <w:multiLevelType w:val="multilevel"/>
    <w:tmpl w:val="00000012"/>
    <w:lvl w:ilvl="0" w:tentative="0">
      <w:start w:val="1"/>
      <w:numFmt w:val="decimal"/>
      <w:pStyle w:val="31"/>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13"/>
    <w:multiLevelType w:val="multilevel"/>
    <w:tmpl w:val="00000013"/>
    <w:lvl w:ilvl="0" w:tentative="0">
      <w:start w:val="1"/>
      <w:numFmt w:val="decimal"/>
      <w:pStyle w:val="28"/>
      <w:suff w:val="nothing"/>
      <w:lvlText w:val="%1."/>
      <w:lvlJc w:val="left"/>
      <w:pPr>
        <w:ind w:left="988" w:hanging="420"/>
      </w:pPr>
      <w:rPr>
        <w:rFonts w:hint="eastAsia"/>
      </w:rPr>
    </w:lvl>
    <w:lvl w:ilvl="1" w:tentative="0">
      <w:start w:val="1"/>
      <w:numFmt w:val="decimal"/>
      <w:isLgl/>
      <w:lvlText w:val="%1.%2"/>
      <w:lvlJc w:val="left"/>
      <w:pPr>
        <w:ind w:left="1528" w:hanging="960"/>
      </w:pPr>
      <w:rPr>
        <w:rFonts w:hint="default"/>
      </w:rPr>
    </w:lvl>
    <w:lvl w:ilvl="2" w:tentative="0">
      <w:start w:val="1"/>
      <w:numFmt w:val="decimal"/>
      <w:isLgl/>
      <w:lvlText w:val="%1.%2.%3"/>
      <w:lvlJc w:val="left"/>
      <w:pPr>
        <w:ind w:left="1528" w:hanging="960"/>
      </w:pPr>
      <w:rPr>
        <w:rFonts w:hint="default"/>
      </w:rPr>
    </w:lvl>
    <w:lvl w:ilvl="3" w:tentative="0">
      <w:start w:val="1"/>
      <w:numFmt w:val="decimal"/>
      <w:isLgl/>
      <w:lvlText w:val="%1.%2.%3.%4"/>
      <w:lvlJc w:val="left"/>
      <w:pPr>
        <w:ind w:left="1648" w:hanging="1080"/>
      </w:pPr>
      <w:rPr>
        <w:rFonts w:hint="default"/>
      </w:rPr>
    </w:lvl>
    <w:lvl w:ilvl="4" w:tentative="0">
      <w:start w:val="1"/>
      <w:numFmt w:val="decimal"/>
      <w:isLgl/>
      <w:lvlText w:val="%1.%2.%3.%4.%5"/>
      <w:lvlJc w:val="left"/>
      <w:pPr>
        <w:ind w:left="1648" w:hanging="1080"/>
      </w:pPr>
      <w:rPr>
        <w:rFonts w:hint="default"/>
      </w:rPr>
    </w:lvl>
    <w:lvl w:ilvl="5" w:tentative="0">
      <w:start w:val="1"/>
      <w:numFmt w:val="decimal"/>
      <w:isLgl/>
      <w:lvlText w:val="%1.%2.%3.%4.%5.%6"/>
      <w:lvlJc w:val="left"/>
      <w:pPr>
        <w:ind w:left="2008" w:hanging="1440"/>
      </w:pPr>
      <w:rPr>
        <w:rFonts w:hint="default"/>
      </w:rPr>
    </w:lvl>
    <w:lvl w:ilvl="6" w:tentative="0">
      <w:start w:val="1"/>
      <w:numFmt w:val="decimal"/>
      <w:isLgl/>
      <w:lvlText w:val="%1.%2.%3.%4.%5.%6.%7"/>
      <w:lvlJc w:val="left"/>
      <w:pPr>
        <w:ind w:left="2368" w:hanging="1800"/>
      </w:pPr>
      <w:rPr>
        <w:rFonts w:hint="default"/>
      </w:rPr>
    </w:lvl>
    <w:lvl w:ilvl="7" w:tentative="0">
      <w:start w:val="1"/>
      <w:numFmt w:val="decimal"/>
      <w:isLgl/>
      <w:lvlText w:val="%1.%2.%3.%4.%5.%6.%7.%8"/>
      <w:lvlJc w:val="left"/>
      <w:pPr>
        <w:ind w:left="2368" w:hanging="1800"/>
      </w:pPr>
      <w:rPr>
        <w:rFonts w:hint="default"/>
      </w:rPr>
    </w:lvl>
    <w:lvl w:ilvl="8" w:tentative="0">
      <w:start w:val="1"/>
      <w:numFmt w:val="decimal"/>
      <w:isLgl/>
      <w:lvlText w:val="%1.%2.%3.%4.%5.%6.%7.%8.%9"/>
      <w:lvlJc w:val="left"/>
      <w:pPr>
        <w:ind w:left="2728" w:hanging="2160"/>
      </w:pPr>
      <w:rPr>
        <w:rFonts w:hint="default"/>
      </w:rPr>
    </w:lvl>
  </w:abstractNum>
  <w:abstractNum w:abstractNumId="4">
    <w:nsid w:val="00000016"/>
    <w:multiLevelType w:val="multilevel"/>
    <w:tmpl w:val="00000016"/>
    <w:lvl w:ilvl="0" w:tentative="0">
      <w:start w:val="1"/>
      <w:numFmt w:val="chineseCountingThousand"/>
      <w:lvlText w:val="第%1章"/>
      <w:lvlJc w:val="left"/>
      <w:pPr>
        <w:ind w:left="397" w:hanging="397"/>
      </w:pPr>
      <w:rPr>
        <w:rFonts w:hint="eastAsia" w:cs="Times New Roman"/>
        <w:sz w:val="28"/>
        <w:szCs w:val="28"/>
      </w:rPr>
    </w:lvl>
    <w:lvl w:ilvl="1" w:tentative="0">
      <w:start w:val="1"/>
      <w:numFmt w:val="decimal"/>
      <w:pStyle w:val="312"/>
      <w:isLgl/>
      <w:lvlText w:val="%1.%2"/>
      <w:lvlJc w:val="left"/>
      <w:pPr>
        <w:ind w:left="397" w:hanging="397"/>
      </w:pPr>
    </w:lvl>
    <w:lvl w:ilvl="2" w:tentative="0">
      <w:start w:val="1"/>
      <w:numFmt w:val="chineseCountingThousand"/>
      <w:lvlText w:val="%3、"/>
      <w:lvlJc w:val="left"/>
      <w:pPr>
        <w:tabs>
          <w:tab w:val="left" w:pos="851"/>
        </w:tabs>
        <w:ind w:left="397" w:hanging="397"/>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300"/>
      <w:isLgl/>
      <w:lvlText w:val="%1.%2.%3.%4"/>
      <w:lvlJc w:val="left"/>
      <w:pPr>
        <w:tabs>
          <w:tab w:val="left" w:pos="1276"/>
        </w:tabs>
        <w:ind w:left="397" w:hanging="397"/>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5">
    <w:nsid w:val="00000018"/>
    <w:multiLevelType w:val="multilevel"/>
    <w:tmpl w:val="00000018"/>
    <w:lvl w:ilvl="0" w:tentative="0">
      <w:start w:val="1"/>
      <w:numFmt w:val="decimal"/>
      <w:lvlText w:val="%1."/>
      <w:lvlJc w:val="left"/>
      <w:pPr>
        <w:tabs>
          <w:tab w:val="left" w:pos="1680"/>
        </w:tabs>
        <w:ind w:left="1680" w:hanging="420"/>
      </w:pPr>
    </w:lvl>
    <w:lvl w:ilvl="1" w:tentative="0">
      <w:start w:val="1"/>
      <w:numFmt w:val="lowerLetter"/>
      <w:pStyle w:val="377"/>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6">
    <w:nsid w:val="0000001C"/>
    <w:multiLevelType w:val="singleLevel"/>
    <w:tmpl w:val="0000001C"/>
    <w:lvl w:ilvl="0" w:tentative="0">
      <w:start w:val="1"/>
      <w:numFmt w:val="bullet"/>
      <w:pStyle w:val="429"/>
      <w:lvlText w:val=""/>
      <w:lvlJc w:val="left"/>
      <w:pPr>
        <w:tabs>
          <w:tab w:val="left" w:pos="737"/>
        </w:tabs>
        <w:ind w:left="737" w:hanging="453"/>
      </w:pPr>
      <w:rPr>
        <w:rFonts w:hint="default" w:ascii="Wingdings" w:hAnsi="Wingdings"/>
      </w:rPr>
    </w:lvl>
  </w:abstractNum>
  <w:abstractNum w:abstractNumId="7">
    <w:nsid w:val="00000022"/>
    <w:multiLevelType w:val="multilevel"/>
    <w:tmpl w:val="00000022"/>
    <w:lvl w:ilvl="0" w:tentative="0">
      <w:start w:val="1"/>
      <w:numFmt w:val="decimal"/>
      <w:lvlText w:val="第%1章"/>
      <w:lvlJc w:val="left"/>
      <w:pPr>
        <w:ind w:left="709" w:hanging="425"/>
      </w:pPr>
      <w:rPr>
        <w:rFonts w:hint="default" w:ascii="Times New Roman" w:hAnsi="Times New Roman" w:eastAsia="宋体"/>
        <w:b/>
        <w:i w:val="0"/>
        <w:sz w:val="32"/>
        <w:szCs w:val="32"/>
      </w:rPr>
    </w:lvl>
    <w:lvl w:ilvl="1" w:tentative="0">
      <w:start w:val="1"/>
      <w:numFmt w:val="decimal"/>
      <w:suff w:val="nothing"/>
      <w:lvlText w:val="%1.%2"/>
      <w:lvlJc w:val="left"/>
      <w:pPr>
        <w:ind w:left="851" w:hanging="567"/>
      </w:pPr>
      <w:rPr>
        <w:rFonts w:hint="default" w:ascii="Times New Roman" w:hAnsi="Times New Roman" w:eastAsia="宋体"/>
        <w:b/>
        <w:i w:val="0"/>
        <w:color w:val="auto"/>
        <w:sz w:val="28"/>
        <w:szCs w:val="28"/>
      </w:rPr>
    </w:lvl>
    <w:lvl w:ilvl="2" w:tentative="0">
      <w:start w:val="1"/>
      <w:numFmt w:val="decimal"/>
      <w:suff w:val="space"/>
      <w:lvlText w:val="%1.%2.%3"/>
      <w:lvlJc w:val="left"/>
      <w:pPr>
        <w:ind w:left="851" w:hanging="567"/>
      </w:pPr>
      <w:rPr>
        <w:rFonts w:hint="default" w:ascii="Times New Roman" w:hAnsi="Times New Roman" w:cs="Times New Roman"/>
        <w:b/>
        <w:i w:val="0"/>
        <w:sz w:val="24"/>
        <w:szCs w:val="24"/>
      </w:rPr>
    </w:lvl>
    <w:lvl w:ilvl="3" w:tentative="0">
      <w:start w:val="1"/>
      <w:numFmt w:val="decimal"/>
      <w:suff w:val="nothing"/>
      <w:lvlText w:val="%1.%2.%3.%4"/>
      <w:lvlJc w:val="left"/>
      <w:pPr>
        <w:ind w:left="1701" w:hanging="708"/>
      </w:pPr>
      <w:rPr>
        <w:rFonts w:hint="default" w:ascii="Times New Roman" w:hAnsi="Times New Roman" w:eastAsia="宋体" w:cs="Calibri"/>
        <w:b/>
        <w:sz w:val="24"/>
        <w:szCs w:val="28"/>
      </w:rPr>
    </w:lvl>
    <w:lvl w:ilvl="4" w:tentative="0">
      <w:start w:val="1"/>
      <w:numFmt w:val="decimal"/>
      <w:pStyle w:val="358"/>
      <w:lvlText w:val="%1.%2.%3.%4.%5"/>
      <w:lvlJc w:val="left"/>
      <w:pPr>
        <w:ind w:left="2551" w:hanging="850"/>
      </w:pPr>
      <w:rPr>
        <w:rFonts w:hint="default" w:ascii="Times New Roman" w:hAnsi="Times New Roman" w:cs="Times New Roman"/>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0000023"/>
    <w:multiLevelType w:val="multilevel"/>
    <w:tmpl w:val="00000023"/>
    <w:lvl w:ilvl="0" w:tentative="0">
      <w:start w:val="1"/>
      <w:numFmt w:val="decimal"/>
      <w:pStyle w:val="397"/>
      <w:suff w:val="nothing"/>
      <w:lvlText w:val="%1."/>
      <w:lvlJc w:val="left"/>
      <w:pPr>
        <w:ind w:left="1413"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0000024"/>
    <w:multiLevelType w:val="multilevel"/>
    <w:tmpl w:val="00000024"/>
    <w:lvl w:ilvl="0" w:tentative="0">
      <w:start w:val="1"/>
      <w:numFmt w:val="chineseCountingThousand"/>
      <w:pStyle w:val="567"/>
      <w:lvlText w:val="第%1章."/>
      <w:lvlJc w:val="left"/>
      <w:pPr>
        <w:tabs>
          <w:tab w:val="left" w:pos="1145"/>
        </w:tabs>
        <w:ind w:left="1145" w:hanging="425"/>
      </w:pPr>
      <w:rPr>
        <w:rFonts w:hint="eastAsia" w:eastAsia="黑体"/>
        <w:color w:val="auto"/>
      </w:rPr>
    </w:lvl>
    <w:lvl w:ilvl="1" w:tentative="0">
      <w:start w:val="1"/>
      <w:numFmt w:val="decimal"/>
      <w:isLgl/>
      <w:lvlText w:val="%1.%2."/>
      <w:lvlJc w:val="left"/>
      <w:pPr>
        <w:tabs>
          <w:tab w:val="left" w:pos="567"/>
        </w:tabs>
        <w:ind w:left="567" w:hanging="567"/>
      </w:pPr>
      <w:rPr>
        <w:rFonts w:hint="eastAsia" w:ascii="黑体" w:eastAsia="黑体"/>
        <w:b/>
        <w:sz w:val="32"/>
        <w:szCs w:val="32"/>
      </w:rPr>
    </w:lvl>
    <w:lvl w:ilvl="2" w:tentative="0">
      <w:start w:val="1"/>
      <w:numFmt w:val="decimal"/>
      <w:pStyle w:val="256"/>
      <w:isLgl/>
      <w:lvlText w:val="%1.%2.%3."/>
      <w:lvlJc w:val="left"/>
      <w:pPr>
        <w:tabs>
          <w:tab w:val="left" w:pos="889"/>
        </w:tabs>
        <w:ind w:left="889" w:hanging="709"/>
      </w:pPr>
      <w:rPr>
        <w:color w:val="auto"/>
        <w:lang w:eastAsia="zh-CN"/>
      </w:rPr>
    </w:lvl>
    <w:lvl w:ilvl="3" w:tentative="0">
      <w:start w:val="1"/>
      <w:numFmt w:val="decimal"/>
      <w:pStyle w:val="254"/>
      <w:isLgl/>
      <w:lvlText w:val="%1.%2.%3.%4."/>
      <w:lvlJc w:val="left"/>
      <w:pPr>
        <w:tabs>
          <w:tab w:val="left" w:pos="1211"/>
        </w:tabs>
        <w:ind w:left="1211" w:hanging="851"/>
      </w:pPr>
      <w:rPr>
        <w:rFonts w:hint="eastAsia" w:ascii="宋体" w:hAnsi="宋体" w:eastAsia="宋体"/>
      </w:rPr>
    </w:lvl>
    <w:lvl w:ilvl="4" w:tentative="0">
      <w:start w:val="1"/>
      <w:numFmt w:val="decimal"/>
      <w:isLgl/>
      <w:lvlText w:val="%1.%2.%3.%4.%5."/>
      <w:lvlJc w:val="left"/>
      <w:pPr>
        <w:tabs>
          <w:tab w:val="left" w:pos="992"/>
        </w:tabs>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0000027"/>
    <w:multiLevelType w:val="multilevel"/>
    <w:tmpl w:val="00000027"/>
    <w:lvl w:ilvl="0" w:tentative="0">
      <w:start w:val="1"/>
      <w:numFmt w:val="chineseCountingThousand"/>
      <w:suff w:val="nothing"/>
      <w:lvlText w:val="%1、"/>
      <w:lvlJc w:val="left"/>
      <w:pPr>
        <w:ind w:left="987" w:hanging="420"/>
      </w:pPr>
      <w:rPr>
        <w:rFonts w:hint="eastAsia"/>
        <w:b/>
        <w:lang w:val="en-US"/>
      </w:rPr>
    </w:lvl>
    <w:lvl w:ilvl="1" w:tentative="0">
      <w:start w:val="1"/>
      <w:numFmt w:val="decimal"/>
      <w:lvlText w:val="%2、"/>
      <w:lvlJc w:val="left"/>
      <w:pPr>
        <w:ind w:left="2256" w:hanging="1125"/>
      </w:pPr>
      <w:rPr>
        <w:rFonts w:hint="default"/>
      </w:r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1">
    <w:nsid w:val="00000029"/>
    <w:multiLevelType w:val="multilevel"/>
    <w:tmpl w:val="00000029"/>
    <w:lvl w:ilvl="0" w:tentative="0">
      <w:start w:val="1"/>
      <w:numFmt w:val="decimal"/>
      <w:suff w:val="nothing"/>
      <w:lvlText w:val="%1."/>
      <w:lvlJc w:val="left"/>
      <w:pPr>
        <w:ind w:left="1413" w:hanging="420"/>
      </w:pPr>
      <w:rPr>
        <w:rFonts w:hint="eastAsia"/>
      </w:rPr>
    </w:lvl>
    <w:lvl w:ilvl="1" w:tentative="0">
      <w:start w:val="1"/>
      <w:numFmt w:val="lowerLetter"/>
      <w:pStyle w:val="212"/>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0000002B"/>
    <w:multiLevelType w:val="multilevel"/>
    <w:tmpl w:val="0000002B"/>
    <w:lvl w:ilvl="0" w:tentative="0">
      <w:start w:val="1"/>
      <w:numFmt w:val="decimal"/>
      <w:pStyle w:val="16"/>
      <w:lvlText w:val="%1."/>
      <w:lvlJc w:val="left"/>
      <w:pPr>
        <w:ind w:left="420" w:hanging="420"/>
      </w:pPr>
    </w:lvl>
    <w:lvl w:ilvl="1" w:tentative="0">
      <w:start w:val="1"/>
      <w:numFmt w:val="decimal"/>
      <w:suff w:val="nothing"/>
      <w:lvlText w:val="%2."/>
      <w:lvlJc w:val="left"/>
      <w:pPr>
        <w:ind w:left="704"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35"/>
    <w:multiLevelType w:val="multilevel"/>
    <w:tmpl w:val="00000035"/>
    <w:lvl w:ilvl="0" w:tentative="0">
      <w:start w:val="1"/>
      <w:numFmt w:val="decimal"/>
      <w:lvlText w:val="%1、"/>
      <w:lvlJc w:val="left"/>
      <w:pPr>
        <w:tabs>
          <w:tab w:val="left" w:pos="718"/>
        </w:tabs>
        <w:ind w:left="718" w:hanging="360"/>
      </w:pPr>
      <w:rPr>
        <w:rFonts w:hint="default"/>
      </w:rPr>
    </w:lvl>
    <w:lvl w:ilvl="1" w:tentative="0">
      <w:start w:val="1"/>
      <w:numFmt w:val="japaneseCounting"/>
      <w:pStyle w:val="185"/>
      <w:lvlText w:val="%2、"/>
      <w:lvlJc w:val="left"/>
      <w:pPr>
        <w:tabs>
          <w:tab w:val="left" w:pos="1258"/>
        </w:tabs>
        <w:ind w:left="1258" w:hanging="480"/>
      </w:pPr>
      <w:rPr>
        <w:rFonts w:hint="default"/>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4">
    <w:nsid w:val="00000038"/>
    <w:multiLevelType w:val="singleLevel"/>
    <w:tmpl w:val="00000038"/>
    <w:lvl w:ilvl="0" w:tentative="0">
      <w:start w:val="1"/>
      <w:numFmt w:val="decimal"/>
      <w:pStyle w:val="41"/>
      <w:lvlText w:val="%1."/>
      <w:lvlJc w:val="left"/>
      <w:pPr>
        <w:tabs>
          <w:tab w:val="left" w:pos="1620"/>
        </w:tabs>
        <w:ind w:left="1620" w:hanging="360"/>
      </w:pPr>
    </w:lvl>
  </w:abstractNum>
  <w:abstractNum w:abstractNumId="15">
    <w:nsid w:val="0000003C"/>
    <w:multiLevelType w:val="multilevel"/>
    <w:tmpl w:val="0000003C"/>
    <w:lvl w:ilvl="0" w:tentative="0">
      <w:start w:val="1"/>
      <w:numFmt w:val="chineseCountingThousand"/>
      <w:pStyle w:val="14"/>
      <w:lvlText w:val="(%1)"/>
      <w:lvlJc w:val="left"/>
      <w:pPr>
        <w:tabs>
          <w:tab w:val="left" w:pos="420"/>
        </w:tabs>
        <w:ind w:left="420" w:hanging="420"/>
      </w:pPr>
    </w:lvl>
    <w:lvl w:ilvl="1" w:tentative="0">
      <w:start w:val="1"/>
      <w:numFmt w:val="decimal"/>
      <w:suff w:val="nothing"/>
      <w:lvlText w:val="(%2)"/>
      <w:lvlJc w:val="left"/>
      <w:pPr>
        <w:ind w:left="840" w:hanging="420"/>
      </w:pPr>
      <w:rPr>
        <w:rFonts w:hint="default" w:ascii="Times New Roman" w:hAnsi="Times New Roman"/>
        <w:sz w:val="28"/>
        <w:szCs w:val="28"/>
      </w:rPr>
    </w:lvl>
    <w:lvl w:ilvl="2" w:tentative="0">
      <w:start w:val="1"/>
      <w:numFmt w:val="decimal"/>
      <w:lvlText w:val="%3．"/>
      <w:lvlJc w:val="left"/>
      <w:pPr>
        <w:ind w:left="1560" w:hanging="720"/>
      </w:pPr>
      <w:rPr>
        <w:rFonts w:hint="default"/>
      </w:rPr>
    </w:lvl>
    <w:lvl w:ilvl="3" w:tentative="0">
      <w:start w:val="1"/>
      <w:numFmt w:val="japaneseCounting"/>
      <w:lvlText w:val="（%4）"/>
      <w:lvlJc w:val="left"/>
      <w:pPr>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3D"/>
    <w:multiLevelType w:val="multilevel"/>
    <w:tmpl w:val="0000003D"/>
    <w:lvl w:ilvl="0" w:tentative="0">
      <w:start w:val="1"/>
      <w:numFmt w:val="chineseCountingThousand"/>
      <w:pStyle w:val="368"/>
      <w:suff w:val="nothing"/>
      <w:lvlText w:val="%1、"/>
      <w:lvlJc w:val="left"/>
      <w:pPr>
        <w:ind w:left="988" w:hanging="420"/>
      </w:pPr>
      <w:rPr>
        <w:rFonts w:hint="eastAsia"/>
        <w:b/>
      </w:rPr>
    </w:lvl>
    <w:lvl w:ilvl="1" w:tentative="0">
      <w:start w:val="1"/>
      <w:numFmt w:val="decimal"/>
      <w:lvlText w:val="%2、"/>
      <w:lvlJc w:val="left"/>
      <w:pPr>
        <w:ind w:left="2112" w:hanging="1125"/>
      </w:pPr>
      <w:rPr>
        <w:rFonts w:hint="default"/>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7">
    <w:nsid w:val="0000003E"/>
    <w:multiLevelType w:val="multilevel"/>
    <w:tmpl w:val="0000003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311"/>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41"/>
    <w:multiLevelType w:val="multilevel"/>
    <w:tmpl w:val="00000041"/>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pStyle w:val="430"/>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42"/>
    <w:multiLevelType w:val="multilevel"/>
    <w:tmpl w:val="00000042"/>
    <w:lvl w:ilvl="0" w:tentative="0">
      <w:start w:val="1"/>
      <w:numFmt w:val="decimal"/>
      <w:pStyle w:val="18"/>
      <w:suff w:val="nothing"/>
      <w:lvlText w:val="%1."/>
      <w:lvlJc w:val="left"/>
      <w:pPr>
        <w:ind w:left="900" w:hanging="420"/>
      </w:pPr>
      <w:rPr>
        <w:rFonts w:hint="eastAsia"/>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0">
    <w:nsid w:val="00000047"/>
    <w:multiLevelType w:val="multilevel"/>
    <w:tmpl w:val="00000047"/>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012D5274"/>
    <w:multiLevelType w:val="multilevel"/>
    <w:tmpl w:val="012D5274"/>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048F05C8"/>
    <w:multiLevelType w:val="multilevel"/>
    <w:tmpl w:val="048F05C8"/>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05C201DE"/>
    <w:multiLevelType w:val="multilevel"/>
    <w:tmpl w:val="05C201DE"/>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075502B8"/>
    <w:multiLevelType w:val="multilevel"/>
    <w:tmpl w:val="075502B8"/>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988"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098D04B0"/>
    <w:multiLevelType w:val="multilevel"/>
    <w:tmpl w:val="098D04B0"/>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0C636C81"/>
    <w:multiLevelType w:val="multilevel"/>
    <w:tmpl w:val="0C636C81"/>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98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0EE9422C"/>
    <w:multiLevelType w:val="multilevel"/>
    <w:tmpl w:val="0EE9422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12BB465D"/>
    <w:multiLevelType w:val="multilevel"/>
    <w:tmpl w:val="12BB465D"/>
    <w:lvl w:ilvl="0" w:tentative="0">
      <w:start w:val="1"/>
      <w:numFmt w:val="decimal"/>
      <w:lvlText w:val="%1."/>
      <w:lvlJc w:val="left"/>
      <w:pPr>
        <w:ind w:left="969"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16056C11"/>
    <w:multiLevelType w:val="multilevel"/>
    <w:tmpl w:val="16056C11"/>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16DE7ABA"/>
    <w:multiLevelType w:val="multilevel"/>
    <w:tmpl w:val="16DE7ABA"/>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16FE53D6"/>
    <w:multiLevelType w:val="multilevel"/>
    <w:tmpl w:val="16FE53D6"/>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179B4228"/>
    <w:multiLevelType w:val="multilevel"/>
    <w:tmpl w:val="179B422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1BA66698"/>
    <w:multiLevelType w:val="multilevel"/>
    <w:tmpl w:val="1BA66698"/>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4">
    <w:nsid w:val="1E58470C"/>
    <w:multiLevelType w:val="multilevel"/>
    <w:tmpl w:val="1E58470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22280895"/>
    <w:multiLevelType w:val="multilevel"/>
    <w:tmpl w:val="22280895"/>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988"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23227C9E"/>
    <w:multiLevelType w:val="multilevel"/>
    <w:tmpl w:val="23227C9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23327D7C"/>
    <w:multiLevelType w:val="multilevel"/>
    <w:tmpl w:val="23327D7C"/>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24BD285F"/>
    <w:multiLevelType w:val="multilevel"/>
    <w:tmpl w:val="24BD285F"/>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b w:val="0"/>
        <w:color w:val="auto"/>
        <w:sz w:val="24"/>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3110665D"/>
    <w:multiLevelType w:val="multilevel"/>
    <w:tmpl w:val="3110665D"/>
    <w:lvl w:ilvl="0" w:tentative="0">
      <w:start w:val="1"/>
      <w:numFmt w:val="decimal"/>
      <w:pStyle w:val="40"/>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0">
    <w:nsid w:val="321104C2"/>
    <w:multiLevelType w:val="multilevel"/>
    <w:tmpl w:val="321104C2"/>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1">
    <w:nsid w:val="323C77E2"/>
    <w:multiLevelType w:val="multilevel"/>
    <w:tmpl w:val="323C77E2"/>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35955D02"/>
    <w:multiLevelType w:val="multilevel"/>
    <w:tmpl w:val="35955D0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3B5908BE"/>
    <w:multiLevelType w:val="multilevel"/>
    <w:tmpl w:val="3B5908BE"/>
    <w:lvl w:ilvl="0" w:tentative="0">
      <w:start w:val="1"/>
      <w:numFmt w:val="decimal"/>
      <w:pStyle w:val="3"/>
      <w:suff w:val="space"/>
      <w:lvlText w:val="%1"/>
      <w:lvlJc w:val="left"/>
      <w:pPr>
        <w:ind w:left="0" w:firstLine="0"/>
      </w:pPr>
      <w:rPr>
        <w:rFonts w:hint="eastAsia"/>
        <w:sz w:val="32"/>
      </w:rPr>
    </w:lvl>
    <w:lvl w:ilvl="1" w:tentative="0">
      <w:start w:val="1"/>
      <w:numFmt w:val="decimal"/>
      <w:suff w:val="space"/>
      <w:lvlText w:val="%1.%2"/>
      <w:lvlJc w:val="left"/>
      <w:pPr>
        <w:ind w:left="3686" w:firstLine="0"/>
      </w:pPr>
    </w:lvl>
    <w:lvl w:ilvl="2" w:tentative="0">
      <w:start w:val="1"/>
      <w:numFmt w:val="decimal"/>
      <w:pStyle w:val="5"/>
      <w:suff w:val="space"/>
      <w:lvlText w:val="%1.%2.%3"/>
      <w:lvlJc w:val="left"/>
      <w:pPr>
        <w:ind w:left="0" w:firstLine="0"/>
      </w:pPr>
      <w:rPr>
        <w:rFonts w:ascii="仿宋" w:hAnsi="仿宋" w:eastAsia="仿宋"/>
        <w:lang w:val="en-US"/>
      </w:rPr>
    </w:lvl>
    <w:lvl w:ilvl="3" w:tentative="0">
      <w:start w:val="1"/>
      <w:numFmt w:val="decimal"/>
      <w:pStyle w:val="6"/>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459D6C9A"/>
    <w:multiLevelType w:val="multilevel"/>
    <w:tmpl w:val="459D6C9A"/>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846"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468E73D2"/>
    <w:multiLevelType w:val="multilevel"/>
    <w:tmpl w:val="468E73D2"/>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49272379"/>
    <w:multiLevelType w:val="multilevel"/>
    <w:tmpl w:val="4927237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49ED5A4A"/>
    <w:multiLevelType w:val="multilevel"/>
    <w:tmpl w:val="49ED5A4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528D3107"/>
    <w:multiLevelType w:val="multilevel"/>
    <w:tmpl w:val="528D3107"/>
    <w:lvl w:ilvl="0" w:tentative="0">
      <w:start w:val="1"/>
      <w:numFmt w:val="decimal"/>
      <w:lvlText w:val="%1."/>
      <w:lvlJc w:val="left"/>
      <w:pPr>
        <w:ind w:left="900" w:hanging="420"/>
      </w:p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5E912AE5"/>
    <w:multiLevelType w:val="multilevel"/>
    <w:tmpl w:val="5E912AE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60322500"/>
    <w:multiLevelType w:val="multilevel"/>
    <w:tmpl w:val="60322500"/>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6C294238"/>
    <w:multiLevelType w:val="multilevel"/>
    <w:tmpl w:val="6C294238"/>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2">
    <w:nsid w:val="6C960C21"/>
    <w:multiLevelType w:val="multilevel"/>
    <w:tmpl w:val="6C960C2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3">
    <w:nsid w:val="709273AF"/>
    <w:multiLevelType w:val="multilevel"/>
    <w:tmpl w:val="709273AF"/>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735D10AE"/>
    <w:multiLevelType w:val="multilevel"/>
    <w:tmpl w:val="735D10AE"/>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5">
    <w:nsid w:val="789D6858"/>
    <w:multiLevelType w:val="multilevel"/>
    <w:tmpl w:val="789D685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798F3D89"/>
    <w:multiLevelType w:val="multilevel"/>
    <w:tmpl w:val="798F3D89"/>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7">
    <w:nsid w:val="7CC26292"/>
    <w:multiLevelType w:val="multilevel"/>
    <w:tmpl w:val="7CC26292"/>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8">
    <w:nsid w:val="7FF24DD9"/>
    <w:multiLevelType w:val="multilevel"/>
    <w:tmpl w:val="7FF24DD9"/>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1400" w:hanging="420"/>
      </w:pPr>
      <w:rPr>
        <w:rFonts w:hint="eastAsia"/>
      </w:rPr>
    </w:lvl>
    <w:lvl w:ilvl="2" w:tentative="0">
      <w:start w:val="3"/>
      <w:numFmt w:val="decimal"/>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3"/>
  </w:num>
  <w:num w:numId="2">
    <w:abstractNumId w:val="15"/>
  </w:num>
  <w:num w:numId="3">
    <w:abstractNumId w:val="12"/>
  </w:num>
  <w:num w:numId="4">
    <w:abstractNumId w:val="19"/>
  </w:num>
  <w:num w:numId="5">
    <w:abstractNumId w:val="3"/>
  </w:num>
  <w:num w:numId="6">
    <w:abstractNumId w:val="2"/>
  </w:num>
  <w:num w:numId="7">
    <w:abstractNumId w:val="39"/>
  </w:num>
  <w:num w:numId="8">
    <w:abstractNumId w:val="14"/>
  </w:num>
  <w:num w:numId="9">
    <w:abstractNumId w:val="13"/>
  </w:num>
  <w:num w:numId="10">
    <w:abstractNumId w:val="11"/>
  </w:num>
  <w:num w:numId="11">
    <w:abstractNumId w:val="9"/>
  </w:num>
  <w:num w:numId="12">
    <w:abstractNumId w:val="0"/>
  </w:num>
  <w:num w:numId="13">
    <w:abstractNumId w:val="4"/>
  </w:num>
  <w:num w:numId="14">
    <w:abstractNumId w:val="17"/>
  </w:num>
  <w:num w:numId="15">
    <w:abstractNumId w:val="1"/>
  </w:num>
  <w:num w:numId="16">
    <w:abstractNumId w:val="7"/>
  </w:num>
  <w:num w:numId="17">
    <w:abstractNumId w:val="16"/>
  </w:num>
  <w:num w:numId="18">
    <w:abstractNumId w:val="5"/>
  </w:num>
  <w:num w:numId="19">
    <w:abstractNumId w:val="8"/>
  </w:num>
  <w:num w:numId="20">
    <w:abstractNumId w:val="6"/>
  </w:num>
  <w:num w:numId="21">
    <w:abstractNumId w:val="18"/>
  </w:num>
  <w:num w:numId="22">
    <w:abstractNumId w:val="10"/>
  </w:num>
  <w:num w:numId="23">
    <w:abstractNumId w:val="20"/>
  </w:num>
  <w:num w:numId="24">
    <w:abstractNumId w:val="55"/>
  </w:num>
  <w:num w:numId="25">
    <w:abstractNumId w:val="31"/>
  </w:num>
  <w:num w:numId="26">
    <w:abstractNumId w:val="45"/>
  </w:num>
  <w:num w:numId="27">
    <w:abstractNumId w:val="53"/>
  </w:num>
  <w:num w:numId="28">
    <w:abstractNumId w:val="28"/>
  </w:num>
  <w:num w:numId="29">
    <w:abstractNumId w:val="58"/>
  </w:num>
  <w:num w:numId="30">
    <w:abstractNumId w:val="37"/>
  </w:num>
  <w:num w:numId="31">
    <w:abstractNumId w:val="40"/>
  </w:num>
  <w:num w:numId="32">
    <w:abstractNumId w:val="57"/>
  </w:num>
  <w:num w:numId="33">
    <w:abstractNumId w:val="56"/>
  </w:num>
  <w:num w:numId="34">
    <w:abstractNumId w:val="35"/>
  </w:num>
  <w:num w:numId="35">
    <w:abstractNumId w:val="26"/>
  </w:num>
  <w:num w:numId="36">
    <w:abstractNumId w:val="24"/>
  </w:num>
  <w:num w:numId="37">
    <w:abstractNumId w:val="44"/>
  </w:num>
  <w:num w:numId="38">
    <w:abstractNumId w:val="33"/>
  </w:num>
  <w:num w:numId="39">
    <w:abstractNumId w:val="22"/>
  </w:num>
  <w:num w:numId="40">
    <w:abstractNumId w:val="23"/>
  </w:num>
  <w:num w:numId="41">
    <w:abstractNumId w:val="51"/>
  </w:num>
  <w:num w:numId="42">
    <w:abstractNumId w:val="25"/>
  </w:num>
  <w:num w:numId="43">
    <w:abstractNumId w:val="29"/>
  </w:num>
  <w:num w:numId="44">
    <w:abstractNumId w:val="54"/>
  </w:num>
  <w:num w:numId="45">
    <w:abstractNumId w:val="30"/>
  </w:num>
  <w:num w:numId="46">
    <w:abstractNumId w:val="21"/>
  </w:num>
  <w:num w:numId="47">
    <w:abstractNumId w:val="38"/>
  </w:num>
  <w:num w:numId="48">
    <w:abstractNumId w:val="34"/>
  </w:num>
  <w:num w:numId="49">
    <w:abstractNumId w:val="32"/>
  </w:num>
  <w:num w:numId="50">
    <w:abstractNumId w:val="36"/>
  </w:num>
  <w:num w:numId="51">
    <w:abstractNumId w:val="47"/>
  </w:num>
  <w:num w:numId="52">
    <w:abstractNumId w:val="46"/>
  </w:num>
  <w:num w:numId="53">
    <w:abstractNumId w:val="49"/>
  </w:num>
  <w:num w:numId="54">
    <w:abstractNumId w:val="27"/>
  </w:num>
  <w:num w:numId="55">
    <w:abstractNumId w:val="52"/>
  </w:num>
  <w:num w:numId="56">
    <w:abstractNumId w:val="42"/>
  </w:num>
  <w:num w:numId="57">
    <w:abstractNumId w:val="48"/>
  </w:num>
  <w:num w:numId="58">
    <w:abstractNumId w:val="50"/>
  </w:num>
  <w:num w:numId="5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321"/>
  <w:drawingGridVerticalSpacing w:val="437"/>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BA"/>
    <w:rsid w:val="00002659"/>
    <w:rsid w:val="00002C16"/>
    <w:rsid w:val="00003E62"/>
    <w:rsid w:val="00003ECA"/>
    <w:rsid w:val="000104D9"/>
    <w:rsid w:val="00011B69"/>
    <w:rsid w:val="00011D46"/>
    <w:rsid w:val="00014A29"/>
    <w:rsid w:val="00015DD7"/>
    <w:rsid w:val="000231EC"/>
    <w:rsid w:val="000242FB"/>
    <w:rsid w:val="00027459"/>
    <w:rsid w:val="0003007B"/>
    <w:rsid w:val="00031569"/>
    <w:rsid w:val="000319C6"/>
    <w:rsid w:val="00031E97"/>
    <w:rsid w:val="0003529F"/>
    <w:rsid w:val="00040A8C"/>
    <w:rsid w:val="00040E1B"/>
    <w:rsid w:val="00042CB2"/>
    <w:rsid w:val="00047A94"/>
    <w:rsid w:val="00047B7E"/>
    <w:rsid w:val="00050B82"/>
    <w:rsid w:val="00053B37"/>
    <w:rsid w:val="00055B1A"/>
    <w:rsid w:val="00057103"/>
    <w:rsid w:val="00057522"/>
    <w:rsid w:val="000627E4"/>
    <w:rsid w:val="00064882"/>
    <w:rsid w:val="000658D7"/>
    <w:rsid w:val="00065929"/>
    <w:rsid w:val="00066358"/>
    <w:rsid w:val="000670DA"/>
    <w:rsid w:val="00071868"/>
    <w:rsid w:val="00072053"/>
    <w:rsid w:val="0007561C"/>
    <w:rsid w:val="00075E11"/>
    <w:rsid w:val="00076687"/>
    <w:rsid w:val="000825B4"/>
    <w:rsid w:val="000827DB"/>
    <w:rsid w:val="00083133"/>
    <w:rsid w:val="00083CC5"/>
    <w:rsid w:val="000852B4"/>
    <w:rsid w:val="000906C9"/>
    <w:rsid w:val="00092B11"/>
    <w:rsid w:val="0009438F"/>
    <w:rsid w:val="0009755E"/>
    <w:rsid w:val="000A11CA"/>
    <w:rsid w:val="000A1996"/>
    <w:rsid w:val="000A40A0"/>
    <w:rsid w:val="000A5F18"/>
    <w:rsid w:val="000A6548"/>
    <w:rsid w:val="000B054C"/>
    <w:rsid w:val="000B0A08"/>
    <w:rsid w:val="000B3771"/>
    <w:rsid w:val="000B3938"/>
    <w:rsid w:val="000B5269"/>
    <w:rsid w:val="000B57A4"/>
    <w:rsid w:val="000B66AA"/>
    <w:rsid w:val="000B738D"/>
    <w:rsid w:val="000B76FD"/>
    <w:rsid w:val="000C01B0"/>
    <w:rsid w:val="000C0911"/>
    <w:rsid w:val="000C264C"/>
    <w:rsid w:val="000C31DA"/>
    <w:rsid w:val="000C3575"/>
    <w:rsid w:val="000C4EE4"/>
    <w:rsid w:val="000C61F1"/>
    <w:rsid w:val="000C68BC"/>
    <w:rsid w:val="000C69A1"/>
    <w:rsid w:val="000C6D14"/>
    <w:rsid w:val="000C705D"/>
    <w:rsid w:val="000C71BA"/>
    <w:rsid w:val="000C771F"/>
    <w:rsid w:val="000C7B46"/>
    <w:rsid w:val="000D0D2F"/>
    <w:rsid w:val="000D1009"/>
    <w:rsid w:val="000D15FD"/>
    <w:rsid w:val="000D3554"/>
    <w:rsid w:val="000D3998"/>
    <w:rsid w:val="000D4DED"/>
    <w:rsid w:val="000D4E14"/>
    <w:rsid w:val="000D5A80"/>
    <w:rsid w:val="000E08A7"/>
    <w:rsid w:val="000E3D81"/>
    <w:rsid w:val="000F0010"/>
    <w:rsid w:val="000F0ED3"/>
    <w:rsid w:val="000F1351"/>
    <w:rsid w:val="000F1778"/>
    <w:rsid w:val="000F1C1A"/>
    <w:rsid w:val="000F2849"/>
    <w:rsid w:val="00100507"/>
    <w:rsid w:val="00103544"/>
    <w:rsid w:val="00110351"/>
    <w:rsid w:val="00113F05"/>
    <w:rsid w:val="00114EBA"/>
    <w:rsid w:val="00115332"/>
    <w:rsid w:val="001154B1"/>
    <w:rsid w:val="0011647F"/>
    <w:rsid w:val="00116575"/>
    <w:rsid w:val="00123511"/>
    <w:rsid w:val="001235F8"/>
    <w:rsid w:val="00123675"/>
    <w:rsid w:val="00124C94"/>
    <w:rsid w:val="0012501E"/>
    <w:rsid w:val="00130E52"/>
    <w:rsid w:val="00130F19"/>
    <w:rsid w:val="0013195F"/>
    <w:rsid w:val="00133ED8"/>
    <w:rsid w:val="0013465D"/>
    <w:rsid w:val="00134E80"/>
    <w:rsid w:val="00136056"/>
    <w:rsid w:val="0013759C"/>
    <w:rsid w:val="00142C36"/>
    <w:rsid w:val="00142FD4"/>
    <w:rsid w:val="00143664"/>
    <w:rsid w:val="00143677"/>
    <w:rsid w:val="001453BB"/>
    <w:rsid w:val="00147FB5"/>
    <w:rsid w:val="00147FCB"/>
    <w:rsid w:val="0015232F"/>
    <w:rsid w:val="0015247B"/>
    <w:rsid w:val="001530FC"/>
    <w:rsid w:val="00154BC1"/>
    <w:rsid w:val="0015547F"/>
    <w:rsid w:val="0015674F"/>
    <w:rsid w:val="001569A3"/>
    <w:rsid w:val="00157B39"/>
    <w:rsid w:val="00162913"/>
    <w:rsid w:val="001676DD"/>
    <w:rsid w:val="001700DA"/>
    <w:rsid w:val="00170B7E"/>
    <w:rsid w:val="00171565"/>
    <w:rsid w:val="00172A27"/>
    <w:rsid w:val="00173891"/>
    <w:rsid w:val="00174066"/>
    <w:rsid w:val="00181327"/>
    <w:rsid w:val="00182ADD"/>
    <w:rsid w:val="00183575"/>
    <w:rsid w:val="001864CB"/>
    <w:rsid w:val="001901AE"/>
    <w:rsid w:val="0019033D"/>
    <w:rsid w:val="001911CA"/>
    <w:rsid w:val="001915E6"/>
    <w:rsid w:val="00193C99"/>
    <w:rsid w:val="00194091"/>
    <w:rsid w:val="001A0434"/>
    <w:rsid w:val="001A0480"/>
    <w:rsid w:val="001A178F"/>
    <w:rsid w:val="001A4A10"/>
    <w:rsid w:val="001A526E"/>
    <w:rsid w:val="001A54BE"/>
    <w:rsid w:val="001A5554"/>
    <w:rsid w:val="001A5F40"/>
    <w:rsid w:val="001A6909"/>
    <w:rsid w:val="001A77E5"/>
    <w:rsid w:val="001B1BBA"/>
    <w:rsid w:val="001B24D1"/>
    <w:rsid w:val="001B2F4D"/>
    <w:rsid w:val="001B34D9"/>
    <w:rsid w:val="001B650A"/>
    <w:rsid w:val="001B74BD"/>
    <w:rsid w:val="001B7A09"/>
    <w:rsid w:val="001C2DFD"/>
    <w:rsid w:val="001C54E1"/>
    <w:rsid w:val="001D1DFB"/>
    <w:rsid w:val="001D210D"/>
    <w:rsid w:val="001D55A7"/>
    <w:rsid w:val="001D77A1"/>
    <w:rsid w:val="001D79C2"/>
    <w:rsid w:val="001D7FDC"/>
    <w:rsid w:val="001E04C5"/>
    <w:rsid w:val="001E46D3"/>
    <w:rsid w:val="001E7098"/>
    <w:rsid w:val="001E764B"/>
    <w:rsid w:val="001F1189"/>
    <w:rsid w:val="001F2024"/>
    <w:rsid w:val="001F3B44"/>
    <w:rsid w:val="001F4F1A"/>
    <w:rsid w:val="001F53E9"/>
    <w:rsid w:val="002014C4"/>
    <w:rsid w:val="0020194D"/>
    <w:rsid w:val="00202300"/>
    <w:rsid w:val="00210019"/>
    <w:rsid w:val="0021430C"/>
    <w:rsid w:val="002156FA"/>
    <w:rsid w:val="00215A1A"/>
    <w:rsid w:val="00215C38"/>
    <w:rsid w:val="00221033"/>
    <w:rsid w:val="002217AE"/>
    <w:rsid w:val="00223D58"/>
    <w:rsid w:val="002253FE"/>
    <w:rsid w:val="00225964"/>
    <w:rsid w:val="002263B1"/>
    <w:rsid w:val="002268BF"/>
    <w:rsid w:val="00226D8C"/>
    <w:rsid w:val="00227763"/>
    <w:rsid w:val="002322E4"/>
    <w:rsid w:val="0023561C"/>
    <w:rsid w:val="002371F9"/>
    <w:rsid w:val="002378A3"/>
    <w:rsid w:val="00240DFB"/>
    <w:rsid w:val="002414FD"/>
    <w:rsid w:val="00242C31"/>
    <w:rsid w:val="002469AD"/>
    <w:rsid w:val="00247F8E"/>
    <w:rsid w:val="002518F9"/>
    <w:rsid w:val="00251B3D"/>
    <w:rsid w:val="0025286D"/>
    <w:rsid w:val="00254B47"/>
    <w:rsid w:val="00255899"/>
    <w:rsid w:val="00257080"/>
    <w:rsid w:val="00260965"/>
    <w:rsid w:val="00262903"/>
    <w:rsid w:val="00265E03"/>
    <w:rsid w:val="00277D0C"/>
    <w:rsid w:val="00281B3E"/>
    <w:rsid w:val="0028202A"/>
    <w:rsid w:val="00282FEE"/>
    <w:rsid w:val="002830FC"/>
    <w:rsid w:val="00284A83"/>
    <w:rsid w:val="00286DF6"/>
    <w:rsid w:val="00290E1F"/>
    <w:rsid w:val="00291965"/>
    <w:rsid w:val="0029385A"/>
    <w:rsid w:val="00293F78"/>
    <w:rsid w:val="00293FA1"/>
    <w:rsid w:val="0029590D"/>
    <w:rsid w:val="002965F8"/>
    <w:rsid w:val="00296F0F"/>
    <w:rsid w:val="0029704E"/>
    <w:rsid w:val="00297D2C"/>
    <w:rsid w:val="00297DCC"/>
    <w:rsid w:val="002A758A"/>
    <w:rsid w:val="002B2128"/>
    <w:rsid w:val="002B2139"/>
    <w:rsid w:val="002B4072"/>
    <w:rsid w:val="002B6950"/>
    <w:rsid w:val="002B7D7C"/>
    <w:rsid w:val="002C0200"/>
    <w:rsid w:val="002C0449"/>
    <w:rsid w:val="002C0C3A"/>
    <w:rsid w:val="002C20AA"/>
    <w:rsid w:val="002C3176"/>
    <w:rsid w:val="002C420C"/>
    <w:rsid w:val="002C44B5"/>
    <w:rsid w:val="002C56F3"/>
    <w:rsid w:val="002C577C"/>
    <w:rsid w:val="002C592B"/>
    <w:rsid w:val="002D1297"/>
    <w:rsid w:val="002D1A63"/>
    <w:rsid w:val="002D4ACA"/>
    <w:rsid w:val="002D554D"/>
    <w:rsid w:val="002E329C"/>
    <w:rsid w:val="002E32D2"/>
    <w:rsid w:val="002E4993"/>
    <w:rsid w:val="002E64C0"/>
    <w:rsid w:val="002F2364"/>
    <w:rsid w:val="00300AA8"/>
    <w:rsid w:val="0030263B"/>
    <w:rsid w:val="00303320"/>
    <w:rsid w:val="0030356D"/>
    <w:rsid w:val="0030604B"/>
    <w:rsid w:val="00310565"/>
    <w:rsid w:val="00310853"/>
    <w:rsid w:val="003118CC"/>
    <w:rsid w:val="00311A47"/>
    <w:rsid w:val="00315990"/>
    <w:rsid w:val="0032047E"/>
    <w:rsid w:val="00320B85"/>
    <w:rsid w:val="0032165E"/>
    <w:rsid w:val="00323032"/>
    <w:rsid w:val="003275FB"/>
    <w:rsid w:val="00327ED8"/>
    <w:rsid w:val="0033060A"/>
    <w:rsid w:val="003315E9"/>
    <w:rsid w:val="00331F39"/>
    <w:rsid w:val="0033234E"/>
    <w:rsid w:val="003331CB"/>
    <w:rsid w:val="003337BE"/>
    <w:rsid w:val="00334E45"/>
    <w:rsid w:val="00335B96"/>
    <w:rsid w:val="00337490"/>
    <w:rsid w:val="003374D7"/>
    <w:rsid w:val="003402F4"/>
    <w:rsid w:val="00340EB9"/>
    <w:rsid w:val="00341821"/>
    <w:rsid w:val="00341ACA"/>
    <w:rsid w:val="0034698F"/>
    <w:rsid w:val="00346BEC"/>
    <w:rsid w:val="00351212"/>
    <w:rsid w:val="003524F3"/>
    <w:rsid w:val="00356443"/>
    <w:rsid w:val="00360873"/>
    <w:rsid w:val="003621DC"/>
    <w:rsid w:val="003635BC"/>
    <w:rsid w:val="0036407B"/>
    <w:rsid w:val="00364EBC"/>
    <w:rsid w:val="003654A3"/>
    <w:rsid w:val="00366959"/>
    <w:rsid w:val="00367990"/>
    <w:rsid w:val="00373003"/>
    <w:rsid w:val="0037385D"/>
    <w:rsid w:val="003761D6"/>
    <w:rsid w:val="00377E0B"/>
    <w:rsid w:val="003812DA"/>
    <w:rsid w:val="00382872"/>
    <w:rsid w:val="00383437"/>
    <w:rsid w:val="00383756"/>
    <w:rsid w:val="003842B0"/>
    <w:rsid w:val="003850D9"/>
    <w:rsid w:val="003851B6"/>
    <w:rsid w:val="003851B8"/>
    <w:rsid w:val="00387E84"/>
    <w:rsid w:val="0039141E"/>
    <w:rsid w:val="00393F31"/>
    <w:rsid w:val="00396B68"/>
    <w:rsid w:val="00397EFE"/>
    <w:rsid w:val="003A081D"/>
    <w:rsid w:val="003A11FD"/>
    <w:rsid w:val="003A1D9F"/>
    <w:rsid w:val="003A201B"/>
    <w:rsid w:val="003A6469"/>
    <w:rsid w:val="003A6C74"/>
    <w:rsid w:val="003A7149"/>
    <w:rsid w:val="003A7F88"/>
    <w:rsid w:val="003B0A09"/>
    <w:rsid w:val="003B24C1"/>
    <w:rsid w:val="003B429A"/>
    <w:rsid w:val="003C061B"/>
    <w:rsid w:val="003C2D32"/>
    <w:rsid w:val="003C3601"/>
    <w:rsid w:val="003C5E10"/>
    <w:rsid w:val="003C686C"/>
    <w:rsid w:val="003C6AD3"/>
    <w:rsid w:val="003C6E48"/>
    <w:rsid w:val="003C7742"/>
    <w:rsid w:val="003D23BF"/>
    <w:rsid w:val="003D33D3"/>
    <w:rsid w:val="003D4F8E"/>
    <w:rsid w:val="003D53F4"/>
    <w:rsid w:val="003D5820"/>
    <w:rsid w:val="003D5CA9"/>
    <w:rsid w:val="003D7086"/>
    <w:rsid w:val="003E0604"/>
    <w:rsid w:val="003E0802"/>
    <w:rsid w:val="003E0E89"/>
    <w:rsid w:val="003E11C1"/>
    <w:rsid w:val="003E4E81"/>
    <w:rsid w:val="003E4FF2"/>
    <w:rsid w:val="003E5220"/>
    <w:rsid w:val="003E5AE2"/>
    <w:rsid w:val="003E6BF3"/>
    <w:rsid w:val="003E6E13"/>
    <w:rsid w:val="003F0E00"/>
    <w:rsid w:val="003F1DA1"/>
    <w:rsid w:val="003F1E9E"/>
    <w:rsid w:val="003F2390"/>
    <w:rsid w:val="003F362C"/>
    <w:rsid w:val="003F51C5"/>
    <w:rsid w:val="00400633"/>
    <w:rsid w:val="00403917"/>
    <w:rsid w:val="00404D43"/>
    <w:rsid w:val="004054A2"/>
    <w:rsid w:val="004108FD"/>
    <w:rsid w:val="00411145"/>
    <w:rsid w:val="00411C1E"/>
    <w:rsid w:val="00411CB6"/>
    <w:rsid w:val="00412C3E"/>
    <w:rsid w:val="0041325C"/>
    <w:rsid w:val="00413AD1"/>
    <w:rsid w:val="004142B8"/>
    <w:rsid w:val="00415711"/>
    <w:rsid w:val="004178E4"/>
    <w:rsid w:val="0042279D"/>
    <w:rsid w:val="0042444C"/>
    <w:rsid w:val="00424592"/>
    <w:rsid w:val="00424DD2"/>
    <w:rsid w:val="00440AD6"/>
    <w:rsid w:val="00442FFA"/>
    <w:rsid w:val="004430A5"/>
    <w:rsid w:val="004453CB"/>
    <w:rsid w:val="0044714D"/>
    <w:rsid w:val="0044717C"/>
    <w:rsid w:val="00447AC4"/>
    <w:rsid w:val="00453B2E"/>
    <w:rsid w:val="00453BB6"/>
    <w:rsid w:val="0045485D"/>
    <w:rsid w:val="004559A9"/>
    <w:rsid w:val="00457CD5"/>
    <w:rsid w:val="004600EF"/>
    <w:rsid w:val="0046026D"/>
    <w:rsid w:val="0046079B"/>
    <w:rsid w:val="00462959"/>
    <w:rsid w:val="0046326C"/>
    <w:rsid w:val="004635EC"/>
    <w:rsid w:val="00465132"/>
    <w:rsid w:val="00466A63"/>
    <w:rsid w:val="004711B9"/>
    <w:rsid w:val="00471744"/>
    <w:rsid w:val="0047259F"/>
    <w:rsid w:val="004727D3"/>
    <w:rsid w:val="00472DB6"/>
    <w:rsid w:val="00472F40"/>
    <w:rsid w:val="00480B46"/>
    <w:rsid w:val="00482E4E"/>
    <w:rsid w:val="00483391"/>
    <w:rsid w:val="004833C1"/>
    <w:rsid w:val="004845B5"/>
    <w:rsid w:val="0048639F"/>
    <w:rsid w:val="004865D1"/>
    <w:rsid w:val="00486B7D"/>
    <w:rsid w:val="004878D0"/>
    <w:rsid w:val="00487900"/>
    <w:rsid w:val="00492A44"/>
    <w:rsid w:val="00492D38"/>
    <w:rsid w:val="00493343"/>
    <w:rsid w:val="00493A24"/>
    <w:rsid w:val="004946F9"/>
    <w:rsid w:val="004953DD"/>
    <w:rsid w:val="004A232D"/>
    <w:rsid w:val="004A5595"/>
    <w:rsid w:val="004B26D9"/>
    <w:rsid w:val="004B34F9"/>
    <w:rsid w:val="004B3E6F"/>
    <w:rsid w:val="004B4594"/>
    <w:rsid w:val="004B4D22"/>
    <w:rsid w:val="004B5044"/>
    <w:rsid w:val="004B6769"/>
    <w:rsid w:val="004B7347"/>
    <w:rsid w:val="004B755A"/>
    <w:rsid w:val="004B7A21"/>
    <w:rsid w:val="004C0F1C"/>
    <w:rsid w:val="004C13E6"/>
    <w:rsid w:val="004C2E35"/>
    <w:rsid w:val="004C5DA9"/>
    <w:rsid w:val="004C7F9F"/>
    <w:rsid w:val="004D2682"/>
    <w:rsid w:val="004D6D61"/>
    <w:rsid w:val="004D7DC6"/>
    <w:rsid w:val="004E01CF"/>
    <w:rsid w:val="004E7852"/>
    <w:rsid w:val="004F04B1"/>
    <w:rsid w:val="004F2562"/>
    <w:rsid w:val="004F2D35"/>
    <w:rsid w:val="004F6228"/>
    <w:rsid w:val="004F7AA1"/>
    <w:rsid w:val="0050059C"/>
    <w:rsid w:val="0050095B"/>
    <w:rsid w:val="005017E2"/>
    <w:rsid w:val="00502290"/>
    <w:rsid w:val="0050354A"/>
    <w:rsid w:val="005064C1"/>
    <w:rsid w:val="00506BBE"/>
    <w:rsid w:val="00506D30"/>
    <w:rsid w:val="0050739E"/>
    <w:rsid w:val="00507D32"/>
    <w:rsid w:val="0051017E"/>
    <w:rsid w:val="00510EA0"/>
    <w:rsid w:val="00515999"/>
    <w:rsid w:val="005161E8"/>
    <w:rsid w:val="005163C2"/>
    <w:rsid w:val="00516906"/>
    <w:rsid w:val="0052049E"/>
    <w:rsid w:val="00524715"/>
    <w:rsid w:val="00525B4D"/>
    <w:rsid w:val="0052649F"/>
    <w:rsid w:val="00526AC6"/>
    <w:rsid w:val="005271C9"/>
    <w:rsid w:val="0053055D"/>
    <w:rsid w:val="0053298E"/>
    <w:rsid w:val="0053440B"/>
    <w:rsid w:val="00534AB5"/>
    <w:rsid w:val="00534BED"/>
    <w:rsid w:val="00535F8D"/>
    <w:rsid w:val="00536C82"/>
    <w:rsid w:val="00536EEB"/>
    <w:rsid w:val="00537C2A"/>
    <w:rsid w:val="005417A5"/>
    <w:rsid w:val="00542153"/>
    <w:rsid w:val="0054249A"/>
    <w:rsid w:val="00543561"/>
    <w:rsid w:val="005456D0"/>
    <w:rsid w:val="00550393"/>
    <w:rsid w:val="00552548"/>
    <w:rsid w:val="005535CD"/>
    <w:rsid w:val="00554E70"/>
    <w:rsid w:val="005551FB"/>
    <w:rsid w:val="005555E3"/>
    <w:rsid w:val="00562A08"/>
    <w:rsid w:val="00562B58"/>
    <w:rsid w:val="00563973"/>
    <w:rsid w:val="00563EC2"/>
    <w:rsid w:val="00565CEC"/>
    <w:rsid w:val="00566647"/>
    <w:rsid w:val="0057155A"/>
    <w:rsid w:val="00572646"/>
    <w:rsid w:val="005726CC"/>
    <w:rsid w:val="00574305"/>
    <w:rsid w:val="00574FCB"/>
    <w:rsid w:val="005759D4"/>
    <w:rsid w:val="0057604C"/>
    <w:rsid w:val="005806BF"/>
    <w:rsid w:val="005819DA"/>
    <w:rsid w:val="0058437E"/>
    <w:rsid w:val="00584B87"/>
    <w:rsid w:val="005853E4"/>
    <w:rsid w:val="00586E03"/>
    <w:rsid w:val="00587A28"/>
    <w:rsid w:val="00587F96"/>
    <w:rsid w:val="00590349"/>
    <w:rsid w:val="00591A68"/>
    <w:rsid w:val="00593F9F"/>
    <w:rsid w:val="00595876"/>
    <w:rsid w:val="0059665B"/>
    <w:rsid w:val="00596D36"/>
    <w:rsid w:val="005A130B"/>
    <w:rsid w:val="005A5ABD"/>
    <w:rsid w:val="005A6237"/>
    <w:rsid w:val="005A6924"/>
    <w:rsid w:val="005A6C11"/>
    <w:rsid w:val="005B05EA"/>
    <w:rsid w:val="005B144E"/>
    <w:rsid w:val="005B15D9"/>
    <w:rsid w:val="005B24B9"/>
    <w:rsid w:val="005B630F"/>
    <w:rsid w:val="005B75C9"/>
    <w:rsid w:val="005C0C9B"/>
    <w:rsid w:val="005C1AD7"/>
    <w:rsid w:val="005C2BEB"/>
    <w:rsid w:val="005C32B6"/>
    <w:rsid w:val="005C3A29"/>
    <w:rsid w:val="005C618F"/>
    <w:rsid w:val="005C686B"/>
    <w:rsid w:val="005D0EB9"/>
    <w:rsid w:val="005D17A5"/>
    <w:rsid w:val="005D59A3"/>
    <w:rsid w:val="005D7A6E"/>
    <w:rsid w:val="005D7CAF"/>
    <w:rsid w:val="005E09F4"/>
    <w:rsid w:val="005E46D1"/>
    <w:rsid w:val="005E4CEF"/>
    <w:rsid w:val="005E69B2"/>
    <w:rsid w:val="005E6D76"/>
    <w:rsid w:val="005F06D4"/>
    <w:rsid w:val="005F0A1F"/>
    <w:rsid w:val="005F16F6"/>
    <w:rsid w:val="005F19D3"/>
    <w:rsid w:val="005F1F62"/>
    <w:rsid w:val="005F49AC"/>
    <w:rsid w:val="00602BA2"/>
    <w:rsid w:val="006040F8"/>
    <w:rsid w:val="00605B68"/>
    <w:rsid w:val="00613953"/>
    <w:rsid w:val="00621190"/>
    <w:rsid w:val="00622258"/>
    <w:rsid w:val="0062272C"/>
    <w:rsid w:val="00623254"/>
    <w:rsid w:val="00625D91"/>
    <w:rsid w:val="006313CA"/>
    <w:rsid w:val="006326A4"/>
    <w:rsid w:val="00635C0B"/>
    <w:rsid w:val="00636E13"/>
    <w:rsid w:val="00642615"/>
    <w:rsid w:val="00644068"/>
    <w:rsid w:val="00644ABB"/>
    <w:rsid w:val="006454B0"/>
    <w:rsid w:val="00645660"/>
    <w:rsid w:val="006478EC"/>
    <w:rsid w:val="00647A3B"/>
    <w:rsid w:val="00647FB1"/>
    <w:rsid w:val="00651349"/>
    <w:rsid w:val="00652392"/>
    <w:rsid w:val="00653F2C"/>
    <w:rsid w:val="00653FEF"/>
    <w:rsid w:val="00656DB6"/>
    <w:rsid w:val="00663467"/>
    <w:rsid w:val="00664448"/>
    <w:rsid w:val="006648F5"/>
    <w:rsid w:val="006651A1"/>
    <w:rsid w:val="00665B1F"/>
    <w:rsid w:val="0066748F"/>
    <w:rsid w:val="00667EC1"/>
    <w:rsid w:val="00671DB4"/>
    <w:rsid w:val="00672193"/>
    <w:rsid w:val="00680C18"/>
    <w:rsid w:val="00680F6D"/>
    <w:rsid w:val="006818FA"/>
    <w:rsid w:val="0068547E"/>
    <w:rsid w:val="00685FC1"/>
    <w:rsid w:val="00687F13"/>
    <w:rsid w:val="006903D8"/>
    <w:rsid w:val="006919F7"/>
    <w:rsid w:val="0069266A"/>
    <w:rsid w:val="00692BC0"/>
    <w:rsid w:val="00692CDC"/>
    <w:rsid w:val="00693C7D"/>
    <w:rsid w:val="00694D36"/>
    <w:rsid w:val="00696554"/>
    <w:rsid w:val="00696C35"/>
    <w:rsid w:val="006A2A03"/>
    <w:rsid w:val="006A5580"/>
    <w:rsid w:val="006A680E"/>
    <w:rsid w:val="006B0588"/>
    <w:rsid w:val="006B0995"/>
    <w:rsid w:val="006B4F5F"/>
    <w:rsid w:val="006C142A"/>
    <w:rsid w:val="006C29C0"/>
    <w:rsid w:val="006C4143"/>
    <w:rsid w:val="006C5F92"/>
    <w:rsid w:val="006C7BAF"/>
    <w:rsid w:val="006C7F21"/>
    <w:rsid w:val="006D022F"/>
    <w:rsid w:val="006D40E5"/>
    <w:rsid w:val="006D5127"/>
    <w:rsid w:val="006D5809"/>
    <w:rsid w:val="006D58FB"/>
    <w:rsid w:val="006D64F2"/>
    <w:rsid w:val="006D6E18"/>
    <w:rsid w:val="006E0663"/>
    <w:rsid w:val="006E0BCC"/>
    <w:rsid w:val="006E11F5"/>
    <w:rsid w:val="006E1663"/>
    <w:rsid w:val="006E306C"/>
    <w:rsid w:val="006E33A5"/>
    <w:rsid w:val="006E4382"/>
    <w:rsid w:val="006E5FB4"/>
    <w:rsid w:val="006E6600"/>
    <w:rsid w:val="006F0408"/>
    <w:rsid w:val="006F13DA"/>
    <w:rsid w:val="006F15D6"/>
    <w:rsid w:val="006F16D5"/>
    <w:rsid w:val="006F1DCD"/>
    <w:rsid w:val="006F3B65"/>
    <w:rsid w:val="006F3D1C"/>
    <w:rsid w:val="006F7E80"/>
    <w:rsid w:val="00702DD9"/>
    <w:rsid w:val="007072DF"/>
    <w:rsid w:val="00707FF5"/>
    <w:rsid w:val="00710D1B"/>
    <w:rsid w:val="00713CF6"/>
    <w:rsid w:val="00722753"/>
    <w:rsid w:val="0072634C"/>
    <w:rsid w:val="00726525"/>
    <w:rsid w:val="00733664"/>
    <w:rsid w:val="00734336"/>
    <w:rsid w:val="00734CCA"/>
    <w:rsid w:val="0073606C"/>
    <w:rsid w:val="00740BD8"/>
    <w:rsid w:val="00743701"/>
    <w:rsid w:val="00743912"/>
    <w:rsid w:val="00743BE3"/>
    <w:rsid w:val="00744583"/>
    <w:rsid w:val="007460E4"/>
    <w:rsid w:val="0074751A"/>
    <w:rsid w:val="00747FF2"/>
    <w:rsid w:val="00750D34"/>
    <w:rsid w:val="007529D7"/>
    <w:rsid w:val="00752A30"/>
    <w:rsid w:val="00757C1C"/>
    <w:rsid w:val="0076035C"/>
    <w:rsid w:val="0076053B"/>
    <w:rsid w:val="00762C28"/>
    <w:rsid w:val="00763A79"/>
    <w:rsid w:val="00764237"/>
    <w:rsid w:val="00764A41"/>
    <w:rsid w:val="00771ADC"/>
    <w:rsid w:val="00773AD5"/>
    <w:rsid w:val="00773B4D"/>
    <w:rsid w:val="00774462"/>
    <w:rsid w:val="00774971"/>
    <w:rsid w:val="00774CF2"/>
    <w:rsid w:val="00780B20"/>
    <w:rsid w:val="00781099"/>
    <w:rsid w:val="00781DA5"/>
    <w:rsid w:val="00784EF9"/>
    <w:rsid w:val="0078551A"/>
    <w:rsid w:val="0079002C"/>
    <w:rsid w:val="00791E87"/>
    <w:rsid w:val="007923A6"/>
    <w:rsid w:val="00792937"/>
    <w:rsid w:val="007953D9"/>
    <w:rsid w:val="00796BD0"/>
    <w:rsid w:val="007A0219"/>
    <w:rsid w:val="007A0231"/>
    <w:rsid w:val="007A0735"/>
    <w:rsid w:val="007A1323"/>
    <w:rsid w:val="007A2178"/>
    <w:rsid w:val="007A3940"/>
    <w:rsid w:val="007A3E8F"/>
    <w:rsid w:val="007A558C"/>
    <w:rsid w:val="007A5681"/>
    <w:rsid w:val="007A7229"/>
    <w:rsid w:val="007A7405"/>
    <w:rsid w:val="007B006A"/>
    <w:rsid w:val="007B2AAC"/>
    <w:rsid w:val="007B7445"/>
    <w:rsid w:val="007B75F8"/>
    <w:rsid w:val="007B7E1B"/>
    <w:rsid w:val="007C11FA"/>
    <w:rsid w:val="007C1629"/>
    <w:rsid w:val="007C1C79"/>
    <w:rsid w:val="007C2B94"/>
    <w:rsid w:val="007C399A"/>
    <w:rsid w:val="007C4F2B"/>
    <w:rsid w:val="007C6F08"/>
    <w:rsid w:val="007C7587"/>
    <w:rsid w:val="007D2440"/>
    <w:rsid w:val="007D285B"/>
    <w:rsid w:val="007D5A02"/>
    <w:rsid w:val="007D726B"/>
    <w:rsid w:val="007D7428"/>
    <w:rsid w:val="007E1EBF"/>
    <w:rsid w:val="007E2B2A"/>
    <w:rsid w:val="007E2D13"/>
    <w:rsid w:val="007E4482"/>
    <w:rsid w:val="007E479F"/>
    <w:rsid w:val="007E5E2A"/>
    <w:rsid w:val="007E6C02"/>
    <w:rsid w:val="007E7006"/>
    <w:rsid w:val="007E7180"/>
    <w:rsid w:val="007F244B"/>
    <w:rsid w:val="007F280C"/>
    <w:rsid w:val="007F31D6"/>
    <w:rsid w:val="007F3ABF"/>
    <w:rsid w:val="007F53F8"/>
    <w:rsid w:val="007F698A"/>
    <w:rsid w:val="008020EF"/>
    <w:rsid w:val="00802AD1"/>
    <w:rsid w:val="00803984"/>
    <w:rsid w:val="0080727B"/>
    <w:rsid w:val="008072D8"/>
    <w:rsid w:val="00807480"/>
    <w:rsid w:val="008115C9"/>
    <w:rsid w:val="008124F9"/>
    <w:rsid w:val="0081440B"/>
    <w:rsid w:val="0081457B"/>
    <w:rsid w:val="00816C0C"/>
    <w:rsid w:val="0081706E"/>
    <w:rsid w:val="00817ABA"/>
    <w:rsid w:val="008205B2"/>
    <w:rsid w:val="00821AC0"/>
    <w:rsid w:val="008248C1"/>
    <w:rsid w:val="008254E5"/>
    <w:rsid w:val="00834905"/>
    <w:rsid w:val="008360A6"/>
    <w:rsid w:val="00836319"/>
    <w:rsid w:val="008364AC"/>
    <w:rsid w:val="008364D3"/>
    <w:rsid w:val="00837881"/>
    <w:rsid w:val="008444BA"/>
    <w:rsid w:val="00847102"/>
    <w:rsid w:val="00847C8B"/>
    <w:rsid w:val="0085048E"/>
    <w:rsid w:val="00850B32"/>
    <w:rsid w:val="00850C71"/>
    <w:rsid w:val="008514D9"/>
    <w:rsid w:val="00853663"/>
    <w:rsid w:val="0085497B"/>
    <w:rsid w:val="008600A2"/>
    <w:rsid w:val="00860E9F"/>
    <w:rsid w:val="008621B2"/>
    <w:rsid w:val="008627EC"/>
    <w:rsid w:val="00862878"/>
    <w:rsid w:val="0086287B"/>
    <w:rsid w:val="00865922"/>
    <w:rsid w:val="008665F3"/>
    <w:rsid w:val="0086676C"/>
    <w:rsid w:val="008677AE"/>
    <w:rsid w:val="00867FA8"/>
    <w:rsid w:val="00870645"/>
    <w:rsid w:val="008763B1"/>
    <w:rsid w:val="0088063E"/>
    <w:rsid w:val="00882DF1"/>
    <w:rsid w:val="008830C6"/>
    <w:rsid w:val="00890D5E"/>
    <w:rsid w:val="00891D77"/>
    <w:rsid w:val="0089274B"/>
    <w:rsid w:val="00895E18"/>
    <w:rsid w:val="008974B2"/>
    <w:rsid w:val="00897E10"/>
    <w:rsid w:val="008A01E1"/>
    <w:rsid w:val="008A033C"/>
    <w:rsid w:val="008A39D5"/>
    <w:rsid w:val="008A3D1C"/>
    <w:rsid w:val="008A5954"/>
    <w:rsid w:val="008A5B2C"/>
    <w:rsid w:val="008A601B"/>
    <w:rsid w:val="008A6BCF"/>
    <w:rsid w:val="008A6E81"/>
    <w:rsid w:val="008A7181"/>
    <w:rsid w:val="008B2888"/>
    <w:rsid w:val="008B3211"/>
    <w:rsid w:val="008C3575"/>
    <w:rsid w:val="008D1539"/>
    <w:rsid w:val="008D2846"/>
    <w:rsid w:val="008D3B48"/>
    <w:rsid w:val="008D4BF5"/>
    <w:rsid w:val="008D5105"/>
    <w:rsid w:val="008D6BE3"/>
    <w:rsid w:val="008D7AD1"/>
    <w:rsid w:val="008E1F96"/>
    <w:rsid w:val="008E5B1C"/>
    <w:rsid w:val="008E5CAE"/>
    <w:rsid w:val="008E7820"/>
    <w:rsid w:val="008E7EF0"/>
    <w:rsid w:val="008F065E"/>
    <w:rsid w:val="008F06C3"/>
    <w:rsid w:val="008F07B6"/>
    <w:rsid w:val="008F1412"/>
    <w:rsid w:val="008F2E37"/>
    <w:rsid w:val="008F34C3"/>
    <w:rsid w:val="008F34E9"/>
    <w:rsid w:val="008F3C64"/>
    <w:rsid w:val="008F428F"/>
    <w:rsid w:val="008F5C90"/>
    <w:rsid w:val="008F5F8F"/>
    <w:rsid w:val="009012AA"/>
    <w:rsid w:val="00903C30"/>
    <w:rsid w:val="00903FC0"/>
    <w:rsid w:val="00904E1F"/>
    <w:rsid w:val="009059A1"/>
    <w:rsid w:val="00905E7C"/>
    <w:rsid w:val="0091266B"/>
    <w:rsid w:val="009126A0"/>
    <w:rsid w:val="0091276D"/>
    <w:rsid w:val="00912BDF"/>
    <w:rsid w:val="00914CBC"/>
    <w:rsid w:val="00916583"/>
    <w:rsid w:val="0091752E"/>
    <w:rsid w:val="009178BA"/>
    <w:rsid w:val="009178DF"/>
    <w:rsid w:val="00922F82"/>
    <w:rsid w:val="00923CF6"/>
    <w:rsid w:val="0092592A"/>
    <w:rsid w:val="00926FBB"/>
    <w:rsid w:val="0093036C"/>
    <w:rsid w:val="009309AC"/>
    <w:rsid w:val="009312FB"/>
    <w:rsid w:val="00933F6D"/>
    <w:rsid w:val="00936771"/>
    <w:rsid w:val="00940567"/>
    <w:rsid w:val="00940BB7"/>
    <w:rsid w:val="00941C48"/>
    <w:rsid w:val="0094281B"/>
    <w:rsid w:val="00945620"/>
    <w:rsid w:val="0094716A"/>
    <w:rsid w:val="0094743A"/>
    <w:rsid w:val="0095069A"/>
    <w:rsid w:val="00950F73"/>
    <w:rsid w:val="00951198"/>
    <w:rsid w:val="00953ACD"/>
    <w:rsid w:val="00953E2F"/>
    <w:rsid w:val="0096047F"/>
    <w:rsid w:val="00961F8C"/>
    <w:rsid w:val="009623A1"/>
    <w:rsid w:val="009625A3"/>
    <w:rsid w:val="009646E4"/>
    <w:rsid w:val="00966507"/>
    <w:rsid w:val="00966D55"/>
    <w:rsid w:val="00967E0A"/>
    <w:rsid w:val="009744E4"/>
    <w:rsid w:val="00974505"/>
    <w:rsid w:val="00974AD4"/>
    <w:rsid w:val="00976FF3"/>
    <w:rsid w:val="00977EA0"/>
    <w:rsid w:val="00977ECF"/>
    <w:rsid w:val="0098111C"/>
    <w:rsid w:val="009815B0"/>
    <w:rsid w:val="0098479B"/>
    <w:rsid w:val="0098599E"/>
    <w:rsid w:val="00986497"/>
    <w:rsid w:val="00986B72"/>
    <w:rsid w:val="00986EF3"/>
    <w:rsid w:val="00990348"/>
    <w:rsid w:val="00990B10"/>
    <w:rsid w:val="0099103A"/>
    <w:rsid w:val="00991C5C"/>
    <w:rsid w:val="00992F19"/>
    <w:rsid w:val="00993B3A"/>
    <w:rsid w:val="00993F43"/>
    <w:rsid w:val="00994357"/>
    <w:rsid w:val="009945CF"/>
    <w:rsid w:val="009A063B"/>
    <w:rsid w:val="009A2C34"/>
    <w:rsid w:val="009A4FC9"/>
    <w:rsid w:val="009A56B2"/>
    <w:rsid w:val="009A621C"/>
    <w:rsid w:val="009A66DE"/>
    <w:rsid w:val="009A6883"/>
    <w:rsid w:val="009A799D"/>
    <w:rsid w:val="009A7EF8"/>
    <w:rsid w:val="009B01B5"/>
    <w:rsid w:val="009B1388"/>
    <w:rsid w:val="009B36D5"/>
    <w:rsid w:val="009B50DE"/>
    <w:rsid w:val="009B7147"/>
    <w:rsid w:val="009B78AA"/>
    <w:rsid w:val="009B7FFA"/>
    <w:rsid w:val="009C006D"/>
    <w:rsid w:val="009C00CE"/>
    <w:rsid w:val="009C1631"/>
    <w:rsid w:val="009C170E"/>
    <w:rsid w:val="009C3BE5"/>
    <w:rsid w:val="009C59DA"/>
    <w:rsid w:val="009D10A4"/>
    <w:rsid w:val="009D28B0"/>
    <w:rsid w:val="009D479A"/>
    <w:rsid w:val="009D4C74"/>
    <w:rsid w:val="009E0F1A"/>
    <w:rsid w:val="009E6095"/>
    <w:rsid w:val="009E67C8"/>
    <w:rsid w:val="009E6B3B"/>
    <w:rsid w:val="009E6B6C"/>
    <w:rsid w:val="009E6EA3"/>
    <w:rsid w:val="009F4CAB"/>
    <w:rsid w:val="00A007A1"/>
    <w:rsid w:val="00A02AAB"/>
    <w:rsid w:val="00A05C70"/>
    <w:rsid w:val="00A06AEA"/>
    <w:rsid w:val="00A07570"/>
    <w:rsid w:val="00A11999"/>
    <w:rsid w:val="00A12AED"/>
    <w:rsid w:val="00A16D0A"/>
    <w:rsid w:val="00A20702"/>
    <w:rsid w:val="00A216C3"/>
    <w:rsid w:val="00A21846"/>
    <w:rsid w:val="00A23A55"/>
    <w:rsid w:val="00A253E5"/>
    <w:rsid w:val="00A257AF"/>
    <w:rsid w:val="00A26760"/>
    <w:rsid w:val="00A308D7"/>
    <w:rsid w:val="00A32850"/>
    <w:rsid w:val="00A365B2"/>
    <w:rsid w:val="00A36F7D"/>
    <w:rsid w:val="00A37560"/>
    <w:rsid w:val="00A41D79"/>
    <w:rsid w:val="00A44FBA"/>
    <w:rsid w:val="00A462A8"/>
    <w:rsid w:val="00A46896"/>
    <w:rsid w:val="00A5060C"/>
    <w:rsid w:val="00A535FE"/>
    <w:rsid w:val="00A5635A"/>
    <w:rsid w:val="00A57967"/>
    <w:rsid w:val="00A57D24"/>
    <w:rsid w:val="00A6011D"/>
    <w:rsid w:val="00A60783"/>
    <w:rsid w:val="00A6419B"/>
    <w:rsid w:val="00A64A96"/>
    <w:rsid w:val="00A66D9F"/>
    <w:rsid w:val="00A677A8"/>
    <w:rsid w:val="00A67F2B"/>
    <w:rsid w:val="00A710C7"/>
    <w:rsid w:val="00A71D72"/>
    <w:rsid w:val="00A74CFC"/>
    <w:rsid w:val="00A75329"/>
    <w:rsid w:val="00A80AF2"/>
    <w:rsid w:val="00A81C13"/>
    <w:rsid w:val="00A86CC5"/>
    <w:rsid w:val="00A87050"/>
    <w:rsid w:val="00A9073B"/>
    <w:rsid w:val="00A919AB"/>
    <w:rsid w:val="00A92365"/>
    <w:rsid w:val="00A928D3"/>
    <w:rsid w:val="00A93AD1"/>
    <w:rsid w:val="00A93CAE"/>
    <w:rsid w:val="00A948F5"/>
    <w:rsid w:val="00A9511B"/>
    <w:rsid w:val="00A96889"/>
    <w:rsid w:val="00AA0D86"/>
    <w:rsid w:val="00AA56C2"/>
    <w:rsid w:val="00AA5800"/>
    <w:rsid w:val="00AA59C2"/>
    <w:rsid w:val="00AB2C48"/>
    <w:rsid w:val="00AB2DC7"/>
    <w:rsid w:val="00AB2E37"/>
    <w:rsid w:val="00AB46D0"/>
    <w:rsid w:val="00AB55F3"/>
    <w:rsid w:val="00AC780A"/>
    <w:rsid w:val="00AD12E9"/>
    <w:rsid w:val="00AD1521"/>
    <w:rsid w:val="00AD3EB5"/>
    <w:rsid w:val="00AD564C"/>
    <w:rsid w:val="00AE07F2"/>
    <w:rsid w:val="00AE1366"/>
    <w:rsid w:val="00AE32CD"/>
    <w:rsid w:val="00AE62C8"/>
    <w:rsid w:val="00AE6C36"/>
    <w:rsid w:val="00AE75E7"/>
    <w:rsid w:val="00AF050A"/>
    <w:rsid w:val="00AF0D72"/>
    <w:rsid w:val="00AF0D76"/>
    <w:rsid w:val="00AF1546"/>
    <w:rsid w:val="00AF2335"/>
    <w:rsid w:val="00AF38B7"/>
    <w:rsid w:val="00AF589B"/>
    <w:rsid w:val="00AF67FA"/>
    <w:rsid w:val="00AF7325"/>
    <w:rsid w:val="00AF74D7"/>
    <w:rsid w:val="00B0363A"/>
    <w:rsid w:val="00B0390E"/>
    <w:rsid w:val="00B039CA"/>
    <w:rsid w:val="00B063F4"/>
    <w:rsid w:val="00B07419"/>
    <w:rsid w:val="00B07AA5"/>
    <w:rsid w:val="00B07C84"/>
    <w:rsid w:val="00B1199C"/>
    <w:rsid w:val="00B1301E"/>
    <w:rsid w:val="00B13DE4"/>
    <w:rsid w:val="00B148C3"/>
    <w:rsid w:val="00B14A21"/>
    <w:rsid w:val="00B14DF2"/>
    <w:rsid w:val="00B163B8"/>
    <w:rsid w:val="00B1737F"/>
    <w:rsid w:val="00B17524"/>
    <w:rsid w:val="00B20714"/>
    <w:rsid w:val="00B21916"/>
    <w:rsid w:val="00B21FFC"/>
    <w:rsid w:val="00B22B7A"/>
    <w:rsid w:val="00B22B89"/>
    <w:rsid w:val="00B247E5"/>
    <w:rsid w:val="00B248F5"/>
    <w:rsid w:val="00B274ED"/>
    <w:rsid w:val="00B30A64"/>
    <w:rsid w:val="00B33DB4"/>
    <w:rsid w:val="00B34011"/>
    <w:rsid w:val="00B36344"/>
    <w:rsid w:val="00B36FB7"/>
    <w:rsid w:val="00B37FCB"/>
    <w:rsid w:val="00B415A4"/>
    <w:rsid w:val="00B4187B"/>
    <w:rsid w:val="00B43881"/>
    <w:rsid w:val="00B43D05"/>
    <w:rsid w:val="00B45432"/>
    <w:rsid w:val="00B47849"/>
    <w:rsid w:val="00B50383"/>
    <w:rsid w:val="00B525C6"/>
    <w:rsid w:val="00B5264D"/>
    <w:rsid w:val="00B5317C"/>
    <w:rsid w:val="00B53744"/>
    <w:rsid w:val="00B53C1B"/>
    <w:rsid w:val="00B57602"/>
    <w:rsid w:val="00B57616"/>
    <w:rsid w:val="00B578F6"/>
    <w:rsid w:val="00B608B7"/>
    <w:rsid w:val="00B6237B"/>
    <w:rsid w:val="00B6469F"/>
    <w:rsid w:val="00B653F4"/>
    <w:rsid w:val="00B6796B"/>
    <w:rsid w:val="00B72758"/>
    <w:rsid w:val="00B730F1"/>
    <w:rsid w:val="00B73F5A"/>
    <w:rsid w:val="00B7517D"/>
    <w:rsid w:val="00B7632D"/>
    <w:rsid w:val="00B769B5"/>
    <w:rsid w:val="00B85672"/>
    <w:rsid w:val="00B85C1C"/>
    <w:rsid w:val="00B8734F"/>
    <w:rsid w:val="00B87DF9"/>
    <w:rsid w:val="00B90049"/>
    <w:rsid w:val="00B91641"/>
    <w:rsid w:val="00B9245E"/>
    <w:rsid w:val="00B927CE"/>
    <w:rsid w:val="00B971A6"/>
    <w:rsid w:val="00B97483"/>
    <w:rsid w:val="00BA1D40"/>
    <w:rsid w:val="00BA228F"/>
    <w:rsid w:val="00BA4CB5"/>
    <w:rsid w:val="00BA4F1A"/>
    <w:rsid w:val="00BA667E"/>
    <w:rsid w:val="00BB08EF"/>
    <w:rsid w:val="00BB42AC"/>
    <w:rsid w:val="00BB4F26"/>
    <w:rsid w:val="00BB7846"/>
    <w:rsid w:val="00BB793B"/>
    <w:rsid w:val="00BC0629"/>
    <w:rsid w:val="00BC2F24"/>
    <w:rsid w:val="00BC4D59"/>
    <w:rsid w:val="00BC503B"/>
    <w:rsid w:val="00BC75BB"/>
    <w:rsid w:val="00BD1A52"/>
    <w:rsid w:val="00BD2A7A"/>
    <w:rsid w:val="00BD313B"/>
    <w:rsid w:val="00BD5CA0"/>
    <w:rsid w:val="00BD65ED"/>
    <w:rsid w:val="00BE16C5"/>
    <w:rsid w:val="00BE34CF"/>
    <w:rsid w:val="00BE3728"/>
    <w:rsid w:val="00BE3807"/>
    <w:rsid w:val="00BF16C4"/>
    <w:rsid w:val="00BF21D6"/>
    <w:rsid w:val="00BF489A"/>
    <w:rsid w:val="00BF49E1"/>
    <w:rsid w:val="00C0217C"/>
    <w:rsid w:val="00C04DEA"/>
    <w:rsid w:val="00C07ED9"/>
    <w:rsid w:val="00C1105F"/>
    <w:rsid w:val="00C13944"/>
    <w:rsid w:val="00C14DFB"/>
    <w:rsid w:val="00C153FD"/>
    <w:rsid w:val="00C1544F"/>
    <w:rsid w:val="00C17211"/>
    <w:rsid w:val="00C1796C"/>
    <w:rsid w:val="00C2015A"/>
    <w:rsid w:val="00C21D47"/>
    <w:rsid w:val="00C2311F"/>
    <w:rsid w:val="00C231D9"/>
    <w:rsid w:val="00C23B0C"/>
    <w:rsid w:val="00C263A9"/>
    <w:rsid w:val="00C26563"/>
    <w:rsid w:val="00C26C55"/>
    <w:rsid w:val="00C2711C"/>
    <w:rsid w:val="00C27845"/>
    <w:rsid w:val="00C27A86"/>
    <w:rsid w:val="00C321E5"/>
    <w:rsid w:val="00C33F38"/>
    <w:rsid w:val="00C361BB"/>
    <w:rsid w:val="00C36E5F"/>
    <w:rsid w:val="00C4030A"/>
    <w:rsid w:val="00C413A6"/>
    <w:rsid w:val="00C43243"/>
    <w:rsid w:val="00C438BE"/>
    <w:rsid w:val="00C458C1"/>
    <w:rsid w:val="00C4667D"/>
    <w:rsid w:val="00C502BB"/>
    <w:rsid w:val="00C51FB2"/>
    <w:rsid w:val="00C52092"/>
    <w:rsid w:val="00C53D0B"/>
    <w:rsid w:val="00C567C7"/>
    <w:rsid w:val="00C56C1B"/>
    <w:rsid w:val="00C60B7A"/>
    <w:rsid w:val="00C61596"/>
    <w:rsid w:val="00C621DF"/>
    <w:rsid w:val="00C633DF"/>
    <w:rsid w:val="00C65F9C"/>
    <w:rsid w:val="00C665B3"/>
    <w:rsid w:val="00C667BB"/>
    <w:rsid w:val="00C67526"/>
    <w:rsid w:val="00C705E3"/>
    <w:rsid w:val="00C7085C"/>
    <w:rsid w:val="00C70B0B"/>
    <w:rsid w:val="00C70C32"/>
    <w:rsid w:val="00C72500"/>
    <w:rsid w:val="00C725BC"/>
    <w:rsid w:val="00C73976"/>
    <w:rsid w:val="00C760E4"/>
    <w:rsid w:val="00C76193"/>
    <w:rsid w:val="00C7658E"/>
    <w:rsid w:val="00C76E9A"/>
    <w:rsid w:val="00C823F5"/>
    <w:rsid w:val="00C83095"/>
    <w:rsid w:val="00C83E60"/>
    <w:rsid w:val="00C86265"/>
    <w:rsid w:val="00C87112"/>
    <w:rsid w:val="00C87FE4"/>
    <w:rsid w:val="00C91754"/>
    <w:rsid w:val="00C92FE8"/>
    <w:rsid w:val="00C93F5A"/>
    <w:rsid w:val="00C973DB"/>
    <w:rsid w:val="00CA1D51"/>
    <w:rsid w:val="00CA2918"/>
    <w:rsid w:val="00CA46B0"/>
    <w:rsid w:val="00CA5D87"/>
    <w:rsid w:val="00CA60BB"/>
    <w:rsid w:val="00CA6293"/>
    <w:rsid w:val="00CB1687"/>
    <w:rsid w:val="00CB1BE7"/>
    <w:rsid w:val="00CB470C"/>
    <w:rsid w:val="00CB7D15"/>
    <w:rsid w:val="00CC202A"/>
    <w:rsid w:val="00CC4540"/>
    <w:rsid w:val="00CC664A"/>
    <w:rsid w:val="00CC7E3A"/>
    <w:rsid w:val="00CD127D"/>
    <w:rsid w:val="00CD16CD"/>
    <w:rsid w:val="00CD1B2F"/>
    <w:rsid w:val="00CD3BB0"/>
    <w:rsid w:val="00CD4CF5"/>
    <w:rsid w:val="00CD7B19"/>
    <w:rsid w:val="00CE1C8A"/>
    <w:rsid w:val="00CE1F10"/>
    <w:rsid w:val="00CE45C5"/>
    <w:rsid w:val="00CE4AD7"/>
    <w:rsid w:val="00CE64E1"/>
    <w:rsid w:val="00CE7A83"/>
    <w:rsid w:val="00CE7FCF"/>
    <w:rsid w:val="00CF14F9"/>
    <w:rsid w:val="00CF1D4F"/>
    <w:rsid w:val="00CF1F77"/>
    <w:rsid w:val="00CF3135"/>
    <w:rsid w:val="00CF448B"/>
    <w:rsid w:val="00CF7133"/>
    <w:rsid w:val="00CF7F80"/>
    <w:rsid w:val="00D0060A"/>
    <w:rsid w:val="00D00B1A"/>
    <w:rsid w:val="00D00D1D"/>
    <w:rsid w:val="00D01084"/>
    <w:rsid w:val="00D0406B"/>
    <w:rsid w:val="00D04F9C"/>
    <w:rsid w:val="00D062F6"/>
    <w:rsid w:val="00D06A4F"/>
    <w:rsid w:val="00D071AC"/>
    <w:rsid w:val="00D100E6"/>
    <w:rsid w:val="00D10F92"/>
    <w:rsid w:val="00D126CB"/>
    <w:rsid w:val="00D14537"/>
    <w:rsid w:val="00D2019E"/>
    <w:rsid w:val="00D239E7"/>
    <w:rsid w:val="00D246EE"/>
    <w:rsid w:val="00D24E76"/>
    <w:rsid w:val="00D26412"/>
    <w:rsid w:val="00D30A5D"/>
    <w:rsid w:val="00D30EC7"/>
    <w:rsid w:val="00D30FFA"/>
    <w:rsid w:val="00D31360"/>
    <w:rsid w:val="00D31BB0"/>
    <w:rsid w:val="00D31E25"/>
    <w:rsid w:val="00D3282A"/>
    <w:rsid w:val="00D333C4"/>
    <w:rsid w:val="00D33F72"/>
    <w:rsid w:val="00D34225"/>
    <w:rsid w:val="00D3598F"/>
    <w:rsid w:val="00D37BA2"/>
    <w:rsid w:val="00D40DC3"/>
    <w:rsid w:val="00D412BB"/>
    <w:rsid w:val="00D43EFF"/>
    <w:rsid w:val="00D44C42"/>
    <w:rsid w:val="00D45631"/>
    <w:rsid w:val="00D46052"/>
    <w:rsid w:val="00D460A3"/>
    <w:rsid w:val="00D51F6F"/>
    <w:rsid w:val="00D54BCC"/>
    <w:rsid w:val="00D5504E"/>
    <w:rsid w:val="00D56F4A"/>
    <w:rsid w:val="00D61EA2"/>
    <w:rsid w:val="00D63511"/>
    <w:rsid w:val="00D66C70"/>
    <w:rsid w:val="00D66DB8"/>
    <w:rsid w:val="00D715F8"/>
    <w:rsid w:val="00D730A3"/>
    <w:rsid w:val="00D7436E"/>
    <w:rsid w:val="00D74853"/>
    <w:rsid w:val="00D77014"/>
    <w:rsid w:val="00D81424"/>
    <w:rsid w:val="00D8253A"/>
    <w:rsid w:val="00D8347F"/>
    <w:rsid w:val="00D840B8"/>
    <w:rsid w:val="00D84A8E"/>
    <w:rsid w:val="00D85646"/>
    <w:rsid w:val="00D862C3"/>
    <w:rsid w:val="00D86AE3"/>
    <w:rsid w:val="00D922C0"/>
    <w:rsid w:val="00D948FE"/>
    <w:rsid w:val="00D95640"/>
    <w:rsid w:val="00D966C1"/>
    <w:rsid w:val="00D979EF"/>
    <w:rsid w:val="00DA2AD6"/>
    <w:rsid w:val="00DA50E0"/>
    <w:rsid w:val="00DA7904"/>
    <w:rsid w:val="00DB0996"/>
    <w:rsid w:val="00DB0DAE"/>
    <w:rsid w:val="00DB2DEB"/>
    <w:rsid w:val="00DB4BB1"/>
    <w:rsid w:val="00DB551F"/>
    <w:rsid w:val="00DB62C2"/>
    <w:rsid w:val="00DC0ED8"/>
    <w:rsid w:val="00DC136F"/>
    <w:rsid w:val="00DC1F41"/>
    <w:rsid w:val="00DC346F"/>
    <w:rsid w:val="00DC55DF"/>
    <w:rsid w:val="00DC6128"/>
    <w:rsid w:val="00DD0857"/>
    <w:rsid w:val="00DD0B07"/>
    <w:rsid w:val="00DD1C15"/>
    <w:rsid w:val="00DD261D"/>
    <w:rsid w:val="00DD2948"/>
    <w:rsid w:val="00DD7E5C"/>
    <w:rsid w:val="00DE150D"/>
    <w:rsid w:val="00DE3D8A"/>
    <w:rsid w:val="00DE489B"/>
    <w:rsid w:val="00DE49F2"/>
    <w:rsid w:val="00DE4E1A"/>
    <w:rsid w:val="00DE544D"/>
    <w:rsid w:val="00DE5956"/>
    <w:rsid w:val="00DF7BD1"/>
    <w:rsid w:val="00DF7FB1"/>
    <w:rsid w:val="00E000D3"/>
    <w:rsid w:val="00E01991"/>
    <w:rsid w:val="00E03541"/>
    <w:rsid w:val="00E0365A"/>
    <w:rsid w:val="00E039CA"/>
    <w:rsid w:val="00E0517B"/>
    <w:rsid w:val="00E068EC"/>
    <w:rsid w:val="00E11312"/>
    <w:rsid w:val="00E136E7"/>
    <w:rsid w:val="00E13B0E"/>
    <w:rsid w:val="00E14987"/>
    <w:rsid w:val="00E1528C"/>
    <w:rsid w:val="00E20D01"/>
    <w:rsid w:val="00E2264F"/>
    <w:rsid w:val="00E26A19"/>
    <w:rsid w:val="00E30970"/>
    <w:rsid w:val="00E30F75"/>
    <w:rsid w:val="00E3157C"/>
    <w:rsid w:val="00E32FE0"/>
    <w:rsid w:val="00E33362"/>
    <w:rsid w:val="00E338B8"/>
    <w:rsid w:val="00E36EC8"/>
    <w:rsid w:val="00E401E7"/>
    <w:rsid w:val="00E4096E"/>
    <w:rsid w:val="00E412EE"/>
    <w:rsid w:val="00E4489B"/>
    <w:rsid w:val="00E44F6C"/>
    <w:rsid w:val="00E45DE4"/>
    <w:rsid w:val="00E50B50"/>
    <w:rsid w:val="00E524D7"/>
    <w:rsid w:val="00E536F9"/>
    <w:rsid w:val="00E554FF"/>
    <w:rsid w:val="00E560BB"/>
    <w:rsid w:val="00E560C9"/>
    <w:rsid w:val="00E62981"/>
    <w:rsid w:val="00E646D3"/>
    <w:rsid w:val="00E71227"/>
    <w:rsid w:val="00E71995"/>
    <w:rsid w:val="00E71B6B"/>
    <w:rsid w:val="00E725F5"/>
    <w:rsid w:val="00E7358B"/>
    <w:rsid w:val="00E760F5"/>
    <w:rsid w:val="00E76B17"/>
    <w:rsid w:val="00E8225F"/>
    <w:rsid w:val="00E85146"/>
    <w:rsid w:val="00E85222"/>
    <w:rsid w:val="00E85B3E"/>
    <w:rsid w:val="00E8604A"/>
    <w:rsid w:val="00E86E2C"/>
    <w:rsid w:val="00E909FF"/>
    <w:rsid w:val="00E91179"/>
    <w:rsid w:val="00E92AC6"/>
    <w:rsid w:val="00E9358A"/>
    <w:rsid w:val="00E943DA"/>
    <w:rsid w:val="00E94972"/>
    <w:rsid w:val="00E960E7"/>
    <w:rsid w:val="00E963E3"/>
    <w:rsid w:val="00E96B5D"/>
    <w:rsid w:val="00E97E02"/>
    <w:rsid w:val="00EA1414"/>
    <w:rsid w:val="00EA7F48"/>
    <w:rsid w:val="00EB2AC9"/>
    <w:rsid w:val="00EB3C93"/>
    <w:rsid w:val="00EB6FB2"/>
    <w:rsid w:val="00EC1AC5"/>
    <w:rsid w:val="00EC4E41"/>
    <w:rsid w:val="00EC61D5"/>
    <w:rsid w:val="00EC7228"/>
    <w:rsid w:val="00ED10C3"/>
    <w:rsid w:val="00ED16F5"/>
    <w:rsid w:val="00ED3711"/>
    <w:rsid w:val="00ED3822"/>
    <w:rsid w:val="00ED54F5"/>
    <w:rsid w:val="00ED6048"/>
    <w:rsid w:val="00EE0677"/>
    <w:rsid w:val="00EE073A"/>
    <w:rsid w:val="00EE1C03"/>
    <w:rsid w:val="00EE45EF"/>
    <w:rsid w:val="00EE5D56"/>
    <w:rsid w:val="00EF0A4E"/>
    <w:rsid w:val="00EF15E3"/>
    <w:rsid w:val="00EF1864"/>
    <w:rsid w:val="00EF296A"/>
    <w:rsid w:val="00EF5217"/>
    <w:rsid w:val="00F00F4F"/>
    <w:rsid w:val="00F010BF"/>
    <w:rsid w:val="00F0192A"/>
    <w:rsid w:val="00F035F5"/>
    <w:rsid w:val="00F048F1"/>
    <w:rsid w:val="00F049AB"/>
    <w:rsid w:val="00F055A7"/>
    <w:rsid w:val="00F07947"/>
    <w:rsid w:val="00F10207"/>
    <w:rsid w:val="00F1025B"/>
    <w:rsid w:val="00F114F6"/>
    <w:rsid w:val="00F122B0"/>
    <w:rsid w:val="00F1254B"/>
    <w:rsid w:val="00F12620"/>
    <w:rsid w:val="00F13C3E"/>
    <w:rsid w:val="00F14AFB"/>
    <w:rsid w:val="00F14E71"/>
    <w:rsid w:val="00F166FA"/>
    <w:rsid w:val="00F16DB5"/>
    <w:rsid w:val="00F17B0C"/>
    <w:rsid w:val="00F207A9"/>
    <w:rsid w:val="00F23004"/>
    <w:rsid w:val="00F23A4F"/>
    <w:rsid w:val="00F24F27"/>
    <w:rsid w:val="00F26272"/>
    <w:rsid w:val="00F26720"/>
    <w:rsid w:val="00F3244E"/>
    <w:rsid w:val="00F32EDF"/>
    <w:rsid w:val="00F32FDE"/>
    <w:rsid w:val="00F42539"/>
    <w:rsid w:val="00F426E8"/>
    <w:rsid w:val="00F429FA"/>
    <w:rsid w:val="00F43F5F"/>
    <w:rsid w:val="00F448A9"/>
    <w:rsid w:val="00F449E4"/>
    <w:rsid w:val="00F4647C"/>
    <w:rsid w:val="00F4669E"/>
    <w:rsid w:val="00F46BA8"/>
    <w:rsid w:val="00F46F55"/>
    <w:rsid w:val="00F475D4"/>
    <w:rsid w:val="00F50A7D"/>
    <w:rsid w:val="00F56B6B"/>
    <w:rsid w:val="00F575D6"/>
    <w:rsid w:val="00F6025C"/>
    <w:rsid w:val="00F607BC"/>
    <w:rsid w:val="00F6354D"/>
    <w:rsid w:val="00F64C8C"/>
    <w:rsid w:val="00F65820"/>
    <w:rsid w:val="00F662E8"/>
    <w:rsid w:val="00F67C44"/>
    <w:rsid w:val="00F72CEE"/>
    <w:rsid w:val="00F73031"/>
    <w:rsid w:val="00F74958"/>
    <w:rsid w:val="00F756BF"/>
    <w:rsid w:val="00F770AE"/>
    <w:rsid w:val="00F77D1A"/>
    <w:rsid w:val="00F8177B"/>
    <w:rsid w:val="00F817B1"/>
    <w:rsid w:val="00F82296"/>
    <w:rsid w:val="00F829F2"/>
    <w:rsid w:val="00F830C3"/>
    <w:rsid w:val="00F83174"/>
    <w:rsid w:val="00F84B92"/>
    <w:rsid w:val="00F85BBE"/>
    <w:rsid w:val="00F85E8C"/>
    <w:rsid w:val="00F87CF8"/>
    <w:rsid w:val="00F90B2F"/>
    <w:rsid w:val="00F97533"/>
    <w:rsid w:val="00F9789F"/>
    <w:rsid w:val="00FA24D0"/>
    <w:rsid w:val="00FA2852"/>
    <w:rsid w:val="00FA56A3"/>
    <w:rsid w:val="00FB2813"/>
    <w:rsid w:val="00FB3245"/>
    <w:rsid w:val="00FB511C"/>
    <w:rsid w:val="00FB5955"/>
    <w:rsid w:val="00FB7419"/>
    <w:rsid w:val="00FB7B43"/>
    <w:rsid w:val="00FC0A3C"/>
    <w:rsid w:val="00FC0D95"/>
    <w:rsid w:val="00FC314D"/>
    <w:rsid w:val="00FD072B"/>
    <w:rsid w:val="00FD17E4"/>
    <w:rsid w:val="00FD5507"/>
    <w:rsid w:val="00FD6909"/>
    <w:rsid w:val="00FD7D8F"/>
    <w:rsid w:val="00FE0DE1"/>
    <w:rsid w:val="00FE16EF"/>
    <w:rsid w:val="00FE18D6"/>
    <w:rsid w:val="00FE2741"/>
    <w:rsid w:val="00FE3B24"/>
    <w:rsid w:val="00FE63A0"/>
    <w:rsid w:val="00FF0B2A"/>
    <w:rsid w:val="00FF1D5F"/>
    <w:rsid w:val="00FF425E"/>
    <w:rsid w:val="00FF5C74"/>
    <w:rsid w:val="00FF6460"/>
    <w:rsid w:val="00FF7C12"/>
    <w:rsid w:val="046D6E66"/>
    <w:rsid w:val="069F4821"/>
    <w:rsid w:val="070E146F"/>
    <w:rsid w:val="086C26E0"/>
    <w:rsid w:val="0E886475"/>
    <w:rsid w:val="0FDA7E1F"/>
    <w:rsid w:val="0FF5050F"/>
    <w:rsid w:val="11E27AB7"/>
    <w:rsid w:val="11FE7441"/>
    <w:rsid w:val="17966540"/>
    <w:rsid w:val="18B02D7B"/>
    <w:rsid w:val="19107F57"/>
    <w:rsid w:val="1A0E5FA9"/>
    <w:rsid w:val="1D9A4A2E"/>
    <w:rsid w:val="24923163"/>
    <w:rsid w:val="2E6E7357"/>
    <w:rsid w:val="2E8B1740"/>
    <w:rsid w:val="31125448"/>
    <w:rsid w:val="311710CD"/>
    <w:rsid w:val="339B583A"/>
    <w:rsid w:val="34FF4EC2"/>
    <w:rsid w:val="3604720D"/>
    <w:rsid w:val="386B3E34"/>
    <w:rsid w:val="38C2132C"/>
    <w:rsid w:val="392E09A5"/>
    <w:rsid w:val="3B7926AF"/>
    <w:rsid w:val="3D3D073D"/>
    <w:rsid w:val="3F3A0F4B"/>
    <w:rsid w:val="43134B74"/>
    <w:rsid w:val="44295584"/>
    <w:rsid w:val="450E7D40"/>
    <w:rsid w:val="47173384"/>
    <w:rsid w:val="49F67541"/>
    <w:rsid w:val="4BFF7035"/>
    <w:rsid w:val="4D1D5020"/>
    <w:rsid w:val="4DE56EDE"/>
    <w:rsid w:val="4F586BC9"/>
    <w:rsid w:val="523B54B7"/>
    <w:rsid w:val="543F7B60"/>
    <w:rsid w:val="549664BE"/>
    <w:rsid w:val="5AD70E49"/>
    <w:rsid w:val="5C927E2E"/>
    <w:rsid w:val="60AC2293"/>
    <w:rsid w:val="60D52416"/>
    <w:rsid w:val="64E32E12"/>
    <w:rsid w:val="674126C0"/>
    <w:rsid w:val="68995053"/>
    <w:rsid w:val="6927432C"/>
    <w:rsid w:val="6B012657"/>
    <w:rsid w:val="6CA61271"/>
    <w:rsid w:val="6E417AEA"/>
    <w:rsid w:val="6F643962"/>
    <w:rsid w:val="71A053B7"/>
    <w:rsid w:val="753B6F4A"/>
    <w:rsid w:val="78B66FAF"/>
    <w:rsid w:val="7E68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643" w:firstLineChars="200"/>
      <w:jc w:val="both"/>
    </w:pPr>
    <w:rPr>
      <w:rFonts w:ascii="宋体" w:hAnsi="宋体" w:eastAsia="宋体" w:cs="Times New Roman"/>
      <w:b/>
      <w:color w:val="FF0000"/>
      <w:sz w:val="32"/>
      <w:szCs w:val="32"/>
      <w:lang w:val="zh-CN" w:eastAsia="zh-CN" w:bidi="ar-SA"/>
    </w:rPr>
  </w:style>
  <w:style w:type="paragraph" w:styleId="3">
    <w:name w:val="heading 1"/>
    <w:basedOn w:val="1"/>
    <w:next w:val="1"/>
    <w:link w:val="95"/>
    <w:qFormat/>
    <w:uiPriority w:val="0"/>
    <w:pPr>
      <w:keepNext/>
      <w:keepLines/>
      <w:numPr>
        <w:ilvl w:val="0"/>
        <w:numId w:val="1"/>
      </w:numPr>
      <w:tabs>
        <w:tab w:val="left" w:pos="709"/>
      </w:tabs>
      <w:spacing w:before="340" w:after="330" w:line="400" w:lineRule="exact"/>
      <w:ind w:firstLineChars="0"/>
      <w:jc w:val="center"/>
      <w:outlineLvl w:val="0"/>
    </w:pPr>
    <w:rPr>
      <w:b w:val="0"/>
      <w:color w:val="000000"/>
      <w:kern w:val="44"/>
    </w:rPr>
  </w:style>
  <w:style w:type="paragraph" w:styleId="4">
    <w:name w:val="heading 2"/>
    <w:basedOn w:val="1"/>
    <w:next w:val="1"/>
    <w:qFormat/>
    <w:uiPriority w:val="0"/>
    <w:pPr>
      <w:keepNext/>
      <w:tabs>
        <w:tab w:val="left" w:pos="567"/>
      </w:tabs>
      <w:spacing w:before="260" w:after="260"/>
      <w:jc w:val="left"/>
      <w:outlineLvl w:val="1"/>
    </w:pPr>
    <w:rPr>
      <w:b w:val="0"/>
      <w:bCs/>
      <w:sz w:val="28"/>
      <w:szCs w:val="28"/>
    </w:rPr>
  </w:style>
  <w:style w:type="paragraph" w:styleId="5">
    <w:name w:val="heading 3"/>
    <w:basedOn w:val="1"/>
    <w:next w:val="1"/>
    <w:link w:val="96"/>
    <w:qFormat/>
    <w:uiPriority w:val="0"/>
    <w:pPr>
      <w:keepNext/>
      <w:keepLines/>
      <w:numPr>
        <w:ilvl w:val="2"/>
        <w:numId w:val="1"/>
      </w:numPr>
      <w:tabs>
        <w:tab w:val="left" w:pos="709"/>
      </w:tabs>
      <w:outlineLvl w:val="2"/>
    </w:pPr>
    <w:rPr>
      <w:rFonts w:ascii="Times New Roman" w:hAnsi="Times New Roman"/>
      <w:bCs/>
      <w:color w:val="000000"/>
      <w:kern w:val="2"/>
      <w:sz w:val="28"/>
      <w:szCs w:val="28"/>
    </w:rPr>
  </w:style>
  <w:style w:type="paragraph" w:styleId="6">
    <w:name w:val="heading 4"/>
    <w:basedOn w:val="1"/>
    <w:next w:val="1"/>
    <w:link w:val="97"/>
    <w:qFormat/>
    <w:uiPriority w:val="0"/>
    <w:pPr>
      <w:keepNext/>
      <w:keepLines/>
      <w:numPr>
        <w:ilvl w:val="3"/>
        <w:numId w:val="1"/>
      </w:numPr>
      <w:spacing w:before="280" w:after="290" w:line="376" w:lineRule="auto"/>
      <w:outlineLvl w:val="3"/>
    </w:pPr>
    <w:rPr>
      <w:b w:val="0"/>
      <w:bCs/>
      <w:color w:val="auto"/>
      <w:kern w:val="2"/>
      <w:sz w:val="28"/>
      <w:szCs w:val="28"/>
    </w:rPr>
  </w:style>
  <w:style w:type="paragraph" w:styleId="7">
    <w:name w:val="heading 5"/>
    <w:basedOn w:val="1"/>
    <w:next w:val="1"/>
    <w:link w:val="98"/>
    <w:qFormat/>
    <w:uiPriority w:val="0"/>
    <w:pPr>
      <w:tabs>
        <w:tab w:val="left" w:pos="992"/>
        <w:tab w:val="left" w:pos="1134"/>
      </w:tabs>
      <w:spacing w:before="280" w:after="290"/>
      <w:ind w:left="992" w:hanging="992"/>
      <w:outlineLvl w:val="4"/>
    </w:pPr>
    <w:rPr>
      <w:rFonts w:ascii="Times New Roman" w:hAnsi="Times New Roman"/>
      <w:bCs/>
      <w:color w:val="auto"/>
      <w:sz w:val="28"/>
      <w:szCs w:val="28"/>
    </w:rPr>
  </w:style>
  <w:style w:type="paragraph" w:styleId="8">
    <w:name w:val="heading 6"/>
    <w:basedOn w:val="1"/>
    <w:next w:val="1"/>
    <w:link w:val="99"/>
    <w:qFormat/>
    <w:uiPriority w:val="0"/>
    <w:pPr>
      <w:keepNext/>
      <w:keepLines/>
      <w:tabs>
        <w:tab w:val="left" w:pos="1134"/>
      </w:tabs>
      <w:spacing w:before="240" w:after="64" w:line="316" w:lineRule="auto"/>
      <w:ind w:left="1134" w:hanging="1134"/>
      <w:outlineLvl w:val="5"/>
    </w:pPr>
    <w:rPr>
      <w:rFonts w:ascii="Arial" w:hAnsi="Arial"/>
      <w:bCs/>
      <w:color w:val="auto"/>
      <w:sz w:val="28"/>
      <w:szCs w:val="18"/>
    </w:rPr>
  </w:style>
  <w:style w:type="paragraph" w:styleId="9">
    <w:name w:val="heading 7"/>
    <w:basedOn w:val="1"/>
    <w:next w:val="1"/>
    <w:link w:val="100"/>
    <w:qFormat/>
    <w:uiPriority w:val="0"/>
    <w:pPr>
      <w:keepNext/>
      <w:keepLines/>
      <w:spacing w:before="240" w:after="64" w:line="320" w:lineRule="auto"/>
      <w:outlineLvl w:val="6"/>
    </w:pPr>
    <w:rPr>
      <w:rFonts w:ascii="Times New Roman" w:hAnsi="Times New Roman"/>
      <w:bCs/>
      <w:color w:val="auto"/>
      <w:kern w:val="2"/>
      <w:sz w:val="24"/>
      <w:szCs w:val="24"/>
    </w:rPr>
  </w:style>
  <w:style w:type="paragraph" w:styleId="10">
    <w:name w:val="heading 8"/>
    <w:basedOn w:val="1"/>
    <w:next w:val="1"/>
    <w:link w:val="101"/>
    <w:qFormat/>
    <w:uiPriority w:val="0"/>
    <w:pPr>
      <w:keepNext/>
      <w:keepLines/>
      <w:spacing w:before="240" w:after="64" w:line="320" w:lineRule="auto"/>
      <w:outlineLvl w:val="7"/>
    </w:pPr>
    <w:rPr>
      <w:rFonts w:ascii="Cambria" w:hAnsi="Cambria"/>
      <w:b w:val="0"/>
      <w:color w:val="auto"/>
      <w:kern w:val="2"/>
      <w:sz w:val="24"/>
      <w:szCs w:val="24"/>
    </w:rPr>
  </w:style>
  <w:style w:type="paragraph" w:styleId="11">
    <w:name w:val="heading 9"/>
    <w:basedOn w:val="1"/>
    <w:next w:val="1"/>
    <w:link w:val="102"/>
    <w:qFormat/>
    <w:uiPriority w:val="0"/>
    <w:pPr>
      <w:keepNext/>
      <w:keepLines/>
      <w:spacing w:before="240" w:after="64" w:line="320" w:lineRule="auto"/>
      <w:outlineLvl w:val="8"/>
    </w:pPr>
    <w:rPr>
      <w:rFonts w:ascii="Arial" w:hAnsi="Arial" w:eastAsia="黑体"/>
      <w:b w:val="0"/>
      <w:color w:val="auto"/>
      <w:kern w:val="2"/>
      <w:sz w:val="21"/>
      <w:szCs w:val="21"/>
    </w:rPr>
  </w:style>
  <w:style w:type="character" w:default="1" w:styleId="78">
    <w:name w:val="Default Paragraph Font"/>
    <w:semiHidden/>
    <w:unhideWhenUsed/>
    <w:qFormat/>
    <w:uiPriority w:val="1"/>
  </w:style>
  <w:style w:type="table" w:default="1" w:styleId="77">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link w:val="94"/>
    <w:qFormat/>
    <w:uiPriority w:val="0"/>
    <w:pPr>
      <w:widowControl/>
      <w:adjustRightInd w:val="0"/>
      <w:spacing w:before="100" w:beforeLines="25" w:beforeAutospacing="1" w:after="100" w:afterAutospacing="1" w:line="440" w:lineRule="exact"/>
      <w:textAlignment w:val="baseline"/>
    </w:pPr>
    <w:rPr>
      <w:b w:val="0"/>
      <w:bCs/>
      <w:color w:val="000000"/>
      <w:sz w:val="24"/>
      <w:szCs w:val="24"/>
    </w:rPr>
  </w:style>
  <w:style w:type="paragraph" w:styleId="12">
    <w:name w:val="List 3"/>
    <w:basedOn w:val="1"/>
    <w:qFormat/>
    <w:uiPriority w:val="0"/>
    <w:pPr>
      <w:ind w:left="100" w:leftChars="400" w:hanging="200" w:hangingChars="200"/>
    </w:pPr>
    <w:rPr>
      <w:rFonts w:ascii="Calibri" w:hAnsi="Calibri"/>
      <w:szCs w:val="22"/>
    </w:rPr>
  </w:style>
  <w:style w:type="paragraph" w:styleId="13">
    <w:name w:val="toc 7"/>
    <w:basedOn w:val="1"/>
    <w:next w:val="1"/>
    <w:qFormat/>
    <w:uiPriority w:val="39"/>
    <w:pPr>
      <w:ind w:left="2520" w:leftChars="1200"/>
    </w:pPr>
  </w:style>
  <w:style w:type="paragraph" w:styleId="14">
    <w:name w:val="List Number 2"/>
    <w:basedOn w:val="1"/>
    <w:qFormat/>
    <w:uiPriority w:val="0"/>
    <w:pPr>
      <w:numPr>
        <w:ilvl w:val="0"/>
        <w:numId w:val="2"/>
      </w:numPr>
      <w:tabs>
        <w:tab w:val="left" w:pos="780"/>
        <w:tab w:val="clear" w:pos="420"/>
      </w:tabs>
    </w:pPr>
    <w:rPr>
      <w:rFonts w:ascii="Calibri" w:hAnsi="Calibri"/>
      <w:szCs w:val="22"/>
    </w:rPr>
  </w:style>
  <w:style w:type="paragraph" w:styleId="15">
    <w:name w:val="Note Heading"/>
    <w:basedOn w:val="1"/>
    <w:next w:val="1"/>
    <w:link w:val="103"/>
    <w:qFormat/>
    <w:uiPriority w:val="0"/>
    <w:pPr>
      <w:jc w:val="center"/>
    </w:pPr>
    <w:rPr>
      <w:rFonts w:ascii="Calibri" w:hAnsi="Calibri"/>
      <w:b w:val="0"/>
      <w:color w:val="auto"/>
      <w:kern w:val="2"/>
      <w:sz w:val="21"/>
      <w:szCs w:val="22"/>
    </w:rPr>
  </w:style>
  <w:style w:type="paragraph" w:styleId="16">
    <w:name w:val="List Bullet 4"/>
    <w:basedOn w:val="1"/>
    <w:qFormat/>
    <w:uiPriority w:val="0"/>
    <w:pPr>
      <w:numPr>
        <w:ilvl w:val="0"/>
        <w:numId w:val="3"/>
      </w:numPr>
      <w:tabs>
        <w:tab w:val="left" w:pos="1620"/>
      </w:tabs>
    </w:pPr>
    <w:rPr>
      <w:rFonts w:ascii="Calibri" w:hAnsi="Calibri"/>
      <w:szCs w:val="22"/>
    </w:rPr>
  </w:style>
  <w:style w:type="paragraph" w:styleId="17">
    <w:name w:val="E-mail Signature"/>
    <w:basedOn w:val="1"/>
    <w:link w:val="104"/>
    <w:qFormat/>
    <w:uiPriority w:val="0"/>
    <w:rPr>
      <w:rFonts w:ascii="Calibri" w:hAnsi="Calibri"/>
      <w:b w:val="0"/>
      <w:color w:val="auto"/>
      <w:kern w:val="2"/>
      <w:sz w:val="21"/>
      <w:szCs w:val="22"/>
    </w:rPr>
  </w:style>
  <w:style w:type="paragraph" w:styleId="18">
    <w:name w:val="List Number"/>
    <w:basedOn w:val="1"/>
    <w:qFormat/>
    <w:uiPriority w:val="0"/>
    <w:pPr>
      <w:numPr>
        <w:ilvl w:val="0"/>
        <w:numId w:val="4"/>
      </w:numPr>
      <w:tabs>
        <w:tab w:val="left" w:pos="360"/>
      </w:tabs>
    </w:pPr>
    <w:rPr>
      <w:rFonts w:ascii="Calibri" w:hAnsi="Calibri"/>
      <w:szCs w:val="22"/>
    </w:rPr>
  </w:style>
  <w:style w:type="paragraph" w:styleId="19">
    <w:name w:val="Normal Indent"/>
    <w:basedOn w:val="1"/>
    <w:link w:val="105"/>
    <w:qFormat/>
    <w:uiPriority w:val="0"/>
    <w:pPr>
      <w:ind w:firstLine="420"/>
    </w:pPr>
    <w:rPr>
      <w:rFonts w:ascii="Times New Roman" w:hAnsi="Times New Roman"/>
      <w:b w:val="0"/>
      <w:color w:val="auto"/>
      <w:kern w:val="2"/>
      <w:sz w:val="21"/>
      <w:szCs w:val="24"/>
      <w:lang w:val="en-US"/>
    </w:rPr>
  </w:style>
  <w:style w:type="paragraph" w:styleId="20">
    <w:name w:val="caption"/>
    <w:basedOn w:val="1"/>
    <w:next w:val="1"/>
    <w:qFormat/>
    <w:uiPriority w:val="0"/>
    <w:pPr>
      <w:spacing w:before="152" w:after="160"/>
    </w:pPr>
    <w:rPr>
      <w:rFonts w:ascii="Arial" w:hAnsi="Arial" w:eastAsia="黑体" w:cs="Arial"/>
      <w:sz w:val="20"/>
      <w:szCs w:val="20"/>
    </w:rPr>
  </w:style>
  <w:style w:type="paragraph" w:styleId="21">
    <w:name w:val="List Bullet"/>
    <w:basedOn w:val="1"/>
    <w:qFormat/>
    <w:uiPriority w:val="0"/>
    <w:pPr>
      <w:tabs>
        <w:tab w:val="left" w:pos="360"/>
      </w:tabs>
      <w:ind w:left="1413" w:hanging="420"/>
    </w:pPr>
    <w:rPr>
      <w:rFonts w:ascii="Calibri" w:hAnsi="Calibri"/>
      <w:szCs w:val="22"/>
    </w:rPr>
  </w:style>
  <w:style w:type="paragraph" w:styleId="22">
    <w:name w:val="envelope address"/>
    <w:basedOn w:val="1"/>
    <w:qFormat/>
    <w:uiPriority w:val="0"/>
    <w:pPr>
      <w:ind w:left="100" w:leftChars="1400"/>
    </w:pPr>
    <w:rPr>
      <w:rFonts w:ascii="Arial" w:hAnsi="Arial" w:cs="Arial"/>
      <w:sz w:val="24"/>
    </w:rPr>
  </w:style>
  <w:style w:type="paragraph" w:styleId="23">
    <w:name w:val="Document Map"/>
    <w:basedOn w:val="1"/>
    <w:link w:val="106"/>
    <w:qFormat/>
    <w:uiPriority w:val="0"/>
    <w:rPr>
      <w:rFonts w:hAnsi="Times New Roman"/>
      <w:b w:val="0"/>
      <w:color w:val="auto"/>
      <w:kern w:val="2"/>
      <w:sz w:val="18"/>
      <w:szCs w:val="18"/>
    </w:rPr>
  </w:style>
  <w:style w:type="paragraph" w:styleId="24">
    <w:name w:val="annotation text"/>
    <w:basedOn w:val="1"/>
    <w:link w:val="107"/>
    <w:qFormat/>
    <w:uiPriority w:val="0"/>
    <w:pPr>
      <w:jc w:val="left"/>
    </w:pPr>
  </w:style>
  <w:style w:type="paragraph" w:styleId="25">
    <w:name w:val="Salutation"/>
    <w:basedOn w:val="1"/>
    <w:next w:val="1"/>
    <w:link w:val="108"/>
    <w:qFormat/>
    <w:uiPriority w:val="0"/>
    <w:rPr>
      <w:rFonts w:ascii="Times New Roman" w:hAnsi="Times New Roman" w:eastAsia="黑体"/>
      <w:b w:val="0"/>
      <w:color w:val="auto"/>
      <w:kern w:val="2"/>
      <w:sz w:val="24"/>
      <w:szCs w:val="24"/>
    </w:rPr>
  </w:style>
  <w:style w:type="paragraph" w:styleId="26">
    <w:name w:val="Body Text 3"/>
    <w:basedOn w:val="1"/>
    <w:link w:val="109"/>
    <w:qFormat/>
    <w:uiPriority w:val="0"/>
    <w:pPr>
      <w:widowControl/>
      <w:spacing w:after="120"/>
      <w:jc w:val="left"/>
    </w:pPr>
    <w:rPr>
      <w:rFonts w:ascii="Times New Roman" w:hAnsi="Times New Roman"/>
      <w:b w:val="0"/>
      <w:color w:val="auto"/>
      <w:sz w:val="16"/>
      <w:szCs w:val="16"/>
    </w:rPr>
  </w:style>
  <w:style w:type="paragraph" w:styleId="27">
    <w:name w:val="Closing"/>
    <w:basedOn w:val="1"/>
    <w:link w:val="110"/>
    <w:qFormat/>
    <w:uiPriority w:val="0"/>
    <w:pPr>
      <w:ind w:left="100" w:leftChars="2100"/>
    </w:pPr>
    <w:rPr>
      <w:rFonts w:ascii="Calibri" w:hAnsi="Calibri"/>
      <w:b w:val="0"/>
      <w:color w:val="auto"/>
      <w:kern w:val="2"/>
      <w:sz w:val="21"/>
      <w:szCs w:val="22"/>
    </w:rPr>
  </w:style>
  <w:style w:type="paragraph" w:styleId="28">
    <w:name w:val="List Bullet 3"/>
    <w:basedOn w:val="1"/>
    <w:qFormat/>
    <w:uiPriority w:val="0"/>
    <w:pPr>
      <w:numPr>
        <w:ilvl w:val="0"/>
        <w:numId w:val="5"/>
      </w:numPr>
      <w:tabs>
        <w:tab w:val="left" w:pos="1200"/>
      </w:tabs>
    </w:pPr>
    <w:rPr>
      <w:rFonts w:ascii="Calibri" w:hAnsi="Calibri"/>
      <w:szCs w:val="22"/>
    </w:rPr>
  </w:style>
  <w:style w:type="paragraph" w:styleId="29">
    <w:name w:val="Body Text"/>
    <w:basedOn w:val="1"/>
    <w:link w:val="111"/>
    <w:qFormat/>
    <w:uiPriority w:val="0"/>
    <w:pPr>
      <w:spacing w:after="120"/>
    </w:pPr>
    <w:rPr>
      <w:rFonts w:ascii="Times New Roman" w:hAnsi="Times New Roman"/>
      <w:b w:val="0"/>
      <w:color w:val="auto"/>
      <w:kern w:val="2"/>
      <w:sz w:val="21"/>
      <w:szCs w:val="24"/>
    </w:rPr>
  </w:style>
  <w:style w:type="paragraph" w:styleId="30">
    <w:name w:val="Body Text Indent"/>
    <w:basedOn w:val="1"/>
    <w:link w:val="112"/>
    <w:qFormat/>
    <w:uiPriority w:val="0"/>
    <w:pPr>
      <w:ind w:firstLine="630"/>
    </w:pPr>
    <w:rPr>
      <w:rFonts w:ascii="Times New Roman" w:hAnsi="Times New Roman"/>
      <w:b w:val="0"/>
      <w:color w:val="auto"/>
      <w:sz w:val="20"/>
      <w:szCs w:val="24"/>
    </w:rPr>
  </w:style>
  <w:style w:type="paragraph" w:styleId="31">
    <w:name w:val="List Number 3"/>
    <w:basedOn w:val="1"/>
    <w:qFormat/>
    <w:uiPriority w:val="0"/>
    <w:pPr>
      <w:numPr>
        <w:ilvl w:val="0"/>
        <w:numId w:val="6"/>
      </w:numPr>
      <w:tabs>
        <w:tab w:val="left" w:pos="1200"/>
      </w:tabs>
    </w:pPr>
    <w:rPr>
      <w:rFonts w:ascii="Calibri" w:hAnsi="Calibri"/>
      <w:szCs w:val="22"/>
    </w:rPr>
  </w:style>
  <w:style w:type="paragraph" w:styleId="32">
    <w:name w:val="List 2"/>
    <w:basedOn w:val="1"/>
    <w:qFormat/>
    <w:uiPriority w:val="0"/>
    <w:pPr>
      <w:ind w:left="100" w:leftChars="200" w:hanging="200" w:hangingChars="200"/>
    </w:pPr>
    <w:rPr>
      <w:rFonts w:ascii="Calibri" w:hAnsi="Calibri"/>
      <w:szCs w:val="22"/>
    </w:rPr>
  </w:style>
  <w:style w:type="paragraph" w:styleId="33">
    <w:name w:val="List Continue"/>
    <w:basedOn w:val="1"/>
    <w:qFormat/>
    <w:uiPriority w:val="0"/>
    <w:pPr>
      <w:spacing w:after="120"/>
      <w:ind w:left="420" w:leftChars="200"/>
    </w:pPr>
    <w:rPr>
      <w:rFonts w:ascii="Calibri" w:hAnsi="Calibri"/>
      <w:szCs w:val="22"/>
    </w:rPr>
  </w:style>
  <w:style w:type="paragraph" w:styleId="34">
    <w:name w:val="Block Text"/>
    <w:basedOn w:val="1"/>
    <w:qFormat/>
    <w:uiPriority w:val="0"/>
    <w:pPr>
      <w:ind w:left="-540" w:leftChars="-257" w:right="-334" w:rightChars="-159" w:firstLine="540" w:firstLineChars="180"/>
    </w:pPr>
    <w:rPr>
      <w:sz w:val="30"/>
    </w:rPr>
  </w:style>
  <w:style w:type="paragraph" w:styleId="35">
    <w:name w:val="List Bullet 2"/>
    <w:basedOn w:val="1"/>
    <w:qFormat/>
    <w:uiPriority w:val="0"/>
    <w:pPr>
      <w:widowControl/>
      <w:adjustRightInd w:val="0"/>
      <w:spacing w:before="120"/>
      <w:ind w:firstLine="540"/>
      <w:jc w:val="left"/>
    </w:pPr>
    <w:rPr>
      <w:spacing w:val="-5"/>
      <w:sz w:val="28"/>
    </w:rPr>
  </w:style>
  <w:style w:type="paragraph" w:styleId="36">
    <w:name w:val="HTML Address"/>
    <w:basedOn w:val="1"/>
    <w:link w:val="113"/>
    <w:qFormat/>
    <w:uiPriority w:val="0"/>
    <w:rPr>
      <w:rFonts w:ascii="Calibri" w:hAnsi="Calibri"/>
      <w:b w:val="0"/>
      <w:i/>
      <w:iCs/>
      <w:color w:val="auto"/>
      <w:kern w:val="2"/>
      <w:sz w:val="21"/>
      <w:szCs w:val="22"/>
    </w:rPr>
  </w:style>
  <w:style w:type="paragraph" w:styleId="37">
    <w:name w:val="toc 5"/>
    <w:basedOn w:val="1"/>
    <w:next w:val="1"/>
    <w:qFormat/>
    <w:uiPriority w:val="39"/>
    <w:pPr>
      <w:ind w:left="1680" w:leftChars="800"/>
    </w:pPr>
    <w:rPr>
      <w:sz w:val="18"/>
      <w:szCs w:val="18"/>
    </w:rPr>
  </w:style>
  <w:style w:type="paragraph" w:styleId="38">
    <w:name w:val="toc 3"/>
    <w:basedOn w:val="1"/>
    <w:next w:val="1"/>
    <w:qFormat/>
    <w:uiPriority w:val="39"/>
    <w:pPr>
      <w:tabs>
        <w:tab w:val="left" w:pos="1080"/>
        <w:tab w:val="right" w:leader="dot" w:pos="9060"/>
      </w:tabs>
      <w:ind w:left="360"/>
      <w:jc w:val="left"/>
    </w:pPr>
    <w:rPr>
      <w:rFonts w:eastAsia="楷体_GB2312"/>
      <w:iCs/>
      <w:sz w:val="20"/>
      <w:szCs w:val="20"/>
    </w:rPr>
  </w:style>
  <w:style w:type="paragraph" w:styleId="39">
    <w:name w:val="Plain Text"/>
    <w:basedOn w:val="1"/>
    <w:link w:val="114"/>
    <w:qFormat/>
    <w:uiPriority w:val="0"/>
    <w:rPr>
      <w:rFonts w:hAnsi="Courier New"/>
      <w:b w:val="0"/>
      <w:color w:val="auto"/>
      <w:kern w:val="2"/>
      <w:sz w:val="21"/>
      <w:szCs w:val="20"/>
      <w:lang w:val="en-US"/>
    </w:rPr>
  </w:style>
  <w:style w:type="paragraph" w:styleId="40">
    <w:name w:val="List Bullet 5"/>
    <w:basedOn w:val="1"/>
    <w:qFormat/>
    <w:uiPriority w:val="0"/>
    <w:pPr>
      <w:numPr>
        <w:ilvl w:val="0"/>
        <w:numId w:val="7"/>
      </w:numPr>
      <w:tabs>
        <w:tab w:val="left" w:pos="2040"/>
      </w:tabs>
    </w:pPr>
    <w:rPr>
      <w:rFonts w:ascii="Calibri" w:hAnsi="Calibri"/>
      <w:szCs w:val="22"/>
    </w:rPr>
  </w:style>
  <w:style w:type="paragraph" w:styleId="41">
    <w:name w:val="List Number 4"/>
    <w:basedOn w:val="1"/>
    <w:qFormat/>
    <w:uiPriority w:val="0"/>
    <w:pPr>
      <w:numPr>
        <w:ilvl w:val="0"/>
        <w:numId w:val="8"/>
      </w:numPr>
    </w:pPr>
    <w:rPr>
      <w:sz w:val="28"/>
      <w:szCs w:val="21"/>
    </w:rPr>
  </w:style>
  <w:style w:type="paragraph" w:styleId="42">
    <w:name w:val="toc 8"/>
    <w:basedOn w:val="1"/>
    <w:next w:val="1"/>
    <w:qFormat/>
    <w:uiPriority w:val="39"/>
    <w:pPr>
      <w:ind w:left="2940" w:leftChars="1400"/>
    </w:pPr>
  </w:style>
  <w:style w:type="paragraph" w:styleId="43">
    <w:name w:val="index 3"/>
    <w:basedOn w:val="1"/>
    <w:next w:val="1"/>
    <w:qFormat/>
    <w:uiPriority w:val="0"/>
    <w:pPr>
      <w:ind w:left="400" w:leftChars="400"/>
    </w:pPr>
    <w:rPr>
      <w:sz w:val="24"/>
    </w:rPr>
  </w:style>
  <w:style w:type="paragraph" w:styleId="44">
    <w:name w:val="Date"/>
    <w:basedOn w:val="1"/>
    <w:next w:val="1"/>
    <w:link w:val="115"/>
    <w:qFormat/>
    <w:uiPriority w:val="0"/>
    <w:pPr>
      <w:ind w:left="100" w:leftChars="2500"/>
    </w:pPr>
    <w:rPr>
      <w:rFonts w:ascii="Times New Roman" w:hAnsi="Times New Roman"/>
      <w:b w:val="0"/>
      <w:color w:val="auto"/>
      <w:kern w:val="2"/>
      <w:sz w:val="24"/>
      <w:szCs w:val="24"/>
    </w:rPr>
  </w:style>
  <w:style w:type="paragraph" w:styleId="45">
    <w:name w:val="Body Text Indent 2"/>
    <w:basedOn w:val="1"/>
    <w:link w:val="116"/>
    <w:qFormat/>
    <w:uiPriority w:val="0"/>
    <w:pPr>
      <w:spacing w:after="120" w:line="480" w:lineRule="auto"/>
      <w:ind w:left="420" w:leftChars="200"/>
    </w:pPr>
  </w:style>
  <w:style w:type="paragraph" w:styleId="46">
    <w:name w:val="List Continue 5"/>
    <w:basedOn w:val="1"/>
    <w:qFormat/>
    <w:uiPriority w:val="0"/>
    <w:pPr>
      <w:spacing w:after="120"/>
      <w:ind w:left="2100" w:leftChars="1000"/>
    </w:pPr>
    <w:rPr>
      <w:rFonts w:ascii="Calibri" w:hAnsi="Calibri"/>
      <w:szCs w:val="22"/>
    </w:rPr>
  </w:style>
  <w:style w:type="paragraph" w:styleId="47">
    <w:name w:val="Balloon Text"/>
    <w:basedOn w:val="1"/>
    <w:link w:val="117"/>
    <w:qFormat/>
    <w:uiPriority w:val="0"/>
    <w:rPr>
      <w:rFonts w:ascii="Times New Roman" w:hAnsi="Times New Roman"/>
      <w:b w:val="0"/>
      <w:color w:val="auto"/>
      <w:kern w:val="2"/>
      <w:sz w:val="18"/>
      <w:szCs w:val="18"/>
    </w:rPr>
  </w:style>
  <w:style w:type="paragraph" w:styleId="48">
    <w:name w:val="footer"/>
    <w:basedOn w:val="1"/>
    <w:link w:val="118"/>
    <w:qFormat/>
    <w:uiPriority w:val="99"/>
    <w:pPr>
      <w:tabs>
        <w:tab w:val="center" w:pos="4153"/>
        <w:tab w:val="right" w:pos="8306"/>
      </w:tabs>
      <w:jc w:val="left"/>
    </w:pPr>
    <w:rPr>
      <w:rFonts w:ascii="Times New Roman" w:hAnsi="Times New Roman"/>
      <w:b w:val="0"/>
      <w:color w:val="auto"/>
      <w:kern w:val="2"/>
      <w:sz w:val="18"/>
      <w:szCs w:val="20"/>
    </w:rPr>
  </w:style>
  <w:style w:type="paragraph" w:styleId="49">
    <w:name w:val="envelope return"/>
    <w:basedOn w:val="1"/>
    <w:qFormat/>
    <w:uiPriority w:val="0"/>
    <w:rPr>
      <w:rFonts w:ascii="Arial" w:hAnsi="Arial" w:cs="Arial"/>
      <w:szCs w:val="22"/>
    </w:rPr>
  </w:style>
  <w:style w:type="paragraph" w:styleId="50">
    <w:name w:val="header"/>
    <w:basedOn w:val="1"/>
    <w:link w:val="119"/>
    <w:qFormat/>
    <w:uiPriority w:val="0"/>
    <w:pPr>
      <w:pBdr>
        <w:bottom w:val="single" w:color="auto" w:sz="6" w:space="1"/>
      </w:pBdr>
      <w:tabs>
        <w:tab w:val="center" w:pos="4153"/>
        <w:tab w:val="right" w:pos="8306"/>
      </w:tabs>
      <w:jc w:val="center"/>
    </w:pPr>
    <w:rPr>
      <w:rFonts w:ascii="Times New Roman" w:hAnsi="Times New Roman"/>
      <w:b w:val="0"/>
      <w:color w:val="auto"/>
      <w:kern w:val="2"/>
      <w:sz w:val="18"/>
      <w:szCs w:val="20"/>
    </w:rPr>
  </w:style>
  <w:style w:type="paragraph" w:styleId="51">
    <w:name w:val="Signature"/>
    <w:basedOn w:val="1"/>
    <w:link w:val="120"/>
    <w:qFormat/>
    <w:uiPriority w:val="0"/>
    <w:pPr>
      <w:ind w:left="100" w:leftChars="2100"/>
    </w:pPr>
    <w:rPr>
      <w:rFonts w:ascii="Calibri" w:hAnsi="Calibri"/>
      <w:b w:val="0"/>
      <w:color w:val="auto"/>
      <w:kern w:val="2"/>
      <w:sz w:val="21"/>
      <w:szCs w:val="22"/>
    </w:rPr>
  </w:style>
  <w:style w:type="paragraph" w:styleId="52">
    <w:name w:val="toc 1"/>
    <w:basedOn w:val="1"/>
    <w:next w:val="1"/>
    <w:qFormat/>
    <w:uiPriority w:val="39"/>
    <w:pPr>
      <w:tabs>
        <w:tab w:val="left" w:pos="851"/>
        <w:tab w:val="right" w:leader="dot" w:pos="8931"/>
      </w:tabs>
      <w:jc w:val="distribute"/>
    </w:pPr>
    <w:rPr>
      <w:b w:val="0"/>
    </w:rPr>
  </w:style>
  <w:style w:type="paragraph" w:styleId="53">
    <w:name w:val="List Continue 4"/>
    <w:basedOn w:val="1"/>
    <w:qFormat/>
    <w:uiPriority w:val="0"/>
    <w:pPr>
      <w:spacing w:after="120"/>
      <w:ind w:left="1680" w:leftChars="800"/>
    </w:pPr>
    <w:rPr>
      <w:rFonts w:ascii="Calibri" w:hAnsi="Calibri"/>
      <w:szCs w:val="22"/>
    </w:rPr>
  </w:style>
  <w:style w:type="paragraph" w:styleId="54">
    <w:name w:val="toc 4"/>
    <w:basedOn w:val="1"/>
    <w:next w:val="1"/>
    <w:qFormat/>
    <w:uiPriority w:val="39"/>
    <w:pPr>
      <w:ind w:left="1260" w:leftChars="600"/>
    </w:pPr>
    <w:rPr>
      <w:sz w:val="18"/>
      <w:szCs w:val="18"/>
    </w:rPr>
  </w:style>
  <w:style w:type="paragraph" w:styleId="55">
    <w:name w:val="Subtitle"/>
    <w:basedOn w:val="1"/>
    <w:link w:val="121"/>
    <w:qFormat/>
    <w:uiPriority w:val="0"/>
    <w:pPr>
      <w:spacing w:before="240" w:after="60" w:line="312" w:lineRule="auto"/>
      <w:jc w:val="center"/>
      <w:outlineLvl w:val="1"/>
    </w:pPr>
    <w:rPr>
      <w:rFonts w:ascii="Arial" w:hAnsi="Arial"/>
      <w:bCs/>
      <w:color w:val="auto"/>
      <w:kern w:val="28"/>
    </w:rPr>
  </w:style>
  <w:style w:type="paragraph" w:styleId="56">
    <w:name w:val="List Number 5"/>
    <w:basedOn w:val="1"/>
    <w:qFormat/>
    <w:uiPriority w:val="0"/>
    <w:pPr>
      <w:tabs>
        <w:tab w:val="left" w:pos="1521"/>
        <w:tab w:val="left" w:pos="2040"/>
      </w:tabs>
      <w:ind w:left="1521" w:hanging="1095"/>
    </w:pPr>
    <w:rPr>
      <w:rFonts w:ascii="Calibri" w:hAnsi="Calibri"/>
      <w:szCs w:val="22"/>
    </w:rPr>
  </w:style>
  <w:style w:type="paragraph" w:styleId="57">
    <w:name w:val="List"/>
    <w:basedOn w:val="1"/>
    <w:qFormat/>
    <w:uiPriority w:val="0"/>
    <w:pPr>
      <w:ind w:left="200" w:hanging="200" w:hangingChars="200"/>
      <w:contextualSpacing/>
    </w:pPr>
    <w:rPr>
      <w:sz w:val="18"/>
      <w:szCs w:val="18"/>
    </w:rPr>
  </w:style>
  <w:style w:type="paragraph" w:styleId="58">
    <w:name w:val="footnote text"/>
    <w:basedOn w:val="1"/>
    <w:link w:val="122"/>
    <w:qFormat/>
    <w:uiPriority w:val="0"/>
    <w:pPr>
      <w:ind w:firstLine="480"/>
      <w:jc w:val="left"/>
    </w:pPr>
    <w:rPr>
      <w:rFonts w:ascii="Times New Roman" w:hAnsi="Times New Roman"/>
      <w:b w:val="0"/>
      <w:color w:val="auto"/>
      <w:kern w:val="2"/>
      <w:sz w:val="18"/>
      <w:szCs w:val="18"/>
    </w:rPr>
  </w:style>
  <w:style w:type="paragraph" w:styleId="59">
    <w:name w:val="toc 6"/>
    <w:basedOn w:val="1"/>
    <w:next w:val="1"/>
    <w:qFormat/>
    <w:uiPriority w:val="39"/>
    <w:pPr>
      <w:ind w:left="2100" w:leftChars="1000"/>
    </w:pPr>
  </w:style>
  <w:style w:type="paragraph" w:styleId="60">
    <w:name w:val="List 5"/>
    <w:basedOn w:val="1"/>
    <w:qFormat/>
    <w:uiPriority w:val="0"/>
    <w:pPr>
      <w:ind w:left="100" w:leftChars="800" w:hanging="200" w:hangingChars="200"/>
    </w:pPr>
    <w:rPr>
      <w:rFonts w:ascii="Calibri" w:hAnsi="Calibri"/>
      <w:szCs w:val="22"/>
    </w:rPr>
  </w:style>
  <w:style w:type="paragraph" w:styleId="61">
    <w:name w:val="Body Text Indent 3"/>
    <w:basedOn w:val="1"/>
    <w:link w:val="123"/>
    <w:qFormat/>
    <w:uiPriority w:val="0"/>
    <w:pPr>
      <w:spacing w:after="120"/>
      <w:ind w:left="420" w:leftChars="200"/>
    </w:pPr>
    <w:rPr>
      <w:rFonts w:ascii="Times New Roman" w:hAnsi="Times New Roman"/>
      <w:b w:val="0"/>
      <w:color w:val="auto"/>
      <w:kern w:val="2"/>
      <w:sz w:val="16"/>
      <w:szCs w:val="16"/>
    </w:rPr>
  </w:style>
  <w:style w:type="paragraph" w:styleId="62">
    <w:name w:val="table of figures"/>
    <w:basedOn w:val="1"/>
    <w:next w:val="1"/>
    <w:qFormat/>
    <w:uiPriority w:val="0"/>
  </w:style>
  <w:style w:type="paragraph" w:styleId="63">
    <w:name w:val="toc 2"/>
    <w:basedOn w:val="1"/>
    <w:next w:val="1"/>
    <w:qFormat/>
    <w:uiPriority w:val="39"/>
    <w:pPr>
      <w:ind w:left="420" w:leftChars="200"/>
    </w:pPr>
  </w:style>
  <w:style w:type="paragraph" w:styleId="64">
    <w:name w:val="toc 9"/>
    <w:basedOn w:val="1"/>
    <w:next w:val="1"/>
    <w:qFormat/>
    <w:uiPriority w:val="39"/>
    <w:pPr>
      <w:ind w:left="3360" w:leftChars="1600"/>
    </w:pPr>
  </w:style>
  <w:style w:type="paragraph" w:styleId="65">
    <w:name w:val="Body Text 2"/>
    <w:basedOn w:val="1"/>
    <w:link w:val="124"/>
    <w:qFormat/>
    <w:uiPriority w:val="0"/>
    <w:pPr>
      <w:spacing w:after="120" w:line="480" w:lineRule="auto"/>
    </w:pPr>
    <w:rPr>
      <w:rFonts w:ascii="Times New Roman" w:hAnsi="Times New Roman"/>
      <w:b w:val="0"/>
      <w:color w:val="auto"/>
      <w:kern w:val="2"/>
      <w:sz w:val="18"/>
      <w:szCs w:val="18"/>
    </w:rPr>
  </w:style>
  <w:style w:type="paragraph" w:styleId="66">
    <w:name w:val="List 4"/>
    <w:basedOn w:val="1"/>
    <w:qFormat/>
    <w:uiPriority w:val="0"/>
    <w:pPr>
      <w:ind w:left="100" w:leftChars="600" w:hanging="200" w:hangingChars="200"/>
    </w:pPr>
    <w:rPr>
      <w:rFonts w:ascii="Calibri" w:hAnsi="Calibri"/>
      <w:szCs w:val="22"/>
    </w:rPr>
  </w:style>
  <w:style w:type="paragraph" w:styleId="67">
    <w:name w:val="List Continue 2"/>
    <w:basedOn w:val="1"/>
    <w:qFormat/>
    <w:uiPriority w:val="0"/>
    <w:pPr>
      <w:spacing w:after="120"/>
      <w:ind w:left="840" w:leftChars="400"/>
    </w:pPr>
    <w:rPr>
      <w:rFonts w:ascii="Calibri" w:hAnsi="Calibri"/>
      <w:szCs w:val="22"/>
    </w:rPr>
  </w:style>
  <w:style w:type="paragraph" w:styleId="68">
    <w:name w:val="Message Header"/>
    <w:basedOn w:val="1"/>
    <w:link w:val="12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b w:val="0"/>
      <w:color w:val="auto"/>
      <w:kern w:val="2"/>
      <w:sz w:val="24"/>
      <w:szCs w:val="24"/>
      <w:shd w:val="pct20" w:color="auto" w:fill="auto"/>
    </w:rPr>
  </w:style>
  <w:style w:type="paragraph" w:styleId="69">
    <w:name w:val="HTML Preformatted"/>
    <w:basedOn w:val="1"/>
    <w:link w:val="126"/>
    <w:qFormat/>
    <w:uiPriority w:val="0"/>
    <w:rPr>
      <w:rFonts w:ascii="Courier New" w:hAnsi="Courier New"/>
      <w:b w:val="0"/>
      <w:color w:val="auto"/>
      <w:kern w:val="2"/>
      <w:sz w:val="20"/>
      <w:szCs w:val="20"/>
    </w:rPr>
  </w:style>
  <w:style w:type="paragraph" w:styleId="70">
    <w:name w:val="Normal (Web)"/>
    <w:basedOn w:val="1"/>
    <w:qFormat/>
    <w:uiPriority w:val="99"/>
    <w:pPr>
      <w:widowControl/>
      <w:spacing w:before="100" w:beforeAutospacing="1" w:after="100" w:afterAutospacing="1"/>
      <w:jc w:val="left"/>
    </w:pPr>
    <w:rPr>
      <w:sz w:val="18"/>
      <w:szCs w:val="18"/>
    </w:rPr>
  </w:style>
  <w:style w:type="paragraph" w:styleId="71">
    <w:name w:val="List Continue 3"/>
    <w:basedOn w:val="1"/>
    <w:qFormat/>
    <w:uiPriority w:val="0"/>
    <w:pPr>
      <w:spacing w:after="120"/>
      <w:ind w:left="1260" w:leftChars="600"/>
    </w:pPr>
    <w:rPr>
      <w:rFonts w:ascii="Calibri" w:hAnsi="Calibri"/>
      <w:szCs w:val="22"/>
    </w:rPr>
  </w:style>
  <w:style w:type="paragraph" w:styleId="72">
    <w:name w:val="index 1"/>
    <w:basedOn w:val="1"/>
    <w:next w:val="1"/>
    <w:qFormat/>
    <w:uiPriority w:val="0"/>
    <w:rPr>
      <w:szCs w:val="20"/>
    </w:rPr>
  </w:style>
  <w:style w:type="paragraph" w:styleId="73">
    <w:name w:val="Title"/>
    <w:basedOn w:val="1"/>
    <w:link w:val="127"/>
    <w:qFormat/>
    <w:uiPriority w:val="0"/>
    <w:pPr>
      <w:spacing w:before="240" w:after="60"/>
      <w:jc w:val="center"/>
      <w:outlineLvl w:val="0"/>
    </w:pPr>
    <w:rPr>
      <w:rFonts w:ascii="Arial" w:hAnsi="Arial"/>
      <w:bCs/>
      <w:color w:val="auto"/>
      <w:kern w:val="2"/>
      <w:sz w:val="44"/>
    </w:rPr>
  </w:style>
  <w:style w:type="paragraph" w:styleId="74">
    <w:name w:val="annotation subject"/>
    <w:basedOn w:val="24"/>
    <w:next w:val="24"/>
    <w:link w:val="128"/>
    <w:qFormat/>
    <w:uiPriority w:val="99"/>
    <w:rPr>
      <w:rFonts w:ascii="Times New Roman" w:hAnsi="Times New Roman"/>
      <w:bCs/>
      <w:color w:val="auto"/>
      <w:kern w:val="2"/>
      <w:sz w:val="18"/>
      <w:szCs w:val="18"/>
    </w:rPr>
  </w:style>
  <w:style w:type="paragraph" w:styleId="75">
    <w:name w:val="Body Text First Indent"/>
    <w:basedOn w:val="29"/>
    <w:link w:val="129"/>
    <w:qFormat/>
    <w:uiPriority w:val="0"/>
    <w:pPr>
      <w:ind w:firstLine="420" w:firstLineChars="100"/>
    </w:pPr>
    <w:rPr>
      <w:sz w:val="18"/>
      <w:szCs w:val="18"/>
    </w:rPr>
  </w:style>
  <w:style w:type="paragraph" w:styleId="76">
    <w:name w:val="Body Text First Indent 2"/>
    <w:basedOn w:val="30"/>
    <w:link w:val="130"/>
    <w:qFormat/>
    <w:uiPriority w:val="0"/>
    <w:pPr>
      <w:spacing w:after="120"/>
      <w:ind w:left="420" w:leftChars="200" w:firstLine="420"/>
    </w:pPr>
    <w:rPr>
      <w:rFonts w:ascii="Calibri" w:hAnsi="Calibri"/>
      <w:kern w:val="2"/>
      <w:sz w:val="21"/>
      <w:szCs w:val="22"/>
    </w:rPr>
  </w:style>
  <w:style w:type="character" w:styleId="79">
    <w:name w:val="Strong"/>
    <w:qFormat/>
    <w:uiPriority w:val="22"/>
    <w:rPr>
      <w:b/>
      <w:bCs/>
    </w:rPr>
  </w:style>
  <w:style w:type="character" w:styleId="80">
    <w:name w:val="page number"/>
    <w:basedOn w:val="78"/>
    <w:qFormat/>
    <w:uiPriority w:val="0"/>
  </w:style>
  <w:style w:type="character" w:styleId="81">
    <w:name w:val="FollowedHyperlink"/>
    <w:qFormat/>
    <w:uiPriority w:val="99"/>
    <w:rPr>
      <w:color w:val="800080"/>
      <w:u w:val="single"/>
    </w:rPr>
  </w:style>
  <w:style w:type="character" w:styleId="82">
    <w:name w:val="Emphasis"/>
    <w:qFormat/>
    <w:uiPriority w:val="0"/>
    <w:rPr>
      <w:i/>
      <w:iCs/>
    </w:rPr>
  </w:style>
  <w:style w:type="character" w:styleId="83">
    <w:name w:val="line number"/>
    <w:qFormat/>
    <w:uiPriority w:val="0"/>
  </w:style>
  <w:style w:type="character" w:styleId="84">
    <w:name w:val="HTML Definition"/>
    <w:qFormat/>
    <w:uiPriority w:val="0"/>
    <w:rPr>
      <w:i/>
      <w:iCs/>
    </w:rPr>
  </w:style>
  <w:style w:type="character" w:styleId="85">
    <w:name w:val="HTML Typewriter"/>
    <w:qFormat/>
    <w:uiPriority w:val="0"/>
    <w:rPr>
      <w:rFonts w:ascii="Courier New" w:hAnsi="Courier New" w:cs="Courier New"/>
      <w:sz w:val="20"/>
      <w:szCs w:val="20"/>
    </w:rPr>
  </w:style>
  <w:style w:type="character" w:styleId="86">
    <w:name w:val="HTML Acronym"/>
    <w:qFormat/>
    <w:uiPriority w:val="0"/>
  </w:style>
  <w:style w:type="character" w:styleId="87">
    <w:name w:val="HTML Variable"/>
    <w:qFormat/>
    <w:uiPriority w:val="0"/>
    <w:rPr>
      <w:i/>
      <w:iCs/>
    </w:rPr>
  </w:style>
  <w:style w:type="character" w:styleId="88">
    <w:name w:val="Hyperlink"/>
    <w:qFormat/>
    <w:uiPriority w:val="99"/>
    <w:rPr>
      <w:color w:val="0000FF"/>
      <w:u w:val="single"/>
    </w:rPr>
  </w:style>
  <w:style w:type="character" w:styleId="89">
    <w:name w:val="HTML Code"/>
    <w:qFormat/>
    <w:uiPriority w:val="0"/>
    <w:rPr>
      <w:rFonts w:ascii="Courier New" w:hAnsi="Courier New" w:cs="Courier New"/>
      <w:sz w:val="20"/>
      <w:szCs w:val="20"/>
    </w:rPr>
  </w:style>
  <w:style w:type="character" w:styleId="90">
    <w:name w:val="annotation reference"/>
    <w:qFormat/>
    <w:uiPriority w:val="0"/>
    <w:rPr>
      <w:sz w:val="21"/>
      <w:szCs w:val="21"/>
    </w:rPr>
  </w:style>
  <w:style w:type="character" w:styleId="91">
    <w:name w:val="HTML Cite"/>
    <w:qFormat/>
    <w:uiPriority w:val="0"/>
    <w:rPr>
      <w:i/>
      <w:iCs/>
    </w:rPr>
  </w:style>
  <w:style w:type="character" w:styleId="92">
    <w:name w:val="HTML Keyboard"/>
    <w:qFormat/>
    <w:uiPriority w:val="0"/>
    <w:rPr>
      <w:rFonts w:ascii="Courier New" w:hAnsi="Courier New" w:cs="Courier New"/>
      <w:sz w:val="20"/>
      <w:szCs w:val="20"/>
    </w:rPr>
  </w:style>
  <w:style w:type="character" w:styleId="93">
    <w:name w:val="HTML Sample"/>
    <w:qFormat/>
    <w:uiPriority w:val="0"/>
    <w:rPr>
      <w:rFonts w:ascii="Courier New" w:hAnsi="Courier New" w:cs="Courier New"/>
    </w:rPr>
  </w:style>
  <w:style w:type="character" w:customStyle="1" w:styleId="94">
    <w:name w:val="正文格式 Char Char"/>
    <w:link w:val="2"/>
    <w:qFormat/>
    <w:uiPriority w:val="0"/>
    <w:rPr>
      <w:rFonts w:ascii="宋体" w:hAnsi="宋体"/>
      <w:bCs/>
      <w:color w:val="000000"/>
      <w:sz w:val="24"/>
      <w:szCs w:val="24"/>
    </w:rPr>
  </w:style>
  <w:style w:type="character" w:customStyle="1" w:styleId="95">
    <w:name w:val="标题 1 字符"/>
    <w:link w:val="3"/>
    <w:qFormat/>
    <w:uiPriority w:val="0"/>
    <w:rPr>
      <w:rFonts w:ascii="宋体" w:hAnsi="宋体"/>
      <w:color w:val="000000"/>
      <w:kern w:val="44"/>
      <w:sz w:val="32"/>
      <w:szCs w:val="32"/>
    </w:rPr>
  </w:style>
  <w:style w:type="character" w:customStyle="1" w:styleId="96">
    <w:name w:val="标题 3 字符"/>
    <w:link w:val="5"/>
    <w:qFormat/>
    <w:uiPriority w:val="0"/>
    <w:rPr>
      <w:b/>
      <w:bCs/>
      <w:color w:val="000000"/>
      <w:kern w:val="2"/>
      <w:sz w:val="28"/>
      <w:szCs w:val="28"/>
    </w:rPr>
  </w:style>
  <w:style w:type="character" w:customStyle="1" w:styleId="97">
    <w:name w:val="标题 4 字符"/>
    <w:link w:val="6"/>
    <w:qFormat/>
    <w:uiPriority w:val="0"/>
    <w:rPr>
      <w:rFonts w:ascii="宋体" w:hAnsi="宋体"/>
      <w:bCs/>
      <w:kern w:val="2"/>
      <w:sz w:val="28"/>
      <w:szCs w:val="28"/>
    </w:rPr>
  </w:style>
  <w:style w:type="character" w:customStyle="1" w:styleId="98">
    <w:name w:val="标题 5 字符"/>
    <w:link w:val="7"/>
    <w:qFormat/>
    <w:uiPriority w:val="0"/>
    <w:rPr>
      <w:b/>
      <w:bCs/>
      <w:sz w:val="28"/>
      <w:szCs w:val="28"/>
    </w:rPr>
  </w:style>
  <w:style w:type="character" w:customStyle="1" w:styleId="99">
    <w:name w:val="标题 6 字符"/>
    <w:link w:val="8"/>
    <w:qFormat/>
    <w:uiPriority w:val="0"/>
    <w:rPr>
      <w:rFonts w:ascii="Arial" w:hAnsi="Arial"/>
      <w:b/>
      <w:bCs/>
      <w:sz w:val="28"/>
      <w:szCs w:val="18"/>
    </w:rPr>
  </w:style>
  <w:style w:type="character" w:customStyle="1" w:styleId="100">
    <w:name w:val="标题 7 字符"/>
    <w:link w:val="9"/>
    <w:qFormat/>
    <w:uiPriority w:val="0"/>
    <w:rPr>
      <w:b/>
      <w:bCs/>
      <w:kern w:val="2"/>
      <w:sz w:val="24"/>
      <w:szCs w:val="24"/>
    </w:rPr>
  </w:style>
  <w:style w:type="character" w:customStyle="1" w:styleId="101">
    <w:name w:val="标题 8 字符"/>
    <w:link w:val="10"/>
    <w:qFormat/>
    <w:uiPriority w:val="0"/>
    <w:rPr>
      <w:rFonts w:ascii="Cambria" w:hAnsi="Cambria" w:eastAsia="宋体" w:cs="Times New Roman"/>
      <w:kern w:val="2"/>
      <w:sz w:val="24"/>
      <w:szCs w:val="24"/>
    </w:rPr>
  </w:style>
  <w:style w:type="character" w:customStyle="1" w:styleId="102">
    <w:name w:val="标题 9 字符"/>
    <w:link w:val="11"/>
    <w:qFormat/>
    <w:uiPriority w:val="0"/>
    <w:rPr>
      <w:rFonts w:ascii="Arial" w:hAnsi="Arial" w:eastAsia="黑体"/>
      <w:kern w:val="2"/>
      <w:sz w:val="21"/>
      <w:szCs w:val="21"/>
    </w:rPr>
  </w:style>
  <w:style w:type="character" w:customStyle="1" w:styleId="103">
    <w:name w:val="注释标题 字符"/>
    <w:link w:val="15"/>
    <w:qFormat/>
    <w:uiPriority w:val="0"/>
    <w:rPr>
      <w:rFonts w:ascii="Calibri" w:hAnsi="Calibri"/>
      <w:kern w:val="2"/>
      <w:sz w:val="21"/>
      <w:szCs w:val="22"/>
    </w:rPr>
  </w:style>
  <w:style w:type="character" w:customStyle="1" w:styleId="104">
    <w:name w:val="电子邮件签名 字符"/>
    <w:link w:val="17"/>
    <w:qFormat/>
    <w:uiPriority w:val="0"/>
    <w:rPr>
      <w:rFonts w:ascii="Calibri" w:hAnsi="Calibri"/>
      <w:kern w:val="2"/>
      <w:sz w:val="21"/>
      <w:szCs w:val="22"/>
    </w:rPr>
  </w:style>
  <w:style w:type="character" w:customStyle="1" w:styleId="105">
    <w:name w:val="正文缩进 字符"/>
    <w:link w:val="19"/>
    <w:qFormat/>
    <w:uiPriority w:val="0"/>
    <w:rPr>
      <w:rFonts w:eastAsia="宋体"/>
      <w:kern w:val="2"/>
      <w:sz w:val="21"/>
      <w:szCs w:val="24"/>
      <w:lang w:val="en-US" w:eastAsia="zh-CN" w:bidi="ar-SA"/>
    </w:rPr>
  </w:style>
  <w:style w:type="character" w:customStyle="1" w:styleId="106">
    <w:name w:val="文档结构图 字符"/>
    <w:link w:val="23"/>
    <w:qFormat/>
    <w:uiPriority w:val="0"/>
    <w:rPr>
      <w:rFonts w:ascii="宋体"/>
      <w:kern w:val="2"/>
      <w:sz w:val="18"/>
      <w:szCs w:val="18"/>
    </w:rPr>
  </w:style>
  <w:style w:type="character" w:customStyle="1" w:styleId="107">
    <w:name w:val="批注文字 字符1"/>
    <w:link w:val="24"/>
    <w:qFormat/>
    <w:uiPriority w:val="0"/>
  </w:style>
  <w:style w:type="character" w:customStyle="1" w:styleId="108">
    <w:name w:val="称呼 字符"/>
    <w:link w:val="25"/>
    <w:qFormat/>
    <w:uiPriority w:val="0"/>
    <w:rPr>
      <w:rFonts w:eastAsia="黑体"/>
      <w:kern w:val="2"/>
      <w:sz w:val="24"/>
      <w:szCs w:val="24"/>
    </w:rPr>
  </w:style>
  <w:style w:type="character" w:customStyle="1" w:styleId="109">
    <w:name w:val="正文文本 3 字符"/>
    <w:link w:val="26"/>
    <w:qFormat/>
    <w:uiPriority w:val="0"/>
    <w:rPr>
      <w:sz w:val="16"/>
      <w:szCs w:val="16"/>
    </w:rPr>
  </w:style>
  <w:style w:type="character" w:customStyle="1" w:styleId="110">
    <w:name w:val="结束语 字符"/>
    <w:link w:val="27"/>
    <w:qFormat/>
    <w:uiPriority w:val="0"/>
    <w:rPr>
      <w:rFonts w:ascii="Calibri" w:hAnsi="Calibri"/>
      <w:kern w:val="2"/>
      <w:sz w:val="21"/>
      <w:szCs w:val="22"/>
    </w:rPr>
  </w:style>
  <w:style w:type="character" w:customStyle="1" w:styleId="111">
    <w:name w:val="正文文本 字符"/>
    <w:link w:val="29"/>
    <w:qFormat/>
    <w:uiPriority w:val="0"/>
    <w:rPr>
      <w:kern w:val="2"/>
      <w:sz w:val="21"/>
      <w:szCs w:val="24"/>
    </w:rPr>
  </w:style>
  <w:style w:type="character" w:customStyle="1" w:styleId="112">
    <w:name w:val="正文文本缩进 字符"/>
    <w:link w:val="30"/>
    <w:qFormat/>
    <w:uiPriority w:val="0"/>
    <w:rPr>
      <w:rFonts w:ascii="Times New Roman" w:hAnsi="Times New Roman" w:eastAsia="宋体" w:cs="Times New Roman"/>
      <w:szCs w:val="24"/>
    </w:rPr>
  </w:style>
  <w:style w:type="character" w:customStyle="1" w:styleId="113">
    <w:name w:val="HTML 地址 字符"/>
    <w:link w:val="36"/>
    <w:qFormat/>
    <w:uiPriority w:val="0"/>
    <w:rPr>
      <w:rFonts w:ascii="Calibri" w:hAnsi="Calibri"/>
      <w:i/>
      <w:iCs/>
      <w:kern w:val="2"/>
      <w:sz w:val="21"/>
      <w:szCs w:val="22"/>
    </w:rPr>
  </w:style>
  <w:style w:type="character" w:customStyle="1" w:styleId="114">
    <w:name w:val="纯文本 字符"/>
    <w:link w:val="39"/>
    <w:qFormat/>
    <w:uiPriority w:val="0"/>
    <w:rPr>
      <w:rFonts w:ascii="宋体" w:hAnsi="Courier New" w:eastAsia="宋体"/>
      <w:kern w:val="2"/>
      <w:sz w:val="21"/>
      <w:lang w:val="en-US" w:eastAsia="zh-CN" w:bidi="ar-SA"/>
    </w:rPr>
  </w:style>
  <w:style w:type="character" w:customStyle="1" w:styleId="115">
    <w:name w:val="日期 字符"/>
    <w:link w:val="44"/>
    <w:qFormat/>
    <w:uiPriority w:val="0"/>
    <w:rPr>
      <w:kern w:val="2"/>
      <w:sz w:val="24"/>
      <w:szCs w:val="24"/>
    </w:rPr>
  </w:style>
  <w:style w:type="character" w:customStyle="1" w:styleId="116">
    <w:name w:val="正文文本缩进 2 字符"/>
    <w:link w:val="45"/>
    <w:qFormat/>
    <w:uiPriority w:val="0"/>
  </w:style>
  <w:style w:type="character" w:customStyle="1" w:styleId="117">
    <w:name w:val="批注框文本 字符"/>
    <w:link w:val="47"/>
    <w:qFormat/>
    <w:uiPriority w:val="0"/>
    <w:rPr>
      <w:kern w:val="2"/>
      <w:sz w:val="18"/>
      <w:szCs w:val="18"/>
    </w:rPr>
  </w:style>
  <w:style w:type="character" w:customStyle="1" w:styleId="118">
    <w:name w:val="页脚 字符1"/>
    <w:link w:val="48"/>
    <w:qFormat/>
    <w:uiPriority w:val="0"/>
    <w:rPr>
      <w:kern w:val="2"/>
      <w:sz w:val="18"/>
    </w:rPr>
  </w:style>
  <w:style w:type="character" w:customStyle="1" w:styleId="119">
    <w:name w:val="页眉 字符"/>
    <w:link w:val="50"/>
    <w:qFormat/>
    <w:uiPriority w:val="0"/>
    <w:rPr>
      <w:kern w:val="2"/>
      <w:sz w:val="18"/>
    </w:rPr>
  </w:style>
  <w:style w:type="character" w:customStyle="1" w:styleId="120">
    <w:name w:val="签名 字符"/>
    <w:link w:val="51"/>
    <w:qFormat/>
    <w:uiPriority w:val="0"/>
    <w:rPr>
      <w:rFonts w:ascii="Calibri" w:hAnsi="Calibri"/>
      <w:kern w:val="2"/>
      <w:sz w:val="21"/>
      <w:szCs w:val="22"/>
    </w:rPr>
  </w:style>
  <w:style w:type="character" w:customStyle="1" w:styleId="121">
    <w:name w:val="副标题 字符"/>
    <w:link w:val="55"/>
    <w:qFormat/>
    <w:uiPriority w:val="0"/>
    <w:rPr>
      <w:rFonts w:ascii="Arial" w:hAnsi="Arial" w:cs="Arial"/>
      <w:b/>
      <w:bCs/>
      <w:kern w:val="28"/>
      <w:sz w:val="32"/>
      <w:szCs w:val="32"/>
    </w:rPr>
  </w:style>
  <w:style w:type="character" w:customStyle="1" w:styleId="122">
    <w:name w:val="脚注文本 字符"/>
    <w:link w:val="58"/>
    <w:qFormat/>
    <w:uiPriority w:val="0"/>
    <w:rPr>
      <w:kern w:val="2"/>
      <w:sz w:val="18"/>
      <w:szCs w:val="18"/>
    </w:rPr>
  </w:style>
  <w:style w:type="character" w:customStyle="1" w:styleId="123">
    <w:name w:val="正文文本缩进 3 字符"/>
    <w:link w:val="61"/>
    <w:qFormat/>
    <w:uiPriority w:val="0"/>
    <w:rPr>
      <w:kern w:val="2"/>
      <w:sz w:val="16"/>
      <w:szCs w:val="16"/>
    </w:rPr>
  </w:style>
  <w:style w:type="character" w:customStyle="1" w:styleId="124">
    <w:name w:val="正文文本 2 字符"/>
    <w:link w:val="65"/>
    <w:qFormat/>
    <w:uiPriority w:val="0"/>
    <w:rPr>
      <w:kern w:val="2"/>
      <w:sz w:val="18"/>
      <w:szCs w:val="18"/>
    </w:rPr>
  </w:style>
  <w:style w:type="character" w:customStyle="1" w:styleId="125">
    <w:name w:val="信息标题 字符"/>
    <w:link w:val="68"/>
    <w:qFormat/>
    <w:uiPriority w:val="0"/>
    <w:rPr>
      <w:rFonts w:ascii="Arial" w:hAnsi="Arial" w:cs="Arial"/>
      <w:kern w:val="2"/>
      <w:sz w:val="24"/>
      <w:szCs w:val="24"/>
      <w:shd w:val="pct20" w:color="auto" w:fill="auto"/>
    </w:rPr>
  </w:style>
  <w:style w:type="character" w:customStyle="1" w:styleId="126">
    <w:name w:val="HTML 预设格式 字符"/>
    <w:link w:val="69"/>
    <w:qFormat/>
    <w:uiPriority w:val="0"/>
    <w:rPr>
      <w:rFonts w:ascii="Courier New" w:hAnsi="Courier New" w:cs="Courier New"/>
      <w:kern w:val="2"/>
    </w:rPr>
  </w:style>
  <w:style w:type="character" w:customStyle="1" w:styleId="127">
    <w:name w:val="标题 字符"/>
    <w:link w:val="73"/>
    <w:qFormat/>
    <w:uiPriority w:val="0"/>
    <w:rPr>
      <w:rFonts w:ascii="Arial" w:hAnsi="Arial"/>
      <w:b/>
      <w:bCs/>
      <w:kern w:val="2"/>
      <w:sz w:val="44"/>
      <w:szCs w:val="32"/>
    </w:rPr>
  </w:style>
  <w:style w:type="character" w:customStyle="1" w:styleId="128">
    <w:name w:val="批注主题 字符"/>
    <w:link w:val="74"/>
    <w:qFormat/>
    <w:uiPriority w:val="99"/>
    <w:rPr>
      <w:b/>
      <w:bCs/>
      <w:kern w:val="2"/>
      <w:sz w:val="18"/>
      <w:szCs w:val="18"/>
    </w:rPr>
  </w:style>
  <w:style w:type="character" w:customStyle="1" w:styleId="129">
    <w:name w:val="正文文本首行缩进 字符"/>
    <w:link w:val="75"/>
    <w:qFormat/>
    <w:uiPriority w:val="0"/>
    <w:rPr>
      <w:kern w:val="2"/>
      <w:sz w:val="18"/>
      <w:szCs w:val="18"/>
    </w:rPr>
  </w:style>
  <w:style w:type="character" w:customStyle="1" w:styleId="130">
    <w:name w:val="正文文本首行缩进 2 字符"/>
    <w:link w:val="76"/>
    <w:qFormat/>
    <w:uiPriority w:val="0"/>
    <w:rPr>
      <w:rFonts w:ascii="Calibri" w:hAnsi="Calibri"/>
      <w:kern w:val="2"/>
      <w:sz w:val="21"/>
      <w:szCs w:val="22"/>
    </w:rPr>
  </w:style>
  <w:style w:type="character" w:customStyle="1" w:styleId="131">
    <w:name w:val="Header Char2"/>
    <w:semiHidden/>
    <w:qFormat/>
    <w:locked/>
    <w:uiPriority w:val="0"/>
    <w:rPr>
      <w:rFonts w:ascii="Times New Roman" w:hAnsi="Times New Roman" w:cs="Times New Roman"/>
      <w:sz w:val="18"/>
      <w:szCs w:val="18"/>
    </w:rPr>
  </w:style>
  <w:style w:type="character" w:customStyle="1" w:styleId="132">
    <w:name w:val="信息标题 Char1"/>
    <w:qFormat/>
    <w:uiPriority w:val="99"/>
    <w:rPr>
      <w:rFonts w:ascii="Cambria" w:hAnsi="Cambria" w:eastAsia="宋体" w:cs="Times New Roman"/>
      <w:kern w:val="2"/>
      <w:sz w:val="24"/>
      <w:szCs w:val="24"/>
      <w:shd w:val="pct20" w:color="auto" w:fill="auto"/>
    </w:rPr>
  </w:style>
  <w:style w:type="character" w:customStyle="1" w:styleId="133">
    <w:name w:val="MM Topic 3 Char"/>
    <w:qFormat/>
    <w:locked/>
    <w:uiPriority w:val="0"/>
    <w:rPr>
      <w:b/>
      <w:sz w:val="32"/>
    </w:rPr>
  </w:style>
  <w:style w:type="character" w:customStyle="1" w:styleId="134">
    <w:name w:val="标题 2 Char"/>
    <w:qFormat/>
    <w:uiPriority w:val="0"/>
    <w:rPr>
      <w:rFonts w:ascii="Arial" w:hAnsi="Arial"/>
      <w:b/>
      <w:bCs/>
      <w:sz w:val="28"/>
      <w:szCs w:val="32"/>
    </w:rPr>
  </w:style>
  <w:style w:type="character" w:customStyle="1" w:styleId="135">
    <w:name w:val="Char Char9"/>
    <w:qFormat/>
    <w:uiPriority w:val="0"/>
    <w:rPr>
      <w:kern w:val="2"/>
      <w:sz w:val="18"/>
      <w:szCs w:val="18"/>
    </w:rPr>
  </w:style>
  <w:style w:type="character" w:customStyle="1" w:styleId="136">
    <w:name w:val="keyword"/>
    <w:basedOn w:val="78"/>
    <w:qFormat/>
    <w:uiPriority w:val="0"/>
  </w:style>
  <w:style w:type="character" w:customStyle="1" w:styleId="137">
    <w:name w:val="Header Char3"/>
    <w:semiHidden/>
    <w:qFormat/>
    <w:locked/>
    <w:uiPriority w:val="0"/>
    <w:rPr>
      <w:rFonts w:ascii="Times New Roman" w:hAnsi="Times New Roman" w:cs="Times New Roman"/>
      <w:sz w:val="18"/>
      <w:szCs w:val="18"/>
    </w:rPr>
  </w:style>
  <w:style w:type="character" w:customStyle="1" w:styleId="138">
    <w:name w:val="Char Char5"/>
    <w:qFormat/>
    <w:uiPriority w:val="0"/>
    <w:rPr>
      <w:kern w:val="2"/>
      <w:sz w:val="21"/>
      <w:szCs w:val="24"/>
    </w:rPr>
  </w:style>
  <w:style w:type="character" w:customStyle="1" w:styleId="139">
    <w:name w:val="MM Topic 3 Char Char"/>
    <w:link w:val="140"/>
    <w:qFormat/>
    <w:uiPriority w:val="0"/>
    <w:rPr>
      <w:rFonts w:hint="eastAsia" w:ascii="宋体" w:hAnsi="宋体" w:eastAsia="宋体"/>
      <w:b/>
      <w:bCs/>
      <w:color w:val="000000"/>
      <w:kern w:val="2"/>
      <w:sz w:val="28"/>
      <w:szCs w:val="28"/>
    </w:rPr>
  </w:style>
  <w:style w:type="paragraph" w:customStyle="1" w:styleId="140">
    <w:name w:val="MM Topic 3"/>
    <w:basedOn w:val="5"/>
    <w:link w:val="139"/>
    <w:qFormat/>
    <w:uiPriority w:val="0"/>
    <w:pPr>
      <w:numPr>
        <w:numId w:val="0"/>
      </w:numPr>
      <w:tabs>
        <w:tab w:val="left" w:pos="1418"/>
        <w:tab w:val="clear" w:pos="709"/>
      </w:tabs>
      <w:spacing w:before="260" w:after="260" w:line="416" w:lineRule="auto"/>
    </w:pPr>
    <w:rPr>
      <w:rFonts w:hint="eastAsia" w:ascii="宋体" w:hAnsi="宋体"/>
    </w:rPr>
  </w:style>
  <w:style w:type="character" w:customStyle="1" w:styleId="141">
    <w:name w:val="Char Char6"/>
    <w:qFormat/>
    <w:uiPriority w:val="0"/>
    <w:rPr>
      <w:rFonts w:ascii="宋体" w:hAnsi="宋体" w:eastAsia="宋体" w:cs="Times New Roman"/>
      <w:szCs w:val="24"/>
    </w:rPr>
  </w:style>
  <w:style w:type="character" w:customStyle="1" w:styleId="142">
    <w:name w:val="正文文本 2 Char1"/>
    <w:qFormat/>
    <w:uiPriority w:val="0"/>
    <w:rPr>
      <w:kern w:val="2"/>
      <w:sz w:val="21"/>
      <w:szCs w:val="24"/>
    </w:rPr>
  </w:style>
  <w:style w:type="character" w:customStyle="1" w:styleId="143">
    <w:name w:val="标书正文:  0.74 厘米 Char Char"/>
    <w:qFormat/>
    <w:uiPriority w:val="0"/>
    <w:rPr>
      <w:kern w:val="2"/>
      <w:sz w:val="24"/>
    </w:rPr>
  </w:style>
  <w:style w:type="character" w:customStyle="1" w:styleId="144">
    <w:name w:val="正文1 Char Char"/>
    <w:link w:val="145"/>
    <w:qFormat/>
    <w:uiPriority w:val="0"/>
    <w:rPr>
      <w:rFonts w:ascii="Arial" w:hAnsi="Arial"/>
      <w:bCs/>
      <w:color w:val="000000"/>
      <w:sz w:val="30"/>
      <w:szCs w:val="30"/>
    </w:rPr>
  </w:style>
  <w:style w:type="paragraph" w:customStyle="1" w:styleId="145">
    <w:name w:val="正文1"/>
    <w:basedOn w:val="1"/>
    <w:link w:val="144"/>
    <w:qFormat/>
    <w:uiPriority w:val="0"/>
    <w:pPr>
      <w:ind w:firstLine="567"/>
    </w:pPr>
    <w:rPr>
      <w:rFonts w:ascii="Arial" w:hAnsi="Arial"/>
      <w:b w:val="0"/>
      <w:bCs/>
      <w:color w:val="000000"/>
      <w:sz w:val="30"/>
      <w:szCs w:val="30"/>
    </w:rPr>
  </w:style>
  <w:style w:type="character" w:customStyle="1" w:styleId="146">
    <w:name w:val="Char Char4"/>
    <w:qFormat/>
    <w:uiPriority w:val="0"/>
    <w:rPr>
      <w:rFonts w:ascii="宋体" w:hAnsi="Courier New" w:eastAsia="宋体"/>
      <w:kern w:val="2"/>
      <w:sz w:val="21"/>
      <w:lang w:val="en-US" w:eastAsia="zh-CN"/>
    </w:rPr>
  </w:style>
  <w:style w:type="character" w:customStyle="1" w:styleId="147">
    <w:name w:val="标题 Char1"/>
    <w:qFormat/>
    <w:uiPriority w:val="10"/>
    <w:rPr>
      <w:rFonts w:ascii="Cambria" w:hAnsi="Cambria" w:cs="Times New Roman"/>
      <w:b/>
      <w:bCs/>
      <w:kern w:val="2"/>
      <w:sz w:val="32"/>
      <w:szCs w:val="32"/>
    </w:rPr>
  </w:style>
  <w:style w:type="character" w:customStyle="1" w:styleId="148">
    <w:name w:val="Char Char61"/>
    <w:qFormat/>
    <w:uiPriority w:val="0"/>
    <w:rPr>
      <w:kern w:val="2"/>
      <w:sz w:val="21"/>
      <w:szCs w:val="24"/>
    </w:rPr>
  </w:style>
  <w:style w:type="character" w:customStyle="1" w:styleId="149">
    <w:name w:val="普通正文 Char Char"/>
    <w:link w:val="150"/>
    <w:qFormat/>
    <w:uiPriority w:val="0"/>
    <w:rPr>
      <w:rFonts w:ascii="仿宋_GB2312" w:eastAsia="仿宋_GB2312" w:cs="宋体"/>
      <w:kern w:val="2"/>
      <w:sz w:val="28"/>
    </w:rPr>
  </w:style>
  <w:style w:type="paragraph" w:customStyle="1" w:styleId="150">
    <w:name w:val="普通正文"/>
    <w:basedOn w:val="1"/>
    <w:link w:val="149"/>
    <w:qFormat/>
    <w:uiPriority w:val="0"/>
    <w:pPr>
      <w:spacing w:line="440" w:lineRule="exact"/>
      <w:ind w:firstLine="560"/>
    </w:pPr>
    <w:rPr>
      <w:rFonts w:ascii="仿宋_GB2312" w:hAnsi="Times New Roman" w:eastAsia="仿宋_GB2312"/>
      <w:b w:val="0"/>
      <w:color w:val="auto"/>
      <w:kern w:val="2"/>
      <w:sz w:val="28"/>
      <w:szCs w:val="20"/>
    </w:rPr>
  </w:style>
  <w:style w:type="character" w:customStyle="1" w:styleId="151">
    <w:name w:val="ziti12hei"/>
    <w:basedOn w:val="78"/>
    <w:qFormat/>
    <w:uiPriority w:val="0"/>
  </w:style>
  <w:style w:type="character" w:customStyle="1" w:styleId="152">
    <w:name w:val="MM Topic 4 Char Char"/>
    <w:link w:val="153"/>
    <w:qFormat/>
    <w:uiPriority w:val="0"/>
    <w:rPr>
      <w:rFonts w:hint="default" w:ascii="Arial" w:hAnsi="Arial" w:cs="Arial"/>
      <w:b/>
      <w:bCs/>
      <w:kern w:val="2"/>
      <w:sz w:val="28"/>
      <w:szCs w:val="28"/>
    </w:rPr>
  </w:style>
  <w:style w:type="paragraph" w:customStyle="1" w:styleId="153">
    <w:name w:val="MM Topic 4"/>
    <w:basedOn w:val="6"/>
    <w:link w:val="152"/>
    <w:qFormat/>
    <w:uiPriority w:val="0"/>
    <w:pPr>
      <w:numPr>
        <w:numId w:val="0"/>
      </w:numPr>
      <w:tabs>
        <w:tab w:val="left" w:pos="851"/>
        <w:tab w:val="left" w:pos="1984"/>
      </w:tabs>
    </w:pPr>
    <w:rPr>
      <w:rFonts w:ascii="Arial" w:hAnsi="Arial"/>
      <w:b/>
    </w:rPr>
  </w:style>
  <w:style w:type="character" w:customStyle="1" w:styleId="154">
    <w:name w:val="indent"/>
    <w:qFormat/>
    <w:uiPriority w:val="0"/>
    <w:rPr>
      <w:rFonts w:ascii="Verdana" w:hAnsi="Verdana" w:eastAsia="宋体"/>
      <w:lang w:val="en-US" w:eastAsia="en-US" w:bidi="ar-SA"/>
    </w:rPr>
  </w:style>
  <w:style w:type="character" w:customStyle="1" w:styleId="155">
    <w:name w:val="List Paragraph Char"/>
    <w:link w:val="156"/>
    <w:qFormat/>
    <w:locked/>
    <w:uiPriority w:val="0"/>
    <w:rPr>
      <w:sz w:val="22"/>
    </w:rPr>
  </w:style>
  <w:style w:type="paragraph" w:customStyle="1" w:styleId="156">
    <w:name w:val="列表段落1"/>
    <w:basedOn w:val="1"/>
    <w:link w:val="155"/>
    <w:qFormat/>
    <w:uiPriority w:val="0"/>
    <w:pPr>
      <w:widowControl/>
      <w:spacing w:after="200" w:line="276" w:lineRule="auto"/>
      <w:ind w:left="720"/>
      <w:contextualSpacing/>
      <w:jc w:val="left"/>
    </w:pPr>
    <w:rPr>
      <w:rFonts w:ascii="Times New Roman" w:hAnsi="Times New Roman"/>
      <w:b w:val="0"/>
      <w:color w:val="auto"/>
      <w:sz w:val="22"/>
      <w:szCs w:val="20"/>
    </w:rPr>
  </w:style>
  <w:style w:type="character" w:customStyle="1" w:styleId="157">
    <w:name w:val="正文文本缩进 2 Char1"/>
    <w:semiHidden/>
    <w:qFormat/>
    <w:locked/>
    <w:uiPriority w:val="0"/>
    <w:rPr>
      <w:rFonts w:ascii="Times New Roman" w:hAnsi="Times New Roman"/>
      <w:kern w:val="2"/>
      <w:sz w:val="21"/>
      <w:szCs w:val="24"/>
    </w:rPr>
  </w:style>
  <w:style w:type="character" w:customStyle="1" w:styleId="158">
    <w:name w:val="样式 小四2 Char Char"/>
    <w:qFormat/>
    <w:uiPriority w:val="0"/>
    <w:rPr>
      <w:rFonts w:hint="eastAsia" w:ascii="宋体" w:hAnsi="宋体" w:eastAsia="宋体"/>
      <w:kern w:val="2"/>
      <w:sz w:val="24"/>
      <w:szCs w:val="24"/>
    </w:rPr>
  </w:style>
  <w:style w:type="character" w:customStyle="1" w:styleId="159">
    <w:name w:val="Char Char18"/>
    <w:qFormat/>
    <w:uiPriority w:val="0"/>
    <w:rPr>
      <w:sz w:val="18"/>
      <w:szCs w:val="18"/>
    </w:rPr>
  </w:style>
  <w:style w:type="character" w:customStyle="1" w:styleId="160">
    <w:name w:val="文章正文 Char"/>
    <w:link w:val="161"/>
    <w:qFormat/>
    <w:locked/>
    <w:uiPriority w:val="0"/>
    <w:rPr>
      <w:kern w:val="2"/>
      <w:sz w:val="24"/>
      <w:szCs w:val="24"/>
    </w:rPr>
  </w:style>
  <w:style w:type="paragraph" w:customStyle="1" w:styleId="161">
    <w:name w:val="文章正文"/>
    <w:basedOn w:val="1"/>
    <w:link w:val="160"/>
    <w:qFormat/>
    <w:uiPriority w:val="0"/>
    <w:pPr>
      <w:ind w:firstLine="420"/>
    </w:pPr>
    <w:rPr>
      <w:rFonts w:ascii="Times New Roman" w:hAnsi="Times New Roman"/>
      <w:b w:val="0"/>
      <w:color w:val="auto"/>
      <w:kern w:val="2"/>
      <w:sz w:val="24"/>
      <w:szCs w:val="24"/>
    </w:rPr>
  </w:style>
  <w:style w:type="character" w:customStyle="1" w:styleId="162">
    <w:name w:val="表头文字 Char"/>
    <w:link w:val="163"/>
    <w:qFormat/>
    <w:uiPriority w:val="0"/>
    <w:rPr>
      <w:b/>
      <w:sz w:val="18"/>
    </w:rPr>
  </w:style>
  <w:style w:type="paragraph" w:customStyle="1" w:styleId="163">
    <w:name w:val="表头文字"/>
    <w:basedOn w:val="1"/>
    <w:link w:val="162"/>
    <w:qFormat/>
    <w:uiPriority w:val="0"/>
    <w:pPr>
      <w:keepNext/>
      <w:spacing w:before="40" w:after="40"/>
      <w:jc w:val="center"/>
    </w:pPr>
    <w:rPr>
      <w:rFonts w:ascii="Times New Roman" w:hAnsi="Times New Roman"/>
      <w:color w:val="auto"/>
      <w:sz w:val="18"/>
      <w:szCs w:val="20"/>
    </w:rPr>
  </w:style>
  <w:style w:type="character" w:customStyle="1" w:styleId="164">
    <w:name w:val="apple-converted-space"/>
    <w:basedOn w:val="78"/>
    <w:qFormat/>
    <w:uiPriority w:val="0"/>
  </w:style>
  <w:style w:type="character" w:customStyle="1" w:styleId="165">
    <w:name w:val="纯文本 Char1"/>
    <w:qFormat/>
    <w:uiPriority w:val="0"/>
    <w:rPr>
      <w:rFonts w:ascii="宋体" w:hAnsi="Courier New" w:eastAsia="宋体"/>
      <w:szCs w:val="18"/>
    </w:rPr>
  </w:style>
  <w:style w:type="character" w:customStyle="1" w:styleId="166">
    <w:name w:val="line2"/>
    <w:basedOn w:val="78"/>
    <w:qFormat/>
    <w:uiPriority w:val="0"/>
  </w:style>
  <w:style w:type="character" w:customStyle="1" w:styleId="167">
    <w:name w:val="Char Char11"/>
    <w:qFormat/>
    <w:uiPriority w:val="0"/>
    <w:rPr>
      <w:rFonts w:ascii="Times New Roman" w:hAnsi="Times New Roman" w:eastAsia="宋体" w:cs="Times New Roman"/>
      <w:szCs w:val="24"/>
    </w:rPr>
  </w:style>
  <w:style w:type="character" w:customStyle="1" w:styleId="168">
    <w:name w:val="Footer Char2"/>
    <w:semiHidden/>
    <w:qFormat/>
    <w:locked/>
    <w:uiPriority w:val="0"/>
    <w:rPr>
      <w:rFonts w:ascii="Times New Roman" w:hAnsi="Times New Roman" w:cs="Times New Roman"/>
      <w:sz w:val="18"/>
      <w:szCs w:val="18"/>
    </w:rPr>
  </w:style>
  <w:style w:type="character" w:customStyle="1" w:styleId="169">
    <w:name w:val="33333 Char Char"/>
    <w:link w:val="170"/>
    <w:qFormat/>
    <w:uiPriority w:val="0"/>
    <w:rPr>
      <w:rFonts w:ascii="宋体" w:hAnsi="宋体"/>
      <w:kern w:val="2"/>
      <w:sz w:val="28"/>
      <w:szCs w:val="30"/>
    </w:rPr>
  </w:style>
  <w:style w:type="paragraph" w:customStyle="1" w:styleId="170">
    <w:name w:val="33333"/>
    <w:basedOn w:val="1"/>
    <w:link w:val="169"/>
    <w:qFormat/>
    <w:uiPriority w:val="0"/>
    <w:pPr>
      <w:ind w:firstLine="600"/>
    </w:pPr>
    <w:rPr>
      <w:b w:val="0"/>
      <w:color w:val="auto"/>
      <w:kern w:val="2"/>
      <w:sz w:val="28"/>
      <w:szCs w:val="30"/>
    </w:rPr>
  </w:style>
  <w:style w:type="character" w:customStyle="1" w:styleId="171">
    <w:name w:val="正文首行缩进两字符 Char Char"/>
    <w:link w:val="172"/>
    <w:qFormat/>
    <w:uiPriority w:val="0"/>
    <w:rPr>
      <w:kern w:val="2"/>
      <w:sz w:val="21"/>
      <w:szCs w:val="24"/>
    </w:rPr>
  </w:style>
  <w:style w:type="paragraph" w:customStyle="1" w:styleId="172">
    <w:name w:val="正文首行缩进两字符"/>
    <w:basedOn w:val="1"/>
    <w:link w:val="171"/>
    <w:qFormat/>
    <w:uiPriority w:val="0"/>
    <w:pPr>
      <w:ind w:firstLine="200"/>
    </w:pPr>
    <w:rPr>
      <w:rFonts w:ascii="Times New Roman" w:hAnsi="Times New Roman"/>
      <w:b w:val="0"/>
      <w:color w:val="auto"/>
      <w:kern w:val="2"/>
      <w:sz w:val="21"/>
      <w:szCs w:val="24"/>
    </w:rPr>
  </w:style>
  <w:style w:type="character" w:customStyle="1" w:styleId="173">
    <w:name w:val="Char Char Char"/>
    <w:qFormat/>
    <w:uiPriority w:val="0"/>
    <w:rPr>
      <w:rFonts w:eastAsia="宋体"/>
      <w:sz w:val="18"/>
      <w:szCs w:val="18"/>
      <w:lang w:val="en-US" w:eastAsia="zh-CN" w:bidi="ar-SA"/>
    </w:rPr>
  </w:style>
  <w:style w:type="character" w:customStyle="1" w:styleId="174">
    <w:name w:val="Body Char"/>
    <w:link w:val="175"/>
    <w:qFormat/>
    <w:uiPriority w:val="0"/>
    <w:rPr>
      <w:rFonts w:ascii="仿宋_GB2312" w:hAnsi="宋体" w:eastAsia="仿宋_GB2312"/>
      <w:sz w:val="28"/>
    </w:rPr>
  </w:style>
  <w:style w:type="paragraph" w:customStyle="1" w:styleId="175">
    <w:name w:val="Body"/>
    <w:basedOn w:val="1"/>
    <w:link w:val="174"/>
    <w:qFormat/>
    <w:uiPriority w:val="0"/>
    <w:pPr>
      <w:widowControl/>
      <w:tabs>
        <w:tab w:val="left" w:pos="8835"/>
      </w:tabs>
      <w:spacing w:before="80" w:after="80" w:line="288" w:lineRule="auto"/>
      <w:ind w:firstLine="420" w:firstLineChars="150"/>
    </w:pPr>
    <w:rPr>
      <w:rFonts w:ascii="仿宋_GB2312" w:eastAsia="仿宋_GB2312"/>
      <w:b w:val="0"/>
      <w:color w:val="auto"/>
      <w:sz w:val="28"/>
      <w:szCs w:val="20"/>
    </w:rPr>
  </w:style>
  <w:style w:type="character" w:customStyle="1" w:styleId="176">
    <w:name w:val="脚注文本 Char1"/>
    <w:qFormat/>
    <w:uiPriority w:val="0"/>
    <w:rPr>
      <w:kern w:val="2"/>
      <w:sz w:val="18"/>
      <w:szCs w:val="18"/>
    </w:rPr>
  </w:style>
  <w:style w:type="character" w:customStyle="1" w:styleId="177">
    <w:name w:val="CD正文 Char Char"/>
    <w:link w:val="178"/>
    <w:qFormat/>
    <w:uiPriority w:val="0"/>
    <w:rPr>
      <w:kern w:val="2"/>
      <w:sz w:val="24"/>
    </w:rPr>
  </w:style>
  <w:style w:type="paragraph" w:customStyle="1" w:styleId="178">
    <w:name w:val="CD正文"/>
    <w:basedOn w:val="1"/>
    <w:link w:val="177"/>
    <w:qFormat/>
    <w:uiPriority w:val="0"/>
    <w:pPr>
      <w:ind w:firstLine="493"/>
    </w:pPr>
    <w:rPr>
      <w:rFonts w:ascii="Times New Roman" w:hAnsi="Times New Roman"/>
      <w:b w:val="0"/>
      <w:color w:val="auto"/>
      <w:kern w:val="2"/>
      <w:sz w:val="24"/>
      <w:szCs w:val="20"/>
    </w:rPr>
  </w:style>
  <w:style w:type="character" w:customStyle="1" w:styleId="179">
    <w:name w:val="*正文 Char"/>
    <w:link w:val="180"/>
    <w:qFormat/>
    <w:uiPriority w:val="0"/>
    <w:rPr>
      <w:rFonts w:ascii="宋体" w:hAnsi="宋体"/>
      <w:sz w:val="22"/>
      <w:szCs w:val="24"/>
    </w:rPr>
  </w:style>
  <w:style w:type="paragraph" w:customStyle="1" w:styleId="180">
    <w:name w:val="*正文"/>
    <w:basedOn w:val="1"/>
    <w:link w:val="179"/>
    <w:qFormat/>
    <w:uiPriority w:val="0"/>
    <w:pPr>
      <w:ind w:firstLine="200"/>
    </w:pPr>
    <w:rPr>
      <w:b w:val="0"/>
      <w:color w:val="auto"/>
      <w:sz w:val="22"/>
      <w:szCs w:val="24"/>
    </w:rPr>
  </w:style>
  <w:style w:type="character" w:customStyle="1" w:styleId="181">
    <w:name w:val="脚注文本 Char2"/>
    <w:qFormat/>
    <w:uiPriority w:val="99"/>
    <w:rPr>
      <w:kern w:val="2"/>
      <w:sz w:val="18"/>
      <w:szCs w:val="18"/>
    </w:rPr>
  </w:style>
  <w:style w:type="character" w:customStyle="1" w:styleId="182">
    <w:name w:val="日期 Char1"/>
    <w:semiHidden/>
    <w:qFormat/>
    <w:uiPriority w:val="0"/>
    <w:rPr>
      <w:kern w:val="2"/>
      <w:sz w:val="21"/>
      <w:szCs w:val="22"/>
    </w:rPr>
  </w:style>
  <w:style w:type="character" w:customStyle="1" w:styleId="183">
    <w:name w:val="批注文字 字符"/>
    <w:qFormat/>
    <w:locked/>
    <w:uiPriority w:val="0"/>
    <w:rPr>
      <w:rFonts w:ascii="Arial" w:hAnsi="Arial" w:cs="Arial"/>
      <w:sz w:val="18"/>
    </w:rPr>
  </w:style>
  <w:style w:type="character" w:customStyle="1" w:styleId="184">
    <w:name w:val="样式 标题 2H2节Heading 2 HiddenHeading 2 CCBSTitle2PIM22nd lev...2 Char Char Char1"/>
    <w:link w:val="185"/>
    <w:qFormat/>
    <w:uiPriority w:val="0"/>
    <w:rPr>
      <w:rFonts w:ascii="Arial" w:hAnsi="Arial" w:eastAsia="黑体"/>
      <w:b/>
      <w:bCs/>
      <w:color w:val="000000"/>
      <w:kern w:val="2"/>
      <w:sz w:val="32"/>
      <w:szCs w:val="32"/>
    </w:rPr>
  </w:style>
  <w:style w:type="paragraph" w:customStyle="1" w:styleId="185">
    <w:name w:val="样式 标题 2H2节Heading 2 HiddenHeading 2 CCBSTitle2PIM22nd lev...2 Char Char"/>
    <w:basedOn w:val="4"/>
    <w:link w:val="184"/>
    <w:qFormat/>
    <w:uiPriority w:val="0"/>
    <w:pPr>
      <w:numPr>
        <w:ilvl w:val="1"/>
        <w:numId w:val="9"/>
      </w:numPr>
      <w:tabs>
        <w:tab w:val="left" w:pos="210"/>
        <w:tab w:val="clear" w:pos="1258"/>
      </w:tabs>
      <w:spacing w:before="160" w:after="160" w:line="300" w:lineRule="auto"/>
      <w:jc w:val="both"/>
    </w:pPr>
    <w:rPr>
      <w:rFonts w:ascii="Arial" w:hAnsi="Arial" w:eastAsia="黑体"/>
      <w:b/>
      <w:color w:val="000000"/>
      <w:kern w:val="2"/>
      <w:sz w:val="32"/>
      <w:szCs w:val="32"/>
    </w:rPr>
  </w:style>
  <w:style w:type="character" w:customStyle="1" w:styleId="186">
    <w:name w:val="正文文本缩进 Char1"/>
    <w:semiHidden/>
    <w:qFormat/>
    <w:locked/>
    <w:uiPriority w:val="0"/>
    <w:rPr>
      <w:rFonts w:ascii="Times New Roman" w:hAnsi="Times New Roman" w:eastAsia="宋体" w:cs="Times New Roman"/>
      <w:sz w:val="32"/>
      <w:szCs w:val="20"/>
    </w:rPr>
  </w:style>
  <w:style w:type="character" w:customStyle="1" w:styleId="187">
    <w:name w:val="Char Char12"/>
    <w:qFormat/>
    <w:uiPriority w:val="0"/>
    <w:rPr>
      <w:rFonts w:ascii="Times New Roman" w:hAnsi="Times New Roman" w:eastAsia="宋体" w:cs="Times New Roman"/>
      <w:szCs w:val="24"/>
    </w:rPr>
  </w:style>
  <w:style w:type="character" w:customStyle="1" w:styleId="188">
    <w:name w:val="Char Char2"/>
    <w:qFormat/>
    <w:uiPriority w:val="0"/>
    <w:rPr>
      <w:kern w:val="2"/>
      <w:sz w:val="18"/>
      <w:szCs w:val="18"/>
    </w:rPr>
  </w:style>
  <w:style w:type="character" w:customStyle="1" w:styleId="189">
    <w:name w:val="1.1.1.1.1 Char Char"/>
    <w:link w:val="190"/>
    <w:qFormat/>
    <w:uiPriority w:val="0"/>
    <w:rPr>
      <w:rFonts w:ascii="Arial" w:hAnsi="Arial"/>
      <w:b/>
      <w:bCs/>
      <w:kern w:val="10"/>
      <w:sz w:val="28"/>
      <w:szCs w:val="28"/>
    </w:rPr>
  </w:style>
  <w:style w:type="paragraph" w:customStyle="1" w:styleId="190">
    <w:name w:val="1.1.1.1.1"/>
    <w:basedOn w:val="6"/>
    <w:link w:val="189"/>
    <w:qFormat/>
    <w:uiPriority w:val="0"/>
    <w:pPr>
      <w:tabs>
        <w:tab w:val="left" w:pos="851"/>
        <w:tab w:val="left" w:pos="1211"/>
      </w:tabs>
      <w:spacing w:line="377" w:lineRule="auto"/>
      <w:ind w:left="1211" w:hanging="1211"/>
    </w:pPr>
    <w:rPr>
      <w:rFonts w:ascii="Arial" w:hAnsi="Arial"/>
      <w:b/>
      <w:kern w:val="10"/>
    </w:rPr>
  </w:style>
  <w:style w:type="character" w:customStyle="1" w:styleId="191">
    <w:name w:val="副标题 Char1"/>
    <w:qFormat/>
    <w:uiPriority w:val="11"/>
    <w:rPr>
      <w:rFonts w:ascii="Cambria" w:hAnsi="Cambria" w:cs="Times New Roman"/>
      <w:b/>
      <w:bCs/>
      <w:kern w:val="28"/>
      <w:sz w:val="32"/>
      <w:szCs w:val="32"/>
    </w:rPr>
  </w:style>
  <w:style w:type="character" w:customStyle="1" w:styleId="192">
    <w:name w:val="标题 3 Char1"/>
    <w:qFormat/>
    <w:uiPriority w:val="0"/>
    <w:rPr>
      <w:b/>
      <w:bCs/>
      <w:kern w:val="2"/>
      <w:sz w:val="32"/>
      <w:szCs w:val="32"/>
    </w:rPr>
  </w:style>
  <w:style w:type="character" w:customStyle="1" w:styleId="193">
    <w:name w:val="正文文本 Char1"/>
    <w:semiHidden/>
    <w:qFormat/>
    <w:locked/>
    <w:uiPriority w:val="0"/>
    <w:rPr>
      <w:rFonts w:ascii="Times New Roman" w:hAnsi="Times New Roman"/>
      <w:kern w:val="2"/>
      <w:sz w:val="21"/>
      <w:szCs w:val="24"/>
    </w:rPr>
  </w:style>
  <w:style w:type="character" w:customStyle="1" w:styleId="194">
    <w:name w:val="Char Char15"/>
    <w:qFormat/>
    <w:uiPriority w:val="0"/>
    <w:rPr>
      <w:rFonts w:ascii="Times New Roman" w:hAnsi="Times New Roman" w:eastAsia="宋体" w:cs="Times New Roman"/>
      <w:sz w:val="24"/>
      <w:szCs w:val="24"/>
    </w:rPr>
  </w:style>
  <w:style w:type="character" w:customStyle="1" w:styleId="195">
    <w:name w:val="标书（正文） Char Char"/>
    <w:qFormat/>
    <w:uiPriority w:val="0"/>
    <w:rPr>
      <w:rFonts w:hint="eastAsia" w:ascii="宋体" w:hAnsi="宋体" w:eastAsia="宋体"/>
      <w:b/>
      <w:kern w:val="10"/>
      <w:sz w:val="21"/>
      <w:szCs w:val="21"/>
      <w:lang w:val="en-US" w:eastAsia="zh-CN" w:bidi="ar-SA"/>
    </w:rPr>
  </w:style>
  <w:style w:type="character" w:customStyle="1" w:styleId="196">
    <w:name w:val="fontblank12"/>
    <w:basedOn w:val="78"/>
    <w:qFormat/>
    <w:uiPriority w:val="0"/>
  </w:style>
  <w:style w:type="character" w:customStyle="1" w:styleId="197">
    <w:name w:val="样式 正文首行缩进 + 首行缩进:  2 字符 Char Char1"/>
    <w:link w:val="198"/>
    <w:qFormat/>
    <w:uiPriority w:val="0"/>
    <w:rPr>
      <w:kern w:val="2"/>
      <w:sz w:val="21"/>
    </w:rPr>
  </w:style>
  <w:style w:type="paragraph" w:customStyle="1" w:styleId="198">
    <w:name w:val="样式 正文首行缩进 + 首行缩进:  2 字符 Char"/>
    <w:basedOn w:val="75"/>
    <w:link w:val="197"/>
    <w:qFormat/>
    <w:uiPriority w:val="0"/>
    <w:pPr>
      <w:spacing w:line="300" w:lineRule="auto"/>
      <w:ind w:firstLine="200" w:firstLineChars="200"/>
    </w:pPr>
    <w:rPr>
      <w:sz w:val="21"/>
      <w:szCs w:val="20"/>
    </w:rPr>
  </w:style>
  <w:style w:type="character" w:customStyle="1" w:styleId="199">
    <w:name w:val="Char Char13"/>
    <w:qFormat/>
    <w:uiPriority w:val="0"/>
    <w:rPr>
      <w:rFonts w:ascii="Times New Roman" w:hAnsi="Times New Roman" w:eastAsia="宋体" w:cs="Times New Roman"/>
      <w:sz w:val="18"/>
      <w:szCs w:val="18"/>
    </w:rPr>
  </w:style>
  <w:style w:type="character" w:customStyle="1" w:styleId="200">
    <w:name w:val="0921 Char"/>
    <w:qFormat/>
    <w:uiPriority w:val="0"/>
    <w:rPr>
      <w:rFonts w:ascii="宋体" w:hAnsi="Courier New" w:eastAsia="宋体" w:cs="Courier New"/>
      <w:kern w:val="2"/>
      <w:sz w:val="21"/>
      <w:szCs w:val="21"/>
      <w:lang w:val="en-US" w:eastAsia="zh-CN" w:bidi="ar-SA"/>
    </w:rPr>
  </w:style>
  <w:style w:type="character" w:customStyle="1" w:styleId="201">
    <w:name w:val="批注文字 Char1"/>
    <w:semiHidden/>
    <w:qFormat/>
    <w:uiPriority w:val="99"/>
    <w:rPr>
      <w:kern w:val="2"/>
      <w:sz w:val="21"/>
      <w:szCs w:val="22"/>
    </w:rPr>
  </w:style>
  <w:style w:type="character" w:customStyle="1" w:styleId="202">
    <w:name w:val="标题 2 Char1"/>
    <w:qFormat/>
    <w:uiPriority w:val="0"/>
    <w:rPr>
      <w:rFonts w:ascii="Cambria" w:hAnsi="Cambria" w:eastAsia="宋体" w:cs="Times New Roman"/>
      <w:b/>
      <w:bCs/>
      <w:kern w:val="2"/>
      <w:sz w:val="32"/>
      <w:szCs w:val="32"/>
    </w:rPr>
  </w:style>
  <w:style w:type="character" w:customStyle="1" w:styleId="203">
    <w:name w:val="称呼 Char1"/>
    <w:qFormat/>
    <w:uiPriority w:val="99"/>
    <w:rPr>
      <w:kern w:val="2"/>
      <w:sz w:val="21"/>
      <w:szCs w:val="24"/>
    </w:rPr>
  </w:style>
  <w:style w:type="character" w:customStyle="1" w:styleId="204">
    <w:name w:val="textnorm_chn1"/>
    <w:qFormat/>
    <w:uiPriority w:val="0"/>
    <w:rPr>
      <w:rFonts w:hint="default" w:ascii="Arial" w:hAnsi="Arial" w:cs="Arial"/>
      <w:color w:val="21254A"/>
      <w:sz w:val="22"/>
      <w:szCs w:val="22"/>
    </w:rPr>
  </w:style>
  <w:style w:type="character" w:customStyle="1" w:styleId="205">
    <w:name w:val="Char Char211"/>
    <w:qFormat/>
    <w:uiPriority w:val="0"/>
    <w:rPr>
      <w:rFonts w:eastAsia="宋体"/>
      <w:sz w:val="24"/>
      <w:szCs w:val="24"/>
      <w:lang w:val="en-US" w:eastAsia="zh-CN" w:bidi="ar-SA"/>
    </w:rPr>
  </w:style>
  <w:style w:type="character" w:customStyle="1" w:styleId="206">
    <w:name w:val="Char Char10"/>
    <w:qFormat/>
    <w:uiPriority w:val="0"/>
    <w:rPr>
      <w:rFonts w:ascii="Times New Roman" w:hAnsi="Times New Roman" w:eastAsia="宋体" w:cs="Times New Roman"/>
      <w:sz w:val="18"/>
      <w:szCs w:val="18"/>
    </w:rPr>
  </w:style>
  <w:style w:type="character" w:customStyle="1" w:styleId="207">
    <w:name w:val="Char Char43"/>
    <w:qFormat/>
    <w:uiPriority w:val="0"/>
    <w:rPr>
      <w:kern w:val="2"/>
      <w:sz w:val="21"/>
      <w:szCs w:val="24"/>
    </w:rPr>
  </w:style>
  <w:style w:type="character" w:customStyle="1" w:styleId="208">
    <w:name w:val="正文文本 3 Char1"/>
    <w:qFormat/>
    <w:uiPriority w:val="99"/>
    <w:rPr>
      <w:kern w:val="2"/>
      <w:sz w:val="16"/>
      <w:szCs w:val="16"/>
    </w:rPr>
  </w:style>
  <w:style w:type="character" w:customStyle="1" w:styleId="209">
    <w:name w:val="Char Char111"/>
    <w:qFormat/>
    <w:uiPriority w:val="0"/>
    <w:rPr>
      <w:rFonts w:hint="default" w:ascii="Arial Narrow" w:hAnsi="Arial Narrow"/>
      <w:b/>
      <w:bCs/>
      <w:iCs/>
      <w:szCs w:val="24"/>
      <w:lang w:eastAsia="en-US"/>
    </w:rPr>
  </w:style>
  <w:style w:type="character" w:customStyle="1" w:styleId="210">
    <w:name w:val="textnormchn1"/>
    <w:basedOn w:val="78"/>
    <w:qFormat/>
    <w:uiPriority w:val="0"/>
  </w:style>
  <w:style w:type="character" w:customStyle="1" w:styleId="211">
    <w:name w:val="（符号）三标题1.1 Char Char"/>
    <w:link w:val="212"/>
    <w:qFormat/>
    <w:uiPriority w:val="0"/>
    <w:rPr>
      <w:rFonts w:ascii="宋体" w:hAnsi="宋体"/>
      <w:kern w:val="2"/>
      <w:sz w:val="24"/>
      <w:szCs w:val="22"/>
    </w:rPr>
  </w:style>
  <w:style w:type="paragraph" w:customStyle="1" w:styleId="212">
    <w:name w:val="（符号）三标题1.1"/>
    <w:basedOn w:val="1"/>
    <w:link w:val="211"/>
    <w:qFormat/>
    <w:uiPriority w:val="0"/>
    <w:pPr>
      <w:numPr>
        <w:ilvl w:val="1"/>
        <w:numId w:val="10"/>
      </w:numPr>
      <w:tabs>
        <w:tab w:val="left" w:pos="700"/>
      </w:tabs>
      <w:spacing w:line="500" w:lineRule="exact"/>
    </w:pPr>
    <w:rPr>
      <w:b w:val="0"/>
      <w:color w:val="auto"/>
      <w:kern w:val="2"/>
      <w:sz w:val="24"/>
      <w:szCs w:val="22"/>
    </w:rPr>
  </w:style>
  <w:style w:type="character" w:customStyle="1" w:styleId="213">
    <w:name w:val="Char Char101"/>
    <w:qFormat/>
    <w:uiPriority w:val="0"/>
    <w:rPr>
      <w:kern w:val="2"/>
      <w:sz w:val="24"/>
      <w:szCs w:val="24"/>
    </w:rPr>
  </w:style>
  <w:style w:type="character" w:customStyle="1" w:styleId="214">
    <w:name w:val="图文 Char Char"/>
    <w:link w:val="215"/>
    <w:qFormat/>
    <w:uiPriority w:val="0"/>
    <w:rPr>
      <w:rFonts w:cs="宋体"/>
      <w:kern w:val="2"/>
      <w:sz w:val="21"/>
    </w:rPr>
  </w:style>
  <w:style w:type="paragraph" w:customStyle="1" w:styleId="215">
    <w:name w:val="图文"/>
    <w:basedOn w:val="1"/>
    <w:link w:val="214"/>
    <w:qFormat/>
    <w:uiPriority w:val="0"/>
    <w:pPr>
      <w:jc w:val="center"/>
    </w:pPr>
    <w:rPr>
      <w:rFonts w:ascii="Times New Roman" w:hAnsi="Times New Roman"/>
      <w:b w:val="0"/>
      <w:color w:val="auto"/>
      <w:kern w:val="2"/>
      <w:sz w:val="21"/>
      <w:szCs w:val="20"/>
    </w:rPr>
  </w:style>
  <w:style w:type="character" w:customStyle="1" w:styleId="216">
    <w:name w:val="正文文本缩进 3 Char1"/>
    <w:semiHidden/>
    <w:qFormat/>
    <w:locked/>
    <w:uiPriority w:val="0"/>
    <w:rPr>
      <w:rFonts w:ascii="Times New Roman" w:hAnsi="Times New Roman" w:eastAsia="宋体" w:cs="Times New Roman"/>
      <w:sz w:val="16"/>
      <w:szCs w:val="16"/>
    </w:rPr>
  </w:style>
  <w:style w:type="character" w:customStyle="1" w:styleId="217">
    <w:name w:val="正文文字 Char Char"/>
    <w:link w:val="218"/>
    <w:qFormat/>
    <w:uiPriority w:val="0"/>
    <w:rPr>
      <w:kern w:val="2"/>
      <w:sz w:val="24"/>
      <w:szCs w:val="32"/>
    </w:rPr>
  </w:style>
  <w:style w:type="paragraph" w:customStyle="1" w:styleId="218">
    <w:name w:val="正文文字"/>
    <w:basedOn w:val="1"/>
    <w:link w:val="217"/>
    <w:qFormat/>
    <w:uiPriority w:val="0"/>
    <w:pPr>
      <w:ind w:firstLine="200"/>
    </w:pPr>
    <w:rPr>
      <w:rFonts w:ascii="Times New Roman" w:hAnsi="Times New Roman"/>
      <w:b w:val="0"/>
      <w:color w:val="auto"/>
      <w:kern w:val="2"/>
      <w:sz w:val="24"/>
    </w:rPr>
  </w:style>
  <w:style w:type="character" w:customStyle="1" w:styleId="219">
    <w:name w:val="CD正文 Char"/>
    <w:qFormat/>
    <w:locked/>
    <w:uiPriority w:val="0"/>
    <w:rPr>
      <w:rFonts w:ascii="Times New Roman" w:hAnsi="Times New Roman"/>
      <w:sz w:val="28"/>
    </w:rPr>
  </w:style>
  <w:style w:type="character" w:customStyle="1" w:styleId="220">
    <w:name w:val="文档结构图 Char1"/>
    <w:semiHidden/>
    <w:qFormat/>
    <w:locked/>
    <w:uiPriority w:val="0"/>
    <w:rPr>
      <w:rFonts w:ascii="宋体" w:hAnsi="Times New Roman" w:eastAsia="宋体" w:cs="Times New Roman"/>
      <w:sz w:val="18"/>
      <w:szCs w:val="18"/>
    </w:rPr>
  </w:style>
  <w:style w:type="character" w:customStyle="1" w:styleId="221">
    <w:name w:val="grame"/>
    <w:basedOn w:val="78"/>
    <w:qFormat/>
    <w:uiPriority w:val="0"/>
  </w:style>
  <w:style w:type="character" w:customStyle="1" w:styleId="222">
    <w:name w:val="Char Char51"/>
    <w:qFormat/>
    <w:uiPriority w:val="0"/>
    <w:rPr>
      <w:rFonts w:ascii="Times New Roman" w:hAnsi="Times New Roman" w:eastAsia="黑体" w:cs="Times New Roman"/>
      <w:sz w:val="24"/>
      <w:szCs w:val="24"/>
    </w:rPr>
  </w:style>
  <w:style w:type="character" w:customStyle="1" w:styleId="223">
    <w:name w:val="11111 Char Char"/>
    <w:link w:val="224"/>
    <w:qFormat/>
    <w:uiPriority w:val="0"/>
    <w:rPr>
      <w:rFonts w:ascii="宋体" w:hAnsi="宋体"/>
      <w:b/>
      <w:kern w:val="2"/>
      <w:sz w:val="30"/>
      <w:szCs w:val="30"/>
    </w:rPr>
  </w:style>
  <w:style w:type="paragraph" w:customStyle="1" w:styleId="224">
    <w:name w:val="11111"/>
    <w:basedOn w:val="1"/>
    <w:link w:val="223"/>
    <w:qFormat/>
    <w:uiPriority w:val="0"/>
    <w:pPr>
      <w:tabs>
        <w:tab w:val="left" w:pos="425"/>
      </w:tabs>
      <w:adjustRightInd w:val="0"/>
      <w:ind w:left="425" w:right="31" w:rightChars="17" w:hanging="425"/>
      <w:outlineLvl w:val="1"/>
    </w:pPr>
    <w:rPr>
      <w:color w:val="auto"/>
      <w:kern w:val="2"/>
      <w:sz w:val="30"/>
      <w:szCs w:val="30"/>
    </w:rPr>
  </w:style>
  <w:style w:type="character" w:customStyle="1" w:styleId="225">
    <w:name w:val="结束语 Char1"/>
    <w:qFormat/>
    <w:uiPriority w:val="99"/>
    <w:rPr>
      <w:kern w:val="2"/>
      <w:sz w:val="21"/>
      <w:szCs w:val="24"/>
    </w:rPr>
  </w:style>
  <w:style w:type="character" w:customStyle="1" w:styleId="226">
    <w:name w:val="unnamed31"/>
    <w:qFormat/>
    <w:uiPriority w:val="0"/>
    <w:rPr>
      <w:sz w:val="22"/>
      <w:szCs w:val="22"/>
    </w:rPr>
  </w:style>
  <w:style w:type="character" w:customStyle="1" w:styleId="227">
    <w:name w:val="列表段落 字符"/>
    <w:link w:val="228"/>
    <w:qFormat/>
    <w:uiPriority w:val="0"/>
    <w:rPr>
      <w:rFonts w:hint="default" w:ascii="Calibri" w:hAnsi="Calibri" w:cs="Calibri"/>
      <w:kern w:val="2"/>
      <w:sz w:val="21"/>
      <w:szCs w:val="22"/>
    </w:rPr>
  </w:style>
  <w:style w:type="paragraph" w:styleId="228">
    <w:name w:val="List Paragraph"/>
    <w:basedOn w:val="1"/>
    <w:link w:val="227"/>
    <w:qFormat/>
    <w:uiPriority w:val="0"/>
    <w:pPr>
      <w:ind w:firstLine="420"/>
    </w:pPr>
    <w:rPr>
      <w:rFonts w:ascii="Calibri" w:hAnsi="Calibri"/>
      <w:b w:val="0"/>
      <w:color w:val="auto"/>
      <w:kern w:val="2"/>
      <w:sz w:val="21"/>
      <w:szCs w:val="22"/>
    </w:rPr>
  </w:style>
  <w:style w:type="character" w:customStyle="1" w:styleId="229">
    <w:name w:val="Char Char16"/>
    <w:qFormat/>
    <w:uiPriority w:val="0"/>
    <w:rPr>
      <w:rFonts w:ascii="Times New Roman" w:hAnsi="Times New Roman" w:eastAsia="宋体" w:cs="Times New Roman"/>
      <w:sz w:val="18"/>
      <w:szCs w:val="18"/>
      <w:shd w:val="clear" w:color="auto" w:fill="000080"/>
    </w:rPr>
  </w:style>
  <w:style w:type="character" w:customStyle="1" w:styleId="230">
    <w:name w:val="表正文 Char1"/>
    <w:qFormat/>
    <w:uiPriority w:val="0"/>
    <w:rPr>
      <w:kern w:val="2"/>
      <w:sz w:val="32"/>
      <w:szCs w:val="32"/>
    </w:rPr>
  </w:style>
  <w:style w:type="character" w:customStyle="1" w:styleId="231">
    <w:name w:val="WW8Num9z0"/>
    <w:qFormat/>
    <w:uiPriority w:val="0"/>
    <w:rPr>
      <w:rFonts w:ascii="Wingdings" w:hAnsi="Wingdings"/>
    </w:rPr>
  </w:style>
  <w:style w:type="character" w:customStyle="1" w:styleId="232">
    <w:name w:val="图例 Char Char"/>
    <w:link w:val="233"/>
    <w:qFormat/>
    <w:uiPriority w:val="0"/>
    <w:rPr>
      <w:rFonts w:ascii="仿宋_GB2312" w:eastAsia="仿宋_GB2312" w:cs="宋体"/>
      <w:kern w:val="2"/>
      <w:sz w:val="24"/>
      <w:szCs w:val="24"/>
    </w:rPr>
  </w:style>
  <w:style w:type="paragraph" w:customStyle="1" w:styleId="233">
    <w:name w:val="图例"/>
    <w:basedOn w:val="1"/>
    <w:link w:val="232"/>
    <w:qFormat/>
    <w:uiPriority w:val="0"/>
    <w:pPr>
      <w:jc w:val="center"/>
    </w:pPr>
    <w:rPr>
      <w:rFonts w:ascii="仿宋_GB2312" w:hAnsi="Times New Roman" w:eastAsia="仿宋_GB2312"/>
      <w:b w:val="0"/>
      <w:color w:val="auto"/>
      <w:kern w:val="2"/>
      <w:sz w:val="24"/>
      <w:szCs w:val="24"/>
    </w:rPr>
  </w:style>
  <w:style w:type="character" w:customStyle="1" w:styleId="234">
    <w:name w:val="HTML 地址 Char1"/>
    <w:qFormat/>
    <w:uiPriority w:val="99"/>
    <w:rPr>
      <w:i/>
      <w:iCs/>
      <w:kern w:val="2"/>
      <w:sz w:val="21"/>
      <w:szCs w:val="24"/>
    </w:rPr>
  </w:style>
  <w:style w:type="character" w:customStyle="1" w:styleId="235">
    <w:name w:val="正文首行缩进 2 Char1"/>
    <w:qFormat/>
    <w:uiPriority w:val="99"/>
    <w:rPr>
      <w:kern w:val="2"/>
      <w:sz w:val="21"/>
      <w:szCs w:val="24"/>
    </w:rPr>
  </w:style>
  <w:style w:type="character" w:customStyle="1" w:styleId="236">
    <w:name w:val="HTML 预设格式 Char1"/>
    <w:qFormat/>
    <w:uiPriority w:val="99"/>
    <w:rPr>
      <w:rFonts w:ascii="Courier New" w:hAnsi="Courier New" w:cs="Courier New"/>
      <w:kern w:val="2"/>
    </w:rPr>
  </w:style>
  <w:style w:type="character" w:customStyle="1" w:styleId="237">
    <w:name w:val="批注框文本 Char1"/>
    <w:semiHidden/>
    <w:qFormat/>
    <w:locked/>
    <w:uiPriority w:val="0"/>
    <w:rPr>
      <w:rFonts w:ascii="Times New Roman" w:hAnsi="Times New Roman" w:eastAsia="宋体" w:cs="Times New Roman"/>
      <w:sz w:val="18"/>
      <w:szCs w:val="18"/>
    </w:rPr>
  </w:style>
  <w:style w:type="character" w:customStyle="1" w:styleId="238">
    <w:name w:val="注释标题 Char1"/>
    <w:qFormat/>
    <w:uiPriority w:val="99"/>
    <w:rPr>
      <w:kern w:val="2"/>
      <w:sz w:val="21"/>
      <w:szCs w:val="24"/>
    </w:rPr>
  </w:style>
  <w:style w:type="character" w:customStyle="1" w:styleId="239">
    <w:name w:val="！标题2 Char Char"/>
    <w:link w:val="240"/>
    <w:qFormat/>
    <w:uiPriority w:val="0"/>
    <w:rPr>
      <w:rFonts w:ascii="Arial" w:hAnsi="Arial"/>
      <w:b/>
      <w:bCs/>
      <w:color w:val="000000"/>
      <w:kern w:val="2"/>
      <w:sz w:val="28"/>
      <w:szCs w:val="32"/>
    </w:rPr>
  </w:style>
  <w:style w:type="paragraph" w:customStyle="1" w:styleId="240">
    <w:name w:val="！标题2"/>
    <w:basedOn w:val="4"/>
    <w:link w:val="239"/>
    <w:qFormat/>
    <w:uiPriority w:val="0"/>
    <w:pPr>
      <w:tabs>
        <w:tab w:val="left" w:pos="993"/>
        <w:tab w:val="left" w:pos="1200"/>
        <w:tab w:val="left" w:pos="2007"/>
        <w:tab w:val="clear" w:pos="567"/>
      </w:tabs>
      <w:spacing w:line="415" w:lineRule="auto"/>
      <w:ind w:left="1200" w:leftChars="400" w:hanging="360" w:hangingChars="200"/>
      <w:jc w:val="both"/>
    </w:pPr>
    <w:rPr>
      <w:rFonts w:ascii="Arial" w:hAnsi="Arial"/>
      <w:b/>
      <w:color w:val="000000"/>
      <w:kern w:val="2"/>
      <w:szCs w:val="32"/>
    </w:rPr>
  </w:style>
  <w:style w:type="character" w:customStyle="1" w:styleId="241">
    <w:name w:val="Char Char7"/>
    <w:qFormat/>
    <w:uiPriority w:val="0"/>
    <w:rPr>
      <w:rFonts w:ascii="Arial" w:hAnsi="Arial" w:eastAsia="宋体" w:cs="Arial"/>
      <w:b/>
      <w:bCs/>
      <w:sz w:val="32"/>
      <w:szCs w:val="32"/>
    </w:rPr>
  </w:style>
  <w:style w:type="character" w:customStyle="1" w:styleId="242">
    <w:name w:val="magic-list1"/>
    <w:qFormat/>
    <w:uiPriority w:val="0"/>
    <w:rPr>
      <w:rFonts w:hint="default" w:ascii="ˎ̥" w:hAnsi="ˎ̥"/>
      <w:color w:val="000000"/>
      <w:sz w:val="20"/>
      <w:u w:val="none"/>
    </w:rPr>
  </w:style>
  <w:style w:type="character" w:customStyle="1" w:styleId="243">
    <w:name w:val="电子邮件签名 Char1"/>
    <w:qFormat/>
    <w:uiPriority w:val="99"/>
    <w:rPr>
      <w:kern w:val="2"/>
      <w:sz w:val="21"/>
      <w:szCs w:val="24"/>
    </w:rPr>
  </w:style>
  <w:style w:type="character" w:customStyle="1" w:styleId="244">
    <w:name w:val="Char Char8"/>
    <w:qFormat/>
    <w:uiPriority w:val="0"/>
    <w:rPr>
      <w:rFonts w:ascii="Times New Roman" w:hAnsi="Times New Roman" w:eastAsia="宋体" w:cs="Times New Roman"/>
      <w:b/>
      <w:bCs/>
      <w:sz w:val="18"/>
      <w:szCs w:val="18"/>
    </w:rPr>
  </w:style>
  <w:style w:type="character" w:customStyle="1" w:styleId="245">
    <w:name w:val="Char Char41"/>
    <w:qFormat/>
    <w:uiPriority w:val="0"/>
    <w:rPr>
      <w:kern w:val="2"/>
      <w:sz w:val="18"/>
      <w:szCs w:val="18"/>
    </w:rPr>
  </w:style>
  <w:style w:type="character" w:customStyle="1" w:styleId="246">
    <w:name w:val="style31"/>
    <w:qFormat/>
    <w:uiPriority w:val="0"/>
    <w:rPr>
      <w:rFonts w:ascii="Verdana" w:hAnsi="Verdana" w:eastAsia="宋体"/>
      <w:sz w:val="22"/>
      <w:szCs w:val="22"/>
      <w:lang w:val="en-US" w:eastAsia="en-US" w:bidi="ar-SA"/>
    </w:rPr>
  </w:style>
  <w:style w:type="character" w:customStyle="1" w:styleId="247">
    <w:name w:val="文章正文 Char Char"/>
    <w:qFormat/>
    <w:uiPriority w:val="0"/>
    <w:rPr>
      <w:rFonts w:hint="eastAsia" w:ascii="宋体" w:hAnsi="宋体" w:eastAsia="宋体"/>
      <w:kern w:val="2"/>
      <w:sz w:val="24"/>
      <w:szCs w:val="24"/>
      <w:lang w:val="en-US" w:eastAsia="zh-CN" w:bidi="ar-SA"/>
    </w:rPr>
  </w:style>
  <w:style w:type="character" w:customStyle="1" w:styleId="248">
    <w:name w:val="特点标题 Char"/>
    <w:qFormat/>
    <w:uiPriority w:val="0"/>
    <w:rPr>
      <w:rFonts w:ascii="Times New Roman" w:hAnsi="Times New Roman" w:eastAsia="宋体" w:cs="Times New Roman"/>
      <w:szCs w:val="24"/>
    </w:rPr>
  </w:style>
  <w:style w:type="character" w:customStyle="1" w:styleId="249">
    <w:name w:val="Char Char91"/>
    <w:qFormat/>
    <w:uiPriority w:val="0"/>
    <w:rPr>
      <w:rFonts w:ascii="Times New Roman" w:hAnsi="Times New Roman" w:eastAsia="宋体" w:cs="Times New Roman"/>
      <w:sz w:val="18"/>
      <w:szCs w:val="18"/>
    </w:rPr>
  </w:style>
  <w:style w:type="character" w:customStyle="1" w:styleId="250">
    <w:name w:val="批注主题 Char1"/>
    <w:semiHidden/>
    <w:qFormat/>
    <w:uiPriority w:val="99"/>
    <w:rPr>
      <w:b/>
      <w:bCs/>
      <w:kern w:val="2"/>
      <w:sz w:val="21"/>
      <w:szCs w:val="22"/>
    </w:rPr>
  </w:style>
  <w:style w:type="character" w:customStyle="1" w:styleId="251">
    <w:name w:val="Char Char14"/>
    <w:qFormat/>
    <w:uiPriority w:val="0"/>
    <w:rPr>
      <w:rFonts w:ascii="宋体" w:hAnsi="宋体" w:eastAsia="宋体" w:cs="Times New Roman"/>
      <w:sz w:val="28"/>
      <w:szCs w:val="28"/>
    </w:rPr>
  </w:style>
  <w:style w:type="character" w:customStyle="1" w:styleId="252">
    <w:name w:val="Char Char20"/>
    <w:qFormat/>
    <w:uiPriority w:val="0"/>
    <w:rPr>
      <w:rFonts w:ascii="Arial" w:hAnsi="Arial" w:eastAsia="黑体" w:cs="Times New Roman"/>
      <w:sz w:val="24"/>
      <w:szCs w:val="24"/>
    </w:rPr>
  </w:style>
  <w:style w:type="character" w:customStyle="1" w:styleId="253">
    <w:name w:val="样式 标题 4(一)1.11。1h4H4Ref Heading 1rh1Heading sqlsect 1.2...2 Char Char"/>
    <w:link w:val="254"/>
    <w:qFormat/>
    <w:uiPriority w:val="0"/>
    <w:rPr>
      <w:rFonts w:ascii="Arial" w:hAnsi="Arial" w:eastAsia="黑体"/>
      <w:b/>
      <w:bCs/>
      <w:kern w:val="2"/>
      <w:sz w:val="30"/>
      <w:szCs w:val="28"/>
    </w:rPr>
  </w:style>
  <w:style w:type="paragraph" w:customStyle="1" w:styleId="254">
    <w:name w:val="样式 标题 4(一)1.11。1h4H4Ref Heading 1rh1Heading sqlsect 1.2...2"/>
    <w:basedOn w:val="6"/>
    <w:link w:val="253"/>
    <w:qFormat/>
    <w:uiPriority w:val="0"/>
    <w:pPr>
      <w:numPr>
        <w:numId w:val="11"/>
      </w:numPr>
      <w:tabs>
        <w:tab w:val="left" w:pos="315"/>
        <w:tab w:val="left" w:pos="851"/>
        <w:tab w:val="left" w:pos="1211"/>
      </w:tabs>
      <w:spacing w:before="40" w:after="40" w:line="300" w:lineRule="auto"/>
    </w:pPr>
    <w:rPr>
      <w:rFonts w:ascii="Arial" w:hAnsi="Arial" w:eastAsia="黑体"/>
      <w:b/>
      <w:sz w:val="30"/>
    </w:rPr>
  </w:style>
  <w:style w:type="character" w:customStyle="1" w:styleId="255">
    <w:name w:val="样式 样式 样式 标题 3Sectionh3H3level_3PIM 3Level 3 HeadHeading 3 - old....1 Char Char"/>
    <w:link w:val="256"/>
    <w:qFormat/>
    <w:uiPriority w:val="0"/>
    <w:rPr>
      <w:rFonts w:ascii="Arial" w:hAnsi="Arial" w:eastAsia="黑体"/>
      <w:b/>
      <w:bCs/>
      <w:sz w:val="30"/>
      <w:szCs w:val="28"/>
    </w:rPr>
  </w:style>
  <w:style w:type="paragraph" w:customStyle="1" w:styleId="256">
    <w:name w:val="样式 样式 样式 标题 3Sectionh3H3level_3PIM 3Level 3 HeadHeading 3 - old....1"/>
    <w:basedOn w:val="1"/>
    <w:link w:val="255"/>
    <w:qFormat/>
    <w:uiPriority w:val="0"/>
    <w:pPr>
      <w:keepNext/>
      <w:keepLines/>
      <w:numPr>
        <w:ilvl w:val="2"/>
        <w:numId w:val="11"/>
      </w:numPr>
      <w:tabs>
        <w:tab w:val="left" w:pos="315"/>
        <w:tab w:val="clear" w:pos="889"/>
      </w:tabs>
      <w:spacing w:before="40" w:after="40" w:line="300" w:lineRule="auto"/>
      <w:outlineLvl w:val="2"/>
    </w:pPr>
    <w:rPr>
      <w:rFonts w:ascii="Arial" w:hAnsi="Arial" w:eastAsia="黑体"/>
      <w:bCs/>
      <w:color w:val="auto"/>
      <w:sz w:val="30"/>
      <w:szCs w:val="28"/>
    </w:rPr>
  </w:style>
  <w:style w:type="character" w:customStyle="1" w:styleId="257">
    <w:name w:val="页眉 Char1"/>
    <w:qFormat/>
    <w:uiPriority w:val="0"/>
    <w:rPr>
      <w:rFonts w:ascii="Times New Roman" w:hAnsi="Times New Roman" w:eastAsia="宋体" w:cs="Times New Roman"/>
      <w:kern w:val="2"/>
      <w:sz w:val="18"/>
      <w:szCs w:val="18"/>
    </w:rPr>
  </w:style>
  <w:style w:type="character" w:customStyle="1" w:styleId="258">
    <w:name w:val="apple-style-span"/>
    <w:basedOn w:val="78"/>
    <w:qFormat/>
    <w:uiPriority w:val="0"/>
  </w:style>
  <w:style w:type="character" w:customStyle="1" w:styleId="259">
    <w:name w:val="Char Char71"/>
    <w:qFormat/>
    <w:uiPriority w:val="0"/>
    <w:rPr>
      <w:kern w:val="2"/>
      <w:sz w:val="18"/>
      <w:szCs w:val="18"/>
    </w:rPr>
  </w:style>
  <w:style w:type="character" w:customStyle="1" w:styleId="260">
    <w:name w:val="Char Char21"/>
    <w:qFormat/>
    <w:uiPriority w:val="0"/>
    <w:rPr>
      <w:rFonts w:ascii="Arial Narrow" w:hAnsi="Arial Narrow" w:eastAsia="宋体" w:cs="Times New Roman"/>
      <w:b/>
      <w:bCs/>
      <w:iCs/>
      <w:kern w:val="0"/>
      <w:sz w:val="20"/>
      <w:szCs w:val="24"/>
      <w:lang w:eastAsia="en-US"/>
    </w:rPr>
  </w:style>
  <w:style w:type="character" w:customStyle="1" w:styleId="261">
    <w:name w:val="22222 Char Char"/>
    <w:link w:val="262"/>
    <w:qFormat/>
    <w:uiPriority w:val="0"/>
    <w:rPr>
      <w:rFonts w:ascii="宋体" w:hAnsi="宋体"/>
      <w:kern w:val="2"/>
      <w:sz w:val="30"/>
      <w:szCs w:val="30"/>
    </w:rPr>
  </w:style>
  <w:style w:type="paragraph" w:customStyle="1" w:styleId="262">
    <w:name w:val="22222"/>
    <w:basedOn w:val="1"/>
    <w:link w:val="261"/>
    <w:qFormat/>
    <w:uiPriority w:val="0"/>
    <w:pPr>
      <w:tabs>
        <w:tab w:val="left" w:pos="420"/>
      </w:tabs>
      <w:adjustRightInd w:val="0"/>
      <w:ind w:left="420" w:right="31" w:rightChars="17" w:hanging="420"/>
    </w:pPr>
    <w:rPr>
      <w:b w:val="0"/>
      <w:color w:val="auto"/>
      <w:kern w:val="2"/>
      <w:sz w:val="30"/>
      <w:szCs w:val="30"/>
    </w:rPr>
  </w:style>
  <w:style w:type="character" w:customStyle="1" w:styleId="263">
    <w:name w:val="签名 Char1"/>
    <w:qFormat/>
    <w:uiPriority w:val="99"/>
    <w:rPr>
      <w:kern w:val="2"/>
      <w:sz w:val="21"/>
      <w:szCs w:val="24"/>
    </w:rPr>
  </w:style>
  <w:style w:type="character" w:customStyle="1" w:styleId="264">
    <w:name w:val="44444 Char Char"/>
    <w:link w:val="265"/>
    <w:qFormat/>
    <w:uiPriority w:val="0"/>
    <w:rPr>
      <w:rFonts w:ascii="宋体" w:hAnsi="宋体"/>
      <w:b/>
      <w:kern w:val="2"/>
      <w:sz w:val="30"/>
      <w:szCs w:val="30"/>
    </w:rPr>
  </w:style>
  <w:style w:type="paragraph" w:customStyle="1" w:styleId="265">
    <w:name w:val="44444"/>
    <w:basedOn w:val="1"/>
    <w:link w:val="264"/>
    <w:qFormat/>
    <w:uiPriority w:val="0"/>
    <w:pPr>
      <w:spacing w:before="312" w:beforeLines="100" w:after="312" w:afterLines="100"/>
      <w:jc w:val="left"/>
      <w:outlineLvl w:val="2"/>
    </w:pPr>
    <w:rPr>
      <w:color w:val="auto"/>
      <w:kern w:val="2"/>
      <w:sz w:val="30"/>
      <w:szCs w:val="30"/>
    </w:rPr>
  </w:style>
  <w:style w:type="character" w:customStyle="1" w:styleId="266">
    <w:name w:val="55555 Char Char"/>
    <w:link w:val="267"/>
    <w:qFormat/>
    <w:uiPriority w:val="0"/>
    <w:rPr>
      <w:rFonts w:eastAsia="仿宋_GB2312"/>
      <w:kern w:val="2"/>
      <w:sz w:val="30"/>
      <w:szCs w:val="30"/>
    </w:rPr>
  </w:style>
  <w:style w:type="paragraph" w:customStyle="1" w:styleId="267">
    <w:name w:val="55555"/>
    <w:basedOn w:val="19"/>
    <w:link w:val="266"/>
    <w:qFormat/>
    <w:uiPriority w:val="0"/>
    <w:pPr>
      <w:numPr>
        <w:ilvl w:val="2"/>
        <w:numId w:val="12"/>
      </w:numPr>
      <w:ind w:firstLine="0" w:firstLineChars="0"/>
    </w:pPr>
    <w:rPr>
      <w:rFonts w:eastAsia="仿宋_GB2312"/>
      <w:sz w:val="30"/>
      <w:szCs w:val="30"/>
    </w:rPr>
  </w:style>
  <w:style w:type="character" w:customStyle="1" w:styleId="268">
    <w:name w:val="（符号）邀请函中一、"/>
    <w:qFormat/>
    <w:uiPriority w:val="0"/>
    <w:rPr>
      <w:rFonts w:ascii="黑体" w:hAnsi="黑体" w:eastAsia="黑体"/>
      <w:b/>
      <w:bCs/>
      <w:sz w:val="24"/>
    </w:rPr>
  </w:style>
  <w:style w:type="character" w:customStyle="1" w:styleId="269">
    <w:name w:val="small"/>
    <w:basedOn w:val="78"/>
    <w:qFormat/>
    <w:uiPriority w:val="0"/>
  </w:style>
  <w:style w:type="character" w:customStyle="1" w:styleId="270">
    <w:name w:val="表格内文字 Char"/>
    <w:link w:val="271"/>
    <w:qFormat/>
    <w:uiPriority w:val="0"/>
    <w:rPr>
      <w:rFonts w:ascii="Arial" w:hAnsi="Arial"/>
      <w:sz w:val="18"/>
      <w:szCs w:val="18"/>
    </w:rPr>
  </w:style>
  <w:style w:type="paragraph" w:customStyle="1" w:styleId="271">
    <w:name w:val="表格内文字"/>
    <w:basedOn w:val="1"/>
    <w:link w:val="270"/>
    <w:qFormat/>
    <w:uiPriority w:val="0"/>
    <w:pPr>
      <w:keepLines/>
      <w:spacing w:before="40" w:after="40"/>
      <w:textAlignment w:val="top"/>
    </w:pPr>
    <w:rPr>
      <w:rFonts w:ascii="Arial" w:hAnsi="Arial"/>
      <w:b w:val="0"/>
      <w:color w:val="auto"/>
      <w:sz w:val="18"/>
      <w:szCs w:val="18"/>
    </w:rPr>
  </w:style>
  <w:style w:type="character" w:customStyle="1" w:styleId="272">
    <w:name w:val="Char Char81"/>
    <w:qFormat/>
    <w:uiPriority w:val="0"/>
    <w:rPr>
      <w:rFonts w:hint="eastAsia" w:ascii="宋体" w:hAnsi="宋体" w:eastAsia="宋体"/>
      <w:kern w:val="2"/>
      <w:sz w:val="28"/>
      <w:szCs w:val="28"/>
    </w:rPr>
  </w:style>
  <w:style w:type="character" w:customStyle="1" w:styleId="273">
    <w:name w:val="(符号)五标题1.1.1 Char Char"/>
    <w:link w:val="274"/>
    <w:qFormat/>
    <w:uiPriority w:val="0"/>
    <w:rPr>
      <w:rFonts w:ascii="宋体" w:hAnsi="宋体" w:cs="宋体"/>
      <w:color w:val="000000"/>
      <w:kern w:val="2"/>
      <w:sz w:val="24"/>
    </w:rPr>
  </w:style>
  <w:style w:type="paragraph" w:customStyle="1" w:styleId="274">
    <w:name w:val="(符号)五标题1.1.1"/>
    <w:basedOn w:val="1"/>
    <w:link w:val="273"/>
    <w:qFormat/>
    <w:uiPriority w:val="0"/>
    <w:pPr>
      <w:tabs>
        <w:tab w:val="left" w:pos="1000"/>
      </w:tabs>
      <w:spacing w:line="500" w:lineRule="exact"/>
      <w:ind w:left="1000" w:hanging="1000"/>
    </w:pPr>
    <w:rPr>
      <w:b w:val="0"/>
      <w:color w:val="000000"/>
      <w:kern w:val="2"/>
      <w:sz w:val="24"/>
      <w:szCs w:val="20"/>
    </w:rPr>
  </w:style>
  <w:style w:type="character" w:customStyle="1" w:styleId="275">
    <w:name w:val="para_small productdetailstext"/>
    <w:qFormat/>
    <w:uiPriority w:val="0"/>
  </w:style>
  <w:style w:type="character" w:customStyle="1" w:styleId="276">
    <w:name w:val="页脚 Char1"/>
    <w:qFormat/>
    <w:uiPriority w:val="0"/>
    <w:rPr>
      <w:rFonts w:ascii="Times New Roman" w:hAnsi="Times New Roman" w:eastAsia="宋体" w:cs="Times New Roman"/>
      <w:kern w:val="2"/>
      <w:sz w:val="18"/>
      <w:szCs w:val="18"/>
    </w:rPr>
  </w:style>
  <w:style w:type="character" w:customStyle="1" w:styleId="277">
    <w:name w:val="Char Char19"/>
    <w:qFormat/>
    <w:uiPriority w:val="0"/>
    <w:rPr>
      <w:rFonts w:ascii="Arial" w:hAnsi="Arial" w:eastAsia="黑体" w:cs="Times New Roman"/>
      <w:szCs w:val="21"/>
    </w:rPr>
  </w:style>
  <w:style w:type="character" w:customStyle="1" w:styleId="278">
    <w:name w:val="标题 3 Char Char Char"/>
    <w:qFormat/>
    <w:uiPriority w:val="0"/>
    <w:rPr>
      <w:rFonts w:eastAsia="宋体"/>
      <w:b/>
      <w:kern w:val="2"/>
      <w:sz w:val="32"/>
      <w:lang w:val="en-US" w:eastAsia="zh-CN" w:bidi="ar-SA"/>
    </w:rPr>
  </w:style>
  <w:style w:type="character" w:customStyle="1" w:styleId="279">
    <w:name w:val="Char Char17"/>
    <w:qFormat/>
    <w:uiPriority w:val="0"/>
    <w:rPr>
      <w:sz w:val="18"/>
      <w:szCs w:val="18"/>
    </w:rPr>
  </w:style>
  <w:style w:type="character" w:customStyle="1" w:styleId="280">
    <w:name w:val="Char Char3"/>
    <w:qFormat/>
    <w:uiPriority w:val="0"/>
    <w:rPr>
      <w:rFonts w:ascii="Times New Roman" w:hAnsi="Times New Roman"/>
      <w:sz w:val="16"/>
      <w:szCs w:val="16"/>
    </w:rPr>
  </w:style>
  <w:style w:type="character" w:customStyle="1" w:styleId="281">
    <w:name w:val="Char Char31"/>
    <w:qFormat/>
    <w:uiPriority w:val="0"/>
    <w:rPr>
      <w:b/>
      <w:bCs/>
      <w:kern w:val="2"/>
      <w:sz w:val="18"/>
      <w:szCs w:val="18"/>
    </w:rPr>
  </w:style>
  <w:style w:type="character" w:customStyle="1" w:styleId="282">
    <w:name w:val="正文首行缩进 Char1"/>
    <w:basedOn w:val="111"/>
    <w:qFormat/>
    <w:uiPriority w:val="99"/>
    <w:rPr>
      <w:kern w:val="2"/>
      <w:sz w:val="21"/>
      <w:szCs w:val="24"/>
    </w:rPr>
  </w:style>
  <w:style w:type="character" w:customStyle="1" w:styleId="283">
    <w:name w:val="简单回函地址 Char"/>
    <w:link w:val="284"/>
    <w:qFormat/>
    <w:locked/>
    <w:uiPriority w:val="0"/>
    <w:rPr>
      <w:sz w:val="21"/>
    </w:rPr>
  </w:style>
  <w:style w:type="paragraph" w:customStyle="1" w:styleId="284">
    <w:name w:val="简单回函地址"/>
    <w:basedOn w:val="1"/>
    <w:link w:val="283"/>
    <w:qFormat/>
    <w:uiPriority w:val="0"/>
    <w:rPr>
      <w:rFonts w:ascii="Times New Roman" w:hAnsi="Times New Roman"/>
      <w:b w:val="0"/>
      <w:color w:val="auto"/>
      <w:sz w:val="21"/>
      <w:szCs w:val="20"/>
    </w:rPr>
  </w:style>
  <w:style w:type="character" w:customStyle="1" w:styleId="285">
    <w:name w:val="GW-正文 Char"/>
    <w:link w:val="286"/>
    <w:qFormat/>
    <w:uiPriority w:val="0"/>
    <w:rPr>
      <w:rFonts w:eastAsia="仿宋_GB2312"/>
      <w:kern w:val="2"/>
      <w:sz w:val="24"/>
      <w:szCs w:val="24"/>
    </w:rPr>
  </w:style>
  <w:style w:type="paragraph" w:customStyle="1" w:styleId="286">
    <w:name w:val="GW-正文"/>
    <w:basedOn w:val="1"/>
    <w:link w:val="285"/>
    <w:qFormat/>
    <w:uiPriority w:val="0"/>
    <w:pPr>
      <w:snapToGrid/>
      <w:ind w:firstLine="200"/>
    </w:pPr>
    <w:rPr>
      <w:rFonts w:ascii="Times New Roman" w:hAnsi="Times New Roman" w:eastAsia="仿宋_GB2312"/>
      <w:b w:val="0"/>
      <w:color w:val="auto"/>
      <w:kern w:val="2"/>
      <w:sz w:val="24"/>
      <w:szCs w:val="24"/>
      <w:lang w:val="en-US"/>
    </w:rPr>
  </w:style>
  <w:style w:type="character" w:customStyle="1" w:styleId="287">
    <w:name w:val="页脚 字符"/>
    <w:qFormat/>
    <w:uiPriority w:val="99"/>
  </w:style>
  <w:style w:type="paragraph" w:customStyle="1" w:styleId="28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val="0"/>
      <w:bCs/>
      <w:color w:val="000000"/>
      <w:sz w:val="20"/>
      <w:szCs w:val="20"/>
    </w:rPr>
  </w:style>
  <w:style w:type="paragraph" w:customStyle="1" w:styleId="28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290">
    <w:name w:val="正文序号 1"/>
    <w:basedOn w:val="1"/>
    <w:qFormat/>
    <w:uiPriority w:val="0"/>
    <w:pPr>
      <w:tabs>
        <w:tab w:val="left" w:pos="360"/>
        <w:tab w:val="left" w:pos="839"/>
      </w:tabs>
      <w:spacing w:before="60"/>
      <w:ind w:left="360" w:hanging="360"/>
    </w:pPr>
    <w:rPr>
      <w:szCs w:val="20"/>
    </w:rPr>
  </w:style>
  <w:style w:type="paragraph" w:customStyle="1" w:styleId="291">
    <w:name w:val="表栏名"/>
    <w:basedOn w:val="1"/>
    <w:next w:val="292"/>
    <w:qFormat/>
    <w:uiPriority w:val="0"/>
    <w:pPr>
      <w:jc w:val="center"/>
    </w:pPr>
    <w:rPr>
      <w:b w:val="0"/>
    </w:rPr>
  </w:style>
  <w:style w:type="paragraph" w:customStyle="1" w:styleId="292">
    <w:name w:val="表格文字"/>
    <w:basedOn w:val="1"/>
    <w:qFormat/>
    <w:uiPriority w:val="0"/>
    <w:pPr>
      <w:spacing w:before="78" w:beforeLines="25" w:after="78" w:afterLines="25"/>
    </w:pPr>
    <w:rPr>
      <w:rFonts w:ascii="Times New (W1)" w:hAnsi="Times New (W1)"/>
      <w:spacing w:val="10"/>
    </w:rPr>
  </w:style>
  <w:style w:type="paragraph" w:customStyle="1" w:styleId="29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29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20"/>
      <w:szCs w:val="20"/>
    </w:rPr>
  </w:style>
  <w:style w:type="paragraph" w:customStyle="1" w:styleId="295">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296">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2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2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29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sz w:val="20"/>
      <w:szCs w:val="20"/>
    </w:rPr>
  </w:style>
  <w:style w:type="paragraph" w:customStyle="1" w:styleId="300">
    <w:name w:val="标题4级"/>
    <w:basedOn w:val="6"/>
    <w:qFormat/>
    <w:uiPriority w:val="0"/>
    <w:pPr>
      <w:numPr>
        <w:numId w:val="13"/>
      </w:numPr>
      <w:tabs>
        <w:tab w:val="left" w:pos="851"/>
        <w:tab w:val="left" w:pos="993"/>
        <w:tab w:val="left" w:pos="1276"/>
      </w:tabs>
      <w:spacing w:before="0" w:after="0" w:line="360" w:lineRule="auto"/>
    </w:pPr>
    <w:rPr>
      <w:rFonts w:cs="宋体"/>
      <w:color w:val="000000"/>
      <w:kern w:val="0"/>
    </w:rPr>
  </w:style>
  <w:style w:type="paragraph" w:customStyle="1" w:styleId="30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02">
    <w:name w:val="Style Style4 + First line:  2 ch Before:  0.5 line After:  0.5 li..."/>
    <w:basedOn w:val="1"/>
    <w:qFormat/>
    <w:uiPriority w:val="0"/>
    <w:pPr>
      <w:spacing w:before="156" w:beforeLines="50" w:after="156" w:afterLines="50" w:line="276" w:lineRule="auto"/>
      <w:ind w:firstLine="480"/>
    </w:pPr>
    <w:rPr>
      <w:rFonts w:ascii="Arial" w:hAnsi="Arial"/>
      <w:sz w:val="24"/>
      <w:szCs w:val="20"/>
    </w:rPr>
  </w:style>
  <w:style w:type="paragraph" w:customStyle="1" w:styleId="303">
    <w:name w:val="Char2"/>
    <w:basedOn w:val="1"/>
    <w:qFormat/>
    <w:uiPriority w:val="0"/>
    <w:pPr>
      <w:ind w:left="432" w:hanging="432"/>
    </w:pPr>
    <w:rPr>
      <w:sz w:val="24"/>
    </w:rPr>
  </w:style>
  <w:style w:type="paragraph" w:customStyle="1" w:styleId="304">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30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306">
    <w:name w:val="xl87"/>
    <w:basedOn w:val="1"/>
    <w:qFormat/>
    <w:uiPriority w:val="0"/>
    <w:pPr>
      <w:widowControl/>
      <w:spacing w:before="100" w:beforeAutospacing="1" w:after="100" w:afterAutospacing="1"/>
      <w:jc w:val="left"/>
    </w:pPr>
    <w:rPr>
      <w:rFonts w:cs="宋体"/>
      <w:sz w:val="18"/>
      <w:szCs w:val="18"/>
    </w:rPr>
  </w:style>
  <w:style w:type="paragraph" w:customStyle="1" w:styleId="30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3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309">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1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311">
    <w:name w:val="列表1"/>
    <w:basedOn w:val="1"/>
    <w:qFormat/>
    <w:uiPriority w:val="0"/>
    <w:pPr>
      <w:numPr>
        <w:ilvl w:val="1"/>
        <w:numId w:val="14"/>
      </w:numPr>
      <w:adjustRightInd w:val="0"/>
      <w:textAlignment w:val="baseline"/>
    </w:pPr>
    <w:rPr>
      <w:sz w:val="24"/>
      <w:szCs w:val="20"/>
    </w:rPr>
  </w:style>
  <w:style w:type="paragraph" w:customStyle="1" w:styleId="312">
    <w:name w:val="标题2级"/>
    <w:basedOn w:val="4"/>
    <w:qFormat/>
    <w:uiPriority w:val="0"/>
    <w:pPr>
      <w:keepLines/>
      <w:numPr>
        <w:ilvl w:val="1"/>
        <w:numId w:val="13"/>
      </w:numPr>
      <w:tabs>
        <w:tab w:val="left" w:pos="0"/>
        <w:tab w:val="clear" w:pos="567"/>
      </w:tabs>
      <w:spacing w:before="0" w:after="0"/>
      <w:jc w:val="both"/>
    </w:pPr>
    <w:rPr>
      <w:color w:val="000000"/>
      <w:szCs w:val="24"/>
    </w:rPr>
  </w:style>
  <w:style w:type="paragraph" w:customStyle="1" w:styleId="313">
    <w:name w:val="_Style 312"/>
    <w:basedOn w:val="3"/>
    <w:next w:val="1"/>
    <w:qFormat/>
    <w:uiPriority w:val="39"/>
    <w:pPr>
      <w:widowControl/>
      <w:numPr>
        <w:numId w:val="0"/>
      </w:numPr>
      <w:tabs>
        <w:tab w:val="clear" w:pos="709"/>
      </w:tabs>
      <w:snapToGrid/>
      <w:spacing w:before="480" w:after="0" w:line="276" w:lineRule="auto"/>
      <w:jc w:val="left"/>
      <w:outlineLvl w:val="9"/>
    </w:pPr>
    <w:rPr>
      <w:rFonts w:ascii="Cambria" w:hAnsi="Cambria"/>
      <w:b/>
      <w:bCs/>
      <w:color w:val="365F91"/>
      <w:kern w:val="0"/>
      <w:sz w:val="28"/>
      <w:szCs w:val="28"/>
      <w:lang w:val="en-US"/>
    </w:rPr>
  </w:style>
  <w:style w:type="paragraph" w:customStyle="1" w:styleId="314">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15">
    <w:name w:val="附录五级条标题"/>
    <w:basedOn w:val="316"/>
    <w:next w:val="6"/>
    <w:qFormat/>
    <w:uiPriority w:val="0"/>
    <w:pPr>
      <w:numPr>
        <w:ilvl w:val="6"/>
      </w:numPr>
      <w:outlineLvl w:val="6"/>
    </w:pPr>
  </w:style>
  <w:style w:type="paragraph" w:customStyle="1" w:styleId="316">
    <w:name w:val="附录四级条标题"/>
    <w:basedOn w:val="317"/>
    <w:next w:val="6"/>
    <w:qFormat/>
    <w:uiPriority w:val="0"/>
    <w:pPr>
      <w:numPr>
        <w:ilvl w:val="5"/>
      </w:numPr>
      <w:outlineLvl w:val="5"/>
    </w:pPr>
  </w:style>
  <w:style w:type="paragraph" w:customStyle="1" w:styleId="317">
    <w:name w:val="附录三级条标题"/>
    <w:basedOn w:val="318"/>
    <w:next w:val="6"/>
    <w:qFormat/>
    <w:uiPriority w:val="0"/>
    <w:pPr>
      <w:numPr>
        <w:ilvl w:val="4"/>
      </w:numPr>
      <w:outlineLvl w:val="4"/>
    </w:pPr>
  </w:style>
  <w:style w:type="paragraph" w:customStyle="1" w:styleId="318">
    <w:name w:val="附录二级条标题"/>
    <w:basedOn w:val="319"/>
    <w:next w:val="6"/>
    <w:qFormat/>
    <w:uiPriority w:val="0"/>
    <w:pPr>
      <w:numPr>
        <w:ilvl w:val="3"/>
      </w:numPr>
      <w:outlineLvl w:val="3"/>
    </w:pPr>
  </w:style>
  <w:style w:type="paragraph" w:customStyle="1" w:styleId="319">
    <w:name w:val="附录一级条标题"/>
    <w:basedOn w:val="320"/>
    <w:next w:val="6"/>
    <w:qFormat/>
    <w:uiPriority w:val="0"/>
    <w:pPr>
      <w:numPr>
        <w:ilvl w:val="2"/>
      </w:numPr>
      <w:autoSpaceDN w:val="0"/>
      <w:spacing w:before="0" w:beforeLines="0" w:after="0" w:afterLines="0"/>
      <w:outlineLvl w:val="2"/>
    </w:pPr>
  </w:style>
  <w:style w:type="paragraph" w:customStyle="1" w:styleId="320">
    <w:name w:val="附录章标题"/>
    <w:next w:val="6"/>
    <w:qFormat/>
    <w:uiPriority w:val="0"/>
    <w:pPr>
      <w:numPr>
        <w:ilvl w:val="1"/>
        <w:numId w:val="15"/>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21">
    <w:name w:val="正文序号 4"/>
    <w:basedOn w:val="1"/>
    <w:qFormat/>
    <w:uiPriority w:val="0"/>
    <w:pPr>
      <w:tabs>
        <w:tab w:val="left" w:pos="1469"/>
        <w:tab w:val="left" w:pos="1680"/>
      </w:tabs>
      <w:spacing w:before="60"/>
      <w:ind w:left="1680" w:hanging="420"/>
    </w:pPr>
    <w:rPr>
      <w:szCs w:val="20"/>
    </w:rPr>
  </w:style>
  <w:style w:type="paragraph" w:customStyle="1" w:styleId="32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22"/>
      <w:szCs w:val="22"/>
    </w:rPr>
  </w:style>
  <w:style w:type="paragraph" w:customStyle="1" w:styleId="323">
    <w:name w:val="论文正文"/>
    <w:basedOn w:val="1"/>
    <w:qFormat/>
    <w:uiPriority w:val="0"/>
    <w:rPr>
      <w:bCs/>
      <w:color w:val="000000"/>
      <w:sz w:val="24"/>
    </w:rPr>
  </w:style>
  <w:style w:type="paragraph" w:customStyle="1" w:styleId="324">
    <w:name w:val="样式 标题 4 + 宋体"/>
    <w:basedOn w:val="6"/>
    <w:qFormat/>
    <w:uiPriority w:val="0"/>
    <w:pPr>
      <w:numPr>
        <w:numId w:val="0"/>
      </w:numPr>
      <w:tabs>
        <w:tab w:val="left" w:pos="851"/>
      </w:tabs>
      <w:spacing w:line="360" w:lineRule="auto"/>
      <w:ind w:right="240" w:rightChars="100"/>
    </w:pPr>
  </w:style>
  <w:style w:type="paragraph" w:customStyle="1" w:styleId="325">
    <w:name w:val="_Style 324"/>
    <w:qFormat/>
    <w:uiPriority w:val="99"/>
    <w:rPr>
      <w:rFonts w:ascii="Times New Roman" w:hAnsi="Times New Roman" w:eastAsia="宋体" w:cs="Times New Roman"/>
      <w:kern w:val="2"/>
      <w:sz w:val="21"/>
      <w:lang w:val="en-US" w:eastAsia="zh-CN" w:bidi="ar-SA"/>
    </w:rPr>
  </w:style>
  <w:style w:type="paragraph" w:customStyle="1" w:styleId="326">
    <w:name w:val="项目内容"/>
    <w:basedOn w:val="1"/>
    <w:qFormat/>
    <w:uiPriority w:val="0"/>
    <w:pPr>
      <w:tabs>
        <w:tab w:val="left" w:pos="840"/>
      </w:tabs>
      <w:ind w:left="840" w:hanging="420"/>
    </w:pPr>
    <w:rPr>
      <w:sz w:val="24"/>
      <w:szCs w:val="20"/>
    </w:rPr>
  </w:style>
  <w:style w:type="paragraph" w:customStyle="1" w:styleId="327">
    <w:name w:val="程序"/>
    <w:basedOn w:val="39"/>
    <w:qFormat/>
    <w:uiPriority w:val="0"/>
    <w:pPr>
      <w:spacing w:line="329" w:lineRule="exact"/>
      <w:ind w:firstLine="425"/>
    </w:pPr>
    <w:rPr>
      <w:rFonts w:ascii="Courier New"/>
    </w:rPr>
  </w:style>
  <w:style w:type="paragraph" w:customStyle="1" w:styleId="328">
    <w:name w:val="MM Topic 5"/>
    <w:basedOn w:val="7"/>
    <w:qFormat/>
    <w:uiPriority w:val="0"/>
    <w:pPr>
      <w:keepNext/>
      <w:keepLines/>
      <w:tabs>
        <w:tab w:val="clear" w:pos="992"/>
        <w:tab w:val="clear" w:pos="1134"/>
      </w:tabs>
      <w:spacing w:line="376" w:lineRule="auto"/>
      <w:ind w:left="0" w:firstLine="0"/>
    </w:pPr>
    <w:rPr>
      <w:kern w:val="2"/>
      <w:lang w:val="en-US"/>
    </w:rPr>
  </w:style>
  <w:style w:type="paragraph" w:customStyle="1" w:styleId="32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3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3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2">
    <w:name w:val="plaintext"/>
    <w:basedOn w:val="1"/>
    <w:qFormat/>
    <w:uiPriority w:val="0"/>
    <w:pPr>
      <w:widowControl/>
      <w:spacing w:before="100" w:beforeAutospacing="1" w:after="100" w:afterAutospacing="1"/>
      <w:jc w:val="left"/>
    </w:pPr>
    <w:rPr>
      <w:sz w:val="24"/>
    </w:rPr>
  </w:style>
  <w:style w:type="paragraph" w:customStyle="1" w:styleId="333">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34">
    <w:name w:val="kerning2lochf13hichaf2db"/>
    <w:qFormat/>
    <w:uiPriority w:val="0"/>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335">
    <w:name w:val="Char"/>
    <w:basedOn w:val="1"/>
    <w:next w:val="1"/>
    <w:qFormat/>
    <w:uiPriority w:val="0"/>
    <w:pPr>
      <w:spacing w:line="240" w:lineRule="atLeast"/>
      <w:ind w:left="420" w:firstLine="420"/>
      <w:jc w:val="left"/>
    </w:pPr>
    <w:rPr>
      <w:szCs w:val="21"/>
    </w:rPr>
  </w:style>
  <w:style w:type="paragraph" w:customStyle="1" w:styleId="336">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33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38">
    <w:name w:val="图"/>
    <w:basedOn w:val="1"/>
    <w:next w:val="339"/>
    <w:qFormat/>
    <w:uiPriority w:val="0"/>
    <w:pPr>
      <w:jc w:val="center"/>
    </w:pPr>
    <w:rPr>
      <w:sz w:val="24"/>
    </w:rPr>
  </w:style>
  <w:style w:type="paragraph" w:customStyle="1" w:styleId="339">
    <w:name w:val="图题"/>
    <w:basedOn w:val="338"/>
    <w:next w:val="19"/>
    <w:qFormat/>
    <w:uiPriority w:val="0"/>
    <w:pPr>
      <w:outlineLvl w:val="5"/>
    </w:pPr>
    <w:rPr>
      <w:sz w:val="21"/>
    </w:rPr>
  </w:style>
  <w:style w:type="paragraph" w:customStyle="1" w:styleId="340">
    <w:name w:val="Char1 Char Char Char Char Char Char"/>
    <w:basedOn w:val="1"/>
    <w:qFormat/>
    <w:uiPriority w:val="0"/>
    <w:rPr>
      <w:rFonts w:ascii="Tahoma" w:hAnsi="Tahoma"/>
      <w:sz w:val="24"/>
      <w:szCs w:val="20"/>
    </w:rPr>
  </w:style>
  <w:style w:type="paragraph" w:customStyle="1" w:styleId="34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42">
    <w:name w:val="文章正文 Char Char1"/>
    <w:basedOn w:val="1"/>
    <w:qFormat/>
    <w:uiPriority w:val="0"/>
    <w:pPr>
      <w:ind w:firstLine="420"/>
    </w:pPr>
    <w:rPr>
      <w:sz w:val="24"/>
    </w:rPr>
  </w:style>
  <w:style w:type="paragraph" w:customStyle="1" w:styleId="343">
    <w:name w:val="标题1"/>
    <w:basedOn w:val="3"/>
    <w:qFormat/>
    <w:uiPriority w:val="0"/>
    <w:pPr>
      <w:numPr>
        <w:numId w:val="0"/>
      </w:numPr>
      <w:spacing w:before="0" w:after="0"/>
    </w:pPr>
    <w:rPr>
      <w:bCs/>
      <w:color w:val="auto"/>
    </w:rPr>
  </w:style>
  <w:style w:type="paragraph" w:customStyle="1" w:styleId="344">
    <w:name w:val="样式 标题 3 + (西文) 仿宋_GB2312 (中文) 仿宋_GB2312 四号"/>
    <w:basedOn w:val="5"/>
    <w:qFormat/>
    <w:uiPriority w:val="0"/>
    <w:pPr>
      <w:ind w:left="-1" w:leftChars="-1"/>
    </w:pPr>
    <w:rPr>
      <w:rFonts w:ascii="仿宋_GB2312" w:hAnsi="仿宋_GB2312" w:eastAsia="仿宋_GB2312"/>
      <w:lang w:val="en-US"/>
    </w:rPr>
  </w:style>
  <w:style w:type="paragraph" w:customStyle="1" w:styleId="345">
    <w:name w:val="xl68"/>
    <w:basedOn w:val="1"/>
    <w:qFormat/>
    <w:uiPriority w:val="0"/>
    <w:pPr>
      <w:widowControl/>
      <w:pBdr>
        <w:top w:val="single" w:color="auto" w:sz="4" w:space="0"/>
        <w:bottom w:val="single" w:color="auto" w:sz="4" w:space="0"/>
      </w:pBdr>
      <w:spacing w:before="100" w:beforeAutospacing="1" w:after="100" w:afterAutospacing="1"/>
      <w:jc w:val="left"/>
    </w:pPr>
    <w:rPr>
      <w:rFonts w:cs="宋体"/>
      <w:sz w:val="22"/>
      <w:szCs w:val="22"/>
    </w:rPr>
  </w:style>
  <w:style w:type="paragraph" w:customStyle="1" w:styleId="3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347">
    <w:name w:val="样式 正文缩进 + (中文) 仿宋_GB2312 小四 Char"/>
    <w:basedOn w:val="19"/>
    <w:qFormat/>
    <w:uiPriority w:val="0"/>
    <w:pPr>
      <w:ind w:firstLine="480"/>
    </w:pPr>
    <w:rPr>
      <w:rFonts w:ascii="宋体" w:hAnsi="宋体"/>
      <w:sz w:val="24"/>
    </w:rPr>
  </w:style>
  <w:style w:type="paragraph" w:customStyle="1" w:styleId="348">
    <w:name w:val="样式 行距: 1.5 倍行距 左  3.42 字符"/>
    <w:basedOn w:val="1"/>
    <w:qFormat/>
    <w:uiPriority w:val="0"/>
    <w:pPr>
      <w:ind w:left="200" w:leftChars="200" w:firstLine="200"/>
    </w:pPr>
    <w:rPr>
      <w:rFonts w:cs="宋体"/>
      <w:szCs w:val="20"/>
    </w:rPr>
  </w:style>
  <w:style w:type="paragraph" w:customStyle="1" w:styleId="349">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50">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5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val="0"/>
      <w:bCs/>
      <w:color w:val="000000"/>
      <w:sz w:val="20"/>
      <w:szCs w:val="20"/>
    </w:rPr>
  </w:style>
  <w:style w:type="paragraph" w:customStyle="1" w:styleId="35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53">
    <w:name w:val="样式 标题 5 + 倾斜"/>
    <w:basedOn w:val="7"/>
    <w:qFormat/>
    <w:uiPriority w:val="0"/>
    <w:pPr>
      <w:widowControl/>
      <w:tabs>
        <w:tab w:val="left" w:pos="1560"/>
        <w:tab w:val="clear" w:pos="992"/>
        <w:tab w:val="clear" w:pos="1134"/>
      </w:tabs>
      <w:overflowPunct w:val="0"/>
      <w:autoSpaceDE w:val="0"/>
      <w:autoSpaceDN w:val="0"/>
      <w:adjustRightInd w:val="0"/>
      <w:spacing w:before="100" w:beforeAutospacing="1" w:after="100" w:afterAutospacing="1" w:line="288" w:lineRule="auto"/>
      <w:ind w:left="0" w:firstLine="0"/>
      <w:jc w:val="left"/>
    </w:pPr>
    <w:rPr>
      <w:rFonts w:ascii="Arial" w:hAnsi="Arial"/>
      <w:bCs w:val="0"/>
      <w:iCs/>
      <w:color w:val="000000"/>
    </w:rPr>
  </w:style>
  <w:style w:type="paragraph" w:customStyle="1" w:styleId="354">
    <w:name w:val="xl164"/>
    <w:basedOn w:val="1"/>
    <w:qFormat/>
    <w:uiPriority w:val="0"/>
    <w:pPr>
      <w:widowControl/>
      <w:spacing w:before="100" w:beforeAutospacing="1" w:after="100" w:afterAutospacing="1"/>
      <w:jc w:val="left"/>
    </w:pPr>
    <w:rPr>
      <w:rFonts w:cs="宋体"/>
      <w:color w:val="000000"/>
      <w:sz w:val="18"/>
      <w:szCs w:val="18"/>
    </w:rPr>
  </w:style>
  <w:style w:type="paragraph" w:customStyle="1" w:styleId="355">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356">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357">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358">
    <w:name w:val="标题 5 + 首行缩进:  2 字符"/>
    <w:basedOn w:val="7"/>
    <w:next w:val="30"/>
    <w:qFormat/>
    <w:uiPriority w:val="0"/>
    <w:pPr>
      <w:numPr>
        <w:ilvl w:val="4"/>
        <w:numId w:val="16"/>
      </w:numPr>
      <w:tabs>
        <w:tab w:val="left" w:pos="1560"/>
        <w:tab w:val="clear" w:pos="992"/>
        <w:tab w:val="clear" w:pos="1134"/>
      </w:tabs>
      <w:spacing w:before="156" w:beforeLines="50" w:after="156" w:afterLines="50"/>
      <w:ind w:left="3570" w:firstLine="482"/>
    </w:pPr>
    <w:rPr>
      <w:rFonts w:ascii="Calibri" w:hAnsi="Calibri"/>
      <w:color w:val="000000"/>
      <w:szCs w:val="20"/>
    </w:rPr>
  </w:style>
  <w:style w:type="paragraph" w:customStyle="1" w:styleId="3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sz w:val="20"/>
      <w:szCs w:val="20"/>
    </w:rPr>
  </w:style>
  <w:style w:type="paragraph" w:customStyle="1" w:styleId="360">
    <w:name w:val="样式 楷体_GB2312 小四 行距: 1.5 倍行距"/>
    <w:basedOn w:val="1"/>
    <w:qFormat/>
    <w:uiPriority w:val="0"/>
    <w:pPr>
      <w:ind w:firstLine="200"/>
    </w:pPr>
    <w:rPr>
      <w:rFonts w:ascii="楷体_GB2312" w:eastAsia="楷体_GB2312" w:cs="宋体"/>
      <w:sz w:val="24"/>
      <w:szCs w:val="20"/>
    </w:rPr>
  </w:style>
  <w:style w:type="paragraph" w:customStyle="1" w:styleId="36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62">
    <w:name w:val="标书（正文）"/>
    <w:basedOn w:val="1"/>
    <w:qFormat/>
    <w:uiPriority w:val="0"/>
    <w:pPr>
      <w:ind w:firstLine="560"/>
    </w:pPr>
    <w:rPr>
      <w:kern w:val="10"/>
      <w:sz w:val="28"/>
      <w:szCs w:val="28"/>
    </w:rPr>
  </w:style>
  <w:style w:type="paragraph" w:customStyle="1" w:styleId="36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364">
    <w:name w:val="默认段落字体 Para Char Char Char Char Char Char Char"/>
    <w:basedOn w:val="1"/>
    <w:qFormat/>
    <w:uiPriority w:val="0"/>
    <w:rPr>
      <w:rFonts w:ascii="Tahoma" w:hAnsi="Tahoma"/>
      <w:sz w:val="24"/>
      <w:szCs w:val="20"/>
    </w:rPr>
  </w:style>
  <w:style w:type="paragraph" w:customStyle="1" w:styleId="36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val="0"/>
      <w:bCs/>
      <w:color w:val="000000"/>
      <w:sz w:val="20"/>
      <w:szCs w:val="20"/>
    </w:rPr>
  </w:style>
  <w:style w:type="paragraph" w:customStyle="1" w:styleId="366">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宋体"/>
      <w:color w:val="000000"/>
      <w:sz w:val="18"/>
      <w:szCs w:val="18"/>
    </w:rPr>
  </w:style>
  <w:style w:type="paragraph" w:customStyle="1" w:styleId="36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368">
    <w:name w:val="！标题1"/>
    <w:basedOn w:val="3"/>
    <w:qFormat/>
    <w:uiPriority w:val="0"/>
    <w:pPr>
      <w:numPr>
        <w:ilvl w:val="0"/>
        <w:numId w:val="17"/>
      </w:numPr>
      <w:tabs>
        <w:tab w:val="left" w:pos="1200"/>
        <w:tab w:val="clear" w:pos="709"/>
      </w:tabs>
      <w:spacing w:line="576" w:lineRule="auto"/>
      <w:ind w:left="1200" w:leftChars="400" w:hanging="360" w:hangingChars="200"/>
      <w:jc w:val="both"/>
    </w:pPr>
    <w:rPr>
      <w:rFonts w:ascii="Times New Roman"/>
      <w:bCs/>
      <w:color w:val="auto"/>
      <w:szCs w:val="44"/>
    </w:rPr>
  </w:style>
  <w:style w:type="paragraph" w:customStyle="1" w:styleId="369">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70">
    <w:name w:val="table head"/>
    <w:basedOn w:val="1"/>
    <w:qFormat/>
    <w:uiPriority w:val="0"/>
    <w:pPr>
      <w:keepNext/>
      <w:keepLines/>
      <w:adjustRightInd w:val="0"/>
      <w:spacing w:line="312" w:lineRule="atLeast"/>
      <w:jc w:val="center"/>
      <w:textAlignment w:val="baseline"/>
    </w:pPr>
    <w:rPr>
      <w:b w:val="0"/>
      <w:szCs w:val="20"/>
    </w:rPr>
  </w:style>
  <w:style w:type="paragraph" w:customStyle="1" w:styleId="37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372">
    <w:name w:val="xl136"/>
    <w:basedOn w:val="1"/>
    <w:qFormat/>
    <w:uiPriority w:val="0"/>
    <w:pPr>
      <w:widowControl/>
      <w:spacing w:before="100" w:beforeAutospacing="1" w:after="100" w:afterAutospacing="1"/>
      <w:jc w:val="left"/>
    </w:pPr>
    <w:rPr>
      <w:rFonts w:cs="宋体"/>
      <w:color w:val="000000"/>
      <w:sz w:val="18"/>
      <w:szCs w:val="18"/>
    </w:rPr>
  </w:style>
  <w:style w:type="paragraph" w:customStyle="1" w:styleId="37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sz w:val="20"/>
      <w:szCs w:val="20"/>
    </w:rPr>
  </w:style>
  <w:style w:type="paragraph" w:customStyle="1" w:styleId="374">
    <w:name w:val="条目正文"/>
    <w:basedOn w:val="1"/>
    <w:qFormat/>
    <w:uiPriority w:val="0"/>
    <w:pPr>
      <w:tabs>
        <w:tab w:val="left" w:pos="1050"/>
      </w:tabs>
      <w:spacing w:after="120"/>
      <w:ind w:left="1050" w:hanging="450"/>
    </w:pPr>
    <w:rPr>
      <w:rFonts w:hAnsi="Arial" w:cs="Arial"/>
      <w:sz w:val="24"/>
      <w:szCs w:val="20"/>
    </w:rPr>
  </w:style>
  <w:style w:type="paragraph" w:customStyle="1" w:styleId="37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bCs/>
      <w:color w:val="000000"/>
    </w:rPr>
  </w:style>
  <w:style w:type="paragraph" w:customStyle="1" w:styleId="376">
    <w:name w:val="Char Char Char Char Char Char Char Char Char Char Char Char Char"/>
    <w:basedOn w:val="23"/>
    <w:qFormat/>
    <w:uiPriority w:val="0"/>
    <w:pPr>
      <w:shd w:val="clear" w:color="auto" w:fill="000080"/>
    </w:pPr>
    <w:rPr>
      <w:rFonts w:ascii="Tahoma" w:hAnsi="Tahoma"/>
      <w:sz w:val="24"/>
      <w:szCs w:val="24"/>
      <w:shd w:val="clear" w:color="auto" w:fill="000080"/>
    </w:rPr>
  </w:style>
  <w:style w:type="paragraph" w:customStyle="1" w:styleId="377">
    <w:name w:val="样式 样式 样式 标题 2 + 宋体 五号 非加粗 黑色 + 段前: 6 磅 段后: 0 磅 行距: 单倍行距 + 段前: 12..."/>
    <w:basedOn w:val="1"/>
    <w:qFormat/>
    <w:uiPriority w:val="0"/>
    <w:pPr>
      <w:keepNext/>
      <w:keepLines/>
      <w:numPr>
        <w:ilvl w:val="1"/>
        <w:numId w:val="18"/>
      </w:numPr>
      <w:adjustRightInd w:val="0"/>
      <w:spacing w:before="240"/>
      <w:jc w:val="left"/>
      <w:textAlignment w:val="baseline"/>
      <w:outlineLvl w:val="1"/>
    </w:pPr>
    <w:rPr>
      <w:rFonts w:cs="宋体"/>
      <w:color w:val="000000"/>
      <w:szCs w:val="20"/>
    </w:rPr>
  </w:style>
  <w:style w:type="paragraph" w:customStyle="1" w:styleId="378">
    <w:name w:val="正文 + 宋体"/>
    <w:basedOn w:val="1"/>
    <w:qFormat/>
    <w:uiPriority w:val="0"/>
    <w:pPr>
      <w:widowControl/>
      <w:ind w:left="360" w:hanging="360"/>
      <w:jc w:val="left"/>
    </w:pPr>
    <w:rPr>
      <w:rFonts w:cs="宋体"/>
      <w:b w:val="0"/>
      <w:bCs/>
      <w:color w:val="000000"/>
      <w:sz w:val="18"/>
      <w:szCs w:val="18"/>
    </w:rPr>
  </w:style>
  <w:style w:type="paragraph" w:customStyle="1" w:styleId="379">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380">
    <w:name w:val="MM Topic 1"/>
    <w:basedOn w:val="3"/>
    <w:qFormat/>
    <w:uiPriority w:val="0"/>
    <w:pPr>
      <w:numPr>
        <w:numId w:val="0"/>
      </w:numPr>
      <w:tabs>
        <w:tab w:val="left" w:pos="425"/>
        <w:tab w:val="clear" w:pos="709"/>
      </w:tabs>
    </w:pPr>
    <w:rPr>
      <w:bCs/>
      <w:color w:val="auto"/>
      <w:sz w:val="44"/>
    </w:rPr>
  </w:style>
  <w:style w:type="paragraph" w:customStyle="1" w:styleId="381">
    <w:name w:val="xl153"/>
    <w:basedOn w:val="1"/>
    <w:qFormat/>
    <w:uiPriority w:val="0"/>
    <w:pPr>
      <w:widowControl/>
      <w:spacing w:before="100" w:beforeAutospacing="1" w:after="100" w:afterAutospacing="1"/>
      <w:jc w:val="left"/>
    </w:pPr>
    <w:rPr>
      <w:rFonts w:cs="宋体"/>
      <w:color w:val="000000"/>
      <w:sz w:val="18"/>
      <w:szCs w:val="18"/>
    </w:rPr>
  </w:style>
  <w:style w:type="paragraph" w:customStyle="1" w:styleId="382">
    <w:name w:val="正文标书"/>
    <w:basedOn w:val="1"/>
    <w:qFormat/>
    <w:uiPriority w:val="0"/>
    <w:pPr>
      <w:spacing w:line="560" w:lineRule="exact"/>
      <w:ind w:firstLine="200"/>
    </w:pPr>
    <w:rPr>
      <w:sz w:val="28"/>
      <w:szCs w:val="28"/>
    </w:rPr>
  </w:style>
  <w:style w:type="paragraph" w:customStyle="1" w:styleId="38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384">
    <w:name w:val="Char1 Char Char Char"/>
    <w:basedOn w:val="1"/>
    <w:next w:val="1"/>
    <w:qFormat/>
    <w:uiPriority w:val="0"/>
    <w:pPr>
      <w:spacing w:line="240" w:lineRule="atLeast"/>
      <w:ind w:left="420" w:firstLine="420"/>
      <w:jc w:val="left"/>
    </w:pPr>
    <w:rPr>
      <w:szCs w:val="20"/>
    </w:rPr>
  </w:style>
  <w:style w:type="paragraph" w:customStyle="1" w:styleId="385">
    <w:name w:val="样式 宋体 小四 行距: 1.5 倍行距"/>
    <w:basedOn w:val="1"/>
    <w:qFormat/>
    <w:uiPriority w:val="0"/>
    <w:pPr>
      <w:tabs>
        <w:tab w:val="left" w:pos="5190"/>
      </w:tabs>
      <w:spacing w:before="100" w:beforeAutospacing="1" w:after="100" w:afterAutospacing="1" w:line="288" w:lineRule="auto"/>
      <w:ind w:firstLine="480"/>
    </w:pPr>
    <w:rPr>
      <w:bCs/>
      <w:sz w:val="24"/>
    </w:rPr>
  </w:style>
  <w:style w:type="paragraph" w:customStyle="1" w:styleId="386">
    <w:name w:val="Char1"/>
    <w:basedOn w:val="1"/>
    <w:next w:val="1"/>
    <w:qFormat/>
    <w:uiPriority w:val="0"/>
    <w:pPr>
      <w:spacing w:line="240" w:lineRule="atLeast"/>
      <w:ind w:left="420" w:firstLine="420"/>
      <w:jc w:val="left"/>
    </w:pPr>
    <w:rPr>
      <w:szCs w:val="21"/>
    </w:rPr>
  </w:style>
  <w:style w:type="paragraph" w:customStyle="1" w:styleId="387">
    <w:name w:val="Char Char Char Char"/>
    <w:basedOn w:val="1"/>
    <w:qFormat/>
    <w:uiPriority w:val="0"/>
    <w:pPr>
      <w:tabs>
        <w:tab w:val="left" w:pos="600"/>
      </w:tabs>
      <w:ind w:left="1413" w:hanging="420"/>
    </w:pPr>
    <w:rPr>
      <w:sz w:val="24"/>
    </w:rPr>
  </w:style>
  <w:style w:type="paragraph" w:customStyle="1" w:styleId="388">
    <w:name w:val="xl115"/>
    <w:basedOn w:val="1"/>
    <w:qFormat/>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389">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3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39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392">
    <w:name w:val="MM Topic 2"/>
    <w:basedOn w:val="4"/>
    <w:qFormat/>
    <w:uiPriority w:val="0"/>
    <w:pPr>
      <w:tabs>
        <w:tab w:val="left" w:pos="1276"/>
        <w:tab w:val="clear" w:pos="567"/>
      </w:tabs>
      <w:spacing w:line="416" w:lineRule="auto"/>
      <w:ind w:left="284" w:firstLine="0" w:firstLineChars="0"/>
      <w:jc w:val="both"/>
    </w:pPr>
    <w:rPr>
      <w:rFonts w:eastAsia="黑体"/>
      <w:sz w:val="32"/>
      <w:szCs w:val="32"/>
    </w:rPr>
  </w:style>
  <w:style w:type="paragraph" w:customStyle="1" w:styleId="393">
    <w:name w:val="文档正文"/>
    <w:basedOn w:val="1"/>
    <w:qFormat/>
    <w:uiPriority w:val="0"/>
    <w:pPr>
      <w:ind w:firstLine="480"/>
    </w:pPr>
    <w:rPr>
      <w:rFonts w:cs="Arial"/>
      <w:bCs/>
      <w:sz w:val="24"/>
    </w:rPr>
  </w:style>
  <w:style w:type="paragraph" w:customStyle="1" w:styleId="394">
    <w:name w:val="xl76"/>
    <w:basedOn w:val="1"/>
    <w:qFormat/>
    <w:uiPriority w:val="0"/>
    <w:pPr>
      <w:widowControl/>
      <w:spacing w:before="100" w:beforeAutospacing="1" w:after="100" w:afterAutospacing="1"/>
      <w:jc w:val="left"/>
    </w:pPr>
    <w:rPr>
      <w:color w:val="000000"/>
      <w:sz w:val="20"/>
      <w:szCs w:val="20"/>
    </w:rPr>
  </w:style>
  <w:style w:type="paragraph" w:customStyle="1" w:styleId="395">
    <w:name w:val="样式1"/>
    <w:basedOn w:val="1"/>
    <w:qFormat/>
    <w:uiPriority w:val="0"/>
    <w:rPr>
      <w:rFonts w:eastAsia="隶书"/>
      <w:i/>
      <w:dstrike/>
      <w:sz w:val="28"/>
      <w:szCs w:val="18"/>
    </w:rPr>
  </w:style>
  <w:style w:type="paragraph" w:customStyle="1" w:styleId="396">
    <w:name w:val="Char Char Char Char Char Char Char Char Char Char Char Char Char1"/>
    <w:basedOn w:val="23"/>
    <w:qFormat/>
    <w:uiPriority w:val="0"/>
    <w:pPr>
      <w:shd w:val="clear" w:color="auto" w:fill="000080"/>
    </w:pPr>
    <w:rPr>
      <w:rFonts w:ascii="Tahoma" w:hAnsi="Tahoma"/>
      <w:sz w:val="24"/>
      <w:szCs w:val="20"/>
      <w:shd w:val="clear" w:color="auto" w:fill="000080"/>
    </w:rPr>
  </w:style>
  <w:style w:type="paragraph" w:customStyle="1" w:styleId="397">
    <w:name w:val="列出段落11"/>
    <w:basedOn w:val="1"/>
    <w:qFormat/>
    <w:uiPriority w:val="0"/>
    <w:pPr>
      <w:numPr>
        <w:ilvl w:val="0"/>
        <w:numId w:val="19"/>
      </w:numPr>
      <w:spacing w:line="312" w:lineRule="auto"/>
    </w:pPr>
    <w:rPr>
      <w:sz w:val="24"/>
    </w:rPr>
  </w:style>
  <w:style w:type="paragraph" w:customStyle="1" w:styleId="398">
    <w:name w:val="Char2 Char Char Char"/>
    <w:basedOn w:val="1"/>
    <w:qFormat/>
    <w:uiPriority w:val="0"/>
    <w:rPr>
      <w:rFonts w:ascii="仿宋_GB2312"/>
      <w:b w:val="0"/>
      <w:sz w:val="30"/>
      <w:szCs w:val="20"/>
    </w:rPr>
  </w:style>
  <w:style w:type="paragraph" w:customStyle="1" w:styleId="39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sz w:val="24"/>
    </w:rPr>
  </w:style>
  <w:style w:type="paragraph" w:customStyle="1" w:styleId="400">
    <w:name w:val="xl124"/>
    <w:basedOn w:val="1"/>
    <w:qFormat/>
    <w:uiPriority w:val="0"/>
    <w:pPr>
      <w:widowControl/>
      <w:spacing w:before="100" w:beforeAutospacing="1" w:after="100" w:afterAutospacing="1"/>
      <w:jc w:val="left"/>
    </w:pPr>
    <w:rPr>
      <w:rFonts w:cs="宋体"/>
      <w:color w:val="000000"/>
      <w:sz w:val="18"/>
      <w:szCs w:val="18"/>
    </w:rPr>
  </w:style>
  <w:style w:type="paragraph" w:customStyle="1" w:styleId="401">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02">
    <w:name w:val="表格标题栏"/>
    <w:basedOn w:val="1"/>
    <w:qFormat/>
    <w:uiPriority w:val="0"/>
    <w:pPr>
      <w:jc w:val="center"/>
    </w:pPr>
    <w:rPr>
      <w:rFonts w:ascii="华文中宋" w:hAnsi="华文中宋" w:eastAsia="华文中宋"/>
      <w:b w:val="0"/>
      <w:sz w:val="28"/>
      <w:szCs w:val="28"/>
    </w:rPr>
  </w:style>
  <w:style w:type="paragraph" w:customStyle="1" w:styleId="40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405">
    <w:name w:val="Char Char Char Char Char Char Char Char Char"/>
    <w:basedOn w:val="1"/>
    <w:qFormat/>
    <w:uiPriority w:val="0"/>
    <w:pPr>
      <w:widowControl/>
      <w:spacing w:after="160" w:line="240" w:lineRule="exact"/>
      <w:jc w:val="left"/>
    </w:pPr>
    <w:rPr>
      <w:rFonts w:ascii="Verdana" w:hAnsi="Verdana" w:eastAsia="仿宋_GB2312"/>
      <w:sz w:val="24"/>
      <w:szCs w:val="20"/>
      <w:lang w:eastAsia="en-US"/>
    </w:rPr>
  </w:style>
  <w:style w:type="paragraph" w:customStyle="1" w:styleId="406">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407">
    <w:name w:val="样式 标题 2proj2proj21proj22proj23proj24proj25proj26proj27p...1"/>
    <w:basedOn w:val="4"/>
    <w:qFormat/>
    <w:uiPriority w:val="0"/>
    <w:pPr>
      <w:keepNext w:val="0"/>
      <w:adjustRightInd w:val="0"/>
      <w:spacing w:before="0" w:after="0" w:line="360" w:lineRule="exact"/>
      <w:ind w:firstLine="0" w:firstLineChars="0"/>
      <w:jc w:val="center"/>
      <w:textAlignment w:val="baseline"/>
      <w:outlineLvl w:val="9"/>
    </w:pPr>
    <w:rPr>
      <w:b/>
      <w:bCs w:val="0"/>
      <w:sz w:val="24"/>
      <w:szCs w:val="20"/>
    </w:rPr>
  </w:style>
  <w:style w:type="paragraph" w:customStyle="1" w:styleId="408">
    <w:name w:val="MM Topic 9"/>
    <w:basedOn w:val="11"/>
    <w:qFormat/>
    <w:uiPriority w:val="0"/>
    <w:pPr>
      <w:tabs>
        <w:tab w:val="left" w:pos="5102"/>
      </w:tabs>
      <w:spacing w:line="319" w:lineRule="auto"/>
    </w:pPr>
  </w:style>
  <w:style w:type="paragraph" w:customStyle="1" w:styleId="40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1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sz w:val="16"/>
      <w:szCs w:val="16"/>
    </w:rPr>
  </w:style>
  <w:style w:type="paragraph" w:customStyle="1" w:styleId="412">
    <w:name w:val="正文序号 2"/>
    <w:basedOn w:val="1"/>
    <w:qFormat/>
    <w:uiPriority w:val="0"/>
    <w:pPr>
      <w:tabs>
        <w:tab w:val="left" w:pos="840"/>
        <w:tab w:val="left" w:pos="1049"/>
      </w:tabs>
      <w:spacing w:before="60"/>
      <w:ind w:left="840" w:hanging="420"/>
    </w:pPr>
    <w:rPr>
      <w:szCs w:val="20"/>
    </w:rPr>
  </w:style>
  <w:style w:type="paragraph" w:customStyle="1" w:styleId="41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14">
    <w:name w:val="tabletext"/>
    <w:basedOn w:val="1"/>
    <w:qFormat/>
    <w:uiPriority w:val="0"/>
    <w:pPr>
      <w:widowControl/>
      <w:spacing w:line="300" w:lineRule="atLeast"/>
      <w:jc w:val="left"/>
    </w:pPr>
    <w:rPr>
      <w:rFonts w:cs="宋体"/>
      <w:sz w:val="18"/>
      <w:szCs w:val="18"/>
    </w:rPr>
  </w:style>
  <w:style w:type="paragraph" w:customStyle="1" w:styleId="415">
    <w:name w:val="Char Char Char Char Char Char1 Char"/>
    <w:basedOn w:val="23"/>
    <w:qFormat/>
    <w:uiPriority w:val="0"/>
    <w:pPr>
      <w:shd w:val="clear" w:color="auto" w:fill="000080"/>
    </w:pPr>
    <w:rPr>
      <w:rFonts w:ascii="Tahoma" w:hAnsi="Tahoma"/>
      <w:sz w:val="24"/>
      <w:szCs w:val="24"/>
    </w:rPr>
  </w:style>
  <w:style w:type="paragraph" w:customStyle="1" w:styleId="416">
    <w:name w:val="样式 首行缩进:  2 字符"/>
    <w:basedOn w:val="1"/>
    <w:qFormat/>
    <w:uiPriority w:val="0"/>
    <w:pPr>
      <w:spacing w:line="400" w:lineRule="exact"/>
      <w:ind w:firstLine="200"/>
    </w:pPr>
    <w:rPr>
      <w:rFonts w:cs="宋体"/>
      <w:sz w:val="24"/>
    </w:rPr>
  </w:style>
  <w:style w:type="paragraph" w:customStyle="1" w:styleId="417">
    <w:name w:val="xl66"/>
    <w:basedOn w:val="1"/>
    <w:qFormat/>
    <w:uiPriority w:val="0"/>
    <w:pPr>
      <w:widowControl/>
      <w:spacing w:before="100" w:beforeAutospacing="1" w:after="100" w:afterAutospacing="1"/>
      <w:jc w:val="center"/>
    </w:pPr>
    <w:rPr>
      <w:rFonts w:cs="宋体"/>
      <w:sz w:val="22"/>
      <w:szCs w:val="22"/>
    </w:rPr>
  </w:style>
  <w:style w:type="paragraph" w:customStyle="1" w:styleId="41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41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20">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21">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22">
    <w:name w:val="插图题注"/>
    <w:next w:val="1"/>
    <w:qFormat/>
    <w:uiPriority w:val="0"/>
    <w:pPr>
      <w:spacing w:after="312" w:afterLines="100"/>
      <w:ind w:left="4066"/>
      <w:jc w:val="center"/>
    </w:pPr>
    <w:rPr>
      <w:rFonts w:ascii="Arial" w:hAnsi="Arial" w:eastAsia="宋体" w:cs="Times New Roman"/>
      <w:sz w:val="18"/>
      <w:szCs w:val="18"/>
      <w:lang w:val="en-US" w:eastAsia="zh-CN" w:bidi="ar-SA"/>
    </w:rPr>
  </w:style>
  <w:style w:type="paragraph" w:customStyle="1" w:styleId="42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424">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25">
    <w:name w:val="MM Topic 7"/>
    <w:basedOn w:val="9"/>
    <w:qFormat/>
    <w:uiPriority w:val="0"/>
    <w:pPr>
      <w:tabs>
        <w:tab w:val="left" w:pos="3827"/>
      </w:tabs>
      <w:spacing w:line="319" w:lineRule="auto"/>
    </w:pPr>
  </w:style>
  <w:style w:type="paragraph" w:customStyle="1" w:styleId="42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2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28">
    <w:name w:val="细目加粗"/>
    <w:basedOn w:val="429"/>
    <w:qFormat/>
    <w:uiPriority w:val="0"/>
    <w:pPr>
      <w:tabs>
        <w:tab w:val="left" w:pos="737"/>
      </w:tabs>
    </w:pPr>
    <w:rPr>
      <w:b/>
    </w:rPr>
  </w:style>
  <w:style w:type="paragraph" w:customStyle="1" w:styleId="429">
    <w:name w:val="细目"/>
    <w:qFormat/>
    <w:uiPriority w:val="0"/>
    <w:pPr>
      <w:numPr>
        <w:ilvl w:val="0"/>
        <w:numId w:val="20"/>
      </w:numPr>
      <w:spacing w:before="312" w:beforeLines="100" w:line="360" w:lineRule="auto"/>
    </w:pPr>
    <w:rPr>
      <w:rFonts w:ascii="Times New Roman" w:hAnsi="Times New Roman" w:eastAsia="宋体" w:cs="Times New Roman"/>
      <w:sz w:val="24"/>
      <w:lang w:val="en-US" w:eastAsia="zh-CN" w:bidi="ar-SA"/>
    </w:rPr>
  </w:style>
  <w:style w:type="paragraph" w:customStyle="1" w:styleId="430">
    <w:name w:val="标题 2 + 楷体_GB2312"/>
    <w:basedOn w:val="4"/>
    <w:qFormat/>
    <w:uiPriority w:val="0"/>
    <w:pPr>
      <w:numPr>
        <w:ilvl w:val="1"/>
        <w:numId w:val="21"/>
      </w:numPr>
      <w:tabs>
        <w:tab w:val="left" w:pos="576"/>
        <w:tab w:val="clear" w:pos="567"/>
      </w:tabs>
      <w:spacing w:before="0" w:after="0"/>
      <w:jc w:val="both"/>
    </w:pPr>
    <w:rPr>
      <w:rFonts w:ascii="楷体_GB2312" w:eastAsia="楷体_GB2312"/>
      <w:b/>
      <w:bCs w:val="0"/>
      <w:i/>
      <w:sz w:val="24"/>
      <w:szCs w:val="20"/>
    </w:rPr>
  </w:style>
  <w:style w:type="paragraph" w:customStyle="1" w:styleId="431">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32">
    <w:name w:val="Char21"/>
    <w:basedOn w:val="23"/>
    <w:qFormat/>
    <w:uiPriority w:val="0"/>
    <w:pPr>
      <w:shd w:val="clear" w:color="auto" w:fill="000080"/>
    </w:pPr>
    <w:rPr>
      <w:rFonts w:ascii="Tahoma" w:hAnsi="Tahoma"/>
      <w:sz w:val="24"/>
      <w:szCs w:val="24"/>
      <w:lang w:val="en-US"/>
    </w:rPr>
  </w:style>
  <w:style w:type="paragraph" w:customStyle="1" w:styleId="433">
    <w:name w:val="大纲正文"/>
    <w:basedOn w:val="1"/>
    <w:qFormat/>
    <w:uiPriority w:val="0"/>
    <w:pPr>
      <w:ind w:firstLine="480"/>
    </w:pPr>
    <w:rPr>
      <w:sz w:val="24"/>
      <w:szCs w:val="20"/>
    </w:rPr>
  </w:style>
  <w:style w:type="paragraph" w:customStyle="1" w:styleId="434">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435">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436">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sz w:val="20"/>
      <w:szCs w:val="20"/>
    </w:rPr>
  </w:style>
  <w:style w:type="paragraph" w:customStyle="1" w:styleId="437">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38">
    <w:name w:val="样式 小四 首行缩进:  0.74 厘米"/>
    <w:basedOn w:val="1"/>
    <w:qFormat/>
    <w:uiPriority w:val="0"/>
    <w:pPr>
      <w:spacing w:before="100" w:beforeAutospacing="1" w:after="100" w:afterAutospacing="1" w:line="300" w:lineRule="auto"/>
      <w:ind w:firstLine="420" w:firstLineChars="175"/>
    </w:pPr>
    <w:rPr>
      <w:sz w:val="24"/>
    </w:rPr>
  </w:style>
  <w:style w:type="paragraph" w:customStyle="1" w:styleId="439">
    <w:name w:val="正文 首行缩进:  2 字符 Char Char"/>
    <w:basedOn w:val="1"/>
    <w:qFormat/>
    <w:uiPriority w:val="0"/>
    <w:pPr>
      <w:ind w:firstLine="480"/>
    </w:pPr>
    <w:rPr>
      <w:rFonts w:cs="宋体"/>
      <w:sz w:val="24"/>
      <w:szCs w:val="20"/>
    </w:rPr>
  </w:style>
  <w:style w:type="paragraph" w:customStyle="1" w:styleId="440">
    <w:name w:val="样式 行距: 固定值 25 磅 首行缩进:  2 字符"/>
    <w:basedOn w:val="1"/>
    <w:qFormat/>
    <w:uiPriority w:val="0"/>
    <w:pPr>
      <w:adjustRightInd w:val="0"/>
      <w:spacing w:line="500" w:lineRule="exact"/>
      <w:ind w:firstLine="560"/>
      <w:textAlignment w:val="baseline"/>
    </w:pPr>
    <w:rPr>
      <w:sz w:val="28"/>
      <w:szCs w:val="28"/>
    </w:rPr>
  </w:style>
  <w:style w:type="paragraph" w:customStyle="1" w:styleId="4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22"/>
      <w:szCs w:val="22"/>
    </w:rPr>
  </w:style>
  <w:style w:type="paragraph" w:customStyle="1" w:styleId="442">
    <w:name w:val="Char Char Char Char3"/>
    <w:basedOn w:val="1"/>
    <w:qFormat/>
    <w:uiPriority w:val="0"/>
    <w:rPr>
      <w:rFonts w:ascii="Tahoma" w:hAnsi="Tahoma" w:cs="Tahoma"/>
      <w:szCs w:val="21"/>
    </w:rPr>
  </w:style>
  <w:style w:type="paragraph" w:customStyle="1" w:styleId="443">
    <w:name w:val="Char11"/>
    <w:basedOn w:val="1"/>
    <w:next w:val="1"/>
    <w:qFormat/>
    <w:uiPriority w:val="0"/>
    <w:pPr>
      <w:spacing w:line="240" w:lineRule="atLeast"/>
      <w:ind w:left="420" w:firstLine="420"/>
      <w:jc w:val="left"/>
    </w:pPr>
    <w:rPr>
      <w:szCs w:val="21"/>
    </w:rPr>
  </w:style>
  <w:style w:type="paragraph" w:customStyle="1" w:styleId="44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45">
    <w:name w:val="font10"/>
    <w:basedOn w:val="1"/>
    <w:uiPriority w:val="0"/>
    <w:pPr>
      <w:widowControl/>
      <w:spacing w:before="100" w:beforeAutospacing="1" w:after="100" w:afterAutospacing="1"/>
      <w:jc w:val="left"/>
    </w:pPr>
    <w:rPr>
      <w:rFonts w:ascii="Arial" w:hAnsi="Arial" w:cs="Arial"/>
      <w:b w:val="0"/>
      <w:bCs/>
      <w:sz w:val="20"/>
      <w:szCs w:val="20"/>
    </w:rPr>
  </w:style>
  <w:style w:type="paragraph" w:customStyle="1" w:styleId="44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styleId="447">
    <w:name w:val="No Spacing"/>
    <w:qFormat/>
    <w:uiPriority w:val="1"/>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48">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449">
    <w:name w:val="WW-正文（首行缩进两字）"/>
    <w:basedOn w:val="1"/>
    <w:qFormat/>
    <w:uiPriority w:val="0"/>
    <w:pPr>
      <w:autoSpaceDE w:val="0"/>
      <w:autoSpaceDN w:val="0"/>
      <w:adjustRightInd w:val="0"/>
      <w:ind w:firstLine="420"/>
    </w:pPr>
    <w:rPr>
      <w:szCs w:val="21"/>
    </w:rPr>
  </w:style>
  <w:style w:type="paragraph" w:customStyle="1" w:styleId="450">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451">
    <w:name w:val="Char Char1"/>
    <w:basedOn w:val="1"/>
    <w:next w:val="1"/>
    <w:uiPriority w:val="0"/>
    <w:pPr>
      <w:spacing w:line="240" w:lineRule="atLeast"/>
      <w:ind w:left="420" w:firstLine="420"/>
      <w:jc w:val="left"/>
    </w:pPr>
    <w:rPr>
      <w:rFonts w:ascii="楷体_GB2312" w:eastAsia="楷体_GB2312"/>
      <w:bCs/>
      <w:color w:val="000000"/>
      <w:sz w:val="28"/>
      <w:szCs w:val="28"/>
    </w:rPr>
  </w:style>
  <w:style w:type="paragraph" w:customStyle="1" w:styleId="45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53">
    <w:name w:val="font9"/>
    <w:basedOn w:val="1"/>
    <w:qFormat/>
    <w:uiPriority w:val="0"/>
    <w:pPr>
      <w:widowControl/>
      <w:spacing w:before="100" w:beforeAutospacing="1" w:after="100" w:afterAutospacing="1"/>
      <w:jc w:val="left"/>
    </w:pPr>
    <w:rPr>
      <w:rFonts w:hint="eastAsia" w:cs="Arial Unicode MS"/>
      <w:color w:val="000000"/>
      <w:sz w:val="20"/>
      <w:szCs w:val="20"/>
    </w:rPr>
  </w:style>
  <w:style w:type="paragraph" w:customStyle="1" w:styleId="45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20"/>
      <w:szCs w:val="20"/>
    </w:rPr>
  </w:style>
  <w:style w:type="paragraph" w:customStyle="1" w:styleId="455">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cs="宋体"/>
      <w:sz w:val="22"/>
      <w:szCs w:val="22"/>
    </w:rPr>
  </w:style>
  <w:style w:type="paragraph" w:customStyle="1" w:styleId="4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bCs/>
      <w:color w:val="000000"/>
      <w:sz w:val="22"/>
      <w:szCs w:val="22"/>
    </w:rPr>
  </w:style>
  <w:style w:type="paragraph" w:customStyle="1" w:styleId="458">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59">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60">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sz w:val="18"/>
      <w:szCs w:val="18"/>
    </w:rPr>
  </w:style>
  <w:style w:type="paragraph" w:customStyle="1" w:styleId="461">
    <w:name w:val="大标题"/>
    <w:basedOn w:val="1"/>
    <w:qFormat/>
    <w:uiPriority w:val="0"/>
    <w:pPr>
      <w:jc w:val="center"/>
    </w:pPr>
    <w:rPr>
      <w:sz w:val="72"/>
    </w:rPr>
  </w:style>
  <w:style w:type="paragraph" w:customStyle="1" w:styleId="462">
    <w:name w:val="Style8"/>
    <w:basedOn w:val="1"/>
    <w:qFormat/>
    <w:uiPriority w:val="0"/>
    <w:pPr>
      <w:tabs>
        <w:tab w:val="left" w:pos="1304"/>
      </w:tabs>
      <w:spacing w:before="156" w:beforeLines="50" w:after="156" w:afterLines="50" w:line="276" w:lineRule="auto"/>
      <w:ind w:left="1304" w:hanging="397"/>
    </w:pPr>
    <w:rPr>
      <w:rFonts w:ascii="Arial" w:hAnsi="Arial"/>
      <w:sz w:val="24"/>
    </w:rPr>
  </w:style>
  <w:style w:type="paragraph" w:customStyle="1" w:styleId="463">
    <w:name w:val="font6"/>
    <w:basedOn w:val="1"/>
    <w:qFormat/>
    <w:uiPriority w:val="0"/>
    <w:pPr>
      <w:widowControl/>
      <w:spacing w:before="100" w:beforeAutospacing="1" w:after="100" w:afterAutospacing="1"/>
      <w:jc w:val="left"/>
    </w:pPr>
    <w:rPr>
      <w:rFonts w:cs="宋体"/>
      <w:sz w:val="18"/>
      <w:szCs w:val="18"/>
    </w:rPr>
  </w:style>
  <w:style w:type="paragraph" w:customStyle="1" w:styleId="46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65">
    <w:name w:val="样式 标题 2H2第一章 标题 2Heading 2 HiddenHeading 2 CCBSheading 2h2..."/>
    <w:basedOn w:val="4"/>
    <w:qFormat/>
    <w:uiPriority w:val="0"/>
    <w:pPr>
      <w:tabs>
        <w:tab w:val="left" w:pos="993"/>
        <w:tab w:val="clear" w:pos="567"/>
      </w:tabs>
      <w:ind w:left="993"/>
      <w:jc w:val="both"/>
    </w:pPr>
    <w:rPr>
      <w:rFonts w:cs="宋体"/>
      <w:color w:val="000000"/>
      <w:szCs w:val="20"/>
    </w:rPr>
  </w:style>
  <w:style w:type="paragraph" w:customStyle="1" w:styleId="466">
    <w:name w:val="默认段落字体 Para Char Char Char Char Char Char Char Char Char1 Char Char Char Char"/>
    <w:basedOn w:val="1"/>
    <w:qFormat/>
    <w:uiPriority w:val="0"/>
    <w:rPr>
      <w:rFonts w:ascii="Tahoma" w:hAnsi="Tahoma"/>
      <w:sz w:val="24"/>
      <w:szCs w:val="20"/>
    </w:rPr>
  </w:style>
  <w:style w:type="paragraph" w:customStyle="1" w:styleId="467">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6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469">
    <w:name w:val="Char2 Char Char Char Char Char Char"/>
    <w:basedOn w:val="1"/>
    <w:qFormat/>
    <w:uiPriority w:val="0"/>
    <w:rPr>
      <w:rFonts w:ascii="仿宋_GB2312"/>
      <w:b w:val="0"/>
      <w:sz w:val="30"/>
    </w:rPr>
  </w:style>
  <w:style w:type="paragraph" w:customStyle="1" w:styleId="470">
    <w:name w:val="font7"/>
    <w:basedOn w:val="1"/>
    <w:qFormat/>
    <w:uiPriority w:val="0"/>
    <w:pPr>
      <w:widowControl/>
      <w:spacing w:before="100" w:beforeAutospacing="1" w:after="100" w:afterAutospacing="1"/>
      <w:jc w:val="left"/>
    </w:pPr>
    <w:rPr>
      <w:rFonts w:cs="宋体"/>
      <w:sz w:val="18"/>
      <w:szCs w:val="18"/>
    </w:rPr>
  </w:style>
  <w:style w:type="paragraph" w:customStyle="1" w:styleId="471">
    <w:name w:val="标书正文:  0.74 厘米"/>
    <w:basedOn w:val="1"/>
    <w:qFormat/>
    <w:uiPriority w:val="0"/>
    <w:pPr>
      <w:ind w:firstLine="420"/>
    </w:pPr>
    <w:rPr>
      <w:sz w:val="24"/>
      <w:szCs w:val="18"/>
    </w:rPr>
  </w:style>
  <w:style w:type="paragraph" w:customStyle="1" w:styleId="472">
    <w:name w:val="Char Char Char1"/>
    <w:basedOn w:val="1"/>
    <w:qFormat/>
    <w:uiPriority w:val="0"/>
    <w:rPr>
      <w:rFonts w:ascii="Tahoma" w:hAnsi="Tahoma"/>
      <w:sz w:val="24"/>
      <w:szCs w:val="20"/>
    </w:rPr>
  </w:style>
  <w:style w:type="paragraph" w:customStyle="1" w:styleId="473">
    <w:name w:val="a0"/>
    <w:basedOn w:val="1"/>
    <w:qFormat/>
    <w:uiPriority w:val="0"/>
    <w:pPr>
      <w:widowControl/>
      <w:spacing w:before="100" w:beforeAutospacing="1" w:after="100" w:afterAutospacing="1"/>
      <w:jc w:val="left"/>
    </w:pPr>
    <w:rPr>
      <w:rFonts w:cs="宋体"/>
      <w:sz w:val="24"/>
    </w:rPr>
  </w:style>
  <w:style w:type="paragraph" w:customStyle="1" w:styleId="474">
    <w:name w:val="表格题注"/>
    <w:next w:val="1"/>
    <w:qFormat/>
    <w:uiPriority w:val="0"/>
    <w:pPr>
      <w:keepLines/>
      <w:tabs>
        <w:tab w:val="left" w:pos="1559"/>
      </w:tabs>
      <w:spacing w:before="312" w:beforeLines="100"/>
      <w:ind w:left="1559" w:hanging="1559"/>
      <w:jc w:val="center"/>
    </w:pPr>
    <w:rPr>
      <w:rFonts w:ascii="Arial" w:hAnsi="Arial" w:eastAsia="宋体" w:cs="Times New Roman"/>
      <w:sz w:val="18"/>
      <w:lang w:val="en-US" w:eastAsia="zh-CN" w:bidi="ar-SA"/>
    </w:rPr>
  </w:style>
  <w:style w:type="paragraph" w:customStyle="1" w:styleId="475">
    <w:name w:val="标准正文"/>
    <w:basedOn w:val="1"/>
    <w:next w:val="61"/>
    <w:qFormat/>
    <w:uiPriority w:val="0"/>
    <w:pPr>
      <w:spacing w:before="60" w:after="60"/>
      <w:ind w:firstLine="482"/>
    </w:pPr>
    <w:rPr>
      <w:rFonts w:cs="宋体"/>
      <w:sz w:val="24"/>
    </w:rPr>
  </w:style>
  <w:style w:type="paragraph" w:customStyle="1" w:styleId="476">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477">
    <w:name w:val="(符号)三标题1.1"/>
    <w:basedOn w:val="1"/>
    <w:qFormat/>
    <w:uiPriority w:val="0"/>
    <w:pPr>
      <w:tabs>
        <w:tab w:val="left" w:pos="420"/>
      </w:tabs>
      <w:spacing w:before="140" w:after="140" w:line="500" w:lineRule="exact"/>
      <w:ind w:left="430" w:hanging="430"/>
      <w:outlineLvl w:val="2"/>
    </w:pPr>
    <w:rPr>
      <w:rFonts w:ascii="楷体_GB2312" w:eastAsia="楷体_GB2312" w:cs="宋体"/>
      <w:b w:val="0"/>
      <w:bCs/>
      <w:sz w:val="28"/>
      <w:szCs w:val="20"/>
    </w:rPr>
  </w:style>
  <w:style w:type="paragraph" w:customStyle="1" w:styleId="478">
    <w:name w:val="标题3"/>
    <w:basedOn w:val="5"/>
    <w:qFormat/>
    <w:uiPriority w:val="0"/>
    <w:pPr>
      <w:numPr>
        <w:numId w:val="0"/>
      </w:numPr>
    </w:pPr>
    <w:rPr>
      <w:rFonts w:ascii="宋体" w:hAnsi="宋体"/>
    </w:rPr>
  </w:style>
  <w:style w:type="paragraph" w:customStyle="1" w:styleId="479">
    <w:name w:val="zw1"/>
    <w:basedOn w:val="1"/>
    <w:qFormat/>
    <w:uiPriority w:val="0"/>
    <w:pPr>
      <w:widowControl/>
      <w:ind w:firstLine="480"/>
    </w:pPr>
    <w:rPr>
      <w:sz w:val="24"/>
      <w:szCs w:val="20"/>
    </w:rPr>
  </w:style>
  <w:style w:type="paragraph" w:customStyle="1" w:styleId="480">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481">
    <w:name w:val="样式 小四2"/>
    <w:basedOn w:val="1"/>
    <w:qFormat/>
    <w:uiPriority w:val="0"/>
    <w:rPr>
      <w:sz w:val="24"/>
    </w:rPr>
  </w:style>
  <w:style w:type="paragraph" w:customStyle="1" w:styleId="482">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宋体"/>
      <w:color w:val="000000"/>
      <w:sz w:val="18"/>
      <w:szCs w:val="18"/>
    </w:rPr>
  </w:style>
  <w:style w:type="paragraph" w:customStyle="1" w:styleId="483">
    <w:name w:val="Char Char Char Char Char Char"/>
    <w:basedOn w:val="1"/>
    <w:qFormat/>
    <w:uiPriority w:val="0"/>
    <w:rPr>
      <w:rFonts w:ascii="Tahoma" w:hAnsi="Tahoma"/>
      <w:sz w:val="24"/>
      <w:szCs w:val="20"/>
    </w:rPr>
  </w:style>
  <w:style w:type="paragraph" w:customStyle="1" w:styleId="484">
    <w:name w:val="正文序号 3"/>
    <w:basedOn w:val="1"/>
    <w:qFormat/>
    <w:uiPriority w:val="0"/>
    <w:pPr>
      <w:tabs>
        <w:tab w:val="left" w:pos="1259"/>
      </w:tabs>
      <w:spacing w:before="60"/>
      <w:ind w:left="1260" w:hanging="420"/>
    </w:pPr>
    <w:rPr>
      <w:szCs w:val="20"/>
    </w:rPr>
  </w:style>
  <w:style w:type="paragraph" w:customStyle="1" w:styleId="485">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486">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87">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88">
    <w:name w:val="样式 样式 首行缩进:  2 字符 + 仿宋_GB2312 五号 行距: 1.5 倍行距1"/>
    <w:basedOn w:val="1"/>
    <w:qFormat/>
    <w:uiPriority w:val="0"/>
    <w:rPr>
      <w:rFonts w:eastAsia="仿宋_GB2312" w:cs="宋体"/>
      <w:szCs w:val="20"/>
    </w:rPr>
  </w:style>
  <w:style w:type="paragraph" w:customStyle="1" w:styleId="489">
    <w:name w:val="xl144"/>
    <w:basedOn w:val="1"/>
    <w:qFormat/>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490">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49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492">
    <w:name w:val="MM Topic 6"/>
    <w:basedOn w:val="8"/>
    <w:qFormat/>
    <w:uiPriority w:val="0"/>
    <w:pPr>
      <w:tabs>
        <w:tab w:val="left" w:pos="3260"/>
        <w:tab w:val="clear" w:pos="1134"/>
      </w:tabs>
      <w:spacing w:line="319" w:lineRule="auto"/>
      <w:ind w:left="0" w:firstLine="0" w:firstLineChars="0"/>
    </w:pPr>
    <w:rPr>
      <w:rFonts w:eastAsia="黑体"/>
      <w:kern w:val="2"/>
      <w:lang w:val="en-US"/>
    </w:rPr>
  </w:style>
  <w:style w:type="paragraph" w:customStyle="1" w:styleId="493">
    <w:name w:val="标题样式"/>
    <w:basedOn w:val="1"/>
    <w:qFormat/>
    <w:uiPriority w:val="0"/>
    <w:pPr>
      <w:tabs>
        <w:tab w:val="left" w:pos="420"/>
      </w:tabs>
    </w:pPr>
    <w:rPr>
      <w:sz w:val="24"/>
      <w:szCs w:val="20"/>
    </w:rPr>
  </w:style>
  <w:style w:type="paragraph" w:customStyle="1" w:styleId="494">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95">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496">
    <w:name w:val="表格中文字格式"/>
    <w:basedOn w:val="1"/>
    <w:qFormat/>
    <w:uiPriority w:val="0"/>
    <w:pPr>
      <w:spacing w:line="288" w:lineRule="auto"/>
    </w:pPr>
    <w:rPr>
      <w:rFonts w:ascii="新宋体" w:hAnsi="新宋体" w:eastAsia="新宋体" w:cs="宋体"/>
      <w:sz w:val="24"/>
    </w:rPr>
  </w:style>
  <w:style w:type="paragraph" w:customStyle="1" w:styleId="497">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color w:val="000000"/>
      <w:sz w:val="18"/>
      <w:szCs w:val="18"/>
    </w:rPr>
  </w:style>
  <w:style w:type="paragraph" w:customStyle="1" w:styleId="49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499">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500">
    <w:name w:val="Char Char110"/>
    <w:basedOn w:val="1"/>
    <w:qFormat/>
    <w:uiPriority w:val="0"/>
    <w:pPr>
      <w:widowControl/>
      <w:spacing w:after="160" w:line="240" w:lineRule="exact"/>
      <w:jc w:val="left"/>
    </w:pPr>
    <w:rPr>
      <w:rFonts w:ascii="Verdana" w:hAnsi="Verdana"/>
      <w:sz w:val="20"/>
      <w:szCs w:val="20"/>
      <w:lang w:eastAsia="en-US"/>
    </w:rPr>
  </w:style>
  <w:style w:type="paragraph" w:customStyle="1" w:styleId="501">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502">
    <w:name w:val="Table Text"/>
    <w:basedOn w:val="1"/>
    <w:qFormat/>
    <w:uiPriority w:val="0"/>
    <w:pPr>
      <w:widowControl/>
      <w:spacing w:before="60" w:after="60"/>
      <w:jc w:val="left"/>
    </w:pPr>
  </w:style>
  <w:style w:type="paragraph" w:customStyle="1" w:styleId="503">
    <w:name w:val="Char1 Char Char Char Char Char Char1"/>
    <w:basedOn w:val="1"/>
    <w:qFormat/>
    <w:uiPriority w:val="0"/>
    <w:rPr>
      <w:rFonts w:ascii="Tahoma" w:hAnsi="Tahoma"/>
      <w:sz w:val="24"/>
      <w:szCs w:val="20"/>
    </w:rPr>
  </w:style>
  <w:style w:type="paragraph" w:customStyle="1" w:styleId="504">
    <w:name w:val="我的正文"/>
    <w:basedOn w:val="1"/>
    <w:qFormat/>
    <w:uiPriority w:val="0"/>
    <w:pPr>
      <w:ind w:firstLine="420"/>
    </w:pPr>
  </w:style>
  <w:style w:type="paragraph" w:customStyle="1" w:styleId="505">
    <w:name w:val="附录标识"/>
    <w:basedOn w:val="1"/>
    <w:qFormat/>
    <w:uiPriority w:val="0"/>
    <w:pPr>
      <w:widowControl/>
      <w:numPr>
        <w:ilvl w:val="0"/>
        <w:numId w:val="15"/>
      </w:numPr>
      <w:shd w:val="clear" w:color="FFFFFF" w:fill="FFFFFF"/>
      <w:tabs>
        <w:tab w:val="left" w:pos="6405"/>
      </w:tabs>
      <w:spacing w:before="640" w:after="200"/>
      <w:jc w:val="center"/>
      <w:outlineLvl w:val="0"/>
    </w:pPr>
    <w:rPr>
      <w:rFonts w:ascii="黑体" w:eastAsia="黑体"/>
      <w:szCs w:val="20"/>
    </w:rPr>
  </w:style>
  <w:style w:type="paragraph" w:customStyle="1" w:styleId="506">
    <w:name w:val="xl106"/>
    <w:basedOn w:val="1"/>
    <w:qFormat/>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50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08">
    <w:name w:val="Char3"/>
    <w:basedOn w:val="1"/>
    <w:next w:val="1"/>
    <w:qFormat/>
    <w:uiPriority w:val="0"/>
    <w:pPr>
      <w:spacing w:line="240" w:lineRule="atLeast"/>
      <w:ind w:left="420" w:firstLine="420"/>
      <w:jc w:val="left"/>
    </w:pPr>
    <w:rPr>
      <w:szCs w:val="21"/>
    </w:rPr>
  </w:style>
  <w:style w:type="paragraph" w:customStyle="1" w:styleId="50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10">
    <w:name w:val="默认"/>
    <w:qFormat/>
    <w:uiPriority w:val="0"/>
    <w:pPr>
      <w:tabs>
        <w:tab w:val="left" w:pos="420"/>
      </w:tabs>
      <w:suppressAutoHyphens/>
      <w:spacing w:line="200" w:lineRule="atLeast"/>
      <w:jc w:val="both"/>
    </w:pPr>
    <w:rPr>
      <w:rFonts w:ascii="Times New Roman" w:hAnsi="Times New Roman" w:eastAsia="宋体" w:cs="Times New Roman"/>
      <w:kern w:val="2"/>
      <w:sz w:val="21"/>
      <w:szCs w:val="24"/>
      <w:lang w:val="en-US" w:eastAsia="zh-CN" w:bidi="ar-SA"/>
    </w:rPr>
  </w:style>
  <w:style w:type="paragraph" w:customStyle="1" w:styleId="511">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12">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2"/>
      <w:szCs w:val="22"/>
    </w:rPr>
  </w:style>
  <w:style w:type="paragraph" w:customStyle="1" w:styleId="514">
    <w:name w:val="Pa0"/>
    <w:basedOn w:val="1"/>
    <w:next w:val="1"/>
    <w:qFormat/>
    <w:uiPriority w:val="0"/>
    <w:pPr>
      <w:autoSpaceDE w:val="0"/>
      <w:autoSpaceDN w:val="0"/>
      <w:adjustRightInd w:val="0"/>
      <w:spacing w:line="181" w:lineRule="atLeast"/>
      <w:jc w:val="left"/>
    </w:pPr>
    <w:rPr>
      <w:rFonts w:ascii="H Yg 2gj" w:eastAsia="H Yg 2gj"/>
      <w:sz w:val="24"/>
    </w:rPr>
  </w:style>
  <w:style w:type="paragraph" w:customStyle="1" w:styleId="51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16">
    <w:name w:val="正文段落"/>
    <w:basedOn w:val="1"/>
    <w:qFormat/>
    <w:uiPriority w:val="0"/>
    <w:pPr>
      <w:spacing w:line="300" w:lineRule="auto"/>
      <w:ind w:firstLine="510"/>
    </w:pPr>
    <w:rPr>
      <w:sz w:val="24"/>
      <w:szCs w:val="20"/>
    </w:rPr>
  </w:style>
  <w:style w:type="paragraph" w:customStyle="1" w:styleId="517">
    <w:name w:val="Char Char Char Char Char Char Char"/>
    <w:basedOn w:val="1"/>
    <w:qFormat/>
    <w:uiPriority w:val="0"/>
    <w:pPr>
      <w:widowControl/>
      <w:spacing w:line="240" w:lineRule="exact"/>
      <w:jc w:val="left"/>
    </w:pPr>
    <w:rPr>
      <w:rFonts w:ascii="Verdana" w:hAnsi="Verdana"/>
      <w:sz w:val="20"/>
      <w:szCs w:val="20"/>
      <w:lang w:eastAsia="en-US"/>
    </w:rPr>
  </w:style>
  <w:style w:type="paragraph" w:customStyle="1" w:styleId="5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51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20">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21">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522">
    <w:name w:val="表格(五号)"/>
    <w:basedOn w:val="1"/>
    <w:qFormat/>
    <w:uiPriority w:val="0"/>
    <w:pPr>
      <w:adjustRightInd w:val="0"/>
      <w:spacing w:before="60" w:after="60"/>
      <w:ind w:left="11"/>
      <w:jc w:val="center"/>
    </w:pPr>
    <w:rPr>
      <w:szCs w:val="21"/>
    </w:rPr>
  </w:style>
  <w:style w:type="paragraph" w:customStyle="1" w:styleId="52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24">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2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sz w:val="20"/>
      <w:szCs w:val="20"/>
    </w:rPr>
  </w:style>
  <w:style w:type="paragraph" w:customStyle="1" w:styleId="52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20"/>
      <w:szCs w:val="20"/>
    </w:rPr>
  </w:style>
  <w:style w:type="paragraph" w:customStyle="1" w:styleId="527">
    <w:name w:val="样式 样式 样式 样式 行距: 1.5 倍行距 首行缩进:  2 字符 + 首行缩进:  2 字符 + 左侧:  17 字符 首..."/>
    <w:basedOn w:val="1"/>
    <w:qFormat/>
    <w:uiPriority w:val="0"/>
    <w:pPr>
      <w:widowControl/>
      <w:tabs>
        <w:tab w:val="left" w:pos="1050"/>
        <w:tab w:val="left" w:pos="2100"/>
      </w:tabs>
      <w:ind w:left="700" w:leftChars="700" w:firstLine="200"/>
      <w:jc w:val="left"/>
    </w:pPr>
    <w:rPr>
      <w:rFonts w:ascii="Calibri" w:hAnsi="Calibri"/>
      <w:sz w:val="24"/>
      <w:szCs w:val="20"/>
    </w:rPr>
  </w:style>
  <w:style w:type="paragraph" w:customStyle="1" w:styleId="528">
    <w:name w:val="p0"/>
    <w:basedOn w:val="1"/>
    <w:qFormat/>
    <w:uiPriority w:val="0"/>
    <w:pPr>
      <w:widowControl/>
    </w:pPr>
    <w:rPr>
      <w:szCs w:val="20"/>
    </w:rPr>
  </w:style>
  <w:style w:type="paragraph" w:customStyle="1" w:styleId="529">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530">
    <w:name w:val="样式 标题 1 + 宋体 居中 段前: 17 磅 段后: 16.5 磅"/>
    <w:basedOn w:val="3"/>
    <w:qFormat/>
    <w:uiPriority w:val="0"/>
    <w:pPr>
      <w:pageBreakBefore/>
      <w:widowControl/>
      <w:numPr>
        <w:ilvl w:val="0"/>
        <w:numId w:val="0"/>
      </w:numPr>
      <w:tabs>
        <w:tab w:val="left" w:pos="840"/>
        <w:tab w:val="clear" w:pos="709"/>
      </w:tabs>
      <w:ind w:left="840" w:hanging="420"/>
    </w:pPr>
    <w:rPr>
      <w:rFonts w:ascii="华文中宋" w:hAnsi="华文中宋" w:eastAsia="华文中宋" w:cs="宋体"/>
      <w:bCs/>
      <w:sz w:val="28"/>
      <w:szCs w:val="20"/>
    </w:rPr>
  </w:style>
  <w:style w:type="paragraph" w:customStyle="1" w:styleId="531">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32">
    <w:name w:val="MM Topic 8"/>
    <w:basedOn w:val="10"/>
    <w:next w:val="161"/>
    <w:qFormat/>
    <w:uiPriority w:val="0"/>
    <w:pPr>
      <w:tabs>
        <w:tab w:val="left" w:pos="4394"/>
      </w:tabs>
    </w:pPr>
    <w:rPr>
      <w:rFonts w:ascii="Arial" w:hAnsi="Arial" w:eastAsia="黑体"/>
    </w:rPr>
  </w:style>
  <w:style w:type="paragraph" w:customStyle="1" w:styleId="53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sz w:val="20"/>
      <w:szCs w:val="20"/>
    </w:rPr>
  </w:style>
  <w:style w:type="paragraph" w:customStyle="1" w:styleId="534">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sz w:val="24"/>
    </w:rPr>
  </w:style>
  <w:style w:type="paragraph" w:customStyle="1" w:styleId="535">
    <w:name w:val="Char2 Char Char Char Char Char Char1"/>
    <w:basedOn w:val="1"/>
    <w:qFormat/>
    <w:uiPriority w:val="0"/>
    <w:rPr>
      <w:rFonts w:ascii="仿宋_GB2312"/>
      <w:b w:val="0"/>
      <w:sz w:val="30"/>
      <w:szCs w:val="20"/>
    </w:rPr>
  </w:style>
  <w:style w:type="paragraph" w:customStyle="1" w:styleId="53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val="0"/>
      <w:bCs/>
      <w:color w:val="000000"/>
      <w:sz w:val="20"/>
      <w:szCs w:val="20"/>
    </w:rPr>
  </w:style>
  <w:style w:type="paragraph" w:customStyle="1" w:styleId="537">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color w:val="000000"/>
      <w:sz w:val="18"/>
      <w:szCs w:val="18"/>
    </w:rPr>
  </w:style>
  <w:style w:type="paragraph" w:customStyle="1" w:styleId="538">
    <w:name w:val="列出段落1"/>
    <w:basedOn w:val="1"/>
    <w:qFormat/>
    <w:uiPriority w:val="0"/>
    <w:pPr>
      <w:ind w:firstLine="420"/>
    </w:pPr>
    <w:rPr>
      <w:rFonts w:ascii="Calibri" w:hAnsi="Calibri"/>
      <w:szCs w:val="22"/>
    </w:rPr>
  </w:style>
  <w:style w:type="paragraph" w:customStyle="1" w:styleId="539">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40">
    <w:name w:val="表格标题"/>
    <w:basedOn w:val="1"/>
    <w:qFormat/>
    <w:uiPriority w:val="0"/>
    <w:pPr>
      <w:jc w:val="center"/>
    </w:pPr>
    <w:rPr>
      <w:rFonts w:eastAsia="仿宋_GB2312" w:cs="宋体"/>
      <w:b w:val="0"/>
      <w:bCs/>
      <w:color w:val="000000"/>
      <w:szCs w:val="21"/>
    </w:rPr>
  </w:style>
  <w:style w:type="paragraph" w:customStyle="1" w:styleId="541">
    <w:name w:val="font5"/>
    <w:basedOn w:val="1"/>
    <w:qFormat/>
    <w:uiPriority w:val="0"/>
    <w:pPr>
      <w:widowControl/>
      <w:spacing w:before="100" w:beforeAutospacing="1" w:after="100" w:afterAutospacing="1"/>
      <w:jc w:val="left"/>
    </w:pPr>
    <w:rPr>
      <w:rFonts w:cs="宋体"/>
      <w:color w:val="000000"/>
      <w:sz w:val="18"/>
      <w:szCs w:val="18"/>
    </w:rPr>
  </w:style>
  <w:style w:type="paragraph" w:customStyle="1" w:styleId="542">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43">
    <w:name w:val="表格中条目序号"/>
    <w:basedOn w:val="1"/>
    <w:qFormat/>
    <w:uiPriority w:val="0"/>
    <w:pPr>
      <w:spacing w:line="288" w:lineRule="auto"/>
      <w:jc w:val="center"/>
    </w:pPr>
    <w:rPr>
      <w:rFonts w:ascii="新宋体" w:hAnsi="新宋体" w:eastAsia="新宋体" w:cs="宋体"/>
      <w:sz w:val="24"/>
    </w:rPr>
  </w:style>
  <w:style w:type="paragraph" w:customStyle="1" w:styleId="544">
    <w:name w:val="默认段落字体 Para Char Char Char Char"/>
    <w:basedOn w:val="1"/>
    <w:qFormat/>
    <w:uiPriority w:val="0"/>
  </w:style>
  <w:style w:type="paragraph" w:customStyle="1" w:styleId="545">
    <w:name w:val="xl107"/>
    <w:basedOn w:val="1"/>
    <w:qFormat/>
    <w:uiPriority w:val="0"/>
    <w:pPr>
      <w:widowControl/>
      <w:spacing w:before="100" w:beforeAutospacing="1" w:after="100" w:afterAutospacing="1"/>
      <w:jc w:val="left"/>
    </w:pPr>
    <w:rPr>
      <w:rFonts w:cs="宋体"/>
      <w:color w:val="000000"/>
      <w:sz w:val="18"/>
      <w:szCs w:val="18"/>
    </w:rPr>
  </w:style>
  <w:style w:type="paragraph" w:customStyle="1" w:styleId="546">
    <w:name w:val="font8"/>
    <w:basedOn w:val="1"/>
    <w:qFormat/>
    <w:uiPriority w:val="0"/>
    <w:pPr>
      <w:widowControl/>
      <w:spacing w:before="100" w:beforeAutospacing="1" w:after="100" w:afterAutospacing="1"/>
      <w:jc w:val="left"/>
    </w:pPr>
    <w:rPr>
      <w:sz w:val="36"/>
      <w:szCs w:val="36"/>
    </w:rPr>
  </w:style>
  <w:style w:type="paragraph" w:customStyle="1" w:styleId="54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48">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49">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center"/>
    </w:pPr>
    <w:rPr>
      <w:rFonts w:cs="宋体"/>
      <w:b w:val="0"/>
      <w:bCs/>
      <w:color w:val="000000"/>
      <w:sz w:val="18"/>
      <w:szCs w:val="18"/>
    </w:rPr>
  </w:style>
  <w:style w:type="paragraph" w:customStyle="1" w:styleId="550">
    <w:name w:val="默认段落字体 Para Char Char Char Char Char Char Char Char Char Char Char Char Char Char"/>
    <w:basedOn w:val="1"/>
    <w:qFormat/>
    <w:uiPriority w:val="0"/>
    <w:pPr>
      <w:spacing w:line="240" w:lineRule="atLeast"/>
      <w:ind w:left="420" w:firstLine="420"/>
    </w:pPr>
    <w:rPr>
      <w:szCs w:val="21"/>
    </w:rPr>
  </w:style>
  <w:style w:type="paragraph" w:customStyle="1" w:styleId="55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52">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553">
    <w:name w:val="标题2-1"/>
    <w:basedOn w:val="1"/>
    <w:qFormat/>
    <w:uiPriority w:val="0"/>
    <w:pPr>
      <w:tabs>
        <w:tab w:val="left" w:pos="0"/>
      </w:tabs>
      <w:autoSpaceDE w:val="0"/>
      <w:autoSpaceDN w:val="0"/>
      <w:adjustRightInd w:val="0"/>
      <w:spacing w:before="156" w:beforeLines="50"/>
      <w:jc w:val="left"/>
      <w:outlineLvl w:val="1"/>
    </w:pPr>
    <w:rPr>
      <w:rFonts w:ascii="Arial" w:cs="Arial"/>
      <w:b w:val="0"/>
      <w:bCs/>
      <w:color w:val="292929"/>
      <w:sz w:val="28"/>
      <w:szCs w:val="28"/>
    </w:rPr>
  </w:style>
  <w:style w:type="paragraph" w:customStyle="1" w:styleId="554">
    <w:name w:val="xl135"/>
    <w:basedOn w:val="1"/>
    <w:qFormat/>
    <w:uiPriority w:val="0"/>
    <w:pPr>
      <w:widowControl/>
      <w:pBdr>
        <w:left w:val="single" w:color="auto" w:sz="4" w:space="0"/>
      </w:pBdr>
      <w:spacing w:before="100" w:beforeAutospacing="1" w:after="100" w:afterAutospacing="1"/>
      <w:jc w:val="left"/>
    </w:pPr>
    <w:rPr>
      <w:rFonts w:cs="宋体"/>
      <w:color w:val="000000"/>
      <w:sz w:val="18"/>
      <w:szCs w:val="18"/>
    </w:rPr>
  </w:style>
  <w:style w:type="paragraph" w:customStyle="1" w:styleId="555">
    <w:name w:val="默认段落字体 Para Char"/>
    <w:basedOn w:val="1"/>
    <w:qFormat/>
    <w:uiPriority w:val="0"/>
    <w:rPr>
      <w:rFonts w:ascii="Tahoma" w:hAnsi="Tahoma"/>
      <w:sz w:val="24"/>
      <w:szCs w:val="20"/>
    </w:rPr>
  </w:style>
  <w:style w:type="paragraph" w:customStyle="1" w:styleId="556">
    <w:name w:val="gb_master正文"/>
    <w:basedOn w:val="1"/>
    <w:qFormat/>
    <w:uiPriority w:val="0"/>
    <w:pPr>
      <w:ind w:firstLine="200"/>
    </w:pPr>
  </w:style>
  <w:style w:type="paragraph" w:customStyle="1" w:styleId="557">
    <w:name w:val="Char Char Char Char1"/>
    <w:basedOn w:val="1"/>
    <w:qFormat/>
    <w:uiPriority w:val="0"/>
    <w:pPr>
      <w:tabs>
        <w:tab w:val="left" w:pos="900"/>
      </w:tabs>
      <w:ind w:left="900" w:hanging="420"/>
    </w:pPr>
    <w:rPr>
      <w:rFonts w:ascii="Verdana" w:hAnsi="Verdana"/>
      <w:sz w:val="24"/>
      <w:szCs w:val="21"/>
      <w:lang w:eastAsia="en-US"/>
    </w:rPr>
  </w:style>
  <w:style w:type="paragraph" w:customStyle="1" w:styleId="558">
    <w:name w:val="p4"/>
    <w:basedOn w:val="1"/>
    <w:qFormat/>
    <w:uiPriority w:val="0"/>
    <w:pPr>
      <w:widowControl/>
      <w:spacing w:before="100" w:beforeAutospacing="1" w:after="100" w:afterAutospacing="1"/>
      <w:ind w:firstLine="360"/>
      <w:jc w:val="left"/>
    </w:pPr>
    <w:rPr>
      <w:sz w:val="24"/>
    </w:rPr>
  </w:style>
  <w:style w:type="paragraph" w:customStyle="1" w:styleId="559">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cs="宋体"/>
      <w:sz w:val="22"/>
      <w:szCs w:val="22"/>
    </w:rPr>
  </w:style>
  <w:style w:type="paragraph" w:customStyle="1" w:styleId="56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6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6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63">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6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565">
    <w:name w:val="p5"/>
    <w:basedOn w:val="1"/>
    <w:qFormat/>
    <w:uiPriority w:val="0"/>
    <w:pPr>
      <w:tabs>
        <w:tab w:val="left" w:pos="720"/>
      </w:tabs>
      <w:spacing w:line="240" w:lineRule="atLeast"/>
      <w:jc w:val="left"/>
    </w:pPr>
    <w:rPr>
      <w:snapToGrid w:val="0"/>
      <w:sz w:val="24"/>
      <w:szCs w:val="20"/>
      <w:lang w:val="en-GB" w:eastAsia="de-DE"/>
    </w:rPr>
  </w:style>
  <w:style w:type="paragraph" w:customStyle="1" w:styleId="566">
    <w:name w:val="a"/>
    <w:basedOn w:val="1"/>
    <w:qFormat/>
    <w:uiPriority w:val="0"/>
    <w:pPr>
      <w:widowControl/>
      <w:spacing w:line="460" w:lineRule="atLeast"/>
      <w:ind w:firstLine="567"/>
    </w:pPr>
    <w:rPr>
      <w:rFonts w:ascii="Arial Narrow" w:hAnsi="Arial Narrow" w:cs="宋体"/>
      <w:sz w:val="28"/>
      <w:szCs w:val="28"/>
    </w:rPr>
  </w:style>
  <w:style w:type="paragraph" w:customStyle="1" w:styleId="567">
    <w:name w:val="样式 样式 标题 1章H1PartPIM 1h1H11H12H13H14H15H16H17H18H19H... Char Cha..."/>
    <w:basedOn w:val="1"/>
    <w:qFormat/>
    <w:uiPriority w:val="0"/>
    <w:pPr>
      <w:keepNext/>
      <w:keepLines/>
      <w:numPr>
        <w:ilvl w:val="0"/>
        <w:numId w:val="11"/>
      </w:numPr>
      <w:spacing w:before="160" w:after="160" w:line="300" w:lineRule="auto"/>
      <w:contextualSpacing/>
      <w:outlineLvl w:val="0"/>
    </w:pPr>
    <w:rPr>
      <w:rFonts w:ascii="Arial" w:hAnsi="Arial" w:eastAsia="黑体"/>
      <w:b w:val="0"/>
      <w:bCs/>
      <w:kern w:val="44"/>
      <w:sz w:val="36"/>
      <w:szCs w:val="36"/>
    </w:rPr>
  </w:style>
  <w:style w:type="paragraph" w:customStyle="1" w:styleId="56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val="0"/>
      <w:bCs/>
      <w:color w:val="000000"/>
      <w:sz w:val="16"/>
      <w:szCs w:val="16"/>
    </w:rPr>
  </w:style>
  <w:style w:type="paragraph" w:customStyle="1" w:styleId="569">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7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71">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宋体"/>
      <w:color w:val="000000"/>
      <w:sz w:val="18"/>
      <w:szCs w:val="18"/>
    </w:rPr>
  </w:style>
  <w:style w:type="paragraph" w:customStyle="1" w:styleId="572">
    <w:name w:val="Char Char1 Char Char Char Char Char Char Char Char Char Char Char Char Char Char"/>
    <w:basedOn w:val="1"/>
    <w:qFormat/>
    <w:uiPriority w:val="0"/>
    <w:pPr>
      <w:widowControl/>
      <w:spacing w:after="160" w:line="240" w:lineRule="exact"/>
      <w:jc w:val="left"/>
    </w:pPr>
    <w:rPr>
      <w:rFonts w:ascii="Verdana" w:hAnsi="Verdana"/>
      <w:sz w:val="20"/>
      <w:szCs w:val="20"/>
      <w:lang w:eastAsia="en-US"/>
    </w:rPr>
  </w:style>
  <w:style w:type="paragraph" w:customStyle="1" w:styleId="573">
    <w:name w:val="Char1 Char Char Char1"/>
    <w:basedOn w:val="1"/>
    <w:next w:val="1"/>
    <w:qFormat/>
    <w:uiPriority w:val="0"/>
    <w:pPr>
      <w:spacing w:line="240" w:lineRule="atLeast"/>
      <w:ind w:left="420" w:firstLine="420"/>
      <w:jc w:val="left"/>
    </w:pPr>
    <w:rPr>
      <w:szCs w:val="21"/>
    </w:rPr>
  </w:style>
  <w:style w:type="paragraph" w:customStyle="1" w:styleId="57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57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sz w:val="20"/>
      <w:szCs w:val="20"/>
    </w:rPr>
  </w:style>
  <w:style w:type="paragraph" w:customStyle="1" w:styleId="57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77">
    <w:name w:val="表格"/>
    <w:basedOn w:val="1"/>
    <w:qFormat/>
    <w:uiPriority w:val="0"/>
    <w:pPr>
      <w:spacing w:line="400" w:lineRule="exact"/>
    </w:pPr>
    <w:rPr>
      <w:sz w:val="24"/>
    </w:rPr>
  </w:style>
  <w:style w:type="paragraph" w:customStyle="1" w:styleId="578">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cs="宋体"/>
      <w:b w:val="0"/>
      <w:bCs/>
      <w:color w:val="000000"/>
      <w:sz w:val="18"/>
      <w:szCs w:val="18"/>
    </w:rPr>
  </w:style>
  <w:style w:type="paragraph" w:customStyle="1" w:styleId="579">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sz w:val="18"/>
      <w:szCs w:val="18"/>
    </w:rPr>
  </w:style>
  <w:style w:type="paragraph" w:customStyle="1" w:styleId="58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sz w:val="18"/>
      <w:szCs w:val="18"/>
    </w:rPr>
  </w:style>
  <w:style w:type="paragraph" w:customStyle="1" w:styleId="581">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58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58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5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bCs/>
      <w:color w:val="000000"/>
      <w:sz w:val="20"/>
      <w:szCs w:val="20"/>
    </w:rPr>
  </w:style>
  <w:style w:type="paragraph" w:customStyle="1" w:styleId="585">
    <w:name w:val="样式 MM Topic 4 + 行距: 多倍行距 1.57 字行"/>
    <w:basedOn w:val="153"/>
    <w:qFormat/>
    <w:uiPriority w:val="0"/>
    <w:pPr>
      <w:tabs>
        <w:tab w:val="left" w:pos="993"/>
        <w:tab w:val="left" w:pos="2218"/>
        <w:tab w:val="clear" w:pos="851"/>
        <w:tab w:val="clear" w:pos="1984"/>
      </w:tabs>
      <w:spacing w:line="377" w:lineRule="auto"/>
      <w:ind w:left="2218" w:hanging="420"/>
    </w:pPr>
    <w:rPr>
      <w:rFonts w:cs="宋体"/>
      <w:szCs w:val="20"/>
    </w:rPr>
  </w:style>
  <w:style w:type="paragraph" w:customStyle="1" w:styleId="58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7">
    <w:name w:val="xl95"/>
    <w:basedOn w:val="1"/>
    <w:qFormat/>
    <w:uiPriority w:val="0"/>
    <w:pPr>
      <w:widowControl/>
      <w:spacing w:before="100" w:beforeAutospacing="1" w:after="100" w:afterAutospacing="1"/>
      <w:jc w:val="left"/>
    </w:pPr>
    <w:rPr>
      <w:rFonts w:cs="宋体"/>
      <w:color w:val="000000"/>
      <w:sz w:val="18"/>
      <w:szCs w:val="18"/>
    </w:rPr>
  </w:style>
  <w:style w:type="paragraph" w:customStyle="1" w:styleId="588">
    <w:name w:val="表题"/>
    <w:next w:val="292"/>
    <w:qFormat/>
    <w:uiPriority w:val="0"/>
    <w:pPr>
      <w:spacing w:line="360" w:lineRule="auto"/>
      <w:jc w:val="center"/>
      <w:outlineLvl w:val="5"/>
    </w:pPr>
    <w:rPr>
      <w:rFonts w:ascii="Times New Roman" w:hAnsi="Times New Roman" w:eastAsia="宋体" w:cs="Times New Roman"/>
      <w:sz w:val="24"/>
      <w:lang w:val="en-US" w:eastAsia="zh-CN" w:bidi="ar-SA"/>
    </w:rPr>
  </w:style>
  <w:style w:type="paragraph" w:customStyle="1" w:styleId="589">
    <w:name w:val="纯文本1"/>
    <w:basedOn w:val="1"/>
    <w:qFormat/>
    <w:uiPriority w:val="0"/>
    <w:pPr>
      <w:adjustRightInd w:val="0"/>
      <w:textAlignment w:val="baseline"/>
    </w:pPr>
    <w:rPr>
      <w:rFonts w:hAnsi="Courier New"/>
      <w:szCs w:val="20"/>
    </w:rPr>
  </w:style>
  <w:style w:type="paragraph" w:customStyle="1" w:styleId="590">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宋体"/>
      <w:color w:val="000000"/>
      <w:sz w:val="18"/>
      <w:szCs w:val="18"/>
    </w:rPr>
  </w:style>
  <w:style w:type="paragraph" w:customStyle="1" w:styleId="591">
    <w:name w:val="xl64"/>
    <w:basedOn w:val="1"/>
    <w:qFormat/>
    <w:uiPriority w:val="0"/>
    <w:pPr>
      <w:widowControl/>
      <w:spacing w:before="100" w:beforeAutospacing="1" w:after="100" w:afterAutospacing="1"/>
      <w:jc w:val="left"/>
    </w:pPr>
    <w:rPr>
      <w:rFonts w:cs="宋体"/>
      <w:sz w:val="22"/>
      <w:szCs w:val="22"/>
    </w:rPr>
  </w:style>
  <w:style w:type="paragraph" w:customStyle="1" w:styleId="592">
    <w:name w:val="项目符号：一级"/>
    <w:basedOn w:val="2"/>
    <w:next w:val="2"/>
    <w:qFormat/>
    <w:uiPriority w:val="0"/>
    <w:pPr>
      <w:tabs>
        <w:tab w:val="left" w:pos="700"/>
      </w:tabs>
      <w:spacing w:before="0" w:beforeLines="0"/>
      <w:ind w:left="630" w:hanging="290"/>
    </w:pPr>
    <w:rPr>
      <w:bCs w:val="0"/>
    </w:rPr>
  </w:style>
  <w:style w:type="paragraph" w:customStyle="1" w:styleId="593">
    <w:name w:val="Char Char1 Char Char Char Char Char Char Char Char Char Char Char Char Char Char Char"/>
    <w:basedOn w:val="1"/>
    <w:qFormat/>
    <w:uiPriority w:val="0"/>
    <w:pPr>
      <w:widowControl/>
      <w:spacing w:after="160" w:line="240" w:lineRule="exact"/>
      <w:jc w:val="left"/>
    </w:pPr>
    <w:rPr>
      <w:rFonts w:ascii="Verdana" w:hAnsi="Verdana"/>
      <w:sz w:val="20"/>
      <w:szCs w:val="20"/>
      <w:lang w:eastAsia="en-US"/>
    </w:rPr>
  </w:style>
  <w:style w:type="paragraph" w:customStyle="1" w:styleId="594">
    <w:name w:val="RFI Heading 3rd Level"/>
    <w:basedOn w:val="1"/>
    <w:qFormat/>
    <w:uiPriority w:val="0"/>
    <w:pPr>
      <w:widowControl/>
      <w:tabs>
        <w:tab w:val="left" w:pos="720"/>
      </w:tabs>
      <w:ind w:left="720" w:hanging="720"/>
      <w:jc w:val="left"/>
    </w:pPr>
    <w:rPr>
      <w:rFonts w:ascii="Arial (W1)" w:hAnsi="Arial (W1)"/>
      <w:color w:val="000000"/>
      <w:sz w:val="24"/>
      <w:lang w:val="en-GB" w:eastAsia="en-US"/>
    </w:rPr>
  </w:style>
  <w:style w:type="paragraph" w:customStyle="1" w:styleId="59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596">
    <w:name w:val="正文文本 21"/>
    <w:basedOn w:val="1"/>
    <w:qFormat/>
    <w:uiPriority w:val="0"/>
    <w:pPr>
      <w:adjustRightInd w:val="0"/>
      <w:spacing w:line="300" w:lineRule="auto"/>
      <w:jc w:val="center"/>
      <w:textAlignment w:val="baseline"/>
    </w:pPr>
    <w:rPr>
      <w:sz w:val="24"/>
      <w:szCs w:val="20"/>
    </w:rPr>
  </w:style>
  <w:style w:type="paragraph" w:customStyle="1" w:styleId="597">
    <w:name w:val="1 Char"/>
    <w:basedOn w:val="1"/>
    <w:qFormat/>
    <w:uiPriority w:val="0"/>
    <w:pPr>
      <w:widowControl/>
      <w:spacing w:after="160" w:line="240" w:lineRule="exact"/>
      <w:jc w:val="left"/>
    </w:pPr>
    <w:rPr>
      <w:rFonts w:ascii="Tahoma" w:hAnsi="Tahoma" w:eastAsia="Times New Roman"/>
      <w:sz w:val="24"/>
      <w:lang w:eastAsia="en-US"/>
    </w:rPr>
  </w:style>
  <w:style w:type="paragraph" w:customStyle="1" w:styleId="598">
    <w:name w:val="MM Title"/>
    <w:basedOn w:val="1"/>
    <w:qFormat/>
    <w:uiPriority w:val="0"/>
    <w:pPr>
      <w:spacing w:before="240" w:after="60"/>
      <w:jc w:val="center"/>
      <w:outlineLvl w:val="0"/>
    </w:pPr>
    <w:rPr>
      <w:rFonts w:ascii="Arial" w:hAnsi="Arial" w:cs="Arial"/>
      <w:b w:val="0"/>
      <w:bCs/>
    </w:rPr>
  </w:style>
  <w:style w:type="paragraph" w:customStyle="1" w:styleId="599">
    <w:name w:val="封面部门名"/>
    <w:basedOn w:val="1"/>
    <w:qFormat/>
    <w:uiPriority w:val="0"/>
    <w:pPr>
      <w:wordWrap w:val="0"/>
      <w:jc w:val="center"/>
    </w:pPr>
    <w:rPr>
      <w:b w:val="0"/>
      <w:bCs/>
      <w:sz w:val="44"/>
    </w:rPr>
  </w:style>
  <w:style w:type="paragraph" w:customStyle="1" w:styleId="600">
    <w:name w:val="xl116"/>
    <w:basedOn w:val="1"/>
    <w:qFormat/>
    <w:uiPriority w:val="0"/>
    <w:pPr>
      <w:widowControl/>
      <w:spacing w:before="100" w:beforeAutospacing="1" w:after="100" w:afterAutospacing="1"/>
      <w:jc w:val="left"/>
    </w:pPr>
    <w:rPr>
      <w:rFonts w:cs="宋体"/>
      <w:color w:val="000000"/>
      <w:sz w:val="18"/>
      <w:szCs w:val="18"/>
    </w:rPr>
  </w:style>
  <w:style w:type="paragraph" w:customStyle="1" w:styleId="601">
    <w:name w:val="Char2 Char Char Char1"/>
    <w:basedOn w:val="1"/>
    <w:qFormat/>
    <w:uiPriority w:val="0"/>
    <w:rPr>
      <w:rFonts w:ascii="仿宋_GB2312"/>
      <w:b w:val="0"/>
      <w:sz w:val="30"/>
    </w:rPr>
  </w:style>
  <w:style w:type="paragraph" w:customStyle="1" w:styleId="602">
    <w:name w:val="图示"/>
    <w:basedOn w:val="19"/>
    <w:next w:val="19"/>
    <w:qFormat/>
    <w:uiPriority w:val="0"/>
    <w:pPr>
      <w:widowControl/>
      <w:ind w:firstLine="0" w:firstLineChars="0"/>
      <w:jc w:val="center"/>
    </w:pPr>
    <w:rPr>
      <w:kern w:val="0"/>
      <w:szCs w:val="20"/>
    </w:rPr>
  </w:style>
  <w:style w:type="paragraph" w:customStyle="1" w:styleId="603">
    <w:name w:val="Char Char1 Char Char Char Char Char Char"/>
    <w:basedOn w:val="1"/>
    <w:qFormat/>
    <w:uiPriority w:val="0"/>
    <w:pPr>
      <w:widowControl/>
      <w:spacing w:after="160" w:line="240" w:lineRule="exact"/>
      <w:jc w:val="left"/>
    </w:pPr>
    <w:rPr>
      <w:rFonts w:ascii="Verdana" w:hAnsi="Verdana" w:eastAsia="仿宋_GB2312"/>
      <w:sz w:val="24"/>
      <w:szCs w:val="20"/>
      <w:lang w:eastAsia="en-US"/>
    </w:rPr>
  </w:style>
  <w:style w:type="paragraph" w:customStyle="1" w:styleId="604">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cs="宋体"/>
      <w:color w:val="000000"/>
      <w:sz w:val="18"/>
      <w:szCs w:val="18"/>
    </w:rPr>
  </w:style>
  <w:style w:type="paragraph" w:customStyle="1" w:styleId="605">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sz w:val="18"/>
      <w:szCs w:val="18"/>
    </w:rPr>
  </w:style>
  <w:style w:type="paragraph" w:customStyle="1" w:styleId="606">
    <w:name w:val="样式 右侧:  1 字符1"/>
    <w:basedOn w:val="1"/>
    <w:qFormat/>
    <w:uiPriority w:val="0"/>
    <w:pPr>
      <w:ind w:left="240" w:leftChars="100" w:right="240" w:rightChars="100"/>
    </w:pPr>
    <w:rPr>
      <w:rFonts w:eastAsia="仿宋_GB2312" w:cs="宋体"/>
      <w:sz w:val="28"/>
      <w:szCs w:val="20"/>
    </w:rPr>
  </w:style>
  <w:style w:type="paragraph" w:customStyle="1" w:styleId="607">
    <w:name w:val="样式2"/>
    <w:basedOn w:val="1"/>
    <w:qFormat/>
    <w:uiPriority w:val="0"/>
    <w:pPr>
      <w:adjustRightInd w:val="0"/>
      <w:spacing w:line="410" w:lineRule="atLeast"/>
      <w:textAlignment w:val="baseline"/>
    </w:pPr>
    <w:rPr>
      <w:sz w:val="24"/>
      <w:szCs w:val="20"/>
    </w:rPr>
  </w:style>
  <w:style w:type="paragraph" w:customStyle="1" w:styleId="608">
    <w:name w:val="xl145"/>
    <w:basedOn w:val="1"/>
    <w:qFormat/>
    <w:uiPriority w:val="0"/>
    <w:pPr>
      <w:widowControl/>
      <w:spacing w:before="100" w:beforeAutospacing="1" w:after="100" w:afterAutospacing="1"/>
      <w:jc w:val="left"/>
    </w:pPr>
    <w:rPr>
      <w:rFonts w:cs="宋体"/>
      <w:color w:val="000000"/>
      <w:sz w:val="18"/>
      <w:szCs w:val="18"/>
    </w:rPr>
  </w:style>
  <w:style w:type="paragraph" w:customStyle="1" w:styleId="609">
    <w:name w:val="È±Ê¡ÎÄ±¾"/>
    <w:basedOn w:val="1"/>
    <w:qFormat/>
    <w:uiPriority w:val="0"/>
    <w:pPr>
      <w:widowControl/>
      <w:overflowPunct w:val="0"/>
      <w:autoSpaceDE w:val="0"/>
      <w:autoSpaceDN w:val="0"/>
      <w:adjustRightInd w:val="0"/>
      <w:ind w:firstLine="200"/>
      <w:jc w:val="left"/>
      <w:textAlignment w:val="baseline"/>
    </w:pPr>
    <w:rPr>
      <w:bCs/>
      <w:sz w:val="24"/>
    </w:rPr>
  </w:style>
  <w:style w:type="paragraph" w:customStyle="1" w:styleId="610">
    <w:name w:val="默认段落字体 Para Char Char Char1 Char"/>
    <w:basedOn w:val="1"/>
    <w:next w:val="1"/>
    <w:qFormat/>
    <w:uiPriority w:val="0"/>
    <w:pPr>
      <w:spacing w:line="240" w:lineRule="atLeast"/>
      <w:ind w:left="420" w:firstLine="420"/>
      <w:jc w:val="left"/>
    </w:pPr>
    <w:rPr>
      <w:szCs w:val="21"/>
    </w:rPr>
  </w:style>
  <w:style w:type="paragraph" w:customStyle="1" w:styleId="611">
    <w:name w:val="正文缩进1"/>
    <w:basedOn w:val="1"/>
    <w:next w:val="1"/>
    <w:qFormat/>
    <w:uiPriority w:val="0"/>
    <w:pPr>
      <w:widowControl/>
      <w:ind w:firstLine="420"/>
    </w:pPr>
    <w:rPr>
      <w:color w:val="000000"/>
      <w:szCs w:val="20"/>
    </w:rPr>
  </w:style>
  <w:style w:type="paragraph" w:customStyle="1" w:styleId="612">
    <w:name w:val="Body Text 21"/>
    <w:basedOn w:val="1"/>
    <w:qFormat/>
    <w:uiPriority w:val="0"/>
    <w:pPr>
      <w:adjustRightInd w:val="0"/>
      <w:spacing w:line="300" w:lineRule="auto"/>
      <w:jc w:val="center"/>
      <w:textAlignment w:val="baseline"/>
    </w:pPr>
    <w:rPr>
      <w:sz w:val="24"/>
      <w:szCs w:val="20"/>
    </w:rPr>
  </w:style>
  <w:style w:type="paragraph" w:customStyle="1" w:styleId="613">
    <w:name w:val="样式 仿宋_GB2312 小四 左侧:  0.63 厘米"/>
    <w:basedOn w:val="1"/>
    <w:qFormat/>
    <w:uiPriority w:val="0"/>
    <w:pPr>
      <w:spacing w:before="120" w:after="120"/>
      <w:ind w:left="357" w:firstLine="200"/>
    </w:pPr>
    <w:rPr>
      <w:rFonts w:ascii="仿宋_GB2312" w:hAnsi="仿宋_GB2312" w:eastAsia="仿宋_GB2312" w:cs="宋体"/>
      <w:sz w:val="24"/>
      <w:szCs w:val="20"/>
    </w:rPr>
  </w:style>
  <w:style w:type="paragraph" w:customStyle="1" w:styleId="614">
    <w:name w:val="表头"/>
    <w:qFormat/>
    <w:uiPriority w:val="0"/>
    <w:pPr>
      <w:spacing w:line="276" w:lineRule="auto"/>
      <w:jc w:val="center"/>
    </w:pPr>
    <w:rPr>
      <w:rFonts w:ascii="Calibri" w:hAnsi="Calibri" w:eastAsia="宋体" w:cs="宋体"/>
      <w:b/>
      <w:kern w:val="2"/>
      <w:sz w:val="21"/>
      <w:szCs w:val="21"/>
      <w:lang w:val="en-US" w:eastAsia="zh-CN" w:bidi="ar-SA"/>
    </w:rPr>
  </w:style>
  <w:style w:type="paragraph" w:customStyle="1" w:styleId="615">
    <w:name w:val="表内文字"/>
    <w:qFormat/>
    <w:uiPriority w:val="0"/>
    <w:rPr>
      <w:rFonts w:ascii="Times New Roman" w:hAnsi="Times New Roman" w:eastAsia="宋体" w:cs="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6759</Words>
  <Characters>38529</Characters>
  <Lines>321</Lines>
  <Paragraphs>90</Paragraphs>
  <TotalTime>1</TotalTime>
  <ScaleCrop>false</ScaleCrop>
  <LinksUpToDate>false</LinksUpToDate>
  <CharactersWithSpaces>45198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2014-09-24T07:38:00Z</dcterms:created>
  <dc:creator>www.hao123d.com</dc:creator>
  <cp:lastModifiedBy>lw</cp:lastModifiedBy>
  <cp:lastPrinted>2021-05-14T08:58:00Z</cp:lastPrinted>
  <dcterms:modified xsi:type="dcterms:W3CDTF">2021-06-29T04:27:11Z</dcterms:modified>
  <dc:title>招 标 文 件</dc:title>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86DAE69D52D34410846F83D53F11DB5F</vt:lpwstr>
  </property>
</Properties>
</file>