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5421" w:firstLineChars="1800"/>
        <w:rPr>
          <w:rFonts w:ascii="宋体"/>
          <w:b/>
          <w:sz w:val="30"/>
          <w:szCs w:val="30"/>
        </w:rPr>
      </w:pPr>
      <w:r>
        <w:rPr>
          <w:rFonts w:hint="eastAsia" w:ascii="宋体"/>
          <w:b/>
          <w:sz w:val="30"/>
          <w:szCs w:val="30"/>
        </w:rPr>
        <w:t>采购编号：510186202100074</w:t>
      </w:r>
    </w:p>
    <w:p>
      <w:pPr>
        <w:spacing w:line="360" w:lineRule="auto"/>
        <w:jc w:val="center"/>
        <w:rPr>
          <w:rFonts w:ascii="宋体"/>
          <w:b/>
          <w:sz w:val="30"/>
          <w:szCs w:val="30"/>
        </w:rPr>
      </w:pPr>
      <w:bookmarkStart w:id="1156" w:name="_GoBack"/>
      <w:bookmarkEnd w:id="1156"/>
    </w:p>
    <w:p>
      <w:pPr>
        <w:spacing w:line="720" w:lineRule="auto"/>
        <w:jc w:val="center"/>
        <w:rPr>
          <w:rFonts w:ascii="宋体"/>
          <w:b/>
          <w:sz w:val="48"/>
          <w:szCs w:val="52"/>
        </w:rPr>
      </w:pPr>
      <w:r>
        <w:rPr>
          <w:rFonts w:hint="eastAsia" w:ascii="宋体"/>
          <w:b/>
          <w:sz w:val="48"/>
          <w:szCs w:val="52"/>
        </w:rPr>
        <w:t>柴油车、非道路移动机械监督抽测服务</w:t>
      </w:r>
    </w:p>
    <w:p>
      <w:pPr>
        <w:spacing w:line="720" w:lineRule="auto"/>
        <w:jc w:val="center"/>
        <w:rPr>
          <w:rFonts w:ascii="宋体"/>
          <w:b/>
          <w:sz w:val="52"/>
          <w:szCs w:val="52"/>
        </w:rPr>
      </w:pPr>
      <w:r>
        <w:rPr>
          <w:rFonts w:hint="eastAsia" w:ascii="宋体"/>
          <w:b/>
          <w:sz w:val="48"/>
          <w:szCs w:val="52"/>
        </w:rPr>
        <w:t>（二批次）</w:t>
      </w:r>
    </w:p>
    <w:p>
      <w:pPr>
        <w:spacing w:line="360" w:lineRule="auto"/>
        <w:jc w:val="center"/>
        <w:rPr>
          <w:rFonts w:ascii="宋体"/>
          <w:b/>
          <w:sz w:val="52"/>
          <w:szCs w:val="52"/>
        </w:rPr>
      </w:pPr>
    </w:p>
    <w:p>
      <w:pPr>
        <w:spacing w:line="360" w:lineRule="auto"/>
        <w:jc w:val="center"/>
        <w:rPr>
          <w:rFonts w:ascii="黑体" w:hAnsi="黑体" w:eastAsia="黑体" w:cs="黑体"/>
          <w:b/>
          <w:sz w:val="52"/>
          <w:szCs w:val="52"/>
        </w:rPr>
      </w:pPr>
      <w:r>
        <w:rPr>
          <w:rFonts w:hint="eastAsia" w:ascii="黑体" w:hAnsi="黑体" w:eastAsia="黑体" w:cs="黑体"/>
          <w:b/>
          <w:sz w:val="52"/>
          <w:szCs w:val="52"/>
        </w:rPr>
        <w:t>竞</w:t>
      </w:r>
    </w:p>
    <w:p>
      <w:pPr>
        <w:spacing w:line="360" w:lineRule="auto"/>
        <w:jc w:val="center"/>
        <w:rPr>
          <w:rFonts w:ascii="黑体" w:hAnsi="黑体" w:eastAsia="黑体" w:cs="黑体"/>
          <w:b/>
          <w:sz w:val="52"/>
          <w:szCs w:val="52"/>
        </w:rPr>
      </w:pPr>
      <w:r>
        <w:rPr>
          <w:rFonts w:hint="eastAsia" w:ascii="黑体" w:hAnsi="黑体" w:eastAsia="黑体" w:cs="黑体"/>
          <w:b/>
          <w:sz w:val="52"/>
          <w:szCs w:val="52"/>
        </w:rPr>
        <w:t>争</w:t>
      </w:r>
    </w:p>
    <w:p>
      <w:pPr>
        <w:spacing w:line="360" w:lineRule="auto"/>
        <w:jc w:val="center"/>
        <w:rPr>
          <w:rFonts w:ascii="黑体" w:hAnsi="黑体" w:eastAsia="黑体" w:cs="黑体"/>
          <w:b/>
          <w:sz w:val="52"/>
          <w:szCs w:val="52"/>
        </w:rPr>
      </w:pPr>
      <w:r>
        <w:rPr>
          <w:rFonts w:hint="eastAsia" w:ascii="黑体" w:hAnsi="黑体" w:eastAsia="黑体" w:cs="黑体"/>
          <w:b/>
          <w:sz w:val="52"/>
          <w:szCs w:val="52"/>
        </w:rPr>
        <w:t>性</w:t>
      </w:r>
    </w:p>
    <w:p>
      <w:pPr>
        <w:spacing w:line="360" w:lineRule="auto"/>
        <w:jc w:val="center"/>
        <w:rPr>
          <w:rFonts w:ascii="黑体" w:hAnsi="黑体" w:eastAsia="黑体" w:cs="黑体"/>
          <w:b/>
          <w:sz w:val="52"/>
          <w:szCs w:val="52"/>
        </w:rPr>
      </w:pPr>
      <w:r>
        <w:rPr>
          <w:rFonts w:hint="eastAsia" w:ascii="黑体" w:hAnsi="黑体" w:eastAsia="黑体" w:cs="黑体"/>
          <w:b/>
          <w:sz w:val="52"/>
          <w:szCs w:val="52"/>
        </w:rPr>
        <w:t>磋</w:t>
      </w:r>
    </w:p>
    <w:p>
      <w:pPr>
        <w:spacing w:line="360" w:lineRule="auto"/>
        <w:jc w:val="center"/>
        <w:rPr>
          <w:rFonts w:ascii="黑体" w:hAnsi="黑体" w:eastAsia="黑体" w:cs="黑体"/>
          <w:b/>
          <w:sz w:val="52"/>
          <w:szCs w:val="52"/>
        </w:rPr>
      </w:pPr>
      <w:r>
        <w:rPr>
          <w:rFonts w:hint="eastAsia" w:ascii="黑体" w:hAnsi="黑体" w:eastAsia="黑体" w:cs="黑体"/>
          <w:b/>
          <w:sz w:val="52"/>
          <w:szCs w:val="52"/>
        </w:rPr>
        <w:t>商</w:t>
      </w:r>
    </w:p>
    <w:p>
      <w:pPr>
        <w:spacing w:line="360" w:lineRule="auto"/>
        <w:jc w:val="center"/>
        <w:rPr>
          <w:rFonts w:ascii="黑体" w:hAnsi="黑体" w:eastAsia="黑体" w:cs="黑体"/>
          <w:b/>
          <w:sz w:val="52"/>
          <w:szCs w:val="52"/>
        </w:rPr>
      </w:pPr>
      <w:r>
        <w:rPr>
          <w:rFonts w:hint="eastAsia" w:ascii="黑体" w:hAnsi="黑体" w:eastAsia="黑体" w:cs="黑体"/>
          <w:b/>
          <w:sz w:val="52"/>
          <w:szCs w:val="52"/>
        </w:rPr>
        <w:t>文</w:t>
      </w:r>
    </w:p>
    <w:p>
      <w:pPr>
        <w:spacing w:line="360" w:lineRule="auto"/>
        <w:jc w:val="center"/>
        <w:rPr>
          <w:rFonts w:ascii="黑体" w:hAnsi="黑体" w:eastAsia="黑体" w:cs="黑体"/>
          <w:b/>
          <w:sz w:val="52"/>
          <w:szCs w:val="52"/>
        </w:rPr>
      </w:pPr>
      <w:r>
        <w:rPr>
          <w:rFonts w:hint="eastAsia" w:ascii="黑体" w:hAnsi="黑体" w:eastAsia="黑体" w:cs="黑体"/>
          <w:b/>
          <w:sz w:val="52"/>
          <w:szCs w:val="52"/>
        </w:rPr>
        <w:t>件</w:t>
      </w:r>
    </w:p>
    <w:p>
      <w:pPr>
        <w:pStyle w:val="12"/>
        <w:spacing w:line="360" w:lineRule="auto"/>
      </w:pPr>
    </w:p>
    <w:p>
      <w:pPr>
        <w:spacing w:line="840" w:lineRule="exact"/>
        <w:ind w:firstLine="960" w:firstLineChars="300"/>
        <w:rPr>
          <w:rFonts w:ascii="宋体" w:hAnsi="宋体"/>
          <w:b/>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4826635</wp:posOffset>
                </wp:positionH>
                <wp:positionV relativeFrom="paragraph">
                  <wp:posOffset>236855</wp:posOffset>
                </wp:positionV>
                <wp:extent cx="1197610" cy="489585"/>
                <wp:effectExtent l="0" t="0" r="0" b="0"/>
                <wp:wrapNone/>
                <wp:docPr id="7" name="圆角矩形 7"/>
                <wp:cNvGraphicFramePr/>
                <a:graphic xmlns:a="http://schemas.openxmlformats.org/drawingml/2006/main">
                  <a:graphicData uri="http://schemas.microsoft.com/office/word/2010/wordprocessingShape">
                    <wps:wsp>
                      <wps:cNvSpPr/>
                      <wps:spPr>
                        <a:xfrm>
                          <a:off x="5373370" y="8269605"/>
                          <a:ext cx="1197610" cy="489585"/>
                        </a:xfrm>
                        <a:prstGeom prst="roundRect">
                          <a:avLst/>
                        </a:prstGeom>
                        <a:solidFill>
                          <a:srgbClr val="000000">
                            <a:alpha val="0"/>
                          </a:srgbClr>
                        </a:solidFill>
                        <a:ln w="25400" cap="flat" cmpd="sng" algn="ctr">
                          <a:solidFill>
                            <a:srgbClr val="000000">
                              <a:alpha val="0"/>
                            </a:srgbClr>
                          </a:solidFill>
                          <a:prstDash val="solid"/>
                        </a:ln>
                        <a:effectLst/>
                      </wps:spPr>
                      <wps:txbx>
                        <w:txbxContent>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共同编制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0.05pt;margin-top:18.65pt;height:38.55pt;width:94.3pt;z-index:251659264;v-text-anchor:middle;mso-width-relative:page;mso-height-relative:page;" fillcolor="#000000" filled="t" stroked="t" coordsize="21600,21600" arcsize="0.166666666666667" o:gfxdata="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lgs8v&#10;2QAAAAoBAAAPAAAAAAAAAAEAIAAAACIAAABkcnMvZG93bnJldi54bWxQSwECFAAUAAAACACHTuJA&#10;6jsMzZICAABHBQAADgAAAAAAAAABACAAAAAoAQAAZHJzL2Uyb0RvYy54bWxQSwUGAAAAAAYABgBZ&#10;AQAALAYAAAAA&#10;">
                <v:fill on="t" opacity="0f" focussize="0,0"/>
                <v:stroke weight="2pt" color="#000000" opacity="0f" joinstyle="round"/>
                <v:imagedata o:title=""/>
                <o:lock v:ext="edit" aspectratio="f"/>
                <v:textbox>
                  <w:txbxContent>
                    <w:p>
                      <w:pPr>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共同编制</w:t>
                      </w:r>
                    </w:p>
                    <w:p>
                      <w:pPr>
                        <w:jc w:val="center"/>
                      </w:pPr>
                    </w:p>
                  </w:txbxContent>
                </v:textbox>
              </v:roundrect>
            </w:pict>
          </mc:Fallback>
        </mc:AlternateContent>
      </w:r>
      <w:r>
        <w:rPr>
          <w:rFonts w:hint="eastAsia" w:ascii="宋体" w:hAnsi="宋体"/>
          <w:b/>
          <w:sz w:val="32"/>
          <w:szCs w:val="32"/>
        </w:rPr>
        <w:t>采购人：四川天府新区生态环境和城市管理局</w:t>
      </w:r>
    </w:p>
    <w:p>
      <w:pPr>
        <w:spacing w:line="840" w:lineRule="exact"/>
        <w:ind w:firstLine="964" w:firstLineChars="300"/>
        <w:rPr>
          <w:b/>
          <w:sz w:val="32"/>
          <w:szCs w:val="32"/>
        </w:rPr>
      </w:pPr>
      <w:r>
        <w:rPr>
          <w:rFonts w:hint="eastAsia" w:ascii="宋体" w:hAnsi="宋体"/>
          <w:b/>
          <w:sz w:val="32"/>
          <w:szCs w:val="32"/>
        </w:rPr>
        <w:t>招标代理机构：四川雄烽建设工程管理有限公司</w:t>
      </w:r>
    </w:p>
    <w:p>
      <w:pPr>
        <w:spacing w:line="840" w:lineRule="exact"/>
        <w:ind w:firstLine="3534" w:firstLineChars="1100"/>
        <w:rPr>
          <w:b/>
          <w:bCs/>
          <w:sz w:val="32"/>
          <w:szCs w:val="32"/>
          <w:lang w:val="zh-CN"/>
        </w:rPr>
      </w:pPr>
      <w:bookmarkStart w:id="0" w:name="PO_年份小写_1"/>
      <w:r>
        <w:rPr>
          <w:rFonts w:hint="eastAsia"/>
          <w:b/>
          <w:bCs/>
          <w:sz w:val="32"/>
          <w:szCs w:val="32"/>
          <w:lang w:val="zh-CN"/>
        </w:rPr>
        <w:t>二</w:t>
      </w:r>
      <w:bookmarkEnd w:id="0"/>
      <w:r>
        <w:rPr>
          <w:rFonts w:hint="eastAsia"/>
          <w:b/>
          <w:bCs/>
          <w:sz w:val="32"/>
          <w:szCs w:val="32"/>
          <w:lang w:val="zh-CN"/>
        </w:rPr>
        <w:t>〇二一</w:t>
      </w:r>
      <w:r>
        <w:rPr>
          <w:b/>
          <w:bCs/>
          <w:sz w:val="32"/>
          <w:szCs w:val="32"/>
          <w:lang w:val="zh-CN"/>
        </w:rPr>
        <w:t>年</w:t>
      </w:r>
      <w:r>
        <w:rPr>
          <w:rFonts w:hint="eastAsia"/>
          <w:b/>
          <w:bCs/>
          <w:sz w:val="32"/>
          <w:szCs w:val="32"/>
        </w:rPr>
        <w:t>六</w:t>
      </w:r>
      <w:r>
        <w:rPr>
          <w:b/>
          <w:bCs/>
          <w:sz w:val="32"/>
          <w:szCs w:val="32"/>
          <w:lang w:val="zh-CN"/>
        </w:rPr>
        <w:t>月</w:t>
      </w:r>
    </w:p>
    <w:p>
      <w:pPr>
        <w:pStyle w:val="99"/>
        <w:spacing w:line="360" w:lineRule="auto"/>
        <w:jc w:val="center"/>
        <w:rPr>
          <w:rFonts w:ascii="Times New Roman" w:hAnsi="Times New Roman" w:eastAsia="微软雅黑" w:cs="Times New Roman"/>
          <w:b w:val="0"/>
          <w:bCs w:val="0"/>
          <w:color w:val="auto"/>
          <w:kern w:val="2"/>
          <w:sz w:val="24"/>
          <w:szCs w:val="24"/>
          <w:lang w:val="zh-CN"/>
        </w:rPr>
        <w:sectPr>
          <w:headerReference r:id="rId3" w:type="default"/>
          <w:pgSz w:w="11907" w:h="16840"/>
          <w:pgMar w:top="1134" w:right="1134" w:bottom="1134" w:left="1134" w:header="851" w:footer="850" w:gutter="0"/>
          <w:pgNumType w:fmt="numberInDash" w:start="1"/>
          <w:cols w:space="0" w:num="1"/>
          <w:docGrid w:type="lines" w:linePitch="312" w:charSpace="0"/>
        </w:sectPr>
      </w:pPr>
    </w:p>
    <w:p>
      <w:pPr>
        <w:spacing w:before="156" w:beforeLines="50"/>
        <w:jc w:val="center"/>
        <w:rPr>
          <w:b/>
          <w:bCs/>
          <w:sz w:val="24"/>
          <w:szCs w:val="32"/>
        </w:rPr>
      </w:pPr>
      <w:bookmarkStart w:id="1" w:name="_Toc5004981"/>
      <w:bookmarkStart w:id="2" w:name="_Toc29867_WPSOffice_Level1"/>
      <w:bookmarkStart w:id="3" w:name="_Toc511206475"/>
      <w:r>
        <w:rPr>
          <w:rFonts w:ascii="宋体" w:hAnsi="宋体"/>
          <w:b/>
          <w:bCs/>
          <w:sz w:val="24"/>
          <w:szCs w:val="32"/>
        </w:rPr>
        <w:t>目</w:t>
      </w:r>
      <w:r>
        <w:rPr>
          <w:rFonts w:hint="eastAsia" w:ascii="宋体" w:hAnsi="宋体"/>
          <w:b/>
          <w:bCs/>
          <w:sz w:val="24"/>
          <w:szCs w:val="32"/>
        </w:rPr>
        <w:t xml:space="preserve"> </w:t>
      </w:r>
      <w:r>
        <w:rPr>
          <w:rFonts w:ascii="宋体" w:hAnsi="宋体"/>
          <w:b/>
          <w:bCs/>
          <w:sz w:val="24"/>
          <w:szCs w:val="32"/>
        </w:rPr>
        <w:t>录</w:t>
      </w:r>
    </w:p>
    <w:p>
      <w:pPr>
        <w:pStyle w:val="23"/>
        <w:tabs>
          <w:tab w:val="right" w:leader="dot" w:pos="9639"/>
        </w:tabs>
        <w:rPr>
          <w:rFonts w:hint="eastAsia" w:ascii="宋体" w:hAnsi="宋体" w:eastAsia="宋体" w:cs="宋体"/>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_Toc4991 </w:instrText>
      </w:r>
      <w:r>
        <w:rPr>
          <w:rFonts w:hint="eastAsia" w:ascii="宋体" w:hAnsi="宋体" w:eastAsia="宋体" w:cs="宋体"/>
          <w:szCs w:val="21"/>
        </w:rPr>
        <w:fldChar w:fldCharType="separate"/>
      </w:r>
      <w:r>
        <w:rPr>
          <w:rFonts w:hint="eastAsia" w:ascii="宋体" w:hAnsi="宋体" w:eastAsia="宋体" w:cs="宋体"/>
        </w:rPr>
        <w:t>第一章  磋商邀请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_Toc4991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23"/>
        <w:tabs>
          <w:tab w:val="right" w:leader="dot" w:pos="9639"/>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_Toc13844 </w:instrText>
      </w:r>
      <w:r>
        <w:rPr>
          <w:rFonts w:hint="eastAsia" w:ascii="宋体" w:hAnsi="宋体" w:eastAsia="宋体" w:cs="宋体"/>
          <w:szCs w:val="21"/>
        </w:rPr>
        <w:fldChar w:fldCharType="separate"/>
      </w:r>
      <w:r>
        <w:rPr>
          <w:rFonts w:hint="eastAsia" w:ascii="宋体" w:hAnsi="宋体" w:eastAsia="宋体" w:cs="宋体"/>
        </w:rPr>
        <w:t>第二章  磋商须知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_Toc13844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_Toc17976 </w:instrText>
      </w:r>
      <w:r>
        <w:rPr>
          <w:rFonts w:hint="eastAsia" w:ascii="宋体" w:hAnsi="宋体" w:cs="宋体"/>
          <w:szCs w:val="21"/>
        </w:rPr>
        <w:fldChar w:fldCharType="separate"/>
      </w:r>
      <w:r>
        <w:rPr>
          <w:rFonts w:hint="eastAsia" w:ascii="宋体" w:hAnsi="宋体" w:cs="宋体"/>
        </w:rPr>
        <w:t>一、供应商须知附表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_Toc17976 \h </w:instrText>
      </w:r>
      <w:r>
        <w:rPr>
          <w:rFonts w:hint="eastAsia" w:ascii="宋体" w:hAnsi="宋体" w:cs="宋体"/>
        </w:rPr>
        <w:fldChar w:fldCharType="separate"/>
      </w:r>
      <w:r>
        <w:rPr>
          <w:rFonts w:hint="eastAsia" w:ascii="宋体" w:hAnsi="宋体" w:cs="宋体"/>
        </w:rPr>
        <w:t>6</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_Toc11218 </w:instrText>
      </w:r>
      <w:r>
        <w:rPr>
          <w:rFonts w:hint="eastAsia" w:ascii="宋体" w:hAnsi="宋体" w:cs="宋体"/>
          <w:szCs w:val="21"/>
        </w:rPr>
        <w:fldChar w:fldCharType="separate"/>
      </w:r>
      <w:r>
        <w:rPr>
          <w:rFonts w:hint="eastAsia" w:ascii="宋体" w:hAnsi="宋体" w:cs="宋体"/>
        </w:rPr>
        <w:t>二、总  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_Toc11218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_Toc32739 </w:instrText>
      </w:r>
      <w:r>
        <w:rPr>
          <w:rFonts w:hint="eastAsia" w:ascii="宋体" w:hAnsi="宋体" w:cs="宋体"/>
          <w:szCs w:val="21"/>
        </w:rPr>
        <w:fldChar w:fldCharType="separate"/>
      </w:r>
      <w:r>
        <w:rPr>
          <w:rFonts w:hint="eastAsia" w:ascii="宋体" w:hAnsi="宋体" w:cs="宋体"/>
        </w:rPr>
        <w:t>三、磋商文件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_Toc32739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_Toc24638 </w:instrText>
      </w:r>
      <w:r>
        <w:rPr>
          <w:rFonts w:hint="eastAsia" w:ascii="宋体" w:hAnsi="宋体" w:cs="宋体"/>
          <w:szCs w:val="21"/>
        </w:rPr>
        <w:fldChar w:fldCharType="separate"/>
      </w:r>
      <w:r>
        <w:rPr>
          <w:rFonts w:hint="eastAsia" w:ascii="宋体" w:hAnsi="宋体" w:cs="宋体"/>
        </w:rPr>
        <w:t>四、响应文件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_Toc24638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_Toc10231 </w:instrText>
      </w:r>
      <w:r>
        <w:rPr>
          <w:rFonts w:hint="eastAsia" w:ascii="宋体" w:hAnsi="宋体" w:cs="宋体"/>
          <w:szCs w:val="21"/>
        </w:rPr>
        <w:fldChar w:fldCharType="separate"/>
      </w:r>
      <w:r>
        <w:rPr>
          <w:rFonts w:hint="eastAsia" w:ascii="宋体" w:hAnsi="宋体" w:cs="宋体"/>
        </w:rPr>
        <w:t>五、评审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_Toc10231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_Toc23328 </w:instrText>
      </w:r>
      <w:r>
        <w:rPr>
          <w:rFonts w:hint="eastAsia" w:ascii="宋体" w:hAnsi="宋体" w:cs="宋体"/>
          <w:szCs w:val="21"/>
        </w:rPr>
        <w:fldChar w:fldCharType="separate"/>
      </w:r>
      <w:r>
        <w:rPr>
          <w:rFonts w:hint="eastAsia" w:ascii="宋体" w:hAnsi="宋体" w:cs="宋体"/>
        </w:rPr>
        <w:t>六、成交事项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_Toc23328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_Toc5272 </w:instrText>
      </w:r>
      <w:r>
        <w:rPr>
          <w:rFonts w:hint="eastAsia" w:ascii="宋体" w:hAnsi="宋体" w:cs="宋体"/>
          <w:szCs w:val="21"/>
        </w:rPr>
        <w:fldChar w:fldCharType="separate"/>
      </w:r>
      <w:r>
        <w:rPr>
          <w:rFonts w:hint="eastAsia" w:ascii="宋体" w:hAnsi="宋体" w:cs="宋体"/>
        </w:rPr>
        <w:t>七、合同事项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_Toc5272 \h </w:instrText>
      </w:r>
      <w:r>
        <w:rPr>
          <w:rFonts w:hint="eastAsia" w:ascii="宋体" w:hAnsi="宋体" w:cs="宋体"/>
        </w:rPr>
        <w:fldChar w:fldCharType="separate"/>
      </w:r>
      <w:r>
        <w:rPr>
          <w:rFonts w:hint="eastAsia" w:ascii="宋体" w:hAnsi="宋体" w:cs="宋体"/>
        </w:rPr>
        <w:t>15</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_Toc22915 </w:instrText>
      </w:r>
      <w:r>
        <w:rPr>
          <w:rFonts w:hint="eastAsia" w:ascii="宋体" w:hAnsi="宋体" w:cs="宋体"/>
          <w:szCs w:val="21"/>
        </w:rPr>
        <w:fldChar w:fldCharType="separate"/>
      </w:r>
      <w:r>
        <w:rPr>
          <w:rFonts w:hint="eastAsia" w:ascii="宋体" w:hAnsi="宋体" w:cs="宋体"/>
        </w:rPr>
        <w:t>八、磋商纪律要求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_Toc22915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_Toc14397 </w:instrText>
      </w:r>
      <w:r>
        <w:rPr>
          <w:rFonts w:hint="eastAsia" w:ascii="宋体" w:hAnsi="宋体" w:cs="宋体"/>
          <w:szCs w:val="21"/>
        </w:rPr>
        <w:fldChar w:fldCharType="separate"/>
      </w:r>
      <w:r>
        <w:rPr>
          <w:rFonts w:hint="eastAsia" w:ascii="宋体" w:hAnsi="宋体" w:cs="宋体"/>
          <w:lang w:eastAsia="zh-CN"/>
        </w:rPr>
        <w:t>九、</w:t>
      </w:r>
      <w:r>
        <w:rPr>
          <w:rFonts w:hint="eastAsia" w:ascii="宋体" w:hAnsi="宋体" w:cs="宋体"/>
        </w:rPr>
        <w:t>询问、质疑和投诉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_Toc14397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_Toc20301 </w:instrText>
      </w:r>
      <w:r>
        <w:rPr>
          <w:rFonts w:hint="eastAsia" w:ascii="宋体" w:hAnsi="宋体" w:cs="宋体"/>
          <w:szCs w:val="21"/>
        </w:rPr>
        <w:fldChar w:fldCharType="separate"/>
      </w:r>
      <w:r>
        <w:rPr>
          <w:rFonts w:hint="eastAsia" w:ascii="宋体" w:hAnsi="宋体" w:cs="宋体"/>
        </w:rPr>
        <w:t>十、其  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_Toc20301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szCs w:val="21"/>
        </w:rPr>
        <w:fldChar w:fldCharType="end"/>
      </w:r>
    </w:p>
    <w:p>
      <w:pPr>
        <w:pStyle w:val="23"/>
        <w:tabs>
          <w:tab w:val="right" w:leader="dot" w:pos="9639"/>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_Toc32083 </w:instrText>
      </w:r>
      <w:r>
        <w:rPr>
          <w:rFonts w:hint="eastAsia" w:ascii="宋体" w:hAnsi="宋体" w:eastAsia="宋体" w:cs="宋体"/>
          <w:szCs w:val="21"/>
        </w:rPr>
        <w:fldChar w:fldCharType="separate"/>
      </w:r>
      <w:r>
        <w:rPr>
          <w:rFonts w:hint="eastAsia" w:ascii="宋体" w:hAnsi="宋体" w:eastAsia="宋体" w:cs="宋体"/>
        </w:rPr>
        <w:t>第三章  供应商的资格条件要求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_Toc32083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_Toc13010 </w:instrText>
      </w:r>
      <w:r>
        <w:rPr>
          <w:rFonts w:hint="eastAsia" w:ascii="宋体" w:hAnsi="宋体" w:cs="宋体"/>
          <w:szCs w:val="21"/>
        </w:rPr>
        <w:fldChar w:fldCharType="separate"/>
      </w:r>
      <w:r>
        <w:rPr>
          <w:rFonts w:hint="eastAsia" w:ascii="宋体" w:hAnsi="宋体" w:cs="宋体"/>
          <w:szCs w:val="28"/>
        </w:rPr>
        <w:t>一、供应商资格、资质性要求：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_Toc13010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_Toc18447 </w:instrText>
      </w:r>
      <w:r>
        <w:rPr>
          <w:rFonts w:hint="eastAsia" w:ascii="宋体" w:hAnsi="宋体" w:cs="宋体"/>
          <w:szCs w:val="21"/>
        </w:rPr>
        <w:fldChar w:fldCharType="separate"/>
      </w:r>
      <w:r>
        <w:rPr>
          <w:rFonts w:hint="eastAsia" w:ascii="宋体" w:hAnsi="宋体" w:cs="宋体"/>
          <w:szCs w:val="28"/>
        </w:rPr>
        <w:t>二、其他类似效力要求：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_Toc18447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szCs w:val="21"/>
        </w:rPr>
        <w:fldChar w:fldCharType="end"/>
      </w:r>
    </w:p>
    <w:p>
      <w:pPr>
        <w:pStyle w:val="23"/>
        <w:tabs>
          <w:tab w:val="right" w:leader="dot" w:pos="9639"/>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_Toc18907 </w:instrText>
      </w:r>
      <w:r>
        <w:rPr>
          <w:rFonts w:hint="eastAsia" w:ascii="宋体" w:hAnsi="宋体" w:eastAsia="宋体" w:cs="宋体"/>
          <w:szCs w:val="21"/>
        </w:rPr>
        <w:fldChar w:fldCharType="separate"/>
      </w:r>
      <w:r>
        <w:rPr>
          <w:rFonts w:hint="eastAsia" w:ascii="宋体" w:hAnsi="宋体" w:eastAsia="宋体" w:cs="宋体"/>
        </w:rPr>
        <w:t>第四章  供应商应当提供的资格、资质性及其他类似效力要求的相关证明材料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_Toc18907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_Toc6104 </w:instrText>
      </w:r>
      <w:r>
        <w:rPr>
          <w:rFonts w:hint="eastAsia" w:ascii="宋体" w:hAnsi="宋体" w:cs="宋体"/>
          <w:szCs w:val="21"/>
        </w:rPr>
        <w:fldChar w:fldCharType="separate"/>
      </w:r>
      <w:r>
        <w:rPr>
          <w:rFonts w:hint="eastAsia" w:ascii="宋体" w:hAnsi="宋体" w:cs="宋体"/>
          <w:szCs w:val="28"/>
        </w:rPr>
        <w:t>一、供应商应提交的资格、资质性证明材料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_Toc6104 \h </w:instrText>
      </w:r>
      <w:r>
        <w:rPr>
          <w:rFonts w:hint="eastAsia" w:ascii="宋体" w:hAnsi="宋体" w:cs="宋体"/>
        </w:rPr>
        <w:fldChar w:fldCharType="separate"/>
      </w:r>
      <w:r>
        <w:rPr>
          <w:rFonts w:hint="eastAsia" w:ascii="宋体" w:hAnsi="宋体" w:cs="宋体"/>
        </w:rPr>
        <w:t>21</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_Toc11249 </w:instrText>
      </w:r>
      <w:r>
        <w:rPr>
          <w:rFonts w:hint="eastAsia" w:ascii="宋体" w:hAnsi="宋体" w:cs="宋体"/>
          <w:szCs w:val="21"/>
        </w:rPr>
        <w:fldChar w:fldCharType="separate"/>
      </w:r>
      <w:r>
        <w:rPr>
          <w:rFonts w:hint="eastAsia" w:ascii="宋体" w:hAnsi="宋体" w:cs="宋体"/>
          <w:szCs w:val="28"/>
        </w:rPr>
        <w:t>二、其他类似效力要求相关证明材料：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_Toc11249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szCs w:val="21"/>
        </w:rPr>
        <w:fldChar w:fldCharType="end"/>
      </w:r>
    </w:p>
    <w:p>
      <w:pPr>
        <w:pStyle w:val="23"/>
        <w:tabs>
          <w:tab w:val="right" w:leader="dot" w:pos="9639"/>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_Toc19688 </w:instrText>
      </w:r>
      <w:r>
        <w:rPr>
          <w:rFonts w:hint="eastAsia" w:ascii="宋体" w:hAnsi="宋体" w:eastAsia="宋体" w:cs="宋体"/>
          <w:szCs w:val="21"/>
        </w:rPr>
        <w:fldChar w:fldCharType="separate"/>
      </w:r>
      <w:r>
        <w:rPr>
          <w:rFonts w:hint="eastAsia" w:ascii="宋体" w:hAnsi="宋体" w:eastAsia="宋体" w:cs="宋体"/>
        </w:rPr>
        <w:t>第五章  采购项目技术、服务、采购合同内容条款及商务要求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_Toc19688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_Toc3051 </w:instrText>
      </w:r>
      <w:r>
        <w:rPr>
          <w:rFonts w:hint="eastAsia" w:ascii="宋体" w:hAnsi="宋体" w:cs="宋体"/>
          <w:szCs w:val="21"/>
        </w:rPr>
        <w:fldChar w:fldCharType="separate"/>
      </w:r>
      <w:r>
        <w:rPr>
          <w:rFonts w:hint="eastAsia" w:ascii="宋体" w:hAnsi="宋体" w:cs="宋体"/>
          <w:bCs/>
          <w:kern w:val="0"/>
          <w:szCs w:val="21"/>
          <w:lang w:bidi="ar"/>
        </w:rPr>
        <w:t>一、项目概述</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_Toc3051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_Toc31770 </w:instrText>
      </w:r>
      <w:r>
        <w:rPr>
          <w:rFonts w:hint="eastAsia" w:ascii="宋体" w:hAnsi="宋体" w:cs="宋体"/>
          <w:szCs w:val="21"/>
        </w:rPr>
        <w:fldChar w:fldCharType="separate"/>
      </w:r>
      <w:r>
        <w:rPr>
          <w:rFonts w:hint="eastAsia" w:ascii="宋体" w:hAnsi="宋体" w:cs="宋体"/>
          <w:bCs/>
          <w:kern w:val="0"/>
          <w:szCs w:val="21"/>
          <w:lang w:bidi="ar"/>
        </w:rPr>
        <w:t>二、服务内容及要求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_Toc31770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_Toc11029 </w:instrText>
      </w:r>
      <w:r>
        <w:rPr>
          <w:rFonts w:hint="eastAsia" w:ascii="宋体" w:hAnsi="宋体" w:cs="宋体"/>
          <w:szCs w:val="21"/>
        </w:rPr>
        <w:fldChar w:fldCharType="separate"/>
      </w:r>
      <w:r>
        <w:rPr>
          <w:rFonts w:hint="eastAsia" w:ascii="宋体" w:hAnsi="宋体" w:cs="宋体"/>
          <w:bCs/>
          <w:kern w:val="0"/>
          <w:szCs w:val="21"/>
          <w:lang w:bidi="ar"/>
        </w:rPr>
        <w:t>（1）第一包</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_Toc11029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_Toc18942 </w:instrText>
      </w:r>
      <w:r>
        <w:rPr>
          <w:rFonts w:hint="eastAsia" w:ascii="宋体" w:hAnsi="宋体" w:cs="宋体"/>
          <w:szCs w:val="21"/>
        </w:rPr>
        <w:fldChar w:fldCharType="separate"/>
      </w:r>
      <w:r>
        <w:rPr>
          <w:rFonts w:hint="eastAsia" w:ascii="宋体" w:hAnsi="宋体" w:cs="宋体"/>
          <w:bCs/>
          <w:kern w:val="0"/>
          <w:szCs w:val="21"/>
          <w:lang w:bidi="ar"/>
        </w:rPr>
        <w:t>（2）第二包</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_Toc18942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_Toc10857 </w:instrText>
      </w:r>
      <w:r>
        <w:rPr>
          <w:rFonts w:hint="eastAsia" w:ascii="宋体" w:hAnsi="宋体" w:cs="宋体"/>
          <w:szCs w:val="21"/>
        </w:rPr>
        <w:fldChar w:fldCharType="separate"/>
      </w:r>
      <w:r>
        <w:rPr>
          <w:rFonts w:hint="eastAsia" w:ascii="宋体" w:hAnsi="宋体" w:cs="宋体"/>
          <w:bCs/>
          <w:kern w:val="0"/>
          <w:szCs w:val="21"/>
          <w:lang w:bidi="ar"/>
        </w:rPr>
        <w:t>★三、商务要求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_Toc10857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szCs w:val="21"/>
        </w:rPr>
        <w:fldChar w:fldCharType="end"/>
      </w:r>
    </w:p>
    <w:p>
      <w:pPr>
        <w:pStyle w:val="23"/>
        <w:tabs>
          <w:tab w:val="right" w:leader="dot" w:pos="9639"/>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_Toc20388 </w:instrText>
      </w:r>
      <w:r>
        <w:rPr>
          <w:rFonts w:hint="eastAsia" w:ascii="宋体" w:hAnsi="宋体" w:eastAsia="宋体" w:cs="宋体"/>
          <w:szCs w:val="21"/>
        </w:rPr>
        <w:fldChar w:fldCharType="separate"/>
      </w:r>
      <w:r>
        <w:rPr>
          <w:rFonts w:hint="eastAsia" w:ascii="宋体" w:hAnsi="宋体" w:eastAsia="宋体" w:cs="宋体"/>
        </w:rPr>
        <w:t>第六章  磋商内容、磋商过程中可实质性变动的内容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_Toc20388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21"/>
        </w:rPr>
        <w:fldChar w:fldCharType="end"/>
      </w:r>
    </w:p>
    <w:p>
      <w:pPr>
        <w:pStyle w:val="23"/>
        <w:tabs>
          <w:tab w:val="right" w:leader="dot" w:pos="9639"/>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_Toc21168 </w:instrText>
      </w:r>
      <w:r>
        <w:rPr>
          <w:rFonts w:hint="eastAsia" w:ascii="宋体" w:hAnsi="宋体" w:eastAsia="宋体" w:cs="宋体"/>
          <w:szCs w:val="21"/>
        </w:rPr>
        <w:fldChar w:fldCharType="separate"/>
      </w:r>
      <w:r>
        <w:rPr>
          <w:rFonts w:hint="eastAsia" w:ascii="宋体" w:hAnsi="宋体" w:eastAsia="宋体" w:cs="宋体"/>
        </w:rPr>
        <w:t>第七章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_Toc21168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_Toc24262 </w:instrText>
      </w:r>
      <w:r>
        <w:rPr>
          <w:rFonts w:hint="eastAsia" w:ascii="宋体" w:hAnsi="宋体" w:cs="宋体"/>
          <w:szCs w:val="21"/>
        </w:rPr>
        <w:fldChar w:fldCharType="separate"/>
      </w:r>
      <w:r>
        <w:rPr>
          <w:rFonts w:hint="eastAsia" w:ascii="宋体" w:hAnsi="宋体" w:cs="宋体"/>
        </w:rPr>
        <w:t>第一部分 资格性响应文件（格式）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_Toc24262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_Toc29316 </w:instrText>
      </w:r>
      <w:r>
        <w:rPr>
          <w:rFonts w:hint="eastAsia" w:ascii="宋体" w:hAnsi="宋体" w:cs="宋体"/>
          <w:szCs w:val="21"/>
        </w:rPr>
        <w:fldChar w:fldCharType="separate"/>
      </w:r>
      <w:r>
        <w:rPr>
          <w:rFonts w:hint="eastAsia" w:ascii="宋体" w:hAnsi="宋体" w:cs="宋体"/>
        </w:rPr>
        <w:t>一、法定代表人授权书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_Toc29316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_Toc26679 </w:instrText>
      </w:r>
      <w:r>
        <w:rPr>
          <w:rFonts w:hint="eastAsia" w:ascii="宋体" w:hAnsi="宋体" w:cs="宋体"/>
          <w:szCs w:val="21"/>
        </w:rPr>
        <w:fldChar w:fldCharType="separate"/>
      </w:r>
      <w:r>
        <w:rPr>
          <w:rFonts w:hint="eastAsia" w:ascii="宋体" w:hAnsi="宋体" w:cs="宋体"/>
        </w:rPr>
        <w:t>一、法定代表人身份证明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_Toc26679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_Toc10634 </w:instrText>
      </w:r>
      <w:r>
        <w:rPr>
          <w:rFonts w:hint="eastAsia" w:ascii="宋体" w:hAnsi="宋体" w:cs="宋体"/>
          <w:szCs w:val="21"/>
        </w:rPr>
        <w:fldChar w:fldCharType="separate"/>
      </w:r>
      <w:r>
        <w:rPr>
          <w:rFonts w:hint="eastAsia" w:ascii="宋体" w:hAnsi="宋体" w:cs="宋体"/>
        </w:rPr>
        <w:t>二、承诺函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_Toc10634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_Toc7866 </w:instrText>
      </w:r>
      <w:r>
        <w:rPr>
          <w:rFonts w:hint="eastAsia" w:ascii="宋体" w:hAnsi="宋体" w:cs="宋体"/>
          <w:szCs w:val="21"/>
        </w:rPr>
        <w:fldChar w:fldCharType="separate"/>
      </w:r>
      <w:r>
        <w:rPr>
          <w:rFonts w:hint="eastAsia" w:ascii="宋体" w:hAnsi="宋体" w:cs="宋体"/>
        </w:rPr>
        <w:t>三、供应商资格、资质性及其他类似效力要求的相关证明材料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_Toc7866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_Toc29281 </w:instrText>
      </w:r>
      <w:r>
        <w:rPr>
          <w:rFonts w:hint="eastAsia" w:ascii="宋体" w:hAnsi="宋体" w:cs="宋体"/>
          <w:szCs w:val="21"/>
        </w:rPr>
        <w:fldChar w:fldCharType="separate"/>
      </w:r>
      <w:r>
        <w:rPr>
          <w:rFonts w:hint="eastAsia" w:ascii="宋体" w:hAnsi="宋体" w:cs="宋体"/>
        </w:rPr>
        <w:t>第二部分 其他响应文件（格式）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_Toc29281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_Toc437 </w:instrText>
      </w:r>
      <w:r>
        <w:rPr>
          <w:rFonts w:hint="eastAsia" w:ascii="宋体" w:hAnsi="宋体" w:cs="宋体"/>
          <w:szCs w:val="21"/>
        </w:rPr>
        <w:fldChar w:fldCharType="separate"/>
      </w:r>
      <w:r>
        <w:rPr>
          <w:rFonts w:hint="eastAsia" w:ascii="宋体" w:hAnsi="宋体" w:cs="宋体"/>
        </w:rPr>
        <w:t>一、报价函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_Toc437 \h </w:instrText>
      </w:r>
      <w:r>
        <w:rPr>
          <w:rFonts w:hint="eastAsia" w:ascii="宋体" w:hAnsi="宋体" w:cs="宋体"/>
        </w:rPr>
        <w:fldChar w:fldCharType="separate"/>
      </w:r>
      <w:r>
        <w:rPr>
          <w:rFonts w:hint="eastAsia" w:ascii="宋体" w:hAnsi="宋体" w:cs="宋体"/>
        </w:rPr>
        <w:t>39</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_Toc2323 </w:instrText>
      </w:r>
      <w:r>
        <w:rPr>
          <w:rFonts w:hint="eastAsia" w:ascii="宋体" w:hAnsi="宋体" w:cs="宋体"/>
          <w:szCs w:val="21"/>
        </w:rPr>
        <w:fldChar w:fldCharType="separate"/>
      </w:r>
      <w:r>
        <w:rPr>
          <w:rFonts w:hint="eastAsia" w:ascii="宋体" w:hAnsi="宋体" w:cs="宋体"/>
        </w:rPr>
        <w:t>二、报价一览表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_Toc2323 \h </w:instrText>
      </w:r>
      <w:r>
        <w:rPr>
          <w:rFonts w:hint="eastAsia" w:ascii="宋体" w:hAnsi="宋体" w:cs="宋体"/>
        </w:rPr>
        <w:fldChar w:fldCharType="separate"/>
      </w:r>
      <w:r>
        <w:rPr>
          <w:rFonts w:hint="eastAsia" w:ascii="宋体" w:hAnsi="宋体" w:cs="宋体"/>
        </w:rPr>
        <w:t>40</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_Toc5722 </w:instrText>
      </w:r>
      <w:r>
        <w:rPr>
          <w:rFonts w:hint="eastAsia" w:ascii="宋体" w:hAnsi="宋体" w:cs="宋体"/>
          <w:szCs w:val="21"/>
        </w:rPr>
        <w:fldChar w:fldCharType="separate"/>
      </w:r>
      <w:r>
        <w:rPr>
          <w:rFonts w:hint="eastAsia" w:ascii="宋体" w:hAnsi="宋体" w:cs="宋体"/>
        </w:rPr>
        <w:t>三、承诺函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_Toc5722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_Toc31248 </w:instrText>
      </w:r>
      <w:r>
        <w:rPr>
          <w:rFonts w:hint="eastAsia" w:ascii="宋体" w:hAnsi="宋体" w:cs="宋体"/>
          <w:szCs w:val="21"/>
        </w:rPr>
        <w:fldChar w:fldCharType="separate"/>
      </w:r>
      <w:r>
        <w:rPr>
          <w:rFonts w:hint="eastAsia" w:ascii="宋体" w:hAnsi="宋体" w:cs="宋体"/>
        </w:rPr>
        <w:t>四、服务方案</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_Toc31248 \h </w:instrText>
      </w:r>
      <w:r>
        <w:rPr>
          <w:rFonts w:hint="eastAsia" w:ascii="宋体" w:hAnsi="宋体" w:cs="宋体"/>
        </w:rPr>
        <w:fldChar w:fldCharType="separate"/>
      </w:r>
      <w:r>
        <w:rPr>
          <w:rFonts w:hint="eastAsia" w:ascii="宋体" w:hAnsi="宋体" w:cs="宋体"/>
        </w:rPr>
        <w:t>42</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_Toc2877 </w:instrText>
      </w:r>
      <w:r>
        <w:rPr>
          <w:rFonts w:hint="eastAsia" w:ascii="宋体" w:hAnsi="宋体" w:cs="宋体"/>
          <w:szCs w:val="21"/>
        </w:rPr>
        <w:fldChar w:fldCharType="separate"/>
      </w:r>
      <w:r>
        <w:rPr>
          <w:rFonts w:hint="eastAsia" w:ascii="宋体" w:hAnsi="宋体" w:cs="宋体"/>
        </w:rPr>
        <w:t>五、供应商基本情况表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_Toc2877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_Toc17912 </w:instrText>
      </w:r>
      <w:r>
        <w:rPr>
          <w:rFonts w:hint="eastAsia" w:ascii="宋体" w:hAnsi="宋体" w:cs="宋体"/>
          <w:szCs w:val="21"/>
        </w:rPr>
        <w:fldChar w:fldCharType="separate"/>
      </w:r>
      <w:r>
        <w:rPr>
          <w:rFonts w:hint="eastAsia" w:ascii="宋体" w:hAnsi="宋体" w:cs="宋体"/>
        </w:rPr>
        <w:t>六、中小企业声明函（服务）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_Toc17912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_Toc8561 </w:instrText>
      </w:r>
      <w:r>
        <w:rPr>
          <w:rFonts w:hint="eastAsia" w:ascii="宋体" w:hAnsi="宋体" w:cs="宋体"/>
          <w:szCs w:val="21"/>
        </w:rPr>
        <w:fldChar w:fldCharType="separate"/>
      </w:r>
      <w:r>
        <w:rPr>
          <w:rFonts w:hint="eastAsia" w:ascii="宋体" w:hAnsi="宋体" w:cs="宋体"/>
        </w:rPr>
        <w:t>七、残疾人福利性单位声明函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_Toc8561 \h </w:instrText>
      </w:r>
      <w:r>
        <w:rPr>
          <w:rFonts w:hint="eastAsia" w:ascii="宋体" w:hAnsi="宋体" w:cs="宋体"/>
        </w:rPr>
        <w:fldChar w:fldCharType="separate"/>
      </w:r>
      <w:r>
        <w:rPr>
          <w:rFonts w:hint="eastAsia" w:ascii="宋体" w:hAnsi="宋体" w:cs="宋体"/>
        </w:rPr>
        <w:t>45</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_Toc10431 </w:instrText>
      </w:r>
      <w:r>
        <w:rPr>
          <w:rFonts w:hint="eastAsia" w:ascii="宋体" w:hAnsi="宋体" w:cs="宋体"/>
          <w:szCs w:val="21"/>
        </w:rPr>
        <w:fldChar w:fldCharType="separate"/>
      </w:r>
      <w:r>
        <w:rPr>
          <w:rFonts w:hint="eastAsia" w:ascii="宋体" w:hAnsi="宋体" w:cs="宋体"/>
        </w:rPr>
        <w:t>八、监狱企业相关证明材料（如涉及）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_Toc10431 \h </w:instrText>
      </w:r>
      <w:r>
        <w:rPr>
          <w:rFonts w:hint="eastAsia" w:ascii="宋体" w:hAnsi="宋体" w:cs="宋体"/>
        </w:rPr>
        <w:fldChar w:fldCharType="separate"/>
      </w:r>
      <w:r>
        <w:rPr>
          <w:rFonts w:hint="eastAsia" w:ascii="宋体" w:hAnsi="宋体" w:cs="宋体"/>
        </w:rPr>
        <w:t>46</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_Toc20376 </w:instrText>
      </w:r>
      <w:r>
        <w:rPr>
          <w:rFonts w:hint="eastAsia" w:ascii="宋体" w:hAnsi="宋体" w:cs="宋体"/>
          <w:szCs w:val="21"/>
        </w:rPr>
        <w:fldChar w:fldCharType="separate"/>
      </w:r>
      <w:r>
        <w:rPr>
          <w:rFonts w:hint="eastAsia" w:ascii="宋体" w:hAnsi="宋体" w:cs="宋体"/>
        </w:rPr>
        <w:t>九、技术、服务要求应答表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_Toc20376 \h </w:instrText>
      </w:r>
      <w:r>
        <w:rPr>
          <w:rFonts w:hint="eastAsia" w:ascii="宋体" w:hAnsi="宋体" w:cs="宋体"/>
        </w:rPr>
        <w:fldChar w:fldCharType="separate"/>
      </w:r>
      <w:r>
        <w:rPr>
          <w:rFonts w:hint="eastAsia" w:ascii="宋体" w:hAnsi="宋体" w:cs="宋体"/>
        </w:rPr>
        <w:t>47</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_Toc18164 </w:instrText>
      </w:r>
      <w:r>
        <w:rPr>
          <w:rFonts w:hint="eastAsia" w:ascii="宋体" w:hAnsi="宋体" w:cs="宋体"/>
          <w:szCs w:val="21"/>
        </w:rPr>
        <w:fldChar w:fldCharType="separate"/>
      </w:r>
      <w:r>
        <w:rPr>
          <w:rFonts w:hint="eastAsia" w:ascii="宋体" w:hAnsi="宋体" w:cs="宋体"/>
        </w:rPr>
        <w:t>十、商务应答表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_Toc18164 \h </w:instrText>
      </w:r>
      <w:r>
        <w:rPr>
          <w:rFonts w:hint="eastAsia" w:ascii="宋体" w:hAnsi="宋体" w:cs="宋体"/>
        </w:rPr>
        <w:fldChar w:fldCharType="separate"/>
      </w:r>
      <w:r>
        <w:rPr>
          <w:rFonts w:hint="eastAsia" w:ascii="宋体" w:hAnsi="宋体" w:cs="宋体"/>
        </w:rPr>
        <w:t>48</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_Toc30361 </w:instrText>
      </w:r>
      <w:r>
        <w:rPr>
          <w:rFonts w:hint="eastAsia" w:ascii="宋体" w:hAnsi="宋体" w:cs="宋体"/>
          <w:szCs w:val="21"/>
        </w:rPr>
        <w:fldChar w:fldCharType="separate"/>
      </w:r>
      <w:r>
        <w:rPr>
          <w:rFonts w:hint="eastAsia" w:ascii="宋体" w:hAnsi="宋体" w:cs="宋体"/>
        </w:rPr>
        <w:t>十一、供应商类似项目业绩一览表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_Toc30361 \h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_Toc23085 </w:instrText>
      </w:r>
      <w:r>
        <w:rPr>
          <w:rFonts w:hint="eastAsia" w:ascii="宋体" w:hAnsi="宋体" w:cs="宋体"/>
          <w:szCs w:val="21"/>
        </w:rPr>
        <w:fldChar w:fldCharType="separate"/>
      </w:r>
      <w:r>
        <w:rPr>
          <w:rFonts w:hint="eastAsia" w:ascii="宋体" w:hAnsi="宋体" w:cs="宋体"/>
        </w:rPr>
        <w:t>十二、供应商本项目管理、技术、服务人员情况表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_Toc23085 \h </w:instrText>
      </w:r>
      <w:r>
        <w:rPr>
          <w:rFonts w:hint="eastAsia" w:ascii="宋体" w:hAnsi="宋体" w:cs="宋体"/>
        </w:rPr>
        <w:fldChar w:fldCharType="separate"/>
      </w:r>
      <w:r>
        <w:rPr>
          <w:rFonts w:hint="eastAsia" w:ascii="宋体" w:hAnsi="宋体" w:cs="宋体"/>
        </w:rPr>
        <w:t>50</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_Toc31956 </w:instrText>
      </w:r>
      <w:r>
        <w:rPr>
          <w:rFonts w:hint="eastAsia" w:ascii="宋体" w:hAnsi="宋体" w:cs="宋体"/>
          <w:szCs w:val="21"/>
        </w:rPr>
        <w:fldChar w:fldCharType="separate"/>
      </w:r>
      <w:r>
        <w:rPr>
          <w:rFonts w:hint="eastAsia" w:ascii="宋体" w:hAnsi="宋体" w:cs="宋体"/>
        </w:rPr>
        <w:t>十三、供应商诚信情况承诺函</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_Toc31956 \h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_Toc32233 </w:instrText>
      </w:r>
      <w:r>
        <w:rPr>
          <w:rFonts w:hint="eastAsia" w:ascii="宋体" w:hAnsi="宋体" w:cs="宋体"/>
          <w:szCs w:val="21"/>
        </w:rPr>
        <w:fldChar w:fldCharType="separate"/>
      </w:r>
      <w:r>
        <w:rPr>
          <w:rFonts w:hint="eastAsia" w:ascii="宋体" w:hAnsi="宋体" w:cs="宋体"/>
        </w:rPr>
        <w:t>十四、磋商文件要求的其他资料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_Toc32233 \h </w:instrText>
      </w:r>
      <w:r>
        <w:rPr>
          <w:rFonts w:hint="eastAsia" w:ascii="宋体" w:hAnsi="宋体" w:cs="宋体"/>
        </w:rPr>
        <w:fldChar w:fldCharType="separate"/>
      </w:r>
      <w:r>
        <w:rPr>
          <w:rFonts w:hint="eastAsia" w:ascii="宋体" w:hAnsi="宋体" w:cs="宋体"/>
        </w:rPr>
        <w:t>52</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_Toc3073 </w:instrText>
      </w:r>
      <w:r>
        <w:rPr>
          <w:rFonts w:hint="eastAsia" w:ascii="宋体" w:hAnsi="宋体" w:cs="宋体"/>
          <w:szCs w:val="21"/>
        </w:rPr>
        <w:fldChar w:fldCharType="separate"/>
      </w:r>
      <w:r>
        <w:rPr>
          <w:rFonts w:hint="eastAsia" w:ascii="宋体" w:hAnsi="宋体" w:cs="宋体"/>
        </w:rPr>
        <w:t>十五、最终报价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_Toc3073 \h </w:instrText>
      </w:r>
      <w:r>
        <w:rPr>
          <w:rFonts w:hint="eastAsia" w:ascii="宋体" w:hAnsi="宋体" w:cs="宋体"/>
        </w:rPr>
        <w:fldChar w:fldCharType="separate"/>
      </w:r>
      <w:r>
        <w:rPr>
          <w:rFonts w:hint="eastAsia" w:ascii="宋体" w:hAnsi="宋体" w:cs="宋体"/>
        </w:rPr>
        <w:t>53</w:t>
      </w:r>
      <w:r>
        <w:rPr>
          <w:rFonts w:hint="eastAsia" w:ascii="宋体" w:hAnsi="宋体" w:cs="宋体"/>
        </w:rPr>
        <w:fldChar w:fldCharType="end"/>
      </w:r>
      <w:r>
        <w:rPr>
          <w:rFonts w:hint="eastAsia" w:ascii="宋体" w:hAnsi="宋体" w:cs="宋体"/>
          <w:szCs w:val="21"/>
        </w:rPr>
        <w:fldChar w:fldCharType="end"/>
      </w:r>
    </w:p>
    <w:p>
      <w:pPr>
        <w:pStyle w:val="23"/>
        <w:tabs>
          <w:tab w:val="right" w:leader="dot" w:pos="9639"/>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_Toc2146 </w:instrText>
      </w:r>
      <w:r>
        <w:rPr>
          <w:rFonts w:hint="eastAsia" w:ascii="宋体" w:hAnsi="宋体" w:eastAsia="宋体" w:cs="宋体"/>
          <w:szCs w:val="21"/>
        </w:rPr>
        <w:fldChar w:fldCharType="separate"/>
      </w:r>
      <w:r>
        <w:rPr>
          <w:rFonts w:hint="eastAsia" w:ascii="宋体" w:hAnsi="宋体" w:eastAsia="宋体" w:cs="宋体"/>
        </w:rPr>
        <w:t>第八章  评审方法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_Toc2146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_Toc20270 </w:instrText>
      </w:r>
      <w:r>
        <w:rPr>
          <w:rFonts w:hint="eastAsia" w:ascii="宋体" w:hAnsi="宋体" w:cs="宋体"/>
          <w:szCs w:val="21"/>
        </w:rPr>
        <w:fldChar w:fldCharType="separate"/>
      </w:r>
      <w:r>
        <w:rPr>
          <w:rFonts w:hint="eastAsia" w:ascii="宋体" w:hAnsi="宋体" w:cs="宋体"/>
          <w:szCs w:val="24"/>
        </w:rPr>
        <w:t>1.总则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_Toc20270 \h </w:instrText>
      </w:r>
      <w:r>
        <w:rPr>
          <w:rFonts w:hint="eastAsia" w:ascii="宋体" w:hAnsi="宋体" w:cs="宋体"/>
        </w:rPr>
        <w:fldChar w:fldCharType="separate"/>
      </w:r>
      <w:r>
        <w:rPr>
          <w:rFonts w:hint="eastAsia" w:ascii="宋体" w:hAnsi="宋体" w:cs="宋体"/>
        </w:rPr>
        <w:t>54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_Toc30511 </w:instrText>
      </w:r>
      <w:r>
        <w:rPr>
          <w:rFonts w:hint="eastAsia" w:ascii="宋体" w:hAnsi="宋体" w:cs="宋体"/>
          <w:szCs w:val="21"/>
        </w:rPr>
        <w:fldChar w:fldCharType="separate"/>
      </w:r>
      <w:r>
        <w:rPr>
          <w:rFonts w:hint="eastAsia" w:ascii="宋体" w:hAnsi="宋体" w:cs="宋体"/>
          <w:szCs w:val="24"/>
        </w:rPr>
        <w:t>2.磋商程序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_Toc30511 \h </w:instrText>
      </w:r>
      <w:r>
        <w:rPr>
          <w:rFonts w:hint="eastAsia" w:ascii="宋体" w:hAnsi="宋体" w:cs="宋体"/>
        </w:rPr>
        <w:fldChar w:fldCharType="separate"/>
      </w:r>
      <w:r>
        <w:rPr>
          <w:rFonts w:hint="eastAsia" w:ascii="宋体" w:hAnsi="宋体" w:cs="宋体"/>
        </w:rPr>
        <w:t>54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_Toc14702 </w:instrText>
      </w:r>
      <w:r>
        <w:rPr>
          <w:rFonts w:hint="eastAsia" w:ascii="宋体" w:hAnsi="宋体" w:cs="宋体"/>
          <w:szCs w:val="21"/>
        </w:rPr>
        <w:fldChar w:fldCharType="separate"/>
      </w:r>
      <w:r>
        <w:rPr>
          <w:rFonts w:hint="eastAsia" w:ascii="宋体" w:hAnsi="宋体" w:cs="宋体"/>
          <w:szCs w:val="24"/>
        </w:rPr>
        <w:t>3.综合评分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_Toc14702 \h </w:instrText>
      </w:r>
      <w:r>
        <w:rPr>
          <w:rFonts w:hint="eastAsia" w:ascii="宋体" w:hAnsi="宋体" w:cs="宋体"/>
        </w:rPr>
        <w:fldChar w:fldCharType="separate"/>
      </w:r>
      <w:r>
        <w:rPr>
          <w:rFonts w:hint="eastAsia" w:ascii="宋体" w:hAnsi="宋体" w:cs="宋体"/>
        </w:rPr>
        <w:t>59</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_Toc30110 </w:instrText>
      </w:r>
      <w:r>
        <w:rPr>
          <w:rFonts w:hint="eastAsia" w:ascii="宋体" w:hAnsi="宋体" w:cs="宋体"/>
          <w:szCs w:val="21"/>
        </w:rPr>
        <w:fldChar w:fldCharType="separate"/>
      </w:r>
      <w:r>
        <w:rPr>
          <w:rFonts w:hint="eastAsia" w:ascii="宋体" w:hAnsi="宋体" w:cs="宋体"/>
          <w:szCs w:val="24"/>
        </w:rPr>
        <w:t>4.磋商纪律及注意事项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_Toc30110 \h </w:instrText>
      </w:r>
      <w:r>
        <w:rPr>
          <w:rFonts w:hint="eastAsia" w:ascii="宋体" w:hAnsi="宋体" w:cs="宋体"/>
        </w:rPr>
        <w:fldChar w:fldCharType="separate"/>
      </w:r>
      <w:r>
        <w:rPr>
          <w:rFonts w:hint="eastAsia" w:ascii="宋体" w:hAnsi="宋体" w:cs="宋体"/>
        </w:rPr>
        <w:t>62</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_Toc25398 </w:instrText>
      </w:r>
      <w:r>
        <w:rPr>
          <w:rFonts w:hint="eastAsia" w:ascii="宋体" w:hAnsi="宋体" w:cs="宋体"/>
          <w:szCs w:val="21"/>
        </w:rPr>
        <w:fldChar w:fldCharType="separate"/>
      </w:r>
      <w:r>
        <w:rPr>
          <w:rFonts w:hint="eastAsia" w:ascii="宋体" w:hAnsi="宋体" w:cs="宋体"/>
          <w:szCs w:val="24"/>
        </w:rPr>
        <w:t>5.磋商小组在</w:t>
      </w:r>
      <w:r>
        <w:rPr>
          <w:rFonts w:hint="eastAsia" w:ascii="宋体" w:hAnsi="宋体" w:cs="宋体"/>
          <w:szCs w:val="24"/>
          <w:lang w:eastAsia="zh-CN"/>
        </w:rPr>
        <w:t>政府</w:t>
      </w:r>
      <w:r>
        <w:rPr>
          <w:rFonts w:hint="eastAsia" w:ascii="宋体" w:hAnsi="宋体" w:cs="宋体"/>
          <w:szCs w:val="24"/>
        </w:rPr>
        <w:t>采购活动中承担以下义务：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_Toc25398 \h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_Toc14931 </w:instrText>
      </w:r>
      <w:r>
        <w:rPr>
          <w:rFonts w:hint="eastAsia" w:ascii="宋体" w:hAnsi="宋体" w:cs="宋体"/>
          <w:szCs w:val="21"/>
        </w:rPr>
        <w:fldChar w:fldCharType="separate"/>
      </w:r>
      <w:r>
        <w:rPr>
          <w:rFonts w:hint="eastAsia" w:ascii="宋体" w:hAnsi="宋体" w:cs="宋体"/>
          <w:szCs w:val="24"/>
        </w:rPr>
        <w:t>6.评审专家在</w:t>
      </w:r>
      <w:r>
        <w:rPr>
          <w:rFonts w:hint="eastAsia" w:ascii="宋体" w:hAnsi="宋体" w:cs="宋体"/>
          <w:szCs w:val="24"/>
          <w:lang w:eastAsia="zh-CN"/>
        </w:rPr>
        <w:t>政府</w:t>
      </w:r>
      <w:r>
        <w:rPr>
          <w:rFonts w:hint="eastAsia" w:ascii="宋体" w:hAnsi="宋体" w:cs="宋体"/>
          <w:szCs w:val="24"/>
        </w:rPr>
        <w:t>采购活动中应当遵守以下工作纪律：</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_Toc14931 \h </w:instrText>
      </w:r>
      <w:r>
        <w:rPr>
          <w:rFonts w:hint="eastAsia" w:ascii="宋体" w:hAnsi="宋体" w:cs="宋体"/>
        </w:rPr>
        <w:fldChar w:fldCharType="separate"/>
      </w:r>
      <w:r>
        <w:rPr>
          <w:rFonts w:hint="eastAsia" w:ascii="宋体" w:hAnsi="宋体" w:cs="宋体"/>
        </w:rPr>
        <w:t>63</w:t>
      </w:r>
      <w:r>
        <w:rPr>
          <w:rFonts w:hint="eastAsia" w:ascii="宋体" w:hAnsi="宋体" w:cs="宋体"/>
        </w:rPr>
        <w:fldChar w:fldCharType="end"/>
      </w:r>
      <w:r>
        <w:rPr>
          <w:rFonts w:hint="eastAsia" w:ascii="宋体" w:hAnsi="宋体" w:cs="宋体"/>
          <w:szCs w:val="21"/>
        </w:rPr>
        <w:fldChar w:fldCharType="end"/>
      </w:r>
    </w:p>
    <w:p>
      <w:pPr>
        <w:pStyle w:val="23"/>
        <w:tabs>
          <w:tab w:val="right" w:leader="dot" w:pos="9639"/>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_Toc17589 </w:instrText>
      </w:r>
      <w:r>
        <w:rPr>
          <w:rFonts w:hint="eastAsia" w:ascii="宋体" w:hAnsi="宋体" w:eastAsia="宋体" w:cs="宋体"/>
          <w:szCs w:val="21"/>
        </w:rPr>
        <w:fldChar w:fldCharType="separate"/>
      </w:r>
      <w:r>
        <w:rPr>
          <w:rFonts w:hint="eastAsia" w:ascii="宋体" w:hAnsi="宋体" w:eastAsia="宋体" w:cs="宋体"/>
        </w:rPr>
        <w:t>第九章  采购合同（草案）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_Toc17589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_Toc29036 </w:instrText>
      </w:r>
      <w:r>
        <w:rPr>
          <w:rFonts w:hint="eastAsia" w:ascii="宋体" w:hAnsi="宋体" w:cs="宋体"/>
          <w:szCs w:val="21"/>
        </w:rPr>
        <w:fldChar w:fldCharType="separate"/>
      </w:r>
      <w:r>
        <w:rPr>
          <w:rFonts w:hint="eastAsia" w:ascii="宋体" w:hAnsi="宋体" w:cs="宋体"/>
          <w:szCs w:val="21"/>
        </w:rPr>
        <w:t>第一条 项目基本情况</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_Toc29036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_Toc17310 </w:instrText>
      </w:r>
      <w:r>
        <w:rPr>
          <w:rFonts w:hint="eastAsia" w:ascii="宋体" w:hAnsi="宋体" w:cs="宋体"/>
          <w:szCs w:val="21"/>
        </w:rPr>
        <w:fldChar w:fldCharType="separate"/>
      </w:r>
      <w:r>
        <w:rPr>
          <w:rFonts w:hint="eastAsia" w:ascii="宋体" w:hAnsi="宋体" w:cs="宋体"/>
          <w:szCs w:val="21"/>
        </w:rPr>
        <w:t>第二条 合同期限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_Toc17310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_Toc20537 </w:instrText>
      </w:r>
      <w:r>
        <w:rPr>
          <w:rFonts w:hint="eastAsia" w:ascii="宋体" w:hAnsi="宋体" w:cs="宋体"/>
          <w:szCs w:val="21"/>
        </w:rPr>
        <w:fldChar w:fldCharType="separate"/>
      </w:r>
      <w:r>
        <w:rPr>
          <w:rFonts w:hint="eastAsia" w:ascii="宋体" w:hAnsi="宋体" w:cs="宋体"/>
          <w:szCs w:val="21"/>
        </w:rPr>
        <w:t>第三条 服务内容与质量标准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_Toc20537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_Toc15430 </w:instrText>
      </w:r>
      <w:r>
        <w:rPr>
          <w:rFonts w:hint="eastAsia" w:ascii="宋体" w:hAnsi="宋体" w:cs="宋体"/>
          <w:szCs w:val="21"/>
        </w:rPr>
        <w:fldChar w:fldCharType="separate"/>
      </w:r>
      <w:r>
        <w:rPr>
          <w:rFonts w:hint="eastAsia" w:ascii="宋体" w:hAnsi="宋体" w:cs="宋体"/>
          <w:szCs w:val="21"/>
        </w:rPr>
        <w:t>第四条 服务费用及支付方式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_Toc15430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_Toc12337 </w:instrText>
      </w:r>
      <w:r>
        <w:rPr>
          <w:rFonts w:hint="eastAsia" w:ascii="宋体" w:hAnsi="宋体" w:cs="宋体"/>
          <w:szCs w:val="21"/>
        </w:rPr>
        <w:fldChar w:fldCharType="separate"/>
      </w:r>
      <w:r>
        <w:rPr>
          <w:rFonts w:hint="eastAsia" w:ascii="宋体" w:hAnsi="宋体" w:cs="宋体"/>
          <w:szCs w:val="21"/>
        </w:rPr>
        <w:t>第五条 知识产权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_Toc12337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_Toc9004 </w:instrText>
      </w:r>
      <w:r>
        <w:rPr>
          <w:rFonts w:hint="eastAsia" w:ascii="宋体" w:hAnsi="宋体" w:cs="宋体"/>
          <w:szCs w:val="21"/>
        </w:rPr>
        <w:fldChar w:fldCharType="separate"/>
      </w:r>
      <w:r>
        <w:rPr>
          <w:rFonts w:hint="eastAsia" w:ascii="宋体" w:hAnsi="宋体" w:cs="宋体"/>
          <w:szCs w:val="21"/>
        </w:rPr>
        <w:t>第六条 无产权瑕疵条款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_Toc9004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_Toc14646 </w:instrText>
      </w:r>
      <w:r>
        <w:rPr>
          <w:rFonts w:hint="eastAsia" w:ascii="宋体" w:hAnsi="宋体" w:cs="宋体"/>
          <w:szCs w:val="21"/>
        </w:rPr>
        <w:fldChar w:fldCharType="separate"/>
      </w:r>
      <w:r>
        <w:rPr>
          <w:rFonts w:hint="eastAsia" w:ascii="宋体" w:hAnsi="宋体" w:cs="宋体"/>
          <w:szCs w:val="21"/>
        </w:rPr>
        <w:t>第七条 交付及验收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_Toc14646 \h </w:instrText>
      </w:r>
      <w:r>
        <w:rPr>
          <w:rFonts w:hint="eastAsia" w:ascii="宋体" w:hAnsi="宋体" w:cs="宋体"/>
        </w:rPr>
        <w:fldChar w:fldCharType="separate"/>
      </w:r>
      <w:r>
        <w:rPr>
          <w:rFonts w:hint="eastAsia" w:ascii="宋体" w:hAnsi="宋体" w:cs="宋体"/>
        </w:rPr>
        <w:t>64</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_Toc22685 </w:instrText>
      </w:r>
      <w:r>
        <w:rPr>
          <w:rFonts w:hint="eastAsia" w:ascii="宋体" w:hAnsi="宋体" w:cs="宋体"/>
          <w:szCs w:val="21"/>
        </w:rPr>
        <w:fldChar w:fldCharType="separate"/>
      </w:r>
      <w:r>
        <w:rPr>
          <w:rFonts w:hint="eastAsia" w:ascii="宋体" w:hAnsi="宋体" w:cs="宋体"/>
          <w:szCs w:val="21"/>
        </w:rPr>
        <w:t>第八条 甲方的权利和义务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_Toc22685 \h </w:instrText>
      </w:r>
      <w:r>
        <w:rPr>
          <w:rFonts w:hint="eastAsia" w:ascii="宋体" w:hAnsi="宋体" w:cs="宋体"/>
        </w:rPr>
        <w:fldChar w:fldCharType="separate"/>
      </w:r>
      <w:r>
        <w:rPr>
          <w:rFonts w:hint="eastAsia" w:ascii="宋体" w:hAnsi="宋体" w:cs="宋体"/>
        </w:rPr>
        <w:t>65</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_Toc2694 </w:instrText>
      </w:r>
      <w:r>
        <w:rPr>
          <w:rFonts w:hint="eastAsia" w:ascii="宋体" w:hAnsi="宋体" w:cs="宋体"/>
          <w:szCs w:val="21"/>
        </w:rPr>
        <w:fldChar w:fldCharType="separate"/>
      </w:r>
      <w:r>
        <w:rPr>
          <w:rFonts w:hint="eastAsia" w:ascii="宋体" w:hAnsi="宋体" w:cs="宋体"/>
          <w:szCs w:val="21"/>
        </w:rPr>
        <w:t>第九条 乙方权利和义务</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_Toc2694 \h </w:instrText>
      </w:r>
      <w:r>
        <w:rPr>
          <w:rFonts w:hint="eastAsia" w:ascii="宋体" w:hAnsi="宋体" w:cs="宋体"/>
        </w:rPr>
        <w:fldChar w:fldCharType="separate"/>
      </w:r>
      <w:r>
        <w:rPr>
          <w:rFonts w:hint="eastAsia" w:ascii="宋体" w:hAnsi="宋体" w:cs="宋体"/>
        </w:rPr>
        <w:t>65</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_Toc26205 </w:instrText>
      </w:r>
      <w:r>
        <w:rPr>
          <w:rFonts w:hint="eastAsia" w:ascii="宋体" w:hAnsi="宋体" w:cs="宋体"/>
          <w:szCs w:val="21"/>
        </w:rPr>
        <w:fldChar w:fldCharType="separate"/>
      </w:r>
      <w:r>
        <w:rPr>
          <w:rFonts w:hint="eastAsia" w:ascii="宋体" w:hAnsi="宋体" w:cs="宋体"/>
          <w:szCs w:val="21"/>
        </w:rPr>
        <w:t>第十条 违约责任</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_Toc26205 \h </w:instrText>
      </w:r>
      <w:r>
        <w:rPr>
          <w:rFonts w:hint="eastAsia" w:ascii="宋体" w:hAnsi="宋体" w:cs="宋体"/>
        </w:rPr>
        <w:fldChar w:fldCharType="separate"/>
      </w:r>
      <w:r>
        <w:rPr>
          <w:rFonts w:hint="eastAsia" w:ascii="宋体" w:hAnsi="宋体" w:cs="宋体"/>
        </w:rPr>
        <w:t>65</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_Toc22614 </w:instrText>
      </w:r>
      <w:r>
        <w:rPr>
          <w:rFonts w:hint="eastAsia" w:ascii="宋体" w:hAnsi="宋体" w:cs="宋体"/>
          <w:szCs w:val="21"/>
        </w:rPr>
        <w:fldChar w:fldCharType="separate"/>
      </w:r>
      <w:r>
        <w:rPr>
          <w:rFonts w:hint="eastAsia" w:ascii="宋体" w:hAnsi="宋体" w:cs="宋体"/>
          <w:szCs w:val="21"/>
        </w:rPr>
        <w:t>第十一条 不可抗力事件处理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_Toc22614 \h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_Toc9057 </w:instrText>
      </w:r>
      <w:r>
        <w:rPr>
          <w:rFonts w:hint="eastAsia" w:ascii="宋体" w:hAnsi="宋体" w:cs="宋体"/>
          <w:szCs w:val="21"/>
        </w:rPr>
        <w:fldChar w:fldCharType="separate"/>
      </w:r>
      <w:r>
        <w:rPr>
          <w:rFonts w:hint="eastAsia" w:ascii="宋体" w:hAnsi="宋体" w:cs="宋体"/>
          <w:szCs w:val="21"/>
        </w:rPr>
        <w:t>第十二条 解决合同纠纷的方式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_Toc9057 \h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_Toc2828 </w:instrText>
      </w:r>
      <w:r>
        <w:rPr>
          <w:rFonts w:hint="eastAsia" w:ascii="宋体" w:hAnsi="宋体" w:cs="宋体"/>
          <w:szCs w:val="21"/>
        </w:rPr>
        <w:fldChar w:fldCharType="separate"/>
      </w:r>
      <w:r>
        <w:rPr>
          <w:rFonts w:hint="eastAsia" w:ascii="宋体" w:hAnsi="宋体" w:cs="宋体"/>
          <w:szCs w:val="21"/>
        </w:rPr>
        <w:t>第十三条 合同生效及其他</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_Toc2828 \h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szCs w:val="21"/>
        </w:rPr>
        <w:fldChar w:fldCharType="end"/>
      </w:r>
    </w:p>
    <w:p>
      <w:pPr>
        <w:pStyle w:val="27"/>
        <w:tabs>
          <w:tab w:val="right" w:leader="dot" w:pos="9639"/>
        </w:tabs>
        <w:rPr>
          <w:rFonts w:hint="eastAsia" w:ascii="宋体" w:hAnsi="宋体" w:cs="宋体"/>
        </w:rPr>
      </w:pPr>
      <w:r>
        <w:rPr>
          <w:rFonts w:hint="eastAsia" w:ascii="宋体" w:hAnsi="宋体" w:cs="宋体"/>
          <w:szCs w:val="21"/>
        </w:rPr>
        <w:fldChar w:fldCharType="begin"/>
      </w:r>
      <w:r>
        <w:rPr>
          <w:rFonts w:hint="eastAsia" w:ascii="宋体" w:hAnsi="宋体" w:cs="宋体"/>
          <w:szCs w:val="21"/>
        </w:rPr>
        <w:instrText xml:space="preserve"> HYPERLINK \l _Toc13978 </w:instrText>
      </w:r>
      <w:r>
        <w:rPr>
          <w:rFonts w:hint="eastAsia" w:ascii="宋体" w:hAnsi="宋体" w:cs="宋体"/>
          <w:szCs w:val="21"/>
        </w:rPr>
        <w:fldChar w:fldCharType="separate"/>
      </w:r>
      <w:r>
        <w:rPr>
          <w:rFonts w:hint="eastAsia" w:ascii="宋体" w:hAnsi="宋体" w:cs="宋体"/>
          <w:szCs w:val="21"/>
        </w:rPr>
        <w:t>第十四条 附件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_Toc13978 \h </w:instrText>
      </w:r>
      <w:r>
        <w:rPr>
          <w:rFonts w:hint="eastAsia" w:ascii="宋体" w:hAnsi="宋体" w:cs="宋体"/>
        </w:rPr>
        <w:fldChar w:fldCharType="separate"/>
      </w:r>
      <w:r>
        <w:rPr>
          <w:rFonts w:hint="eastAsia" w:ascii="宋体" w:hAnsi="宋体" w:cs="宋体"/>
        </w:rPr>
        <w:t>66</w:t>
      </w:r>
      <w:r>
        <w:rPr>
          <w:rFonts w:hint="eastAsia" w:ascii="宋体" w:hAnsi="宋体" w:cs="宋体"/>
        </w:rPr>
        <w:fldChar w:fldCharType="end"/>
      </w:r>
      <w:r>
        <w:rPr>
          <w:rFonts w:hint="eastAsia" w:ascii="宋体" w:hAnsi="宋体" w:cs="宋体"/>
          <w:szCs w:val="21"/>
        </w:rPr>
        <w:fldChar w:fldCharType="end"/>
      </w:r>
    </w:p>
    <w:p>
      <w:pPr>
        <w:snapToGrid w:val="0"/>
        <w:spacing w:line="360" w:lineRule="exact"/>
        <w:ind w:right="178" w:rightChars="85"/>
      </w:pPr>
      <w:r>
        <w:rPr>
          <w:rFonts w:hint="eastAsia" w:ascii="宋体" w:hAnsi="宋体" w:cs="宋体"/>
          <w:szCs w:val="21"/>
        </w:rPr>
        <w:fldChar w:fldCharType="end"/>
      </w:r>
    </w:p>
    <w:p>
      <w:pPr>
        <w:spacing w:line="360" w:lineRule="auto"/>
      </w:pPr>
      <w:r>
        <w:rPr>
          <w:rFonts w:hint="eastAsia"/>
        </w:rPr>
        <w:br w:type="page"/>
      </w:r>
    </w:p>
    <w:p>
      <w:pPr>
        <w:pStyle w:val="3"/>
        <w:spacing w:before="0" w:after="62" w:afterLines="20" w:line="360" w:lineRule="auto"/>
      </w:pPr>
      <w:bookmarkStart w:id="4" w:name="_Toc611"/>
      <w:bookmarkStart w:id="5" w:name="_Toc17481"/>
      <w:bookmarkStart w:id="6" w:name="_Toc32082"/>
      <w:bookmarkStart w:id="7" w:name="_Toc15926"/>
      <w:bookmarkStart w:id="8" w:name="_Toc6165"/>
      <w:bookmarkStart w:id="9" w:name="_Toc4006"/>
      <w:bookmarkStart w:id="10" w:name="_Toc4991"/>
      <w:bookmarkStart w:id="11" w:name="_Toc9541"/>
      <w:bookmarkStart w:id="12" w:name="_Toc19626"/>
      <w:r>
        <w:rPr>
          <w:rFonts w:hint="eastAsia"/>
        </w:rPr>
        <w:t>第一章  磋商邀请</w:t>
      </w:r>
      <w:bookmarkEnd w:id="1"/>
      <w:bookmarkEnd w:id="2"/>
      <w:bookmarkEnd w:id="3"/>
      <w:bookmarkEnd w:id="4"/>
      <w:bookmarkEnd w:id="5"/>
      <w:bookmarkEnd w:id="6"/>
      <w:bookmarkEnd w:id="7"/>
      <w:bookmarkEnd w:id="8"/>
      <w:bookmarkEnd w:id="9"/>
      <w:bookmarkEnd w:id="10"/>
      <w:bookmarkEnd w:id="11"/>
      <w:bookmarkEnd w:id="12"/>
    </w:p>
    <w:p>
      <w:pPr>
        <w:snapToGrid w:val="0"/>
        <w:spacing w:line="390" w:lineRule="exact"/>
        <w:ind w:firstLine="420" w:firstLineChars="200"/>
        <w:jc w:val="left"/>
        <w:rPr>
          <w:rFonts w:ascii="宋体" w:hAnsi="宋体" w:cs="宋体"/>
          <w:szCs w:val="21"/>
        </w:rPr>
      </w:pPr>
      <w:r>
        <w:rPr>
          <w:rFonts w:hint="eastAsia" w:ascii="宋体" w:hAnsi="宋体" w:cs="宋体"/>
          <w:szCs w:val="21"/>
          <w:u w:val="single"/>
        </w:rPr>
        <w:t>四川雄烽建设工程管理有限公司</w:t>
      </w:r>
      <w:r>
        <w:rPr>
          <w:rFonts w:hint="eastAsia" w:ascii="宋体" w:hAnsi="宋体" w:cs="宋体"/>
          <w:szCs w:val="21"/>
        </w:rPr>
        <w:t>受</w:t>
      </w:r>
      <w:r>
        <w:rPr>
          <w:rFonts w:hint="eastAsia" w:ascii="宋体" w:hAnsi="宋体" w:cs="宋体"/>
          <w:szCs w:val="21"/>
          <w:u w:val="single"/>
        </w:rPr>
        <w:t>四川天府新区生态环境和城市管理局委</w:t>
      </w:r>
      <w:r>
        <w:rPr>
          <w:rFonts w:hint="eastAsia" w:ascii="宋体" w:hAnsi="宋体" w:cs="宋体"/>
          <w:szCs w:val="21"/>
        </w:rPr>
        <w:t>托，拟对</w:t>
      </w:r>
      <w:bookmarkStart w:id="13" w:name="PO_默认文件内容_1"/>
      <w:r>
        <w:rPr>
          <w:rFonts w:hint="eastAsia" w:ascii="宋体" w:hAnsi="宋体" w:cs="宋体"/>
          <w:szCs w:val="21"/>
          <w:u w:val="single"/>
        </w:rPr>
        <w:t>柴油车、非道路移动机械监督抽测服务（二批次）</w:t>
      </w:r>
      <w:r>
        <w:rPr>
          <w:rFonts w:hint="eastAsia" w:ascii="宋体" w:hAnsi="宋体" w:cs="宋体"/>
          <w:szCs w:val="21"/>
        </w:rPr>
        <w:t>采用竞争性磋商方式进行采购，特邀请符合本次采购要求的供应商参加本项目的竞争性磋商。</w:t>
      </w:r>
      <w:bookmarkEnd w:id="13"/>
    </w:p>
    <w:p>
      <w:pPr>
        <w:snapToGrid w:val="0"/>
        <w:spacing w:line="390" w:lineRule="exact"/>
        <w:ind w:firstLine="422" w:firstLineChars="200"/>
        <w:jc w:val="left"/>
        <w:rPr>
          <w:rFonts w:ascii="宋体" w:hAnsi="宋体" w:cs="宋体"/>
          <w:b/>
          <w:bCs/>
          <w:szCs w:val="21"/>
        </w:rPr>
      </w:pPr>
      <w:r>
        <w:rPr>
          <w:rFonts w:hint="eastAsia" w:ascii="宋体" w:hAnsi="宋体" w:cs="宋体"/>
          <w:b/>
          <w:bCs/>
          <w:szCs w:val="21"/>
        </w:rPr>
        <w:t>一、采购项目基本情况</w:t>
      </w:r>
    </w:p>
    <w:p>
      <w:pPr>
        <w:pStyle w:val="59"/>
        <w:snapToGrid w:val="0"/>
        <w:spacing w:line="390" w:lineRule="exact"/>
        <w:ind w:firstLine="420" w:firstLineChars="200"/>
        <w:jc w:val="both"/>
        <w:rPr>
          <w:sz w:val="21"/>
          <w:szCs w:val="21"/>
          <w:highlight w:val="yellow"/>
        </w:rPr>
      </w:pPr>
      <w:bookmarkStart w:id="14" w:name="_Toc4872_WPSOffice_Level2"/>
      <w:r>
        <w:rPr>
          <w:rFonts w:hint="eastAsia"/>
          <w:sz w:val="21"/>
          <w:szCs w:val="21"/>
        </w:rPr>
        <w:t>1</w:t>
      </w:r>
      <w:r>
        <w:rPr>
          <w:rFonts w:hint="eastAsia"/>
          <w:sz w:val="21"/>
          <w:szCs w:val="21"/>
          <w:highlight w:val="none"/>
        </w:rPr>
        <w:t>.项目编号：</w:t>
      </w:r>
      <w:bookmarkEnd w:id="14"/>
      <w:bookmarkStart w:id="15" w:name="_Toc71_WPSOffice_Level2"/>
      <w:r>
        <w:rPr>
          <w:rFonts w:hint="eastAsia"/>
          <w:sz w:val="21"/>
          <w:szCs w:val="21"/>
          <w:highlight w:val="none"/>
        </w:rPr>
        <w:t>510186202100074</w:t>
      </w:r>
    </w:p>
    <w:p>
      <w:pPr>
        <w:pStyle w:val="59"/>
        <w:snapToGrid w:val="0"/>
        <w:spacing w:line="390" w:lineRule="exact"/>
        <w:ind w:firstLine="420" w:firstLineChars="200"/>
        <w:jc w:val="both"/>
        <w:rPr>
          <w:sz w:val="21"/>
          <w:szCs w:val="21"/>
        </w:rPr>
      </w:pPr>
      <w:r>
        <w:rPr>
          <w:rFonts w:hint="eastAsia"/>
          <w:sz w:val="21"/>
          <w:szCs w:val="21"/>
          <w:lang w:val="en-US" w:eastAsia="zh-CN"/>
        </w:rPr>
        <w:t>2</w:t>
      </w:r>
      <w:r>
        <w:rPr>
          <w:rFonts w:hint="eastAsia"/>
          <w:sz w:val="21"/>
          <w:szCs w:val="21"/>
        </w:rPr>
        <w:t>.项目名称：</w:t>
      </w:r>
      <w:bookmarkEnd w:id="15"/>
      <w:r>
        <w:rPr>
          <w:rFonts w:hint="eastAsia"/>
          <w:sz w:val="21"/>
          <w:szCs w:val="21"/>
        </w:rPr>
        <w:t>柴油车、非道路移动机械监督抽测服务（二批次）</w:t>
      </w:r>
    </w:p>
    <w:p>
      <w:pPr>
        <w:snapToGrid w:val="0"/>
        <w:spacing w:line="390" w:lineRule="exact"/>
        <w:ind w:firstLine="420" w:firstLineChars="200"/>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.采购人：四川天府新区生态环境和城市管理局。</w:t>
      </w:r>
    </w:p>
    <w:p>
      <w:pPr>
        <w:snapToGrid w:val="0"/>
        <w:spacing w:line="390" w:lineRule="exact"/>
        <w:ind w:firstLine="420" w:firstLineChars="200"/>
        <w:jc w:val="left"/>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.采购代理机构：四川雄烽建设工程管理有限公司。</w:t>
      </w:r>
    </w:p>
    <w:p>
      <w:pPr>
        <w:snapToGrid w:val="0"/>
        <w:spacing w:line="390" w:lineRule="exact"/>
        <w:ind w:firstLine="422" w:firstLineChars="200"/>
        <w:jc w:val="left"/>
        <w:rPr>
          <w:rFonts w:ascii="宋体" w:hAnsi="宋体" w:cs="宋体"/>
          <w:b/>
          <w:bCs/>
          <w:szCs w:val="21"/>
        </w:rPr>
      </w:pPr>
      <w:r>
        <w:rPr>
          <w:rFonts w:hint="eastAsia" w:ascii="宋体" w:hAnsi="宋体" w:cs="宋体"/>
          <w:b/>
          <w:bCs/>
          <w:szCs w:val="21"/>
        </w:rPr>
        <w:t>二、资金情况</w:t>
      </w:r>
    </w:p>
    <w:p>
      <w:pPr>
        <w:pStyle w:val="59"/>
        <w:snapToGrid w:val="0"/>
        <w:spacing w:line="390" w:lineRule="exact"/>
        <w:ind w:firstLine="420" w:firstLineChars="200"/>
        <w:jc w:val="both"/>
        <w:rPr>
          <w:b/>
          <w:bCs/>
          <w:sz w:val="21"/>
          <w:szCs w:val="21"/>
        </w:rPr>
      </w:pPr>
      <w:r>
        <w:rPr>
          <w:rFonts w:hint="eastAsia"/>
          <w:sz w:val="21"/>
          <w:szCs w:val="21"/>
        </w:rPr>
        <w:t>资金来源：</w:t>
      </w:r>
      <w:r>
        <w:rPr>
          <w:rFonts w:hint="eastAsia"/>
          <w:sz w:val="21"/>
          <w:szCs w:val="21"/>
          <w:u w:val="single"/>
        </w:rPr>
        <w:t>财政资金，采购预算65万元；最高限价65万元（其中第1包采购预算</w:t>
      </w:r>
      <w:r>
        <w:rPr>
          <w:rFonts w:hint="eastAsia"/>
          <w:sz w:val="21"/>
          <w:szCs w:val="21"/>
          <w:u w:val="single"/>
          <w:lang w:eastAsia="zh-CN"/>
        </w:rPr>
        <w:t>：</w:t>
      </w:r>
      <w:r>
        <w:rPr>
          <w:rFonts w:hint="eastAsia"/>
          <w:sz w:val="21"/>
          <w:szCs w:val="21"/>
          <w:u w:val="single"/>
        </w:rPr>
        <w:t>54万元</w:t>
      </w:r>
      <w:r>
        <w:rPr>
          <w:rFonts w:hint="eastAsia"/>
          <w:sz w:val="21"/>
          <w:szCs w:val="21"/>
          <w:u w:val="single"/>
          <w:lang w:eastAsia="zh-CN"/>
        </w:rPr>
        <w:t>；最高</w:t>
      </w:r>
      <w:r>
        <w:rPr>
          <w:rFonts w:hint="eastAsia"/>
          <w:sz w:val="21"/>
          <w:szCs w:val="21"/>
          <w:u w:val="single"/>
        </w:rPr>
        <w:t>限价：54万元；第2包采购预算</w:t>
      </w:r>
      <w:r>
        <w:rPr>
          <w:rFonts w:hint="eastAsia"/>
          <w:sz w:val="21"/>
          <w:szCs w:val="21"/>
          <w:u w:val="single"/>
          <w:lang w:eastAsia="zh-CN"/>
        </w:rPr>
        <w:t>：</w:t>
      </w:r>
      <w:r>
        <w:rPr>
          <w:rFonts w:hint="eastAsia"/>
          <w:sz w:val="21"/>
          <w:szCs w:val="21"/>
          <w:u w:val="single"/>
        </w:rPr>
        <w:t>11万元</w:t>
      </w:r>
      <w:r>
        <w:rPr>
          <w:rFonts w:hint="eastAsia"/>
          <w:sz w:val="21"/>
          <w:szCs w:val="21"/>
          <w:u w:val="single"/>
          <w:lang w:eastAsia="zh-CN"/>
        </w:rPr>
        <w:t>；最高</w:t>
      </w:r>
      <w:r>
        <w:rPr>
          <w:rFonts w:hint="eastAsia"/>
          <w:sz w:val="21"/>
          <w:szCs w:val="21"/>
          <w:u w:val="single"/>
        </w:rPr>
        <w:t>限价：11万元）。</w:t>
      </w:r>
    </w:p>
    <w:p>
      <w:pPr>
        <w:snapToGrid w:val="0"/>
        <w:spacing w:line="390" w:lineRule="exact"/>
        <w:ind w:firstLine="422" w:firstLineChars="200"/>
        <w:rPr>
          <w:rFonts w:ascii="宋体" w:hAnsi="宋体" w:cs="宋体"/>
          <w:szCs w:val="21"/>
        </w:rPr>
      </w:pPr>
      <w:r>
        <w:rPr>
          <w:rFonts w:hint="eastAsia" w:ascii="宋体" w:hAnsi="宋体" w:cs="宋体"/>
          <w:b/>
          <w:szCs w:val="21"/>
        </w:rPr>
        <w:t>三</w:t>
      </w:r>
      <w:r>
        <w:rPr>
          <w:rFonts w:hint="eastAsia" w:ascii="宋体" w:hAnsi="宋体" w:cs="宋体"/>
          <w:b/>
          <w:bCs/>
          <w:szCs w:val="21"/>
        </w:rPr>
        <w:t>、</w:t>
      </w:r>
      <w:r>
        <w:rPr>
          <w:rFonts w:hint="eastAsia" w:ascii="宋体" w:hAnsi="宋体" w:cs="宋体"/>
          <w:b/>
          <w:szCs w:val="21"/>
        </w:rPr>
        <w:t>采购项目简介</w:t>
      </w:r>
    </w:p>
    <w:p>
      <w:pPr>
        <w:pStyle w:val="59"/>
        <w:snapToGrid w:val="0"/>
        <w:spacing w:line="390" w:lineRule="exact"/>
        <w:ind w:firstLine="404" w:firstLineChars="200"/>
        <w:jc w:val="both"/>
        <w:rPr>
          <w:sz w:val="21"/>
          <w:szCs w:val="21"/>
        </w:rPr>
      </w:pPr>
      <w:bookmarkStart w:id="16" w:name="PO_默认文件内容_2"/>
      <w:r>
        <w:rPr>
          <w:rFonts w:hint="eastAsia"/>
          <w:spacing w:val="-4"/>
          <w:sz w:val="21"/>
          <w:szCs w:val="21"/>
          <w:u w:val="single"/>
        </w:rPr>
        <w:t>本项目共2个包：第1包：柴油车尾气监督抽测</w:t>
      </w:r>
      <w:r>
        <w:rPr>
          <w:rFonts w:hint="eastAsia"/>
          <w:spacing w:val="-4"/>
          <w:sz w:val="21"/>
          <w:szCs w:val="21"/>
          <w:u w:val="single"/>
          <w:lang w:eastAsia="zh-CN"/>
        </w:rPr>
        <w:t>，选出成交供应商1名</w:t>
      </w:r>
      <w:r>
        <w:rPr>
          <w:rFonts w:hint="eastAsia"/>
          <w:spacing w:val="-4"/>
          <w:sz w:val="21"/>
          <w:szCs w:val="21"/>
          <w:u w:val="single"/>
        </w:rPr>
        <w:t>；第2包：非道路移动机械监督抽测</w:t>
      </w:r>
      <w:r>
        <w:rPr>
          <w:rFonts w:hint="eastAsia"/>
          <w:spacing w:val="-4"/>
          <w:sz w:val="21"/>
          <w:szCs w:val="21"/>
          <w:u w:val="single"/>
          <w:lang w:eastAsia="zh-CN"/>
        </w:rPr>
        <w:t>，选出成交供应商1名</w:t>
      </w:r>
      <w:r>
        <w:rPr>
          <w:rFonts w:hint="eastAsia"/>
          <w:sz w:val="21"/>
          <w:szCs w:val="21"/>
          <w:u w:val="single"/>
        </w:rPr>
        <w:t>（详见磋商文件第</w:t>
      </w:r>
      <w:r>
        <w:rPr>
          <w:rFonts w:hint="eastAsia"/>
          <w:bCs/>
          <w:sz w:val="21"/>
          <w:szCs w:val="21"/>
          <w:u w:val="single"/>
        </w:rPr>
        <w:t>五</w:t>
      </w:r>
      <w:r>
        <w:rPr>
          <w:rFonts w:hint="eastAsia"/>
          <w:sz w:val="21"/>
          <w:szCs w:val="21"/>
          <w:u w:val="single"/>
        </w:rPr>
        <w:t>章）</w:t>
      </w:r>
      <w:bookmarkEnd w:id="16"/>
      <w:r>
        <w:rPr>
          <w:rFonts w:hint="eastAsia"/>
          <w:sz w:val="21"/>
          <w:szCs w:val="21"/>
        </w:rPr>
        <w:t>。</w:t>
      </w:r>
    </w:p>
    <w:p>
      <w:pPr>
        <w:snapToGrid w:val="0"/>
        <w:spacing w:line="390" w:lineRule="exact"/>
        <w:ind w:firstLine="422" w:firstLineChars="200"/>
        <w:rPr>
          <w:rFonts w:ascii="宋体" w:hAnsi="宋体" w:cs="宋体"/>
          <w:b/>
          <w:bCs/>
          <w:szCs w:val="21"/>
        </w:rPr>
      </w:pPr>
      <w:r>
        <w:rPr>
          <w:rFonts w:hint="eastAsia" w:ascii="宋体" w:hAnsi="宋体" w:cs="宋体"/>
          <w:b/>
          <w:bCs/>
          <w:szCs w:val="21"/>
        </w:rPr>
        <w:t>四、供应商邀请方式</w:t>
      </w:r>
    </w:p>
    <w:p>
      <w:pPr>
        <w:pStyle w:val="59"/>
        <w:snapToGrid w:val="0"/>
        <w:spacing w:line="390" w:lineRule="exact"/>
        <w:ind w:firstLine="420" w:firstLineChars="200"/>
        <w:jc w:val="both"/>
        <w:rPr>
          <w:bCs/>
          <w:sz w:val="21"/>
          <w:szCs w:val="21"/>
        </w:rPr>
      </w:pPr>
      <w:bookmarkStart w:id="17" w:name="PO_默认文件内容_3"/>
      <w:r>
        <w:rPr>
          <w:rFonts w:hint="eastAsia"/>
          <w:bCs/>
          <w:sz w:val="21"/>
          <w:szCs w:val="21"/>
        </w:rPr>
        <w:t xml:space="preserve">本次采购采取方式 </w:t>
      </w:r>
      <w:r>
        <w:rPr>
          <w:rFonts w:hint="eastAsia"/>
          <w:bCs/>
          <w:sz w:val="21"/>
          <w:szCs w:val="21"/>
          <w:u w:val="single"/>
        </w:rPr>
        <w:t xml:space="preserve"> 1 </w:t>
      </w:r>
      <w:r>
        <w:rPr>
          <w:rFonts w:hint="eastAsia"/>
          <w:bCs/>
          <w:sz w:val="21"/>
          <w:szCs w:val="21"/>
        </w:rPr>
        <w:t>邀请参加磋商的供应商。</w:t>
      </w:r>
    </w:p>
    <w:p>
      <w:pPr>
        <w:pStyle w:val="59"/>
        <w:wordWrap w:val="0"/>
        <w:snapToGrid w:val="0"/>
        <w:spacing w:line="390" w:lineRule="exact"/>
        <w:ind w:firstLine="420" w:firstLineChars="200"/>
        <w:jc w:val="both"/>
        <w:rPr>
          <w:bCs/>
          <w:sz w:val="21"/>
          <w:szCs w:val="21"/>
        </w:rPr>
      </w:pPr>
      <w:r>
        <w:rPr>
          <w:rFonts w:hint="eastAsia"/>
          <w:bCs/>
          <w:sz w:val="21"/>
          <w:szCs w:val="21"/>
        </w:rPr>
        <w:t>方式1（公告方式）：本次竞争性磋商邀请在</w:t>
      </w:r>
      <w:r>
        <w:rPr>
          <w:rFonts w:hint="eastAsia"/>
          <w:bCs/>
          <w:sz w:val="21"/>
          <w:szCs w:val="21"/>
          <w:u w:val="single"/>
        </w:rPr>
        <w:t xml:space="preserve"> </w:t>
      </w:r>
      <w:r>
        <w:rPr>
          <w:rFonts w:hint="eastAsia"/>
          <w:b/>
          <w:sz w:val="21"/>
          <w:szCs w:val="21"/>
          <w:u w:val="single"/>
        </w:rPr>
        <w:t>四川政府采购网（网址http://www.ccgp-ichuan.gov.cn/）</w:t>
      </w:r>
      <w:r>
        <w:rPr>
          <w:rFonts w:hint="eastAsia"/>
          <w:bCs/>
          <w:sz w:val="21"/>
          <w:szCs w:val="21"/>
        </w:rPr>
        <w:t>上以公告形式发布；</w:t>
      </w:r>
    </w:p>
    <w:p>
      <w:pPr>
        <w:pStyle w:val="59"/>
        <w:snapToGrid w:val="0"/>
        <w:spacing w:line="390" w:lineRule="exact"/>
        <w:ind w:firstLine="420" w:firstLineChars="200"/>
        <w:jc w:val="both"/>
        <w:rPr>
          <w:bCs/>
          <w:sz w:val="21"/>
          <w:szCs w:val="21"/>
        </w:rPr>
      </w:pPr>
      <w:r>
        <w:rPr>
          <w:rFonts w:hint="eastAsia"/>
          <w:bCs/>
          <w:sz w:val="21"/>
          <w:szCs w:val="21"/>
        </w:rPr>
        <w:t>方式2（书面推荐）：通过采购人和评审专家各自出具书面推荐意见，推荐符合相应资格条件的供应商参与本次采购活动；</w:t>
      </w:r>
    </w:p>
    <w:p>
      <w:pPr>
        <w:pStyle w:val="59"/>
        <w:snapToGrid w:val="0"/>
        <w:spacing w:line="390" w:lineRule="exact"/>
        <w:ind w:firstLine="420" w:firstLineChars="200"/>
        <w:jc w:val="both"/>
        <w:rPr>
          <w:bCs/>
          <w:sz w:val="21"/>
          <w:szCs w:val="21"/>
        </w:rPr>
      </w:pPr>
      <w:r>
        <w:rPr>
          <w:rFonts w:hint="eastAsia"/>
          <w:bCs/>
          <w:sz w:val="21"/>
          <w:szCs w:val="21"/>
        </w:rPr>
        <w:t>方式3（供应商库随机抽取）：通过省级以上财政部门建立的供应商库中随机抽取供应商。</w:t>
      </w:r>
      <w:bookmarkEnd w:id="17"/>
    </w:p>
    <w:p>
      <w:pPr>
        <w:snapToGrid w:val="0"/>
        <w:spacing w:line="390" w:lineRule="exact"/>
        <w:ind w:firstLine="422" w:firstLineChars="200"/>
        <w:rPr>
          <w:rFonts w:ascii="宋体" w:hAnsi="宋体" w:cs="宋体"/>
          <w:b/>
          <w:bCs/>
          <w:szCs w:val="21"/>
        </w:rPr>
      </w:pPr>
      <w:r>
        <w:rPr>
          <w:rFonts w:hint="eastAsia" w:ascii="宋体" w:hAnsi="宋体" w:cs="宋体"/>
          <w:b/>
          <w:bCs/>
          <w:szCs w:val="21"/>
        </w:rPr>
        <w:t>五、供应商参加本次采购活动应具备下列条件</w:t>
      </w:r>
    </w:p>
    <w:p>
      <w:pPr>
        <w:pStyle w:val="59"/>
        <w:snapToGrid w:val="0"/>
        <w:spacing w:line="390" w:lineRule="exact"/>
        <w:ind w:firstLine="420" w:firstLineChars="200"/>
        <w:jc w:val="both"/>
        <w:rPr>
          <w:sz w:val="21"/>
          <w:szCs w:val="21"/>
        </w:rPr>
      </w:pPr>
      <w:bookmarkStart w:id="18" w:name="_Toc16374_WPSOffice_Level2"/>
      <w:bookmarkStart w:id="19" w:name="PO_供应商资格条件_1"/>
      <w:r>
        <w:rPr>
          <w:rFonts w:hint="eastAsia"/>
          <w:sz w:val="21"/>
          <w:szCs w:val="21"/>
        </w:rPr>
        <w:t>1.具有独立承担民事责任的能力；</w:t>
      </w:r>
      <w:bookmarkEnd w:id="18"/>
    </w:p>
    <w:p>
      <w:pPr>
        <w:pStyle w:val="59"/>
        <w:snapToGrid w:val="0"/>
        <w:spacing w:line="390" w:lineRule="exact"/>
        <w:ind w:firstLine="420" w:firstLineChars="200"/>
        <w:jc w:val="both"/>
        <w:rPr>
          <w:sz w:val="21"/>
          <w:szCs w:val="21"/>
        </w:rPr>
      </w:pPr>
      <w:bookmarkStart w:id="20" w:name="_Toc7506_WPSOffice_Level2"/>
      <w:r>
        <w:rPr>
          <w:rFonts w:hint="eastAsia"/>
          <w:sz w:val="21"/>
          <w:szCs w:val="21"/>
        </w:rPr>
        <w:t>2.具有良好的商业信誉和健全的财务会计制度；</w:t>
      </w:r>
      <w:bookmarkEnd w:id="20"/>
    </w:p>
    <w:p>
      <w:pPr>
        <w:pStyle w:val="59"/>
        <w:snapToGrid w:val="0"/>
        <w:spacing w:line="390" w:lineRule="exact"/>
        <w:ind w:firstLine="420" w:firstLineChars="200"/>
        <w:jc w:val="both"/>
        <w:rPr>
          <w:sz w:val="21"/>
          <w:szCs w:val="21"/>
        </w:rPr>
      </w:pPr>
      <w:bookmarkStart w:id="21" w:name="_Toc22515_WPSOffice_Level2"/>
      <w:r>
        <w:rPr>
          <w:rFonts w:hint="eastAsia"/>
          <w:sz w:val="21"/>
          <w:szCs w:val="21"/>
        </w:rPr>
        <w:t>3.具有履行合同所必需的设备和专业技术能力；</w:t>
      </w:r>
      <w:bookmarkEnd w:id="21"/>
    </w:p>
    <w:p>
      <w:pPr>
        <w:pStyle w:val="59"/>
        <w:snapToGrid w:val="0"/>
        <w:spacing w:line="390" w:lineRule="exact"/>
        <w:ind w:firstLine="420" w:firstLineChars="200"/>
        <w:jc w:val="both"/>
        <w:rPr>
          <w:sz w:val="21"/>
          <w:szCs w:val="21"/>
        </w:rPr>
      </w:pPr>
      <w:bookmarkStart w:id="22" w:name="_Toc30754_WPSOffice_Level2"/>
      <w:r>
        <w:rPr>
          <w:rFonts w:hint="eastAsia"/>
          <w:sz w:val="21"/>
          <w:szCs w:val="21"/>
        </w:rPr>
        <w:t>4.有依法缴纳税收和社会保障资金的良好记录；</w:t>
      </w:r>
      <w:bookmarkEnd w:id="22"/>
    </w:p>
    <w:p>
      <w:pPr>
        <w:pStyle w:val="59"/>
        <w:snapToGrid w:val="0"/>
        <w:spacing w:line="390" w:lineRule="exact"/>
        <w:ind w:firstLine="420" w:firstLineChars="200"/>
        <w:jc w:val="both"/>
        <w:rPr>
          <w:sz w:val="21"/>
          <w:szCs w:val="21"/>
        </w:rPr>
      </w:pPr>
      <w:bookmarkStart w:id="23" w:name="_Toc3788_WPSOffice_Level2"/>
      <w:r>
        <w:rPr>
          <w:rFonts w:hint="eastAsia"/>
          <w:sz w:val="21"/>
          <w:szCs w:val="21"/>
        </w:rPr>
        <w:t>5.参加政府采购活动前三年内，在经营活动中没有重大违法记录；</w:t>
      </w:r>
      <w:bookmarkEnd w:id="23"/>
    </w:p>
    <w:p>
      <w:pPr>
        <w:pStyle w:val="59"/>
        <w:snapToGrid w:val="0"/>
        <w:spacing w:line="390" w:lineRule="exact"/>
        <w:ind w:firstLine="420" w:firstLineChars="200"/>
        <w:jc w:val="both"/>
        <w:rPr>
          <w:sz w:val="21"/>
          <w:szCs w:val="21"/>
        </w:rPr>
      </w:pPr>
      <w:bookmarkStart w:id="24" w:name="_Toc28380_WPSOffice_Level2"/>
      <w:r>
        <w:rPr>
          <w:rFonts w:hint="eastAsia"/>
          <w:sz w:val="21"/>
          <w:szCs w:val="21"/>
        </w:rPr>
        <w:t>6.法律、行政法规规定的其他条件；</w:t>
      </w:r>
      <w:bookmarkEnd w:id="24"/>
    </w:p>
    <w:p>
      <w:pPr>
        <w:pStyle w:val="59"/>
        <w:snapToGrid w:val="0"/>
        <w:spacing w:line="390" w:lineRule="exact"/>
        <w:ind w:firstLine="420" w:firstLineChars="200"/>
        <w:jc w:val="both"/>
        <w:rPr>
          <w:sz w:val="21"/>
          <w:szCs w:val="21"/>
        </w:rPr>
      </w:pPr>
      <w:bookmarkStart w:id="25" w:name="_Toc29809_WPSOffice_Level2"/>
      <w:r>
        <w:rPr>
          <w:rFonts w:hint="eastAsia"/>
          <w:sz w:val="21"/>
          <w:szCs w:val="21"/>
        </w:rPr>
        <w:t>7、本项目的特定资格要求：</w:t>
      </w:r>
      <w:r>
        <w:rPr>
          <w:rFonts w:hint="eastAsia"/>
          <w:b/>
          <w:bCs/>
          <w:sz w:val="21"/>
          <w:szCs w:val="21"/>
          <w:u w:val="single"/>
        </w:rPr>
        <w:t>第1包</w:t>
      </w:r>
      <w:r>
        <w:rPr>
          <w:rFonts w:hint="eastAsia"/>
          <w:sz w:val="21"/>
          <w:szCs w:val="21"/>
          <w:u w:val="single"/>
        </w:rPr>
        <w:t>：须具备省级及以上人民政府计量行政部门颁发的CMA认证证书【注：①发证机关有年检要求的，应按规定通过年检；②在有效期内；③计量认证证书检验检测能力附表中包含重型柴油货车尾气检测能力（光吸收系数即可）】；</w:t>
      </w:r>
      <w:r>
        <w:rPr>
          <w:rFonts w:hint="eastAsia"/>
          <w:b/>
          <w:bCs/>
          <w:sz w:val="21"/>
          <w:szCs w:val="21"/>
          <w:u w:val="single"/>
        </w:rPr>
        <w:t>第2包</w:t>
      </w:r>
      <w:r>
        <w:rPr>
          <w:rFonts w:hint="eastAsia"/>
          <w:sz w:val="21"/>
          <w:szCs w:val="21"/>
          <w:u w:val="single"/>
        </w:rPr>
        <w:t>：须具备省级及以上人民政府计量行政部门颁发的CMA认证证书【注：①发证机关有年检要求的，应按规定通过年检；②在有效期内</w:t>
      </w:r>
      <w:r>
        <w:rPr>
          <w:rFonts w:hint="eastAsia"/>
          <w:sz w:val="21"/>
          <w:szCs w:val="21"/>
          <w:u w:val="single"/>
          <w:lang w:eastAsia="zh-CN"/>
        </w:rPr>
        <w:t>；；</w:t>
      </w:r>
      <w:r>
        <w:rPr>
          <w:rFonts w:hint="eastAsia"/>
          <w:sz w:val="21"/>
          <w:szCs w:val="21"/>
          <w:u w:val="single"/>
        </w:rPr>
        <w:t>③</w:t>
      </w:r>
      <w:r>
        <w:rPr>
          <w:rFonts w:hint="eastAsia"/>
          <w:sz w:val="21"/>
          <w:szCs w:val="21"/>
          <w:u w:val="single"/>
          <w:lang w:eastAsia="zh-CN"/>
        </w:rPr>
        <w:t>计量认证证书检验检测能力附表中包含《</w:t>
      </w:r>
      <w:r>
        <w:rPr>
          <w:rFonts w:hint="eastAsia" w:ascii="Arial" w:hAnsi="Arial" w:eastAsia="宋体" w:cs="Arial"/>
          <w:i w:val="0"/>
          <w:iCs w:val="0"/>
          <w:caps w:val="0"/>
          <w:color w:val="333333"/>
          <w:spacing w:val="0"/>
          <w:sz w:val="21"/>
          <w:szCs w:val="21"/>
          <w:u w:val="single"/>
          <w:shd w:val="clear" w:fill="FFFFFF"/>
        </w:rPr>
        <w:t>非道路移动柴油机械排气烟度限值及测量方法</w:t>
      </w:r>
      <w:r>
        <w:rPr>
          <w:rFonts w:hint="eastAsia"/>
          <w:sz w:val="21"/>
          <w:szCs w:val="21"/>
          <w:u w:val="single"/>
          <w:lang w:eastAsia="zh-CN"/>
        </w:rPr>
        <w:t>（GB36886-2018）（光吸收系数及林格曼黑度级数）的CMA检测资质证明）</w:t>
      </w:r>
      <w:r>
        <w:rPr>
          <w:rFonts w:hint="eastAsia"/>
          <w:sz w:val="21"/>
          <w:szCs w:val="21"/>
          <w:u w:val="single"/>
        </w:rPr>
        <w:t>】</w:t>
      </w:r>
      <w:r>
        <w:rPr>
          <w:rFonts w:hint="eastAsia"/>
          <w:sz w:val="21"/>
          <w:szCs w:val="21"/>
        </w:rPr>
        <w:t>。</w:t>
      </w:r>
    </w:p>
    <w:p>
      <w:pPr>
        <w:pStyle w:val="59"/>
        <w:snapToGrid w:val="0"/>
        <w:spacing w:line="390" w:lineRule="exact"/>
        <w:ind w:firstLine="420" w:firstLineChars="200"/>
        <w:jc w:val="both"/>
        <w:rPr>
          <w:sz w:val="21"/>
          <w:szCs w:val="21"/>
        </w:rPr>
      </w:pPr>
      <w:r>
        <w:rPr>
          <w:rFonts w:hint="eastAsia"/>
          <w:sz w:val="21"/>
          <w:szCs w:val="21"/>
        </w:rPr>
        <w:t>8.落实政府采购政策需满足的资格要求：本项目专门针对中小企业（监狱企业、残疾人福利性单位视同小型、微型企业）采购。</w:t>
      </w:r>
    </w:p>
    <w:p>
      <w:pPr>
        <w:pStyle w:val="59"/>
        <w:snapToGrid w:val="0"/>
        <w:spacing w:line="390" w:lineRule="exact"/>
        <w:ind w:firstLine="420" w:firstLineChars="200"/>
        <w:jc w:val="both"/>
        <w:rPr>
          <w:sz w:val="21"/>
          <w:szCs w:val="21"/>
        </w:rPr>
      </w:pPr>
      <w:r>
        <w:rPr>
          <w:rFonts w:hint="eastAsia"/>
          <w:sz w:val="21"/>
          <w:szCs w:val="21"/>
        </w:rPr>
        <w:t>9.本项目</w:t>
      </w:r>
      <w:r>
        <w:rPr>
          <w:rFonts w:hint="eastAsia"/>
          <w:sz w:val="21"/>
          <w:szCs w:val="21"/>
          <w:u w:val="single"/>
        </w:rPr>
        <w:t xml:space="preserve"> 不接受 </w:t>
      </w:r>
      <w:r>
        <w:rPr>
          <w:rFonts w:hint="eastAsia"/>
          <w:sz w:val="21"/>
          <w:szCs w:val="21"/>
        </w:rPr>
        <w:t>联合体。</w:t>
      </w:r>
    </w:p>
    <w:bookmarkEnd w:id="19"/>
    <w:bookmarkEnd w:id="25"/>
    <w:p>
      <w:pPr>
        <w:snapToGrid w:val="0"/>
        <w:spacing w:line="390" w:lineRule="exact"/>
        <w:ind w:firstLine="422" w:firstLineChars="200"/>
        <w:rPr>
          <w:rFonts w:ascii="宋体" w:hAnsi="宋体" w:cs="宋体"/>
          <w:b/>
          <w:szCs w:val="21"/>
        </w:rPr>
      </w:pPr>
      <w:r>
        <w:rPr>
          <w:rFonts w:hint="eastAsia" w:ascii="宋体" w:hAnsi="宋体" w:cs="宋体"/>
          <w:b/>
          <w:szCs w:val="21"/>
        </w:rPr>
        <w:t>六、禁止参加本次采购活动的供应商</w:t>
      </w:r>
    </w:p>
    <w:p>
      <w:pPr>
        <w:pStyle w:val="59"/>
        <w:snapToGrid w:val="0"/>
        <w:spacing w:line="390" w:lineRule="exact"/>
        <w:ind w:firstLine="420" w:firstLineChars="200"/>
        <w:jc w:val="both"/>
        <w:rPr>
          <w:sz w:val="21"/>
          <w:szCs w:val="21"/>
        </w:rPr>
      </w:pPr>
      <w:bookmarkStart w:id="26" w:name="PO_默认文件内容_4"/>
      <w:r>
        <w:rPr>
          <w:rFonts w:hint="eastAsia"/>
          <w:sz w:val="21"/>
          <w:szCs w:val="21"/>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pStyle w:val="59"/>
        <w:snapToGrid w:val="0"/>
        <w:spacing w:line="390" w:lineRule="exact"/>
        <w:ind w:firstLine="420" w:firstLineChars="200"/>
        <w:jc w:val="both"/>
        <w:rPr>
          <w:sz w:val="21"/>
          <w:szCs w:val="21"/>
        </w:rPr>
      </w:pPr>
      <w:r>
        <w:rPr>
          <w:rFonts w:hint="eastAsia"/>
          <w:sz w:val="21"/>
          <w:szCs w:val="21"/>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bookmarkEnd w:id="26"/>
    </w:p>
    <w:p>
      <w:pPr>
        <w:snapToGrid w:val="0"/>
        <w:spacing w:line="390" w:lineRule="exact"/>
        <w:ind w:firstLine="422" w:firstLineChars="200"/>
        <w:rPr>
          <w:rFonts w:ascii="宋体" w:hAnsi="宋体" w:cs="宋体"/>
          <w:b/>
          <w:szCs w:val="21"/>
        </w:rPr>
      </w:pPr>
      <w:r>
        <w:rPr>
          <w:rFonts w:hint="eastAsia" w:ascii="宋体" w:hAnsi="宋体" w:cs="宋体"/>
          <w:b/>
          <w:szCs w:val="21"/>
        </w:rPr>
        <w:t>七、磋商文件获取时间、地点、方式、售价：</w:t>
      </w:r>
    </w:p>
    <w:p>
      <w:pPr>
        <w:pStyle w:val="59"/>
        <w:snapToGrid w:val="0"/>
        <w:spacing w:line="390" w:lineRule="exact"/>
        <w:ind w:firstLine="420" w:firstLineChars="200"/>
        <w:jc w:val="both"/>
        <w:rPr>
          <w:sz w:val="21"/>
          <w:szCs w:val="21"/>
        </w:rPr>
      </w:pPr>
      <w:r>
        <w:rPr>
          <w:rFonts w:hint="eastAsia"/>
          <w:sz w:val="21"/>
          <w:szCs w:val="21"/>
        </w:rPr>
        <w:t>（一）时间：磋商文件自</w:t>
      </w:r>
      <w:bookmarkStart w:id="27" w:name="PO_标书售卖开始时间_1"/>
      <w:r>
        <w:rPr>
          <w:rFonts w:hint="eastAsia"/>
          <w:b/>
          <w:bCs/>
          <w:sz w:val="21"/>
          <w:szCs w:val="21"/>
          <w:u w:val="single"/>
        </w:rPr>
        <w:t xml:space="preserve"> </w:t>
      </w:r>
      <w:bookmarkEnd w:id="27"/>
      <w:r>
        <w:rPr>
          <w:rFonts w:hint="eastAsia"/>
          <w:b/>
          <w:bCs/>
          <w:sz w:val="21"/>
          <w:szCs w:val="21"/>
          <w:u w:val="single"/>
        </w:rPr>
        <w:t>2021</w:t>
      </w:r>
      <w:r>
        <w:rPr>
          <w:rFonts w:hint="eastAsia"/>
          <w:b/>
          <w:bCs/>
          <w:sz w:val="21"/>
          <w:szCs w:val="21"/>
        </w:rPr>
        <w:t>年</w:t>
      </w:r>
      <w:r>
        <w:rPr>
          <w:rFonts w:hint="eastAsia"/>
          <w:b/>
          <w:bCs/>
          <w:sz w:val="21"/>
          <w:szCs w:val="21"/>
          <w:u w:val="single"/>
        </w:rPr>
        <w:t xml:space="preserve"> </w:t>
      </w:r>
      <w:r>
        <w:rPr>
          <w:rFonts w:hint="eastAsia"/>
          <w:b/>
          <w:bCs/>
          <w:sz w:val="21"/>
          <w:szCs w:val="21"/>
          <w:u w:val="single"/>
          <w:lang w:val="en-US" w:eastAsia="zh-CN"/>
        </w:rPr>
        <w:t>7</w:t>
      </w:r>
      <w:r>
        <w:rPr>
          <w:rFonts w:hint="eastAsia"/>
          <w:b/>
          <w:bCs/>
          <w:sz w:val="21"/>
          <w:szCs w:val="21"/>
          <w:u w:val="single"/>
        </w:rPr>
        <w:t xml:space="preserve"> </w:t>
      </w:r>
      <w:r>
        <w:rPr>
          <w:rFonts w:hint="eastAsia"/>
          <w:b/>
          <w:bCs/>
          <w:sz w:val="21"/>
          <w:szCs w:val="21"/>
        </w:rPr>
        <w:t>月</w:t>
      </w:r>
      <w:r>
        <w:rPr>
          <w:rFonts w:hint="eastAsia"/>
          <w:b/>
          <w:bCs/>
          <w:sz w:val="21"/>
          <w:szCs w:val="21"/>
          <w:u w:val="single"/>
        </w:rPr>
        <w:t xml:space="preserve"> </w:t>
      </w:r>
      <w:r>
        <w:rPr>
          <w:rFonts w:hint="eastAsia"/>
          <w:b/>
          <w:bCs/>
          <w:sz w:val="21"/>
          <w:szCs w:val="21"/>
          <w:u w:val="single"/>
          <w:lang w:val="en-US" w:eastAsia="zh-CN"/>
        </w:rPr>
        <w:t>2</w:t>
      </w:r>
      <w:r>
        <w:rPr>
          <w:rFonts w:hint="eastAsia"/>
          <w:b/>
          <w:bCs/>
          <w:sz w:val="21"/>
          <w:szCs w:val="21"/>
          <w:u w:val="single"/>
        </w:rPr>
        <w:t xml:space="preserve"> </w:t>
      </w:r>
      <w:r>
        <w:rPr>
          <w:rFonts w:hint="eastAsia"/>
          <w:b/>
          <w:bCs/>
          <w:sz w:val="21"/>
          <w:szCs w:val="21"/>
        </w:rPr>
        <w:t>日至</w:t>
      </w:r>
      <w:bookmarkStart w:id="28" w:name="PO_标书售卖结束时间_1"/>
      <w:r>
        <w:rPr>
          <w:rFonts w:hint="eastAsia"/>
          <w:b/>
          <w:bCs/>
          <w:sz w:val="21"/>
          <w:szCs w:val="21"/>
          <w:u w:val="single"/>
        </w:rPr>
        <w:t>2021</w:t>
      </w:r>
      <w:r>
        <w:rPr>
          <w:rFonts w:hint="eastAsia"/>
          <w:b/>
          <w:bCs/>
          <w:sz w:val="21"/>
          <w:szCs w:val="21"/>
        </w:rPr>
        <w:t>年</w:t>
      </w:r>
      <w:r>
        <w:rPr>
          <w:rFonts w:hint="eastAsia"/>
          <w:b/>
          <w:bCs/>
          <w:sz w:val="21"/>
          <w:szCs w:val="21"/>
          <w:u w:val="single"/>
        </w:rPr>
        <w:t xml:space="preserve"> </w:t>
      </w:r>
      <w:r>
        <w:rPr>
          <w:rFonts w:hint="eastAsia"/>
          <w:b/>
          <w:bCs/>
          <w:sz w:val="21"/>
          <w:szCs w:val="21"/>
          <w:u w:val="single"/>
          <w:lang w:val="en-US" w:eastAsia="zh-CN"/>
        </w:rPr>
        <w:t>7</w:t>
      </w:r>
      <w:r>
        <w:rPr>
          <w:rFonts w:hint="eastAsia"/>
          <w:b/>
          <w:bCs/>
          <w:sz w:val="21"/>
          <w:szCs w:val="21"/>
          <w:u w:val="single"/>
        </w:rPr>
        <w:t xml:space="preserve"> </w:t>
      </w:r>
      <w:r>
        <w:rPr>
          <w:rFonts w:hint="eastAsia"/>
          <w:b/>
          <w:bCs/>
          <w:sz w:val="21"/>
          <w:szCs w:val="21"/>
        </w:rPr>
        <w:t>月</w:t>
      </w:r>
      <w:r>
        <w:rPr>
          <w:rFonts w:hint="eastAsia"/>
          <w:b/>
          <w:bCs/>
          <w:sz w:val="21"/>
          <w:szCs w:val="21"/>
          <w:u w:val="single"/>
        </w:rPr>
        <w:t xml:space="preserve"> </w:t>
      </w:r>
      <w:r>
        <w:rPr>
          <w:rFonts w:hint="eastAsia"/>
          <w:b/>
          <w:bCs/>
          <w:sz w:val="21"/>
          <w:szCs w:val="21"/>
          <w:u w:val="single"/>
          <w:lang w:val="en-US" w:eastAsia="zh-CN"/>
        </w:rPr>
        <w:t>8</w:t>
      </w:r>
      <w:r>
        <w:rPr>
          <w:rFonts w:hint="eastAsia"/>
          <w:b/>
          <w:bCs/>
          <w:sz w:val="21"/>
          <w:szCs w:val="21"/>
          <w:u w:val="single"/>
        </w:rPr>
        <w:t xml:space="preserve"> </w:t>
      </w:r>
      <w:r>
        <w:rPr>
          <w:rFonts w:hint="eastAsia"/>
          <w:b/>
          <w:bCs/>
          <w:sz w:val="21"/>
          <w:szCs w:val="21"/>
        </w:rPr>
        <w:t>日</w:t>
      </w:r>
      <w:bookmarkEnd w:id="28"/>
      <w:bookmarkStart w:id="29" w:name="PO_标书售卖工作时间段_1"/>
      <w:r>
        <w:rPr>
          <w:rFonts w:hint="eastAsia"/>
          <w:b/>
          <w:bCs/>
          <w:sz w:val="21"/>
          <w:szCs w:val="21"/>
        </w:rPr>
        <w:t>，每天上午9:30-12:00，下午13:30-16:30</w:t>
      </w:r>
      <w:bookmarkEnd w:id="29"/>
      <w:r>
        <w:rPr>
          <w:rFonts w:hint="eastAsia"/>
          <w:sz w:val="21"/>
          <w:szCs w:val="21"/>
        </w:rPr>
        <w:t>（北京时间，法定节假日除外）</w:t>
      </w:r>
      <w:bookmarkStart w:id="30" w:name="PO_默认文件内容_5"/>
      <w:r>
        <w:rPr>
          <w:rFonts w:hint="eastAsia"/>
          <w:sz w:val="21"/>
          <w:szCs w:val="21"/>
        </w:rPr>
        <w:t>。</w:t>
      </w:r>
    </w:p>
    <w:p>
      <w:pPr>
        <w:pStyle w:val="59"/>
        <w:snapToGrid w:val="0"/>
        <w:spacing w:line="390" w:lineRule="exact"/>
        <w:ind w:firstLine="420" w:firstLineChars="200"/>
        <w:jc w:val="both"/>
        <w:rPr>
          <w:sz w:val="21"/>
          <w:szCs w:val="21"/>
        </w:rPr>
      </w:pPr>
      <w:r>
        <w:rPr>
          <w:rFonts w:hint="eastAsia"/>
          <w:sz w:val="21"/>
          <w:szCs w:val="21"/>
        </w:rPr>
        <w:t>（二）地点：1、现场获取：</w:t>
      </w:r>
      <w:r>
        <w:rPr>
          <w:rFonts w:hint="eastAsia"/>
          <w:b/>
          <w:bCs/>
          <w:sz w:val="21"/>
          <w:szCs w:val="21"/>
          <w:u w:val="single"/>
        </w:rPr>
        <w:t>四川雄烽建设工程管理有限公司招标部（四川省成都市锦江区三色路199号五冶大厦A2栋9楼）</w:t>
      </w:r>
      <w:r>
        <w:rPr>
          <w:rFonts w:hint="eastAsia"/>
          <w:sz w:val="21"/>
          <w:szCs w:val="21"/>
        </w:rPr>
        <w:t>；2、网络获取（电子邮件</w:t>
      </w:r>
      <w:r>
        <w:rPr>
          <w:rFonts w:hint="eastAsia"/>
          <w:b/>
          <w:bCs/>
          <w:sz w:val="21"/>
          <w:szCs w:val="21"/>
        </w:rPr>
        <w:t>328460792@qq.com</w:t>
      </w:r>
      <w:r>
        <w:rPr>
          <w:rFonts w:hint="eastAsia"/>
          <w:sz w:val="21"/>
          <w:szCs w:val="21"/>
        </w:rPr>
        <w:t>）。</w:t>
      </w:r>
    </w:p>
    <w:p>
      <w:pPr>
        <w:pStyle w:val="59"/>
        <w:snapToGrid w:val="0"/>
        <w:spacing w:line="390" w:lineRule="exact"/>
        <w:ind w:firstLine="420" w:firstLineChars="200"/>
        <w:jc w:val="both"/>
        <w:rPr>
          <w:sz w:val="21"/>
          <w:szCs w:val="21"/>
        </w:rPr>
      </w:pPr>
      <w:r>
        <w:rPr>
          <w:rFonts w:hint="eastAsia"/>
          <w:sz w:val="21"/>
          <w:szCs w:val="21"/>
        </w:rPr>
        <w:t>（三）获取方式：</w:t>
      </w:r>
    </w:p>
    <w:p>
      <w:pPr>
        <w:pStyle w:val="59"/>
        <w:snapToGrid w:val="0"/>
        <w:spacing w:line="390" w:lineRule="exact"/>
        <w:ind w:firstLine="420" w:firstLineChars="200"/>
        <w:jc w:val="both"/>
        <w:rPr>
          <w:sz w:val="21"/>
          <w:szCs w:val="21"/>
        </w:rPr>
      </w:pPr>
      <w:r>
        <w:rPr>
          <w:rFonts w:hint="eastAsia"/>
          <w:sz w:val="21"/>
          <w:szCs w:val="21"/>
        </w:rPr>
        <w:t>1、现场获取</w:t>
      </w:r>
      <w:bookmarkEnd w:id="30"/>
      <w:bookmarkStart w:id="31" w:name="PO_默认文件内容_6"/>
      <w:r>
        <w:rPr>
          <w:rFonts w:hint="eastAsia"/>
          <w:sz w:val="21"/>
          <w:szCs w:val="21"/>
        </w:rPr>
        <w:t>：</w:t>
      </w:r>
      <w:r>
        <w:rPr>
          <w:rFonts w:hint="eastAsia"/>
          <w:sz w:val="21"/>
          <w:szCs w:val="21"/>
          <w:u w:val="single"/>
        </w:rPr>
        <w:t xml:space="preserve">获取磋商文件时，经办人员当场提交以下资料：供应商为法人或者其他组织的，只需提供介绍信、经办人身份证明；供应商为自然人的，只需提供本人身份证明 </w:t>
      </w:r>
      <w:r>
        <w:rPr>
          <w:rFonts w:hint="eastAsia"/>
          <w:sz w:val="21"/>
          <w:szCs w:val="21"/>
        </w:rPr>
        <w:t>。</w:t>
      </w:r>
    </w:p>
    <w:p>
      <w:pPr>
        <w:pStyle w:val="59"/>
        <w:snapToGrid w:val="0"/>
        <w:spacing w:line="390" w:lineRule="exact"/>
        <w:ind w:firstLine="420" w:firstLineChars="200"/>
        <w:jc w:val="both"/>
        <w:rPr>
          <w:sz w:val="21"/>
          <w:szCs w:val="21"/>
        </w:rPr>
      </w:pPr>
      <w:r>
        <w:rPr>
          <w:rFonts w:hint="eastAsia"/>
          <w:sz w:val="21"/>
          <w:szCs w:val="21"/>
        </w:rPr>
        <w:t>2、网络获取：</w:t>
      </w:r>
      <w:r>
        <w:rPr>
          <w:rFonts w:hint="eastAsia"/>
          <w:sz w:val="21"/>
          <w:szCs w:val="21"/>
          <w:u w:val="single"/>
        </w:rPr>
        <w:fldChar w:fldCharType="begin"/>
      </w:r>
      <w:r>
        <w:rPr>
          <w:rFonts w:hint="eastAsia"/>
          <w:sz w:val="21"/>
          <w:szCs w:val="21"/>
          <w:u w:val="single"/>
        </w:rPr>
        <w:instrText xml:space="preserve"> HYPERLINK "mailto:供应商自行下载公告附件中的《供应商信息登记表》、《介绍信》；将填写完整的《供应商信息登记表》、《介绍信》、经办人身份证复印件加盖供应商公章（鲜章）后发送至328460792@qq.com。收到我公司发送的采购文件则为登记成功。《供应商信息登记表》、《介绍信》、经办人身份证复印件加盖供应商公章的原件请于磋商当日随响应文件一并递交" </w:instrText>
      </w:r>
      <w:r>
        <w:rPr>
          <w:rFonts w:hint="eastAsia"/>
          <w:sz w:val="21"/>
          <w:szCs w:val="21"/>
          <w:u w:val="single"/>
        </w:rPr>
        <w:fldChar w:fldCharType="separate"/>
      </w:r>
      <w:r>
        <w:rPr>
          <w:rFonts w:hint="eastAsia"/>
          <w:sz w:val="21"/>
          <w:szCs w:val="21"/>
          <w:u w:val="single"/>
        </w:rPr>
        <w:t>供应商自行下载公告附件中的《采购文件发售信息登记表》、《介绍信》；将填写完整的《</w:t>
      </w:r>
      <w:r>
        <w:rPr>
          <w:rFonts w:hint="eastAsia"/>
          <w:sz w:val="21"/>
          <w:szCs w:val="21"/>
          <w:u w:val="single"/>
          <w:lang w:eastAsia="zh-CN"/>
        </w:rPr>
        <w:t>采购文件发售信息登记表</w:t>
      </w:r>
      <w:r>
        <w:rPr>
          <w:rFonts w:hint="eastAsia"/>
          <w:sz w:val="21"/>
          <w:szCs w:val="21"/>
          <w:u w:val="single"/>
        </w:rPr>
        <w:t>》、《介绍信》、经办人身份证复印件（加盖供应商鲜章）发送至</w:t>
      </w:r>
      <w:r>
        <w:rPr>
          <w:rFonts w:hint="eastAsia"/>
          <w:b/>
          <w:bCs/>
          <w:sz w:val="21"/>
          <w:szCs w:val="21"/>
          <w:u w:val="single"/>
        </w:rPr>
        <w:t>328460792@qq.com</w:t>
      </w:r>
      <w:r>
        <w:rPr>
          <w:rFonts w:hint="eastAsia"/>
          <w:b w:val="0"/>
          <w:bCs w:val="0"/>
          <w:sz w:val="21"/>
          <w:szCs w:val="21"/>
          <w:u w:val="single"/>
          <w:lang w:eastAsia="zh-CN"/>
        </w:rPr>
        <w:t>（注：介绍信格式仅供参考）</w:t>
      </w:r>
      <w:r>
        <w:rPr>
          <w:rFonts w:hint="eastAsia"/>
          <w:sz w:val="21"/>
          <w:szCs w:val="21"/>
          <w:u w:val="single"/>
        </w:rPr>
        <w:t>。收到代理公司发送的采购文件则为登记成功。《</w:t>
      </w:r>
      <w:r>
        <w:rPr>
          <w:rFonts w:hint="eastAsia"/>
          <w:sz w:val="21"/>
          <w:szCs w:val="21"/>
          <w:u w:val="single"/>
          <w:lang w:eastAsia="zh-CN"/>
        </w:rPr>
        <w:t>采购文件发售信息登记表</w:t>
      </w:r>
      <w:r>
        <w:rPr>
          <w:rFonts w:hint="eastAsia"/>
          <w:sz w:val="21"/>
          <w:szCs w:val="21"/>
          <w:u w:val="single"/>
        </w:rPr>
        <w:t>》、《介绍信》、经办人身份证复印件（加盖供应商鲜章）等原件请于磋商当日随响应文件一并递交</w:t>
      </w:r>
      <w:r>
        <w:rPr>
          <w:rFonts w:hint="eastAsia"/>
          <w:sz w:val="21"/>
          <w:szCs w:val="21"/>
          <w:u w:val="single"/>
        </w:rPr>
        <w:fldChar w:fldCharType="end"/>
      </w:r>
      <w:r>
        <w:rPr>
          <w:rFonts w:hint="eastAsia"/>
          <w:sz w:val="21"/>
          <w:szCs w:val="21"/>
          <w:u w:val="single"/>
        </w:rPr>
        <w:t xml:space="preserve"> </w:t>
      </w:r>
      <w:r>
        <w:rPr>
          <w:rFonts w:hint="eastAsia"/>
          <w:sz w:val="21"/>
          <w:szCs w:val="21"/>
        </w:rPr>
        <w:t>。</w:t>
      </w:r>
    </w:p>
    <w:bookmarkEnd w:id="31"/>
    <w:p>
      <w:pPr>
        <w:snapToGrid w:val="0"/>
        <w:spacing w:line="390" w:lineRule="exact"/>
        <w:ind w:firstLine="420" w:firstLineChars="200"/>
        <w:rPr>
          <w:szCs w:val="21"/>
        </w:rPr>
      </w:pPr>
      <w:r>
        <w:rPr>
          <w:rFonts w:hint="eastAsia"/>
          <w:szCs w:val="21"/>
        </w:rPr>
        <w:t>（四）磋商文件售价：人民币</w:t>
      </w:r>
      <w:bookmarkStart w:id="32" w:name="PO_标书售价人民币_1"/>
      <w:r>
        <w:rPr>
          <w:rFonts w:hint="eastAsia"/>
          <w:szCs w:val="21"/>
        </w:rPr>
        <w:t xml:space="preserve"> 0 元</w:t>
      </w:r>
      <w:r>
        <w:rPr>
          <w:rFonts w:hint="eastAsia"/>
          <w:b/>
          <w:bCs/>
          <w:szCs w:val="21"/>
        </w:rPr>
        <w:t>/</w:t>
      </w:r>
      <w:r>
        <w:rPr>
          <w:rFonts w:hint="eastAsia"/>
          <w:szCs w:val="21"/>
        </w:rPr>
        <w:t>份</w:t>
      </w:r>
      <w:bookmarkEnd w:id="32"/>
      <w:r>
        <w:rPr>
          <w:rFonts w:hint="eastAsia"/>
          <w:szCs w:val="21"/>
        </w:rPr>
        <w:t>，磋商资格不能转让。</w:t>
      </w:r>
    </w:p>
    <w:p>
      <w:pPr>
        <w:snapToGrid w:val="0"/>
        <w:spacing w:line="390" w:lineRule="exact"/>
        <w:ind w:firstLine="422" w:firstLineChars="200"/>
        <w:rPr>
          <w:rFonts w:ascii="宋体" w:hAnsi="宋体" w:cs="宋体"/>
          <w:szCs w:val="21"/>
        </w:rPr>
      </w:pPr>
      <w:r>
        <w:rPr>
          <w:rFonts w:hint="eastAsia" w:ascii="宋体" w:hAnsi="宋体" w:cs="宋体"/>
          <w:b/>
          <w:szCs w:val="21"/>
        </w:rPr>
        <w:t>八、递交响应文件截止时间：</w:t>
      </w:r>
      <w:r>
        <w:rPr>
          <w:rFonts w:hint="eastAsia" w:ascii="宋体" w:hAnsi="宋体" w:cs="宋体"/>
          <w:b/>
          <w:szCs w:val="21"/>
          <w:u w:val="single"/>
        </w:rPr>
        <w:t>2021年</w:t>
      </w:r>
      <w:r>
        <w:rPr>
          <w:rFonts w:hint="eastAsia" w:ascii="宋体" w:hAnsi="宋体" w:cs="宋体"/>
          <w:b/>
          <w:bCs/>
          <w:szCs w:val="21"/>
          <w:u w:val="single"/>
        </w:rPr>
        <w:t xml:space="preserve"> </w:t>
      </w:r>
      <w:r>
        <w:rPr>
          <w:rFonts w:hint="eastAsia" w:ascii="宋体" w:hAnsi="宋体" w:cs="宋体"/>
          <w:b/>
          <w:bCs/>
          <w:szCs w:val="21"/>
          <w:u w:val="single"/>
          <w:lang w:val="en-US" w:eastAsia="zh-CN"/>
        </w:rPr>
        <w:t>7</w:t>
      </w:r>
      <w:r>
        <w:rPr>
          <w:rFonts w:hint="eastAsia" w:ascii="宋体" w:hAnsi="宋体" w:cs="宋体"/>
          <w:b/>
          <w:bCs/>
          <w:szCs w:val="21"/>
          <w:u w:val="single"/>
        </w:rPr>
        <w:t xml:space="preserve"> </w:t>
      </w:r>
      <w:r>
        <w:rPr>
          <w:rFonts w:hint="eastAsia" w:ascii="宋体" w:hAnsi="宋体" w:cs="宋体"/>
          <w:b/>
          <w:szCs w:val="21"/>
          <w:u w:val="single"/>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13</w:t>
      </w:r>
      <w:r>
        <w:rPr>
          <w:rFonts w:hint="eastAsia" w:ascii="宋体" w:hAnsi="宋体" w:cs="宋体"/>
          <w:b/>
          <w:bCs/>
          <w:szCs w:val="21"/>
          <w:u w:val="single"/>
        </w:rPr>
        <w:t xml:space="preserve"> </w:t>
      </w:r>
      <w:r>
        <w:rPr>
          <w:rFonts w:hint="eastAsia" w:ascii="宋体" w:hAnsi="宋体" w:cs="宋体"/>
          <w:b/>
          <w:szCs w:val="21"/>
          <w:u w:val="single"/>
        </w:rPr>
        <w:t>日10点00分</w:t>
      </w:r>
      <w:r>
        <w:rPr>
          <w:rFonts w:hint="eastAsia" w:ascii="宋体" w:hAnsi="宋体" w:cs="宋体"/>
          <w:b/>
          <w:szCs w:val="21"/>
        </w:rPr>
        <w:t>（</w:t>
      </w:r>
      <w:r>
        <w:rPr>
          <w:rFonts w:hint="eastAsia" w:ascii="宋体" w:hAnsi="宋体" w:cs="宋体"/>
          <w:szCs w:val="21"/>
        </w:rPr>
        <w:t xml:space="preserve">北京时间）。 </w:t>
      </w:r>
    </w:p>
    <w:p>
      <w:pPr>
        <w:snapToGrid w:val="0"/>
        <w:spacing w:line="390" w:lineRule="exact"/>
        <w:ind w:firstLine="422" w:firstLineChars="200"/>
        <w:rPr>
          <w:rFonts w:ascii="宋体" w:hAnsi="宋体" w:cs="宋体"/>
          <w:szCs w:val="21"/>
        </w:rPr>
      </w:pPr>
      <w:r>
        <w:rPr>
          <w:rFonts w:hint="eastAsia" w:ascii="宋体" w:hAnsi="宋体" w:cs="宋体"/>
          <w:b/>
          <w:szCs w:val="21"/>
        </w:rPr>
        <w:t>九、递交响应文件地点：</w:t>
      </w:r>
      <w:bookmarkStart w:id="33" w:name="PO_默认文件内容_7"/>
      <w:r>
        <w:rPr>
          <w:rFonts w:hint="eastAsia" w:ascii="宋体" w:hAnsi="宋体" w:cs="宋体"/>
          <w:szCs w:val="21"/>
        </w:rPr>
        <w:t>响应文件必须在递交响应文件截止时间前送达磋商地点。逾期送达或没有密封的响应文件恕不接收。本次采购不接收邮寄的响应文件</w:t>
      </w:r>
      <w:bookmarkEnd w:id="33"/>
      <w:r>
        <w:rPr>
          <w:rFonts w:hint="eastAsia" w:ascii="宋体" w:hAnsi="宋体" w:cs="宋体"/>
          <w:szCs w:val="21"/>
        </w:rPr>
        <w:t>。</w:t>
      </w:r>
    </w:p>
    <w:p>
      <w:pPr>
        <w:snapToGrid w:val="0"/>
        <w:spacing w:line="390" w:lineRule="exact"/>
        <w:ind w:firstLine="422" w:firstLineChars="200"/>
        <w:rPr>
          <w:rFonts w:ascii="宋体" w:hAnsi="宋体" w:cs="宋体"/>
          <w:szCs w:val="21"/>
        </w:rPr>
      </w:pPr>
      <w:r>
        <w:rPr>
          <w:rFonts w:hint="eastAsia" w:ascii="宋体" w:hAnsi="宋体" w:cs="宋体"/>
          <w:b/>
          <w:szCs w:val="21"/>
        </w:rPr>
        <w:t>十、响应文件接收时间</w:t>
      </w:r>
      <w:r>
        <w:rPr>
          <w:rFonts w:hint="eastAsia" w:ascii="宋体" w:hAnsi="宋体" w:cs="宋体"/>
          <w:b/>
          <w:bCs/>
          <w:szCs w:val="21"/>
        </w:rPr>
        <w:t>：</w:t>
      </w:r>
      <w:r>
        <w:rPr>
          <w:rFonts w:hint="eastAsia" w:ascii="宋体" w:hAnsi="宋体" w:cs="宋体"/>
          <w:b/>
          <w:szCs w:val="21"/>
          <w:u w:val="single"/>
        </w:rPr>
        <w:t>2021年</w:t>
      </w:r>
      <w:r>
        <w:rPr>
          <w:rFonts w:hint="eastAsia" w:ascii="宋体" w:hAnsi="宋体" w:cs="宋体"/>
          <w:b/>
          <w:bCs/>
          <w:szCs w:val="21"/>
          <w:u w:val="single"/>
        </w:rPr>
        <w:t xml:space="preserve"> </w:t>
      </w:r>
      <w:r>
        <w:rPr>
          <w:rFonts w:hint="eastAsia" w:ascii="宋体" w:hAnsi="宋体" w:cs="宋体"/>
          <w:b/>
          <w:bCs/>
          <w:szCs w:val="21"/>
          <w:u w:val="single"/>
          <w:lang w:val="en-US" w:eastAsia="zh-CN"/>
        </w:rPr>
        <w:t>7</w:t>
      </w:r>
      <w:r>
        <w:rPr>
          <w:rFonts w:hint="eastAsia" w:ascii="宋体" w:hAnsi="宋体" w:cs="宋体"/>
          <w:b/>
          <w:bCs/>
          <w:szCs w:val="21"/>
          <w:u w:val="single"/>
        </w:rPr>
        <w:t xml:space="preserve"> </w:t>
      </w:r>
      <w:r>
        <w:rPr>
          <w:rFonts w:hint="eastAsia" w:ascii="宋体" w:hAnsi="宋体" w:cs="宋体"/>
          <w:b/>
          <w:szCs w:val="21"/>
          <w:u w:val="single"/>
        </w:rPr>
        <w:t xml:space="preserve">月 </w:t>
      </w:r>
      <w:r>
        <w:rPr>
          <w:rFonts w:hint="eastAsia" w:ascii="宋体" w:hAnsi="宋体" w:cs="宋体"/>
          <w:b/>
          <w:szCs w:val="21"/>
          <w:u w:val="single"/>
          <w:lang w:val="en-US" w:eastAsia="zh-CN"/>
        </w:rPr>
        <w:t>13</w:t>
      </w:r>
      <w:r>
        <w:rPr>
          <w:rFonts w:hint="eastAsia" w:ascii="宋体" w:hAnsi="宋体" w:cs="宋体"/>
          <w:b/>
          <w:szCs w:val="21"/>
          <w:u w:val="single"/>
        </w:rPr>
        <w:t xml:space="preserve"> 日09点10分</w:t>
      </w:r>
      <w:r>
        <w:rPr>
          <w:rFonts w:hint="eastAsia" w:ascii="宋体" w:hAnsi="宋体" w:cs="宋体"/>
          <w:b/>
          <w:bCs/>
          <w:szCs w:val="21"/>
          <w:u w:val="single"/>
        </w:rPr>
        <w:t>-</w:t>
      </w:r>
      <w:r>
        <w:rPr>
          <w:rFonts w:hint="eastAsia" w:ascii="宋体" w:hAnsi="宋体" w:cs="宋体"/>
          <w:b/>
          <w:szCs w:val="21"/>
          <w:u w:val="single"/>
        </w:rPr>
        <w:t>10点00分</w:t>
      </w:r>
      <w:r>
        <w:rPr>
          <w:rFonts w:hint="eastAsia" w:ascii="宋体" w:hAnsi="宋体" w:cs="宋体"/>
          <w:szCs w:val="21"/>
        </w:rPr>
        <w:t>。</w:t>
      </w:r>
    </w:p>
    <w:p>
      <w:pPr>
        <w:snapToGrid w:val="0"/>
        <w:spacing w:line="390" w:lineRule="exact"/>
        <w:ind w:firstLine="422" w:firstLineChars="200"/>
        <w:rPr>
          <w:rFonts w:ascii="宋体" w:hAnsi="宋体" w:cs="宋体"/>
          <w:szCs w:val="21"/>
        </w:rPr>
      </w:pPr>
      <w:r>
        <w:rPr>
          <w:rFonts w:hint="eastAsia" w:ascii="宋体" w:hAnsi="宋体" w:cs="宋体"/>
          <w:b/>
          <w:szCs w:val="21"/>
        </w:rPr>
        <w:t>十一、响应文件开启时间：</w:t>
      </w:r>
      <w:r>
        <w:rPr>
          <w:rFonts w:hint="eastAsia" w:ascii="宋体" w:hAnsi="宋体" w:cs="宋体"/>
          <w:b/>
          <w:szCs w:val="21"/>
          <w:u w:val="single"/>
        </w:rPr>
        <w:t>2021年</w:t>
      </w:r>
      <w:r>
        <w:rPr>
          <w:rFonts w:hint="eastAsia" w:ascii="宋体" w:hAnsi="宋体" w:cs="宋体"/>
          <w:b/>
          <w:bCs/>
          <w:szCs w:val="21"/>
          <w:u w:val="single"/>
        </w:rPr>
        <w:t xml:space="preserve"> </w:t>
      </w:r>
      <w:r>
        <w:rPr>
          <w:rFonts w:hint="eastAsia" w:ascii="宋体" w:hAnsi="宋体" w:cs="宋体"/>
          <w:b/>
          <w:bCs/>
          <w:szCs w:val="21"/>
          <w:u w:val="single"/>
          <w:lang w:val="en-US" w:eastAsia="zh-CN"/>
        </w:rPr>
        <w:t>7</w:t>
      </w:r>
      <w:r>
        <w:rPr>
          <w:rFonts w:hint="eastAsia" w:ascii="宋体" w:hAnsi="宋体" w:cs="宋体"/>
          <w:b/>
          <w:bCs/>
          <w:szCs w:val="21"/>
          <w:u w:val="single"/>
        </w:rPr>
        <w:t xml:space="preserve"> </w:t>
      </w:r>
      <w:r>
        <w:rPr>
          <w:rFonts w:hint="eastAsia" w:ascii="宋体" w:hAnsi="宋体" w:cs="宋体"/>
          <w:b/>
          <w:szCs w:val="21"/>
          <w:u w:val="single"/>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13</w:t>
      </w:r>
      <w:r>
        <w:rPr>
          <w:rFonts w:hint="eastAsia" w:ascii="宋体" w:hAnsi="宋体" w:cs="宋体"/>
          <w:b/>
          <w:bCs/>
          <w:szCs w:val="21"/>
          <w:u w:val="single"/>
        </w:rPr>
        <w:t xml:space="preserve"> </w:t>
      </w:r>
      <w:r>
        <w:rPr>
          <w:rFonts w:hint="eastAsia" w:ascii="宋体" w:hAnsi="宋体" w:cs="宋体"/>
          <w:b/>
          <w:szCs w:val="21"/>
          <w:u w:val="single"/>
        </w:rPr>
        <w:t>日10点00分</w:t>
      </w:r>
      <w:r>
        <w:rPr>
          <w:rFonts w:hint="eastAsia" w:ascii="宋体" w:hAnsi="宋体" w:cs="宋体"/>
          <w:b/>
          <w:bCs/>
          <w:szCs w:val="21"/>
          <w:u w:val="single"/>
        </w:rPr>
        <w:t>（北京时间）在磋商地点开启</w:t>
      </w:r>
      <w:r>
        <w:rPr>
          <w:rFonts w:hint="eastAsia" w:ascii="宋体" w:hAnsi="宋体" w:cs="宋体"/>
          <w:szCs w:val="21"/>
        </w:rPr>
        <w:t>。</w:t>
      </w:r>
    </w:p>
    <w:p>
      <w:pPr>
        <w:pStyle w:val="54"/>
        <w:snapToGrid w:val="0"/>
        <w:spacing w:line="390" w:lineRule="exact"/>
        <w:ind w:firstLine="422"/>
        <w:rPr>
          <w:rFonts w:ascii="宋体" w:hAnsi="宋体" w:cs="宋体"/>
          <w:szCs w:val="21"/>
        </w:rPr>
      </w:pPr>
      <w:r>
        <w:rPr>
          <w:rFonts w:hint="eastAsia" w:ascii="宋体" w:hAnsi="宋体" w:cs="宋体"/>
          <w:b/>
          <w:szCs w:val="21"/>
        </w:rPr>
        <w:t>十二、磋商地点：</w:t>
      </w:r>
      <w:bookmarkStart w:id="34" w:name="PO_开标地址_1"/>
      <w:r>
        <w:rPr>
          <w:rFonts w:hint="eastAsia" w:ascii="宋体" w:hAnsi="宋体" w:cs="宋体"/>
          <w:b/>
          <w:bCs/>
          <w:szCs w:val="21"/>
          <w:u w:val="single"/>
        </w:rPr>
        <w:t>四川雄烽建设工程管理有限公司</w:t>
      </w:r>
      <w:r>
        <w:rPr>
          <w:rFonts w:hint="eastAsia" w:ascii="宋体" w:hAnsi="宋体" w:cs="宋体"/>
          <w:b/>
          <w:bCs/>
          <w:szCs w:val="21"/>
          <w:u w:val="single"/>
          <w:lang w:eastAsia="zh-CN"/>
        </w:rPr>
        <w:t>本项目</w:t>
      </w:r>
      <w:r>
        <w:rPr>
          <w:rFonts w:hint="eastAsia" w:ascii="宋体" w:hAnsi="宋体" w:cs="宋体"/>
          <w:b/>
          <w:bCs/>
          <w:szCs w:val="21"/>
          <w:u w:val="single"/>
        </w:rPr>
        <w:t>开标室（四川省成都市锦江区三色路199号五冶大厦A2栋9楼）</w:t>
      </w:r>
      <w:bookmarkEnd w:id="34"/>
      <w:r>
        <w:rPr>
          <w:rFonts w:hint="eastAsia" w:ascii="宋体" w:hAnsi="宋体" w:cs="宋体"/>
          <w:b/>
          <w:bCs/>
          <w:szCs w:val="21"/>
          <w:u w:val="single"/>
        </w:rPr>
        <w:t>。</w:t>
      </w:r>
    </w:p>
    <w:p>
      <w:pPr>
        <w:pStyle w:val="54"/>
        <w:snapToGrid w:val="0"/>
        <w:spacing w:line="390" w:lineRule="exact"/>
        <w:ind w:firstLine="422"/>
        <w:rPr>
          <w:rFonts w:ascii="宋体" w:hAnsi="宋体" w:cs="宋体"/>
          <w:b/>
          <w:szCs w:val="21"/>
        </w:rPr>
      </w:pPr>
      <w:r>
        <w:rPr>
          <w:rFonts w:hint="eastAsia" w:ascii="宋体" w:hAnsi="宋体" w:cs="宋体"/>
          <w:b/>
          <w:szCs w:val="21"/>
        </w:rPr>
        <w:t>十三、供应商信用融资</w:t>
      </w:r>
    </w:p>
    <w:p>
      <w:pPr>
        <w:pStyle w:val="54"/>
        <w:widowControl/>
        <w:spacing w:line="400" w:lineRule="exact"/>
        <w:ind w:firstLine="420"/>
        <w:rPr>
          <w:szCs w:val="21"/>
        </w:rPr>
      </w:pPr>
      <w:r>
        <w:rPr>
          <w:rFonts w:hint="eastAsia" w:ascii="宋体" w:hAnsi="宋体" w:cs="宋体"/>
          <w:szCs w:val="21"/>
        </w:rPr>
        <w:t>根据《四川省财政厅关于推进四川省政府采购供应商信用融资工作的通知》（川财采[2018]123号）文件要求，为助力解决政府采购中标、成交供应商资金不足、融资难、融资贵的困难，促进供应商依法诚信参加政府采购活动，</w:t>
      </w:r>
      <w:r>
        <w:rPr>
          <w:rFonts w:hint="eastAsia"/>
          <w:szCs w:val="21"/>
        </w:rPr>
        <w:t>成都市财政局、中国人民银行成都分行营业管理部制定了《成都市中小企业政府采购信用融资暂行办法》和《成都市级支持中小企业政府采购信用融资实施方案》，四川天府新区成都管理委员会财政金融局制定了《四川天府新区成都委员会支持中小企业政府采购信用融资实施方案》。成都市范围内政府采购项目中标（成交）的中小微企业可向开展政府采购信用融资业务的银行提出融资申请（具体内容详见“《成都市财政局中国人民银行成都分行营业管理部关于印发〈成都市中小企业政府采购信用融资暂行办法〉和〈成都市级支持中小企业政府采购信用融资实施方案〉的通知》（成财采[2019]17号）、《四川天府新区成都管理委员会财政金融局关于印发〈四川天府新区成都委员会支持中小企业政府采购信用融资实施方案〉的通知》（天成管财[2019]71号）。</w:t>
      </w:r>
    </w:p>
    <w:p>
      <w:pPr>
        <w:pStyle w:val="54"/>
        <w:snapToGrid w:val="0"/>
        <w:spacing w:line="390" w:lineRule="exact"/>
        <w:ind w:firstLine="422"/>
        <w:rPr>
          <w:rFonts w:ascii="宋体" w:hAnsi="宋体" w:cs="宋体"/>
          <w:b/>
          <w:szCs w:val="21"/>
        </w:rPr>
      </w:pPr>
      <w:r>
        <w:rPr>
          <w:rFonts w:hint="eastAsia" w:ascii="宋体" w:hAnsi="宋体" w:cs="宋体"/>
          <w:b/>
          <w:szCs w:val="21"/>
        </w:rPr>
        <w:t>十三、联系方式</w:t>
      </w:r>
    </w:p>
    <w:p>
      <w:pPr>
        <w:pStyle w:val="59"/>
        <w:snapToGrid w:val="0"/>
        <w:spacing w:line="390" w:lineRule="exact"/>
        <w:ind w:firstLine="420" w:firstLineChars="200"/>
        <w:jc w:val="both"/>
        <w:rPr>
          <w:sz w:val="21"/>
          <w:szCs w:val="21"/>
        </w:rPr>
      </w:pPr>
      <w:r>
        <w:rPr>
          <w:rFonts w:hint="eastAsia"/>
          <w:sz w:val="21"/>
          <w:szCs w:val="21"/>
        </w:rPr>
        <w:t>采购人：四川天府新区生态环境和城市管理局</w:t>
      </w:r>
    </w:p>
    <w:p>
      <w:pPr>
        <w:pStyle w:val="59"/>
        <w:snapToGrid w:val="0"/>
        <w:spacing w:line="390" w:lineRule="exact"/>
        <w:ind w:firstLine="420" w:firstLineChars="200"/>
        <w:jc w:val="both"/>
        <w:rPr>
          <w:sz w:val="21"/>
          <w:szCs w:val="21"/>
        </w:rPr>
      </w:pPr>
      <w:r>
        <w:rPr>
          <w:rFonts w:hint="eastAsia"/>
          <w:sz w:val="21"/>
          <w:szCs w:val="21"/>
        </w:rPr>
        <w:t>通讯地址：四川省成都市天府大道南段2028号石化大厦</w:t>
      </w:r>
    </w:p>
    <w:p>
      <w:pPr>
        <w:pStyle w:val="59"/>
        <w:snapToGrid w:val="0"/>
        <w:spacing w:line="390" w:lineRule="exact"/>
        <w:ind w:firstLine="420" w:firstLineChars="200"/>
        <w:jc w:val="both"/>
        <w:rPr>
          <w:sz w:val="21"/>
          <w:szCs w:val="21"/>
        </w:rPr>
      </w:pPr>
      <w:r>
        <w:rPr>
          <w:rFonts w:hint="eastAsia"/>
          <w:sz w:val="21"/>
          <w:szCs w:val="21"/>
        </w:rPr>
        <w:t>联系人：王女士</w:t>
      </w:r>
    </w:p>
    <w:p>
      <w:pPr>
        <w:pStyle w:val="59"/>
        <w:snapToGrid w:val="0"/>
        <w:spacing w:line="390" w:lineRule="exact"/>
        <w:ind w:firstLine="420" w:firstLineChars="200"/>
        <w:jc w:val="both"/>
        <w:rPr>
          <w:sz w:val="21"/>
          <w:szCs w:val="21"/>
        </w:rPr>
      </w:pPr>
      <w:r>
        <w:rPr>
          <w:rFonts w:hint="eastAsia"/>
          <w:sz w:val="21"/>
          <w:szCs w:val="21"/>
        </w:rPr>
        <w:t>联系电话：028-68774108</w:t>
      </w:r>
    </w:p>
    <w:p>
      <w:pPr>
        <w:pStyle w:val="59"/>
        <w:snapToGrid w:val="0"/>
        <w:spacing w:line="390" w:lineRule="exact"/>
        <w:ind w:firstLine="420" w:firstLineChars="200"/>
        <w:jc w:val="both"/>
        <w:rPr>
          <w:sz w:val="21"/>
          <w:szCs w:val="21"/>
        </w:rPr>
      </w:pPr>
      <w:r>
        <w:rPr>
          <w:rFonts w:hint="eastAsia"/>
          <w:sz w:val="21"/>
          <w:szCs w:val="21"/>
        </w:rPr>
        <w:t>采购代理机构：四川雄烽建设工程管理有限公司</w:t>
      </w:r>
    </w:p>
    <w:p>
      <w:pPr>
        <w:pStyle w:val="59"/>
        <w:snapToGrid w:val="0"/>
        <w:spacing w:line="390" w:lineRule="exact"/>
        <w:ind w:firstLine="420" w:firstLineChars="200"/>
        <w:jc w:val="both"/>
        <w:rPr>
          <w:sz w:val="21"/>
          <w:szCs w:val="21"/>
        </w:rPr>
      </w:pPr>
      <w:r>
        <w:rPr>
          <w:rFonts w:hint="eastAsia"/>
          <w:sz w:val="21"/>
          <w:szCs w:val="21"/>
        </w:rPr>
        <w:t>通讯地址：</w:t>
      </w:r>
      <w:bookmarkStart w:id="35" w:name="PO_代理公司地址_1"/>
      <w:r>
        <w:rPr>
          <w:rFonts w:hint="eastAsia"/>
          <w:sz w:val="21"/>
          <w:szCs w:val="21"/>
        </w:rPr>
        <w:t>四川省成都市锦江区三色路199号五冶大厦A2栋9楼</w:t>
      </w:r>
    </w:p>
    <w:bookmarkEnd w:id="35"/>
    <w:p>
      <w:pPr>
        <w:pStyle w:val="59"/>
        <w:snapToGrid w:val="0"/>
        <w:spacing w:line="390" w:lineRule="exact"/>
        <w:ind w:firstLine="420" w:firstLineChars="200"/>
        <w:jc w:val="both"/>
        <w:rPr>
          <w:sz w:val="21"/>
          <w:szCs w:val="21"/>
        </w:rPr>
      </w:pPr>
      <w:r>
        <w:rPr>
          <w:rFonts w:hint="eastAsia"/>
          <w:sz w:val="21"/>
          <w:szCs w:val="21"/>
        </w:rPr>
        <w:t>联系人：董先生</w:t>
      </w:r>
    </w:p>
    <w:p>
      <w:pPr>
        <w:pStyle w:val="59"/>
        <w:snapToGrid w:val="0"/>
        <w:spacing w:line="390" w:lineRule="exact"/>
        <w:ind w:firstLine="420" w:firstLineChars="200"/>
        <w:jc w:val="both"/>
        <w:rPr>
          <w:sz w:val="21"/>
          <w:szCs w:val="21"/>
        </w:rPr>
      </w:pPr>
      <w:r>
        <w:rPr>
          <w:rFonts w:hint="eastAsia"/>
          <w:sz w:val="21"/>
          <w:szCs w:val="21"/>
        </w:rPr>
        <w:t>联系电话：</w:t>
      </w:r>
      <w:bookmarkStart w:id="36" w:name="PO_项目负责人电话_1"/>
      <w:r>
        <w:rPr>
          <w:rFonts w:hint="eastAsia"/>
          <w:sz w:val="21"/>
          <w:szCs w:val="21"/>
        </w:rPr>
        <w:t>028-</w:t>
      </w:r>
      <w:bookmarkEnd w:id="36"/>
      <w:r>
        <w:rPr>
          <w:rFonts w:hint="eastAsia"/>
          <w:sz w:val="21"/>
          <w:szCs w:val="21"/>
        </w:rPr>
        <w:t>86055792转8011</w:t>
      </w:r>
    </w:p>
    <w:p>
      <w:pPr>
        <w:pStyle w:val="59"/>
        <w:snapToGrid w:val="0"/>
        <w:spacing w:line="390" w:lineRule="exact"/>
        <w:ind w:firstLine="420" w:firstLineChars="200"/>
        <w:jc w:val="both"/>
        <w:rPr>
          <w:szCs w:val="28"/>
        </w:rPr>
      </w:pPr>
      <w:r>
        <w:rPr>
          <w:rFonts w:hint="eastAsia"/>
          <w:sz w:val="21"/>
          <w:szCs w:val="21"/>
        </w:rPr>
        <w:t>邮编：</w:t>
      </w:r>
      <w:bookmarkStart w:id="37" w:name="PO_代理公司邮编_1"/>
      <w:r>
        <w:rPr>
          <w:rFonts w:hint="eastAsia"/>
          <w:sz w:val="21"/>
          <w:szCs w:val="21"/>
        </w:rPr>
        <w:t>610000</w:t>
      </w:r>
      <w:bookmarkEnd w:id="37"/>
    </w:p>
    <w:p>
      <w:pPr>
        <w:pStyle w:val="3"/>
        <w:spacing w:before="0" w:after="0" w:line="360" w:lineRule="auto"/>
      </w:pPr>
      <w:bookmarkStart w:id="38" w:name="_Toc217446031"/>
      <w:bookmarkStart w:id="39" w:name="_Toc213397009"/>
      <w:bookmarkStart w:id="40" w:name="_Toc213396945"/>
      <w:bookmarkStart w:id="41" w:name="_Toc213396759"/>
      <w:bookmarkStart w:id="42" w:name="_Toc213496267"/>
      <w:bookmarkStart w:id="43" w:name="_Toc511206476"/>
      <w:r>
        <w:br w:type="page"/>
      </w:r>
      <w:bookmarkStart w:id="44" w:name="_Toc5847"/>
      <w:bookmarkStart w:id="45" w:name="_Toc22189"/>
      <w:bookmarkStart w:id="46" w:name="_Toc29044"/>
      <w:bookmarkStart w:id="47" w:name="_Toc4978"/>
      <w:bookmarkStart w:id="48" w:name="_Toc32689"/>
      <w:bookmarkStart w:id="49" w:name="_Toc5004982"/>
      <w:bookmarkStart w:id="50" w:name="_Toc20646"/>
      <w:bookmarkStart w:id="51" w:name="_Toc24946"/>
      <w:bookmarkStart w:id="52" w:name="_Toc27296"/>
      <w:bookmarkStart w:id="53" w:name="_Toc4872_WPSOffice_Level1"/>
      <w:bookmarkStart w:id="54" w:name="_Toc13844"/>
      <w:r>
        <w:rPr>
          <w:rFonts w:hint="eastAsia"/>
        </w:rPr>
        <w:t>第二章  磋商须知</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spacing w:before="0" w:after="0" w:line="360" w:lineRule="auto"/>
      </w:pPr>
      <w:bookmarkStart w:id="55" w:name="_Toc23974"/>
      <w:bookmarkStart w:id="56" w:name="_Toc3358"/>
      <w:bookmarkStart w:id="57" w:name="_Toc477"/>
      <w:bookmarkStart w:id="58" w:name="_Toc30147"/>
      <w:bookmarkStart w:id="59" w:name="_Toc356"/>
      <w:bookmarkStart w:id="60" w:name="_Toc4659679"/>
      <w:bookmarkStart w:id="61" w:name="_Toc4578817"/>
      <w:bookmarkStart w:id="62" w:name="_Toc18831_WPSOffice_Level2"/>
      <w:bookmarkStart w:id="63" w:name="_Toc3291"/>
      <w:bookmarkStart w:id="64" w:name="_Toc24491"/>
      <w:bookmarkStart w:id="65" w:name="_Toc5004983"/>
      <w:bookmarkStart w:id="66" w:name="_Toc17976"/>
      <w:r>
        <w:rPr>
          <w:rFonts w:hint="eastAsia"/>
        </w:rPr>
        <w:t>一、供应商须知附表</w:t>
      </w:r>
      <w:bookmarkEnd w:id="55"/>
      <w:bookmarkEnd w:id="56"/>
      <w:bookmarkEnd w:id="57"/>
      <w:bookmarkEnd w:id="58"/>
      <w:bookmarkEnd w:id="59"/>
      <w:bookmarkEnd w:id="60"/>
      <w:bookmarkEnd w:id="61"/>
      <w:bookmarkEnd w:id="62"/>
      <w:bookmarkEnd w:id="63"/>
      <w:bookmarkEnd w:id="64"/>
      <w:bookmarkEnd w:id="65"/>
      <w:bookmarkEnd w:id="66"/>
    </w:p>
    <w:tbl>
      <w:tblPr>
        <w:tblStyle w:val="3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shd w:val="clear" w:color="auto" w:fill="F1F1F1" w:themeFill="background1" w:themeFillShade="F2"/>
            <w:vAlign w:val="center"/>
          </w:tcPr>
          <w:p>
            <w:pPr>
              <w:pStyle w:val="59"/>
              <w:snapToGrid w:val="0"/>
              <w:spacing w:before="93" w:beforeLines="30" w:after="93" w:afterLines="30" w:line="360" w:lineRule="exact"/>
              <w:ind w:left="9"/>
              <w:jc w:val="center"/>
              <w:rPr>
                <w:b/>
                <w:bCs/>
                <w:sz w:val="21"/>
                <w:szCs w:val="21"/>
                <w:lang w:val="zh-CN"/>
              </w:rPr>
            </w:pPr>
            <w:r>
              <w:rPr>
                <w:rFonts w:hint="eastAsia"/>
                <w:b/>
                <w:bCs/>
                <w:sz w:val="21"/>
                <w:szCs w:val="21"/>
                <w:lang w:val="zh-CN"/>
              </w:rPr>
              <w:t>序号</w:t>
            </w:r>
          </w:p>
        </w:tc>
        <w:tc>
          <w:tcPr>
            <w:tcW w:w="2409" w:type="dxa"/>
            <w:shd w:val="clear" w:color="auto" w:fill="F1F1F1" w:themeFill="background1" w:themeFillShade="F2"/>
            <w:vAlign w:val="center"/>
          </w:tcPr>
          <w:p>
            <w:pPr>
              <w:pStyle w:val="59"/>
              <w:snapToGrid w:val="0"/>
              <w:spacing w:before="93" w:beforeLines="30" w:after="93" w:afterLines="30" w:line="360" w:lineRule="exact"/>
              <w:ind w:left="38"/>
              <w:jc w:val="center"/>
              <w:rPr>
                <w:b/>
                <w:bCs/>
                <w:sz w:val="21"/>
                <w:szCs w:val="21"/>
                <w:lang w:val="zh-CN"/>
              </w:rPr>
            </w:pPr>
            <w:r>
              <w:rPr>
                <w:rFonts w:hint="eastAsia"/>
                <w:b/>
                <w:bCs/>
                <w:sz w:val="21"/>
                <w:szCs w:val="21"/>
                <w:lang w:val="zh-CN"/>
              </w:rPr>
              <w:t>应知事项</w:t>
            </w:r>
          </w:p>
        </w:tc>
        <w:tc>
          <w:tcPr>
            <w:tcW w:w="6084" w:type="dxa"/>
            <w:shd w:val="clear" w:color="auto" w:fill="F1F1F1" w:themeFill="background1" w:themeFillShade="F2"/>
            <w:vAlign w:val="center"/>
          </w:tcPr>
          <w:p>
            <w:pPr>
              <w:pStyle w:val="59"/>
              <w:snapToGrid w:val="0"/>
              <w:spacing w:before="156" w:beforeLines="50" w:line="360" w:lineRule="auto"/>
              <w:jc w:val="center"/>
              <w:rPr>
                <w:b/>
                <w:bCs/>
                <w:sz w:val="21"/>
                <w:szCs w:val="21"/>
                <w:lang w:val="zh-CN"/>
              </w:rPr>
            </w:pPr>
            <w:r>
              <w:rPr>
                <w:rFonts w:hint="eastAsia"/>
                <w:b/>
                <w:bCs/>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sz w:val="21"/>
                <w:szCs w:val="21"/>
              </w:rPr>
            </w:pPr>
            <w:r>
              <w:rPr>
                <w:rFonts w:hint="eastAsia"/>
                <w:sz w:val="21"/>
                <w:szCs w:val="21"/>
              </w:rPr>
              <w:t>1</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确定邀请磋商的供应商数量和方式</w:t>
            </w:r>
          </w:p>
        </w:tc>
        <w:tc>
          <w:tcPr>
            <w:tcW w:w="6084" w:type="dxa"/>
            <w:vAlign w:val="center"/>
          </w:tcPr>
          <w:p>
            <w:pPr>
              <w:wordWrap w:val="0"/>
              <w:snapToGrid w:val="0"/>
              <w:spacing w:before="62" w:beforeLines="20" w:after="62" w:afterLines="20" w:line="360" w:lineRule="exact"/>
              <w:ind w:firstLine="210" w:firstLineChars="100"/>
              <w:rPr>
                <w:szCs w:val="21"/>
                <w:lang w:val="zh-CN"/>
              </w:rPr>
            </w:pPr>
            <w:r>
              <w:rPr>
                <w:rFonts w:hint="eastAsia" w:ascii="宋体" w:hAnsi="宋体" w:cs="宋体"/>
                <w:szCs w:val="21"/>
                <w:lang w:val="zh-CN"/>
              </w:rPr>
              <w:t>本次磋商邀请的供应商数量：3家及以上，</w:t>
            </w:r>
            <w:r>
              <w:rPr>
                <w:rFonts w:hint="eastAsia"/>
                <w:szCs w:val="21"/>
                <w:lang w:val="zh-CN"/>
              </w:rPr>
              <w:t>本次采购采取在</w:t>
            </w:r>
            <w:r>
              <w:rPr>
                <w:rFonts w:hint="eastAsia"/>
                <w:szCs w:val="21"/>
                <w:u w:val="single"/>
                <w:lang w:val="zh-CN"/>
              </w:rPr>
              <w:t>四川政府采购网（网址http://www.ccgp-ichuan.gov.cn/）</w:t>
            </w:r>
            <w:r>
              <w:rPr>
                <w:rFonts w:hint="eastAsia"/>
                <w:szCs w:val="21"/>
                <w:lang w:val="zh-CN"/>
              </w:rPr>
              <w:t>以公告形式发布邀请参加磋商的供应商。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3" w:hRule="atLeast"/>
          <w:jc w:val="center"/>
        </w:trPr>
        <w:tc>
          <w:tcPr>
            <w:tcW w:w="1013" w:type="dxa"/>
            <w:vAlign w:val="center"/>
          </w:tcPr>
          <w:p>
            <w:pPr>
              <w:pStyle w:val="59"/>
              <w:snapToGrid w:val="0"/>
              <w:spacing w:before="93" w:beforeLines="30" w:after="93" w:afterLines="30" w:line="360" w:lineRule="exact"/>
              <w:jc w:val="center"/>
              <w:rPr>
                <w:sz w:val="21"/>
                <w:szCs w:val="21"/>
                <w:lang w:val="zh-CN"/>
              </w:rPr>
            </w:pPr>
            <w:r>
              <w:rPr>
                <w:rFonts w:hint="eastAsia"/>
                <w:sz w:val="21"/>
                <w:szCs w:val="21"/>
              </w:rPr>
              <w:t>2</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采购预算</w:t>
            </w:r>
          </w:p>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（实质性要求）</w:t>
            </w:r>
          </w:p>
        </w:tc>
        <w:tc>
          <w:tcPr>
            <w:tcW w:w="6084" w:type="dxa"/>
            <w:vAlign w:val="center"/>
          </w:tcPr>
          <w:p>
            <w:pPr>
              <w:snapToGrid w:val="0"/>
              <w:spacing w:before="62" w:beforeLines="20" w:after="62" w:afterLines="20" w:line="360" w:lineRule="exact"/>
              <w:ind w:firstLine="211" w:firstLineChars="100"/>
              <w:rPr>
                <w:b/>
                <w:bCs/>
              </w:rPr>
            </w:pPr>
            <w:r>
              <w:rPr>
                <w:rFonts w:hint="eastAsia"/>
                <w:b/>
                <w:bCs/>
                <w:lang w:val="zh-CN"/>
              </w:rPr>
              <w:t>采购预算：</w:t>
            </w:r>
            <w:r>
              <w:rPr>
                <w:rFonts w:hint="eastAsia" w:ascii="宋体" w:hAnsi="宋体" w:cs="宋体"/>
                <w:b/>
                <w:bCs/>
                <w:szCs w:val="21"/>
                <w:u w:val="single"/>
              </w:rPr>
              <w:t>采购预算65万元（其中第1包采购预算：54万元；第2包采购预算：11万元）</w:t>
            </w:r>
            <w:r>
              <w:rPr>
                <w:rFonts w:hint="eastAsia" w:ascii="宋体" w:hAnsi="宋体" w:cs="宋体"/>
                <w:b/>
                <w:bCs/>
                <w:szCs w:val="21"/>
              </w:rPr>
              <w:t>。</w:t>
            </w:r>
          </w:p>
          <w:p>
            <w:pPr>
              <w:pStyle w:val="12"/>
              <w:spacing w:before="62" w:beforeLines="20" w:after="62" w:afterLines="20" w:line="360" w:lineRule="exact"/>
              <w:ind w:firstLine="211" w:firstLineChars="100"/>
              <w:rPr>
                <w:b/>
                <w:bCs/>
              </w:rPr>
            </w:pPr>
            <w:r>
              <w:rPr>
                <w:rFonts w:hint="eastAsia"/>
                <w:b/>
                <w:bCs/>
                <w:szCs w:val="21"/>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sz w:val="21"/>
                <w:szCs w:val="21"/>
                <w:lang w:val="zh-CN"/>
              </w:rPr>
            </w:pPr>
            <w:r>
              <w:rPr>
                <w:rFonts w:hint="eastAsia"/>
                <w:sz w:val="21"/>
                <w:szCs w:val="21"/>
              </w:rPr>
              <w:t>3</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最高限价</w:t>
            </w:r>
          </w:p>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（实质性要求）</w:t>
            </w:r>
          </w:p>
        </w:tc>
        <w:tc>
          <w:tcPr>
            <w:tcW w:w="6084" w:type="dxa"/>
            <w:vAlign w:val="center"/>
          </w:tcPr>
          <w:p>
            <w:pPr>
              <w:snapToGrid w:val="0"/>
              <w:spacing w:before="62" w:beforeLines="20" w:after="62" w:afterLines="20" w:line="360" w:lineRule="exact"/>
              <w:ind w:firstLine="211" w:firstLineChars="100"/>
              <w:rPr>
                <w:rFonts w:ascii="宋体" w:hAnsi="宋体" w:cs="宋体"/>
                <w:b/>
                <w:bCs/>
                <w:szCs w:val="21"/>
                <w:u w:val="single"/>
              </w:rPr>
            </w:pPr>
            <w:bookmarkStart w:id="67" w:name="PO_限价分包信息_1"/>
            <w:r>
              <w:rPr>
                <w:rFonts w:hint="eastAsia" w:ascii="宋体" w:hAnsi="宋体" w:cs="宋体"/>
                <w:b/>
                <w:bCs/>
                <w:szCs w:val="21"/>
                <w:lang w:val="zh-CN"/>
              </w:rPr>
              <w:t>最高限价：</w:t>
            </w:r>
            <w:bookmarkEnd w:id="67"/>
            <w:r>
              <w:rPr>
                <w:rFonts w:hint="eastAsia" w:ascii="宋体" w:hAnsi="宋体" w:cs="宋体"/>
                <w:b/>
                <w:bCs/>
                <w:szCs w:val="21"/>
                <w:u w:val="single"/>
              </w:rPr>
              <w:t>最高限价65万元（其中第1包采购限价：54万元；第2包采购限价：11万元）</w:t>
            </w:r>
            <w:r>
              <w:rPr>
                <w:rFonts w:hint="eastAsia" w:ascii="宋体" w:hAnsi="宋体" w:cs="宋体"/>
                <w:b/>
                <w:bCs/>
                <w:szCs w:val="21"/>
              </w:rPr>
              <w:t>。</w:t>
            </w:r>
          </w:p>
          <w:p>
            <w:pPr>
              <w:pStyle w:val="59"/>
              <w:snapToGrid w:val="0"/>
              <w:spacing w:before="62" w:beforeLines="20" w:after="62" w:afterLines="20" w:line="360" w:lineRule="exact"/>
              <w:ind w:firstLine="211" w:firstLineChars="100"/>
              <w:jc w:val="both"/>
              <w:rPr>
                <w:b/>
                <w:bCs/>
                <w:sz w:val="21"/>
                <w:szCs w:val="21"/>
                <w:lang w:val="zh-CN"/>
              </w:rPr>
            </w:pPr>
            <w:bookmarkStart w:id="68" w:name="PO_默认文件内容_21"/>
            <w:r>
              <w:rPr>
                <w:rFonts w:hint="eastAsia"/>
                <w:b/>
                <w:bCs/>
                <w:sz w:val="21"/>
                <w:szCs w:val="21"/>
                <w:lang w:val="zh-CN"/>
              </w:rPr>
              <w:t>超过最高限价的报价,其响应文件按无效处理。</w:t>
            </w:r>
            <w:bookmarkEnd w:id="6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sz w:val="21"/>
                <w:szCs w:val="21"/>
                <w:lang w:val="zh-CN"/>
              </w:rPr>
            </w:pPr>
            <w:r>
              <w:rPr>
                <w:rFonts w:hint="eastAsia"/>
                <w:sz w:val="21"/>
                <w:szCs w:val="21"/>
              </w:rPr>
              <w:t>4</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联合体（实质性要求）</w:t>
            </w:r>
          </w:p>
        </w:tc>
        <w:tc>
          <w:tcPr>
            <w:tcW w:w="6084" w:type="dxa"/>
            <w:vAlign w:val="center"/>
          </w:tcPr>
          <w:p>
            <w:pPr>
              <w:pStyle w:val="59"/>
              <w:snapToGrid w:val="0"/>
              <w:spacing w:before="62" w:beforeLines="20" w:after="62" w:afterLines="20" w:line="360" w:lineRule="exact"/>
              <w:ind w:firstLine="204" w:firstLineChars="100"/>
              <w:jc w:val="both"/>
              <w:rPr>
                <w:sz w:val="21"/>
                <w:szCs w:val="21"/>
                <w:lang w:val="zh-CN"/>
              </w:rPr>
            </w:pPr>
            <w:r>
              <w:rPr>
                <w:rFonts w:hint="eastAsia"/>
                <w:spacing w:val="-3"/>
                <w:sz w:val="21"/>
                <w:szCs w:val="21"/>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pPr>
              <w:pStyle w:val="59"/>
              <w:snapToGrid w:val="0"/>
              <w:spacing w:before="93" w:beforeLines="30" w:after="93" w:afterLines="30" w:line="360" w:lineRule="exact"/>
              <w:jc w:val="center"/>
              <w:rPr>
                <w:rFonts w:hint="eastAsia" w:eastAsia="宋体"/>
                <w:sz w:val="21"/>
                <w:szCs w:val="21"/>
                <w:lang w:val="zh-CN" w:eastAsia="zh-CN"/>
              </w:rPr>
            </w:pPr>
            <w:r>
              <w:rPr>
                <w:rFonts w:hint="eastAsia"/>
                <w:sz w:val="21"/>
                <w:szCs w:val="21"/>
                <w:lang w:val="en-US" w:eastAsia="zh-CN"/>
              </w:rPr>
              <w:t>5</w:t>
            </w:r>
          </w:p>
        </w:tc>
        <w:tc>
          <w:tcPr>
            <w:tcW w:w="2409" w:type="dxa"/>
            <w:shd w:val="clear" w:color="auto" w:fill="auto"/>
            <w:vAlign w:val="center"/>
          </w:tcPr>
          <w:p>
            <w:pPr>
              <w:snapToGrid w:val="0"/>
              <w:spacing w:before="93" w:beforeLines="30" w:after="93" w:afterLines="30" w:line="360" w:lineRule="exact"/>
              <w:jc w:val="center"/>
              <w:rPr>
                <w:rFonts w:ascii="宋体" w:hAnsi="宋体" w:cs="宋体"/>
                <w:szCs w:val="21"/>
              </w:rPr>
            </w:pPr>
            <w:r>
              <w:rPr>
                <w:rFonts w:hint="eastAsia" w:ascii="宋体" w:hAnsi="宋体" w:cs="宋体"/>
                <w:szCs w:val="21"/>
              </w:rPr>
              <w:t>是否专门面向中小企业的项目</w:t>
            </w:r>
          </w:p>
        </w:tc>
        <w:tc>
          <w:tcPr>
            <w:tcW w:w="6084" w:type="dxa"/>
            <w:shd w:val="clear" w:color="auto" w:fill="auto"/>
            <w:vAlign w:val="center"/>
          </w:tcPr>
          <w:p>
            <w:pPr>
              <w:autoSpaceDE w:val="0"/>
              <w:autoSpaceDN w:val="0"/>
              <w:adjustRightInd w:val="0"/>
              <w:snapToGrid w:val="0"/>
              <w:spacing w:before="62" w:beforeLines="20" w:after="62" w:afterLines="20" w:line="360" w:lineRule="exact"/>
              <w:ind w:firstLine="210" w:firstLineChars="100"/>
              <w:rPr>
                <w:rFonts w:ascii="宋体" w:hAnsi="宋体" w:cs="宋体"/>
                <w:szCs w:val="21"/>
              </w:rPr>
            </w:pPr>
            <w:r>
              <w:rPr>
                <w:rFonts w:hint="eastAsia" w:ascii="宋体" w:hAnsi="宋体" w:cs="宋体"/>
                <w:szCs w:val="21"/>
              </w:rPr>
              <w:t>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eastAsia" w:eastAsia="宋体"/>
                <w:sz w:val="21"/>
                <w:szCs w:val="21"/>
                <w:lang w:val="zh-CN" w:eastAsia="zh-CN"/>
              </w:rPr>
            </w:pPr>
            <w:r>
              <w:rPr>
                <w:rFonts w:hint="eastAsia"/>
                <w:sz w:val="21"/>
                <w:szCs w:val="21"/>
                <w:lang w:val="en-US" w:eastAsia="zh-CN"/>
              </w:rPr>
              <w:t>6</w:t>
            </w:r>
          </w:p>
        </w:tc>
        <w:tc>
          <w:tcPr>
            <w:tcW w:w="2409" w:type="dxa"/>
            <w:vAlign w:val="center"/>
          </w:tcPr>
          <w:p>
            <w:pPr>
              <w:snapToGrid w:val="0"/>
              <w:spacing w:before="93" w:beforeLines="30" w:after="93" w:afterLines="30" w:line="360" w:lineRule="exact"/>
              <w:jc w:val="center"/>
              <w:rPr>
                <w:rFonts w:ascii="宋体" w:hAnsi="宋体" w:cs="宋体"/>
                <w:szCs w:val="21"/>
              </w:rPr>
            </w:pPr>
            <w:r>
              <w:rPr>
                <w:rFonts w:hint="eastAsia" w:ascii="宋体" w:hAnsi="宋体" w:cs="宋体"/>
                <w:szCs w:val="21"/>
                <w:lang w:val="zh-CN"/>
              </w:rPr>
              <w:t>低于</w:t>
            </w:r>
            <w:r>
              <w:rPr>
                <w:rFonts w:hint="eastAsia" w:ascii="宋体" w:hAnsi="宋体" w:cs="宋体"/>
                <w:szCs w:val="21"/>
              </w:rPr>
              <w:t>成本价</w:t>
            </w:r>
          </w:p>
          <w:p>
            <w:pPr>
              <w:snapToGrid w:val="0"/>
              <w:spacing w:before="93" w:beforeLines="30" w:after="93" w:afterLines="30" w:line="360" w:lineRule="exact"/>
              <w:jc w:val="center"/>
              <w:rPr>
                <w:rFonts w:ascii="宋体" w:hAnsi="宋体" w:cs="宋体"/>
                <w:szCs w:val="21"/>
              </w:rPr>
            </w:pPr>
            <w:r>
              <w:rPr>
                <w:rFonts w:hint="eastAsia" w:ascii="宋体" w:hAnsi="宋体" w:cs="宋体"/>
                <w:szCs w:val="21"/>
              </w:rPr>
              <w:t>不正当</w:t>
            </w:r>
            <w:r>
              <w:rPr>
                <w:rFonts w:hint="eastAsia" w:ascii="宋体" w:hAnsi="宋体" w:cs="宋体"/>
                <w:szCs w:val="21"/>
                <w:lang w:val="zh-CN"/>
              </w:rPr>
              <w:t>竞争</w:t>
            </w:r>
            <w:r>
              <w:rPr>
                <w:rFonts w:hint="eastAsia" w:ascii="宋体" w:hAnsi="宋体" w:cs="宋体"/>
                <w:szCs w:val="21"/>
              </w:rPr>
              <w:t>预防措施</w:t>
            </w:r>
          </w:p>
          <w:p>
            <w:pPr>
              <w:snapToGrid w:val="0"/>
              <w:spacing w:before="93" w:beforeLines="30" w:after="93" w:afterLines="30" w:line="360" w:lineRule="exact"/>
              <w:jc w:val="center"/>
              <w:rPr>
                <w:rFonts w:ascii="宋体" w:hAnsi="宋体" w:cs="宋体"/>
                <w:szCs w:val="21"/>
              </w:rPr>
            </w:pPr>
            <w:r>
              <w:rPr>
                <w:rFonts w:hint="eastAsia" w:ascii="宋体" w:hAnsi="宋体" w:cs="宋体"/>
                <w:szCs w:val="21"/>
              </w:rPr>
              <w:t>（实质性要求）</w:t>
            </w:r>
          </w:p>
        </w:tc>
        <w:tc>
          <w:tcPr>
            <w:tcW w:w="6084" w:type="dxa"/>
            <w:vAlign w:val="center"/>
          </w:tcPr>
          <w:p>
            <w:pPr>
              <w:pStyle w:val="59"/>
              <w:snapToGrid w:val="0"/>
              <w:spacing w:before="62" w:beforeLines="20" w:after="62" w:afterLines="20" w:line="360" w:lineRule="exact"/>
              <w:ind w:firstLine="210" w:firstLineChars="100"/>
              <w:jc w:val="both"/>
              <w:rPr>
                <w:sz w:val="21"/>
                <w:szCs w:val="21"/>
              </w:rPr>
            </w:pPr>
            <w:r>
              <w:rPr>
                <w:rFonts w:hint="eastAsia"/>
                <w:sz w:val="21"/>
                <w:szCs w:val="21"/>
              </w:rPr>
              <w:t>1.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文件处理。</w:t>
            </w:r>
          </w:p>
          <w:p>
            <w:pPr>
              <w:pStyle w:val="59"/>
              <w:snapToGrid w:val="0"/>
              <w:spacing w:before="62" w:beforeLines="20" w:after="62" w:afterLines="20" w:line="360" w:lineRule="exact"/>
              <w:ind w:firstLine="210" w:firstLineChars="100"/>
              <w:jc w:val="both"/>
              <w:rPr>
                <w:sz w:val="21"/>
                <w:szCs w:val="21"/>
              </w:rPr>
            </w:pPr>
            <w:r>
              <w:rPr>
                <w:rFonts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pPr>
              <w:snapToGrid w:val="0"/>
              <w:spacing w:before="62" w:beforeLines="20" w:after="62" w:afterLines="20" w:line="360" w:lineRule="exact"/>
              <w:ind w:right="105" w:rightChars="50" w:firstLine="210" w:firstLineChars="100"/>
              <w:rPr>
                <w:rFonts w:ascii="宋体" w:hAnsi="宋体" w:cs="宋体"/>
                <w:szCs w:val="21"/>
              </w:rPr>
            </w:pPr>
            <w:r>
              <w:rPr>
                <w:rFonts w:hint="eastAsia" w:ascii="宋体" w:hAnsi="宋体" w:cs="宋体"/>
                <w:szCs w:val="21"/>
              </w:rPr>
              <w:t xml:space="preserve">2.供应商书面说明应当签字确认或者加盖公章，否则无效。书面说明的签字确认，由其法定代表人/主要负责人/本人或者其授权代表签字确认。 </w:t>
            </w:r>
          </w:p>
          <w:p>
            <w:pPr>
              <w:snapToGrid w:val="0"/>
              <w:spacing w:before="62" w:beforeLines="20" w:after="62" w:afterLines="20" w:line="360" w:lineRule="exact"/>
              <w:ind w:right="105" w:rightChars="50" w:firstLine="210" w:firstLineChars="100"/>
              <w:rPr>
                <w:rFonts w:ascii="宋体" w:hAnsi="宋体" w:cs="宋体"/>
                <w:szCs w:val="21"/>
              </w:rPr>
            </w:pPr>
            <w:r>
              <w:rPr>
                <w:rFonts w:hint="eastAsia" w:ascii="宋体" w:hAnsi="宋体" w:cs="宋体"/>
                <w:szCs w:val="21"/>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eastAsia" w:eastAsia="宋体"/>
                <w:sz w:val="21"/>
                <w:szCs w:val="21"/>
                <w:lang w:val="zh-CN" w:eastAsia="zh-CN"/>
              </w:rPr>
            </w:pPr>
            <w:r>
              <w:rPr>
                <w:rFonts w:hint="eastAsia"/>
                <w:sz w:val="21"/>
                <w:szCs w:val="21"/>
                <w:lang w:val="en-US" w:eastAsia="zh-CN"/>
              </w:rPr>
              <w:t>7</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小微企业（监狱企业、残疾人福利性单位视同小微企业）价格扣除和失信企业报价加成或者扣分</w:t>
            </w:r>
          </w:p>
        </w:tc>
        <w:tc>
          <w:tcPr>
            <w:tcW w:w="6084" w:type="dxa"/>
          </w:tcPr>
          <w:p>
            <w:pPr>
              <w:tabs>
                <w:tab w:val="left" w:pos="140"/>
              </w:tabs>
              <w:snapToGrid w:val="0"/>
              <w:spacing w:before="62" w:beforeLines="20" w:after="62" w:afterLines="20" w:line="360" w:lineRule="exact"/>
              <w:ind w:right="170" w:rightChars="81" w:firstLine="210" w:firstLineChars="100"/>
              <w:rPr>
                <w:rFonts w:ascii="宋体" w:hAnsi="宋体" w:cs="宋体"/>
                <w:szCs w:val="21"/>
              </w:rPr>
            </w:pPr>
            <w:bookmarkStart w:id="69" w:name="PO_默认文件内容_11"/>
            <w:r>
              <w:rPr>
                <w:rFonts w:hint="eastAsia" w:ascii="宋体" w:hAnsi="宋体" w:cs="宋体"/>
                <w:szCs w:val="21"/>
              </w:rPr>
              <w:t>一、小微企业（监狱企业、残疾人福利性单位视同小微企业）价格扣除</w:t>
            </w:r>
          </w:p>
          <w:p>
            <w:pPr>
              <w:tabs>
                <w:tab w:val="left" w:pos="140"/>
              </w:tabs>
              <w:snapToGrid w:val="0"/>
              <w:spacing w:before="62" w:beforeLines="20" w:after="62" w:afterLines="20" w:line="360" w:lineRule="exact"/>
              <w:ind w:right="170" w:rightChars="81" w:firstLine="210" w:firstLineChars="100"/>
              <w:rPr>
                <w:rFonts w:ascii="宋体" w:hAnsi="宋体" w:cs="宋体"/>
                <w:szCs w:val="21"/>
              </w:rPr>
            </w:pPr>
            <w:r>
              <w:rPr>
                <w:rFonts w:hint="eastAsia" w:ascii="宋体" w:hAnsi="宋体" w:cs="宋体"/>
                <w:szCs w:val="21"/>
              </w:rPr>
              <w:t>1.</w:t>
            </w:r>
            <w:r>
              <w:rPr>
                <w:rFonts w:hint="eastAsia" w:ascii="宋体" w:hAnsi="宋体" w:cs="宋体"/>
                <w:kern w:val="0"/>
                <w:szCs w:val="21"/>
              </w:rPr>
              <w:t>根据《政府采购促进中小企业发展管理办法》的通知财库〔2020〕46号的规定，对小型和微型企业产品的价格给予10%的价格扣除，用扣除后的价格参与评审。</w:t>
            </w:r>
          </w:p>
          <w:p>
            <w:pPr>
              <w:widowControl/>
              <w:snapToGrid w:val="0"/>
              <w:spacing w:before="62" w:beforeLines="20" w:after="62" w:afterLines="20" w:line="360" w:lineRule="exact"/>
              <w:ind w:firstLine="210" w:firstLineChars="100"/>
              <w:jc w:val="left"/>
              <w:rPr>
                <w:rFonts w:ascii="宋体" w:hAnsi="宋体" w:cs="宋体"/>
                <w:kern w:val="0"/>
                <w:szCs w:val="21"/>
              </w:rPr>
            </w:pPr>
            <w:r>
              <w:rPr>
                <w:rFonts w:hint="eastAsia" w:ascii="宋体" w:hAnsi="宋体" w:cs="宋体"/>
                <w:szCs w:val="21"/>
              </w:rPr>
              <w:t>2.</w:t>
            </w:r>
            <w:r>
              <w:rPr>
                <w:rFonts w:hint="eastAsia" w:ascii="宋体" w:hAnsi="宋体" w:cs="宋体"/>
                <w:kern w:val="0"/>
                <w:szCs w:val="21"/>
              </w:rPr>
              <w:t>参加政府采购活动的中小企业应当提供《中小企业声明函》。</w:t>
            </w:r>
          </w:p>
          <w:p>
            <w:pPr>
              <w:widowControl/>
              <w:tabs>
                <w:tab w:val="left" w:pos="140"/>
              </w:tabs>
              <w:snapToGrid w:val="0"/>
              <w:spacing w:before="62" w:beforeLines="20" w:after="62" w:afterLines="20" w:line="360" w:lineRule="exact"/>
              <w:ind w:right="170" w:rightChars="81" w:firstLine="210" w:firstLineChars="100"/>
              <w:jc w:val="left"/>
              <w:rPr>
                <w:rFonts w:ascii="宋体" w:hAnsi="宋体" w:cs="宋体"/>
                <w:kern w:val="0"/>
                <w:szCs w:val="21"/>
              </w:rPr>
            </w:pPr>
            <w:r>
              <w:rPr>
                <w:rFonts w:hint="eastAsia" w:ascii="宋体" w:hAnsi="宋体" w:cs="宋体"/>
                <w:kern w:val="0"/>
                <w:szCs w:val="21"/>
              </w:rPr>
              <w:t>3</w:t>
            </w:r>
            <w:r>
              <w:rPr>
                <w:rFonts w:hint="eastAsia" w:hAnsi="宋体" w:cs="宋体"/>
                <w:kern w:val="0"/>
                <w:szCs w:val="21"/>
              </w:rPr>
              <w:t>.</w:t>
            </w:r>
            <w:r>
              <w:rPr>
                <w:rFonts w:hint="eastAsia" w:ascii="宋体" w:hAnsi="宋体" w:cs="宋体"/>
                <w:kern w:val="0"/>
                <w:szCs w:val="21"/>
              </w:rPr>
              <w:t>提供由省级以上监狱管理局、戒毒管理局（含新疆生产建设兵团）出具的属于监狱企业证明文件的，视同为小型和微型企业。</w:t>
            </w:r>
          </w:p>
          <w:p>
            <w:pPr>
              <w:widowControl/>
              <w:tabs>
                <w:tab w:val="left" w:pos="140"/>
              </w:tabs>
              <w:snapToGrid w:val="0"/>
              <w:spacing w:before="62" w:beforeLines="20" w:after="62" w:afterLines="20" w:line="360" w:lineRule="exact"/>
              <w:ind w:right="170" w:rightChars="81" w:firstLine="210" w:firstLineChars="100"/>
              <w:jc w:val="left"/>
            </w:pPr>
            <w:r>
              <w:rPr>
                <w:rFonts w:hint="eastAsia" w:ascii="宋体" w:hAnsi="宋体" w:cs="宋体"/>
                <w:kern w:val="0"/>
                <w:szCs w:val="21"/>
              </w:rPr>
              <w:t>4</w:t>
            </w:r>
            <w:r>
              <w:rPr>
                <w:rFonts w:hint="eastAsia" w:hAnsi="宋体" w:cs="宋体"/>
                <w:kern w:val="0"/>
                <w:szCs w:val="21"/>
              </w:rPr>
              <w:t>.</w:t>
            </w:r>
            <w:r>
              <w:rPr>
                <w:rFonts w:hint="eastAsia" w:ascii="宋体" w:hAnsi="宋体" w:cs="宋体"/>
                <w:kern w:val="0"/>
                <w:szCs w:val="21"/>
              </w:rPr>
              <w:t>符合享受政府采购支持政策的残疾人福利性单位条件且提供《残疾人福利性单位声明函》的，视同为小型和微型企业</w:t>
            </w:r>
            <w:r>
              <w:rPr>
                <w:rFonts w:hint="eastAsia" w:hAnsi="宋体" w:cs="宋体"/>
                <w:kern w:val="0"/>
                <w:szCs w:val="21"/>
              </w:rPr>
              <w:t>。</w:t>
            </w:r>
          </w:p>
          <w:p>
            <w:pPr>
              <w:tabs>
                <w:tab w:val="left" w:pos="140"/>
              </w:tabs>
              <w:snapToGrid w:val="0"/>
              <w:spacing w:before="62" w:beforeLines="20" w:after="62" w:afterLines="20" w:line="360" w:lineRule="exact"/>
              <w:ind w:right="170" w:rightChars="81" w:firstLine="210" w:firstLineChars="100"/>
              <w:rPr>
                <w:rFonts w:ascii="宋体" w:hAnsi="宋体" w:cs="宋体"/>
                <w:szCs w:val="21"/>
              </w:rPr>
            </w:pPr>
            <w:r>
              <w:rPr>
                <w:rFonts w:hint="eastAsia" w:ascii="宋体" w:hAnsi="宋体" w:cs="宋体"/>
                <w:szCs w:val="21"/>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3%的扣除，用扣除后的价格参加评审。</w:t>
            </w:r>
          </w:p>
          <w:p>
            <w:pPr>
              <w:tabs>
                <w:tab w:val="left" w:pos="140"/>
              </w:tabs>
              <w:snapToGrid w:val="0"/>
              <w:spacing w:before="62" w:beforeLines="20" w:after="62" w:afterLines="20" w:line="360" w:lineRule="exact"/>
              <w:ind w:right="170" w:rightChars="81" w:firstLine="210" w:firstLineChars="100"/>
              <w:rPr>
                <w:rFonts w:ascii="宋体" w:hAnsi="宋体" w:cs="宋体"/>
                <w:szCs w:val="21"/>
              </w:rPr>
            </w:pPr>
            <w:r>
              <w:rPr>
                <w:rFonts w:hint="eastAsia" w:ascii="宋体" w:hAnsi="宋体" w:cs="宋体"/>
                <w:szCs w:val="21"/>
              </w:rPr>
              <w:t>组成联合体或者接受分包的小微企业与联合体内其他企业、分包企业之间存在直接控股、管理关系的，不享受价格扣除优惠政策。</w:t>
            </w:r>
          </w:p>
          <w:p>
            <w:pPr>
              <w:snapToGrid w:val="0"/>
              <w:spacing w:before="62" w:beforeLines="20" w:after="62" w:afterLines="20" w:line="360" w:lineRule="exact"/>
              <w:ind w:right="170" w:rightChars="81" w:firstLine="210" w:firstLineChars="100"/>
              <w:rPr>
                <w:rFonts w:ascii="宋体" w:hAnsi="宋体" w:cs="宋体"/>
                <w:szCs w:val="21"/>
              </w:rPr>
            </w:pPr>
            <w:r>
              <w:rPr>
                <w:rFonts w:hint="eastAsia" w:ascii="宋体" w:hAnsi="宋体" w:cs="宋体"/>
                <w:szCs w:val="21"/>
              </w:rPr>
              <w:t>二、失信企业报价加成或者扣分</w:t>
            </w:r>
            <w:r>
              <w:rPr>
                <w:rFonts w:hint="eastAsia" w:ascii="宋体" w:hAnsi="宋体" w:cs="宋体"/>
                <w:szCs w:val="21"/>
                <w:lang w:val="zh-CN"/>
              </w:rPr>
              <w:t>（实质性要求）</w:t>
            </w:r>
          </w:p>
          <w:p>
            <w:pPr>
              <w:snapToGrid w:val="0"/>
              <w:spacing w:before="62" w:beforeLines="20" w:after="62" w:afterLines="20" w:line="360" w:lineRule="exact"/>
              <w:ind w:right="170" w:rightChars="81" w:firstLine="210" w:firstLineChars="100"/>
              <w:rPr>
                <w:rFonts w:ascii="宋体" w:hAnsi="宋体" w:cs="宋体"/>
                <w:szCs w:val="21"/>
              </w:rPr>
            </w:pPr>
            <w:r>
              <w:rPr>
                <w:rFonts w:hint="eastAsia" w:ascii="宋体" w:hAnsi="宋体" w:cs="宋体"/>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59"/>
              <w:snapToGrid w:val="0"/>
              <w:spacing w:before="62" w:beforeLines="20" w:after="62" w:afterLines="20" w:line="360" w:lineRule="exact"/>
              <w:ind w:right="170" w:rightChars="81" w:firstLine="210" w:firstLineChars="100"/>
              <w:jc w:val="both"/>
              <w:rPr>
                <w:sz w:val="21"/>
                <w:szCs w:val="21"/>
              </w:rPr>
            </w:pPr>
            <w:r>
              <w:rPr>
                <w:rFonts w:hint="eastAsia"/>
                <w:sz w:val="21"/>
                <w:szCs w:val="21"/>
              </w:rPr>
              <w:t>2.供应商参加政府采购活动时，应当就自己的诚信情况在响应文件中进行承诺。</w:t>
            </w:r>
          </w:p>
          <w:p>
            <w:pPr>
              <w:pStyle w:val="59"/>
              <w:snapToGrid w:val="0"/>
              <w:spacing w:before="62" w:beforeLines="20" w:after="62" w:afterLines="20" w:line="360" w:lineRule="exact"/>
              <w:ind w:right="170" w:rightChars="81" w:firstLine="210" w:firstLineChars="100"/>
              <w:jc w:val="both"/>
              <w:rPr>
                <w:sz w:val="21"/>
                <w:szCs w:val="21"/>
              </w:rPr>
            </w:pPr>
            <w:r>
              <w:rPr>
                <w:rFonts w:hint="eastAsia"/>
                <w:sz w:val="21"/>
                <w:szCs w:val="21"/>
              </w:rPr>
              <w:t>三、所属行业</w:t>
            </w:r>
          </w:p>
          <w:bookmarkEnd w:id="69"/>
          <w:p>
            <w:pPr>
              <w:pStyle w:val="59"/>
              <w:snapToGrid w:val="0"/>
              <w:spacing w:before="62" w:beforeLines="20" w:after="62" w:afterLines="20" w:line="360" w:lineRule="exact"/>
              <w:ind w:right="170" w:rightChars="81" w:firstLine="210" w:firstLineChars="100"/>
              <w:jc w:val="both"/>
              <w:rPr>
                <w:sz w:val="21"/>
                <w:szCs w:val="21"/>
              </w:rPr>
            </w:pPr>
            <w:r>
              <w:rPr>
                <w:rFonts w:hint="eastAsia"/>
                <w:sz w:val="21"/>
                <w:szCs w:val="21"/>
              </w:rPr>
              <w:t xml:space="preserve"> 其他专业技术服务业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8" w:hRule="atLeast"/>
          <w:jc w:val="center"/>
        </w:trPr>
        <w:tc>
          <w:tcPr>
            <w:tcW w:w="1013" w:type="dxa"/>
            <w:vAlign w:val="center"/>
          </w:tcPr>
          <w:p>
            <w:pPr>
              <w:pStyle w:val="59"/>
              <w:snapToGrid w:val="0"/>
              <w:spacing w:before="93" w:beforeLines="30" w:after="93" w:afterLines="30" w:line="360" w:lineRule="exact"/>
              <w:jc w:val="center"/>
              <w:rPr>
                <w:rFonts w:hint="eastAsia" w:eastAsia="宋体"/>
                <w:sz w:val="21"/>
                <w:szCs w:val="21"/>
                <w:lang w:eastAsia="zh-CN"/>
              </w:rPr>
            </w:pPr>
            <w:r>
              <w:rPr>
                <w:rFonts w:hint="eastAsia"/>
                <w:sz w:val="21"/>
                <w:szCs w:val="21"/>
                <w:lang w:val="en-US" w:eastAsia="zh-CN"/>
              </w:rPr>
              <w:t>8</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磋商情况公告</w:t>
            </w:r>
          </w:p>
        </w:tc>
        <w:tc>
          <w:tcPr>
            <w:tcW w:w="6084" w:type="dxa"/>
          </w:tcPr>
          <w:p>
            <w:pPr>
              <w:pStyle w:val="59"/>
              <w:wordWrap w:val="0"/>
              <w:snapToGrid w:val="0"/>
              <w:spacing w:before="62" w:beforeLines="20" w:after="62" w:afterLines="20" w:line="360" w:lineRule="exact"/>
              <w:ind w:firstLine="210" w:firstLineChars="100"/>
              <w:jc w:val="both"/>
              <w:rPr>
                <w:sz w:val="21"/>
                <w:szCs w:val="21"/>
                <w:lang w:val="zh-CN"/>
              </w:rPr>
            </w:pPr>
            <w:bookmarkStart w:id="70" w:name="PO_默认文件内容_13"/>
            <w:r>
              <w:rPr>
                <w:rFonts w:hint="eastAsia"/>
                <w:sz w:val="21"/>
                <w:szCs w:val="21"/>
                <w:lang w:val="zh-CN"/>
              </w:rPr>
              <w:t>磋商结果在</w:t>
            </w:r>
            <w:r>
              <w:rPr>
                <w:rFonts w:hint="eastAsia"/>
                <w:sz w:val="21"/>
                <w:szCs w:val="21"/>
                <w:u w:val="single"/>
                <w:lang w:val="zh-CN"/>
              </w:rPr>
              <w:t xml:space="preserve">四川政府采购网（网址http://www.ccgp-ichuan.gov.cn/） </w:t>
            </w:r>
            <w:r>
              <w:rPr>
                <w:rFonts w:hint="eastAsia"/>
                <w:sz w:val="21"/>
                <w:szCs w:val="21"/>
                <w:lang w:val="zh-CN"/>
              </w:rPr>
              <w:t>公示公告栏中予以公告</w:t>
            </w:r>
            <w:bookmarkEnd w:id="70"/>
            <w:r>
              <w:rPr>
                <w:rFonts w:hint="eastAsia"/>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3"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9</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磋商保证金</w:t>
            </w:r>
          </w:p>
        </w:tc>
        <w:tc>
          <w:tcPr>
            <w:tcW w:w="6084" w:type="dxa"/>
            <w:vAlign w:val="center"/>
          </w:tcPr>
          <w:p>
            <w:pPr>
              <w:pStyle w:val="59"/>
              <w:snapToGrid w:val="0"/>
              <w:spacing w:before="62" w:beforeLines="20" w:after="62" w:afterLines="20" w:line="360" w:lineRule="exact"/>
              <w:ind w:right="105" w:firstLine="210" w:firstLineChars="100"/>
              <w:jc w:val="both"/>
              <w:rPr>
                <w:sz w:val="21"/>
                <w:szCs w:val="21"/>
                <w:lang w:val="zh-CN"/>
              </w:rPr>
            </w:pPr>
            <w:r>
              <w:rPr>
                <w:rFonts w:hint="eastAsia"/>
                <w:sz w:val="21"/>
                <w:szCs w:val="21"/>
              </w:rPr>
              <w:t>参照川财采[2020]28号文要求，本项目不收取磋商保证金。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10</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履约保证金</w:t>
            </w:r>
          </w:p>
        </w:tc>
        <w:tc>
          <w:tcPr>
            <w:tcW w:w="6084" w:type="dxa"/>
            <w:vAlign w:val="center"/>
          </w:tcPr>
          <w:p>
            <w:pPr>
              <w:snapToGrid w:val="0"/>
              <w:spacing w:before="62" w:beforeLines="20" w:after="62" w:afterLines="20" w:line="360" w:lineRule="exact"/>
              <w:ind w:firstLine="210" w:firstLineChars="100"/>
              <w:rPr>
                <w:rFonts w:ascii="宋体" w:hAnsi="宋体" w:cs="宋体"/>
                <w:szCs w:val="21"/>
              </w:rPr>
            </w:pPr>
            <w:r>
              <w:rPr>
                <w:rFonts w:hint="eastAsia" w:cs="宋体"/>
                <w:szCs w:val="21"/>
              </w:rPr>
              <w:t>参</w:t>
            </w:r>
            <w:r>
              <w:rPr>
                <w:rFonts w:hint="eastAsia" w:ascii="宋体" w:hAnsi="宋体" w:cs="宋体"/>
                <w:szCs w:val="21"/>
              </w:rPr>
              <w:t>照川财采[2020]28号文要求，本项目不收取履约保证金。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11</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bCs/>
                <w:szCs w:val="21"/>
              </w:rPr>
              <w:t>磋商</w:t>
            </w:r>
            <w:r>
              <w:rPr>
                <w:rFonts w:hint="eastAsia" w:ascii="宋体" w:hAnsi="宋体" w:cs="宋体"/>
                <w:szCs w:val="21"/>
                <w:lang w:val="zh-CN"/>
              </w:rPr>
              <w:t>文件咨询</w:t>
            </w:r>
          </w:p>
        </w:tc>
        <w:tc>
          <w:tcPr>
            <w:tcW w:w="6084" w:type="dxa"/>
            <w:vAlign w:val="center"/>
          </w:tcPr>
          <w:p>
            <w:pPr>
              <w:snapToGrid w:val="0"/>
              <w:spacing w:before="62" w:beforeLines="20" w:after="62" w:afterLines="20" w:line="360" w:lineRule="exact"/>
              <w:ind w:firstLine="210" w:firstLineChars="100"/>
              <w:rPr>
                <w:rFonts w:ascii="宋体" w:hAnsi="宋体" w:cs="宋体"/>
                <w:szCs w:val="21"/>
                <w:lang w:val="zh-CN"/>
              </w:rPr>
            </w:pPr>
            <w:r>
              <w:rPr>
                <w:rFonts w:hint="eastAsia" w:ascii="宋体" w:hAnsi="宋体" w:cs="宋体"/>
                <w:kern w:val="0"/>
                <w:szCs w:val="21"/>
                <w:lang w:val="zh-CN"/>
              </w:rPr>
              <w:t>联系人</w:t>
            </w:r>
            <w:r>
              <w:rPr>
                <w:rFonts w:hint="eastAsia" w:ascii="宋体" w:hAnsi="宋体" w:cs="宋体"/>
                <w:szCs w:val="21"/>
                <w:lang w:val="zh-CN"/>
              </w:rPr>
              <w:t>：</w:t>
            </w:r>
            <w:r>
              <w:rPr>
                <w:rFonts w:hint="eastAsia" w:ascii="宋体" w:hAnsi="宋体" w:cs="宋体"/>
                <w:szCs w:val="21"/>
                <w:u w:val="single"/>
                <w:lang w:val="zh-CN"/>
              </w:rPr>
              <w:t>董先生</w:t>
            </w:r>
          </w:p>
          <w:p>
            <w:pPr>
              <w:snapToGrid w:val="0"/>
              <w:spacing w:before="62" w:beforeLines="20" w:after="62" w:afterLines="20" w:line="360" w:lineRule="exact"/>
              <w:ind w:firstLine="210" w:firstLineChars="100"/>
              <w:rPr>
                <w:rFonts w:ascii="宋体" w:hAnsi="宋体" w:cs="宋体"/>
                <w:szCs w:val="21"/>
              </w:rPr>
            </w:pPr>
            <w:r>
              <w:rPr>
                <w:rFonts w:hint="eastAsia" w:ascii="宋体" w:hAnsi="宋体" w:cs="宋体"/>
                <w:szCs w:val="21"/>
                <w:lang w:val="zh-CN"/>
              </w:rPr>
              <w:t>联系电话：</w:t>
            </w:r>
            <w:r>
              <w:rPr>
                <w:rFonts w:hint="eastAsia" w:ascii="宋体" w:hAnsi="宋体" w:cs="宋体"/>
                <w:szCs w:val="21"/>
                <w:u w:val="single"/>
                <w:lang w:val="zh-CN"/>
              </w:rPr>
              <w:t>028-86055792转8011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12</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磋商过程、结果工作咨询</w:t>
            </w:r>
          </w:p>
        </w:tc>
        <w:tc>
          <w:tcPr>
            <w:tcW w:w="6084" w:type="dxa"/>
            <w:vAlign w:val="center"/>
          </w:tcPr>
          <w:p>
            <w:pPr>
              <w:snapToGrid w:val="0"/>
              <w:spacing w:before="62" w:beforeLines="20" w:after="62" w:afterLines="20" w:line="360" w:lineRule="exact"/>
              <w:ind w:firstLine="210" w:firstLineChars="100"/>
              <w:rPr>
                <w:rFonts w:ascii="宋体" w:hAnsi="宋体" w:cs="宋体"/>
                <w:szCs w:val="21"/>
                <w:lang w:val="zh-CN"/>
              </w:rPr>
            </w:pPr>
            <w:r>
              <w:rPr>
                <w:rFonts w:hint="eastAsia" w:ascii="宋体" w:hAnsi="宋体" w:cs="宋体"/>
                <w:szCs w:val="21"/>
                <w:lang w:val="zh-CN"/>
              </w:rPr>
              <w:t>联系人：</w:t>
            </w:r>
            <w:r>
              <w:rPr>
                <w:rFonts w:hint="eastAsia" w:ascii="宋体" w:hAnsi="宋体" w:cs="宋体"/>
                <w:szCs w:val="21"/>
                <w:u w:val="single"/>
                <w:lang w:val="zh-CN"/>
              </w:rPr>
              <w:t>董先生</w:t>
            </w:r>
          </w:p>
          <w:p>
            <w:pPr>
              <w:snapToGrid w:val="0"/>
              <w:spacing w:before="62" w:beforeLines="20" w:after="62" w:afterLines="20" w:line="360" w:lineRule="exact"/>
              <w:ind w:firstLine="210" w:firstLineChars="100"/>
              <w:rPr>
                <w:rFonts w:ascii="宋体" w:hAnsi="宋体" w:cs="宋体"/>
                <w:szCs w:val="21"/>
                <w:lang w:val="zh-CN"/>
              </w:rPr>
            </w:pPr>
            <w:r>
              <w:rPr>
                <w:rFonts w:hint="eastAsia" w:ascii="宋体" w:hAnsi="宋体" w:cs="宋体"/>
                <w:szCs w:val="21"/>
                <w:lang w:val="zh-CN"/>
              </w:rPr>
              <w:t>联系电话：</w:t>
            </w:r>
            <w:r>
              <w:rPr>
                <w:rFonts w:hint="eastAsia" w:ascii="宋体" w:hAnsi="宋体" w:cs="宋体"/>
                <w:szCs w:val="21"/>
                <w:u w:val="single"/>
                <w:lang w:val="zh-CN"/>
              </w:rPr>
              <w:t>028-</w:t>
            </w:r>
            <w:r>
              <w:rPr>
                <w:rFonts w:hint="eastAsia" w:ascii="宋体" w:hAnsi="宋体" w:cs="宋体"/>
                <w:szCs w:val="21"/>
                <w:u w:val="single"/>
              </w:rPr>
              <w:t>86055792转8011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13</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成交通知书领取</w:t>
            </w:r>
          </w:p>
        </w:tc>
        <w:tc>
          <w:tcPr>
            <w:tcW w:w="6084" w:type="dxa"/>
            <w:vAlign w:val="center"/>
          </w:tcPr>
          <w:p>
            <w:pPr>
              <w:wordWrap w:val="0"/>
              <w:snapToGrid w:val="0"/>
              <w:spacing w:before="62" w:beforeLines="20" w:after="62" w:afterLines="20" w:line="360" w:lineRule="exact"/>
              <w:ind w:firstLine="210" w:firstLineChars="100"/>
              <w:rPr>
                <w:rFonts w:ascii="宋体" w:hAnsi="宋体" w:cs="宋体"/>
                <w:szCs w:val="21"/>
                <w:lang w:val="zh-CN"/>
              </w:rPr>
            </w:pPr>
            <w:bookmarkStart w:id="71" w:name="PO_默认文件内容_16"/>
            <w:r>
              <w:rPr>
                <w:rFonts w:hint="eastAsia" w:ascii="宋体" w:hAnsi="宋体" w:cs="宋体"/>
                <w:szCs w:val="21"/>
                <w:lang w:val="zh-CN"/>
              </w:rPr>
              <w:t>采购</w:t>
            </w:r>
            <w:r>
              <w:rPr>
                <w:rFonts w:hint="eastAsia" w:ascii="宋体" w:hAnsi="宋体" w:cs="宋体"/>
                <w:kern w:val="0"/>
                <w:szCs w:val="21"/>
                <w:lang w:val="zh-CN"/>
              </w:rPr>
              <w:t>结果</w:t>
            </w:r>
            <w:r>
              <w:rPr>
                <w:rFonts w:hint="eastAsia" w:ascii="宋体" w:hAnsi="宋体" w:cs="宋体"/>
                <w:szCs w:val="21"/>
                <w:lang w:val="zh-CN"/>
              </w:rPr>
              <w:t>公告在</w:t>
            </w:r>
            <w:r>
              <w:rPr>
                <w:rFonts w:hint="eastAsia"/>
                <w:szCs w:val="21"/>
                <w:u w:val="single"/>
                <w:lang w:val="zh-CN"/>
              </w:rPr>
              <w:t>四川政府采购网（网址http://www.ccgp-ichuan.gov.cn/）</w:t>
            </w:r>
            <w:r>
              <w:rPr>
                <w:rFonts w:hint="eastAsia" w:ascii="宋体" w:hAnsi="宋体" w:cs="宋体"/>
                <w:szCs w:val="21"/>
                <w:lang w:val="zh-CN"/>
              </w:rPr>
              <w:t>发布后，请成交供应商凭有效身份证明证件到采购代理机构领取成交通知书。</w:t>
            </w:r>
          </w:p>
          <w:p>
            <w:pPr>
              <w:snapToGrid w:val="0"/>
              <w:spacing w:before="62" w:beforeLines="20" w:after="62" w:afterLines="20" w:line="360" w:lineRule="exact"/>
              <w:ind w:firstLine="210" w:firstLineChars="100"/>
              <w:rPr>
                <w:rFonts w:ascii="宋体" w:hAnsi="宋体" w:cs="宋体"/>
                <w:szCs w:val="21"/>
                <w:lang w:val="zh-CN"/>
              </w:rPr>
            </w:pPr>
            <w:r>
              <w:rPr>
                <w:rFonts w:hint="eastAsia" w:ascii="宋体" w:hAnsi="宋体" w:cs="宋体"/>
                <w:szCs w:val="21"/>
                <w:lang w:val="zh-CN"/>
              </w:rPr>
              <w:t>联 系 人：</w:t>
            </w:r>
            <w:r>
              <w:rPr>
                <w:rFonts w:hint="eastAsia" w:ascii="宋体" w:hAnsi="宋体" w:cs="宋体"/>
                <w:szCs w:val="21"/>
                <w:u w:val="single"/>
                <w:lang w:val="zh-CN"/>
              </w:rPr>
              <w:t>徐女士</w:t>
            </w:r>
          </w:p>
          <w:p>
            <w:pPr>
              <w:snapToGrid w:val="0"/>
              <w:spacing w:before="62" w:beforeLines="20" w:after="62" w:afterLines="20" w:line="360" w:lineRule="exact"/>
              <w:ind w:firstLine="210" w:firstLineChars="100"/>
              <w:rPr>
                <w:rFonts w:ascii="宋体" w:hAnsi="宋体" w:cs="宋体"/>
                <w:szCs w:val="21"/>
                <w:lang w:val="zh-CN"/>
              </w:rPr>
            </w:pPr>
            <w:r>
              <w:rPr>
                <w:rFonts w:hint="eastAsia" w:ascii="宋体" w:hAnsi="宋体" w:cs="宋体"/>
                <w:szCs w:val="21"/>
                <w:lang w:val="zh-CN"/>
              </w:rPr>
              <w:t>联系电话：</w:t>
            </w:r>
            <w:r>
              <w:rPr>
                <w:rFonts w:hint="eastAsia" w:ascii="宋体" w:hAnsi="宋体" w:cs="宋体"/>
                <w:szCs w:val="21"/>
                <w:u w:val="single"/>
                <w:lang w:val="zh-CN"/>
              </w:rPr>
              <w:t>028-86055792转8011</w:t>
            </w:r>
          </w:p>
          <w:p>
            <w:pPr>
              <w:snapToGrid w:val="0"/>
              <w:spacing w:before="62" w:beforeLines="20" w:after="62" w:afterLines="20" w:line="360" w:lineRule="exact"/>
              <w:ind w:firstLine="210" w:firstLineChars="100"/>
              <w:rPr>
                <w:rFonts w:ascii="宋体" w:hAnsi="宋体" w:cs="宋体"/>
                <w:szCs w:val="21"/>
                <w:lang w:val="zh-CN"/>
              </w:rPr>
            </w:pPr>
            <w:r>
              <w:rPr>
                <w:rFonts w:hint="eastAsia" w:ascii="宋体" w:hAnsi="宋体" w:cs="宋体"/>
                <w:szCs w:val="21"/>
                <w:lang w:val="zh-CN"/>
              </w:rPr>
              <w:t>地    址：</w:t>
            </w:r>
            <w:r>
              <w:rPr>
                <w:rFonts w:hint="eastAsia" w:ascii="宋体" w:hAnsi="宋体" w:cs="宋体"/>
                <w:szCs w:val="21"/>
                <w:u w:val="single"/>
                <w:lang w:val="zh-CN"/>
              </w:rPr>
              <w:t>四川雄烽建设工程管理有限公司（四川省成都市锦江区三色路199号五冶大厦A2栋9楼）</w:t>
            </w:r>
            <w:bookmarkEnd w:id="7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14</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供应商询问</w:t>
            </w:r>
          </w:p>
        </w:tc>
        <w:tc>
          <w:tcPr>
            <w:tcW w:w="6084" w:type="dxa"/>
          </w:tcPr>
          <w:p>
            <w:pPr>
              <w:snapToGrid w:val="0"/>
              <w:spacing w:before="62" w:beforeLines="20" w:after="62" w:afterLines="20" w:line="360" w:lineRule="exact"/>
              <w:ind w:firstLine="210" w:firstLineChars="100"/>
              <w:rPr>
                <w:rFonts w:ascii="宋体" w:hAnsi="宋体" w:cs="宋体"/>
                <w:kern w:val="0"/>
                <w:szCs w:val="21"/>
                <w:lang w:val="zh-CN"/>
              </w:rPr>
            </w:pPr>
            <w:bookmarkStart w:id="72" w:name="PO_默认文件内容_9"/>
            <w:r>
              <w:rPr>
                <w:rFonts w:hint="eastAsia" w:ascii="宋体" w:hAnsi="宋体" w:cs="宋体"/>
                <w:kern w:val="0"/>
                <w:szCs w:val="21"/>
                <w:lang w:val="zh-CN"/>
              </w:rPr>
              <w:t>采购人负责对采购文件技术参数部分、评分标准的询问和质疑答复，代理机构负责采购文件技术参数部分、评分标准以外的询问和质疑答复。</w:t>
            </w:r>
          </w:p>
          <w:p>
            <w:pPr>
              <w:snapToGrid w:val="0"/>
              <w:spacing w:before="62" w:beforeLines="20" w:after="62" w:afterLines="20" w:line="360" w:lineRule="exact"/>
              <w:ind w:firstLine="210" w:firstLineChars="100"/>
              <w:rPr>
                <w:rFonts w:ascii="宋体" w:hAnsi="宋体" w:cs="宋体"/>
                <w:kern w:val="0"/>
                <w:szCs w:val="21"/>
                <w:lang w:val="zh-CN"/>
              </w:rPr>
            </w:pPr>
            <w:r>
              <w:rPr>
                <w:rFonts w:hint="eastAsia" w:ascii="宋体" w:hAnsi="宋体" w:cs="宋体"/>
                <w:kern w:val="0"/>
                <w:szCs w:val="21"/>
                <w:lang w:val="zh-CN"/>
              </w:rPr>
              <w:t>联 系 人：</w:t>
            </w:r>
            <w:r>
              <w:rPr>
                <w:rFonts w:hint="eastAsia" w:ascii="宋体" w:hAnsi="宋体" w:cs="宋体"/>
                <w:szCs w:val="21"/>
                <w:u w:val="single"/>
                <w:lang w:val="zh-CN"/>
              </w:rPr>
              <w:t>邓女士</w:t>
            </w:r>
          </w:p>
          <w:p>
            <w:pPr>
              <w:snapToGrid w:val="0"/>
              <w:spacing w:before="62" w:beforeLines="20" w:after="62" w:afterLines="20" w:line="360" w:lineRule="exact"/>
              <w:ind w:firstLine="210" w:firstLineChars="100"/>
              <w:rPr>
                <w:rFonts w:ascii="宋体" w:hAnsi="宋体" w:cs="宋体"/>
                <w:kern w:val="0"/>
                <w:szCs w:val="21"/>
              </w:rPr>
            </w:pPr>
            <w:r>
              <w:rPr>
                <w:rFonts w:hint="eastAsia" w:ascii="宋体" w:hAnsi="宋体" w:cs="宋体"/>
                <w:kern w:val="0"/>
                <w:szCs w:val="21"/>
                <w:lang w:val="zh-CN"/>
              </w:rPr>
              <w:t>联系电话：</w:t>
            </w:r>
            <w:r>
              <w:rPr>
                <w:rFonts w:hint="eastAsia" w:ascii="宋体" w:hAnsi="宋体" w:cs="宋体"/>
                <w:szCs w:val="21"/>
                <w:u w:val="single"/>
                <w:lang w:val="zh-CN"/>
              </w:rPr>
              <w:t>028-86055792转8011</w:t>
            </w:r>
          </w:p>
          <w:p>
            <w:pPr>
              <w:pStyle w:val="59"/>
              <w:snapToGrid w:val="0"/>
              <w:spacing w:before="62" w:beforeLines="20" w:after="62" w:afterLines="20" w:line="360" w:lineRule="exact"/>
              <w:ind w:firstLine="210" w:firstLineChars="100"/>
              <w:rPr>
                <w:sz w:val="21"/>
                <w:szCs w:val="21"/>
                <w:lang w:val="zh-CN"/>
              </w:rPr>
            </w:pPr>
            <w:r>
              <w:rPr>
                <w:rFonts w:hint="eastAsia"/>
                <w:sz w:val="21"/>
                <w:szCs w:val="21"/>
                <w:lang w:val="zh-CN"/>
              </w:rPr>
              <w:t>联系地址：</w:t>
            </w:r>
            <w:r>
              <w:rPr>
                <w:rFonts w:hint="eastAsia"/>
                <w:kern w:val="2"/>
                <w:sz w:val="21"/>
                <w:szCs w:val="21"/>
                <w:u w:val="single"/>
                <w:lang w:val="zh-CN"/>
              </w:rPr>
              <w:t>四川雄烽建设工程管理有限公司（四川省成都市锦江区三色路199号五冶大厦A2栋9楼）</w:t>
            </w:r>
            <w:bookmarkEnd w:id="7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15</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供应商质疑</w:t>
            </w:r>
          </w:p>
        </w:tc>
        <w:tc>
          <w:tcPr>
            <w:tcW w:w="6084" w:type="dxa"/>
            <w:vAlign w:val="center"/>
          </w:tcPr>
          <w:p>
            <w:pPr>
              <w:pStyle w:val="59"/>
              <w:snapToGrid w:val="0"/>
              <w:spacing w:before="62" w:beforeLines="20" w:after="62" w:afterLines="20" w:line="360" w:lineRule="exact"/>
              <w:ind w:left="13" w:leftChars="6" w:firstLine="210" w:firstLineChars="100"/>
              <w:rPr>
                <w:sz w:val="21"/>
                <w:szCs w:val="21"/>
                <w:lang w:val="zh-CN"/>
              </w:rPr>
            </w:pPr>
            <w:bookmarkStart w:id="73" w:name="PO_默认文件内容_17"/>
            <w:r>
              <w:rPr>
                <w:rFonts w:hint="eastAsia"/>
                <w:sz w:val="21"/>
                <w:szCs w:val="21"/>
                <w:lang w:val="zh-CN"/>
              </w:rPr>
              <w:t>1、采购人负责对采购文件技术参数、评分标准部分的询问和质疑答复，代理机构负责采购文件技术参数、评分标准部分以外的询问和质疑答复。</w:t>
            </w:r>
          </w:p>
          <w:p>
            <w:pPr>
              <w:pStyle w:val="91"/>
              <w:tabs>
                <w:tab w:val="left" w:pos="638"/>
              </w:tabs>
              <w:snapToGrid w:val="0"/>
              <w:spacing w:before="62" w:beforeLines="20" w:after="62" w:afterLines="20" w:line="360" w:lineRule="exact"/>
              <w:ind w:firstLine="200" w:firstLineChars="100"/>
              <w:rPr>
                <w:rFonts w:ascii="宋体" w:hAnsi="宋体" w:cs="宋体"/>
                <w:szCs w:val="21"/>
              </w:rPr>
            </w:pPr>
            <w:r>
              <w:rPr>
                <w:rFonts w:hint="eastAsia" w:ascii="宋体" w:hAnsi="宋体" w:cs="宋体"/>
                <w:spacing w:val="-5"/>
                <w:szCs w:val="21"/>
              </w:rPr>
              <w:t>2.提出质疑函的时限要求：供应商认为采购文件、采购过程、成交或者成交结果使自己的权益受到损害的，可以在知道或者应知其权益受到损害之日起</w:t>
            </w:r>
            <w:r>
              <w:rPr>
                <w:rFonts w:hint="eastAsia" w:ascii="宋体" w:hAnsi="宋体" w:cs="宋体"/>
                <w:spacing w:val="-3"/>
                <w:szCs w:val="21"/>
              </w:rPr>
              <w:t>7个工作日内，以书面形式向采购人、采购代理机构提出质疑，逾期提交不予受理。</w:t>
            </w:r>
          </w:p>
          <w:p>
            <w:pPr>
              <w:pStyle w:val="91"/>
              <w:tabs>
                <w:tab w:val="left" w:pos="638"/>
              </w:tabs>
              <w:snapToGrid w:val="0"/>
              <w:spacing w:before="62" w:beforeLines="20" w:after="62" w:afterLines="20" w:line="360" w:lineRule="exact"/>
              <w:ind w:firstLine="202" w:firstLineChars="100"/>
              <w:rPr>
                <w:rFonts w:ascii="宋体" w:hAnsi="宋体" w:cs="宋体"/>
                <w:szCs w:val="21"/>
              </w:rPr>
            </w:pPr>
            <w:r>
              <w:rPr>
                <w:rFonts w:hint="eastAsia" w:ascii="宋体" w:hAnsi="宋体" w:cs="宋体"/>
                <w:spacing w:val="-4"/>
                <w:szCs w:val="21"/>
              </w:rPr>
              <w:t>3.接收质疑函的方式：供应商在法定时间内以书面形式现场</w:t>
            </w:r>
            <w:r>
              <w:rPr>
                <w:rFonts w:hint="eastAsia" w:ascii="宋体" w:hAnsi="宋体" w:cs="宋体"/>
                <w:spacing w:val="-3"/>
                <w:szCs w:val="21"/>
              </w:rPr>
              <w:t>提交质疑函</w:t>
            </w:r>
            <w:r>
              <w:rPr>
                <w:rFonts w:hint="eastAsia" w:ascii="宋体" w:hAnsi="宋体" w:cs="宋体"/>
                <w:szCs w:val="21"/>
              </w:rPr>
              <w:t xml:space="preserve"> 。</w:t>
            </w:r>
          </w:p>
          <w:p>
            <w:pPr>
              <w:pStyle w:val="91"/>
              <w:snapToGrid w:val="0"/>
              <w:spacing w:before="62" w:beforeLines="20" w:after="62" w:afterLines="20" w:line="360" w:lineRule="exact"/>
              <w:ind w:firstLine="210" w:firstLineChars="100"/>
              <w:rPr>
                <w:rFonts w:ascii="宋体" w:hAnsi="宋体" w:cs="宋体"/>
                <w:szCs w:val="21"/>
              </w:rPr>
            </w:pPr>
            <w:r>
              <w:rPr>
                <w:rFonts w:hint="eastAsia" w:ascii="宋体" w:hAnsi="宋体" w:cs="宋体"/>
                <w:szCs w:val="21"/>
              </w:rPr>
              <w:t>4.采购文件质疑时间：购买采购文件之日起七个工作日内。</w:t>
            </w:r>
          </w:p>
          <w:p>
            <w:pPr>
              <w:pStyle w:val="47"/>
              <w:snapToGrid w:val="0"/>
              <w:spacing w:before="62" w:beforeLines="20" w:after="62" w:afterLines="20" w:line="360" w:lineRule="exact"/>
              <w:ind w:firstLine="202" w:firstLineChars="100"/>
              <w:rPr>
                <w:rFonts w:ascii="宋体" w:hAnsi="宋体" w:cs="宋体"/>
                <w:color w:val="auto"/>
                <w:sz w:val="21"/>
                <w:szCs w:val="21"/>
              </w:rPr>
            </w:pPr>
            <w:r>
              <w:rPr>
                <w:rFonts w:hint="eastAsia" w:ascii="宋体" w:hAnsi="宋体" w:cs="宋体"/>
                <w:color w:val="auto"/>
                <w:spacing w:val="-4"/>
                <w:sz w:val="21"/>
                <w:szCs w:val="21"/>
              </w:rPr>
              <w:t>5.采购过程质疑时间：为各采购程序环节结束之日起七个工作日内；对采购结果提</w:t>
            </w:r>
            <w:r>
              <w:rPr>
                <w:rFonts w:hint="eastAsia" w:ascii="宋体" w:hAnsi="宋体" w:cs="宋体"/>
                <w:color w:val="auto"/>
                <w:spacing w:val="-3"/>
                <w:sz w:val="21"/>
                <w:szCs w:val="21"/>
              </w:rPr>
              <w:t>出质疑时间为中标结果公告期限届满之日起七个工作日内。</w:t>
            </w:r>
          </w:p>
          <w:p>
            <w:pPr>
              <w:snapToGrid w:val="0"/>
              <w:spacing w:before="62" w:beforeLines="20" w:after="62" w:afterLines="20" w:line="360" w:lineRule="exact"/>
              <w:ind w:firstLine="210" w:firstLineChars="100"/>
              <w:rPr>
                <w:rFonts w:ascii="宋体" w:hAnsi="宋体" w:cs="宋体"/>
                <w:kern w:val="0"/>
                <w:szCs w:val="21"/>
                <w:lang w:val="zh-CN"/>
              </w:rPr>
            </w:pPr>
            <w:r>
              <w:rPr>
                <w:rFonts w:hint="eastAsia" w:ascii="宋体" w:hAnsi="宋体" w:cs="宋体"/>
                <w:kern w:val="0"/>
                <w:szCs w:val="21"/>
                <w:lang w:val="zh-CN"/>
              </w:rPr>
              <w:t>联 系 人：</w:t>
            </w:r>
            <w:r>
              <w:rPr>
                <w:rFonts w:hint="eastAsia" w:ascii="宋体" w:hAnsi="宋体" w:cs="宋体"/>
                <w:szCs w:val="21"/>
                <w:u w:val="single"/>
                <w:lang w:val="zh-CN"/>
              </w:rPr>
              <w:t>邓女士</w:t>
            </w:r>
          </w:p>
          <w:p>
            <w:pPr>
              <w:pStyle w:val="59"/>
              <w:snapToGrid w:val="0"/>
              <w:spacing w:before="62" w:beforeLines="20" w:after="62" w:afterLines="20" w:line="360" w:lineRule="exact"/>
              <w:ind w:firstLine="210" w:firstLineChars="100"/>
              <w:rPr>
                <w:sz w:val="21"/>
                <w:szCs w:val="21"/>
                <w:lang w:val="zh-CN"/>
              </w:rPr>
            </w:pPr>
            <w:r>
              <w:rPr>
                <w:rFonts w:hint="eastAsia"/>
                <w:sz w:val="21"/>
                <w:szCs w:val="21"/>
                <w:lang w:val="zh-CN"/>
              </w:rPr>
              <w:t>联系电话：</w:t>
            </w:r>
            <w:r>
              <w:rPr>
                <w:rFonts w:hint="eastAsia"/>
                <w:sz w:val="21"/>
                <w:szCs w:val="21"/>
                <w:u w:val="single"/>
                <w:lang w:val="zh-CN"/>
              </w:rPr>
              <w:t>028-86055792</w:t>
            </w:r>
          </w:p>
          <w:p>
            <w:pPr>
              <w:pStyle w:val="59"/>
              <w:snapToGrid w:val="0"/>
              <w:spacing w:before="62" w:beforeLines="20" w:after="62" w:afterLines="20" w:line="360" w:lineRule="exact"/>
              <w:ind w:firstLine="210" w:firstLineChars="100"/>
              <w:rPr>
                <w:sz w:val="21"/>
                <w:szCs w:val="21"/>
              </w:rPr>
            </w:pPr>
            <w:r>
              <w:rPr>
                <w:rFonts w:hint="eastAsia"/>
                <w:sz w:val="21"/>
                <w:szCs w:val="21"/>
                <w:lang w:val="zh-CN"/>
              </w:rPr>
              <w:t>联系地址：</w:t>
            </w:r>
            <w:r>
              <w:rPr>
                <w:rFonts w:hint="eastAsia"/>
                <w:sz w:val="21"/>
                <w:szCs w:val="21"/>
                <w:u w:val="single"/>
                <w:lang w:val="zh-CN"/>
              </w:rPr>
              <w:t>四川雄烽建设工程管理有限公司（四川省成都市锦江区三色路199号五冶大厦A2栋9楼）</w:t>
            </w:r>
          </w:p>
          <w:p>
            <w:pPr>
              <w:pStyle w:val="59"/>
              <w:snapToGrid w:val="0"/>
              <w:spacing w:before="62" w:beforeLines="20" w:after="62" w:afterLines="20" w:line="360" w:lineRule="exact"/>
              <w:ind w:firstLine="210" w:firstLineChars="100"/>
              <w:rPr>
                <w:sz w:val="21"/>
                <w:szCs w:val="21"/>
                <w:lang w:val="zh-CN"/>
              </w:rPr>
            </w:pPr>
            <w:r>
              <w:rPr>
                <w:rFonts w:hint="eastAsia"/>
                <w:sz w:val="21"/>
                <w:szCs w:val="21"/>
                <w:lang w:val="zh-CN"/>
              </w:rPr>
              <w:t>注：参照《中华人民共和国政府采购法》等规定，供应商质疑不得超出磋商文件、磋商过程、磋商结果的范围</w:t>
            </w:r>
            <w:r>
              <w:rPr>
                <w:rFonts w:hint="eastAsia"/>
                <w:kern w:val="2"/>
                <w:sz w:val="21"/>
                <w:szCs w:val="21"/>
                <w:lang w:val="zh-CN"/>
              </w:rPr>
              <w:t>，供应商质疑不得超出采购文件、采购过程、采购结果的范围,</w:t>
            </w:r>
            <w:r>
              <w:rPr>
                <w:rFonts w:hint="eastAsia"/>
                <w:kern w:val="2"/>
                <w:sz w:val="21"/>
                <w:szCs w:val="21"/>
              </w:rPr>
              <w:t xml:space="preserve"> </w:t>
            </w:r>
            <w:r>
              <w:rPr>
                <w:rFonts w:hint="eastAsia"/>
                <w:kern w:val="2"/>
                <w:sz w:val="21"/>
                <w:szCs w:val="21"/>
                <w:lang w:val="zh-CN"/>
              </w:rPr>
              <w:t>供应商针对同一采购程序环节的质疑应在法定质疑期内一次性提出</w:t>
            </w:r>
            <w:bookmarkEnd w:id="73"/>
            <w:r>
              <w:rPr>
                <w:rFonts w:hint="eastAsia"/>
                <w:kern w:val="2"/>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16</w:t>
            </w:r>
          </w:p>
        </w:tc>
        <w:tc>
          <w:tcPr>
            <w:tcW w:w="2409" w:type="dxa"/>
            <w:vAlign w:val="center"/>
          </w:tcPr>
          <w:p>
            <w:pPr>
              <w:snapToGrid w:val="0"/>
              <w:spacing w:before="93" w:beforeLines="30" w:after="93" w:afterLines="30" w:line="360" w:lineRule="exact"/>
              <w:jc w:val="center"/>
              <w:rPr>
                <w:rFonts w:ascii="宋体" w:hAnsi="宋体" w:cs="宋体"/>
                <w:szCs w:val="21"/>
                <w:lang w:val="zh-CN"/>
              </w:rPr>
            </w:pPr>
            <w:r>
              <w:rPr>
                <w:rFonts w:hint="eastAsia" w:ascii="宋体" w:hAnsi="宋体" w:cs="宋体"/>
                <w:szCs w:val="21"/>
                <w:lang w:val="zh-CN"/>
              </w:rPr>
              <w:t>供应商投诉</w:t>
            </w:r>
          </w:p>
        </w:tc>
        <w:tc>
          <w:tcPr>
            <w:tcW w:w="6084" w:type="dxa"/>
            <w:vAlign w:val="center"/>
          </w:tcPr>
          <w:p>
            <w:pPr>
              <w:pStyle w:val="59"/>
              <w:snapToGrid w:val="0"/>
              <w:spacing w:before="62" w:beforeLines="20" w:after="62" w:afterLines="20" w:line="360" w:lineRule="exact"/>
              <w:ind w:firstLine="210" w:firstLineChars="100"/>
              <w:rPr>
                <w:sz w:val="21"/>
                <w:szCs w:val="21"/>
              </w:rPr>
            </w:pPr>
            <w:r>
              <w:rPr>
                <w:rFonts w:hint="eastAsia"/>
                <w:sz w:val="21"/>
                <w:szCs w:val="21"/>
              </w:rPr>
              <w:t>投诉受理单位：</w:t>
            </w:r>
            <w:r>
              <w:rPr>
                <w:rFonts w:hint="eastAsia"/>
                <w:sz w:val="21"/>
                <w:szCs w:val="21"/>
                <w:u w:val="single"/>
              </w:rPr>
              <w:t>四川天府新区财政金融局</w:t>
            </w:r>
          </w:p>
          <w:p>
            <w:pPr>
              <w:pStyle w:val="59"/>
              <w:snapToGrid w:val="0"/>
              <w:spacing w:before="62" w:beforeLines="20" w:after="62" w:afterLines="20" w:line="360" w:lineRule="exact"/>
              <w:ind w:firstLine="210" w:firstLineChars="100"/>
              <w:rPr>
                <w:sz w:val="21"/>
                <w:szCs w:val="21"/>
              </w:rPr>
            </w:pPr>
            <w:r>
              <w:rPr>
                <w:rFonts w:hint="eastAsia"/>
                <w:sz w:val="21"/>
                <w:szCs w:val="21"/>
              </w:rPr>
              <w:t>联系电话：</w:t>
            </w:r>
            <w:r>
              <w:rPr>
                <w:rFonts w:hint="eastAsia"/>
                <w:sz w:val="21"/>
                <w:szCs w:val="21"/>
                <w:u w:val="single"/>
              </w:rPr>
              <w:t>028-61889702</w:t>
            </w:r>
          </w:p>
          <w:p>
            <w:pPr>
              <w:pStyle w:val="59"/>
              <w:snapToGrid w:val="0"/>
              <w:spacing w:before="62" w:beforeLines="20" w:after="62" w:afterLines="20" w:line="360" w:lineRule="exact"/>
              <w:ind w:firstLine="210" w:firstLineChars="100"/>
              <w:rPr>
                <w:sz w:val="21"/>
                <w:szCs w:val="21"/>
              </w:rPr>
            </w:pPr>
            <w:r>
              <w:rPr>
                <w:rFonts w:hint="eastAsia"/>
                <w:sz w:val="21"/>
                <w:szCs w:val="21"/>
              </w:rPr>
              <w:t>邮政编码：</w:t>
            </w:r>
            <w:r>
              <w:rPr>
                <w:rFonts w:hint="eastAsia"/>
                <w:sz w:val="21"/>
                <w:szCs w:val="21"/>
                <w:u w:val="single"/>
              </w:rPr>
              <w:t>610000</w:t>
            </w:r>
          </w:p>
          <w:p>
            <w:pPr>
              <w:pStyle w:val="59"/>
              <w:snapToGrid w:val="0"/>
              <w:spacing w:before="62" w:beforeLines="20" w:after="62" w:afterLines="20" w:line="360" w:lineRule="exact"/>
              <w:ind w:firstLine="210" w:firstLineChars="100"/>
              <w:rPr>
                <w:sz w:val="21"/>
                <w:szCs w:val="21"/>
                <w:lang w:val="zh-CN"/>
              </w:rPr>
            </w:pPr>
            <w:r>
              <w:rPr>
                <w:rFonts w:hint="eastAsia"/>
                <w:sz w:val="21"/>
                <w:szCs w:val="21"/>
              </w:rPr>
              <w:t>注：供应商投诉应当有明确的请求和必要的证明材料。供应商投诉的事项不得超出已质疑事项的范围，</w:t>
            </w:r>
            <w:r>
              <w:rPr>
                <w:rFonts w:hint="eastAsia"/>
                <w:spacing w:val="-4"/>
                <w:sz w:val="21"/>
                <w:szCs w:val="21"/>
              </w:rPr>
              <w:t>须符合《政府采购质疑和投诉办法》财政部第 94</w:t>
            </w:r>
            <w:r>
              <w:rPr>
                <w:rFonts w:hint="eastAsia"/>
                <w:spacing w:val="-3"/>
                <w:sz w:val="21"/>
                <w:szCs w:val="21"/>
              </w:rPr>
              <w:t xml:space="preserve"> 号令规定。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17</w:t>
            </w:r>
          </w:p>
        </w:tc>
        <w:tc>
          <w:tcPr>
            <w:tcW w:w="2409" w:type="dxa"/>
            <w:vAlign w:val="center"/>
          </w:tcPr>
          <w:p>
            <w:pPr>
              <w:pStyle w:val="59"/>
              <w:snapToGrid w:val="0"/>
              <w:spacing w:before="93" w:beforeLines="30" w:after="93" w:afterLines="30" w:line="360" w:lineRule="exact"/>
              <w:jc w:val="center"/>
              <w:rPr>
                <w:sz w:val="21"/>
                <w:szCs w:val="21"/>
                <w:lang w:val="zh-CN"/>
              </w:rPr>
            </w:pPr>
            <w:r>
              <w:rPr>
                <w:rFonts w:hint="eastAsia"/>
                <w:sz w:val="21"/>
                <w:szCs w:val="21"/>
                <w:lang w:val="zh-CN"/>
              </w:rPr>
              <w:t>采购代理服务费</w:t>
            </w:r>
          </w:p>
        </w:tc>
        <w:tc>
          <w:tcPr>
            <w:tcW w:w="6084" w:type="dxa"/>
            <w:vAlign w:val="center"/>
          </w:tcPr>
          <w:p>
            <w:pPr>
              <w:pStyle w:val="59"/>
              <w:snapToGrid w:val="0"/>
              <w:spacing w:before="62" w:beforeLines="20" w:after="62" w:afterLines="20" w:line="360" w:lineRule="exact"/>
              <w:ind w:firstLine="210" w:firstLineChars="100"/>
              <w:jc w:val="both"/>
              <w:rPr>
                <w:sz w:val="21"/>
                <w:szCs w:val="21"/>
              </w:rPr>
            </w:pPr>
            <w:bookmarkStart w:id="74" w:name="PO_默认文件内容_19"/>
            <w:r>
              <w:rPr>
                <w:rFonts w:hint="eastAsia"/>
                <w:sz w:val="21"/>
                <w:szCs w:val="21"/>
                <w:lang w:val="zh-CN"/>
              </w:rPr>
              <w:t>包</w:t>
            </w:r>
            <w:r>
              <w:rPr>
                <w:rFonts w:hint="eastAsia"/>
                <w:sz w:val="21"/>
                <w:szCs w:val="21"/>
              </w:rPr>
              <w:t>1：8100.00元</w:t>
            </w:r>
          </w:p>
          <w:p>
            <w:pPr>
              <w:pStyle w:val="59"/>
              <w:snapToGrid w:val="0"/>
              <w:spacing w:before="62" w:beforeLines="20" w:after="62" w:afterLines="20" w:line="360" w:lineRule="exact"/>
              <w:ind w:firstLine="210" w:firstLineChars="100"/>
              <w:jc w:val="both"/>
              <w:rPr>
                <w:sz w:val="21"/>
                <w:szCs w:val="21"/>
              </w:rPr>
            </w:pPr>
            <w:r>
              <w:rPr>
                <w:rFonts w:hint="eastAsia"/>
                <w:sz w:val="21"/>
                <w:szCs w:val="21"/>
              </w:rPr>
              <w:t>包2：1650.00元</w:t>
            </w:r>
          </w:p>
          <w:bookmarkEnd w:id="74"/>
          <w:p>
            <w:pPr>
              <w:pStyle w:val="59"/>
              <w:snapToGrid w:val="0"/>
              <w:spacing w:before="62" w:beforeLines="20" w:after="62" w:afterLines="20" w:line="360" w:lineRule="exact"/>
              <w:ind w:firstLine="210" w:firstLineChars="100"/>
              <w:jc w:val="both"/>
              <w:rPr>
                <w:sz w:val="21"/>
                <w:szCs w:val="21"/>
                <w:lang w:val="zh-CN"/>
              </w:rPr>
            </w:pPr>
            <w:r>
              <w:rPr>
                <w:rStyle w:val="107"/>
                <w:rFonts w:hint="eastAsia" w:ascii="新宋体" w:hAnsi="新宋体" w:eastAsia="新宋体"/>
                <w:kern w:val="2"/>
                <w:sz w:val="21"/>
                <w:szCs w:val="21"/>
                <w:lang w:val="zh-CN"/>
              </w:rPr>
              <w:t>由成交单位支付。成交单位应在领取中标（成交）通知书（领取时携带公司介绍信，注明办理中标（成交）通知书领取事宜，并带领取人身份证原件）的同时向代理机构支付本项目的采购代理服务费。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18</w:t>
            </w:r>
          </w:p>
        </w:tc>
        <w:tc>
          <w:tcPr>
            <w:tcW w:w="2409" w:type="dxa"/>
            <w:vAlign w:val="center"/>
          </w:tcPr>
          <w:p>
            <w:pPr>
              <w:pStyle w:val="59"/>
              <w:snapToGrid w:val="0"/>
              <w:spacing w:before="93" w:beforeLines="30" w:after="93" w:afterLines="30" w:line="360" w:lineRule="exact"/>
              <w:jc w:val="center"/>
              <w:rPr>
                <w:sz w:val="21"/>
                <w:szCs w:val="21"/>
                <w:lang w:val="zh-CN"/>
              </w:rPr>
            </w:pPr>
            <w:r>
              <w:rPr>
                <w:rFonts w:hint="eastAsia"/>
                <w:sz w:val="21"/>
                <w:szCs w:val="21"/>
                <w:lang w:val="zh-CN"/>
              </w:rPr>
              <w:t>分包</w:t>
            </w:r>
          </w:p>
        </w:tc>
        <w:tc>
          <w:tcPr>
            <w:tcW w:w="6084" w:type="dxa"/>
            <w:vAlign w:val="center"/>
          </w:tcPr>
          <w:p>
            <w:pPr>
              <w:pStyle w:val="59"/>
              <w:snapToGrid w:val="0"/>
              <w:spacing w:before="62" w:beforeLines="20" w:after="62" w:afterLines="20" w:line="360" w:lineRule="exact"/>
              <w:ind w:firstLine="210" w:firstLineChars="100"/>
              <w:jc w:val="both"/>
              <w:rPr>
                <w:sz w:val="21"/>
                <w:szCs w:val="21"/>
                <w:lang w:val="zh-CN"/>
              </w:rPr>
            </w:pPr>
            <w:r>
              <w:rPr>
                <w:rFonts w:hint="eastAsia"/>
                <w:sz w:val="21"/>
                <w:szCs w:val="21"/>
                <w:lang w:val="zh-CN"/>
              </w:rPr>
              <w:t>本项目不允许分包。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59"/>
              <w:snapToGrid w:val="0"/>
              <w:spacing w:before="93" w:beforeLines="30" w:after="93" w:afterLines="30" w:line="360" w:lineRule="exact"/>
              <w:jc w:val="center"/>
              <w:rPr>
                <w:rFonts w:hint="default" w:eastAsia="宋体"/>
                <w:sz w:val="21"/>
                <w:szCs w:val="21"/>
                <w:lang w:val="en-US" w:eastAsia="zh-CN"/>
              </w:rPr>
            </w:pPr>
            <w:r>
              <w:rPr>
                <w:rFonts w:hint="eastAsia"/>
                <w:sz w:val="21"/>
                <w:szCs w:val="21"/>
                <w:lang w:val="en-US" w:eastAsia="zh-CN"/>
              </w:rPr>
              <w:t>19</w:t>
            </w:r>
          </w:p>
        </w:tc>
        <w:tc>
          <w:tcPr>
            <w:tcW w:w="2409" w:type="dxa"/>
            <w:vAlign w:val="center"/>
          </w:tcPr>
          <w:p>
            <w:pPr>
              <w:snapToGrid w:val="0"/>
              <w:spacing w:before="93" w:beforeLines="30" w:after="93" w:afterLines="30" w:line="360" w:lineRule="exact"/>
              <w:jc w:val="center"/>
              <w:rPr>
                <w:rFonts w:ascii="宋体" w:hAnsi="宋体" w:cs="宋体"/>
                <w:szCs w:val="21"/>
              </w:rPr>
            </w:pPr>
            <w:r>
              <w:rPr>
                <w:rFonts w:hint="eastAsia" w:ascii="宋体" w:hAnsi="宋体" w:cs="宋体"/>
                <w:szCs w:val="21"/>
              </w:rPr>
              <w:t>备注</w:t>
            </w:r>
          </w:p>
        </w:tc>
        <w:tc>
          <w:tcPr>
            <w:tcW w:w="6084" w:type="dxa"/>
            <w:vAlign w:val="center"/>
          </w:tcPr>
          <w:p>
            <w:pPr>
              <w:snapToGrid w:val="0"/>
              <w:spacing w:before="62" w:beforeLines="20" w:after="62" w:afterLines="20" w:line="360" w:lineRule="exact"/>
              <w:ind w:firstLine="210" w:firstLineChars="100"/>
              <w:rPr>
                <w:rFonts w:ascii="宋体" w:hAnsi="宋体" w:cs="宋体"/>
                <w:szCs w:val="21"/>
              </w:rPr>
            </w:pPr>
            <w:r>
              <w:rPr>
                <w:rFonts w:hint="eastAsia" w:ascii="宋体" w:hAnsi="宋体" w:cs="宋体"/>
                <w:szCs w:val="21"/>
              </w:rPr>
              <w:t>若磋商文件中其他内容与供应商须知附表内容不一致的，以供应商须知附表为准。</w:t>
            </w:r>
          </w:p>
        </w:tc>
      </w:tr>
    </w:tbl>
    <w:p>
      <w:pPr>
        <w:spacing w:line="360" w:lineRule="auto"/>
        <w:jc w:val="center"/>
        <w:rPr>
          <w:rFonts w:ascii="黑体"/>
          <w:b/>
          <w:bCs/>
          <w:sz w:val="30"/>
          <w:szCs w:val="30"/>
        </w:rPr>
      </w:pPr>
      <w:bookmarkStart w:id="75" w:name="_Toc29890_WPSOffice_Level2"/>
      <w:bookmarkStart w:id="76" w:name="_Toc4659680"/>
      <w:bookmarkStart w:id="77" w:name="_Toc5004984"/>
      <w:bookmarkStart w:id="78" w:name="_Toc4578818"/>
    </w:p>
    <w:p>
      <w:r>
        <w:rPr>
          <w:rFonts w:hint="eastAsia"/>
        </w:rPr>
        <w:br w:type="page"/>
      </w:r>
    </w:p>
    <w:p>
      <w:pPr>
        <w:pStyle w:val="4"/>
        <w:snapToGrid w:val="0"/>
        <w:spacing w:before="0" w:after="0" w:line="360" w:lineRule="auto"/>
      </w:pPr>
      <w:bookmarkStart w:id="79" w:name="_Toc8312"/>
      <w:bookmarkStart w:id="80" w:name="_Toc21406"/>
      <w:bookmarkStart w:id="81" w:name="_Toc21064"/>
      <w:bookmarkStart w:id="82" w:name="_Toc13712"/>
      <w:bookmarkStart w:id="83" w:name="_Toc11218"/>
      <w:bookmarkStart w:id="84" w:name="_Toc7874"/>
      <w:bookmarkStart w:id="85" w:name="_Toc8732"/>
      <w:bookmarkStart w:id="86" w:name="_Toc28680"/>
      <w:r>
        <w:rPr>
          <w:rFonts w:hint="eastAsia"/>
        </w:rPr>
        <w:t>二、总  则</w:t>
      </w:r>
      <w:bookmarkEnd w:id="75"/>
      <w:bookmarkEnd w:id="76"/>
      <w:bookmarkEnd w:id="77"/>
      <w:bookmarkEnd w:id="78"/>
      <w:bookmarkEnd w:id="79"/>
      <w:bookmarkEnd w:id="80"/>
      <w:bookmarkEnd w:id="81"/>
      <w:bookmarkEnd w:id="82"/>
      <w:bookmarkEnd w:id="83"/>
      <w:bookmarkEnd w:id="84"/>
      <w:bookmarkEnd w:id="85"/>
      <w:bookmarkEnd w:id="86"/>
    </w:p>
    <w:p>
      <w:pPr>
        <w:pStyle w:val="5"/>
        <w:snapToGrid w:val="0"/>
        <w:spacing w:before="0" w:after="0" w:line="360" w:lineRule="auto"/>
        <w:ind w:firstLine="482" w:firstLineChars="200"/>
      </w:pPr>
      <w:bookmarkStart w:id="87" w:name="_Toc183682342"/>
      <w:bookmarkStart w:id="88" w:name="_Toc183582205"/>
      <w:bookmarkStart w:id="89" w:name="_Toc217446034"/>
      <w:bookmarkStart w:id="90" w:name="_Toc4578819"/>
      <w:bookmarkStart w:id="91" w:name="_Toc4659681"/>
      <w:bookmarkStart w:id="92" w:name="_Toc5004985"/>
      <w:bookmarkStart w:id="93" w:name="PO_默认文件内容_20"/>
      <w:r>
        <w:rPr>
          <w:rFonts w:hint="eastAsia"/>
        </w:rPr>
        <w:t>1</w:t>
      </w:r>
      <w:r>
        <w:t>.</w:t>
      </w:r>
      <w:bookmarkEnd w:id="87"/>
      <w:bookmarkEnd w:id="88"/>
      <w:r>
        <w:rPr>
          <w:rFonts w:hint="eastAsia"/>
        </w:rPr>
        <w:t>适用范围</w:t>
      </w:r>
      <w:bookmarkEnd w:id="89"/>
      <w:bookmarkEnd w:id="90"/>
      <w:bookmarkEnd w:id="91"/>
      <w:bookmarkEnd w:id="92"/>
    </w:p>
    <w:p>
      <w:pPr>
        <w:tabs>
          <w:tab w:val="left" w:pos="851"/>
        </w:tabs>
        <w:snapToGrid w:val="0"/>
        <w:spacing w:line="360" w:lineRule="auto"/>
        <w:ind w:firstLine="525" w:firstLineChars="250"/>
        <w:rPr>
          <w:rFonts w:ascii="宋体" w:hAnsi="宋体" w:cs="宋体"/>
        </w:rPr>
      </w:pPr>
      <w:bookmarkStart w:id="94" w:name="_Toc71_WPSOffice_Level3"/>
      <w:r>
        <w:rPr>
          <w:rFonts w:hint="eastAsia" w:ascii="宋体" w:hAnsi="宋体" w:cs="宋体"/>
        </w:rPr>
        <w:t>1.1 本磋商文件仅适用于本次磋商采购项目。</w:t>
      </w:r>
      <w:bookmarkEnd w:id="94"/>
    </w:p>
    <w:p>
      <w:pPr>
        <w:tabs>
          <w:tab w:val="left" w:pos="851"/>
        </w:tabs>
        <w:snapToGrid w:val="0"/>
        <w:spacing w:line="360" w:lineRule="auto"/>
        <w:ind w:firstLine="525" w:firstLineChars="250"/>
        <w:rPr>
          <w:rFonts w:ascii="宋体" w:hAnsi="宋体" w:cs="宋体"/>
        </w:rPr>
      </w:pPr>
      <w:bookmarkStart w:id="95" w:name="_Toc16374_WPSOffice_Level3"/>
      <w:r>
        <w:rPr>
          <w:rFonts w:hint="eastAsia" w:ascii="宋体" w:hAnsi="宋体" w:cs="宋体"/>
        </w:rPr>
        <w:t>1.2 本磋商文件的解释权归采购人和采购代理机构所有。</w:t>
      </w:r>
      <w:bookmarkEnd w:id="93"/>
      <w:bookmarkEnd w:id="95"/>
    </w:p>
    <w:p>
      <w:pPr>
        <w:pStyle w:val="5"/>
        <w:snapToGrid w:val="0"/>
        <w:spacing w:before="0" w:after="0" w:line="360" w:lineRule="auto"/>
        <w:ind w:firstLine="482" w:firstLineChars="200"/>
        <w:rPr>
          <w:rFonts w:ascii="宋体" w:hAnsi="宋体"/>
        </w:rPr>
      </w:pPr>
      <w:bookmarkStart w:id="96" w:name="_Toc183682343"/>
      <w:bookmarkStart w:id="97" w:name="_Toc217446035"/>
      <w:bookmarkStart w:id="98" w:name="_Toc183582206"/>
      <w:bookmarkStart w:id="99" w:name="_Toc5004986"/>
      <w:bookmarkStart w:id="100" w:name="_Toc4578820"/>
      <w:bookmarkStart w:id="101" w:name="_Toc4659682"/>
      <w:r>
        <w:rPr>
          <w:rFonts w:ascii="宋体" w:hAnsi="宋体"/>
        </w:rPr>
        <w:t>2.</w:t>
      </w:r>
      <w:bookmarkEnd w:id="96"/>
      <w:bookmarkEnd w:id="97"/>
      <w:bookmarkEnd w:id="98"/>
      <w:r>
        <w:rPr>
          <w:rFonts w:hint="eastAsia" w:ascii="宋体" w:hAnsi="宋体"/>
        </w:rPr>
        <w:t>采购主体</w:t>
      </w:r>
      <w:bookmarkEnd w:id="99"/>
      <w:bookmarkEnd w:id="100"/>
      <w:bookmarkEnd w:id="101"/>
    </w:p>
    <w:p>
      <w:pPr>
        <w:tabs>
          <w:tab w:val="left" w:pos="851"/>
        </w:tabs>
        <w:snapToGrid w:val="0"/>
        <w:spacing w:line="360" w:lineRule="auto"/>
        <w:ind w:firstLine="525" w:firstLineChars="250"/>
        <w:rPr>
          <w:rFonts w:ascii="宋体" w:hAnsi="宋体" w:cs="宋体"/>
        </w:rPr>
      </w:pPr>
      <w:bookmarkStart w:id="102" w:name="_Toc7506_WPSOffice_Level3"/>
      <w:r>
        <w:rPr>
          <w:rFonts w:hint="eastAsia" w:ascii="宋体" w:hAnsi="宋体" w:cs="宋体"/>
        </w:rPr>
        <w:t>2.1本次磋商的采购人是</w:t>
      </w:r>
      <w:r>
        <w:rPr>
          <w:rFonts w:hint="eastAsia" w:ascii="宋体" w:hAnsi="宋体" w:cs="宋体"/>
          <w:u w:val="single"/>
        </w:rPr>
        <w:t>四川天府新区生态环境和城市管理局</w:t>
      </w:r>
      <w:r>
        <w:rPr>
          <w:rFonts w:hint="eastAsia" w:ascii="宋体" w:hAnsi="宋体" w:cs="宋体"/>
        </w:rPr>
        <w:t>。</w:t>
      </w:r>
      <w:bookmarkEnd w:id="102"/>
    </w:p>
    <w:p>
      <w:pPr>
        <w:tabs>
          <w:tab w:val="left" w:pos="851"/>
        </w:tabs>
        <w:snapToGrid w:val="0"/>
        <w:spacing w:line="360" w:lineRule="auto"/>
        <w:ind w:firstLine="525" w:firstLineChars="250"/>
        <w:rPr>
          <w:rFonts w:ascii="宋体" w:hAnsi="宋体" w:cs="宋体"/>
        </w:rPr>
      </w:pPr>
      <w:bookmarkStart w:id="103" w:name="_Toc22515_WPSOffice_Level3"/>
      <w:bookmarkStart w:id="104" w:name="PO_默认文件内容_23"/>
      <w:r>
        <w:rPr>
          <w:rFonts w:hint="eastAsia" w:ascii="宋体" w:hAnsi="宋体" w:cs="宋体"/>
        </w:rPr>
        <w:t>2.2本次磋商的</w:t>
      </w:r>
      <w:r>
        <w:rPr>
          <w:rFonts w:hint="eastAsia" w:ascii="宋体" w:hAnsi="宋体"/>
        </w:rPr>
        <w:t>采购</w:t>
      </w:r>
      <w:r>
        <w:rPr>
          <w:rFonts w:hint="eastAsia" w:ascii="宋体" w:hAnsi="宋体" w:cs="宋体"/>
        </w:rPr>
        <w:t>代理机构是</w:t>
      </w:r>
      <w:r>
        <w:rPr>
          <w:rFonts w:hint="eastAsia" w:ascii="宋体" w:hAnsi="宋体" w:cs="宋体"/>
          <w:u w:val="single"/>
        </w:rPr>
        <w:t>四川雄烽建设工程管理有限公司</w:t>
      </w:r>
      <w:r>
        <w:rPr>
          <w:rFonts w:hint="eastAsia" w:ascii="宋体" w:hAnsi="宋体" w:cs="宋体"/>
        </w:rPr>
        <w:t>。</w:t>
      </w:r>
      <w:bookmarkEnd w:id="103"/>
    </w:p>
    <w:p>
      <w:pPr>
        <w:pStyle w:val="5"/>
        <w:snapToGrid w:val="0"/>
        <w:spacing w:before="0" w:after="0" w:line="360" w:lineRule="auto"/>
        <w:ind w:firstLine="482" w:firstLineChars="200"/>
        <w:rPr>
          <w:rFonts w:ascii="宋体" w:hAnsi="宋体"/>
        </w:rPr>
      </w:pPr>
      <w:bookmarkStart w:id="105" w:name="_Toc217446036"/>
      <w:bookmarkStart w:id="106" w:name="_Toc217390843"/>
      <w:bookmarkStart w:id="107" w:name="_Toc183582207"/>
      <w:bookmarkStart w:id="108" w:name="_Toc183682344"/>
      <w:bookmarkStart w:id="109" w:name="_Toc5004987"/>
      <w:bookmarkStart w:id="110" w:name="_Toc4659683"/>
      <w:bookmarkStart w:id="111" w:name="_Toc4578821"/>
      <w:r>
        <w:rPr>
          <w:rFonts w:ascii="宋体" w:hAnsi="宋体"/>
        </w:rPr>
        <w:t>3</w:t>
      </w:r>
      <w:r>
        <w:rPr>
          <w:rFonts w:hint="eastAsia" w:ascii="宋体" w:hAnsi="宋体"/>
        </w:rPr>
        <w:t>.合格</w:t>
      </w:r>
      <w:bookmarkEnd w:id="105"/>
      <w:bookmarkEnd w:id="106"/>
      <w:bookmarkEnd w:id="107"/>
      <w:bookmarkEnd w:id="108"/>
      <w:r>
        <w:rPr>
          <w:rFonts w:hint="eastAsia" w:ascii="宋体" w:hAnsi="宋体"/>
        </w:rPr>
        <w:t>供应商（实质性要求）</w:t>
      </w:r>
      <w:bookmarkEnd w:id="109"/>
      <w:bookmarkEnd w:id="110"/>
      <w:bookmarkEnd w:id="111"/>
    </w:p>
    <w:p>
      <w:pPr>
        <w:tabs>
          <w:tab w:val="left" w:pos="851"/>
        </w:tabs>
        <w:snapToGrid w:val="0"/>
        <w:spacing w:line="360" w:lineRule="auto"/>
        <w:ind w:firstLine="525" w:firstLineChars="250"/>
        <w:rPr>
          <w:rFonts w:ascii="宋体" w:hAnsi="宋体" w:cs="宋体"/>
        </w:rPr>
      </w:pPr>
      <w:r>
        <w:rPr>
          <w:rFonts w:hint="eastAsia" w:ascii="宋体" w:hAnsi="宋体" w:cs="宋体"/>
        </w:rPr>
        <w:t>合格供应商应具备以下条件：</w:t>
      </w:r>
    </w:p>
    <w:p>
      <w:pPr>
        <w:tabs>
          <w:tab w:val="left" w:pos="851"/>
        </w:tabs>
        <w:snapToGrid w:val="0"/>
        <w:spacing w:line="360" w:lineRule="auto"/>
        <w:ind w:firstLine="525" w:firstLineChars="250"/>
        <w:rPr>
          <w:rFonts w:ascii="宋体" w:hAnsi="宋体" w:cs="宋体"/>
        </w:rPr>
      </w:pPr>
      <w:r>
        <w:rPr>
          <w:rFonts w:hint="eastAsia" w:ascii="宋体" w:hAnsi="宋体" w:cs="宋体"/>
        </w:rPr>
        <w:t>3.1 具备法律法规和本采购文件规定的资格条件；</w:t>
      </w:r>
    </w:p>
    <w:p>
      <w:pPr>
        <w:tabs>
          <w:tab w:val="left" w:pos="851"/>
        </w:tabs>
        <w:snapToGrid w:val="0"/>
        <w:spacing w:line="360" w:lineRule="auto"/>
        <w:ind w:firstLine="525" w:firstLineChars="250"/>
        <w:rPr>
          <w:rFonts w:ascii="宋体" w:hAnsi="宋体" w:cs="宋体"/>
        </w:rPr>
      </w:pPr>
      <w:r>
        <w:rPr>
          <w:rFonts w:hint="eastAsia" w:ascii="宋体" w:hAnsi="宋体" w:cs="宋体"/>
        </w:rPr>
        <w:t>3.2 不属于禁止参加本项目采购活动的供应商；</w:t>
      </w:r>
    </w:p>
    <w:p>
      <w:pPr>
        <w:tabs>
          <w:tab w:val="left" w:pos="851"/>
        </w:tabs>
        <w:snapToGrid w:val="0"/>
        <w:spacing w:line="360" w:lineRule="auto"/>
        <w:ind w:firstLine="525" w:firstLineChars="250"/>
        <w:rPr>
          <w:rFonts w:ascii="宋体" w:hAnsi="宋体" w:cs="宋体"/>
        </w:rPr>
      </w:pPr>
      <w:r>
        <w:rPr>
          <w:rFonts w:hint="eastAsia" w:ascii="宋体" w:hAnsi="宋体" w:cs="宋体"/>
        </w:rPr>
        <w:t>3.3 按照规定获取了磋商文件，属于实质性参加采购活的供应商。</w:t>
      </w:r>
    </w:p>
    <w:p>
      <w:pPr>
        <w:pStyle w:val="5"/>
        <w:snapToGrid w:val="0"/>
        <w:spacing w:before="0" w:after="0" w:line="360" w:lineRule="auto"/>
        <w:ind w:firstLine="482" w:firstLineChars="200"/>
        <w:rPr>
          <w:rFonts w:ascii="宋体" w:hAnsi="宋体"/>
        </w:rPr>
      </w:pPr>
      <w:bookmarkStart w:id="112" w:name="_Toc4659684"/>
      <w:bookmarkStart w:id="113" w:name="_Toc183682345"/>
      <w:bookmarkStart w:id="114" w:name="_Toc183582208"/>
      <w:bookmarkStart w:id="115" w:name="_Toc5004988"/>
      <w:bookmarkStart w:id="116" w:name="_Toc217446037"/>
      <w:bookmarkStart w:id="117" w:name="_Toc4578822"/>
      <w:r>
        <w:rPr>
          <w:rFonts w:hint="eastAsia" w:ascii="宋体" w:hAnsi="宋体"/>
        </w:rPr>
        <w:t>4.磋商费用</w:t>
      </w:r>
      <w:bookmarkEnd w:id="112"/>
      <w:bookmarkEnd w:id="113"/>
      <w:bookmarkEnd w:id="114"/>
      <w:bookmarkEnd w:id="115"/>
      <w:bookmarkEnd w:id="116"/>
      <w:bookmarkEnd w:id="117"/>
    </w:p>
    <w:p>
      <w:pPr>
        <w:tabs>
          <w:tab w:val="left" w:pos="851"/>
        </w:tabs>
        <w:snapToGrid w:val="0"/>
        <w:spacing w:line="360" w:lineRule="auto"/>
        <w:ind w:firstLine="525" w:firstLineChars="250"/>
        <w:rPr>
          <w:rFonts w:ascii="宋体" w:hAnsi="宋体" w:cs="宋体"/>
        </w:rPr>
      </w:pPr>
      <w:r>
        <w:rPr>
          <w:rFonts w:hint="eastAsia" w:ascii="宋体" w:hAnsi="宋体" w:cs="宋体"/>
        </w:rPr>
        <w:t>供应商应自行承担</w:t>
      </w:r>
      <w:r>
        <w:rPr>
          <w:rFonts w:hint="eastAsia" w:ascii="宋体" w:hAnsi="宋体"/>
        </w:rPr>
        <w:t>参加</w:t>
      </w:r>
      <w:r>
        <w:rPr>
          <w:rFonts w:hint="eastAsia" w:ascii="宋体" w:hAnsi="宋体" w:cs="宋体"/>
        </w:rPr>
        <w:t>磋商活动的全部费用。</w:t>
      </w:r>
    </w:p>
    <w:p>
      <w:pPr>
        <w:pStyle w:val="5"/>
        <w:snapToGrid w:val="0"/>
        <w:spacing w:before="0" w:after="0" w:line="360" w:lineRule="auto"/>
        <w:ind w:firstLine="482" w:firstLineChars="200"/>
        <w:rPr>
          <w:rFonts w:hAnsi="宋体"/>
        </w:rPr>
      </w:pPr>
      <w:r>
        <w:rPr>
          <w:rFonts w:hint="eastAsia" w:hAnsi="宋体"/>
        </w:rPr>
        <w:t>5.充分、</w:t>
      </w:r>
      <w:r>
        <w:rPr>
          <w:rFonts w:hint="eastAsia" w:ascii="宋体" w:hAnsi="宋体"/>
        </w:rPr>
        <w:t>公平</w:t>
      </w:r>
      <w:r>
        <w:rPr>
          <w:rFonts w:hint="eastAsia" w:hAnsi="宋体"/>
        </w:rPr>
        <w:t>竞争保障措施（实质性要求）</w:t>
      </w:r>
    </w:p>
    <w:p>
      <w:pPr>
        <w:tabs>
          <w:tab w:val="left" w:pos="851"/>
        </w:tabs>
        <w:snapToGrid w:val="0"/>
        <w:spacing w:line="360" w:lineRule="auto"/>
        <w:ind w:firstLine="525" w:firstLineChars="250"/>
        <w:rPr>
          <w:rFonts w:hint="eastAsia" w:ascii="宋体" w:hAnsi="宋体"/>
        </w:rPr>
      </w:pPr>
      <w:r>
        <w:rPr>
          <w:rFonts w:hint="eastAsia" w:ascii="宋体" w:hAnsi="宋体"/>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tabs>
          <w:tab w:val="left" w:pos="851"/>
        </w:tabs>
        <w:snapToGrid w:val="0"/>
        <w:spacing w:line="360" w:lineRule="auto"/>
        <w:ind w:firstLine="525" w:firstLineChars="250"/>
        <w:rPr>
          <w:rFonts w:hint="eastAsia" w:ascii="宋体" w:hAnsi="宋体"/>
        </w:rPr>
      </w:pPr>
      <w:r>
        <w:rPr>
          <w:rFonts w:hint="eastAsia" w:ascii="宋体" w:hAnsi="宋体"/>
        </w:rPr>
        <w:t>5.2利害关系授权代表处理。两家以上的供应商不得在同一合同项下的采购项目中，委托同一个自然人、同一家庭的人员、同一单位的人员作为其授权代表，否则，其响应文件作为无效处理。</w:t>
      </w:r>
    </w:p>
    <w:p>
      <w:pPr>
        <w:tabs>
          <w:tab w:val="left" w:pos="851"/>
        </w:tabs>
        <w:snapToGrid w:val="0"/>
        <w:spacing w:line="360" w:lineRule="auto"/>
        <w:ind w:firstLine="525" w:firstLineChars="250"/>
        <w:rPr>
          <w:rFonts w:hint="eastAsia" w:ascii="宋体" w:hAnsi="宋体"/>
        </w:rPr>
      </w:pPr>
      <w:r>
        <w:rPr>
          <w:rFonts w:hint="eastAsia" w:ascii="宋体" w:hAnsi="宋体"/>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tabs>
          <w:tab w:val="left" w:pos="851"/>
        </w:tabs>
        <w:snapToGrid w:val="0"/>
        <w:spacing w:line="360" w:lineRule="auto"/>
        <w:ind w:firstLine="525" w:firstLineChars="250"/>
        <w:rPr>
          <w:rFonts w:ascii="宋体" w:hAnsi="宋体"/>
        </w:rPr>
      </w:pPr>
      <w:r>
        <w:rPr>
          <w:rFonts w:hint="eastAsia" w:ascii="宋体" w:hAnsi="宋体"/>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r>
        <w:rPr>
          <w:rFonts w:hint="eastAsia" w:ascii="宋体" w:hAnsi="宋体"/>
          <w:b/>
          <w:bCs/>
        </w:rPr>
        <w:t>（本项目不适用）</w:t>
      </w:r>
    </w:p>
    <w:p>
      <w:pPr>
        <w:tabs>
          <w:tab w:val="left" w:pos="851"/>
        </w:tabs>
        <w:snapToGrid w:val="0"/>
        <w:spacing w:line="360" w:lineRule="auto"/>
        <w:ind w:firstLine="525" w:firstLineChars="250"/>
        <w:rPr>
          <w:rFonts w:ascii="宋体" w:hAnsi="宋体"/>
        </w:rPr>
      </w:pPr>
      <w:r>
        <w:rPr>
          <w:rFonts w:hint="eastAsia" w:ascii="宋体" w:hAnsi="宋体"/>
        </w:rPr>
        <w:t>非单一产品采购项目中，多家供应商提供的部分或所有核心产品品牌相同的，视为提供相同品牌产品。</w:t>
      </w:r>
      <w:r>
        <w:rPr>
          <w:rFonts w:hint="eastAsia" w:ascii="宋体" w:hAnsi="宋体"/>
          <w:b/>
          <w:bCs/>
        </w:rPr>
        <w:t>（本项目不适用）</w:t>
      </w:r>
    </w:p>
    <w:p>
      <w:pPr>
        <w:tabs>
          <w:tab w:val="left" w:pos="851"/>
        </w:tabs>
        <w:snapToGrid w:val="0"/>
        <w:spacing w:line="360" w:lineRule="auto"/>
        <w:ind w:firstLine="525" w:firstLineChars="250"/>
        <w:rPr>
          <w:rFonts w:hint="eastAsia" w:hAnsi="宋体" w:cs="宋体"/>
          <w:color w:val="000000" w:themeColor="text1"/>
          <w:sz w:val="24"/>
          <w14:textFill>
            <w14:solidFill>
              <w14:schemeClr w14:val="tx1"/>
            </w14:solidFill>
          </w14:textFill>
        </w:rPr>
      </w:pPr>
      <w:r>
        <w:rPr>
          <w:rFonts w:hint="eastAsia" w:ascii="宋体" w:hAnsi="宋体"/>
        </w:rPr>
        <w:t>5.5</w:t>
      </w:r>
      <w:r>
        <w:rPr>
          <w:rFonts w:hint="eastAsia" w:hAnsi="宋体" w:cs="宋体"/>
          <w:color w:val="000000" w:themeColor="text1"/>
          <w:sz w:val="21"/>
          <w:szCs w:val="21"/>
          <w14:textFill>
            <w14:solidFill>
              <w14:schemeClr w14:val="tx1"/>
            </w14:solidFill>
          </w14:textFill>
        </w:rPr>
        <w:t>供应商实际控制人或者中高级管理人员，同时是采购代理机构工作人员，不得参与本项目政府采购活动。</w:t>
      </w:r>
    </w:p>
    <w:p>
      <w:pPr>
        <w:tabs>
          <w:tab w:val="left" w:pos="851"/>
        </w:tabs>
        <w:snapToGrid w:val="0"/>
        <w:spacing w:line="360" w:lineRule="auto"/>
        <w:ind w:firstLine="525" w:firstLineChars="250"/>
        <w:rPr>
          <w:rFonts w:hint="eastAsia" w:ascii="宋体" w:hAnsi="宋体"/>
        </w:rPr>
      </w:pPr>
      <w:r>
        <w:rPr>
          <w:rFonts w:hint="eastAsia" w:ascii="宋体" w:hAnsi="宋体"/>
        </w:rPr>
        <w:t>5.6同一母公司的两家以上的子公司只能组成联合体参加本项目同一合同项下的采购活动，不得以不同供应商身份同时参加本项目同一合同项下的采购活动。</w:t>
      </w:r>
    </w:p>
    <w:p>
      <w:pPr>
        <w:tabs>
          <w:tab w:val="left" w:pos="851"/>
        </w:tabs>
        <w:snapToGrid w:val="0"/>
        <w:spacing w:line="360" w:lineRule="auto"/>
        <w:ind w:firstLine="525" w:firstLineChars="250"/>
        <w:rPr>
          <w:rFonts w:ascii="宋体" w:hAnsi="宋体"/>
        </w:rPr>
      </w:pPr>
      <w:r>
        <w:rPr>
          <w:rFonts w:hint="eastAsia" w:ascii="宋体" w:hAnsi="宋体"/>
        </w:rPr>
        <w:t>5.7供应商与采购代理机构存在关联关系，或者是采购代理机构的母公司或子公司，不得参加本项目政府采购活动。</w:t>
      </w:r>
    </w:p>
    <w:p>
      <w:pPr>
        <w:pStyle w:val="5"/>
        <w:snapToGrid w:val="0"/>
        <w:spacing w:before="0" w:after="0" w:line="360" w:lineRule="auto"/>
        <w:ind w:firstLine="420" w:firstLineChars="200"/>
        <w:rPr>
          <w:rFonts w:hint="eastAsia" w:ascii="宋体" w:hAnsi="宋体"/>
          <w:b w:val="0"/>
          <w:bCs w:val="0"/>
          <w:sz w:val="21"/>
          <w:szCs w:val="21"/>
        </w:rPr>
      </w:pPr>
      <w:r>
        <w:rPr>
          <w:rFonts w:hint="eastAsia" w:ascii="宋体" w:hAnsi="宋体"/>
          <w:b w:val="0"/>
          <w:bCs w:val="0"/>
          <w:sz w:val="21"/>
          <w:szCs w:val="24"/>
        </w:rPr>
        <w:t>5.8</w:t>
      </w:r>
      <w:r>
        <w:rPr>
          <w:rFonts w:hint="eastAsia" w:ascii="宋体" w:hAnsi="宋体"/>
          <w:b w:val="0"/>
          <w:bCs w:val="0"/>
          <w:sz w:val="21"/>
          <w:szCs w:val="21"/>
        </w:rPr>
        <w:t>回避。政府采购活动中，采购人员及相关人员与供应商有下列利害关系之一的，应当回避：</w:t>
      </w:r>
    </w:p>
    <w:p>
      <w:pPr>
        <w:snapToGrid w:val="0"/>
        <w:spacing w:before="0" w:after="0" w:line="360" w:lineRule="auto"/>
        <w:ind w:firstLine="420" w:firstLineChars="200"/>
        <w:outlineLvl w:val="9"/>
        <w:rPr>
          <w:rFonts w:hint="eastAsia" w:ascii="宋体" w:hAnsi="宋体"/>
          <w:b w:val="0"/>
          <w:bCs w:val="0"/>
          <w:sz w:val="21"/>
          <w:szCs w:val="21"/>
        </w:rPr>
      </w:pPr>
      <w:r>
        <w:rPr>
          <w:rFonts w:hint="eastAsia" w:ascii="宋体" w:hAnsi="宋体"/>
          <w:b w:val="0"/>
          <w:bCs w:val="0"/>
          <w:sz w:val="21"/>
          <w:szCs w:val="21"/>
        </w:rPr>
        <w:t>（1）参加采购活动前3年内与供应商存在劳动关系；</w:t>
      </w:r>
    </w:p>
    <w:p>
      <w:pPr>
        <w:snapToGrid w:val="0"/>
        <w:spacing w:before="0" w:after="0" w:line="360" w:lineRule="auto"/>
        <w:ind w:firstLine="420" w:firstLineChars="200"/>
        <w:outlineLvl w:val="9"/>
        <w:rPr>
          <w:rFonts w:hint="eastAsia" w:ascii="宋体" w:hAnsi="宋体"/>
          <w:b w:val="0"/>
          <w:bCs w:val="0"/>
          <w:sz w:val="21"/>
          <w:szCs w:val="21"/>
        </w:rPr>
      </w:pPr>
      <w:r>
        <w:rPr>
          <w:rFonts w:hint="eastAsia" w:ascii="宋体" w:hAnsi="宋体"/>
          <w:b w:val="0"/>
          <w:bCs w:val="0"/>
          <w:sz w:val="21"/>
          <w:szCs w:val="21"/>
        </w:rPr>
        <w:t>（2）参加采购活动前3年内担任供应商的董事、监事；</w:t>
      </w:r>
    </w:p>
    <w:p>
      <w:pPr>
        <w:snapToGrid w:val="0"/>
        <w:spacing w:before="0" w:after="0" w:line="360" w:lineRule="auto"/>
        <w:ind w:firstLine="420" w:firstLineChars="200"/>
        <w:outlineLvl w:val="9"/>
        <w:rPr>
          <w:rFonts w:hint="eastAsia" w:ascii="宋体" w:hAnsi="宋体"/>
          <w:b w:val="0"/>
          <w:bCs w:val="0"/>
          <w:sz w:val="21"/>
          <w:szCs w:val="21"/>
        </w:rPr>
      </w:pPr>
      <w:r>
        <w:rPr>
          <w:rFonts w:hint="eastAsia" w:ascii="宋体" w:hAnsi="宋体"/>
          <w:b w:val="0"/>
          <w:bCs w:val="0"/>
          <w:sz w:val="21"/>
          <w:szCs w:val="21"/>
        </w:rPr>
        <w:t>（3）参加采购活动前3年内是供应商的控股股东或者实际控制人；</w:t>
      </w:r>
    </w:p>
    <w:p>
      <w:pPr>
        <w:snapToGrid w:val="0"/>
        <w:spacing w:before="0" w:after="0" w:line="360" w:lineRule="auto"/>
        <w:ind w:firstLine="420" w:firstLineChars="200"/>
        <w:outlineLvl w:val="9"/>
        <w:rPr>
          <w:rFonts w:hint="eastAsia" w:ascii="宋体" w:hAnsi="宋体"/>
          <w:b w:val="0"/>
          <w:bCs w:val="0"/>
          <w:sz w:val="21"/>
          <w:szCs w:val="21"/>
        </w:rPr>
      </w:pPr>
      <w:r>
        <w:rPr>
          <w:rFonts w:hint="eastAsia" w:ascii="宋体" w:hAnsi="宋体"/>
          <w:b w:val="0"/>
          <w:bCs w:val="0"/>
          <w:sz w:val="21"/>
          <w:szCs w:val="21"/>
        </w:rPr>
        <w:t>（4）与供应商的法定代表人或者负责人有夫妻、直系血亲、三代以内旁系血亲或者近姻亲关系；</w:t>
      </w:r>
    </w:p>
    <w:p>
      <w:pPr>
        <w:snapToGrid w:val="0"/>
        <w:spacing w:before="0" w:after="0" w:line="360" w:lineRule="auto"/>
        <w:ind w:firstLine="420" w:firstLineChars="200"/>
        <w:outlineLvl w:val="9"/>
        <w:rPr>
          <w:rFonts w:hint="eastAsia" w:ascii="宋体" w:hAnsi="宋体"/>
          <w:b w:val="0"/>
          <w:bCs w:val="0"/>
          <w:sz w:val="21"/>
          <w:szCs w:val="21"/>
        </w:rPr>
      </w:pPr>
      <w:r>
        <w:rPr>
          <w:rFonts w:hint="eastAsia" w:ascii="宋体" w:hAnsi="宋体"/>
          <w:b w:val="0"/>
          <w:bCs w:val="0"/>
          <w:sz w:val="21"/>
          <w:szCs w:val="21"/>
        </w:rPr>
        <w:t>（5）与供应商有其他可能影响政府采购活动公平、公正进行的关系。</w:t>
      </w:r>
    </w:p>
    <w:p>
      <w:pPr>
        <w:snapToGrid w:val="0"/>
        <w:spacing w:before="0" w:after="0" w:line="360" w:lineRule="auto"/>
        <w:ind w:firstLine="420" w:firstLineChars="200"/>
        <w:outlineLvl w:val="9"/>
        <w:rPr>
          <w:rFonts w:hint="eastAsia" w:ascii="宋体" w:hAnsi="宋体"/>
          <w:b w:val="0"/>
          <w:bCs w:val="0"/>
          <w:sz w:val="21"/>
          <w:szCs w:val="21"/>
        </w:rPr>
      </w:pPr>
      <w:r>
        <w:rPr>
          <w:rFonts w:hint="eastAsia" w:ascii="宋体" w:hAnsi="宋体"/>
          <w:b w:val="0"/>
          <w:bCs w:val="0"/>
          <w:sz w:val="21"/>
          <w:szCs w:val="21"/>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snapToGrid w:val="0"/>
        <w:spacing w:before="0" w:after="0" w:line="360" w:lineRule="auto"/>
        <w:ind w:firstLine="420" w:firstLineChars="200"/>
        <w:outlineLvl w:val="9"/>
        <w:rPr>
          <w:rFonts w:hint="eastAsia" w:ascii="宋体" w:hAnsi="宋体"/>
          <w:b w:val="0"/>
          <w:bCs w:val="0"/>
          <w:sz w:val="21"/>
          <w:szCs w:val="21"/>
        </w:rPr>
      </w:pPr>
      <w:r>
        <w:rPr>
          <w:rFonts w:hint="eastAsia" w:ascii="宋体" w:hAnsi="宋体"/>
          <w:b w:val="0"/>
          <w:bCs w:val="0"/>
          <w:sz w:val="21"/>
          <w:szCs w:val="21"/>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snapToGrid w:val="0"/>
        <w:spacing w:before="0" w:after="0" w:line="360" w:lineRule="auto"/>
        <w:ind w:firstLine="482" w:firstLineChars="200"/>
        <w:rPr>
          <w:rFonts w:ascii="宋体" w:hAnsi="宋体" w:cs="宋体"/>
        </w:rPr>
      </w:pPr>
      <w:r>
        <w:rPr>
          <w:rFonts w:hint="eastAsia" w:hAnsi="宋体"/>
        </w:rPr>
        <w:t>6.联合体</w:t>
      </w:r>
      <w:r>
        <w:rPr>
          <w:rFonts w:hint="eastAsia" w:ascii="宋体" w:hAnsi="宋体"/>
        </w:rPr>
        <w:t>竞争性</w:t>
      </w:r>
      <w:r>
        <w:rPr>
          <w:rFonts w:hint="eastAsia" w:hAnsi="宋体"/>
        </w:rPr>
        <w:t>磋商</w:t>
      </w:r>
    </w:p>
    <w:p>
      <w:pPr>
        <w:tabs>
          <w:tab w:val="left" w:pos="851"/>
        </w:tabs>
        <w:snapToGrid w:val="0"/>
        <w:spacing w:line="360" w:lineRule="auto"/>
        <w:ind w:firstLine="525" w:firstLineChars="250"/>
        <w:rPr>
          <w:rFonts w:hAnsi="宋体"/>
          <w:b/>
          <w:sz w:val="24"/>
        </w:rPr>
      </w:pPr>
      <w:r>
        <w:rPr>
          <w:rFonts w:hint="eastAsia" w:ascii="宋体" w:hAnsi="宋体" w:cs="宋体"/>
        </w:rPr>
        <w:t>本项目不接受联合体参与采购活动</w:t>
      </w:r>
    </w:p>
    <w:p>
      <w:pPr>
        <w:pStyle w:val="5"/>
        <w:snapToGrid w:val="0"/>
        <w:spacing w:before="0" w:after="0" w:line="360" w:lineRule="auto"/>
        <w:ind w:firstLine="482" w:firstLineChars="200"/>
        <w:rPr>
          <w:rFonts w:hAnsi="宋体"/>
        </w:rPr>
      </w:pPr>
      <w:r>
        <w:rPr>
          <w:rFonts w:hint="eastAsia" w:hAnsi="宋体"/>
        </w:rPr>
        <w:t>7.磋商</w:t>
      </w:r>
      <w:r>
        <w:rPr>
          <w:rFonts w:hint="eastAsia" w:ascii="宋体" w:hAnsi="宋体"/>
        </w:rPr>
        <w:t>保证金</w:t>
      </w:r>
      <w:r>
        <w:rPr>
          <w:rFonts w:hint="eastAsia" w:hAnsi="宋体"/>
        </w:rPr>
        <w:t>（实质性要求）</w:t>
      </w:r>
    </w:p>
    <w:p>
      <w:pPr>
        <w:tabs>
          <w:tab w:val="left" w:pos="851"/>
        </w:tabs>
        <w:snapToGrid w:val="0"/>
        <w:spacing w:line="360" w:lineRule="auto"/>
        <w:ind w:firstLine="525" w:firstLineChars="250"/>
        <w:rPr>
          <w:rFonts w:ascii="宋体" w:hAnsi="宋体" w:cs="宋体"/>
        </w:rPr>
      </w:pPr>
      <w:r>
        <w:rPr>
          <w:rFonts w:hint="eastAsia" w:ascii="宋体" w:hAnsi="宋体" w:cs="宋体"/>
        </w:rPr>
        <w:t>按照川财采[</w:t>
      </w:r>
      <w:r>
        <w:rPr>
          <w:rFonts w:hint="eastAsia" w:ascii="宋体" w:hAnsi="宋体"/>
        </w:rPr>
        <w:t>2020</w:t>
      </w:r>
      <w:r>
        <w:rPr>
          <w:rFonts w:hint="eastAsia" w:ascii="宋体" w:hAnsi="宋体" w:cs="宋体"/>
        </w:rPr>
        <w:t>]28号文要求，本项目不收取磋商保证金。</w:t>
      </w:r>
    </w:p>
    <w:p>
      <w:pPr>
        <w:pStyle w:val="5"/>
        <w:snapToGrid w:val="0"/>
        <w:spacing w:before="0" w:after="0" w:line="360" w:lineRule="auto"/>
        <w:ind w:firstLine="482" w:firstLineChars="200"/>
        <w:rPr>
          <w:rFonts w:ascii="宋体" w:hAnsi="宋体"/>
        </w:rPr>
      </w:pPr>
      <w:r>
        <w:rPr>
          <w:rFonts w:hint="eastAsia" w:ascii="宋体" w:hAnsi="宋体"/>
        </w:rPr>
        <w:t>8.响应文件</w:t>
      </w:r>
      <w:r>
        <w:rPr>
          <w:rFonts w:hint="eastAsia" w:hAnsi="宋体"/>
        </w:rPr>
        <w:t>有效期</w:t>
      </w:r>
      <w:r>
        <w:rPr>
          <w:rFonts w:hint="eastAsia" w:ascii="宋体" w:hAnsi="宋体"/>
        </w:rPr>
        <w:t>（实质性要求）</w:t>
      </w:r>
    </w:p>
    <w:p>
      <w:pPr>
        <w:tabs>
          <w:tab w:val="left" w:pos="851"/>
        </w:tabs>
        <w:snapToGrid w:val="0"/>
        <w:spacing w:line="360" w:lineRule="auto"/>
        <w:ind w:firstLine="525" w:firstLineChars="250"/>
        <w:rPr>
          <w:rFonts w:ascii="宋体" w:hAnsi="宋体" w:cs="宋体"/>
        </w:rPr>
      </w:pPr>
      <w:r>
        <w:rPr>
          <w:rFonts w:hint="eastAsia" w:ascii="宋体" w:hAnsi="宋体" w:cs="宋体"/>
        </w:rPr>
        <w:t>本项目响应</w:t>
      </w:r>
      <w:r>
        <w:rPr>
          <w:rFonts w:hint="eastAsia" w:ascii="宋体" w:hAnsi="宋体"/>
        </w:rPr>
        <w:t>文件</w:t>
      </w:r>
      <w:r>
        <w:rPr>
          <w:rFonts w:hint="eastAsia" w:ascii="宋体" w:hAnsi="宋体" w:cs="宋体"/>
        </w:rPr>
        <w:t>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pStyle w:val="5"/>
        <w:snapToGrid w:val="0"/>
        <w:spacing w:before="0" w:after="0" w:line="360" w:lineRule="auto"/>
        <w:ind w:firstLine="482" w:firstLineChars="200"/>
        <w:rPr>
          <w:rFonts w:ascii="宋体" w:hAnsi="宋体"/>
          <w:szCs w:val="24"/>
        </w:rPr>
      </w:pPr>
      <w:r>
        <w:rPr>
          <w:rFonts w:hint="eastAsia" w:ascii="宋体" w:hAnsi="宋体"/>
        </w:rPr>
        <w:t>9.</w:t>
      </w:r>
      <w:r>
        <w:rPr>
          <w:rFonts w:hint="eastAsia" w:ascii="宋体" w:hAnsi="宋体"/>
          <w:szCs w:val="24"/>
        </w:rPr>
        <w:t>知识产权（</w:t>
      </w:r>
      <w:r>
        <w:rPr>
          <w:rFonts w:hint="eastAsia" w:hAnsi="宋体"/>
        </w:rPr>
        <w:t>实质性</w:t>
      </w:r>
      <w:r>
        <w:rPr>
          <w:rFonts w:hint="eastAsia" w:ascii="宋体" w:hAnsi="宋体"/>
          <w:szCs w:val="24"/>
        </w:rPr>
        <w:t>要求）</w:t>
      </w:r>
    </w:p>
    <w:p>
      <w:pPr>
        <w:tabs>
          <w:tab w:val="left" w:pos="851"/>
        </w:tabs>
        <w:snapToGrid w:val="0"/>
        <w:spacing w:line="360" w:lineRule="auto"/>
        <w:ind w:firstLine="525" w:firstLineChars="250"/>
        <w:rPr>
          <w:rFonts w:ascii="宋体" w:hAnsi="宋体"/>
        </w:rPr>
      </w:pPr>
      <w:r>
        <w:rPr>
          <w:rFonts w:hint="eastAsia" w:ascii="宋体" w:hAnsi="宋体" w:cs="宋体"/>
        </w:rPr>
        <w:t>9.1供应商应保</w:t>
      </w:r>
      <w:r>
        <w:rPr>
          <w:rFonts w:hint="eastAsia" w:ascii="宋体" w:hAnsi="宋体"/>
        </w:rPr>
        <w:t>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tabs>
          <w:tab w:val="left" w:pos="851"/>
        </w:tabs>
        <w:snapToGrid w:val="0"/>
        <w:spacing w:line="360" w:lineRule="auto"/>
        <w:ind w:firstLine="525" w:firstLineChars="250"/>
        <w:rPr>
          <w:rFonts w:ascii="宋体" w:hAnsi="宋体"/>
        </w:rPr>
      </w:pPr>
      <w:r>
        <w:rPr>
          <w:rFonts w:hint="eastAsia" w:ascii="宋体" w:hAnsi="宋体"/>
        </w:rPr>
        <w:t>9.2 除非磋商文件特别规定，采购人享有本项目实施过程中产生的知识成果及知识产权。</w:t>
      </w:r>
    </w:p>
    <w:p>
      <w:pPr>
        <w:tabs>
          <w:tab w:val="left" w:pos="851"/>
        </w:tabs>
        <w:snapToGrid w:val="0"/>
        <w:spacing w:line="360" w:lineRule="auto"/>
        <w:ind w:firstLine="525" w:firstLineChars="250"/>
        <w:rPr>
          <w:rFonts w:ascii="宋体" w:hAnsi="宋体"/>
        </w:rPr>
      </w:pPr>
      <w:r>
        <w:rPr>
          <w:rFonts w:hint="eastAsia" w:ascii="宋体" w:hAnsi="宋体"/>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tabs>
          <w:tab w:val="left" w:pos="851"/>
        </w:tabs>
        <w:snapToGrid w:val="0"/>
        <w:spacing w:line="360" w:lineRule="auto"/>
        <w:ind w:firstLine="525" w:firstLineChars="250"/>
        <w:rPr>
          <w:rFonts w:ascii="宋体" w:hAnsi="宋体"/>
          <w:sz w:val="24"/>
        </w:rPr>
      </w:pPr>
      <w:r>
        <w:rPr>
          <w:rFonts w:hint="eastAsia" w:ascii="宋体" w:hAnsi="宋体"/>
        </w:rPr>
        <w:t>9.4 如采用供应商</w:t>
      </w:r>
      <w:r>
        <w:rPr>
          <w:rFonts w:hint="eastAsia" w:ascii="宋体" w:hAnsi="宋体" w:cs="宋体"/>
        </w:rPr>
        <w:t>所不拥有的知识产权，则在报价中必须包括合法获取该知识产权的相关费用。</w:t>
      </w:r>
      <w:r>
        <w:rPr>
          <w:rFonts w:hint="eastAsia" w:ascii="宋体" w:hAnsi="宋体"/>
          <w:sz w:val="24"/>
        </w:rPr>
        <w:t xml:space="preserve"> </w:t>
      </w:r>
    </w:p>
    <w:bookmarkEnd w:id="104"/>
    <w:p>
      <w:pPr>
        <w:pStyle w:val="4"/>
        <w:snapToGrid w:val="0"/>
        <w:spacing w:before="0" w:after="0" w:line="360" w:lineRule="auto"/>
      </w:pPr>
      <w:bookmarkStart w:id="118" w:name="_Toc4809"/>
      <w:bookmarkStart w:id="119" w:name="_Toc18074"/>
      <w:bookmarkStart w:id="120" w:name="_Toc32261"/>
      <w:bookmarkStart w:id="121" w:name="_Toc217446038"/>
      <w:bookmarkStart w:id="122" w:name="_Toc377_WPSOffice_Level2"/>
      <w:bookmarkStart w:id="123" w:name="_Toc5004989"/>
      <w:bookmarkStart w:id="124" w:name="_Toc89075875"/>
      <w:bookmarkStart w:id="125" w:name="_Toc32739"/>
      <w:bookmarkStart w:id="126" w:name="_Toc9363"/>
      <w:bookmarkStart w:id="127" w:name="_Toc23304"/>
      <w:bookmarkStart w:id="128" w:name="_Toc4659685"/>
      <w:bookmarkStart w:id="129" w:name="_Toc4578823"/>
      <w:bookmarkStart w:id="130" w:name="_Toc77400779"/>
      <w:bookmarkStart w:id="131" w:name="_Toc183582209"/>
      <w:bookmarkStart w:id="132" w:name="_Toc183682346"/>
      <w:bookmarkStart w:id="133" w:name="_Toc24972"/>
      <w:bookmarkStart w:id="134" w:name="_Toc26195"/>
      <w:bookmarkStart w:id="135" w:name="PO_默认文件内容_24"/>
      <w:r>
        <w:rPr>
          <w:rFonts w:hint="eastAsia"/>
        </w:rPr>
        <w:t>三、磋商文件</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5"/>
        <w:snapToGrid w:val="0"/>
        <w:spacing w:before="0" w:after="0" w:line="360" w:lineRule="auto"/>
        <w:ind w:firstLine="482" w:firstLineChars="200"/>
        <w:rPr>
          <w:rFonts w:ascii="宋体" w:hAnsi="宋体"/>
        </w:rPr>
      </w:pPr>
      <w:bookmarkStart w:id="136" w:name="_Toc183682347"/>
      <w:bookmarkStart w:id="137" w:name="_Toc183582210"/>
      <w:bookmarkStart w:id="138" w:name="_Toc217446039"/>
      <w:bookmarkStart w:id="139" w:name="_Toc4659686"/>
      <w:bookmarkStart w:id="140" w:name="_Toc4578824"/>
      <w:bookmarkStart w:id="141" w:name="_Toc5004990"/>
      <w:r>
        <w:rPr>
          <w:rFonts w:hint="eastAsia" w:ascii="宋体" w:hAnsi="宋体"/>
        </w:rPr>
        <w:t>10.磋商文件的构成</w:t>
      </w:r>
      <w:bookmarkEnd w:id="136"/>
      <w:bookmarkEnd w:id="137"/>
      <w:bookmarkEnd w:id="138"/>
      <w:r>
        <w:rPr>
          <w:rFonts w:hint="eastAsia" w:ascii="宋体" w:hAnsi="宋体"/>
        </w:rPr>
        <w:t>（实质性要求）</w:t>
      </w:r>
      <w:bookmarkEnd w:id="139"/>
      <w:bookmarkEnd w:id="140"/>
      <w:bookmarkEnd w:id="141"/>
    </w:p>
    <w:p>
      <w:pPr>
        <w:tabs>
          <w:tab w:val="left" w:pos="851"/>
        </w:tabs>
        <w:snapToGrid w:val="0"/>
        <w:spacing w:line="360" w:lineRule="auto"/>
        <w:ind w:firstLine="525" w:firstLineChars="250"/>
        <w:rPr>
          <w:rFonts w:ascii="宋体" w:hAnsi="宋体" w:cs="宋体"/>
        </w:rPr>
      </w:pPr>
      <w:r>
        <w:rPr>
          <w:rFonts w:hint="eastAsia" w:ascii="宋体" w:hAnsi="宋体" w:cs="宋体"/>
        </w:rPr>
        <w:t>10.1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851"/>
        </w:tabs>
        <w:snapToGrid w:val="0"/>
        <w:spacing w:line="360" w:lineRule="auto"/>
        <w:ind w:firstLine="525" w:firstLineChars="250"/>
        <w:rPr>
          <w:rFonts w:ascii="宋体" w:hAnsi="宋体" w:cs="宋体"/>
        </w:rPr>
      </w:pPr>
      <w:r>
        <w:rPr>
          <w:rFonts w:hint="eastAsia" w:ascii="宋体" w:hAnsi="宋体" w:cs="宋体"/>
        </w:rPr>
        <w:t>10.2 供应商应认真阅读和充分理解磋商文件中所有的事项、格式条款和规范要求。供应商应详细阅读磋商文件的全部内容，</w:t>
      </w:r>
      <w:r>
        <w:rPr>
          <w:rFonts w:hint="eastAsia" w:ascii="宋体" w:hAnsi="宋体"/>
        </w:rPr>
        <w:t>按照</w:t>
      </w:r>
      <w:r>
        <w:rPr>
          <w:rFonts w:hint="eastAsia" w:ascii="宋体" w:hAnsi="宋体" w:cs="宋体"/>
        </w:rPr>
        <w:t>磋商文件的要求提供响应文件，并保证所提供的全部资料的真实性和有效性，一经发现有虚假行为的，将取消其参加磋商或成交资格，并承担相应的法律责任。</w:t>
      </w:r>
    </w:p>
    <w:p>
      <w:pPr>
        <w:pStyle w:val="5"/>
        <w:snapToGrid w:val="0"/>
        <w:spacing w:before="0" w:after="0" w:line="360" w:lineRule="auto"/>
        <w:ind w:firstLine="482" w:firstLineChars="200"/>
        <w:rPr>
          <w:rFonts w:ascii="宋体" w:hAnsi="宋体"/>
        </w:rPr>
      </w:pPr>
      <w:bookmarkStart w:id="142" w:name="_Toc183582211"/>
      <w:bookmarkStart w:id="143" w:name="_Toc183682348"/>
      <w:bookmarkStart w:id="144" w:name="_Toc4659687"/>
      <w:bookmarkStart w:id="145" w:name="_Toc5004991"/>
      <w:bookmarkStart w:id="146" w:name="_Toc217446040"/>
      <w:bookmarkStart w:id="147" w:name="_Toc4578825"/>
      <w:r>
        <w:rPr>
          <w:rFonts w:hint="eastAsia" w:ascii="宋体" w:hAnsi="宋体"/>
        </w:rPr>
        <w:t>11.磋商</w:t>
      </w:r>
      <w:r>
        <w:rPr>
          <w:rFonts w:hint="eastAsia" w:hAnsi="宋体"/>
        </w:rPr>
        <w:t>文件</w:t>
      </w:r>
      <w:r>
        <w:rPr>
          <w:rFonts w:hint="eastAsia" w:ascii="宋体" w:hAnsi="宋体"/>
        </w:rPr>
        <w:t>的澄清</w:t>
      </w:r>
      <w:bookmarkEnd w:id="142"/>
      <w:bookmarkEnd w:id="143"/>
      <w:r>
        <w:rPr>
          <w:rFonts w:hint="eastAsia" w:ascii="宋体" w:hAnsi="宋体"/>
        </w:rPr>
        <w:t>和修改</w:t>
      </w:r>
      <w:bookmarkEnd w:id="144"/>
      <w:bookmarkEnd w:id="145"/>
      <w:bookmarkEnd w:id="146"/>
      <w:bookmarkEnd w:id="147"/>
    </w:p>
    <w:p>
      <w:pPr>
        <w:tabs>
          <w:tab w:val="left" w:pos="851"/>
        </w:tabs>
        <w:snapToGrid w:val="0"/>
        <w:spacing w:line="360" w:lineRule="auto"/>
        <w:ind w:firstLine="525" w:firstLineChars="250"/>
        <w:rPr>
          <w:rFonts w:ascii="宋体" w:hAnsi="宋体"/>
        </w:rPr>
      </w:pPr>
      <w:r>
        <w:rPr>
          <w:rFonts w:hint="eastAsia" w:ascii="宋体" w:hAnsi="宋体" w:cs="宋体"/>
        </w:rPr>
        <w:t>11.1 在</w:t>
      </w:r>
      <w:r>
        <w:rPr>
          <w:rFonts w:hint="eastAsia" w:ascii="宋体" w:hAnsi="宋体"/>
        </w:rPr>
        <w:t>递交响应文件截止时间前，采购人、采购代理机构可以对磋商文件进行澄清或者修改。</w:t>
      </w:r>
    </w:p>
    <w:p>
      <w:pPr>
        <w:tabs>
          <w:tab w:val="left" w:pos="851"/>
        </w:tabs>
        <w:snapToGrid w:val="0"/>
        <w:spacing w:line="360" w:lineRule="auto"/>
        <w:ind w:firstLine="525" w:firstLineChars="250"/>
        <w:rPr>
          <w:rFonts w:hint="eastAsia" w:ascii="宋体" w:hAnsi="宋体"/>
        </w:rPr>
      </w:pPr>
      <w:r>
        <w:rPr>
          <w:rFonts w:hint="eastAsia" w:ascii="宋体" w:hAnsi="宋体"/>
        </w:rPr>
        <w:t>11.2 采购代理机构对已发出的磋商文件进行澄清或者修改，应当以书面形式将澄清或者修改的内容通知所有购买了磋商文件的供应商，同时在四川政府采购网、成都市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851"/>
        </w:tabs>
        <w:snapToGrid w:val="0"/>
        <w:spacing w:line="360" w:lineRule="auto"/>
        <w:ind w:firstLine="525" w:firstLineChars="250"/>
        <w:rPr>
          <w:rFonts w:hint="eastAsia" w:ascii="宋体" w:hAnsi="宋体"/>
        </w:rPr>
      </w:pPr>
      <w:r>
        <w:rPr>
          <w:rFonts w:hint="eastAsia" w:ascii="宋体" w:hAnsi="宋体"/>
        </w:rPr>
        <w:t>11.3 供应商应于递交响应文件截止前，在四川政府采购网、成都市政府采购网查询本项目的更正公告，以保证其对磋商文件做出正确的响应。供应商未按要求下载相关文件，或由于未及时关注更正公告的信息造成的后果，其责任由供应商自行负责。</w:t>
      </w:r>
    </w:p>
    <w:p>
      <w:pPr>
        <w:tabs>
          <w:tab w:val="left" w:pos="851"/>
        </w:tabs>
        <w:snapToGrid w:val="0"/>
        <w:spacing w:line="360" w:lineRule="auto"/>
        <w:ind w:firstLine="525" w:firstLineChars="250"/>
        <w:rPr>
          <w:rFonts w:ascii="宋体" w:hAnsi="宋体" w:cs="宋体"/>
        </w:rPr>
      </w:pPr>
      <w:r>
        <w:rPr>
          <w:rFonts w:hint="eastAsia" w:ascii="宋体" w:hAnsi="宋体"/>
        </w:rPr>
        <w:t>11.4供应商认</w:t>
      </w:r>
      <w:r>
        <w:rPr>
          <w:rFonts w:hint="eastAsia" w:ascii="宋体" w:hAnsi="宋体" w:cs="宋体"/>
        </w:rPr>
        <w:t>为需要对磋商文件进行澄清或者修改的，可以以书面形式向采购人或采购代理机构提出申请，由采购人或采购代理机构决定是否采纳供应商的申请事项。</w:t>
      </w:r>
    </w:p>
    <w:p>
      <w:pPr>
        <w:pStyle w:val="5"/>
        <w:snapToGrid w:val="0"/>
        <w:spacing w:before="0" w:after="0" w:line="360" w:lineRule="auto"/>
        <w:ind w:firstLine="482" w:firstLineChars="200"/>
        <w:rPr>
          <w:rFonts w:ascii="宋体" w:hAnsi="宋体"/>
        </w:rPr>
      </w:pPr>
      <w:bookmarkStart w:id="148" w:name="_Toc208848971"/>
      <w:bookmarkStart w:id="149" w:name="_Toc5004992"/>
      <w:bookmarkStart w:id="150" w:name="_Toc4659688"/>
      <w:bookmarkStart w:id="151" w:name="_Toc217446041"/>
      <w:bookmarkStart w:id="152" w:name="_Toc4578826"/>
      <w:r>
        <w:rPr>
          <w:rFonts w:hint="eastAsia" w:ascii="宋体" w:hAnsi="宋体"/>
        </w:rPr>
        <w:t>12.答疑会和</w:t>
      </w:r>
      <w:r>
        <w:rPr>
          <w:rFonts w:hint="eastAsia" w:hAnsi="宋体"/>
        </w:rPr>
        <w:t>现场</w:t>
      </w:r>
      <w:r>
        <w:rPr>
          <w:rFonts w:hint="eastAsia" w:ascii="宋体" w:hAnsi="宋体"/>
        </w:rPr>
        <w:t>考察</w:t>
      </w:r>
      <w:bookmarkEnd w:id="148"/>
      <w:bookmarkEnd w:id="149"/>
      <w:bookmarkEnd w:id="150"/>
      <w:bookmarkEnd w:id="151"/>
      <w:bookmarkEnd w:id="152"/>
    </w:p>
    <w:p>
      <w:pPr>
        <w:tabs>
          <w:tab w:val="left" w:pos="851"/>
        </w:tabs>
        <w:snapToGrid w:val="0"/>
        <w:spacing w:line="360" w:lineRule="auto"/>
        <w:ind w:firstLine="525" w:firstLineChars="250"/>
        <w:rPr>
          <w:rFonts w:ascii="宋体" w:hAnsi="宋体" w:cs="宋体"/>
        </w:rPr>
      </w:pPr>
      <w:r>
        <w:rPr>
          <w:rFonts w:hint="eastAsia" w:ascii="宋体" w:hAnsi="宋体" w:cs="宋体"/>
        </w:rPr>
        <w:t>12.1 根据采购项目和具体情况，采购人、采购代理机构认为有必要，可以在磋商文件提供期限截止后响应文件提交截止前，组织已获取磋商文件的潜在供应商现场考察或者召开答疑会。</w:t>
      </w:r>
    </w:p>
    <w:p>
      <w:pPr>
        <w:tabs>
          <w:tab w:val="left" w:pos="851"/>
        </w:tabs>
        <w:snapToGrid w:val="0"/>
        <w:spacing w:line="360" w:lineRule="auto"/>
        <w:ind w:firstLine="525" w:firstLineChars="250"/>
        <w:rPr>
          <w:rFonts w:ascii="宋体" w:hAnsi="宋体"/>
        </w:rPr>
      </w:pPr>
      <w:r>
        <w:rPr>
          <w:rFonts w:hint="eastAsia" w:ascii="宋体" w:hAnsi="宋体" w:cs="宋体"/>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w:t>
      </w:r>
      <w:r>
        <w:rPr>
          <w:rFonts w:hint="eastAsia" w:ascii="宋体" w:hAnsi="宋体"/>
        </w:rPr>
        <w:t>文件直接作为无效处理。</w:t>
      </w:r>
    </w:p>
    <w:p>
      <w:pPr>
        <w:tabs>
          <w:tab w:val="left" w:pos="851"/>
        </w:tabs>
        <w:snapToGrid w:val="0"/>
        <w:spacing w:line="360" w:lineRule="auto"/>
        <w:ind w:firstLine="525" w:firstLineChars="250"/>
        <w:rPr>
          <w:rFonts w:ascii="宋体" w:hAnsi="宋体" w:cs="宋体"/>
        </w:rPr>
      </w:pPr>
      <w:r>
        <w:rPr>
          <w:rFonts w:hint="eastAsia" w:ascii="宋体" w:hAnsi="宋体"/>
        </w:rPr>
        <w:t>12.3 供应商考察</w:t>
      </w:r>
      <w:r>
        <w:rPr>
          <w:rFonts w:hint="eastAsia" w:ascii="宋体" w:hAnsi="宋体" w:cs="宋体"/>
        </w:rPr>
        <w:t>现场或者参加答疑会所发生的一切费用由供应商自己承担。</w:t>
      </w:r>
    </w:p>
    <w:p>
      <w:pPr>
        <w:pStyle w:val="4"/>
        <w:snapToGrid w:val="0"/>
        <w:spacing w:before="0" w:after="0" w:line="360" w:lineRule="auto"/>
      </w:pPr>
      <w:bookmarkStart w:id="153" w:name="_Toc24638"/>
      <w:bookmarkStart w:id="154" w:name="_Toc183682351"/>
      <w:bookmarkStart w:id="155" w:name="_Toc20754"/>
      <w:bookmarkStart w:id="156" w:name="_Toc18068_WPSOffice_Level2"/>
      <w:bookmarkStart w:id="157" w:name="_Toc183582214"/>
      <w:bookmarkStart w:id="158" w:name="_Toc27305"/>
      <w:bookmarkStart w:id="159" w:name="_Toc77400780"/>
      <w:bookmarkStart w:id="160" w:name="_Toc4578827"/>
      <w:bookmarkStart w:id="161" w:name="_Toc89075876"/>
      <w:bookmarkStart w:id="162" w:name="_Toc5004993"/>
      <w:bookmarkStart w:id="163" w:name="_Toc5080"/>
      <w:bookmarkStart w:id="164" w:name="_Toc4659689"/>
      <w:bookmarkStart w:id="165" w:name="_Toc217446042"/>
      <w:bookmarkStart w:id="166" w:name="_Toc4297"/>
      <w:bookmarkStart w:id="167" w:name="_Toc28534"/>
      <w:bookmarkStart w:id="168" w:name="_Toc24481"/>
      <w:bookmarkStart w:id="169" w:name="_Toc5627"/>
      <w:r>
        <w:rPr>
          <w:rFonts w:hint="eastAsia"/>
        </w:rPr>
        <w:t>四、响应文件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pStyle w:val="5"/>
        <w:snapToGrid w:val="0"/>
        <w:spacing w:before="0" w:after="0" w:line="360" w:lineRule="auto"/>
        <w:ind w:firstLine="482" w:firstLineChars="200"/>
        <w:rPr>
          <w:rFonts w:ascii="宋体" w:hAnsi="宋体"/>
        </w:rPr>
      </w:pPr>
      <w:bookmarkStart w:id="170" w:name="_Toc4578828"/>
      <w:bookmarkStart w:id="171" w:name="_Toc4659690"/>
      <w:bookmarkStart w:id="172" w:name="_Toc5004994"/>
      <w:bookmarkStart w:id="173" w:name="_Toc183582215"/>
      <w:bookmarkStart w:id="174" w:name="_Toc217446043"/>
      <w:bookmarkStart w:id="175" w:name="_Toc183682352"/>
      <w:r>
        <w:rPr>
          <w:rFonts w:hint="eastAsia" w:ascii="宋体" w:hAnsi="宋体"/>
        </w:rPr>
        <w:t>13.响应文件的组成（实质性要求）</w:t>
      </w:r>
      <w:bookmarkEnd w:id="170"/>
      <w:bookmarkEnd w:id="171"/>
      <w:bookmarkEnd w:id="172"/>
    </w:p>
    <w:p>
      <w:pPr>
        <w:tabs>
          <w:tab w:val="left" w:pos="851"/>
        </w:tabs>
        <w:snapToGrid w:val="0"/>
        <w:spacing w:line="360" w:lineRule="auto"/>
        <w:ind w:firstLine="525" w:firstLineChars="250"/>
        <w:rPr>
          <w:rFonts w:ascii="宋体" w:hAnsi="宋体" w:cs="宋体"/>
        </w:rPr>
      </w:pPr>
      <w:r>
        <w:rPr>
          <w:rFonts w:hint="eastAsia" w:ascii="宋体" w:hAnsi="宋体" w:cs="宋体"/>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5"/>
        <w:snapToGrid w:val="0"/>
        <w:spacing w:before="0" w:after="0" w:line="360" w:lineRule="auto"/>
        <w:ind w:firstLine="482" w:firstLineChars="200"/>
        <w:rPr>
          <w:rFonts w:ascii="宋体" w:hAnsi="宋体"/>
          <w:bCs w:val="0"/>
        </w:rPr>
      </w:pPr>
      <w:bookmarkStart w:id="176" w:name="_Toc5004995"/>
      <w:bookmarkStart w:id="177" w:name="_Toc4659691"/>
      <w:bookmarkStart w:id="178" w:name="_Toc4578829"/>
      <w:r>
        <w:rPr>
          <w:rFonts w:hint="eastAsia" w:ascii="宋体" w:hAnsi="宋体"/>
          <w:bCs w:val="0"/>
        </w:rPr>
        <w:t>14.响应文件的</w:t>
      </w:r>
      <w:r>
        <w:rPr>
          <w:rFonts w:hint="eastAsia" w:ascii="宋体" w:hAnsi="宋体"/>
        </w:rPr>
        <w:t>语言</w:t>
      </w:r>
      <w:bookmarkEnd w:id="173"/>
      <w:bookmarkEnd w:id="174"/>
      <w:bookmarkEnd w:id="175"/>
      <w:r>
        <w:rPr>
          <w:rFonts w:hint="eastAsia" w:ascii="宋体" w:hAnsi="宋体"/>
          <w:bCs w:val="0"/>
        </w:rPr>
        <w:t>（实质性要求）</w:t>
      </w:r>
      <w:bookmarkEnd w:id="176"/>
      <w:bookmarkEnd w:id="177"/>
      <w:bookmarkEnd w:id="178"/>
    </w:p>
    <w:p>
      <w:pPr>
        <w:tabs>
          <w:tab w:val="left" w:pos="851"/>
        </w:tabs>
        <w:snapToGrid w:val="0"/>
        <w:spacing w:line="360" w:lineRule="auto"/>
        <w:ind w:firstLine="525" w:firstLineChars="250"/>
        <w:rPr>
          <w:rFonts w:ascii="宋体" w:hAnsi="宋体" w:cs="宋体"/>
        </w:rPr>
      </w:pPr>
      <w:r>
        <w:rPr>
          <w:rFonts w:hint="eastAsia" w:ascii="宋体" w:hAnsi="宋体" w:cs="宋体"/>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851"/>
        </w:tabs>
        <w:snapToGrid w:val="0"/>
        <w:spacing w:line="360" w:lineRule="auto"/>
        <w:ind w:firstLine="525" w:firstLineChars="250"/>
        <w:rPr>
          <w:rFonts w:ascii="宋体" w:hAnsi="宋体" w:cs="宋体"/>
        </w:rPr>
      </w:pPr>
      <w:r>
        <w:rPr>
          <w:rFonts w:hint="eastAsia" w:ascii="宋体" w:hAnsi="宋体" w:cs="宋体"/>
        </w:rPr>
        <w:t xml:space="preserve">14.2 </w:t>
      </w:r>
      <w:r>
        <w:rPr>
          <w:rFonts w:hint="eastAsia" w:ascii="宋体" w:hAnsi="宋体"/>
        </w:rPr>
        <w:t>翻译</w:t>
      </w:r>
      <w:r>
        <w:rPr>
          <w:rFonts w:hint="eastAsia" w:ascii="宋体" w:hAnsi="宋体" w:cs="宋体"/>
        </w:rPr>
        <w:t>的中文资料与外文资料如果出现差异和矛盾时，以中文为准。涉嫌虚假响应的按照相关法律法规处理。</w:t>
      </w:r>
    </w:p>
    <w:p>
      <w:pPr>
        <w:tabs>
          <w:tab w:val="left" w:pos="851"/>
        </w:tabs>
        <w:snapToGrid w:val="0"/>
        <w:spacing w:line="360" w:lineRule="auto"/>
        <w:ind w:firstLine="525" w:firstLineChars="250"/>
        <w:rPr>
          <w:rFonts w:ascii="宋体" w:hAnsi="宋体" w:cs="宋体"/>
        </w:rPr>
      </w:pPr>
      <w:r>
        <w:rPr>
          <w:rFonts w:hint="eastAsia" w:ascii="宋体" w:hAnsi="宋体" w:cs="宋体"/>
        </w:rPr>
        <w:t>14.3 如因未翻译而造成的响应文件无效风险，由供应商承担。</w:t>
      </w:r>
    </w:p>
    <w:p>
      <w:pPr>
        <w:pStyle w:val="5"/>
        <w:snapToGrid w:val="0"/>
        <w:spacing w:before="0" w:after="0" w:line="360" w:lineRule="auto"/>
        <w:ind w:firstLine="482" w:firstLineChars="200"/>
        <w:rPr>
          <w:rFonts w:ascii="宋体" w:hAnsi="宋体"/>
        </w:rPr>
      </w:pPr>
      <w:bookmarkStart w:id="179" w:name="_Toc217446044"/>
      <w:bookmarkStart w:id="180" w:name="_Toc183682353"/>
      <w:bookmarkStart w:id="181" w:name="_Toc183582216"/>
      <w:bookmarkStart w:id="182" w:name="_Toc4578830"/>
      <w:bookmarkStart w:id="183" w:name="_Toc4659692"/>
      <w:bookmarkStart w:id="184" w:name="_Toc5004996"/>
      <w:r>
        <w:rPr>
          <w:rFonts w:hint="eastAsia" w:ascii="宋体" w:hAnsi="宋体"/>
        </w:rPr>
        <w:t>15.计量单位</w:t>
      </w:r>
      <w:bookmarkEnd w:id="179"/>
      <w:bookmarkEnd w:id="180"/>
      <w:bookmarkEnd w:id="181"/>
      <w:r>
        <w:rPr>
          <w:rFonts w:hint="eastAsia" w:ascii="宋体" w:hAnsi="宋体"/>
        </w:rPr>
        <w:t>（实质性要求）</w:t>
      </w:r>
      <w:bookmarkEnd w:id="182"/>
      <w:bookmarkEnd w:id="183"/>
      <w:bookmarkEnd w:id="184"/>
    </w:p>
    <w:p>
      <w:pPr>
        <w:tabs>
          <w:tab w:val="left" w:pos="851"/>
        </w:tabs>
        <w:snapToGrid w:val="0"/>
        <w:spacing w:line="360" w:lineRule="auto"/>
        <w:ind w:firstLine="525" w:firstLineChars="250"/>
        <w:rPr>
          <w:rFonts w:ascii="宋体" w:hAnsi="宋体" w:cs="宋体"/>
        </w:rPr>
      </w:pPr>
      <w:r>
        <w:rPr>
          <w:rFonts w:hint="eastAsia" w:ascii="宋体" w:hAnsi="宋体" w:cs="宋体"/>
        </w:rPr>
        <w:t>除磋商</w:t>
      </w:r>
      <w:r>
        <w:rPr>
          <w:rFonts w:hint="eastAsia" w:ascii="宋体" w:hAnsi="宋体"/>
        </w:rPr>
        <w:t>文件</w:t>
      </w:r>
      <w:r>
        <w:rPr>
          <w:rFonts w:hint="eastAsia" w:ascii="宋体" w:hAnsi="宋体" w:cs="宋体"/>
        </w:rPr>
        <w:t>中另有规定外，本次采购项目所有合同项下的报价均采用国家法定的计量单位。</w:t>
      </w:r>
    </w:p>
    <w:p>
      <w:pPr>
        <w:pStyle w:val="5"/>
        <w:snapToGrid w:val="0"/>
        <w:spacing w:before="0" w:after="0" w:line="360" w:lineRule="auto"/>
        <w:ind w:firstLine="482" w:firstLineChars="200"/>
        <w:rPr>
          <w:rFonts w:ascii="宋体" w:hAnsi="宋体"/>
        </w:rPr>
      </w:pPr>
      <w:bookmarkStart w:id="185" w:name="_Toc217446045"/>
      <w:r>
        <w:rPr>
          <w:rFonts w:hint="eastAsia" w:ascii="宋体" w:hAnsi="宋体"/>
        </w:rPr>
        <w:t>16.报价货币（实质性要求）</w:t>
      </w:r>
    </w:p>
    <w:p>
      <w:pPr>
        <w:tabs>
          <w:tab w:val="left" w:pos="851"/>
        </w:tabs>
        <w:snapToGrid w:val="0"/>
        <w:spacing w:line="360" w:lineRule="auto"/>
        <w:ind w:firstLine="525" w:firstLineChars="250"/>
        <w:rPr>
          <w:rFonts w:ascii="宋体" w:hAnsi="宋体" w:cs="宋体"/>
        </w:rPr>
      </w:pPr>
      <w:r>
        <w:rPr>
          <w:rFonts w:hint="eastAsia" w:ascii="宋体" w:hAnsi="宋体" w:cs="宋体"/>
        </w:rPr>
        <w:t>本次磋商项目的报价货币为人民币，报价以磋商文件规定为准。</w:t>
      </w:r>
    </w:p>
    <w:bookmarkEnd w:id="185"/>
    <w:p>
      <w:pPr>
        <w:pStyle w:val="5"/>
        <w:snapToGrid w:val="0"/>
        <w:spacing w:before="0" w:after="0" w:line="360" w:lineRule="auto"/>
        <w:ind w:firstLine="482" w:firstLineChars="200"/>
        <w:rPr>
          <w:rFonts w:ascii="宋体" w:hAnsi="宋体"/>
        </w:rPr>
      </w:pPr>
      <w:r>
        <w:rPr>
          <w:rFonts w:hint="eastAsia" w:ascii="宋体" w:hAnsi="宋体"/>
        </w:rPr>
        <w:t>17.响应文件格式</w:t>
      </w:r>
    </w:p>
    <w:p>
      <w:pPr>
        <w:tabs>
          <w:tab w:val="left" w:pos="851"/>
        </w:tabs>
        <w:snapToGrid w:val="0"/>
        <w:spacing w:line="360" w:lineRule="auto"/>
        <w:ind w:firstLine="525" w:firstLineChars="250"/>
        <w:rPr>
          <w:rFonts w:ascii="宋体" w:hAnsi="宋体" w:cs="宋体"/>
        </w:rPr>
      </w:pPr>
      <w:bookmarkStart w:id="186" w:name="_Toc30754_WPSOffice_Level3"/>
      <w:r>
        <w:rPr>
          <w:rFonts w:hint="eastAsia" w:ascii="宋体" w:hAnsi="宋体" w:cs="宋体"/>
        </w:rPr>
        <w:t>17.1 供应商应执行磋商文件第七章的规定要求。</w:t>
      </w:r>
      <w:bookmarkEnd w:id="186"/>
    </w:p>
    <w:p>
      <w:pPr>
        <w:tabs>
          <w:tab w:val="left" w:pos="851"/>
        </w:tabs>
        <w:snapToGrid w:val="0"/>
        <w:spacing w:line="360" w:lineRule="auto"/>
        <w:ind w:firstLine="525" w:firstLineChars="250"/>
        <w:rPr>
          <w:rFonts w:ascii="宋体" w:hAnsi="宋体" w:cs="宋体"/>
        </w:rPr>
      </w:pPr>
      <w:bookmarkStart w:id="187" w:name="_Toc3788_WPSOffice_Level3"/>
      <w:r>
        <w:rPr>
          <w:rFonts w:hint="eastAsia" w:ascii="宋体" w:hAnsi="宋体" w:cs="宋体"/>
        </w:rPr>
        <w:t>17.2 对于</w:t>
      </w:r>
      <w:r>
        <w:rPr>
          <w:rFonts w:hint="eastAsia" w:ascii="宋体" w:hAnsi="宋体"/>
        </w:rPr>
        <w:t>没有</w:t>
      </w:r>
      <w:r>
        <w:rPr>
          <w:rFonts w:hint="eastAsia" w:ascii="宋体" w:hAnsi="宋体" w:cs="宋体"/>
        </w:rPr>
        <w:t>格式要求的磋商文件由供应商自行编写。</w:t>
      </w:r>
      <w:bookmarkEnd w:id="187"/>
    </w:p>
    <w:p>
      <w:pPr>
        <w:pStyle w:val="5"/>
        <w:snapToGrid w:val="0"/>
        <w:spacing w:before="0" w:after="0" w:line="360" w:lineRule="auto"/>
        <w:ind w:firstLine="482" w:firstLineChars="200"/>
        <w:rPr>
          <w:rFonts w:ascii="宋体" w:hAnsi="宋体"/>
        </w:rPr>
      </w:pPr>
      <w:bookmarkStart w:id="188" w:name="_Toc183682361"/>
      <w:bookmarkStart w:id="189" w:name="_Toc217446051"/>
      <w:bookmarkStart w:id="190" w:name="_Toc183582224"/>
      <w:r>
        <w:rPr>
          <w:rFonts w:hint="eastAsia" w:ascii="宋体" w:hAnsi="宋体"/>
        </w:rPr>
        <w:t>18.响应文件的编制和签署</w:t>
      </w:r>
    </w:p>
    <w:p>
      <w:pPr>
        <w:tabs>
          <w:tab w:val="left" w:pos="851"/>
        </w:tabs>
        <w:snapToGrid w:val="0"/>
        <w:spacing w:line="360" w:lineRule="auto"/>
        <w:ind w:firstLine="525" w:firstLineChars="250"/>
        <w:rPr>
          <w:rFonts w:ascii="宋体" w:hAnsi="宋体"/>
        </w:rPr>
      </w:pPr>
      <w:r>
        <w:rPr>
          <w:rFonts w:hint="eastAsia" w:ascii="宋体" w:hAnsi="宋体" w:cs="宋体"/>
        </w:rPr>
        <w:t>18.</w:t>
      </w:r>
      <w:r>
        <w:rPr>
          <w:rFonts w:hint="eastAsia" w:ascii="宋体" w:hAnsi="宋体"/>
        </w:rPr>
        <w:t>1 资格性响应文件正本壹份副本贰份，并在其封面上清楚地标明资格性响应文件、采购项目名称、采购项目编号、包件号（如有时）及名称（若有时）、供应商名称以及“正本”或“副本”字样。若正本和副本有不一致的内容，以正本书面响应文件为准。</w:t>
      </w:r>
    </w:p>
    <w:p>
      <w:pPr>
        <w:tabs>
          <w:tab w:val="left" w:pos="851"/>
        </w:tabs>
        <w:snapToGrid w:val="0"/>
        <w:spacing w:line="360" w:lineRule="auto"/>
        <w:ind w:firstLine="525" w:firstLineChars="250"/>
        <w:rPr>
          <w:rFonts w:ascii="宋体" w:hAnsi="宋体"/>
        </w:rPr>
      </w:pPr>
      <w:r>
        <w:rPr>
          <w:rFonts w:hint="eastAsia" w:ascii="宋体" w:hAnsi="宋体"/>
        </w:rPr>
        <w:t>18.2 其他响应文件正本壹份副本贰份，并在其封面上清楚地标明其他响应文件、采购项目名称、采购项目编号、包件号（如有时）及名称（若有时）、供应商名称以及“正本”或“副本”字样。若正本和副本有不一致的内容，以正本书面响应文件为准。</w:t>
      </w:r>
    </w:p>
    <w:bookmarkEnd w:id="188"/>
    <w:bookmarkEnd w:id="189"/>
    <w:bookmarkEnd w:id="190"/>
    <w:p>
      <w:pPr>
        <w:tabs>
          <w:tab w:val="left" w:pos="851"/>
        </w:tabs>
        <w:snapToGrid w:val="0"/>
        <w:spacing w:line="360" w:lineRule="auto"/>
        <w:ind w:firstLine="525" w:firstLineChars="250"/>
        <w:rPr>
          <w:rFonts w:ascii="宋体" w:hAnsi="宋体"/>
        </w:rPr>
      </w:pPr>
      <w:r>
        <w:rPr>
          <w:rFonts w:hint="eastAsia" w:ascii="宋体" w:hAnsi="宋体"/>
        </w:rPr>
        <w:t>18.3 响应文件正本和副本均需在规定签章处签字和盖章。响应文件副本可采用正本的复印件，电子文档采用光盘或U盘制作。</w:t>
      </w:r>
    </w:p>
    <w:p>
      <w:pPr>
        <w:tabs>
          <w:tab w:val="left" w:pos="851"/>
        </w:tabs>
        <w:snapToGrid w:val="0"/>
        <w:spacing w:line="360" w:lineRule="auto"/>
        <w:ind w:firstLine="525" w:firstLineChars="250"/>
        <w:rPr>
          <w:rFonts w:ascii="宋体" w:hAnsi="宋体"/>
        </w:rPr>
      </w:pPr>
      <w:r>
        <w:rPr>
          <w:rFonts w:hint="eastAsia" w:ascii="宋体" w:hAnsi="宋体"/>
        </w:rPr>
        <w:t>18.4响应文件的打印和书写应清楚工整，任何行间插字、涂改或增删，必须由供应商的法定代表人或其授权代表签字并盖供应商公章。</w:t>
      </w:r>
    </w:p>
    <w:p>
      <w:pPr>
        <w:tabs>
          <w:tab w:val="left" w:pos="851"/>
        </w:tabs>
        <w:snapToGrid w:val="0"/>
        <w:spacing w:line="360" w:lineRule="auto"/>
        <w:ind w:firstLine="525" w:firstLineChars="250"/>
        <w:rPr>
          <w:rFonts w:ascii="宋体" w:hAnsi="宋体"/>
        </w:rPr>
      </w:pPr>
      <w:r>
        <w:rPr>
          <w:rFonts w:hint="eastAsia" w:ascii="宋体" w:hAnsi="宋体"/>
        </w:rPr>
        <w:t>18.5（实质性要求）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tabs>
          <w:tab w:val="left" w:pos="851"/>
        </w:tabs>
        <w:snapToGrid w:val="0"/>
        <w:spacing w:line="360" w:lineRule="auto"/>
        <w:ind w:firstLine="525" w:firstLineChars="250"/>
        <w:rPr>
          <w:rFonts w:ascii="宋体" w:hAnsi="宋体"/>
        </w:rPr>
      </w:pPr>
      <w:r>
        <w:rPr>
          <w:rFonts w:hint="eastAsia" w:ascii="宋体" w:hAnsi="宋体"/>
        </w:rPr>
        <w:t>18.6响应文件正本和副本需要逐页编页码。</w:t>
      </w:r>
    </w:p>
    <w:p>
      <w:pPr>
        <w:tabs>
          <w:tab w:val="left" w:pos="851"/>
        </w:tabs>
        <w:snapToGrid w:val="0"/>
        <w:spacing w:line="360" w:lineRule="auto"/>
        <w:ind w:firstLine="525" w:firstLineChars="250"/>
        <w:rPr>
          <w:rFonts w:ascii="宋体" w:hAnsi="宋体"/>
        </w:rPr>
      </w:pPr>
      <w:r>
        <w:rPr>
          <w:rFonts w:hint="eastAsia" w:ascii="宋体" w:hAnsi="宋体"/>
        </w:rPr>
        <w:t>18.7（实质性要求）响应文件正本和副本应当采用胶装方式装订成册，不得散装或者合页装订。</w:t>
      </w:r>
    </w:p>
    <w:p>
      <w:pPr>
        <w:tabs>
          <w:tab w:val="left" w:pos="851"/>
        </w:tabs>
        <w:snapToGrid w:val="0"/>
        <w:spacing w:line="360" w:lineRule="auto"/>
        <w:ind w:firstLine="525" w:firstLineChars="250"/>
        <w:rPr>
          <w:rFonts w:ascii="宋体" w:hAnsi="宋体"/>
        </w:rPr>
      </w:pPr>
      <w:r>
        <w:rPr>
          <w:rFonts w:hint="eastAsia" w:ascii="宋体" w:hAnsi="宋体"/>
        </w:rPr>
        <w:t>18.8响应文件应根据磋商文件的要求制作，签署、盖章。</w:t>
      </w:r>
    </w:p>
    <w:p>
      <w:pPr>
        <w:tabs>
          <w:tab w:val="left" w:pos="851"/>
        </w:tabs>
        <w:snapToGrid w:val="0"/>
        <w:spacing w:line="360" w:lineRule="auto"/>
        <w:ind w:firstLine="525" w:firstLineChars="250"/>
        <w:rPr>
          <w:rFonts w:ascii="宋体" w:hAnsi="宋体" w:cs="宋体"/>
        </w:rPr>
      </w:pPr>
      <w:r>
        <w:rPr>
          <w:rFonts w:hint="eastAsia" w:ascii="宋体" w:hAnsi="宋体"/>
        </w:rPr>
        <w:t>18.9响应文</w:t>
      </w:r>
      <w:r>
        <w:rPr>
          <w:rFonts w:hint="eastAsia" w:ascii="宋体" w:hAnsi="宋体" w:cs="宋体"/>
        </w:rPr>
        <w:t>件统一用A4幅面纸印制，除另有规定外。</w:t>
      </w:r>
    </w:p>
    <w:p>
      <w:pPr>
        <w:pStyle w:val="5"/>
        <w:snapToGrid w:val="0"/>
        <w:spacing w:before="0" w:after="0" w:line="360" w:lineRule="auto"/>
        <w:ind w:firstLine="482" w:firstLineChars="200"/>
        <w:rPr>
          <w:rFonts w:ascii="宋体"/>
        </w:rPr>
      </w:pPr>
      <w:bookmarkStart w:id="191" w:name="_Toc183682363"/>
      <w:bookmarkStart w:id="192" w:name="_Toc77400781"/>
      <w:bookmarkStart w:id="193" w:name="_Toc183582226"/>
      <w:bookmarkStart w:id="194" w:name="_Toc217446053"/>
      <w:bookmarkStart w:id="195" w:name="_Toc89075877"/>
      <w:r>
        <w:rPr>
          <w:rFonts w:hint="eastAsia" w:ascii="宋体"/>
        </w:rPr>
        <w:t>19.响应文件的密封和标注（不属于本项目磋商小组评审范畴，由采购人、采购代理机构在接收响应文件时及时处理）</w:t>
      </w:r>
    </w:p>
    <w:p>
      <w:pPr>
        <w:tabs>
          <w:tab w:val="left" w:pos="851"/>
        </w:tabs>
        <w:snapToGrid w:val="0"/>
        <w:spacing w:line="360" w:lineRule="auto"/>
        <w:ind w:firstLine="525" w:firstLineChars="250"/>
        <w:rPr>
          <w:rFonts w:ascii="宋体" w:hAnsi="宋体"/>
        </w:rPr>
      </w:pPr>
      <w:r>
        <w:rPr>
          <w:rFonts w:hint="eastAsia" w:ascii="宋体" w:hAnsi="宋体" w:cs="宋体"/>
        </w:rPr>
        <w:t>19.1 响应</w:t>
      </w:r>
      <w:r>
        <w:rPr>
          <w:rFonts w:hint="eastAsia" w:ascii="宋体" w:hAnsi="宋体"/>
        </w:rPr>
        <w:t>文件可以单独密封包装，也可以所有响应文件密封包装在一个密封袋内。</w:t>
      </w:r>
    </w:p>
    <w:p>
      <w:pPr>
        <w:tabs>
          <w:tab w:val="left" w:pos="851"/>
        </w:tabs>
        <w:snapToGrid w:val="0"/>
        <w:spacing w:line="360" w:lineRule="auto"/>
        <w:ind w:firstLine="525" w:firstLineChars="250"/>
        <w:rPr>
          <w:rFonts w:ascii="宋体" w:hAnsi="宋体"/>
        </w:rPr>
      </w:pPr>
      <w:r>
        <w:rPr>
          <w:rFonts w:hint="eastAsia" w:ascii="宋体" w:hAnsi="宋体"/>
        </w:rPr>
        <w:t>19.2 响应文件密封袋的最外层应清楚地标明采购项目名称、采购项目编号、包件号（如有时）及名称（若有时）、供应商名称。</w:t>
      </w:r>
    </w:p>
    <w:p>
      <w:pPr>
        <w:tabs>
          <w:tab w:val="left" w:pos="851"/>
        </w:tabs>
        <w:snapToGrid w:val="0"/>
        <w:spacing w:line="360" w:lineRule="auto"/>
        <w:ind w:firstLine="525" w:firstLineChars="250"/>
        <w:rPr>
          <w:rFonts w:ascii="宋体" w:hAnsi="宋体"/>
        </w:rPr>
      </w:pPr>
      <w:r>
        <w:rPr>
          <w:rFonts w:hint="eastAsia" w:ascii="宋体" w:hAnsi="宋体"/>
        </w:rPr>
        <w:t>19.3 所有外层密封袋的封口处应粘贴牢固。</w:t>
      </w:r>
    </w:p>
    <w:p>
      <w:pPr>
        <w:tabs>
          <w:tab w:val="left" w:pos="851"/>
        </w:tabs>
        <w:snapToGrid w:val="0"/>
        <w:spacing w:line="360" w:lineRule="auto"/>
        <w:ind w:firstLine="525" w:firstLineChars="250"/>
        <w:rPr>
          <w:rFonts w:ascii="宋体" w:hAnsi="宋体" w:cs="宋体"/>
        </w:rPr>
      </w:pPr>
      <w:r>
        <w:rPr>
          <w:rFonts w:hint="eastAsia" w:ascii="宋体" w:hAnsi="宋体"/>
        </w:rPr>
        <w:t>19.4 未密封的</w:t>
      </w:r>
      <w:r>
        <w:rPr>
          <w:rFonts w:hint="eastAsia" w:ascii="宋体" w:hAnsi="宋体" w:cs="宋体"/>
        </w:rPr>
        <w:t>响应文件，采购人、采购代理机构将拒收或者在时间允许的范围内，要求修改完善后接收。</w:t>
      </w:r>
    </w:p>
    <w:p>
      <w:pPr>
        <w:pStyle w:val="5"/>
        <w:snapToGrid w:val="0"/>
        <w:spacing w:before="0" w:after="0" w:line="360" w:lineRule="auto"/>
        <w:ind w:firstLine="482" w:firstLineChars="200"/>
        <w:rPr>
          <w:rFonts w:ascii="宋体"/>
        </w:rPr>
      </w:pPr>
      <w:r>
        <w:rPr>
          <w:rFonts w:hint="eastAsia" w:ascii="宋体"/>
        </w:rPr>
        <w:t>20.响应文件的递交</w:t>
      </w:r>
    </w:p>
    <w:p>
      <w:pPr>
        <w:tabs>
          <w:tab w:val="left" w:pos="851"/>
        </w:tabs>
        <w:snapToGrid w:val="0"/>
        <w:spacing w:line="360" w:lineRule="auto"/>
        <w:ind w:firstLine="525" w:firstLineChars="250"/>
        <w:rPr>
          <w:rFonts w:ascii="宋体" w:hAnsi="宋体"/>
        </w:rPr>
      </w:pPr>
      <w:r>
        <w:rPr>
          <w:rFonts w:hint="eastAsia" w:ascii="宋体" w:hAnsi="宋体" w:cs="宋体"/>
        </w:rPr>
        <w:t xml:space="preserve">20.1 </w:t>
      </w:r>
      <w:r>
        <w:rPr>
          <w:rFonts w:hint="eastAsia" w:ascii="宋体" w:hAnsi="宋体"/>
        </w:rPr>
        <w:t>资格性响应文件和其他响应文件应于递交响应文件截止时间前送达指定地点，采购代理机构拒绝接收截止时间后送达的响应文件。</w:t>
      </w:r>
    </w:p>
    <w:p>
      <w:pPr>
        <w:tabs>
          <w:tab w:val="left" w:pos="851"/>
        </w:tabs>
        <w:snapToGrid w:val="0"/>
        <w:spacing w:line="360" w:lineRule="auto"/>
        <w:ind w:firstLine="525" w:firstLineChars="250"/>
        <w:rPr>
          <w:rFonts w:ascii="宋体" w:hAnsi="宋体"/>
        </w:rPr>
      </w:pPr>
      <w:r>
        <w:rPr>
          <w:rFonts w:hint="eastAsia" w:ascii="宋体" w:hAnsi="宋体"/>
        </w:rPr>
        <w:t>20.2 采购代理机构将向通过资格审查的供应商发出磋商邀请；告知未通过资格审查的供应商未通过的原因。</w:t>
      </w:r>
    </w:p>
    <w:p>
      <w:pPr>
        <w:tabs>
          <w:tab w:val="left" w:pos="851"/>
        </w:tabs>
        <w:snapToGrid w:val="0"/>
        <w:spacing w:line="360" w:lineRule="auto"/>
        <w:ind w:firstLine="525" w:firstLineChars="250"/>
        <w:rPr>
          <w:rFonts w:ascii="宋体" w:hAnsi="宋体"/>
        </w:rPr>
      </w:pPr>
      <w:r>
        <w:rPr>
          <w:rFonts w:hint="eastAsia" w:ascii="宋体" w:hAnsi="宋体"/>
        </w:rPr>
        <w:t>20.3 报价表在磋商后，磋商小组要求供应商进行最后报价时递交。</w:t>
      </w:r>
    </w:p>
    <w:p>
      <w:pPr>
        <w:tabs>
          <w:tab w:val="left" w:pos="851"/>
        </w:tabs>
        <w:snapToGrid w:val="0"/>
        <w:spacing w:line="360" w:lineRule="auto"/>
        <w:ind w:firstLine="525" w:firstLineChars="250"/>
        <w:rPr>
          <w:rFonts w:ascii="宋体" w:hAnsi="宋体" w:cs="宋体"/>
        </w:rPr>
      </w:pPr>
      <w:r>
        <w:rPr>
          <w:rFonts w:hint="eastAsia" w:ascii="宋体" w:hAnsi="宋体"/>
        </w:rPr>
        <w:t>20.4 本次采购不</w:t>
      </w:r>
      <w:r>
        <w:rPr>
          <w:rFonts w:hint="eastAsia" w:ascii="宋体" w:hAnsi="宋体" w:cs="宋体"/>
        </w:rPr>
        <w:t>接收邮寄的响应文件。</w:t>
      </w:r>
    </w:p>
    <w:bookmarkEnd w:id="191"/>
    <w:bookmarkEnd w:id="192"/>
    <w:bookmarkEnd w:id="193"/>
    <w:bookmarkEnd w:id="194"/>
    <w:bookmarkEnd w:id="195"/>
    <w:p>
      <w:pPr>
        <w:pStyle w:val="5"/>
        <w:snapToGrid w:val="0"/>
        <w:spacing w:before="0" w:after="0" w:line="360" w:lineRule="auto"/>
        <w:ind w:firstLine="482" w:firstLineChars="200"/>
        <w:rPr>
          <w:rFonts w:ascii="宋体" w:hAnsi="宋体"/>
        </w:rPr>
      </w:pPr>
      <w:bookmarkStart w:id="196" w:name="_Toc217446055"/>
      <w:bookmarkStart w:id="197" w:name="_Toc183582228"/>
      <w:bookmarkStart w:id="198" w:name="_Toc183682365"/>
      <w:r>
        <w:rPr>
          <w:rFonts w:hint="eastAsia" w:ascii="宋体" w:hAnsi="宋体"/>
        </w:rPr>
        <w:t>21.响应文件的修改和撤回（补充、修改响应文件的</w:t>
      </w:r>
      <w:r>
        <w:rPr>
          <w:rFonts w:hint="eastAsia" w:ascii="宋体"/>
        </w:rPr>
        <w:t>密封和标注按照本章“19.响应文件的密封和标注”规定处理</w:t>
      </w:r>
      <w:r>
        <w:rPr>
          <w:rFonts w:hint="eastAsia" w:ascii="宋体" w:hAnsi="宋体"/>
        </w:rPr>
        <w:t>）</w:t>
      </w:r>
    </w:p>
    <w:p>
      <w:pPr>
        <w:tabs>
          <w:tab w:val="left" w:pos="851"/>
        </w:tabs>
        <w:snapToGrid w:val="0"/>
        <w:spacing w:line="360" w:lineRule="auto"/>
        <w:ind w:firstLine="525" w:firstLineChars="250"/>
        <w:rPr>
          <w:rFonts w:ascii="宋体" w:hAnsi="宋体" w:cs="宋体"/>
        </w:rPr>
      </w:pPr>
      <w:r>
        <w:rPr>
          <w:rFonts w:hint="eastAsia" w:ascii="宋体" w:hAnsi="宋体" w:cs="宋体"/>
        </w:rPr>
        <w:t>21.1供应商在提交响应文件后可对其响应文件进行修改或撤回，但该修改或撤回的书面通知须在递交截止时间之前送达采购代理机构，补充、修改的内容作为响应文件的组成部分。且该通知需经正式授权的</w:t>
      </w:r>
      <w:r>
        <w:rPr>
          <w:rFonts w:hint="eastAsia" w:ascii="宋体" w:hAnsi="宋体"/>
        </w:rPr>
        <w:t>供应商</w:t>
      </w:r>
      <w:r>
        <w:rPr>
          <w:rFonts w:hint="eastAsia" w:ascii="宋体" w:hAnsi="宋体" w:cs="宋体"/>
        </w:rPr>
        <w:t>代表签字方为有效。供应商在提交响应文件截止时间前，可以对所提交的响应文件进行补充、修改或者撤回，补充、修改的内容与响应文件不一致的，以补充、修改的内容为准。</w:t>
      </w:r>
    </w:p>
    <w:p>
      <w:pPr>
        <w:tabs>
          <w:tab w:val="left" w:pos="851"/>
        </w:tabs>
        <w:snapToGrid w:val="0"/>
        <w:spacing w:line="360" w:lineRule="auto"/>
        <w:ind w:firstLine="525" w:firstLineChars="250"/>
        <w:rPr>
          <w:rFonts w:ascii="宋体" w:hAnsi="宋体" w:cs="宋体"/>
        </w:rPr>
      </w:pPr>
      <w:r>
        <w:rPr>
          <w:rFonts w:hint="eastAsia" w:ascii="宋体" w:hAnsi="宋体" w:cs="宋体"/>
        </w:rPr>
        <w:t>21.2供应商对响应文件修改的书面材料或撤回的通知应该按规定进行编写、密封、标注和递送，并注明“修改响应文件”字样。</w:t>
      </w:r>
    </w:p>
    <w:p>
      <w:pPr>
        <w:tabs>
          <w:tab w:val="left" w:pos="851"/>
        </w:tabs>
        <w:snapToGrid w:val="0"/>
        <w:spacing w:line="360" w:lineRule="auto"/>
        <w:ind w:firstLine="525" w:firstLineChars="250"/>
        <w:rPr>
          <w:rFonts w:ascii="宋体" w:hAnsi="宋体" w:cs="宋体"/>
        </w:rPr>
      </w:pPr>
      <w:r>
        <w:rPr>
          <w:rFonts w:hint="eastAsia" w:ascii="宋体" w:hAnsi="宋体" w:cs="宋体"/>
        </w:rPr>
        <w:t>21.3供应商不得在递交截止时间起至响应文件有效期期满前撤销其响应文件。否则其磋商保证金将按相关规定不予退还。</w:t>
      </w:r>
    </w:p>
    <w:p>
      <w:pPr>
        <w:tabs>
          <w:tab w:val="left" w:pos="851"/>
        </w:tabs>
        <w:snapToGrid w:val="0"/>
        <w:spacing w:line="360" w:lineRule="auto"/>
        <w:ind w:firstLine="525" w:firstLineChars="250"/>
        <w:rPr>
          <w:rFonts w:ascii="宋体" w:hAnsi="宋体" w:cs="宋体"/>
        </w:rPr>
      </w:pPr>
      <w:r>
        <w:rPr>
          <w:rFonts w:hint="eastAsia" w:ascii="宋体" w:hAnsi="宋体" w:cs="宋体"/>
        </w:rPr>
        <w:t>21.4供应商对其提交的响应文件的真实性、合法性承担法律责任。</w:t>
      </w:r>
      <w:bookmarkEnd w:id="196"/>
      <w:bookmarkEnd w:id="197"/>
      <w:bookmarkEnd w:id="198"/>
    </w:p>
    <w:p>
      <w:pPr>
        <w:pStyle w:val="4"/>
        <w:snapToGrid w:val="0"/>
        <w:spacing w:before="0" w:after="0" w:line="360" w:lineRule="auto"/>
      </w:pPr>
      <w:bookmarkStart w:id="199" w:name="_Toc6358"/>
      <w:bookmarkStart w:id="200" w:name="_Toc4659693"/>
      <w:bookmarkStart w:id="201" w:name="_Toc5004997"/>
      <w:bookmarkStart w:id="202" w:name="_Toc4578831"/>
      <w:bookmarkStart w:id="203" w:name="_Toc13041_WPSOffice_Level2"/>
      <w:bookmarkStart w:id="204" w:name="_Toc26199"/>
      <w:bookmarkStart w:id="205" w:name="_Toc28962"/>
      <w:bookmarkStart w:id="206" w:name="_Toc11275"/>
      <w:bookmarkStart w:id="207" w:name="_Toc15551"/>
      <w:bookmarkStart w:id="208" w:name="_Toc760"/>
      <w:bookmarkStart w:id="209" w:name="_Toc17177"/>
      <w:bookmarkStart w:id="210" w:name="_Toc10231"/>
      <w:bookmarkStart w:id="211" w:name="_Toc183682368"/>
      <w:bookmarkStart w:id="212" w:name="_Toc183582231"/>
      <w:bookmarkStart w:id="213" w:name="_Toc77400782"/>
      <w:bookmarkStart w:id="214" w:name="_Toc89075878"/>
      <w:bookmarkStart w:id="215" w:name="_Toc217446056"/>
      <w:r>
        <w:rPr>
          <w:rFonts w:hint="eastAsia"/>
        </w:rPr>
        <w:t>五、评审</w:t>
      </w:r>
      <w:bookmarkEnd w:id="199"/>
      <w:bookmarkEnd w:id="200"/>
      <w:bookmarkEnd w:id="201"/>
      <w:bookmarkEnd w:id="202"/>
      <w:bookmarkEnd w:id="203"/>
      <w:bookmarkEnd w:id="204"/>
      <w:bookmarkEnd w:id="205"/>
      <w:bookmarkEnd w:id="206"/>
      <w:bookmarkEnd w:id="207"/>
      <w:bookmarkEnd w:id="208"/>
      <w:bookmarkEnd w:id="209"/>
      <w:bookmarkEnd w:id="210"/>
    </w:p>
    <w:p>
      <w:pPr>
        <w:pStyle w:val="5"/>
        <w:snapToGrid w:val="0"/>
        <w:spacing w:before="0" w:after="0" w:line="360" w:lineRule="auto"/>
        <w:ind w:firstLine="482" w:firstLineChars="200"/>
        <w:rPr>
          <w:rFonts w:ascii="宋体" w:hAnsi="宋体"/>
        </w:rPr>
      </w:pPr>
      <w:bookmarkStart w:id="216" w:name="_Toc4659694"/>
      <w:bookmarkStart w:id="217" w:name="_Toc4578832"/>
      <w:bookmarkStart w:id="218" w:name="_Toc5004998"/>
      <w:r>
        <w:rPr>
          <w:rFonts w:hint="eastAsia" w:ascii="宋体" w:hAnsi="宋体"/>
        </w:rPr>
        <w:t>22.磋商小组的组建及其评审工作按照有关法律制度和本文件第八章的规定进行。</w:t>
      </w:r>
      <w:bookmarkEnd w:id="216"/>
      <w:bookmarkEnd w:id="217"/>
      <w:bookmarkEnd w:id="218"/>
    </w:p>
    <w:p>
      <w:pPr>
        <w:pStyle w:val="4"/>
        <w:snapToGrid w:val="0"/>
        <w:spacing w:before="0" w:after="0" w:line="360" w:lineRule="auto"/>
      </w:pPr>
      <w:bookmarkStart w:id="219" w:name="_Toc5004999"/>
      <w:bookmarkStart w:id="220" w:name="_Toc13200"/>
      <w:bookmarkStart w:id="221" w:name="_Toc21624"/>
      <w:bookmarkStart w:id="222" w:name="_Toc4659695"/>
      <w:bookmarkStart w:id="223" w:name="_Toc4578833"/>
      <w:bookmarkStart w:id="224" w:name="_Toc29286"/>
      <w:bookmarkStart w:id="225" w:name="_Toc14291"/>
      <w:bookmarkStart w:id="226" w:name="_Toc638_WPSOffice_Level2"/>
      <w:bookmarkStart w:id="227" w:name="_Toc28916"/>
      <w:bookmarkStart w:id="228" w:name="_Toc27893"/>
      <w:bookmarkStart w:id="229" w:name="_Toc32383"/>
      <w:bookmarkStart w:id="230" w:name="_Toc23328"/>
      <w:r>
        <w:rPr>
          <w:rFonts w:hint="eastAsia"/>
        </w:rPr>
        <w:t>六、成交事项</w:t>
      </w:r>
      <w:bookmarkEnd w:id="219"/>
      <w:bookmarkEnd w:id="220"/>
      <w:bookmarkEnd w:id="221"/>
      <w:bookmarkEnd w:id="222"/>
      <w:bookmarkEnd w:id="223"/>
      <w:bookmarkEnd w:id="224"/>
      <w:bookmarkEnd w:id="225"/>
      <w:bookmarkEnd w:id="226"/>
      <w:bookmarkEnd w:id="227"/>
      <w:bookmarkEnd w:id="228"/>
      <w:bookmarkEnd w:id="229"/>
      <w:bookmarkEnd w:id="230"/>
    </w:p>
    <w:p>
      <w:pPr>
        <w:pStyle w:val="5"/>
        <w:snapToGrid w:val="0"/>
        <w:spacing w:before="0" w:after="0" w:line="360" w:lineRule="auto"/>
        <w:ind w:firstLine="482" w:firstLineChars="200"/>
        <w:rPr>
          <w:rFonts w:ascii="宋体" w:hAnsi="宋体"/>
        </w:rPr>
      </w:pPr>
      <w:bookmarkStart w:id="231" w:name="_Toc5005000"/>
      <w:bookmarkStart w:id="232" w:name="_Toc4659696"/>
      <w:bookmarkStart w:id="233" w:name="_Toc4578834"/>
      <w:r>
        <w:rPr>
          <w:rFonts w:hint="eastAsia" w:ascii="宋体" w:hAnsi="宋体"/>
        </w:rPr>
        <w:t>23.确定成交供应商</w:t>
      </w:r>
      <w:bookmarkEnd w:id="231"/>
      <w:bookmarkEnd w:id="232"/>
      <w:bookmarkEnd w:id="233"/>
    </w:p>
    <w:p>
      <w:pPr>
        <w:tabs>
          <w:tab w:val="left" w:pos="851"/>
        </w:tabs>
        <w:snapToGrid w:val="0"/>
        <w:spacing w:line="360" w:lineRule="auto"/>
        <w:ind w:firstLine="525" w:firstLineChars="250"/>
        <w:rPr>
          <w:rFonts w:ascii="宋体" w:hAnsi="宋体" w:cs="宋体"/>
        </w:rPr>
      </w:pPr>
      <w:bookmarkStart w:id="234" w:name="_Toc5005001"/>
      <w:bookmarkStart w:id="235" w:name="_Toc4578835"/>
      <w:bookmarkStart w:id="236" w:name="_Toc4659697"/>
      <w:r>
        <w:rPr>
          <w:rFonts w:hint="eastAsia" w:ascii="宋体" w:hAnsi="宋体" w:cs="宋体"/>
        </w:rPr>
        <w:t>方式一：采购人将按磋商小组推荐的成交候选供应商顺序确定成交供应商。</w:t>
      </w:r>
      <w:bookmarkEnd w:id="234"/>
      <w:bookmarkEnd w:id="235"/>
      <w:bookmarkEnd w:id="236"/>
    </w:p>
    <w:p>
      <w:pPr>
        <w:tabs>
          <w:tab w:val="left" w:pos="851"/>
        </w:tabs>
        <w:snapToGrid w:val="0"/>
        <w:spacing w:line="360" w:lineRule="auto"/>
        <w:ind w:firstLine="525" w:firstLineChars="250"/>
        <w:rPr>
          <w:rFonts w:ascii="宋体" w:hAnsi="宋体" w:cs="宋体"/>
        </w:rPr>
      </w:pPr>
      <w:bookmarkStart w:id="237" w:name="_Toc4578836"/>
      <w:bookmarkStart w:id="238" w:name="_Toc4659698"/>
      <w:bookmarkStart w:id="239" w:name="_Toc5005002"/>
      <w:r>
        <w:rPr>
          <w:rFonts w:hint="eastAsia" w:ascii="宋体" w:hAnsi="宋体" w:cs="宋体"/>
        </w:rPr>
        <w:t>方式二：采购人授权磋商小组根据综合评分排名直接确定成交供应商。</w:t>
      </w:r>
      <w:bookmarkEnd w:id="237"/>
      <w:bookmarkEnd w:id="238"/>
      <w:bookmarkEnd w:id="239"/>
    </w:p>
    <w:p>
      <w:pPr>
        <w:tabs>
          <w:tab w:val="left" w:pos="851"/>
        </w:tabs>
        <w:snapToGrid w:val="0"/>
        <w:spacing w:line="360" w:lineRule="auto"/>
        <w:ind w:firstLine="527" w:firstLineChars="250"/>
        <w:rPr>
          <w:rFonts w:ascii="宋体" w:hAnsi="宋体" w:cs="宋体"/>
          <w:b/>
          <w:bCs/>
        </w:rPr>
      </w:pPr>
      <w:bookmarkStart w:id="240" w:name="_Toc4659699"/>
      <w:bookmarkStart w:id="241" w:name="_Toc4578837"/>
      <w:bookmarkStart w:id="242" w:name="_Toc5005003"/>
      <w:r>
        <w:rPr>
          <w:rFonts w:hint="eastAsia" w:ascii="宋体" w:hAnsi="宋体" w:cs="宋体"/>
          <w:b/>
          <w:bCs/>
        </w:rPr>
        <w:t>本项目采用方式一确定成交供应商。</w:t>
      </w:r>
      <w:bookmarkEnd w:id="240"/>
      <w:bookmarkEnd w:id="241"/>
      <w:bookmarkEnd w:id="242"/>
    </w:p>
    <w:p>
      <w:pPr>
        <w:tabs>
          <w:tab w:val="left" w:pos="851"/>
        </w:tabs>
        <w:snapToGrid w:val="0"/>
        <w:spacing w:line="360" w:lineRule="auto"/>
        <w:ind w:firstLine="525" w:firstLineChars="250"/>
        <w:rPr>
          <w:rFonts w:ascii="宋体" w:hAnsi="宋体"/>
        </w:rPr>
      </w:pPr>
      <w:bookmarkStart w:id="243" w:name="_Toc4578838"/>
      <w:bookmarkStart w:id="244" w:name="_Toc5005004"/>
      <w:bookmarkStart w:id="245" w:name="_Toc4659700"/>
      <w:r>
        <w:rPr>
          <w:rFonts w:hint="eastAsia" w:ascii="宋体" w:hAnsi="宋体" w:cs="宋体"/>
        </w:rPr>
        <w:t>2</w:t>
      </w:r>
      <w:r>
        <w:rPr>
          <w:rFonts w:hint="eastAsia" w:ascii="宋体" w:hAnsi="宋体"/>
        </w:rPr>
        <w:t>3.1采购代理机构自评审结束后2个工作日内将磋商报告及有关资料送交采购人确定成交供应商。</w:t>
      </w:r>
      <w:bookmarkEnd w:id="243"/>
      <w:bookmarkEnd w:id="244"/>
      <w:bookmarkEnd w:id="245"/>
    </w:p>
    <w:p>
      <w:pPr>
        <w:tabs>
          <w:tab w:val="left" w:pos="851"/>
        </w:tabs>
        <w:snapToGrid w:val="0"/>
        <w:spacing w:line="360" w:lineRule="auto"/>
        <w:ind w:firstLine="525" w:firstLineChars="250"/>
        <w:rPr>
          <w:rFonts w:ascii="宋体" w:hAnsi="宋体"/>
        </w:rPr>
      </w:pPr>
      <w:bookmarkStart w:id="246" w:name="_Toc5005005"/>
      <w:bookmarkStart w:id="247" w:name="_Toc4578839"/>
      <w:bookmarkStart w:id="248" w:name="_Toc4659701"/>
      <w:r>
        <w:rPr>
          <w:rFonts w:hint="eastAsia" w:ascii="宋体" w:hAnsi="宋体"/>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246"/>
      <w:bookmarkEnd w:id="247"/>
      <w:bookmarkEnd w:id="248"/>
    </w:p>
    <w:p>
      <w:pPr>
        <w:tabs>
          <w:tab w:val="left" w:pos="851"/>
        </w:tabs>
        <w:snapToGrid w:val="0"/>
        <w:spacing w:line="360" w:lineRule="auto"/>
        <w:ind w:firstLine="525" w:firstLineChars="250"/>
        <w:rPr>
          <w:rFonts w:ascii="宋体" w:hAnsi="宋体"/>
        </w:rPr>
      </w:pPr>
      <w:bookmarkStart w:id="249" w:name="_Toc5005006"/>
      <w:bookmarkStart w:id="250" w:name="_Toc4578840"/>
      <w:bookmarkStart w:id="251" w:name="_Toc4659702"/>
      <w:r>
        <w:rPr>
          <w:rFonts w:hint="eastAsia" w:ascii="宋体" w:hAnsi="宋体"/>
        </w:rPr>
        <w:t>23.3采购人确定成交供应商过程中，发现成交候选供应商有下列情形之一的，应当不予确定其为成交供应商：</w:t>
      </w:r>
      <w:bookmarkEnd w:id="249"/>
      <w:bookmarkEnd w:id="250"/>
      <w:bookmarkEnd w:id="251"/>
    </w:p>
    <w:p>
      <w:pPr>
        <w:tabs>
          <w:tab w:val="left" w:pos="851"/>
        </w:tabs>
        <w:snapToGrid w:val="0"/>
        <w:spacing w:line="360" w:lineRule="auto"/>
        <w:ind w:firstLine="525" w:firstLineChars="250"/>
        <w:rPr>
          <w:rFonts w:ascii="宋体" w:hAnsi="宋体"/>
        </w:rPr>
      </w:pPr>
      <w:bookmarkStart w:id="252" w:name="_Toc4659703"/>
      <w:bookmarkStart w:id="253" w:name="_Toc4578841"/>
      <w:bookmarkStart w:id="254" w:name="_Toc5005007"/>
      <w:r>
        <w:rPr>
          <w:rFonts w:hint="eastAsia" w:ascii="宋体" w:hAnsi="宋体"/>
        </w:rPr>
        <w:t>（1）发现成交候选供应商存在禁止参加本项目采购活动的违法行为的；</w:t>
      </w:r>
      <w:bookmarkEnd w:id="252"/>
      <w:bookmarkEnd w:id="253"/>
      <w:bookmarkEnd w:id="254"/>
    </w:p>
    <w:p>
      <w:pPr>
        <w:tabs>
          <w:tab w:val="left" w:pos="851"/>
        </w:tabs>
        <w:snapToGrid w:val="0"/>
        <w:spacing w:line="360" w:lineRule="auto"/>
        <w:ind w:firstLine="525" w:firstLineChars="250"/>
        <w:rPr>
          <w:rFonts w:ascii="宋体" w:hAnsi="宋体"/>
        </w:rPr>
      </w:pPr>
      <w:bookmarkStart w:id="255" w:name="_Toc4578842"/>
      <w:bookmarkStart w:id="256" w:name="_Toc5005008"/>
      <w:bookmarkStart w:id="257" w:name="_Toc4659704"/>
      <w:r>
        <w:rPr>
          <w:rFonts w:hint="eastAsia" w:ascii="宋体" w:hAnsi="宋体"/>
        </w:rPr>
        <w:t>（2）成交候选供应商因不可抗力，不能继续参加采购活动；</w:t>
      </w:r>
      <w:bookmarkEnd w:id="255"/>
      <w:bookmarkEnd w:id="256"/>
      <w:bookmarkEnd w:id="257"/>
    </w:p>
    <w:p>
      <w:pPr>
        <w:tabs>
          <w:tab w:val="left" w:pos="851"/>
        </w:tabs>
        <w:snapToGrid w:val="0"/>
        <w:spacing w:line="360" w:lineRule="auto"/>
        <w:ind w:firstLine="525" w:firstLineChars="250"/>
        <w:rPr>
          <w:rFonts w:ascii="宋体" w:hAnsi="宋体"/>
        </w:rPr>
      </w:pPr>
      <w:bookmarkStart w:id="258" w:name="_Toc4659705"/>
      <w:bookmarkStart w:id="259" w:name="_Toc5005009"/>
      <w:bookmarkStart w:id="260" w:name="_Toc4578843"/>
      <w:r>
        <w:rPr>
          <w:rFonts w:hint="eastAsia" w:ascii="宋体" w:hAnsi="宋体"/>
        </w:rPr>
        <w:t>（3）成交候选供应商无偿赠与或者低于成本价竞争；</w:t>
      </w:r>
      <w:bookmarkEnd w:id="258"/>
      <w:bookmarkEnd w:id="259"/>
      <w:bookmarkEnd w:id="260"/>
    </w:p>
    <w:p>
      <w:pPr>
        <w:tabs>
          <w:tab w:val="left" w:pos="851"/>
        </w:tabs>
        <w:snapToGrid w:val="0"/>
        <w:spacing w:line="360" w:lineRule="auto"/>
        <w:ind w:firstLine="525" w:firstLineChars="250"/>
        <w:rPr>
          <w:rFonts w:ascii="宋体" w:hAnsi="宋体"/>
        </w:rPr>
      </w:pPr>
      <w:bookmarkStart w:id="261" w:name="_Toc5005010"/>
      <w:bookmarkStart w:id="262" w:name="_Toc4578844"/>
      <w:bookmarkStart w:id="263" w:name="_Toc4659706"/>
      <w:r>
        <w:rPr>
          <w:rFonts w:hint="eastAsia" w:ascii="宋体" w:hAnsi="宋体"/>
        </w:rPr>
        <w:t>（4）成交候选供应商提供虚假材料；</w:t>
      </w:r>
      <w:bookmarkEnd w:id="261"/>
      <w:bookmarkEnd w:id="262"/>
      <w:bookmarkEnd w:id="263"/>
    </w:p>
    <w:p>
      <w:pPr>
        <w:tabs>
          <w:tab w:val="left" w:pos="851"/>
        </w:tabs>
        <w:snapToGrid w:val="0"/>
        <w:spacing w:line="360" w:lineRule="auto"/>
        <w:ind w:firstLine="525" w:firstLineChars="250"/>
        <w:rPr>
          <w:rFonts w:ascii="宋体" w:hAnsi="宋体"/>
        </w:rPr>
      </w:pPr>
      <w:bookmarkStart w:id="264" w:name="_Toc4659707"/>
      <w:bookmarkStart w:id="265" w:name="_Toc4578845"/>
      <w:bookmarkStart w:id="266" w:name="_Toc5005011"/>
      <w:r>
        <w:rPr>
          <w:rFonts w:hint="eastAsia" w:ascii="宋体" w:hAnsi="宋体"/>
        </w:rPr>
        <w:t>（5）成交候选供应商恶意串通。</w:t>
      </w:r>
      <w:bookmarkEnd w:id="264"/>
      <w:bookmarkEnd w:id="265"/>
      <w:bookmarkEnd w:id="266"/>
    </w:p>
    <w:p>
      <w:pPr>
        <w:pStyle w:val="5"/>
        <w:snapToGrid w:val="0"/>
        <w:spacing w:before="0" w:after="0" w:line="360" w:lineRule="auto"/>
        <w:ind w:firstLine="482" w:firstLineChars="200"/>
        <w:rPr>
          <w:rFonts w:ascii="宋体" w:hAnsi="宋体"/>
        </w:rPr>
      </w:pPr>
      <w:bookmarkStart w:id="267" w:name="_Toc5005012"/>
      <w:bookmarkStart w:id="268" w:name="_Toc4659708"/>
      <w:bookmarkStart w:id="269" w:name="_Toc4578846"/>
      <w:r>
        <w:rPr>
          <w:rFonts w:hint="eastAsia" w:ascii="宋体" w:hAnsi="宋体"/>
        </w:rPr>
        <w:t>24.行贿犯罪档案查询</w:t>
      </w:r>
      <w:bookmarkEnd w:id="267"/>
      <w:bookmarkEnd w:id="268"/>
      <w:bookmarkEnd w:id="269"/>
    </w:p>
    <w:p>
      <w:pPr>
        <w:tabs>
          <w:tab w:val="left" w:pos="851"/>
        </w:tabs>
        <w:snapToGrid w:val="0"/>
        <w:spacing w:line="360" w:lineRule="auto"/>
        <w:ind w:firstLine="525" w:firstLineChars="250"/>
        <w:rPr>
          <w:rFonts w:ascii="宋体" w:hAnsi="宋体"/>
        </w:rPr>
      </w:pPr>
      <w:bookmarkStart w:id="270" w:name="_Toc4578847"/>
      <w:bookmarkStart w:id="271" w:name="_Toc4659709"/>
      <w:bookmarkStart w:id="272" w:name="_Toc5005013"/>
      <w:r>
        <w:rPr>
          <w:rFonts w:hint="eastAsia" w:ascii="宋体" w:hAnsi="宋体"/>
        </w:rPr>
        <w:t>24.1供应商应在磋商文件中向采购人提交无行贿犯罪记录承诺。</w:t>
      </w:r>
      <w:bookmarkEnd w:id="270"/>
      <w:bookmarkEnd w:id="271"/>
      <w:bookmarkEnd w:id="272"/>
    </w:p>
    <w:p>
      <w:pPr>
        <w:tabs>
          <w:tab w:val="left" w:pos="851"/>
        </w:tabs>
        <w:snapToGrid w:val="0"/>
        <w:spacing w:line="360" w:lineRule="auto"/>
        <w:ind w:firstLine="525" w:firstLineChars="250"/>
        <w:rPr>
          <w:rFonts w:ascii="宋体" w:hAnsi="宋体"/>
        </w:rPr>
      </w:pPr>
      <w:bookmarkStart w:id="273" w:name="_Toc4659710"/>
      <w:bookmarkStart w:id="274" w:name="_Toc5005014"/>
      <w:bookmarkStart w:id="275" w:name="_Toc4578848"/>
      <w:r>
        <w:rPr>
          <w:rFonts w:hint="eastAsia" w:ascii="宋体" w:hAnsi="宋体"/>
        </w:rPr>
        <w:t>24.2供应商单位及其现任法定代表人、主要负责人存在行贿犯罪记录的，成交后未签订</w:t>
      </w:r>
      <w:r>
        <w:rPr>
          <w:rFonts w:hint="eastAsia" w:ascii="宋体" w:hAnsi="宋体"/>
          <w:lang w:eastAsia="zh-CN"/>
        </w:rPr>
        <w:t>政府</w:t>
      </w:r>
      <w:r>
        <w:rPr>
          <w:rFonts w:hint="eastAsia" w:ascii="宋体" w:hAnsi="宋体"/>
        </w:rPr>
        <w:t>采购合同的，将认定成交无效；成交后签订</w:t>
      </w:r>
      <w:r>
        <w:rPr>
          <w:rFonts w:hint="eastAsia" w:ascii="宋体" w:hAnsi="宋体"/>
          <w:lang w:eastAsia="zh-CN"/>
        </w:rPr>
        <w:t>政府</w:t>
      </w:r>
      <w:r>
        <w:rPr>
          <w:rFonts w:hint="eastAsia" w:ascii="宋体" w:hAnsi="宋体"/>
        </w:rPr>
        <w:t>采购合同未履行的，将认定成交无效，同时撤销</w:t>
      </w:r>
      <w:r>
        <w:rPr>
          <w:rFonts w:hint="eastAsia" w:ascii="宋体" w:hAnsi="宋体"/>
          <w:lang w:eastAsia="zh-CN"/>
        </w:rPr>
        <w:t>政府</w:t>
      </w:r>
      <w:r>
        <w:rPr>
          <w:rFonts w:hint="eastAsia" w:ascii="宋体" w:hAnsi="宋体"/>
        </w:rPr>
        <w:t>采购合同；成交后签订</w:t>
      </w:r>
      <w:r>
        <w:rPr>
          <w:rFonts w:hint="eastAsia" w:ascii="宋体" w:hAnsi="宋体"/>
          <w:lang w:eastAsia="zh-CN"/>
        </w:rPr>
        <w:t>政府</w:t>
      </w:r>
      <w:r>
        <w:rPr>
          <w:rFonts w:hint="eastAsia" w:ascii="宋体" w:hAnsi="宋体"/>
        </w:rPr>
        <w:t>采购合同且已经履行的，将认定采购活动违法，由相关当事人承担赔偿责任。</w:t>
      </w:r>
      <w:bookmarkEnd w:id="273"/>
      <w:bookmarkEnd w:id="274"/>
      <w:bookmarkEnd w:id="275"/>
    </w:p>
    <w:p>
      <w:pPr>
        <w:pStyle w:val="5"/>
        <w:snapToGrid w:val="0"/>
        <w:spacing w:before="0" w:after="0" w:line="360" w:lineRule="auto"/>
        <w:ind w:firstLine="482" w:firstLineChars="200"/>
        <w:rPr>
          <w:rFonts w:ascii="宋体" w:hAnsi="宋体"/>
        </w:rPr>
      </w:pPr>
      <w:bookmarkStart w:id="276" w:name="_Toc4578849"/>
      <w:bookmarkStart w:id="277" w:name="_Toc4659711"/>
      <w:bookmarkStart w:id="278" w:name="_Toc5005015"/>
      <w:r>
        <w:rPr>
          <w:rFonts w:hint="eastAsia" w:ascii="宋体" w:hAnsi="宋体"/>
        </w:rPr>
        <w:t>25.成交结果</w:t>
      </w:r>
      <w:bookmarkEnd w:id="276"/>
      <w:bookmarkEnd w:id="277"/>
      <w:bookmarkEnd w:id="278"/>
    </w:p>
    <w:p>
      <w:pPr>
        <w:tabs>
          <w:tab w:val="left" w:pos="851"/>
        </w:tabs>
        <w:snapToGrid w:val="0"/>
        <w:spacing w:line="360" w:lineRule="auto"/>
        <w:ind w:firstLine="525" w:firstLineChars="250"/>
        <w:rPr>
          <w:rFonts w:ascii="宋体" w:hAnsi="宋体"/>
        </w:rPr>
      </w:pPr>
      <w:bookmarkStart w:id="279" w:name="_Toc4578850"/>
      <w:bookmarkStart w:id="280" w:name="_Toc5005016"/>
      <w:bookmarkStart w:id="281" w:name="_Toc4659712"/>
      <w:r>
        <w:rPr>
          <w:rFonts w:hint="eastAsia" w:ascii="宋体" w:hAnsi="宋体"/>
        </w:rPr>
        <w:t>25.1采购人确定成交供应商后，将及时书面通知采购代理机构，发出成交通知书并发布成交结果公告。</w:t>
      </w:r>
      <w:bookmarkEnd w:id="279"/>
      <w:bookmarkEnd w:id="280"/>
      <w:bookmarkEnd w:id="281"/>
    </w:p>
    <w:p>
      <w:pPr>
        <w:tabs>
          <w:tab w:val="left" w:pos="851"/>
        </w:tabs>
        <w:snapToGrid w:val="0"/>
        <w:spacing w:line="360" w:lineRule="auto"/>
        <w:ind w:firstLine="525" w:firstLineChars="250"/>
        <w:rPr>
          <w:rFonts w:ascii="宋体" w:hAnsi="宋体"/>
        </w:rPr>
      </w:pPr>
      <w:r>
        <w:rPr>
          <w:rFonts w:hint="eastAsia" w:ascii="宋体" w:hAnsi="宋体"/>
        </w:rPr>
        <w:t>25.2成交供应商应当及时领取成交通知书。本项目若需要交纳履约保证金的，成交供应商应当及时向采购人交纳。</w:t>
      </w:r>
    </w:p>
    <w:p>
      <w:pPr>
        <w:tabs>
          <w:tab w:val="left" w:pos="851"/>
        </w:tabs>
        <w:snapToGrid w:val="0"/>
        <w:spacing w:line="360" w:lineRule="auto"/>
        <w:ind w:firstLine="525" w:firstLineChars="250"/>
        <w:rPr>
          <w:rFonts w:ascii="宋体" w:hAnsi="宋体"/>
        </w:rPr>
      </w:pPr>
      <w:r>
        <w:rPr>
          <w:rFonts w:hint="eastAsia" w:ascii="宋体" w:hAnsi="宋体"/>
        </w:rPr>
        <w:t>25.3成交供应商不能及时领取成交通知书，采购人或者采购代理机应当通过邮寄、快递等方式将项目成交通知书送达成交供应商。</w:t>
      </w:r>
    </w:p>
    <w:p>
      <w:pPr>
        <w:pStyle w:val="5"/>
        <w:snapToGrid w:val="0"/>
        <w:spacing w:before="0" w:after="0" w:line="360" w:lineRule="auto"/>
        <w:ind w:firstLine="482" w:firstLineChars="200"/>
        <w:rPr>
          <w:rFonts w:ascii="宋体" w:hAnsi="宋体"/>
          <w:szCs w:val="24"/>
        </w:rPr>
      </w:pPr>
      <w:bookmarkStart w:id="282" w:name="_Toc4659713"/>
      <w:bookmarkStart w:id="283" w:name="_Toc5005017"/>
      <w:bookmarkStart w:id="284" w:name="_Toc4578851"/>
      <w:bookmarkStart w:id="285" w:name="_Toc4578855"/>
      <w:bookmarkStart w:id="286" w:name="_Toc16087_WPSOffice_Level2"/>
      <w:bookmarkStart w:id="287" w:name="_Toc5005021"/>
      <w:bookmarkStart w:id="288" w:name="_Toc4659717"/>
      <w:r>
        <w:rPr>
          <w:rFonts w:hint="eastAsia" w:ascii="宋体" w:hAnsi="宋体"/>
          <w:szCs w:val="24"/>
        </w:rPr>
        <w:t>26.成交通知书</w:t>
      </w:r>
      <w:bookmarkEnd w:id="282"/>
      <w:bookmarkEnd w:id="283"/>
      <w:bookmarkEnd w:id="284"/>
    </w:p>
    <w:p>
      <w:pPr>
        <w:tabs>
          <w:tab w:val="left" w:pos="851"/>
        </w:tabs>
        <w:snapToGrid w:val="0"/>
        <w:spacing w:line="360" w:lineRule="auto"/>
        <w:ind w:firstLine="525" w:firstLineChars="250"/>
        <w:rPr>
          <w:rFonts w:ascii="宋体" w:hAnsi="宋体"/>
        </w:rPr>
      </w:pPr>
      <w:bookmarkStart w:id="289" w:name="_Toc4578852"/>
      <w:bookmarkStart w:id="290" w:name="_Toc5005018"/>
      <w:bookmarkStart w:id="291" w:name="_Toc4659714"/>
      <w:r>
        <w:rPr>
          <w:rFonts w:hint="eastAsia" w:ascii="宋体" w:hAnsi="宋体"/>
        </w:rPr>
        <w:t>26.1成交通知书为签订采购合同的依据之一，是合同的有效组成部分。</w:t>
      </w:r>
      <w:bookmarkEnd w:id="289"/>
      <w:bookmarkEnd w:id="290"/>
      <w:bookmarkEnd w:id="291"/>
    </w:p>
    <w:p>
      <w:pPr>
        <w:tabs>
          <w:tab w:val="left" w:pos="851"/>
        </w:tabs>
        <w:snapToGrid w:val="0"/>
        <w:spacing w:line="360" w:lineRule="auto"/>
        <w:ind w:firstLine="525" w:firstLineChars="250"/>
        <w:rPr>
          <w:rFonts w:ascii="宋体" w:hAnsi="宋体"/>
        </w:rPr>
      </w:pPr>
      <w:bookmarkStart w:id="292" w:name="_Toc5005019"/>
      <w:bookmarkStart w:id="293" w:name="_Toc4578853"/>
      <w:bookmarkStart w:id="294" w:name="_Toc4659715"/>
      <w:r>
        <w:rPr>
          <w:rFonts w:hint="eastAsia" w:ascii="宋体" w:hAnsi="宋体"/>
        </w:rPr>
        <w:t>26.2成交通知书对采购人和成交供应商均具有法律效力。成交通知书发出后，采购人无正当理由改变成交结果，或者成交供应商无正当理由放弃成交的，将承担相应的法律责任。</w:t>
      </w:r>
      <w:bookmarkEnd w:id="292"/>
      <w:bookmarkEnd w:id="293"/>
      <w:bookmarkEnd w:id="294"/>
    </w:p>
    <w:p>
      <w:pPr>
        <w:tabs>
          <w:tab w:val="left" w:pos="851"/>
        </w:tabs>
        <w:snapToGrid w:val="0"/>
        <w:spacing w:line="360" w:lineRule="auto"/>
        <w:ind w:firstLine="525" w:firstLineChars="250"/>
        <w:rPr>
          <w:rFonts w:ascii="宋体" w:hAnsi="宋体"/>
        </w:rPr>
      </w:pPr>
      <w:bookmarkStart w:id="295" w:name="_Toc4578854"/>
      <w:bookmarkStart w:id="296" w:name="_Toc4659716"/>
      <w:bookmarkStart w:id="297" w:name="_Toc5005020"/>
      <w:r>
        <w:rPr>
          <w:rFonts w:hint="eastAsia" w:ascii="宋体" w:hAnsi="宋体"/>
        </w:rPr>
        <w:t>26.3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bookmarkEnd w:id="295"/>
      <w:bookmarkEnd w:id="296"/>
      <w:bookmarkEnd w:id="297"/>
    </w:p>
    <w:p>
      <w:pPr>
        <w:pStyle w:val="4"/>
        <w:snapToGrid w:val="0"/>
        <w:spacing w:before="0" w:after="0" w:line="360" w:lineRule="auto"/>
      </w:pPr>
      <w:bookmarkStart w:id="298" w:name="_Toc6939"/>
      <w:bookmarkStart w:id="299" w:name="_Toc3100"/>
      <w:bookmarkStart w:id="300" w:name="_Toc29333"/>
      <w:bookmarkStart w:id="301" w:name="_Toc2893"/>
      <w:bookmarkStart w:id="302" w:name="_Toc25248"/>
      <w:bookmarkStart w:id="303" w:name="_Toc13680"/>
      <w:bookmarkStart w:id="304" w:name="_Toc24272"/>
      <w:bookmarkStart w:id="305" w:name="_Toc5272"/>
      <w:r>
        <w:rPr>
          <w:rFonts w:hint="eastAsia"/>
        </w:rPr>
        <w:t>七、合同事项</w:t>
      </w:r>
      <w:bookmarkEnd w:id="285"/>
      <w:bookmarkEnd w:id="286"/>
      <w:bookmarkEnd w:id="287"/>
      <w:bookmarkEnd w:id="288"/>
      <w:bookmarkEnd w:id="298"/>
      <w:bookmarkEnd w:id="299"/>
      <w:bookmarkEnd w:id="300"/>
      <w:bookmarkEnd w:id="301"/>
      <w:bookmarkEnd w:id="302"/>
      <w:bookmarkEnd w:id="303"/>
      <w:bookmarkEnd w:id="304"/>
      <w:bookmarkEnd w:id="305"/>
    </w:p>
    <w:p>
      <w:pPr>
        <w:pStyle w:val="5"/>
        <w:snapToGrid w:val="0"/>
        <w:spacing w:before="0" w:after="0" w:line="360" w:lineRule="auto"/>
        <w:ind w:firstLine="482" w:firstLineChars="200"/>
        <w:rPr>
          <w:rFonts w:ascii="宋体" w:hAnsi="宋体"/>
          <w:szCs w:val="24"/>
        </w:rPr>
      </w:pPr>
      <w:bookmarkStart w:id="306" w:name="_Toc4659718"/>
      <w:bookmarkStart w:id="307" w:name="_Toc4578856"/>
      <w:bookmarkStart w:id="308" w:name="_Toc430773927"/>
      <w:bookmarkStart w:id="309" w:name="_Toc101174151"/>
      <w:bookmarkStart w:id="310" w:name="_Toc101250646"/>
      <w:bookmarkStart w:id="311" w:name="_Toc101338364"/>
      <w:bookmarkStart w:id="312" w:name="_Toc209847069"/>
      <w:bookmarkStart w:id="313" w:name="_Toc5005022"/>
      <w:r>
        <w:rPr>
          <w:rFonts w:hint="eastAsia" w:ascii="宋体" w:hAnsi="宋体"/>
          <w:szCs w:val="24"/>
        </w:rPr>
        <w:t>27.签订合同</w:t>
      </w:r>
      <w:bookmarkEnd w:id="306"/>
      <w:bookmarkEnd w:id="307"/>
      <w:bookmarkEnd w:id="308"/>
      <w:bookmarkEnd w:id="309"/>
      <w:bookmarkEnd w:id="310"/>
      <w:bookmarkEnd w:id="311"/>
      <w:bookmarkEnd w:id="312"/>
      <w:bookmarkEnd w:id="313"/>
    </w:p>
    <w:p>
      <w:pPr>
        <w:tabs>
          <w:tab w:val="left" w:pos="851"/>
        </w:tabs>
        <w:snapToGrid w:val="0"/>
        <w:spacing w:line="360" w:lineRule="auto"/>
        <w:ind w:firstLine="525" w:firstLineChars="250"/>
        <w:rPr>
          <w:rFonts w:ascii="宋体" w:hAnsi="宋体"/>
        </w:rPr>
      </w:pPr>
      <w:r>
        <w:rPr>
          <w:rFonts w:hint="eastAsia" w:ascii="宋体" w:hAnsi="宋体"/>
        </w:rPr>
        <w:t>27.1 成交供应商应在成交通知书发出之日起三十日内与采购人签订</w:t>
      </w:r>
      <w:r>
        <w:rPr>
          <w:rFonts w:hint="eastAsia" w:ascii="宋体" w:hAnsi="宋体"/>
          <w:lang w:eastAsia="zh-CN"/>
        </w:rPr>
        <w:t>政府</w:t>
      </w:r>
      <w:r>
        <w:rPr>
          <w:rFonts w:hint="eastAsia" w:ascii="宋体" w:hAnsi="宋体"/>
        </w:rPr>
        <w:t>采购合同。由于成交供应商的原因逾期未与采购人签订</w:t>
      </w:r>
      <w:r>
        <w:rPr>
          <w:rFonts w:hint="eastAsia" w:ascii="宋体" w:hAnsi="宋体"/>
          <w:lang w:eastAsia="zh-CN"/>
        </w:rPr>
        <w:t>政府</w:t>
      </w:r>
      <w:r>
        <w:rPr>
          <w:rFonts w:hint="eastAsia" w:ascii="宋体" w:hAnsi="宋体"/>
        </w:rPr>
        <w:t>采购合同的，将视为放弃成交，取消其成交资格并将按相关规定进行处理。</w:t>
      </w:r>
    </w:p>
    <w:p>
      <w:pPr>
        <w:tabs>
          <w:tab w:val="left" w:pos="851"/>
        </w:tabs>
        <w:snapToGrid w:val="0"/>
        <w:spacing w:line="360" w:lineRule="auto"/>
        <w:ind w:firstLine="525" w:firstLineChars="250"/>
        <w:rPr>
          <w:rFonts w:ascii="宋体" w:hAnsi="宋体"/>
        </w:rPr>
      </w:pPr>
      <w:r>
        <w:rPr>
          <w:rFonts w:hint="eastAsia" w:ascii="宋体" w:hAnsi="宋体"/>
        </w:rPr>
        <w:t>27.2 磋商文件、成交供应商的响应文件及双方确认的澄清文件等，均为有法律约束力的合同组成部分。</w:t>
      </w:r>
    </w:p>
    <w:p>
      <w:pPr>
        <w:tabs>
          <w:tab w:val="left" w:pos="851"/>
        </w:tabs>
        <w:snapToGrid w:val="0"/>
        <w:spacing w:line="360" w:lineRule="auto"/>
        <w:ind w:firstLine="525" w:firstLineChars="250"/>
        <w:rPr>
          <w:rFonts w:ascii="宋体" w:hAnsi="宋体"/>
        </w:rPr>
      </w:pPr>
      <w:r>
        <w:rPr>
          <w:rFonts w:hint="eastAsia" w:ascii="宋体" w:hAnsi="宋体"/>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tabs>
          <w:tab w:val="left" w:pos="851"/>
        </w:tabs>
        <w:snapToGrid w:val="0"/>
        <w:spacing w:line="360" w:lineRule="auto"/>
        <w:ind w:firstLine="525" w:firstLineChars="250"/>
        <w:rPr>
          <w:rFonts w:ascii="宋体" w:hAnsi="宋体"/>
        </w:rPr>
      </w:pPr>
      <w:r>
        <w:rPr>
          <w:rFonts w:hint="eastAsia" w:ascii="宋体" w:hAnsi="宋体"/>
        </w:rPr>
        <w:t>27.4 成交供应商因不可抗力原因不能履行</w:t>
      </w:r>
      <w:r>
        <w:rPr>
          <w:rFonts w:hint="eastAsia" w:ascii="宋体" w:hAnsi="宋体"/>
          <w:lang w:eastAsia="zh-CN"/>
        </w:rPr>
        <w:t>政府</w:t>
      </w:r>
      <w:r>
        <w:rPr>
          <w:rFonts w:hint="eastAsia" w:ascii="宋体" w:hAnsi="宋体"/>
        </w:rPr>
        <w:t>采购合同或放弃成交的，采购人可以与排在成交供应商之后第一位的成交候选人签订</w:t>
      </w:r>
      <w:r>
        <w:rPr>
          <w:rFonts w:hint="eastAsia" w:ascii="宋体" w:hAnsi="宋体"/>
          <w:lang w:eastAsia="zh-CN"/>
        </w:rPr>
        <w:t>政府</w:t>
      </w:r>
      <w:r>
        <w:rPr>
          <w:rFonts w:hint="eastAsia" w:ascii="宋体" w:hAnsi="宋体"/>
        </w:rPr>
        <w:t>采购合同，以此类推。</w:t>
      </w:r>
    </w:p>
    <w:p>
      <w:pPr>
        <w:tabs>
          <w:tab w:val="left" w:pos="851"/>
        </w:tabs>
        <w:snapToGrid w:val="0"/>
        <w:spacing w:line="360" w:lineRule="auto"/>
        <w:ind w:firstLine="525" w:firstLineChars="250"/>
        <w:rPr>
          <w:rFonts w:ascii="宋体" w:hAnsi="宋体"/>
        </w:rPr>
      </w:pPr>
      <w:r>
        <w:rPr>
          <w:rFonts w:hint="eastAsia" w:ascii="宋体" w:hAnsi="宋体"/>
        </w:rPr>
        <w:t>27.5竞争性磋商文件、成交供应商提交的响应文件、磋商中的最后报价、成交供应商承诺书、成交通知书等均称为有法律约束力的合同组成内容。</w:t>
      </w:r>
    </w:p>
    <w:p>
      <w:pPr>
        <w:pStyle w:val="5"/>
        <w:snapToGrid w:val="0"/>
        <w:spacing w:before="0" w:after="0" w:line="360" w:lineRule="auto"/>
        <w:ind w:firstLine="482" w:firstLineChars="200"/>
        <w:rPr>
          <w:rFonts w:ascii="宋体" w:hAnsi="宋体"/>
        </w:rPr>
      </w:pPr>
      <w:r>
        <w:rPr>
          <w:rFonts w:hint="eastAsia" w:ascii="宋体" w:hAnsi="宋体"/>
        </w:rPr>
        <w:t>28.合同分包（实质性要求）</w:t>
      </w:r>
    </w:p>
    <w:p>
      <w:pPr>
        <w:tabs>
          <w:tab w:val="left" w:pos="851"/>
        </w:tabs>
        <w:snapToGrid w:val="0"/>
        <w:spacing w:line="360" w:lineRule="auto"/>
        <w:ind w:firstLine="525" w:firstLineChars="250"/>
        <w:rPr>
          <w:rFonts w:ascii="宋体" w:hAnsi="宋体"/>
        </w:rPr>
      </w:pPr>
      <w:r>
        <w:rPr>
          <w:rFonts w:hint="eastAsia" w:ascii="宋体" w:hAnsi="宋体"/>
        </w:rPr>
        <w:t>本项目不允许分包。</w:t>
      </w:r>
    </w:p>
    <w:p>
      <w:pPr>
        <w:pStyle w:val="5"/>
        <w:snapToGrid w:val="0"/>
        <w:spacing w:before="0" w:after="0" w:line="360" w:lineRule="auto"/>
        <w:ind w:firstLine="482" w:firstLineChars="200"/>
        <w:rPr>
          <w:rFonts w:ascii="宋体" w:hAnsi="宋体"/>
        </w:rPr>
      </w:pPr>
      <w:r>
        <w:rPr>
          <w:rFonts w:hint="eastAsia" w:ascii="宋体" w:hAnsi="宋体"/>
        </w:rPr>
        <w:t>29.合同转包（实质性要求）</w:t>
      </w:r>
    </w:p>
    <w:p>
      <w:pPr>
        <w:tabs>
          <w:tab w:val="left" w:pos="851"/>
        </w:tabs>
        <w:snapToGrid w:val="0"/>
        <w:spacing w:line="360" w:lineRule="auto"/>
        <w:ind w:firstLine="525" w:firstLineChars="250"/>
        <w:rPr>
          <w:rFonts w:ascii="宋体" w:hAnsi="宋体"/>
        </w:rPr>
      </w:pPr>
      <w:r>
        <w:rPr>
          <w:rFonts w:hint="eastAsia" w:ascii="宋体" w:hAnsi="宋体"/>
        </w:rPr>
        <w:t>本采购项目严禁成交供应商将任何</w:t>
      </w:r>
      <w:r>
        <w:rPr>
          <w:rFonts w:hint="eastAsia" w:ascii="宋体" w:hAnsi="宋体"/>
          <w:lang w:eastAsia="zh-CN"/>
        </w:rPr>
        <w:t>政府</w:t>
      </w:r>
      <w:r>
        <w:rPr>
          <w:rFonts w:hint="eastAsia" w:ascii="宋体" w:hAnsi="宋体"/>
        </w:rPr>
        <w:t>采购合同义务转包。本项目所称转包，是指成交供应商将</w:t>
      </w:r>
      <w:r>
        <w:rPr>
          <w:rFonts w:hint="eastAsia" w:ascii="宋体" w:hAnsi="宋体"/>
          <w:lang w:eastAsia="zh-CN"/>
        </w:rPr>
        <w:t>政府</w:t>
      </w:r>
      <w:r>
        <w:rPr>
          <w:rFonts w:hint="eastAsia" w:ascii="宋体" w:hAnsi="宋体"/>
        </w:rPr>
        <w:t>采购合同义务转让给第三人，并退出现有采购合同当事人双方的权利义务关系，受让人（即第三人）成为采购合同的另一方当事人的行为。</w:t>
      </w:r>
    </w:p>
    <w:p>
      <w:pPr>
        <w:tabs>
          <w:tab w:val="left" w:pos="851"/>
        </w:tabs>
        <w:snapToGrid w:val="0"/>
        <w:spacing w:line="360" w:lineRule="auto"/>
        <w:ind w:firstLine="525" w:firstLineChars="250"/>
        <w:rPr>
          <w:rFonts w:ascii="宋体" w:hAnsi="宋体"/>
        </w:rPr>
      </w:pPr>
      <w:r>
        <w:rPr>
          <w:rFonts w:hint="eastAsia" w:ascii="宋体" w:hAnsi="宋体"/>
        </w:rPr>
        <w:t>成交供应商转包的，视同拒绝履行</w:t>
      </w:r>
      <w:r>
        <w:rPr>
          <w:rFonts w:hint="eastAsia" w:ascii="宋体" w:hAnsi="宋体"/>
          <w:lang w:eastAsia="zh-CN"/>
        </w:rPr>
        <w:t>政府</w:t>
      </w:r>
      <w:r>
        <w:rPr>
          <w:rFonts w:hint="eastAsia" w:ascii="宋体" w:hAnsi="宋体"/>
        </w:rPr>
        <w:t>采购合同义务，将依法追究法律责任。</w:t>
      </w:r>
    </w:p>
    <w:p>
      <w:pPr>
        <w:pStyle w:val="5"/>
        <w:snapToGrid w:val="0"/>
        <w:spacing w:before="0" w:after="0" w:line="360" w:lineRule="auto"/>
        <w:ind w:firstLine="482" w:firstLineChars="200"/>
        <w:rPr>
          <w:rFonts w:ascii="宋体" w:hAnsi="宋体"/>
        </w:rPr>
      </w:pPr>
      <w:r>
        <w:rPr>
          <w:rFonts w:hint="eastAsia" w:ascii="宋体" w:hAnsi="宋体"/>
        </w:rPr>
        <w:t>30.补充合同</w:t>
      </w:r>
    </w:p>
    <w:p>
      <w:pPr>
        <w:tabs>
          <w:tab w:val="left" w:pos="851"/>
        </w:tabs>
        <w:snapToGrid w:val="0"/>
        <w:spacing w:line="360" w:lineRule="auto"/>
        <w:ind w:firstLine="525" w:firstLineChars="250"/>
        <w:rPr>
          <w:rFonts w:ascii="宋体" w:hAnsi="宋体"/>
        </w:rPr>
      </w:pPr>
      <w:r>
        <w:rPr>
          <w:rFonts w:hint="eastAsia" w:ascii="宋体" w:hAnsi="宋体"/>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w:t>
      </w:r>
      <w:r>
        <w:rPr>
          <w:rFonts w:hint="eastAsia" w:ascii="宋体" w:hAnsi="宋体"/>
          <w:lang w:eastAsia="zh-CN"/>
        </w:rPr>
        <w:t>政府</w:t>
      </w:r>
      <w:r>
        <w:rPr>
          <w:rFonts w:hint="eastAsia" w:ascii="宋体" w:hAnsi="宋体"/>
        </w:rPr>
        <w:t>采购合同履行过程中，不得在原</w:t>
      </w:r>
      <w:r>
        <w:rPr>
          <w:rFonts w:hint="eastAsia" w:ascii="宋体" w:hAnsi="宋体"/>
          <w:lang w:eastAsia="zh-CN"/>
        </w:rPr>
        <w:t>政府</w:t>
      </w:r>
      <w:r>
        <w:rPr>
          <w:rFonts w:hint="eastAsia" w:ascii="宋体" w:hAnsi="宋体"/>
        </w:rPr>
        <w:t>采购合同履行结束后，且采购货物、工程和服务的名称、价格、履约方式、验收标准等必须与原</w:t>
      </w:r>
      <w:r>
        <w:rPr>
          <w:rFonts w:hint="eastAsia" w:ascii="宋体" w:hAnsi="宋体"/>
          <w:lang w:eastAsia="zh-CN"/>
        </w:rPr>
        <w:t>政府</w:t>
      </w:r>
      <w:r>
        <w:rPr>
          <w:rFonts w:hint="eastAsia" w:ascii="宋体" w:hAnsi="宋体"/>
        </w:rPr>
        <w:t>采购合同一致。</w:t>
      </w:r>
    </w:p>
    <w:p>
      <w:pPr>
        <w:pStyle w:val="5"/>
        <w:snapToGrid w:val="0"/>
        <w:spacing w:before="0" w:after="0" w:line="360" w:lineRule="auto"/>
        <w:ind w:firstLine="482" w:firstLineChars="200"/>
        <w:rPr>
          <w:rFonts w:ascii="宋体" w:hAnsi="宋体"/>
        </w:rPr>
      </w:pPr>
      <w:r>
        <w:rPr>
          <w:rFonts w:hint="eastAsia" w:ascii="宋体" w:hAnsi="宋体"/>
        </w:rPr>
        <w:t>31.履约保证金</w:t>
      </w:r>
    </w:p>
    <w:p>
      <w:pPr>
        <w:tabs>
          <w:tab w:val="left" w:pos="851"/>
        </w:tabs>
        <w:snapToGrid w:val="0"/>
        <w:spacing w:line="360" w:lineRule="auto"/>
        <w:ind w:firstLine="525" w:firstLineChars="250"/>
        <w:rPr>
          <w:rFonts w:ascii="宋体" w:hAnsi="宋体"/>
        </w:rPr>
      </w:pPr>
      <w:r>
        <w:rPr>
          <w:rFonts w:hint="eastAsia" w:ascii="宋体" w:hAnsi="宋体"/>
        </w:rPr>
        <w:t>按照川财采[2020]28号文要求，本项目不收取履约保证金。</w:t>
      </w:r>
    </w:p>
    <w:p>
      <w:pPr>
        <w:pStyle w:val="5"/>
        <w:snapToGrid w:val="0"/>
        <w:spacing w:before="0" w:after="0" w:line="360" w:lineRule="auto"/>
        <w:ind w:firstLine="482" w:firstLineChars="200"/>
        <w:rPr>
          <w:rFonts w:ascii="宋体" w:hAnsi="宋体"/>
        </w:rPr>
      </w:pPr>
      <w:r>
        <w:rPr>
          <w:rFonts w:hint="eastAsia" w:ascii="宋体" w:hAnsi="宋体"/>
        </w:rPr>
        <w:t>32.合同公告</w:t>
      </w:r>
    </w:p>
    <w:p>
      <w:pPr>
        <w:pStyle w:val="5"/>
        <w:snapToGrid w:val="0"/>
        <w:spacing w:before="0" w:after="0" w:line="360" w:lineRule="auto"/>
        <w:ind w:firstLine="420" w:firstLineChars="200"/>
        <w:rPr>
          <w:rFonts w:ascii="宋体" w:hAnsi="宋体"/>
          <w:b w:val="0"/>
          <w:bCs w:val="0"/>
          <w:sz w:val="21"/>
          <w:szCs w:val="24"/>
        </w:rPr>
      </w:pPr>
      <w:r>
        <w:rPr>
          <w:rFonts w:hint="eastAsia" w:ascii="宋体" w:hAnsi="宋体"/>
          <w:b w:val="0"/>
          <w:bCs w:val="0"/>
          <w:sz w:val="21"/>
          <w:szCs w:val="24"/>
        </w:rPr>
        <w:t>采购人应当自政府采购合同签订（双方当事人均已签字盖章）之日起2个工作日内，将政府采购合同在四川政府采购网上公告，但政府采购合同中涉及国家秘密、商业秘密的内容除外。</w:t>
      </w:r>
    </w:p>
    <w:p>
      <w:pPr>
        <w:pStyle w:val="5"/>
        <w:snapToGrid w:val="0"/>
        <w:spacing w:before="0" w:after="0" w:line="360" w:lineRule="auto"/>
        <w:ind w:firstLine="482" w:firstLineChars="200"/>
        <w:rPr>
          <w:rFonts w:ascii="宋体" w:hAnsi="宋体"/>
        </w:rPr>
      </w:pPr>
      <w:r>
        <w:rPr>
          <w:rFonts w:hint="eastAsia" w:ascii="宋体" w:hAnsi="宋体"/>
        </w:rPr>
        <w:t>33.合同备案</w:t>
      </w:r>
    </w:p>
    <w:p>
      <w:pPr>
        <w:pStyle w:val="5"/>
        <w:snapToGrid w:val="0"/>
        <w:spacing w:before="0" w:after="0" w:line="360" w:lineRule="auto"/>
        <w:ind w:firstLine="420" w:firstLineChars="200"/>
        <w:rPr>
          <w:rFonts w:ascii="宋体" w:hAnsi="宋体"/>
          <w:b w:val="0"/>
          <w:bCs w:val="0"/>
          <w:sz w:val="21"/>
          <w:szCs w:val="24"/>
        </w:rPr>
      </w:pPr>
      <w:r>
        <w:rPr>
          <w:rFonts w:hint="eastAsia" w:ascii="宋体" w:hAnsi="宋体"/>
          <w:b w:val="0"/>
          <w:bCs w:val="0"/>
          <w:sz w:val="21"/>
          <w:szCs w:val="24"/>
        </w:rPr>
        <w:t>采购人应当将政府采购合同副本自签订（双方当事人均已签字盖章）之日起七个工作日内通过四川政府采购网报同级财政部门备案。</w:t>
      </w:r>
    </w:p>
    <w:p>
      <w:pPr>
        <w:pStyle w:val="5"/>
        <w:snapToGrid w:val="0"/>
        <w:spacing w:before="0" w:after="0" w:line="360" w:lineRule="auto"/>
        <w:ind w:firstLine="482" w:firstLineChars="200"/>
        <w:rPr>
          <w:rFonts w:ascii="宋体" w:hAnsi="宋体"/>
        </w:rPr>
      </w:pPr>
      <w:r>
        <w:rPr>
          <w:rFonts w:hint="eastAsia" w:ascii="宋体" w:hAnsi="宋体"/>
        </w:rPr>
        <w:t>33.履行合同</w:t>
      </w:r>
    </w:p>
    <w:p>
      <w:pPr>
        <w:tabs>
          <w:tab w:val="left" w:pos="851"/>
        </w:tabs>
        <w:snapToGrid w:val="0"/>
        <w:spacing w:line="360" w:lineRule="auto"/>
        <w:ind w:firstLine="525" w:firstLineChars="250"/>
        <w:rPr>
          <w:rFonts w:ascii="宋体" w:hAnsi="宋体"/>
        </w:rPr>
      </w:pPr>
      <w:r>
        <w:rPr>
          <w:rFonts w:hint="eastAsia" w:ascii="宋体" w:hAnsi="宋体"/>
        </w:rPr>
        <w:t>33.1 成交供应商与采购人签订合同后，合同双方应严格执行合同条款，履行合同规定的义务，保证合同的顺利完成。</w:t>
      </w:r>
    </w:p>
    <w:p>
      <w:pPr>
        <w:tabs>
          <w:tab w:val="left" w:pos="851"/>
        </w:tabs>
        <w:snapToGrid w:val="0"/>
        <w:spacing w:line="360" w:lineRule="auto"/>
        <w:ind w:firstLine="525" w:firstLineChars="250"/>
        <w:rPr>
          <w:rFonts w:ascii="宋体" w:hAnsi="宋体"/>
        </w:rPr>
      </w:pPr>
      <w:r>
        <w:rPr>
          <w:rFonts w:hint="eastAsia" w:ascii="宋体" w:hAnsi="宋体"/>
        </w:rPr>
        <w:t>33.2 在合同履行过程中，如发生合同纠纷，合同双方应按照《民法典》的有关规定进行处理。</w:t>
      </w:r>
    </w:p>
    <w:p>
      <w:pPr>
        <w:pStyle w:val="5"/>
        <w:snapToGrid w:val="0"/>
        <w:spacing w:before="0" w:after="0" w:line="360" w:lineRule="auto"/>
        <w:ind w:firstLine="482" w:firstLineChars="200"/>
        <w:rPr>
          <w:rFonts w:ascii="宋体" w:hAnsi="宋体"/>
        </w:rPr>
      </w:pPr>
      <w:r>
        <w:rPr>
          <w:rFonts w:hint="eastAsia" w:ascii="宋体" w:hAnsi="宋体"/>
        </w:rPr>
        <w:t>34.验收</w:t>
      </w:r>
    </w:p>
    <w:p>
      <w:pPr>
        <w:pStyle w:val="113"/>
        <w:wordWrap/>
        <w:spacing w:line="360" w:lineRule="auto"/>
        <w:ind w:firstLine="420"/>
        <w:rPr>
          <w:rFonts w:ascii="宋体" w:hAnsi="宋体"/>
          <w:highlight w:val="none"/>
        </w:rPr>
      </w:pPr>
      <w:r>
        <w:rPr>
          <w:rFonts w:hint="eastAsia" w:ascii="宋体" w:hAnsi="宋体"/>
          <w:highlight w:val="none"/>
        </w:rPr>
        <w:t>34.1参照《财政部关于进一步加强政府采购需求和履约验收管理的指导意见》(财库〔2016〕205号)进行验收。</w:t>
      </w:r>
    </w:p>
    <w:p>
      <w:pPr>
        <w:tabs>
          <w:tab w:val="left" w:pos="851"/>
        </w:tabs>
        <w:snapToGrid w:val="0"/>
        <w:spacing w:line="360" w:lineRule="auto"/>
        <w:ind w:firstLine="525" w:firstLineChars="250"/>
        <w:rPr>
          <w:rFonts w:ascii="宋体" w:hAnsi="宋体"/>
        </w:rPr>
      </w:pPr>
      <w:r>
        <w:rPr>
          <w:rFonts w:hint="eastAsia" w:ascii="宋体" w:hAnsi="宋体"/>
        </w:rPr>
        <w:t>34.2 验收结果合格的，成交供应商凭验收报告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pStyle w:val="5"/>
        <w:snapToGrid w:val="0"/>
        <w:spacing w:before="0" w:after="0" w:line="360" w:lineRule="auto"/>
        <w:ind w:firstLine="482" w:firstLineChars="200"/>
        <w:rPr>
          <w:rFonts w:ascii="宋体" w:hAnsi="宋体"/>
        </w:rPr>
      </w:pPr>
      <w:r>
        <w:rPr>
          <w:rFonts w:hint="eastAsia" w:ascii="宋体" w:hAnsi="宋体"/>
        </w:rPr>
        <w:t>35.资金支付</w:t>
      </w:r>
    </w:p>
    <w:p>
      <w:pPr>
        <w:tabs>
          <w:tab w:val="left" w:pos="851"/>
        </w:tabs>
        <w:snapToGrid w:val="0"/>
        <w:spacing w:line="360" w:lineRule="auto"/>
        <w:ind w:firstLine="525" w:firstLineChars="250"/>
        <w:rPr>
          <w:rFonts w:ascii="宋体" w:hAnsi="宋体"/>
        </w:rPr>
      </w:pPr>
      <w:r>
        <w:rPr>
          <w:rFonts w:hint="eastAsia" w:ascii="宋体" w:hAnsi="宋体"/>
        </w:rPr>
        <w:t>采购人将按照</w:t>
      </w:r>
      <w:r>
        <w:rPr>
          <w:rFonts w:hint="eastAsia" w:ascii="宋体" w:hAnsi="宋体"/>
          <w:lang w:eastAsia="zh-CN"/>
        </w:rPr>
        <w:t>政府</w:t>
      </w:r>
      <w:r>
        <w:rPr>
          <w:rFonts w:hint="eastAsia" w:ascii="宋体" w:hAnsi="宋体"/>
        </w:rPr>
        <w:t>采购合同规定，及时向成交供应商支付采购资金。本项目采购资金付款详见第五章或第九章规定的付款方式。</w:t>
      </w:r>
      <w:bookmarkEnd w:id="135"/>
    </w:p>
    <w:p>
      <w:pPr>
        <w:pStyle w:val="4"/>
        <w:snapToGrid w:val="0"/>
        <w:spacing w:before="0" w:after="0" w:line="360" w:lineRule="auto"/>
      </w:pPr>
      <w:bookmarkStart w:id="314" w:name="_Toc13780"/>
      <w:bookmarkStart w:id="315" w:name="_Toc18379"/>
      <w:bookmarkStart w:id="316" w:name="_Toc3581_WPSOffice_Level2"/>
      <w:bookmarkStart w:id="317" w:name="_Toc4659719"/>
      <w:bookmarkStart w:id="318" w:name="_Toc1353"/>
      <w:bookmarkStart w:id="319" w:name="_Toc4578857"/>
      <w:bookmarkStart w:id="320" w:name="_Toc14198"/>
      <w:bookmarkStart w:id="321" w:name="_Toc5005023"/>
      <w:bookmarkStart w:id="322" w:name="_Toc29571"/>
      <w:bookmarkStart w:id="323" w:name="_Toc3943"/>
      <w:bookmarkStart w:id="324" w:name="_Toc9730"/>
      <w:bookmarkStart w:id="325" w:name="_Toc22915"/>
      <w:bookmarkStart w:id="326" w:name="PO_默认文件内容_25"/>
      <w:r>
        <w:rPr>
          <w:rFonts w:hint="eastAsia"/>
        </w:rPr>
        <w:t>八、磋商纪律要求</w:t>
      </w:r>
      <w:bookmarkEnd w:id="314"/>
      <w:bookmarkEnd w:id="315"/>
      <w:bookmarkEnd w:id="316"/>
      <w:bookmarkEnd w:id="317"/>
      <w:bookmarkEnd w:id="318"/>
      <w:bookmarkEnd w:id="319"/>
      <w:bookmarkEnd w:id="320"/>
      <w:bookmarkEnd w:id="321"/>
      <w:bookmarkEnd w:id="322"/>
      <w:bookmarkEnd w:id="323"/>
      <w:bookmarkEnd w:id="324"/>
      <w:bookmarkEnd w:id="325"/>
    </w:p>
    <w:p>
      <w:pPr>
        <w:pStyle w:val="5"/>
        <w:snapToGrid w:val="0"/>
        <w:spacing w:before="0" w:after="0" w:line="360" w:lineRule="auto"/>
        <w:ind w:firstLine="482" w:firstLineChars="200"/>
        <w:rPr>
          <w:rFonts w:ascii="宋体" w:hAnsi="宋体"/>
        </w:rPr>
      </w:pPr>
      <w:r>
        <w:rPr>
          <w:rFonts w:hint="eastAsia" w:ascii="宋体" w:hAnsi="宋体"/>
        </w:rPr>
        <w:t>36.供应商不得具有的情形</w:t>
      </w:r>
    </w:p>
    <w:p>
      <w:pPr>
        <w:tabs>
          <w:tab w:val="left" w:pos="851"/>
        </w:tabs>
        <w:snapToGrid w:val="0"/>
        <w:spacing w:line="360" w:lineRule="auto"/>
        <w:ind w:firstLine="525" w:firstLineChars="250"/>
        <w:rPr>
          <w:rFonts w:ascii="宋体" w:hAnsi="宋体"/>
        </w:rPr>
      </w:pPr>
      <w:r>
        <w:rPr>
          <w:rFonts w:hint="eastAsia" w:ascii="宋体" w:hAnsi="宋体"/>
        </w:rPr>
        <w:t>供应商参加本项目磋商不得有下列情形：</w:t>
      </w:r>
    </w:p>
    <w:p>
      <w:pPr>
        <w:tabs>
          <w:tab w:val="left" w:pos="851"/>
        </w:tabs>
        <w:snapToGrid w:val="0"/>
        <w:spacing w:line="360" w:lineRule="auto"/>
        <w:ind w:firstLine="525" w:firstLineChars="250"/>
        <w:rPr>
          <w:rFonts w:hint="eastAsia" w:ascii="宋体" w:hAnsi="宋体"/>
        </w:rPr>
      </w:pPr>
      <w:r>
        <w:rPr>
          <w:rFonts w:hint="eastAsia" w:ascii="宋体" w:hAnsi="宋体"/>
        </w:rPr>
        <w:t>（1）提供虚假材料谋取成交；</w:t>
      </w:r>
    </w:p>
    <w:p>
      <w:pPr>
        <w:tabs>
          <w:tab w:val="left" w:pos="851"/>
        </w:tabs>
        <w:snapToGrid w:val="0"/>
        <w:spacing w:line="360" w:lineRule="auto"/>
        <w:ind w:firstLine="525" w:firstLineChars="250"/>
        <w:rPr>
          <w:rFonts w:hint="eastAsia" w:ascii="宋体" w:hAnsi="宋体"/>
        </w:rPr>
      </w:pPr>
      <w:r>
        <w:rPr>
          <w:rFonts w:hint="eastAsia" w:ascii="宋体" w:hAnsi="宋体"/>
        </w:rPr>
        <w:t>（2）采取不正当手段诋毁、排挤其他供应商；</w:t>
      </w:r>
    </w:p>
    <w:p>
      <w:pPr>
        <w:tabs>
          <w:tab w:val="left" w:pos="851"/>
        </w:tabs>
        <w:snapToGrid w:val="0"/>
        <w:spacing w:line="360" w:lineRule="auto"/>
        <w:ind w:firstLine="525" w:firstLineChars="250"/>
        <w:rPr>
          <w:rFonts w:hint="eastAsia" w:ascii="宋体" w:hAnsi="宋体"/>
        </w:rPr>
      </w:pPr>
      <w:r>
        <w:rPr>
          <w:rFonts w:hint="eastAsia" w:ascii="宋体" w:hAnsi="宋体"/>
        </w:rPr>
        <w:t>（3）与采购人、采购代理机构、或其他供应商恶意串通；</w:t>
      </w:r>
    </w:p>
    <w:p>
      <w:pPr>
        <w:tabs>
          <w:tab w:val="left" w:pos="851"/>
        </w:tabs>
        <w:snapToGrid w:val="0"/>
        <w:spacing w:line="360" w:lineRule="auto"/>
        <w:ind w:firstLine="525" w:firstLineChars="250"/>
        <w:rPr>
          <w:rFonts w:hint="eastAsia" w:ascii="宋体" w:hAnsi="宋体"/>
        </w:rPr>
      </w:pPr>
      <w:r>
        <w:rPr>
          <w:rFonts w:hint="eastAsia" w:ascii="宋体" w:hAnsi="宋体"/>
        </w:rPr>
        <w:t>（4）向采购人、采购代理机构、磋商小组成员行贿或者提供其他不正当利益；</w:t>
      </w:r>
    </w:p>
    <w:p>
      <w:pPr>
        <w:tabs>
          <w:tab w:val="left" w:pos="851"/>
        </w:tabs>
        <w:snapToGrid w:val="0"/>
        <w:spacing w:line="360" w:lineRule="auto"/>
        <w:ind w:firstLine="525" w:firstLineChars="250"/>
        <w:rPr>
          <w:rFonts w:hint="eastAsia" w:ascii="宋体" w:hAnsi="宋体"/>
        </w:rPr>
      </w:pPr>
      <w:r>
        <w:rPr>
          <w:rFonts w:hint="eastAsia" w:ascii="宋体" w:hAnsi="宋体"/>
        </w:rPr>
        <w:t>（5）在磋商过程中与采购人、采购代理机构进行协商；</w:t>
      </w:r>
    </w:p>
    <w:p>
      <w:pPr>
        <w:tabs>
          <w:tab w:val="left" w:pos="851"/>
        </w:tabs>
        <w:snapToGrid w:val="0"/>
        <w:spacing w:line="360" w:lineRule="auto"/>
        <w:ind w:firstLine="525" w:firstLineChars="250"/>
        <w:rPr>
          <w:rFonts w:hint="eastAsia" w:ascii="宋体" w:hAnsi="宋体"/>
        </w:rPr>
      </w:pPr>
      <w:r>
        <w:rPr>
          <w:rFonts w:hint="eastAsia" w:ascii="宋体" w:hAnsi="宋体"/>
        </w:rPr>
        <w:t>（6）成交后无正当理由拒不与采购人签订政府采购合同；</w:t>
      </w:r>
    </w:p>
    <w:p>
      <w:pPr>
        <w:tabs>
          <w:tab w:val="left" w:pos="851"/>
        </w:tabs>
        <w:snapToGrid w:val="0"/>
        <w:spacing w:line="360" w:lineRule="auto"/>
        <w:ind w:firstLine="525" w:firstLineChars="250"/>
        <w:rPr>
          <w:rFonts w:hint="eastAsia" w:ascii="宋体" w:hAnsi="宋体"/>
        </w:rPr>
      </w:pPr>
      <w:r>
        <w:rPr>
          <w:rFonts w:hint="eastAsia" w:ascii="宋体" w:hAnsi="宋体"/>
        </w:rPr>
        <w:t>（7）未按照磋商文件确定的事项签订政府采购合同；</w:t>
      </w:r>
    </w:p>
    <w:p>
      <w:pPr>
        <w:tabs>
          <w:tab w:val="left" w:pos="851"/>
        </w:tabs>
        <w:snapToGrid w:val="0"/>
        <w:spacing w:line="360" w:lineRule="auto"/>
        <w:ind w:firstLine="525" w:firstLineChars="250"/>
        <w:rPr>
          <w:rFonts w:hint="eastAsia" w:ascii="宋体" w:hAnsi="宋体"/>
        </w:rPr>
      </w:pPr>
      <w:r>
        <w:rPr>
          <w:rFonts w:hint="eastAsia" w:ascii="宋体" w:hAnsi="宋体"/>
        </w:rPr>
        <w:t>（8）将政府采购合同转包或者违规分包；</w:t>
      </w:r>
    </w:p>
    <w:p>
      <w:pPr>
        <w:tabs>
          <w:tab w:val="left" w:pos="851"/>
        </w:tabs>
        <w:snapToGrid w:val="0"/>
        <w:spacing w:line="360" w:lineRule="auto"/>
        <w:ind w:firstLine="525" w:firstLineChars="250"/>
        <w:rPr>
          <w:rFonts w:hint="eastAsia" w:ascii="宋体" w:hAnsi="宋体"/>
        </w:rPr>
      </w:pPr>
      <w:r>
        <w:rPr>
          <w:rFonts w:hint="eastAsia" w:ascii="宋体" w:hAnsi="宋体"/>
        </w:rPr>
        <w:t>（9）提供假冒伪劣产品；</w:t>
      </w:r>
    </w:p>
    <w:p>
      <w:pPr>
        <w:tabs>
          <w:tab w:val="left" w:pos="851"/>
        </w:tabs>
        <w:snapToGrid w:val="0"/>
        <w:spacing w:line="360" w:lineRule="auto"/>
        <w:ind w:firstLine="525" w:firstLineChars="250"/>
        <w:rPr>
          <w:rFonts w:hint="eastAsia" w:ascii="宋体" w:hAnsi="宋体"/>
        </w:rPr>
      </w:pPr>
      <w:r>
        <w:rPr>
          <w:rFonts w:hint="eastAsia" w:ascii="宋体" w:hAnsi="宋体"/>
        </w:rPr>
        <w:t>（10）擅自变更、中止或者终止政府采购合同；</w:t>
      </w:r>
    </w:p>
    <w:p>
      <w:pPr>
        <w:tabs>
          <w:tab w:val="left" w:pos="851"/>
        </w:tabs>
        <w:snapToGrid w:val="0"/>
        <w:spacing w:line="360" w:lineRule="auto"/>
        <w:ind w:firstLine="525" w:firstLineChars="250"/>
        <w:rPr>
          <w:rFonts w:hint="eastAsia" w:ascii="宋体" w:hAnsi="宋体"/>
        </w:rPr>
      </w:pPr>
      <w:r>
        <w:rPr>
          <w:rFonts w:hint="eastAsia" w:ascii="宋体" w:hAnsi="宋体"/>
        </w:rPr>
        <w:t>（11）拒绝有关部门的监督检查或者向监督检查部门提供虚假情况；</w:t>
      </w:r>
    </w:p>
    <w:p>
      <w:pPr>
        <w:tabs>
          <w:tab w:val="left" w:pos="851"/>
        </w:tabs>
        <w:snapToGrid w:val="0"/>
        <w:spacing w:line="360" w:lineRule="auto"/>
        <w:ind w:firstLine="525" w:firstLineChars="250"/>
        <w:rPr>
          <w:rFonts w:hint="eastAsia" w:ascii="宋体" w:hAnsi="宋体"/>
        </w:rPr>
      </w:pPr>
      <w:r>
        <w:rPr>
          <w:rFonts w:hint="eastAsia" w:ascii="宋体" w:hAnsi="宋体"/>
        </w:rPr>
        <w:t>（12）法律法规规定的其他情形。</w:t>
      </w:r>
    </w:p>
    <w:p>
      <w:pPr>
        <w:tabs>
          <w:tab w:val="left" w:pos="851"/>
        </w:tabs>
        <w:ind w:firstLine="525" w:firstLineChars="250"/>
        <w:rPr>
          <w:rFonts w:hint="eastAsia"/>
        </w:rPr>
      </w:pPr>
      <w:r>
        <w:rPr>
          <w:rFonts w:hint="eastAsia" w:ascii="宋体" w:hAnsi="宋体"/>
        </w:rPr>
        <w:t>供应商有上述情形的，按照规定追究法律责任，具备（1）-（10）条情形之一的，同时将取消被确认为成交供应商的资格或者认定成交无效。</w:t>
      </w:r>
      <w:bookmarkStart w:id="327" w:name="_Toc25014"/>
      <w:bookmarkStart w:id="328" w:name="_Toc2599"/>
      <w:bookmarkStart w:id="329" w:name="_Toc5479"/>
      <w:bookmarkStart w:id="330" w:name="_Toc17512_WPSOffice_Level2"/>
      <w:bookmarkStart w:id="331" w:name="_Toc18680"/>
      <w:bookmarkStart w:id="332" w:name="_Toc2625"/>
    </w:p>
    <w:p>
      <w:pPr>
        <w:pStyle w:val="4"/>
        <w:rPr>
          <w:rFonts w:hint="eastAsia" w:cs="Times New Roman"/>
        </w:rPr>
      </w:pPr>
      <w:bookmarkStart w:id="333" w:name="_Toc30960"/>
      <w:bookmarkStart w:id="334" w:name="_Toc14397"/>
      <w:bookmarkStart w:id="335" w:name="_Toc502"/>
      <w:r>
        <w:rPr>
          <w:rFonts w:hint="eastAsia" w:cs="Times New Roman"/>
          <w:lang w:eastAsia="zh-CN"/>
        </w:rPr>
        <w:t>九、</w:t>
      </w:r>
      <w:r>
        <w:rPr>
          <w:rFonts w:hint="eastAsia" w:cs="Times New Roman"/>
        </w:rPr>
        <w:t>询问、质疑和投诉</w:t>
      </w:r>
      <w:bookmarkEnd w:id="327"/>
      <w:bookmarkEnd w:id="328"/>
      <w:bookmarkEnd w:id="329"/>
      <w:bookmarkEnd w:id="330"/>
      <w:bookmarkEnd w:id="331"/>
      <w:bookmarkEnd w:id="332"/>
      <w:bookmarkEnd w:id="333"/>
      <w:bookmarkEnd w:id="334"/>
      <w:bookmarkEnd w:id="335"/>
    </w:p>
    <w:p>
      <w:pPr>
        <w:tabs>
          <w:tab w:val="left" w:pos="851"/>
        </w:tabs>
        <w:spacing w:line="360" w:lineRule="auto"/>
        <w:ind w:firstLine="525" w:firstLineChars="250"/>
        <w:rPr>
          <w:rFonts w:hint="eastAsia" w:ascii="宋体" w:hAnsi="宋体" w:cs="Times New Roman"/>
          <w:b w:val="0"/>
          <w:bCs w:val="0"/>
          <w:sz w:val="21"/>
          <w:szCs w:val="24"/>
        </w:rPr>
      </w:pPr>
      <w:r>
        <w:rPr>
          <w:rFonts w:hint="eastAsia" w:ascii="宋体" w:hAnsi="宋体" w:cs="Times New Roman"/>
          <w:b w:val="0"/>
          <w:bCs w:val="0"/>
          <w:sz w:val="21"/>
          <w:szCs w:val="24"/>
        </w:rPr>
        <w:t>37.询问、质疑、投诉的接收和处理严格按照《中华人民共和国政府采购法》、《中华人民共和国政府采购法实施条例》、《财政部关于加强政府采购供应商投诉受理审查工作的通知》、《政府采购质疑和投诉办法》和四川省的有关规定办理（详细规定请在四川政府采购网政策法规模块查询）。</w:t>
      </w:r>
    </w:p>
    <w:p>
      <w:pPr>
        <w:pStyle w:val="4"/>
        <w:snapToGrid w:val="0"/>
        <w:spacing w:before="0" w:after="0" w:line="360" w:lineRule="auto"/>
      </w:pPr>
      <w:bookmarkStart w:id="336" w:name="_Toc30002"/>
      <w:bookmarkStart w:id="337" w:name="_Toc25667_WPSOffice_Level2"/>
      <w:bookmarkStart w:id="338" w:name="_Toc9672"/>
      <w:bookmarkStart w:id="339" w:name="_Toc3779"/>
      <w:bookmarkStart w:id="340" w:name="_Toc6370"/>
      <w:bookmarkStart w:id="341" w:name="_Toc13777"/>
      <w:bookmarkStart w:id="342" w:name="_Toc14675"/>
      <w:bookmarkStart w:id="343" w:name="_Toc9157"/>
      <w:bookmarkStart w:id="344" w:name="_Toc20301"/>
      <w:r>
        <w:rPr>
          <w:rFonts w:hint="eastAsia"/>
        </w:rPr>
        <w:t>十、其  他</w:t>
      </w:r>
      <w:bookmarkEnd w:id="336"/>
      <w:bookmarkEnd w:id="337"/>
      <w:bookmarkEnd w:id="338"/>
      <w:bookmarkEnd w:id="339"/>
      <w:bookmarkEnd w:id="340"/>
      <w:bookmarkEnd w:id="341"/>
      <w:bookmarkEnd w:id="342"/>
      <w:bookmarkEnd w:id="343"/>
      <w:bookmarkEnd w:id="344"/>
    </w:p>
    <w:p>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38.</w:t>
      </w:r>
      <w:bookmarkEnd w:id="326"/>
      <w:bookmarkStart w:id="345" w:name="_Toc511206477"/>
      <w:bookmarkStart w:id="346" w:name="_Toc20380"/>
      <w:bookmarkStart w:id="347" w:name="_Toc71_WPSOffice_Level1"/>
      <w:bookmarkStart w:id="348" w:name="_Toc5005024"/>
      <w:bookmarkStart w:id="349" w:name="PO_默认文件内容_26"/>
      <w:r>
        <w:rPr>
          <w:rFonts w:hint="eastAsia" w:ascii="宋体" w:hAnsi="宋体" w:eastAsia="宋体" w:cs="宋体"/>
          <w:b w:val="0"/>
          <w:bCs w:val="0"/>
          <w:sz w:val="21"/>
          <w:szCs w:val="21"/>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adjustRightInd w:val="0"/>
        <w:snapToGrid w:val="0"/>
        <w:spacing w:line="420" w:lineRule="atLeast"/>
        <w:ind w:firstLine="420" w:firstLineChars="200"/>
        <w:jc w:val="left"/>
        <w:rPr>
          <w:rStyle w:val="107"/>
          <w:rFonts w:hint="eastAsia" w:ascii="宋体" w:hAnsi="宋体" w:eastAsia="宋体" w:cs="宋体"/>
          <w:color w:val="auto"/>
          <w:sz w:val="21"/>
          <w:szCs w:val="21"/>
          <w:highlight w:val="none"/>
          <w:lang w:eastAsia="zh-CN"/>
        </w:rPr>
      </w:pPr>
      <w:r>
        <w:rPr>
          <w:rStyle w:val="107"/>
          <w:rFonts w:hint="eastAsia" w:ascii="宋体" w:hAnsi="宋体" w:eastAsia="宋体" w:cs="宋体"/>
          <w:color w:val="auto"/>
          <w:sz w:val="21"/>
          <w:szCs w:val="21"/>
          <w:highlight w:val="none"/>
          <w:lang w:val="en-US" w:eastAsia="zh-CN"/>
        </w:rPr>
        <w:t>39</w:t>
      </w:r>
      <w:r>
        <w:rPr>
          <w:rStyle w:val="107"/>
          <w:rFonts w:hint="eastAsia" w:ascii="宋体" w:hAnsi="宋体" w:eastAsia="宋体" w:cs="宋体"/>
          <w:color w:val="auto"/>
          <w:sz w:val="21"/>
          <w:szCs w:val="21"/>
          <w:highlight w:val="none"/>
        </w:rPr>
        <w:t>.</w:t>
      </w:r>
      <w:r>
        <w:rPr>
          <w:rStyle w:val="107"/>
          <w:rFonts w:hint="eastAsia" w:ascii="宋体" w:hAnsi="宋体" w:eastAsia="宋体" w:cs="宋体"/>
          <w:b/>
          <w:color w:val="auto"/>
          <w:sz w:val="21"/>
          <w:szCs w:val="21"/>
          <w:highlight w:val="none"/>
        </w:rPr>
        <w:t>（实质性要求）</w:t>
      </w:r>
      <w:r>
        <w:rPr>
          <w:rStyle w:val="107"/>
          <w:rFonts w:hint="eastAsia" w:ascii="宋体" w:hAnsi="宋体" w:eastAsia="宋体" w:cs="宋体"/>
          <w:color w:val="auto"/>
          <w:szCs w:val="21"/>
          <w:highlight w:val="none"/>
        </w:rPr>
        <w:t>在本次递交磋商文件之前一周年内，供应商本次磋商中对同一品牌同一型号的产品报价与其在中国境内其他地方的最低报价相比不得高于15%。</w:t>
      </w:r>
      <w:r>
        <w:rPr>
          <w:rStyle w:val="107"/>
          <w:rFonts w:hint="eastAsia" w:ascii="宋体" w:hAnsi="宋体" w:eastAsia="宋体" w:cs="宋体"/>
          <w:b/>
          <w:bCs/>
          <w:color w:val="auto"/>
          <w:szCs w:val="21"/>
          <w:highlight w:val="none"/>
          <w:lang w:eastAsia="zh-CN"/>
        </w:rPr>
        <w:t>（本项目不适用）</w:t>
      </w:r>
    </w:p>
    <w:p>
      <w:pPr>
        <w:adjustRightInd w:val="0"/>
        <w:snapToGrid w:val="0"/>
        <w:spacing w:line="420" w:lineRule="atLeast"/>
        <w:ind w:firstLine="420" w:firstLineChars="200"/>
        <w:jc w:val="left"/>
        <w:rPr>
          <w:rStyle w:val="107"/>
          <w:rFonts w:hint="eastAsia" w:ascii="宋体" w:hAnsi="宋体" w:eastAsia="宋体" w:cs="宋体"/>
          <w:color w:val="auto"/>
          <w:szCs w:val="21"/>
          <w:highlight w:val="none"/>
        </w:rPr>
        <w:sectPr>
          <w:footerReference r:id="rId4" w:type="default"/>
          <w:pgSz w:w="11907" w:h="16840"/>
          <w:pgMar w:top="1134" w:right="1134" w:bottom="1134" w:left="1134" w:header="851" w:footer="850" w:gutter="0"/>
          <w:pgNumType w:fmt="decimal" w:start="1"/>
          <w:cols w:space="0" w:num="1"/>
          <w:docGrid w:type="lines" w:linePitch="312" w:charSpace="0"/>
        </w:sectPr>
      </w:pPr>
      <w:r>
        <w:rPr>
          <w:rStyle w:val="107"/>
          <w:rFonts w:hint="eastAsia" w:ascii="宋体" w:hAnsi="宋体" w:eastAsia="宋体" w:cs="宋体"/>
          <w:color w:val="auto"/>
          <w:sz w:val="21"/>
          <w:szCs w:val="21"/>
          <w:highlight w:val="none"/>
        </w:rPr>
        <w:t>4</w:t>
      </w:r>
      <w:r>
        <w:rPr>
          <w:rStyle w:val="107"/>
          <w:rFonts w:hint="eastAsia" w:ascii="宋体" w:hAnsi="宋体" w:eastAsia="宋体" w:cs="宋体"/>
          <w:color w:val="auto"/>
          <w:sz w:val="21"/>
          <w:szCs w:val="21"/>
          <w:highlight w:val="none"/>
          <w:lang w:val="en-US" w:eastAsia="zh-CN"/>
        </w:rPr>
        <w:t>0</w:t>
      </w:r>
      <w:r>
        <w:rPr>
          <w:rStyle w:val="107"/>
          <w:rFonts w:hint="eastAsia" w:ascii="宋体" w:hAnsi="宋体" w:eastAsia="宋体" w:cs="宋体"/>
          <w:color w:val="auto"/>
          <w:sz w:val="21"/>
          <w:szCs w:val="21"/>
          <w:highlight w:val="none"/>
        </w:rPr>
        <w:t>.</w:t>
      </w:r>
      <w:r>
        <w:rPr>
          <w:rStyle w:val="107"/>
          <w:rFonts w:hint="eastAsia" w:ascii="宋体" w:hAnsi="宋体" w:eastAsia="宋体" w:cs="宋体"/>
          <w:b/>
          <w:color w:val="auto"/>
          <w:sz w:val="21"/>
          <w:szCs w:val="21"/>
          <w:highlight w:val="none"/>
        </w:rPr>
        <w:t>（实质性要求）</w:t>
      </w:r>
      <w:r>
        <w:rPr>
          <w:rStyle w:val="107"/>
          <w:rFonts w:hint="eastAsia" w:ascii="宋体" w:hAnsi="宋体" w:eastAsia="宋体" w:cs="宋体"/>
          <w:color w:val="auto"/>
          <w:szCs w:val="21"/>
          <w:highlight w:val="none"/>
        </w:rPr>
        <w:t>国家或行业主管部门对供应商和采购产品的技术标准、质量标准和资格资质条件等有强制性规定的，必须符合其要求。</w:t>
      </w:r>
      <w:r>
        <w:rPr>
          <w:rStyle w:val="107"/>
          <w:rFonts w:hint="eastAsia" w:ascii="宋体" w:hAnsi="宋体" w:eastAsia="宋体" w:cs="宋体"/>
          <w:b/>
          <w:bCs/>
          <w:color w:val="auto"/>
          <w:szCs w:val="21"/>
          <w:highlight w:val="none"/>
          <w:lang w:eastAsia="zh-CN"/>
        </w:rPr>
        <w:t>（本项目不适用）</w:t>
      </w:r>
    </w:p>
    <w:p>
      <w:pPr>
        <w:pStyle w:val="3"/>
        <w:spacing w:before="157" w:beforeLines="50" w:after="157" w:afterLines="50" w:line="360" w:lineRule="auto"/>
      </w:pPr>
      <w:bookmarkStart w:id="350" w:name="_Toc224"/>
      <w:bookmarkStart w:id="351" w:name="_Toc24953"/>
      <w:bookmarkStart w:id="352" w:name="_Toc32083"/>
      <w:bookmarkStart w:id="353" w:name="_Toc12676"/>
      <w:bookmarkStart w:id="354" w:name="_Toc16329"/>
      <w:bookmarkStart w:id="355" w:name="_Toc15349"/>
      <w:bookmarkStart w:id="356" w:name="_Toc8409"/>
      <w:bookmarkStart w:id="357" w:name="_Toc16809"/>
      <w:r>
        <w:rPr>
          <w:rFonts w:hint="eastAsia"/>
        </w:rPr>
        <w:t>第三章  供应商的资格条件要求</w:t>
      </w:r>
      <w:bookmarkEnd w:id="345"/>
      <w:bookmarkEnd w:id="346"/>
      <w:bookmarkEnd w:id="347"/>
      <w:bookmarkEnd w:id="348"/>
      <w:bookmarkEnd w:id="350"/>
      <w:bookmarkEnd w:id="351"/>
      <w:bookmarkEnd w:id="352"/>
      <w:bookmarkEnd w:id="353"/>
      <w:bookmarkEnd w:id="354"/>
      <w:bookmarkEnd w:id="355"/>
      <w:bookmarkEnd w:id="356"/>
      <w:bookmarkEnd w:id="357"/>
    </w:p>
    <w:p>
      <w:pPr>
        <w:pStyle w:val="4"/>
        <w:spacing w:before="0" w:after="0" w:line="440" w:lineRule="exact"/>
        <w:jc w:val="both"/>
        <w:rPr>
          <w:sz w:val="24"/>
          <w:szCs w:val="28"/>
        </w:rPr>
      </w:pPr>
      <w:bookmarkStart w:id="358" w:name="_Toc13010"/>
      <w:bookmarkStart w:id="359" w:name="_Toc16814"/>
      <w:bookmarkStart w:id="360" w:name="_Toc14230"/>
      <w:bookmarkStart w:id="361" w:name="_Toc31816"/>
      <w:bookmarkStart w:id="362" w:name="_Toc5083"/>
      <w:bookmarkStart w:id="363" w:name="_Toc9817"/>
      <w:bookmarkStart w:id="364" w:name="_Toc23351"/>
      <w:bookmarkStart w:id="365" w:name="_Toc28495_WPSOffice_Level2"/>
      <w:bookmarkStart w:id="366" w:name="_Toc6512"/>
      <w:r>
        <w:rPr>
          <w:rFonts w:hint="eastAsia"/>
          <w:sz w:val="24"/>
          <w:szCs w:val="28"/>
        </w:rPr>
        <w:t>一、供应商资格、资质性要求：</w:t>
      </w:r>
      <w:bookmarkEnd w:id="358"/>
      <w:bookmarkEnd w:id="359"/>
      <w:bookmarkEnd w:id="360"/>
      <w:bookmarkEnd w:id="361"/>
      <w:bookmarkEnd w:id="362"/>
      <w:bookmarkEnd w:id="363"/>
      <w:bookmarkEnd w:id="364"/>
    </w:p>
    <w:bookmarkEnd w:id="365"/>
    <w:bookmarkEnd w:id="366"/>
    <w:p>
      <w:pPr>
        <w:pStyle w:val="59"/>
        <w:snapToGrid w:val="0"/>
        <w:spacing w:line="440" w:lineRule="exact"/>
        <w:ind w:firstLine="420" w:firstLineChars="200"/>
        <w:jc w:val="both"/>
        <w:rPr>
          <w:sz w:val="21"/>
          <w:szCs w:val="21"/>
        </w:rPr>
      </w:pPr>
      <w:bookmarkStart w:id="367" w:name="_Toc6283"/>
      <w:bookmarkStart w:id="368" w:name="_Toc1399_WPSOffice_Level3"/>
      <w:r>
        <w:rPr>
          <w:rFonts w:hint="eastAsia"/>
          <w:sz w:val="21"/>
          <w:szCs w:val="21"/>
        </w:rPr>
        <w:t>1.具有独立承担民事责任的能力；</w:t>
      </w:r>
    </w:p>
    <w:p>
      <w:pPr>
        <w:pStyle w:val="59"/>
        <w:snapToGrid w:val="0"/>
        <w:spacing w:line="440" w:lineRule="exact"/>
        <w:ind w:firstLine="420" w:firstLineChars="200"/>
        <w:jc w:val="both"/>
        <w:rPr>
          <w:sz w:val="21"/>
          <w:szCs w:val="21"/>
        </w:rPr>
      </w:pPr>
      <w:r>
        <w:rPr>
          <w:rFonts w:hint="eastAsia"/>
          <w:sz w:val="21"/>
          <w:szCs w:val="21"/>
        </w:rPr>
        <w:t>2.具有良好的商业信誉和健全的财务会计制度；</w:t>
      </w:r>
    </w:p>
    <w:p>
      <w:pPr>
        <w:pStyle w:val="59"/>
        <w:snapToGrid w:val="0"/>
        <w:spacing w:line="440" w:lineRule="exact"/>
        <w:ind w:firstLine="420" w:firstLineChars="200"/>
        <w:jc w:val="both"/>
        <w:rPr>
          <w:sz w:val="21"/>
          <w:szCs w:val="21"/>
        </w:rPr>
      </w:pPr>
      <w:r>
        <w:rPr>
          <w:rFonts w:hint="eastAsia"/>
          <w:sz w:val="21"/>
          <w:szCs w:val="21"/>
        </w:rPr>
        <w:t>3.具有履行合同所必需的设备和专业技术能力；</w:t>
      </w:r>
    </w:p>
    <w:p>
      <w:pPr>
        <w:pStyle w:val="59"/>
        <w:snapToGrid w:val="0"/>
        <w:spacing w:line="440" w:lineRule="exact"/>
        <w:ind w:firstLine="420" w:firstLineChars="200"/>
        <w:jc w:val="both"/>
        <w:rPr>
          <w:sz w:val="21"/>
          <w:szCs w:val="21"/>
        </w:rPr>
      </w:pPr>
      <w:r>
        <w:rPr>
          <w:rFonts w:hint="eastAsia"/>
          <w:sz w:val="21"/>
          <w:szCs w:val="21"/>
        </w:rPr>
        <w:t>4.有依法缴纳税收和社会保障资金的良好记录；</w:t>
      </w:r>
    </w:p>
    <w:p>
      <w:pPr>
        <w:pStyle w:val="59"/>
        <w:snapToGrid w:val="0"/>
        <w:spacing w:line="440" w:lineRule="exact"/>
        <w:ind w:firstLine="420" w:firstLineChars="200"/>
        <w:jc w:val="both"/>
        <w:rPr>
          <w:sz w:val="21"/>
          <w:szCs w:val="21"/>
        </w:rPr>
      </w:pPr>
      <w:r>
        <w:rPr>
          <w:rFonts w:hint="eastAsia"/>
          <w:sz w:val="21"/>
          <w:szCs w:val="21"/>
        </w:rPr>
        <w:t>5.参加政府采购活动前三年内，在经营活动中没有重大违法记录；</w:t>
      </w:r>
    </w:p>
    <w:p>
      <w:pPr>
        <w:pStyle w:val="59"/>
        <w:snapToGrid w:val="0"/>
        <w:spacing w:line="440" w:lineRule="exact"/>
        <w:ind w:firstLine="420" w:firstLineChars="200"/>
        <w:jc w:val="both"/>
        <w:rPr>
          <w:sz w:val="21"/>
          <w:szCs w:val="21"/>
        </w:rPr>
      </w:pPr>
      <w:r>
        <w:rPr>
          <w:rFonts w:hint="eastAsia"/>
          <w:sz w:val="21"/>
          <w:szCs w:val="21"/>
        </w:rPr>
        <w:t>6.法律、行政法规规定的其他条件；</w:t>
      </w:r>
    </w:p>
    <w:p>
      <w:pPr>
        <w:pStyle w:val="59"/>
        <w:snapToGrid w:val="0"/>
        <w:spacing w:line="440" w:lineRule="exact"/>
        <w:ind w:firstLine="420" w:firstLineChars="200"/>
        <w:jc w:val="both"/>
        <w:rPr>
          <w:sz w:val="21"/>
          <w:szCs w:val="21"/>
        </w:rPr>
      </w:pPr>
      <w:r>
        <w:rPr>
          <w:rFonts w:hint="eastAsia"/>
          <w:sz w:val="21"/>
          <w:szCs w:val="21"/>
        </w:rPr>
        <w:t>7、本项目的特定资格要求：</w:t>
      </w:r>
      <w:r>
        <w:rPr>
          <w:rFonts w:hint="eastAsia"/>
          <w:b/>
          <w:bCs/>
          <w:sz w:val="21"/>
          <w:szCs w:val="21"/>
          <w:u w:val="single"/>
        </w:rPr>
        <w:t>第1包</w:t>
      </w:r>
      <w:r>
        <w:rPr>
          <w:rFonts w:hint="eastAsia"/>
          <w:sz w:val="21"/>
          <w:szCs w:val="21"/>
          <w:u w:val="single"/>
        </w:rPr>
        <w:t>：须具备省级及以上人民政府计量行政部门颁发的CMA认证证书【注：①发证机关有年检要求的，应按规定通过年检；②在有效期内；③计量认证证书检验检测能力附表中包含重型柴油货车尾气检测能力（光吸收系数即可）】；</w:t>
      </w:r>
      <w:r>
        <w:rPr>
          <w:rFonts w:hint="eastAsia"/>
          <w:b/>
          <w:bCs/>
          <w:sz w:val="21"/>
          <w:szCs w:val="21"/>
          <w:u w:val="single"/>
        </w:rPr>
        <w:t>第2包</w:t>
      </w:r>
      <w:r>
        <w:rPr>
          <w:rFonts w:hint="eastAsia"/>
          <w:sz w:val="21"/>
          <w:szCs w:val="21"/>
          <w:u w:val="single"/>
        </w:rPr>
        <w:t>：须具备省级及以上人民政府计量行政部门颁发的CMA认证证书【注：①发证机关有年检要求的，应按规定通过年检；②在有效期内</w:t>
      </w:r>
      <w:r>
        <w:rPr>
          <w:rFonts w:hint="eastAsia"/>
          <w:sz w:val="21"/>
          <w:szCs w:val="21"/>
          <w:u w:val="single"/>
          <w:lang w:eastAsia="zh-CN"/>
        </w:rPr>
        <w:t>；</w:t>
      </w:r>
      <w:r>
        <w:rPr>
          <w:rFonts w:hint="eastAsia"/>
          <w:sz w:val="21"/>
          <w:szCs w:val="21"/>
          <w:u w:val="single"/>
        </w:rPr>
        <w:t>③</w:t>
      </w:r>
      <w:r>
        <w:rPr>
          <w:rFonts w:hint="eastAsia"/>
          <w:sz w:val="21"/>
          <w:szCs w:val="21"/>
          <w:u w:val="single"/>
          <w:lang w:eastAsia="zh-CN"/>
        </w:rPr>
        <w:t>计量认证证书检验检测能力附表中包含《非道路移动柴油机械排气烟度限值及测量方法（GB36886-2018）（光吸收系数及林格曼黑度级数）的CMA检测资质证明）</w:t>
      </w:r>
      <w:r>
        <w:rPr>
          <w:rFonts w:hint="eastAsia"/>
          <w:sz w:val="21"/>
          <w:szCs w:val="21"/>
          <w:u w:val="single"/>
        </w:rPr>
        <w:t>】</w:t>
      </w:r>
      <w:r>
        <w:rPr>
          <w:rFonts w:hint="eastAsia"/>
          <w:sz w:val="21"/>
          <w:szCs w:val="21"/>
        </w:rPr>
        <w:t>。</w:t>
      </w:r>
    </w:p>
    <w:p>
      <w:pPr>
        <w:pStyle w:val="59"/>
        <w:snapToGrid w:val="0"/>
        <w:spacing w:line="440" w:lineRule="exact"/>
        <w:ind w:firstLine="420" w:firstLineChars="200"/>
        <w:jc w:val="both"/>
        <w:rPr>
          <w:sz w:val="21"/>
          <w:szCs w:val="21"/>
        </w:rPr>
      </w:pPr>
      <w:r>
        <w:rPr>
          <w:rFonts w:hint="eastAsia"/>
          <w:sz w:val="21"/>
          <w:szCs w:val="21"/>
        </w:rPr>
        <w:t>8.落实政府采购政策需满足的资格要求：本项目专门针对中小企业（监狱企业、残疾人福利性单位视同小型、微型企业）采购。</w:t>
      </w:r>
    </w:p>
    <w:p>
      <w:pPr>
        <w:pStyle w:val="59"/>
        <w:snapToGrid w:val="0"/>
        <w:spacing w:line="440" w:lineRule="exact"/>
        <w:ind w:firstLine="420" w:firstLineChars="200"/>
        <w:jc w:val="both"/>
        <w:rPr>
          <w:sz w:val="21"/>
          <w:szCs w:val="21"/>
        </w:rPr>
      </w:pPr>
      <w:r>
        <w:rPr>
          <w:rFonts w:hint="eastAsia"/>
          <w:sz w:val="21"/>
          <w:szCs w:val="21"/>
        </w:rPr>
        <w:t>9.本项目</w:t>
      </w:r>
      <w:r>
        <w:rPr>
          <w:rFonts w:hint="eastAsia"/>
          <w:sz w:val="21"/>
          <w:szCs w:val="21"/>
          <w:u w:val="single"/>
        </w:rPr>
        <w:t xml:space="preserve"> 不接受 </w:t>
      </w:r>
      <w:r>
        <w:rPr>
          <w:rFonts w:hint="eastAsia"/>
          <w:sz w:val="21"/>
          <w:szCs w:val="21"/>
        </w:rPr>
        <w:t>联合体。</w:t>
      </w:r>
    </w:p>
    <w:p>
      <w:pPr>
        <w:pStyle w:val="4"/>
        <w:spacing w:before="0" w:after="0" w:line="440" w:lineRule="exact"/>
        <w:jc w:val="both"/>
        <w:rPr>
          <w:sz w:val="24"/>
          <w:szCs w:val="28"/>
        </w:rPr>
      </w:pPr>
      <w:bookmarkStart w:id="369" w:name="_Toc9711"/>
      <w:bookmarkStart w:id="370" w:name="_Toc18447"/>
      <w:bookmarkStart w:id="371" w:name="_Toc23249"/>
      <w:bookmarkStart w:id="372" w:name="_Toc30048"/>
      <w:bookmarkStart w:id="373" w:name="_Toc28934"/>
      <w:bookmarkStart w:id="374" w:name="_Toc22697"/>
      <w:bookmarkStart w:id="375" w:name="_Toc7648"/>
      <w:r>
        <w:rPr>
          <w:rFonts w:hint="eastAsia"/>
          <w:sz w:val="24"/>
          <w:szCs w:val="28"/>
        </w:rPr>
        <w:t>二、其他类似效力要求：</w:t>
      </w:r>
      <w:bookmarkEnd w:id="367"/>
      <w:bookmarkEnd w:id="368"/>
      <w:bookmarkEnd w:id="369"/>
      <w:bookmarkEnd w:id="370"/>
      <w:bookmarkEnd w:id="371"/>
      <w:bookmarkEnd w:id="372"/>
      <w:bookmarkEnd w:id="373"/>
      <w:bookmarkEnd w:id="374"/>
      <w:bookmarkEnd w:id="375"/>
    </w:p>
    <w:p>
      <w:pPr>
        <w:snapToGrid w:val="0"/>
        <w:spacing w:line="440" w:lineRule="exact"/>
        <w:ind w:firstLine="420" w:firstLineChars="200"/>
        <w:rPr>
          <w:rFonts w:ascii="宋体" w:hAnsi="宋体" w:cs="宋体"/>
          <w:szCs w:val="21"/>
        </w:rPr>
      </w:pPr>
      <w:r>
        <w:rPr>
          <w:rFonts w:hint="eastAsia" w:ascii="宋体" w:hAnsi="宋体" w:cs="宋体"/>
          <w:szCs w:val="21"/>
        </w:rPr>
        <w:t>1.法定代表人身份证明；</w:t>
      </w:r>
    </w:p>
    <w:p>
      <w:pPr>
        <w:snapToGrid w:val="0"/>
        <w:spacing w:line="440" w:lineRule="exact"/>
        <w:ind w:firstLine="420" w:firstLineChars="200"/>
        <w:rPr>
          <w:rFonts w:ascii="宋体" w:hAnsi="宋体" w:cs="宋体"/>
          <w:szCs w:val="21"/>
        </w:rPr>
      </w:pPr>
      <w:r>
        <w:rPr>
          <w:rFonts w:hint="eastAsia" w:ascii="宋体" w:hAnsi="宋体" w:cs="宋体"/>
          <w:szCs w:val="21"/>
        </w:rPr>
        <w:t>2.授权委托人身份证明；</w:t>
      </w:r>
    </w:p>
    <w:p>
      <w:pPr>
        <w:snapToGrid w:val="0"/>
        <w:spacing w:line="440" w:lineRule="exact"/>
        <w:ind w:firstLine="420" w:firstLineChars="200"/>
        <w:rPr>
          <w:rFonts w:ascii="宋体" w:hAnsi="宋体" w:cs="宋体"/>
          <w:szCs w:val="21"/>
        </w:rPr>
      </w:pPr>
      <w:r>
        <w:rPr>
          <w:rFonts w:hint="eastAsia" w:ascii="宋体" w:hAnsi="宋体" w:cs="宋体"/>
          <w:szCs w:val="21"/>
        </w:rPr>
        <w:t>3.与其他供应商之间，单位负责人不为同一人而且不存在直接控股、管理关系；</w:t>
      </w:r>
    </w:p>
    <w:p>
      <w:pPr>
        <w:snapToGrid w:val="0"/>
        <w:spacing w:line="440" w:lineRule="exact"/>
        <w:ind w:firstLine="420" w:firstLineChars="200"/>
        <w:rPr>
          <w:rFonts w:ascii="宋体" w:hAnsi="宋体" w:cs="宋体"/>
          <w:szCs w:val="21"/>
        </w:rPr>
      </w:pPr>
      <w:r>
        <w:rPr>
          <w:rFonts w:hint="eastAsia" w:ascii="宋体" w:hAnsi="宋体" w:cs="宋体"/>
          <w:szCs w:val="21"/>
        </w:rPr>
        <w:t>4.未参加过本项目整体设计、规范编制或者项目管理、监理、检测等服务；</w:t>
      </w:r>
    </w:p>
    <w:p>
      <w:pPr>
        <w:snapToGrid w:val="0"/>
        <w:spacing w:line="440" w:lineRule="exact"/>
        <w:ind w:firstLine="420" w:firstLineChars="200"/>
        <w:rPr>
          <w:rFonts w:ascii="宋体" w:hAnsi="宋体" w:cs="宋体"/>
          <w:szCs w:val="21"/>
        </w:rPr>
      </w:pPr>
      <w:r>
        <w:rPr>
          <w:rFonts w:hint="eastAsia" w:ascii="宋体" w:hAnsi="宋体" w:cs="宋体"/>
          <w:szCs w:val="21"/>
        </w:rPr>
        <w:t>5.不存在和其他供应商在同一合同项下的采购项目中，同时委托同一个自然人、同一家庭的人员、同一单位的人员作为代理人的行为。</w:t>
      </w:r>
    </w:p>
    <w:p>
      <w:pPr>
        <w:snapToGrid w:val="0"/>
        <w:spacing w:line="440" w:lineRule="exact"/>
        <w:ind w:firstLine="420" w:firstLineChars="200"/>
        <w:rPr>
          <w:rFonts w:ascii="宋体" w:hAnsi="宋体" w:cs="宋体"/>
          <w:szCs w:val="21"/>
        </w:rPr>
      </w:pPr>
      <w:r>
        <w:rPr>
          <w:rFonts w:hint="eastAsia" w:ascii="宋体" w:hAnsi="宋体" w:cs="宋体"/>
          <w:szCs w:val="21"/>
        </w:rPr>
        <w:t>6.供应商磋商截止日前未被财政部门记入诚信档案的且在有效期内的失信行为；</w:t>
      </w:r>
    </w:p>
    <w:p>
      <w:pPr>
        <w:snapToGrid w:val="0"/>
        <w:spacing w:line="440" w:lineRule="exact"/>
        <w:ind w:firstLine="420" w:firstLineChars="200"/>
        <w:rPr>
          <w:rFonts w:ascii="宋体" w:hAnsi="宋体" w:cs="宋体"/>
          <w:szCs w:val="21"/>
        </w:rPr>
      </w:pPr>
      <w:r>
        <w:rPr>
          <w:rFonts w:hint="eastAsia" w:ascii="宋体" w:hAnsi="宋体" w:cs="宋体"/>
          <w:szCs w:val="21"/>
        </w:rPr>
        <w:t>7.供应商在磋商截止日前未被工商部门、税务部门、审判机关及其他有关部门单位认定且处于有效期内的失信行为；</w:t>
      </w:r>
    </w:p>
    <w:p>
      <w:pPr>
        <w:snapToGrid w:val="0"/>
        <w:spacing w:line="440" w:lineRule="exact"/>
        <w:ind w:firstLine="420" w:firstLineChars="200"/>
        <w:rPr>
          <w:rFonts w:ascii="宋体" w:hAnsi="宋体" w:cs="宋体"/>
          <w:szCs w:val="21"/>
        </w:rPr>
      </w:pPr>
      <w:r>
        <w:rPr>
          <w:rFonts w:hint="eastAsia" w:ascii="宋体" w:hAnsi="宋体" w:cs="宋体"/>
          <w:szCs w:val="21"/>
        </w:rPr>
        <w:t>8.供应商及其现任法定代表人、主要负责人在前三年内无行贿犯罪记录。</w:t>
      </w:r>
    </w:p>
    <w:p>
      <w:pPr>
        <w:snapToGrid w:val="0"/>
        <w:spacing w:line="440" w:lineRule="exact"/>
        <w:ind w:firstLine="420" w:firstLineChars="200"/>
        <w:rPr>
          <w:rFonts w:ascii="宋体" w:hAnsi="宋体" w:cs="宋体"/>
          <w:szCs w:val="21"/>
        </w:rPr>
      </w:pPr>
      <w:r>
        <w:rPr>
          <w:rFonts w:hint="eastAsia" w:ascii="宋体" w:hAnsi="宋体" w:cs="宋体"/>
          <w:szCs w:val="21"/>
        </w:rPr>
        <w:t>9.</w:t>
      </w:r>
      <w:r>
        <w:rPr>
          <w:rFonts w:hint="eastAsia" w:ascii="宋体" w:hAnsi="宋体" w:cs="宋体"/>
          <w:bCs/>
          <w:szCs w:val="21"/>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cs="宋体"/>
          <w:szCs w:val="21"/>
        </w:rPr>
        <w:t xml:space="preserve"> </w:t>
      </w:r>
    </w:p>
    <w:p>
      <w:pPr>
        <w:snapToGrid w:val="0"/>
        <w:spacing w:line="440" w:lineRule="exact"/>
        <w:ind w:firstLine="420" w:firstLineChars="200"/>
        <w:rPr>
          <w:rFonts w:ascii="宋体" w:hAnsi="宋体" w:cs="宋体"/>
          <w:szCs w:val="21"/>
        </w:rPr>
      </w:pPr>
      <w:bookmarkStart w:id="376" w:name="_Toc511206478"/>
      <w:r>
        <w:rPr>
          <w:rFonts w:hint="eastAsia" w:ascii="宋体" w:hAnsi="宋体" w:cs="宋体"/>
          <w:szCs w:val="21"/>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napToGrid w:val="0"/>
        <w:spacing w:line="440" w:lineRule="exact"/>
        <w:ind w:firstLine="420" w:firstLineChars="200"/>
      </w:pPr>
      <w:r>
        <w:rPr>
          <w:rFonts w:hint="eastAsia" w:ascii="宋体" w:hAnsi="宋体" w:cs="宋体"/>
          <w:szCs w:val="21"/>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
        <w:spacing w:after="6" w:line="360" w:lineRule="auto"/>
        <w:sectPr>
          <w:pgSz w:w="11907" w:h="16840"/>
          <w:pgMar w:top="1134" w:right="1134" w:bottom="1134" w:left="1134" w:header="851" w:footer="850" w:gutter="0"/>
          <w:pgNumType w:fmt="decimal"/>
          <w:cols w:space="0" w:num="1"/>
          <w:docGrid w:type="lines" w:linePitch="312" w:charSpace="0"/>
        </w:sectPr>
      </w:pPr>
      <w:bookmarkStart w:id="377" w:name="_Toc5005025"/>
      <w:bookmarkStart w:id="378" w:name="_Toc16374_WPSOffice_Level1"/>
      <w:bookmarkStart w:id="379" w:name="_Toc10274"/>
      <w:bookmarkStart w:id="380" w:name="_Toc17004"/>
      <w:bookmarkStart w:id="381" w:name="_Toc1100"/>
    </w:p>
    <w:p>
      <w:pPr>
        <w:pStyle w:val="3"/>
        <w:spacing w:after="6" w:line="360" w:lineRule="auto"/>
        <w:rPr>
          <w:rFonts w:ascii="宋体" w:hAnsi="宋体"/>
          <w:sz w:val="24"/>
        </w:rPr>
      </w:pPr>
      <w:bookmarkStart w:id="382" w:name="_Toc29230"/>
      <w:bookmarkStart w:id="383" w:name="_Toc6634"/>
      <w:bookmarkStart w:id="384" w:name="_Toc29417"/>
      <w:bookmarkStart w:id="385" w:name="_Toc9202"/>
      <w:bookmarkStart w:id="386" w:name="_Toc18907"/>
      <w:bookmarkStart w:id="387" w:name="_Toc2889"/>
      <w:r>
        <w:rPr>
          <w:rFonts w:hint="eastAsia"/>
        </w:rPr>
        <w:t xml:space="preserve">第四章  </w:t>
      </w:r>
      <w:bookmarkEnd w:id="376"/>
      <w:r>
        <w:rPr>
          <w:rFonts w:hint="eastAsia"/>
        </w:rPr>
        <w:t>供应商应当提供的资格、资质性及其他类似效力要求的相关证明材料</w:t>
      </w:r>
      <w:bookmarkEnd w:id="377"/>
      <w:bookmarkEnd w:id="378"/>
      <w:bookmarkEnd w:id="379"/>
      <w:bookmarkEnd w:id="380"/>
      <w:bookmarkEnd w:id="381"/>
      <w:bookmarkEnd w:id="382"/>
      <w:bookmarkEnd w:id="383"/>
      <w:bookmarkEnd w:id="384"/>
      <w:bookmarkEnd w:id="385"/>
      <w:bookmarkEnd w:id="386"/>
      <w:bookmarkEnd w:id="387"/>
      <w:bookmarkStart w:id="388" w:name="_Toc3887_WPSOffice_Level2"/>
    </w:p>
    <w:p>
      <w:pPr>
        <w:pStyle w:val="4"/>
        <w:spacing w:before="0" w:after="0" w:line="440" w:lineRule="exact"/>
        <w:jc w:val="both"/>
        <w:rPr>
          <w:sz w:val="24"/>
          <w:szCs w:val="28"/>
        </w:rPr>
      </w:pPr>
      <w:bookmarkStart w:id="389" w:name="_Toc6104"/>
      <w:bookmarkStart w:id="390" w:name="_Toc1960"/>
      <w:bookmarkStart w:id="391" w:name="_Toc4952"/>
      <w:bookmarkStart w:id="392" w:name="_Toc29975"/>
      <w:bookmarkStart w:id="393" w:name="_Toc30385"/>
      <w:bookmarkStart w:id="394" w:name="_Toc25776"/>
      <w:bookmarkStart w:id="395" w:name="_Toc22190"/>
      <w:bookmarkStart w:id="396" w:name="_Toc9234"/>
      <w:r>
        <w:rPr>
          <w:rFonts w:hint="eastAsia"/>
          <w:sz w:val="24"/>
          <w:szCs w:val="28"/>
        </w:rPr>
        <w:t>一、供应商应提交的资格、资质性证明材料</w:t>
      </w:r>
      <w:bookmarkEnd w:id="388"/>
      <w:bookmarkEnd w:id="389"/>
      <w:bookmarkEnd w:id="390"/>
      <w:bookmarkEnd w:id="391"/>
      <w:bookmarkEnd w:id="392"/>
      <w:bookmarkEnd w:id="393"/>
      <w:bookmarkEnd w:id="394"/>
      <w:bookmarkEnd w:id="395"/>
      <w:bookmarkEnd w:id="396"/>
    </w:p>
    <w:p>
      <w:pPr>
        <w:snapToGrid w:val="0"/>
        <w:spacing w:line="440" w:lineRule="exact"/>
        <w:ind w:firstLine="422" w:firstLineChars="200"/>
        <w:rPr>
          <w:rFonts w:ascii="宋体" w:hAnsi="宋体" w:cs="宋体"/>
          <w:b/>
          <w:bCs/>
          <w:szCs w:val="21"/>
        </w:rPr>
      </w:pPr>
      <w:r>
        <w:rPr>
          <w:rFonts w:hint="eastAsia" w:ascii="宋体" w:hAnsi="宋体" w:cs="宋体"/>
          <w:b/>
          <w:bCs/>
          <w:szCs w:val="21"/>
        </w:rPr>
        <w:t>1.具有独立承担民事责任的能力。</w:t>
      </w:r>
    </w:p>
    <w:p>
      <w:pPr>
        <w:snapToGrid w:val="0"/>
        <w:spacing w:line="440" w:lineRule="exact"/>
        <w:ind w:firstLine="411" w:firstLineChars="196"/>
        <w:rPr>
          <w:rFonts w:ascii="宋体" w:hAnsi="宋体" w:cs="宋体"/>
          <w:szCs w:val="21"/>
        </w:rPr>
      </w:pPr>
      <w:r>
        <w:rPr>
          <w:rFonts w:hint="eastAsia" w:ascii="宋体" w:hAnsi="宋体" w:cs="宋体"/>
          <w:szCs w:val="21"/>
        </w:rPr>
        <w:t>（1）若为法人：提供“营业执照”副本，未换证的提供营业执照副本、组织机构代码证副本、税务登记证副本；</w:t>
      </w:r>
    </w:p>
    <w:p>
      <w:pPr>
        <w:snapToGrid w:val="0"/>
        <w:spacing w:line="440" w:lineRule="exact"/>
        <w:ind w:firstLine="411" w:firstLineChars="196"/>
        <w:rPr>
          <w:rFonts w:ascii="宋体" w:hAnsi="宋体" w:cs="宋体"/>
          <w:szCs w:val="21"/>
        </w:rPr>
      </w:pPr>
      <w:r>
        <w:rPr>
          <w:rFonts w:hint="eastAsia" w:ascii="宋体" w:hAnsi="宋体" w:cs="宋体"/>
          <w:szCs w:val="21"/>
        </w:rPr>
        <w:t>（2）若为事业法人：提供有效的“统一社会信用代码法人登记证书”，未换证的提供“事业法人登记证书、组织机构代码证”；</w:t>
      </w:r>
    </w:p>
    <w:p>
      <w:pPr>
        <w:snapToGrid w:val="0"/>
        <w:spacing w:line="440" w:lineRule="exact"/>
        <w:ind w:firstLine="411" w:firstLineChars="196"/>
        <w:rPr>
          <w:rFonts w:ascii="宋体" w:hAnsi="宋体" w:cs="宋体"/>
          <w:szCs w:val="21"/>
        </w:rPr>
      </w:pPr>
      <w:r>
        <w:rPr>
          <w:rFonts w:hint="eastAsia" w:ascii="宋体" w:hAnsi="宋体" w:cs="宋体"/>
          <w:szCs w:val="21"/>
        </w:rPr>
        <w:t>（3）若为其他组织：提供“对应主管部门颁发的准许执业证明文件或营业执照”；</w:t>
      </w:r>
    </w:p>
    <w:p>
      <w:pPr>
        <w:snapToGrid w:val="0"/>
        <w:spacing w:line="440" w:lineRule="exact"/>
        <w:ind w:firstLine="411" w:firstLineChars="196"/>
        <w:rPr>
          <w:rFonts w:ascii="宋体" w:hAnsi="宋体" w:cs="宋体"/>
          <w:szCs w:val="21"/>
        </w:rPr>
      </w:pPr>
      <w:r>
        <w:rPr>
          <w:rFonts w:hint="eastAsia" w:ascii="宋体" w:hAnsi="宋体" w:cs="宋体"/>
          <w:szCs w:val="21"/>
        </w:rPr>
        <w:t>（4）若为自然人：提供“身份证明材料”；</w:t>
      </w:r>
    </w:p>
    <w:p>
      <w:pPr>
        <w:snapToGrid w:val="0"/>
        <w:spacing w:line="440" w:lineRule="exact"/>
        <w:ind w:firstLine="411" w:firstLineChars="196"/>
        <w:rPr>
          <w:rFonts w:ascii="宋体" w:hAnsi="宋体" w:cs="宋体"/>
          <w:szCs w:val="21"/>
        </w:rPr>
      </w:pPr>
      <w:r>
        <w:rPr>
          <w:rFonts w:hint="eastAsia" w:ascii="宋体" w:hAnsi="宋体" w:cs="宋体"/>
          <w:szCs w:val="21"/>
        </w:rPr>
        <w:t>注：1.以上证明材料应满足此项要求：①发证机关有年检要求的，应按规定通过年检；②必须在有效期内；③复印件加盖供应商公章；</w:t>
      </w:r>
    </w:p>
    <w:p>
      <w:pPr>
        <w:snapToGrid w:val="0"/>
        <w:spacing w:line="440" w:lineRule="exact"/>
        <w:ind w:firstLine="411" w:firstLineChars="196"/>
        <w:rPr>
          <w:rFonts w:ascii="宋体" w:hAnsi="宋体" w:cs="宋体"/>
          <w:szCs w:val="21"/>
        </w:rPr>
      </w:pPr>
      <w:r>
        <w:rPr>
          <w:rFonts w:hint="eastAsia" w:ascii="宋体" w:hAnsi="宋体" w:cs="宋体"/>
          <w:szCs w:val="21"/>
        </w:rPr>
        <w:t>（5）供应商若已更换为三证合一的则提供营业执照副本复印件，事业单位提供事业单位法人证书，其他组织提供营业执照等证明文件，自然人提供身份证明均具备此条同等效力；</w:t>
      </w:r>
    </w:p>
    <w:p>
      <w:pPr>
        <w:snapToGrid w:val="0"/>
        <w:spacing w:line="440" w:lineRule="exact"/>
        <w:ind w:firstLine="411" w:firstLineChars="196"/>
        <w:rPr>
          <w:rFonts w:ascii="宋体" w:hAnsi="宋体" w:cs="宋体"/>
          <w:szCs w:val="21"/>
        </w:rPr>
      </w:pPr>
      <w:r>
        <w:rPr>
          <w:rFonts w:hint="eastAsia" w:ascii="宋体" w:hAnsi="宋体" w:cs="宋体"/>
          <w:szCs w:val="21"/>
        </w:rPr>
        <w:t>（6）根据国务院办公厅关于加快推进“多证合一”改革的指导意见（国办发【2017】41号）等政策要求，若资格要求涉及的登记、备案等有关事项和各类证照已实行多证合一导致供应商无法提供该类证明材料的，供应商须提供承诺，格式自拟。</w:t>
      </w:r>
    </w:p>
    <w:p>
      <w:pPr>
        <w:snapToGrid w:val="0"/>
        <w:spacing w:line="440" w:lineRule="exact"/>
        <w:ind w:firstLine="211" w:firstLineChars="100"/>
        <w:rPr>
          <w:rFonts w:ascii="宋体" w:hAnsi="宋体" w:cs="宋体"/>
          <w:b/>
          <w:bCs/>
          <w:szCs w:val="21"/>
        </w:rPr>
      </w:pPr>
      <w:r>
        <w:rPr>
          <w:rFonts w:hint="eastAsia" w:ascii="宋体" w:hAnsi="宋体" w:cs="宋体"/>
          <w:b/>
          <w:bCs/>
          <w:szCs w:val="21"/>
        </w:rPr>
        <w:t>2.具备良好商业信誉的证明材料；</w:t>
      </w:r>
    </w:p>
    <w:p>
      <w:pPr>
        <w:snapToGrid w:val="0"/>
        <w:spacing w:line="440" w:lineRule="exact"/>
        <w:ind w:firstLine="621" w:firstLineChars="296"/>
        <w:rPr>
          <w:rFonts w:ascii="宋体" w:hAnsi="宋体" w:cs="宋体"/>
          <w:szCs w:val="21"/>
        </w:rPr>
      </w:pPr>
      <w:r>
        <w:rPr>
          <w:rStyle w:val="107"/>
          <w:rFonts w:hint="eastAsia" w:ascii="宋体" w:hAnsi="宋体" w:cs="宋体"/>
          <w:szCs w:val="21"/>
        </w:rPr>
        <w:t>提供承诺函。</w:t>
      </w:r>
    </w:p>
    <w:p>
      <w:pPr>
        <w:snapToGrid w:val="0"/>
        <w:spacing w:line="440" w:lineRule="exact"/>
        <w:ind w:firstLine="211" w:firstLineChars="100"/>
        <w:rPr>
          <w:rFonts w:ascii="宋体" w:hAnsi="宋体" w:cs="宋体"/>
          <w:b/>
          <w:bCs/>
          <w:szCs w:val="21"/>
        </w:rPr>
      </w:pPr>
      <w:r>
        <w:rPr>
          <w:rFonts w:hint="eastAsia" w:ascii="宋体" w:hAnsi="宋体" w:cs="宋体"/>
          <w:b/>
          <w:bCs/>
          <w:szCs w:val="21"/>
        </w:rPr>
        <w:t>3.具备健全的财务会计制度的证明材料。</w:t>
      </w:r>
    </w:p>
    <w:p>
      <w:pPr>
        <w:snapToGrid w:val="0"/>
        <w:spacing w:line="440" w:lineRule="exact"/>
        <w:ind w:firstLine="411" w:firstLineChars="196"/>
        <w:rPr>
          <w:rFonts w:ascii="宋体" w:hAnsi="宋体" w:cs="宋体"/>
          <w:szCs w:val="21"/>
        </w:rPr>
      </w:pPr>
      <w:r>
        <w:rPr>
          <w:rStyle w:val="107"/>
          <w:rFonts w:hint="eastAsia" w:ascii="宋体" w:hAnsi="宋体" w:cs="宋体"/>
          <w:szCs w:val="21"/>
        </w:rPr>
        <w:t>（1）供应商提供2019年或2020年度经过会计师事务所审计的有效财务报告复印件（经审计的有效财务报告应包</w:t>
      </w:r>
      <w:r>
        <w:rPr>
          <w:rFonts w:hint="eastAsia" w:ascii="宋体" w:hAnsi="宋体" w:cs="宋体"/>
          <w:szCs w:val="21"/>
        </w:rPr>
        <w:t>括报告及报告中所附的完整内容，并需满足《财政部关于注册会计师在审计报告上签名盖章有关问题的通知》的要求）；</w:t>
      </w:r>
    </w:p>
    <w:p>
      <w:pPr>
        <w:snapToGrid w:val="0"/>
        <w:spacing w:line="440" w:lineRule="exact"/>
        <w:ind w:firstLine="411" w:firstLineChars="196"/>
        <w:rPr>
          <w:rFonts w:ascii="宋体" w:hAnsi="宋体" w:cs="宋体"/>
          <w:szCs w:val="21"/>
        </w:rPr>
      </w:pPr>
      <w:r>
        <w:rPr>
          <w:rFonts w:hint="eastAsia" w:ascii="宋体" w:hAnsi="宋体" w:cs="宋体"/>
          <w:szCs w:val="21"/>
        </w:rPr>
        <w:t>（2）供应商提供2019年或2020年度内部的财务报表复印件（至少包含资产负债表）；</w:t>
      </w:r>
    </w:p>
    <w:p>
      <w:pPr>
        <w:snapToGrid w:val="0"/>
        <w:spacing w:line="440" w:lineRule="exact"/>
        <w:ind w:firstLine="411" w:firstLineChars="196"/>
        <w:rPr>
          <w:rFonts w:ascii="宋体" w:hAnsi="宋体" w:cs="宋体"/>
          <w:szCs w:val="21"/>
        </w:rPr>
      </w:pPr>
      <w:r>
        <w:rPr>
          <w:rFonts w:hint="eastAsia" w:ascii="宋体" w:hAnsi="宋体" w:cs="宋体"/>
          <w:szCs w:val="21"/>
        </w:rPr>
        <w:t>（3）供应商提供距文件递交截止日一年内银行出具的资信证明（复印件）；</w:t>
      </w:r>
    </w:p>
    <w:p>
      <w:pPr>
        <w:snapToGrid w:val="0"/>
        <w:spacing w:line="440" w:lineRule="exact"/>
        <w:ind w:firstLine="411" w:firstLineChars="196"/>
        <w:rPr>
          <w:rFonts w:ascii="宋体" w:hAnsi="宋体" w:cs="宋体"/>
          <w:szCs w:val="21"/>
        </w:rPr>
      </w:pPr>
      <w:r>
        <w:rPr>
          <w:rFonts w:hint="eastAsia" w:ascii="宋体" w:hAnsi="宋体" w:cs="宋体"/>
          <w:szCs w:val="21"/>
        </w:rPr>
        <w:t>（4）供应商成立时间至递交投标文件截止时间为止不足1年的，可提供公司章程复印件；</w:t>
      </w:r>
    </w:p>
    <w:p>
      <w:pPr>
        <w:snapToGrid w:val="0"/>
        <w:spacing w:line="440" w:lineRule="exact"/>
        <w:ind w:firstLine="411" w:firstLineChars="196"/>
        <w:rPr>
          <w:rFonts w:ascii="宋体" w:hAnsi="宋体" w:cs="宋体"/>
          <w:szCs w:val="21"/>
        </w:rPr>
      </w:pPr>
      <w:r>
        <w:rPr>
          <w:rFonts w:hint="eastAsia" w:ascii="宋体" w:hAnsi="宋体" w:cs="宋体"/>
          <w:szCs w:val="21"/>
        </w:rPr>
        <w:t>（5）供应商可提供承诺函。</w:t>
      </w:r>
    </w:p>
    <w:p>
      <w:pPr>
        <w:snapToGrid w:val="0"/>
        <w:spacing w:line="440" w:lineRule="exact"/>
        <w:ind w:firstLine="411" w:firstLineChars="196"/>
        <w:rPr>
          <w:rStyle w:val="107"/>
          <w:rFonts w:ascii="宋体" w:hAnsi="宋体" w:cs="宋体"/>
          <w:szCs w:val="21"/>
        </w:rPr>
      </w:pPr>
      <w:r>
        <w:rPr>
          <w:rFonts w:hint="eastAsia" w:ascii="宋体" w:hAnsi="宋体" w:cs="宋体"/>
          <w:szCs w:val="21"/>
        </w:rPr>
        <w:t>注：具有健全的财务会计制度的证</w:t>
      </w:r>
      <w:r>
        <w:rPr>
          <w:rStyle w:val="107"/>
          <w:rFonts w:hint="eastAsia" w:ascii="宋体" w:hAnsi="宋体" w:cs="宋体"/>
          <w:szCs w:val="21"/>
        </w:rPr>
        <w:t>明材料中第1-5项具有同等的投标效力，供应商可根据自身实际情况选择提供其中任意一项。</w:t>
      </w:r>
    </w:p>
    <w:p>
      <w:pPr>
        <w:snapToGrid w:val="0"/>
        <w:spacing w:line="440" w:lineRule="exact"/>
        <w:ind w:firstLine="211" w:firstLineChars="100"/>
        <w:rPr>
          <w:rFonts w:ascii="宋体" w:hAnsi="宋体" w:cs="宋体"/>
          <w:b/>
          <w:bCs/>
          <w:szCs w:val="21"/>
        </w:rPr>
      </w:pPr>
      <w:r>
        <w:rPr>
          <w:rFonts w:hint="eastAsia" w:ascii="宋体" w:hAnsi="宋体" w:cs="宋体"/>
          <w:b/>
          <w:bCs/>
          <w:szCs w:val="21"/>
        </w:rPr>
        <w:t>4.具备履行合同所必需的设备和专业技术能力的证明材料；</w:t>
      </w:r>
    </w:p>
    <w:p>
      <w:pPr>
        <w:snapToGrid w:val="0"/>
        <w:spacing w:line="440" w:lineRule="exact"/>
        <w:ind w:firstLine="411" w:firstLineChars="196"/>
        <w:rPr>
          <w:rFonts w:ascii="宋体" w:hAnsi="宋体" w:cs="宋体"/>
          <w:szCs w:val="21"/>
        </w:rPr>
      </w:pPr>
      <w:r>
        <w:rPr>
          <w:rFonts w:hint="eastAsia" w:ascii="宋体" w:hAnsi="宋体" w:cs="宋体"/>
          <w:szCs w:val="21"/>
        </w:rPr>
        <w:t>提供承诺函。</w:t>
      </w:r>
    </w:p>
    <w:p>
      <w:pPr>
        <w:snapToGrid w:val="0"/>
        <w:spacing w:line="440" w:lineRule="exact"/>
        <w:ind w:firstLine="211" w:firstLineChars="100"/>
        <w:rPr>
          <w:rFonts w:ascii="宋体" w:hAnsi="宋体" w:cs="宋体"/>
          <w:b/>
          <w:bCs/>
          <w:szCs w:val="21"/>
        </w:rPr>
      </w:pPr>
      <w:r>
        <w:rPr>
          <w:rFonts w:hint="eastAsia" w:ascii="宋体" w:hAnsi="宋体" w:cs="宋体"/>
          <w:b/>
          <w:bCs/>
          <w:szCs w:val="21"/>
        </w:rPr>
        <w:t>5.有依法缴纳税收和社会保障资金的良好记录；</w:t>
      </w:r>
    </w:p>
    <w:p>
      <w:pPr>
        <w:snapToGrid w:val="0"/>
        <w:spacing w:line="440" w:lineRule="exact"/>
        <w:ind w:firstLine="411" w:firstLineChars="196"/>
        <w:rPr>
          <w:rFonts w:ascii="宋体" w:hAnsi="宋体" w:cs="宋体"/>
          <w:szCs w:val="21"/>
        </w:rPr>
      </w:pPr>
      <w:r>
        <w:rPr>
          <w:rFonts w:hint="eastAsia" w:ascii="宋体" w:hAnsi="宋体" w:cs="宋体"/>
          <w:szCs w:val="21"/>
        </w:rPr>
        <w:t>（1）提供</w:t>
      </w:r>
      <w:r>
        <w:rPr>
          <w:rFonts w:hint="eastAsia" w:ascii="宋体" w:hAnsi="宋体" w:cs="宋体"/>
          <w:szCs w:val="21"/>
          <w:u w:val="single"/>
        </w:rPr>
        <w:t xml:space="preserve"> 2020年1月</w:t>
      </w:r>
      <w:r>
        <w:rPr>
          <w:rFonts w:hint="eastAsia" w:ascii="宋体" w:hAnsi="宋体" w:cs="宋体"/>
          <w:szCs w:val="21"/>
        </w:rPr>
        <w:t>以来</w:t>
      </w:r>
      <w:r>
        <w:rPr>
          <w:rFonts w:hint="eastAsia" w:ascii="宋体" w:hAnsi="宋体" w:cs="宋体"/>
          <w:szCs w:val="21"/>
          <w:u w:val="single"/>
        </w:rPr>
        <w:t xml:space="preserve"> 任意3个月 </w:t>
      </w:r>
      <w:r>
        <w:rPr>
          <w:rFonts w:hint="eastAsia" w:ascii="宋体" w:hAnsi="宋体" w:cs="宋体"/>
          <w:szCs w:val="21"/>
        </w:rPr>
        <w:t>的缴纳税收和社保资金的相关证明材料复印件。</w:t>
      </w:r>
    </w:p>
    <w:p>
      <w:pPr>
        <w:snapToGrid w:val="0"/>
        <w:spacing w:line="440" w:lineRule="exact"/>
        <w:ind w:firstLine="411" w:firstLineChars="196"/>
        <w:rPr>
          <w:rFonts w:ascii="宋体" w:hAnsi="宋体" w:cs="宋体"/>
          <w:szCs w:val="21"/>
        </w:rPr>
      </w:pPr>
      <w:r>
        <w:rPr>
          <w:rFonts w:hint="eastAsia" w:ascii="宋体" w:hAnsi="宋体" w:cs="宋体"/>
          <w:szCs w:val="21"/>
        </w:rPr>
        <w:t>（2）提供承诺函。</w:t>
      </w:r>
    </w:p>
    <w:p>
      <w:pPr>
        <w:snapToGrid w:val="0"/>
        <w:spacing w:line="440" w:lineRule="exact"/>
        <w:ind w:firstLine="411" w:firstLineChars="196"/>
        <w:rPr>
          <w:rStyle w:val="107"/>
          <w:rFonts w:ascii="宋体" w:hAnsi="宋体" w:cs="宋体"/>
          <w:szCs w:val="21"/>
        </w:rPr>
      </w:pPr>
      <w:r>
        <w:rPr>
          <w:rFonts w:hint="eastAsia" w:ascii="宋体" w:hAnsi="宋体" w:cs="宋体"/>
          <w:szCs w:val="21"/>
        </w:rPr>
        <w:t>注：有依法缴纳税收和社会保障资金的良好记录的证明材料中第1-2项具有同等的投标效力，供应商可根据自身实</w:t>
      </w:r>
      <w:r>
        <w:rPr>
          <w:rStyle w:val="107"/>
          <w:rFonts w:hint="eastAsia" w:ascii="宋体" w:hAnsi="宋体" w:cs="宋体"/>
          <w:szCs w:val="21"/>
        </w:rPr>
        <w:t>际情况选择提供其中任意一项；依法免税或不需要缴纳社会保障资金的供应商，应提供相应文件证明其依法免税或不需要缴纳社会保障资金。</w:t>
      </w:r>
    </w:p>
    <w:p>
      <w:pPr>
        <w:snapToGrid w:val="0"/>
        <w:spacing w:line="440" w:lineRule="exact"/>
        <w:ind w:firstLine="211" w:firstLineChars="100"/>
        <w:rPr>
          <w:rFonts w:ascii="宋体" w:hAnsi="宋体" w:cs="宋体"/>
          <w:b/>
          <w:bCs/>
          <w:szCs w:val="21"/>
        </w:rPr>
      </w:pPr>
      <w:r>
        <w:rPr>
          <w:rFonts w:hint="eastAsia" w:ascii="宋体" w:hAnsi="宋体" w:cs="宋体"/>
          <w:b/>
          <w:bCs/>
          <w:szCs w:val="21"/>
        </w:rPr>
        <w:t>6.参加采购活动前3年内在经营活动中没有重大违法记录的证明材料；</w:t>
      </w:r>
    </w:p>
    <w:p>
      <w:pPr>
        <w:snapToGrid w:val="0"/>
        <w:spacing w:line="440" w:lineRule="exact"/>
        <w:ind w:firstLine="411" w:firstLineChars="196"/>
        <w:rPr>
          <w:rStyle w:val="107"/>
          <w:rFonts w:ascii="宋体" w:hAnsi="宋体" w:cs="宋体"/>
          <w:szCs w:val="21"/>
        </w:rPr>
      </w:pPr>
      <w:r>
        <w:rPr>
          <w:rFonts w:hint="eastAsia" w:ascii="宋体" w:hAnsi="宋体" w:cs="宋体"/>
          <w:szCs w:val="21"/>
        </w:rPr>
        <w:t>提供</w:t>
      </w:r>
      <w:r>
        <w:rPr>
          <w:rStyle w:val="107"/>
          <w:rFonts w:hint="eastAsia" w:ascii="宋体" w:hAnsi="宋体" w:cs="宋体"/>
          <w:szCs w:val="21"/>
        </w:rPr>
        <w:t>承诺函。</w:t>
      </w:r>
    </w:p>
    <w:p>
      <w:pPr>
        <w:snapToGrid w:val="0"/>
        <w:spacing w:line="440" w:lineRule="exact"/>
        <w:ind w:firstLine="411" w:firstLineChars="196"/>
        <w:rPr>
          <w:rStyle w:val="107"/>
          <w:rFonts w:ascii="宋体" w:hAnsi="宋体" w:cs="宋体"/>
          <w:szCs w:val="21"/>
        </w:rPr>
      </w:pPr>
      <w:r>
        <w:rPr>
          <w:rStyle w:val="107"/>
          <w:rFonts w:hint="eastAsia" w:ascii="宋体" w:hAnsi="宋体" w:cs="宋体"/>
          <w:szCs w:val="21"/>
        </w:rPr>
        <w:t>注：成立不足三年的，从成立之日起计算。</w:t>
      </w:r>
    </w:p>
    <w:p>
      <w:pPr>
        <w:snapToGrid w:val="0"/>
        <w:spacing w:line="440" w:lineRule="exact"/>
        <w:ind w:firstLine="211" w:firstLineChars="100"/>
        <w:rPr>
          <w:rFonts w:ascii="宋体" w:hAnsi="宋体" w:cs="宋体"/>
          <w:szCs w:val="21"/>
        </w:rPr>
      </w:pPr>
      <w:r>
        <w:rPr>
          <w:rFonts w:hint="eastAsia" w:ascii="宋体" w:hAnsi="宋体" w:cs="宋体"/>
          <w:b/>
          <w:bCs/>
          <w:szCs w:val="21"/>
        </w:rPr>
        <w:t>7.具备法律、行政法规规定的其他条件的证明材料。</w:t>
      </w:r>
    </w:p>
    <w:p>
      <w:pPr>
        <w:snapToGrid w:val="0"/>
        <w:spacing w:line="440" w:lineRule="exact"/>
        <w:ind w:firstLine="411" w:firstLineChars="196"/>
        <w:rPr>
          <w:rFonts w:ascii="宋体" w:hAnsi="宋体" w:cs="宋体"/>
          <w:szCs w:val="21"/>
        </w:rPr>
      </w:pPr>
      <w:r>
        <w:rPr>
          <w:rStyle w:val="107"/>
          <w:rFonts w:hint="eastAsia" w:ascii="宋体" w:hAnsi="宋体" w:cs="宋体"/>
          <w:szCs w:val="21"/>
        </w:rPr>
        <w:t>提供承诺函。</w:t>
      </w:r>
    </w:p>
    <w:p>
      <w:pPr>
        <w:snapToGrid w:val="0"/>
        <w:spacing w:line="440" w:lineRule="exact"/>
        <w:ind w:firstLine="211" w:firstLineChars="100"/>
        <w:rPr>
          <w:rFonts w:ascii="宋体" w:hAnsi="宋体" w:cs="宋体"/>
          <w:b/>
          <w:bCs/>
          <w:szCs w:val="21"/>
        </w:rPr>
      </w:pPr>
      <w:bookmarkStart w:id="397" w:name="_Toc18831_WPSOffice_Level3"/>
      <w:bookmarkStart w:id="398" w:name="_Toc28320"/>
      <w:r>
        <w:rPr>
          <w:rFonts w:hint="eastAsia" w:ascii="宋体" w:hAnsi="宋体" w:cs="宋体"/>
          <w:b/>
          <w:bCs/>
          <w:szCs w:val="21"/>
        </w:rPr>
        <w:t>8.</w:t>
      </w:r>
      <w:r>
        <w:rPr>
          <w:rFonts w:hint="eastAsia"/>
          <w:szCs w:val="21"/>
        </w:rPr>
        <w:t>本项目的特定资格要求：</w:t>
      </w:r>
      <w:r>
        <w:rPr>
          <w:rFonts w:hint="eastAsia" w:ascii="宋体" w:hAnsi="宋体" w:cs="宋体"/>
          <w:b/>
          <w:bCs/>
          <w:szCs w:val="21"/>
          <w:u w:val="single"/>
        </w:rPr>
        <w:t>第1包</w:t>
      </w:r>
      <w:r>
        <w:rPr>
          <w:rFonts w:hint="eastAsia" w:ascii="宋体" w:hAnsi="宋体" w:cs="宋体"/>
          <w:szCs w:val="21"/>
          <w:u w:val="single"/>
        </w:rPr>
        <w:t>：须具备省级及以上人民政府计量行政部门颁发的CMA认证证书【注：①发证机关有年检要求的，应按规定通过年检；②在有效期内；③计量认证证书检验检测能力附表中包含重型柴油货车尾气检测能力（光吸收系数即可）】；</w:t>
      </w:r>
      <w:r>
        <w:rPr>
          <w:rFonts w:hint="eastAsia" w:ascii="宋体" w:hAnsi="宋体" w:cs="宋体"/>
          <w:b/>
          <w:bCs/>
          <w:szCs w:val="21"/>
          <w:u w:val="single"/>
        </w:rPr>
        <w:t>第2包</w:t>
      </w:r>
      <w:r>
        <w:rPr>
          <w:rFonts w:hint="eastAsia" w:ascii="宋体" w:hAnsi="宋体" w:cs="宋体"/>
          <w:szCs w:val="21"/>
          <w:u w:val="single"/>
        </w:rPr>
        <w:t>：须具备省级及以上人民政府计量行政部门颁发的CMA认证证书【注：①发证机关有年检要求的，应按规定通过年检；②在有效期内</w:t>
      </w:r>
      <w:r>
        <w:rPr>
          <w:rFonts w:hint="eastAsia" w:ascii="宋体" w:hAnsi="宋体" w:cs="宋体"/>
          <w:szCs w:val="21"/>
          <w:u w:val="single"/>
          <w:lang w:eastAsia="zh-CN"/>
        </w:rPr>
        <w:t>；</w:t>
      </w:r>
      <w:r>
        <w:rPr>
          <w:rFonts w:hint="eastAsia"/>
          <w:sz w:val="21"/>
          <w:szCs w:val="21"/>
          <w:u w:val="single"/>
          <w:lang w:eastAsia="zh-CN"/>
        </w:rPr>
        <w:t>；</w:t>
      </w:r>
      <w:r>
        <w:rPr>
          <w:rFonts w:hint="eastAsia"/>
          <w:sz w:val="21"/>
          <w:szCs w:val="21"/>
          <w:u w:val="single"/>
        </w:rPr>
        <w:t>③</w:t>
      </w:r>
      <w:r>
        <w:rPr>
          <w:rFonts w:hint="eastAsia"/>
          <w:sz w:val="21"/>
          <w:szCs w:val="21"/>
          <w:u w:val="single"/>
          <w:lang w:eastAsia="zh-CN"/>
        </w:rPr>
        <w:t>计量认证证书检验检测能力附表中包含《非道路移动柴油机械排气烟度限值及测量方法（GB36886-2018）（光吸收系数及林格曼黑度级数）的CMA检测资质证明）</w:t>
      </w:r>
      <w:r>
        <w:rPr>
          <w:rFonts w:hint="eastAsia" w:ascii="宋体" w:hAnsi="宋体" w:cs="宋体"/>
          <w:szCs w:val="21"/>
          <w:u w:val="single"/>
        </w:rPr>
        <w:t>】</w:t>
      </w:r>
      <w:r>
        <w:rPr>
          <w:rFonts w:hint="eastAsia" w:ascii="宋体" w:hAnsi="宋体" w:cs="宋体"/>
          <w:szCs w:val="21"/>
        </w:rPr>
        <w:t>。</w:t>
      </w:r>
    </w:p>
    <w:p>
      <w:pPr>
        <w:pStyle w:val="59"/>
        <w:snapToGrid w:val="0"/>
        <w:spacing w:line="440" w:lineRule="exact"/>
        <w:ind w:firstLine="422" w:firstLineChars="200"/>
        <w:jc w:val="both"/>
        <w:rPr>
          <w:sz w:val="21"/>
          <w:szCs w:val="21"/>
        </w:rPr>
      </w:pPr>
      <w:bookmarkStart w:id="399" w:name="_Toc14954"/>
      <w:r>
        <w:rPr>
          <w:rFonts w:hint="eastAsia"/>
          <w:b/>
          <w:bCs/>
          <w:kern w:val="2"/>
          <w:sz w:val="21"/>
          <w:szCs w:val="21"/>
        </w:rPr>
        <w:t>9.</w:t>
      </w:r>
      <w:r>
        <w:rPr>
          <w:rFonts w:hint="eastAsia"/>
          <w:sz w:val="21"/>
          <w:szCs w:val="21"/>
        </w:rPr>
        <w:t>落实政府采购政策需满足的资格要求：本项目专门针对中小企业（监狱企业、残疾人福利性单位视同小型、微型企业）采购。</w:t>
      </w:r>
    </w:p>
    <w:p>
      <w:pPr>
        <w:keepNext/>
        <w:keepLines/>
        <w:spacing w:line="440" w:lineRule="exact"/>
        <w:ind w:firstLine="420" w:firstLineChars="200"/>
        <w:rPr>
          <w:rFonts w:ascii="宋体" w:hAnsi="宋体" w:cs="宋体"/>
          <w:szCs w:val="21"/>
        </w:rPr>
      </w:pPr>
      <w:r>
        <w:rPr>
          <w:rFonts w:hint="eastAsia" w:ascii="宋体" w:hAnsi="宋体" w:cs="宋体"/>
          <w:szCs w:val="21"/>
        </w:rPr>
        <w:t>提供中小企业声明函。</w:t>
      </w:r>
    </w:p>
    <w:p>
      <w:pPr>
        <w:pStyle w:val="4"/>
        <w:spacing w:before="0" w:after="0" w:line="440" w:lineRule="exact"/>
        <w:jc w:val="both"/>
        <w:rPr>
          <w:sz w:val="24"/>
          <w:szCs w:val="28"/>
        </w:rPr>
      </w:pPr>
      <w:bookmarkStart w:id="400" w:name="_Toc28696"/>
      <w:bookmarkStart w:id="401" w:name="_Toc7036"/>
      <w:bookmarkStart w:id="402" w:name="_Toc22408"/>
      <w:bookmarkStart w:id="403" w:name="_Toc19422"/>
      <w:bookmarkStart w:id="404" w:name="_Toc5363"/>
      <w:bookmarkStart w:id="405" w:name="_Toc11249"/>
      <w:r>
        <w:rPr>
          <w:rFonts w:hint="eastAsia"/>
          <w:sz w:val="24"/>
          <w:szCs w:val="28"/>
        </w:rPr>
        <w:t>二、其他类似效力要求相关证明材料：</w:t>
      </w:r>
      <w:bookmarkEnd w:id="397"/>
      <w:bookmarkEnd w:id="398"/>
      <w:bookmarkEnd w:id="399"/>
      <w:bookmarkEnd w:id="400"/>
      <w:bookmarkEnd w:id="401"/>
      <w:bookmarkEnd w:id="402"/>
      <w:bookmarkEnd w:id="403"/>
      <w:bookmarkEnd w:id="404"/>
      <w:bookmarkEnd w:id="405"/>
    </w:p>
    <w:p>
      <w:pPr>
        <w:snapToGrid w:val="0"/>
        <w:spacing w:line="440" w:lineRule="exact"/>
        <w:ind w:firstLine="420" w:firstLineChars="200"/>
        <w:rPr>
          <w:rFonts w:ascii="宋体" w:hAnsi="宋体" w:cs="宋体"/>
          <w:bCs/>
          <w:szCs w:val="21"/>
        </w:rPr>
      </w:pPr>
      <w:bookmarkStart w:id="406" w:name="_Toc19435_WPSOffice_Level2"/>
      <w:r>
        <w:rPr>
          <w:rFonts w:hint="eastAsia" w:ascii="宋体" w:hAnsi="宋体" w:cs="宋体"/>
          <w:bCs/>
          <w:szCs w:val="21"/>
        </w:rPr>
        <w:t>1.法定代表人/单位负责人身份证明（法定代表人/单位负责人投标时适用）；</w:t>
      </w:r>
    </w:p>
    <w:p>
      <w:pPr>
        <w:snapToGrid w:val="0"/>
        <w:spacing w:line="440" w:lineRule="exact"/>
        <w:ind w:firstLine="420" w:firstLineChars="200"/>
        <w:rPr>
          <w:rFonts w:ascii="宋体" w:hAnsi="宋体" w:cs="宋体"/>
          <w:bCs/>
          <w:szCs w:val="21"/>
        </w:rPr>
      </w:pPr>
      <w:r>
        <w:rPr>
          <w:rFonts w:hint="eastAsia" w:ascii="宋体" w:hAnsi="宋体" w:cs="宋体"/>
          <w:bCs/>
          <w:szCs w:val="21"/>
        </w:rPr>
        <w:t>2.法定代表人/单位负责人授权委托书（授权委托人投标时适用）；</w:t>
      </w:r>
    </w:p>
    <w:p>
      <w:pPr>
        <w:snapToGrid w:val="0"/>
        <w:spacing w:line="440" w:lineRule="exact"/>
        <w:ind w:firstLine="420" w:firstLineChars="200"/>
        <w:rPr>
          <w:rFonts w:ascii="宋体" w:hAnsi="宋体" w:cs="宋体"/>
          <w:bCs/>
          <w:szCs w:val="21"/>
        </w:rPr>
      </w:pPr>
      <w:r>
        <w:rPr>
          <w:rFonts w:hint="eastAsia" w:ascii="宋体" w:hAnsi="宋体" w:cs="宋体"/>
          <w:bCs/>
          <w:szCs w:val="21"/>
        </w:rPr>
        <w:t>3.提供与其他供应商之间，单位负责人不为同一人而且不存在直接控股、管理关系的承诺函；</w:t>
      </w:r>
    </w:p>
    <w:p>
      <w:pPr>
        <w:snapToGrid w:val="0"/>
        <w:spacing w:line="440" w:lineRule="exact"/>
        <w:ind w:firstLine="420" w:firstLineChars="200"/>
        <w:rPr>
          <w:rFonts w:ascii="宋体" w:hAnsi="宋体" w:cs="宋体"/>
          <w:bCs/>
          <w:szCs w:val="21"/>
        </w:rPr>
      </w:pPr>
      <w:r>
        <w:rPr>
          <w:rFonts w:hint="eastAsia" w:ascii="宋体" w:hAnsi="宋体" w:cs="宋体"/>
          <w:bCs/>
          <w:szCs w:val="21"/>
        </w:rPr>
        <w:t>4.提供未参加过本项目整体设计、规范编制或者项目管理、监理、检测等服务的承诺函；</w:t>
      </w:r>
    </w:p>
    <w:p>
      <w:pPr>
        <w:pStyle w:val="12"/>
        <w:snapToGrid w:val="0"/>
        <w:spacing w:after="0" w:line="440" w:lineRule="exact"/>
        <w:ind w:firstLine="420" w:firstLineChars="200"/>
        <w:rPr>
          <w:rFonts w:ascii="宋体" w:hAnsi="宋体" w:cs="宋体"/>
          <w:bCs/>
          <w:szCs w:val="21"/>
        </w:rPr>
      </w:pPr>
      <w:r>
        <w:rPr>
          <w:rFonts w:hint="eastAsia" w:ascii="宋体" w:hAnsi="宋体" w:cs="宋体"/>
          <w:bCs/>
          <w:szCs w:val="21"/>
        </w:rPr>
        <w:t>5.提供不存在和其他供应商在同一合同项下的采购项目中，同时委托同一个自然人、同一家庭的人员、同一单位的人员作为代理人的行为的承诺函。</w:t>
      </w:r>
    </w:p>
    <w:p>
      <w:pPr>
        <w:snapToGrid w:val="0"/>
        <w:spacing w:line="440" w:lineRule="exact"/>
        <w:ind w:firstLine="420" w:firstLineChars="200"/>
        <w:rPr>
          <w:rFonts w:ascii="宋体" w:hAnsi="宋体" w:cs="宋体"/>
          <w:bCs/>
          <w:szCs w:val="21"/>
        </w:rPr>
      </w:pPr>
      <w:r>
        <w:rPr>
          <w:rFonts w:hint="eastAsia" w:ascii="宋体" w:hAnsi="宋体" w:cs="宋体"/>
          <w:bCs/>
          <w:szCs w:val="21"/>
        </w:rPr>
        <w:t>6.提供供应商在投标截止日前未被财政部门记入诚信档案的且在有效期内的失信行为的承诺函；</w:t>
      </w:r>
    </w:p>
    <w:p>
      <w:pPr>
        <w:snapToGrid w:val="0"/>
        <w:spacing w:line="440" w:lineRule="exact"/>
        <w:ind w:firstLine="420" w:firstLineChars="200"/>
        <w:rPr>
          <w:rFonts w:ascii="宋体" w:hAnsi="宋体" w:cs="宋体"/>
          <w:bCs/>
          <w:szCs w:val="21"/>
        </w:rPr>
      </w:pPr>
      <w:r>
        <w:rPr>
          <w:rFonts w:hint="eastAsia" w:ascii="宋体" w:hAnsi="宋体" w:cs="宋体"/>
          <w:bCs/>
          <w:szCs w:val="21"/>
        </w:rPr>
        <w:t>7.提供供应商在投标截止日前未被工商部门、税务部门、审判机关及其他有关部门单位认定且处于有效期内的失信行为的承诺函；</w:t>
      </w:r>
    </w:p>
    <w:p>
      <w:pPr>
        <w:snapToGrid w:val="0"/>
        <w:spacing w:line="440" w:lineRule="exact"/>
        <w:ind w:firstLine="420" w:firstLineChars="200"/>
        <w:rPr>
          <w:rFonts w:ascii="宋体" w:hAnsi="宋体" w:cs="宋体"/>
          <w:bCs/>
          <w:szCs w:val="21"/>
        </w:rPr>
      </w:pPr>
      <w:r>
        <w:rPr>
          <w:rFonts w:hint="eastAsia" w:ascii="宋体" w:hAnsi="宋体" w:cs="宋体"/>
          <w:bCs/>
          <w:szCs w:val="21"/>
        </w:rPr>
        <w:t>8.提供供应商及其现任法定代表人、主要负责人在前三年内无行贿犯罪记录的承诺函；</w:t>
      </w:r>
    </w:p>
    <w:p>
      <w:pPr>
        <w:pStyle w:val="12"/>
        <w:snapToGrid w:val="0"/>
        <w:spacing w:after="0" w:line="440" w:lineRule="exact"/>
        <w:ind w:firstLine="420" w:firstLineChars="200"/>
        <w:rPr>
          <w:rFonts w:ascii="宋体" w:hAnsi="宋体" w:cs="宋体"/>
          <w:bCs/>
          <w:szCs w:val="21"/>
        </w:rPr>
      </w:pPr>
      <w:r>
        <w:rPr>
          <w:rFonts w:hint="eastAsia" w:ascii="宋体" w:hAnsi="宋体" w:cs="宋体"/>
          <w:bCs/>
          <w:szCs w:val="21"/>
        </w:rPr>
        <w:t>9.提供供应商不得为“信用中国”网站(www.creditchina.gov.cn)中列入失信被执行人和重大税收违法案件当事人名单的供应商，不得为中国政府采购网(www.ccgp.gov.cn)政府采购严重违法失信行为记录名单中被财政部门禁止参加政府采购活动的信用查询结果网页截图（信用信息查询在招标公告发布之日起至磋商截止时间之前均有效）。</w:t>
      </w:r>
    </w:p>
    <w:bookmarkEnd w:id="349"/>
    <w:bookmarkEnd w:id="406"/>
    <w:p>
      <w:pPr>
        <w:snapToGrid w:val="0"/>
        <w:spacing w:line="440" w:lineRule="exact"/>
        <w:ind w:firstLine="420" w:firstLineChars="200"/>
        <w:rPr>
          <w:rFonts w:ascii="宋体" w:hAnsi="宋体" w:cs="宋体"/>
          <w:szCs w:val="21"/>
        </w:rPr>
      </w:pPr>
      <w:r>
        <w:rPr>
          <w:rFonts w:hint="eastAsia" w:ascii="宋体" w:hAnsi="宋体" w:cs="宋体"/>
          <w:szCs w:val="21"/>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widowControl/>
        <w:snapToGrid w:val="0"/>
        <w:spacing w:line="440" w:lineRule="exact"/>
        <w:ind w:firstLine="420" w:firstLineChars="200"/>
        <w:jc w:val="left"/>
        <w:rPr>
          <w:rFonts w:ascii="宋体" w:hAnsi="宋体" w:cs="宋体"/>
          <w:kern w:val="0"/>
          <w:szCs w:val="21"/>
        </w:rPr>
        <w:sectPr>
          <w:pgSz w:w="11907" w:h="16840"/>
          <w:pgMar w:top="1134" w:right="1134" w:bottom="1134" w:left="1134" w:header="851" w:footer="850" w:gutter="0"/>
          <w:pgNumType w:fmt="decimal"/>
          <w:cols w:space="0" w:num="1"/>
          <w:docGrid w:type="lines" w:linePitch="312" w:charSpace="0"/>
        </w:sectPr>
      </w:pPr>
      <w:r>
        <w:rPr>
          <w:rFonts w:hint="eastAsia" w:ascii="宋体" w:hAnsi="宋体" w:cs="宋体"/>
          <w:szCs w:val="21"/>
        </w:rPr>
        <w:t>2、</w:t>
      </w:r>
      <w:r>
        <w:rPr>
          <w:rFonts w:hint="eastAsia" w:ascii="宋体" w:hAnsi="宋体" w:cs="宋体"/>
          <w:kern w:val="0"/>
          <w:szCs w:val="21"/>
        </w:rPr>
        <w:t>上述材料要求为原件的，供应商必须提供原件，无原件要求的，提供原件或加盖供应商公章的复印件（或扫描件）。</w:t>
      </w:r>
    </w:p>
    <w:p>
      <w:pPr>
        <w:pStyle w:val="108"/>
        <w:numPr>
          <w:ilvl w:val="0"/>
          <w:numId w:val="0"/>
        </w:numPr>
        <w:spacing w:before="156" w:after="156" w:line="360" w:lineRule="auto"/>
      </w:pPr>
      <w:bookmarkStart w:id="407" w:name="_Toc511206479"/>
      <w:bookmarkStart w:id="408" w:name="_Toc10640"/>
      <w:bookmarkStart w:id="409" w:name="_Toc18716"/>
      <w:bookmarkStart w:id="410" w:name="_Toc7506_WPSOffice_Level1"/>
      <w:bookmarkStart w:id="411" w:name="_Toc5005026"/>
      <w:bookmarkStart w:id="412" w:name="_Toc19688"/>
      <w:bookmarkStart w:id="413" w:name="_Toc8118"/>
      <w:bookmarkStart w:id="414" w:name="_Toc3080"/>
      <w:bookmarkStart w:id="415" w:name="_Toc18520"/>
      <w:bookmarkStart w:id="416" w:name="_Toc20251"/>
      <w:bookmarkStart w:id="417" w:name="_Toc9944"/>
      <w:bookmarkStart w:id="418" w:name="_Toc12569"/>
      <w:r>
        <w:rPr>
          <w:rFonts w:hint="eastAsia"/>
        </w:rPr>
        <w:t xml:space="preserve">第五章  </w:t>
      </w:r>
      <w:bookmarkEnd w:id="211"/>
      <w:bookmarkEnd w:id="212"/>
      <w:bookmarkEnd w:id="213"/>
      <w:bookmarkEnd w:id="214"/>
      <w:bookmarkEnd w:id="215"/>
      <w:bookmarkEnd w:id="407"/>
      <w:bookmarkEnd w:id="408"/>
      <w:bookmarkEnd w:id="409"/>
      <w:bookmarkEnd w:id="410"/>
      <w:bookmarkEnd w:id="411"/>
      <w:bookmarkStart w:id="419" w:name="_Toc511206480"/>
      <w:bookmarkStart w:id="420" w:name="_Toc217446057"/>
      <w:bookmarkStart w:id="421" w:name="_Toc183582232"/>
      <w:bookmarkStart w:id="422" w:name="_Toc183682369"/>
      <w:r>
        <w:rPr>
          <w:rFonts w:hint="eastAsia"/>
        </w:rPr>
        <w:t>采购项目技术、服务、采购合同内容条款及商务要求</w:t>
      </w:r>
      <w:bookmarkEnd w:id="412"/>
      <w:bookmarkEnd w:id="413"/>
      <w:bookmarkEnd w:id="414"/>
      <w:bookmarkEnd w:id="415"/>
      <w:bookmarkEnd w:id="416"/>
      <w:bookmarkEnd w:id="417"/>
      <w:bookmarkEnd w:id="418"/>
    </w:p>
    <w:p>
      <w:pPr>
        <w:spacing w:line="440" w:lineRule="exact"/>
        <w:ind w:firstLine="422" w:firstLineChars="200"/>
        <w:jc w:val="left"/>
        <w:rPr>
          <w:rFonts w:ascii="宋体" w:hAnsi="宋体" w:cs="宋体"/>
          <w:b/>
          <w:bCs/>
          <w:color w:val="000000"/>
          <w:kern w:val="0"/>
          <w:szCs w:val="21"/>
          <w:lang w:bidi="ar"/>
        </w:rPr>
      </w:pPr>
      <w:bookmarkStart w:id="423" w:name="_Toc26447"/>
      <w:bookmarkStart w:id="424" w:name="_Toc5005028"/>
      <w:r>
        <w:rPr>
          <w:rFonts w:hint="eastAsia" w:ascii="宋体" w:hAnsi="宋体" w:cs="宋体"/>
          <w:b/>
          <w:bCs/>
          <w:color w:val="000000"/>
          <w:kern w:val="0"/>
          <w:szCs w:val="21"/>
          <w:lang w:bidi="ar"/>
        </w:rPr>
        <w:t>注：带★的内容为实质性要求，供应商必须完全响应，否则作废标处理。</w:t>
      </w:r>
    </w:p>
    <w:p>
      <w:pPr>
        <w:spacing w:line="440" w:lineRule="exact"/>
        <w:ind w:firstLine="422" w:firstLineChars="200"/>
        <w:jc w:val="left"/>
        <w:outlineLvl w:val="1"/>
        <w:rPr>
          <w:rFonts w:ascii="宋体" w:hAnsi="宋体" w:cs="宋体"/>
          <w:b/>
          <w:bCs/>
          <w:color w:val="000000"/>
          <w:kern w:val="0"/>
          <w:szCs w:val="21"/>
          <w:lang w:bidi="ar"/>
        </w:rPr>
      </w:pPr>
      <w:bookmarkStart w:id="425" w:name="_Toc7488"/>
      <w:bookmarkStart w:id="426" w:name="_Toc7718"/>
      <w:bookmarkStart w:id="427" w:name="_Toc3051"/>
      <w:bookmarkStart w:id="428" w:name="_Toc11962"/>
      <w:bookmarkStart w:id="429" w:name="_Toc2286"/>
      <w:bookmarkStart w:id="430" w:name="_Toc1650"/>
      <w:r>
        <w:rPr>
          <w:rFonts w:hint="eastAsia" w:ascii="宋体" w:hAnsi="宋体" w:cs="宋体"/>
          <w:b/>
          <w:bCs/>
          <w:color w:val="000000"/>
          <w:kern w:val="0"/>
          <w:szCs w:val="21"/>
          <w:lang w:bidi="ar"/>
        </w:rPr>
        <w:t>一、项目概述</w:t>
      </w:r>
      <w:bookmarkEnd w:id="423"/>
      <w:bookmarkEnd w:id="425"/>
      <w:bookmarkEnd w:id="426"/>
      <w:bookmarkEnd w:id="427"/>
      <w:bookmarkEnd w:id="428"/>
      <w:bookmarkEnd w:id="429"/>
      <w:bookmarkEnd w:id="430"/>
    </w:p>
    <w:p>
      <w:pPr>
        <w:snapToGrid w:val="0"/>
        <w:spacing w:line="440" w:lineRule="exact"/>
        <w:ind w:firstLine="420" w:firstLineChars="200"/>
        <w:rPr>
          <w:rFonts w:ascii="宋体" w:hAnsi="宋体" w:cs="宋体"/>
          <w:szCs w:val="21"/>
        </w:rPr>
      </w:pPr>
      <w:r>
        <w:rPr>
          <w:rFonts w:hint="eastAsia"/>
          <w:szCs w:val="21"/>
        </w:rPr>
        <w:t>四川天府新区生态环境和城市管理局</w:t>
      </w:r>
      <w:r>
        <w:rPr>
          <w:rFonts w:hint="eastAsia" w:ascii="宋体" w:hAnsi="宋体" w:cs="宋体"/>
          <w:spacing w:val="-4"/>
          <w:szCs w:val="21"/>
        </w:rPr>
        <w:t>拟采用竞争性磋商方式，选择2家供应商提供柴油车及非道路移动机械加监督抽测服务。本项目共2个包：第1包：柴油车尾气监督抽测，选出成交供应商1名；第2包：非道路移动机械监督抽测，选出成交供应商1名。</w:t>
      </w:r>
    </w:p>
    <w:p>
      <w:pPr>
        <w:spacing w:line="440" w:lineRule="exact"/>
        <w:ind w:firstLine="422" w:firstLineChars="200"/>
        <w:jc w:val="left"/>
        <w:outlineLvl w:val="1"/>
        <w:rPr>
          <w:rFonts w:ascii="宋体" w:hAnsi="宋体" w:cs="宋体"/>
          <w:b/>
          <w:bCs/>
          <w:color w:val="000000"/>
          <w:kern w:val="0"/>
          <w:szCs w:val="21"/>
          <w:lang w:bidi="ar"/>
        </w:rPr>
      </w:pPr>
      <w:bookmarkStart w:id="431" w:name="_Toc16013"/>
      <w:bookmarkStart w:id="432" w:name="_Toc17296"/>
      <w:bookmarkStart w:id="433" w:name="_Toc12534"/>
      <w:bookmarkStart w:id="434" w:name="_Toc13139"/>
      <w:bookmarkStart w:id="435" w:name="_Toc31770"/>
      <w:bookmarkStart w:id="436" w:name="_Toc6320"/>
      <w:bookmarkStart w:id="437" w:name="_Toc20403"/>
      <w:r>
        <w:rPr>
          <w:rFonts w:hint="eastAsia" w:ascii="宋体" w:hAnsi="宋体" w:cs="宋体"/>
          <w:b/>
          <w:bCs/>
          <w:color w:val="000000"/>
          <w:kern w:val="0"/>
          <w:szCs w:val="21"/>
          <w:lang w:bidi="ar"/>
        </w:rPr>
        <w:t>二、服务内容及要求</w:t>
      </w:r>
      <w:bookmarkEnd w:id="431"/>
      <w:bookmarkEnd w:id="432"/>
      <w:bookmarkEnd w:id="433"/>
      <w:bookmarkEnd w:id="434"/>
      <w:bookmarkEnd w:id="435"/>
      <w:bookmarkEnd w:id="436"/>
      <w:bookmarkEnd w:id="437"/>
    </w:p>
    <w:p>
      <w:pPr>
        <w:spacing w:line="440" w:lineRule="exact"/>
        <w:ind w:firstLine="422" w:firstLineChars="200"/>
        <w:jc w:val="left"/>
        <w:outlineLvl w:val="1"/>
        <w:rPr>
          <w:rFonts w:ascii="宋体" w:hAnsi="宋体" w:cs="宋体"/>
          <w:b/>
          <w:bCs/>
          <w:color w:val="000000"/>
          <w:kern w:val="0"/>
          <w:szCs w:val="21"/>
          <w:lang w:bidi="ar"/>
        </w:rPr>
      </w:pPr>
      <w:bookmarkStart w:id="438" w:name="_Toc2341"/>
      <w:bookmarkStart w:id="439" w:name="_Toc4605"/>
      <w:bookmarkStart w:id="440" w:name="_Toc10820"/>
      <w:bookmarkStart w:id="441" w:name="_Toc11029"/>
      <w:bookmarkStart w:id="442" w:name="_Toc32108"/>
      <w:bookmarkStart w:id="443" w:name="_Toc30978"/>
      <w:bookmarkStart w:id="444" w:name="_Toc16879"/>
      <w:r>
        <w:rPr>
          <w:rFonts w:hint="eastAsia" w:ascii="宋体" w:hAnsi="宋体" w:cs="宋体"/>
          <w:b/>
          <w:bCs/>
          <w:color w:val="000000"/>
          <w:kern w:val="0"/>
          <w:szCs w:val="21"/>
          <w:lang w:bidi="ar"/>
        </w:rPr>
        <w:t>（1）第一包</w:t>
      </w:r>
      <w:bookmarkEnd w:id="438"/>
      <w:bookmarkEnd w:id="439"/>
      <w:bookmarkEnd w:id="440"/>
      <w:bookmarkEnd w:id="441"/>
      <w:bookmarkEnd w:id="442"/>
      <w:bookmarkEnd w:id="443"/>
      <w:bookmarkEnd w:id="444"/>
    </w:p>
    <w:p>
      <w:pPr>
        <w:snapToGrid w:val="0"/>
        <w:spacing w:line="440" w:lineRule="exact"/>
        <w:ind w:firstLine="422" w:firstLineChars="200"/>
        <w:rPr>
          <w:szCs w:val="21"/>
        </w:rPr>
      </w:pPr>
      <w:r>
        <w:rPr>
          <w:rFonts w:hint="eastAsia" w:ascii="宋体" w:hAnsi="宋体" w:cs="宋体"/>
          <w:b/>
          <w:bCs/>
          <w:color w:val="000000"/>
          <w:kern w:val="0"/>
          <w:szCs w:val="21"/>
          <w:lang w:bidi="ar"/>
        </w:rPr>
        <w:t>★</w:t>
      </w:r>
      <w:r>
        <w:rPr>
          <w:rFonts w:hint="eastAsia"/>
          <w:szCs w:val="21"/>
        </w:rPr>
        <w:t>1、供应商应按照《柴油车污染物排放限值及测量方法（自由加速法及加载减速法）》GB3847-2018等标准在</w:t>
      </w:r>
      <w:r>
        <w:rPr>
          <w:rFonts w:hint="eastAsia"/>
          <w:szCs w:val="21"/>
          <w:lang w:eastAsia="zh-CN"/>
        </w:rPr>
        <w:t>今年年底之前</w:t>
      </w:r>
      <w:r>
        <w:rPr>
          <w:rFonts w:hint="eastAsia"/>
          <w:szCs w:val="21"/>
        </w:rPr>
        <w:t>对天府新区内不低于4000辆柴油车尾气进行监督抽测。</w:t>
      </w:r>
    </w:p>
    <w:p>
      <w:pPr>
        <w:snapToGrid w:val="0"/>
        <w:spacing w:line="440" w:lineRule="exact"/>
        <w:ind w:firstLine="420" w:firstLineChars="200"/>
        <w:rPr>
          <w:szCs w:val="21"/>
        </w:rPr>
      </w:pPr>
      <w:r>
        <w:rPr>
          <w:rFonts w:hint="eastAsia"/>
          <w:szCs w:val="21"/>
        </w:rPr>
        <w:t>2、供应商应严格遵守国家相关法律法规，按照《柴油车污染物排放限值及测量方法（自由加速法及加载减速法）》GB3847-2018等标准规范的要求编制本项目检测方案并报送采购人确认，方案应包括但不限于检查内容、项目实施方案（①项目管理机构配置；②时间安排及响应；③技术检测方法；④应急处理；⑤质量控制措施；⑥风险管控方案等）、结果评价等环节，并按照采购人确认的检测方案实施，向采购人提交符合规范的监测报告。</w:t>
      </w:r>
    </w:p>
    <w:p>
      <w:pPr>
        <w:snapToGrid w:val="0"/>
        <w:spacing w:line="440" w:lineRule="exact"/>
        <w:ind w:firstLine="422" w:firstLineChars="200"/>
        <w:rPr>
          <w:szCs w:val="21"/>
        </w:rPr>
      </w:pPr>
      <w:r>
        <w:rPr>
          <w:rFonts w:hint="eastAsia" w:ascii="宋体" w:hAnsi="宋体" w:cs="宋体"/>
          <w:b/>
          <w:bCs/>
          <w:color w:val="000000"/>
          <w:kern w:val="0"/>
          <w:szCs w:val="21"/>
          <w:lang w:bidi="ar"/>
        </w:rPr>
        <w:t>★</w:t>
      </w:r>
      <w:r>
        <w:rPr>
          <w:rFonts w:hint="eastAsia"/>
          <w:szCs w:val="21"/>
        </w:rPr>
        <w:t>3、供应商应制定项目实施方案并严格进行质量控制，包括从现场检查到出具监测报告全过程的质量控制。</w:t>
      </w:r>
    </w:p>
    <w:p>
      <w:pPr>
        <w:snapToGrid w:val="0"/>
        <w:spacing w:line="440" w:lineRule="exact"/>
        <w:ind w:firstLine="420" w:firstLineChars="200"/>
        <w:rPr>
          <w:szCs w:val="21"/>
        </w:rPr>
      </w:pPr>
      <w:r>
        <w:rPr>
          <w:rFonts w:hint="eastAsia"/>
          <w:szCs w:val="21"/>
        </w:rPr>
        <w:t>4、供应商应为本项目配备5人及以上专职技术人员，要求人员按照规范进行安全操作，任何服务期间出现的安全问题，所有责任均由成交供应商承担。</w:t>
      </w:r>
    </w:p>
    <w:p>
      <w:pPr>
        <w:snapToGrid w:val="0"/>
        <w:spacing w:line="440" w:lineRule="exact"/>
        <w:ind w:firstLine="422" w:firstLineChars="200"/>
        <w:rPr>
          <w:rFonts w:hint="eastAsia"/>
          <w:szCs w:val="21"/>
        </w:rPr>
      </w:pPr>
      <w:r>
        <w:rPr>
          <w:rFonts w:hint="eastAsia" w:ascii="宋体" w:hAnsi="宋体" w:cs="宋体"/>
          <w:b/>
          <w:bCs/>
          <w:color w:val="000000"/>
          <w:kern w:val="0"/>
          <w:szCs w:val="21"/>
          <w:lang w:bidi="ar"/>
        </w:rPr>
        <w:t>★</w:t>
      </w:r>
      <w:r>
        <w:rPr>
          <w:rFonts w:hint="eastAsia"/>
          <w:szCs w:val="21"/>
        </w:rPr>
        <w:t>5、供应商应在采购人发出监测指令2小时内及时安排开展检测工作，在</w:t>
      </w:r>
      <w:r>
        <w:rPr>
          <w:rFonts w:hint="eastAsia"/>
          <w:szCs w:val="21"/>
          <w:lang w:eastAsia="zh-CN"/>
        </w:rPr>
        <w:t>每次</w:t>
      </w:r>
      <w:r>
        <w:rPr>
          <w:rFonts w:hint="eastAsia"/>
          <w:szCs w:val="21"/>
        </w:rPr>
        <w:t>检测完成后10个工作日内出具检测报告</w:t>
      </w:r>
      <w:r>
        <w:rPr>
          <w:rFonts w:hint="eastAsia"/>
          <w:szCs w:val="21"/>
          <w:lang w:eastAsia="zh-CN"/>
        </w:rPr>
        <w:t>（提供承诺函）</w:t>
      </w:r>
      <w:r>
        <w:rPr>
          <w:rFonts w:hint="eastAsia"/>
          <w:szCs w:val="21"/>
        </w:rPr>
        <w:t>。具体检测任务的时间、地点以采购人通知为准。供应商应须服从采购人的工作安排，在接到采购人任务通知后，如无正当理由须按照要求在规定时限内到达现场开展检测工作，如有特殊情况不能达到或需延后到达的须提前说明，采购人视情况调整针对该供应商的本次任务。</w:t>
      </w:r>
    </w:p>
    <w:p>
      <w:pPr>
        <w:snapToGrid w:val="0"/>
        <w:spacing w:line="440" w:lineRule="exact"/>
        <w:ind w:firstLine="422" w:firstLineChars="200"/>
        <w:rPr>
          <w:szCs w:val="21"/>
        </w:rPr>
      </w:pPr>
      <w:r>
        <w:rPr>
          <w:rFonts w:hint="eastAsia" w:ascii="宋体" w:hAnsi="宋体" w:cs="宋体"/>
          <w:b/>
          <w:bCs/>
          <w:color w:val="000000"/>
          <w:kern w:val="0"/>
          <w:szCs w:val="21"/>
          <w:lang w:bidi="ar"/>
        </w:rPr>
        <w:t>★</w:t>
      </w:r>
      <w:r>
        <w:rPr>
          <w:rFonts w:hint="eastAsia"/>
          <w:szCs w:val="21"/>
        </w:rPr>
        <w:t>6、供应商现场检测人员在检测过程应全程录音录像；检测结束后填写现场检测原始记录表，并由现场检测相关人员在原始记录表上签字确认。</w:t>
      </w:r>
    </w:p>
    <w:p>
      <w:pPr>
        <w:snapToGrid w:val="0"/>
        <w:spacing w:line="440" w:lineRule="exact"/>
        <w:ind w:firstLine="422" w:firstLineChars="200"/>
        <w:rPr>
          <w:szCs w:val="21"/>
        </w:rPr>
      </w:pPr>
      <w:r>
        <w:rPr>
          <w:rFonts w:hint="eastAsia" w:ascii="宋体" w:hAnsi="宋体" w:cs="宋体"/>
          <w:b/>
          <w:bCs/>
          <w:color w:val="000000"/>
          <w:kern w:val="0"/>
          <w:szCs w:val="21"/>
          <w:lang w:bidi="ar"/>
        </w:rPr>
        <w:t>★</w:t>
      </w:r>
      <w:r>
        <w:rPr>
          <w:rFonts w:hint="eastAsia"/>
          <w:szCs w:val="21"/>
        </w:rPr>
        <w:t>7、供应商所出具的检测报告为纸质报告，</w:t>
      </w:r>
      <w:r>
        <w:rPr>
          <w:rFonts w:hint="eastAsia"/>
          <w:szCs w:val="21"/>
          <w:lang w:eastAsia="zh-CN"/>
        </w:rPr>
        <w:t>每次检测后</w:t>
      </w:r>
      <w:r>
        <w:rPr>
          <w:rFonts w:hint="eastAsia"/>
          <w:szCs w:val="21"/>
        </w:rPr>
        <w:t>需提交一式贰份并加盖计量认证专用章（CMA），报告内容必须包括检测地点及检测项目及分析方法、监测结果及评价标准、评价结果等内容。供应商对提交的检测报告承担法律责任。</w:t>
      </w:r>
    </w:p>
    <w:p>
      <w:pPr>
        <w:spacing w:line="440" w:lineRule="exact"/>
        <w:ind w:firstLine="422" w:firstLineChars="200"/>
        <w:jc w:val="left"/>
        <w:outlineLvl w:val="1"/>
        <w:rPr>
          <w:rFonts w:ascii="宋体" w:hAnsi="宋体" w:cs="宋体"/>
          <w:b/>
          <w:bCs/>
          <w:color w:val="000000"/>
          <w:kern w:val="0"/>
          <w:szCs w:val="21"/>
          <w:lang w:bidi="ar"/>
        </w:rPr>
      </w:pPr>
      <w:bookmarkStart w:id="445" w:name="_Toc11536"/>
      <w:bookmarkStart w:id="446" w:name="_Toc3726"/>
      <w:bookmarkStart w:id="447" w:name="_Toc30474"/>
      <w:bookmarkStart w:id="448" w:name="_Toc10810"/>
      <w:bookmarkStart w:id="449" w:name="_Toc19533"/>
      <w:bookmarkStart w:id="450" w:name="_Toc13196"/>
      <w:bookmarkStart w:id="451" w:name="_Toc18942"/>
      <w:r>
        <w:rPr>
          <w:rFonts w:hint="eastAsia" w:ascii="宋体" w:hAnsi="宋体" w:cs="宋体"/>
          <w:b/>
          <w:bCs/>
          <w:color w:val="000000"/>
          <w:kern w:val="0"/>
          <w:szCs w:val="21"/>
          <w:lang w:bidi="ar"/>
        </w:rPr>
        <w:t>（2）第二包</w:t>
      </w:r>
      <w:bookmarkEnd w:id="445"/>
      <w:bookmarkEnd w:id="446"/>
      <w:bookmarkEnd w:id="447"/>
      <w:bookmarkEnd w:id="448"/>
      <w:bookmarkEnd w:id="449"/>
      <w:bookmarkEnd w:id="450"/>
      <w:bookmarkEnd w:id="451"/>
    </w:p>
    <w:p>
      <w:pPr>
        <w:snapToGrid w:val="0"/>
        <w:spacing w:line="440" w:lineRule="exact"/>
        <w:ind w:firstLine="422" w:firstLineChars="200"/>
        <w:rPr>
          <w:szCs w:val="21"/>
        </w:rPr>
      </w:pPr>
      <w:r>
        <w:rPr>
          <w:rFonts w:hint="eastAsia" w:ascii="宋体" w:hAnsi="宋体" w:cs="宋体"/>
          <w:b/>
          <w:bCs/>
          <w:color w:val="000000"/>
          <w:kern w:val="0"/>
          <w:szCs w:val="21"/>
          <w:lang w:bidi="ar"/>
        </w:rPr>
        <w:t>★</w:t>
      </w:r>
      <w:r>
        <w:rPr>
          <w:rFonts w:hint="eastAsia"/>
          <w:szCs w:val="21"/>
        </w:rPr>
        <w:t>1、供应商应按照《非道路移动柴油机械排气烟度限值及测量方法》（GB36886-2018）等标准在</w:t>
      </w:r>
      <w:r>
        <w:rPr>
          <w:rFonts w:hint="eastAsia"/>
          <w:szCs w:val="21"/>
          <w:lang w:eastAsia="zh-CN"/>
        </w:rPr>
        <w:t>今年年底之前</w:t>
      </w:r>
      <w:r>
        <w:rPr>
          <w:rFonts w:hint="eastAsia"/>
          <w:szCs w:val="21"/>
        </w:rPr>
        <w:t>对天府新区内不低于405台非道路移动机械进行监督抽测。</w:t>
      </w:r>
    </w:p>
    <w:p>
      <w:pPr>
        <w:snapToGrid w:val="0"/>
        <w:spacing w:line="440" w:lineRule="exact"/>
        <w:ind w:firstLine="420" w:firstLineChars="200"/>
        <w:rPr>
          <w:szCs w:val="21"/>
        </w:rPr>
      </w:pPr>
      <w:bookmarkStart w:id="452" w:name="_Toc7981"/>
      <w:bookmarkStart w:id="453" w:name="_Toc8422"/>
      <w:bookmarkStart w:id="454" w:name="_Toc21754"/>
      <w:r>
        <w:rPr>
          <w:rFonts w:hint="eastAsia"/>
          <w:szCs w:val="21"/>
        </w:rPr>
        <w:t>2、供应商应严格遵守国家相关法律法规，按照《非道路移动柴油机械排气烟度限值及测量方法》（GB36886-2018）等标准规范的要求编制本项目检测方案并报送采购人确认，方案应包括但不限于检查内容、项目实施方案（①项目管理机构配置；②时间安排及响应；③技术检测方法；④应急处理；⑤质量控制措施；⑥风险管控方案等）、结果评价等环节，并按照采购人确认的检测方案实施，向采购人提交符合规范的监测报告。</w:t>
      </w:r>
    </w:p>
    <w:p>
      <w:pPr>
        <w:snapToGrid w:val="0"/>
        <w:spacing w:line="440" w:lineRule="exact"/>
        <w:ind w:firstLine="422" w:firstLineChars="200"/>
        <w:rPr>
          <w:szCs w:val="21"/>
        </w:rPr>
      </w:pPr>
      <w:r>
        <w:rPr>
          <w:rFonts w:hint="eastAsia" w:ascii="宋体" w:hAnsi="宋体" w:cs="宋体"/>
          <w:b/>
          <w:bCs/>
          <w:color w:val="000000"/>
          <w:kern w:val="0"/>
          <w:szCs w:val="21"/>
          <w:lang w:bidi="ar"/>
        </w:rPr>
        <w:t>★</w:t>
      </w:r>
      <w:r>
        <w:rPr>
          <w:rFonts w:hint="eastAsia"/>
          <w:szCs w:val="21"/>
        </w:rPr>
        <w:t>3、供应商应制定项目实施方案并严格进行质量控制，包括从现场检查到出具监测报告全过程的质量控制。</w:t>
      </w:r>
    </w:p>
    <w:p>
      <w:pPr>
        <w:snapToGrid w:val="0"/>
        <w:spacing w:line="440" w:lineRule="exact"/>
        <w:ind w:firstLine="420" w:firstLineChars="200"/>
        <w:rPr>
          <w:szCs w:val="21"/>
        </w:rPr>
      </w:pPr>
      <w:r>
        <w:rPr>
          <w:rFonts w:hint="eastAsia"/>
          <w:szCs w:val="21"/>
        </w:rPr>
        <w:t>4、供应商应为本项目配备5人及以上专职技术人员，要求人员按照规范进行安全操作，任何服务期间出现的安全问题，所有责任均由成交供应商承担。</w:t>
      </w:r>
    </w:p>
    <w:p>
      <w:pPr>
        <w:snapToGrid w:val="0"/>
        <w:spacing w:line="440" w:lineRule="exact"/>
        <w:ind w:firstLine="422" w:firstLineChars="200"/>
        <w:rPr>
          <w:rFonts w:hint="eastAsia" w:eastAsia="宋体"/>
          <w:szCs w:val="21"/>
          <w:lang w:eastAsia="zh-CN"/>
        </w:rPr>
      </w:pPr>
      <w:r>
        <w:rPr>
          <w:rFonts w:hint="eastAsia" w:ascii="宋体" w:hAnsi="宋体" w:cs="宋体"/>
          <w:b/>
          <w:bCs/>
          <w:color w:val="000000"/>
          <w:kern w:val="0"/>
          <w:szCs w:val="21"/>
          <w:lang w:bidi="ar"/>
        </w:rPr>
        <w:t>★</w:t>
      </w:r>
      <w:r>
        <w:rPr>
          <w:rFonts w:hint="eastAsia"/>
          <w:szCs w:val="21"/>
        </w:rPr>
        <w:t>5、供应商应在采购人发出监测指令2小时内及时安排开展检测工作，在</w:t>
      </w:r>
      <w:r>
        <w:rPr>
          <w:rFonts w:hint="eastAsia"/>
          <w:szCs w:val="21"/>
          <w:lang w:eastAsia="zh-CN"/>
        </w:rPr>
        <w:t>每次</w:t>
      </w:r>
      <w:r>
        <w:rPr>
          <w:rFonts w:hint="eastAsia"/>
          <w:szCs w:val="21"/>
        </w:rPr>
        <w:t>检测完成后10个工作日内出具检测报告（特殊情况除外）。具体检测任务的时间、地点以采购人通知为准。供应商应须服从采购人的工作安排，在接到采购人任务通知后，如无正当理由须按照要求在规定时限内到达现场开展检测工作，如有特殊情况不能达到或需延后到达的须提前说明，采购人视情况调整针对该供应商的本次任务。</w:t>
      </w:r>
      <w:r>
        <w:rPr>
          <w:rFonts w:hint="eastAsia"/>
          <w:szCs w:val="21"/>
          <w:lang w:eastAsia="zh-CN"/>
        </w:rPr>
        <w:t>（提供承诺函）</w:t>
      </w:r>
    </w:p>
    <w:p>
      <w:pPr>
        <w:snapToGrid w:val="0"/>
        <w:spacing w:line="440" w:lineRule="exact"/>
        <w:ind w:firstLine="422" w:firstLineChars="200"/>
        <w:rPr>
          <w:szCs w:val="21"/>
        </w:rPr>
      </w:pPr>
      <w:r>
        <w:rPr>
          <w:rFonts w:hint="eastAsia" w:ascii="宋体" w:hAnsi="宋体" w:cs="宋体"/>
          <w:b/>
          <w:bCs/>
          <w:color w:val="000000"/>
          <w:kern w:val="0"/>
          <w:szCs w:val="21"/>
          <w:lang w:bidi="ar"/>
        </w:rPr>
        <w:t>★</w:t>
      </w:r>
      <w:r>
        <w:rPr>
          <w:rFonts w:hint="eastAsia"/>
          <w:szCs w:val="21"/>
        </w:rPr>
        <w:t>6、供应商现场检测人员在检测过程应全程录音录像；检测结束后填写现场检测原始记录表，并由现场检测相关人员在原始记录表上签字确认。</w:t>
      </w:r>
    </w:p>
    <w:p>
      <w:pPr>
        <w:snapToGrid w:val="0"/>
        <w:spacing w:line="440" w:lineRule="exact"/>
        <w:ind w:firstLine="422" w:firstLineChars="200"/>
        <w:rPr>
          <w:szCs w:val="21"/>
        </w:rPr>
      </w:pPr>
      <w:r>
        <w:rPr>
          <w:rFonts w:hint="eastAsia" w:ascii="宋体" w:hAnsi="宋体" w:cs="宋体"/>
          <w:b/>
          <w:bCs/>
          <w:color w:val="000000"/>
          <w:kern w:val="0"/>
          <w:szCs w:val="21"/>
          <w:lang w:bidi="ar"/>
        </w:rPr>
        <w:t>★</w:t>
      </w:r>
      <w:r>
        <w:rPr>
          <w:rFonts w:hint="eastAsia"/>
          <w:szCs w:val="21"/>
        </w:rPr>
        <w:t>7、供应商所出具的检测报告为纸质报告，</w:t>
      </w:r>
      <w:r>
        <w:rPr>
          <w:rFonts w:hint="eastAsia"/>
          <w:szCs w:val="21"/>
          <w:lang w:eastAsia="zh-CN"/>
        </w:rPr>
        <w:t>每次检测后</w:t>
      </w:r>
      <w:r>
        <w:rPr>
          <w:rFonts w:hint="eastAsia"/>
          <w:szCs w:val="21"/>
        </w:rPr>
        <w:t>需提交一式贰份，报告内容必须包括检测地点及检测项目及分析方法、监测结果及评价标准、评价结果等内容。供应商对提交的检测报告承担法律责任。</w:t>
      </w:r>
    </w:p>
    <w:p>
      <w:pPr>
        <w:spacing w:line="440" w:lineRule="exact"/>
        <w:ind w:firstLine="422" w:firstLineChars="200"/>
        <w:jc w:val="left"/>
        <w:outlineLvl w:val="1"/>
        <w:rPr>
          <w:rFonts w:ascii="宋体" w:hAnsi="宋体" w:cs="宋体"/>
          <w:b/>
          <w:bCs/>
          <w:color w:val="000000"/>
          <w:kern w:val="0"/>
          <w:szCs w:val="21"/>
          <w:lang w:bidi="ar"/>
        </w:rPr>
      </w:pPr>
      <w:bookmarkStart w:id="455" w:name="_Toc28011"/>
      <w:bookmarkStart w:id="456" w:name="_Toc336"/>
      <w:bookmarkStart w:id="457" w:name="_Toc3142"/>
      <w:bookmarkStart w:id="458" w:name="_Toc2860"/>
      <w:bookmarkStart w:id="459" w:name="_Toc26835"/>
      <w:bookmarkStart w:id="460" w:name="_Toc17190"/>
      <w:bookmarkStart w:id="461" w:name="_Toc10857"/>
      <w:r>
        <w:rPr>
          <w:rFonts w:hint="eastAsia" w:ascii="宋体" w:hAnsi="宋体" w:cs="宋体"/>
          <w:b/>
          <w:bCs/>
          <w:color w:val="000000"/>
          <w:kern w:val="0"/>
          <w:szCs w:val="21"/>
          <w:lang w:bidi="ar"/>
        </w:rPr>
        <w:t>★三、商务要求</w:t>
      </w:r>
      <w:bookmarkEnd w:id="452"/>
      <w:bookmarkEnd w:id="453"/>
      <w:bookmarkEnd w:id="454"/>
      <w:bookmarkEnd w:id="455"/>
      <w:bookmarkEnd w:id="456"/>
      <w:bookmarkEnd w:id="457"/>
      <w:bookmarkEnd w:id="458"/>
      <w:bookmarkEnd w:id="459"/>
      <w:bookmarkEnd w:id="460"/>
      <w:bookmarkEnd w:id="461"/>
    </w:p>
    <w:p>
      <w:pPr>
        <w:snapToGrid w:val="0"/>
        <w:spacing w:line="440" w:lineRule="exact"/>
        <w:ind w:firstLine="420" w:firstLineChars="200"/>
        <w:rPr>
          <w:szCs w:val="21"/>
        </w:rPr>
      </w:pPr>
      <w:r>
        <w:rPr>
          <w:rFonts w:hint="eastAsia"/>
          <w:szCs w:val="21"/>
        </w:rPr>
        <w:t>1.供应商须对采购人所下达监测任务的内容、监测数据以及形成的监测报告等相关信息进行严格保密。</w:t>
      </w:r>
    </w:p>
    <w:p>
      <w:pPr>
        <w:snapToGrid w:val="0"/>
        <w:spacing w:line="440" w:lineRule="exact"/>
        <w:ind w:firstLine="420" w:firstLineChars="200"/>
        <w:rPr>
          <w:szCs w:val="21"/>
        </w:rPr>
      </w:pPr>
      <w:r>
        <w:rPr>
          <w:rFonts w:hint="eastAsia"/>
          <w:szCs w:val="21"/>
        </w:rPr>
        <w:t>2.因供应商自身原因造成重复监测由供应商自行负责，采购人不另行支付重复监测产生的费用。</w:t>
      </w:r>
    </w:p>
    <w:p>
      <w:pPr>
        <w:snapToGrid w:val="0"/>
        <w:spacing w:line="440" w:lineRule="exact"/>
        <w:ind w:firstLine="420" w:firstLineChars="200"/>
        <w:rPr>
          <w:szCs w:val="21"/>
        </w:rPr>
      </w:pPr>
      <w:r>
        <w:rPr>
          <w:rFonts w:hint="eastAsia"/>
          <w:szCs w:val="21"/>
        </w:rPr>
        <w:t>3.供应商在完成采购人所下达的监测任务过程中，如存在与监测对象有业务往来且监测内容与本项目完全一致或在合同履约期内的或其他需要回避的情形的，应主动向采购人提出</w:t>
      </w:r>
      <w:r>
        <w:rPr>
          <w:rStyle w:val="44"/>
          <w:rFonts w:hint="eastAsia" w:asciiTheme="minorHAnsi" w:hAnsiTheme="minorHAnsi" w:eastAsiaTheme="minorEastAsia" w:cstheme="minorBidi"/>
          <w:lang w:eastAsia="zh-CN"/>
        </w:rPr>
        <w:t>，如未提出</w:t>
      </w:r>
      <w:r>
        <w:rPr>
          <w:rFonts w:hint="eastAsia"/>
        </w:rPr>
        <w:t>被采购人或其他人发现的</w:t>
      </w:r>
      <w:r>
        <w:rPr>
          <w:rFonts w:hint="eastAsia"/>
          <w:lang w:eastAsia="zh-CN"/>
        </w:rPr>
        <w:t>，当次监测数量视为无效</w:t>
      </w:r>
      <w:r>
        <w:rPr>
          <w:rFonts w:hint="eastAsia"/>
          <w:szCs w:val="21"/>
        </w:rPr>
        <w:t>。</w:t>
      </w:r>
    </w:p>
    <w:p>
      <w:pPr>
        <w:snapToGrid w:val="0"/>
        <w:spacing w:line="440" w:lineRule="exact"/>
        <w:ind w:firstLine="420" w:firstLineChars="200"/>
        <w:rPr>
          <w:szCs w:val="21"/>
        </w:rPr>
      </w:pPr>
      <w:r>
        <w:rPr>
          <w:rFonts w:hint="eastAsia"/>
          <w:szCs w:val="21"/>
        </w:rPr>
        <w:t>4.检测时间及地点</w:t>
      </w:r>
    </w:p>
    <w:p>
      <w:pPr>
        <w:snapToGrid w:val="0"/>
        <w:spacing w:line="440" w:lineRule="exact"/>
        <w:ind w:firstLine="420" w:firstLineChars="200"/>
        <w:rPr>
          <w:szCs w:val="21"/>
        </w:rPr>
      </w:pPr>
      <w:r>
        <w:rPr>
          <w:rFonts w:hint="eastAsia"/>
          <w:szCs w:val="21"/>
        </w:rPr>
        <w:t>4.1检测时间：采购人实际通知为准；</w:t>
      </w:r>
    </w:p>
    <w:p>
      <w:pPr>
        <w:snapToGrid w:val="0"/>
        <w:spacing w:line="440" w:lineRule="exact"/>
        <w:ind w:firstLine="420" w:firstLineChars="200"/>
        <w:rPr>
          <w:szCs w:val="21"/>
        </w:rPr>
      </w:pPr>
      <w:r>
        <w:rPr>
          <w:rFonts w:hint="eastAsia"/>
          <w:szCs w:val="21"/>
        </w:rPr>
        <w:t>4.2检测地点：采购人指定。</w:t>
      </w:r>
    </w:p>
    <w:p>
      <w:pPr>
        <w:snapToGrid w:val="0"/>
        <w:spacing w:line="440" w:lineRule="exact"/>
        <w:ind w:firstLine="420" w:firstLineChars="200"/>
        <w:rPr>
          <w:szCs w:val="21"/>
        </w:rPr>
      </w:pPr>
      <w:r>
        <w:rPr>
          <w:rFonts w:hint="eastAsia"/>
          <w:szCs w:val="21"/>
        </w:rPr>
        <w:t>5.服务期限：采购合同中约定。</w:t>
      </w:r>
    </w:p>
    <w:p>
      <w:pPr>
        <w:snapToGrid w:val="0"/>
        <w:spacing w:line="440" w:lineRule="exact"/>
        <w:ind w:firstLine="420" w:firstLineChars="200"/>
        <w:rPr>
          <w:szCs w:val="21"/>
        </w:rPr>
      </w:pPr>
      <w:r>
        <w:rPr>
          <w:rFonts w:hint="eastAsia"/>
          <w:szCs w:val="21"/>
        </w:rPr>
        <w:t>6.付款方式：签订合同后15个工作日内支付首款为合同暂定总金额</w:t>
      </w:r>
      <w:r>
        <w:rPr>
          <w:rFonts w:hint="eastAsia"/>
          <w:szCs w:val="21"/>
          <w:lang w:val="en-US" w:eastAsia="zh-CN"/>
        </w:rPr>
        <w:t>5</w:t>
      </w:r>
      <w:r>
        <w:rPr>
          <w:rFonts w:hint="eastAsia"/>
          <w:szCs w:val="21"/>
        </w:rPr>
        <w:t>0%；待乙方完成本合同约定的所有检测工作，出具书面检测报告经甲方验收合格且乙方出具合法有效、金额准确的发票后15个工作日内，甲方向乙方支付尾款，尾款根据甲方确认的实际检测数进行结算，尾款=结算金额（即中选单价*实际检测数）-首款。乙方应当在甲方每次付款前出具合法有效、金额准确的发票，乙方未提供符合甲方要求的发票或延期提供发票的，甲方有权延迟支付且不承担任何违约责任。</w:t>
      </w:r>
    </w:p>
    <w:p>
      <w:pPr>
        <w:snapToGrid w:val="0"/>
        <w:spacing w:line="440" w:lineRule="exact"/>
        <w:ind w:firstLine="420" w:firstLineChars="200"/>
        <w:rPr>
          <w:szCs w:val="21"/>
        </w:rPr>
      </w:pPr>
      <w:r>
        <w:rPr>
          <w:rFonts w:hint="eastAsia"/>
          <w:szCs w:val="21"/>
        </w:rPr>
        <w:t>7.后续服务：成交供应商应在服务过程中对采购人提供技术咨询，并给采购人提供技术支持。</w:t>
      </w:r>
    </w:p>
    <w:p>
      <w:pPr>
        <w:spacing w:line="440" w:lineRule="exact"/>
        <w:ind w:firstLine="420" w:firstLineChars="200"/>
        <w:jc w:val="left"/>
        <w:rPr>
          <w:rFonts w:hint="eastAsia" w:ascii="宋体" w:hAnsi="宋体"/>
        </w:rPr>
      </w:pPr>
      <w:r>
        <w:rPr>
          <w:rFonts w:hint="eastAsia" w:ascii="Times New Roman" w:hAnsi="Times New Roman" w:eastAsia="宋体" w:cs="Times New Roman"/>
          <w:sz w:val="21"/>
          <w:szCs w:val="21"/>
          <w:lang w:val="en-US" w:eastAsia="zh-CN"/>
        </w:rPr>
        <w:t>8.</w:t>
      </w:r>
      <w:r>
        <w:rPr>
          <w:rFonts w:hint="eastAsia" w:ascii="宋体" w:hAnsi="宋体"/>
        </w:rPr>
        <w:t>采购人享有本项目实施过程中产生的知识成果及知识产权。</w:t>
      </w:r>
    </w:p>
    <w:p>
      <w:pPr>
        <w:spacing w:line="440" w:lineRule="exact"/>
        <w:ind w:firstLine="420" w:firstLineChars="200"/>
        <w:jc w:val="left"/>
        <w:rPr>
          <w:rFonts w:hint="eastAsia" w:ascii="宋体" w:hAnsi="宋体"/>
          <w:highlight w:val="none"/>
        </w:rPr>
      </w:pPr>
      <w:r>
        <w:rPr>
          <w:rFonts w:hint="eastAsia" w:ascii="宋体" w:hAnsi="宋体" w:eastAsiaTheme="minorEastAsia"/>
          <w:lang w:val="en-US" w:eastAsia="zh-CN"/>
        </w:rPr>
        <w:t>9.履约验收：</w:t>
      </w:r>
      <w:r>
        <w:rPr>
          <w:rFonts w:hint="eastAsia" w:ascii="宋体" w:hAnsi="宋体"/>
          <w:highlight w:val="none"/>
        </w:rPr>
        <w:t>参照《财政部关于进一步加强政府采购需求和履约验收管理的指导意见》(财库〔2016〕205号)</w:t>
      </w:r>
      <w:r>
        <w:rPr>
          <w:rFonts w:hint="eastAsia" w:ascii="宋体" w:hAnsi="宋体"/>
          <w:highlight w:val="none"/>
          <w:lang w:eastAsia="zh-CN"/>
        </w:rPr>
        <w:t>及采购人相关规定</w:t>
      </w:r>
      <w:r>
        <w:rPr>
          <w:rFonts w:hint="eastAsia" w:ascii="宋体" w:hAnsi="宋体"/>
          <w:highlight w:val="none"/>
        </w:rPr>
        <w:t>进行验收。</w:t>
      </w:r>
    </w:p>
    <w:p>
      <w:pPr>
        <w:spacing w:line="440" w:lineRule="exact"/>
        <w:ind w:firstLine="420" w:firstLineChars="200"/>
        <w:jc w:val="left"/>
        <w:rPr>
          <w:rFonts w:asciiTheme="minorEastAsia" w:hAnsiTheme="minorEastAsia" w:eastAsiaTheme="minorEastAsia" w:cstheme="minorEastAsia"/>
          <w:sz w:val="24"/>
        </w:rPr>
      </w:pPr>
      <w:r>
        <w:rPr>
          <w:rFonts w:hint="eastAsia" w:ascii="宋体" w:hAnsi="宋体" w:eastAsiaTheme="minorEastAsia"/>
          <w:highlight w:val="none"/>
          <w:lang w:val="en-US" w:eastAsia="zh-CN"/>
        </w:rPr>
        <w:t>10.违约条款：以“第九章采购合同”中规定为准。</w:t>
      </w:r>
      <w:r>
        <w:rPr>
          <w:rFonts w:hint="eastAsia" w:asciiTheme="minorEastAsia" w:hAnsiTheme="minorEastAsia" w:eastAsiaTheme="minorEastAsia" w:cstheme="minorEastAsia"/>
          <w:sz w:val="24"/>
        </w:rPr>
        <w:br w:type="page"/>
      </w:r>
    </w:p>
    <w:p>
      <w:pPr>
        <w:pStyle w:val="3"/>
      </w:pPr>
      <w:bookmarkStart w:id="462" w:name="_Toc13969"/>
      <w:bookmarkStart w:id="463" w:name="_Toc22515_WPSOffice_Level1"/>
      <w:bookmarkStart w:id="464" w:name="_Toc31817"/>
      <w:bookmarkStart w:id="465" w:name="_Toc25498"/>
      <w:bookmarkStart w:id="466" w:name="_Toc30706"/>
      <w:bookmarkStart w:id="467" w:name="_Toc29720"/>
      <w:bookmarkStart w:id="468" w:name="_Toc28313"/>
      <w:bookmarkStart w:id="469" w:name="_Toc6280"/>
      <w:bookmarkStart w:id="470" w:name="_Toc8153"/>
      <w:bookmarkStart w:id="471" w:name="_Toc20388"/>
      <w:r>
        <w:rPr>
          <w:rFonts w:hint="eastAsia"/>
        </w:rPr>
        <w:t>第六章  磋商内容、磋商过程中可实质性变动的内容</w:t>
      </w:r>
      <w:bookmarkEnd w:id="419"/>
      <w:bookmarkEnd w:id="424"/>
      <w:bookmarkEnd w:id="462"/>
      <w:bookmarkEnd w:id="463"/>
      <w:bookmarkEnd w:id="464"/>
      <w:bookmarkEnd w:id="465"/>
      <w:bookmarkEnd w:id="466"/>
      <w:bookmarkEnd w:id="467"/>
      <w:bookmarkEnd w:id="468"/>
      <w:bookmarkEnd w:id="469"/>
      <w:bookmarkEnd w:id="470"/>
      <w:bookmarkEnd w:id="471"/>
    </w:p>
    <w:p>
      <w:pPr>
        <w:tabs>
          <w:tab w:val="left" w:pos="7665"/>
        </w:tabs>
        <w:spacing w:line="360" w:lineRule="auto"/>
        <w:ind w:firstLine="480"/>
        <w:rPr>
          <w:rFonts w:ascii="宋体" w:hAnsi="宋体"/>
          <w:bCs/>
          <w:szCs w:val="21"/>
        </w:rPr>
      </w:pPr>
      <w:bookmarkStart w:id="472" w:name="PO_默认文件内容_28"/>
      <w:r>
        <w:rPr>
          <w:rFonts w:hAnsi="宋体"/>
          <w:szCs w:val="21"/>
        </w:rPr>
        <w:t>针对</w:t>
      </w:r>
      <w:r>
        <w:rPr>
          <w:rFonts w:hint="eastAsia" w:hAnsi="宋体"/>
          <w:szCs w:val="21"/>
        </w:rPr>
        <w:t>第五章、第九章</w:t>
      </w:r>
      <w:r>
        <w:rPr>
          <w:rFonts w:hAnsi="宋体"/>
          <w:szCs w:val="21"/>
        </w:rPr>
        <w:t>所包含的</w:t>
      </w:r>
      <w:r>
        <w:rPr>
          <w:rFonts w:hint="eastAsia" w:hAnsi="宋体"/>
          <w:szCs w:val="21"/>
        </w:rPr>
        <w:t>技术、服务要求以及合同草案条款</w:t>
      </w:r>
      <w:r>
        <w:rPr>
          <w:rFonts w:hAnsi="宋体"/>
          <w:szCs w:val="21"/>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360" w:lineRule="auto"/>
        <w:ind w:firstLine="480"/>
        <w:rPr>
          <w:rFonts w:ascii="宋体" w:hAnsi="宋体"/>
          <w:bCs/>
          <w:sz w:val="24"/>
        </w:rPr>
      </w:pPr>
    </w:p>
    <w:p>
      <w:pPr>
        <w:tabs>
          <w:tab w:val="left" w:pos="7665"/>
        </w:tabs>
        <w:spacing w:line="360" w:lineRule="auto"/>
        <w:ind w:firstLine="480"/>
        <w:rPr>
          <w:rFonts w:ascii="宋体" w:hAnsi="宋体"/>
          <w:bCs/>
          <w:sz w:val="24"/>
        </w:rPr>
      </w:pPr>
    </w:p>
    <w:p>
      <w:pPr>
        <w:tabs>
          <w:tab w:val="left" w:pos="7665"/>
        </w:tabs>
        <w:spacing w:line="360" w:lineRule="auto"/>
        <w:ind w:firstLine="480"/>
        <w:rPr>
          <w:rFonts w:ascii="宋体" w:hAnsi="宋体"/>
          <w:bCs/>
          <w:sz w:val="24"/>
        </w:rPr>
      </w:pPr>
    </w:p>
    <w:p>
      <w:pPr>
        <w:tabs>
          <w:tab w:val="left" w:pos="7665"/>
        </w:tabs>
        <w:spacing w:line="360" w:lineRule="auto"/>
        <w:ind w:firstLine="480"/>
        <w:jc w:val="left"/>
        <w:rPr>
          <w:rFonts w:ascii="黑体" w:hAnsi="宋体" w:eastAsia="黑体"/>
          <w:b/>
          <w:bCs/>
          <w:sz w:val="32"/>
          <w:szCs w:val="32"/>
        </w:rPr>
      </w:pPr>
    </w:p>
    <w:p>
      <w:pPr>
        <w:tabs>
          <w:tab w:val="left" w:pos="7665"/>
        </w:tabs>
        <w:spacing w:line="360" w:lineRule="auto"/>
        <w:ind w:firstLine="480"/>
        <w:jc w:val="left"/>
        <w:rPr>
          <w:rFonts w:ascii="黑体" w:hAnsi="宋体" w:eastAsia="黑体"/>
          <w:b/>
          <w:bCs/>
          <w:sz w:val="32"/>
          <w:szCs w:val="32"/>
        </w:rPr>
      </w:pPr>
    </w:p>
    <w:p>
      <w:pPr>
        <w:tabs>
          <w:tab w:val="left" w:pos="7665"/>
        </w:tabs>
        <w:spacing w:line="360" w:lineRule="auto"/>
        <w:ind w:firstLine="480"/>
        <w:jc w:val="left"/>
        <w:rPr>
          <w:rFonts w:ascii="黑体" w:hAnsi="宋体" w:eastAsia="黑体"/>
          <w:b/>
          <w:bCs/>
          <w:sz w:val="32"/>
          <w:szCs w:val="32"/>
        </w:rPr>
      </w:pPr>
    </w:p>
    <w:p>
      <w:pPr>
        <w:tabs>
          <w:tab w:val="left" w:pos="7665"/>
        </w:tabs>
        <w:spacing w:line="360" w:lineRule="auto"/>
        <w:ind w:firstLine="480"/>
        <w:rPr>
          <w:rFonts w:ascii="宋体" w:hAnsi="宋体"/>
          <w:bCs/>
          <w:sz w:val="24"/>
        </w:rPr>
      </w:pPr>
    </w:p>
    <w:p>
      <w:pPr>
        <w:tabs>
          <w:tab w:val="left" w:pos="7665"/>
        </w:tabs>
        <w:spacing w:line="360" w:lineRule="auto"/>
        <w:ind w:firstLine="480"/>
        <w:rPr>
          <w:rFonts w:ascii="黑体" w:hAnsi="宋体" w:eastAsia="黑体"/>
          <w:b/>
          <w:bCs/>
          <w:sz w:val="32"/>
          <w:szCs w:val="32"/>
        </w:rPr>
      </w:pPr>
    </w:p>
    <w:bookmarkEnd w:id="472"/>
    <w:p>
      <w:pPr>
        <w:tabs>
          <w:tab w:val="left" w:pos="7665"/>
        </w:tabs>
        <w:spacing w:line="360" w:lineRule="auto"/>
        <w:ind w:firstLine="480"/>
        <w:rPr>
          <w:rFonts w:ascii="黑体" w:hAnsi="宋体" w:eastAsia="黑体"/>
          <w:b/>
          <w:bCs/>
          <w:sz w:val="32"/>
          <w:szCs w:val="32"/>
        </w:rPr>
      </w:pPr>
    </w:p>
    <w:p>
      <w:pPr>
        <w:pStyle w:val="3"/>
        <w:spacing w:before="0" w:after="0" w:line="360" w:lineRule="auto"/>
      </w:pPr>
      <w:r>
        <w:br w:type="page"/>
      </w:r>
      <w:bookmarkStart w:id="473" w:name="_Toc15766"/>
      <w:bookmarkStart w:id="474" w:name="_Toc30754_WPSOffice_Level1"/>
      <w:bookmarkStart w:id="475" w:name="_Toc5005029"/>
      <w:bookmarkStart w:id="476" w:name="_Toc511206481"/>
      <w:bookmarkStart w:id="477" w:name="_Toc6755"/>
      <w:bookmarkStart w:id="478" w:name="_Toc9344"/>
      <w:bookmarkStart w:id="479" w:name="_Toc17127"/>
      <w:bookmarkStart w:id="480" w:name="_Toc27986"/>
      <w:bookmarkStart w:id="481" w:name="_Toc10190"/>
      <w:bookmarkStart w:id="482" w:name="_Toc28507"/>
      <w:bookmarkStart w:id="483" w:name="_Toc21168"/>
      <w:bookmarkStart w:id="484" w:name="_Toc8404"/>
      <w:r>
        <w:rPr>
          <w:rFonts w:hint="eastAsia"/>
        </w:rPr>
        <w:t>第七章  响应文件格式</w:t>
      </w:r>
      <w:bookmarkEnd w:id="473"/>
      <w:bookmarkEnd w:id="474"/>
      <w:bookmarkEnd w:id="475"/>
      <w:bookmarkEnd w:id="476"/>
      <w:bookmarkEnd w:id="477"/>
      <w:bookmarkEnd w:id="478"/>
      <w:bookmarkEnd w:id="479"/>
      <w:bookmarkEnd w:id="480"/>
      <w:bookmarkEnd w:id="481"/>
      <w:bookmarkEnd w:id="482"/>
      <w:bookmarkEnd w:id="483"/>
      <w:bookmarkEnd w:id="484"/>
    </w:p>
    <w:p>
      <w:pPr>
        <w:tabs>
          <w:tab w:val="left" w:pos="7665"/>
        </w:tabs>
        <w:spacing w:line="360" w:lineRule="auto"/>
        <w:ind w:firstLine="480"/>
        <w:rPr>
          <w:rFonts w:ascii="宋体" w:hAnsi="宋体"/>
          <w:bCs/>
          <w:sz w:val="24"/>
        </w:rPr>
      </w:pPr>
    </w:p>
    <w:p>
      <w:pPr>
        <w:spacing w:line="360" w:lineRule="auto"/>
        <w:ind w:firstLine="420" w:firstLineChars="200"/>
        <w:rPr>
          <w:szCs w:val="21"/>
        </w:rPr>
      </w:pPr>
      <w:bookmarkStart w:id="485" w:name="PO_默认文件内容_29"/>
      <w:r>
        <w:rPr>
          <w:rFonts w:hint="eastAsia"/>
          <w:szCs w:val="21"/>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20" w:firstLineChars="200"/>
        <w:rPr>
          <w:szCs w:val="21"/>
        </w:rPr>
      </w:pPr>
      <w:r>
        <w:rPr>
          <w:rFonts w:hint="eastAsia"/>
          <w:szCs w:val="21"/>
        </w:rPr>
        <w:t>二、本章所制响应文件格式有关表格中的备注栏，由供应商根据自身响应情况作解释性说明，不作为必填项。</w:t>
      </w:r>
    </w:p>
    <w:p>
      <w:pPr>
        <w:spacing w:line="360" w:lineRule="auto"/>
        <w:ind w:firstLine="420" w:firstLineChars="200"/>
        <w:rPr>
          <w:szCs w:val="21"/>
        </w:rPr>
      </w:pPr>
      <w:r>
        <w:rPr>
          <w:rFonts w:hint="eastAsia"/>
          <w:szCs w:val="21"/>
        </w:rPr>
        <w:t>三、本章所制响应文件格式中需要填写的相关内容事项，可能会与本采购项目无关，在不改变响应文件原义、不影响本项目采购需求的情况下，供应商可以不予填写，但应当注明。</w:t>
      </w:r>
      <w:bookmarkEnd w:id="485"/>
    </w:p>
    <w:p>
      <w:pPr>
        <w:spacing w:line="360" w:lineRule="auto"/>
        <w:rPr>
          <w:b/>
          <w:sz w:val="32"/>
          <w:szCs w:val="32"/>
        </w:rPr>
      </w:pPr>
    </w:p>
    <w:p>
      <w:pPr>
        <w:widowControl/>
        <w:spacing w:line="360" w:lineRule="auto"/>
        <w:jc w:val="center"/>
        <w:rPr>
          <w:b/>
          <w:sz w:val="32"/>
          <w:szCs w:val="32"/>
        </w:rPr>
      </w:pPr>
      <w:r>
        <w:rPr>
          <w:b/>
          <w:sz w:val="32"/>
          <w:szCs w:val="32"/>
        </w:rPr>
        <w:br w:type="page"/>
      </w:r>
      <w:bookmarkStart w:id="486" w:name="PO_默认文件内容_22"/>
    </w:p>
    <w:p>
      <w:bookmarkStart w:id="487" w:name="_Toc511206482"/>
    </w:p>
    <w:p/>
    <w:p/>
    <w:p/>
    <w:p/>
    <w:p/>
    <w:p>
      <w:pPr>
        <w:pStyle w:val="12"/>
      </w:pPr>
    </w:p>
    <w:p>
      <w:pPr>
        <w:pStyle w:val="15"/>
      </w:pPr>
    </w:p>
    <w:p/>
    <w:p>
      <w:pPr>
        <w:pStyle w:val="12"/>
      </w:pPr>
    </w:p>
    <w:p>
      <w:pPr>
        <w:pStyle w:val="15"/>
      </w:pPr>
    </w:p>
    <w:p/>
    <w:p>
      <w:pPr>
        <w:pStyle w:val="12"/>
      </w:pPr>
    </w:p>
    <w:p>
      <w:pPr>
        <w:pStyle w:val="15"/>
      </w:pPr>
    </w:p>
    <w:p/>
    <w:p/>
    <w:p/>
    <w:p/>
    <w:p>
      <w:pPr>
        <w:snapToGrid w:val="0"/>
        <w:spacing w:line="360" w:lineRule="auto"/>
        <w:jc w:val="center"/>
        <w:outlineLvl w:val="1"/>
        <w:rPr>
          <w:rFonts w:ascii="宋体" w:hAnsi="宋体" w:cs="宋体"/>
          <w:b/>
          <w:sz w:val="32"/>
        </w:rPr>
      </w:pPr>
      <w:bookmarkStart w:id="488" w:name="_Toc24262"/>
      <w:bookmarkStart w:id="489" w:name="_Toc27744"/>
      <w:bookmarkStart w:id="490" w:name="_Toc1765"/>
      <w:bookmarkStart w:id="491" w:name="_Toc2856"/>
      <w:bookmarkStart w:id="492" w:name="_Toc15383"/>
      <w:bookmarkStart w:id="493" w:name="_Toc23353"/>
      <w:bookmarkStart w:id="494" w:name="_Toc5652"/>
      <w:bookmarkStart w:id="495" w:name="_Toc28482"/>
      <w:r>
        <w:rPr>
          <w:rFonts w:hint="eastAsia" w:ascii="宋体" w:hAnsi="宋体" w:cs="宋体"/>
          <w:b/>
          <w:sz w:val="32"/>
        </w:rPr>
        <w:t>第一部分 资格性响应文件（格式）</w:t>
      </w:r>
      <w:bookmarkEnd w:id="488"/>
      <w:bookmarkEnd w:id="489"/>
      <w:bookmarkEnd w:id="490"/>
      <w:bookmarkEnd w:id="491"/>
      <w:bookmarkEnd w:id="492"/>
      <w:bookmarkEnd w:id="493"/>
      <w:bookmarkEnd w:id="494"/>
      <w:bookmarkEnd w:id="495"/>
    </w:p>
    <w:p>
      <w:r>
        <w:br w:type="page"/>
      </w:r>
    </w:p>
    <w:p>
      <w:pPr>
        <w:pStyle w:val="12"/>
      </w:pPr>
    </w:p>
    <w:p>
      <w:pPr>
        <w:pStyle w:val="2"/>
        <w:keepNext w:val="0"/>
        <w:keepLines w:val="0"/>
        <w:widowControl/>
        <w:numPr>
          <w:ilvl w:val="0"/>
          <w:numId w:val="0"/>
        </w:numPr>
        <w:spacing w:line="360" w:lineRule="auto"/>
        <w:jc w:val="right"/>
        <w:outlineLvl w:val="9"/>
        <w:rPr>
          <w:rFonts w:ascii="宋体" w:hAnsi="宋体" w:eastAsia="宋体" w:cs="宋体"/>
          <w:sz w:val="28"/>
          <w:szCs w:val="28"/>
        </w:rPr>
      </w:pPr>
      <w:r>
        <w:rPr>
          <w:rFonts w:hint="eastAsia" w:ascii="宋体" w:hAnsi="宋体" w:eastAsia="宋体" w:cs="宋体"/>
          <w:sz w:val="28"/>
          <w:szCs w:val="28"/>
        </w:rPr>
        <w:t>正本/副本</w:t>
      </w:r>
    </w:p>
    <w:p>
      <w:pPr>
        <w:spacing w:line="360" w:lineRule="auto"/>
        <w:jc w:val="center"/>
        <w:rPr>
          <w:rFonts w:ascii="宋体" w:hAnsi="宋体"/>
          <w:b/>
          <w:sz w:val="24"/>
        </w:rPr>
      </w:pPr>
    </w:p>
    <w:p>
      <w:pPr>
        <w:pStyle w:val="23"/>
        <w:tabs>
          <w:tab w:val="right" w:leader="dot" w:pos="9724"/>
        </w:tabs>
        <w:ind w:firstLine="843" w:firstLineChars="300"/>
        <w:jc w:val="left"/>
        <w:rPr>
          <w:rFonts w:ascii="宋体" w:hAnsi="宋体" w:eastAsia="宋体" w:cs="宋体"/>
          <w:b/>
          <w:bCs/>
          <w:sz w:val="28"/>
          <w:szCs w:val="28"/>
        </w:rPr>
      </w:pPr>
      <w:r>
        <w:rPr>
          <w:rFonts w:hint="eastAsia" w:ascii="宋体" w:hAnsi="宋体" w:eastAsia="宋体" w:cs="宋体"/>
          <w:b/>
          <w:bCs/>
          <w:sz w:val="28"/>
          <w:szCs w:val="28"/>
          <w:lang w:val="zh-CN"/>
        </w:rPr>
        <w:t>项目编号：</w:t>
      </w:r>
      <w:r>
        <w:rPr>
          <w:rFonts w:hint="eastAsia" w:ascii="宋体" w:hAnsi="宋体" w:eastAsia="宋体" w:cs="宋体"/>
          <w:b/>
          <w:bCs/>
          <w:sz w:val="28"/>
          <w:szCs w:val="28"/>
          <w:u w:val="single"/>
        </w:rPr>
        <w:t xml:space="preserve">           </w:t>
      </w:r>
    </w:p>
    <w:p>
      <w:pPr>
        <w:widowControl/>
        <w:spacing w:line="360" w:lineRule="auto"/>
        <w:rPr>
          <w:rFonts w:ascii="宋体" w:hAnsi="宋体" w:cs="宋体"/>
          <w:sz w:val="24"/>
          <w:lang w:val="zh-CN"/>
        </w:rPr>
      </w:pPr>
    </w:p>
    <w:p>
      <w:pPr>
        <w:pStyle w:val="12"/>
        <w:spacing w:after="0" w:line="360" w:lineRule="auto"/>
        <w:ind w:firstLine="723" w:firstLineChars="300"/>
        <w:rPr>
          <w:rFonts w:ascii="宋体" w:hAnsi="宋体" w:cs="宋体"/>
          <w:b/>
          <w:bCs/>
          <w:sz w:val="44"/>
          <w:szCs w:val="44"/>
        </w:rPr>
      </w:pPr>
      <w:r>
        <w:rPr>
          <w:rFonts w:hint="eastAsia" w:ascii="宋体" w:hAnsi="宋体" w:cs="宋体"/>
          <w:b/>
          <w:bCs/>
          <w:sz w:val="24"/>
        </w:rPr>
        <w:t xml:space="preserve"> </w:t>
      </w:r>
      <w:r>
        <w:rPr>
          <w:rFonts w:hint="eastAsia" w:ascii="宋体" w:hAnsi="宋体" w:cs="宋体"/>
          <w:b/>
          <w:bCs/>
          <w:sz w:val="44"/>
          <w:szCs w:val="44"/>
          <w:u w:val="single"/>
        </w:rPr>
        <w:t xml:space="preserve">                         </w:t>
      </w:r>
      <w:r>
        <w:rPr>
          <w:rFonts w:hint="eastAsia" w:ascii="宋体" w:hAnsi="宋体" w:cs="宋体"/>
          <w:b/>
          <w:bCs/>
          <w:sz w:val="44"/>
          <w:szCs w:val="44"/>
        </w:rPr>
        <w:t>（项目名称）</w:t>
      </w:r>
    </w:p>
    <w:p>
      <w:pPr>
        <w:pStyle w:val="15"/>
        <w:spacing w:line="360" w:lineRule="auto"/>
        <w:rPr>
          <w:rFonts w:ascii="宋体" w:hAnsi="宋体" w:cs="宋体"/>
          <w:sz w:val="44"/>
          <w:szCs w:val="44"/>
        </w:rPr>
      </w:pPr>
    </w:p>
    <w:p>
      <w:pPr>
        <w:pStyle w:val="46"/>
        <w:spacing w:line="360" w:lineRule="auto"/>
        <w:rPr>
          <w:rFonts w:ascii="宋体" w:hAnsi="宋体" w:cs="宋体"/>
        </w:rPr>
      </w:pPr>
    </w:p>
    <w:p>
      <w:pPr>
        <w:pStyle w:val="46"/>
        <w:spacing w:line="360" w:lineRule="auto"/>
        <w:rPr>
          <w:rFonts w:ascii="宋体" w:hAnsi="宋体" w:cs="宋体"/>
        </w:rPr>
      </w:pPr>
    </w:p>
    <w:p>
      <w:pPr>
        <w:pStyle w:val="46"/>
        <w:spacing w:line="360" w:lineRule="auto"/>
        <w:rPr>
          <w:rFonts w:ascii="宋体" w:hAnsi="宋体" w:cs="宋体"/>
        </w:rPr>
      </w:pPr>
    </w:p>
    <w:p>
      <w:pPr>
        <w:pStyle w:val="46"/>
        <w:spacing w:line="360" w:lineRule="auto"/>
        <w:rPr>
          <w:rFonts w:ascii="宋体" w:hAnsi="宋体" w:cs="宋体"/>
        </w:rPr>
      </w:pPr>
    </w:p>
    <w:p>
      <w:pPr>
        <w:pStyle w:val="46"/>
        <w:spacing w:line="360" w:lineRule="auto"/>
        <w:rPr>
          <w:rFonts w:ascii="宋体" w:hAnsi="宋体" w:cs="宋体"/>
        </w:rPr>
      </w:pPr>
    </w:p>
    <w:p>
      <w:pPr>
        <w:pStyle w:val="46"/>
        <w:spacing w:line="360" w:lineRule="auto"/>
        <w:rPr>
          <w:rFonts w:ascii="宋体" w:hAnsi="宋体" w:cs="宋体"/>
        </w:rPr>
      </w:pPr>
    </w:p>
    <w:p>
      <w:pPr>
        <w:widowControl/>
        <w:spacing w:line="360" w:lineRule="auto"/>
        <w:jc w:val="center"/>
        <w:rPr>
          <w:rFonts w:ascii="宋体" w:hAnsi="宋体" w:cs="宋体"/>
          <w:b/>
          <w:bCs/>
          <w:sz w:val="72"/>
          <w:szCs w:val="72"/>
        </w:rPr>
      </w:pPr>
      <w:r>
        <w:rPr>
          <w:rFonts w:hint="eastAsia" w:ascii="宋体" w:hAnsi="宋体" w:cs="宋体"/>
          <w:b/>
          <w:bCs/>
          <w:sz w:val="72"/>
          <w:szCs w:val="72"/>
        </w:rPr>
        <w:t>资格性响应文件</w:t>
      </w:r>
    </w:p>
    <w:p>
      <w:pPr>
        <w:pStyle w:val="46"/>
        <w:spacing w:line="360" w:lineRule="auto"/>
        <w:jc w:val="center"/>
        <w:rPr>
          <w:rFonts w:ascii="宋体" w:hAnsi="宋体" w:cs="宋体"/>
          <w:b/>
          <w:bCs/>
          <w:sz w:val="28"/>
          <w:szCs w:val="28"/>
        </w:rPr>
      </w:pPr>
    </w:p>
    <w:p>
      <w:pPr>
        <w:pStyle w:val="46"/>
        <w:spacing w:line="360" w:lineRule="auto"/>
        <w:jc w:val="center"/>
        <w:rPr>
          <w:rFonts w:ascii="宋体" w:hAnsi="宋体" w:cs="宋体"/>
          <w:b/>
          <w:bCs/>
          <w:sz w:val="36"/>
          <w:szCs w:val="36"/>
        </w:rPr>
      </w:pPr>
      <w:r>
        <w:rPr>
          <w:rFonts w:hint="eastAsia" w:ascii="宋体" w:hAnsi="宋体" w:cs="宋体"/>
          <w:b/>
          <w:bCs/>
          <w:sz w:val="36"/>
          <w:szCs w:val="36"/>
        </w:rPr>
        <w:t>第</w:t>
      </w:r>
      <w:r>
        <w:rPr>
          <w:rFonts w:hint="eastAsia" w:ascii="宋体" w:hAnsi="宋体" w:cs="宋体"/>
          <w:b/>
          <w:bCs/>
          <w:sz w:val="36"/>
          <w:szCs w:val="36"/>
          <w:u w:val="single"/>
        </w:rPr>
        <w:t xml:space="preserve">   </w:t>
      </w:r>
      <w:r>
        <w:rPr>
          <w:rFonts w:hint="eastAsia" w:ascii="宋体" w:hAnsi="宋体" w:cs="宋体"/>
          <w:b/>
          <w:bCs/>
          <w:sz w:val="36"/>
          <w:szCs w:val="36"/>
        </w:rPr>
        <w:t>包</w:t>
      </w:r>
    </w:p>
    <w:p>
      <w:pPr>
        <w:pStyle w:val="46"/>
        <w:spacing w:line="360" w:lineRule="auto"/>
        <w:rPr>
          <w:rFonts w:ascii="宋体" w:hAnsi="宋体" w:cs="宋体"/>
          <w:sz w:val="28"/>
          <w:szCs w:val="28"/>
        </w:rPr>
      </w:pPr>
    </w:p>
    <w:p>
      <w:pPr>
        <w:pStyle w:val="46"/>
        <w:spacing w:line="360" w:lineRule="auto"/>
        <w:rPr>
          <w:rFonts w:ascii="宋体" w:hAnsi="宋体" w:cs="宋体"/>
          <w:sz w:val="28"/>
          <w:szCs w:val="28"/>
        </w:rPr>
      </w:pPr>
    </w:p>
    <w:p>
      <w:pPr>
        <w:pStyle w:val="46"/>
        <w:spacing w:line="360" w:lineRule="auto"/>
        <w:rPr>
          <w:rFonts w:ascii="宋体" w:hAnsi="宋体" w:cs="宋体"/>
          <w:sz w:val="28"/>
          <w:szCs w:val="28"/>
        </w:rPr>
      </w:pPr>
    </w:p>
    <w:p>
      <w:pPr>
        <w:pStyle w:val="46"/>
        <w:spacing w:line="360" w:lineRule="auto"/>
        <w:rPr>
          <w:rFonts w:ascii="宋体" w:hAnsi="宋体" w:cs="宋体"/>
          <w:sz w:val="28"/>
          <w:szCs w:val="28"/>
        </w:rPr>
      </w:pPr>
    </w:p>
    <w:p>
      <w:pPr>
        <w:tabs>
          <w:tab w:val="left" w:pos="3240"/>
        </w:tabs>
        <w:snapToGrid w:val="0"/>
        <w:spacing w:line="360" w:lineRule="auto"/>
        <w:ind w:firstLine="1619" w:firstLineChars="576"/>
        <w:rPr>
          <w:rFonts w:ascii="宋体" w:hAnsi="宋体" w:cs="宋体"/>
          <w:b/>
          <w:bCs/>
          <w:sz w:val="28"/>
          <w:szCs w:val="28"/>
        </w:rPr>
      </w:pPr>
      <w:r>
        <w:rPr>
          <w:rFonts w:hint="eastAsia" w:ascii="宋体" w:hAnsi="宋体" w:cs="宋体"/>
          <w:b/>
          <w:bCs/>
          <w:sz w:val="28"/>
          <w:szCs w:val="28"/>
        </w:rPr>
        <w:t>供应商名称：</w:t>
      </w:r>
      <w:r>
        <w:rPr>
          <w:rFonts w:hint="eastAsia" w:ascii="宋体" w:hAnsi="宋体" w:cs="宋体"/>
          <w:b/>
          <w:bCs/>
          <w:sz w:val="28"/>
          <w:szCs w:val="28"/>
          <w:u w:val="single"/>
        </w:rPr>
        <w:t xml:space="preserve">                       </w:t>
      </w:r>
      <w:r>
        <w:rPr>
          <w:rFonts w:hint="eastAsia" w:ascii="宋体" w:hAnsi="宋体" w:cs="宋体"/>
          <w:b/>
          <w:bCs/>
          <w:sz w:val="28"/>
          <w:szCs w:val="28"/>
        </w:rPr>
        <w:t>(盖章)</w:t>
      </w:r>
    </w:p>
    <w:p>
      <w:pPr>
        <w:tabs>
          <w:tab w:val="left" w:pos="3240"/>
        </w:tabs>
        <w:snapToGrid w:val="0"/>
        <w:spacing w:line="360" w:lineRule="auto"/>
        <w:ind w:firstLine="1619" w:firstLineChars="576"/>
        <w:rPr>
          <w:rFonts w:ascii="宋体" w:hAnsi="宋体" w:cs="宋体"/>
          <w:b/>
          <w:bCs/>
          <w:sz w:val="28"/>
          <w:szCs w:val="28"/>
        </w:rPr>
      </w:pPr>
      <w:r>
        <w:rPr>
          <w:rFonts w:hint="eastAsia" w:ascii="宋体" w:hAnsi="宋体" w:cs="宋体"/>
          <w:b/>
          <w:bCs/>
          <w:sz w:val="28"/>
          <w:szCs w:val="28"/>
        </w:rPr>
        <w:t>法定代表人或授权代表：</w:t>
      </w:r>
      <w:r>
        <w:rPr>
          <w:rFonts w:hint="eastAsia" w:ascii="宋体" w:hAnsi="宋体" w:cs="宋体"/>
          <w:b/>
          <w:bCs/>
          <w:sz w:val="28"/>
          <w:szCs w:val="28"/>
          <w:u w:val="single"/>
        </w:rPr>
        <w:t xml:space="preserve">             </w:t>
      </w:r>
      <w:r>
        <w:rPr>
          <w:rFonts w:hint="eastAsia" w:ascii="宋体" w:hAnsi="宋体" w:cs="宋体"/>
          <w:b/>
          <w:bCs/>
          <w:sz w:val="28"/>
          <w:szCs w:val="28"/>
        </w:rPr>
        <w:t>(签字或盖章)</w:t>
      </w:r>
    </w:p>
    <w:p>
      <w:pPr>
        <w:tabs>
          <w:tab w:val="left" w:pos="3240"/>
        </w:tabs>
        <w:snapToGrid w:val="0"/>
        <w:spacing w:line="360" w:lineRule="auto"/>
        <w:ind w:firstLine="1619" w:firstLineChars="576"/>
        <w:rPr>
          <w:rFonts w:ascii="宋体" w:hAnsi="宋体" w:cs="宋体"/>
          <w:b/>
          <w:bCs/>
          <w:sz w:val="28"/>
          <w:szCs w:val="28"/>
        </w:rPr>
      </w:pPr>
      <w:r>
        <w:rPr>
          <w:rFonts w:hint="eastAsia" w:ascii="宋体" w:hAnsi="宋体" w:cs="宋体"/>
          <w:b/>
          <w:bCs/>
          <w:sz w:val="28"/>
          <w:szCs w:val="28"/>
        </w:rPr>
        <w:t>日期：</w:t>
      </w:r>
      <w:r>
        <w:rPr>
          <w:rFonts w:hint="eastAsia" w:ascii="宋体" w:hAnsi="宋体" w:cs="宋体"/>
          <w:b/>
          <w:bCs/>
          <w:i/>
          <w:sz w:val="28"/>
          <w:szCs w:val="28"/>
          <w:u w:val="single"/>
        </w:rPr>
        <w:t xml:space="preserve">    </w:t>
      </w:r>
      <w:r>
        <w:rPr>
          <w:rFonts w:hint="eastAsia" w:ascii="宋体" w:hAnsi="宋体" w:cs="宋体"/>
          <w:b/>
          <w:bCs/>
          <w:iCs/>
          <w:sz w:val="28"/>
          <w:szCs w:val="28"/>
        </w:rPr>
        <w:t>年</w:t>
      </w:r>
      <w:r>
        <w:rPr>
          <w:rFonts w:hint="eastAsia" w:ascii="宋体" w:hAnsi="宋体" w:cs="宋体"/>
          <w:b/>
          <w:bCs/>
          <w:iCs/>
          <w:sz w:val="28"/>
          <w:szCs w:val="28"/>
          <w:u w:val="single"/>
        </w:rPr>
        <w:t xml:space="preserve">    </w:t>
      </w:r>
      <w:r>
        <w:rPr>
          <w:rFonts w:hint="eastAsia" w:ascii="宋体" w:hAnsi="宋体" w:cs="宋体"/>
          <w:b/>
          <w:bCs/>
          <w:iCs/>
          <w:sz w:val="28"/>
          <w:szCs w:val="28"/>
        </w:rPr>
        <w:t>月</w:t>
      </w:r>
      <w:r>
        <w:rPr>
          <w:rFonts w:hint="eastAsia" w:ascii="宋体" w:hAnsi="宋体" w:cs="宋体"/>
          <w:b/>
          <w:bCs/>
          <w:iCs/>
          <w:sz w:val="28"/>
          <w:szCs w:val="28"/>
          <w:u w:val="single"/>
        </w:rPr>
        <w:t xml:space="preserve">    </w:t>
      </w:r>
      <w:r>
        <w:rPr>
          <w:rFonts w:hint="eastAsia" w:ascii="宋体" w:hAnsi="宋体" w:cs="宋体"/>
          <w:b/>
          <w:bCs/>
          <w:iCs/>
          <w:sz w:val="28"/>
          <w:szCs w:val="28"/>
        </w:rPr>
        <w:t>日</w:t>
      </w:r>
    </w:p>
    <w:p>
      <w:pPr>
        <w:rPr>
          <w:rFonts w:ascii="宋体" w:hAnsi="宋体"/>
          <w:b/>
          <w:sz w:val="32"/>
          <w:szCs w:val="32"/>
        </w:rPr>
      </w:pPr>
      <w:r>
        <w:rPr>
          <w:rFonts w:ascii="宋体" w:hAnsi="宋体"/>
          <w:b/>
          <w:sz w:val="32"/>
          <w:szCs w:val="32"/>
        </w:rPr>
        <w:br w:type="page"/>
      </w:r>
    </w:p>
    <w:p>
      <w:pPr>
        <w:jc w:val="center"/>
        <w:rPr>
          <w:b/>
          <w:bCs/>
          <w:sz w:val="28"/>
          <w:szCs w:val="36"/>
        </w:rPr>
      </w:pPr>
      <w:bookmarkStart w:id="496" w:name="_Toc377_WPSOffice_Level3"/>
      <w:r>
        <w:rPr>
          <w:rFonts w:hint="eastAsia"/>
          <w:b/>
          <w:bCs/>
          <w:sz w:val="28"/>
          <w:szCs w:val="36"/>
        </w:rPr>
        <w:t>目  录</w:t>
      </w:r>
    </w:p>
    <w:p>
      <w:pPr>
        <w:jc w:val="center"/>
      </w:pPr>
      <w:r>
        <w:rPr>
          <w:rFonts w:hint="eastAsia"/>
        </w:rPr>
        <w:t>（自拟）</w:t>
      </w:r>
    </w:p>
    <w:p>
      <w:pPr>
        <w:pStyle w:val="4"/>
        <w:spacing w:before="0" w:after="0" w:line="360" w:lineRule="auto"/>
        <w:sectPr>
          <w:pgSz w:w="11907" w:h="16840"/>
          <w:pgMar w:top="1134" w:right="1134" w:bottom="1134" w:left="1134" w:header="851" w:footer="850" w:gutter="0"/>
          <w:pgNumType w:fmt="decimal"/>
          <w:cols w:space="0" w:num="1"/>
          <w:docGrid w:type="lines" w:linePitch="312" w:charSpace="0"/>
        </w:sectPr>
      </w:pPr>
    </w:p>
    <w:p>
      <w:pPr>
        <w:pStyle w:val="4"/>
        <w:spacing w:before="0" w:after="0" w:line="360" w:lineRule="auto"/>
      </w:pPr>
      <w:bookmarkStart w:id="497" w:name="_Toc20657"/>
      <w:bookmarkStart w:id="498" w:name="_Toc31053"/>
      <w:bookmarkStart w:id="499" w:name="_Toc17741"/>
      <w:bookmarkStart w:id="500" w:name="_Toc16854"/>
      <w:bookmarkStart w:id="501" w:name="_Toc29316"/>
      <w:bookmarkStart w:id="502" w:name="_Toc18174"/>
      <w:bookmarkStart w:id="503" w:name="_Toc16476"/>
      <w:bookmarkStart w:id="504" w:name="_Toc1351"/>
      <w:r>
        <w:rPr>
          <w:rFonts w:hint="eastAsia"/>
        </w:rPr>
        <w:t>一、法定代表人授权书</w:t>
      </w:r>
      <w:bookmarkEnd w:id="496"/>
      <w:bookmarkEnd w:id="497"/>
      <w:bookmarkEnd w:id="498"/>
      <w:bookmarkEnd w:id="499"/>
      <w:bookmarkEnd w:id="500"/>
      <w:bookmarkEnd w:id="501"/>
      <w:bookmarkEnd w:id="502"/>
      <w:bookmarkEnd w:id="503"/>
      <w:bookmarkEnd w:id="504"/>
    </w:p>
    <w:p/>
    <w:p/>
    <w:p>
      <w:pPr>
        <w:spacing w:line="360" w:lineRule="auto"/>
      </w:pPr>
      <w:r>
        <w:rPr>
          <w:rFonts w:hint="eastAsia"/>
          <w:u w:val="single"/>
        </w:rPr>
        <w:t xml:space="preserve">            </w:t>
      </w:r>
      <w:r>
        <w:rPr>
          <w:rFonts w:hint="eastAsia"/>
        </w:rPr>
        <w:t xml:space="preserve"> </w:t>
      </w:r>
      <w:bookmarkStart w:id="505" w:name="_Toc4578863"/>
      <w:bookmarkStart w:id="506" w:name="_Toc4659726"/>
      <w:bookmarkStart w:id="507" w:name="_Toc5005030"/>
      <w:r>
        <w:rPr>
          <w:rFonts w:hint="eastAsia"/>
        </w:rPr>
        <w:t>（采购代理机构名称）：</w:t>
      </w:r>
      <w:bookmarkEnd w:id="505"/>
      <w:bookmarkEnd w:id="506"/>
      <w:bookmarkEnd w:id="507"/>
    </w:p>
    <w:p>
      <w:pPr>
        <w:spacing w:line="360" w:lineRule="auto"/>
        <w:ind w:firstLine="420" w:firstLineChars="200"/>
      </w:pPr>
      <w:bookmarkStart w:id="508" w:name="_Toc4659727"/>
      <w:bookmarkStart w:id="509" w:name="_Toc4578864"/>
      <w:bookmarkStart w:id="510" w:name="_Toc5005031"/>
      <w:r>
        <w:rPr>
          <w:rFonts w:hint="eastAsia"/>
        </w:rPr>
        <w:t xml:space="preserve">本授权声明： </w:t>
      </w:r>
      <w:r>
        <w:rPr>
          <w:rFonts w:hint="eastAsia"/>
          <w:u w:val="single"/>
        </w:rPr>
        <w:t xml:space="preserve">            </w:t>
      </w:r>
      <w:r>
        <w:rPr>
          <w:rFonts w:hint="eastAsia"/>
        </w:rPr>
        <w:t xml:space="preserve"> （供应商名称） </w:t>
      </w:r>
      <w:r>
        <w:rPr>
          <w:rFonts w:hint="eastAsia"/>
          <w:u w:val="single"/>
        </w:rPr>
        <w:t xml:space="preserve">            </w:t>
      </w:r>
      <w:r>
        <w:rPr>
          <w:rFonts w:hint="eastAsia"/>
        </w:rPr>
        <w:t>（法定代表人姓名、职务）授权</w:t>
      </w:r>
      <w:r>
        <w:rPr>
          <w:rFonts w:hint="eastAsia"/>
          <w:u w:val="single"/>
        </w:rPr>
        <w:t xml:space="preserve">             </w:t>
      </w:r>
      <w:r>
        <w:rPr>
          <w:rFonts w:hint="eastAsia"/>
        </w:rPr>
        <w:t>（被授权人姓名、职务）为我方 “</w:t>
      </w:r>
      <w:r>
        <w:rPr>
          <w:rFonts w:hint="eastAsia"/>
          <w:u w:val="single"/>
        </w:rPr>
        <w:t xml:space="preserve">            </w:t>
      </w:r>
      <w:r>
        <w:rPr>
          <w:rFonts w:hint="eastAsia"/>
        </w:rPr>
        <w:t xml:space="preserve"> ”项目（采购项目编号：</w:t>
      </w:r>
      <w:r>
        <w:rPr>
          <w:rFonts w:hint="eastAsia"/>
          <w:u w:val="single"/>
        </w:rPr>
        <w:t xml:space="preserve">             </w:t>
      </w:r>
      <w:r>
        <w:rPr>
          <w:rFonts w:hint="eastAsia"/>
        </w:rPr>
        <w:t>）第</w:t>
      </w:r>
      <w:r>
        <w:rPr>
          <w:rFonts w:hint="eastAsia"/>
          <w:u w:val="single"/>
        </w:rPr>
        <w:t xml:space="preserve">   </w:t>
      </w:r>
      <w:r>
        <w:rPr>
          <w:rFonts w:hint="eastAsia"/>
        </w:rPr>
        <w:t>包磋商采购活动的合法代表，以我方名义全权处理该项目有关磋商采购、签订合同以及执行合同等一切事宜。</w:t>
      </w:r>
      <w:bookmarkEnd w:id="508"/>
      <w:bookmarkEnd w:id="509"/>
      <w:bookmarkEnd w:id="510"/>
    </w:p>
    <w:p>
      <w:pPr>
        <w:spacing w:line="360" w:lineRule="auto"/>
        <w:ind w:firstLine="420" w:firstLineChars="200"/>
      </w:pPr>
      <w:bookmarkStart w:id="511" w:name="_Toc5005032"/>
      <w:bookmarkStart w:id="512" w:name="_Toc4578865"/>
      <w:bookmarkStart w:id="513" w:name="_Toc4659728"/>
      <w:r>
        <w:rPr>
          <w:rFonts w:hint="eastAsia"/>
        </w:rPr>
        <w:t>特此声明。</w:t>
      </w:r>
      <w:bookmarkEnd w:id="511"/>
      <w:bookmarkEnd w:id="512"/>
      <w:bookmarkEnd w:id="513"/>
    </w:p>
    <w:p/>
    <w:p>
      <w:pPr>
        <w:spacing w:line="360" w:lineRule="auto"/>
        <w:ind w:firstLine="5040" w:firstLineChars="2400"/>
        <w:rPr>
          <w:u w:val="single"/>
        </w:rPr>
      </w:pPr>
      <w:bookmarkStart w:id="514" w:name="_Toc4659729"/>
      <w:bookmarkStart w:id="515" w:name="_Toc5005033"/>
      <w:bookmarkStart w:id="516" w:name="_Toc4578866"/>
      <w:r>
        <w:rPr>
          <w:rFonts w:hint="eastAsia"/>
        </w:rPr>
        <w:t>法定代表人（委托人）签字：</w:t>
      </w:r>
      <w:r>
        <w:rPr>
          <w:rFonts w:hint="eastAsia"/>
          <w:u w:val="single"/>
        </w:rPr>
        <w:t xml:space="preserve">             </w:t>
      </w:r>
      <w:bookmarkEnd w:id="514"/>
      <w:bookmarkEnd w:id="515"/>
      <w:bookmarkEnd w:id="516"/>
    </w:p>
    <w:p>
      <w:pPr>
        <w:spacing w:line="360" w:lineRule="auto"/>
        <w:ind w:firstLine="5040" w:firstLineChars="2400"/>
        <w:rPr>
          <w:u w:val="single"/>
        </w:rPr>
      </w:pPr>
      <w:bookmarkStart w:id="517" w:name="_Toc4659730"/>
      <w:bookmarkStart w:id="518" w:name="_Toc4578867"/>
      <w:bookmarkStart w:id="519" w:name="_Toc5005034"/>
      <w:r>
        <w:rPr>
          <w:rFonts w:hint="eastAsia"/>
        </w:rPr>
        <w:t>授权代表（被授权人）签字：</w:t>
      </w:r>
      <w:r>
        <w:rPr>
          <w:rFonts w:hint="eastAsia"/>
          <w:u w:val="single"/>
        </w:rPr>
        <w:t xml:space="preserve">             </w:t>
      </w:r>
      <w:bookmarkEnd w:id="517"/>
      <w:bookmarkEnd w:id="518"/>
      <w:bookmarkEnd w:id="519"/>
    </w:p>
    <w:p>
      <w:pPr>
        <w:spacing w:line="360" w:lineRule="auto"/>
        <w:ind w:firstLine="5040" w:firstLineChars="2400"/>
      </w:pPr>
      <w:bookmarkStart w:id="520" w:name="_Toc5005035"/>
      <w:bookmarkStart w:id="521" w:name="_Toc4659731"/>
      <w:bookmarkStart w:id="522" w:name="_Toc4578868"/>
      <w:r>
        <w:rPr>
          <w:rFonts w:hint="eastAsia"/>
        </w:rPr>
        <w:t>供应商名称：</w:t>
      </w:r>
      <w:r>
        <w:rPr>
          <w:rFonts w:hint="eastAsia"/>
          <w:u w:val="single"/>
        </w:rPr>
        <w:t xml:space="preserve">             </w:t>
      </w:r>
      <w:r>
        <w:rPr>
          <w:rFonts w:hint="eastAsia"/>
        </w:rPr>
        <w:t>（单位盖章）</w:t>
      </w:r>
      <w:bookmarkEnd w:id="520"/>
      <w:bookmarkEnd w:id="521"/>
      <w:bookmarkEnd w:id="522"/>
    </w:p>
    <w:p>
      <w:pPr>
        <w:spacing w:line="360" w:lineRule="auto"/>
        <w:ind w:firstLine="5040" w:firstLineChars="2400"/>
        <w:rPr>
          <w:u w:val="single"/>
        </w:rPr>
      </w:pPr>
      <w:bookmarkStart w:id="523" w:name="_Toc4659732"/>
      <w:bookmarkStart w:id="524" w:name="_Toc4578869"/>
      <w:bookmarkStart w:id="525" w:name="_Toc5005036"/>
      <w:r>
        <w:rPr>
          <w:rFonts w:hint="eastAsia"/>
        </w:rPr>
        <w:t>日      期：</w:t>
      </w:r>
      <w:r>
        <w:rPr>
          <w:rFonts w:hint="eastAsia"/>
          <w:u w:val="single"/>
        </w:rPr>
        <w:t xml:space="preserve">             </w:t>
      </w:r>
      <w:bookmarkEnd w:id="523"/>
      <w:bookmarkEnd w:id="524"/>
      <w:bookmarkEnd w:id="525"/>
      <w:bookmarkStart w:id="526" w:name="_Toc217446084"/>
    </w:p>
    <w:p/>
    <w:p/>
    <w:p/>
    <w:p>
      <w:pPr>
        <w:spacing w:line="360" w:lineRule="auto"/>
        <w:ind w:left="735" w:hanging="735" w:hangingChars="350"/>
        <w:jc w:val="left"/>
        <w:rPr>
          <w:rFonts w:ascii="宋体" w:hAnsi="宋体"/>
          <w:szCs w:val="21"/>
        </w:rPr>
      </w:pPr>
      <w:r>
        <w:rPr>
          <w:rFonts w:hint="eastAsia" w:ascii="宋体" w:hAnsi="宋体"/>
          <w:szCs w:val="21"/>
        </w:rPr>
        <w:t>注：</w:t>
      </w:r>
    </w:p>
    <w:p>
      <w:pPr>
        <w:spacing w:line="360" w:lineRule="auto"/>
        <w:ind w:firstLine="420" w:firstLineChars="200"/>
        <w:rPr>
          <w:rFonts w:ascii="宋体" w:hAnsi="宋体"/>
          <w:szCs w:val="21"/>
        </w:rPr>
      </w:pPr>
      <w:r>
        <w:rPr>
          <w:rFonts w:hint="eastAsia" w:ascii="宋体" w:hAnsi="宋体"/>
          <w:szCs w:val="21"/>
        </w:rPr>
        <w:t>1、供应商为法人单位时提供“法定代表人授权书”，供应商为其他组织时提供“单位负责人授权书”，供应商为自然人时提供“自然人身份证明材料”。</w:t>
      </w:r>
    </w:p>
    <w:p>
      <w:pPr>
        <w:spacing w:line="360" w:lineRule="auto"/>
        <w:ind w:firstLine="420" w:firstLineChars="200"/>
        <w:rPr>
          <w:rFonts w:ascii="宋体" w:hAnsi="宋体"/>
          <w:szCs w:val="21"/>
        </w:rPr>
      </w:pPr>
      <w:r>
        <w:rPr>
          <w:rFonts w:hint="eastAsia" w:ascii="宋体" w:hAnsi="宋体"/>
          <w:szCs w:val="21"/>
        </w:rPr>
        <w:t>2、应附法定代表人身份证明、身份证复印件和授权代表身份证明材料复印件。</w:t>
      </w:r>
    </w:p>
    <w:p>
      <w:pPr>
        <w:spacing w:line="360" w:lineRule="auto"/>
        <w:ind w:firstLine="420" w:firstLineChars="200"/>
        <w:rPr>
          <w:rFonts w:ascii="宋体" w:hAnsi="宋体"/>
          <w:szCs w:val="21"/>
        </w:rPr>
      </w:pPr>
      <w:r>
        <w:rPr>
          <w:rFonts w:hint="eastAsia" w:ascii="宋体" w:hAnsi="宋体"/>
          <w:szCs w:val="21"/>
        </w:rPr>
        <w:t>3、身份证明材料包括居民身份证或户口本或军官证或护照等。</w:t>
      </w:r>
    </w:p>
    <w:p>
      <w:pPr>
        <w:spacing w:line="360" w:lineRule="auto"/>
        <w:ind w:firstLine="420" w:firstLineChars="200"/>
        <w:rPr>
          <w:rFonts w:ascii="宋体" w:hAnsi="宋体"/>
          <w:szCs w:val="21"/>
        </w:rPr>
      </w:pPr>
      <w:r>
        <w:rPr>
          <w:rFonts w:hint="eastAsia" w:ascii="宋体" w:hAnsi="宋体"/>
          <w:szCs w:val="21"/>
        </w:rPr>
        <w:t>4、身份证明材料应同时提供其在有效期的材料，如居民身份证正、反面复印件。</w:t>
      </w:r>
    </w:p>
    <w:p>
      <w:pPr>
        <w:spacing w:line="360" w:lineRule="auto"/>
        <w:ind w:firstLine="420" w:firstLineChars="200"/>
        <w:rPr>
          <w:rFonts w:ascii="宋体" w:hAnsi="宋体"/>
          <w:szCs w:val="21"/>
        </w:rPr>
      </w:pPr>
      <w:r>
        <w:rPr>
          <w:rFonts w:hint="eastAsia" w:ascii="宋体" w:hAnsi="宋体"/>
          <w:szCs w:val="21"/>
        </w:rPr>
        <w:t>5、</w:t>
      </w:r>
      <w:r>
        <w:rPr>
          <w:rFonts w:hint="eastAsia" w:asciiTheme="minorEastAsia" w:hAnsiTheme="minorEastAsia"/>
          <w:szCs w:val="21"/>
        </w:rPr>
        <w:t>法定代表人不亲自磋商而委托代理人磋商的供应商适用。</w:t>
      </w:r>
    </w:p>
    <w:p>
      <w:pPr>
        <w:pStyle w:val="47"/>
        <w:spacing w:line="360" w:lineRule="auto"/>
        <w:rPr>
          <w:rFonts w:ascii="宋体" w:hAnsi="宋体"/>
          <w:color w:val="auto"/>
        </w:rPr>
      </w:pPr>
      <w:r>
        <w:rPr>
          <w:rFonts w:ascii="宋体" w:hAnsi="宋体"/>
          <w:b/>
          <w:color w:val="auto"/>
        </w:rPr>
        <w:br w:type="page"/>
      </w:r>
      <w:bookmarkEnd w:id="526"/>
      <w:bookmarkStart w:id="527" w:name="_Toc256000102"/>
    </w:p>
    <w:p>
      <w:pPr>
        <w:pStyle w:val="4"/>
        <w:spacing w:before="0" w:after="0" w:line="360" w:lineRule="auto"/>
      </w:pPr>
      <w:bookmarkStart w:id="528" w:name="_Toc26679"/>
      <w:bookmarkStart w:id="529" w:name="_Toc6625"/>
      <w:bookmarkStart w:id="530" w:name="_Toc4659733"/>
      <w:bookmarkStart w:id="531" w:name="_Toc5005037"/>
      <w:bookmarkStart w:id="532" w:name="_Toc23105"/>
      <w:bookmarkStart w:id="533" w:name="_Toc27084"/>
      <w:bookmarkStart w:id="534" w:name="_Toc9192"/>
      <w:bookmarkStart w:id="535" w:name="_Toc31216"/>
      <w:bookmarkStart w:id="536" w:name="_Toc4578870"/>
      <w:bookmarkStart w:id="537" w:name="_Toc18068_WPSOffice_Level3"/>
      <w:bookmarkStart w:id="538" w:name="_Toc1145"/>
      <w:bookmarkStart w:id="539" w:name="_Toc8188"/>
      <w:r>
        <w:rPr>
          <w:rFonts w:hint="eastAsia"/>
        </w:rPr>
        <w:t>一、法定代表人身份证明</w:t>
      </w:r>
      <w:bookmarkEnd w:id="527"/>
      <w:bookmarkEnd w:id="528"/>
      <w:bookmarkEnd w:id="529"/>
      <w:bookmarkEnd w:id="530"/>
      <w:bookmarkEnd w:id="531"/>
      <w:bookmarkEnd w:id="532"/>
      <w:bookmarkEnd w:id="533"/>
      <w:bookmarkEnd w:id="534"/>
      <w:bookmarkEnd w:id="535"/>
      <w:bookmarkEnd w:id="536"/>
      <w:bookmarkEnd w:id="537"/>
      <w:bookmarkEnd w:id="538"/>
      <w:bookmarkEnd w:id="539"/>
    </w:p>
    <w:p>
      <w:pPr>
        <w:spacing w:line="360" w:lineRule="auto"/>
        <w:rPr>
          <w:rFonts w:asciiTheme="minorEastAsia" w:hAnsiTheme="minorEastAsia"/>
          <w:sz w:val="27"/>
        </w:rPr>
      </w:pPr>
      <w:r>
        <w:t xml:space="preserve">    </w:t>
      </w:r>
    </w:p>
    <w:p>
      <w:pPr>
        <w:spacing w:line="360" w:lineRule="auto"/>
        <w:rPr>
          <w:rFonts w:asciiTheme="minorEastAsia" w:hAnsiTheme="minorEastAsia"/>
          <w:szCs w:val="21"/>
          <w:u w:val="single"/>
        </w:rPr>
      </w:pPr>
      <w:r>
        <w:t xml:space="preserve">  </w:t>
      </w:r>
      <w:r>
        <w:rPr>
          <w:szCs w:val="21"/>
        </w:rPr>
        <w:t xml:space="preserve"> </w:t>
      </w:r>
      <w:r>
        <w:rPr>
          <w:sz w:val="24"/>
        </w:rPr>
        <w:t xml:space="preserve"> </w:t>
      </w:r>
      <w:r>
        <w:rPr>
          <w:rFonts w:hint="eastAsia"/>
          <w:sz w:val="24"/>
        </w:rPr>
        <w:t xml:space="preserve"> </w:t>
      </w:r>
      <w:r>
        <w:rPr>
          <w:rFonts w:hint="eastAsia" w:asciiTheme="minorEastAsia" w:hAnsiTheme="minorEastAsia"/>
          <w:szCs w:val="21"/>
        </w:rPr>
        <w:t>供应商名称：</w:t>
      </w:r>
      <w:r>
        <w:rPr>
          <w:rFonts w:hint="eastAsia" w:asciiTheme="minorEastAsia" w:hAnsiTheme="minorEastAsia"/>
          <w:szCs w:val="21"/>
          <w:u w:val="single"/>
        </w:rPr>
        <w:t xml:space="preserve">                    </w:t>
      </w:r>
    </w:p>
    <w:p>
      <w:pPr>
        <w:spacing w:line="360" w:lineRule="auto"/>
        <w:rPr>
          <w:rFonts w:asciiTheme="minorEastAsia" w:hAnsiTheme="minorEastAsia"/>
          <w:szCs w:val="21"/>
          <w:u w:val="single"/>
        </w:rPr>
      </w:pPr>
      <w:r>
        <w:rPr>
          <w:szCs w:val="21"/>
        </w:rPr>
        <w:t xml:space="preserve">    </w:t>
      </w:r>
      <w:r>
        <w:rPr>
          <w:rFonts w:hint="eastAsia"/>
          <w:szCs w:val="21"/>
        </w:rPr>
        <w:t xml:space="preserve"> </w:t>
      </w:r>
      <w:r>
        <w:rPr>
          <w:rFonts w:hint="eastAsia" w:asciiTheme="minorEastAsia" w:hAnsiTheme="minorEastAsia"/>
          <w:szCs w:val="21"/>
        </w:rPr>
        <w:t>单位性质：</w:t>
      </w:r>
      <w:r>
        <w:rPr>
          <w:rFonts w:hint="eastAsia" w:asciiTheme="minorEastAsia" w:hAnsiTheme="minorEastAsia"/>
          <w:szCs w:val="21"/>
          <w:u w:val="single"/>
        </w:rPr>
        <w:t xml:space="preserve">                      </w:t>
      </w:r>
    </w:p>
    <w:p>
      <w:pPr>
        <w:spacing w:line="360" w:lineRule="auto"/>
        <w:rPr>
          <w:rFonts w:asciiTheme="minorEastAsia" w:hAnsiTheme="minorEastAsia"/>
          <w:szCs w:val="21"/>
          <w:u w:val="single"/>
        </w:rPr>
      </w:pPr>
      <w:r>
        <w:rPr>
          <w:szCs w:val="21"/>
        </w:rPr>
        <w:t xml:space="preserve">   </w:t>
      </w:r>
      <w:r>
        <w:rPr>
          <w:rFonts w:hint="eastAsia"/>
          <w:szCs w:val="21"/>
        </w:rPr>
        <w:t xml:space="preserve"> </w:t>
      </w:r>
      <w:r>
        <w:rPr>
          <w:szCs w:val="21"/>
        </w:rPr>
        <w:t xml:space="preserve"> </w:t>
      </w:r>
      <w:r>
        <w:rPr>
          <w:rFonts w:hint="eastAsia" w:asciiTheme="minorEastAsia" w:hAnsiTheme="minorEastAsia"/>
          <w:szCs w:val="21"/>
        </w:rPr>
        <w:t>地址：</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szCs w:val="21"/>
        </w:rPr>
        <w:t xml:space="preserve">   </w:t>
      </w:r>
      <w:r>
        <w:rPr>
          <w:rFonts w:hint="eastAsia"/>
          <w:szCs w:val="21"/>
        </w:rPr>
        <w:t xml:space="preserve"> </w:t>
      </w:r>
      <w:r>
        <w:rPr>
          <w:szCs w:val="21"/>
        </w:rPr>
        <w:t xml:space="preserve"> </w:t>
      </w:r>
      <w:r>
        <w:rPr>
          <w:rFonts w:hint="eastAsia" w:asciiTheme="minorEastAsia" w:hAnsiTheme="minorEastAsia"/>
          <w:szCs w:val="21"/>
        </w:rPr>
        <w:t>成立时间：</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360" w:lineRule="auto"/>
        <w:rPr>
          <w:rFonts w:asciiTheme="minorEastAsia" w:hAnsiTheme="minorEastAsia"/>
          <w:szCs w:val="21"/>
          <w:u w:val="single"/>
        </w:rPr>
      </w:pPr>
      <w:r>
        <w:rPr>
          <w:szCs w:val="21"/>
        </w:rPr>
        <w:t xml:space="preserve">   </w:t>
      </w:r>
      <w:r>
        <w:rPr>
          <w:rFonts w:hint="eastAsia"/>
          <w:szCs w:val="21"/>
        </w:rPr>
        <w:t xml:space="preserve"> </w:t>
      </w:r>
      <w:r>
        <w:rPr>
          <w:szCs w:val="21"/>
        </w:rPr>
        <w:t xml:space="preserve"> </w:t>
      </w:r>
      <w:r>
        <w:rPr>
          <w:rFonts w:hint="eastAsia" w:asciiTheme="minorEastAsia" w:hAnsiTheme="minorEastAsia"/>
          <w:szCs w:val="21"/>
        </w:rPr>
        <w:t>经营期限：</w:t>
      </w:r>
      <w:r>
        <w:rPr>
          <w:rFonts w:hint="eastAsia" w:asciiTheme="minorEastAsia" w:hAnsiTheme="minorEastAsia"/>
          <w:szCs w:val="21"/>
          <w:u w:val="single"/>
        </w:rPr>
        <w:t xml:space="preserve">                      </w:t>
      </w:r>
    </w:p>
    <w:p>
      <w:pPr>
        <w:spacing w:line="360" w:lineRule="auto"/>
        <w:rPr>
          <w:rFonts w:asciiTheme="minorEastAsia" w:hAnsiTheme="minorEastAsia"/>
          <w:szCs w:val="21"/>
        </w:rPr>
      </w:pPr>
    </w:p>
    <w:p>
      <w:pPr>
        <w:spacing w:line="360" w:lineRule="auto"/>
        <w:ind w:firstLine="630" w:firstLineChars="300"/>
        <w:rPr>
          <w:rFonts w:asciiTheme="minorEastAsia" w:hAnsiTheme="minorEastAsia"/>
          <w:szCs w:val="21"/>
        </w:rPr>
      </w:pPr>
      <w:r>
        <w:rPr>
          <w:szCs w:val="21"/>
        </w:rPr>
        <w:t xml:space="preserve"> </w:t>
      </w:r>
      <w:r>
        <w:rPr>
          <w:rFonts w:hint="eastAsia" w:asciiTheme="minorEastAsia" w:hAnsiTheme="minorEastAsia"/>
          <w:szCs w:val="21"/>
        </w:rPr>
        <w:t>姓名：</w:t>
      </w:r>
      <w:r>
        <w:rPr>
          <w:rFonts w:hint="eastAsia" w:asciiTheme="minorEastAsia" w:hAnsiTheme="minorEastAsia"/>
          <w:szCs w:val="21"/>
          <w:u w:val="single"/>
        </w:rPr>
        <w:t xml:space="preserve">        </w:t>
      </w:r>
      <w:r>
        <w:rPr>
          <w:rFonts w:hint="eastAsia" w:asciiTheme="minorEastAsia" w:hAnsiTheme="minorEastAsia"/>
          <w:szCs w:val="21"/>
        </w:rPr>
        <w:t>系</w:t>
      </w:r>
      <w:r>
        <w:rPr>
          <w:rFonts w:hint="eastAsia" w:asciiTheme="minorEastAsia" w:hAnsiTheme="minorEastAsia"/>
          <w:szCs w:val="21"/>
          <w:u w:val="single"/>
        </w:rPr>
        <w:t xml:space="preserve">       </w:t>
      </w:r>
      <w:r>
        <w:rPr>
          <w:rFonts w:hint="eastAsia" w:asciiTheme="minorEastAsia" w:hAnsiTheme="minorEastAsia"/>
          <w:szCs w:val="21"/>
        </w:rPr>
        <w:t>（供应商名称） 的法定代表人（职务：</w:t>
      </w:r>
      <w:r>
        <w:rPr>
          <w:rFonts w:hint="eastAsia" w:asciiTheme="minorEastAsia" w:hAnsiTheme="minorEastAsia"/>
          <w:szCs w:val="21"/>
          <w:u w:val="single"/>
        </w:rPr>
        <w:t xml:space="preserve">      </w:t>
      </w:r>
      <w:r>
        <w:rPr>
          <w:rFonts w:hint="eastAsia" w:asciiTheme="minorEastAsia" w:hAnsiTheme="minorEastAsia"/>
          <w:szCs w:val="21"/>
        </w:rPr>
        <w:t>电话：</w:t>
      </w:r>
      <w:r>
        <w:rPr>
          <w:rFonts w:hint="eastAsia" w:asciiTheme="minorEastAsia" w:hAnsiTheme="minorEastAsia"/>
          <w:szCs w:val="21"/>
          <w:u w:val="single"/>
        </w:rPr>
        <w:t xml:space="preserve">      </w:t>
      </w:r>
      <w:r>
        <w:rPr>
          <w:rFonts w:hint="eastAsia" w:asciiTheme="minorEastAsia" w:hAnsiTheme="minorEastAsia"/>
          <w:szCs w:val="21"/>
        </w:rPr>
        <w:t>）。</w:t>
      </w:r>
    </w:p>
    <w:p>
      <w:pPr>
        <w:spacing w:line="360" w:lineRule="auto"/>
        <w:rPr>
          <w:rFonts w:asciiTheme="minorEastAsia" w:hAnsiTheme="minorEastAsia"/>
          <w:szCs w:val="21"/>
        </w:rPr>
      </w:pPr>
      <w:r>
        <w:rPr>
          <w:szCs w:val="21"/>
        </w:rPr>
        <w:t xml:space="preserve">    </w:t>
      </w:r>
      <w:r>
        <w:rPr>
          <w:rFonts w:hint="eastAsia" w:asciiTheme="minorEastAsia" w:hAnsiTheme="minorEastAsia"/>
          <w:szCs w:val="21"/>
        </w:rPr>
        <w:t>特此证明。</w:t>
      </w:r>
    </w:p>
    <w:p>
      <w:pPr>
        <w:spacing w:line="360" w:lineRule="auto"/>
        <w:rPr>
          <w:rFonts w:asciiTheme="minorEastAsia" w:hAnsiTheme="minorEastAsia"/>
          <w:szCs w:val="21"/>
        </w:rPr>
      </w:pPr>
    </w:p>
    <w:p>
      <w:pPr>
        <w:spacing w:line="360" w:lineRule="auto"/>
        <w:rPr>
          <w:rFonts w:asciiTheme="minorEastAsia" w:hAnsiTheme="minorEastAsia"/>
          <w:szCs w:val="21"/>
        </w:rPr>
      </w:pPr>
      <w:r>
        <w:rPr>
          <w:szCs w:val="21"/>
        </w:rPr>
        <w:t xml:space="preserve">    </w:t>
      </w:r>
      <w:r>
        <w:rPr>
          <w:rFonts w:hint="eastAsia" w:asciiTheme="minorEastAsia" w:hAnsiTheme="minorEastAsia"/>
          <w:szCs w:val="21"/>
        </w:rPr>
        <w:t>附：法定代表人身份证扫描件（复印件）</w:t>
      </w:r>
    </w:p>
    <w:p>
      <w:pPr>
        <w:spacing w:line="360" w:lineRule="auto"/>
        <w:rPr>
          <w:rFonts w:asciiTheme="minorEastAsia" w:hAnsiTheme="minorEastAsia"/>
          <w:szCs w:val="21"/>
        </w:rPr>
      </w:pPr>
    </w:p>
    <w:p>
      <w:pPr>
        <w:spacing w:line="360" w:lineRule="auto"/>
        <w:jc w:val="center"/>
        <w:rPr>
          <w:szCs w:val="21"/>
        </w:rPr>
      </w:pPr>
      <w:r>
        <w:rPr>
          <w:szCs w:val="21"/>
        </w:rPr>
        <w:t xml:space="preserve">             </w:t>
      </w:r>
      <w:r>
        <w:rPr>
          <w:rFonts w:hint="eastAsia"/>
          <w:szCs w:val="21"/>
        </w:rPr>
        <w:t xml:space="preserve">                       </w:t>
      </w:r>
    </w:p>
    <w:p>
      <w:pPr>
        <w:spacing w:line="360" w:lineRule="auto"/>
        <w:jc w:val="center"/>
        <w:rPr>
          <w:szCs w:val="21"/>
        </w:rPr>
      </w:pPr>
    </w:p>
    <w:p>
      <w:pPr>
        <w:spacing w:line="360" w:lineRule="auto"/>
        <w:jc w:val="center"/>
        <w:rPr>
          <w:rFonts w:asciiTheme="minorEastAsia" w:hAnsiTheme="minorEastAsia"/>
          <w:szCs w:val="21"/>
        </w:rPr>
      </w:pPr>
      <w:r>
        <w:rPr>
          <w:rFonts w:hint="eastAsia"/>
          <w:szCs w:val="21"/>
        </w:rPr>
        <w:t xml:space="preserve">                                       </w:t>
      </w:r>
      <w:r>
        <w:rPr>
          <w:szCs w:val="21"/>
        </w:rPr>
        <w:t xml:space="preserve"> </w:t>
      </w:r>
      <w:r>
        <w:rPr>
          <w:rFonts w:hint="eastAsia" w:asciiTheme="minorEastAsia" w:hAnsiTheme="minorEastAsia"/>
          <w:szCs w:val="21"/>
        </w:rPr>
        <w:t>供应商名称：</w:t>
      </w:r>
      <w:r>
        <w:rPr>
          <w:rFonts w:hint="eastAsia" w:asciiTheme="minorEastAsia" w:hAnsiTheme="minorEastAsia"/>
          <w:szCs w:val="21"/>
          <w:u w:val="single"/>
        </w:rPr>
        <w:t xml:space="preserve">               </w:t>
      </w:r>
      <w:r>
        <w:rPr>
          <w:rFonts w:hint="eastAsia" w:asciiTheme="minorEastAsia" w:hAnsiTheme="minorEastAsia"/>
          <w:szCs w:val="21"/>
        </w:rPr>
        <w:t>（盖单位章）</w:t>
      </w:r>
    </w:p>
    <w:p>
      <w:pPr>
        <w:spacing w:line="360" w:lineRule="auto"/>
        <w:jc w:val="center"/>
        <w:rPr>
          <w:rFonts w:asciiTheme="minorEastAsia" w:hAnsiTheme="minorEastAsia"/>
          <w:szCs w:val="21"/>
        </w:rPr>
      </w:pPr>
    </w:p>
    <w:p>
      <w:pPr>
        <w:spacing w:line="360" w:lineRule="auto"/>
        <w:jc w:val="center"/>
        <w:rPr>
          <w:rFonts w:asciiTheme="minorEastAsia" w:hAnsiTheme="minorEastAsia"/>
          <w:szCs w:val="21"/>
        </w:rPr>
      </w:pPr>
      <w:r>
        <w:rPr>
          <w:szCs w:val="21"/>
        </w:rPr>
        <w:t xml:space="preserve">                   </w:t>
      </w:r>
      <w:r>
        <w:rPr>
          <w:rFonts w:hint="eastAsia"/>
          <w:szCs w:val="21"/>
        </w:rPr>
        <w:t xml:space="preserve">                </w:t>
      </w:r>
      <w:r>
        <w:rPr>
          <w:szCs w:val="21"/>
        </w:rPr>
        <w:t xml:space="preserve">   </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p>
    <w:p>
      <w:pPr>
        <w:spacing w:line="360" w:lineRule="auto"/>
        <w:jc w:val="center"/>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r>
        <w:rPr>
          <w:sz w:val="24"/>
        </w:rPr>
        <w:t xml:space="preserve">    </w:t>
      </w:r>
      <w:r>
        <w:rPr>
          <w:rFonts w:hint="eastAsia" w:asciiTheme="minorEastAsia" w:hAnsiTheme="minorEastAsia"/>
          <w:szCs w:val="21"/>
        </w:rPr>
        <w:t>注：法定代表人亲自磋商而不委托代理人磋商适用。</w:t>
      </w:r>
    </w:p>
    <w:p>
      <w:pPr>
        <w:spacing w:line="360" w:lineRule="auto"/>
        <w:rPr>
          <w:rFonts w:ascii="宋体" w:hAnsi="宋体"/>
          <w:b/>
          <w:sz w:val="24"/>
        </w:rPr>
      </w:pPr>
      <w:r>
        <w:rPr>
          <w:rFonts w:hint="eastAsia" w:ascii="宋体" w:hAnsi="宋体"/>
          <w:b/>
          <w:sz w:val="24"/>
        </w:rPr>
        <w:br w:type="page"/>
      </w:r>
    </w:p>
    <w:p>
      <w:pPr>
        <w:pStyle w:val="4"/>
        <w:spacing w:before="0" w:after="0"/>
      </w:pPr>
      <w:bookmarkStart w:id="540" w:name="_Toc5005038"/>
      <w:bookmarkStart w:id="541" w:name="_Toc20309"/>
      <w:bookmarkStart w:id="542" w:name="_Toc298"/>
      <w:bookmarkStart w:id="543" w:name="_Toc18747"/>
      <w:bookmarkStart w:id="544" w:name="_Toc638_WPSOffice_Level3"/>
      <w:bookmarkStart w:id="545" w:name="_Toc3830"/>
      <w:bookmarkStart w:id="546" w:name="_Toc4578871"/>
      <w:bookmarkStart w:id="547" w:name="_Toc7495"/>
      <w:bookmarkStart w:id="548" w:name="_Toc263"/>
      <w:bookmarkStart w:id="549" w:name="_Toc32754"/>
      <w:bookmarkStart w:id="550" w:name="_Toc10634"/>
      <w:bookmarkStart w:id="551" w:name="_Toc4659734"/>
      <w:r>
        <w:rPr>
          <w:rFonts w:hint="eastAsia"/>
        </w:rPr>
        <w:t>二、承诺函</w:t>
      </w:r>
      <w:bookmarkEnd w:id="540"/>
      <w:bookmarkEnd w:id="541"/>
      <w:bookmarkEnd w:id="542"/>
      <w:bookmarkEnd w:id="543"/>
      <w:bookmarkEnd w:id="544"/>
      <w:bookmarkEnd w:id="545"/>
      <w:bookmarkEnd w:id="546"/>
      <w:bookmarkEnd w:id="547"/>
      <w:bookmarkEnd w:id="548"/>
      <w:bookmarkEnd w:id="549"/>
      <w:bookmarkEnd w:id="550"/>
      <w:bookmarkEnd w:id="551"/>
    </w:p>
    <w:p/>
    <w:p>
      <w:pPr>
        <w:snapToGrid w:val="0"/>
        <w:spacing w:line="360" w:lineRule="auto"/>
        <w:rPr>
          <w:rFonts w:ascii="宋体" w:hAnsi="宋体" w:cs="宋体"/>
        </w:rPr>
      </w:pPr>
      <w:r>
        <w:rPr>
          <w:rFonts w:hint="eastAsia" w:ascii="宋体" w:hAnsi="宋体" w:cs="宋体"/>
          <w:u w:val="single"/>
        </w:rPr>
        <w:t xml:space="preserve">             </w:t>
      </w:r>
      <w:bookmarkStart w:id="552" w:name="_Toc4578872"/>
      <w:bookmarkStart w:id="553" w:name="_Toc5005039"/>
      <w:bookmarkStart w:id="554" w:name="_Toc4659735"/>
      <w:r>
        <w:rPr>
          <w:rFonts w:hint="eastAsia" w:ascii="宋体" w:hAnsi="宋体" w:cs="宋体"/>
        </w:rPr>
        <w:t>（采购代理机构名称）：</w:t>
      </w:r>
      <w:bookmarkEnd w:id="552"/>
      <w:bookmarkEnd w:id="553"/>
      <w:bookmarkEnd w:id="554"/>
    </w:p>
    <w:p>
      <w:pPr>
        <w:snapToGrid w:val="0"/>
        <w:spacing w:line="360" w:lineRule="auto"/>
        <w:ind w:firstLine="420" w:firstLineChars="200"/>
        <w:rPr>
          <w:rFonts w:ascii="宋体" w:hAnsi="宋体" w:cs="宋体"/>
        </w:rPr>
      </w:pPr>
      <w:bookmarkStart w:id="555" w:name="_Toc5005040"/>
      <w:bookmarkStart w:id="556" w:name="_Toc4659736"/>
      <w:bookmarkStart w:id="557" w:name="_Toc4578873"/>
      <w:r>
        <w:rPr>
          <w:rFonts w:hint="eastAsia" w:ascii="宋体" w:hAnsi="宋体" w:cs="宋体"/>
        </w:rPr>
        <w:t>我单位作为本次采购项目</w:t>
      </w:r>
      <w:r>
        <w:rPr>
          <w:rFonts w:hint="eastAsia"/>
        </w:rPr>
        <w:t>第</w:t>
      </w:r>
      <w:r>
        <w:rPr>
          <w:rFonts w:hint="eastAsia"/>
          <w:u w:val="single"/>
        </w:rPr>
        <w:t xml:space="preserve">   </w:t>
      </w:r>
      <w:r>
        <w:rPr>
          <w:rFonts w:hint="eastAsia"/>
        </w:rPr>
        <w:t>包</w:t>
      </w:r>
      <w:r>
        <w:rPr>
          <w:rFonts w:hint="eastAsia" w:ascii="宋体" w:hAnsi="宋体" w:cs="宋体"/>
        </w:rPr>
        <w:t>的供应商，根据磋商文件要求，现郑重承诺如下：</w:t>
      </w:r>
      <w:bookmarkEnd w:id="555"/>
      <w:bookmarkEnd w:id="556"/>
      <w:bookmarkEnd w:id="557"/>
    </w:p>
    <w:p>
      <w:pPr>
        <w:snapToGrid w:val="0"/>
        <w:spacing w:line="360" w:lineRule="auto"/>
        <w:ind w:firstLine="420" w:firstLineChars="200"/>
        <w:rPr>
          <w:rFonts w:ascii="宋体" w:hAnsi="宋体" w:cs="宋体"/>
        </w:rPr>
      </w:pPr>
      <w:bookmarkStart w:id="558" w:name="_Toc5005041"/>
      <w:bookmarkStart w:id="559" w:name="_Toc4659737"/>
      <w:bookmarkStart w:id="560" w:name="_Toc4578874"/>
      <w:r>
        <w:rPr>
          <w:rFonts w:hint="eastAsia" w:ascii="宋体" w:hAnsi="宋体" w:cs="宋体"/>
        </w:rPr>
        <w:t>一、参加本次采购活动应具备下列条件：</w:t>
      </w:r>
      <w:bookmarkEnd w:id="558"/>
      <w:bookmarkEnd w:id="559"/>
      <w:bookmarkEnd w:id="560"/>
    </w:p>
    <w:p>
      <w:pPr>
        <w:snapToGrid w:val="0"/>
        <w:spacing w:line="360" w:lineRule="auto"/>
        <w:ind w:firstLine="420" w:firstLineChars="200"/>
        <w:rPr>
          <w:rFonts w:ascii="宋体" w:hAnsi="宋体" w:cs="宋体"/>
        </w:rPr>
      </w:pPr>
      <w:bookmarkStart w:id="561" w:name="_Toc5005042"/>
      <w:bookmarkStart w:id="562" w:name="_Toc4578875"/>
      <w:bookmarkStart w:id="563" w:name="_Toc4659738"/>
      <w:r>
        <w:rPr>
          <w:rFonts w:hint="eastAsia" w:ascii="宋体" w:hAnsi="宋体" w:cs="宋体"/>
        </w:rPr>
        <w:t>（一）具有独立承担民事责任的能力；</w:t>
      </w:r>
      <w:bookmarkEnd w:id="561"/>
      <w:bookmarkEnd w:id="562"/>
      <w:bookmarkEnd w:id="563"/>
    </w:p>
    <w:p>
      <w:pPr>
        <w:snapToGrid w:val="0"/>
        <w:spacing w:line="360" w:lineRule="auto"/>
        <w:ind w:firstLine="420" w:firstLineChars="200"/>
        <w:rPr>
          <w:rFonts w:ascii="宋体" w:hAnsi="宋体" w:cs="宋体"/>
        </w:rPr>
      </w:pPr>
      <w:bookmarkStart w:id="564" w:name="_Toc4578876"/>
      <w:bookmarkStart w:id="565" w:name="_Toc5005043"/>
      <w:bookmarkStart w:id="566" w:name="_Toc4659739"/>
      <w:r>
        <w:rPr>
          <w:rFonts w:hint="eastAsia" w:ascii="宋体" w:hAnsi="宋体" w:cs="宋体"/>
        </w:rPr>
        <w:t>（二）具有良好的商业信誉和健全的财务会计制度；</w:t>
      </w:r>
      <w:bookmarkEnd w:id="564"/>
      <w:bookmarkEnd w:id="565"/>
      <w:bookmarkEnd w:id="566"/>
    </w:p>
    <w:p>
      <w:pPr>
        <w:snapToGrid w:val="0"/>
        <w:spacing w:line="360" w:lineRule="auto"/>
        <w:ind w:firstLine="420" w:firstLineChars="200"/>
        <w:rPr>
          <w:rFonts w:ascii="宋体" w:hAnsi="宋体" w:cs="宋体"/>
        </w:rPr>
      </w:pPr>
      <w:bookmarkStart w:id="567" w:name="_Toc4659740"/>
      <w:bookmarkStart w:id="568" w:name="_Toc5005044"/>
      <w:bookmarkStart w:id="569" w:name="_Toc4578877"/>
      <w:r>
        <w:rPr>
          <w:rFonts w:hint="eastAsia" w:ascii="宋体" w:hAnsi="宋体" w:cs="宋体"/>
        </w:rPr>
        <w:t>（三）具有履行合同所必需的设备和专业技术能力；</w:t>
      </w:r>
      <w:bookmarkEnd w:id="567"/>
      <w:bookmarkEnd w:id="568"/>
      <w:bookmarkEnd w:id="569"/>
    </w:p>
    <w:p>
      <w:pPr>
        <w:snapToGrid w:val="0"/>
        <w:spacing w:line="360" w:lineRule="auto"/>
        <w:ind w:firstLine="420" w:firstLineChars="200"/>
        <w:rPr>
          <w:rFonts w:ascii="宋体" w:hAnsi="宋体" w:cs="宋体"/>
        </w:rPr>
      </w:pPr>
      <w:bookmarkStart w:id="570" w:name="_Toc4659741"/>
      <w:bookmarkStart w:id="571" w:name="_Toc5005045"/>
      <w:bookmarkStart w:id="572" w:name="_Toc4578878"/>
      <w:r>
        <w:rPr>
          <w:rFonts w:hint="eastAsia" w:ascii="宋体" w:hAnsi="宋体" w:cs="宋体"/>
        </w:rPr>
        <w:t>（四）有依法缴纳税收和社会保障资金的良好记录；</w:t>
      </w:r>
      <w:bookmarkEnd w:id="570"/>
      <w:bookmarkEnd w:id="571"/>
      <w:bookmarkEnd w:id="572"/>
    </w:p>
    <w:p>
      <w:pPr>
        <w:snapToGrid w:val="0"/>
        <w:spacing w:line="360" w:lineRule="auto"/>
        <w:ind w:firstLine="420" w:firstLineChars="200"/>
        <w:rPr>
          <w:rFonts w:ascii="宋体" w:hAnsi="宋体" w:cs="宋体"/>
        </w:rPr>
      </w:pPr>
      <w:bookmarkStart w:id="573" w:name="_Toc4578879"/>
      <w:bookmarkStart w:id="574" w:name="_Toc5005046"/>
      <w:bookmarkStart w:id="575" w:name="_Toc4659742"/>
      <w:r>
        <w:rPr>
          <w:rFonts w:hint="eastAsia" w:ascii="宋体" w:hAnsi="宋体" w:cs="宋体"/>
        </w:rPr>
        <w:t>（五）参加采购活动前三年内，在经营活动中没有重大违法记录；</w:t>
      </w:r>
      <w:bookmarkEnd w:id="573"/>
      <w:bookmarkEnd w:id="574"/>
      <w:bookmarkEnd w:id="575"/>
    </w:p>
    <w:p>
      <w:pPr>
        <w:snapToGrid w:val="0"/>
        <w:spacing w:line="360" w:lineRule="auto"/>
        <w:ind w:firstLine="420" w:firstLineChars="200"/>
        <w:rPr>
          <w:rFonts w:ascii="宋体" w:hAnsi="宋体" w:cs="宋体"/>
        </w:rPr>
      </w:pPr>
      <w:bookmarkStart w:id="576" w:name="_Toc4578880"/>
      <w:bookmarkStart w:id="577" w:name="_Toc5005047"/>
      <w:bookmarkStart w:id="578" w:name="_Toc4659743"/>
      <w:r>
        <w:rPr>
          <w:rFonts w:hint="eastAsia" w:ascii="宋体" w:hAnsi="宋体" w:cs="宋体"/>
        </w:rPr>
        <w:t>（六）法律、行政法规规定的其他条件；</w:t>
      </w:r>
      <w:bookmarkEnd w:id="576"/>
      <w:bookmarkEnd w:id="577"/>
      <w:bookmarkEnd w:id="578"/>
    </w:p>
    <w:p>
      <w:pPr>
        <w:snapToGrid w:val="0"/>
        <w:spacing w:line="360" w:lineRule="auto"/>
        <w:ind w:firstLine="420" w:firstLineChars="200"/>
        <w:rPr>
          <w:rFonts w:ascii="宋体" w:hAnsi="宋体" w:cs="宋体"/>
        </w:rPr>
      </w:pPr>
      <w:r>
        <w:rPr>
          <w:rFonts w:hint="eastAsia" w:ascii="宋体" w:hAnsi="宋体" w:cs="宋体"/>
        </w:rPr>
        <w:t>二、完全接受和满足本项目磋商文件中规定的实质性要求。</w:t>
      </w:r>
    </w:p>
    <w:p>
      <w:pPr>
        <w:snapToGrid w:val="0"/>
        <w:spacing w:line="360" w:lineRule="auto"/>
        <w:ind w:firstLine="420" w:firstLineChars="200"/>
        <w:rPr>
          <w:rFonts w:ascii="宋体" w:hAnsi="宋体" w:cs="宋体"/>
        </w:rPr>
      </w:pPr>
      <w:bookmarkStart w:id="579" w:name="_Toc4578882"/>
      <w:bookmarkStart w:id="580" w:name="_Toc5005049"/>
      <w:bookmarkStart w:id="581" w:name="_Toc4659745"/>
      <w:r>
        <w:rPr>
          <w:rFonts w:hint="eastAsia" w:ascii="宋体" w:hAnsi="宋体" w:cs="宋体"/>
        </w:rPr>
        <w:t>三、截至响应文件递交截止日未被列入失信被执行人、重大税收违法案件当事人名单、政府采购严重违法失信行为记录名单。</w:t>
      </w:r>
      <w:bookmarkEnd w:id="579"/>
      <w:bookmarkEnd w:id="580"/>
      <w:bookmarkEnd w:id="581"/>
    </w:p>
    <w:p>
      <w:pPr>
        <w:snapToGrid w:val="0"/>
        <w:spacing w:line="360" w:lineRule="auto"/>
        <w:ind w:firstLine="420" w:firstLineChars="200"/>
        <w:rPr>
          <w:rFonts w:ascii="宋体" w:hAnsi="宋体" w:cs="宋体"/>
        </w:rPr>
      </w:pPr>
      <w:bookmarkStart w:id="582" w:name="_Toc5005050"/>
      <w:bookmarkStart w:id="583" w:name="_Toc4659746"/>
      <w:bookmarkStart w:id="584" w:name="_Toc4578883"/>
      <w:r>
        <w:rPr>
          <w:rFonts w:hint="eastAsia" w:ascii="宋体" w:hAnsi="宋体" w:cs="宋体"/>
        </w:rPr>
        <w:t>四、我单位及其现任法定代表人/主要负责人不具有行贿犯罪记录。</w:t>
      </w:r>
      <w:bookmarkEnd w:id="582"/>
      <w:bookmarkEnd w:id="583"/>
      <w:bookmarkEnd w:id="584"/>
    </w:p>
    <w:p>
      <w:pPr>
        <w:snapToGrid w:val="0"/>
        <w:spacing w:line="360" w:lineRule="auto"/>
        <w:ind w:firstLine="420" w:firstLineChars="200"/>
        <w:rPr>
          <w:rFonts w:ascii="宋体" w:hAnsi="宋体" w:cs="宋体"/>
        </w:rPr>
      </w:pPr>
      <w:bookmarkStart w:id="585" w:name="_Toc4659747"/>
      <w:bookmarkStart w:id="586" w:name="_Toc5005051"/>
      <w:bookmarkStart w:id="587" w:name="_Toc4578884"/>
      <w:r>
        <w:rPr>
          <w:rFonts w:hint="eastAsia" w:ascii="宋体" w:hAnsi="宋体" w:cs="宋体"/>
        </w:rPr>
        <w:t>本单位对上述承诺的内容事项真实性负责。如经查实上述承诺的内容事项存在虚假，我单位愿意接受以提供虚假材料谋取成交追究法律责任。</w:t>
      </w:r>
      <w:bookmarkEnd w:id="585"/>
      <w:bookmarkEnd w:id="586"/>
      <w:bookmarkEnd w:id="587"/>
    </w:p>
    <w:p>
      <w:pPr>
        <w:snapToGrid w:val="0"/>
        <w:spacing w:line="360" w:lineRule="auto"/>
        <w:ind w:firstLine="420" w:firstLineChars="200"/>
        <w:rPr>
          <w:rFonts w:ascii="宋体" w:hAnsi="宋体" w:cs="宋体"/>
        </w:rPr>
      </w:pPr>
    </w:p>
    <w:p>
      <w:pPr>
        <w:snapToGrid w:val="0"/>
        <w:spacing w:line="360" w:lineRule="auto"/>
        <w:ind w:firstLine="4200" w:firstLineChars="2000"/>
        <w:rPr>
          <w:rFonts w:ascii="宋体" w:hAnsi="宋体" w:cs="宋体"/>
        </w:rPr>
      </w:pPr>
      <w:bookmarkStart w:id="588" w:name="_Toc4578885"/>
      <w:bookmarkStart w:id="589" w:name="_Toc5005052"/>
      <w:bookmarkStart w:id="590" w:name="_Toc4659748"/>
      <w:r>
        <w:rPr>
          <w:rFonts w:hint="eastAsia" w:ascii="宋体" w:hAnsi="宋体" w:cs="宋体"/>
        </w:rPr>
        <w:t>供应商名称：</w:t>
      </w:r>
      <w:r>
        <w:rPr>
          <w:rFonts w:hint="eastAsia" w:ascii="宋体" w:hAnsi="宋体" w:cs="宋体"/>
          <w:u w:val="single"/>
        </w:rPr>
        <w:t xml:space="preserve">             </w:t>
      </w:r>
      <w:r>
        <w:rPr>
          <w:rFonts w:hint="eastAsia" w:ascii="宋体" w:hAnsi="宋体" w:cs="宋体"/>
        </w:rPr>
        <w:t>（单位公章）</w:t>
      </w:r>
      <w:bookmarkEnd w:id="588"/>
      <w:bookmarkEnd w:id="589"/>
      <w:bookmarkEnd w:id="590"/>
    </w:p>
    <w:p>
      <w:pPr>
        <w:snapToGrid w:val="0"/>
        <w:spacing w:line="360" w:lineRule="auto"/>
        <w:ind w:firstLine="4200" w:firstLineChars="2000"/>
        <w:rPr>
          <w:rFonts w:ascii="宋体" w:hAnsi="宋体" w:cs="宋体"/>
        </w:rPr>
      </w:pPr>
      <w:bookmarkStart w:id="591" w:name="_Toc4578886"/>
      <w:bookmarkStart w:id="592" w:name="_Toc5005053"/>
      <w:bookmarkStart w:id="593" w:name="_Toc4659749"/>
      <w:r>
        <w:rPr>
          <w:rFonts w:hint="eastAsia" w:ascii="宋体" w:hAnsi="宋体" w:cs="宋体"/>
        </w:rPr>
        <w:t>法定代表人或授权代表（签字或加盖个人印章）：</w:t>
      </w:r>
      <w:r>
        <w:rPr>
          <w:rFonts w:hint="eastAsia" w:ascii="宋体" w:hAnsi="宋体" w:cs="宋体"/>
          <w:u w:val="single"/>
        </w:rPr>
        <w:t xml:space="preserve">            </w:t>
      </w:r>
      <w:r>
        <w:rPr>
          <w:rFonts w:hint="eastAsia" w:ascii="宋体" w:hAnsi="宋体" w:cs="宋体"/>
        </w:rPr>
        <w:t xml:space="preserve"> </w:t>
      </w:r>
      <w:bookmarkEnd w:id="591"/>
      <w:bookmarkEnd w:id="592"/>
      <w:bookmarkEnd w:id="593"/>
    </w:p>
    <w:p>
      <w:pPr>
        <w:snapToGrid w:val="0"/>
        <w:spacing w:line="360" w:lineRule="auto"/>
        <w:ind w:firstLine="4200" w:firstLineChars="2000"/>
        <w:rPr>
          <w:rFonts w:ascii="宋体" w:hAnsi="宋体"/>
          <w:sz w:val="24"/>
        </w:rPr>
      </w:pPr>
      <w:bookmarkStart w:id="594" w:name="_Toc4578887"/>
      <w:bookmarkStart w:id="595" w:name="_Toc4659750"/>
      <w:bookmarkStart w:id="596" w:name="_Toc5005054"/>
      <w:r>
        <w:rPr>
          <w:rFonts w:hint="eastAsia" w:ascii="宋体" w:hAnsi="宋体" w:cs="宋体"/>
        </w:rPr>
        <w:t>日    期：</w:t>
      </w:r>
      <w:r>
        <w:rPr>
          <w:rFonts w:hint="eastAsia" w:ascii="宋体" w:hAnsi="宋体" w:cs="宋体"/>
          <w:u w:val="single"/>
        </w:rPr>
        <w:t xml:space="preserve">            </w:t>
      </w:r>
      <w:r>
        <w:rPr>
          <w:rFonts w:hint="eastAsia" w:ascii="宋体" w:hAnsi="宋体" w:cs="宋体"/>
        </w:rPr>
        <w:t xml:space="preserve"> </w:t>
      </w:r>
      <w:bookmarkEnd w:id="594"/>
      <w:bookmarkEnd w:id="595"/>
      <w:bookmarkEnd w:id="596"/>
    </w:p>
    <w:p>
      <w:pPr>
        <w:spacing w:line="360" w:lineRule="auto"/>
        <w:rPr>
          <w:rFonts w:ascii="宋体" w:hAnsi="宋体"/>
          <w:sz w:val="24"/>
        </w:rPr>
      </w:pPr>
    </w:p>
    <w:p>
      <w:pPr>
        <w:spacing w:line="360" w:lineRule="auto"/>
        <w:rPr>
          <w:rFonts w:ascii="宋体" w:hAnsi="宋体"/>
          <w:b/>
          <w:sz w:val="24"/>
        </w:rPr>
      </w:pPr>
      <w:bookmarkStart w:id="597" w:name="_Toc5005055"/>
      <w:bookmarkStart w:id="598" w:name="_Toc152042582"/>
      <w:bookmarkStart w:id="599" w:name="_Toc300835215"/>
      <w:bookmarkStart w:id="600" w:name="_Toc247527833"/>
      <w:bookmarkStart w:id="601" w:name="_Toc247514285"/>
      <w:bookmarkStart w:id="602" w:name="_Toc4659751"/>
      <w:bookmarkStart w:id="603" w:name="_Toc152045793"/>
      <w:bookmarkStart w:id="604" w:name="_Toc4578888"/>
      <w:r>
        <w:rPr>
          <w:rFonts w:hint="eastAsia" w:ascii="宋体" w:hAnsi="宋体"/>
          <w:b/>
          <w:sz w:val="24"/>
        </w:rPr>
        <w:br w:type="page"/>
      </w:r>
    </w:p>
    <w:bookmarkEnd w:id="597"/>
    <w:bookmarkEnd w:id="598"/>
    <w:bookmarkEnd w:id="599"/>
    <w:bookmarkEnd w:id="600"/>
    <w:bookmarkEnd w:id="601"/>
    <w:bookmarkEnd w:id="602"/>
    <w:bookmarkEnd w:id="603"/>
    <w:bookmarkEnd w:id="604"/>
    <w:p>
      <w:pPr>
        <w:pStyle w:val="4"/>
      </w:pPr>
      <w:bookmarkStart w:id="605" w:name="_Toc23143"/>
      <w:bookmarkStart w:id="606" w:name="_Toc3637"/>
      <w:bookmarkStart w:id="607" w:name="_Toc13999"/>
      <w:bookmarkStart w:id="608" w:name="_Toc17388"/>
      <w:bookmarkStart w:id="609" w:name="_Toc7866"/>
      <w:bookmarkStart w:id="610" w:name="_Toc553"/>
      <w:bookmarkStart w:id="611" w:name="_Toc12576"/>
      <w:bookmarkStart w:id="612" w:name="_Toc3006"/>
      <w:bookmarkStart w:id="613" w:name="_Toc26656_WPSOffice_Level2"/>
      <w:r>
        <w:rPr>
          <w:rFonts w:hint="eastAsia"/>
        </w:rPr>
        <w:t>三、供应商资格、资质性及其他类似效力要求的相关证明材料</w:t>
      </w:r>
      <w:bookmarkEnd w:id="605"/>
      <w:bookmarkEnd w:id="606"/>
      <w:bookmarkEnd w:id="607"/>
      <w:bookmarkEnd w:id="608"/>
      <w:bookmarkEnd w:id="609"/>
      <w:bookmarkEnd w:id="610"/>
      <w:bookmarkEnd w:id="611"/>
      <w:bookmarkEnd w:id="612"/>
      <w:bookmarkEnd w:id="613"/>
    </w:p>
    <w:p>
      <w:pPr>
        <w:spacing w:line="360" w:lineRule="auto"/>
        <w:ind w:firstLine="420" w:firstLineChars="200"/>
        <w:rPr>
          <w:rFonts w:ascii="宋体" w:hAnsi="宋体" w:cs="宋体"/>
          <w:bCs/>
          <w:szCs w:val="21"/>
        </w:rPr>
      </w:pPr>
      <w:r>
        <w:rPr>
          <w:rFonts w:hint="eastAsia" w:ascii="宋体" w:hAnsi="宋体" w:cs="宋体"/>
          <w:bCs/>
          <w:szCs w:val="21"/>
        </w:rPr>
        <w:t>注：供应商应按磋商文件第四章相关要求提供佐证材料，有格式要求的从其要求，无格式要求的格式自拟。</w:t>
      </w:r>
    </w:p>
    <w:p>
      <w:pPr>
        <w:widowControl/>
        <w:spacing w:line="360" w:lineRule="auto"/>
        <w:jc w:val="left"/>
        <w:rPr>
          <w:rFonts w:ascii="宋体" w:hAnsi="宋体" w:cs="宋体"/>
          <w:bCs/>
          <w:szCs w:val="21"/>
        </w:rPr>
      </w:pPr>
      <w:r>
        <w:rPr>
          <w:rFonts w:ascii="宋体" w:hAnsi="宋体" w:cs="宋体"/>
          <w:bCs/>
          <w:szCs w:val="21"/>
        </w:rPr>
        <w:br w:type="page"/>
      </w:r>
    </w:p>
    <w:p>
      <w:bookmarkStart w:id="614" w:name="_Toc17512_WPSOffice_Level3"/>
    </w:p>
    <w:p/>
    <w:p/>
    <w:p/>
    <w:p/>
    <w:p/>
    <w:p>
      <w:pPr>
        <w:pStyle w:val="12"/>
      </w:pPr>
    </w:p>
    <w:p>
      <w:pPr>
        <w:pStyle w:val="15"/>
      </w:pPr>
    </w:p>
    <w:p/>
    <w:p>
      <w:pPr>
        <w:pStyle w:val="12"/>
      </w:pPr>
    </w:p>
    <w:p>
      <w:pPr>
        <w:pStyle w:val="15"/>
      </w:pPr>
    </w:p>
    <w:p/>
    <w:p>
      <w:pPr>
        <w:pStyle w:val="12"/>
      </w:pPr>
    </w:p>
    <w:p>
      <w:pPr>
        <w:pStyle w:val="15"/>
      </w:pPr>
    </w:p>
    <w:p/>
    <w:p/>
    <w:p/>
    <w:p/>
    <w:p>
      <w:pPr>
        <w:snapToGrid w:val="0"/>
        <w:spacing w:line="360" w:lineRule="auto"/>
        <w:jc w:val="center"/>
        <w:outlineLvl w:val="1"/>
        <w:rPr>
          <w:rFonts w:ascii="宋体" w:hAnsi="宋体" w:cs="宋体"/>
          <w:b/>
          <w:sz w:val="32"/>
        </w:rPr>
      </w:pPr>
      <w:bookmarkStart w:id="615" w:name="_Toc10108"/>
      <w:bookmarkStart w:id="616" w:name="_Toc16014"/>
      <w:bookmarkStart w:id="617" w:name="_Toc7797"/>
      <w:bookmarkStart w:id="618" w:name="_Toc27954"/>
      <w:bookmarkStart w:id="619" w:name="_Toc3153"/>
      <w:bookmarkStart w:id="620" w:name="_Toc30194"/>
      <w:bookmarkStart w:id="621" w:name="_Toc2804"/>
      <w:bookmarkStart w:id="622" w:name="_Toc29281"/>
      <w:r>
        <w:rPr>
          <w:rFonts w:hint="eastAsia" w:ascii="宋体" w:hAnsi="宋体" w:cs="宋体"/>
          <w:b/>
          <w:sz w:val="32"/>
        </w:rPr>
        <w:t>第二部分 其他响应文件（格式）</w:t>
      </w:r>
      <w:bookmarkEnd w:id="615"/>
      <w:bookmarkEnd w:id="616"/>
      <w:bookmarkEnd w:id="617"/>
      <w:bookmarkEnd w:id="618"/>
      <w:bookmarkEnd w:id="619"/>
      <w:bookmarkEnd w:id="620"/>
      <w:bookmarkEnd w:id="621"/>
      <w:bookmarkEnd w:id="622"/>
    </w:p>
    <w:p>
      <w:r>
        <w:br w:type="page"/>
      </w:r>
    </w:p>
    <w:bookmarkEnd w:id="614"/>
    <w:p>
      <w:pPr>
        <w:jc w:val="center"/>
        <w:rPr>
          <w:rFonts w:hint="eastAsia"/>
          <w:b/>
          <w:bCs/>
          <w:sz w:val="28"/>
          <w:szCs w:val="36"/>
        </w:rPr>
        <w:sectPr>
          <w:pgSz w:w="11907" w:h="16840"/>
          <w:pgMar w:top="1134" w:right="1134" w:bottom="1134" w:left="1134" w:header="851" w:footer="850" w:gutter="0"/>
          <w:pgNumType w:fmt="decimal"/>
          <w:cols w:space="0" w:num="1"/>
          <w:docGrid w:type="lines" w:linePitch="312" w:charSpace="0"/>
        </w:sectPr>
      </w:pPr>
      <w:bookmarkStart w:id="623" w:name="_Toc25667_WPSOffice_Level3"/>
      <w:bookmarkStart w:id="624" w:name="_Toc308164824"/>
    </w:p>
    <w:p>
      <w:pPr>
        <w:pStyle w:val="2"/>
        <w:keepNext w:val="0"/>
        <w:keepLines w:val="0"/>
        <w:widowControl/>
        <w:numPr>
          <w:ilvl w:val="0"/>
          <w:numId w:val="0"/>
        </w:numPr>
        <w:spacing w:line="360" w:lineRule="auto"/>
        <w:jc w:val="right"/>
        <w:outlineLvl w:val="9"/>
        <w:rPr>
          <w:rFonts w:ascii="宋体" w:hAnsi="宋体" w:eastAsia="宋体" w:cs="宋体"/>
          <w:sz w:val="28"/>
          <w:szCs w:val="28"/>
        </w:rPr>
      </w:pPr>
      <w:r>
        <w:rPr>
          <w:rFonts w:hint="eastAsia" w:ascii="宋体" w:hAnsi="宋体" w:eastAsia="宋体" w:cs="宋体"/>
          <w:sz w:val="28"/>
          <w:szCs w:val="28"/>
        </w:rPr>
        <w:t>正本/副本</w:t>
      </w:r>
    </w:p>
    <w:p>
      <w:pPr>
        <w:spacing w:line="360" w:lineRule="auto"/>
        <w:jc w:val="center"/>
        <w:rPr>
          <w:rFonts w:ascii="宋体" w:hAnsi="宋体"/>
          <w:b/>
          <w:sz w:val="24"/>
        </w:rPr>
      </w:pPr>
    </w:p>
    <w:p>
      <w:pPr>
        <w:pStyle w:val="23"/>
        <w:tabs>
          <w:tab w:val="right" w:leader="dot" w:pos="9724"/>
        </w:tabs>
        <w:ind w:firstLine="843" w:firstLineChars="300"/>
        <w:jc w:val="left"/>
        <w:rPr>
          <w:rFonts w:ascii="宋体" w:hAnsi="宋体" w:eastAsia="宋体" w:cs="宋体"/>
          <w:b/>
          <w:bCs/>
          <w:sz w:val="28"/>
          <w:szCs w:val="28"/>
        </w:rPr>
      </w:pPr>
      <w:r>
        <w:rPr>
          <w:rFonts w:hint="eastAsia" w:ascii="宋体" w:hAnsi="宋体" w:eastAsia="宋体" w:cs="宋体"/>
          <w:b/>
          <w:bCs/>
          <w:sz w:val="28"/>
          <w:szCs w:val="28"/>
          <w:lang w:val="zh-CN"/>
        </w:rPr>
        <w:t>项目编号：</w:t>
      </w:r>
      <w:r>
        <w:rPr>
          <w:rFonts w:hint="eastAsia" w:ascii="宋体" w:hAnsi="宋体" w:eastAsia="宋体" w:cs="宋体"/>
          <w:b/>
          <w:bCs/>
          <w:sz w:val="28"/>
          <w:szCs w:val="28"/>
          <w:u w:val="single"/>
        </w:rPr>
        <w:t xml:space="preserve">           </w:t>
      </w:r>
    </w:p>
    <w:p>
      <w:pPr>
        <w:widowControl/>
        <w:spacing w:line="360" w:lineRule="auto"/>
        <w:rPr>
          <w:rFonts w:ascii="宋体" w:hAnsi="宋体" w:cs="宋体"/>
          <w:sz w:val="24"/>
          <w:lang w:val="zh-CN"/>
        </w:rPr>
      </w:pPr>
    </w:p>
    <w:p>
      <w:pPr>
        <w:pStyle w:val="12"/>
        <w:spacing w:after="0" w:line="360" w:lineRule="auto"/>
        <w:ind w:firstLine="723" w:firstLineChars="300"/>
        <w:rPr>
          <w:rFonts w:ascii="宋体" w:hAnsi="宋体" w:cs="宋体"/>
          <w:b/>
          <w:bCs/>
          <w:sz w:val="44"/>
          <w:szCs w:val="44"/>
        </w:rPr>
      </w:pPr>
      <w:r>
        <w:rPr>
          <w:rFonts w:hint="eastAsia" w:ascii="宋体" w:hAnsi="宋体" w:cs="宋体"/>
          <w:b/>
          <w:bCs/>
          <w:sz w:val="24"/>
        </w:rPr>
        <w:t xml:space="preserve"> </w:t>
      </w:r>
      <w:r>
        <w:rPr>
          <w:rFonts w:hint="eastAsia" w:ascii="宋体" w:hAnsi="宋体" w:cs="宋体"/>
          <w:b/>
          <w:bCs/>
          <w:sz w:val="44"/>
          <w:szCs w:val="44"/>
          <w:u w:val="single"/>
        </w:rPr>
        <w:t xml:space="preserve">                         </w:t>
      </w:r>
      <w:r>
        <w:rPr>
          <w:rFonts w:hint="eastAsia" w:ascii="宋体" w:hAnsi="宋体" w:cs="宋体"/>
          <w:b/>
          <w:bCs/>
          <w:sz w:val="44"/>
          <w:szCs w:val="44"/>
        </w:rPr>
        <w:t>（项目名称）</w:t>
      </w:r>
    </w:p>
    <w:p>
      <w:pPr>
        <w:pStyle w:val="15"/>
        <w:spacing w:line="360" w:lineRule="auto"/>
        <w:rPr>
          <w:rFonts w:ascii="宋体" w:hAnsi="宋体" w:cs="宋体"/>
          <w:sz w:val="44"/>
          <w:szCs w:val="44"/>
        </w:rPr>
      </w:pPr>
    </w:p>
    <w:p>
      <w:pPr>
        <w:pStyle w:val="46"/>
        <w:spacing w:line="360" w:lineRule="auto"/>
        <w:rPr>
          <w:rFonts w:ascii="宋体" w:hAnsi="宋体" w:cs="宋体"/>
        </w:rPr>
      </w:pPr>
    </w:p>
    <w:p>
      <w:pPr>
        <w:pStyle w:val="46"/>
        <w:spacing w:line="360" w:lineRule="auto"/>
        <w:rPr>
          <w:rFonts w:ascii="宋体" w:hAnsi="宋体" w:cs="宋体"/>
        </w:rPr>
      </w:pPr>
    </w:p>
    <w:p>
      <w:pPr>
        <w:pStyle w:val="46"/>
        <w:spacing w:line="360" w:lineRule="auto"/>
        <w:rPr>
          <w:rFonts w:ascii="宋体" w:hAnsi="宋体" w:cs="宋体"/>
        </w:rPr>
      </w:pPr>
    </w:p>
    <w:p>
      <w:pPr>
        <w:pStyle w:val="46"/>
        <w:spacing w:line="360" w:lineRule="auto"/>
        <w:rPr>
          <w:rFonts w:ascii="宋体" w:hAnsi="宋体" w:cs="宋体"/>
        </w:rPr>
      </w:pPr>
    </w:p>
    <w:p>
      <w:pPr>
        <w:pStyle w:val="46"/>
        <w:spacing w:line="360" w:lineRule="auto"/>
        <w:rPr>
          <w:rFonts w:ascii="宋体" w:hAnsi="宋体" w:cs="宋体"/>
        </w:rPr>
      </w:pPr>
    </w:p>
    <w:p>
      <w:pPr>
        <w:pStyle w:val="46"/>
        <w:spacing w:line="360" w:lineRule="auto"/>
        <w:rPr>
          <w:rFonts w:ascii="宋体" w:hAnsi="宋体" w:cs="宋体"/>
        </w:rPr>
      </w:pPr>
    </w:p>
    <w:p>
      <w:pPr>
        <w:widowControl/>
        <w:spacing w:line="360" w:lineRule="auto"/>
        <w:jc w:val="center"/>
        <w:rPr>
          <w:rFonts w:ascii="宋体" w:hAnsi="宋体" w:cs="宋体"/>
          <w:b/>
          <w:bCs/>
          <w:sz w:val="72"/>
          <w:szCs w:val="72"/>
        </w:rPr>
      </w:pPr>
      <w:r>
        <w:rPr>
          <w:rFonts w:hint="eastAsia" w:ascii="宋体" w:hAnsi="宋体" w:cs="宋体"/>
          <w:b/>
          <w:bCs/>
          <w:sz w:val="72"/>
          <w:szCs w:val="72"/>
          <w:lang w:eastAsia="zh-CN"/>
        </w:rPr>
        <w:t>其他</w:t>
      </w:r>
      <w:r>
        <w:rPr>
          <w:rFonts w:hint="eastAsia" w:ascii="宋体" w:hAnsi="宋体" w:cs="宋体"/>
          <w:b/>
          <w:bCs/>
          <w:sz w:val="72"/>
          <w:szCs w:val="72"/>
        </w:rPr>
        <w:t>响应文件</w:t>
      </w:r>
    </w:p>
    <w:p>
      <w:pPr>
        <w:pStyle w:val="46"/>
        <w:spacing w:line="360" w:lineRule="auto"/>
        <w:jc w:val="center"/>
        <w:rPr>
          <w:rFonts w:ascii="宋体" w:hAnsi="宋体" w:cs="宋体"/>
          <w:b/>
          <w:bCs/>
          <w:sz w:val="28"/>
          <w:szCs w:val="28"/>
        </w:rPr>
      </w:pPr>
    </w:p>
    <w:p>
      <w:pPr>
        <w:pStyle w:val="46"/>
        <w:spacing w:line="360" w:lineRule="auto"/>
        <w:jc w:val="center"/>
        <w:rPr>
          <w:rFonts w:ascii="宋体" w:hAnsi="宋体" w:cs="宋体"/>
          <w:b/>
          <w:bCs/>
          <w:sz w:val="36"/>
          <w:szCs w:val="36"/>
        </w:rPr>
      </w:pPr>
      <w:r>
        <w:rPr>
          <w:rFonts w:hint="eastAsia" w:ascii="宋体" w:hAnsi="宋体" w:cs="宋体"/>
          <w:b/>
          <w:bCs/>
          <w:sz w:val="36"/>
          <w:szCs w:val="36"/>
        </w:rPr>
        <w:t>第</w:t>
      </w:r>
      <w:r>
        <w:rPr>
          <w:rFonts w:hint="eastAsia" w:ascii="宋体" w:hAnsi="宋体" w:cs="宋体"/>
          <w:b/>
          <w:bCs/>
          <w:sz w:val="36"/>
          <w:szCs w:val="36"/>
          <w:u w:val="single"/>
        </w:rPr>
        <w:t xml:space="preserve">   </w:t>
      </w:r>
      <w:r>
        <w:rPr>
          <w:rFonts w:hint="eastAsia" w:ascii="宋体" w:hAnsi="宋体" w:cs="宋体"/>
          <w:b/>
          <w:bCs/>
          <w:sz w:val="36"/>
          <w:szCs w:val="36"/>
        </w:rPr>
        <w:t>包</w:t>
      </w:r>
    </w:p>
    <w:p>
      <w:pPr>
        <w:pStyle w:val="46"/>
        <w:spacing w:line="360" w:lineRule="auto"/>
        <w:rPr>
          <w:rFonts w:ascii="宋体" w:hAnsi="宋体" w:cs="宋体"/>
          <w:sz w:val="28"/>
          <w:szCs w:val="28"/>
        </w:rPr>
      </w:pPr>
    </w:p>
    <w:p>
      <w:pPr>
        <w:pStyle w:val="46"/>
        <w:spacing w:line="360" w:lineRule="auto"/>
        <w:rPr>
          <w:rFonts w:ascii="宋体" w:hAnsi="宋体" w:cs="宋体"/>
          <w:sz w:val="28"/>
          <w:szCs w:val="28"/>
        </w:rPr>
      </w:pPr>
    </w:p>
    <w:p>
      <w:pPr>
        <w:pStyle w:val="46"/>
        <w:spacing w:line="360" w:lineRule="auto"/>
        <w:rPr>
          <w:rFonts w:ascii="宋体" w:hAnsi="宋体" w:cs="宋体"/>
          <w:sz w:val="28"/>
          <w:szCs w:val="28"/>
        </w:rPr>
      </w:pPr>
    </w:p>
    <w:p>
      <w:pPr>
        <w:pStyle w:val="46"/>
        <w:spacing w:line="360" w:lineRule="auto"/>
        <w:rPr>
          <w:rFonts w:ascii="宋体" w:hAnsi="宋体" w:cs="宋体"/>
          <w:sz w:val="28"/>
          <w:szCs w:val="28"/>
        </w:rPr>
      </w:pPr>
    </w:p>
    <w:p>
      <w:pPr>
        <w:tabs>
          <w:tab w:val="left" w:pos="3240"/>
        </w:tabs>
        <w:snapToGrid w:val="0"/>
        <w:spacing w:line="360" w:lineRule="auto"/>
        <w:ind w:firstLine="1619" w:firstLineChars="576"/>
        <w:rPr>
          <w:rFonts w:ascii="宋体" w:hAnsi="宋体" w:cs="宋体"/>
          <w:b/>
          <w:bCs/>
          <w:sz w:val="28"/>
          <w:szCs w:val="28"/>
        </w:rPr>
      </w:pPr>
      <w:r>
        <w:rPr>
          <w:rFonts w:hint="eastAsia" w:ascii="宋体" w:hAnsi="宋体" w:cs="宋体"/>
          <w:b/>
          <w:bCs/>
          <w:sz w:val="28"/>
          <w:szCs w:val="28"/>
        </w:rPr>
        <w:t>供应商名称：</w:t>
      </w:r>
      <w:r>
        <w:rPr>
          <w:rFonts w:hint="eastAsia" w:ascii="宋体" w:hAnsi="宋体" w:cs="宋体"/>
          <w:b/>
          <w:bCs/>
          <w:sz w:val="28"/>
          <w:szCs w:val="28"/>
          <w:u w:val="single"/>
        </w:rPr>
        <w:t xml:space="preserve">                       </w:t>
      </w:r>
      <w:r>
        <w:rPr>
          <w:rFonts w:hint="eastAsia" w:ascii="宋体" w:hAnsi="宋体" w:cs="宋体"/>
          <w:b/>
          <w:bCs/>
          <w:sz w:val="28"/>
          <w:szCs w:val="28"/>
        </w:rPr>
        <w:t>(盖章)</w:t>
      </w:r>
    </w:p>
    <w:p>
      <w:pPr>
        <w:tabs>
          <w:tab w:val="left" w:pos="3240"/>
        </w:tabs>
        <w:snapToGrid w:val="0"/>
        <w:spacing w:line="360" w:lineRule="auto"/>
        <w:ind w:firstLine="1619" w:firstLineChars="576"/>
        <w:rPr>
          <w:rFonts w:ascii="宋体" w:hAnsi="宋体" w:cs="宋体"/>
          <w:b/>
          <w:bCs/>
          <w:sz w:val="28"/>
          <w:szCs w:val="28"/>
        </w:rPr>
      </w:pPr>
      <w:r>
        <w:rPr>
          <w:rFonts w:hint="eastAsia" w:ascii="宋体" w:hAnsi="宋体" w:cs="宋体"/>
          <w:b/>
          <w:bCs/>
          <w:sz w:val="28"/>
          <w:szCs w:val="28"/>
        </w:rPr>
        <w:t>法定代表人或授权代表：</w:t>
      </w:r>
      <w:r>
        <w:rPr>
          <w:rFonts w:hint="eastAsia" w:ascii="宋体" w:hAnsi="宋体" w:cs="宋体"/>
          <w:b/>
          <w:bCs/>
          <w:sz w:val="28"/>
          <w:szCs w:val="28"/>
          <w:u w:val="single"/>
        </w:rPr>
        <w:t xml:space="preserve">             </w:t>
      </w:r>
      <w:r>
        <w:rPr>
          <w:rFonts w:hint="eastAsia" w:ascii="宋体" w:hAnsi="宋体" w:cs="宋体"/>
          <w:b/>
          <w:bCs/>
          <w:sz w:val="28"/>
          <w:szCs w:val="28"/>
        </w:rPr>
        <w:t>(签字或盖章)</w:t>
      </w:r>
    </w:p>
    <w:p>
      <w:pPr>
        <w:tabs>
          <w:tab w:val="left" w:pos="3240"/>
        </w:tabs>
        <w:snapToGrid w:val="0"/>
        <w:spacing w:line="360" w:lineRule="auto"/>
        <w:ind w:firstLine="1619" w:firstLineChars="576"/>
        <w:rPr>
          <w:rFonts w:ascii="宋体" w:hAnsi="宋体" w:cs="宋体"/>
          <w:b/>
          <w:bCs/>
          <w:sz w:val="28"/>
          <w:szCs w:val="28"/>
        </w:rPr>
      </w:pPr>
      <w:r>
        <w:rPr>
          <w:rFonts w:hint="eastAsia" w:ascii="宋体" w:hAnsi="宋体" w:cs="宋体"/>
          <w:b/>
          <w:bCs/>
          <w:sz w:val="28"/>
          <w:szCs w:val="28"/>
        </w:rPr>
        <w:t>日期：</w:t>
      </w:r>
      <w:r>
        <w:rPr>
          <w:rFonts w:hint="eastAsia" w:ascii="宋体" w:hAnsi="宋体" w:cs="宋体"/>
          <w:b/>
          <w:bCs/>
          <w:i/>
          <w:sz w:val="28"/>
          <w:szCs w:val="28"/>
          <w:u w:val="single"/>
        </w:rPr>
        <w:t xml:space="preserve">    </w:t>
      </w:r>
      <w:r>
        <w:rPr>
          <w:rFonts w:hint="eastAsia" w:ascii="宋体" w:hAnsi="宋体" w:cs="宋体"/>
          <w:b/>
          <w:bCs/>
          <w:iCs/>
          <w:sz w:val="28"/>
          <w:szCs w:val="28"/>
        </w:rPr>
        <w:t>年</w:t>
      </w:r>
      <w:r>
        <w:rPr>
          <w:rFonts w:hint="eastAsia" w:ascii="宋体" w:hAnsi="宋体" w:cs="宋体"/>
          <w:b/>
          <w:bCs/>
          <w:iCs/>
          <w:sz w:val="28"/>
          <w:szCs w:val="28"/>
          <w:u w:val="single"/>
        </w:rPr>
        <w:t xml:space="preserve">    </w:t>
      </w:r>
      <w:r>
        <w:rPr>
          <w:rFonts w:hint="eastAsia" w:ascii="宋体" w:hAnsi="宋体" w:cs="宋体"/>
          <w:b/>
          <w:bCs/>
          <w:iCs/>
          <w:sz w:val="28"/>
          <w:szCs w:val="28"/>
        </w:rPr>
        <w:t>月</w:t>
      </w:r>
      <w:r>
        <w:rPr>
          <w:rFonts w:hint="eastAsia" w:ascii="宋体" w:hAnsi="宋体" w:cs="宋体"/>
          <w:b/>
          <w:bCs/>
          <w:iCs/>
          <w:sz w:val="28"/>
          <w:szCs w:val="28"/>
          <w:u w:val="single"/>
        </w:rPr>
        <w:t xml:space="preserve">    </w:t>
      </w:r>
      <w:r>
        <w:rPr>
          <w:rFonts w:hint="eastAsia" w:ascii="宋体" w:hAnsi="宋体" w:cs="宋体"/>
          <w:b/>
          <w:bCs/>
          <w:iCs/>
          <w:sz w:val="28"/>
          <w:szCs w:val="28"/>
        </w:rPr>
        <w:t>日</w:t>
      </w:r>
    </w:p>
    <w:p>
      <w:pPr>
        <w:jc w:val="center"/>
        <w:rPr>
          <w:rFonts w:hint="eastAsia"/>
          <w:b/>
          <w:bCs/>
          <w:sz w:val="28"/>
          <w:szCs w:val="36"/>
        </w:rPr>
        <w:sectPr>
          <w:pgSz w:w="11907" w:h="16840"/>
          <w:pgMar w:top="1134" w:right="1134" w:bottom="1134" w:left="1134" w:header="851" w:footer="850" w:gutter="0"/>
          <w:pgNumType w:fmt="decimal"/>
          <w:cols w:space="0" w:num="1"/>
          <w:docGrid w:type="lines" w:linePitch="312" w:charSpace="0"/>
        </w:sectPr>
      </w:pPr>
    </w:p>
    <w:p>
      <w:pPr>
        <w:jc w:val="center"/>
        <w:rPr>
          <w:b/>
          <w:bCs/>
          <w:sz w:val="28"/>
          <w:szCs w:val="36"/>
        </w:rPr>
      </w:pPr>
      <w:r>
        <w:rPr>
          <w:rFonts w:hint="eastAsia"/>
          <w:b/>
          <w:bCs/>
          <w:sz w:val="28"/>
          <w:szCs w:val="36"/>
        </w:rPr>
        <w:t>目  录</w:t>
      </w:r>
    </w:p>
    <w:p>
      <w:pPr>
        <w:jc w:val="center"/>
      </w:pPr>
      <w:r>
        <w:rPr>
          <w:rFonts w:hint="eastAsia"/>
        </w:rPr>
        <w:t>（自拟）</w:t>
      </w:r>
    </w:p>
    <w:p>
      <w:pPr>
        <w:pStyle w:val="4"/>
        <w:spacing w:before="0" w:after="0" w:line="360" w:lineRule="auto"/>
        <w:sectPr>
          <w:pgSz w:w="11907" w:h="16840"/>
          <w:pgMar w:top="1134" w:right="1134" w:bottom="1134" w:left="1134" w:header="851" w:footer="850" w:gutter="0"/>
          <w:pgNumType w:fmt="decimal"/>
          <w:cols w:space="0" w:num="1"/>
          <w:docGrid w:type="lines" w:linePitch="312" w:charSpace="0"/>
        </w:sectPr>
      </w:pPr>
    </w:p>
    <w:p>
      <w:pPr>
        <w:pStyle w:val="4"/>
        <w:spacing w:before="0" w:after="0" w:line="360" w:lineRule="auto"/>
      </w:pPr>
      <w:bookmarkStart w:id="625" w:name="_Toc32294"/>
      <w:bookmarkStart w:id="626" w:name="_Toc10320"/>
      <w:bookmarkStart w:id="627" w:name="_Toc5646"/>
      <w:bookmarkStart w:id="628" w:name="_Toc32004"/>
      <w:bookmarkStart w:id="629" w:name="_Toc25488"/>
      <w:bookmarkStart w:id="630" w:name="_Toc24349"/>
      <w:bookmarkStart w:id="631" w:name="_Toc16848"/>
      <w:bookmarkStart w:id="632" w:name="_Toc437"/>
      <w:r>
        <w:rPr>
          <w:rFonts w:hint="eastAsia"/>
        </w:rPr>
        <w:t>一、报价函</w:t>
      </w:r>
      <w:bookmarkEnd w:id="623"/>
      <w:bookmarkEnd w:id="625"/>
      <w:bookmarkEnd w:id="626"/>
      <w:bookmarkEnd w:id="627"/>
      <w:bookmarkEnd w:id="628"/>
      <w:bookmarkEnd w:id="629"/>
      <w:bookmarkEnd w:id="630"/>
      <w:bookmarkEnd w:id="631"/>
      <w:bookmarkEnd w:id="632"/>
    </w:p>
    <w:p>
      <w:pPr>
        <w:snapToGrid w:val="0"/>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（采购代理机构名称）：</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1.我方全面研究了“</w:t>
      </w:r>
      <w:r>
        <w:rPr>
          <w:rFonts w:hint="eastAsia" w:ascii="宋体" w:hAnsi="宋体" w:cs="宋体"/>
          <w:szCs w:val="21"/>
          <w:u w:val="single"/>
        </w:rPr>
        <w:t xml:space="preserve">                    </w:t>
      </w:r>
      <w:r>
        <w:rPr>
          <w:rFonts w:hint="eastAsia" w:ascii="宋体" w:hAnsi="宋体" w:cs="宋体"/>
          <w:szCs w:val="21"/>
        </w:rPr>
        <w:t>”项目</w:t>
      </w:r>
      <w:r>
        <w:rPr>
          <w:rFonts w:hint="eastAsia"/>
        </w:rPr>
        <w:t>第</w:t>
      </w:r>
      <w:r>
        <w:rPr>
          <w:rFonts w:hint="eastAsia"/>
          <w:u w:val="single"/>
        </w:rPr>
        <w:t xml:space="preserve">   </w:t>
      </w:r>
      <w:r>
        <w:rPr>
          <w:rFonts w:hint="eastAsia"/>
        </w:rPr>
        <w:t>包</w:t>
      </w:r>
      <w:r>
        <w:rPr>
          <w:rFonts w:hint="eastAsia" w:ascii="宋体" w:hAnsi="宋体" w:cs="宋体"/>
          <w:szCs w:val="21"/>
        </w:rPr>
        <w:t>磋商文件（采购项目编号：</w:t>
      </w:r>
      <w:r>
        <w:rPr>
          <w:rFonts w:hint="eastAsia" w:ascii="宋体" w:hAnsi="宋体" w:cs="宋体"/>
          <w:szCs w:val="21"/>
          <w:u w:val="single"/>
        </w:rPr>
        <w:t xml:space="preserve">              </w:t>
      </w:r>
      <w:r>
        <w:rPr>
          <w:rFonts w:hint="eastAsia" w:ascii="宋体" w:hAnsi="宋体" w:cs="宋体"/>
          <w:szCs w:val="21"/>
        </w:rPr>
        <w:t>），决定参加贵单位组织的本项目磋商采购。</w:t>
      </w:r>
    </w:p>
    <w:p>
      <w:pPr>
        <w:tabs>
          <w:tab w:val="left" w:pos="7513"/>
        </w:tabs>
        <w:wordWrap w:val="0"/>
        <w:snapToGrid w:val="0"/>
        <w:spacing w:line="360" w:lineRule="auto"/>
        <w:ind w:firstLine="420" w:firstLineChars="200"/>
        <w:rPr>
          <w:rFonts w:ascii="宋体" w:hAnsi="宋体" w:cs="宋体"/>
          <w:szCs w:val="21"/>
        </w:rPr>
      </w:pPr>
      <w:r>
        <w:rPr>
          <w:rFonts w:hint="eastAsia" w:ascii="宋体" w:hAnsi="宋体" w:cs="宋体"/>
          <w:szCs w:val="21"/>
        </w:rPr>
        <w:t>2.我方自愿按照磋商文件规定的各项要求向采购人提供所需服务，总报价为人民币</w:t>
      </w:r>
      <w:r>
        <w:rPr>
          <w:rFonts w:hint="eastAsia" w:ascii="宋体" w:hAnsi="宋体" w:cs="宋体"/>
          <w:szCs w:val="21"/>
          <w:u w:val="single"/>
        </w:rPr>
        <w:t xml:space="preserve">        </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3.一旦我方成交，我方承诺在收到成交通知书后，在成交通知书规定的期限内签订合同，且严格履行采购合同规定的责任和义务。</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4.我方同意本磋商文件依据《四川省政府采购当事人诚信管理办法》（川财采〔2015〕33号文件）对我方可能存在的失信行为进行惩戒。</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5.我方为本项目提交的响应文件正本</w:t>
      </w:r>
      <w:r>
        <w:rPr>
          <w:rFonts w:hint="eastAsia" w:ascii="宋体" w:hAnsi="宋体" w:cs="宋体"/>
          <w:szCs w:val="21"/>
          <w:u w:val="single"/>
        </w:rPr>
        <w:t xml:space="preserve">      </w:t>
      </w:r>
      <w:r>
        <w:rPr>
          <w:rFonts w:hint="eastAsia" w:ascii="宋体" w:hAnsi="宋体" w:cs="宋体"/>
          <w:szCs w:val="21"/>
        </w:rPr>
        <w:t>份，副本</w:t>
      </w:r>
      <w:r>
        <w:rPr>
          <w:rFonts w:hint="eastAsia" w:ascii="宋体" w:hAnsi="宋体" w:cs="宋体"/>
          <w:szCs w:val="21"/>
          <w:u w:val="single"/>
        </w:rPr>
        <w:t xml:space="preserve">   </w:t>
      </w:r>
      <w:r>
        <w:rPr>
          <w:rFonts w:hint="eastAsia" w:ascii="宋体" w:hAnsi="宋体" w:cs="宋体"/>
          <w:szCs w:val="21"/>
        </w:rPr>
        <w:t>份，电子文档</w:t>
      </w:r>
      <w:r>
        <w:rPr>
          <w:rFonts w:hint="eastAsia" w:ascii="宋体" w:hAnsi="宋体" w:cs="宋体"/>
          <w:szCs w:val="21"/>
          <w:u w:val="single"/>
        </w:rPr>
        <w:t xml:space="preserve">   </w:t>
      </w:r>
      <w:r>
        <w:rPr>
          <w:rFonts w:hint="eastAsia" w:ascii="宋体" w:hAnsi="宋体" w:cs="宋体"/>
          <w:szCs w:val="21"/>
        </w:rPr>
        <w:t>份（U盘或光盘），用于报价。</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6.我方愿意提供贵单位可能另外要求的，与报价有关的文件资料，并保证我方已提供和将要提供的文件资料是真实、准确的。</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 xml:space="preserve">7.本次采购活动，我方递交的响应文件有效期为 </w:t>
      </w:r>
      <w:r>
        <w:rPr>
          <w:rFonts w:hint="eastAsia" w:ascii="宋体" w:hAnsi="宋体" w:cs="宋体"/>
          <w:szCs w:val="21"/>
          <w:u w:val="single"/>
        </w:rPr>
        <w:t xml:space="preserve">         </w:t>
      </w:r>
      <w:r>
        <w:rPr>
          <w:rFonts w:hint="eastAsia" w:ascii="宋体" w:hAnsi="宋体" w:cs="宋体"/>
          <w:szCs w:val="21"/>
        </w:rPr>
        <w:t>天。</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8.补充说明：</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（1）随同本响应文件递交的响应文件附录属于合同文件的组成部分（如有）；</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（2）我方承诺按照磋商文件规定向你方递交履约担保（如有）；</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（3）我方承诺在合同约定的期限内保质保量完成合同约定的内容；</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（4）我方在此声明：我方未处于财产被接管、冻结、破产状态，未处于四川省行政区域内有关行政处罚期间；</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（5）我方完全响应磋商文件的要求，接受磋商文件中的合同条款；</w:t>
      </w:r>
    </w:p>
    <w:p>
      <w:pPr>
        <w:tabs>
          <w:tab w:val="left" w:pos="7513"/>
        </w:tabs>
        <w:snapToGrid w:val="0"/>
        <w:spacing w:line="360" w:lineRule="auto"/>
        <w:ind w:firstLine="420" w:firstLineChars="200"/>
        <w:rPr>
          <w:rFonts w:ascii="宋体" w:hAnsi="宋体" w:cs="宋体"/>
          <w:szCs w:val="21"/>
        </w:rPr>
      </w:pPr>
      <w:r>
        <w:rPr>
          <w:rFonts w:hint="eastAsia" w:ascii="宋体" w:hAnsi="宋体" w:cs="宋体"/>
          <w:szCs w:val="21"/>
        </w:rPr>
        <w:t>（6）</w:t>
      </w:r>
      <w:r>
        <w:rPr>
          <w:rFonts w:hint="eastAsia" w:ascii="宋体" w:hAnsi="宋体" w:cs="宋体"/>
          <w:szCs w:val="21"/>
          <w:u w:val="single"/>
        </w:rPr>
        <w:t xml:space="preserve">                                                </w:t>
      </w:r>
      <w:r>
        <w:rPr>
          <w:rFonts w:hint="eastAsia" w:ascii="宋体" w:hAnsi="宋体" w:cs="宋体"/>
          <w:szCs w:val="21"/>
        </w:rPr>
        <w:t>（其他补充说明）。</w:t>
      </w:r>
    </w:p>
    <w:p>
      <w:pPr>
        <w:adjustRightInd w:val="0"/>
        <w:snapToGrid w:val="0"/>
        <w:spacing w:line="360" w:lineRule="auto"/>
        <w:ind w:firstLine="420" w:firstLineChars="200"/>
        <w:jc w:val="left"/>
        <w:rPr>
          <w:rFonts w:ascii="宋体" w:hAnsi="宋体"/>
          <w:szCs w:val="21"/>
        </w:rPr>
      </w:pPr>
    </w:p>
    <w:p>
      <w:pPr>
        <w:adjustRightInd w:val="0"/>
        <w:snapToGrid w:val="0"/>
        <w:spacing w:line="360" w:lineRule="auto"/>
        <w:ind w:firstLine="420" w:firstLineChars="200"/>
        <w:jc w:val="left"/>
        <w:rPr>
          <w:rFonts w:ascii="宋体" w:hAnsi="宋体"/>
          <w:szCs w:val="21"/>
        </w:rPr>
      </w:pPr>
    </w:p>
    <w:p>
      <w:pPr>
        <w:adjustRightInd w:val="0"/>
        <w:snapToGrid w:val="0"/>
        <w:spacing w:line="360" w:lineRule="auto"/>
        <w:ind w:firstLine="4200" w:firstLineChars="2000"/>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（盖单位公章）</w:t>
      </w:r>
    </w:p>
    <w:p>
      <w:pPr>
        <w:snapToGrid w:val="0"/>
        <w:spacing w:line="360" w:lineRule="auto"/>
        <w:ind w:firstLine="4200" w:firstLineChars="2000"/>
        <w:rPr>
          <w:rFonts w:ascii="宋体" w:hAnsi="宋体"/>
          <w:szCs w:val="21"/>
        </w:rPr>
      </w:pPr>
      <w:r>
        <w:rPr>
          <w:rFonts w:hint="eastAsia" w:ascii="宋体" w:hAnsi="宋体"/>
          <w:szCs w:val="21"/>
        </w:rPr>
        <w:t>法定代表人或授权代表（签字或加盖个人印章）：</w:t>
      </w:r>
      <w:r>
        <w:rPr>
          <w:rFonts w:hint="eastAsia" w:ascii="宋体" w:hAnsi="宋体"/>
          <w:szCs w:val="21"/>
          <w:u w:val="single"/>
        </w:rPr>
        <w:t xml:space="preserve">           </w:t>
      </w:r>
    </w:p>
    <w:p>
      <w:pPr>
        <w:snapToGrid w:val="0"/>
        <w:spacing w:line="360" w:lineRule="auto"/>
        <w:ind w:firstLine="4200" w:firstLineChars="2000"/>
        <w:rPr>
          <w:rFonts w:ascii="宋体" w:hAnsi="宋体"/>
          <w:szCs w:val="21"/>
        </w:rPr>
      </w:pPr>
      <w:r>
        <w:rPr>
          <w:rFonts w:hint="eastAsia" w:ascii="宋体" w:hAnsi="宋体"/>
          <w:szCs w:val="21"/>
        </w:rPr>
        <w:t>通讯地址：</w:t>
      </w:r>
      <w:r>
        <w:rPr>
          <w:rFonts w:hint="eastAsia" w:ascii="宋体" w:hAnsi="宋体"/>
          <w:szCs w:val="21"/>
          <w:u w:val="single"/>
        </w:rPr>
        <w:t xml:space="preserve">             </w:t>
      </w:r>
    </w:p>
    <w:p>
      <w:pPr>
        <w:snapToGrid w:val="0"/>
        <w:spacing w:line="360" w:lineRule="auto"/>
        <w:ind w:firstLine="4200" w:firstLineChars="20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pPr>
        <w:snapToGrid w:val="0"/>
        <w:spacing w:line="360" w:lineRule="auto"/>
        <w:ind w:firstLine="4200" w:firstLineChars="2000"/>
        <w:rPr>
          <w:rFonts w:ascii="宋体" w:hAnsi="宋体"/>
          <w:szCs w:val="21"/>
        </w:rPr>
      </w:pPr>
      <w:r>
        <w:rPr>
          <w:rFonts w:hint="eastAsia" w:ascii="宋体" w:hAnsi="宋体"/>
          <w:szCs w:val="21"/>
        </w:rPr>
        <w:t>联系电话：</w:t>
      </w:r>
      <w:r>
        <w:rPr>
          <w:rFonts w:hint="eastAsia" w:ascii="宋体" w:hAnsi="宋体"/>
          <w:szCs w:val="21"/>
          <w:u w:val="single"/>
        </w:rPr>
        <w:t xml:space="preserve">             </w:t>
      </w:r>
    </w:p>
    <w:p>
      <w:pPr>
        <w:snapToGrid w:val="0"/>
        <w:spacing w:line="360" w:lineRule="auto"/>
        <w:ind w:firstLine="4200" w:firstLineChars="2000"/>
        <w:rPr>
          <w:rFonts w:ascii="宋体" w:hAnsi="宋体"/>
          <w:szCs w:val="21"/>
        </w:rPr>
      </w:pPr>
      <w:r>
        <w:rPr>
          <w:rFonts w:hint="eastAsia" w:ascii="宋体" w:hAnsi="宋体"/>
          <w:szCs w:val="21"/>
        </w:rPr>
        <w:t>传    真：</w:t>
      </w:r>
      <w:r>
        <w:rPr>
          <w:rFonts w:hint="eastAsia" w:ascii="宋体" w:hAnsi="宋体"/>
          <w:szCs w:val="21"/>
          <w:u w:val="single"/>
        </w:rPr>
        <w:t xml:space="preserve">             </w:t>
      </w:r>
    </w:p>
    <w:p>
      <w:pPr>
        <w:snapToGrid w:val="0"/>
        <w:spacing w:line="360" w:lineRule="auto"/>
        <w:ind w:firstLine="4200" w:firstLineChars="20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b/>
          <w:szCs w:val="21"/>
        </w:rPr>
      </w:pPr>
      <w:r>
        <w:rPr>
          <w:rFonts w:hint="eastAsia" w:ascii="宋体" w:hAnsi="宋体"/>
          <w:b/>
          <w:szCs w:val="21"/>
        </w:rPr>
        <w:br w:type="page"/>
      </w:r>
    </w:p>
    <w:p>
      <w:pPr>
        <w:pStyle w:val="4"/>
      </w:pPr>
      <w:bookmarkStart w:id="633" w:name="_Toc2323"/>
      <w:bookmarkStart w:id="634" w:name="_Toc9569"/>
      <w:bookmarkStart w:id="635" w:name="_Toc18037"/>
      <w:bookmarkStart w:id="636" w:name="_Toc1522_WPSOffice_Level2"/>
      <w:bookmarkStart w:id="637" w:name="_Toc11041"/>
      <w:bookmarkStart w:id="638" w:name="_Toc29515"/>
      <w:bookmarkStart w:id="639" w:name="_Toc18273"/>
      <w:bookmarkStart w:id="640" w:name="_Toc9060"/>
      <w:bookmarkStart w:id="641" w:name="_Toc27111"/>
      <w:r>
        <w:rPr>
          <w:rFonts w:hint="eastAsia"/>
        </w:rPr>
        <w:t>二、报价一览表</w:t>
      </w:r>
      <w:bookmarkEnd w:id="633"/>
      <w:bookmarkEnd w:id="634"/>
      <w:bookmarkEnd w:id="635"/>
      <w:bookmarkEnd w:id="636"/>
      <w:bookmarkEnd w:id="637"/>
      <w:bookmarkEnd w:id="638"/>
      <w:bookmarkEnd w:id="639"/>
      <w:bookmarkEnd w:id="640"/>
      <w:bookmarkEnd w:id="641"/>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包号：</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采购项目名称：</w:t>
      </w:r>
    </w:p>
    <w:p>
      <w:pPr>
        <w:pStyle w:val="12"/>
        <w:snapToGrid w:val="0"/>
        <w:spacing w:after="0" w:line="360" w:lineRule="auto"/>
        <w:ind w:firstLine="420" w:firstLineChars="200"/>
      </w:pPr>
      <w:r>
        <w:rPr>
          <w:rFonts w:hint="eastAsia" w:ascii="宋体" w:hAnsi="宋体" w:cs="宋体"/>
          <w:kern w:val="0"/>
          <w:szCs w:val="21"/>
        </w:rPr>
        <w:t>采购项目编号：</w:t>
      </w:r>
    </w:p>
    <w:tbl>
      <w:tblPr>
        <w:tblStyle w:val="33"/>
        <w:tblW w:w="9936" w:type="dxa"/>
        <w:tblInd w:w="0" w:type="dxa"/>
        <w:tblLayout w:type="autofit"/>
        <w:tblCellMar>
          <w:top w:w="0" w:type="dxa"/>
          <w:left w:w="108" w:type="dxa"/>
          <w:bottom w:w="0" w:type="dxa"/>
          <w:right w:w="108" w:type="dxa"/>
        </w:tblCellMar>
      </w:tblPr>
      <w:tblGrid>
        <w:gridCol w:w="710"/>
        <w:gridCol w:w="2512"/>
        <w:gridCol w:w="1975"/>
        <w:gridCol w:w="1825"/>
        <w:gridCol w:w="2125"/>
        <w:gridCol w:w="789"/>
      </w:tblGrid>
      <w:tr>
        <w:tblPrEx>
          <w:tblCellMar>
            <w:top w:w="0" w:type="dxa"/>
            <w:left w:w="108" w:type="dxa"/>
            <w:bottom w:w="0" w:type="dxa"/>
            <w:right w:w="108" w:type="dxa"/>
          </w:tblCellMar>
        </w:tblPrEx>
        <w:trPr>
          <w:trHeight w:val="517" w:hRule="atLeast"/>
        </w:trPr>
        <w:tc>
          <w:tcPr>
            <w:tcW w:w="710" w:type="dxa"/>
            <w:tcBorders>
              <w:top w:val="single" w:color="000000" w:sz="4" w:space="0"/>
              <w:left w:val="single" w:color="000000" w:sz="4" w:space="0"/>
              <w:bottom w:val="single" w:color="000000" w:sz="4" w:space="0"/>
              <w:right w:val="single" w:color="auto"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szCs w:val="21"/>
              </w:rPr>
              <w:t>序号</w:t>
            </w:r>
          </w:p>
        </w:tc>
        <w:tc>
          <w:tcPr>
            <w:tcW w:w="2512" w:type="dxa"/>
            <w:tcBorders>
              <w:top w:val="single" w:color="000000" w:sz="4" w:space="0"/>
              <w:left w:val="single" w:color="auto" w:sz="4" w:space="0"/>
              <w:bottom w:val="single" w:color="000000" w:sz="4" w:space="0"/>
              <w:right w:val="single" w:color="auto" w:sz="4" w:space="0"/>
            </w:tcBorders>
            <w:shd w:val="clear" w:color="auto" w:fill="F1F1F1" w:themeFill="background1" w:themeFillShade="F2"/>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服务项目</w:t>
            </w:r>
          </w:p>
        </w:tc>
        <w:tc>
          <w:tcPr>
            <w:tcW w:w="1975" w:type="dxa"/>
            <w:tcBorders>
              <w:top w:val="single" w:color="000000" w:sz="4" w:space="0"/>
              <w:left w:val="single" w:color="auto" w:sz="4" w:space="0"/>
              <w:bottom w:val="single" w:color="000000" w:sz="4" w:space="0"/>
              <w:right w:val="single" w:color="000000"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szCs w:val="21"/>
              </w:rPr>
              <w:t>单价（元）</w:t>
            </w:r>
          </w:p>
        </w:tc>
        <w:tc>
          <w:tcPr>
            <w:tcW w:w="182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szCs w:val="21"/>
              </w:rPr>
              <w:t>数量（台）</w:t>
            </w:r>
          </w:p>
        </w:tc>
        <w:tc>
          <w:tcPr>
            <w:tcW w:w="212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szCs w:val="21"/>
              </w:rPr>
              <w:t>总价（元）</w:t>
            </w:r>
          </w:p>
        </w:tc>
        <w:tc>
          <w:tcPr>
            <w:tcW w:w="78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929" w:hRule="atLeast"/>
        </w:trPr>
        <w:tc>
          <w:tcPr>
            <w:tcW w:w="71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1</w:t>
            </w:r>
          </w:p>
        </w:tc>
        <w:tc>
          <w:tcPr>
            <w:tcW w:w="25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both"/>
              <w:textAlignment w:val="center"/>
              <w:rPr>
                <w:rFonts w:ascii="宋体" w:hAnsi="宋体" w:cs="宋体"/>
                <w:szCs w:val="21"/>
              </w:rPr>
            </w:pP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tc>
        <w:tc>
          <w:tcPr>
            <w:tcW w:w="197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rPr>
            </w:pPr>
            <w:r>
              <w:rPr>
                <w:rStyle w:val="107"/>
                <w:rFonts w:hint="eastAsia" w:ascii="宋体" w:hAnsi="宋体" w:cs="宋体"/>
                <w:szCs w:val="21"/>
                <w:u w:val="single"/>
              </w:rPr>
              <w:t xml:space="preserve">     </w:t>
            </w:r>
            <w:r>
              <w:rPr>
                <w:rStyle w:val="107"/>
                <w:rFonts w:hint="eastAsia" w:ascii="宋体" w:hAnsi="宋体" w:cs="宋体"/>
                <w:szCs w:val="21"/>
              </w:rPr>
              <w:t>元/台</w:t>
            </w:r>
          </w:p>
        </w:tc>
        <w:tc>
          <w:tcPr>
            <w:tcW w:w="18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p>
        </w:tc>
      </w:tr>
    </w:tbl>
    <w:p>
      <w:pPr>
        <w:tabs>
          <w:tab w:val="left" w:pos="7513"/>
        </w:tabs>
        <w:spacing w:before="156" w:beforeLines="50" w:line="360" w:lineRule="auto"/>
        <w:ind w:firstLine="420" w:firstLineChars="200"/>
        <w:rPr>
          <w:rFonts w:ascii="宋体" w:hAnsi="宋体" w:cs="宋体"/>
          <w:szCs w:val="21"/>
        </w:rPr>
      </w:pPr>
      <w:r>
        <w:rPr>
          <w:rFonts w:hint="eastAsia" w:ascii="宋体" w:hAnsi="宋体" w:cs="宋体"/>
          <w:szCs w:val="21"/>
        </w:rPr>
        <w:t>注:1.所有报价均用人民币表示。供应商综合考虑完成监督抽测服务所应包括所有内容的所有价格，包括完成本项目所涉及的人工劳务、设备投入、利润、风险、税金、招标代理服务费等完成本项目一切费用，报价为含税价格。</w:t>
      </w:r>
    </w:p>
    <w:p>
      <w:pPr>
        <w:tabs>
          <w:tab w:val="left" w:pos="7513"/>
        </w:tabs>
        <w:spacing w:line="360" w:lineRule="auto"/>
        <w:ind w:firstLine="630" w:firstLineChars="300"/>
        <w:rPr>
          <w:rFonts w:ascii="宋体" w:hAnsi="宋体" w:cs="宋体"/>
          <w:szCs w:val="21"/>
        </w:rPr>
      </w:pPr>
      <w:bookmarkStart w:id="642" w:name="_Toc23269_WPSOffice_Level2"/>
      <w:r>
        <w:rPr>
          <w:rFonts w:hint="eastAsia" w:ascii="宋体" w:hAnsi="宋体" w:cs="宋体"/>
          <w:szCs w:val="21"/>
        </w:rPr>
        <w:t>2.表格如不能完全表达相关内容，供应商可自行补充。</w:t>
      </w:r>
      <w:bookmarkEnd w:id="642"/>
    </w:p>
    <w:p>
      <w:pPr>
        <w:rPr>
          <w:szCs w:val="21"/>
        </w:rPr>
      </w:pPr>
    </w:p>
    <w:p>
      <w:pPr>
        <w:pStyle w:val="12"/>
        <w:rPr>
          <w:szCs w:val="21"/>
        </w:rPr>
      </w:pPr>
    </w:p>
    <w:p>
      <w:pPr>
        <w:snapToGrid w:val="0"/>
        <w:spacing w:line="360" w:lineRule="auto"/>
        <w:ind w:firstLine="3360" w:firstLineChars="1600"/>
        <w:rPr>
          <w:rFonts w:ascii="宋体" w:hAnsi="宋体"/>
          <w:szCs w:val="21"/>
        </w:rPr>
      </w:pPr>
      <w:bookmarkStart w:id="643" w:name="_Toc4659755"/>
      <w:bookmarkStart w:id="644" w:name="_Toc5005059"/>
      <w:bookmarkStart w:id="645" w:name="_Toc4578892"/>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（盖单位公章）</w:t>
      </w:r>
      <w:bookmarkEnd w:id="643"/>
      <w:bookmarkEnd w:id="644"/>
      <w:bookmarkEnd w:id="645"/>
    </w:p>
    <w:p>
      <w:pPr>
        <w:snapToGrid w:val="0"/>
        <w:spacing w:line="360" w:lineRule="auto"/>
        <w:ind w:firstLine="3360" w:firstLineChars="1600"/>
        <w:rPr>
          <w:rFonts w:ascii="宋体" w:hAnsi="宋体"/>
          <w:szCs w:val="21"/>
        </w:rPr>
      </w:pPr>
      <w:bookmarkStart w:id="646" w:name="_Toc4659756"/>
      <w:bookmarkStart w:id="647" w:name="_Toc4578893"/>
      <w:bookmarkStart w:id="648" w:name="_Toc5005060"/>
      <w:r>
        <w:rPr>
          <w:rFonts w:hint="eastAsia" w:ascii="宋体" w:hAnsi="宋体"/>
          <w:szCs w:val="21"/>
        </w:rPr>
        <w:t>法定代表人或授权代表（签字或加盖个人印章）：</w:t>
      </w:r>
      <w:bookmarkEnd w:id="646"/>
      <w:bookmarkEnd w:id="647"/>
      <w:bookmarkEnd w:id="648"/>
      <w:r>
        <w:rPr>
          <w:rFonts w:hint="eastAsia" w:ascii="宋体" w:hAnsi="宋体"/>
          <w:szCs w:val="21"/>
          <w:u w:val="single"/>
        </w:rPr>
        <w:t xml:space="preserve">             </w:t>
      </w:r>
    </w:p>
    <w:p>
      <w:pPr>
        <w:snapToGrid w:val="0"/>
        <w:spacing w:line="360" w:lineRule="auto"/>
        <w:ind w:firstLine="3360" w:firstLineChars="1600"/>
        <w:rPr>
          <w:rFonts w:ascii="宋体" w:hAnsi="宋体"/>
          <w:szCs w:val="21"/>
        </w:rPr>
      </w:pPr>
      <w:bookmarkStart w:id="649" w:name="_Toc4659757"/>
      <w:bookmarkStart w:id="650" w:name="_Toc5005061"/>
      <w:bookmarkStart w:id="651" w:name="_Toc4578894"/>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bookmarkEnd w:id="649"/>
      <w:bookmarkEnd w:id="650"/>
      <w:bookmarkEnd w:id="651"/>
    </w:p>
    <w:p>
      <w:pPr>
        <w:spacing w:line="360" w:lineRule="auto"/>
        <w:ind w:firstLine="628"/>
        <w:rPr>
          <w:rFonts w:ascii="宋体" w:hAnsi="宋体"/>
          <w:sz w:val="24"/>
        </w:rPr>
      </w:pPr>
    </w:p>
    <w:p>
      <w:pPr>
        <w:widowControl/>
        <w:spacing w:line="360" w:lineRule="auto"/>
        <w:jc w:val="left"/>
        <w:rPr>
          <w:rFonts w:ascii="宋体" w:hAnsi="宋体"/>
          <w:sz w:val="24"/>
        </w:rPr>
      </w:pPr>
      <w:r>
        <w:rPr>
          <w:rFonts w:ascii="宋体" w:hAnsi="宋体"/>
          <w:sz w:val="24"/>
        </w:rPr>
        <w:br w:type="page"/>
      </w:r>
    </w:p>
    <w:p>
      <w:pPr>
        <w:pStyle w:val="4"/>
        <w:rPr>
          <w:sz w:val="24"/>
        </w:rPr>
      </w:pPr>
      <w:bookmarkStart w:id="652" w:name="_Toc3915"/>
      <w:bookmarkStart w:id="653" w:name="_Toc4578890"/>
      <w:bookmarkStart w:id="654" w:name="_Toc5722"/>
      <w:bookmarkStart w:id="655" w:name="_Toc3887_WPSOffice_Level3"/>
      <w:bookmarkStart w:id="656" w:name="_Toc5005057"/>
      <w:bookmarkStart w:id="657" w:name="_Toc11874"/>
      <w:bookmarkStart w:id="658" w:name="_Toc31545"/>
      <w:bookmarkStart w:id="659" w:name="_Toc24623"/>
      <w:bookmarkStart w:id="660" w:name="_Toc4659753"/>
      <w:bookmarkStart w:id="661" w:name="_Toc12942"/>
      <w:bookmarkStart w:id="662" w:name="_Toc22973"/>
      <w:bookmarkStart w:id="663" w:name="_Toc25438"/>
      <w:r>
        <w:rPr>
          <w:rFonts w:hint="eastAsia" w:ascii="宋体" w:hAnsi="宋体"/>
          <w:sz w:val="24"/>
        </w:rPr>
        <w:t>三</w:t>
      </w:r>
      <w:r>
        <w:rPr>
          <w:rFonts w:hint="eastAsia"/>
          <w:sz w:val="24"/>
        </w:rPr>
        <w:t>、承诺函</w:t>
      </w:r>
      <w:bookmarkEnd w:id="652"/>
      <w:bookmarkEnd w:id="653"/>
      <w:bookmarkEnd w:id="654"/>
      <w:bookmarkEnd w:id="655"/>
      <w:bookmarkEnd w:id="656"/>
      <w:bookmarkEnd w:id="657"/>
      <w:bookmarkEnd w:id="658"/>
      <w:bookmarkEnd w:id="659"/>
      <w:bookmarkEnd w:id="660"/>
      <w:bookmarkEnd w:id="661"/>
      <w:bookmarkEnd w:id="662"/>
      <w:bookmarkEnd w:id="663"/>
    </w:p>
    <w:p>
      <w:pPr>
        <w:snapToGrid w:val="0"/>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（采购代理机构名称）：</w:t>
      </w:r>
    </w:p>
    <w:p>
      <w:pPr>
        <w:snapToGrid w:val="0"/>
        <w:spacing w:line="360" w:lineRule="auto"/>
        <w:ind w:firstLine="420" w:firstLineChars="200"/>
        <w:rPr>
          <w:rFonts w:ascii="宋体" w:hAnsi="宋体"/>
          <w:szCs w:val="21"/>
        </w:rPr>
      </w:pPr>
      <w:r>
        <w:rPr>
          <w:rFonts w:hint="eastAsia" w:ascii="宋体" w:hAnsi="宋体"/>
          <w:szCs w:val="21"/>
        </w:rPr>
        <w:t>我公司作为本次采购项目第</w:t>
      </w:r>
      <w:r>
        <w:rPr>
          <w:rFonts w:hint="eastAsia" w:ascii="宋体" w:hAnsi="宋体"/>
          <w:szCs w:val="21"/>
          <w:u w:val="single"/>
        </w:rPr>
        <w:t xml:space="preserve">  </w:t>
      </w:r>
      <w:r>
        <w:rPr>
          <w:rFonts w:hint="eastAsia" w:ascii="宋体" w:hAnsi="宋体"/>
          <w:szCs w:val="21"/>
        </w:rPr>
        <w:t>包的供应商，根据磋商文件要求，现郑重承诺如下：</w:t>
      </w:r>
    </w:p>
    <w:p>
      <w:pPr>
        <w:snapToGrid w:val="0"/>
        <w:spacing w:line="360" w:lineRule="auto"/>
        <w:ind w:firstLine="420" w:firstLineChars="200"/>
        <w:rPr>
          <w:rFonts w:ascii="宋体" w:hAnsi="宋体"/>
          <w:szCs w:val="21"/>
        </w:rPr>
      </w:pPr>
      <w:r>
        <w:rPr>
          <w:rFonts w:hint="eastAsia" w:ascii="宋体" w:hAnsi="宋体"/>
          <w:szCs w:val="21"/>
        </w:rPr>
        <w:t>一、具备本项目规定的条件：</w:t>
      </w:r>
    </w:p>
    <w:p>
      <w:pPr>
        <w:snapToGrid w:val="0"/>
        <w:spacing w:line="360" w:lineRule="auto"/>
        <w:ind w:firstLine="420" w:firstLineChars="200"/>
        <w:rPr>
          <w:rFonts w:ascii="宋体" w:hAnsi="宋体"/>
          <w:szCs w:val="21"/>
        </w:rPr>
      </w:pPr>
      <w:r>
        <w:rPr>
          <w:rFonts w:hint="eastAsia" w:ascii="宋体" w:hAnsi="宋体"/>
          <w:szCs w:val="21"/>
        </w:rPr>
        <w:t>（一）具有独立承担民事责任的能力；</w:t>
      </w:r>
    </w:p>
    <w:p>
      <w:pPr>
        <w:snapToGrid w:val="0"/>
        <w:spacing w:line="360" w:lineRule="auto"/>
        <w:ind w:firstLine="420" w:firstLineChars="200"/>
        <w:rPr>
          <w:rFonts w:ascii="宋体" w:hAnsi="宋体"/>
          <w:szCs w:val="21"/>
        </w:rPr>
      </w:pPr>
      <w:r>
        <w:rPr>
          <w:rFonts w:hint="eastAsia" w:ascii="宋体" w:hAnsi="宋体"/>
          <w:szCs w:val="21"/>
        </w:rPr>
        <w:t>（二）具有良好的商业信誉和健全的财务会计制度；</w:t>
      </w:r>
    </w:p>
    <w:p>
      <w:pPr>
        <w:snapToGrid w:val="0"/>
        <w:spacing w:line="360" w:lineRule="auto"/>
        <w:ind w:firstLine="420" w:firstLineChars="200"/>
        <w:rPr>
          <w:rFonts w:ascii="宋体" w:hAnsi="宋体"/>
          <w:szCs w:val="21"/>
        </w:rPr>
      </w:pPr>
      <w:r>
        <w:rPr>
          <w:rFonts w:hint="eastAsia" w:ascii="宋体" w:hAnsi="宋体"/>
          <w:szCs w:val="21"/>
        </w:rPr>
        <w:t>（三）具有履行合同所必需的设备和专业技术能力；</w:t>
      </w:r>
    </w:p>
    <w:p>
      <w:pPr>
        <w:snapToGrid w:val="0"/>
        <w:spacing w:line="360" w:lineRule="auto"/>
        <w:ind w:firstLine="420" w:firstLineChars="200"/>
        <w:rPr>
          <w:rFonts w:ascii="宋体" w:hAnsi="宋体"/>
          <w:szCs w:val="21"/>
        </w:rPr>
      </w:pPr>
      <w:r>
        <w:rPr>
          <w:rFonts w:hint="eastAsia" w:ascii="宋体" w:hAnsi="宋体"/>
          <w:szCs w:val="21"/>
        </w:rPr>
        <w:t>（四）有依法缴纳税收和社会保障资金的良好记录；</w:t>
      </w:r>
    </w:p>
    <w:p>
      <w:pPr>
        <w:snapToGrid w:val="0"/>
        <w:spacing w:line="360" w:lineRule="auto"/>
        <w:ind w:firstLine="420" w:firstLineChars="200"/>
        <w:rPr>
          <w:rFonts w:ascii="宋体" w:hAnsi="宋体"/>
          <w:szCs w:val="21"/>
        </w:rPr>
      </w:pPr>
      <w:r>
        <w:rPr>
          <w:rFonts w:hint="eastAsia" w:ascii="宋体" w:hAnsi="宋体"/>
          <w:szCs w:val="21"/>
        </w:rPr>
        <w:t>（五）参加采购活动前三年内，在经营活动中没有重大违法记录；</w:t>
      </w:r>
    </w:p>
    <w:p>
      <w:pPr>
        <w:snapToGrid w:val="0"/>
        <w:spacing w:line="360" w:lineRule="auto"/>
        <w:ind w:firstLine="420" w:firstLineChars="200"/>
        <w:rPr>
          <w:rFonts w:ascii="宋体" w:hAnsi="宋体"/>
          <w:szCs w:val="21"/>
        </w:rPr>
      </w:pPr>
      <w:r>
        <w:rPr>
          <w:rFonts w:hint="eastAsia" w:ascii="宋体" w:hAnsi="宋体"/>
          <w:szCs w:val="21"/>
        </w:rPr>
        <w:t>（六）法律、行政法规规定的其他条件；</w:t>
      </w:r>
    </w:p>
    <w:p>
      <w:pPr>
        <w:snapToGrid w:val="0"/>
        <w:spacing w:line="360" w:lineRule="auto"/>
        <w:ind w:firstLine="420" w:firstLineChars="200"/>
        <w:rPr>
          <w:rFonts w:ascii="宋体" w:hAnsi="宋体"/>
          <w:szCs w:val="21"/>
        </w:rPr>
      </w:pPr>
      <w:r>
        <w:rPr>
          <w:rFonts w:hint="eastAsia" w:ascii="宋体" w:hAnsi="宋体"/>
          <w:szCs w:val="21"/>
        </w:rPr>
        <w:t>二、完全接受和满足本项目磋商文件中规定的实质性要求（如采购预算、最高限价、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napToGrid w:val="0"/>
        <w:spacing w:line="360" w:lineRule="auto"/>
        <w:ind w:firstLine="420" w:firstLineChars="200"/>
        <w:rPr>
          <w:rFonts w:ascii="宋体" w:hAnsi="宋体"/>
          <w:szCs w:val="21"/>
        </w:rPr>
      </w:pPr>
      <w:r>
        <w:rPr>
          <w:rFonts w:hint="eastAsia" w:ascii="宋体" w:hAnsi="宋体"/>
          <w:szCs w:val="21"/>
        </w:rPr>
        <w:t>三、在参加本次采购活动中，不存在与单位负责人为同一人或者存在直接控股、管理关系的其他供应商参与同一合同项下的采购活动的行为。</w:t>
      </w:r>
    </w:p>
    <w:p>
      <w:pPr>
        <w:snapToGrid w:val="0"/>
        <w:spacing w:line="360" w:lineRule="auto"/>
        <w:ind w:firstLine="420" w:firstLineChars="200"/>
        <w:rPr>
          <w:rFonts w:ascii="宋体" w:hAnsi="宋体"/>
          <w:szCs w:val="21"/>
        </w:rPr>
      </w:pPr>
      <w:r>
        <w:rPr>
          <w:rFonts w:hint="eastAsia" w:ascii="宋体" w:hAnsi="宋体"/>
          <w:szCs w:val="21"/>
        </w:rPr>
        <w:t>四、在参加本次采购活动中，不存在和其他供应商在同一合同项下的采购项目中，同时委托同一个自然人、同一家庭的人员、同一单位的人员作为代理人的行为。</w:t>
      </w:r>
    </w:p>
    <w:p>
      <w:pPr>
        <w:snapToGrid w:val="0"/>
        <w:spacing w:line="360" w:lineRule="auto"/>
        <w:ind w:firstLine="420" w:firstLineChars="200"/>
        <w:rPr>
          <w:rFonts w:ascii="宋体" w:hAnsi="宋体"/>
          <w:szCs w:val="21"/>
        </w:rPr>
      </w:pPr>
      <w:r>
        <w:rPr>
          <w:rFonts w:hint="eastAsia" w:ascii="宋体" w:hAnsi="宋体"/>
          <w:szCs w:val="21"/>
        </w:rPr>
        <w:t>五、如果有《四川省政府采购当事人诚信管理办法》（川财采[2015]33号）规定的记入诚信档案的失信行为，将在响应文件中全面如实反映。</w:t>
      </w:r>
    </w:p>
    <w:p>
      <w:pPr>
        <w:snapToGrid w:val="0"/>
        <w:spacing w:line="360" w:lineRule="auto"/>
        <w:ind w:firstLine="420" w:firstLineChars="200"/>
        <w:rPr>
          <w:rFonts w:ascii="宋体" w:hAnsi="宋体"/>
          <w:szCs w:val="21"/>
        </w:rPr>
      </w:pPr>
      <w:r>
        <w:rPr>
          <w:rFonts w:hint="eastAsia" w:ascii="宋体" w:hAnsi="宋体"/>
          <w:szCs w:val="21"/>
        </w:rPr>
        <w:t>六、响应文件中提供的任何资料和技术、服务、商务等响应承诺情况都是真实的、有效的、合法的。</w:t>
      </w:r>
    </w:p>
    <w:p>
      <w:pPr>
        <w:snapToGrid w:val="0"/>
        <w:spacing w:line="360" w:lineRule="auto"/>
        <w:ind w:firstLine="420" w:firstLineChars="200"/>
        <w:rPr>
          <w:rFonts w:ascii="宋体" w:hAnsi="宋体"/>
          <w:szCs w:val="21"/>
        </w:rPr>
      </w:pPr>
      <w:r>
        <w:rPr>
          <w:rFonts w:hint="eastAsia" w:ascii="宋体" w:hAnsi="宋体"/>
          <w:szCs w:val="21"/>
        </w:rPr>
        <w:t>本公司对上述承诺的内容事项真实性负责。如经查实上述承诺的内容事项存在虚假，我公司愿意接受以提供虚假材料谋取成交的法律责任。</w:t>
      </w: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ind w:firstLine="4200" w:firstLineChars="2000"/>
        <w:rPr>
          <w:rFonts w:ascii="宋体" w:hAnsi="宋体"/>
          <w:szCs w:val="21"/>
        </w:rPr>
      </w:pPr>
      <w:r>
        <w:rPr>
          <w:rFonts w:hint="eastAsia" w:ascii="宋体" w:hAnsi="宋体"/>
          <w:szCs w:val="21"/>
        </w:rPr>
        <w:t>法定代表人签字或加盖个人印章：</w:t>
      </w:r>
      <w:r>
        <w:rPr>
          <w:rFonts w:hint="eastAsia" w:ascii="宋体" w:hAnsi="宋体"/>
          <w:szCs w:val="21"/>
          <w:u w:val="single"/>
        </w:rPr>
        <w:t xml:space="preserve">             </w:t>
      </w:r>
    </w:p>
    <w:p>
      <w:pPr>
        <w:snapToGrid w:val="0"/>
        <w:spacing w:line="360" w:lineRule="auto"/>
        <w:ind w:firstLine="4200" w:firstLineChars="2000"/>
        <w:rPr>
          <w:rFonts w:ascii="宋体" w:hAnsi="宋体"/>
          <w:szCs w:val="21"/>
        </w:rPr>
      </w:pPr>
      <w:r>
        <w:rPr>
          <w:rFonts w:hint="eastAsia" w:ascii="宋体" w:hAnsi="宋体"/>
          <w:szCs w:val="21"/>
        </w:rPr>
        <w:t>授权代表签字：</w:t>
      </w:r>
      <w:r>
        <w:rPr>
          <w:rFonts w:hint="eastAsia" w:ascii="宋体" w:hAnsi="宋体"/>
          <w:szCs w:val="21"/>
          <w:u w:val="single"/>
        </w:rPr>
        <w:t xml:space="preserve">             </w:t>
      </w:r>
    </w:p>
    <w:p>
      <w:pPr>
        <w:snapToGrid w:val="0"/>
        <w:spacing w:line="360" w:lineRule="auto"/>
        <w:ind w:firstLine="4200" w:firstLineChars="2000"/>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（盖章）</w:t>
      </w:r>
    </w:p>
    <w:p>
      <w:pPr>
        <w:snapToGrid w:val="0"/>
        <w:spacing w:line="360" w:lineRule="auto"/>
        <w:ind w:firstLine="4200" w:firstLineChars="2000"/>
        <w:rPr>
          <w:rFonts w:ascii="宋体" w:hAnsi="宋体"/>
          <w:bCs/>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bookmarkEnd w:id="624"/>
    <w:p>
      <w:pPr>
        <w:rPr>
          <w:b/>
          <w:bCs/>
          <w:sz w:val="24"/>
          <w:szCs w:val="32"/>
        </w:rPr>
      </w:pPr>
      <w:bookmarkStart w:id="664" w:name="_Toc217446087"/>
      <w:r>
        <w:rPr>
          <w:rFonts w:hint="eastAsia"/>
          <w:b/>
          <w:bCs/>
          <w:sz w:val="24"/>
          <w:szCs w:val="32"/>
        </w:rPr>
        <w:br w:type="page"/>
      </w:r>
    </w:p>
    <w:p>
      <w:pPr>
        <w:pStyle w:val="4"/>
      </w:pPr>
      <w:bookmarkStart w:id="665" w:name="_Toc17780"/>
      <w:bookmarkStart w:id="666" w:name="_Toc701"/>
      <w:bookmarkStart w:id="667" w:name="_Toc25221"/>
      <w:bookmarkStart w:id="668" w:name="_Toc26915"/>
      <w:bookmarkStart w:id="669" w:name="_Toc31248"/>
      <w:bookmarkStart w:id="670" w:name="_Toc13012"/>
      <w:bookmarkStart w:id="671" w:name="_Toc23477"/>
      <w:bookmarkStart w:id="672" w:name="_Toc3422"/>
      <w:r>
        <w:rPr>
          <w:rFonts w:hint="eastAsia"/>
        </w:rPr>
        <w:t>四、服务方案</w:t>
      </w:r>
      <w:bookmarkEnd w:id="665"/>
      <w:bookmarkEnd w:id="666"/>
      <w:bookmarkEnd w:id="667"/>
      <w:bookmarkEnd w:id="668"/>
      <w:bookmarkEnd w:id="669"/>
      <w:bookmarkEnd w:id="670"/>
      <w:bookmarkEnd w:id="671"/>
    </w:p>
    <w:bookmarkEnd w:id="672"/>
    <w:p>
      <w:pPr>
        <w:spacing w:line="360" w:lineRule="auto"/>
      </w:pPr>
      <w:bookmarkStart w:id="673" w:name="_Toc16962_WPSOffice_Level2"/>
      <w:r>
        <w:rPr>
          <w:rFonts w:hint="eastAsia"/>
        </w:rPr>
        <w:t>注：供应商根据本项目特点和具体情况，自行编写，格式自拟</w:t>
      </w:r>
      <w:bookmarkEnd w:id="673"/>
      <w:r>
        <w:rPr>
          <w:rFonts w:hint="eastAsia"/>
        </w:rPr>
        <w:t>。</w:t>
      </w:r>
    </w:p>
    <w:p>
      <w:pPr>
        <w:spacing w:line="360" w:lineRule="auto"/>
        <w:rPr>
          <w:rFonts w:ascii="宋体" w:hAnsi="宋体"/>
          <w:b/>
          <w:sz w:val="24"/>
        </w:rPr>
      </w:pPr>
      <w:bookmarkStart w:id="674" w:name="_Toc4578902"/>
      <w:bookmarkStart w:id="675" w:name="_Toc5005079"/>
      <w:bookmarkStart w:id="676" w:name="_Toc4659775"/>
      <w:r>
        <w:rPr>
          <w:rFonts w:hint="eastAsia" w:ascii="宋体" w:hAnsi="宋体"/>
          <w:b/>
          <w:sz w:val="24"/>
        </w:rPr>
        <w:br w:type="page"/>
      </w:r>
    </w:p>
    <w:bookmarkEnd w:id="674"/>
    <w:bookmarkEnd w:id="675"/>
    <w:bookmarkEnd w:id="676"/>
    <w:p>
      <w:pPr>
        <w:pStyle w:val="4"/>
      </w:pPr>
      <w:bookmarkStart w:id="677" w:name="_Toc18916"/>
      <w:bookmarkStart w:id="678" w:name="_Toc8106"/>
      <w:bookmarkStart w:id="679" w:name="_Toc19914"/>
      <w:bookmarkStart w:id="680" w:name="_Toc16971"/>
      <w:bookmarkStart w:id="681" w:name="_Toc2610"/>
      <w:bookmarkStart w:id="682" w:name="_Toc7944"/>
      <w:bookmarkStart w:id="683" w:name="_Toc2877"/>
      <w:bookmarkStart w:id="684" w:name="_Toc3171"/>
      <w:r>
        <w:rPr>
          <w:rFonts w:hint="eastAsia"/>
        </w:rPr>
        <w:t>五、供应商基本情况表</w:t>
      </w:r>
      <w:bookmarkEnd w:id="677"/>
      <w:bookmarkEnd w:id="678"/>
      <w:bookmarkEnd w:id="679"/>
      <w:bookmarkEnd w:id="680"/>
      <w:bookmarkEnd w:id="681"/>
      <w:bookmarkEnd w:id="682"/>
      <w:bookmarkEnd w:id="683"/>
      <w:bookmarkEnd w:id="684"/>
    </w:p>
    <w:tbl>
      <w:tblPr>
        <w:tblStyle w:val="3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供应商名称</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注册地址</w:t>
            </w:r>
          </w:p>
        </w:tc>
        <w:tc>
          <w:tcPr>
            <w:tcW w:w="4680" w:type="dxa"/>
            <w:gridSpan w:val="6"/>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邮政编码</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bCs/>
                <w:szCs w:val="21"/>
              </w:rPr>
            </w:pPr>
            <w:r>
              <w:rPr>
                <w:rFonts w:hint="eastAsia" w:ascii="宋体" w:hAnsi="宋体" w:cs="宋体"/>
                <w:bCs/>
                <w:szCs w:val="21"/>
              </w:rPr>
              <w:t>联系方式</w:t>
            </w:r>
          </w:p>
        </w:tc>
        <w:tc>
          <w:tcPr>
            <w:tcW w:w="1080"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联系人</w:t>
            </w:r>
          </w:p>
        </w:tc>
        <w:tc>
          <w:tcPr>
            <w:tcW w:w="3600" w:type="dxa"/>
            <w:gridSpan w:val="5"/>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bCs/>
                <w:szCs w:val="21"/>
              </w:rPr>
            </w:pPr>
          </w:p>
        </w:tc>
        <w:tc>
          <w:tcPr>
            <w:tcW w:w="1080"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传真</w:t>
            </w:r>
          </w:p>
        </w:tc>
        <w:tc>
          <w:tcPr>
            <w:tcW w:w="3600" w:type="dxa"/>
            <w:gridSpan w:val="5"/>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网址</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组织结构</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法定代表人</w:t>
            </w:r>
          </w:p>
        </w:tc>
        <w:tc>
          <w:tcPr>
            <w:tcW w:w="1260" w:type="dxa"/>
            <w:gridSpan w:val="2"/>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shd w:val="clear" w:color="auto" w:fill="auto"/>
            <w:vAlign w:val="center"/>
          </w:tcPr>
          <w:p>
            <w:pPr>
              <w:spacing w:line="360" w:lineRule="auto"/>
              <w:jc w:val="center"/>
              <w:rPr>
                <w:rFonts w:ascii="宋体" w:hAnsi="宋体" w:cs="宋体"/>
                <w:bCs/>
                <w:szCs w:val="21"/>
              </w:rPr>
            </w:pPr>
          </w:p>
        </w:tc>
        <w:tc>
          <w:tcPr>
            <w:tcW w:w="1260"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技术负责人</w:t>
            </w:r>
          </w:p>
        </w:tc>
        <w:tc>
          <w:tcPr>
            <w:tcW w:w="1260" w:type="dxa"/>
            <w:gridSpan w:val="2"/>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shd w:val="clear" w:color="auto" w:fill="auto"/>
            <w:vAlign w:val="center"/>
          </w:tcPr>
          <w:p>
            <w:pPr>
              <w:spacing w:line="360" w:lineRule="auto"/>
              <w:jc w:val="center"/>
              <w:rPr>
                <w:rFonts w:ascii="宋体" w:hAnsi="宋体" w:cs="宋体"/>
                <w:bCs/>
                <w:szCs w:val="21"/>
              </w:rPr>
            </w:pPr>
          </w:p>
        </w:tc>
        <w:tc>
          <w:tcPr>
            <w:tcW w:w="1260" w:type="dxa"/>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shd w:val="clear" w:color="auto" w:fill="auto"/>
            <w:vAlign w:val="center"/>
          </w:tcPr>
          <w:p>
            <w:pPr>
              <w:spacing w:line="360" w:lineRule="auto"/>
              <w:jc w:val="center"/>
              <w:rPr>
                <w:rFonts w:ascii="宋体" w:hAnsi="宋体" w:cs="宋体"/>
                <w:bCs/>
                <w:szCs w:val="21"/>
              </w:rPr>
            </w:pPr>
          </w:p>
        </w:tc>
        <w:tc>
          <w:tcPr>
            <w:tcW w:w="126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成立时间</w:t>
            </w:r>
          </w:p>
        </w:tc>
        <w:tc>
          <w:tcPr>
            <w:tcW w:w="2520" w:type="dxa"/>
            <w:gridSpan w:val="3"/>
            <w:vAlign w:val="center"/>
          </w:tcPr>
          <w:p>
            <w:pPr>
              <w:spacing w:line="360" w:lineRule="auto"/>
              <w:jc w:val="center"/>
              <w:rPr>
                <w:rFonts w:ascii="宋体" w:hAnsi="宋体" w:cs="宋体"/>
                <w:bCs/>
                <w:szCs w:val="21"/>
              </w:rPr>
            </w:pPr>
          </w:p>
        </w:tc>
        <w:tc>
          <w:tcPr>
            <w:tcW w:w="5040" w:type="dxa"/>
            <w:gridSpan w:val="8"/>
            <w:vAlign w:val="center"/>
          </w:tcPr>
          <w:p>
            <w:pPr>
              <w:spacing w:line="360" w:lineRule="auto"/>
              <w:jc w:val="center"/>
              <w:rPr>
                <w:rFonts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企业资质等级</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restart"/>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其中</w:t>
            </w: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项目经理</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营业执照</w:t>
            </w:r>
            <w:r>
              <w:rPr>
                <w:rFonts w:hint="eastAsia" w:ascii="宋体" w:hAnsi="宋体" w:cs="宋体"/>
                <w:szCs w:val="21"/>
              </w:rPr>
              <w:t>号</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continue"/>
            <w:shd w:val="clear" w:color="auto" w:fill="auto"/>
            <w:vAlign w:val="center"/>
          </w:tcPr>
          <w:p>
            <w:pPr>
              <w:spacing w:line="360" w:lineRule="auto"/>
              <w:jc w:val="center"/>
              <w:rPr>
                <w:rFonts w:ascii="宋体" w:hAnsi="宋体" w:cs="宋体"/>
                <w:bCs/>
                <w:szCs w:val="21"/>
              </w:rPr>
            </w:pP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高级职称人员</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注册资金</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continue"/>
            <w:shd w:val="clear" w:color="auto" w:fill="auto"/>
            <w:vAlign w:val="center"/>
          </w:tcPr>
          <w:p>
            <w:pPr>
              <w:spacing w:line="360" w:lineRule="auto"/>
              <w:jc w:val="center"/>
              <w:rPr>
                <w:rFonts w:ascii="宋体" w:hAnsi="宋体" w:cs="宋体"/>
                <w:bCs/>
                <w:szCs w:val="21"/>
              </w:rPr>
            </w:pP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中级职称人员</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开户银行</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continue"/>
            <w:shd w:val="clear" w:color="auto" w:fill="auto"/>
            <w:vAlign w:val="center"/>
          </w:tcPr>
          <w:p>
            <w:pPr>
              <w:spacing w:line="360" w:lineRule="auto"/>
              <w:jc w:val="center"/>
              <w:rPr>
                <w:rFonts w:ascii="宋体" w:hAnsi="宋体" w:cs="宋体"/>
                <w:bCs/>
                <w:szCs w:val="21"/>
              </w:rPr>
            </w:pP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初级职称人员</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账号</w:t>
            </w:r>
          </w:p>
        </w:tc>
        <w:tc>
          <w:tcPr>
            <w:tcW w:w="2520" w:type="dxa"/>
            <w:gridSpan w:val="3"/>
            <w:shd w:val="clear" w:color="auto" w:fill="auto"/>
            <w:vAlign w:val="center"/>
          </w:tcPr>
          <w:p>
            <w:pPr>
              <w:spacing w:line="360" w:lineRule="auto"/>
              <w:jc w:val="center"/>
              <w:rPr>
                <w:rFonts w:ascii="宋体" w:hAnsi="宋体" w:cs="宋体"/>
                <w:bCs/>
                <w:szCs w:val="21"/>
              </w:rPr>
            </w:pPr>
          </w:p>
        </w:tc>
        <w:tc>
          <w:tcPr>
            <w:tcW w:w="1680" w:type="dxa"/>
            <w:gridSpan w:val="2"/>
            <w:vMerge w:val="continue"/>
            <w:shd w:val="clear" w:color="auto" w:fill="auto"/>
            <w:vAlign w:val="center"/>
          </w:tcPr>
          <w:p>
            <w:pPr>
              <w:spacing w:line="360" w:lineRule="auto"/>
              <w:jc w:val="center"/>
              <w:rPr>
                <w:rFonts w:ascii="宋体" w:hAnsi="宋体" w:cs="宋体"/>
                <w:bCs/>
                <w:szCs w:val="21"/>
              </w:rPr>
            </w:pPr>
          </w:p>
        </w:tc>
        <w:tc>
          <w:tcPr>
            <w:tcW w:w="1680" w:type="dxa"/>
            <w:gridSpan w:val="3"/>
            <w:shd w:val="clear" w:color="auto" w:fill="auto"/>
            <w:vAlign w:val="center"/>
          </w:tcPr>
          <w:p>
            <w:pPr>
              <w:spacing w:line="360" w:lineRule="auto"/>
              <w:jc w:val="center"/>
              <w:rPr>
                <w:rFonts w:ascii="宋体" w:hAnsi="宋体" w:cs="宋体"/>
                <w:bCs/>
                <w:szCs w:val="21"/>
              </w:rPr>
            </w:pPr>
            <w:r>
              <w:rPr>
                <w:rFonts w:hint="eastAsia" w:ascii="宋体" w:hAnsi="宋体" w:cs="宋体"/>
                <w:bCs/>
                <w:szCs w:val="21"/>
              </w:rPr>
              <w:t>技工</w:t>
            </w:r>
          </w:p>
        </w:tc>
        <w:tc>
          <w:tcPr>
            <w:tcW w:w="1680" w:type="dxa"/>
            <w:gridSpan w:val="3"/>
            <w:shd w:val="clear" w:color="auto" w:fill="auto"/>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经营范围</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560" w:type="dxa"/>
            <w:gridSpan w:val="11"/>
            <w:vAlign w:val="center"/>
          </w:tcPr>
          <w:p>
            <w:pPr>
              <w:spacing w:line="360" w:lineRule="auto"/>
              <w:jc w:val="center"/>
              <w:rPr>
                <w:rFonts w:ascii="宋体" w:hAnsi="宋体" w:cs="宋体"/>
                <w:bCs/>
                <w:szCs w:val="21"/>
              </w:rPr>
            </w:pPr>
          </w:p>
        </w:tc>
      </w:tr>
    </w:tbl>
    <w:p>
      <w:pPr>
        <w:adjustRightInd w:val="0"/>
        <w:spacing w:line="360" w:lineRule="auto"/>
        <w:jc w:val="left"/>
        <w:rPr>
          <w:rFonts w:ascii="宋体" w:hAnsi="宋体"/>
          <w:sz w:val="24"/>
        </w:rPr>
      </w:pPr>
    </w:p>
    <w:p>
      <w:pPr>
        <w:pStyle w:val="12"/>
        <w:rPr>
          <w:rFonts w:ascii="宋体" w:hAnsi="宋体"/>
          <w:sz w:val="24"/>
        </w:rPr>
      </w:pPr>
    </w:p>
    <w:p>
      <w:pPr>
        <w:pStyle w:val="15"/>
      </w:pPr>
    </w:p>
    <w:p>
      <w:pPr>
        <w:snapToGrid w:val="0"/>
        <w:spacing w:line="360" w:lineRule="auto"/>
        <w:ind w:firstLine="3360" w:firstLineChars="1600"/>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（盖单位公章）</w:t>
      </w:r>
    </w:p>
    <w:p>
      <w:pPr>
        <w:snapToGrid w:val="0"/>
        <w:spacing w:line="360" w:lineRule="auto"/>
        <w:ind w:firstLine="3360" w:firstLineChars="1600"/>
        <w:rPr>
          <w:rFonts w:ascii="宋体" w:hAnsi="宋体"/>
          <w:szCs w:val="21"/>
        </w:rPr>
      </w:pPr>
      <w:r>
        <w:rPr>
          <w:rFonts w:hint="eastAsia" w:ascii="宋体" w:hAnsi="宋体"/>
          <w:szCs w:val="21"/>
        </w:rPr>
        <w:t>法定代表人或授权代表（签字或加盖个人印章）：</w:t>
      </w:r>
      <w:r>
        <w:rPr>
          <w:rFonts w:hint="eastAsia" w:ascii="宋体" w:hAnsi="宋体"/>
          <w:szCs w:val="21"/>
          <w:u w:val="single"/>
        </w:rPr>
        <w:t xml:space="preserve">             </w:t>
      </w:r>
    </w:p>
    <w:p>
      <w:pPr>
        <w:snapToGrid w:val="0"/>
        <w:spacing w:line="360" w:lineRule="auto"/>
        <w:ind w:firstLine="3360" w:firstLineChars="16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ascii="宋体" w:hAnsi="宋体"/>
          <w:b/>
          <w:sz w:val="24"/>
        </w:rPr>
      </w:pPr>
      <w:r>
        <w:rPr>
          <w:rFonts w:ascii="宋体" w:hAnsi="宋体"/>
          <w:b/>
          <w:sz w:val="24"/>
        </w:rPr>
        <w:br w:type="page"/>
      </w:r>
    </w:p>
    <w:p>
      <w:pPr>
        <w:pStyle w:val="4"/>
      </w:pPr>
      <w:bookmarkStart w:id="685" w:name="_Toc4659777"/>
      <w:bookmarkStart w:id="686" w:name="_Toc4578903"/>
      <w:bookmarkStart w:id="687" w:name="_Toc5005081"/>
      <w:bookmarkStart w:id="688" w:name="_Toc1412"/>
      <w:bookmarkStart w:id="689" w:name="_Toc17912"/>
      <w:bookmarkStart w:id="690" w:name="_Toc6305"/>
      <w:bookmarkStart w:id="691" w:name="_Toc30962"/>
      <w:bookmarkStart w:id="692" w:name="_Toc22234"/>
      <w:bookmarkStart w:id="693" w:name="_Toc1925"/>
      <w:bookmarkStart w:id="694" w:name="_Toc18850"/>
      <w:bookmarkStart w:id="695" w:name="_Toc11945"/>
      <w:r>
        <w:rPr>
          <w:rFonts w:hint="eastAsia"/>
        </w:rPr>
        <w:t>六、中小企业声明函</w:t>
      </w:r>
      <w:bookmarkEnd w:id="685"/>
      <w:bookmarkEnd w:id="686"/>
      <w:bookmarkEnd w:id="687"/>
      <w:r>
        <w:rPr>
          <w:rFonts w:hint="eastAsia"/>
        </w:rPr>
        <w:t>（服务）</w:t>
      </w:r>
      <w:bookmarkEnd w:id="688"/>
      <w:bookmarkEnd w:id="689"/>
      <w:bookmarkEnd w:id="690"/>
      <w:bookmarkEnd w:id="691"/>
      <w:bookmarkEnd w:id="692"/>
      <w:bookmarkEnd w:id="693"/>
      <w:bookmarkEnd w:id="694"/>
      <w:bookmarkEnd w:id="695"/>
    </w:p>
    <w:p>
      <w:pPr>
        <w:snapToGrid w:val="0"/>
        <w:spacing w:line="360" w:lineRule="auto"/>
        <w:ind w:firstLine="420" w:firstLineChars="200"/>
        <w:rPr>
          <w:rFonts w:ascii="宋体" w:hAnsi="宋体"/>
          <w:szCs w:val="21"/>
        </w:rPr>
      </w:pPr>
      <w:r>
        <w:rPr>
          <w:rFonts w:hint="eastAsia" w:ascii="宋体" w:hAnsi="宋体"/>
          <w:szCs w:val="21"/>
        </w:rPr>
        <w:t>本公司(联合体)郑重声明，根据《政府采购促进中小本公司(联合体)郑重声明，根据《政府采购促进中小企业发展管理办法》(财库(2020)46号)的规定，本公司(联合体)参加</w:t>
      </w:r>
      <w:r>
        <w:rPr>
          <w:rFonts w:hint="eastAsia" w:ascii="宋体" w:hAnsi="宋体"/>
          <w:szCs w:val="21"/>
          <w:u w:val="single"/>
        </w:rPr>
        <w:t xml:space="preserve">                 </w:t>
      </w:r>
      <w:r>
        <w:rPr>
          <w:rFonts w:hint="eastAsia" w:ascii="宋体" w:hAnsi="宋体"/>
          <w:szCs w:val="21"/>
        </w:rPr>
        <w:t>(单位名称)的</w:t>
      </w:r>
      <w:r>
        <w:rPr>
          <w:rFonts w:hint="eastAsia" w:ascii="宋体" w:hAnsi="宋体"/>
          <w:szCs w:val="21"/>
          <w:u w:val="single"/>
        </w:rPr>
        <w:t xml:space="preserve">            </w:t>
      </w:r>
      <w:r>
        <w:rPr>
          <w:rFonts w:hint="eastAsia" w:ascii="宋体" w:hAnsi="宋体"/>
          <w:szCs w:val="21"/>
        </w:rPr>
        <w:t>(项目名称)采购活动，工程的施工单位全部为符合政策要求的中小企业(或者：服务全部由符合政策要求的中小企业承接)。相关企业(含联合体中的中小企业、签订分包意向协议的中小企业)的具体情况如下:</w:t>
      </w:r>
    </w:p>
    <w:p>
      <w:pPr>
        <w:wordWrap w:val="0"/>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(标的名称)，属于</w:t>
      </w:r>
      <w:r>
        <w:rPr>
          <w:rFonts w:hint="eastAsia" w:ascii="宋体" w:hAnsi="宋体"/>
          <w:szCs w:val="21"/>
          <w:u w:val="single"/>
        </w:rPr>
        <w:t xml:space="preserve">      </w:t>
      </w:r>
      <w:r>
        <w:rPr>
          <w:rFonts w:hint="eastAsia" w:ascii="宋体" w:hAnsi="宋体"/>
          <w:szCs w:val="21"/>
        </w:rPr>
        <w:t xml:space="preserve"> (采购文件中明确的所属行业)；承建(承接)企业为</w:t>
      </w:r>
      <w:r>
        <w:rPr>
          <w:rFonts w:hint="eastAsia" w:ascii="宋体" w:hAnsi="宋体"/>
          <w:szCs w:val="21"/>
          <w:u w:val="single"/>
        </w:rPr>
        <w:t xml:space="preserve">        </w:t>
      </w:r>
      <w:r>
        <w:rPr>
          <w:rFonts w:hint="eastAsia" w:ascii="宋体" w:hAnsi="宋体"/>
          <w:szCs w:val="21"/>
        </w:rPr>
        <w:t>(企业名称)，从业人员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w:t>
      </w:r>
      <w:r>
        <w:rPr>
          <w:rFonts w:hint="eastAsia" w:ascii="宋体" w:hAnsi="宋体"/>
          <w:szCs w:val="21"/>
        </w:rPr>
        <w:t>中型企业、小型企业、微型企业)；</w:t>
      </w:r>
    </w:p>
    <w:p>
      <w:pPr>
        <w:wordWrap w:val="0"/>
        <w:snapToGrid w:val="0"/>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 xml:space="preserve"> (标的名称)，属于</w:t>
      </w:r>
      <w:r>
        <w:rPr>
          <w:rFonts w:hint="eastAsia" w:ascii="宋体" w:hAnsi="宋体"/>
          <w:szCs w:val="21"/>
          <w:u w:val="single"/>
        </w:rPr>
        <w:t xml:space="preserve">          </w:t>
      </w:r>
      <w:r>
        <w:rPr>
          <w:rFonts w:hint="eastAsia" w:ascii="宋体" w:hAnsi="宋体"/>
          <w:szCs w:val="21"/>
        </w:rPr>
        <w:t>(采购文件中明确的所属行业)；承建(承接)企业为</w:t>
      </w:r>
      <w:r>
        <w:rPr>
          <w:rFonts w:hint="eastAsia" w:ascii="宋体" w:hAnsi="宋体"/>
          <w:szCs w:val="21"/>
          <w:u w:val="single"/>
        </w:rPr>
        <w:t xml:space="preserve">          </w:t>
      </w:r>
      <w:r>
        <w:rPr>
          <w:rFonts w:hint="eastAsia" w:ascii="宋体" w:hAnsi="宋体"/>
          <w:szCs w:val="21"/>
        </w:rPr>
        <w:t>(企业名称)，从业人员</w:t>
      </w:r>
      <w:r>
        <w:rPr>
          <w:rFonts w:hint="eastAsia" w:ascii="宋体" w:hAnsi="宋体"/>
          <w:szCs w:val="21"/>
          <w:u w:val="single"/>
        </w:rPr>
        <w:t xml:space="preserve">         </w:t>
      </w:r>
      <w:r>
        <w:rPr>
          <w:rFonts w:hint="eastAsia" w:ascii="宋体" w:hAnsi="宋体"/>
          <w:szCs w:val="21"/>
        </w:rPr>
        <w:t>人，营业收入为</w:t>
      </w:r>
      <w:r>
        <w:rPr>
          <w:rFonts w:hint="eastAsia" w:ascii="宋体" w:hAnsi="宋体"/>
          <w:szCs w:val="21"/>
          <w:u w:val="single"/>
        </w:rPr>
        <w:t xml:space="preserve">         </w:t>
      </w:r>
      <w:r>
        <w:rPr>
          <w:rFonts w:hint="eastAsia" w:ascii="宋体" w:hAnsi="宋体"/>
          <w:szCs w:val="21"/>
        </w:rPr>
        <w:t>万元，资产总额为</w:t>
      </w:r>
      <w:r>
        <w:rPr>
          <w:rFonts w:hint="eastAsia" w:ascii="宋体" w:hAnsi="宋体"/>
          <w:szCs w:val="21"/>
          <w:u w:val="single"/>
        </w:rPr>
        <w:t xml:space="preserve">         </w:t>
      </w:r>
      <w:r>
        <w:rPr>
          <w:rFonts w:hint="eastAsia" w:ascii="宋体" w:hAnsi="宋体"/>
          <w:szCs w:val="21"/>
        </w:rPr>
        <w:t>万元，属于</w:t>
      </w:r>
      <w:r>
        <w:rPr>
          <w:rFonts w:hint="eastAsia" w:ascii="宋体" w:hAnsi="宋体"/>
          <w:szCs w:val="21"/>
          <w:u w:val="single"/>
        </w:rPr>
        <w:t xml:space="preserve">          </w:t>
      </w:r>
      <w:r>
        <w:rPr>
          <w:rFonts w:hint="eastAsia" w:ascii="宋体" w:hAnsi="宋体"/>
          <w:szCs w:val="21"/>
        </w:rPr>
        <w:t>(中型企业、小型企业、微型企业)；</w:t>
      </w:r>
    </w:p>
    <w:p>
      <w:pPr>
        <w:snapToGrid w:val="0"/>
        <w:spacing w:line="360" w:lineRule="auto"/>
        <w:ind w:firstLine="420" w:firstLineChars="200"/>
        <w:rPr>
          <w:rFonts w:ascii="宋体" w:hAnsi="宋体"/>
          <w:szCs w:val="21"/>
        </w:rPr>
      </w:pPr>
      <w:r>
        <w:rPr>
          <w:rFonts w:hint="eastAsia" w:ascii="宋体" w:hAnsi="宋体"/>
          <w:szCs w:val="21"/>
        </w:rPr>
        <w:t>以上企业，不属于大企业的分支机构，不存在控股股东为大企业的情形，也不存在与大企业的负责人为同一人的情形。</w:t>
      </w:r>
    </w:p>
    <w:p>
      <w:pPr>
        <w:snapToGrid w:val="0"/>
        <w:spacing w:line="360" w:lineRule="auto"/>
        <w:ind w:firstLine="420" w:firstLineChars="200"/>
        <w:rPr>
          <w:rFonts w:ascii="宋体" w:hAnsi="宋体"/>
          <w:sz w:val="24"/>
        </w:rPr>
      </w:pPr>
      <w:r>
        <w:rPr>
          <w:rFonts w:hint="eastAsia" w:ascii="宋体" w:hAnsi="宋体"/>
          <w:szCs w:val="21"/>
        </w:rPr>
        <w:t>本企业对上述声明内容的真实性负责。如有虛假，将依法承担相应责任</w:t>
      </w:r>
      <w:r>
        <w:rPr>
          <w:rFonts w:hint="eastAsia" w:ascii="宋体" w:hAnsi="宋体"/>
          <w:sz w:val="24"/>
        </w:rPr>
        <w:t>。</w:t>
      </w:r>
    </w:p>
    <w:p>
      <w:pPr>
        <w:spacing w:line="360" w:lineRule="auto"/>
        <w:rPr>
          <w:rFonts w:ascii="宋体" w:hAnsi="宋体"/>
          <w:sz w:val="24"/>
        </w:rPr>
      </w:pPr>
    </w:p>
    <w:p>
      <w:pPr>
        <w:pStyle w:val="12"/>
        <w:rPr>
          <w:rFonts w:ascii="宋体" w:hAnsi="宋体"/>
          <w:sz w:val="24"/>
        </w:rPr>
      </w:pPr>
    </w:p>
    <w:p>
      <w:pPr>
        <w:pStyle w:val="15"/>
      </w:pPr>
    </w:p>
    <w:p>
      <w:pPr>
        <w:snapToGrid w:val="0"/>
        <w:spacing w:line="360" w:lineRule="auto"/>
        <w:ind w:firstLine="4042" w:firstLineChars="1925"/>
        <w:rPr>
          <w:rFonts w:ascii="宋体" w:hAnsi="宋体"/>
          <w:szCs w:val="21"/>
          <w:u w:val="single"/>
        </w:rPr>
      </w:pPr>
      <w:r>
        <w:rPr>
          <w:rFonts w:hint="eastAsia" w:ascii="宋体" w:hAnsi="宋体"/>
          <w:szCs w:val="21"/>
        </w:rPr>
        <w:t>企业名称：</w:t>
      </w:r>
      <w:r>
        <w:rPr>
          <w:rFonts w:hint="eastAsia" w:ascii="宋体" w:hAnsi="宋体"/>
          <w:szCs w:val="21"/>
          <w:u w:val="single"/>
        </w:rPr>
        <w:t xml:space="preserve">            </w:t>
      </w:r>
      <w:r>
        <w:rPr>
          <w:rFonts w:hint="eastAsia" w:ascii="宋体" w:hAnsi="宋体"/>
          <w:szCs w:val="21"/>
        </w:rPr>
        <w:t>（盖章）</w:t>
      </w:r>
    </w:p>
    <w:p>
      <w:pPr>
        <w:snapToGrid w:val="0"/>
        <w:spacing w:line="360" w:lineRule="auto"/>
        <w:ind w:firstLine="4042" w:firstLineChars="1925"/>
        <w:rPr>
          <w:rFonts w:ascii="宋体" w:hAnsi="宋体"/>
          <w:szCs w:val="21"/>
        </w:rPr>
      </w:pPr>
      <w:r>
        <w:rPr>
          <w:rFonts w:hint="eastAsia" w:ascii="宋体" w:hAnsi="宋体"/>
          <w:szCs w:val="21"/>
        </w:rPr>
        <w:t>日   期：</w:t>
      </w:r>
      <w:r>
        <w:rPr>
          <w:rFonts w:hint="eastAsia" w:ascii="宋体" w:hAnsi="宋体"/>
          <w:szCs w:val="21"/>
          <w:u w:val="single"/>
        </w:rPr>
        <w:t xml:space="preserve">            </w:t>
      </w:r>
    </w:p>
    <w:p>
      <w:pPr>
        <w:snapToGrid w:val="0"/>
        <w:spacing w:line="360" w:lineRule="auto"/>
        <w:ind w:firstLine="420" w:firstLineChars="200"/>
        <w:rPr>
          <w:rFonts w:ascii="宋体" w:hAnsi="宋体"/>
          <w:szCs w:val="21"/>
        </w:rPr>
      </w:pPr>
      <w:r>
        <w:rPr>
          <w:rFonts w:hint="eastAsia" w:ascii="宋体" w:hAnsi="宋体"/>
          <w:szCs w:val="21"/>
        </w:rPr>
        <w:t>注：</w:t>
      </w:r>
    </w:p>
    <w:p>
      <w:pPr>
        <w:snapToGrid w:val="0"/>
        <w:spacing w:line="360" w:lineRule="auto"/>
        <w:ind w:firstLine="420" w:firstLineChars="200"/>
        <w:rPr>
          <w:rFonts w:ascii="宋体" w:hAnsi="宋体"/>
          <w:szCs w:val="21"/>
        </w:rPr>
      </w:pPr>
      <w:r>
        <w:rPr>
          <w:rFonts w:hint="eastAsia" w:ascii="宋体" w:hAnsi="宋体"/>
          <w:szCs w:val="21"/>
        </w:rPr>
        <w:t>1、从业人员、营业收入、资产总额填报上一年度数据，无上一年度数据的新成立企业可不填报。</w:t>
      </w:r>
    </w:p>
    <w:p>
      <w:pPr>
        <w:snapToGrid w:val="0"/>
        <w:spacing w:line="360" w:lineRule="auto"/>
        <w:ind w:firstLine="420" w:firstLineChars="200"/>
        <w:rPr>
          <w:rFonts w:ascii="宋体" w:hAnsi="宋体" w:cs="宋体"/>
          <w:szCs w:val="21"/>
        </w:rPr>
      </w:pPr>
      <w:r>
        <w:rPr>
          <w:rFonts w:hint="eastAsia" w:ascii="宋体" w:hAnsi="宋体"/>
          <w:szCs w:val="21"/>
        </w:rPr>
        <w:t>2、投标人为非企业单位的，可不提供此声明。</w:t>
      </w:r>
    </w:p>
    <w:p>
      <w:pPr>
        <w:pStyle w:val="4"/>
      </w:pPr>
      <w:r>
        <w:rPr>
          <w:rFonts w:hint="eastAsia" w:ascii="宋体" w:hAnsi="宋体" w:cs="宋体"/>
          <w:sz w:val="24"/>
        </w:rPr>
        <w:br w:type="page"/>
      </w:r>
      <w:bookmarkStart w:id="696" w:name="_Toc32171"/>
      <w:bookmarkStart w:id="697" w:name="_Toc28346"/>
      <w:bookmarkStart w:id="698" w:name="_Toc8561"/>
      <w:bookmarkStart w:id="699" w:name="_Toc32678"/>
      <w:bookmarkStart w:id="700" w:name="_Toc12884"/>
      <w:bookmarkStart w:id="701" w:name="_Toc8309"/>
      <w:bookmarkStart w:id="702" w:name="_Toc8915"/>
      <w:bookmarkStart w:id="703" w:name="_Toc2533"/>
      <w:r>
        <w:rPr>
          <w:rFonts w:hint="eastAsia"/>
        </w:rPr>
        <w:t>七、残疾人福利性单位声明函</w:t>
      </w:r>
      <w:bookmarkEnd w:id="696"/>
      <w:bookmarkEnd w:id="697"/>
      <w:bookmarkEnd w:id="698"/>
      <w:bookmarkEnd w:id="699"/>
      <w:bookmarkEnd w:id="700"/>
      <w:bookmarkEnd w:id="701"/>
      <w:bookmarkEnd w:id="702"/>
      <w:bookmarkEnd w:id="703"/>
    </w:p>
    <w:p>
      <w:pPr>
        <w:snapToGrid w:val="0"/>
        <w:spacing w:line="360" w:lineRule="auto"/>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w:t>
      </w:r>
    </w:p>
    <w:p>
      <w:pPr>
        <w:snapToGrid w:val="0"/>
        <w:spacing w:line="360" w:lineRule="auto"/>
        <w:rPr>
          <w:rFonts w:ascii="宋体" w:hAnsi="宋体" w:cs="宋体"/>
          <w:spacing w:val="6"/>
          <w:szCs w:val="21"/>
        </w:rPr>
      </w:pPr>
      <w:r>
        <w:rPr>
          <w:rFonts w:hint="eastAsia" w:ascii="宋体" w:hAnsi="宋体"/>
          <w:szCs w:val="21"/>
          <w:u w:val="single"/>
        </w:rPr>
        <w:t xml:space="preserve">             </w:t>
      </w:r>
      <w:r>
        <w:rPr>
          <w:rFonts w:hint="eastAsia" w:ascii="宋体" w:hAnsi="宋体" w:cs="宋体"/>
          <w:spacing w:val="6"/>
          <w:szCs w:val="21"/>
        </w:rPr>
        <w:t>单位的</w:t>
      </w:r>
      <w:r>
        <w:rPr>
          <w:rFonts w:hint="eastAsia" w:ascii="宋体" w:hAnsi="宋体"/>
          <w:szCs w:val="21"/>
          <w:u w:val="single"/>
        </w:rPr>
        <w:t xml:space="preserve">             </w:t>
      </w:r>
      <w:r>
        <w:rPr>
          <w:rFonts w:hint="eastAsia" w:ascii="宋体" w:hAnsi="宋体" w:cs="宋体"/>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napToGrid w:val="0"/>
        <w:spacing w:line="360" w:lineRule="auto"/>
        <w:rPr>
          <w:rFonts w:ascii="宋体" w:hAnsi="宋体" w:cs="宋体"/>
          <w:spacing w:val="6"/>
          <w:szCs w:val="21"/>
        </w:rPr>
      </w:pPr>
    </w:p>
    <w:p>
      <w:pPr>
        <w:spacing w:line="360" w:lineRule="auto"/>
        <w:rPr>
          <w:rFonts w:ascii="宋体" w:hAnsi="宋体" w:cs="宋体"/>
          <w:spacing w:val="6"/>
          <w:sz w:val="24"/>
        </w:rPr>
      </w:pPr>
    </w:p>
    <w:p>
      <w:pPr>
        <w:spacing w:line="360" w:lineRule="auto"/>
        <w:ind w:firstLine="4418" w:firstLineChars="2104"/>
        <w:jc w:val="left"/>
        <w:rPr>
          <w:rFonts w:ascii="宋体" w:hAnsi="宋体"/>
          <w:szCs w:val="21"/>
        </w:rPr>
      </w:pPr>
      <w:r>
        <w:rPr>
          <w:rFonts w:hint="eastAsia" w:ascii="宋体" w:hAnsi="宋体"/>
          <w:szCs w:val="21"/>
        </w:rPr>
        <w:t>单位名称：</w:t>
      </w:r>
      <w:r>
        <w:rPr>
          <w:rFonts w:hint="eastAsia" w:ascii="宋体" w:hAnsi="宋体"/>
          <w:szCs w:val="21"/>
          <w:u w:val="single"/>
        </w:rPr>
        <w:t xml:space="preserve">             </w:t>
      </w:r>
      <w:r>
        <w:rPr>
          <w:rFonts w:hint="eastAsia" w:ascii="宋体" w:hAnsi="宋体"/>
          <w:szCs w:val="21"/>
        </w:rPr>
        <w:t>（盖单位公章）</w:t>
      </w:r>
    </w:p>
    <w:p>
      <w:pPr>
        <w:spacing w:line="360" w:lineRule="auto"/>
        <w:ind w:firstLine="4418" w:firstLineChars="2104"/>
        <w:jc w:val="left"/>
        <w:rPr>
          <w:rFonts w:ascii="宋体" w:hAnsi="宋体"/>
          <w:szCs w:val="21"/>
        </w:rPr>
      </w:pPr>
      <w:r>
        <w:rPr>
          <w:rFonts w:hint="eastAsia" w:ascii="宋体" w:hAnsi="宋体"/>
          <w:szCs w:val="21"/>
        </w:rPr>
        <w:t>法定代表人或授权代表（签字或加盖个人印章）：</w:t>
      </w:r>
      <w:r>
        <w:rPr>
          <w:rFonts w:hint="eastAsia" w:ascii="宋体" w:hAnsi="宋体"/>
          <w:szCs w:val="21"/>
          <w:u w:val="single"/>
        </w:rPr>
        <w:t xml:space="preserve">             </w:t>
      </w:r>
    </w:p>
    <w:p>
      <w:pPr>
        <w:spacing w:line="360" w:lineRule="auto"/>
        <w:ind w:firstLine="4418" w:firstLineChars="2104"/>
        <w:jc w:val="left"/>
        <w:rPr>
          <w:rFonts w:ascii="宋体" w:hAnsi="宋体"/>
          <w:szCs w:val="21"/>
        </w:rPr>
      </w:pPr>
      <w:r>
        <w:rPr>
          <w:rFonts w:hint="eastAsia" w:ascii="宋体" w:hAnsi="宋体"/>
          <w:szCs w:val="21"/>
        </w:rPr>
        <w:t>日   期：</w:t>
      </w:r>
      <w:r>
        <w:rPr>
          <w:rFonts w:hint="eastAsia" w:ascii="宋体" w:hAnsi="宋体"/>
          <w:szCs w:val="21"/>
          <w:u w:val="single"/>
        </w:rPr>
        <w:t xml:space="preserve">             </w:t>
      </w:r>
    </w:p>
    <w:p>
      <w:pPr>
        <w:spacing w:line="360" w:lineRule="auto"/>
        <w:rPr>
          <w:rFonts w:ascii="宋体" w:hAnsi="宋体" w:cs="宋体"/>
          <w:sz w:val="24"/>
        </w:rPr>
      </w:pPr>
    </w:p>
    <w:p>
      <w:pPr>
        <w:snapToGrid w:val="0"/>
        <w:spacing w:line="360" w:lineRule="auto"/>
        <w:ind w:firstLine="420" w:firstLineChars="200"/>
        <w:rPr>
          <w:rFonts w:ascii="宋体" w:hAnsi="宋体" w:cs="宋体"/>
          <w:szCs w:val="21"/>
        </w:rPr>
      </w:pPr>
      <w:r>
        <w:rPr>
          <w:rFonts w:hint="eastAsia" w:ascii="宋体" w:hAnsi="宋体" w:cs="宋体"/>
          <w:szCs w:val="21"/>
        </w:rPr>
        <w:t>注：</w:t>
      </w:r>
    </w:p>
    <w:p>
      <w:pPr>
        <w:numPr>
          <w:ilvl w:val="0"/>
          <w:numId w:val="4"/>
        </w:numPr>
        <w:snapToGrid w:val="0"/>
        <w:spacing w:line="360" w:lineRule="auto"/>
        <w:ind w:firstLine="420" w:firstLineChars="200"/>
        <w:rPr>
          <w:rFonts w:ascii="宋体" w:hAnsi="宋体" w:cs="宋体"/>
          <w:szCs w:val="21"/>
        </w:rPr>
      </w:pPr>
      <w:r>
        <w:rPr>
          <w:rFonts w:hint="eastAsia" w:ascii="宋体" w:hAnsi="宋体" w:cs="宋体"/>
          <w:szCs w:val="21"/>
        </w:rPr>
        <w:t>残疾人福利性单位视同小型、微型企业，享受预留份额、评审中价格扣除等促进中小企业发展的政府采购政策。残疾人福利性单位属于小型、微型企业的，不重复享受政策。</w:t>
      </w:r>
    </w:p>
    <w:p>
      <w:pPr>
        <w:numPr>
          <w:ilvl w:val="0"/>
          <w:numId w:val="4"/>
        </w:numPr>
        <w:snapToGrid w:val="0"/>
        <w:spacing w:line="360" w:lineRule="auto"/>
        <w:ind w:firstLine="420" w:firstLineChars="200"/>
        <w:rPr>
          <w:rFonts w:ascii="宋体" w:hAnsi="宋体" w:cs="宋体"/>
          <w:szCs w:val="21"/>
        </w:rPr>
      </w:pPr>
      <w:r>
        <w:rPr>
          <w:rFonts w:hint="eastAsia" w:ascii="宋体" w:hAnsi="宋体" w:cs="宋体"/>
          <w:szCs w:val="21"/>
        </w:rPr>
        <w:t>供应商为非残疾人福利性单位的，可不提供此声明。</w:t>
      </w:r>
    </w:p>
    <w:p>
      <w:pPr>
        <w:pStyle w:val="4"/>
        <w:spacing w:line="360" w:lineRule="auto"/>
      </w:pPr>
      <w:r>
        <w:rPr>
          <w:rFonts w:ascii="宋体" w:hAnsi="宋体"/>
          <w:sz w:val="24"/>
        </w:rPr>
        <w:br w:type="page"/>
      </w:r>
      <w:bookmarkStart w:id="704" w:name="_Toc31400"/>
      <w:bookmarkStart w:id="705" w:name="_Toc10431"/>
      <w:bookmarkStart w:id="706" w:name="_Toc11793"/>
      <w:bookmarkStart w:id="707" w:name="_Toc21619"/>
      <w:bookmarkStart w:id="708" w:name="_Toc4639"/>
      <w:bookmarkStart w:id="709" w:name="_Toc27108"/>
      <w:bookmarkStart w:id="710" w:name="_Toc18922"/>
      <w:bookmarkStart w:id="711" w:name="_Toc508615397"/>
      <w:bookmarkStart w:id="712" w:name="_Toc22667"/>
      <w:r>
        <w:rPr>
          <w:rFonts w:hint="eastAsia"/>
        </w:rPr>
        <w:t>八、监狱企业相关证明材料（如涉及）</w:t>
      </w:r>
      <w:bookmarkEnd w:id="704"/>
      <w:bookmarkEnd w:id="705"/>
      <w:bookmarkEnd w:id="706"/>
      <w:bookmarkEnd w:id="707"/>
      <w:bookmarkEnd w:id="708"/>
      <w:bookmarkEnd w:id="709"/>
      <w:bookmarkEnd w:id="710"/>
      <w:bookmarkEnd w:id="711"/>
      <w:bookmarkEnd w:id="712"/>
    </w:p>
    <w:p>
      <w:pPr>
        <w:spacing w:line="360" w:lineRule="auto"/>
        <w:ind w:firstLine="420" w:firstLineChars="200"/>
        <w:rPr>
          <w:rFonts w:hAnsi="宋体" w:cs="宋体"/>
          <w:szCs w:val="21"/>
        </w:rPr>
      </w:pPr>
      <w:r>
        <w:rPr>
          <w:rFonts w:hint="eastAsia" w:hAnsi="宋体" w:cs="宋体"/>
          <w:szCs w:val="21"/>
        </w:rPr>
        <w:t>说明：</w:t>
      </w:r>
    </w:p>
    <w:p>
      <w:pPr>
        <w:spacing w:line="360" w:lineRule="auto"/>
        <w:ind w:firstLine="420" w:firstLineChars="200"/>
        <w:rPr>
          <w:rFonts w:hAnsi="宋体" w:cs="宋体"/>
          <w:szCs w:val="21"/>
        </w:rPr>
      </w:pPr>
      <w:r>
        <w:rPr>
          <w:rFonts w:hint="eastAsia" w:hAnsi="宋体" w:cs="宋体"/>
          <w:szCs w:val="21"/>
        </w:rPr>
        <w:t>①监狱企业参加政府采购活动时，应当提供由省级以上监狱管理局、戒毒管理局(含新疆生产建设兵团)出具的属于监狱企业的证明文件。</w:t>
      </w:r>
    </w:p>
    <w:p>
      <w:pPr>
        <w:spacing w:line="360" w:lineRule="auto"/>
        <w:ind w:firstLine="420" w:firstLineChars="200"/>
        <w:rPr>
          <w:rFonts w:hAnsi="宋体" w:cs="宋体"/>
          <w:szCs w:val="21"/>
        </w:rPr>
      </w:pPr>
      <w:r>
        <w:rPr>
          <w:rFonts w:hint="eastAsia" w:hAnsi="宋体" w:cs="宋体"/>
          <w:szCs w:val="21"/>
        </w:rPr>
        <w:t>②如未提供监狱企业相关证明材料的，则其磋商中的监狱企业不能享受招标文件规定的价格扣除，但不影响供应商响应文件的有效性。</w:t>
      </w:r>
    </w:p>
    <w:p>
      <w:pPr>
        <w:spacing w:line="360" w:lineRule="auto"/>
        <w:ind w:firstLine="420" w:firstLineChars="200"/>
        <w:rPr>
          <w:rFonts w:hAnsi="宋体" w:cs="宋体"/>
          <w:szCs w:val="21"/>
        </w:rPr>
      </w:pPr>
      <w:r>
        <w:rPr>
          <w:rFonts w:hint="eastAsia" w:hAnsi="宋体" w:cs="宋体"/>
          <w:szCs w:val="21"/>
        </w:rPr>
        <w:t>③非监狱企业无需提供证明材料。</w:t>
      </w:r>
    </w:p>
    <w:p>
      <w:pPr>
        <w:widowControl/>
        <w:spacing w:line="360" w:lineRule="auto"/>
        <w:jc w:val="left"/>
        <w:rPr>
          <w:rFonts w:ascii="宋体" w:hAnsi="宋体"/>
          <w:b/>
          <w:sz w:val="24"/>
        </w:rPr>
      </w:pPr>
    </w:p>
    <w:p>
      <w:pPr>
        <w:pStyle w:val="4"/>
        <w:sectPr>
          <w:pgSz w:w="11907" w:h="16840"/>
          <w:pgMar w:top="1134" w:right="1134" w:bottom="1134" w:left="1134" w:header="851" w:footer="850" w:gutter="0"/>
          <w:pgNumType w:fmt="decimal"/>
          <w:cols w:space="0" w:num="1"/>
          <w:docGrid w:type="lines" w:linePitch="312" w:charSpace="0"/>
        </w:sectPr>
      </w:pPr>
      <w:bookmarkStart w:id="713" w:name="_Toc11201"/>
    </w:p>
    <w:p>
      <w:pPr>
        <w:pStyle w:val="4"/>
      </w:pPr>
      <w:bookmarkStart w:id="714" w:name="_Toc12615"/>
      <w:bookmarkStart w:id="715" w:name="_Toc11713"/>
      <w:bookmarkStart w:id="716" w:name="_Toc119"/>
      <w:bookmarkStart w:id="717" w:name="_Toc3374"/>
      <w:bookmarkStart w:id="718" w:name="_Toc14052"/>
      <w:bookmarkStart w:id="719" w:name="_Toc31258"/>
      <w:bookmarkStart w:id="720" w:name="_Toc20376"/>
      <w:r>
        <w:rPr>
          <w:rFonts w:hint="eastAsia"/>
        </w:rPr>
        <w:t>九、技术、服务要求应答表</w:t>
      </w:r>
      <w:bookmarkEnd w:id="713"/>
      <w:bookmarkEnd w:id="714"/>
      <w:bookmarkEnd w:id="715"/>
      <w:bookmarkEnd w:id="716"/>
      <w:bookmarkEnd w:id="717"/>
      <w:bookmarkEnd w:id="718"/>
      <w:bookmarkEnd w:id="719"/>
      <w:bookmarkEnd w:id="720"/>
    </w:p>
    <w:tbl>
      <w:tblPr>
        <w:tblStyle w:val="3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4379"/>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98" w:type="dxa"/>
            <w:shd w:val="clear" w:color="auto" w:fill="F1F1F1" w:themeFill="background1" w:themeFillShade="F2"/>
            <w:vAlign w:val="center"/>
          </w:tcPr>
          <w:p>
            <w:pPr>
              <w:spacing w:line="360" w:lineRule="auto"/>
              <w:jc w:val="center"/>
              <w:rPr>
                <w:rFonts w:ascii="宋体" w:hAnsi="宋体"/>
                <w:b/>
                <w:bCs/>
                <w:szCs w:val="21"/>
              </w:rPr>
            </w:pPr>
            <w:r>
              <w:rPr>
                <w:rFonts w:hint="eastAsia" w:ascii="宋体" w:hAnsi="宋体"/>
                <w:b/>
                <w:bCs/>
                <w:szCs w:val="21"/>
              </w:rPr>
              <w:t>序号</w:t>
            </w:r>
          </w:p>
        </w:tc>
        <w:tc>
          <w:tcPr>
            <w:tcW w:w="4379" w:type="dxa"/>
            <w:shd w:val="clear" w:color="auto" w:fill="F1F1F1" w:themeFill="background1" w:themeFillShade="F2"/>
            <w:vAlign w:val="center"/>
          </w:tcPr>
          <w:p>
            <w:pPr>
              <w:spacing w:line="360" w:lineRule="auto"/>
              <w:jc w:val="center"/>
              <w:rPr>
                <w:rFonts w:ascii="宋体" w:hAnsi="宋体"/>
                <w:b/>
                <w:bCs/>
                <w:szCs w:val="21"/>
              </w:rPr>
            </w:pPr>
            <w:r>
              <w:rPr>
                <w:rFonts w:hint="eastAsia" w:ascii="宋体" w:hAnsi="宋体"/>
                <w:b/>
                <w:bCs/>
                <w:szCs w:val="21"/>
              </w:rPr>
              <w:t>采购文件要求</w:t>
            </w:r>
          </w:p>
        </w:tc>
        <w:tc>
          <w:tcPr>
            <w:tcW w:w="3762" w:type="dxa"/>
            <w:shd w:val="clear" w:color="auto" w:fill="F1F1F1" w:themeFill="background1" w:themeFillShade="F2"/>
            <w:vAlign w:val="center"/>
          </w:tcPr>
          <w:p>
            <w:pPr>
              <w:spacing w:line="360" w:lineRule="auto"/>
              <w:jc w:val="center"/>
              <w:rPr>
                <w:rFonts w:ascii="宋体" w:hAnsi="宋体"/>
                <w:b/>
                <w:bCs/>
                <w:szCs w:val="21"/>
              </w:rPr>
            </w:pPr>
            <w:r>
              <w:rPr>
                <w:rFonts w:hint="eastAsia" w:ascii="宋体" w:hAnsi="宋体"/>
                <w:b/>
                <w:bCs/>
                <w:szCs w:val="21"/>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698" w:type="dxa"/>
          </w:tcPr>
          <w:p>
            <w:pPr>
              <w:spacing w:line="360" w:lineRule="auto"/>
              <w:jc w:val="center"/>
              <w:rPr>
                <w:rFonts w:ascii="宋体" w:hAnsi="宋体"/>
                <w:szCs w:val="21"/>
              </w:rPr>
            </w:pPr>
          </w:p>
        </w:tc>
        <w:tc>
          <w:tcPr>
            <w:tcW w:w="4379" w:type="dxa"/>
          </w:tcPr>
          <w:p>
            <w:pPr>
              <w:spacing w:line="360" w:lineRule="auto"/>
              <w:jc w:val="center"/>
              <w:rPr>
                <w:rFonts w:ascii="宋体" w:hAnsi="宋体"/>
                <w:szCs w:val="21"/>
              </w:rPr>
            </w:pPr>
          </w:p>
        </w:tc>
        <w:tc>
          <w:tcPr>
            <w:tcW w:w="3762"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698" w:type="dxa"/>
          </w:tcPr>
          <w:p>
            <w:pPr>
              <w:spacing w:line="360" w:lineRule="auto"/>
              <w:jc w:val="center"/>
              <w:rPr>
                <w:rFonts w:ascii="宋体" w:hAnsi="宋体"/>
                <w:szCs w:val="21"/>
              </w:rPr>
            </w:pPr>
          </w:p>
        </w:tc>
        <w:tc>
          <w:tcPr>
            <w:tcW w:w="4379" w:type="dxa"/>
          </w:tcPr>
          <w:p>
            <w:pPr>
              <w:spacing w:line="360" w:lineRule="auto"/>
              <w:jc w:val="center"/>
              <w:rPr>
                <w:rFonts w:ascii="宋体" w:hAnsi="宋体"/>
                <w:szCs w:val="21"/>
              </w:rPr>
            </w:pPr>
          </w:p>
        </w:tc>
        <w:tc>
          <w:tcPr>
            <w:tcW w:w="3762"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698" w:type="dxa"/>
          </w:tcPr>
          <w:p>
            <w:pPr>
              <w:spacing w:line="360" w:lineRule="auto"/>
              <w:jc w:val="center"/>
              <w:rPr>
                <w:rFonts w:ascii="宋体" w:hAnsi="宋体"/>
                <w:szCs w:val="21"/>
              </w:rPr>
            </w:pPr>
          </w:p>
        </w:tc>
        <w:tc>
          <w:tcPr>
            <w:tcW w:w="4379" w:type="dxa"/>
          </w:tcPr>
          <w:p>
            <w:pPr>
              <w:spacing w:line="360" w:lineRule="auto"/>
              <w:jc w:val="center"/>
              <w:rPr>
                <w:rFonts w:ascii="宋体" w:hAnsi="宋体"/>
                <w:szCs w:val="21"/>
              </w:rPr>
            </w:pPr>
          </w:p>
        </w:tc>
        <w:tc>
          <w:tcPr>
            <w:tcW w:w="3762"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698" w:type="dxa"/>
          </w:tcPr>
          <w:p>
            <w:pPr>
              <w:spacing w:line="360" w:lineRule="auto"/>
              <w:jc w:val="center"/>
              <w:rPr>
                <w:rFonts w:ascii="宋体" w:hAnsi="宋体"/>
                <w:szCs w:val="21"/>
              </w:rPr>
            </w:pPr>
          </w:p>
        </w:tc>
        <w:tc>
          <w:tcPr>
            <w:tcW w:w="4379" w:type="dxa"/>
          </w:tcPr>
          <w:p>
            <w:pPr>
              <w:spacing w:line="360" w:lineRule="auto"/>
              <w:jc w:val="center"/>
              <w:rPr>
                <w:rFonts w:ascii="宋体" w:hAnsi="宋体"/>
                <w:szCs w:val="21"/>
              </w:rPr>
            </w:pPr>
          </w:p>
        </w:tc>
        <w:tc>
          <w:tcPr>
            <w:tcW w:w="3762" w:type="dxa"/>
          </w:tcPr>
          <w:p>
            <w:pPr>
              <w:spacing w:line="360" w:lineRule="auto"/>
              <w:jc w:val="center"/>
              <w:rPr>
                <w:rFonts w:ascii="宋体" w:hAnsi="宋体"/>
                <w:szCs w:val="21"/>
              </w:rPr>
            </w:pPr>
          </w:p>
        </w:tc>
      </w:tr>
    </w:tbl>
    <w:p>
      <w:pPr>
        <w:spacing w:line="360" w:lineRule="auto"/>
        <w:ind w:firstLine="482" w:firstLineChars="200"/>
        <w:rPr>
          <w:rFonts w:ascii="宋体" w:hAnsi="宋体"/>
          <w:b/>
          <w:sz w:val="24"/>
        </w:rPr>
      </w:pPr>
    </w:p>
    <w:p>
      <w:pPr>
        <w:snapToGrid w:val="0"/>
        <w:spacing w:line="360" w:lineRule="auto"/>
        <w:ind w:firstLine="420" w:firstLineChars="200"/>
        <w:rPr>
          <w:rFonts w:ascii="宋体" w:hAnsi="宋体"/>
          <w:szCs w:val="21"/>
        </w:rPr>
      </w:pPr>
      <w:r>
        <w:rPr>
          <w:rFonts w:hint="eastAsia" w:ascii="宋体" w:hAnsi="宋体" w:cs="宋体"/>
          <w:kern w:val="0"/>
          <w:szCs w:val="21"/>
        </w:rPr>
        <w:t>注：</w:t>
      </w:r>
      <w:r>
        <w:rPr>
          <w:rFonts w:hint="eastAsia" w:ascii="宋体" w:hAnsi="宋体"/>
          <w:szCs w:val="21"/>
        </w:rPr>
        <w:t>供应商</w:t>
      </w:r>
      <w:r>
        <w:rPr>
          <w:rFonts w:hint="eastAsia" w:ascii="宋体" w:hAnsi="宋体"/>
          <w:szCs w:val="21"/>
          <w:lang w:eastAsia="zh-CN"/>
        </w:rPr>
        <w:t>应</w:t>
      </w:r>
      <w:r>
        <w:rPr>
          <w:rFonts w:hint="eastAsia" w:ascii="宋体" w:hAnsi="宋体"/>
          <w:szCs w:val="21"/>
        </w:rPr>
        <w:t>根据磋商文件</w:t>
      </w:r>
      <w:r>
        <w:rPr>
          <w:rFonts w:hint="eastAsia" w:ascii="宋体" w:hAnsi="宋体"/>
          <w:szCs w:val="21"/>
          <w:lang w:eastAsia="zh-CN"/>
        </w:rPr>
        <w:t>第五章</w:t>
      </w:r>
      <w:r>
        <w:rPr>
          <w:rFonts w:hint="eastAsia" w:ascii="宋体" w:hAnsi="宋体"/>
          <w:szCs w:val="21"/>
        </w:rPr>
        <w:t>要求据实</w:t>
      </w:r>
      <w:r>
        <w:rPr>
          <w:rFonts w:hint="eastAsia" w:ascii="宋体" w:hAnsi="宋体"/>
          <w:szCs w:val="21"/>
          <w:lang w:eastAsia="zh-CN"/>
        </w:rPr>
        <w:t>逐条</w:t>
      </w:r>
      <w:r>
        <w:rPr>
          <w:rFonts w:hint="eastAsia" w:ascii="宋体" w:hAnsi="宋体"/>
          <w:szCs w:val="21"/>
        </w:rPr>
        <w:t>填写，不得虚假响应，虚假响应的，其响应文件无效并按规定追究其相关责任。</w:t>
      </w:r>
    </w:p>
    <w:p>
      <w:pPr>
        <w:widowControl/>
        <w:snapToGrid w:val="0"/>
        <w:spacing w:line="360" w:lineRule="auto"/>
        <w:ind w:firstLine="420" w:firstLineChars="200"/>
        <w:jc w:val="left"/>
        <w:rPr>
          <w:szCs w:val="21"/>
        </w:rPr>
      </w:pPr>
    </w:p>
    <w:p>
      <w:pPr>
        <w:spacing w:line="360" w:lineRule="auto"/>
        <w:ind w:firstLine="422" w:firstLineChars="200"/>
        <w:rPr>
          <w:rFonts w:ascii="宋体" w:hAnsi="宋体"/>
          <w:b/>
          <w:szCs w:val="21"/>
        </w:rPr>
      </w:pPr>
    </w:p>
    <w:p>
      <w:pPr>
        <w:adjustRightInd w:val="0"/>
        <w:spacing w:line="360" w:lineRule="auto"/>
        <w:ind w:firstLine="480" w:firstLineChars="200"/>
        <w:jc w:val="left"/>
        <w:rPr>
          <w:rFonts w:ascii="宋体" w:hAnsi="宋体"/>
          <w:sz w:val="24"/>
        </w:rPr>
      </w:pPr>
    </w:p>
    <w:p>
      <w:pPr>
        <w:adjustRightInd w:val="0"/>
        <w:snapToGrid w:val="0"/>
        <w:spacing w:line="360" w:lineRule="auto"/>
        <w:ind w:firstLine="3979" w:firstLineChars="1895"/>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（盖单位公章）</w:t>
      </w:r>
    </w:p>
    <w:p>
      <w:pPr>
        <w:adjustRightInd w:val="0"/>
        <w:snapToGrid w:val="0"/>
        <w:spacing w:line="360" w:lineRule="auto"/>
        <w:ind w:firstLine="3979" w:firstLineChars="1895"/>
        <w:jc w:val="left"/>
        <w:rPr>
          <w:rFonts w:ascii="宋体" w:hAnsi="宋体"/>
          <w:bCs/>
          <w:szCs w:val="21"/>
        </w:rPr>
      </w:pPr>
      <w:r>
        <w:rPr>
          <w:rFonts w:hint="eastAsia" w:ascii="宋体" w:hAnsi="宋体"/>
          <w:bCs/>
          <w:szCs w:val="21"/>
        </w:rPr>
        <w:t>法定代表人或授权代表</w:t>
      </w:r>
      <w:r>
        <w:rPr>
          <w:rFonts w:hint="eastAsia" w:ascii="宋体" w:hAnsi="宋体"/>
          <w:szCs w:val="21"/>
        </w:rPr>
        <w:t>（签字或加盖个人印章）</w:t>
      </w:r>
      <w:r>
        <w:rPr>
          <w:rFonts w:hint="eastAsia" w:ascii="宋体" w:hAnsi="宋体"/>
          <w:bCs/>
          <w:szCs w:val="21"/>
        </w:rPr>
        <w:t>：</w:t>
      </w:r>
      <w:r>
        <w:rPr>
          <w:rFonts w:hint="eastAsia" w:ascii="宋体" w:hAnsi="宋体"/>
          <w:szCs w:val="21"/>
          <w:u w:val="single"/>
        </w:rPr>
        <w:t xml:space="preserve">             </w:t>
      </w:r>
    </w:p>
    <w:p>
      <w:pPr>
        <w:adjustRightInd w:val="0"/>
        <w:snapToGrid w:val="0"/>
        <w:spacing w:line="360" w:lineRule="auto"/>
        <w:ind w:firstLine="3979" w:firstLineChars="1895"/>
        <w:jc w:val="left"/>
        <w:rPr>
          <w:rFonts w:ascii="宋体" w:hAnsi="宋体"/>
          <w:bCs/>
          <w:szCs w:val="21"/>
        </w:rPr>
      </w:pPr>
      <w:r>
        <w:rPr>
          <w:rFonts w:hint="eastAsia" w:ascii="宋体" w:hAnsi="宋体"/>
          <w:bCs/>
          <w:szCs w:val="21"/>
        </w:rPr>
        <w:t>日  期</w:t>
      </w:r>
      <w:r>
        <w:rPr>
          <w:rFonts w:hint="eastAsia" w:ascii="宋体" w:hAnsi="宋体"/>
          <w:szCs w:val="21"/>
        </w:rPr>
        <w:t>：</w:t>
      </w:r>
      <w:r>
        <w:rPr>
          <w:rFonts w:hint="eastAsia" w:ascii="宋体" w:hAnsi="宋体"/>
          <w:szCs w:val="21"/>
          <w:u w:val="single"/>
        </w:rPr>
        <w:t xml:space="preserve">         </w:t>
      </w:r>
      <w:r>
        <w:rPr>
          <w:rFonts w:hint="eastAsia" w:ascii="宋体" w:hAnsi="宋体"/>
          <w:bCs/>
          <w:szCs w:val="21"/>
        </w:rPr>
        <w:t>年</w:t>
      </w:r>
      <w:r>
        <w:rPr>
          <w:rFonts w:hint="eastAsia" w:ascii="宋体" w:hAnsi="宋体"/>
          <w:szCs w:val="21"/>
          <w:u w:val="single"/>
        </w:rPr>
        <w:t xml:space="preserve">        </w:t>
      </w:r>
      <w:r>
        <w:rPr>
          <w:rFonts w:hint="eastAsia" w:ascii="宋体" w:hAnsi="宋体"/>
          <w:bCs/>
          <w:szCs w:val="21"/>
        </w:rPr>
        <w:t>月</w:t>
      </w:r>
      <w:r>
        <w:rPr>
          <w:rFonts w:hint="eastAsia" w:ascii="宋体" w:hAnsi="宋体"/>
          <w:szCs w:val="21"/>
          <w:u w:val="single"/>
        </w:rPr>
        <w:t xml:space="preserve">      </w:t>
      </w:r>
      <w:r>
        <w:rPr>
          <w:rFonts w:hint="eastAsia" w:ascii="宋体" w:hAnsi="宋体"/>
          <w:bCs/>
          <w:szCs w:val="21"/>
        </w:rPr>
        <w:t>日</w:t>
      </w:r>
    </w:p>
    <w:p>
      <w:pPr>
        <w:snapToGrid w:val="0"/>
        <w:spacing w:line="360" w:lineRule="auto"/>
        <w:ind w:firstLine="3979" w:firstLineChars="1895"/>
        <w:rPr>
          <w:rFonts w:ascii="宋体" w:hAnsi="宋体"/>
          <w:szCs w:val="21"/>
        </w:rPr>
      </w:pPr>
    </w:p>
    <w:p>
      <w:pPr>
        <w:spacing w:line="360" w:lineRule="auto"/>
        <w:rPr>
          <w:rFonts w:ascii="宋体" w:hAnsi="宋体"/>
          <w:sz w:val="24"/>
        </w:rPr>
      </w:pPr>
    </w:p>
    <w:p>
      <w:pPr>
        <w:spacing w:line="360" w:lineRule="auto"/>
        <w:rPr>
          <w:rFonts w:ascii="宋体" w:hAnsi="宋体"/>
          <w:sz w:val="24"/>
        </w:rPr>
      </w:pPr>
    </w:p>
    <w:p>
      <w:pPr>
        <w:pStyle w:val="19"/>
        <w:tabs>
          <w:tab w:val="left" w:pos="0"/>
        </w:tabs>
        <w:spacing w:after="0" w:line="360" w:lineRule="auto"/>
        <w:rPr>
          <w:rFonts w:ascii="宋体" w:hAnsi="宋体"/>
          <w:sz w:val="24"/>
        </w:rPr>
      </w:pPr>
    </w:p>
    <w:p>
      <w:pPr>
        <w:pStyle w:val="19"/>
        <w:tabs>
          <w:tab w:val="left" w:pos="0"/>
        </w:tabs>
        <w:spacing w:line="360" w:lineRule="auto"/>
        <w:rPr>
          <w:rFonts w:ascii="宋体" w:hAnsi="宋体"/>
          <w:sz w:val="24"/>
        </w:rPr>
      </w:pPr>
    </w:p>
    <w:p>
      <w:pPr>
        <w:pStyle w:val="19"/>
        <w:tabs>
          <w:tab w:val="left" w:pos="0"/>
        </w:tabs>
        <w:spacing w:line="360" w:lineRule="auto"/>
        <w:rPr>
          <w:rFonts w:ascii="宋体" w:hAnsi="宋体"/>
          <w:sz w:val="24"/>
        </w:rPr>
      </w:pPr>
    </w:p>
    <w:p>
      <w:pPr>
        <w:pStyle w:val="19"/>
        <w:tabs>
          <w:tab w:val="left" w:pos="0"/>
        </w:tabs>
        <w:spacing w:line="360" w:lineRule="auto"/>
        <w:rPr>
          <w:rFonts w:ascii="宋体" w:hAnsi="宋体"/>
          <w:sz w:val="24"/>
        </w:rPr>
      </w:pPr>
    </w:p>
    <w:p>
      <w:pPr>
        <w:widowControl/>
        <w:spacing w:line="360" w:lineRule="auto"/>
        <w:jc w:val="left"/>
        <w:rPr>
          <w:rFonts w:ascii="宋体" w:hAnsi="宋体"/>
          <w:b/>
          <w:sz w:val="24"/>
        </w:rPr>
      </w:pPr>
      <w:r>
        <w:rPr>
          <w:rFonts w:ascii="宋体" w:hAnsi="宋体"/>
          <w:b/>
          <w:sz w:val="24"/>
        </w:rPr>
        <w:br w:type="page"/>
      </w:r>
    </w:p>
    <w:p>
      <w:pPr>
        <w:pStyle w:val="4"/>
      </w:pPr>
      <w:bookmarkStart w:id="721" w:name="_Toc229"/>
      <w:bookmarkStart w:id="722" w:name="_Toc11710"/>
      <w:bookmarkStart w:id="723" w:name="_Toc26573"/>
      <w:bookmarkStart w:id="724" w:name="_Toc31084"/>
      <w:bookmarkStart w:id="725" w:name="_Toc3503"/>
      <w:bookmarkStart w:id="726" w:name="_Toc25571"/>
      <w:bookmarkStart w:id="727" w:name="_Toc18164"/>
      <w:bookmarkStart w:id="728" w:name="_Toc4634"/>
      <w:r>
        <w:rPr>
          <w:rFonts w:hint="eastAsia"/>
        </w:rPr>
        <w:t>十、商务应答表</w:t>
      </w:r>
      <w:bookmarkEnd w:id="721"/>
      <w:bookmarkEnd w:id="722"/>
      <w:bookmarkEnd w:id="723"/>
      <w:bookmarkEnd w:id="724"/>
      <w:bookmarkEnd w:id="725"/>
      <w:bookmarkEnd w:id="726"/>
      <w:bookmarkEnd w:id="727"/>
      <w:bookmarkEnd w:id="728"/>
    </w:p>
    <w:tbl>
      <w:tblPr>
        <w:tblStyle w:val="33"/>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3899"/>
        <w:gridCol w:w="3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09" w:type="dxa"/>
            <w:shd w:val="clear" w:color="auto" w:fill="F1F1F1" w:themeFill="background1" w:themeFillShade="F2"/>
            <w:vAlign w:val="center"/>
          </w:tcPr>
          <w:p>
            <w:pPr>
              <w:spacing w:line="360" w:lineRule="auto"/>
              <w:jc w:val="center"/>
              <w:rPr>
                <w:rFonts w:ascii="宋体" w:hAnsi="宋体"/>
                <w:b/>
                <w:bCs/>
                <w:szCs w:val="21"/>
              </w:rPr>
            </w:pPr>
            <w:r>
              <w:rPr>
                <w:rFonts w:hint="eastAsia" w:ascii="宋体" w:hAnsi="宋体"/>
                <w:b/>
                <w:bCs/>
                <w:szCs w:val="21"/>
              </w:rPr>
              <w:t>序号</w:t>
            </w:r>
          </w:p>
        </w:tc>
        <w:tc>
          <w:tcPr>
            <w:tcW w:w="3899" w:type="dxa"/>
            <w:shd w:val="clear" w:color="auto" w:fill="F1F1F1" w:themeFill="background1" w:themeFillShade="F2"/>
            <w:vAlign w:val="center"/>
          </w:tcPr>
          <w:p>
            <w:pPr>
              <w:spacing w:line="360" w:lineRule="auto"/>
              <w:jc w:val="center"/>
              <w:rPr>
                <w:rFonts w:ascii="宋体" w:hAnsi="宋体"/>
                <w:b/>
                <w:bCs/>
                <w:szCs w:val="21"/>
              </w:rPr>
            </w:pPr>
            <w:r>
              <w:rPr>
                <w:rFonts w:hint="eastAsia" w:ascii="宋体" w:hAnsi="宋体"/>
                <w:b/>
                <w:bCs/>
                <w:szCs w:val="21"/>
              </w:rPr>
              <w:t>采购文件要求</w:t>
            </w:r>
          </w:p>
        </w:tc>
        <w:tc>
          <w:tcPr>
            <w:tcW w:w="3950" w:type="dxa"/>
            <w:shd w:val="clear" w:color="auto" w:fill="F1F1F1" w:themeFill="background1" w:themeFillShade="F2"/>
            <w:vAlign w:val="center"/>
          </w:tcPr>
          <w:p>
            <w:pPr>
              <w:spacing w:line="360" w:lineRule="auto"/>
              <w:jc w:val="center"/>
              <w:rPr>
                <w:rFonts w:ascii="宋体" w:hAnsi="宋体"/>
                <w:b/>
                <w:bCs/>
                <w:szCs w:val="21"/>
              </w:rPr>
            </w:pPr>
            <w:r>
              <w:rPr>
                <w:rFonts w:hint="eastAsia" w:ascii="宋体" w:hAnsi="宋体"/>
                <w:b/>
                <w:bCs/>
                <w:szCs w:val="21"/>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609" w:type="dxa"/>
          </w:tcPr>
          <w:p>
            <w:pPr>
              <w:spacing w:line="360" w:lineRule="auto"/>
              <w:jc w:val="center"/>
              <w:rPr>
                <w:rFonts w:ascii="宋体" w:hAnsi="宋体"/>
                <w:szCs w:val="21"/>
              </w:rPr>
            </w:pPr>
          </w:p>
        </w:tc>
        <w:tc>
          <w:tcPr>
            <w:tcW w:w="3899" w:type="dxa"/>
          </w:tcPr>
          <w:p>
            <w:pPr>
              <w:spacing w:line="360" w:lineRule="auto"/>
              <w:jc w:val="center"/>
              <w:rPr>
                <w:rFonts w:ascii="宋体" w:hAnsi="宋体"/>
                <w:szCs w:val="21"/>
              </w:rPr>
            </w:pPr>
          </w:p>
        </w:tc>
        <w:tc>
          <w:tcPr>
            <w:tcW w:w="395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609" w:type="dxa"/>
          </w:tcPr>
          <w:p>
            <w:pPr>
              <w:spacing w:line="360" w:lineRule="auto"/>
              <w:jc w:val="center"/>
              <w:rPr>
                <w:rFonts w:ascii="宋体" w:hAnsi="宋体"/>
                <w:szCs w:val="21"/>
              </w:rPr>
            </w:pPr>
          </w:p>
        </w:tc>
        <w:tc>
          <w:tcPr>
            <w:tcW w:w="3899" w:type="dxa"/>
          </w:tcPr>
          <w:p>
            <w:pPr>
              <w:spacing w:line="360" w:lineRule="auto"/>
              <w:jc w:val="center"/>
              <w:rPr>
                <w:rFonts w:ascii="宋体" w:hAnsi="宋体"/>
                <w:szCs w:val="21"/>
              </w:rPr>
            </w:pPr>
          </w:p>
        </w:tc>
        <w:tc>
          <w:tcPr>
            <w:tcW w:w="395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609" w:type="dxa"/>
          </w:tcPr>
          <w:p>
            <w:pPr>
              <w:spacing w:line="360" w:lineRule="auto"/>
              <w:jc w:val="center"/>
              <w:rPr>
                <w:rFonts w:ascii="宋体" w:hAnsi="宋体"/>
                <w:szCs w:val="21"/>
              </w:rPr>
            </w:pPr>
          </w:p>
        </w:tc>
        <w:tc>
          <w:tcPr>
            <w:tcW w:w="3899" w:type="dxa"/>
          </w:tcPr>
          <w:p>
            <w:pPr>
              <w:spacing w:line="360" w:lineRule="auto"/>
              <w:jc w:val="center"/>
              <w:rPr>
                <w:rFonts w:ascii="宋体" w:hAnsi="宋体"/>
                <w:szCs w:val="21"/>
              </w:rPr>
            </w:pPr>
          </w:p>
        </w:tc>
        <w:tc>
          <w:tcPr>
            <w:tcW w:w="395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609" w:type="dxa"/>
          </w:tcPr>
          <w:p>
            <w:pPr>
              <w:spacing w:line="360" w:lineRule="auto"/>
              <w:jc w:val="center"/>
              <w:rPr>
                <w:rFonts w:ascii="宋体" w:hAnsi="宋体"/>
                <w:szCs w:val="21"/>
              </w:rPr>
            </w:pPr>
          </w:p>
        </w:tc>
        <w:tc>
          <w:tcPr>
            <w:tcW w:w="3899" w:type="dxa"/>
          </w:tcPr>
          <w:p>
            <w:pPr>
              <w:spacing w:line="360" w:lineRule="auto"/>
              <w:jc w:val="center"/>
              <w:rPr>
                <w:rFonts w:ascii="宋体" w:hAnsi="宋体"/>
                <w:szCs w:val="21"/>
              </w:rPr>
            </w:pPr>
          </w:p>
        </w:tc>
        <w:tc>
          <w:tcPr>
            <w:tcW w:w="3950" w:type="dxa"/>
          </w:tcPr>
          <w:p>
            <w:pPr>
              <w:spacing w:line="360" w:lineRule="auto"/>
              <w:jc w:val="center"/>
              <w:rPr>
                <w:rFonts w:ascii="宋体" w:hAnsi="宋体"/>
                <w:szCs w:val="21"/>
              </w:rPr>
            </w:pPr>
          </w:p>
        </w:tc>
      </w:tr>
    </w:tbl>
    <w:p>
      <w:pPr>
        <w:spacing w:line="360" w:lineRule="auto"/>
        <w:ind w:firstLine="482" w:firstLineChars="200"/>
        <w:rPr>
          <w:rFonts w:ascii="宋体" w:hAnsi="宋体"/>
          <w:b/>
          <w:sz w:val="24"/>
        </w:rPr>
      </w:pPr>
    </w:p>
    <w:p>
      <w:pPr>
        <w:snapToGrid w:val="0"/>
        <w:spacing w:line="360" w:lineRule="auto"/>
        <w:ind w:firstLine="420" w:firstLineChars="200"/>
        <w:rPr>
          <w:rFonts w:ascii="宋体" w:hAnsi="宋体"/>
          <w:szCs w:val="21"/>
        </w:rPr>
      </w:pPr>
      <w:r>
        <w:rPr>
          <w:rFonts w:hint="eastAsia" w:ascii="宋体" w:hAnsi="宋体"/>
          <w:szCs w:val="21"/>
        </w:rPr>
        <w:t>注意：供应商</w:t>
      </w:r>
      <w:r>
        <w:rPr>
          <w:rFonts w:hint="eastAsia" w:ascii="宋体" w:hAnsi="宋体"/>
          <w:szCs w:val="21"/>
          <w:lang w:eastAsia="zh-CN"/>
        </w:rPr>
        <w:t>应</w:t>
      </w:r>
      <w:r>
        <w:rPr>
          <w:rFonts w:hint="eastAsia" w:ascii="宋体" w:hAnsi="宋体"/>
          <w:szCs w:val="21"/>
        </w:rPr>
        <w:t>根据磋商文件</w:t>
      </w:r>
      <w:r>
        <w:rPr>
          <w:rFonts w:hint="eastAsia" w:ascii="宋体" w:hAnsi="宋体"/>
          <w:szCs w:val="21"/>
          <w:lang w:eastAsia="zh-CN"/>
        </w:rPr>
        <w:t>第五章</w:t>
      </w:r>
      <w:r>
        <w:rPr>
          <w:rFonts w:hint="eastAsia" w:ascii="宋体" w:hAnsi="宋体"/>
          <w:szCs w:val="21"/>
        </w:rPr>
        <w:t>要求据实</w:t>
      </w:r>
      <w:r>
        <w:rPr>
          <w:rFonts w:hint="eastAsia" w:ascii="宋体" w:hAnsi="宋体"/>
          <w:szCs w:val="21"/>
          <w:lang w:eastAsia="zh-CN"/>
        </w:rPr>
        <w:t>逐条</w:t>
      </w:r>
      <w:r>
        <w:rPr>
          <w:rFonts w:hint="eastAsia" w:ascii="宋体" w:hAnsi="宋体"/>
          <w:szCs w:val="21"/>
        </w:rPr>
        <w:t>填写，不得虚假响应，虚假响应的，其响应文件无效并按规定追究其相关责任。</w:t>
      </w:r>
    </w:p>
    <w:p>
      <w:pPr>
        <w:adjustRightInd w:val="0"/>
        <w:snapToGrid w:val="0"/>
        <w:spacing w:line="360" w:lineRule="auto"/>
        <w:ind w:firstLine="420" w:firstLineChars="200"/>
        <w:jc w:val="left"/>
        <w:rPr>
          <w:rFonts w:ascii="宋体" w:hAnsi="宋体"/>
          <w:szCs w:val="21"/>
        </w:rPr>
      </w:pPr>
    </w:p>
    <w:p>
      <w:pPr>
        <w:adjustRightInd w:val="0"/>
        <w:snapToGrid w:val="0"/>
        <w:spacing w:line="360" w:lineRule="auto"/>
        <w:ind w:firstLine="3780" w:firstLineChars="1800"/>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（盖单位公章）</w:t>
      </w:r>
    </w:p>
    <w:p>
      <w:pPr>
        <w:adjustRightInd w:val="0"/>
        <w:snapToGrid w:val="0"/>
        <w:spacing w:line="360" w:lineRule="auto"/>
        <w:ind w:firstLine="3780" w:firstLineChars="1800"/>
        <w:jc w:val="left"/>
        <w:rPr>
          <w:rFonts w:ascii="宋体" w:hAnsi="宋体"/>
          <w:bCs/>
          <w:szCs w:val="21"/>
        </w:rPr>
      </w:pPr>
      <w:r>
        <w:rPr>
          <w:rFonts w:hint="eastAsia" w:ascii="宋体" w:hAnsi="宋体"/>
          <w:bCs/>
          <w:szCs w:val="21"/>
        </w:rPr>
        <w:t>法定代表人或授权代表</w:t>
      </w:r>
      <w:r>
        <w:rPr>
          <w:rFonts w:hint="eastAsia" w:ascii="宋体" w:hAnsi="宋体"/>
          <w:szCs w:val="21"/>
        </w:rPr>
        <w:t>（签字或加盖个人印章）</w:t>
      </w:r>
      <w:r>
        <w:rPr>
          <w:rFonts w:hint="eastAsia" w:ascii="宋体" w:hAnsi="宋体"/>
          <w:bCs/>
          <w:szCs w:val="21"/>
        </w:rPr>
        <w:t>：</w:t>
      </w:r>
      <w:r>
        <w:rPr>
          <w:rFonts w:hint="eastAsia" w:ascii="宋体" w:hAnsi="宋体"/>
          <w:szCs w:val="21"/>
          <w:u w:val="single"/>
        </w:rPr>
        <w:t xml:space="preserve">             </w:t>
      </w:r>
    </w:p>
    <w:p>
      <w:pPr>
        <w:adjustRightInd w:val="0"/>
        <w:snapToGrid w:val="0"/>
        <w:spacing w:line="360" w:lineRule="auto"/>
        <w:ind w:firstLine="3780" w:firstLineChars="1800"/>
        <w:jc w:val="left"/>
        <w:rPr>
          <w:rFonts w:ascii="宋体" w:hAnsi="宋体"/>
          <w:bCs/>
          <w:szCs w:val="21"/>
        </w:rPr>
      </w:pPr>
      <w:r>
        <w:rPr>
          <w:rFonts w:hint="eastAsia" w:ascii="宋体" w:hAnsi="宋体"/>
          <w:bCs/>
          <w:szCs w:val="21"/>
        </w:rPr>
        <w:t>日    期：</w:t>
      </w:r>
      <w:r>
        <w:rPr>
          <w:rFonts w:hint="eastAsia" w:ascii="宋体" w:hAnsi="宋体"/>
          <w:szCs w:val="21"/>
          <w:u w:val="single"/>
        </w:rPr>
        <w:t xml:space="preserve">        </w:t>
      </w:r>
      <w:r>
        <w:rPr>
          <w:rFonts w:hint="eastAsia" w:ascii="宋体" w:hAnsi="宋体"/>
          <w:bCs/>
          <w:szCs w:val="21"/>
        </w:rPr>
        <w:t>年</w:t>
      </w:r>
      <w:r>
        <w:rPr>
          <w:rFonts w:hint="eastAsia" w:ascii="宋体" w:hAnsi="宋体"/>
          <w:szCs w:val="21"/>
          <w:u w:val="single"/>
        </w:rPr>
        <w:t xml:space="preserve">       </w:t>
      </w:r>
      <w:r>
        <w:rPr>
          <w:rFonts w:hint="eastAsia" w:ascii="宋体" w:hAnsi="宋体"/>
          <w:bCs/>
          <w:szCs w:val="21"/>
        </w:rPr>
        <w:t>月</w:t>
      </w:r>
      <w:r>
        <w:rPr>
          <w:rFonts w:hint="eastAsia" w:ascii="宋体" w:hAnsi="宋体"/>
          <w:szCs w:val="21"/>
          <w:u w:val="single"/>
        </w:rPr>
        <w:t xml:space="preserve">       </w:t>
      </w:r>
      <w:r>
        <w:rPr>
          <w:rFonts w:hint="eastAsia" w:ascii="宋体" w:hAnsi="宋体"/>
          <w:bCs/>
          <w:szCs w:val="21"/>
        </w:rPr>
        <w:t>日</w:t>
      </w:r>
    </w:p>
    <w:p>
      <w:pPr>
        <w:snapToGrid w:val="0"/>
        <w:spacing w:line="360" w:lineRule="auto"/>
        <w:rPr>
          <w:szCs w:val="21"/>
        </w:rPr>
      </w:pPr>
    </w:p>
    <w:p/>
    <w:p/>
    <w:p/>
    <w:p/>
    <w:p/>
    <w:p/>
    <w:p/>
    <w:p/>
    <w:p/>
    <w:p>
      <w:pPr>
        <w:rPr>
          <w:rFonts w:ascii="宋体" w:hAnsi="宋体"/>
          <w:b/>
          <w:sz w:val="24"/>
        </w:rPr>
      </w:pPr>
      <w:bookmarkStart w:id="729" w:name="_Toc12124_WPSOffice_Level3"/>
      <w:bookmarkStart w:id="730" w:name="_Toc5005083"/>
      <w:bookmarkStart w:id="731" w:name="_Toc4659779"/>
      <w:bookmarkStart w:id="732" w:name="_Toc4578904"/>
      <w:r>
        <w:rPr>
          <w:rFonts w:hint="eastAsia" w:ascii="宋体" w:hAnsi="宋体"/>
          <w:b/>
          <w:sz w:val="24"/>
        </w:rPr>
        <w:br w:type="page"/>
      </w:r>
    </w:p>
    <w:bookmarkEnd w:id="729"/>
    <w:bookmarkEnd w:id="730"/>
    <w:bookmarkEnd w:id="731"/>
    <w:bookmarkEnd w:id="732"/>
    <w:p>
      <w:pPr>
        <w:pStyle w:val="4"/>
      </w:pPr>
      <w:bookmarkStart w:id="733" w:name="_Toc22598"/>
      <w:bookmarkStart w:id="734" w:name="_Toc29153"/>
      <w:bookmarkStart w:id="735" w:name="_Toc30361"/>
      <w:bookmarkStart w:id="736" w:name="_Toc18858"/>
      <w:bookmarkStart w:id="737" w:name="_Toc30319"/>
      <w:bookmarkStart w:id="738" w:name="_Toc30465"/>
      <w:bookmarkStart w:id="739" w:name="_Toc23435"/>
      <w:bookmarkStart w:id="740" w:name="_Toc4754"/>
      <w:r>
        <w:rPr>
          <w:rFonts w:hint="eastAsia"/>
        </w:rPr>
        <w:t>十一、供应商类似项目业绩一览表</w:t>
      </w:r>
      <w:bookmarkEnd w:id="733"/>
      <w:bookmarkEnd w:id="734"/>
      <w:bookmarkEnd w:id="735"/>
      <w:bookmarkEnd w:id="736"/>
      <w:bookmarkEnd w:id="737"/>
      <w:bookmarkEnd w:id="738"/>
      <w:bookmarkEnd w:id="739"/>
      <w:bookmarkEnd w:id="740"/>
    </w:p>
    <w:tbl>
      <w:tblPr>
        <w:tblStyle w:val="33"/>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500"/>
        <w:gridCol w:w="3081"/>
        <w:gridCol w:w="235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1" w:type="dxa"/>
            <w:shd w:val="clear" w:color="auto" w:fill="F1F1F1" w:themeFill="background1" w:themeFillShade="F2"/>
            <w:vAlign w:val="center"/>
          </w:tcPr>
          <w:p>
            <w:pPr>
              <w:spacing w:line="360" w:lineRule="auto"/>
              <w:jc w:val="center"/>
              <w:rPr>
                <w:rFonts w:ascii="宋体" w:hAnsi="宋体" w:cs="宋体"/>
                <w:b/>
                <w:bCs/>
                <w:szCs w:val="21"/>
              </w:rPr>
            </w:pPr>
            <w:bookmarkStart w:id="741" w:name="_Toc5005084"/>
            <w:bookmarkStart w:id="742" w:name="_Toc4659780"/>
            <w:bookmarkStart w:id="743" w:name="_Toc4578905"/>
            <w:r>
              <w:rPr>
                <w:rFonts w:hint="eastAsia" w:ascii="宋体" w:hAnsi="宋体" w:cs="宋体"/>
                <w:b/>
                <w:bCs/>
                <w:szCs w:val="21"/>
              </w:rPr>
              <w:t>序号</w:t>
            </w:r>
          </w:p>
        </w:tc>
        <w:tc>
          <w:tcPr>
            <w:tcW w:w="2500" w:type="dxa"/>
            <w:shd w:val="clear" w:color="auto" w:fill="F1F1F1" w:themeFill="background1" w:themeFillShade="F2"/>
            <w:vAlign w:val="center"/>
          </w:tcPr>
          <w:p>
            <w:pPr>
              <w:spacing w:line="360" w:lineRule="auto"/>
              <w:jc w:val="center"/>
              <w:rPr>
                <w:rFonts w:ascii="宋体" w:hAnsi="宋体" w:cs="宋体"/>
                <w:b/>
                <w:bCs/>
                <w:szCs w:val="21"/>
              </w:rPr>
            </w:pPr>
            <w:r>
              <w:rPr>
                <w:rFonts w:hint="eastAsia" w:ascii="宋体" w:hAnsi="宋体" w:cs="宋体"/>
                <w:b/>
                <w:bCs/>
                <w:szCs w:val="21"/>
              </w:rPr>
              <w:t>项目业主</w:t>
            </w:r>
          </w:p>
        </w:tc>
        <w:tc>
          <w:tcPr>
            <w:tcW w:w="3081" w:type="dxa"/>
            <w:shd w:val="clear" w:color="auto" w:fill="F1F1F1" w:themeFill="background1" w:themeFillShade="F2"/>
            <w:vAlign w:val="center"/>
          </w:tcPr>
          <w:p>
            <w:pPr>
              <w:spacing w:line="360" w:lineRule="auto"/>
              <w:jc w:val="center"/>
              <w:rPr>
                <w:rFonts w:ascii="宋体" w:hAnsi="宋体" w:cs="宋体"/>
                <w:b/>
                <w:bCs/>
                <w:szCs w:val="21"/>
              </w:rPr>
            </w:pPr>
            <w:r>
              <w:rPr>
                <w:rFonts w:hint="eastAsia" w:ascii="宋体" w:hAnsi="宋体" w:cs="宋体"/>
                <w:b/>
                <w:bCs/>
                <w:szCs w:val="21"/>
              </w:rPr>
              <w:t>项目名称</w:t>
            </w:r>
          </w:p>
        </w:tc>
        <w:tc>
          <w:tcPr>
            <w:tcW w:w="2352" w:type="dxa"/>
            <w:shd w:val="clear" w:color="auto" w:fill="F1F1F1" w:themeFill="background1" w:themeFillShade="F2"/>
            <w:vAlign w:val="center"/>
          </w:tcPr>
          <w:p>
            <w:pPr>
              <w:spacing w:line="360" w:lineRule="auto"/>
              <w:jc w:val="center"/>
              <w:rPr>
                <w:rFonts w:ascii="宋体" w:hAnsi="宋体" w:cs="宋体"/>
                <w:b/>
                <w:bCs/>
                <w:szCs w:val="21"/>
              </w:rPr>
            </w:pPr>
            <w:r>
              <w:rPr>
                <w:rFonts w:hint="eastAsia" w:ascii="宋体" w:hAnsi="宋体" w:cs="宋体"/>
                <w:b/>
                <w:bCs/>
                <w:szCs w:val="21"/>
              </w:rPr>
              <w:t>合同价格</w:t>
            </w:r>
          </w:p>
        </w:tc>
        <w:tc>
          <w:tcPr>
            <w:tcW w:w="1015" w:type="dxa"/>
            <w:shd w:val="clear" w:color="auto" w:fill="F1F1F1" w:themeFill="background1" w:themeFillShade="F2"/>
            <w:vAlign w:val="center"/>
          </w:tcPr>
          <w:p>
            <w:pPr>
              <w:spacing w:line="360" w:lineRule="auto"/>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1" w:type="dxa"/>
            <w:vAlign w:val="center"/>
          </w:tcPr>
          <w:p>
            <w:pPr>
              <w:tabs>
                <w:tab w:val="left" w:pos="7513"/>
              </w:tabs>
              <w:spacing w:line="360" w:lineRule="auto"/>
              <w:jc w:val="center"/>
              <w:rPr>
                <w:rFonts w:ascii="宋体" w:hAnsi="宋体" w:cs="宋体"/>
                <w:szCs w:val="21"/>
              </w:rPr>
            </w:pPr>
          </w:p>
        </w:tc>
        <w:tc>
          <w:tcPr>
            <w:tcW w:w="2500" w:type="dxa"/>
            <w:vAlign w:val="center"/>
          </w:tcPr>
          <w:p>
            <w:pPr>
              <w:tabs>
                <w:tab w:val="left" w:pos="7513"/>
              </w:tabs>
              <w:spacing w:line="360" w:lineRule="auto"/>
              <w:jc w:val="center"/>
              <w:rPr>
                <w:rFonts w:ascii="宋体" w:hAnsi="宋体" w:cs="宋体"/>
                <w:szCs w:val="21"/>
              </w:rPr>
            </w:pPr>
          </w:p>
        </w:tc>
        <w:tc>
          <w:tcPr>
            <w:tcW w:w="3081" w:type="dxa"/>
            <w:vAlign w:val="center"/>
          </w:tcPr>
          <w:p>
            <w:pPr>
              <w:tabs>
                <w:tab w:val="left" w:pos="7513"/>
              </w:tabs>
              <w:spacing w:line="360" w:lineRule="auto"/>
              <w:jc w:val="center"/>
              <w:rPr>
                <w:rFonts w:ascii="宋体" w:hAnsi="宋体" w:cs="宋体"/>
                <w:szCs w:val="21"/>
              </w:rPr>
            </w:pPr>
          </w:p>
        </w:tc>
        <w:tc>
          <w:tcPr>
            <w:tcW w:w="2352" w:type="dxa"/>
          </w:tcPr>
          <w:p>
            <w:pPr>
              <w:tabs>
                <w:tab w:val="left" w:pos="7513"/>
              </w:tabs>
              <w:spacing w:line="360" w:lineRule="auto"/>
              <w:jc w:val="center"/>
              <w:rPr>
                <w:rFonts w:ascii="宋体" w:hAnsi="宋体" w:cs="宋体"/>
                <w:szCs w:val="21"/>
              </w:rPr>
            </w:pPr>
          </w:p>
        </w:tc>
        <w:tc>
          <w:tcPr>
            <w:tcW w:w="1015" w:type="dxa"/>
            <w:vAlign w:val="center"/>
          </w:tcPr>
          <w:p>
            <w:pPr>
              <w:tabs>
                <w:tab w:val="left" w:pos="7513"/>
              </w:tabs>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1" w:type="dxa"/>
            <w:vAlign w:val="center"/>
          </w:tcPr>
          <w:p>
            <w:pPr>
              <w:tabs>
                <w:tab w:val="left" w:pos="7513"/>
              </w:tabs>
              <w:spacing w:line="360" w:lineRule="auto"/>
              <w:jc w:val="center"/>
              <w:rPr>
                <w:rFonts w:ascii="宋体" w:hAnsi="宋体" w:cs="宋体"/>
                <w:szCs w:val="21"/>
              </w:rPr>
            </w:pPr>
          </w:p>
        </w:tc>
        <w:tc>
          <w:tcPr>
            <w:tcW w:w="2500" w:type="dxa"/>
            <w:vAlign w:val="center"/>
          </w:tcPr>
          <w:p>
            <w:pPr>
              <w:tabs>
                <w:tab w:val="left" w:pos="7513"/>
              </w:tabs>
              <w:spacing w:line="360" w:lineRule="auto"/>
              <w:jc w:val="center"/>
              <w:rPr>
                <w:rFonts w:ascii="宋体" w:hAnsi="宋体" w:cs="宋体"/>
                <w:szCs w:val="21"/>
              </w:rPr>
            </w:pPr>
          </w:p>
        </w:tc>
        <w:tc>
          <w:tcPr>
            <w:tcW w:w="3081" w:type="dxa"/>
            <w:vAlign w:val="center"/>
          </w:tcPr>
          <w:p>
            <w:pPr>
              <w:tabs>
                <w:tab w:val="left" w:pos="7513"/>
              </w:tabs>
              <w:spacing w:line="360" w:lineRule="auto"/>
              <w:jc w:val="center"/>
              <w:rPr>
                <w:rFonts w:ascii="宋体" w:hAnsi="宋体" w:cs="宋体"/>
                <w:szCs w:val="21"/>
              </w:rPr>
            </w:pPr>
          </w:p>
        </w:tc>
        <w:tc>
          <w:tcPr>
            <w:tcW w:w="2352" w:type="dxa"/>
          </w:tcPr>
          <w:p>
            <w:pPr>
              <w:tabs>
                <w:tab w:val="left" w:pos="7513"/>
              </w:tabs>
              <w:spacing w:line="360" w:lineRule="auto"/>
              <w:jc w:val="center"/>
              <w:rPr>
                <w:rFonts w:ascii="宋体" w:hAnsi="宋体" w:cs="宋体"/>
                <w:szCs w:val="21"/>
              </w:rPr>
            </w:pPr>
          </w:p>
        </w:tc>
        <w:tc>
          <w:tcPr>
            <w:tcW w:w="1015" w:type="dxa"/>
            <w:vAlign w:val="center"/>
          </w:tcPr>
          <w:p>
            <w:pPr>
              <w:tabs>
                <w:tab w:val="left" w:pos="7513"/>
              </w:tabs>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1" w:type="dxa"/>
            <w:vAlign w:val="center"/>
          </w:tcPr>
          <w:p>
            <w:pPr>
              <w:tabs>
                <w:tab w:val="left" w:pos="7513"/>
              </w:tabs>
              <w:spacing w:line="360" w:lineRule="auto"/>
              <w:jc w:val="center"/>
              <w:rPr>
                <w:rFonts w:ascii="宋体" w:hAnsi="宋体" w:cs="宋体"/>
                <w:szCs w:val="21"/>
              </w:rPr>
            </w:pPr>
          </w:p>
        </w:tc>
        <w:tc>
          <w:tcPr>
            <w:tcW w:w="2500" w:type="dxa"/>
            <w:vAlign w:val="center"/>
          </w:tcPr>
          <w:p>
            <w:pPr>
              <w:tabs>
                <w:tab w:val="left" w:pos="7513"/>
              </w:tabs>
              <w:spacing w:line="360" w:lineRule="auto"/>
              <w:jc w:val="center"/>
              <w:rPr>
                <w:rFonts w:ascii="宋体" w:hAnsi="宋体" w:cs="宋体"/>
                <w:szCs w:val="21"/>
              </w:rPr>
            </w:pPr>
          </w:p>
        </w:tc>
        <w:tc>
          <w:tcPr>
            <w:tcW w:w="3081" w:type="dxa"/>
            <w:vAlign w:val="center"/>
          </w:tcPr>
          <w:p>
            <w:pPr>
              <w:tabs>
                <w:tab w:val="left" w:pos="7513"/>
              </w:tabs>
              <w:spacing w:line="360" w:lineRule="auto"/>
              <w:jc w:val="center"/>
              <w:rPr>
                <w:rFonts w:ascii="宋体" w:hAnsi="宋体" w:cs="宋体"/>
                <w:szCs w:val="21"/>
              </w:rPr>
            </w:pPr>
          </w:p>
        </w:tc>
        <w:tc>
          <w:tcPr>
            <w:tcW w:w="2352" w:type="dxa"/>
          </w:tcPr>
          <w:p>
            <w:pPr>
              <w:tabs>
                <w:tab w:val="left" w:pos="7513"/>
              </w:tabs>
              <w:spacing w:line="360" w:lineRule="auto"/>
              <w:jc w:val="center"/>
              <w:rPr>
                <w:rFonts w:ascii="宋体" w:hAnsi="宋体" w:cs="宋体"/>
                <w:szCs w:val="21"/>
              </w:rPr>
            </w:pPr>
          </w:p>
        </w:tc>
        <w:tc>
          <w:tcPr>
            <w:tcW w:w="1015" w:type="dxa"/>
            <w:vAlign w:val="center"/>
          </w:tcPr>
          <w:p>
            <w:pPr>
              <w:tabs>
                <w:tab w:val="left" w:pos="7513"/>
              </w:tabs>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1" w:type="dxa"/>
            <w:vAlign w:val="center"/>
          </w:tcPr>
          <w:p>
            <w:pPr>
              <w:tabs>
                <w:tab w:val="left" w:pos="7513"/>
              </w:tabs>
              <w:spacing w:line="360" w:lineRule="auto"/>
              <w:jc w:val="center"/>
              <w:rPr>
                <w:rFonts w:ascii="宋体" w:hAnsi="宋体" w:cs="宋体"/>
                <w:szCs w:val="21"/>
              </w:rPr>
            </w:pPr>
          </w:p>
        </w:tc>
        <w:tc>
          <w:tcPr>
            <w:tcW w:w="2500" w:type="dxa"/>
            <w:vAlign w:val="center"/>
          </w:tcPr>
          <w:p>
            <w:pPr>
              <w:tabs>
                <w:tab w:val="left" w:pos="7513"/>
              </w:tabs>
              <w:spacing w:line="360" w:lineRule="auto"/>
              <w:jc w:val="center"/>
              <w:rPr>
                <w:rFonts w:ascii="宋体" w:hAnsi="宋体" w:cs="宋体"/>
                <w:szCs w:val="21"/>
              </w:rPr>
            </w:pPr>
          </w:p>
        </w:tc>
        <w:tc>
          <w:tcPr>
            <w:tcW w:w="3081" w:type="dxa"/>
            <w:vAlign w:val="center"/>
          </w:tcPr>
          <w:p>
            <w:pPr>
              <w:tabs>
                <w:tab w:val="left" w:pos="7513"/>
              </w:tabs>
              <w:spacing w:line="360" w:lineRule="auto"/>
              <w:jc w:val="center"/>
              <w:rPr>
                <w:rFonts w:ascii="宋体" w:hAnsi="宋体" w:cs="宋体"/>
                <w:szCs w:val="21"/>
              </w:rPr>
            </w:pPr>
          </w:p>
        </w:tc>
        <w:tc>
          <w:tcPr>
            <w:tcW w:w="2352" w:type="dxa"/>
          </w:tcPr>
          <w:p>
            <w:pPr>
              <w:tabs>
                <w:tab w:val="left" w:pos="7513"/>
              </w:tabs>
              <w:spacing w:line="360" w:lineRule="auto"/>
              <w:jc w:val="center"/>
              <w:rPr>
                <w:rFonts w:ascii="宋体" w:hAnsi="宋体" w:cs="宋体"/>
                <w:szCs w:val="21"/>
              </w:rPr>
            </w:pPr>
          </w:p>
        </w:tc>
        <w:tc>
          <w:tcPr>
            <w:tcW w:w="1015" w:type="dxa"/>
            <w:vAlign w:val="center"/>
          </w:tcPr>
          <w:p>
            <w:pPr>
              <w:tabs>
                <w:tab w:val="left" w:pos="7513"/>
              </w:tabs>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51" w:type="dxa"/>
            <w:vAlign w:val="center"/>
          </w:tcPr>
          <w:p>
            <w:pPr>
              <w:tabs>
                <w:tab w:val="left" w:pos="7513"/>
              </w:tabs>
              <w:spacing w:line="360" w:lineRule="auto"/>
              <w:jc w:val="center"/>
              <w:rPr>
                <w:rFonts w:ascii="宋体" w:hAnsi="宋体" w:cs="宋体"/>
                <w:szCs w:val="21"/>
              </w:rPr>
            </w:pPr>
          </w:p>
        </w:tc>
        <w:tc>
          <w:tcPr>
            <w:tcW w:w="2500" w:type="dxa"/>
            <w:vAlign w:val="center"/>
          </w:tcPr>
          <w:p>
            <w:pPr>
              <w:tabs>
                <w:tab w:val="left" w:pos="7513"/>
              </w:tabs>
              <w:spacing w:line="360" w:lineRule="auto"/>
              <w:jc w:val="center"/>
              <w:rPr>
                <w:rFonts w:ascii="宋体" w:hAnsi="宋体" w:cs="宋体"/>
                <w:szCs w:val="21"/>
              </w:rPr>
            </w:pPr>
          </w:p>
        </w:tc>
        <w:tc>
          <w:tcPr>
            <w:tcW w:w="3081" w:type="dxa"/>
            <w:vAlign w:val="center"/>
          </w:tcPr>
          <w:p>
            <w:pPr>
              <w:tabs>
                <w:tab w:val="left" w:pos="7513"/>
              </w:tabs>
              <w:spacing w:line="360" w:lineRule="auto"/>
              <w:jc w:val="center"/>
              <w:rPr>
                <w:rFonts w:ascii="宋体" w:hAnsi="宋体" w:cs="宋体"/>
                <w:szCs w:val="21"/>
              </w:rPr>
            </w:pPr>
          </w:p>
        </w:tc>
        <w:tc>
          <w:tcPr>
            <w:tcW w:w="2352" w:type="dxa"/>
          </w:tcPr>
          <w:p>
            <w:pPr>
              <w:tabs>
                <w:tab w:val="left" w:pos="7513"/>
              </w:tabs>
              <w:spacing w:line="360" w:lineRule="auto"/>
              <w:jc w:val="center"/>
              <w:rPr>
                <w:rFonts w:ascii="宋体" w:hAnsi="宋体" w:cs="宋体"/>
                <w:szCs w:val="21"/>
              </w:rPr>
            </w:pPr>
          </w:p>
        </w:tc>
        <w:tc>
          <w:tcPr>
            <w:tcW w:w="1015" w:type="dxa"/>
            <w:vAlign w:val="center"/>
          </w:tcPr>
          <w:p>
            <w:pPr>
              <w:tabs>
                <w:tab w:val="left" w:pos="7513"/>
              </w:tabs>
              <w:spacing w:line="360" w:lineRule="auto"/>
              <w:jc w:val="center"/>
              <w:rPr>
                <w:rFonts w:ascii="宋体" w:hAnsi="宋体" w:cs="宋体"/>
                <w:szCs w:val="21"/>
              </w:rPr>
            </w:pPr>
          </w:p>
        </w:tc>
      </w:tr>
    </w:tbl>
    <w:p>
      <w:pPr>
        <w:spacing w:line="360" w:lineRule="auto"/>
        <w:ind w:firstLine="420" w:firstLineChars="200"/>
        <w:rPr>
          <w:rFonts w:ascii="宋体" w:hAnsi="宋体" w:cs="宋体"/>
          <w:szCs w:val="21"/>
        </w:rPr>
      </w:pPr>
      <w:r>
        <w:rPr>
          <w:rFonts w:hint="eastAsia" w:ascii="宋体" w:hAnsi="宋体" w:cs="宋体"/>
          <w:szCs w:val="21"/>
        </w:rPr>
        <w:t>注：提合同复印件并加盖单位鲜章。</w:t>
      </w:r>
    </w:p>
    <w:bookmarkEnd w:id="741"/>
    <w:bookmarkEnd w:id="742"/>
    <w:bookmarkEnd w:id="743"/>
    <w:p>
      <w:pPr>
        <w:tabs>
          <w:tab w:val="left" w:pos="555"/>
          <w:tab w:val="left" w:pos="2214"/>
          <w:tab w:val="left" w:pos="3774"/>
          <w:tab w:val="left" w:pos="4854"/>
          <w:tab w:val="left" w:pos="5934"/>
          <w:tab w:val="left" w:pos="7014"/>
          <w:tab w:val="left" w:pos="8214"/>
          <w:tab w:val="left" w:pos="10134"/>
          <w:tab w:val="left" w:pos="11124"/>
        </w:tabs>
        <w:spacing w:line="360" w:lineRule="auto"/>
        <w:ind w:firstLine="420" w:firstLineChars="200"/>
        <w:rPr>
          <w:rFonts w:ascii="宋体" w:hAnsi="宋体" w:cs="宋体"/>
          <w:szCs w:val="21"/>
        </w:rPr>
      </w:pPr>
    </w:p>
    <w:p>
      <w:pPr>
        <w:spacing w:line="360" w:lineRule="auto"/>
        <w:ind w:left="360"/>
        <w:jc w:val="center"/>
        <w:rPr>
          <w:rFonts w:ascii="宋体" w:hAnsi="宋体" w:cs="Arial"/>
          <w:szCs w:val="21"/>
        </w:rPr>
      </w:pPr>
    </w:p>
    <w:p>
      <w:pPr>
        <w:spacing w:line="360" w:lineRule="auto"/>
        <w:jc w:val="left"/>
        <w:rPr>
          <w:rFonts w:ascii="宋体" w:hAnsi="宋体" w:cs="Arial"/>
          <w:szCs w:val="21"/>
        </w:rPr>
      </w:pPr>
    </w:p>
    <w:p>
      <w:pPr>
        <w:spacing w:line="360" w:lineRule="auto"/>
        <w:ind w:firstLine="4200" w:firstLineChars="2000"/>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（盖单位公章）</w:t>
      </w:r>
    </w:p>
    <w:p>
      <w:pPr>
        <w:spacing w:line="360" w:lineRule="auto"/>
        <w:ind w:firstLine="4200" w:firstLineChars="2000"/>
        <w:jc w:val="left"/>
        <w:rPr>
          <w:rFonts w:ascii="宋体" w:hAnsi="宋体"/>
          <w:szCs w:val="21"/>
        </w:rPr>
      </w:pPr>
      <w:r>
        <w:rPr>
          <w:rFonts w:hint="eastAsia" w:ascii="宋体" w:hAnsi="宋体"/>
          <w:szCs w:val="21"/>
        </w:rPr>
        <w:t>法定代表人或授权代表（签字或加盖个人印章）：</w:t>
      </w:r>
      <w:r>
        <w:rPr>
          <w:rFonts w:hint="eastAsia" w:ascii="宋体" w:hAnsi="宋体"/>
          <w:szCs w:val="21"/>
          <w:u w:val="single"/>
        </w:rPr>
        <w:t xml:space="preserve">             </w:t>
      </w:r>
    </w:p>
    <w:p>
      <w:pPr>
        <w:spacing w:line="360" w:lineRule="auto"/>
        <w:ind w:firstLine="4200" w:firstLineChars="2000"/>
        <w:jc w:val="left"/>
        <w:rPr>
          <w:rFonts w:ascii="宋体" w:hAnsi="宋体"/>
          <w:szCs w:val="21"/>
        </w:rPr>
      </w:pPr>
      <w:r>
        <w:rPr>
          <w:rFonts w:hint="eastAsia" w:ascii="宋体" w:hAnsi="宋体"/>
          <w:szCs w:val="21"/>
        </w:rPr>
        <w:t>日  期:</w:t>
      </w:r>
      <w:r>
        <w:rPr>
          <w:rFonts w:hint="eastAsia" w:ascii="宋体" w:hAnsi="宋体"/>
          <w:szCs w:val="21"/>
          <w:u w:val="single"/>
        </w:rPr>
        <w:t xml:space="preserve">             </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rPr>
          <w:rFonts w:ascii="宋体" w:hAnsi="宋体"/>
          <w:sz w:val="24"/>
        </w:rPr>
      </w:pPr>
      <w:r>
        <w:rPr>
          <w:rFonts w:hint="eastAsia" w:ascii="宋体" w:hAnsi="宋体"/>
          <w:sz w:val="24"/>
        </w:rPr>
        <w:br w:type="page"/>
      </w:r>
    </w:p>
    <w:p>
      <w:pPr>
        <w:pStyle w:val="4"/>
      </w:pPr>
      <w:bookmarkStart w:id="744" w:name="_Toc2051"/>
      <w:bookmarkStart w:id="745" w:name="_Toc9588"/>
      <w:bookmarkStart w:id="746" w:name="_Toc32364"/>
      <w:bookmarkStart w:id="747" w:name="_Toc7313"/>
      <w:bookmarkStart w:id="748" w:name="_Toc19693"/>
      <w:bookmarkStart w:id="749" w:name="_Toc23085"/>
      <w:bookmarkStart w:id="750" w:name="_Toc27785"/>
      <w:bookmarkStart w:id="751" w:name="_Toc4672"/>
      <w:r>
        <w:rPr>
          <w:rFonts w:hint="eastAsia"/>
        </w:rPr>
        <w:t>十二、供应商本项目管理、技术、服务人员情况表</w:t>
      </w:r>
      <w:bookmarkEnd w:id="744"/>
      <w:bookmarkEnd w:id="745"/>
      <w:bookmarkEnd w:id="746"/>
      <w:bookmarkEnd w:id="747"/>
      <w:bookmarkEnd w:id="748"/>
      <w:bookmarkEnd w:id="749"/>
      <w:bookmarkEnd w:id="750"/>
      <w:bookmarkEnd w:id="751"/>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096"/>
        <w:gridCol w:w="1094"/>
        <w:gridCol w:w="1096"/>
        <w:gridCol w:w="1096"/>
        <w:gridCol w:w="1096"/>
        <w:gridCol w:w="1096"/>
        <w:gridCol w:w="109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restart"/>
            <w:shd w:val="clear" w:color="auto" w:fill="F1F1F1" w:themeFill="background1" w:themeFillShade="F2"/>
            <w:vAlign w:val="center"/>
          </w:tcPr>
          <w:p>
            <w:pPr>
              <w:spacing w:line="360" w:lineRule="auto"/>
              <w:jc w:val="center"/>
              <w:rPr>
                <w:szCs w:val="21"/>
              </w:rPr>
            </w:pPr>
            <w:r>
              <w:rPr>
                <w:rFonts w:hint="eastAsia"/>
                <w:szCs w:val="21"/>
              </w:rPr>
              <w:t>类别</w:t>
            </w:r>
          </w:p>
        </w:tc>
        <w:tc>
          <w:tcPr>
            <w:tcW w:w="556" w:type="pct"/>
            <w:vMerge w:val="restart"/>
            <w:shd w:val="clear" w:color="auto" w:fill="F1F1F1" w:themeFill="background1" w:themeFillShade="F2"/>
            <w:vAlign w:val="center"/>
          </w:tcPr>
          <w:p>
            <w:pPr>
              <w:spacing w:line="360" w:lineRule="auto"/>
              <w:jc w:val="center"/>
              <w:rPr>
                <w:szCs w:val="21"/>
              </w:rPr>
            </w:pPr>
            <w:r>
              <w:rPr>
                <w:rFonts w:hint="eastAsia"/>
                <w:szCs w:val="21"/>
              </w:rPr>
              <w:t>职务</w:t>
            </w:r>
          </w:p>
        </w:tc>
        <w:tc>
          <w:tcPr>
            <w:tcW w:w="555" w:type="pct"/>
            <w:vMerge w:val="restart"/>
            <w:shd w:val="clear" w:color="auto" w:fill="F1F1F1" w:themeFill="background1" w:themeFillShade="F2"/>
            <w:vAlign w:val="center"/>
          </w:tcPr>
          <w:p>
            <w:pPr>
              <w:spacing w:line="360" w:lineRule="auto"/>
              <w:jc w:val="center"/>
              <w:rPr>
                <w:szCs w:val="21"/>
              </w:rPr>
            </w:pPr>
            <w:r>
              <w:rPr>
                <w:rFonts w:hint="eastAsia"/>
                <w:szCs w:val="21"/>
              </w:rPr>
              <w:t>姓名</w:t>
            </w:r>
          </w:p>
        </w:tc>
        <w:tc>
          <w:tcPr>
            <w:tcW w:w="556" w:type="pct"/>
            <w:vMerge w:val="restart"/>
            <w:shd w:val="clear" w:color="auto" w:fill="F1F1F1" w:themeFill="background1" w:themeFillShade="F2"/>
            <w:vAlign w:val="center"/>
          </w:tcPr>
          <w:p>
            <w:pPr>
              <w:spacing w:line="360" w:lineRule="auto"/>
              <w:jc w:val="center"/>
              <w:rPr>
                <w:szCs w:val="21"/>
              </w:rPr>
            </w:pPr>
            <w:r>
              <w:rPr>
                <w:rFonts w:hint="eastAsia"/>
                <w:szCs w:val="21"/>
              </w:rPr>
              <w:t>职称</w:t>
            </w:r>
          </w:p>
        </w:tc>
        <w:tc>
          <w:tcPr>
            <w:tcW w:w="556" w:type="pct"/>
            <w:vMerge w:val="restart"/>
            <w:shd w:val="clear" w:color="auto" w:fill="F1F1F1" w:themeFill="background1" w:themeFillShade="F2"/>
            <w:vAlign w:val="center"/>
          </w:tcPr>
          <w:p>
            <w:pPr>
              <w:spacing w:line="360" w:lineRule="auto"/>
              <w:jc w:val="center"/>
              <w:rPr>
                <w:szCs w:val="21"/>
              </w:rPr>
            </w:pPr>
            <w:r>
              <w:rPr>
                <w:rFonts w:hint="eastAsia"/>
                <w:szCs w:val="21"/>
              </w:rPr>
              <w:t>常住地</w:t>
            </w:r>
          </w:p>
        </w:tc>
        <w:tc>
          <w:tcPr>
            <w:tcW w:w="2222" w:type="pct"/>
            <w:gridSpan w:val="4"/>
            <w:shd w:val="clear" w:color="auto" w:fill="F1F1F1" w:themeFill="background1" w:themeFillShade="F2"/>
            <w:vAlign w:val="center"/>
          </w:tcPr>
          <w:p>
            <w:pPr>
              <w:spacing w:line="360" w:lineRule="auto"/>
              <w:jc w:val="center"/>
              <w:rPr>
                <w:szCs w:val="21"/>
              </w:rPr>
            </w:pPr>
            <w:r>
              <w:rPr>
                <w:rFonts w:hint="eastAsia"/>
                <w:szCs w:val="21"/>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555" w:type="pct"/>
            <w:vMerge w:val="continue"/>
            <w:shd w:val="clear" w:color="auto" w:fill="F1F1F1" w:themeFill="background1" w:themeFillShade="F2"/>
            <w:vAlign w:val="center"/>
          </w:tcPr>
          <w:p>
            <w:pPr>
              <w:spacing w:line="360" w:lineRule="auto"/>
              <w:jc w:val="center"/>
              <w:rPr>
                <w:szCs w:val="21"/>
              </w:rPr>
            </w:pPr>
          </w:p>
        </w:tc>
        <w:tc>
          <w:tcPr>
            <w:tcW w:w="556" w:type="pct"/>
            <w:vMerge w:val="continue"/>
            <w:shd w:val="clear" w:color="auto" w:fill="F1F1F1" w:themeFill="background1" w:themeFillShade="F2"/>
            <w:vAlign w:val="center"/>
          </w:tcPr>
          <w:p>
            <w:pPr>
              <w:spacing w:line="360" w:lineRule="auto"/>
              <w:jc w:val="center"/>
              <w:rPr>
                <w:szCs w:val="21"/>
              </w:rPr>
            </w:pPr>
          </w:p>
        </w:tc>
        <w:tc>
          <w:tcPr>
            <w:tcW w:w="555" w:type="pct"/>
            <w:vMerge w:val="continue"/>
            <w:shd w:val="clear" w:color="auto" w:fill="F1F1F1" w:themeFill="background1" w:themeFillShade="F2"/>
            <w:vAlign w:val="center"/>
          </w:tcPr>
          <w:p>
            <w:pPr>
              <w:spacing w:line="360" w:lineRule="auto"/>
              <w:jc w:val="center"/>
              <w:rPr>
                <w:szCs w:val="21"/>
              </w:rPr>
            </w:pPr>
          </w:p>
        </w:tc>
        <w:tc>
          <w:tcPr>
            <w:tcW w:w="556" w:type="pct"/>
            <w:vMerge w:val="continue"/>
            <w:shd w:val="clear" w:color="auto" w:fill="F1F1F1" w:themeFill="background1" w:themeFillShade="F2"/>
            <w:vAlign w:val="center"/>
          </w:tcPr>
          <w:p>
            <w:pPr>
              <w:spacing w:line="360" w:lineRule="auto"/>
              <w:jc w:val="center"/>
              <w:rPr>
                <w:szCs w:val="21"/>
              </w:rPr>
            </w:pPr>
          </w:p>
        </w:tc>
        <w:tc>
          <w:tcPr>
            <w:tcW w:w="556" w:type="pct"/>
            <w:vMerge w:val="continue"/>
            <w:shd w:val="clear" w:color="auto" w:fill="F1F1F1" w:themeFill="background1" w:themeFillShade="F2"/>
            <w:vAlign w:val="center"/>
          </w:tcPr>
          <w:p>
            <w:pPr>
              <w:spacing w:line="360" w:lineRule="auto"/>
              <w:jc w:val="center"/>
              <w:rPr>
                <w:szCs w:val="21"/>
              </w:rPr>
            </w:pPr>
          </w:p>
        </w:tc>
        <w:tc>
          <w:tcPr>
            <w:tcW w:w="556" w:type="pct"/>
            <w:shd w:val="clear" w:color="auto" w:fill="F1F1F1" w:themeFill="background1" w:themeFillShade="F2"/>
            <w:vAlign w:val="center"/>
          </w:tcPr>
          <w:p>
            <w:pPr>
              <w:spacing w:line="360" w:lineRule="auto"/>
              <w:jc w:val="center"/>
              <w:rPr>
                <w:szCs w:val="21"/>
              </w:rPr>
            </w:pPr>
            <w:r>
              <w:rPr>
                <w:rFonts w:hint="eastAsia"/>
                <w:szCs w:val="21"/>
              </w:rPr>
              <w:t>证书</w:t>
            </w:r>
          </w:p>
          <w:p>
            <w:pPr>
              <w:spacing w:line="360" w:lineRule="auto"/>
              <w:jc w:val="center"/>
              <w:rPr>
                <w:szCs w:val="21"/>
              </w:rPr>
            </w:pPr>
            <w:r>
              <w:rPr>
                <w:rFonts w:hint="eastAsia"/>
                <w:szCs w:val="21"/>
              </w:rPr>
              <w:t>名称</w:t>
            </w:r>
          </w:p>
        </w:tc>
        <w:tc>
          <w:tcPr>
            <w:tcW w:w="556" w:type="pct"/>
            <w:shd w:val="clear" w:color="auto" w:fill="F1F1F1" w:themeFill="background1" w:themeFillShade="F2"/>
            <w:vAlign w:val="center"/>
          </w:tcPr>
          <w:p>
            <w:pPr>
              <w:spacing w:line="360" w:lineRule="auto"/>
              <w:jc w:val="center"/>
              <w:rPr>
                <w:szCs w:val="21"/>
              </w:rPr>
            </w:pPr>
            <w:r>
              <w:rPr>
                <w:rFonts w:hint="eastAsia"/>
                <w:szCs w:val="21"/>
              </w:rPr>
              <w:t>级别</w:t>
            </w:r>
          </w:p>
        </w:tc>
        <w:tc>
          <w:tcPr>
            <w:tcW w:w="555" w:type="pct"/>
            <w:shd w:val="clear" w:color="auto" w:fill="F1F1F1" w:themeFill="background1" w:themeFillShade="F2"/>
            <w:vAlign w:val="center"/>
          </w:tcPr>
          <w:p>
            <w:pPr>
              <w:spacing w:line="360" w:lineRule="auto"/>
              <w:jc w:val="center"/>
              <w:rPr>
                <w:szCs w:val="21"/>
              </w:rPr>
            </w:pPr>
            <w:r>
              <w:rPr>
                <w:rFonts w:hint="eastAsia"/>
                <w:szCs w:val="21"/>
              </w:rPr>
              <w:t>证号</w:t>
            </w:r>
          </w:p>
        </w:tc>
        <w:tc>
          <w:tcPr>
            <w:tcW w:w="556" w:type="pct"/>
            <w:shd w:val="clear" w:color="auto" w:fill="F1F1F1" w:themeFill="background1" w:themeFillShade="F2"/>
            <w:vAlign w:val="center"/>
          </w:tcPr>
          <w:p>
            <w:pPr>
              <w:spacing w:line="360" w:lineRule="auto"/>
              <w:jc w:val="center"/>
              <w:rPr>
                <w:szCs w:val="21"/>
              </w:rPr>
            </w:pPr>
            <w:r>
              <w:rPr>
                <w:rFonts w:hint="eastAsia"/>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restart"/>
            <w:vAlign w:val="center"/>
          </w:tcPr>
          <w:p>
            <w:pPr>
              <w:spacing w:line="360" w:lineRule="auto"/>
              <w:jc w:val="center"/>
              <w:rPr>
                <w:szCs w:val="21"/>
              </w:rPr>
            </w:pPr>
            <w:r>
              <w:rPr>
                <w:rFonts w:hint="eastAsia"/>
                <w:szCs w:val="21"/>
              </w:rPr>
              <w:t>管理</w:t>
            </w:r>
          </w:p>
          <w:p>
            <w:pPr>
              <w:spacing w:line="360" w:lineRule="auto"/>
              <w:jc w:val="center"/>
              <w:rPr>
                <w:szCs w:val="21"/>
              </w:rPr>
            </w:pPr>
            <w:r>
              <w:rPr>
                <w:rFonts w:hint="eastAsia"/>
                <w:szCs w:val="21"/>
              </w:rPr>
              <w:t>人员</w:t>
            </w: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continue"/>
            <w:vAlign w:val="center"/>
          </w:tcPr>
          <w:p>
            <w:pPr>
              <w:spacing w:line="360" w:lineRule="auto"/>
              <w:jc w:val="center"/>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continue"/>
            <w:vAlign w:val="center"/>
          </w:tcPr>
          <w:p>
            <w:pPr>
              <w:spacing w:line="360" w:lineRule="auto"/>
              <w:jc w:val="center"/>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restart"/>
            <w:vAlign w:val="center"/>
          </w:tcPr>
          <w:p>
            <w:pPr>
              <w:spacing w:line="360" w:lineRule="auto"/>
              <w:jc w:val="center"/>
              <w:rPr>
                <w:szCs w:val="21"/>
              </w:rPr>
            </w:pPr>
            <w:r>
              <w:rPr>
                <w:rFonts w:hint="eastAsia"/>
                <w:szCs w:val="21"/>
              </w:rPr>
              <w:t>技术</w:t>
            </w:r>
          </w:p>
          <w:p>
            <w:pPr>
              <w:spacing w:line="360" w:lineRule="auto"/>
              <w:jc w:val="center"/>
              <w:rPr>
                <w:szCs w:val="21"/>
              </w:rPr>
            </w:pPr>
            <w:r>
              <w:rPr>
                <w:rFonts w:hint="eastAsia"/>
                <w:szCs w:val="21"/>
              </w:rPr>
              <w:t>人员</w:t>
            </w: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continue"/>
            <w:vAlign w:val="center"/>
          </w:tcPr>
          <w:p>
            <w:pPr>
              <w:spacing w:line="360" w:lineRule="auto"/>
              <w:jc w:val="center"/>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continue"/>
            <w:vAlign w:val="center"/>
          </w:tcPr>
          <w:p>
            <w:pPr>
              <w:spacing w:line="360" w:lineRule="auto"/>
              <w:jc w:val="center"/>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restart"/>
            <w:vAlign w:val="center"/>
          </w:tcPr>
          <w:p>
            <w:pPr>
              <w:spacing w:line="360" w:lineRule="auto"/>
              <w:jc w:val="center"/>
              <w:rPr>
                <w:szCs w:val="21"/>
              </w:rPr>
            </w:pPr>
            <w:r>
              <w:rPr>
                <w:rFonts w:hint="eastAsia"/>
                <w:szCs w:val="21"/>
              </w:rPr>
              <w:t>售后服务人员</w:t>
            </w: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5" w:type="pct"/>
            <w:vMerge w:val="continue"/>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55" w:type="pct"/>
            <w:vMerge w:val="continue"/>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6" w:type="pct"/>
          </w:tcPr>
          <w:p>
            <w:pPr>
              <w:spacing w:line="360" w:lineRule="auto"/>
              <w:rPr>
                <w:szCs w:val="21"/>
              </w:rPr>
            </w:pPr>
          </w:p>
        </w:tc>
        <w:tc>
          <w:tcPr>
            <w:tcW w:w="555" w:type="pct"/>
          </w:tcPr>
          <w:p>
            <w:pPr>
              <w:spacing w:line="360" w:lineRule="auto"/>
              <w:rPr>
                <w:szCs w:val="21"/>
              </w:rPr>
            </w:pPr>
          </w:p>
        </w:tc>
        <w:tc>
          <w:tcPr>
            <w:tcW w:w="556" w:type="pct"/>
          </w:tcPr>
          <w:p>
            <w:pPr>
              <w:spacing w:line="360" w:lineRule="auto"/>
              <w:rPr>
                <w:szCs w:val="21"/>
              </w:rPr>
            </w:pPr>
          </w:p>
        </w:tc>
      </w:tr>
    </w:tbl>
    <w:p>
      <w:pPr>
        <w:spacing w:line="360" w:lineRule="auto"/>
        <w:rPr>
          <w:rFonts w:ascii="宋体" w:hAnsi="宋体"/>
          <w:szCs w:val="21"/>
        </w:rPr>
      </w:pPr>
    </w:p>
    <w:p>
      <w:pPr>
        <w:spacing w:line="360" w:lineRule="auto"/>
        <w:ind w:firstLine="420" w:firstLineChars="200"/>
        <w:rPr>
          <w:rFonts w:ascii="宋体" w:hAnsi="宋体" w:cs="宋体"/>
          <w:szCs w:val="21"/>
        </w:rPr>
      </w:pPr>
      <w:r>
        <w:rPr>
          <w:rFonts w:hint="eastAsia" w:ascii="宋体" w:hAnsi="宋体" w:cs="宋体"/>
          <w:szCs w:val="21"/>
        </w:rPr>
        <w:t>注：供应商根据自身实际情况填写，对不涉及的内容可填写“/”。</w:t>
      </w:r>
    </w:p>
    <w:p>
      <w:pPr>
        <w:spacing w:line="360" w:lineRule="auto"/>
        <w:rPr>
          <w:rFonts w:ascii="宋体" w:hAnsi="宋体" w:cs="宋体"/>
          <w:szCs w:val="21"/>
        </w:rPr>
      </w:pPr>
    </w:p>
    <w:p>
      <w:pPr>
        <w:spacing w:line="360" w:lineRule="auto"/>
        <w:ind w:firstLine="2100" w:firstLineChars="1000"/>
        <w:rPr>
          <w:rFonts w:ascii="宋体" w:hAnsi="宋体" w:cs="宋体"/>
          <w:szCs w:val="21"/>
        </w:rPr>
      </w:pPr>
    </w:p>
    <w:p>
      <w:pPr>
        <w:adjustRightInd w:val="0"/>
        <w:spacing w:line="360" w:lineRule="auto"/>
        <w:ind w:firstLine="2940" w:firstLineChars="1400"/>
        <w:jc w:val="lef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adjustRightInd w:val="0"/>
        <w:spacing w:line="360" w:lineRule="auto"/>
        <w:ind w:firstLine="2940" w:firstLineChars="1400"/>
        <w:jc w:val="left"/>
        <w:rPr>
          <w:rFonts w:ascii="宋体" w:hAnsi="宋体" w:cs="宋体"/>
          <w:bCs/>
          <w:szCs w:val="21"/>
        </w:rPr>
      </w:pPr>
      <w:r>
        <w:rPr>
          <w:rFonts w:hint="eastAsia" w:ascii="宋体" w:hAnsi="宋体" w:cs="宋体"/>
          <w:bCs/>
          <w:szCs w:val="21"/>
        </w:rPr>
        <w:t>法定代表人或授权代表</w:t>
      </w:r>
      <w:r>
        <w:rPr>
          <w:rFonts w:hint="eastAsia" w:ascii="宋体" w:hAnsi="宋体" w:cs="宋体"/>
          <w:szCs w:val="21"/>
        </w:rPr>
        <w:t>（签字或加盖个人印章）</w:t>
      </w:r>
      <w:r>
        <w:rPr>
          <w:rFonts w:hint="eastAsia" w:ascii="宋体" w:hAnsi="宋体" w:cs="宋体"/>
          <w:bCs/>
          <w:szCs w:val="21"/>
        </w:rPr>
        <w:t>：</w:t>
      </w:r>
      <w:r>
        <w:rPr>
          <w:rFonts w:hint="eastAsia" w:ascii="宋体" w:hAnsi="宋体" w:cs="宋体"/>
          <w:szCs w:val="21"/>
          <w:u w:val="single"/>
        </w:rPr>
        <w:t xml:space="preserve">             </w:t>
      </w:r>
    </w:p>
    <w:p>
      <w:pPr>
        <w:adjustRightInd w:val="0"/>
        <w:spacing w:line="360" w:lineRule="auto"/>
        <w:ind w:firstLine="2940" w:firstLineChars="1400"/>
        <w:jc w:val="left"/>
        <w:rPr>
          <w:rFonts w:ascii="宋体" w:hAnsi="宋体" w:cs="宋体"/>
          <w:bCs/>
          <w:szCs w:val="21"/>
        </w:rPr>
      </w:pPr>
      <w:r>
        <w:rPr>
          <w:rFonts w:hint="eastAsia" w:ascii="宋体" w:hAnsi="宋体" w:cs="宋体"/>
          <w:bCs/>
          <w:szCs w:val="21"/>
        </w:rPr>
        <w:t>日    期：</w:t>
      </w:r>
      <w:r>
        <w:rPr>
          <w:rFonts w:hint="eastAsia" w:ascii="宋体" w:hAnsi="宋体" w:cs="宋体"/>
          <w:szCs w:val="21"/>
          <w:u w:val="single"/>
        </w:rPr>
        <w:t xml:space="preserve">        </w:t>
      </w:r>
      <w:r>
        <w:rPr>
          <w:rFonts w:hint="eastAsia" w:ascii="宋体" w:hAnsi="宋体" w:cs="宋体"/>
          <w:bCs/>
          <w:szCs w:val="21"/>
        </w:rPr>
        <w:t>年</w:t>
      </w:r>
      <w:r>
        <w:rPr>
          <w:rFonts w:hint="eastAsia" w:ascii="宋体" w:hAnsi="宋体" w:cs="宋体"/>
          <w:szCs w:val="21"/>
          <w:u w:val="single"/>
        </w:rPr>
        <w:t xml:space="preserve">       </w:t>
      </w:r>
      <w:r>
        <w:rPr>
          <w:rFonts w:hint="eastAsia" w:ascii="宋体" w:hAnsi="宋体" w:cs="宋体"/>
          <w:bCs/>
          <w:szCs w:val="21"/>
        </w:rPr>
        <w:t>月</w:t>
      </w:r>
      <w:r>
        <w:rPr>
          <w:rFonts w:hint="eastAsia" w:ascii="宋体" w:hAnsi="宋体" w:cs="宋体"/>
          <w:szCs w:val="21"/>
          <w:u w:val="single"/>
        </w:rPr>
        <w:t xml:space="preserve">       </w:t>
      </w:r>
      <w:r>
        <w:rPr>
          <w:rFonts w:hint="eastAsia" w:ascii="宋体" w:hAnsi="宋体" w:cs="宋体"/>
          <w:bCs/>
          <w:szCs w:val="21"/>
        </w:rPr>
        <w:t>日</w:t>
      </w:r>
    </w:p>
    <w:p/>
    <w:p/>
    <w:p/>
    <w:p/>
    <w:p/>
    <w:bookmarkEnd w:id="664"/>
    <w:p>
      <w:pPr>
        <w:widowControl/>
        <w:spacing w:line="360" w:lineRule="auto"/>
        <w:jc w:val="left"/>
        <w:rPr>
          <w:rFonts w:ascii="宋体" w:hAnsi="宋体"/>
          <w:b/>
          <w:sz w:val="24"/>
        </w:rPr>
      </w:pPr>
      <w:r>
        <w:rPr>
          <w:rFonts w:ascii="宋体" w:hAnsi="宋体"/>
          <w:b/>
          <w:sz w:val="24"/>
        </w:rPr>
        <w:br w:type="page"/>
      </w:r>
    </w:p>
    <w:p>
      <w:pPr>
        <w:pStyle w:val="4"/>
      </w:pPr>
      <w:bookmarkStart w:id="752" w:name="_Toc31957"/>
      <w:bookmarkStart w:id="753" w:name="_Toc4578907"/>
      <w:bookmarkStart w:id="754" w:name="_Toc28198"/>
      <w:bookmarkStart w:id="755" w:name="_Toc4659782"/>
      <w:bookmarkStart w:id="756" w:name="_Toc5005086"/>
      <w:bookmarkStart w:id="757" w:name="_Toc1388"/>
      <w:bookmarkStart w:id="758" w:name="_Toc15019"/>
      <w:bookmarkStart w:id="759" w:name="_Toc25459"/>
      <w:bookmarkStart w:id="760" w:name="_Toc30603"/>
      <w:bookmarkStart w:id="761" w:name="_Toc606"/>
      <w:bookmarkStart w:id="762" w:name="_Toc31956"/>
      <w:r>
        <w:rPr>
          <w:rFonts w:hint="eastAsia"/>
        </w:rPr>
        <w:t>十三、供应商诚信情况承诺函</w:t>
      </w:r>
      <w:bookmarkEnd w:id="752"/>
      <w:bookmarkEnd w:id="753"/>
      <w:bookmarkEnd w:id="754"/>
      <w:bookmarkEnd w:id="755"/>
      <w:bookmarkEnd w:id="756"/>
      <w:bookmarkEnd w:id="757"/>
      <w:bookmarkEnd w:id="758"/>
      <w:bookmarkEnd w:id="759"/>
      <w:bookmarkEnd w:id="760"/>
      <w:bookmarkEnd w:id="761"/>
      <w:bookmarkEnd w:id="762"/>
    </w:p>
    <w:p>
      <w:pPr>
        <w:snapToGrid w:val="0"/>
        <w:spacing w:line="360" w:lineRule="auto"/>
        <w:rPr>
          <w:rFonts w:ascii="宋体" w:hAnsi="宋体"/>
          <w:bCs/>
          <w:szCs w:val="21"/>
        </w:rPr>
      </w:pPr>
      <w:r>
        <w:rPr>
          <w:rFonts w:hint="eastAsia" w:ascii="宋体" w:hAnsi="宋体"/>
          <w:bCs/>
          <w:szCs w:val="21"/>
        </w:rPr>
        <w:t>致四川雄烽建设工程管理有限公司：</w:t>
      </w:r>
    </w:p>
    <w:p>
      <w:pPr>
        <w:snapToGrid w:val="0"/>
        <w:spacing w:line="360" w:lineRule="auto"/>
        <w:ind w:firstLine="420" w:firstLineChars="200"/>
        <w:rPr>
          <w:rFonts w:ascii="宋体" w:hAnsi="宋体"/>
          <w:szCs w:val="21"/>
        </w:rPr>
      </w:pPr>
      <w:r>
        <w:rPr>
          <w:rFonts w:hint="eastAsia" w:ascii="宋体" w:hAnsi="宋体"/>
          <w:bCs/>
          <w:szCs w:val="21"/>
        </w:rPr>
        <w:t>本单位</w:t>
      </w:r>
      <w:r>
        <w:rPr>
          <w:rFonts w:hint="eastAsia" w:ascii="宋体" w:hAnsi="宋体"/>
          <w:szCs w:val="21"/>
          <w:u w:val="single"/>
        </w:rPr>
        <w:t xml:space="preserve">             </w:t>
      </w:r>
      <w:r>
        <w:rPr>
          <w:rFonts w:hint="eastAsia" w:ascii="宋体" w:hAnsi="宋体"/>
          <w:bCs/>
          <w:szCs w:val="21"/>
        </w:rPr>
        <w:t>（供应商名称）参加</w:t>
      </w:r>
      <w:r>
        <w:rPr>
          <w:rFonts w:hint="eastAsia" w:ascii="宋体" w:hAnsi="宋体"/>
          <w:szCs w:val="21"/>
          <w:u w:val="single"/>
        </w:rPr>
        <w:t xml:space="preserve">             </w:t>
      </w:r>
      <w:r>
        <w:rPr>
          <w:rFonts w:hint="eastAsia" w:ascii="宋体" w:hAnsi="宋体"/>
          <w:bCs/>
          <w:szCs w:val="21"/>
        </w:rPr>
        <w:t>（项目名称及采购编号）的采购活动，</w:t>
      </w:r>
      <w:r>
        <w:rPr>
          <w:rFonts w:hint="eastAsia" w:ascii="宋体" w:hAnsi="宋体"/>
          <w:szCs w:val="21"/>
        </w:rPr>
        <w:t>现根据《</w:t>
      </w:r>
      <w:r>
        <w:rPr>
          <w:rFonts w:ascii="宋体" w:hAnsi="宋体"/>
          <w:szCs w:val="21"/>
        </w:rPr>
        <w:t>四川省政府采购当事人诚信管理办法</w:t>
      </w:r>
      <w:r>
        <w:rPr>
          <w:rFonts w:hint="eastAsia" w:ascii="宋体" w:hAnsi="宋体"/>
          <w:szCs w:val="21"/>
        </w:rPr>
        <w:t>》川财采〔2015〕33号的相关规定，针</w:t>
      </w:r>
      <w:r>
        <w:rPr>
          <w:rFonts w:hint="eastAsia" w:ascii="宋体" w:hAnsi="宋体"/>
          <w:bCs/>
          <w:szCs w:val="21"/>
        </w:rPr>
        <w:t>对本单位的诚信情况作出以下承诺：</w:t>
      </w:r>
    </w:p>
    <w:p>
      <w:pPr>
        <w:snapToGrid w:val="0"/>
        <w:spacing w:line="360" w:lineRule="auto"/>
        <w:ind w:firstLine="420" w:firstLineChars="200"/>
        <w:rPr>
          <w:rFonts w:ascii="宋体" w:hAnsi="宋体"/>
          <w:szCs w:val="21"/>
        </w:rPr>
      </w:pPr>
      <w:r>
        <w:rPr>
          <w:rFonts w:hint="eastAsia" w:ascii="宋体" w:hAnsi="宋体"/>
          <w:bCs/>
          <w:szCs w:val="21"/>
        </w:rPr>
        <w:t>我单位具有</w:t>
      </w:r>
      <w:r>
        <w:rPr>
          <w:rFonts w:hint="eastAsia" w:ascii="宋体" w:hAnsi="宋体"/>
          <w:szCs w:val="21"/>
        </w:rPr>
        <w:t>《四川省政府采购当事人诚信管理办法》（川财采[2015]33号）所规定的失信行为</w:t>
      </w:r>
    </w:p>
    <w:p>
      <w:pPr>
        <w:snapToGrid w:val="0"/>
        <w:spacing w:line="360" w:lineRule="auto"/>
        <w:ind w:firstLine="420" w:firstLineChars="200"/>
        <w:rPr>
          <w:rFonts w:ascii="宋体" w:hAnsi="宋体"/>
          <w:bCs/>
          <w:szCs w:val="21"/>
        </w:rPr>
      </w:pPr>
      <w:r>
        <w:rPr>
          <w:rFonts w:hint="eastAsia" w:ascii="宋体" w:hAnsi="宋体"/>
          <w:szCs w:val="21"/>
          <w:u w:val="single"/>
        </w:rPr>
        <w:t xml:space="preserve">      </w:t>
      </w:r>
      <w:r>
        <w:rPr>
          <w:rFonts w:hint="eastAsia" w:ascii="宋体" w:hAnsi="宋体"/>
          <w:szCs w:val="21"/>
        </w:rPr>
        <w:t>次（填写失信行为的次数时，建议使用大写数字，如零、壹、贰、叁、肆等）；</w:t>
      </w:r>
      <w:r>
        <w:rPr>
          <w:rFonts w:hint="eastAsia" w:ascii="宋体" w:hAnsi="宋体"/>
          <w:bCs/>
          <w:szCs w:val="21"/>
        </w:rPr>
        <w:t>（仅限递交响应文件截止当日仍在有效期的次数）</w:t>
      </w:r>
    </w:p>
    <w:p>
      <w:pPr>
        <w:snapToGrid w:val="0"/>
        <w:spacing w:line="360" w:lineRule="auto"/>
        <w:ind w:firstLine="420" w:firstLineChars="200"/>
        <w:rPr>
          <w:rFonts w:ascii="宋体" w:hAnsi="宋体"/>
          <w:szCs w:val="21"/>
        </w:rPr>
      </w:pPr>
      <w:r>
        <w:rPr>
          <w:rFonts w:hint="eastAsia" w:ascii="宋体" w:hAnsi="宋体"/>
          <w:szCs w:val="21"/>
        </w:rPr>
        <w:t>我</w:t>
      </w:r>
      <w:r>
        <w:rPr>
          <w:rFonts w:hint="eastAsia" w:ascii="宋体" w:hAnsi="宋体"/>
          <w:bCs/>
          <w:szCs w:val="21"/>
        </w:rPr>
        <w:t>单位</w:t>
      </w:r>
      <w:r>
        <w:rPr>
          <w:rFonts w:hint="eastAsia" w:ascii="宋体" w:hAnsi="宋体"/>
          <w:szCs w:val="21"/>
        </w:rPr>
        <w:t>对以上填写信息的真实性负责。如有不实，本</w:t>
      </w:r>
      <w:r>
        <w:rPr>
          <w:rFonts w:hint="eastAsia" w:ascii="宋体" w:hAnsi="宋体"/>
          <w:bCs/>
          <w:szCs w:val="21"/>
        </w:rPr>
        <w:t>单位</w:t>
      </w:r>
      <w:r>
        <w:rPr>
          <w:rFonts w:hint="eastAsia" w:ascii="宋体" w:hAnsi="宋体"/>
          <w:szCs w:val="21"/>
        </w:rPr>
        <w:t>愿承担由此产生的一切法律责任和后果。</w:t>
      </w:r>
    </w:p>
    <w:p>
      <w:pPr>
        <w:snapToGrid w:val="0"/>
        <w:spacing w:line="360" w:lineRule="auto"/>
        <w:rPr>
          <w:rFonts w:ascii="宋体" w:hAnsi="宋体"/>
          <w:bCs/>
          <w:szCs w:val="21"/>
        </w:rPr>
      </w:pPr>
    </w:p>
    <w:p>
      <w:pPr>
        <w:pStyle w:val="15"/>
        <w:snapToGrid w:val="0"/>
      </w:pPr>
    </w:p>
    <w:p>
      <w:pPr>
        <w:snapToGrid w:val="0"/>
        <w:spacing w:line="360" w:lineRule="auto"/>
        <w:ind w:firstLine="3360" w:firstLineChars="1600"/>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（盖单位公章）</w:t>
      </w:r>
    </w:p>
    <w:p>
      <w:pPr>
        <w:snapToGrid w:val="0"/>
        <w:spacing w:line="360" w:lineRule="auto"/>
        <w:ind w:firstLine="3360" w:firstLineChars="1600"/>
        <w:rPr>
          <w:rFonts w:ascii="宋体" w:hAnsi="宋体"/>
          <w:szCs w:val="21"/>
        </w:rPr>
      </w:pPr>
      <w:r>
        <w:rPr>
          <w:rFonts w:hint="eastAsia" w:ascii="宋体" w:hAnsi="宋体"/>
          <w:szCs w:val="21"/>
        </w:rPr>
        <w:t>法定代表人或授权代表（签字或加盖个人印章）：</w:t>
      </w:r>
      <w:r>
        <w:rPr>
          <w:rFonts w:hint="eastAsia" w:ascii="宋体" w:hAnsi="宋体"/>
          <w:szCs w:val="21"/>
          <w:u w:val="single"/>
        </w:rPr>
        <w:t xml:space="preserve">             </w:t>
      </w:r>
    </w:p>
    <w:p>
      <w:pPr>
        <w:snapToGrid w:val="0"/>
        <w:spacing w:line="360" w:lineRule="auto"/>
        <w:ind w:firstLine="3360" w:firstLineChars="16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360" w:lineRule="auto"/>
        <w:rPr>
          <w:rFonts w:ascii="宋体" w:hAnsi="宋体"/>
          <w:bCs/>
          <w:szCs w:val="21"/>
        </w:rPr>
      </w:pPr>
    </w:p>
    <w:p>
      <w:pPr>
        <w:snapToGrid w:val="0"/>
        <w:spacing w:line="360" w:lineRule="auto"/>
        <w:ind w:firstLine="420" w:firstLineChars="200"/>
        <w:rPr>
          <w:rFonts w:ascii="宋体" w:hAnsi="宋体"/>
          <w:bCs/>
          <w:szCs w:val="21"/>
        </w:rPr>
      </w:pPr>
      <w:r>
        <w:rPr>
          <w:rFonts w:hint="eastAsia" w:ascii="宋体" w:hAnsi="宋体"/>
          <w:bCs/>
          <w:szCs w:val="21"/>
        </w:rPr>
        <w:t>注：</w:t>
      </w:r>
    </w:p>
    <w:p>
      <w:pPr>
        <w:snapToGrid w:val="0"/>
        <w:spacing w:line="360" w:lineRule="auto"/>
        <w:ind w:firstLine="420" w:firstLineChars="200"/>
        <w:rPr>
          <w:rFonts w:ascii="宋体" w:hAnsi="宋体"/>
          <w:bCs/>
          <w:szCs w:val="21"/>
        </w:rPr>
      </w:pPr>
      <w:r>
        <w:rPr>
          <w:rFonts w:hint="eastAsia" w:ascii="宋体" w:hAnsi="宋体"/>
          <w:bCs/>
          <w:szCs w:val="21"/>
        </w:rPr>
        <w:t>1、本表格式及内容仅供参考，供应商也可提供自己的格式；</w:t>
      </w:r>
    </w:p>
    <w:p>
      <w:pPr>
        <w:snapToGrid w:val="0"/>
        <w:spacing w:line="360" w:lineRule="auto"/>
        <w:ind w:firstLine="420" w:firstLineChars="200"/>
        <w:rPr>
          <w:rFonts w:ascii="宋体" w:hAnsi="宋体"/>
          <w:bCs/>
          <w:szCs w:val="21"/>
        </w:rPr>
      </w:pPr>
      <w:r>
        <w:rPr>
          <w:rFonts w:hint="eastAsia" w:ascii="宋体" w:hAnsi="宋体"/>
          <w:bCs/>
          <w:szCs w:val="21"/>
        </w:rPr>
        <w:t>2、供应商存在以上所述失信行为的，将按照</w:t>
      </w:r>
      <w:r>
        <w:rPr>
          <w:rFonts w:hint="eastAsia" w:ascii="宋体" w:hAnsi="宋体"/>
          <w:szCs w:val="21"/>
        </w:rPr>
        <w:t>第二章磋商须知附表的要求进行处理；</w:t>
      </w:r>
    </w:p>
    <w:p>
      <w:pPr>
        <w:snapToGrid w:val="0"/>
        <w:spacing w:line="360" w:lineRule="auto"/>
        <w:ind w:firstLine="420" w:firstLineChars="200"/>
        <w:rPr>
          <w:rFonts w:ascii="宋体" w:hAnsi="宋体"/>
          <w:kern w:val="0"/>
          <w:szCs w:val="21"/>
        </w:rPr>
      </w:pPr>
      <w:r>
        <w:rPr>
          <w:rFonts w:hint="eastAsia" w:ascii="宋体" w:hAnsi="宋体"/>
          <w:bCs/>
          <w:szCs w:val="21"/>
        </w:rPr>
        <w:t>3、</w:t>
      </w:r>
      <w:r>
        <w:rPr>
          <w:rFonts w:ascii="宋体" w:hAnsi="宋体"/>
          <w:bCs/>
          <w:szCs w:val="21"/>
        </w:rPr>
        <w:t>财政部门对采购当事人的失信行为依法进行处罚、处理后，应当向社会公告，并记入诚信档案，有效期为1年。工商部门、税务部门、审判机关及其他有关部门单位认定供应商的失信行为明</w:t>
      </w:r>
      <w:r>
        <w:rPr>
          <w:rFonts w:ascii="宋体" w:hAnsi="宋体"/>
          <w:kern w:val="0"/>
          <w:szCs w:val="21"/>
        </w:rPr>
        <w:t>确了有效期的，不再重复计算。</w:t>
      </w:r>
    </w:p>
    <w:p>
      <w:pPr>
        <w:snapToGrid w:val="0"/>
        <w:spacing w:line="360" w:lineRule="auto"/>
        <w:ind w:firstLine="420" w:firstLineChars="200"/>
        <w:rPr>
          <w:rFonts w:ascii="宋体" w:hAnsi="宋体"/>
          <w:bCs/>
          <w:szCs w:val="21"/>
        </w:rPr>
      </w:pPr>
      <w:r>
        <w:rPr>
          <w:rFonts w:hint="eastAsia" w:ascii="宋体" w:hAnsi="宋体"/>
          <w:kern w:val="0"/>
          <w:szCs w:val="21"/>
        </w:rPr>
        <w:t>4、</w:t>
      </w:r>
      <w:r>
        <w:rPr>
          <w:rFonts w:hint="eastAsia" w:ascii="宋体" w:hAnsi="宋体"/>
          <w:bCs/>
          <w:szCs w:val="21"/>
        </w:rPr>
        <w:t>供应商的失信行为受到行政处罚或司法惩处的，评审时不再对其以价格加成进行惩戒。</w:t>
      </w:r>
    </w:p>
    <w:p>
      <w:pPr>
        <w:widowControl/>
        <w:snapToGrid w:val="0"/>
        <w:spacing w:line="360" w:lineRule="auto"/>
        <w:jc w:val="left"/>
        <w:rPr>
          <w:rFonts w:ascii="宋体" w:hAnsi="宋体"/>
          <w:bCs/>
          <w:szCs w:val="21"/>
        </w:rPr>
      </w:pPr>
      <w:r>
        <w:rPr>
          <w:rFonts w:ascii="宋体" w:hAnsi="宋体"/>
          <w:bCs/>
          <w:szCs w:val="21"/>
        </w:rPr>
        <w:br w:type="page"/>
      </w:r>
    </w:p>
    <w:p>
      <w:pPr>
        <w:pStyle w:val="4"/>
      </w:pPr>
      <w:bookmarkStart w:id="763" w:name="_Toc13454"/>
      <w:bookmarkStart w:id="764" w:name="_Toc16415"/>
      <w:bookmarkStart w:id="765" w:name="_Toc8823"/>
      <w:bookmarkStart w:id="766" w:name="_Toc24874"/>
      <w:bookmarkStart w:id="767" w:name="_Toc26448"/>
      <w:bookmarkStart w:id="768" w:name="_Toc27198"/>
      <w:bookmarkStart w:id="769" w:name="_Toc22307"/>
      <w:bookmarkStart w:id="770" w:name="_Toc32233"/>
      <w:r>
        <w:rPr>
          <w:rFonts w:hint="eastAsia"/>
        </w:rPr>
        <w:t>十四、磋商文件要求的其他资料</w:t>
      </w:r>
      <w:bookmarkEnd w:id="763"/>
      <w:bookmarkEnd w:id="764"/>
      <w:bookmarkEnd w:id="765"/>
      <w:bookmarkEnd w:id="766"/>
      <w:bookmarkEnd w:id="767"/>
      <w:bookmarkEnd w:id="768"/>
      <w:bookmarkEnd w:id="769"/>
      <w:bookmarkEnd w:id="770"/>
    </w:p>
    <w:p>
      <w:pPr>
        <w:widowControl/>
        <w:spacing w:line="360" w:lineRule="auto"/>
        <w:jc w:val="left"/>
        <w:rPr>
          <w:rFonts w:ascii="宋体" w:hAnsi="宋体"/>
          <w:sz w:val="24"/>
        </w:rPr>
      </w:pPr>
      <w:r>
        <w:rPr>
          <w:rFonts w:ascii="宋体" w:hAnsi="宋体"/>
          <w:sz w:val="24"/>
        </w:rPr>
        <w:br w:type="page"/>
      </w:r>
    </w:p>
    <w:p>
      <w:pPr>
        <w:pStyle w:val="4"/>
      </w:pPr>
      <w:bookmarkStart w:id="771" w:name="_Toc6509"/>
      <w:bookmarkStart w:id="772" w:name="_Toc18533"/>
      <w:bookmarkStart w:id="773" w:name="_Toc21070"/>
      <w:bookmarkStart w:id="774" w:name="_Toc18283"/>
      <w:bookmarkStart w:id="775" w:name="_Toc12066"/>
      <w:bookmarkStart w:id="776" w:name="_Toc19251"/>
      <w:bookmarkStart w:id="777" w:name="_Toc26981"/>
      <w:bookmarkStart w:id="778" w:name="_Toc3073"/>
      <w:r>
        <w:rPr>
          <w:rFonts w:hint="eastAsia"/>
        </w:rPr>
        <w:t>十五、最终报价</w:t>
      </w:r>
      <w:bookmarkEnd w:id="771"/>
      <w:bookmarkEnd w:id="772"/>
      <w:bookmarkEnd w:id="773"/>
      <w:bookmarkEnd w:id="774"/>
      <w:bookmarkEnd w:id="775"/>
      <w:bookmarkEnd w:id="776"/>
      <w:bookmarkEnd w:id="777"/>
      <w:bookmarkEnd w:id="778"/>
    </w:p>
    <w:p>
      <w:pPr>
        <w:widowControl/>
        <w:spacing w:line="360" w:lineRule="auto"/>
        <w:ind w:firstLine="480" w:firstLineChars="200"/>
        <w:jc w:val="left"/>
        <w:rPr>
          <w:rFonts w:ascii="宋体" w:hAnsi="宋体"/>
          <w:sz w:val="24"/>
        </w:rPr>
      </w:pPr>
      <w:r>
        <w:rPr>
          <w:rFonts w:hint="eastAsia" w:ascii="宋体" w:hAnsi="宋体"/>
          <w:sz w:val="24"/>
        </w:rPr>
        <w:t>包号：</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采购项目名称：</w:t>
      </w:r>
    </w:p>
    <w:p>
      <w:pPr>
        <w:pStyle w:val="12"/>
        <w:snapToGrid w:val="0"/>
        <w:spacing w:after="0" w:line="360" w:lineRule="auto"/>
        <w:ind w:firstLine="420" w:firstLineChars="200"/>
      </w:pPr>
      <w:r>
        <w:rPr>
          <w:rFonts w:hint="eastAsia" w:ascii="宋体" w:hAnsi="宋体" w:cs="宋体"/>
          <w:kern w:val="0"/>
          <w:szCs w:val="21"/>
        </w:rPr>
        <w:t>采购项目编号：</w:t>
      </w:r>
    </w:p>
    <w:tbl>
      <w:tblPr>
        <w:tblStyle w:val="33"/>
        <w:tblW w:w="9936" w:type="dxa"/>
        <w:tblInd w:w="0" w:type="dxa"/>
        <w:tblLayout w:type="autofit"/>
        <w:tblCellMar>
          <w:top w:w="0" w:type="dxa"/>
          <w:left w:w="108" w:type="dxa"/>
          <w:bottom w:w="0" w:type="dxa"/>
          <w:right w:w="108" w:type="dxa"/>
        </w:tblCellMar>
      </w:tblPr>
      <w:tblGrid>
        <w:gridCol w:w="710"/>
        <w:gridCol w:w="2512"/>
        <w:gridCol w:w="1975"/>
        <w:gridCol w:w="1825"/>
        <w:gridCol w:w="2125"/>
        <w:gridCol w:w="789"/>
      </w:tblGrid>
      <w:tr>
        <w:tblPrEx>
          <w:tblCellMar>
            <w:top w:w="0" w:type="dxa"/>
            <w:left w:w="108" w:type="dxa"/>
            <w:bottom w:w="0" w:type="dxa"/>
            <w:right w:w="108" w:type="dxa"/>
          </w:tblCellMar>
        </w:tblPrEx>
        <w:trPr>
          <w:trHeight w:val="517" w:hRule="atLeast"/>
        </w:trPr>
        <w:tc>
          <w:tcPr>
            <w:tcW w:w="710" w:type="dxa"/>
            <w:tcBorders>
              <w:top w:val="single" w:color="000000" w:sz="4" w:space="0"/>
              <w:left w:val="single" w:color="000000" w:sz="4" w:space="0"/>
              <w:bottom w:val="single" w:color="000000" w:sz="4" w:space="0"/>
              <w:right w:val="single" w:color="auto"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szCs w:val="21"/>
              </w:rPr>
              <w:t>序号</w:t>
            </w:r>
          </w:p>
        </w:tc>
        <w:tc>
          <w:tcPr>
            <w:tcW w:w="2512" w:type="dxa"/>
            <w:tcBorders>
              <w:top w:val="single" w:color="000000" w:sz="4" w:space="0"/>
              <w:left w:val="single" w:color="auto" w:sz="4" w:space="0"/>
              <w:bottom w:val="single" w:color="000000" w:sz="4" w:space="0"/>
              <w:right w:val="single" w:color="auto" w:sz="4" w:space="0"/>
            </w:tcBorders>
            <w:shd w:val="clear" w:color="auto" w:fill="F1F1F1" w:themeFill="background1" w:themeFillShade="F2"/>
            <w:vAlign w:val="center"/>
          </w:tcPr>
          <w:p>
            <w:pPr>
              <w:widowControl/>
              <w:jc w:val="center"/>
              <w:textAlignment w:val="center"/>
              <w:rPr>
                <w:rFonts w:ascii="宋体" w:hAnsi="宋体" w:cs="宋体"/>
                <w:b/>
                <w:bCs/>
                <w:kern w:val="0"/>
                <w:szCs w:val="21"/>
              </w:rPr>
            </w:pPr>
            <w:r>
              <w:rPr>
                <w:rFonts w:hint="eastAsia" w:ascii="宋体" w:hAnsi="宋体" w:cs="宋体"/>
                <w:b/>
                <w:bCs/>
                <w:kern w:val="0"/>
                <w:szCs w:val="21"/>
              </w:rPr>
              <w:t>服务项目</w:t>
            </w:r>
          </w:p>
        </w:tc>
        <w:tc>
          <w:tcPr>
            <w:tcW w:w="1975" w:type="dxa"/>
            <w:tcBorders>
              <w:top w:val="single" w:color="000000" w:sz="4" w:space="0"/>
              <w:left w:val="single" w:color="auto" w:sz="4" w:space="0"/>
              <w:bottom w:val="single" w:color="000000" w:sz="4" w:space="0"/>
              <w:right w:val="single" w:color="000000"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szCs w:val="21"/>
              </w:rPr>
              <w:t>单价（元）</w:t>
            </w:r>
          </w:p>
        </w:tc>
        <w:tc>
          <w:tcPr>
            <w:tcW w:w="182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szCs w:val="21"/>
              </w:rPr>
              <w:t>数量（台）</w:t>
            </w:r>
          </w:p>
        </w:tc>
        <w:tc>
          <w:tcPr>
            <w:tcW w:w="2125"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szCs w:val="21"/>
              </w:rPr>
              <w:t>总价（元）</w:t>
            </w:r>
          </w:p>
        </w:tc>
        <w:tc>
          <w:tcPr>
            <w:tcW w:w="789"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widowControl/>
              <w:jc w:val="center"/>
              <w:textAlignment w:val="center"/>
              <w:rPr>
                <w:rFonts w:ascii="宋体" w:hAnsi="宋体" w:cs="宋体"/>
                <w:b/>
                <w:bCs/>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929" w:hRule="atLeast"/>
        </w:trPr>
        <w:tc>
          <w:tcPr>
            <w:tcW w:w="71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rPr>
            </w:pPr>
            <w:r>
              <w:rPr>
                <w:rFonts w:hint="eastAsia" w:ascii="宋体" w:hAnsi="宋体" w:cs="宋体"/>
                <w:szCs w:val="21"/>
              </w:rPr>
              <w:t>1</w:t>
            </w:r>
          </w:p>
        </w:tc>
        <w:tc>
          <w:tcPr>
            <w:tcW w:w="251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both"/>
              <w:textAlignment w:val="center"/>
              <w:rPr>
                <w:rFonts w:ascii="宋体" w:hAnsi="宋体" w:cs="宋体"/>
                <w:szCs w:val="21"/>
              </w:rPr>
            </w:pP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tc>
        <w:tc>
          <w:tcPr>
            <w:tcW w:w="1975"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szCs w:val="21"/>
              </w:rPr>
            </w:pPr>
            <w:r>
              <w:rPr>
                <w:rStyle w:val="107"/>
                <w:rFonts w:hint="eastAsia" w:ascii="宋体" w:hAnsi="宋体" w:cs="宋体"/>
                <w:szCs w:val="21"/>
                <w:u w:val="single"/>
              </w:rPr>
              <w:t xml:space="preserve">     </w:t>
            </w:r>
            <w:r>
              <w:rPr>
                <w:rStyle w:val="107"/>
                <w:rFonts w:hint="eastAsia" w:ascii="宋体" w:hAnsi="宋体" w:cs="宋体"/>
                <w:szCs w:val="21"/>
              </w:rPr>
              <w:t>元/台</w:t>
            </w:r>
          </w:p>
        </w:tc>
        <w:tc>
          <w:tcPr>
            <w:tcW w:w="182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ascii="宋体" w:hAnsi="宋体" w:cs="宋体"/>
                <w:szCs w:val="21"/>
              </w:rPr>
            </w:pP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Cs w:val="21"/>
              </w:rPr>
            </w:pPr>
          </w:p>
        </w:tc>
      </w:tr>
    </w:tbl>
    <w:p>
      <w:pPr>
        <w:tabs>
          <w:tab w:val="left" w:pos="7513"/>
        </w:tabs>
        <w:spacing w:line="360" w:lineRule="auto"/>
        <w:ind w:firstLine="420" w:firstLineChars="200"/>
        <w:rPr>
          <w:rFonts w:ascii="宋体" w:hAnsi="宋体" w:cs="宋体"/>
          <w:szCs w:val="21"/>
        </w:rPr>
      </w:pPr>
    </w:p>
    <w:p>
      <w:pPr>
        <w:tabs>
          <w:tab w:val="left" w:pos="7513"/>
        </w:tabs>
        <w:spacing w:line="360" w:lineRule="auto"/>
        <w:ind w:firstLine="420" w:firstLineChars="200"/>
        <w:rPr>
          <w:rFonts w:ascii="宋体" w:hAnsi="宋体" w:cs="宋体"/>
          <w:szCs w:val="21"/>
        </w:rPr>
      </w:pPr>
      <w:r>
        <w:rPr>
          <w:rFonts w:hint="eastAsia" w:ascii="宋体" w:hAnsi="宋体" w:cs="宋体"/>
          <w:szCs w:val="21"/>
        </w:rPr>
        <w:t>注:1.所有报价均用人民币表示。供应商综合考虑完成改造服务所应包括所有内容的所有价格，包括完成本项目所涉及的人工劳务、设备投入、利润、风险、税金、招标代理服务费等完成本项目一切费用。报价为含税价格。</w:t>
      </w:r>
    </w:p>
    <w:p>
      <w:pPr>
        <w:tabs>
          <w:tab w:val="left" w:pos="7513"/>
        </w:tabs>
        <w:spacing w:line="360" w:lineRule="auto"/>
        <w:ind w:firstLine="630" w:firstLineChars="300"/>
        <w:rPr>
          <w:rFonts w:ascii="宋体" w:hAnsi="宋体" w:cs="宋体"/>
          <w:szCs w:val="21"/>
        </w:rPr>
      </w:pPr>
      <w:r>
        <w:rPr>
          <w:rFonts w:hint="eastAsia" w:ascii="宋体" w:hAnsi="宋体" w:cs="宋体"/>
          <w:szCs w:val="21"/>
        </w:rPr>
        <w:t>2.表格如不能完全表达相关内容，供应商可自行补充。</w:t>
      </w:r>
    </w:p>
    <w:p>
      <w:pPr>
        <w:rPr>
          <w:szCs w:val="21"/>
        </w:rPr>
      </w:pPr>
    </w:p>
    <w:p>
      <w:pPr>
        <w:pStyle w:val="12"/>
        <w:rPr>
          <w:szCs w:val="21"/>
        </w:rPr>
      </w:pPr>
    </w:p>
    <w:p>
      <w:pPr>
        <w:snapToGrid w:val="0"/>
        <w:spacing w:line="360" w:lineRule="auto"/>
        <w:ind w:firstLine="3360" w:firstLineChars="1600"/>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（盖单位公章）</w:t>
      </w:r>
    </w:p>
    <w:p>
      <w:pPr>
        <w:snapToGrid w:val="0"/>
        <w:spacing w:line="360" w:lineRule="auto"/>
        <w:ind w:firstLine="3360" w:firstLineChars="1600"/>
        <w:rPr>
          <w:rFonts w:ascii="宋体" w:hAnsi="宋体"/>
          <w:szCs w:val="21"/>
        </w:rPr>
      </w:pPr>
      <w:r>
        <w:rPr>
          <w:rFonts w:hint="eastAsia" w:ascii="宋体" w:hAnsi="宋体"/>
          <w:szCs w:val="21"/>
        </w:rPr>
        <w:t>法定代表人或授权代表（签字或加盖个人印章）：</w:t>
      </w:r>
      <w:r>
        <w:rPr>
          <w:rFonts w:hint="eastAsia" w:ascii="宋体" w:hAnsi="宋体"/>
          <w:szCs w:val="21"/>
          <w:u w:val="single"/>
        </w:rPr>
        <w:t xml:space="preserve">             </w:t>
      </w:r>
    </w:p>
    <w:p>
      <w:pPr>
        <w:snapToGrid w:val="0"/>
        <w:spacing w:line="360" w:lineRule="auto"/>
        <w:ind w:firstLine="3360" w:firstLineChars="1600"/>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idowControl/>
        <w:spacing w:line="360" w:lineRule="auto"/>
        <w:jc w:val="left"/>
        <w:rPr>
          <w:rFonts w:ascii="宋体" w:hAnsi="宋体"/>
          <w:szCs w:val="21"/>
        </w:rPr>
      </w:pPr>
    </w:p>
    <w:p>
      <w:pPr>
        <w:widowControl/>
        <w:spacing w:line="360" w:lineRule="auto"/>
        <w:jc w:val="left"/>
        <w:rPr>
          <w:rFonts w:ascii="宋体" w:hAnsi="宋体"/>
          <w:b/>
          <w:sz w:val="24"/>
        </w:rPr>
      </w:pPr>
    </w:p>
    <w:p>
      <w:pPr>
        <w:widowControl/>
        <w:spacing w:line="360" w:lineRule="auto"/>
        <w:jc w:val="left"/>
        <w:rPr>
          <w:rFonts w:ascii="宋体" w:hAnsi="宋体"/>
          <w:b/>
          <w:szCs w:val="21"/>
        </w:rPr>
      </w:pPr>
      <w:r>
        <w:rPr>
          <w:rFonts w:hint="eastAsia" w:ascii="宋体" w:hAnsi="宋体"/>
          <w:b/>
          <w:szCs w:val="21"/>
        </w:rPr>
        <w:t>注：此页需加盖供应商公章，持空白页至磋商现场根据实际需要填写（现场填写）</w:t>
      </w:r>
      <w:r>
        <w:rPr>
          <w:rFonts w:hint="eastAsia" w:ascii="宋体" w:hAnsi="宋体"/>
          <w:szCs w:val="21"/>
        </w:rPr>
        <w:t>，</w:t>
      </w:r>
      <w:r>
        <w:rPr>
          <w:rFonts w:hint="eastAsia" w:ascii="宋体" w:hAnsi="宋体"/>
          <w:b/>
          <w:szCs w:val="21"/>
        </w:rPr>
        <w:t>响应文件中不附此表。</w:t>
      </w:r>
    </w:p>
    <w:p/>
    <w:p>
      <w:pPr>
        <w:pStyle w:val="97"/>
        <w:spacing w:line="360" w:lineRule="auto"/>
      </w:pPr>
    </w:p>
    <w:p>
      <w:pPr>
        <w:spacing w:line="360" w:lineRule="auto"/>
        <w:rPr>
          <w:sz w:val="32"/>
        </w:rPr>
      </w:pPr>
      <w:bookmarkStart w:id="779" w:name="_Toc5005092"/>
      <w:r>
        <w:rPr>
          <w:rFonts w:hint="eastAsia"/>
          <w:sz w:val="32"/>
        </w:rPr>
        <w:br w:type="page"/>
      </w:r>
    </w:p>
    <w:p>
      <w:pPr>
        <w:pStyle w:val="3"/>
        <w:spacing w:after="10" w:line="360" w:lineRule="auto"/>
      </w:pPr>
      <w:bookmarkStart w:id="780" w:name="_Toc3788_WPSOffice_Level1"/>
      <w:bookmarkStart w:id="781" w:name="_Toc14195"/>
      <w:bookmarkStart w:id="782" w:name="_Toc6290"/>
      <w:bookmarkStart w:id="783" w:name="_Toc30137"/>
      <w:bookmarkStart w:id="784" w:name="_Toc26078"/>
      <w:bookmarkStart w:id="785" w:name="_Toc4622"/>
      <w:bookmarkStart w:id="786" w:name="_Toc23455"/>
      <w:bookmarkStart w:id="787" w:name="_Toc29015"/>
      <w:bookmarkStart w:id="788" w:name="_Toc16665"/>
      <w:bookmarkStart w:id="789" w:name="_Toc2146"/>
      <w:r>
        <w:rPr>
          <w:rFonts w:hint="eastAsia"/>
        </w:rPr>
        <w:t>第八章  评审方法</w:t>
      </w:r>
      <w:bookmarkEnd w:id="487"/>
      <w:bookmarkEnd w:id="779"/>
      <w:bookmarkEnd w:id="780"/>
      <w:bookmarkEnd w:id="781"/>
      <w:bookmarkEnd w:id="782"/>
      <w:bookmarkEnd w:id="783"/>
      <w:bookmarkEnd w:id="784"/>
      <w:bookmarkEnd w:id="785"/>
      <w:bookmarkEnd w:id="786"/>
      <w:bookmarkEnd w:id="787"/>
      <w:bookmarkEnd w:id="788"/>
      <w:bookmarkEnd w:id="789"/>
    </w:p>
    <w:p>
      <w:pPr>
        <w:pStyle w:val="4"/>
        <w:keepNext w:val="0"/>
        <w:keepLines w:val="0"/>
        <w:spacing w:before="0" w:after="0" w:line="400" w:lineRule="exact"/>
        <w:ind w:firstLine="472" w:firstLineChars="196"/>
        <w:jc w:val="both"/>
        <w:rPr>
          <w:rFonts w:ascii="宋体" w:hAnsi="宋体"/>
          <w:sz w:val="24"/>
          <w:szCs w:val="24"/>
        </w:rPr>
      </w:pPr>
      <w:bookmarkStart w:id="790" w:name="_Toc4659789"/>
      <w:bookmarkStart w:id="791" w:name="_Toc14124"/>
      <w:bookmarkStart w:id="792" w:name="_Toc20461"/>
      <w:bookmarkStart w:id="793" w:name="_Toc23359_WPSOffice_Level2"/>
      <w:bookmarkStart w:id="794" w:name="_Toc5005093"/>
      <w:bookmarkStart w:id="795" w:name="_Toc4578913"/>
      <w:bookmarkStart w:id="796" w:name="_Toc3161"/>
      <w:bookmarkStart w:id="797" w:name="_Toc5592"/>
      <w:bookmarkStart w:id="798" w:name="_Toc4031"/>
      <w:bookmarkStart w:id="799" w:name="_Toc1877"/>
      <w:bookmarkStart w:id="800" w:name="_Toc3586"/>
      <w:bookmarkStart w:id="801" w:name="_Toc20270"/>
      <w:bookmarkStart w:id="802" w:name="_Toc101174146"/>
      <w:bookmarkStart w:id="803" w:name="_Toc101250640"/>
      <w:bookmarkStart w:id="804" w:name="_Toc101338358"/>
      <w:bookmarkStart w:id="805" w:name="_Toc209847065"/>
      <w:bookmarkStart w:id="806" w:name="_Toc430773924"/>
      <w:r>
        <w:rPr>
          <w:rFonts w:hint="eastAsia" w:ascii="宋体" w:hAnsi="宋体"/>
          <w:sz w:val="24"/>
          <w:szCs w:val="24"/>
        </w:rPr>
        <w:t>1.总则</w:t>
      </w:r>
      <w:bookmarkEnd w:id="790"/>
      <w:bookmarkEnd w:id="791"/>
      <w:bookmarkEnd w:id="792"/>
      <w:bookmarkEnd w:id="793"/>
      <w:bookmarkEnd w:id="794"/>
      <w:bookmarkEnd w:id="795"/>
      <w:bookmarkEnd w:id="796"/>
      <w:bookmarkEnd w:id="797"/>
      <w:bookmarkEnd w:id="798"/>
      <w:bookmarkEnd w:id="799"/>
      <w:bookmarkEnd w:id="800"/>
      <w:bookmarkEnd w:id="801"/>
    </w:p>
    <w:p>
      <w:pPr>
        <w:spacing w:line="400" w:lineRule="exact"/>
        <w:ind w:firstLine="420" w:firstLineChars="200"/>
      </w:pPr>
      <w:bookmarkStart w:id="807" w:name="_Toc5005094"/>
      <w:bookmarkStart w:id="808" w:name="_Toc4659790"/>
      <w:bookmarkStart w:id="809" w:name="_Toc4578914"/>
      <w:r>
        <w:rPr>
          <w:rFonts w:hint="eastAsia"/>
        </w:rPr>
        <w:t>1.1 参照《中华人民共和国政府采购法》、《中华人民共和国政府采购法实施条例》、《政府采购竞争性磋商采购方式管理暂行办法》等法律制度，结合本采购项目特点制定本磋商方法。</w:t>
      </w:r>
      <w:bookmarkEnd w:id="807"/>
      <w:bookmarkEnd w:id="808"/>
      <w:bookmarkEnd w:id="809"/>
    </w:p>
    <w:p>
      <w:pPr>
        <w:spacing w:line="400" w:lineRule="exact"/>
        <w:ind w:firstLine="420" w:firstLineChars="200"/>
      </w:pPr>
      <w:bookmarkStart w:id="810" w:name="_Toc4578915"/>
      <w:bookmarkStart w:id="811" w:name="_Toc5005095"/>
      <w:bookmarkStart w:id="812" w:name="_Toc4659791"/>
      <w:r>
        <w:rPr>
          <w:rFonts w:hint="eastAsia"/>
        </w:rPr>
        <w:t>1.2 磋商工作由采购代理机构负责组织，具体磋商由采购代理机构依法组建的磋商小组负责。</w:t>
      </w:r>
      <w:bookmarkEnd w:id="810"/>
      <w:bookmarkEnd w:id="811"/>
      <w:bookmarkEnd w:id="812"/>
    </w:p>
    <w:p>
      <w:pPr>
        <w:spacing w:line="400" w:lineRule="exact"/>
        <w:ind w:firstLine="420" w:firstLineChars="200"/>
      </w:pPr>
      <w:bookmarkStart w:id="813" w:name="_Toc4659792"/>
      <w:bookmarkStart w:id="814" w:name="_Toc4578916"/>
      <w:bookmarkStart w:id="815" w:name="_Toc5005096"/>
      <w:r>
        <w:rPr>
          <w:rFonts w:hint="eastAsia"/>
        </w:rPr>
        <w:t>1.3 磋商工作应遵循公平、公正、科学及择优的原则，并以相同的磋商程序和标准对待所有的供应商。</w:t>
      </w:r>
      <w:bookmarkEnd w:id="813"/>
      <w:bookmarkEnd w:id="814"/>
      <w:bookmarkEnd w:id="815"/>
    </w:p>
    <w:p>
      <w:pPr>
        <w:spacing w:line="400" w:lineRule="exact"/>
        <w:ind w:firstLine="420" w:firstLineChars="200"/>
      </w:pPr>
      <w:bookmarkStart w:id="816" w:name="_Toc4659793"/>
      <w:bookmarkStart w:id="817" w:name="_Toc5005097"/>
      <w:bookmarkStart w:id="818" w:name="_Toc4578917"/>
      <w:r>
        <w:rPr>
          <w:rFonts w:hint="eastAsia"/>
        </w:rPr>
        <w:t>1.4 磋商小组按照磋商文件规定的磋商程序、评分方法和标准进行评审，并独立履行下列职责：</w:t>
      </w:r>
      <w:bookmarkEnd w:id="816"/>
      <w:bookmarkEnd w:id="817"/>
      <w:bookmarkEnd w:id="818"/>
    </w:p>
    <w:p>
      <w:pPr>
        <w:spacing w:line="400" w:lineRule="exact"/>
        <w:ind w:firstLine="420" w:firstLineChars="200"/>
      </w:pPr>
      <w:bookmarkStart w:id="819" w:name="_Toc4578918"/>
      <w:bookmarkStart w:id="820" w:name="_Toc4659794"/>
      <w:bookmarkStart w:id="821" w:name="_Toc5005098"/>
      <w:r>
        <w:rPr>
          <w:rFonts w:hint="eastAsia"/>
        </w:rPr>
        <w:t>（一）熟悉和理解磋商文件，确定磋商文件内容是否违反国家有关强制性规定或者磋商文件存在歧义、重大缺陷，根据需要书面要求采购人、采购代理机构对磋商文件作出解释；</w:t>
      </w:r>
      <w:bookmarkEnd w:id="819"/>
      <w:bookmarkEnd w:id="820"/>
      <w:bookmarkEnd w:id="821"/>
    </w:p>
    <w:p>
      <w:pPr>
        <w:spacing w:line="400" w:lineRule="exact"/>
        <w:ind w:firstLine="420" w:firstLineChars="200"/>
      </w:pPr>
      <w:bookmarkStart w:id="822" w:name="_Toc4659795"/>
      <w:bookmarkStart w:id="823" w:name="_Toc4578919"/>
      <w:bookmarkStart w:id="824" w:name="_Toc5005099"/>
      <w:r>
        <w:rPr>
          <w:rFonts w:hint="eastAsia"/>
        </w:rPr>
        <w:t>（二）审查供应商响应文件是否满足磋商文件要求，并作出公正评价；</w:t>
      </w:r>
      <w:bookmarkEnd w:id="822"/>
      <w:bookmarkEnd w:id="823"/>
      <w:bookmarkEnd w:id="824"/>
    </w:p>
    <w:p>
      <w:pPr>
        <w:spacing w:line="400" w:lineRule="exact"/>
        <w:ind w:firstLine="420" w:firstLineChars="200"/>
      </w:pPr>
      <w:bookmarkStart w:id="825" w:name="_Toc4659796"/>
      <w:bookmarkStart w:id="826" w:name="_Toc5005100"/>
      <w:bookmarkStart w:id="827" w:name="_Toc4578920"/>
      <w:r>
        <w:rPr>
          <w:rFonts w:hint="eastAsia"/>
        </w:rPr>
        <w:t>（三）根据需要要求供应商对响应文件中含义不明确、同类问题表述不一致或者有明显文字和计算错误的内容等作出必要的澄清、说明或者更正；</w:t>
      </w:r>
      <w:bookmarkEnd w:id="825"/>
      <w:bookmarkEnd w:id="826"/>
      <w:bookmarkEnd w:id="827"/>
    </w:p>
    <w:p>
      <w:pPr>
        <w:spacing w:line="400" w:lineRule="exact"/>
        <w:ind w:firstLine="420" w:firstLineChars="200"/>
      </w:pPr>
      <w:bookmarkStart w:id="828" w:name="_Toc4578921"/>
      <w:bookmarkStart w:id="829" w:name="_Toc5005101"/>
      <w:bookmarkStart w:id="830" w:name="_Toc4659797"/>
      <w:r>
        <w:rPr>
          <w:rFonts w:hint="eastAsia"/>
        </w:rPr>
        <w:t>（四）推荐成交供应商，或者受采购人委托确定成交供应商；</w:t>
      </w:r>
      <w:bookmarkEnd w:id="828"/>
      <w:bookmarkEnd w:id="829"/>
      <w:bookmarkEnd w:id="830"/>
    </w:p>
    <w:p>
      <w:pPr>
        <w:spacing w:line="400" w:lineRule="exact"/>
        <w:ind w:firstLine="420" w:firstLineChars="200"/>
      </w:pPr>
      <w:bookmarkStart w:id="831" w:name="_Toc5005102"/>
      <w:bookmarkStart w:id="832" w:name="_Toc4578922"/>
      <w:bookmarkStart w:id="833" w:name="_Toc4659798"/>
      <w:r>
        <w:rPr>
          <w:rFonts w:hint="eastAsia"/>
        </w:rPr>
        <w:t>（五）起草评审报告并进行签署；</w:t>
      </w:r>
      <w:bookmarkEnd w:id="831"/>
      <w:bookmarkEnd w:id="832"/>
      <w:bookmarkEnd w:id="833"/>
    </w:p>
    <w:p>
      <w:pPr>
        <w:spacing w:line="400" w:lineRule="exact"/>
        <w:ind w:firstLine="420" w:firstLineChars="200"/>
      </w:pPr>
      <w:bookmarkStart w:id="834" w:name="_Toc4578923"/>
      <w:bookmarkStart w:id="835" w:name="_Toc4659799"/>
      <w:bookmarkStart w:id="836" w:name="_Toc5005103"/>
      <w:r>
        <w:rPr>
          <w:rFonts w:hint="eastAsia"/>
        </w:rPr>
        <w:t>（六）向采购人/采购代理机构、财政部门或者其他监督部门报告非法干预评审工作的行为；</w:t>
      </w:r>
      <w:bookmarkEnd w:id="834"/>
      <w:bookmarkEnd w:id="835"/>
      <w:bookmarkEnd w:id="836"/>
    </w:p>
    <w:p>
      <w:pPr>
        <w:spacing w:line="400" w:lineRule="exact"/>
        <w:ind w:firstLine="420" w:firstLineChars="200"/>
      </w:pPr>
      <w:bookmarkStart w:id="837" w:name="_Toc4659800"/>
      <w:bookmarkStart w:id="838" w:name="_Toc4578924"/>
      <w:bookmarkStart w:id="839" w:name="_Toc5005104"/>
      <w:r>
        <w:rPr>
          <w:rFonts w:hint="eastAsia"/>
        </w:rPr>
        <w:t>（七）法律、法规和规章规定的其他职责。</w:t>
      </w:r>
      <w:bookmarkEnd w:id="837"/>
      <w:bookmarkEnd w:id="838"/>
      <w:bookmarkEnd w:id="839"/>
    </w:p>
    <w:p>
      <w:pPr>
        <w:spacing w:line="400" w:lineRule="exact"/>
        <w:ind w:firstLine="420" w:firstLineChars="200"/>
      </w:pPr>
      <w:bookmarkStart w:id="840" w:name="_Toc5005105"/>
      <w:bookmarkStart w:id="841" w:name="_Toc4578925"/>
      <w:bookmarkStart w:id="842" w:name="_Toc4659801"/>
      <w:r>
        <w:rPr>
          <w:rFonts w:hint="eastAsia"/>
        </w:rPr>
        <w:t>1.5磋商过程独立、保密。供应商非法干预磋商过程的，其响应文件作无效处理。</w:t>
      </w:r>
      <w:bookmarkEnd w:id="840"/>
      <w:bookmarkEnd w:id="841"/>
      <w:bookmarkEnd w:id="842"/>
    </w:p>
    <w:p>
      <w:pPr>
        <w:pStyle w:val="4"/>
        <w:keepNext w:val="0"/>
        <w:keepLines w:val="0"/>
        <w:spacing w:before="0" w:after="0" w:line="400" w:lineRule="exact"/>
        <w:ind w:firstLine="472" w:firstLineChars="196"/>
        <w:jc w:val="both"/>
        <w:rPr>
          <w:rFonts w:ascii="宋体" w:hAnsi="宋体"/>
          <w:sz w:val="24"/>
          <w:szCs w:val="24"/>
        </w:rPr>
      </w:pPr>
      <w:bookmarkStart w:id="843" w:name="_Toc4578926"/>
      <w:bookmarkStart w:id="844" w:name="_Toc752"/>
      <w:bookmarkStart w:id="845" w:name="_Toc4659802"/>
      <w:bookmarkStart w:id="846" w:name="_Toc24065_WPSOffice_Level2"/>
      <w:bookmarkStart w:id="847" w:name="_Toc4434"/>
      <w:bookmarkStart w:id="848" w:name="_Toc5005106"/>
      <w:bookmarkStart w:id="849" w:name="_Toc22053"/>
      <w:bookmarkStart w:id="850" w:name="_Toc2981"/>
      <w:bookmarkStart w:id="851" w:name="_Toc13894"/>
      <w:bookmarkStart w:id="852" w:name="_Toc16845"/>
      <w:bookmarkStart w:id="853" w:name="_Toc27882"/>
      <w:bookmarkStart w:id="854" w:name="_Toc30511"/>
      <w:r>
        <w:rPr>
          <w:rFonts w:hint="eastAsia" w:ascii="宋体" w:hAnsi="宋体"/>
          <w:sz w:val="24"/>
          <w:szCs w:val="24"/>
        </w:rPr>
        <w:t>2.磋商程序</w:t>
      </w:r>
      <w:bookmarkEnd w:id="843"/>
      <w:bookmarkEnd w:id="844"/>
      <w:bookmarkEnd w:id="845"/>
      <w:bookmarkEnd w:id="846"/>
      <w:bookmarkEnd w:id="847"/>
      <w:bookmarkEnd w:id="848"/>
      <w:bookmarkEnd w:id="849"/>
      <w:bookmarkEnd w:id="850"/>
      <w:bookmarkEnd w:id="851"/>
      <w:bookmarkEnd w:id="852"/>
      <w:bookmarkEnd w:id="853"/>
      <w:bookmarkEnd w:id="854"/>
    </w:p>
    <w:p>
      <w:pPr>
        <w:snapToGrid w:val="0"/>
        <w:spacing w:line="400" w:lineRule="exact"/>
        <w:ind w:firstLine="420" w:firstLineChars="200"/>
        <w:rPr>
          <w:rFonts w:ascii="宋体" w:hAnsi="宋体" w:cs="宋体"/>
        </w:rPr>
      </w:pPr>
      <w:bookmarkStart w:id="855" w:name="_Toc5005107"/>
      <w:bookmarkStart w:id="856" w:name="_Toc4578927"/>
      <w:bookmarkStart w:id="857" w:name="_Toc4659803"/>
      <w:r>
        <w:rPr>
          <w:rFonts w:hint="eastAsia" w:ascii="宋体" w:hAnsi="宋体" w:cs="宋体"/>
        </w:rPr>
        <w:t>2.1审查磋商文件和停止评审。</w:t>
      </w:r>
      <w:bookmarkEnd w:id="855"/>
      <w:bookmarkEnd w:id="856"/>
      <w:bookmarkEnd w:id="857"/>
    </w:p>
    <w:p>
      <w:pPr>
        <w:snapToGrid w:val="0"/>
        <w:spacing w:line="400" w:lineRule="exact"/>
        <w:ind w:firstLine="420" w:firstLineChars="200"/>
        <w:rPr>
          <w:rFonts w:ascii="宋体" w:hAnsi="宋体" w:cs="宋体"/>
        </w:rPr>
      </w:pPr>
      <w:bookmarkStart w:id="858" w:name="_Toc4659804"/>
      <w:bookmarkStart w:id="859" w:name="_Toc5005108"/>
      <w:bookmarkStart w:id="860" w:name="_Toc4578928"/>
      <w:r>
        <w:rPr>
          <w:rFonts w:hint="eastAsia" w:ascii="宋体" w:hAnsi="宋体" w:cs="宋体"/>
        </w:rPr>
        <w:t>2.1.1 磋商小组正式评审前，应当对磋商文件进行熟悉和理解，内容主要包括磋商文件中供应商资格条件要求、采购项目技术、服务和商务要求、磋商办法和标准、采购政策要求以及采购合同主要条款等。</w:t>
      </w:r>
      <w:bookmarkEnd w:id="858"/>
      <w:bookmarkEnd w:id="859"/>
      <w:bookmarkEnd w:id="860"/>
    </w:p>
    <w:p>
      <w:pPr>
        <w:snapToGrid w:val="0"/>
        <w:spacing w:line="400" w:lineRule="exact"/>
        <w:ind w:firstLine="420" w:firstLineChars="200"/>
        <w:rPr>
          <w:rFonts w:ascii="宋体" w:hAnsi="宋体" w:cs="宋体"/>
        </w:rPr>
      </w:pPr>
      <w:bookmarkStart w:id="861" w:name="_Toc5005109"/>
      <w:bookmarkStart w:id="862" w:name="_Toc4659805"/>
      <w:bookmarkStart w:id="863" w:name="_Toc4578929"/>
      <w:r>
        <w:rPr>
          <w:rFonts w:hint="eastAsia" w:ascii="宋体" w:hAnsi="宋体" w:cs="宋体"/>
        </w:rPr>
        <w:t>2.1.2 本磋商文件有下列情形之一的，磋商小组应当停止评审：</w:t>
      </w:r>
      <w:bookmarkEnd w:id="861"/>
      <w:bookmarkEnd w:id="862"/>
      <w:bookmarkEnd w:id="863"/>
    </w:p>
    <w:p>
      <w:pPr>
        <w:snapToGrid w:val="0"/>
        <w:spacing w:line="400" w:lineRule="exact"/>
        <w:ind w:firstLine="420" w:firstLineChars="200"/>
        <w:rPr>
          <w:rFonts w:ascii="宋体" w:hAnsi="宋体" w:cs="宋体"/>
        </w:rPr>
      </w:pPr>
      <w:bookmarkStart w:id="864" w:name="_Toc4659806"/>
      <w:bookmarkStart w:id="865" w:name="_Toc5005110"/>
      <w:bookmarkStart w:id="866" w:name="_Toc4578930"/>
      <w:r>
        <w:rPr>
          <w:rFonts w:hint="eastAsia" w:ascii="宋体" w:hAnsi="宋体" w:cs="宋体"/>
        </w:rPr>
        <w:t>（1）磋商文件的规定存在歧义、重大缺陷的；</w:t>
      </w:r>
      <w:bookmarkEnd w:id="864"/>
      <w:bookmarkEnd w:id="865"/>
      <w:bookmarkEnd w:id="866"/>
    </w:p>
    <w:p>
      <w:pPr>
        <w:snapToGrid w:val="0"/>
        <w:spacing w:line="400" w:lineRule="exact"/>
        <w:ind w:firstLine="420" w:firstLineChars="200"/>
        <w:rPr>
          <w:rFonts w:ascii="宋体" w:hAnsi="宋体" w:cs="宋体"/>
        </w:rPr>
      </w:pPr>
      <w:bookmarkStart w:id="867" w:name="_Toc4659807"/>
      <w:bookmarkStart w:id="868" w:name="_Toc5005111"/>
      <w:bookmarkStart w:id="869" w:name="_Toc4578931"/>
      <w:r>
        <w:rPr>
          <w:rFonts w:hint="eastAsia" w:ascii="宋体" w:hAnsi="宋体" w:cs="宋体"/>
        </w:rPr>
        <w:t>（2）磋商文件明显以不合理条件对供应商实行差别待遇或者歧视待遇的；</w:t>
      </w:r>
      <w:bookmarkEnd w:id="867"/>
      <w:bookmarkEnd w:id="868"/>
      <w:bookmarkEnd w:id="869"/>
    </w:p>
    <w:p>
      <w:pPr>
        <w:snapToGrid w:val="0"/>
        <w:spacing w:line="400" w:lineRule="exact"/>
        <w:ind w:firstLine="420" w:firstLineChars="200"/>
        <w:rPr>
          <w:rFonts w:ascii="宋体" w:hAnsi="宋体" w:cs="宋体"/>
        </w:rPr>
      </w:pPr>
      <w:bookmarkStart w:id="870" w:name="_Toc4578932"/>
      <w:bookmarkStart w:id="871" w:name="_Toc5005112"/>
      <w:bookmarkStart w:id="872" w:name="_Toc4659808"/>
      <w:r>
        <w:rPr>
          <w:rFonts w:hint="eastAsia" w:ascii="宋体" w:hAnsi="宋体" w:cs="宋体"/>
        </w:rPr>
        <w:t>（3）采购项目属于国家规定的优先、强制采购范围，但是磋商文件未依法体现优先、强制采购相关规定的；</w:t>
      </w:r>
      <w:bookmarkEnd w:id="870"/>
      <w:bookmarkEnd w:id="871"/>
      <w:bookmarkEnd w:id="872"/>
    </w:p>
    <w:p>
      <w:pPr>
        <w:snapToGrid w:val="0"/>
        <w:spacing w:line="400" w:lineRule="exact"/>
        <w:ind w:firstLine="420" w:firstLineChars="200"/>
        <w:rPr>
          <w:rFonts w:ascii="宋体" w:hAnsi="宋体" w:cs="宋体"/>
        </w:rPr>
      </w:pPr>
      <w:bookmarkStart w:id="873" w:name="_Toc4578933"/>
      <w:bookmarkStart w:id="874" w:name="_Toc5005113"/>
      <w:bookmarkStart w:id="875" w:name="_Toc4659809"/>
      <w:r>
        <w:rPr>
          <w:rFonts w:hint="eastAsia" w:ascii="宋体" w:hAnsi="宋体" w:cs="宋体"/>
        </w:rPr>
        <w:t>（4）采购项目属于政府采购促进中小企业发展的范围，但是磋商文件未依法体现促进中小企业发展相关规定的；</w:t>
      </w:r>
      <w:bookmarkEnd w:id="873"/>
      <w:bookmarkEnd w:id="874"/>
      <w:bookmarkEnd w:id="875"/>
    </w:p>
    <w:p>
      <w:pPr>
        <w:snapToGrid w:val="0"/>
        <w:spacing w:line="400" w:lineRule="exact"/>
        <w:ind w:firstLine="420" w:firstLineChars="200"/>
        <w:rPr>
          <w:rFonts w:ascii="宋体" w:hAnsi="宋体" w:cs="宋体"/>
        </w:rPr>
      </w:pPr>
      <w:bookmarkStart w:id="876" w:name="_Toc4578934"/>
      <w:bookmarkStart w:id="877" w:name="_Toc4659810"/>
      <w:bookmarkStart w:id="878" w:name="_Toc5005114"/>
      <w:r>
        <w:rPr>
          <w:rFonts w:hint="eastAsia" w:ascii="宋体" w:hAnsi="宋体" w:cs="宋体"/>
        </w:rPr>
        <w:t>（5）磋商文件将供应商的资格条件列为评分因素的；</w:t>
      </w:r>
      <w:bookmarkEnd w:id="876"/>
      <w:bookmarkEnd w:id="877"/>
      <w:bookmarkEnd w:id="878"/>
    </w:p>
    <w:p>
      <w:pPr>
        <w:snapToGrid w:val="0"/>
        <w:spacing w:line="400" w:lineRule="exact"/>
        <w:ind w:firstLine="420" w:firstLineChars="200"/>
        <w:rPr>
          <w:rFonts w:ascii="宋体" w:hAnsi="宋体" w:cs="宋体"/>
        </w:rPr>
      </w:pPr>
      <w:bookmarkStart w:id="879" w:name="_Toc4578935"/>
      <w:bookmarkStart w:id="880" w:name="_Toc4659811"/>
      <w:bookmarkStart w:id="881" w:name="_Toc5005115"/>
      <w:r>
        <w:rPr>
          <w:rFonts w:hint="eastAsia" w:ascii="宋体" w:hAnsi="宋体" w:cs="宋体"/>
        </w:rPr>
        <w:t>（6）磋商文件载明的成交原则不合法的；</w:t>
      </w:r>
      <w:bookmarkEnd w:id="879"/>
      <w:bookmarkEnd w:id="880"/>
      <w:bookmarkEnd w:id="881"/>
    </w:p>
    <w:p>
      <w:pPr>
        <w:snapToGrid w:val="0"/>
        <w:spacing w:line="400" w:lineRule="exact"/>
        <w:ind w:firstLine="420" w:firstLineChars="200"/>
        <w:rPr>
          <w:rFonts w:ascii="宋体" w:hAnsi="宋体" w:cs="宋体"/>
        </w:rPr>
      </w:pPr>
      <w:bookmarkStart w:id="882" w:name="_Toc5005116"/>
      <w:bookmarkStart w:id="883" w:name="_Toc4578936"/>
      <w:bookmarkStart w:id="884" w:name="_Toc4659812"/>
      <w:r>
        <w:rPr>
          <w:rFonts w:hint="eastAsia" w:ascii="宋体" w:hAnsi="宋体" w:cs="宋体"/>
        </w:rPr>
        <w:t>（7）磋商文件有违反国家其他有关强制性规定的情形。</w:t>
      </w:r>
      <w:bookmarkEnd w:id="882"/>
      <w:bookmarkEnd w:id="883"/>
      <w:bookmarkEnd w:id="884"/>
    </w:p>
    <w:p>
      <w:pPr>
        <w:snapToGrid w:val="0"/>
        <w:spacing w:line="400" w:lineRule="exact"/>
        <w:ind w:firstLine="420" w:firstLineChars="200"/>
        <w:rPr>
          <w:rFonts w:ascii="宋体" w:hAnsi="宋体" w:cs="宋体"/>
        </w:rPr>
      </w:pPr>
      <w:bookmarkStart w:id="885" w:name="_Toc4578937"/>
      <w:bookmarkStart w:id="886" w:name="_Toc5005117"/>
      <w:bookmarkStart w:id="887" w:name="_Toc4659813"/>
      <w:r>
        <w:rPr>
          <w:rFonts w:hint="eastAsia" w:ascii="宋体" w:hAnsi="宋体" w:cs="宋体"/>
        </w:rPr>
        <w:t>2.1.3 出现本条2.1.2规定应当停止评审情形的，磋商小组应当向采购组织单位书面书面说明情况。除本条规定的情形外，磋商小组不得以任何方式和理由停止评审。</w:t>
      </w:r>
      <w:bookmarkEnd w:id="885"/>
      <w:bookmarkEnd w:id="886"/>
      <w:bookmarkEnd w:id="887"/>
    </w:p>
    <w:p>
      <w:pPr>
        <w:snapToGrid w:val="0"/>
        <w:spacing w:line="400" w:lineRule="exact"/>
        <w:ind w:firstLine="420" w:firstLineChars="200"/>
        <w:rPr>
          <w:rFonts w:ascii="宋体" w:hAnsi="宋体" w:cs="宋体"/>
        </w:rPr>
      </w:pPr>
      <w:bookmarkStart w:id="888" w:name="_Toc4578938"/>
      <w:bookmarkStart w:id="889" w:name="_Toc4659814"/>
      <w:bookmarkStart w:id="890" w:name="_Toc5005118"/>
      <w:r>
        <w:rPr>
          <w:rFonts w:hint="eastAsia" w:ascii="宋体" w:hAnsi="宋体" w:cs="宋体"/>
        </w:rPr>
        <w:t>2.2资格性审查。</w:t>
      </w:r>
      <w:bookmarkEnd w:id="888"/>
      <w:bookmarkEnd w:id="889"/>
      <w:bookmarkEnd w:id="890"/>
    </w:p>
    <w:p>
      <w:pPr>
        <w:snapToGrid w:val="0"/>
        <w:spacing w:line="400" w:lineRule="exact"/>
        <w:ind w:firstLine="420" w:firstLineChars="200"/>
        <w:rPr>
          <w:rFonts w:ascii="宋体" w:hAnsi="宋体" w:cs="宋体"/>
        </w:rPr>
      </w:pPr>
      <w:bookmarkStart w:id="891" w:name="_Toc4578939"/>
      <w:bookmarkStart w:id="892" w:name="_Toc4659815"/>
      <w:bookmarkStart w:id="893" w:name="_Toc5005119"/>
      <w:r>
        <w:rPr>
          <w:rFonts w:hint="eastAsia" w:ascii="宋体" w:hAnsi="宋体" w:cs="宋体"/>
        </w:rPr>
        <w:t>2.2.1本项目需要磋商小组进行资格性检查。</w:t>
      </w:r>
      <w:bookmarkEnd w:id="891"/>
      <w:bookmarkEnd w:id="892"/>
      <w:bookmarkEnd w:id="893"/>
    </w:p>
    <w:p>
      <w:pPr>
        <w:snapToGrid w:val="0"/>
        <w:spacing w:line="400" w:lineRule="exact"/>
        <w:ind w:firstLine="420" w:firstLineChars="200"/>
        <w:rPr>
          <w:rFonts w:ascii="宋体" w:hAnsi="宋体" w:cs="宋体"/>
        </w:rPr>
      </w:pPr>
      <w:bookmarkStart w:id="894" w:name="_Toc4578940"/>
      <w:bookmarkStart w:id="895" w:name="_Toc4659816"/>
      <w:bookmarkStart w:id="896" w:name="_Toc5005120"/>
      <w:r>
        <w:rPr>
          <w:rFonts w:hint="eastAsia" w:ascii="宋体" w:hAnsi="宋体" w:cs="宋体"/>
        </w:rPr>
        <w:t>磋商小组应依据法律法规和磋商文件的规定，对响应文件是否按照规定要求提供资格性证明材料、是否属于禁止参加磋商的供应商等进行审查，以确定供应商是否具备磋商资格。</w:t>
      </w:r>
      <w:bookmarkEnd w:id="894"/>
      <w:bookmarkEnd w:id="895"/>
      <w:bookmarkEnd w:id="896"/>
    </w:p>
    <w:p>
      <w:pPr>
        <w:snapToGrid w:val="0"/>
        <w:spacing w:line="400" w:lineRule="exact"/>
        <w:ind w:firstLine="420" w:firstLineChars="200"/>
        <w:rPr>
          <w:rFonts w:ascii="宋体" w:hAnsi="宋体" w:cs="宋体"/>
        </w:rPr>
      </w:pPr>
      <w:bookmarkStart w:id="897" w:name="_Toc5005121"/>
      <w:bookmarkStart w:id="898" w:name="_Toc4659817"/>
      <w:bookmarkStart w:id="899" w:name="_Toc4578941"/>
      <w:r>
        <w:rPr>
          <w:rFonts w:hint="eastAsia" w:ascii="宋体" w:hAnsi="宋体" w:cs="宋体"/>
        </w:rPr>
        <w:t>2.2.2资格性审查结束后，磋商小组应当出具资格性审查报告，没有通过资格审查的供应商，磋商小组应当在资格审查报告中说明原因。</w:t>
      </w:r>
      <w:bookmarkEnd w:id="897"/>
      <w:bookmarkEnd w:id="898"/>
      <w:bookmarkEnd w:id="899"/>
    </w:p>
    <w:p>
      <w:pPr>
        <w:snapToGrid w:val="0"/>
        <w:spacing w:line="400" w:lineRule="exact"/>
        <w:ind w:firstLine="420" w:firstLineChars="200"/>
        <w:rPr>
          <w:rFonts w:ascii="宋体" w:hAnsi="宋体" w:cs="宋体"/>
        </w:rPr>
      </w:pPr>
      <w:bookmarkStart w:id="900" w:name="_Toc5005122"/>
      <w:bookmarkStart w:id="901" w:name="_Toc4578942"/>
      <w:bookmarkStart w:id="902" w:name="_Toc4659818"/>
      <w:r>
        <w:rPr>
          <w:rFonts w:hint="eastAsia" w:ascii="宋体" w:hAnsi="宋体" w:cs="宋体"/>
        </w:rPr>
        <w:t>2.2.3采购人或者采购代理机构宣布未通过资格性审查的供应商名单时，应当告知供应商未通过审查的原因。</w:t>
      </w:r>
      <w:bookmarkEnd w:id="900"/>
      <w:bookmarkEnd w:id="901"/>
      <w:bookmarkEnd w:id="902"/>
    </w:p>
    <w:p>
      <w:pPr>
        <w:snapToGrid w:val="0"/>
        <w:spacing w:line="400" w:lineRule="exact"/>
        <w:ind w:firstLine="420" w:firstLineChars="200"/>
        <w:rPr>
          <w:rFonts w:ascii="宋体" w:hAnsi="宋体" w:cs="宋体"/>
        </w:rPr>
      </w:pPr>
      <w:bookmarkStart w:id="903" w:name="_Toc4659819"/>
      <w:bookmarkStart w:id="904" w:name="_Toc4578943"/>
      <w:bookmarkStart w:id="905" w:name="_Toc5005123"/>
      <w:r>
        <w:rPr>
          <w:rFonts w:hint="eastAsia" w:ascii="宋体" w:hAnsi="宋体" w:cs="宋体"/>
        </w:rPr>
        <w:t>2.3 通过资格性审查的供应商不足3家的（本章2.3.1的情况除外），终止本次采购活动，并发布终止采购活动公告。</w:t>
      </w:r>
      <w:bookmarkEnd w:id="903"/>
      <w:bookmarkEnd w:id="904"/>
      <w:bookmarkEnd w:id="905"/>
    </w:p>
    <w:p>
      <w:pPr>
        <w:snapToGrid w:val="0"/>
        <w:spacing w:line="400" w:lineRule="exact"/>
        <w:ind w:firstLine="420" w:firstLineChars="200"/>
        <w:rPr>
          <w:rFonts w:ascii="宋体" w:hAnsi="宋体" w:cs="宋体"/>
          <w:lang w:val="zh-CN"/>
        </w:rPr>
      </w:pPr>
      <w:r>
        <w:rPr>
          <w:rFonts w:hint="eastAsia" w:ascii="宋体" w:hAnsi="宋体" w:cs="宋体"/>
        </w:rPr>
        <w:t>2.3.1</w:t>
      </w:r>
      <w:r>
        <w:rPr>
          <w:rFonts w:hint="eastAsia" w:ascii="宋体" w:hAnsi="宋体" w:cs="宋体"/>
          <w:lang w:val="zh-CN"/>
        </w:rPr>
        <w:t>参照执行《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snapToGrid w:val="0"/>
        <w:spacing w:line="400" w:lineRule="exact"/>
        <w:ind w:firstLine="420" w:firstLineChars="200"/>
        <w:rPr>
          <w:rFonts w:ascii="宋体" w:hAnsi="宋体" w:cs="宋体"/>
        </w:rPr>
      </w:pPr>
      <w:bookmarkStart w:id="906" w:name="_Toc4659820"/>
      <w:bookmarkStart w:id="907" w:name="_Toc4578944"/>
      <w:bookmarkStart w:id="908" w:name="_Toc5005124"/>
      <w:r>
        <w:rPr>
          <w:rFonts w:hint="eastAsia" w:ascii="宋体" w:hAnsi="宋体" w:cs="宋体"/>
        </w:rPr>
        <w:t>2.4磋商。</w:t>
      </w:r>
      <w:bookmarkEnd w:id="906"/>
      <w:bookmarkEnd w:id="907"/>
      <w:bookmarkEnd w:id="908"/>
    </w:p>
    <w:p>
      <w:pPr>
        <w:snapToGrid w:val="0"/>
        <w:spacing w:line="400" w:lineRule="exact"/>
        <w:ind w:firstLine="420" w:firstLineChars="200"/>
        <w:rPr>
          <w:rFonts w:ascii="宋体" w:hAnsi="宋体" w:cs="宋体"/>
        </w:rPr>
      </w:pPr>
      <w:bookmarkStart w:id="909" w:name="_Toc4578945"/>
      <w:bookmarkStart w:id="910" w:name="_Toc5005125"/>
      <w:bookmarkStart w:id="911" w:name="_Toc4659821"/>
      <w:r>
        <w:rPr>
          <w:rFonts w:hint="eastAsia" w:ascii="宋体" w:hAnsi="宋体" w:cs="宋体"/>
        </w:rPr>
        <w:t>2.4.1磋商小组所有成员集中与单一供应商分别进行一轮或多轮磋商，并给予所有参加磋商的供应商平等的磋商机会。磋商顺序以现场抽签的方式确定。磋商过程中，磋商小组可以根据磋商情况调整磋商轮次。</w:t>
      </w:r>
      <w:bookmarkEnd w:id="909"/>
      <w:bookmarkEnd w:id="910"/>
      <w:bookmarkEnd w:id="911"/>
    </w:p>
    <w:p>
      <w:pPr>
        <w:snapToGrid w:val="0"/>
        <w:spacing w:line="400" w:lineRule="exact"/>
        <w:ind w:firstLine="420" w:firstLineChars="200"/>
        <w:rPr>
          <w:rFonts w:ascii="宋体" w:hAnsi="宋体" w:cs="宋体"/>
        </w:rPr>
      </w:pPr>
      <w:bookmarkStart w:id="912" w:name="_Toc4578946"/>
      <w:bookmarkStart w:id="913" w:name="_Toc5005126"/>
      <w:bookmarkStart w:id="914" w:name="_Toc4659822"/>
      <w:r>
        <w:rPr>
          <w:rFonts w:hint="eastAsia" w:ascii="宋体" w:hAnsi="宋体" w:cs="宋体"/>
        </w:rPr>
        <w:t>2.4.2每轮磋商开始前，磋商小组应根据磋商文件的规定，并结合各供应商的响应文件拟定磋商内容。</w:t>
      </w:r>
      <w:bookmarkEnd w:id="912"/>
      <w:bookmarkEnd w:id="913"/>
      <w:bookmarkEnd w:id="914"/>
    </w:p>
    <w:p>
      <w:pPr>
        <w:snapToGrid w:val="0"/>
        <w:spacing w:line="400" w:lineRule="exact"/>
        <w:ind w:firstLine="420" w:firstLineChars="200"/>
        <w:rPr>
          <w:rFonts w:ascii="宋体" w:hAnsi="宋体" w:cs="宋体"/>
        </w:rPr>
      </w:pPr>
      <w:bookmarkStart w:id="915" w:name="_Toc5005127"/>
      <w:bookmarkStart w:id="916" w:name="_Toc4578947"/>
      <w:bookmarkStart w:id="917" w:name="_Toc4659823"/>
      <w:r>
        <w:rPr>
          <w:rFonts w:hint="eastAsia" w:ascii="宋体" w:hAnsi="宋体" w:cs="宋体"/>
        </w:rPr>
        <w:t>2.4.3在磋商过程中，磋商小组可以根据磋商文件和磋商情况实质性变动磋商文件的技术、服务要求以及合同草案条款，但不得变动磋商文件中的其他内容。实质性变动的内容，须经采购人代表书面确认。</w:t>
      </w:r>
      <w:bookmarkEnd w:id="915"/>
      <w:bookmarkEnd w:id="916"/>
      <w:bookmarkEnd w:id="917"/>
    </w:p>
    <w:p>
      <w:pPr>
        <w:snapToGrid w:val="0"/>
        <w:spacing w:line="400" w:lineRule="exact"/>
        <w:ind w:firstLine="420" w:firstLineChars="200"/>
        <w:rPr>
          <w:rFonts w:ascii="宋体" w:hAnsi="宋体" w:cs="宋体"/>
        </w:rPr>
      </w:pPr>
      <w:bookmarkStart w:id="918" w:name="_Toc4578948"/>
      <w:bookmarkStart w:id="919" w:name="_Toc5005128"/>
      <w:bookmarkStart w:id="920" w:name="_Toc4659824"/>
      <w:r>
        <w:rPr>
          <w:rFonts w:hint="eastAsia" w:ascii="宋体" w:hAnsi="宋体" w:cs="宋体"/>
        </w:rPr>
        <w:t>2.4.4对磋商文件作出的实质性变动是磋商文件的有效组成部分，磋商小组应当及时以书面形式同时通知所有参加磋商的供应商。</w:t>
      </w:r>
      <w:bookmarkEnd w:id="918"/>
      <w:bookmarkEnd w:id="919"/>
      <w:bookmarkEnd w:id="920"/>
    </w:p>
    <w:p>
      <w:pPr>
        <w:snapToGrid w:val="0"/>
        <w:spacing w:line="400" w:lineRule="exact"/>
        <w:ind w:firstLine="420" w:firstLineChars="200"/>
        <w:rPr>
          <w:rFonts w:ascii="宋体" w:hAnsi="宋体" w:cs="宋体"/>
        </w:rPr>
      </w:pPr>
      <w:bookmarkStart w:id="921" w:name="_Toc4578949"/>
      <w:bookmarkStart w:id="922" w:name="_Toc4659825"/>
      <w:bookmarkStart w:id="923" w:name="_Toc5005129"/>
      <w:r>
        <w:rPr>
          <w:rFonts w:hint="eastAsia" w:ascii="宋体" w:hAnsi="宋体" w:cs="宋体"/>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bookmarkEnd w:id="921"/>
      <w:bookmarkEnd w:id="922"/>
      <w:bookmarkEnd w:id="923"/>
      <w:r>
        <w:rPr>
          <w:rFonts w:hint="eastAsia" w:ascii="宋体" w:hAnsi="宋体" w:cs="宋体"/>
        </w:rPr>
        <w:t xml:space="preserve"> </w:t>
      </w:r>
    </w:p>
    <w:p>
      <w:pPr>
        <w:snapToGrid w:val="0"/>
        <w:spacing w:line="400" w:lineRule="exact"/>
        <w:ind w:firstLine="420" w:firstLineChars="200"/>
        <w:rPr>
          <w:rFonts w:ascii="宋体" w:hAnsi="宋体" w:cs="宋体"/>
          <w:lang w:val="zh-CN"/>
        </w:rPr>
      </w:pPr>
      <w:r>
        <w:rPr>
          <w:rFonts w:hint="eastAsia" w:ascii="宋体" w:hAnsi="宋体" w:cs="宋体"/>
        </w:rPr>
        <w:t>2.4.6磋商过程中，</w:t>
      </w:r>
      <w:r>
        <w:rPr>
          <w:rFonts w:hint="eastAsia" w:ascii="宋体" w:hAnsi="宋体" w:cs="宋体"/>
          <w:lang w:val="zh-CN"/>
        </w:rPr>
        <w:t>磋商小组对响应文件的有效性、完整性和响应程度进行审查，审查中发现供应商响应文件属于下列情况之一的，应按照无效响应文件处理：</w:t>
      </w:r>
    </w:p>
    <w:p>
      <w:pPr>
        <w:snapToGrid w:val="0"/>
        <w:spacing w:line="400" w:lineRule="exact"/>
        <w:ind w:firstLine="420" w:firstLineChars="200"/>
        <w:rPr>
          <w:rFonts w:ascii="宋体" w:hAnsi="宋体" w:cs="宋体"/>
          <w:lang w:val="zh-CN"/>
        </w:rPr>
      </w:pPr>
      <w:r>
        <w:rPr>
          <w:rFonts w:hint="eastAsia" w:ascii="宋体" w:hAnsi="宋体" w:cs="宋体"/>
          <w:lang w:val="zh-CN"/>
        </w:rPr>
        <w:t>（1）响应文件正副本数量不足的；</w:t>
      </w:r>
    </w:p>
    <w:p>
      <w:pPr>
        <w:snapToGrid w:val="0"/>
        <w:spacing w:line="400" w:lineRule="exact"/>
        <w:ind w:firstLine="420" w:firstLineChars="200"/>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）响应文件组成明显不符合采购文件的规定要求，影响评审委员会评判的；</w:t>
      </w:r>
    </w:p>
    <w:p>
      <w:pPr>
        <w:snapToGrid w:val="0"/>
        <w:spacing w:line="400" w:lineRule="exact"/>
        <w:ind w:firstLine="420" w:firstLineChars="200"/>
        <w:rPr>
          <w:rFonts w:ascii="宋体" w:hAnsi="宋体" w:cs="宋体"/>
          <w:lang w:val="zh-CN"/>
        </w:rPr>
      </w:pPr>
      <w:r>
        <w:rPr>
          <w:rFonts w:hint="eastAsia" w:ascii="宋体" w:hAnsi="宋体" w:cs="宋体"/>
          <w:lang w:val="zh-CN"/>
        </w:rPr>
        <w:t>（</w:t>
      </w:r>
      <w:r>
        <w:rPr>
          <w:rFonts w:hint="eastAsia" w:ascii="宋体" w:hAnsi="宋体" w:cs="宋体"/>
        </w:rPr>
        <w:t>3</w:t>
      </w:r>
      <w:r>
        <w:rPr>
          <w:rFonts w:hint="eastAsia" w:ascii="宋体" w:hAnsi="宋体" w:cs="宋体"/>
          <w:lang w:val="zh-CN"/>
        </w:rPr>
        <w:t>）响应文件的语言、计量单位、知识产权、响应有效期等不符合采购文件的规定，影响磋商小组评判的；</w:t>
      </w:r>
    </w:p>
    <w:p>
      <w:pPr>
        <w:snapToGrid w:val="0"/>
        <w:spacing w:line="400" w:lineRule="exact"/>
        <w:ind w:firstLine="420" w:firstLineChars="200"/>
        <w:rPr>
          <w:rFonts w:ascii="宋体" w:hAnsi="宋体" w:cs="宋体"/>
          <w:lang w:val="zh-CN"/>
        </w:rPr>
      </w:pPr>
      <w:r>
        <w:rPr>
          <w:rFonts w:hint="eastAsia" w:ascii="宋体" w:hAnsi="宋体" w:cs="宋体"/>
          <w:lang w:val="zh-CN"/>
        </w:rPr>
        <w:t>（4）经最终磋商后，供应商的响应文件仍不能完全响应采购文件的实质性要求的；</w:t>
      </w:r>
    </w:p>
    <w:p>
      <w:pPr>
        <w:snapToGrid w:val="0"/>
        <w:spacing w:line="400" w:lineRule="exact"/>
        <w:ind w:firstLine="420" w:firstLineChars="200"/>
        <w:rPr>
          <w:rFonts w:ascii="宋体" w:hAnsi="宋体" w:cs="宋体"/>
        </w:rPr>
      </w:pPr>
      <w:r>
        <w:rPr>
          <w:rFonts w:hint="eastAsia" w:ascii="宋体" w:hAnsi="宋体" w:cs="宋体"/>
          <w:lang w:val="zh-CN"/>
        </w:rPr>
        <w:t xml:space="preserve"> (5)</w:t>
      </w:r>
      <w:r>
        <w:rPr>
          <w:rFonts w:hint="eastAsia" w:ascii="宋体" w:hAnsi="宋体" w:cs="宋体"/>
        </w:rPr>
        <w:t xml:space="preserve"> 未载明或者载明的采购项目履约时间、方式、数量及其他采购合同实质性内容与本竞争性磋商文件要求不一致，且采购单位无法接受的。</w:t>
      </w:r>
    </w:p>
    <w:p>
      <w:pPr>
        <w:snapToGrid w:val="0"/>
        <w:spacing w:line="400" w:lineRule="exact"/>
        <w:ind w:firstLine="420" w:firstLineChars="200"/>
        <w:rPr>
          <w:rFonts w:ascii="宋体" w:hAnsi="宋体" w:cs="宋体"/>
        </w:rPr>
      </w:pPr>
      <w:r>
        <w:rPr>
          <w:rFonts w:hint="eastAsia" w:ascii="宋体" w:hAnsi="宋体" w:cs="宋体"/>
        </w:rPr>
        <w:t xml:space="preserve"> (6)属于竞争性磋商文件中无效响应情形的。</w:t>
      </w:r>
    </w:p>
    <w:p>
      <w:pPr>
        <w:snapToGrid w:val="0"/>
        <w:spacing w:line="400" w:lineRule="exact"/>
        <w:ind w:firstLine="420" w:firstLineChars="200"/>
        <w:rPr>
          <w:rFonts w:ascii="宋体" w:hAnsi="宋体" w:cs="宋体"/>
          <w:lang w:val="zh-CN"/>
        </w:rPr>
      </w:pPr>
      <w:r>
        <w:rPr>
          <w:rFonts w:hint="eastAsia" w:ascii="宋体" w:hAnsi="宋体" w:cs="宋体"/>
          <w:lang w:val="zh-CN"/>
        </w:rPr>
        <w:t>但磋商小组对响应文件签署、盖章等进行审查过程中，有下列情形的，磋商小组应当评定为不影响整个响应文件有效性和采购活动公平竞争，并通过响应文件的有效性审查：</w:t>
      </w:r>
    </w:p>
    <w:p>
      <w:pPr>
        <w:snapToGrid w:val="0"/>
        <w:spacing w:line="400" w:lineRule="exact"/>
        <w:ind w:firstLine="420" w:firstLineChars="200"/>
        <w:rPr>
          <w:rFonts w:ascii="宋体" w:hAnsi="宋体" w:cs="宋体"/>
          <w:lang w:val="zh-CN"/>
        </w:rPr>
      </w:pPr>
      <w:r>
        <w:rPr>
          <w:rFonts w:hint="eastAsia" w:ascii="宋体" w:hAnsi="宋体" w:cs="宋体"/>
          <w:lang w:val="zh-CN"/>
        </w:rPr>
        <w:t xml:space="preserve"> （</w:t>
      </w:r>
      <w:r>
        <w:rPr>
          <w:rFonts w:hint="eastAsia" w:ascii="宋体" w:hAnsi="宋体" w:cs="宋体"/>
        </w:rPr>
        <w:t>1</w:t>
      </w:r>
      <w:r>
        <w:rPr>
          <w:rFonts w:hint="eastAsia" w:ascii="宋体" w:hAnsi="宋体" w:cs="宋体"/>
          <w:lang w:val="zh-CN"/>
        </w:rPr>
        <w:t>）响应文件正副本数量齐全，只是未按照采购文件要求进行分装或者统装的；</w:t>
      </w:r>
    </w:p>
    <w:p>
      <w:pPr>
        <w:snapToGrid w:val="0"/>
        <w:spacing w:line="400" w:lineRule="exact"/>
        <w:ind w:firstLine="420" w:firstLineChars="200"/>
        <w:rPr>
          <w:rFonts w:ascii="宋体" w:hAnsi="宋体" w:cs="宋体"/>
          <w:lang w:val="zh-CN"/>
        </w:rPr>
      </w:pPr>
      <w:r>
        <w:rPr>
          <w:rFonts w:hint="eastAsia" w:ascii="宋体" w:hAnsi="宋体" w:cs="宋体"/>
          <w:lang w:val="zh-CN"/>
        </w:rPr>
        <w:t xml:space="preserve"> （</w:t>
      </w:r>
      <w:r>
        <w:rPr>
          <w:rFonts w:hint="eastAsia" w:ascii="宋体" w:hAnsi="宋体" w:cs="宋体"/>
        </w:rPr>
        <w:t>2</w:t>
      </w:r>
      <w:r>
        <w:rPr>
          <w:rFonts w:hint="eastAsia" w:ascii="宋体" w:hAnsi="宋体" w:cs="宋体"/>
          <w:lang w:val="zh-CN"/>
        </w:rPr>
        <w:t>）响应文件存在个别地方（总数不能超过2个）没有法定代表人/单位负责人签字，但有法定代表人/单位负责人的私人印章或者有效授权代理人签字的；</w:t>
      </w:r>
    </w:p>
    <w:p>
      <w:pPr>
        <w:snapToGrid w:val="0"/>
        <w:spacing w:line="400" w:lineRule="exact"/>
        <w:ind w:firstLine="420" w:firstLineChars="200"/>
        <w:rPr>
          <w:rFonts w:ascii="宋体" w:hAnsi="宋体" w:cs="宋体"/>
          <w:lang w:val="zh-CN"/>
        </w:rPr>
      </w:pPr>
      <w:r>
        <w:rPr>
          <w:rFonts w:hint="eastAsia" w:ascii="宋体" w:hAnsi="宋体" w:cs="宋体"/>
          <w:lang w:val="zh-CN"/>
        </w:rPr>
        <w:t xml:space="preserve"> （</w:t>
      </w:r>
      <w:r>
        <w:rPr>
          <w:rFonts w:hint="eastAsia" w:ascii="宋体" w:hAnsi="宋体" w:cs="宋体"/>
        </w:rPr>
        <w:t>3</w:t>
      </w:r>
      <w:r>
        <w:rPr>
          <w:rFonts w:hint="eastAsia" w:ascii="宋体" w:hAnsi="宋体" w:cs="宋体"/>
          <w:lang w:val="zh-CN"/>
        </w:rPr>
        <w:t>）响应文件除采购文件明确要求加盖单位(法人)公章的以外，其他地方以相关专用章加盖的；</w:t>
      </w:r>
    </w:p>
    <w:p>
      <w:pPr>
        <w:snapToGrid w:val="0"/>
        <w:spacing w:line="400" w:lineRule="exact"/>
        <w:ind w:firstLine="420" w:firstLineChars="200"/>
        <w:rPr>
          <w:rFonts w:ascii="宋体" w:hAnsi="宋体" w:cs="宋体"/>
          <w:lang w:val="zh-CN"/>
        </w:rPr>
      </w:pPr>
      <w:r>
        <w:rPr>
          <w:rFonts w:hint="eastAsia" w:ascii="宋体" w:hAnsi="宋体" w:cs="宋体"/>
          <w:lang w:val="zh-CN"/>
        </w:rPr>
        <w:t xml:space="preserve"> （</w:t>
      </w:r>
      <w:r>
        <w:rPr>
          <w:rFonts w:hint="eastAsia" w:ascii="宋体" w:hAnsi="宋体" w:cs="宋体"/>
        </w:rPr>
        <w:t>4</w:t>
      </w:r>
      <w:r>
        <w:rPr>
          <w:rFonts w:hint="eastAsia" w:ascii="宋体" w:hAnsi="宋体" w:cs="宋体"/>
          <w:lang w:val="zh-CN"/>
        </w:rPr>
        <w:t>）以骑缝章的形式代替响应文件内容逐页盖章的（但是骑缝章模糊不清，印章名称无法辨认的除外）。</w:t>
      </w:r>
    </w:p>
    <w:p>
      <w:pPr>
        <w:snapToGrid w:val="0"/>
        <w:spacing w:line="400" w:lineRule="exact"/>
        <w:ind w:firstLine="420" w:firstLineChars="200"/>
        <w:rPr>
          <w:rFonts w:ascii="宋体" w:hAnsi="宋体" w:cs="宋体"/>
        </w:rPr>
      </w:pPr>
      <w:r>
        <w:rPr>
          <w:rFonts w:hint="eastAsia" w:ascii="宋体" w:hAnsi="宋体" w:cs="宋体"/>
        </w:rPr>
        <w:t>磋商小组</w:t>
      </w:r>
      <w:r>
        <w:rPr>
          <w:rFonts w:hint="eastAsia" w:ascii="宋体" w:hAnsi="宋体" w:cs="宋体"/>
          <w:lang w:val="zh-CN"/>
        </w:rPr>
        <w:t>对所有响应文件的有效性、完整性和响应程度进行审查</w:t>
      </w:r>
      <w:r>
        <w:rPr>
          <w:rFonts w:hint="eastAsia" w:ascii="宋体" w:hAnsi="宋体" w:cs="宋体"/>
        </w:rPr>
        <w:t>后，向采购</w:t>
      </w:r>
      <w:r>
        <w:rPr>
          <w:rFonts w:hint="eastAsia" w:ascii="宋体" w:hAnsi="宋体" w:cs="宋体"/>
          <w:lang w:val="zh-CN"/>
        </w:rPr>
        <w:t>代理机构</w:t>
      </w:r>
      <w:r>
        <w:rPr>
          <w:rFonts w:hint="eastAsia" w:ascii="宋体" w:hAnsi="宋体" w:cs="宋体"/>
        </w:rPr>
        <w:t>出具</w:t>
      </w:r>
      <w:r>
        <w:rPr>
          <w:rFonts w:hint="eastAsia" w:ascii="宋体" w:hAnsi="宋体" w:cs="宋体"/>
          <w:lang w:val="zh-CN"/>
        </w:rPr>
        <w:t>有效性、完整性和响应程度</w:t>
      </w:r>
      <w:r>
        <w:rPr>
          <w:rFonts w:hint="eastAsia" w:ascii="宋体" w:hAnsi="宋体" w:cs="宋体"/>
        </w:rPr>
        <w:t>审查报告，确定继续磋商的供应商名单。没有通过</w:t>
      </w:r>
      <w:r>
        <w:rPr>
          <w:rFonts w:hint="eastAsia" w:ascii="宋体" w:hAnsi="宋体" w:cs="宋体"/>
          <w:lang w:val="zh-CN"/>
        </w:rPr>
        <w:t>有效性、完整性和响应程度</w:t>
      </w:r>
      <w:r>
        <w:rPr>
          <w:rFonts w:hint="eastAsia" w:ascii="宋体" w:hAnsi="宋体" w:cs="宋体"/>
        </w:rPr>
        <w:t>审查的供应商，磋商小组应在</w:t>
      </w:r>
      <w:r>
        <w:rPr>
          <w:rFonts w:hint="eastAsia" w:ascii="宋体" w:hAnsi="宋体" w:cs="宋体"/>
          <w:lang w:val="zh-CN"/>
        </w:rPr>
        <w:t>有效性、完整性和响应程度</w:t>
      </w:r>
      <w:r>
        <w:rPr>
          <w:rFonts w:hint="eastAsia" w:ascii="宋体" w:hAnsi="宋体" w:cs="宋体"/>
        </w:rPr>
        <w:t>审查报告中说明原因。</w:t>
      </w:r>
    </w:p>
    <w:p>
      <w:pPr>
        <w:snapToGrid w:val="0"/>
        <w:spacing w:line="400" w:lineRule="exact"/>
        <w:ind w:firstLine="420" w:firstLineChars="200"/>
        <w:rPr>
          <w:rFonts w:ascii="宋体" w:hAnsi="宋体" w:cs="宋体"/>
        </w:rPr>
      </w:pPr>
      <w:bookmarkStart w:id="924" w:name="_Toc4659826"/>
      <w:bookmarkStart w:id="925" w:name="_Toc5005130"/>
      <w:bookmarkStart w:id="926" w:name="_Toc4578950"/>
      <w:r>
        <w:rPr>
          <w:rFonts w:hint="eastAsia" w:ascii="宋体" w:hAnsi="宋体" w:cs="宋体"/>
        </w:rPr>
        <w:t>2.4.7磋商过程中，磋商的任何一方不得透露与磋商有关的其他供应商的技术资料、价格和其他信息。</w:t>
      </w:r>
      <w:bookmarkEnd w:id="924"/>
      <w:bookmarkEnd w:id="925"/>
      <w:bookmarkEnd w:id="926"/>
    </w:p>
    <w:p>
      <w:pPr>
        <w:snapToGrid w:val="0"/>
        <w:spacing w:line="400" w:lineRule="exact"/>
        <w:ind w:firstLine="420" w:firstLineChars="200"/>
        <w:rPr>
          <w:rFonts w:ascii="宋体" w:hAnsi="宋体" w:cs="宋体"/>
        </w:rPr>
      </w:pPr>
      <w:bookmarkStart w:id="927" w:name="_Toc5005131"/>
      <w:bookmarkStart w:id="928" w:name="_Toc4659827"/>
      <w:bookmarkStart w:id="929" w:name="_Toc4578951"/>
      <w:r>
        <w:rPr>
          <w:rFonts w:hint="eastAsia" w:ascii="宋体" w:hAnsi="宋体" w:cs="宋体"/>
        </w:rPr>
        <w:t>2.4.8磋商过程中，磋商小组发现或者知晓供应商存在违法、违纪行为的，磋商小组应当将该供应商响应文件作无效处理，不允许其提交最后报价。</w:t>
      </w:r>
      <w:bookmarkEnd w:id="927"/>
      <w:bookmarkEnd w:id="928"/>
      <w:bookmarkEnd w:id="929"/>
    </w:p>
    <w:p>
      <w:pPr>
        <w:snapToGrid w:val="0"/>
        <w:spacing w:line="400" w:lineRule="exact"/>
        <w:ind w:firstLine="420" w:firstLineChars="200"/>
        <w:rPr>
          <w:rFonts w:ascii="宋体" w:hAnsi="宋体" w:cs="宋体"/>
        </w:rPr>
      </w:pPr>
      <w:bookmarkStart w:id="930" w:name="_Toc5005132"/>
      <w:bookmarkStart w:id="931" w:name="_Toc4659828"/>
      <w:bookmarkStart w:id="932" w:name="_Toc4578952"/>
      <w:r>
        <w:rPr>
          <w:rFonts w:hint="eastAsia" w:ascii="宋体" w:hAnsi="宋体" w:cs="宋体"/>
        </w:rPr>
        <w:t>2.4.9磋商完成后，磋商小组应出具磋商情况记录表，磋商情况记录表需包含磋商内容、磋商意见、实质性变动内容等。</w:t>
      </w:r>
      <w:bookmarkEnd w:id="930"/>
      <w:bookmarkEnd w:id="931"/>
      <w:bookmarkEnd w:id="932"/>
    </w:p>
    <w:p>
      <w:pPr>
        <w:snapToGrid w:val="0"/>
        <w:spacing w:line="400" w:lineRule="exact"/>
        <w:ind w:firstLine="420" w:firstLineChars="200"/>
        <w:rPr>
          <w:rFonts w:ascii="宋体" w:hAnsi="宋体" w:cs="宋体"/>
        </w:rPr>
      </w:pPr>
      <w:r>
        <w:rPr>
          <w:rFonts w:hint="eastAsia" w:ascii="宋体" w:hAnsi="宋体" w:cs="宋体"/>
        </w:rPr>
        <w:t>2.5最后报价。</w:t>
      </w:r>
    </w:p>
    <w:p>
      <w:pPr>
        <w:snapToGrid w:val="0"/>
        <w:spacing w:line="400" w:lineRule="exact"/>
        <w:ind w:firstLine="420" w:firstLineChars="200"/>
        <w:rPr>
          <w:rFonts w:ascii="宋体" w:hAnsi="宋体" w:cs="宋体"/>
          <w:lang w:val="zh-CN"/>
        </w:rPr>
      </w:pPr>
      <w:r>
        <w:rPr>
          <w:rFonts w:hint="eastAsia" w:ascii="宋体" w:hAnsi="宋体" w:cs="宋体"/>
        </w:rPr>
        <w:t>2.5.1本次磋商采购采用现场报价，参与报价的供应商按磋商小组要求进行报价。</w:t>
      </w:r>
      <w:r>
        <w:rPr>
          <w:rFonts w:hint="eastAsia" w:ascii="宋体" w:hAnsi="宋体" w:cs="宋体"/>
          <w:lang w:val="zh-CN"/>
        </w:rPr>
        <w:t>发现供应商报价属于下列情况之一的，应按照无效响应文件处理：</w:t>
      </w:r>
    </w:p>
    <w:p>
      <w:pPr>
        <w:snapToGrid w:val="0"/>
        <w:spacing w:line="400" w:lineRule="exact"/>
        <w:ind w:firstLine="420" w:firstLineChars="200"/>
        <w:rPr>
          <w:rFonts w:ascii="宋体" w:hAnsi="宋体" w:cs="宋体"/>
          <w:lang w:val="zh-CN"/>
        </w:rPr>
      </w:pPr>
      <w:r>
        <w:rPr>
          <w:rFonts w:hint="eastAsia" w:ascii="宋体" w:hAnsi="宋体" w:cs="宋体"/>
          <w:lang w:val="zh-CN"/>
        </w:rPr>
        <w:t>（1）报价超过竞争性磋商文件规定的采购预算（或最高限价）或者相关报价不符合采购文件其他的报价规定的；</w:t>
      </w:r>
    </w:p>
    <w:p>
      <w:pPr>
        <w:snapToGrid w:val="0"/>
        <w:spacing w:line="400" w:lineRule="exact"/>
        <w:ind w:firstLine="420" w:firstLineChars="200"/>
        <w:rPr>
          <w:rFonts w:ascii="宋体" w:hAnsi="宋体" w:cs="宋体"/>
          <w:lang w:val="zh-CN"/>
        </w:rPr>
      </w:pPr>
      <w:r>
        <w:rPr>
          <w:rFonts w:hint="eastAsia" w:ascii="宋体" w:hAnsi="宋体" w:cs="宋体"/>
          <w:lang w:val="zh-CN"/>
        </w:rPr>
        <w:t>(2) 磋商小组认为供应商报价明显低于成本价，在磋商小组发出质询函后供应商未能提供合理的成本分析和价格构成的或对质函询的解释未被磋商小组采信的。</w:t>
      </w:r>
    </w:p>
    <w:p>
      <w:pPr>
        <w:snapToGrid w:val="0"/>
        <w:spacing w:line="400" w:lineRule="exact"/>
        <w:ind w:firstLine="420" w:firstLineChars="200"/>
        <w:rPr>
          <w:rFonts w:ascii="宋体" w:hAnsi="宋体" w:cs="宋体"/>
        </w:rPr>
      </w:pPr>
      <w:r>
        <w:rPr>
          <w:rFonts w:hint="eastAsia" w:ascii="宋体" w:hAnsi="宋体" w:cs="宋体"/>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及以上（本章2.3.1和2.5.3的情况除外）供应商，并要求其在规定时间内提交最后报价。</w:t>
      </w:r>
    </w:p>
    <w:p>
      <w:pPr>
        <w:snapToGrid w:val="0"/>
        <w:spacing w:line="400" w:lineRule="exact"/>
        <w:ind w:firstLine="420" w:firstLineChars="200"/>
        <w:rPr>
          <w:rFonts w:ascii="宋体" w:hAnsi="宋体" w:cs="宋体"/>
        </w:rPr>
      </w:pPr>
      <w:r>
        <w:rPr>
          <w:rFonts w:hint="eastAsia" w:ascii="宋体" w:hAnsi="宋体" w:cs="宋体"/>
        </w:rPr>
        <w:t>2.5.3符合</w:t>
      </w:r>
      <w:bookmarkStart w:id="933" w:name="_Toc30986"/>
      <w:r>
        <w:rPr>
          <w:rFonts w:hint="eastAsia" w:ascii="宋体" w:hAnsi="宋体" w:cs="宋体"/>
        </w:rPr>
        <w:t>《政府采购竞争性磋商采购方式管理暂行办法财库》〔2014〕214号</w:t>
      </w:r>
      <w:bookmarkEnd w:id="933"/>
      <w:r>
        <w:rPr>
          <w:rFonts w:hint="eastAsia" w:ascii="宋体" w:hAnsi="宋体" w:cs="宋体"/>
        </w:rPr>
        <w:t>第三条第四项情形的，提交最后报价的供应商可以为2家。</w:t>
      </w:r>
    </w:p>
    <w:p>
      <w:pPr>
        <w:snapToGrid w:val="0"/>
        <w:spacing w:line="400" w:lineRule="exact"/>
        <w:ind w:firstLine="420" w:firstLineChars="200"/>
        <w:rPr>
          <w:rFonts w:ascii="宋体" w:hAnsi="宋体" w:cs="宋体"/>
        </w:rPr>
      </w:pPr>
      <w:r>
        <w:rPr>
          <w:rFonts w:hint="eastAsia" w:ascii="宋体" w:hAnsi="宋体" w:cs="宋体"/>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napToGrid w:val="0"/>
        <w:spacing w:line="400" w:lineRule="exact"/>
        <w:ind w:firstLine="420" w:firstLineChars="200"/>
        <w:rPr>
          <w:rFonts w:ascii="宋体" w:hAnsi="宋体" w:cs="宋体"/>
        </w:rPr>
      </w:pPr>
      <w:r>
        <w:rPr>
          <w:rFonts w:hint="eastAsia" w:ascii="宋体" w:hAnsi="宋体" w:cs="宋体"/>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napToGrid w:val="0"/>
        <w:spacing w:line="400" w:lineRule="exact"/>
        <w:ind w:firstLine="420" w:firstLineChars="200"/>
        <w:rPr>
          <w:rFonts w:ascii="宋体" w:hAnsi="宋体" w:cs="宋体"/>
        </w:rPr>
      </w:pPr>
      <w:r>
        <w:rPr>
          <w:rFonts w:hint="eastAsia" w:ascii="宋体" w:hAnsi="宋体" w:cs="宋体"/>
        </w:rPr>
        <w:t>2.5.6报价如果出现下列不一致的，可按以下原则进行修改：</w:t>
      </w:r>
    </w:p>
    <w:p>
      <w:pPr>
        <w:snapToGrid w:val="0"/>
        <w:spacing w:line="400" w:lineRule="exact"/>
        <w:ind w:firstLine="420" w:firstLineChars="200"/>
        <w:rPr>
          <w:rFonts w:ascii="宋体" w:hAnsi="宋体" w:cs="宋体"/>
        </w:rPr>
      </w:pPr>
      <w:r>
        <w:rPr>
          <w:rFonts w:hint="eastAsia" w:ascii="宋体" w:hAnsi="宋体" w:cs="宋体"/>
        </w:rPr>
        <w:t>（一）大写金额和小写金额不一致的，以大写金额为准，但大写金额文字存在错误的，应当先对大写金额的文字错误进行澄清、说明或者更正，再行修正。</w:t>
      </w:r>
    </w:p>
    <w:p>
      <w:pPr>
        <w:snapToGrid w:val="0"/>
        <w:spacing w:line="400" w:lineRule="exact"/>
        <w:ind w:firstLine="420" w:firstLineChars="200"/>
        <w:rPr>
          <w:rFonts w:ascii="宋体" w:hAnsi="宋体" w:cs="宋体"/>
        </w:rPr>
      </w:pPr>
      <w:r>
        <w:rPr>
          <w:rFonts w:hint="eastAsia" w:ascii="宋体" w:hAnsi="宋体" w:cs="宋体"/>
        </w:rPr>
        <w:t>（二）总价金额与按单价汇总金额不一致的，以单价金额计算结果为准，但单价或者单价汇总金额存在数字或者文字错误的，应当先对数字或者文字错误进行澄清、说明或者更正，再行修正。</w:t>
      </w:r>
    </w:p>
    <w:p>
      <w:pPr>
        <w:snapToGrid w:val="0"/>
        <w:spacing w:line="400" w:lineRule="exact"/>
        <w:ind w:firstLine="420" w:firstLineChars="200"/>
        <w:rPr>
          <w:rFonts w:ascii="宋体" w:hAnsi="宋体" w:cs="宋体"/>
        </w:rPr>
      </w:pPr>
      <w:r>
        <w:rPr>
          <w:rFonts w:hint="eastAsia" w:ascii="宋体" w:hAnsi="宋体" w:cs="宋体"/>
        </w:rPr>
        <w:t>（三）单价金额小数点或者百分比有明显错位的，以总价为准，修正单价。</w:t>
      </w:r>
    </w:p>
    <w:p>
      <w:pPr>
        <w:snapToGrid w:val="0"/>
        <w:spacing w:line="400" w:lineRule="exact"/>
        <w:ind w:firstLine="420" w:firstLineChars="200"/>
        <w:rPr>
          <w:rFonts w:ascii="宋体" w:hAnsi="宋体" w:cs="宋体"/>
        </w:rPr>
      </w:pPr>
      <w:r>
        <w:rPr>
          <w:rFonts w:hint="eastAsia" w:ascii="宋体" w:hAnsi="宋体" w:cs="宋体"/>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napToGrid w:val="0"/>
        <w:spacing w:line="400" w:lineRule="exact"/>
        <w:ind w:firstLine="420" w:firstLineChars="200"/>
        <w:rPr>
          <w:rFonts w:ascii="宋体" w:hAnsi="宋体" w:cs="宋体"/>
        </w:rPr>
      </w:pPr>
      <w:r>
        <w:rPr>
          <w:rFonts w:hint="eastAsia" w:ascii="宋体" w:hAnsi="宋体" w:cs="宋体"/>
        </w:rPr>
        <w:t>不得未经澄清、说明或者更正，直接将供应商响应文件作为无效处理。对不同文字文本响应文件的解释发生异议的，以中文文本为准。</w:t>
      </w:r>
    </w:p>
    <w:p>
      <w:pPr>
        <w:snapToGrid w:val="0"/>
        <w:spacing w:line="400" w:lineRule="exact"/>
        <w:ind w:firstLine="420" w:firstLineChars="200"/>
        <w:rPr>
          <w:rFonts w:ascii="宋体" w:hAnsi="宋体" w:cs="宋体"/>
        </w:rPr>
      </w:pPr>
      <w:r>
        <w:rPr>
          <w:rFonts w:hint="eastAsia" w:ascii="宋体" w:hAnsi="宋体" w:cs="宋体"/>
        </w:rPr>
        <w:t>2.6比较与评价。由磋商小组采用综合评分法对提交最后报价的供应商的响应文件和最后报价进行综合评分，具体要求详见本章综合评分部分。</w:t>
      </w:r>
    </w:p>
    <w:p>
      <w:pPr>
        <w:snapToGrid w:val="0"/>
        <w:spacing w:line="400" w:lineRule="exact"/>
        <w:ind w:firstLine="420" w:firstLineChars="200"/>
        <w:rPr>
          <w:rFonts w:ascii="宋体" w:hAnsi="宋体" w:cs="宋体"/>
        </w:rPr>
      </w:pPr>
      <w:r>
        <w:rPr>
          <w:rFonts w:hint="eastAsia" w:ascii="宋体" w:hAnsi="宋体" w:cs="宋体"/>
        </w:rPr>
        <w:t>2.7推荐成交候选供应商。磋商小组应当根据综合评分情况，按照评审得分由高到低顺序推荐3家及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napToGrid w:val="0"/>
        <w:spacing w:line="400" w:lineRule="exact"/>
        <w:ind w:firstLine="420" w:firstLineChars="200"/>
        <w:rPr>
          <w:rFonts w:ascii="宋体" w:hAnsi="宋体" w:cs="宋体"/>
        </w:rPr>
      </w:pPr>
      <w:r>
        <w:rPr>
          <w:rFonts w:hint="eastAsia" w:ascii="宋体" w:hAnsi="宋体" w:cs="宋体"/>
        </w:rPr>
        <w:t>2.8磋商小组复核。磋商小组评分汇总结束后，磋商小组应当进行评审复核，对拟推荐为成交候选供应商的、报价最低的、供应商资格审查未通过的、供应商响应文件作无效处理的重点复核。</w:t>
      </w:r>
    </w:p>
    <w:p>
      <w:pPr>
        <w:snapToGrid w:val="0"/>
        <w:spacing w:line="400" w:lineRule="exact"/>
        <w:ind w:firstLine="420" w:firstLineChars="200"/>
        <w:rPr>
          <w:rFonts w:ascii="宋体" w:hAnsi="宋体" w:cs="宋体"/>
        </w:rPr>
      </w:pPr>
      <w:r>
        <w:rPr>
          <w:rFonts w:hint="eastAsia" w:ascii="宋体" w:hAnsi="宋体" w:cs="宋体"/>
        </w:rPr>
        <w:t>2.9采购组织单位现场复核评审结果。</w:t>
      </w:r>
    </w:p>
    <w:p>
      <w:pPr>
        <w:snapToGrid w:val="0"/>
        <w:spacing w:line="400" w:lineRule="exact"/>
        <w:ind w:firstLine="420" w:firstLineChars="200"/>
        <w:rPr>
          <w:rFonts w:ascii="宋体" w:hAnsi="宋体" w:cs="宋体"/>
        </w:rPr>
      </w:pPr>
      <w:r>
        <w:rPr>
          <w:rFonts w:hint="eastAsia" w:ascii="宋体" w:hAnsi="宋体" w:cs="宋体"/>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napToGrid w:val="0"/>
        <w:spacing w:line="400" w:lineRule="exact"/>
        <w:ind w:firstLine="420" w:firstLineChars="200"/>
        <w:rPr>
          <w:rFonts w:ascii="宋体" w:hAnsi="宋体" w:cs="宋体"/>
        </w:rPr>
      </w:pPr>
      <w:bookmarkStart w:id="934" w:name="_Toc4290_WPSOffice_Level3"/>
      <w:r>
        <w:rPr>
          <w:rFonts w:hint="eastAsia" w:ascii="宋体" w:hAnsi="宋体" w:cs="宋体"/>
        </w:rPr>
        <w:t>（1）资格性审查认定错误的；</w:t>
      </w:r>
      <w:bookmarkEnd w:id="934"/>
    </w:p>
    <w:p>
      <w:pPr>
        <w:snapToGrid w:val="0"/>
        <w:spacing w:line="400" w:lineRule="exact"/>
        <w:ind w:firstLine="420" w:firstLineChars="200"/>
        <w:rPr>
          <w:rFonts w:ascii="宋体" w:hAnsi="宋体" w:cs="宋体"/>
        </w:rPr>
      </w:pPr>
      <w:bookmarkStart w:id="935" w:name="_Toc13515_WPSOffice_Level3"/>
      <w:r>
        <w:rPr>
          <w:rFonts w:hint="eastAsia" w:ascii="宋体" w:hAnsi="宋体" w:cs="宋体"/>
        </w:rPr>
        <w:t>（2）分值汇总计算错误的；</w:t>
      </w:r>
      <w:bookmarkEnd w:id="935"/>
    </w:p>
    <w:p>
      <w:pPr>
        <w:snapToGrid w:val="0"/>
        <w:spacing w:line="400" w:lineRule="exact"/>
        <w:ind w:firstLine="420" w:firstLineChars="200"/>
        <w:rPr>
          <w:rFonts w:ascii="宋体" w:hAnsi="宋体" w:cs="宋体"/>
        </w:rPr>
      </w:pPr>
      <w:bookmarkStart w:id="936" w:name="_Toc1522_WPSOffice_Level3"/>
      <w:r>
        <w:rPr>
          <w:rFonts w:hint="eastAsia" w:ascii="宋体" w:hAnsi="宋体" w:cs="宋体"/>
        </w:rPr>
        <w:t>（3）分项评分超出评分标准范围的；</w:t>
      </w:r>
      <w:bookmarkEnd w:id="936"/>
    </w:p>
    <w:p>
      <w:pPr>
        <w:snapToGrid w:val="0"/>
        <w:spacing w:line="400" w:lineRule="exact"/>
        <w:ind w:firstLine="420" w:firstLineChars="200"/>
        <w:rPr>
          <w:rFonts w:ascii="宋体" w:hAnsi="宋体" w:cs="宋体"/>
        </w:rPr>
      </w:pPr>
      <w:bookmarkStart w:id="937" w:name="_Toc23269_WPSOffice_Level3"/>
      <w:r>
        <w:rPr>
          <w:rFonts w:hint="eastAsia" w:ascii="宋体" w:hAnsi="宋体" w:cs="宋体"/>
        </w:rPr>
        <w:t>（4）客观评分不一致的。</w:t>
      </w:r>
      <w:bookmarkEnd w:id="937"/>
    </w:p>
    <w:p>
      <w:pPr>
        <w:snapToGrid w:val="0"/>
        <w:spacing w:line="400" w:lineRule="exact"/>
        <w:ind w:firstLine="420" w:firstLineChars="200"/>
        <w:rPr>
          <w:rFonts w:ascii="宋体" w:hAnsi="宋体" w:cs="宋体"/>
        </w:rPr>
      </w:pPr>
      <w:r>
        <w:rPr>
          <w:rFonts w:hint="eastAsia" w:ascii="宋体" w:hAnsi="宋体" w:cs="宋体"/>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napToGrid w:val="0"/>
        <w:spacing w:line="400" w:lineRule="exact"/>
        <w:ind w:firstLine="420" w:firstLineChars="200"/>
        <w:rPr>
          <w:rFonts w:ascii="宋体" w:hAnsi="宋体" w:cs="宋体"/>
        </w:rPr>
      </w:pPr>
      <w:r>
        <w:rPr>
          <w:rFonts w:hint="eastAsia" w:ascii="宋体" w:hAnsi="宋体" w:cs="宋体"/>
        </w:rPr>
        <w:t>采购代理机构复核过程中，磋商小组成员不得离开评审现场。</w:t>
      </w:r>
    </w:p>
    <w:p>
      <w:pPr>
        <w:snapToGrid w:val="0"/>
        <w:spacing w:line="400" w:lineRule="exact"/>
        <w:ind w:firstLine="420" w:firstLineChars="200"/>
        <w:rPr>
          <w:rFonts w:ascii="宋体" w:hAnsi="宋体" w:cs="宋体"/>
        </w:rPr>
      </w:pPr>
      <w:r>
        <w:rPr>
          <w:rFonts w:hint="eastAsia" w:ascii="宋体" w:hAnsi="宋体" w:cs="宋体"/>
        </w:rPr>
        <w:t>2.9.2有下列情形之一的，不得现场修改评审结果：</w:t>
      </w:r>
    </w:p>
    <w:p>
      <w:pPr>
        <w:snapToGrid w:val="0"/>
        <w:spacing w:line="400" w:lineRule="exact"/>
        <w:ind w:firstLine="420" w:firstLineChars="200"/>
        <w:rPr>
          <w:rFonts w:ascii="宋体" w:hAnsi="宋体" w:cs="宋体"/>
        </w:rPr>
      </w:pPr>
      <w:r>
        <w:rPr>
          <w:rFonts w:hint="eastAsia" w:ascii="宋体" w:hAnsi="宋体" w:cs="宋体"/>
        </w:rPr>
        <w:t>（1）磋商小组已经出具磋商报告并且离开评审现场的；</w:t>
      </w:r>
    </w:p>
    <w:p>
      <w:pPr>
        <w:snapToGrid w:val="0"/>
        <w:spacing w:line="400" w:lineRule="exact"/>
        <w:ind w:firstLine="420" w:firstLineChars="200"/>
        <w:rPr>
          <w:rFonts w:ascii="宋体" w:hAnsi="宋体" w:cs="宋体"/>
        </w:rPr>
      </w:pPr>
      <w:r>
        <w:rPr>
          <w:rFonts w:hint="eastAsia" w:ascii="宋体" w:hAnsi="宋体" w:cs="宋体"/>
        </w:rPr>
        <w:t>（2）采购代理机构现场复核时，复核工作人员数量不足的；</w:t>
      </w:r>
    </w:p>
    <w:p>
      <w:pPr>
        <w:snapToGrid w:val="0"/>
        <w:spacing w:line="400" w:lineRule="exact"/>
        <w:ind w:firstLine="420" w:firstLineChars="200"/>
        <w:rPr>
          <w:rFonts w:ascii="宋体" w:hAnsi="宋体" w:cs="宋体"/>
        </w:rPr>
      </w:pPr>
      <w:r>
        <w:rPr>
          <w:rFonts w:hint="eastAsia" w:ascii="宋体" w:hAnsi="宋体" w:cs="宋体"/>
        </w:rPr>
        <w:t>（3）采购代理机构现场复核时，没有采购监督人员现场监督的；</w:t>
      </w:r>
    </w:p>
    <w:p>
      <w:pPr>
        <w:snapToGrid w:val="0"/>
        <w:spacing w:line="400" w:lineRule="exact"/>
        <w:ind w:firstLine="420" w:firstLineChars="200"/>
        <w:rPr>
          <w:rFonts w:ascii="宋体" w:hAnsi="宋体" w:cs="宋体"/>
        </w:rPr>
      </w:pPr>
      <w:r>
        <w:rPr>
          <w:rFonts w:hint="eastAsia" w:ascii="宋体" w:hAnsi="宋体" w:cs="宋体"/>
        </w:rPr>
        <w:t>（4）采购代理机构现场复核内容超出规定范围的；</w:t>
      </w:r>
    </w:p>
    <w:p>
      <w:pPr>
        <w:snapToGrid w:val="0"/>
        <w:spacing w:line="400" w:lineRule="exact"/>
        <w:ind w:firstLine="420" w:firstLineChars="200"/>
        <w:rPr>
          <w:rFonts w:ascii="宋体" w:hAnsi="宋体" w:cs="宋体"/>
        </w:rPr>
      </w:pPr>
      <w:r>
        <w:rPr>
          <w:rFonts w:hint="eastAsia" w:ascii="宋体" w:hAnsi="宋体" w:cs="宋体"/>
        </w:rPr>
        <w:t>（5）采购代理机构未提供书面建议的。</w:t>
      </w:r>
    </w:p>
    <w:p>
      <w:pPr>
        <w:snapToGrid w:val="0"/>
        <w:spacing w:line="400" w:lineRule="exact"/>
        <w:ind w:firstLine="420" w:firstLineChars="200"/>
        <w:rPr>
          <w:rFonts w:ascii="宋体" w:hAnsi="宋体" w:cs="宋体"/>
        </w:rPr>
      </w:pPr>
      <w:r>
        <w:rPr>
          <w:rFonts w:hint="eastAsia" w:ascii="宋体" w:hAnsi="宋体" w:cs="宋体"/>
        </w:rPr>
        <w:t>2.10编写磋商报告。磋商小组推荐成交候选供应商后，应向采购代理机构出具磋商报告。磋商报告应当包括以下主要内容：</w:t>
      </w:r>
    </w:p>
    <w:p>
      <w:pPr>
        <w:snapToGrid w:val="0"/>
        <w:spacing w:line="400" w:lineRule="exact"/>
        <w:ind w:firstLine="420" w:firstLineChars="200"/>
        <w:rPr>
          <w:rFonts w:ascii="宋体" w:hAnsi="宋体" w:cs="宋体"/>
        </w:rPr>
      </w:pPr>
      <w:r>
        <w:rPr>
          <w:rFonts w:hint="eastAsia" w:ascii="宋体" w:hAnsi="宋体" w:cs="宋体"/>
        </w:rPr>
        <w:t>（1）邀请供应商参加采购活动的具体方式和相关情况；</w:t>
      </w:r>
    </w:p>
    <w:p>
      <w:pPr>
        <w:snapToGrid w:val="0"/>
        <w:spacing w:line="400" w:lineRule="exact"/>
        <w:ind w:firstLine="420" w:firstLineChars="200"/>
        <w:rPr>
          <w:rFonts w:ascii="宋体" w:hAnsi="宋体" w:cs="宋体"/>
        </w:rPr>
      </w:pPr>
      <w:r>
        <w:rPr>
          <w:rFonts w:hint="eastAsia" w:ascii="宋体" w:hAnsi="宋体" w:cs="宋体"/>
        </w:rPr>
        <w:t>（2）响应文件开启日期和地点；</w:t>
      </w:r>
    </w:p>
    <w:p>
      <w:pPr>
        <w:snapToGrid w:val="0"/>
        <w:spacing w:line="400" w:lineRule="exact"/>
        <w:ind w:firstLine="420" w:firstLineChars="200"/>
        <w:rPr>
          <w:rFonts w:ascii="宋体" w:hAnsi="宋体" w:cs="宋体"/>
        </w:rPr>
      </w:pPr>
      <w:r>
        <w:rPr>
          <w:rFonts w:hint="eastAsia" w:ascii="宋体" w:hAnsi="宋体" w:cs="宋体"/>
        </w:rPr>
        <w:t>（3）获取磋商文件的供应商名单和磋商小组成员名单；</w:t>
      </w:r>
    </w:p>
    <w:p>
      <w:pPr>
        <w:snapToGrid w:val="0"/>
        <w:spacing w:line="400" w:lineRule="exact"/>
        <w:ind w:firstLine="420" w:firstLineChars="200"/>
        <w:rPr>
          <w:rFonts w:ascii="宋体" w:hAnsi="宋体" w:cs="宋体"/>
        </w:rPr>
      </w:pPr>
      <w:r>
        <w:rPr>
          <w:rFonts w:hint="eastAsia" w:ascii="宋体" w:hAnsi="宋体" w:cs="宋体"/>
        </w:rPr>
        <w:t>（4）评审情况记录和说明，包括对供应商的资格审查情况、供应商响应文件审查情况、磋商情况、报价情况等；</w:t>
      </w:r>
    </w:p>
    <w:p>
      <w:pPr>
        <w:snapToGrid w:val="0"/>
        <w:spacing w:line="400" w:lineRule="exact"/>
        <w:ind w:firstLine="420" w:firstLineChars="200"/>
        <w:rPr>
          <w:rFonts w:ascii="宋体" w:hAnsi="宋体" w:cs="宋体"/>
        </w:rPr>
      </w:pPr>
      <w:r>
        <w:rPr>
          <w:rFonts w:hint="eastAsia" w:ascii="宋体" w:hAnsi="宋体" w:cs="宋体"/>
        </w:rPr>
        <w:t>（5）提出的成交候选供应商的排序名单及理由。</w:t>
      </w:r>
    </w:p>
    <w:p>
      <w:pPr>
        <w:snapToGrid w:val="0"/>
        <w:spacing w:line="400" w:lineRule="exact"/>
        <w:ind w:firstLine="420" w:firstLineChars="200"/>
        <w:rPr>
          <w:rFonts w:ascii="宋体" w:hAnsi="宋体" w:cs="宋体"/>
        </w:rPr>
      </w:pPr>
      <w:r>
        <w:rPr>
          <w:rFonts w:hint="eastAsia" w:ascii="宋体" w:hAnsi="宋体" w:cs="宋体"/>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napToGrid w:val="0"/>
        <w:spacing w:line="400" w:lineRule="exact"/>
        <w:ind w:firstLine="420" w:firstLineChars="200"/>
        <w:rPr>
          <w:rFonts w:ascii="宋体" w:hAnsi="宋体" w:cs="宋体"/>
        </w:rPr>
      </w:pPr>
      <w:r>
        <w:rPr>
          <w:rFonts w:hint="eastAsia" w:ascii="宋体" w:hAnsi="宋体" w:cs="宋体"/>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napToGrid w:val="0"/>
        <w:spacing w:line="400" w:lineRule="exact"/>
        <w:ind w:firstLine="420" w:firstLineChars="200"/>
        <w:rPr>
          <w:rFonts w:ascii="宋体" w:hAnsi="宋体" w:cs="宋体"/>
        </w:rPr>
      </w:pPr>
      <w:r>
        <w:rPr>
          <w:rFonts w:hint="eastAsia" w:ascii="宋体" w:hAnsi="宋体" w:cs="宋体"/>
        </w:rPr>
        <w:t>2.12供应商澄清、说明</w:t>
      </w:r>
    </w:p>
    <w:p>
      <w:pPr>
        <w:snapToGrid w:val="0"/>
        <w:spacing w:line="400" w:lineRule="exact"/>
        <w:ind w:firstLine="420" w:firstLineChars="200"/>
        <w:rPr>
          <w:rFonts w:ascii="宋体" w:hAnsi="宋体" w:cs="宋体"/>
        </w:rPr>
      </w:pPr>
      <w:r>
        <w:rPr>
          <w:rFonts w:hint="eastAsia" w:ascii="宋体" w:hAnsi="宋体" w:cs="宋体"/>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00" w:lineRule="exact"/>
        <w:ind w:firstLine="420" w:firstLineChars="200"/>
        <w:rPr>
          <w:rFonts w:ascii="宋体" w:hAnsi="宋体" w:cs="宋体"/>
        </w:rPr>
      </w:pPr>
      <w:r>
        <w:rPr>
          <w:rFonts w:hint="eastAsia" w:ascii="宋体" w:hAnsi="宋体" w:cs="宋体"/>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napToGrid w:val="0"/>
        <w:spacing w:line="400" w:lineRule="exact"/>
        <w:ind w:firstLine="420" w:firstLineChars="200"/>
        <w:rPr>
          <w:rFonts w:ascii="宋体" w:hAnsi="宋体" w:cs="宋体"/>
        </w:rPr>
      </w:pPr>
      <w:r>
        <w:rPr>
          <w:rFonts w:hint="eastAsia" w:ascii="宋体" w:hAnsi="宋体" w:cs="宋体"/>
        </w:rPr>
        <w:t>2.13终止磋商采购活动。</w:t>
      </w:r>
    </w:p>
    <w:p>
      <w:pPr>
        <w:snapToGrid w:val="0"/>
        <w:spacing w:line="400" w:lineRule="exact"/>
        <w:ind w:firstLine="420" w:firstLineChars="200"/>
        <w:rPr>
          <w:rFonts w:ascii="宋体" w:hAnsi="宋体" w:cs="宋体"/>
        </w:rPr>
      </w:pPr>
      <w:r>
        <w:rPr>
          <w:rFonts w:hint="eastAsia" w:ascii="宋体" w:hAnsi="宋体" w:cs="宋体"/>
        </w:rPr>
        <w:t>出现下列情形之一的，采购人或者采购代理机构应当终止竞争性磋商采购活动，发布项目终止公告并说明原因，重新开展采购活动：</w:t>
      </w:r>
    </w:p>
    <w:p>
      <w:pPr>
        <w:snapToGrid w:val="0"/>
        <w:spacing w:line="400" w:lineRule="exact"/>
        <w:ind w:firstLine="420" w:firstLineChars="200"/>
        <w:rPr>
          <w:rFonts w:ascii="宋体" w:hAnsi="宋体" w:cs="宋体"/>
        </w:rPr>
      </w:pPr>
      <w:r>
        <w:rPr>
          <w:rFonts w:hint="eastAsia" w:ascii="宋体" w:hAnsi="宋体" w:cs="宋体"/>
        </w:rPr>
        <w:t>（1）因情况变化，不再符合规定的竞争性磋商采购方式适用情形的；</w:t>
      </w:r>
    </w:p>
    <w:p>
      <w:pPr>
        <w:snapToGrid w:val="0"/>
        <w:spacing w:line="400" w:lineRule="exact"/>
        <w:ind w:firstLine="420" w:firstLineChars="200"/>
        <w:rPr>
          <w:rFonts w:ascii="宋体" w:hAnsi="宋体" w:cs="宋体"/>
        </w:rPr>
      </w:pPr>
      <w:r>
        <w:rPr>
          <w:rFonts w:hint="eastAsia" w:ascii="宋体" w:hAnsi="宋体" w:cs="宋体"/>
        </w:rPr>
        <w:t>（2）出现影响采购公正的违法、违规行为的；</w:t>
      </w:r>
    </w:p>
    <w:p>
      <w:pPr>
        <w:snapToGrid w:val="0"/>
        <w:spacing w:line="400" w:lineRule="exact"/>
        <w:ind w:firstLine="420" w:firstLineChars="200"/>
        <w:rPr>
          <w:rFonts w:ascii="宋体" w:hAnsi="宋体" w:cs="宋体"/>
        </w:rPr>
      </w:pPr>
      <w:r>
        <w:rPr>
          <w:rFonts w:hint="eastAsia" w:ascii="宋体" w:hAnsi="宋体" w:cs="宋体"/>
        </w:rPr>
        <w:t>（3）除本章2.3.1和2.5.3的情况外，在采购过程中符合要求的供应商或者报价未超过采购预算的供应商不足3家的。</w:t>
      </w:r>
    </w:p>
    <w:p>
      <w:pPr>
        <w:pStyle w:val="4"/>
        <w:keepNext w:val="0"/>
        <w:keepLines w:val="0"/>
        <w:spacing w:before="0" w:after="0" w:line="400" w:lineRule="exact"/>
        <w:ind w:firstLine="472" w:firstLineChars="196"/>
        <w:jc w:val="both"/>
        <w:rPr>
          <w:rFonts w:ascii="宋体" w:hAnsi="宋体"/>
          <w:sz w:val="24"/>
          <w:szCs w:val="24"/>
        </w:rPr>
      </w:pPr>
      <w:bookmarkStart w:id="938" w:name="_Toc17650"/>
      <w:bookmarkStart w:id="939" w:name="_Toc31676_WPSOffice_Level2"/>
      <w:bookmarkStart w:id="940" w:name="_Toc20413"/>
      <w:bookmarkStart w:id="941" w:name="_Toc21302"/>
      <w:bookmarkStart w:id="942" w:name="_Toc2098"/>
      <w:bookmarkStart w:id="943" w:name="_Toc27371"/>
      <w:bookmarkStart w:id="944" w:name="_Toc7163"/>
      <w:bookmarkStart w:id="945" w:name="_Toc31292"/>
      <w:bookmarkStart w:id="946" w:name="_Toc14702"/>
      <w:r>
        <w:rPr>
          <w:rFonts w:hint="eastAsia" w:ascii="宋体" w:hAnsi="宋体"/>
          <w:sz w:val="24"/>
          <w:szCs w:val="24"/>
        </w:rPr>
        <w:t>3.综合评分</w:t>
      </w:r>
      <w:bookmarkEnd w:id="938"/>
      <w:bookmarkEnd w:id="939"/>
      <w:bookmarkEnd w:id="940"/>
      <w:bookmarkEnd w:id="941"/>
      <w:bookmarkEnd w:id="942"/>
      <w:bookmarkEnd w:id="943"/>
      <w:bookmarkEnd w:id="944"/>
      <w:bookmarkEnd w:id="945"/>
      <w:bookmarkEnd w:id="946"/>
    </w:p>
    <w:p>
      <w:pPr>
        <w:snapToGrid w:val="0"/>
        <w:spacing w:line="400" w:lineRule="exact"/>
        <w:ind w:firstLine="420" w:firstLineChars="200"/>
      </w:pPr>
      <w:r>
        <w:rPr>
          <w:rFonts w:hint="eastAsia"/>
        </w:rPr>
        <w:t>3.1本次综合评分的因素详见综合评分明细表。</w:t>
      </w:r>
    </w:p>
    <w:p>
      <w:pPr>
        <w:snapToGrid w:val="0"/>
        <w:spacing w:line="400" w:lineRule="exact"/>
        <w:ind w:firstLine="420" w:firstLineChars="200"/>
      </w:pPr>
      <w:r>
        <w:rPr>
          <w:rFonts w:hint="eastAsia"/>
        </w:rPr>
        <w:t>3.2除价格因素外，磋商小组成员应当根据自身专业情况独立对每个有效供应商的响应文件进行评价、打分。技术、与技术有关的服务及其他技术类评分因素由抽取的技术方面磋商小组成员（如有时）独立评分。财务状况及其他经济类评分因素由抽取的经济方面磋商小组成员（如有时）独立评分。采购政策功能、采购合同主要条款及其他政策合同类的评分因素由抽取的法律方面磋商小组成员（如有时）独立评分。采购人代表原则上对技术、与技术有关的服务及其他技术类评分因素独立评分。价格及其他不能明确区分的评分因素由磋商小组成员共同评分。</w:t>
      </w:r>
    </w:p>
    <w:p>
      <w:pPr>
        <w:snapToGrid w:val="0"/>
        <w:spacing w:line="400" w:lineRule="exact"/>
        <w:ind w:firstLine="420" w:firstLineChars="200"/>
      </w:pPr>
      <w:r>
        <w:rPr>
          <w:rFonts w:hint="eastAsia"/>
        </w:rPr>
        <w:t>3.3综合评分明细表</w:t>
      </w:r>
    </w:p>
    <w:p>
      <w:pPr>
        <w:snapToGrid w:val="0"/>
        <w:spacing w:line="400" w:lineRule="exact"/>
        <w:ind w:firstLine="420" w:firstLineChars="200"/>
      </w:pPr>
      <w:r>
        <w:rPr>
          <w:rFonts w:hint="eastAsia"/>
        </w:rPr>
        <w:t>3.3.1综合评分明细表的制定以科学合理、降低评委会自由裁量权为原则。</w:t>
      </w:r>
    </w:p>
    <w:p>
      <w:pPr>
        <w:snapToGrid w:val="0"/>
        <w:spacing w:line="400" w:lineRule="exact"/>
        <w:ind w:firstLine="420" w:firstLineChars="200"/>
      </w:pPr>
      <w:r>
        <w:rPr>
          <w:rFonts w:hint="eastAsia"/>
        </w:rPr>
        <w:t>3.3.2 综合评分明细表按须知表中的相关要求进行价格调整，再参与价格分评审。</w:t>
      </w:r>
    </w:p>
    <w:p>
      <w:pPr>
        <w:snapToGrid w:val="0"/>
        <w:spacing w:line="400" w:lineRule="exact"/>
        <w:ind w:firstLine="420" w:firstLineChars="200"/>
      </w:pPr>
      <w:r>
        <w:rPr>
          <w:rFonts w:hint="eastAsia"/>
        </w:rPr>
        <w:t>3.3.3综合评分明细</w:t>
      </w:r>
      <w:bookmarkEnd w:id="486"/>
      <w:bookmarkStart w:id="947" w:name="PO_评分明细表格_1"/>
      <w:r>
        <w:rPr>
          <w:rFonts w:hint="eastAsia"/>
        </w:rPr>
        <w:t xml:space="preserve"> </w:t>
      </w:r>
    </w:p>
    <w:p>
      <w:pPr>
        <w:pStyle w:val="12"/>
        <w:spacing w:after="0" w:line="360" w:lineRule="auto"/>
        <w:ind w:firstLine="482" w:firstLineChars="200"/>
        <w:rPr>
          <w:b/>
          <w:bCs/>
          <w:sz w:val="24"/>
        </w:rPr>
      </w:pPr>
      <w:r>
        <w:rPr>
          <w:rFonts w:hint="eastAsia"/>
          <w:b/>
          <w:bCs/>
          <w:sz w:val="24"/>
        </w:rPr>
        <w:t>第一包</w:t>
      </w:r>
    </w:p>
    <w:tbl>
      <w:tblPr>
        <w:tblStyle w:val="33"/>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36"/>
        <w:gridCol w:w="974"/>
        <w:gridCol w:w="615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644"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序号</w:t>
            </w:r>
          </w:p>
        </w:tc>
        <w:tc>
          <w:tcPr>
            <w:tcW w:w="1136"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评分因素</w:t>
            </w:r>
          </w:p>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及权重</w:t>
            </w:r>
          </w:p>
        </w:tc>
        <w:tc>
          <w:tcPr>
            <w:tcW w:w="974"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分值</w:t>
            </w:r>
          </w:p>
        </w:tc>
        <w:tc>
          <w:tcPr>
            <w:tcW w:w="6150"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b/>
                <w:bCs/>
                <w:szCs w:val="21"/>
              </w:rPr>
              <w:t>评分标准</w:t>
            </w:r>
          </w:p>
        </w:tc>
        <w:tc>
          <w:tcPr>
            <w:tcW w:w="1056"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4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一</w:t>
            </w:r>
          </w:p>
        </w:tc>
        <w:tc>
          <w:tcPr>
            <w:tcW w:w="113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投标报价</w:t>
            </w:r>
          </w:p>
          <w:p>
            <w:pPr>
              <w:tabs>
                <w:tab w:val="left" w:pos="0"/>
              </w:tabs>
              <w:wordWrap w:val="0"/>
              <w:topLinePunct/>
              <w:spacing w:line="360" w:lineRule="exact"/>
              <w:jc w:val="center"/>
              <w:rPr>
                <w:rFonts w:ascii="宋体" w:hAnsi="宋体" w:cs="宋体"/>
                <w:szCs w:val="21"/>
              </w:rPr>
            </w:pPr>
            <w:r>
              <w:rPr>
                <w:rFonts w:hint="eastAsia" w:ascii="宋体" w:hAnsi="宋体" w:cs="宋体"/>
                <w:szCs w:val="21"/>
              </w:rPr>
              <w:t>10%</w:t>
            </w:r>
          </w:p>
        </w:tc>
        <w:tc>
          <w:tcPr>
            <w:tcW w:w="97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10分</w:t>
            </w:r>
          </w:p>
        </w:tc>
        <w:tc>
          <w:tcPr>
            <w:tcW w:w="6150" w:type="dxa"/>
            <w:vAlign w:val="center"/>
          </w:tcPr>
          <w:p>
            <w:pPr>
              <w:tabs>
                <w:tab w:val="left" w:pos="0"/>
              </w:tabs>
              <w:wordWrap w:val="0"/>
              <w:topLinePunct/>
              <w:spacing w:line="360" w:lineRule="exact"/>
            </w:pPr>
            <w:r>
              <w:rPr>
                <w:rFonts w:hint="eastAsia"/>
              </w:rPr>
              <w:t>以满足磋商文件要求且最后报价最低的磋商报价为评审基准价，其价格分为满分。其他供应商的价格分统一按照下列公式计算：磋商报价得分=（磋商基准价／最后磋商报价）×10。</w:t>
            </w:r>
          </w:p>
          <w:p>
            <w:pPr>
              <w:snapToGrid w:val="0"/>
              <w:spacing w:line="320" w:lineRule="atLeast"/>
              <w:jc w:val="left"/>
              <w:rPr>
                <w:rFonts w:ascii="宋体" w:hAnsi="宋体" w:cs="宋体"/>
                <w:b/>
                <w:bCs/>
                <w:kern w:val="0"/>
                <w:szCs w:val="21"/>
                <w:lang w:val="zh-TW" w:eastAsia="zh-TW" w:bidi="zh-TW"/>
              </w:rPr>
            </w:pPr>
            <w:r>
              <w:rPr>
                <w:rFonts w:hint="eastAsia" w:ascii="宋体" w:hAnsi="宋体" w:cs="宋体"/>
                <w:b/>
                <w:bCs/>
                <w:kern w:val="0"/>
                <w:szCs w:val="21"/>
                <w:lang w:val="zh-TW" w:eastAsia="zh-TW" w:bidi="zh-TW"/>
              </w:rPr>
              <w:t>注：</w:t>
            </w:r>
          </w:p>
          <w:p>
            <w:pPr>
              <w:snapToGrid w:val="0"/>
              <w:spacing w:line="320" w:lineRule="atLeast"/>
              <w:jc w:val="left"/>
              <w:rPr>
                <w:rFonts w:ascii="宋体" w:hAnsi="宋体" w:cs="宋体"/>
                <w:b/>
                <w:bCs/>
                <w:kern w:val="0"/>
                <w:szCs w:val="21"/>
                <w:lang w:val="zh-TW" w:eastAsia="zh-TW" w:bidi="zh-TW"/>
              </w:rPr>
            </w:pPr>
            <w:r>
              <w:rPr>
                <w:rFonts w:hint="eastAsia" w:ascii="宋体" w:hAnsi="宋体" w:cs="宋体"/>
                <w:b/>
                <w:bCs/>
                <w:kern w:val="0"/>
                <w:szCs w:val="21"/>
                <w:lang w:val="zh-TW" w:bidi="zh-TW"/>
              </w:rPr>
              <w:t>一、</w:t>
            </w:r>
            <w:r>
              <w:rPr>
                <w:rFonts w:hint="eastAsia" w:ascii="宋体" w:hAnsi="宋体" w:cs="宋体"/>
                <w:b/>
                <w:bCs/>
                <w:kern w:val="0"/>
                <w:szCs w:val="21"/>
                <w:lang w:val="zh-TW" w:eastAsia="zh-TW" w:bidi="zh-TW"/>
              </w:rPr>
              <w:t>本项目为专门面向中小企业采购，磋商时不进行价格扣除。</w:t>
            </w:r>
          </w:p>
          <w:p>
            <w:pPr>
              <w:snapToGrid w:val="0"/>
              <w:spacing w:line="320" w:lineRule="atLeast"/>
              <w:jc w:val="left"/>
              <w:rPr>
                <w:rFonts w:ascii="宋体" w:hAnsi="宋体" w:cs="宋体"/>
                <w:kern w:val="0"/>
                <w:szCs w:val="21"/>
                <w:lang w:val="zh-TW" w:eastAsia="zh-TW" w:bidi="zh-TW"/>
              </w:rPr>
            </w:pPr>
            <w:r>
              <w:rPr>
                <w:rFonts w:hint="eastAsia" w:ascii="宋体" w:hAnsi="宋体" w:cs="宋体"/>
                <w:kern w:val="0"/>
                <w:szCs w:val="21"/>
                <w:lang w:val="zh-TW" w:bidi="zh-TW"/>
              </w:rPr>
              <w:t>二</w:t>
            </w:r>
            <w:r>
              <w:rPr>
                <w:rFonts w:hint="eastAsia" w:ascii="宋体" w:hAnsi="宋体" w:cs="宋体"/>
                <w:kern w:val="0"/>
                <w:szCs w:val="21"/>
                <w:lang w:val="zh-TW" w:eastAsia="zh-TW" w:bidi="zh-TW"/>
              </w:rPr>
              <w:t>、参加政府采购活动的中小企业应当提供《中小企业声明函》原件，残疾人福利性单位应当提供《残疾人福利性单位声明函）原件，监狱企业应当提供《监狱企业声明函》原件。</w:t>
            </w:r>
          </w:p>
          <w:p>
            <w:pPr>
              <w:snapToGrid w:val="0"/>
              <w:spacing w:line="320" w:lineRule="atLeast"/>
              <w:jc w:val="left"/>
              <w:rPr>
                <w:rFonts w:ascii="宋体" w:hAnsi="宋体" w:cs="宋体"/>
                <w:kern w:val="0"/>
                <w:szCs w:val="21"/>
                <w:lang w:val="zh-TW" w:eastAsia="zh-TW" w:bidi="zh-TW"/>
              </w:rPr>
            </w:pPr>
            <w:r>
              <w:rPr>
                <w:rFonts w:hint="eastAsia" w:ascii="宋体" w:hAnsi="宋体" w:cs="宋体"/>
                <w:kern w:val="0"/>
                <w:szCs w:val="21"/>
                <w:lang w:val="zh-TW" w:bidi="zh-TW"/>
              </w:rPr>
              <w:t>三</w:t>
            </w:r>
            <w:r>
              <w:rPr>
                <w:rFonts w:hint="eastAsia" w:ascii="宋体" w:hAnsi="宋体" w:cs="宋体"/>
                <w:kern w:val="0"/>
                <w:szCs w:val="21"/>
                <w:lang w:val="zh-TW" w:eastAsia="zh-TW" w:bidi="zh-TW"/>
              </w:rPr>
              <w:t>、失信企业报价加成</w:t>
            </w:r>
          </w:p>
          <w:p>
            <w:pPr>
              <w:tabs>
                <w:tab w:val="left" w:pos="382"/>
              </w:tabs>
              <w:adjustRightInd w:val="0"/>
              <w:snapToGrid w:val="0"/>
              <w:spacing w:line="320" w:lineRule="atLeast"/>
              <w:jc w:val="left"/>
            </w:pPr>
            <w:r>
              <w:rPr>
                <w:rFonts w:hint="eastAsia" w:ascii="宋体" w:hAnsi="宋体" w:cs="宋体"/>
                <w:kern w:val="0"/>
                <w:szCs w:val="21"/>
                <w:lang w:val="zh-TW" w:eastAsia="zh-TW" w:bidi="zh-TW"/>
              </w:rPr>
              <w:t>对按照《四川省政府采购当事人诚信管理办 法》（川财采：2015]33号）记入诚信档案的且在有效期内的失信投标人，在参加政府采购活动中 实行10%的报价加成、以加成后报价作为该投标人报价评标，且投标人失信行为惩戒实行无限制累加制，因其失信行为进行报价加成惩戒后报价 超过政府采购预算的，其投标文件按照无效处理。</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44" w:type="dxa"/>
            <w:vMerge w:val="restart"/>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二</w:t>
            </w:r>
          </w:p>
        </w:tc>
        <w:tc>
          <w:tcPr>
            <w:tcW w:w="1136" w:type="dxa"/>
            <w:vMerge w:val="restart"/>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履约能力 29%</w:t>
            </w:r>
          </w:p>
        </w:tc>
        <w:tc>
          <w:tcPr>
            <w:tcW w:w="974" w:type="dxa"/>
            <w:vMerge w:val="restart"/>
            <w:vAlign w:val="center"/>
          </w:tcPr>
          <w:p>
            <w:pPr>
              <w:tabs>
                <w:tab w:val="left" w:pos="0"/>
              </w:tabs>
              <w:wordWrap w:val="0"/>
              <w:spacing w:line="360" w:lineRule="exact"/>
              <w:jc w:val="center"/>
              <w:rPr>
                <w:rFonts w:ascii="宋体" w:hAnsi="宋体" w:cs="宋体"/>
                <w:szCs w:val="21"/>
              </w:rPr>
            </w:pPr>
            <w:r>
              <w:rPr>
                <w:rFonts w:hint="eastAsia" w:ascii="宋体" w:hAnsi="宋体" w:cs="宋体"/>
                <w:szCs w:val="21"/>
              </w:rPr>
              <w:t>29分</w:t>
            </w:r>
          </w:p>
        </w:tc>
        <w:tc>
          <w:tcPr>
            <w:tcW w:w="6150" w:type="dxa"/>
            <w:vAlign w:val="center"/>
          </w:tcPr>
          <w:p>
            <w:pPr>
              <w:tabs>
                <w:tab w:val="left" w:pos="0"/>
              </w:tabs>
              <w:wordWrap w:val="0"/>
              <w:spacing w:line="360" w:lineRule="exact"/>
              <w:rPr>
                <w:rFonts w:ascii="宋体" w:hAnsi="宋体" w:cs="宋体"/>
                <w:szCs w:val="21"/>
                <w:highlight w:val="none"/>
              </w:rPr>
            </w:pPr>
            <w:r>
              <w:rPr>
                <w:rStyle w:val="107"/>
                <w:rFonts w:hint="eastAsia" w:ascii="宋体" w:hAnsi="宋体" w:cs="宋体"/>
                <w:szCs w:val="21"/>
                <w:highlight w:val="none"/>
              </w:rPr>
              <w:t>供应商2019年1月1日（含1日）以来具有一个已完成类似项目业绩的得</w:t>
            </w:r>
            <w:r>
              <w:rPr>
                <w:rStyle w:val="107"/>
                <w:rFonts w:hint="eastAsia" w:ascii="宋体" w:hAnsi="宋体" w:cs="宋体"/>
                <w:szCs w:val="21"/>
                <w:highlight w:val="none"/>
                <w:lang w:val="en-US" w:eastAsia="zh-CN"/>
              </w:rPr>
              <w:t>3</w:t>
            </w:r>
            <w:r>
              <w:rPr>
                <w:rStyle w:val="107"/>
                <w:rFonts w:hint="eastAsia" w:ascii="宋体" w:hAnsi="宋体" w:cs="宋体"/>
                <w:szCs w:val="21"/>
                <w:highlight w:val="none"/>
              </w:rPr>
              <w:t>分，在此基础上每增加1个加</w:t>
            </w:r>
            <w:r>
              <w:rPr>
                <w:rStyle w:val="107"/>
                <w:rFonts w:hint="eastAsia" w:ascii="宋体" w:hAnsi="宋体" w:cs="宋体"/>
                <w:szCs w:val="21"/>
                <w:highlight w:val="none"/>
                <w:lang w:val="en-US" w:eastAsia="zh-CN"/>
              </w:rPr>
              <w:t>2</w:t>
            </w:r>
            <w:r>
              <w:rPr>
                <w:rStyle w:val="107"/>
                <w:rFonts w:hint="eastAsia" w:ascii="宋体" w:hAnsi="宋体" w:cs="宋体"/>
                <w:szCs w:val="21"/>
                <w:highlight w:val="none"/>
              </w:rPr>
              <w:t>分，最多得1</w:t>
            </w:r>
            <w:r>
              <w:rPr>
                <w:rStyle w:val="107"/>
                <w:rFonts w:hint="eastAsia" w:ascii="宋体" w:hAnsi="宋体" w:cs="宋体"/>
                <w:szCs w:val="21"/>
                <w:highlight w:val="none"/>
                <w:lang w:val="en-US" w:eastAsia="zh-CN"/>
              </w:rPr>
              <w:t>3</w:t>
            </w:r>
            <w:r>
              <w:rPr>
                <w:rStyle w:val="107"/>
                <w:rFonts w:hint="eastAsia" w:ascii="宋体" w:hAnsi="宋体" w:cs="宋体"/>
                <w:szCs w:val="21"/>
                <w:highlight w:val="none"/>
              </w:rPr>
              <w:t>分。（</w:t>
            </w:r>
            <w:r>
              <w:rPr>
                <w:rStyle w:val="107"/>
                <w:rFonts w:hint="eastAsia" w:ascii="宋体" w:hAnsi="宋体" w:cs="宋体"/>
                <w:szCs w:val="21"/>
                <w:highlight w:val="none"/>
                <w:lang w:eastAsia="zh-CN"/>
              </w:rPr>
              <w:t>类似项目指：柴油车尾气监测服务业绩；</w:t>
            </w:r>
            <w:r>
              <w:rPr>
                <w:rStyle w:val="107"/>
                <w:rFonts w:hint="eastAsia" w:ascii="宋体" w:hAnsi="宋体" w:cs="宋体"/>
                <w:szCs w:val="21"/>
                <w:highlight w:val="none"/>
              </w:rPr>
              <w:t>提供合同复印件并加盖单位鲜章）。</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4" w:type="dxa"/>
            <w:vMerge w:val="continue"/>
            <w:vAlign w:val="center"/>
          </w:tcPr>
          <w:p>
            <w:pPr>
              <w:tabs>
                <w:tab w:val="left" w:pos="0"/>
              </w:tabs>
              <w:wordWrap w:val="0"/>
              <w:topLinePunct/>
              <w:spacing w:line="360" w:lineRule="exact"/>
              <w:jc w:val="center"/>
              <w:rPr>
                <w:rFonts w:ascii="宋体" w:hAnsi="宋体" w:cs="宋体"/>
                <w:szCs w:val="21"/>
              </w:rPr>
            </w:pPr>
          </w:p>
        </w:tc>
        <w:tc>
          <w:tcPr>
            <w:tcW w:w="1136" w:type="dxa"/>
            <w:vMerge w:val="continue"/>
            <w:vAlign w:val="center"/>
          </w:tcPr>
          <w:p>
            <w:pPr>
              <w:tabs>
                <w:tab w:val="left" w:pos="0"/>
              </w:tabs>
              <w:wordWrap w:val="0"/>
              <w:topLinePunct/>
              <w:spacing w:line="360" w:lineRule="exact"/>
              <w:jc w:val="center"/>
              <w:rPr>
                <w:rFonts w:ascii="宋体" w:hAnsi="宋体" w:cs="宋体"/>
                <w:szCs w:val="21"/>
              </w:rPr>
            </w:pPr>
          </w:p>
        </w:tc>
        <w:tc>
          <w:tcPr>
            <w:tcW w:w="974" w:type="dxa"/>
            <w:vMerge w:val="continue"/>
            <w:vAlign w:val="center"/>
          </w:tcPr>
          <w:p>
            <w:pPr>
              <w:tabs>
                <w:tab w:val="left" w:pos="0"/>
              </w:tabs>
              <w:wordWrap w:val="0"/>
              <w:spacing w:line="360" w:lineRule="exact"/>
              <w:jc w:val="center"/>
              <w:rPr>
                <w:rFonts w:ascii="宋体" w:hAnsi="宋体" w:cs="宋体"/>
                <w:szCs w:val="21"/>
              </w:rPr>
            </w:pPr>
          </w:p>
        </w:tc>
        <w:tc>
          <w:tcPr>
            <w:tcW w:w="6150" w:type="dxa"/>
            <w:vAlign w:val="center"/>
          </w:tcPr>
          <w:p>
            <w:pPr>
              <w:tabs>
                <w:tab w:val="left" w:pos="0"/>
              </w:tabs>
              <w:wordWrap w:val="0"/>
              <w:spacing w:line="360" w:lineRule="exact"/>
              <w:rPr>
                <w:rFonts w:ascii="宋体" w:hAnsi="宋体" w:cs="宋体"/>
                <w:b/>
                <w:bCs/>
                <w:szCs w:val="21"/>
              </w:rPr>
            </w:pPr>
            <w:r>
              <w:rPr>
                <w:rFonts w:hint="eastAsia" w:ascii="宋体" w:hAnsi="宋体" w:cs="宋体"/>
                <w:kern w:val="1"/>
                <w:szCs w:val="21"/>
              </w:rPr>
              <w:t>拟派往本项目的项目供应商须为本项目配备5人及以上专职技术工程师1人得2分，最多得10分。</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4" w:type="dxa"/>
            <w:vMerge w:val="continue"/>
            <w:vAlign w:val="center"/>
          </w:tcPr>
          <w:p>
            <w:pPr>
              <w:tabs>
                <w:tab w:val="left" w:pos="0"/>
              </w:tabs>
              <w:wordWrap w:val="0"/>
              <w:topLinePunct/>
              <w:spacing w:line="360" w:lineRule="exact"/>
              <w:jc w:val="center"/>
              <w:rPr>
                <w:rFonts w:ascii="宋体" w:hAnsi="宋体" w:cs="宋体"/>
                <w:szCs w:val="21"/>
              </w:rPr>
            </w:pPr>
          </w:p>
        </w:tc>
        <w:tc>
          <w:tcPr>
            <w:tcW w:w="1136" w:type="dxa"/>
            <w:vMerge w:val="continue"/>
            <w:vAlign w:val="center"/>
          </w:tcPr>
          <w:p>
            <w:pPr>
              <w:tabs>
                <w:tab w:val="left" w:pos="0"/>
              </w:tabs>
              <w:wordWrap w:val="0"/>
              <w:topLinePunct/>
              <w:spacing w:line="360" w:lineRule="exact"/>
              <w:jc w:val="center"/>
              <w:rPr>
                <w:rFonts w:ascii="宋体" w:hAnsi="宋体" w:cs="宋体"/>
                <w:szCs w:val="21"/>
              </w:rPr>
            </w:pPr>
          </w:p>
        </w:tc>
        <w:tc>
          <w:tcPr>
            <w:tcW w:w="974" w:type="dxa"/>
            <w:vMerge w:val="continue"/>
            <w:vAlign w:val="center"/>
          </w:tcPr>
          <w:p>
            <w:pPr>
              <w:tabs>
                <w:tab w:val="left" w:pos="0"/>
              </w:tabs>
              <w:wordWrap w:val="0"/>
              <w:spacing w:line="360" w:lineRule="exact"/>
              <w:jc w:val="center"/>
              <w:rPr>
                <w:rFonts w:ascii="宋体" w:hAnsi="宋体" w:cs="宋体"/>
                <w:szCs w:val="21"/>
              </w:rPr>
            </w:pPr>
          </w:p>
        </w:tc>
        <w:tc>
          <w:tcPr>
            <w:tcW w:w="6150" w:type="dxa"/>
            <w:vAlign w:val="center"/>
          </w:tcPr>
          <w:p>
            <w:pPr>
              <w:tabs>
                <w:tab w:val="left" w:pos="0"/>
              </w:tabs>
              <w:wordWrap w:val="0"/>
              <w:spacing w:line="360" w:lineRule="exact"/>
              <w:rPr>
                <w:rFonts w:ascii="宋体" w:hAnsi="宋体" w:cs="宋体"/>
                <w:kern w:val="1"/>
                <w:szCs w:val="21"/>
                <w:highlight w:val="none"/>
              </w:rPr>
            </w:pPr>
            <w:r>
              <w:rPr>
                <w:rFonts w:hint="eastAsia" w:ascii="宋体" w:hAnsi="宋体" w:cs="宋体"/>
                <w:kern w:val="1"/>
                <w:szCs w:val="21"/>
                <w:highlight w:val="none"/>
                <w:lang w:val="zh-CN"/>
              </w:rPr>
              <w:t>供应商</w:t>
            </w:r>
            <w:r>
              <w:rPr>
                <w:rFonts w:hint="eastAsia" w:ascii="宋体" w:hAnsi="宋体" w:cs="宋体"/>
                <w:kern w:val="1"/>
                <w:szCs w:val="21"/>
                <w:highlight w:val="none"/>
              </w:rPr>
              <w:t>具</w:t>
            </w:r>
            <w:r>
              <w:rPr>
                <w:rFonts w:hint="eastAsia" w:ascii="宋体" w:hAnsi="宋体" w:cs="宋体"/>
                <w:kern w:val="1"/>
                <w:szCs w:val="21"/>
                <w:highlight w:val="none"/>
                <w:lang w:val="zh-CN"/>
              </w:rPr>
              <w:t>有</w:t>
            </w:r>
            <w:r>
              <w:rPr>
                <w:rFonts w:hint="eastAsia" w:ascii="宋体" w:hAnsi="宋体" w:cs="宋体"/>
                <w:kern w:val="1"/>
                <w:szCs w:val="21"/>
                <w:highlight w:val="none"/>
              </w:rPr>
              <w:t>不透光烟度计、格林曼烟度测试仪、风向风速仪等三种设备得</w:t>
            </w:r>
            <w:r>
              <w:rPr>
                <w:rFonts w:hint="eastAsia" w:ascii="宋体" w:hAnsi="宋体" w:cs="宋体"/>
                <w:kern w:val="1"/>
                <w:szCs w:val="21"/>
                <w:highlight w:val="none"/>
                <w:lang w:val="en-US" w:eastAsia="zh-CN"/>
              </w:rPr>
              <w:t>6</w:t>
            </w:r>
            <w:r>
              <w:rPr>
                <w:rFonts w:hint="eastAsia" w:ascii="宋体" w:hAnsi="宋体" w:cs="宋体"/>
                <w:kern w:val="1"/>
                <w:szCs w:val="21"/>
                <w:highlight w:val="none"/>
              </w:rPr>
              <w:t>分</w:t>
            </w:r>
            <w:r>
              <w:rPr>
                <w:rFonts w:hint="eastAsia" w:ascii="宋体" w:hAnsi="宋体" w:cs="宋体"/>
                <w:kern w:val="1"/>
                <w:szCs w:val="21"/>
                <w:highlight w:val="none"/>
                <w:lang w:val="zh-CN"/>
              </w:rPr>
              <w:t>，每少一种扣</w:t>
            </w:r>
            <w:r>
              <w:rPr>
                <w:rFonts w:hint="eastAsia" w:ascii="宋体" w:hAnsi="宋体" w:cs="宋体"/>
                <w:kern w:val="1"/>
                <w:szCs w:val="21"/>
                <w:highlight w:val="none"/>
                <w:lang w:val="en-US" w:eastAsia="zh-CN"/>
              </w:rPr>
              <w:t>2</w:t>
            </w:r>
            <w:r>
              <w:rPr>
                <w:rFonts w:hint="eastAsia" w:ascii="宋体" w:hAnsi="宋体" w:cs="宋体"/>
                <w:kern w:val="1"/>
                <w:szCs w:val="21"/>
                <w:highlight w:val="none"/>
                <w:lang w:val="zh-CN"/>
              </w:rPr>
              <w:t>分（需提供相关设备</w:t>
            </w:r>
            <w:r>
              <w:rPr>
                <w:rFonts w:hint="eastAsia" w:ascii="宋体" w:hAnsi="宋体" w:cs="宋体"/>
                <w:kern w:val="1"/>
                <w:szCs w:val="21"/>
                <w:highlight w:val="none"/>
              </w:rPr>
              <w:t>采购合同或者检定校准证书</w:t>
            </w:r>
            <w:r>
              <w:rPr>
                <w:rFonts w:hint="eastAsia" w:ascii="宋体" w:hAnsi="宋体" w:cs="宋体"/>
                <w:kern w:val="1"/>
                <w:szCs w:val="21"/>
                <w:highlight w:val="none"/>
                <w:lang w:val="zh-CN"/>
              </w:rPr>
              <w:t>）。</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三</w:t>
            </w:r>
          </w:p>
        </w:tc>
        <w:tc>
          <w:tcPr>
            <w:tcW w:w="113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服务方案42%</w:t>
            </w:r>
          </w:p>
        </w:tc>
        <w:tc>
          <w:tcPr>
            <w:tcW w:w="97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42分</w:t>
            </w:r>
          </w:p>
        </w:tc>
        <w:tc>
          <w:tcPr>
            <w:tcW w:w="6150" w:type="dxa"/>
            <w:vAlign w:val="center"/>
          </w:tcPr>
          <w:p>
            <w:pPr>
              <w:tabs>
                <w:tab w:val="left" w:pos="0"/>
              </w:tabs>
              <w:wordWrap w:val="0"/>
              <w:topLinePunct/>
              <w:spacing w:line="360" w:lineRule="exact"/>
              <w:rPr>
                <w:rFonts w:ascii="宋体" w:hAnsi="宋体" w:cs="宋体"/>
                <w:szCs w:val="21"/>
              </w:rPr>
            </w:pPr>
            <w:r>
              <w:rPr>
                <w:rFonts w:hint="eastAsia" w:ascii="宋体" w:hAnsi="宋体" w:cs="宋体"/>
                <w:szCs w:val="21"/>
              </w:rPr>
              <w:t>根据供应商针对本项目服务方案进行综合评审，包含：</w:t>
            </w:r>
          </w:p>
          <w:p>
            <w:pPr>
              <w:tabs>
                <w:tab w:val="left" w:pos="0"/>
              </w:tabs>
              <w:wordWrap w:val="0"/>
              <w:topLinePunct/>
              <w:spacing w:line="360" w:lineRule="exact"/>
              <w:rPr>
                <w:rFonts w:ascii="宋体" w:hAnsi="宋体" w:cs="宋体"/>
                <w:kern w:val="1"/>
                <w:szCs w:val="21"/>
              </w:rPr>
            </w:pPr>
            <w:r>
              <w:rPr>
                <w:rFonts w:hint="eastAsia" w:ascii="宋体" w:hAnsi="宋体" w:cs="宋体"/>
                <w:kern w:val="1"/>
                <w:szCs w:val="21"/>
              </w:rPr>
              <w:t>①项目管理机构配置；</w:t>
            </w:r>
          </w:p>
          <w:p>
            <w:pPr>
              <w:tabs>
                <w:tab w:val="left" w:pos="0"/>
              </w:tabs>
              <w:wordWrap w:val="0"/>
              <w:topLinePunct/>
              <w:spacing w:line="360" w:lineRule="exact"/>
              <w:rPr>
                <w:rFonts w:ascii="宋体" w:hAnsi="宋体" w:cs="宋体"/>
                <w:kern w:val="1"/>
                <w:szCs w:val="21"/>
              </w:rPr>
            </w:pPr>
            <w:r>
              <w:rPr>
                <w:rFonts w:hint="eastAsia" w:ascii="宋体" w:hAnsi="宋体" w:cs="宋体"/>
                <w:kern w:val="1"/>
                <w:szCs w:val="21"/>
              </w:rPr>
              <w:t>②时间安排及响应；</w:t>
            </w:r>
          </w:p>
          <w:p>
            <w:pPr>
              <w:tabs>
                <w:tab w:val="left" w:pos="0"/>
              </w:tabs>
              <w:wordWrap w:val="0"/>
              <w:topLinePunct/>
              <w:spacing w:line="360" w:lineRule="exact"/>
              <w:rPr>
                <w:rFonts w:ascii="宋体" w:hAnsi="宋体" w:cs="宋体"/>
                <w:kern w:val="1"/>
                <w:szCs w:val="21"/>
              </w:rPr>
            </w:pPr>
            <w:r>
              <w:rPr>
                <w:rFonts w:hint="eastAsia" w:ascii="宋体" w:hAnsi="宋体" w:cs="宋体"/>
                <w:kern w:val="1"/>
                <w:szCs w:val="21"/>
              </w:rPr>
              <w:t>③技术检测方法；</w:t>
            </w:r>
          </w:p>
          <w:p>
            <w:pPr>
              <w:tabs>
                <w:tab w:val="left" w:pos="0"/>
              </w:tabs>
              <w:wordWrap w:val="0"/>
              <w:topLinePunct/>
              <w:spacing w:line="360" w:lineRule="exact"/>
              <w:rPr>
                <w:rFonts w:ascii="宋体" w:hAnsi="宋体" w:cs="宋体"/>
                <w:kern w:val="1"/>
                <w:szCs w:val="21"/>
              </w:rPr>
            </w:pPr>
            <w:r>
              <w:rPr>
                <w:rFonts w:hint="eastAsia" w:ascii="宋体" w:hAnsi="宋体" w:cs="宋体"/>
                <w:kern w:val="1"/>
                <w:szCs w:val="21"/>
              </w:rPr>
              <w:t>④应急处理；</w:t>
            </w:r>
          </w:p>
          <w:p>
            <w:pPr>
              <w:tabs>
                <w:tab w:val="left" w:pos="0"/>
              </w:tabs>
              <w:wordWrap w:val="0"/>
              <w:topLinePunct/>
              <w:spacing w:line="360" w:lineRule="exact"/>
              <w:rPr>
                <w:rFonts w:ascii="宋体" w:hAnsi="宋体" w:cs="宋体"/>
                <w:szCs w:val="21"/>
              </w:rPr>
            </w:pPr>
            <w:r>
              <w:rPr>
                <w:rFonts w:hint="eastAsia" w:ascii="宋体" w:hAnsi="宋体" w:cs="宋体"/>
                <w:szCs w:val="21"/>
              </w:rPr>
              <w:t>⑤质量控制措施；</w:t>
            </w:r>
          </w:p>
          <w:p>
            <w:pPr>
              <w:tabs>
                <w:tab w:val="left" w:pos="0"/>
              </w:tabs>
              <w:wordWrap w:val="0"/>
              <w:topLinePunct/>
              <w:spacing w:line="360" w:lineRule="exact"/>
              <w:rPr>
                <w:rFonts w:ascii="宋体" w:hAnsi="宋体" w:cs="宋体"/>
                <w:szCs w:val="21"/>
              </w:rPr>
            </w:pPr>
            <w:r>
              <w:rPr>
                <w:rFonts w:hint="eastAsia" w:ascii="宋体" w:hAnsi="宋体" w:cs="宋体"/>
                <w:szCs w:val="21"/>
              </w:rPr>
              <w:t>⑥风险管控方案等。</w:t>
            </w:r>
          </w:p>
          <w:p>
            <w:pPr>
              <w:tabs>
                <w:tab w:val="left" w:pos="0"/>
              </w:tabs>
              <w:wordWrap w:val="0"/>
              <w:topLinePunct/>
              <w:spacing w:line="360" w:lineRule="exact"/>
              <w:rPr>
                <w:rFonts w:ascii="宋体" w:hAnsi="宋体" w:cs="宋体"/>
                <w:snapToGrid w:val="0"/>
                <w:szCs w:val="21"/>
              </w:rPr>
            </w:pPr>
            <w:r>
              <w:rPr>
                <w:rFonts w:hint="eastAsia" w:ascii="宋体" w:hAnsi="宋体" w:cs="宋体"/>
                <w:szCs w:val="21"/>
              </w:rPr>
              <w:t>各项内容为专门针对本项目编制，方案完善，符合本项目实际情况，能够保障项目顺利实施的得42分；方案内容每缺少一项扣7分，每有一处不合理或不完善扣2分。</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四</w:t>
            </w:r>
          </w:p>
        </w:tc>
        <w:tc>
          <w:tcPr>
            <w:tcW w:w="113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后续后服务方案</w:t>
            </w:r>
          </w:p>
          <w:p>
            <w:pPr>
              <w:tabs>
                <w:tab w:val="left" w:pos="0"/>
              </w:tabs>
              <w:wordWrap w:val="0"/>
              <w:topLinePunct/>
              <w:spacing w:line="360" w:lineRule="exact"/>
              <w:jc w:val="center"/>
              <w:rPr>
                <w:rFonts w:ascii="宋体" w:hAnsi="宋体" w:cs="宋体"/>
                <w:szCs w:val="21"/>
              </w:rPr>
            </w:pPr>
            <w:r>
              <w:rPr>
                <w:rFonts w:hint="eastAsia" w:ascii="宋体" w:hAnsi="宋体" w:cs="宋体"/>
                <w:szCs w:val="21"/>
              </w:rPr>
              <w:t>15%</w:t>
            </w:r>
          </w:p>
        </w:tc>
        <w:tc>
          <w:tcPr>
            <w:tcW w:w="97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15分</w:t>
            </w:r>
          </w:p>
        </w:tc>
        <w:tc>
          <w:tcPr>
            <w:tcW w:w="6150" w:type="dxa"/>
            <w:vAlign w:val="center"/>
          </w:tcPr>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根据供应商针对本项目的后续服务方案进行综合评审，包含：</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①服务体系；</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②服务范围；</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③故障解决方案；</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④增值服务；</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⑤应急处理方案等。</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各项内容为专门针对本项目编制，符合本项目实际情况，方案完善，能够保障项目顺利实施的得15分；</w:t>
            </w:r>
            <w:r>
              <w:rPr>
                <w:rFonts w:hint="eastAsia" w:ascii="宋体" w:hAnsi="宋体" w:cs="宋体"/>
                <w:szCs w:val="21"/>
              </w:rPr>
              <w:t>方案内容每缺少一项扣3分，每有一处不合理或不完善扣1分，扣完为止。</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4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五</w:t>
            </w:r>
          </w:p>
        </w:tc>
        <w:tc>
          <w:tcPr>
            <w:tcW w:w="113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napToGrid w:val="0"/>
                <w:szCs w:val="21"/>
              </w:rPr>
              <w:t>扶持少数民族地区%</w:t>
            </w:r>
          </w:p>
        </w:tc>
        <w:tc>
          <w:tcPr>
            <w:tcW w:w="97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napToGrid w:val="0"/>
                <w:szCs w:val="21"/>
              </w:rPr>
              <w:t>2分</w:t>
            </w:r>
          </w:p>
        </w:tc>
        <w:tc>
          <w:tcPr>
            <w:tcW w:w="6150" w:type="dxa"/>
            <w:vAlign w:val="center"/>
          </w:tcPr>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投标人注册在少数民族地区的得2分。</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注：指投标人注册地在民族自治区、自治州、自治县、民族乡，提供营业执照副本复印件。</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44" w:type="dxa"/>
            <w:vAlign w:val="center"/>
          </w:tcPr>
          <w:p>
            <w:pPr>
              <w:tabs>
                <w:tab w:val="left" w:pos="0"/>
              </w:tabs>
              <w:wordWrap w:val="0"/>
              <w:topLinePunct/>
              <w:spacing w:line="360" w:lineRule="exact"/>
              <w:jc w:val="center"/>
              <w:rPr>
                <w:rFonts w:ascii="宋体" w:hAnsi="宋体" w:cs="宋体"/>
                <w:snapToGrid w:val="0"/>
                <w:szCs w:val="21"/>
              </w:rPr>
            </w:pPr>
            <w:r>
              <w:rPr>
                <w:rFonts w:hint="eastAsia" w:ascii="宋体" w:hAnsi="宋体" w:cs="宋体"/>
                <w:snapToGrid w:val="0"/>
                <w:szCs w:val="21"/>
              </w:rPr>
              <w:t>六</w:t>
            </w:r>
          </w:p>
        </w:tc>
        <w:tc>
          <w:tcPr>
            <w:tcW w:w="1136" w:type="dxa"/>
            <w:vAlign w:val="center"/>
          </w:tcPr>
          <w:p>
            <w:pPr>
              <w:tabs>
                <w:tab w:val="left" w:pos="0"/>
              </w:tabs>
              <w:wordWrap w:val="0"/>
              <w:topLinePunct/>
              <w:spacing w:line="360" w:lineRule="exact"/>
              <w:jc w:val="center"/>
              <w:rPr>
                <w:rFonts w:ascii="宋体" w:hAnsi="宋体" w:cs="宋体"/>
                <w:snapToGrid w:val="0"/>
                <w:szCs w:val="21"/>
              </w:rPr>
            </w:pPr>
            <w:r>
              <w:rPr>
                <w:rFonts w:hint="eastAsia" w:ascii="宋体" w:hAnsi="宋体" w:cs="宋体"/>
                <w:snapToGrid w:val="0"/>
                <w:szCs w:val="21"/>
                <w:lang w:val="zh-CN"/>
              </w:rPr>
              <w:t>响应文件规范性</w:t>
            </w:r>
            <w:r>
              <w:rPr>
                <w:rFonts w:hint="eastAsia" w:ascii="宋体" w:hAnsi="宋体" w:cs="宋体"/>
                <w:snapToGrid w:val="0"/>
                <w:szCs w:val="21"/>
              </w:rPr>
              <w:t>%</w:t>
            </w:r>
          </w:p>
        </w:tc>
        <w:tc>
          <w:tcPr>
            <w:tcW w:w="974" w:type="dxa"/>
            <w:vAlign w:val="center"/>
          </w:tcPr>
          <w:p>
            <w:pPr>
              <w:tabs>
                <w:tab w:val="left" w:pos="0"/>
              </w:tabs>
              <w:wordWrap w:val="0"/>
              <w:topLinePunct/>
              <w:spacing w:line="360" w:lineRule="exact"/>
              <w:jc w:val="center"/>
              <w:rPr>
                <w:rFonts w:ascii="宋体" w:hAnsi="宋体" w:cs="宋体"/>
                <w:snapToGrid w:val="0"/>
                <w:szCs w:val="21"/>
              </w:rPr>
            </w:pPr>
            <w:r>
              <w:rPr>
                <w:rFonts w:hint="eastAsia" w:ascii="宋体" w:hAnsi="宋体" w:cs="宋体"/>
                <w:snapToGrid w:val="0"/>
                <w:szCs w:val="21"/>
              </w:rPr>
              <w:t>2分</w:t>
            </w:r>
          </w:p>
        </w:tc>
        <w:tc>
          <w:tcPr>
            <w:tcW w:w="6150" w:type="dxa"/>
            <w:vAlign w:val="center"/>
          </w:tcPr>
          <w:p>
            <w:pPr>
              <w:tabs>
                <w:tab w:val="left" w:pos="0"/>
              </w:tabs>
              <w:wordWrap w:val="0"/>
              <w:topLinePunct/>
              <w:spacing w:line="360" w:lineRule="exact"/>
              <w:jc w:val="left"/>
              <w:rPr>
                <w:rFonts w:ascii="宋体" w:hAnsi="宋体" w:cs="宋体"/>
                <w:snapToGrid w:val="0"/>
                <w:szCs w:val="21"/>
              </w:rPr>
            </w:pPr>
            <w:r>
              <w:rPr>
                <w:rFonts w:hint="eastAsia" w:ascii="宋体" w:hAnsi="宋体" w:cs="宋体"/>
                <w:snapToGrid w:val="0"/>
                <w:szCs w:val="21"/>
                <w:lang w:val="zh-CN"/>
              </w:rPr>
              <w:t>响应文件制作规范，没有细微偏差的得</w:t>
            </w:r>
            <w:r>
              <w:rPr>
                <w:rFonts w:hint="eastAsia" w:ascii="宋体" w:hAnsi="宋体" w:cs="宋体"/>
                <w:snapToGrid w:val="0"/>
                <w:szCs w:val="21"/>
              </w:rPr>
              <w:t>2</w:t>
            </w:r>
            <w:r>
              <w:rPr>
                <w:rFonts w:hint="eastAsia" w:ascii="宋体" w:hAnsi="宋体" w:cs="宋体"/>
                <w:snapToGrid w:val="0"/>
                <w:szCs w:val="21"/>
                <w:lang w:val="zh-CN"/>
              </w:rPr>
              <w:t>分，有一项细微偏差的</w:t>
            </w:r>
            <w:r>
              <w:rPr>
                <w:rFonts w:hint="eastAsia" w:ascii="宋体" w:hAnsi="宋体" w:cs="宋体"/>
                <w:snapToGrid w:val="0"/>
                <w:szCs w:val="21"/>
              </w:rPr>
              <w:t>扣1</w:t>
            </w:r>
            <w:r>
              <w:rPr>
                <w:rFonts w:hint="eastAsia" w:ascii="宋体" w:hAnsi="宋体" w:cs="宋体"/>
                <w:snapToGrid w:val="0"/>
                <w:szCs w:val="21"/>
                <w:lang w:val="zh-CN"/>
              </w:rPr>
              <w:t>分，直至该项分值扣完为止。</w:t>
            </w:r>
          </w:p>
        </w:tc>
        <w:tc>
          <w:tcPr>
            <w:tcW w:w="1056" w:type="dxa"/>
            <w:vAlign w:val="center"/>
          </w:tcPr>
          <w:p>
            <w:pPr>
              <w:tabs>
                <w:tab w:val="left" w:pos="0"/>
              </w:tabs>
              <w:wordWrap w:val="0"/>
              <w:topLinePunct/>
              <w:spacing w:line="360" w:lineRule="exact"/>
              <w:jc w:val="center"/>
              <w:rPr>
                <w:rFonts w:ascii="宋体" w:hAnsi="宋体" w:cs="宋体"/>
                <w:snapToGrid w:val="0"/>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960" w:type="dxa"/>
            <w:gridSpan w:val="5"/>
            <w:vAlign w:val="center"/>
          </w:tcPr>
          <w:p>
            <w:pPr>
              <w:tabs>
                <w:tab w:val="left" w:pos="0"/>
              </w:tabs>
              <w:wordWrap w:val="0"/>
              <w:topLinePunct/>
              <w:spacing w:line="360" w:lineRule="exact"/>
              <w:rPr>
                <w:rFonts w:ascii="宋体" w:hAnsi="宋体" w:cs="宋体"/>
                <w:szCs w:val="21"/>
              </w:rPr>
            </w:pPr>
            <w:r>
              <w:rPr>
                <w:rFonts w:hint="eastAsia" w:ascii="宋体" w:hAnsi="宋体" w:cs="宋体"/>
                <w:b/>
                <w:bCs/>
                <w:szCs w:val="21"/>
              </w:rPr>
              <w:t>注：</w:t>
            </w:r>
            <w:r>
              <w:rPr>
                <w:rFonts w:hint="eastAsia" w:ascii="宋体" w:hAnsi="宋体" w:cs="宋体"/>
                <w:b/>
                <w:bCs/>
                <w:szCs w:val="21"/>
              </w:rPr>
              <w:fldChar w:fldCharType="begin"/>
            </w:r>
            <w:r>
              <w:rPr>
                <w:rFonts w:hint="eastAsia" w:ascii="宋体" w:hAnsi="宋体" w:cs="宋体"/>
                <w:b/>
                <w:bCs/>
                <w:szCs w:val="21"/>
              </w:rPr>
              <w:instrText xml:space="preserve"> = 1 \* GB3 \* MERGEFORMAT </w:instrText>
            </w:r>
            <w:r>
              <w:rPr>
                <w:rFonts w:hint="eastAsia" w:ascii="宋体" w:hAnsi="宋体" w:cs="宋体"/>
                <w:b/>
                <w:bCs/>
                <w:szCs w:val="21"/>
              </w:rPr>
              <w:fldChar w:fldCharType="separate"/>
            </w:r>
            <w:r>
              <w:rPr>
                <w:rFonts w:hint="eastAsia" w:ascii="宋体" w:hAnsi="宋体" w:cs="宋体"/>
                <w:b/>
                <w:bCs/>
                <w:szCs w:val="21"/>
              </w:rPr>
              <w:t>①</w:t>
            </w:r>
            <w:r>
              <w:rPr>
                <w:rFonts w:hint="eastAsia" w:ascii="宋体" w:hAnsi="宋体" w:cs="宋体"/>
                <w:b/>
                <w:bCs/>
                <w:szCs w:val="21"/>
              </w:rPr>
              <w:fldChar w:fldCharType="end"/>
            </w:r>
            <w:r>
              <w:rPr>
                <w:rFonts w:hint="eastAsia" w:ascii="宋体" w:hAnsi="宋体" w:cs="宋体"/>
                <w:b/>
                <w:bCs/>
                <w:szCs w:val="21"/>
              </w:rPr>
              <w:t>评分的取值按四舍五入法，小数点后保留两位。</w:t>
            </w:r>
            <w:r>
              <w:rPr>
                <w:rFonts w:hint="eastAsia" w:ascii="宋体" w:hAnsi="宋体" w:cs="宋体"/>
                <w:b/>
                <w:bCs/>
                <w:szCs w:val="21"/>
              </w:rPr>
              <w:fldChar w:fldCharType="begin"/>
            </w:r>
            <w:r>
              <w:rPr>
                <w:rFonts w:hint="eastAsia" w:ascii="宋体" w:hAnsi="宋体" w:cs="宋体"/>
                <w:b/>
                <w:bCs/>
                <w:szCs w:val="21"/>
              </w:rPr>
              <w:instrText xml:space="preserve"> = 2 \* GB3 \* MERGEFORMAT </w:instrText>
            </w:r>
            <w:r>
              <w:rPr>
                <w:rFonts w:hint="eastAsia" w:ascii="宋体" w:hAnsi="宋体" w:cs="宋体"/>
                <w:b/>
                <w:bCs/>
                <w:szCs w:val="21"/>
              </w:rPr>
              <w:fldChar w:fldCharType="separate"/>
            </w:r>
            <w:r>
              <w:rPr>
                <w:rFonts w:hint="eastAsia" w:ascii="宋体" w:hAnsi="宋体" w:cs="宋体"/>
                <w:b/>
                <w:bCs/>
                <w:szCs w:val="21"/>
              </w:rPr>
              <w:t>②</w:t>
            </w:r>
            <w:r>
              <w:rPr>
                <w:rFonts w:hint="eastAsia" w:ascii="宋体" w:hAnsi="宋体" w:cs="宋体"/>
                <w:b/>
                <w:bCs/>
                <w:szCs w:val="21"/>
              </w:rPr>
              <w:fldChar w:fldCharType="end"/>
            </w:r>
            <w:r>
              <w:rPr>
                <w:rFonts w:hint="eastAsia" w:ascii="宋体" w:hAnsi="宋体" w:cs="宋体"/>
                <w:b/>
                <w:bCs/>
                <w:szCs w:val="21"/>
              </w:rPr>
              <w:t>本表中要求提供各类证明材料，均需加盖供应商单位公章，否则将不认可该项材料的有效性。③本项目不涉及节能、环境标志产品、无线局域网产品，故在评分标准中不做体现。</w:t>
            </w:r>
          </w:p>
        </w:tc>
      </w:tr>
    </w:tbl>
    <w:p>
      <w:pPr>
        <w:pStyle w:val="12"/>
        <w:spacing w:after="0" w:line="360" w:lineRule="auto"/>
        <w:ind w:firstLine="482" w:firstLineChars="200"/>
        <w:rPr>
          <w:b/>
          <w:bCs/>
          <w:sz w:val="24"/>
        </w:rPr>
      </w:pPr>
      <w:r>
        <w:rPr>
          <w:rFonts w:hint="eastAsia"/>
          <w:b/>
          <w:bCs/>
          <w:sz w:val="24"/>
        </w:rPr>
        <w:t>第二包</w:t>
      </w:r>
    </w:p>
    <w:tbl>
      <w:tblPr>
        <w:tblStyle w:val="33"/>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36"/>
        <w:gridCol w:w="974"/>
        <w:gridCol w:w="615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644"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序号</w:t>
            </w:r>
          </w:p>
        </w:tc>
        <w:tc>
          <w:tcPr>
            <w:tcW w:w="1136"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评分因素</w:t>
            </w:r>
          </w:p>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及权重</w:t>
            </w:r>
          </w:p>
        </w:tc>
        <w:tc>
          <w:tcPr>
            <w:tcW w:w="974"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分值</w:t>
            </w:r>
          </w:p>
        </w:tc>
        <w:tc>
          <w:tcPr>
            <w:tcW w:w="6150"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b/>
                <w:bCs/>
                <w:szCs w:val="21"/>
              </w:rPr>
              <w:t>评分标准</w:t>
            </w:r>
          </w:p>
        </w:tc>
        <w:tc>
          <w:tcPr>
            <w:tcW w:w="1056" w:type="dxa"/>
            <w:shd w:val="clear" w:color="auto" w:fill="F1F1F1" w:themeFill="background1" w:themeFillShade="F2"/>
            <w:vAlign w:val="center"/>
          </w:tcPr>
          <w:p>
            <w:pPr>
              <w:tabs>
                <w:tab w:val="left" w:pos="0"/>
              </w:tabs>
              <w:wordWrap w:val="0"/>
              <w:topLinePunct/>
              <w:spacing w:line="360" w:lineRule="exact"/>
              <w:jc w:val="center"/>
              <w:rPr>
                <w:rFonts w:ascii="宋体" w:hAnsi="宋体" w:cs="宋体"/>
                <w:b/>
                <w:bCs/>
                <w:szCs w:val="21"/>
              </w:rPr>
            </w:pPr>
            <w:r>
              <w:rPr>
                <w:rFonts w:hint="eastAsia" w:ascii="宋体" w:hAnsi="宋体" w:cs="宋体"/>
                <w:b/>
                <w:bCs/>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4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一</w:t>
            </w:r>
          </w:p>
        </w:tc>
        <w:tc>
          <w:tcPr>
            <w:tcW w:w="113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投标报价</w:t>
            </w:r>
          </w:p>
          <w:p>
            <w:pPr>
              <w:tabs>
                <w:tab w:val="left" w:pos="0"/>
              </w:tabs>
              <w:wordWrap w:val="0"/>
              <w:topLinePunct/>
              <w:spacing w:line="360" w:lineRule="exact"/>
              <w:jc w:val="center"/>
              <w:rPr>
                <w:rFonts w:ascii="宋体" w:hAnsi="宋体" w:cs="宋体"/>
                <w:szCs w:val="21"/>
              </w:rPr>
            </w:pPr>
            <w:r>
              <w:rPr>
                <w:rFonts w:hint="eastAsia" w:ascii="宋体" w:hAnsi="宋体" w:cs="宋体"/>
                <w:szCs w:val="21"/>
              </w:rPr>
              <w:t>10%</w:t>
            </w:r>
          </w:p>
        </w:tc>
        <w:tc>
          <w:tcPr>
            <w:tcW w:w="97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10分</w:t>
            </w:r>
          </w:p>
        </w:tc>
        <w:tc>
          <w:tcPr>
            <w:tcW w:w="6150" w:type="dxa"/>
            <w:vAlign w:val="center"/>
          </w:tcPr>
          <w:p>
            <w:pPr>
              <w:tabs>
                <w:tab w:val="left" w:pos="0"/>
              </w:tabs>
              <w:wordWrap w:val="0"/>
              <w:topLinePunct/>
              <w:spacing w:line="360" w:lineRule="exact"/>
            </w:pPr>
            <w:r>
              <w:rPr>
                <w:rFonts w:hint="eastAsia"/>
              </w:rPr>
              <w:t>以满足磋商文件要求且最后报价最低的磋商报价为评审基准价，其价格分为满分。其他供应商的价格分统一按照下列公式计算：磋商报价得分=（磋商基准价／最后磋商报价）×10。</w:t>
            </w:r>
          </w:p>
          <w:p>
            <w:pPr>
              <w:snapToGrid w:val="0"/>
              <w:spacing w:line="320" w:lineRule="atLeast"/>
              <w:jc w:val="left"/>
              <w:rPr>
                <w:rFonts w:ascii="宋体" w:hAnsi="宋体" w:cs="宋体"/>
                <w:b/>
                <w:bCs/>
                <w:kern w:val="0"/>
                <w:szCs w:val="21"/>
                <w:lang w:val="zh-TW" w:eastAsia="zh-TW" w:bidi="zh-TW"/>
              </w:rPr>
            </w:pPr>
            <w:r>
              <w:rPr>
                <w:rFonts w:hint="eastAsia" w:ascii="宋体" w:hAnsi="宋体" w:cs="宋体"/>
                <w:b/>
                <w:bCs/>
                <w:kern w:val="0"/>
                <w:szCs w:val="21"/>
                <w:lang w:val="zh-TW" w:eastAsia="zh-TW" w:bidi="zh-TW"/>
              </w:rPr>
              <w:t>注：</w:t>
            </w:r>
          </w:p>
          <w:p>
            <w:pPr>
              <w:snapToGrid w:val="0"/>
              <w:spacing w:line="320" w:lineRule="atLeast"/>
              <w:jc w:val="left"/>
              <w:rPr>
                <w:rFonts w:ascii="宋体" w:hAnsi="宋体" w:cs="宋体"/>
                <w:b/>
                <w:bCs/>
                <w:kern w:val="0"/>
                <w:szCs w:val="21"/>
                <w:lang w:val="zh-TW" w:eastAsia="zh-TW" w:bidi="zh-TW"/>
              </w:rPr>
            </w:pPr>
            <w:r>
              <w:rPr>
                <w:rFonts w:hint="eastAsia" w:ascii="宋体" w:hAnsi="宋体" w:cs="宋体"/>
                <w:b/>
                <w:bCs/>
                <w:kern w:val="0"/>
                <w:szCs w:val="21"/>
                <w:lang w:val="zh-TW" w:bidi="zh-TW"/>
              </w:rPr>
              <w:t>一、</w:t>
            </w:r>
            <w:r>
              <w:rPr>
                <w:rFonts w:hint="eastAsia" w:ascii="宋体" w:hAnsi="宋体" w:cs="宋体"/>
                <w:b/>
                <w:bCs/>
                <w:kern w:val="0"/>
                <w:szCs w:val="21"/>
                <w:lang w:val="zh-TW" w:eastAsia="zh-TW" w:bidi="zh-TW"/>
              </w:rPr>
              <w:t>本项目为专门面向中小企业采购，磋商时不进行价格扣除。</w:t>
            </w:r>
          </w:p>
          <w:p>
            <w:pPr>
              <w:snapToGrid w:val="0"/>
              <w:spacing w:line="320" w:lineRule="atLeast"/>
              <w:jc w:val="left"/>
              <w:rPr>
                <w:rFonts w:ascii="宋体" w:hAnsi="宋体" w:cs="宋体"/>
                <w:kern w:val="0"/>
                <w:szCs w:val="21"/>
                <w:lang w:val="zh-TW" w:eastAsia="zh-TW" w:bidi="zh-TW"/>
              </w:rPr>
            </w:pPr>
            <w:r>
              <w:rPr>
                <w:rFonts w:hint="eastAsia" w:ascii="宋体" w:hAnsi="宋体" w:cs="宋体"/>
                <w:kern w:val="0"/>
                <w:szCs w:val="21"/>
                <w:lang w:val="zh-TW" w:bidi="zh-TW"/>
              </w:rPr>
              <w:t>二</w:t>
            </w:r>
            <w:r>
              <w:rPr>
                <w:rFonts w:hint="eastAsia" w:ascii="宋体" w:hAnsi="宋体" w:cs="宋体"/>
                <w:kern w:val="0"/>
                <w:szCs w:val="21"/>
                <w:lang w:val="zh-TW" w:eastAsia="zh-TW" w:bidi="zh-TW"/>
              </w:rPr>
              <w:t>、参加政府采购活动的中小企业应当提供《中小企业声明函》原件，残疾人福利性单位应当提供《残疾人福利性单位声明函）原件，监狱企业应当提供《监狱企业声明函》原件。</w:t>
            </w:r>
          </w:p>
          <w:p>
            <w:pPr>
              <w:snapToGrid w:val="0"/>
              <w:spacing w:line="320" w:lineRule="atLeast"/>
              <w:jc w:val="left"/>
              <w:rPr>
                <w:rFonts w:ascii="宋体" w:hAnsi="宋体" w:cs="宋体"/>
                <w:kern w:val="0"/>
                <w:szCs w:val="21"/>
                <w:lang w:val="zh-TW" w:eastAsia="zh-TW" w:bidi="zh-TW"/>
              </w:rPr>
            </w:pPr>
            <w:r>
              <w:rPr>
                <w:rFonts w:hint="eastAsia" w:ascii="宋体" w:hAnsi="宋体" w:cs="宋体"/>
                <w:kern w:val="0"/>
                <w:szCs w:val="21"/>
                <w:lang w:val="zh-TW" w:bidi="zh-TW"/>
              </w:rPr>
              <w:t>三</w:t>
            </w:r>
            <w:r>
              <w:rPr>
                <w:rFonts w:hint="eastAsia" w:ascii="宋体" w:hAnsi="宋体" w:cs="宋体"/>
                <w:kern w:val="0"/>
                <w:szCs w:val="21"/>
                <w:lang w:val="zh-TW" w:eastAsia="zh-TW" w:bidi="zh-TW"/>
              </w:rPr>
              <w:t>、失信企业报价加成</w:t>
            </w:r>
          </w:p>
          <w:p>
            <w:pPr>
              <w:tabs>
                <w:tab w:val="left" w:pos="0"/>
              </w:tabs>
              <w:wordWrap w:val="0"/>
              <w:topLinePunct/>
              <w:spacing w:line="360" w:lineRule="exact"/>
              <w:rPr>
                <w:rFonts w:ascii="宋体" w:hAnsi="宋体" w:cs="宋体"/>
                <w:snapToGrid w:val="0"/>
                <w:szCs w:val="21"/>
              </w:rPr>
            </w:pPr>
            <w:r>
              <w:rPr>
                <w:rFonts w:hint="eastAsia" w:ascii="宋体" w:hAnsi="宋体" w:cs="宋体"/>
                <w:kern w:val="0"/>
                <w:szCs w:val="21"/>
                <w:lang w:val="zh-TW" w:eastAsia="zh-TW" w:bidi="zh-TW"/>
              </w:rPr>
              <w:t>对按照《四川省政府采购当事人诚信管理办 法》（川财采：2015]33号）记入诚信档案的且在有效期内的失信投标人，在参加政府采购活动中 实行10%的报价加成、以加成后报价作为该投标人报价评标，且投标人失信行为惩戒实行无限制累加制，因其失信行为进行报价加成惩戒后报价 超过政府采购预算的，其投标文件按照无效处理。</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44" w:type="dxa"/>
            <w:vMerge w:val="restart"/>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二</w:t>
            </w:r>
          </w:p>
        </w:tc>
        <w:tc>
          <w:tcPr>
            <w:tcW w:w="1136" w:type="dxa"/>
            <w:vMerge w:val="restart"/>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履约能力 29%</w:t>
            </w:r>
          </w:p>
        </w:tc>
        <w:tc>
          <w:tcPr>
            <w:tcW w:w="974" w:type="dxa"/>
            <w:vMerge w:val="restart"/>
            <w:vAlign w:val="center"/>
          </w:tcPr>
          <w:p>
            <w:pPr>
              <w:tabs>
                <w:tab w:val="left" w:pos="0"/>
              </w:tabs>
              <w:wordWrap w:val="0"/>
              <w:spacing w:line="360" w:lineRule="exact"/>
              <w:jc w:val="center"/>
              <w:rPr>
                <w:rFonts w:ascii="宋体" w:hAnsi="宋体" w:cs="宋体"/>
                <w:szCs w:val="21"/>
              </w:rPr>
            </w:pPr>
            <w:r>
              <w:rPr>
                <w:rFonts w:hint="eastAsia" w:ascii="宋体" w:hAnsi="宋体" w:cs="宋体"/>
                <w:szCs w:val="21"/>
              </w:rPr>
              <w:t>29分</w:t>
            </w:r>
          </w:p>
        </w:tc>
        <w:tc>
          <w:tcPr>
            <w:tcW w:w="6150" w:type="dxa"/>
            <w:vAlign w:val="center"/>
          </w:tcPr>
          <w:p>
            <w:pPr>
              <w:tabs>
                <w:tab w:val="left" w:pos="0"/>
              </w:tabs>
              <w:wordWrap w:val="0"/>
              <w:spacing w:line="360" w:lineRule="exact"/>
              <w:rPr>
                <w:rFonts w:ascii="宋体" w:hAnsi="宋体" w:cs="宋体"/>
                <w:szCs w:val="21"/>
              </w:rPr>
            </w:pPr>
            <w:r>
              <w:rPr>
                <w:rStyle w:val="107"/>
                <w:rFonts w:hint="eastAsia" w:ascii="宋体" w:hAnsi="宋体" w:cs="宋体"/>
                <w:szCs w:val="21"/>
              </w:rPr>
              <w:t>供应商2019年1月1日（含1日）以来具有一个已完成类似项目业绩的得4分，在此基础上每增加1个加3分，最多得10分。（</w:t>
            </w:r>
            <w:r>
              <w:rPr>
                <w:rStyle w:val="107"/>
                <w:rFonts w:hint="eastAsia" w:ascii="宋体" w:hAnsi="宋体" w:cs="宋体"/>
                <w:szCs w:val="21"/>
                <w:lang w:eastAsia="zh-CN"/>
              </w:rPr>
              <w:t>类似项目指：</w:t>
            </w:r>
            <w:r>
              <w:rPr>
                <w:rFonts w:hint="eastAsia" w:ascii="宋体" w:hAnsi="宋体" w:cs="宋体"/>
                <w:spacing w:val="-4"/>
                <w:szCs w:val="21"/>
              </w:rPr>
              <w:t>非道路移动机械</w:t>
            </w:r>
            <w:r>
              <w:rPr>
                <w:rFonts w:hint="eastAsia" w:ascii="宋体" w:hAnsi="宋体" w:cs="宋体"/>
                <w:spacing w:val="-4"/>
                <w:szCs w:val="21"/>
                <w:lang w:eastAsia="zh-CN"/>
              </w:rPr>
              <w:t>监测服务业绩；</w:t>
            </w:r>
            <w:r>
              <w:rPr>
                <w:rStyle w:val="107"/>
                <w:rFonts w:hint="eastAsia" w:ascii="宋体" w:hAnsi="宋体" w:cs="宋体"/>
                <w:szCs w:val="21"/>
              </w:rPr>
              <w:t>提供合同复印件并加盖单位鲜章）。</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4" w:type="dxa"/>
            <w:vMerge w:val="continue"/>
            <w:vAlign w:val="center"/>
          </w:tcPr>
          <w:p>
            <w:pPr>
              <w:tabs>
                <w:tab w:val="left" w:pos="0"/>
              </w:tabs>
              <w:wordWrap w:val="0"/>
              <w:topLinePunct/>
              <w:spacing w:line="360" w:lineRule="exact"/>
              <w:jc w:val="center"/>
              <w:rPr>
                <w:rFonts w:ascii="宋体" w:hAnsi="宋体" w:cs="宋体"/>
                <w:szCs w:val="21"/>
              </w:rPr>
            </w:pPr>
          </w:p>
        </w:tc>
        <w:tc>
          <w:tcPr>
            <w:tcW w:w="1136" w:type="dxa"/>
            <w:vMerge w:val="continue"/>
            <w:vAlign w:val="center"/>
          </w:tcPr>
          <w:p>
            <w:pPr>
              <w:tabs>
                <w:tab w:val="left" w:pos="0"/>
              </w:tabs>
              <w:wordWrap w:val="0"/>
              <w:topLinePunct/>
              <w:spacing w:line="360" w:lineRule="exact"/>
              <w:jc w:val="center"/>
              <w:rPr>
                <w:rFonts w:ascii="宋体" w:hAnsi="宋体" w:cs="宋体"/>
                <w:szCs w:val="21"/>
              </w:rPr>
            </w:pPr>
          </w:p>
        </w:tc>
        <w:tc>
          <w:tcPr>
            <w:tcW w:w="974" w:type="dxa"/>
            <w:vMerge w:val="continue"/>
            <w:vAlign w:val="center"/>
          </w:tcPr>
          <w:p>
            <w:pPr>
              <w:tabs>
                <w:tab w:val="left" w:pos="0"/>
              </w:tabs>
              <w:wordWrap w:val="0"/>
              <w:spacing w:line="360" w:lineRule="exact"/>
              <w:jc w:val="center"/>
              <w:rPr>
                <w:rFonts w:ascii="宋体" w:hAnsi="宋体" w:cs="宋体"/>
                <w:szCs w:val="21"/>
              </w:rPr>
            </w:pPr>
          </w:p>
        </w:tc>
        <w:tc>
          <w:tcPr>
            <w:tcW w:w="6150" w:type="dxa"/>
            <w:vAlign w:val="center"/>
          </w:tcPr>
          <w:p>
            <w:pPr>
              <w:tabs>
                <w:tab w:val="left" w:pos="0"/>
              </w:tabs>
              <w:wordWrap w:val="0"/>
              <w:spacing w:line="360" w:lineRule="exact"/>
              <w:rPr>
                <w:rFonts w:ascii="宋体" w:hAnsi="宋体" w:cs="宋体"/>
                <w:b/>
                <w:bCs/>
                <w:szCs w:val="21"/>
              </w:rPr>
            </w:pPr>
            <w:r>
              <w:rPr>
                <w:rFonts w:hint="eastAsia" w:ascii="宋体" w:hAnsi="宋体" w:cs="宋体"/>
                <w:kern w:val="1"/>
                <w:szCs w:val="21"/>
              </w:rPr>
              <w:t>拟派往本项目的项目供应商须为本项目配备5人及以上专职技术工程师1人得2分，最多得10分。</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44" w:type="dxa"/>
            <w:vMerge w:val="continue"/>
            <w:vAlign w:val="center"/>
          </w:tcPr>
          <w:p>
            <w:pPr>
              <w:tabs>
                <w:tab w:val="left" w:pos="0"/>
              </w:tabs>
              <w:wordWrap w:val="0"/>
              <w:topLinePunct/>
              <w:spacing w:line="360" w:lineRule="exact"/>
              <w:jc w:val="center"/>
              <w:rPr>
                <w:rFonts w:ascii="宋体" w:hAnsi="宋体" w:cs="宋体"/>
                <w:szCs w:val="21"/>
              </w:rPr>
            </w:pPr>
          </w:p>
        </w:tc>
        <w:tc>
          <w:tcPr>
            <w:tcW w:w="1136" w:type="dxa"/>
            <w:vMerge w:val="continue"/>
            <w:vAlign w:val="center"/>
          </w:tcPr>
          <w:p>
            <w:pPr>
              <w:tabs>
                <w:tab w:val="left" w:pos="0"/>
              </w:tabs>
              <w:wordWrap w:val="0"/>
              <w:topLinePunct/>
              <w:spacing w:line="360" w:lineRule="exact"/>
              <w:jc w:val="center"/>
              <w:rPr>
                <w:rFonts w:ascii="宋体" w:hAnsi="宋体" w:cs="宋体"/>
                <w:szCs w:val="21"/>
              </w:rPr>
            </w:pPr>
          </w:p>
        </w:tc>
        <w:tc>
          <w:tcPr>
            <w:tcW w:w="974" w:type="dxa"/>
            <w:vMerge w:val="continue"/>
            <w:vAlign w:val="center"/>
          </w:tcPr>
          <w:p>
            <w:pPr>
              <w:tabs>
                <w:tab w:val="left" w:pos="0"/>
              </w:tabs>
              <w:wordWrap w:val="0"/>
              <w:spacing w:line="360" w:lineRule="exact"/>
              <w:jc w:val="center"/>
              <w:rPr>
                <w:rFonts w:ascii="宋体" w:hAnsi="宋体" w:cs="宋体"/>
                <w:szCs w:val="21"/>
              </w:rPr>
            </w:pPr>
          </w:p>
        </w:tc>
        <w:tc>
          <w:tcPr>
            <w:tcW w:w="6150" w:type="dxa"/>
            <w:vAlign w:val="center"/>
          </w:tcPr>
          <w:p>
            <w:pPr>
              <w:tabs>
                <w:tab w:val="left" w:pos="0"/>
              </w:tabs>
              <w:wordWrap w:val="0"/>
              <w:spacing w:line="360" w:lineRule="exact"/>
              <w:rPr>
                <w:rFonts w:ascii="宋体" w:hAnsi="宋体" w:cs="宋体"/>
                <w:kern w:val="1"/>
                <w:szCs w:val="21"/>
              </w:rPr>
            </w:pPr>
            <w:r>
              <w:rPr>
                <w:rFonts w:hint="eastAsia" w:ascii="宋体" w:hAnsi="宋体" w:cs="宋体"/>
                <w:kern w:val="1"/>
                <w:szCs w:val="21"/>
                <w:lang w:val="zh-CN"/>
              </w:rPr>
              <w:t>供应商</w:t>
            </w:r>
            <w:r>
              <w:rPr>
                <w:rFonts w:hint="eastAsia" w:ascii="宋体" w:hAnsi="宋体" w:cs="宋体"/>
                <w:kern w:val="1"/>
                <w:szCs w:val="21"/>
              </w:rPr>
              <w:t>具</w:t>
            </w:r>
            <w:r>
              <w:rPr>
                <w:rFonts w:hint="eastAsia" w:ascii="宋体" w:hAnsi="宋体" w:cs="宋体"/>
                <w:kern w:val="1"/>
                <w:szCs w:val="21"/>
                <w:lang w:val="zh-CN"/>
              </w:rPr>
              <w:t>有</w:t>
            </w:r>
            <w:r>
              <w:rPr>
                <w:rFonts w:hint="eastAsia" w:ascii="宋体" w:hAnsi="宋体" w:cs="宋体"/>
                <w:kern w:val="1"/>
                <w:szCs w:val="21"/>
                <w:highlight w:val="none"/>
              </w:rPr>
              <w:t>不透光烟度计、格林曼烟度测试仪、风向风速仪</w:t>
            </w:r>
            <w:r>
              <w:rPr>
                <w:rFonts w:hint="eastAsia" w:ascii="宋体" w:hAnsi="宋体" w:cs="宋体"/>
                <w:kern w:val="1"/>
                <w:szCs w:val="21"/>
              </w:rPr>
              <w:t>等三种设备得9分</w:t>
            </w:r>
            <w:r>
              <w:rPr>
                <w:rFonts w:hint="eastAsia" w:ascii="宋体" w:hAnsi="宋体" w:cs="宋体"/>
                <w:kern w:val="1"/>
                <w:szCs w:val="21"/>
                <w:lang w:val="zh-CN"/>
              </w:rPr>
              <w:t>，每少一种扣</w:t>
            </w:r>
            <w:r>
              <w:rPr>
                <w:rFonts w:hint="eastAsia" w:ascii="宋体" w:hAnsi="宋体" w:cs="宋体"/>
                <w:kern w:val="1"/>
                <w:szCs w:val="21"/>
              </w:rPr>
              <w:t>3</w:t>
            </w:r>
            <w:r>
              <w:rPr>
                <w:rFonts w:hint="eastAsia" w:ascii="宋体" w:hAnsi="宋体" w:cs="宋体"/>
                <w:kern w:val="1"/>
                <w:szCs w:val="21"/>
                <w:lang w:val="zh-CN"/>
              </w:rPr>
              <w:t>分（需提供相关设备</w:t>
            </w:r>
            <w:r>
              <w:rPr>
                <w:rFonts w:hint="eastAsia" w:ascii="宋体" w:hAnsi="宋体" w:cs="宋体"/>
                <w:kern w:val="1"/>
                <w:szCs w:val="21"/>
              </w:rPr>
              <w:t>采购合同或者检定校准证书</w:t>
            </w:r>
            <w:r>
              <w:rPr>
                <w:rFonts w:hint="eastAsia" w:ascii="宋体" w:hAnsi="宋体" w:cs="宋体"/>
                <w:kern w:val="1"/>
                <w:szCs w:val="21"/>
                <w:lang w:val="zh-CN"/>
              </w:rPr>
              <w:t>）。</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三</w:t>
            </w:r>
          </w:p>
        </w:tc>
        <w:tc>
          <w:tcPr>
            <w:tcW w:w="113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服务方案42%</w:t>
            </w:r>
          </w:p>
        </w:tc>
        <w:tc>
          <w:tcPr>
            <w:tcW w:w="97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42分</w:t>
            </w:r>
          </w:p>
        </w:tc>
        <w:tc>
          <w:tcPr>
            <w:tcW w:w="6150" w:type="dxa"/>
            <w:vAlign w:val="center"/>
          </w:tcPr>
          <w:p>
            <w:pPr>
              <w:tabs>
                <w:tab w:val="left" w:pos="0"/>
              </w:tabs>
              <w:wordWrap w:val="0"/>
              <w:topLinePunct/>
              <w:spacing w:line="360" w:lineRule="exact"/>
              <w:rPr>
                <w:rFonts w:ascii="宋体" w:hAnsi="宋体" w:cs="宋体"/>
                <w:szCs w:val="21"/>
              </w:rPr>
            </w:pPr>
            <w:r>
              <w:rPr>
                <w:rFonts w:hint="eastAsia" w:ascii="宋体" w:hAnsi="宋体" w:cs="宋体"/>
                <w:szCs w:val="21"/>
              </w:rPr>
              <w:t>根据供应商针对本项目服务方案进行综合评审，包含：</w:t>
            </w:r>
          </w:p>
          <w:p>
            <w:pPr>
              <w:tabs>
                <w:tab w:val="left" w:pos="0"/>
              </w:tabs>
              <w:wordWrap w:val="0"/>
              <w:topLinePunct/>
              <w:spacing w:line="360" w:lineRule="exact"/>
              <w:rPr>
                <w:rFonts w:ascii="宋体" w:hAnsi="宋体" w:cs="宋体"/>
                <w:kern w:val="1"/>
                <w:szCs w:val="21"/>
              </w:rPr>
            </w:pPr>
            <w:r>
              <w:rPr>
                <w:rFonts w:hint="eastAsia" w:ascii="宋体" w:hAnsi="宋体" w:cs="宋体"/>
                <w:kern w:val="1"/>
                <w:szCs w:val="21"/>
              </w:rPr>
              <w:t>①项目管理机构配置；</w:t>
            </w:r>
          </w:p>
          <w:p>
            <w:pPr>
              <w:tabs>
                <w:tab w:val="left" w:pos="0"/>
              </w:tabs>
              <w:wordWrap w:val="0"/>
              <w:topLinePunct/>
              <w:spacing w:line="360" w:lineRule="exact"/>
              <w:rPr>
                <w:rFonts w:ascii="宋体" w:hAnsi="宋体" w:cs="宋体"/>
                <w:kern w:val="1"/>
                <w:szCs w:val="21"/>
              </w:rPr>
            </w:pPr>
            <w:r>
              <w:rPr>
                <w:rFonts w:hint="eastAsia" w:ascii="宋体" w:hAnsi="宋体" w:cs="宋体"/>
                <w:kern w:val="1"/>
                <w:szCs w:val="21"/>
              </w:rPr>
              <w:t>②时间安排及响应；</w:t>
            </w:r>
          </w:p>
          <w:p>
            <w:pPr>
              <w:tabs>
                <w:tab w:val="left" w:pos="0"/>
              </w:tabs>
              <w:wordWrap w:val="0"/>
              <w:topLinePunct/>
              <w:spacing w:line="360" w:lineRule="exact"/>
              <w:rPr>
                <w:rFonts w:ascii="宋体" w:hAnsi="宋体" w:cs="宋体"/>
                <w:kern w:val="1"/>
                <w:szCs w:val="21"/>
              </w:rPr>
            </w:pPr>
            <w:r>
              <w:rPr>
                <w:rFonts w:hint="eastAsia" w:ascii="宋体" w:hAnsi="宋体" w:cs="宋体"/>
                <w:kern w:val="1"/>
                <w:szCs w:val="21"/>
              </w:rPr>
              <w:t>③技术检测方法；</w:t>
            </w:r>
          </w:p>
          <w:p>
            <w:pPr>
              <w:tabs>
                <w:tab w:val="left" w:pos="0"/>
              </w:tabs>
              <w:wordWrap w:val="0"/>
              <w:topLinePunct/>
              <w:spacing w:line="360" w:lineRule="exact"/>
              <w:rPr>
                <w:rFonts w:ascii="宋体" w:hAnsi="宋体" w:cs="宋体"/>
                <w:kern w:val="1"/>
                <w:szCs w:val="21"/>
              </w:rPr>
            </w:pPr>
            <w:r>
              <w:rPr>
                <w:rFonts w:hint="eastAsia" w:ascii="宋体" w:hAnsi="宋体" w:cs="宋体"/>
                <w:kern w:val="1"/>
                <w:szCs w:val="21"/>
              </w:rPr>
              <w:t>④应急处理；</w:t>
            </w:r>
          </w:p>
          <w:p>
            <w:pPr>
              <w:tabs>
                <w:tab w:val="left" w:pos="0"/>
              </w:tabs>
              <w:wordWrap w:val="0"/>
              <w:topLinePunct/>
              <w:spacing w:line="360" w:lineRule="exact"/>
              <w:rPr>
                <w:rFonts w:ascii="宋体" w:hAnsi="宋体" w:cs="宋体"/>
                <w:szCs w:val="21"/>
              </w:rPr>
            </w:pPr>
            <w:r>
              <w:rPr>
                <w:rFonts w:hint="eastAsia" w:ascii="宋体" w:hAnsi="宋体" w:cs="宋体"/>
                <w:szCs w:val="21"/>
              </w:rPr>
              <w:t>⑤质量控制措施；</w:t>
            </w:r>
          </w:p>
          <w:p>
            <w:pPr>
              <w:tabs>
                <w:tab w:val="left" w:pos="0"/>
              </w:tabs>
              <w:wordWrap w:val="0"/>
              <w:topLinePunct/>
              <w:spacing w:line="360" w:lineRule="exact"/>
              <w:rPr>
                <w:rFonts w:ascii="宋体" w:hAnsi="宋体" w:cs="宋体"/>
                <w:szCs w:val="21"/>
              </w:rPr>
            </w:pPr>
            <w:r>
              <w:rPr>
                <w:rFonts w:hint="eastAsia" w:ascii="宋体" w:hAnsi="宋体" w:cs="宋体"/>
                <w:szCs w:val="21"/>
              </w:rPr>
              <w:t>⑥风险管控方案等。</w:t>
            </w:r>
          </w:p>
          <w:p>
            <w:pPr>
              <w:tabs>
                <w:tab w:val="left" w:pos="0"/>
              </w:tabs>
              <w:wordWrap w:val="0"/>
              <w:topLinePunct/>
              <w:spacing w:line="360" w:lineRule="exact"/>
              <w:rPr>
                <w:rFonts w:ascii="宋体" w:hAnsi="宋体" w:cs="宋体"/>
                <w:snapToGrid w:val="0"/>
                <w:szCs w:val="21"/>
              </w:rPr>
            </w:pPr>
            <w:r>
              <w:rPr>
                <w:rFonts w:hint="eastAsia" w:ascii="宋体" w:hAnsi="宋体" w:cs="宋体"/>
                <w:szCs w:val="21"/>
              </w:rPr>
              <w:t>各项内容为专门针对本项目编制，方案完善，符合本项目实际情况，能够保障项目顺利实施的得42分；方案内容每缺少一项扣7分，每有一处不合理或不完善扣2分。</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4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四</w:t>
            </w:r>
          </w:p>
        </w:tc>
        <w:tc>
          <w:tcPr>
            <w:tcW w:w="113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后续后服务方案</w:t>
            </w:r>
          </w:p>
          <w:p>
            <w:pPr>
              <w:tabs>
                <w:tab w:val="left" w:pos="0"/>
              </w:tabs>
              <w:wordWrap w:val="0"/>
              <w:topLinePunct/>
              <w:spacing w:line="360" w:lineRule="exact"/>
              <w:jc w:val="center"/>
              <w:rPr>
                <w:rFonts w:ascii="宋体" w:hAnsi="宋体" w:cs="宋体"/>
                <w:szCs w:val="21"/>
              </w:rPr>
            </w:pPr>
            <w:r>
              <w:rPr>
                <w:rFonts w:hint="eastAsia" w:ascii="宋体" w:hAnsi="宋体" w:cs="宋体"/>
                <w:szCs w:val="21"/>
              </w:rPr>
              <w:t>15%</w:t>
            </w:r>
          </w:p>
        </w:tc>
        <w:tc>
          <w:tcPr>
            <w:tcW w:w="97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15分</w:t>
            </w:r>
          </w:p>
        </w:tc>
        <w:tc>
          <w:tcPr>
            <w:tcW w:w="6150" w:type="dxa"/>
            <w:vAlign w:val="center"/>
          </w:tcPr>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根据供应商针对本项目的后续服务方案进行综合评审，包含：</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①服务体系；</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②服务范围；</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③故障解决方案；</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④增值服务；</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⑤应急处理方案等。</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各项内容为专门针对本项目编制，方案完善，符合本项目实际情况，能够保障项目顺利实施的得15分；</w:t>
            </w:r>
            <w:r>
              <w:rPr>
                <w:rFonts w:hint="eastAsia" w:ascii="宋体" w:hAnsi="宋体" w:cs="宋体"/>
                <w:szCs w:val="21"/>
              </w:rPr>
              <w:t>方案内容每缺少一项扣3分，每有一处不合理或不完善扣1分。</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64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五</w:t>
            </w:r>
          </w:p>
        </w:tc>
        <w:tc>
          <w:tcPr>
            <w:tcW w:w="113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napToGrid w:val="0"/>
                <w:szCs w:val="21"/>
              </w:rPr>
              <w:t>扶持少数民族地区%</w:t>
            </w:r>
          </w:p>
        </w:tc>
        <w:tc>
          <w:tcPr>
            <w:tcW w:w="974"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napToGrid w:val="0"/>
                <w:szCs w:val="21"/>
              </w:rPr>
              <w:t>2分</w:t>
            </w:r>
          </w:p>
        </w:tc>
        <w:tc>
          <w:tcPr>
            <w:tcW w:w="6150" w:type="dxa"/>
            <w:vAlign w:val="center"/>
          </w:tcPr>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投标人注册在少数民族地区的得2分。</w:t>
            </w:r>
          </w:p>
          <w:p>
            <w:pPr>
              <w:tabs>
                <w:tab w:val="left" w:pos="0"/>
              </w:tabs>
              <w:wordWrap w:val="0"/>
              <w:topLinePunct/>
              <w:spacing w:line="360" w:lineRule="exact"/>
              <w:rPr>
                <w:rFonts w:ascii="宋体" w:hAnsi="宋体" w:cs="宋体"/>
                <w:snapToGrid w:val="0"/>
                <w:szCs w:val="21"/>
              </w:rPr>
            </w:pPr>
            <w:r>
              <w:rPr>
                <w:rFonts w:hint="eastAsia" w:ascii="宋体" w:hAnsi="宋体" w:cs="宋体"/>
                <w:snapToGrid w:val="0"/>
                <w:szCs w:val="21"/>
              </w:rPr>
              <w:t>注：指投标人注册地在民族自治区、自治州、自治县、民族乡，提供营业执照副本复印件。</w:t>
            </w:r>
          </w:p>
        </w:tc>
        <w:tc>
          <w:tcPr>
            <w:tcW w:w="1056" w:type="dxa"/>
            <w:vAlign w:val="center"/>
          </w:tcPr>
          <w:p>
            <w:pPr>
              <w:tabs>
                <w:tab w:val="left" w:pos="0"/>
              </w:tabs>
              <w:wordWrap w:val="0"/>
              <w:topLinePunct/>
              <w:spacing w:line="360" w:lineRule="exact"/>
              <w:jc w:val="center"/>
              <w:rPr>
                <w:rFonts w:ascii="宋体" w:hAnsi="宋体" w:cs="宋体"/>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44" w:type="dxa"/>
            <w:vAlign w:val="center"/>
          </w:tcPr>
          <w:p>
            <w:pPr>
              <w:tabs>
                <w:tab w:val="left" w:pos="0"/>
              </w:tabs>
              <w:wordWrap w:val="0"/>
              <w:topLinePunct/>
              <w:spacing w:line="360" w:lineRule="exact"/>
              <w:jc w:val="center"/>
              <w:rPr>
                <w:rFonts w:ascii="宋体" w:hAnsi="宋体" w:cs="宋体"/>
                <w:snapToGrid w:val="0"/>
                <w:szCs w:val="21"/>
              </w:rPr>
            </w:pPr>
            <w:r>
              <w:rPr>
                <w:rFonts w:hint="eastAsia" w:ascii="宋体" w:hAnsi="宋体" w:cs="宋体"/>
                <w:snapToGrid w:val="0"/>
                <w:szCs w:val="21"/>
              </w:rPr>
              <w:t>六</w:t>
            </w:r>
          </w:p>
        </w:tc>
        <w:tc>
          <w:tcPr>
            <w:tcW w:w="1136" w:type="dxa"/>
            <w:vAlign w:val="center"/>
          </w:tcPr>
          <w:p>
            <w:pPr>
              <w:tabs>
                <w:tab w:val="left" w:pos="0"/>
              </w:tabs>
              <w:wordWrap w:val="0"/>
              <w:topLinePunct/>
              <w:spacing w:line="360" w:lineRule="exact"/>
              <w:jc w:val="center"/>
              <w:rPr>
                <w:rFonts w:ascii="宋体" w:hAnsi="宋体" w:cs="宋体"/>
                <w:snapToGrid w:val="0"/>
                <w:szCs w:val="21"/>
              </w:rPr>
            </w:pPr>
            <w:r>
              <w:rPr>
                <w:rFonts w:hint="eastAsia" w:ascii="宋体" w:hAnsi="宋体" w:cs="宋体"/>
                <w:snapToGrid w:val="0"/>
                <w:szCs w:val="21"/>
                <w:lang w:val="zh-CN"/>
              </w:rPr>
              <w:t>响应文件规范性</w:t>
            </w:r>
            <w:r>
              <w:rPr>
                <w:rFonts w:hint="eastAsia" w:ascii="宋体" w:hAnsi="宋体" w:cs="宋体"/>
                <w:snapToGrid w:val="0"/>
                <w:szCs w:val="21"/>
              </w:rPr>
              <w:t>%</w:t>
            </w:r>
          </w:p>
        </w:tc>
        <w:tc>
          <w:tcPr>
            <w:tcW w:w="974" w:type="dxa"/>
            <w:vAlign w:val="center"/>
          </w:tcPr>
          <w:p>
            <w:pPr>
              <w:tabs>
                <w:tab w:val="left" w:pos="0"/>
              </w:tabs>
              <w:wordWrap w:val="0"/>
              <w:topLinePunct/>
              <w:spacing w:line="360" w:lineRule="exact"/>
              <w:jc w:val="center"/>
              <w:rPr>
                <w:rFonts w:ascii="宋体" w:hAnsi="宋体" w:cs="宋体"/>
                <w:snapToGrid w:val="0"/>
                <w:szCs w:val="21"/>
              </w:rPr>
            </w:pPr>
            <w:r>
              <w:rPr>
                <w:rFonts w:hint="eastAsia" w:ascii="宋体" w:hAnsi="宋体" w:cs="宋体"/>
                <w:snapToGrid w:val="0"/>
                <w:szCs w:val="21"/>
              </w:rPr>
              <w:t>2分</w:t>
            </w:r>
          </w:p>
        </w:tc>
        <w:tc>
          <w:tcPr>
            <w:tcW w:w="6150" w:type="dxa"/>
            <w:vAlign w:val="center"/>
          </w:tcPr>
          <w:p>
            <w:pPr>
              <w:tabs>
                <w:tab w:val="left" w:pos="0"/>
              </w:tabs>
              <w:wordWrap w:val="0"/>
              <w:topLinePunct/>
              <w:spacing w:line="360" w:lineRule="exact"/>
              <w:jc w:val="left"/>
              <w:rPr>
                <w:rFonts w:ascii="宋体" w:hAnsi="宋体" w:cs="宋体"/>
                <w:snapToGrid w:val="0"/>
                <w:szCs w:val="21"/>
              </w:rPr>
            </w:pPr>
            <w:r>
              <w:rPr>
                <w:rFonts w:hint="eastAsia" w:ascii="宋体" w:hAnsi="宋体" w:cs="宋体"/>
                <w:snapToGrid w:val="0"/>
                <w:szCs w:val="21"/>
                <w:lang w:val="zh-CN"/>
              </w:rPr>
              <w:t>响应文件制作规范，没有细微偏差的得</w:t>
            </w:r>
            <w:r>
              <w:rPr>
                <w:rFonts w:hint="eastAsia" w:ascii="宋体" w:hAnsi="宋体" w:cs="宋体"/>
                <w:snapToGrid w:val="0"/>
                <w:szCs w:val="21"/>
              </w:rPr>
              <w:t>2</w:t>
            </w:r>
            <w:r>
              <w:rPr>
                <w:rFonts w:hint="eastAsia" w:ascii="宋体" w:hAnsi="宋体" w:cs="宋体"/>
                <w:snapToGrid w:val="0"/>
                <w:szCs w:val="21"/>
                <w:lang w:val="zh-CN"/>
              </w:rPr>
              <w:t>分，有一项细微偏差的</w:t>
            </w:r>
            <w:r>
              <w:rPr>
                <w:rFonts w:hint="eastAsia" w:ascii="宋体" w:hAnsi="宋体" w:cs="宋体"/>
                <w:snapToGrid w:val="0"/>
                <w:szCs w:val="21"/>
              </w:rPr>
              <w:t>扣1</w:t>
            </w:r>
            <w:r>
              <w:rPr>
                <w:rFonts w:hint="eastAsia" w:ascii="宋体" w:hAnsi="宋体" w:cs="宋体"/>
                <w:snapToGrid w:val="0"/>
                <w:szCs w:val="21"/>
                <w:lang w:val="zh-CN"/>
              </w:rPr>
              <w:t>分，直至该项分值扣完为止。</w:t>
            </w:r>
          </w:p>
        </w:tc>
        <w:tc>
          <w:tcPr>
            <w:tcW w:w="1056" w:type="dxa"/>
            <w:vAlign w:val="center"/>
          </w:tcPr>
          <w:p>
            <w:pPr>
              <w:tabs>
                <w:tab w:val="left" w:pos="0"/>
              </w:tabs>
              <w:wordWrap w:val="0"/>
              <w:topLinePunct/>
              <w:spacing w:line="360" w:lineRule="exact"/>
              <w:jc w:val="center"/>
              <w:rPr>
                <w:rFonts w:ascii="宋体" w:hAnsi="宋体" w:cs="宋体"/>
                <w:snapToGrid w:val="0"/>
                <w:szCs w:val="21"/>
              </w:rPr>
            </w:pPr>
            <w:r>
              <w:rPr>
                <w:rFonts w:hint="eastAsia" w:ascii="宋体" w:hAnsi="宋体" w:cs="宋体"/>
                <w:szCs w:val="21"/>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960" w:type="dxa"/>
            <w:gridSpan w:val="5"/>
            <w:vAlign w:val="center"/>
          </w:tcPr>
          <w:p>
            <w:pPr>
              <w:tabs>
                <w:tab w:val="left" w:pos="0"/>
              </w:tabs>
              <w:wordWrap w:val="0"/>
              <w:topLinePunct/>
              <w:spacing w:line="360" w:lineRule="exact"/>
              <w:rPr>
                <w:rFonts w:ascii="宋体" w:hAnsi="宋体" w:cs="宋体"/>
                <w:szCs w:val="21"/>
              </w:rPr>
            </w:pPr>
            <w:r>
              <w:rPr>
                <w:rFonts w:hint="eastAsia" w:ascii="宋体" w:hAnsi="宋体" w:cs="宋体"/>
                <w:b/>
                <w:bCs/>
                <w:szCs w:val="21"/>
              </w:rPr>
              <w:t>注：</w:t>
            </w:r>
            <w:r>
              <w:rPr>
                <w:rFonts w:hint="eastAsia" w:ascii="宋体" w:hAnsi="宋体" w:cs="宋体"/>
                <w:b/>
                <w:bCs/>
                <w:szCs w:val="21"/>
              </w:rPr>
              <w:fldChar w:fldCharType="begin"/>
            </w:r>
            <w:r>
              <w:rPr>
                <w:rFonts w:hint="eastAsia" w:ascii="宋体" w:hAnsi="宋体" w:cs="宋体"/>
                <w:b/>
                <w:bCs/>
                <w:szCs w:val="21"/>
              </w:rPr>
              <w:instrText xml:space="preserve"> = 1 \* GB3 \* MERGEFORMAT </w:instrText>
            </w:r>
            <w:r>
              <w:rPr>
                <w:rFonts w:hint="eastAsia" w:ascii="宋体" w:hAnsi="宋体" w:cs="宋体"/>
                <w:b/>
                <w:bCs/>
                <w:szCs w:val="21"/>
              </w:rPr>
              <w:fldChar w:fldCharType="separate"/>
            </w:r>
            <w:r>
              <w:rPr>
                <w:rFonts w:hint="eastAsia" w:ascii="宋体" w:hAnsi="宋体" w:cs="宋体"/>
                <w:b/>
                <w:bCs/>
                <w:szCs w:val="21"/>
              </w:rPr>
              <w:t>①</w:t>
            </w:r>
            <w:r>
              <w:rPr>
                <w:rFonts w:hint="eastAsia" w:ascii="宋体" w:hAnsi="宋体" w:cs="宋体"/>
                <w:b/>
                <w:bCs/>
                <w:szCs w:val="21"/>
              </w:rPr>
              <w:fldChar w:fldCharType="end"/>
            </w:r>
            <w:r>
              <w:rPr>
                <w:rFonts w:hint="eastAsia" w:ascii="宋体" w:hAnsi="宋体" w:cs="宋体"/>
                <w:b/>
                <w:bCs/>
                <w:szCs w:val="21"/>
              </w:rPr>
              <w:t>评分的取值按四舍五入法，小数点后保留两位。</w:t>
            </w:r>
            <w:r>
              <w:rPr>
                <w:rFonts w:hint="eastAsia" w:ascii="宋体" w:hAnsi="宋体" w:cs="宋体"/>
                <w:b/>
                <w:bCs/>
                <w:szCs w:val="21"/>
              </w:rPr>
              <w:fldChar w:fldCharType="begin"/>
            </w:r>
            <w:r>
              <w:rPr>
                <w:rFonts w:hint="eastAsia" w:ascii="宋体" w:hAnsi="宋体" w:cs="宋体"/>
                <w:b/>
                <w:bCs/>
                <w:szCs w:val="21"/>
              </w:rPr>
              <w:instrText xml:space="preserve"> = 2 \* GB3 \* MERGEFORMAT </w:instrText>
            </w:r>
            <w:r>
              <w:rPr>
                <w:rFonts w:hint="eastAsia" w:ascii="宋体" w:hAnsi="宋体" w:cs="宋体"/>
                <w:b/>
                <w:bCs/>
                <w:szCs w:val="21"/>
              </w:rPr>
              <w:fldChar w:fldCharType="separate"/>
            </w:r>
            <w:r>
              <w:rPr>
                <w:rFonts w:hint="eastAsia" w:ascii="宋体" w:hAnsi="宋体" w:cs="宋体"/>
                <w:b/>
                <w:bCs/>
                <w:szCs w:val="21"/>
              </w:rPr>
              <w:t>②</w:t>
            </w:r>
            <w:r>
              <w:rPr>
                <w:rFonts w:hint="eastAsia" w:ascii="宋体" w:hAnsi="宋体" w:cs="宋体"/>
                <w:b/>
                <w:bCs/>
                <w:szCs w:val="21"/>
              </w:rPr>
              <w:fldChar w:fldCharType="end"/>
            </w:r>
            <w:r>
              <w:rPr>
                <w:rFonts w:hint="eastAsia" w:ascii="宋体" w:hAnsi="宋体" w:cs="宋体"/>
                <w:b/>
                <w:bCs/>
                <w:szCs w:val="21"/>
              </w:rPr>
              <w:t>本表中要求提供各类证明材料，均需加盖供应商单位公章，否则将不认可该项材料的有效性。③本项目不涉及节能、环境标志产品、无线局域网产品，故在评分标准中不做体现。</w:t>
            </w:r>
          </w:p>
        </w:tc>
      </w:tr>
    </w:tbl>
    <w:p>
      <w:pPr>
        <w:snapToGrid w:val="0"/>
        <w:spacing w:line="400" w:lineRule="exact"/>
        <w:ind w:firstLine="420" w:firstLineChars="200"/>
      </w:pPr>
      <w:r>
        <w:rPr>
          <w:rFonts w:hint="eastAsia"/>
        </w:rPr>
        <w:t>注：评分的取值按四舍五入法，保留小数点后两位。</w:t>
      </w:r>
    </w:p>
    <w:bookmarkEnd w:id="802"/>
    <w:bookmarkEnd w:id="803"/>
    <w:bookmarkEnd w:id="804"/>
    <w:bookmarkEnd w:id="805"/>
    <w:bookmarkEnd w:id="947"/>
    <w:p>
      <w:pPr>
        <w:snapToGrid w:val="0"/>
        <w:spacing w:line="400" w:lineRule="exact"/>
        <w:ind w:firstLine="420" w:firstLineChars="200"/>
      </w:pPr>
      <w:bookmarkStart w:id="948" w:name="_Toc217446059"/>
      <w:bookmarkStart w:id="949" w:name="PO_默认文件内容_30"/>
      <w:r>
        <w:rPr>
          <w:rFonts w:hint="eastAsia"/>
        </w:rPr>
        <w:t>3.3.4评审得分＝（A1＋A2＋……＋An）/NA＋（B1＋B2＋……＋Bn）/ NB＋（C1＋C2＋……＋Cn）/ NC＋（D1＋D2＋……＋Dn）/ ND</w:t>
      </w:r>
    </w:p>
    <w:p>
      <w:pPr>
        <w:snapToGrid w:val="0"/>
        <w:spacing w:line="400" w:lineRule="exact"/>
        <w:ind w:firstLine="420" w:firstLineChars="200"/>
      </w:pPr>
      <w:r>
        <w:rPr>
          <w:rFonts w:hint="eastAsia"/>
        </w:rPr>
        <w:t>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分别为评审委员会每个成员的打分（共同评分类），ND为评审委员会人数。</w:t>
      </w:r>
    </w:p>
    <w:bookmarkEnd w:id="948"/>
    <w:p>
      <w:pPr>
        <w:pStyle w:val="4"/>
        <w:keepNext w:val="0"/>
        <w:keepLines w:val="0"/>
        <w:spacing w:before="0" w:after="0" w:line="400" w:lineRule="exact"/>
        <w:ind w:firstLine="482" w:firstLineChars="200"/>
        <w:jc w:val="both"/>
        <w:rPr>
          <w:rFonts w:ascii="宋体" w:hAnsi="宋体"/>
          <w:sz w:val="24"/>
          <w:szCs w:val="24"/>
        </w:rPr>
      </w:pPr>
      <w:bookmarkStart w:id="950" w:name="_Toc9048"/>
      <w:bookmarkStart w:id="951" w:name="_Toc30110"/>
      <w:bookmarkStart w:id="952" w:name="_Toc22039"/>
      <w:bookmarkStart w:id="953" w:name="_Toc30744"/>
      <w:bookmarkStart w:id="954" w:name="_Toc17143_WPSOffice_Level2"/>
      <w:bookmarkStart w:id="955" w:name="_Toc16767"/>
      <w:bookmarkStart w:id="956" w:name="_Toc30652"/>
      <w:bookmarkStart w:id="957" w:name="_Toc5217"/>
      <w:bookmarkStart w:id="958" w:name="_Toc13277"/>
      <w:r>
        <w:rPr>
          <w:rFonts w:hint="eastAsia" w:ascii="宋体" w:hAnsi="宋体"/>
          <w:sz w:val="24"/>
          <w:szCs w:val="24"/>
        </w:rPr>
        <w:t>4.磋商纪律及注意事项</w:t>
      </w:r>
      <w:bookmarkEnd w:id="950"/>
      <w:bookmarkEnd w:id="951"/>
      <w:bookmarkEnd w:id="952"/>
      <w:bookmarkEnd w:id="953"/>
      <w:bookmarkEnd w:id="954"/>
      <w:bookmarkEnd w:id="955"/>
      <w:bookmarkEnd w:id="956"/>
      <w:bookmarkEnd w:id="957"/>
      <w:bookmarkEnd w:id="958"/>
    </w:p>
    <w:p>
      <w:pPr>
        <w:tabs>
          <w:tab w:val="left" w:pos="851"/>
        </w:tabs>
        <w:spacing w:line="400" w:lineRule="exact"/>
        <w:ind w:firstLine="420" w:firstLineChars="200"/>
        <w:rPr>
          <w:rFonts w:ascii="宋体" w:hAnsi="宋体"/>
          <w:szCs w:val="21"/>
        </w:rPr>
      </w:pPr>
      <w:r>
        <w:rPr>
          <w:rFonts w:hint="eastAsia" w:ascii="宋体" w:hAnsi="宋体"/>
          <w:szCs w:val="21"/>
        </w:rPr>
        <w:t>4.1磋商小组内部讨论的情况和意见必须保密，任何人不得以任何形式透露给供应商或与供应商有关的单位或个人。</w:t>
      </w:r>
    </w:p>
    <w:p>
      <w:pPr>
        <w:tabs>
          <w:tab w:val="left" w:pos="851"/>
        </w:tabs>
        <w:spacing w:line="400" w:lineRule="exact"/>
        <w:ind w:firstLine="420" w:firstLineChars="200"/>
        <w:rPr>
          <w:rFonts w:ascii="宋体" w:hAnsi="宋体"/>
          <w:szCs w:val="21"/>
        </w:rPr>
      </w:pPr>
      <w:r>
        <w:rPr>
          <w:rFonts w:hint="eastAsia" w:ascii="宋体" w:hAnsi="宋体"/>
          <w:szCs w:val="21"/>
        </w:rPr>
        <w:t>4.2在磋商过程中，供应商不得以任何形式对磋商小组成员进行旨在影响谈判结果的私下接触，否则将取消其参与磋商的资格。</w:t>
      </w:r>
    </w:p>
    <w:p>
      <w:pPr>
        <w:tabs>
          <w:tab w:val="left" w:pos="851"/>
        </w:tabs>
        <w:spacing w:line="400" w:lineRule="exact"/>
        <w:ind w:firstLine="420" w:firstLineChars="200"/>
        <w:rPr>
          <w:rFonts w:ascii="宋体" w:hAnsi="宋体"/>
          <w:szCs w:val="21"/>
        </w:rPr>
      </w:pPr>
      <w:r>
        <w:rPr>
          <w:rFonts w:hint="eastAsia" w:ascii="宋体" w:hAnsi="宋体"/>
          <w:szCs w:val="21"/>
        </w:rPr>
        <w:t>4.3</w:t>
      </w:r>
      <w:r>
        <w:rPr>
          <w:rFonts w:hint="eastAsia"/>
          <w:szCs w:val="21"/>
        </w:rPr>
        <w:t>对各供应商的商业秘密，磋商小组成员应予以保密，不得泄露给其他供应商。</w:t>
      </w:r>
    </w:p>
    <w:p>
      <w:pPr>
        <w:tabs>
          <w:tab w:val="left" w:pos="851"/>
        </w:tabs>
        <w:spacing w:line="400" w:lineRule="exact"/>
        <w:ind w:firstLine="420" w:firstLineChars="200"/>
        <w:rPr>
          <w:rFonts w:ascii="宋体" w:hAnsi="宋体"/>
          <w:szCs w:val="21"/>
        </w:rPr>
      </w:pPr>
      <w:r>
        <w:rPr>
          <w:rFonts w:hint="eastAsia" w:ascii="宋体" w:hAnsi="宋体"/>
          <w:szCs w:val="21"/>
        </w:rPr>
        <w:t>4.4 磋商小组独立评判，推荐成交候选人，并写出书面报告。</w:t>
      </w:r>
    </w:p>
    <w:p>
      <w:pPr>
        <w:tabs>
          <w:tab w:val="left" w:pos="851"/>
        </w:tabs>
        <w:spacing w:line="400" w:lineRule="exact"/>
        <w:ind w:firstLine="420" w:firstLineChars="200"/>
        <w:rPr>
          <w:rFonts w:ascii="宋体" w:hAnsi="宋体"/>
          <w:szCs w:val="21"/>
        </w:rPr>
      </w:pPr>
      <w:r>
        <w:rPr>
          <w:rFonts w:hint="eastAsia" w:ascii="宋体" w:hAnsi="宋体"/>
          <w:szCs w:val="21"/>
        </w:rPr>
        <w:t>4.5 磋商小组可根据需要对供应商进行实地考察。</w:t>
      </w:r>
    </w:p>
    <w:p>
      <w:pPr>
        <w:pStyle w:val="4"/>
        <w:keepNext w:val="0"/>
        <w:keepLines w:val="0"/>
        <w:spacing w:before="0" w:after="0" w:line="400" w:lineRule="exact"/>
        <w:ind w:firstLine="472" w:firstLineChars="196"/>
        <w:jc w:val="both"/>
        <w:rPr>
          <w:rFonts w:ascii="宋体" w:hAnsi="宋体"/>
          <w:sz w:val="24"/>
          <w:szCs w:val="24"/>
        </w:rPr>
      </w:pPr>
      <w:bookmarkStart w:id="959" w:name="_Toc6440"/>
      <w:bookmarkStart w:id="960" w:name="_Toc22337"/>
      <w:bookmarkStart w:id="961" w:name="_Toc5302_WPSOffice_Level2"/>
      <w:bookmarkStart w:id="962" w:name="_Toc5194"/>
      <w:bookmarkStart w:id="963" w:name="_Toc14454"/>
      <w:bookmarkStart w:id="964" w:name="_Toc740"/>
      <w:bookmarkStart w:id="965" w:name="_Toc28518"/>
      <w:bookmarkStart w:id="966" w:name="_Toc1855"/>
      <w:bookmarkStart w:id="967" w:name="_Toc25398"/>
      <w:r>
        <w:rPr>
          <w:rFonts w:hint="eastAsia" w:ascii="宋体" w:hAnsi="宋体"/>
          <w:sz w:val="24"/>
          <w:szCs w:val="24"/>
        </w:rPr>
        <w:t>5.</w:t>
      </w:r>
      <w:bookmarkEnd w:id="806"/>
      <w:r>
        <w:rPr>
          <w:rFonts w:hint="eastAsia" w:ascii="宋体" w:hAnsi="宋体"/>
          <w:sz w:val="24"/>
          <w:szCs w:val="24"/>
        </w:rPr>
        <w:t>磋商小组在</w:t>
      </w:r>
      <w:r>
        <w:rPr>
          <w:rFonts w:hint="eastAsia" w:ascii="宋体" w:hAnsi="宋体"/>
          <w:sz w:val="24"/>
          <w:szCs w:val="24"/>
          <w:lang w:eastAsia="zh-CN"/>
        </w:rPr>
        <w:t>政府</w:t>
      </w:r>
      <w:r>
        <w:rPr>
          <w:rFonts w:hint="eastAsia" w:ascii="宋体" w:hAnsi="宋体"/>
          <w:sz w:val="24"/>
          <w:szCs w:val="24"/>
        </w:rPr>
        <w:t>采购活动中承担以下义务：</w:t>
      </w:r>
      <w:bookmarkEnd w:id="959"/>
      <w:bookmarkEnd w:id="960"/>
      <w:bookmarkEnd w:id="961"/>
      <w:bookmarkEnd w:id="962"/>
      <w:bookmarkEnd w:id="963"/>
      <w:bookmarkEnd w:id="964"/>
      <w:bookmarkEnd w:id="965"/>
      <w:bookmarkEnd w:id="966"/>
      <w:bookmarkEnd w:id="967"/>
    </w:p>
    <w:p>
      <w:pPr>
        <w:keepNext w:val="0"/>
        <w:keepLines w:val="0"/>
        <w:tabs>
          <w:tab w:val="left" w:pos="7665"/>
        </w:tabs>
        <w:spacing w:before="0" w:after="0" w:line="400" w:lineRule="exact"/>
        <w:ind w:firstLine="420" w:firstLineChars="200"/>
        <w:jc w:val="both"/>
        <w:rPr>
          <w:rFonts w:hint="eastAsia" w:ascii="宋体" w:hAnsi="宋体" w:cs="Times New Roman"/>
          <w:b w:val="0"/>
          <w:bCs w:val="0"/>
          <w:sz w:val="21"/>
          <w:szCs w:val="21"/>
          <w:lang w:val="zh-TW" w:eastAsia="zh-TW"/>
        </w:rPr>
      </w:pPr>
      <w:bookmarkStart w:id="968" w:name="_Toc4078"/>
      <w:bookmarkStart w:id="969" w:name="_Toc1675"/>
      <w:bookmarkStart w:id="970" w:name="_Toc29483"/>
      <w:bookmarkStart w:id="971" w:name="_Toc24660"/>
      <w:bookmarkStart w:id="972" w:name="_Toc32696"/>
      <w:bookmarkStart w:id="973" w:name="_Toc20247_WPSOffice_Level2"/>
      <w:bookmarkStart w:id="974" w:name="_Toc12573"/>
      <w:bookmarkStart w:id="975" w:name="_Toc20876"/>
      <w:bookmarkStart w:id="976" w:name="_Toc418"/>
      <w:r>
        <w:rPr>
          <w:rFonts w:hint="eastAsia" w:ascii="宋体" w:hAnsi="宋体" w:cs="Times New Roman"/>
          <w:b w:val="0"/>
          <w:bCs w:val="0"/>
          <w:sz w:val="21"/>
          <w:szCs w:val="21"/>
          <w:lang w:val="zh-TW" w:eastAsia="zh-TW"/>
        </w:rPr>
        <w:t>（一）遵守评审工作纪律；</w:t>
      </w:r>
      <w:bookmarkEnd w:id="968"/>
      <w:bookmarkEnd w:id="969"/>
      <w:bookmarkEnd w:id="970"/>
    </w:p>
    <w:p>
      <w:pPr>
        <w:keepNext w:val="0"/>
        <w:keepLines w:val="0"/>
        <w:tabs>
          <w:tab w:val="left" w:pos="7665"/>
        </w:tabs>
        <w:spacing w:before="0" w:after="0" w:line="400" w:lineRule="exact"/>
        <w:ind w:firstLine="420" w:firstLineChars="200"/>
        <w:jc w:val="both"/>
        <w:rPr>
          <w:rFonts w:hint="eastAsia" w:ascii="宋体" w:hAnsi="宋体" w:cs="Times New Roman"/>
          <w:b w:val="0"/>
          <w:bCs w:val="0"/>
          <w:sz w:val="21"/>
          <w:szCs w:val="21"/>
          <w:lang w:val="zh-TW" w:eastAsia="zh-TW"/>
        </w:rPr>
      </w:pPr>
      <w:bookmarkStart w:id="977" w:name="_Toc24288"/>
      <w:bookmarkStart w:id="978" w:name="_Toc28053"/>
      <w:bookmarkStart w:id="979" w:name="_Toc15232"/>
      <w:r>
        <w:rPr>
          <w:rFonts w:hint="eastAsia" w:ascii="宋体" w:hAnsi="宋体" w:cs="Times New Roman"/>
          <w:b w:val="0"/>
          <w:bCs w:val="0"/>
          <w:sz w:val="21"/>
          <w:szCs w:val="21"/>
          <w:lang w:val="zh-TW" w:eastAsia="zh-TW"/>
        </w:rPr>
        <w:t>（二）按照客观、公正、审慎的原则，根据磋商文件规定的评审程序、评审方法和评审标准进行独立评审；</w:t>
      </w:r>
      <w:bookmarkEnd w:id="977"/>
      <w:bookmarkEnd w:id="978"/>
      <w:bookmarkEnd w:id="979"/>
    </w:p>
    <w:p>
      <w:pPr>
        <w:keepNext w:val="0"/>
        <w:keepLines w:val="0"/>
        <w:tabs>
          <w:tab w:val="left" w:pos="7665"/>
        </w:tabs>
        <w:spacing w:before="0" w:after="0" w:line="400" w:lineRule="exact"/>
        <w:ind w:firstLine="420" w:firstLineChars="200"/>
        <w:jc w:val="both"/>
        <w:rPr>
          <w:rFonts w:hint="eastAsia" w:ascii="宋体" w:hAnsi="宋体" w:cs="Times New Roman"/>
          <w:b w:val="0"/>
          <w:bCs w:val="0"/>
          <w:sz w:val="21"/>
          <w:szCs w:val="21"/>
          <w:lang w:val="zh-TW" w:eastAsia="zh-TW"/>
        </w:rPr>
      </w:pPr>
      <w:bookmarkStart w:id="980" w:name="_Toc8857"/>
      <w:bookmarkStart w:id="981" w:name="_Toc6109"/>
      <w:bookmarkStart w:id="982" w:name="_Toc12943"/>
      <w:r>
        <w:rPr>
          <w:rFonts w:hint="eastAsia" w:ascii="宋体" w:hAnsi="宋体" w:cs="Times New Roman"/>
          <w:b w:val="0"/>
          <w:bCs w:val="0"/>
          <w:sz w:val="21"/>
          <w:szCs w:val="21"/>
          <w:lang w:val="zh-TW" w:eastAsia="zh-TW"/>
        </w:rPr>
        <w:t>（三）不得泄露评审文件、评审情况和在评审过程中获悉的商业秘密；</w:t>
      </w:r>
      <w:bookmarkEnd w:id="980"/>
      <w:bookmarkEnd w:id="981"/>
      <w:bookmarkEnd w:id="982"/>
    </w:p>
    <w:p>
      <w:pPr>
        <w:keepNext w:val="0"/>
        <w:keepLines w:val="0"/>
        <w:tabs>
          <w:tab w:val="left" w:pos="7665"/>
        </w:tabs>
        <w:spacing w:before="0" w:after="0" w:line="400" w:lineRule="exact"/>
        <w:ind w:firstLine="420" w:firstLineChars="200"/>
        <w:jc w:val="both"/>
        <w:rPr>
          <w:rFonts w:hint="eastAsia" w:ascii="宋体" w:hAnsi="宋体" w:cs="Times New Roman"/>
          <w:b w:val="0"/>
          <w:bCs w:val="0"/>
          <w:sz w:val="21"/>
          <w:szCs w:val="21"/>
          <w:lang w:val="zh-TW" w:eastAsia="zh-TW"/>
        </w:rPr>
      </w:pPr>
      <w:bookmarkStart w:id="983" w:name="_Toc16176"/>
      <w:bookmarkStart w:id="984" w:name="_Toc4160"/>
      <w:bookmarkStart w:id="985" w:name="_Toc29485"/>
      <w:r>
        <w:rPr>
          <w:rFonts w:hint="eastAsia" w:ascii="宋体" w:hAnsi="宋体" w:cs="Times New Roman"/>
          <w:b w:val="0"/>
          <w:bCs w:val="0"/>
          <w:sz w:val="21"/>
          <w:szCs w:val="21"/>
          <w:lang w:val="zh-TW" w:eastAsia="zh-TW"/>
        </w:rPr>
        <w:t>（四）及时向财政部门报告评审过程中发现的采购人、采购代理机构向评审专家做倾向性、误导性的解释或者说明，以及供应商行贿、提供虚假材料或者串通等违法行为；</w:t>
      </w:r>
      <w:bookmarkEnd w:id="983"/>
      <w:bookmarkEnd w:id="984"/>
      <w:bookmarkEnd w:id="985"/>
    </w:p>
    <w:p>
      <w:pPr>
        <w:keepNext w:val="0"/>
        <w:keepLines w:val="0"/>
        <w:tabs>
          <w:tab w:val="left" w:pos="7665"/>
        </w:tabs>
        <w:spacing w:before="0" w:after="0" w:line="400" w:lineRule="exact"/>
        <w:ind w:firstLine="420" w:firstLineChars="200"/>
        <w:jc w:val="both"/>
        <w:rPr>
          <w:rFonts w:hint="eastAsia" w:ascii="宋体" w:hAnsi="宋体" w:cs="Times New Roman"/>
          <w:b w:val="0"/>
          <w:bCs w:val="0"/>
          <w:sz w:val="21"/>
          <w:szCs w:val="21"/>
          <w:lang w:val="zh-TW" w:eastAsia="zh-TW"/>
        </w:rPr>
      </w:pPr>
      <w:bookmarkStart w:id="986" w:name="_Toc1496"/>
      <w:bookmarkStart w:id="987" w:name="_Toc16659"/>
      <w:bookmarkStart w:id="988" w:name="_Toc15908"/>
      <w:r>
        <w:rPr>
          <w:rFonts w:hint="eastAsia" w:ascii="宋体" w:hAnsi="宋体" w:cs="Times New Roman"/>
          <w:b w:val="0"/>
          <w:bCs w:val="0"/>
          <w:sz w:val="21"/>
          <w:szCs w:val="21"/>
          <w:lang w:val="zh-TW" w:eastAsia="zh-TW"/>
        </w:rPr>
        <w:t>（五）发现磋商文件内容违反国家有关强制性规定或者磋商文件存在歧义、重大缺陷导致评审工作无法进行时，停止评审并向采购人或者采购代理机构书面说明情况；</w:t>
      </w:r>
      <w:bookmarkEnd w:id="986"/>
      <w:bookmarkEnd w:id="987"/>
      <w:bookmarkEnd w:id="988"/>
    </w:p>
    <w:p>
      <w:pPr>
        <w:keepNext w:val="0"/>
        <w:keepLines w:val="0"/>
        <w:tabs>
          <w:tab w:val="left" w:pos="7665"/>
        </w:tabs>
        <w:spacing w:before="0" w:after="0" w:line="400" w:lineRule="exact"/>
        <w:ind w:firstLine="420" w:firstLineChars="200"/>
        <w:jc w:val="both"/>
        <w:rPr>
          <w:rFonts w:hint="eastAsia" w:ascii="宋体" w:hAnsi="宋体" w:cs="Times New Roman"/>
          <w:b w:val="0"/>
          <w:bCs w:val="0"/>
          <w:sz w:val="21"/>
          <w:szCs w:val="21"/>
          <w:lang w:val="zh-TW" w:eastAsia="zh-TW"/>
        </w:rPr>
      </w:pPr>
      <w:bookmarkStart w:id="989" w:name="_Toc8586"/>
      <w:bookmarkStart w:id="990" w:name="_Toc8600"/>
      <w:bookmarkStart w:id="991" w:name="_Toc31799"/>
      <w:r>
        <w:rPr>
          <w:rFonts w:hint="eastAsia" w:ascii="宋体" w:hAnsi="宋体" w:cs="Times New Roman"/>
          <w:b w:val="0"/>
          <w:bCs w:val="0"/>
          <w:sz w:val="21"/>
          <w:szCs w:val="21"/>
          <w:lang w:val="zh-TW" w:eastAsia="zh-TW"/>
        </w:rPr>
        <w:t>（六）及时向财政、监察等部门举报在评审过程中受到非法干预的情况；</w:t>
      </w:r>
      <w:bookmarkEnd w:id="989"/>
      <w:bookmarkEnd w:id="990"/>
      <w:bookmarkEnd w:id="991"/>
    </w:p>
    <w:p>
      <w:pPr>
        <w:keepNext w:val="0"/>
        <w:keepLines w:val="0"/>
        <w:tabs>
          <w:tab w:val="left" w:pos="7665"/>
        </w:tabs>
        <w:spacing w:before="0" w:after="0" w:line="400" w:lineRule="exact"/>
        <w:ind w:firstLine="420" w:firstLineChars="200"/>
        <w:jc w:val="both"/>
        <w:rPr>
          <w:rFonts w:hint="eastAsia" w:ascii="宋体" w:hAnsi="宋体" w:cs="Times New Roman"/>
          <w:b w:val="0"/>
          <w:bCs w:val="0"/>
          <w:sz w:val="21"/>
          <w:szCs w:val="21"/>
          <w:lang w:val="zh-TW" w:eastAsia="zh-TW"/>
        </w:rPr>
      </w:pPr>
      <w:bookmarkStart w:id="992" w:name="_Toc28835"/>
      <w:bookmarkStart w:id="993" w:name="_Toc9279"/>
      <w:bookmarkStart w:id="994" w:name="_Toc21702"/>
      <w:r>
        <w:rPr>
          <w:rFonts w:hint="eastAsia" w:ascii="宋体" w:hAnsi="宋体" w:cs="Times New Roman"/>
          <w:b w:val="0"/>
          <w:bCs w:val="0"/>
          <w:sz w:val="21"/>
          <w:szCs w:val="21"/>
          <w:lang w:val="zh-TW" w:eastAsia="zh-TW"/>
        </w:rPr>
        <w:t>（七）配合答复处理供应商的询问、质疑和投诉等事项；</w:t>
      </w:r>
      <w:bookmarkEnd w:id="992"/>
      <w:bookmarkEnd w:id="993"/>
      <w:bookmarkEnd w:id="994"/>
    </w:p>
    <w:p>
      <w:pPr>
        <w:keepNext w:val="0"/>
        <w:keepLines w:val="0"/>
        <w:tabs>
          <w:tab w:val="left" w:pos="7665"/>
        </w:tabs>
        <w:spacing w:before="0" w:after="0" w:line="400" w:lineRule="exact"/>
        <w:ind w:firstLine="420" w:firstLineChars="200"/>
        <w:jc w:val="both"/>
        <w:rPr>
          <w:rFonts w:hint="eastAsia" w:ascii="宋体" w:hAnsi="宋体" w:cs="Times New Roman"/>
          <w:b w:val="0"/>
          <w:bCs w:val="0"/>
          <w:sz w:val="21"/>
          <w:szCs w:val="21"/>
          <w:lang w:val="zh-TW" w:eastAsia="zh-TW"/>
        </w:rPr>
      </w:pPr>
      <w:bookmarkStart w:id="995" w:name="_Toc2361"/>
      <w:bookmarkStart w:id="996" w:name="_Toc30741"/>
      <w:bookmarkStart w:id="997" w:name="_Toc946"/>
      <w:r>
        <w:rPr>
          <w:rFonts w:hint="eastAsia" w:ascii="宋体" w:hAnsi="宋体" w:cs="Times New Roman"/>
          <w:b w:val="0"/>
          <w:bCs w:val="0"/>
          <w:sz w:val="21"/>
          <w:szCs w:val="21"/>
          <w:lang w:val="zh-TW" w:eastAsia="zh-TW"/>
        </w:rPr>
        <w:t>（八）法律、法规和规章规定的其他义务。</w:t>
      </w:r>
      <w:bookmarkEnd w:id="995"/>
      <w:bookmarkEnd w:id="996"/>
      <w:bookmarkEnd w:id="997"/>
    </w:p>
    <w:p>
      <w:pPr>
        <w:pStyle w:val="4"/>
        <w:keepNext w:val="0"/>
        <w:keepLines w:val="0"/>
        <w:spacing w:before="0" w:after="0" w:line="400" w:lineRule="exact"/>
        <w:ind w:firstLine="472" w:firstLineChars="196"/>
        <w:jc w:val="both"/>
        <w:rPr>
          <w:rFonts w:ascii="宋体" w:hAnsi="宋体"/>
          <w:sz w:val="24"/>
          <w:szCs w:val="24"/>
        </w:rPr>
      </w:pPr>
      <w:bookmarkStart w:id="998" w:name="_Toc10377"/>
      <w:bookmarkStart w:id="999" w:name="_Toc20453"/>
      <w:bookmarkStart w:id="1000" w:name="_Toc14931"/>
      <w:r>
        <w:rPr>
          <w:rFonts w:hint="eastAsia" w:ascii="宋体" w:hAnsi="宋体"/>
          <w:sz w:val="24"/>
          <w:szCs w:val="24"/>
        </w:rPr>
        <w:t>6.评审专家在</w:t>
      </w:r>
      <w:r>
        <w:rPr>
          <w:rFonts w:hint="eastAsia" w:ascii="宋体" w:hAnsi="宋体"/>
          <w:sz w:val="24"/>
          <w:szCs w:val="24"/>
          <w:lang w:eastAsia="zh-CN"/>
        </w:rPr>
        <w:t>政府</w:t>
      </w:r>
      <w:r>
        <w:rPr>
          <w:rFonts w:hint="eastAsia" w:ascii="宋体" w:hAnsi="宋体"/>
          <w:sz w:val="24"/>
          <w:szCs w:val="24"/>
        </w:rPr>
        <w:t>采购活动中应当遵守以下工作纪律：</w:t>
      </w:r>
      <w:bookmarkEnd w:id="971"/>
      <w:bookmarkEnd w:id="972"/>
      <w:bookmarkEnd w:id="973"/>
      <w:bookmarkEnd w:id="974"/>
      <w:bookmarkEnd w:id="975"/>
      <w:bookmarkEnd w:id="976"/>
      <w:bookmarkEnd w:id="998"/>
      <w:bookmarkEnd w:id="999"/>
      <w:bookmarkEnd w:id="1000"/>
    </w:p>
    <w:p>
      <w:pPr>
        <w:tabs>
          <w:tab w:val="left" w:pos="7665"/>
        </w:tabs>
        <w:spacing w:line="400" w:lineRule="exact"/>
        <w:ind w:firstLine="420" w:firstLineChars="200"/>
        <w:rPr>
          <w:rFonts w:hint="eastAsia" w:ascii="宋体" w:hAnsi="宋体"/>
          <w:szCs w:val="21"/>
          <w:lang w:val="zh-TW" w:eastAsia="zh-TW"/>
        </w:rPr>
      </w:pPr>
      <w:r>
        <w:rPr>
          <w:rFonts w:hint="eastAsia" w:ascii="宋体" w:hAnsi="宋体"/>
          <w:szCs w:val="21"/>
          <w:lang w:val="zh-TW" w:eastAsia="zh-TW"/>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20" w:firstLineChars="200"/>
        <w:rPr>
          <w:rFonts w:hint="eastAsia" w:ascii="宋体" w:hAnsi="宋体"/>
          <w:szCs w:val="21"/>
          <w:lang w:val="zh-TW" w:eastAsia="zh-TW"/>
        </w:rPr>
      </w:pPr>
      <w:r>
        <w:rPr>
          <w:rFonts w:hint="eastAsia" w:ascii="宋体" w:hAnsi="宋体"/>
          <w:szCs w:val="21"/>
          <w:lang w:val="zh-TW" w:eastAsia="zh-TW"/>
        </w:rPr>
        <w:t>（二）评审前，应当将通讯工具或者相关电子设备交由采购代理机构统一保管；</w:t>
      </w:r>
    </w:p>
    <w:p>
      <w:pPr>
        <w:tabs>
          <w:tab w:val="left" w:pos="7665"/>
        </w:tabs>
        <w:spacing w:line="400" w:lineRule="exact"/>
        <w:ind w:firstLine="420" w:firstLineChars="200"/>
        <w:rPr>
          <w:rFonts w:hint="eastAsia" w:ascii="宋体" w:hAnsi="宋体"/>
          <w:szCs w:val="21"/>
          <w:lang w:val="zh-TW" w:eastAsia="zh-TW"/>
        </w:rPr>
      </w:pPr>
      <w:r>
        <w:rPr>
          <w:rFonts w:hint="eastAsia" w:ascii="宋体" w:hAnsi="宋体"/>
          <w:szCs w:val="21"/>
          <w:lang w:val="zh-TW" w:eastAsia="zh-TW"/>
        </w:rPr>
        <w:t>（三）评审过程中，不得与外界联系，因发生不可预见情况，确实需要与外界联系的，应当在监督人员监督之下办理；</w:t>
      </w:r>
    </w:p>
    <w:p>
      <w:pPr>
        <w:tabs>
          <w:tab w:val="left" w:pos="7665"/>
        </w:tabs>
        <w:spacing w:line="400" w:lineRule="exact"/>
        <w:ind w:firstLine="420" w:firstLineChars="200"/>
        <w:rPr>
          <w:rFonts w:hint="eastAsia" w:ascii="宋体" w:hAnsi="宋体"/>
          <w:szCs w:val="21"/>
          <w:lang w:val="zh-TW" w:eastAsia="zh-TW"/>
        </w:rPr>
      </w:pPr>
      <w:r>
        <w:rPr>
          <w:rFonts w:hint="eastAsia" w:ascii="宋体" w:hAnsi="宋体"/>
          <w:szCs w:val="21"/>
          <w:lang w:val="zh-TW" w:eastAsia="zh-TW"/>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20" w:firstLineChars="200"/>
        <w:rPr>
          <w:rFonts w:hint="eastAsia" w:ascii="宋体" w:hAnsi="宋体"/>
          <w:szCs w:val="21"/>
          <w:lang w:val="zh-TW" w:eastAsia="zh-TW"/>
        </w:rPr>
      </w:pPr>
      <w:r>
        <w:rPr>
          <w:rFonts w:hint="eastAsia" w:ascii="宋体" w:hAnsi="宋体"/>
          <w:szCs w:val="21"/>
          <w:lang w:val="zh-TW" w:eastAsia="zh-TW"/>
        </w:rPr>
        <w:t>（五）在评审过程中和评审结束后，不得记录、复制或带走任何评审资料，不得向外界透露评审内容；</w:t>
      </w:r>
    </w:p>
    <w:p>
      <w:pPr>
        <w:tabs>
          <w:tab w:val="left" w:pos="7665"/>
        </w:tabs>
        <w:spacing w:line="400" w:lineRule="exact"/>
        <w:ind w:firstLine="420" w:firstLineChars="200"/>
        <w:rPr>
          <w:rFonts w:hint="eastAsia" w:ascii="宋体" w:hAnsi="宋体"/>
          <w:szCs w:val="21"/>
          <w:lang w:val="zh-TW" w:eastAsia="zh-TW"/>
        </w:rPr>
      </w:pPr>
      <w:r>
        <w:rPr>
          <w:rFonts w:hint="eastAsia" w:ascii="宋体" w:hAnsi="宋体"/>
          <w:szCs w:val="21"/>
          <w:lang w:val="zh-TW" w:eastAsia="zh-TW"/>
        </w:rPr>
        <w:t>（六）评审现场服从采购代理机构工作人员的管理，接受现场监督人员的合法监督；</w:t>
      </w:r>
    </w:p>
    <w:p>
      <w:pPr>
        <w:tabs>
          <w:tab w:val="left" w:pos="7665"/>
        </w:tabs>
        <w:spacing w:line="400" w:lineRule="exact"/>
        <w:ind w:firstLine="420" w:firstLineChars="200"/>
        <w:rPr>
          <w:rFonts w:hint="eastAsia" w:ascii="宋体" w:hAnsi="宋体"/>
          <w:szCs w:val="21"/>
          <w:lang w:val="zh-TW" w:eastAsia="zh-TW"/>
        </w:rPr>
      </w:pPr>
      <w:r>
        <w:rPr>
          <w:rFonts w:hint="eastAsia" w:ascii="宋体" w:hAnsi="宋体"/>
          <w:szCs w:val="21"/>
          <w:lang w:val="zh-TW" w:eastAsia="zh-TW"/>
        </w:rPr>
        <w:t>（七）遵守有关廉洁自律规定，不得私下接触供应商，不得收受供应商及有关业务单位和个人的财物或好处，不得接受采购代理机构的请托。</w:t>
      </w:r>
    </w:p>
    <w:p>
      <w:pPr>
        <w:tabs>
          <w:tab w:val="left" w:pos="7665"/>
        </w:tabs>
        <w:spacing w:line="400" w:lineRule="exact"/>
        <w:ind w:firstLine="420" w:firstLineChars="200"/>
        <w:rPr>
          <w:rFonts w:ascii="宋体" w:hAnsi="宋体"/>
          <w:szCs w:val="21"/>
        </w:rPr>
      </w:pPr>
    </w:p>
    <w:p>
      <w:pPr>
        <w:outlineLvl w:val="9"/>
      </w:pPr>
      <w:r>
        <w:br w:type="page"/>
      </w:r>
      <w:bookmarkStart w:id="1001" w:name="_Toc5005133"/>
      <w:bookmarkStart w:id="1002" w:name="_Toc11788"/>
      <w:bookmarkStart w:id="1003" w:name="_Toc6796"/>
      <w:bookmarkStart w:id="1004" w:name="_Toc28380_WPSOffice_Level1"/>
      <w:bookmarkStart w:id="1005" w:name="_Toc12181"/>
      <w:bookmarkStart w:id="1006" w:name="_Toc511206483"/>
    </w:p>
    <w:p>
      <w:pPr>
        <w:pStyle w:val="3"/>
        <w:spacing w:before="0" w:after="0" w:line="360" w:lineRule="auto"/>
        <w:rPr>
          <w:rFonts w:ascii="黑体" w:eastAsia="黑体"/>
          <w:kern w:val="0"/>
          <w:sz w:val="28"/>
        </w:rPr>
      </w:pPr>
      <w:bookmarkStart w:id="1007" w:name="_Toc28250"/>
      <w:bookmarkStart w:id="1008" w:name="_Toc24399"/>
      <w:bookmarkStart w:id="1009" w:name="_Toc18887"/>
      <w:bookmarkStart w:id="1010" w:name="_Toc23149"/>
      <w:bookmarkStart w:id="1011" w:name="_Toc22149"/>
      <w:bookmarkStart w:id="1012" w:name="_Toc17589"/>
      <w:r>
        <w:rPr>
          <w:rFonts w:hint="eastAsia"/>
        </w:rPr>
        <w:t>第九章  采购合同（草案）</w:t>
      </w:r>
      <w:bookmarkEnd w:id="420"/>
      <w:bookmarkEnd w:id="421"/>
      <w:bookmarkEnd w:id="422"/>
      <w:bookmarkEnd w:id="949"/>
      <w:bookmarkEnd w:id="1001"/>
      <w:bookmarkEnd w:id="1002"/>
      <w:bookmarkEnd w:id="1003"/>
      <w:bookmarkEnd w:id="1004"/>
      <w:bookmarkEnd w:id="1005"/>
      <w:bookmarkEnd w:id="1006"/>
      <w:bookmarkEnd w:id="1007"/>
      <w:bookmarkEnd w:id="1008"/>
      <w:bookmarkEnd w:id="1009"/>
      <w:bookmarkEnd w:id="1010"/>
      <w:bookmarkEnd w:id="1011"/>
      <w:bookmarkEnd w:id="1012"/>
    </w:p>
    <w:p>
      <w:pPr>
        <w:spacing w:line="420" w:lineRule="exact"/>
        <w:ind w:firstLine="422" w:firstLineChars="200"/>
        <w:jc w:val="left"/>
        <w:rPr>
          <w:rFonts w:hint="default" w:ascii="宋体" w:hAnsi="宋体" w:cs="宋体"/>
          <w:b/>
          <w:bCs/>
          <w:szCs w:val="21"/>
          <w:lang w:val="en-US" w:bidi="zh-CN"/>
        </w:rPr>
      </w:pPr>
      <w:r>
        <w:rPr>
          <w:rFonts w:hint="eastAsia" w:ascii="宋体" w:hAnsi="宋体" w:cs="宋体"/>
          <w:b/>
          <w:bCs/>
          <w:szCs w:val="21"/>
          <w:lang w:val="zh-CN" w:bidi="zh-CN"/>
        </w:rPr>
        <w:t>包</w:t>
      </w:r>
      <w:r>
        <w:rPr>
          <w:rFonts w:hint="eastAsia" w:ascii="宋体" w:hAnsi="宋体" w:cs="宋体"/>
          <w:b/>
          <w:bCs/>
          <w:szCs w:val="21"/>
          <w:lang w:val="en-US" w:bidi="zh-CN"/>
        </w:rPr>
        <w:t>1、包2合同格式：</w:t>
      </w:r>
    </w:p>
    <w:p>
      <w:pPr>
        <w:spacing w:line="420" w:lineRule="exact"/>
        <w:ind w:firstLine="420" w:firstLineChars="200"/>
        <w:jc w:val="left"/>
        <w:rPr>
          <w:rFonts w:ascii="宋体" w:hAnsi="宋体" w:cs="宋体"/>
          <w:szCs w:val="21"/>
          <w:lang w:val="zh-CN" w:bidi="zh-CN"/>
        </w:rPr>
      </w:pPr>
      <w:r>
        <w:rPr>
          <w:rFonts w:hint="eastAsia" w:ascii="宋体" w:hAnsi="宋体" w:cs="宋体"/>
          <w:szCs w:val="21"/>
          <w:lang w:val="zh-CN" w:bidi="zh-CN"/>
        </w:rPr>
        <w:t>合同编号：</w:t>
      </w:r>
      <w:r>
        <w:rPr>
          <w:rFonts w:hint="eastAsia" w:ascii="宋体" w:hAnsi="宋体" w:cs="宋体"/>
          <w:szCs w:val="21"/>
          <w:u w:val="single"/>
          <w:lang w:bidi="zh-CN"/>
        </w:rPr>
        <w:t xml:space="preserve">                  </w:t>
      </w:r>
      <w:r>
        <w:rPr>
          <w:rFonts w:hint="eastAsia" w:ascii="宋体" w:hAnsi="宋体" w:cs="宋体"/>
          <w:szCs w:val="21"/>
          <w:lang w:val="zh-CN" w:bidi="zh-CN"/>
        </w:rPr>
        <w:t>。</w:t>
      </w:r>
    </w:p>
    <w:p>
      <w:pPr>
        <w:spacing w:line="420" w:lineRule="exact"/>
        <w:ind w:firstLine="420" w:firstLineChars="200"/>
        <w:jc w:val="left"/>
        <w:rPr>
          <w:rFonts w:ascii="宋体" w:hAnsi="宋体" w:cs="宋体"/>
          <w:szCs w:val="21"/>
          <w:lang w:val="zh-CN" w:bidi="zh-CN"/>
        </w:rPr>
      </w:pPr>
      <w:r>
        <w:rPr>
          <w:rFonts w:hint="eastAsia" w:ascii="宋体" w:hAnsi="宋体" w:cs="宋体"/>
          <w:szCs w:val="21"/>
          <w:lang w:val="zh-CN" w:bidi="zh-CN"/>
        </w:rPr>
        <w:t>签订地点：</w:t>
      </w:r>
      <w:r>
        <w:rPr>
          <w:rFonts w:hint="eastAsia" w:ascii="宋体" w:hAnsi="宋体" w:cs="宋体"/>
          <w:szCs w:val="21"/>
          <w:u w:val="single"/>
          <w:lang w:bidi="zh-CN"/>
        </w:rPr>
        <w:t xml:space="preserve">                  </w:t>
      </w:r>
      <w:r>
        <w:rPr>
          <w:rFonts w:hint="eastAsia" w:ascii="宋体" w:hAnsi="宋体" w:cs="宋体"/>
          <w:szCs w:val="21"/>
          <w:lang w:val="zh-CN" w:bidi="zh-CN"/>
        </w:rPr>
        <w:t>。</w:t>
      </w:r>
    </w:p>
    <w:p>
      <w:pPr>
        <w:spacing w:line="420" w:lineRule="exact"/>
        <w:ind w:firstLine="420" w:firstLineChars="200"/>
        <w:jc w:val="left"/>
        <w:rPr>
          <w:rFonts w:ascii="宋体" w:hAnsi="宋体" w:cs="宋体"/>
          <w:szCs w:val="21"/>
          <w:lang w:val="zh-CN" w:bidi="zh-CN"/>
        </w:rPr>
      </w:pPr>
      <w:r>
        <w:rPr>
          <w:rFonts w:hint="eastAsia" w:ascii="宋体" w:hAnsi="宋体" w:cs="宋体"/>
          <w:szCs w:val="21"/>
          <w:lang w:val="zh-CN" w:bidi="zh-CN"/>
        </w:rPr>
        <w:t>签订时间：</w:t>
      </w:r>
      <w:r>
        <w:rPr>
          <w:rFonts w:hint="eastAsia" w:ascii="宋体" w:hAnsi="宋体" w:cs="宋体"/>
          <w:szCs w:val="21"/>
          <w:u w:val="single"/>
          <w:lang w:bidi="zh-CN"/>
        </w:rPr>
        <w:t xml:space="preserve">  </w:t>
      </w:r>
      <w:r>
        <w:rPr>
          <w:rFonts w:hint="eastAsia" w:ascii="宋体" w:hAnsi="宋体" w:cs="宋体"/>
          <w:szCs w:val="21"/>
          <w:u w:val="single"/>
          <w:lang w:val="zh-CN" w:bidi="zh-CN"/>
        </w:rPr>
        <w:t xml:space="preserve"> </w:t>
      </w:r>
      <w:r>
        <w:rPr>
          <w:rFonts w:hint="eastAsia" w:ascii="宋体" w:hAnsi="宋体" w:cs="宋体"/>
          <w:szCs w:val="21"/>
          <w:u w:val="single"/>
          <w:lang w:bidi="zh-CN"/>
        </w:rPr>
        <w:t xml:space="preserve"> </w:t>
      </w:r>
      <w:r>
        <w:rPr>
          <w:rFonts w:hint="eastAsia" w:ascii="宋体" w:hAnsi="宋体" w:cs="宋体"/>
          <w:szCs w:val="21"/>
          <w:lang w:val="zh-CN" w:bidi="zh-CN"/>
        </w:rPr>
        <w:t>年</w:t>
      </w:r>
      <w:r>
        <w:rPr>
          <w:rFonts w:hint="eastAsia" w:ascii="宋体" w:hAnsi="宋体" w:cs="宋体"/>
          <w:szCs w:val="21"/>
          <w:u w:val="single"/>
          <w:lang w:bidi="zh-CN"/>
        </w:rPr>
        <w:t xml:space="preserve">  </w:t>
      </w:r>
      <w:r>
        <w:rPr>
          <w:rFonts w:hint="eastAsia" w:ascii="宋体" w:hAnsi="宋体" w:cs="宋体"/>
          <w:szCs w:val="21"/>
          <w:u w:val="single"/>
          <w:lang w:val="zh-CN" w:bidi="zh-CN"/>
        </w:rPr>
        <w:t xml:space="preserve"> </w:t>
      </w:r>
      <w:r>
        <w:rPr>
          <w:rFonts w:hint="eastAsia" w:ascii="宋体" w:hAnsi="宋体" w:cs="宋体"/>
          <w:szCs w:val="21"/>
          <w:u w:val="single"/>
          <w:lang w:bidi="zh-CN"/>
        </w:rPr>
        <w:t xml:space="preserve"> </w:t>
      </w:r>
      <w:r>
        <w:rPr>
          <w:rFonts w:hint="eastAsia" w:ascii="宋体" w:hAnsi="宋体" w:cs="宋体"/>
          <w:szCs w:val="21"/>
          <w:lang w:val="zh-CN" w:bidi="zh-CN"/>
        </w:rPr>
        <w:t>月</w:t>
      </w:r>
      <w:r>
        <w:rPr>
          <w:rFonts w:hint="eastAsia" w:ascii="宋体" w:hAnsi="宋体" w:cs="宋体"/>
          <w:szCs w:val="21"/>
          <w:u w:val="single"/>
          <w:lang w:bidi="zh-CN"/>
        </w:rPr>
        <w:t xml:space="preserve">  </w:t>
      </w:r>
      <w:r>
        <w:rPr>
          <w:rFonts w:hint="eastAsia" w:ascii="宋体" w:hAnsi="宋体" w:cs="宋体"/>
          <w:szCs w:val="21"/>
          <w:u w:val="single"/>
          <w:lang w:val="zh-CN" w:bidi="zh-CN"/>
        </w:rPr>
        <w:t xml:space="preserve"> </w:t>
      </w:r>
      <w:r>
        <w:rPr>
          <w:rFonts w:hint="eastAsia" w:ascii="宋体" w:hAnsi="宋体" w:cs="宋体"/>
          <w:szCs w:val="21"/>
          <w:u w:val="single"/>
          <w:lang w:bidi="zh-CN"/>
        </w:rPr>
        <w:t xml:space="preserve"> </w:t>
      </w:r>
      <w:r>
        <w:rPr>
          <w:rFonts w:hint="eastAsia" w:ascii="宋体" w:hAnsi="宋体" w:cs="宋体"/>
          <w:szCs w:val="21"/>
          <w:lang w:val="zh-CN" w:bidi="zh-CN"/>
        </w:rPr>
        <w:t>日。</w:t>
      </w:r>
    </w:p>
    <w:p>
      <w:pPr>
        <w:tabs>
          <w:tab w:val="left" w:pos="6179"/>
        </w:tabs>
        <w:spacing w:line="420" w:lineRule="exact"/>
        <w:ind w:firstLine="420" w:firstLineChars="200"/>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 xml:space="preserve">          </w:t>
      </w:r>
      <w:r>
        <w:rPr>
          <w:rFonts w:hint="eastAsia" w:cs="宋体"/>
          <w:szCs w:val="21"/>
          <w:u w:val="single"/>
        </w:rPr>
        <w:t xml:space="preserve">               </w:t>
      </w:r>
    </w:p>
    <w:p>
      <w:pPr>
        <w:tabs>
          <w:tab w:val="left" w:pos="6179"/>
        </w:tabs>
        <w:spacing w:line="420" w:lineRule="exact"/>
        <w:ind w:firstLine="420" w:firstLineChars="200"/>
        <w:rPr>
          <w:rFonts w:ascii="宋体" w:hAnsi="宋体" w:cs="宋体"/>
          <w:szCs w:val="21"/>
        </w:rPr>
      </w:pPr>
      <w:r>
        <w:rPr>
          <w:rFonts w:hint="eastAsia" w:ascii="宋体" w:hAnsi="宋体" w:cs="宋体"/>
          <w:szCs w:val="21"/>
        </w:rPr>
        <w:t>乙方：</w:t>
      </w:r>
      <w:r>
        <w:rPr>
          <w:rFonts w:hint="eastAsia" w:ascii="宋体" w:hAnsi="宋体" w:cs="宋体"/>
          <w:szCs w:val="21"/>
          <w:u w:val="single"/>
        </w:rPr>
        <w:t xml:space="preserve"> </w:t>
      </w:r>
      <w:r>
        <w:rPr>
          <w:rFonts w:hint="eastAsia" w:cs="宋体"/>
          <w:szCs w:val="21"/>
          <w:u w:val="single"/>
        </w:rPr>
        <w:t xml:space="preserve">                        </w:t>
      </w:r>
    </w:p>
    <w:p>
      <w:pPr>
        <w:spacing w:line="420" w:lineRule="exact"/>
        <w:ind w:firstLine="420" w:firstLineChars="200"/>
        <w:rPr>
          <w:rFonts w:ascii="宋体" w:hAnsi="宋体" w:cs="宋体"/>
          <w:szCs w:val="21"/>
        </w:rPr>
      </w:pPr>
      <w:r>
        <w:rPr>
          <w:rFonts w:hint="eastAsia" w:ascii="宋体" w:hAnsi="宋体" w:cs="宋体"/>
          <w:szCs w:val="21"/>
        </w:rPr>
        <w:t>依据《中华人民共和国</w:t>
      </w:r>
      <w:r>
        <w:rPr>
          <w:rFonts w:hint="eastAsia" w:cs="宋体"/>
          <w:szCs w:val="21"/>
        </w:rPr>
        <w:t>民法典</w:t>
      </w:r>
      <w:r>
        <w:rPr>
          <w:rFonts w:hint="eastAsia" w:ascii="宋体" w:hAnsi="宋体" w:cs="宋体"/>
          <w:szCs w:val="21"/>
        </w:rPr>
        <w:t>》与项目行业有关的法律法规，以及</w:t>
      </w:r>
      <w:r>
        <w:rPr>
          <w:rFonts w:hint="eastAsia" w:cs="宋体"/>
          <w:szCs w:val="21"/>
          <w:u w:val="single"/>
        </w:rPr>
        <w:t xml:space="preserve"> </w:t>
      </w:r>
      <w:r>
        <w:rPr>
          <w:rStyle w:val="107"/>
          <w:rFonts w:hint="eastAsia" w:ascii="宋体" w:hAnsi="宋体" w:cs="宋体"/>
          <w:szCs w:val="21"/>
          <w:u w:val="single"/>
        </w:rPr>
        <w:t xml:space="preserve">       </w:t>
      </w:r>
      <w:r>
        <w:rPr>
          <w:rFonts w:hint="eastAsia" w:cs="宋体"/>
          <w:szCs w:val="21"/>
          <w:u w:val="single"/>
        </w:rPr>
        <w:t xml:space="preserve"> </w:t>
      </w:r>
      <w:r>
        <w:rPr>
          <w:rFonts w:hint="eastAsia" w:ascii="宋体" w:hAnsi="宋体" w:cs="宋体"/>
          <w:spacing w:val="-3"/>
          <w:szCs w:val="21"/>
        </w:rPr>
        <w:t>项目</w:t>
      </w:r>
      <w:r>
        <w:rPr>
          <w:rFonts w:hint="eastAsia" w:ascii="宋体" w:hAnsi="宋体" w:cs="宋体"/>
          <w:szCs w:val="21"/>
        </w:rPr>
        <w:t>（项目编号：</w:t>
      </w:r>
      <w:r>
        <w:rPr>
          <w:rFonts w:hint="eastAsia"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5"/>
          <w:szCs w:val="21"/>
        </w:rPr>
        <w:t>的《竞争性</w:t>
      </w:r>
      <w:r>
        <w:rPr>
          <w:rFonts w:hint="eastAsia" w:cs="宋体"/>
          <w:spacing w:val="-5"/>
          <w:szCs w:val="21"/>
        </w:rPr>
        <w:t>磋商</w:t>
      </w:r>
      <w:r>
        <w:rPr>
          <w:rFonts w:hint="eastAsia" w:ascii="宋体" w:hAnsi="宋体" w:cs="宋体"/>
          <w:spacing w:val="-5"/>
          <w:szCs w:val="21"/>
        </w:rPr>
        <w:t>文件》，乙方的《</w:t>
      </w:r>
      <w:r>
        <w:rPr>
          <w:rFonts w:hint="eastAsia" w:cs="宋体"/>
          <w:spacing w:val="-5"/>
          <w:szCs w:val="21"/>
        </w:rPr>
        <w:t>响应文件</w:t>
      </w:r>
      <w:r>
        <w:rPr>
          <w:rFonts w:hint="eastAsia" w:ascii="宋体" w:hAnsi="宋体" w:cs="宋体"/>
          <w:spacing w:val="-5"/>
          <w:szCs w:val="21"/>
        </w:rPr>
        <w:t>》及《</w:t>
      </w:r>
      <w:r>
        <w:rPr>
          <w:rFonts w:hint="eastAsia" w:cs="宋体"/>
          <w:spacing w:val="-5"/>
          <w:szCs w:val="21"/>
        </w:rPr>
        <w:t>成交</w:t>
      </w:r>
      <w:r>
        <w:rPr>
          <w:rFonts w:hint="eastAsia" w:ascii="宋体" w:hAnsi="宋体" w:cs="宋体"/>
          <w:spacing w:val="-5"/>
          <w:szCs w:val="21"/>
        </w:rPr>
        <w:t>通知书》，甲、乙双方同意签订本合同。详细技术</w:t>
      </w:r>
      <w:r>
        <w:rPr>
          <w:rFonts w:hint="eastAsia" w:ascii="宋体" w:hAnsi="宋体" w:cs="宋体"/>
          <w:szCs w:val="21"/>
        </w:rPr>
        <w:t>说明及其他有关合同项目的特定信息由合同附件予以说明，合同附件及本项目的《竞争性</w:t>
      </w:r>
      <w:r>
        <w:rPr>
          <w:rFonts w:hint="eastAsia" w:cs="宋体"/>
          <w:szCs w:val="21"/>
        </w:rPr>
        <w:t>磋商</w:t>
      </w:r>
      <w:r>
        <w:rPr>
          <w:rFonts w:hint="eastAsia" w:ascii="宋体" w:hAnsi="宋体" w:cs="宋体"/>
          <w:szCs w:val="21"/>
        </w:rPr>
        <w:t>文件》、《</w:t>
      </w:r>
      <w:r>
        <w:rPr>
          <w:rFonts w:hint="eastAsia" w:cs="宋体"/>
          <w:spacing w:val="-5"/>
          <w:szCs w:val="21"/>
        </w:rPr>
        <w:t>响应</w:t>
      </w:r>
      <w:r>
        <w:rPr>
          <w:rFonts w:hint="eastAsia" w:ascii="宋体" w:hAnsi="宋体" w:cs="宋体"/>
          <w:spacing w:val="-5"/>
          <w:szCs w:val="21"/>
        </w:rPr>
        <w:t>文件</w:t>
      </w:r>
      <w:r>
        <w:rPr>
          <w:rFonts w:hint="eastAsia" w:ascii="宋体" w:hAnsi="宋体" w:cs="宋体"/>
          <w:szCs w:val="21"/>
        </w:rPr>
        <w:t>》、《</w:t>
      </w:r>
      <w:r>
        <w:rPr>
          <w:rFonts w:hint="eastAsia" w:cs="宋体"/>
          <w:szCs w:val="21"/>
        </w:rPr>
        <w:t>成交</w:t>
      </w:r>
      <w:r>
        <w:rPr>
          <w:rFonts w:hint="eastAsia" w:ascii="宋体" w:hAnsi="宋体" w:cs="宋体"/>
          <w:szCs w:val="21"/>
        </w:rPr>
        <w:t>通知书》等均为本合同的组成部分。</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r>
        <w:rPr>
          <w:rFonts w:hint="eastAsia" w:ascii="宋体" w:hAnsi="宋体" w:cs="宋体"/>
          <w:sz w:val="21"/>
          <w:szCs w:val="21"/>
        </w:rPr>
        <w:t xml:space="preserve"> </w:t>
      </w:r>
      <w:bookmarkStart w:id="1013" w:name="_Toc29036"/>
      <w:bookmarkStart w:id="1014" w:name="_Toc8475"/>
      <w:bookmarkStart w:id="1015" w:name="_Toc1107"/>
      <w:bookmarkStart w:id="1016" w:name="_Toc6948"/>
      <w:bookmarkStart w:id="1017" w:name="_Toc2142"/>
      <w:bookmarkStart w:id="1018" w:name="_Toc14220"/>
      <w:bookmarkStart w:id="1019" w:name="_Toc18524"/>
      <w:bookmarkStart w:id="1020" w:name="_Toc19723"/>
      <w:bookmarkStart w:id="1021" w:name="_Toc4667"/>
      <w:bookmarkStart w:id="1022" w:name="_Toc10814"/>
      <w:bookmarkStart w:id="1023" w:name="_Toc27556"/>
      <w:r>
        <w:rPr>
          <w:rFonts w:hint="eastAsia" w:ascii="宋体" w:hAnsi="宋体" w:cs="宋体"/>
          <w:sz w:val="21"/>
          <w:szCs w:val="21"/>
        </w:rPr>
        <w:t>项目基本情况</w:t>
      </w:r>
      <w:bookmarkEnd w:id="1013"/>
      <w:bookmarkEnd w:id="1014"/>
      <w:bookmarkEnd w:id="1015"/>
      <w:bookmarkEnd w:id="1016"/>
      <w:bookmarkEnd w:id="1017"/>
      <w:bookmarkEnd w:id="1018"/>
      <w:bookmarkEnd w:id="1019"/>
      <w:bookmarkEnd w:id="1020"/>
      <w:bookmarkEnd w:id="1021"/>
      <w:bookmarkEnd w:id="1022"/>
      <w:bookmarkEnd w:id="1023"/>
    </w:p>
    <w:p>
      <w:pPr>
        <w:spacing w:line="420" w:lineRule="exact"/>
        <w:ind w:firstLine="420" w:firstLineChars="200"/>
        <w:jc w:val="left"/>
      </w:pPr>
      <w:r>
        <w:rPr>
          <w:rFonts w:hint="eastAsia"/>
          <w:u w:val="single"/>
        </w:rPr>
        <w:t xml:space="preserve">                                         </w:t>
      </w:r>
      <w:r>
        <w:rPr>
          <w:rFonts w:hint="eastAsia"/>
        </w:rPr>
        <w:t xml:space="preserve">    </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r>
        <w:rPr>
          <w:rFonts w:hint="eastAsia" w:ascii="宋体" w:hAnsi="宋体" w:cs="宋体"/>
          <w:sz w:val="21"/>
          <w:szCs w:val="21"/>
        </w:rPr>
        <w:t xml:space="preserve"> </w:t>
      </w:r>
      <w:bookmarkStart w:id="1024" w:name="_Toc5103"/>
      <w:bookmarkStart w:id="1025" w:name="_Toc11091"/>
      <w:bookmarkStart w:id="1026" w:name="_Toc26943"/>
      <w:bookmarkStart w:id="1027" w:name="_Toc26364"/>
      <w:bookmarkStart w:id="1028" w:name="_Toc19510"/>
      <w:bookmarkStart w:id="1029" w:name="_Toc29967"/>
      <w:bookmarkStart w:id="1030" w:name="_Toc3848"/>
      <w:bookmarkStart w:id="1031" w:name="_Toc7454"/>
      <w:bookmarkStart w:id="1032" w:name="_Toc1459"/>
      <w:bookmarkStart w:id="1033" w:name="_Toc17310"/>
      <w:bookmarkStart w:id="1034" w:name="_Toc9293"/>
      <w:r>
        <w:rPr>
          <w:rFonts w:hint="eastAsia" w:ascii="宋体" w:hAnsi="宋体" w:cs="宋体"/>
          <w:sz w:val="21"/>
          <w:szCs w:val="21"/>
        </w:rPr>
        <w:t>合同期限</w:t>
      </w:r>
      <w:bookmarkEnd w:id="1024"/>
      <w:bookmarkEnd w:id="1025"/>
      <w:bookmarkEnd w:id="1026"/>
      <w:bookmarkEnd w:id="1027"/>
      <w:bookmarkEnd w:id="1028"/>
      <w:bookmarkEnd w:id="1029"/>
      <w:bookmarkEnd w:id="1030"/>
      <w:bookmarkEnd w:id="1031"/>
      <w:bookmarkEnd w:id="1032"/>
      <w:bookmarkEnd w:id="1033"/>
      <w:bookmarkEnd w:id="1034"/>
    </w:p>
    <w:p>
      <w:pPr>
        <w:spacing w:line="420" w:lineRule="exact"/>
        <w:ind w:firstLine="420" w:firstLineChars="200"/>
        <w:jc w:val="left"/>
      </w:pPr>
      <w:r>
        <w:rPr>
          <w:rFonts w:hint="eastAsia"/>
          <w:u w:val="single"/>
        </w:rPr>
        <w:t xml:space="preserve">                                         </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r>
        <w:rPr>
          <w:rFonts w:hint="eastAsia" w:ascii="宋体" w:hAnsi="宋体" w:cs="宋体"/>
          <w:sz w:val="21"/>
          <w:szCs w:val="21"/>
        </w:rPr>
        <w:t xml:space="preserve"> </w:t>
      </w:r>
      <w:bookmarkStart w:id="1035" w:name="_Toc16457"/>
      <w:bookmarkStart w:id="1036" w:name="_Toc19587"/>
      <w:bookmarkStart w:id="1037" w:name="_Toc25451"/>
      <w:bookmarkStart w:id="1038" w:name="_Toc32575"/>
      <w:bookmarkStart w:id="1039" w:name="_Toc7090"/>
      <w:bookmarkStart w:id="1040" w:name="_Toc17455"/>
      <w:bookmarkStart w:id="1041" w:name="_Toc18799"/>
      <w:bookmarkStart w:id="1042" w:name="_Toc23905"/>
      <w:bookmarkStart w:id="1043" w:name="_Toc12987"/>
      <w:bookmarkStart w:id="1044" w:name="_Toc11185"/>
      <w:bookmarkStart w:id="1045" w:name="_Toc20537"/>
      <w:r>
        <w:rPr>
          <w:rFonts w:hint="eastAsia" w:ascii="宋体" w:hAnsi="宋体" w:cs="宋体"/>
          <w:sz w:val="21"/>
          <w:szCs w:val="21"/>
        </w:rPr>
        <w:t>服务内容与质量标准</w:t>
      </w:r>
      <w:bookmarkEnd w:id="1035"/>
      <w:bookmarkEnd w:id="1036"/>
      <w:bookmarkEnd w:id="1037"/>
      <w:bookmarkEnd w:id="1038"/>
      <w:bookmarkEnd w:id="1039"/>
      <w:bookmarkEnd w:id="1040"/>
      <w:bookmarkEnd w:id="1041"/>
      <w:bookmarkEnd w:id="1042"/>
      <w:bookmarkEnd w:id="1043"/>
      <w:bookmarkEnd w:id="1044"/>
      <w:bookmarkEnd w:id="1045"/>
    </w:p>
    <w:p>
      <w:pPr>
        <w:spacing w:line="420" w:lineRule="exact"/>
        <w:ind w:firstLine="420" w:firstLineChars="200"/>
        <w:jc w:val="left"/>
      </w:pPr>
      <w:r>
        <w:rPr>
          <w:rFonts w:hint="eastAsia"/>
          <w:u w:val="single"/>
        </w:rPr>
        <w:t xml:space="preserve">                                         </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r>
        <w:rPr>
          <w:rFonts w:hint="eastAsia" w:ascii="宋体" w:hAnsi="宋体" w:cs="宋体"/>
          <w:sz w:val="21"/>
          <w:szCs w:val="21"/>
        </w:rPr>
        <w:t xml:space="preserve"> </w:t>
      </w:r>
      <w:bookmarkStart w:id="1046" w:name="_Toc24907"/>
      <w:bookmarkStart w:id="1047" w:name="_Toc2741"/>
      <w:bookmarkStart w:id="1048" w:name="_Toc23818"/>
      <w:bookmarkStart w:id="1049" w:name="_Toc26222"/>
      <w:bookmarkStart w:id="1050" w:name="_Toc29808"/>
      <w:bookmarkStart w:id="1051" w:name="_Toc1369"/>
      <w:bookmarkStart w:id="1052" w:name="_Toc15430"/>
      <w:bookmarkStart w:id="1053" w:name="_Toc30487"/>
      <w:bookmarkStart w:id="1054" w:name="_Toc9917"/>
      <w:bookmarkStart w:id="1055" w:name="_Toc11479"/>
      <w:bookmarkStart w:id="1056" w:name="_Toc22725"/>
      <w:r>
        <w:rPr>
          <w:rFonts w:hint="eastAsia" w:ascii="宋体" w:hAnsi="宋体" w:cs="宋体"/>
          <w:sz w:val="21"/>
          <w:szCs w:val="21"/>
        </w:rPr>
        <w:t>服务费用及支付方式</w:t>
      </w:r>
      <w:bookmarkEnd w:id="1046"/>
      <w:bookmarkEnd w:id="1047"/>
      <w:bookmarkEnd w:id="1048"/>
      <w:bookmarkEnd w:id="1049"/>
      <w:bookmarkEnd w:id="1050"/>
      <w:bookmarkEnd w:id="1051"/>
      <w:bookmarkEnd w:id="1052"/>
      <w:bookmarkEnd w:id="1053"/>
      <w:bookmarkEnd w:id="1054"/>
      <w:bookmarkEnd w:id="1055"/>
      <w:bookmarkEnd w:id="1056"/>
    </w:p>
    <w:p>
      <w:pPr>
        <w:spacing w:line="420" w:lineRule="exact"/>
        <w:ind w:firstLine="420" w:firstLineChars="200"/>
        <w:rPr>
          <w:rFonts w:ascii="宋体" w:hAnsi="宋体" w:cs="宋体"/>
          <w:szCs w:val="21"/>
        </w:rPr>
      </w:pPr>
      <w:r>
        <w:rPr>
          <w:rFonts w:hint="eastAsia" w:ascii="宋体" w:hAnsi="宋体" w:cs="宋体"/>
          <w:szCs w:val="21"/>
        </w:rPr>
        <w:t>(一)本项目服务费用由以下组成：</w:t>
      </w:r>
    </w:p>
    <w:p>
      <w:pPr>
        <w:spacing w:line="420" w:lineRule="exact"/>
        <w:ind w:firstLine="420" w:firstLineChars="200"/>
        <w:rPr>
          <w:rFonts w:ascii="宋体" w:hAnsi="宋体" w:cs="宋体"/>
          <w:szCs w:val="21"/>
          <w:u w:val="single"/>
        </w:rPr>
      </w:pPr>
      <w:r>
        <w:rPr>
          <w:rFonts w:hint="eastAsia" w:ascii="宋体" w:hAnsi="宋体" w:cs="宋体"/>
          <w:szCs w:val="21"/>
          <w:u w:val="single"/>
        </w:rPr>
        <w:t xml:space="preserve">                 </w:t>
      </w:r>
    </w:p>
    <w:p>
      <w:pPr>
        <w:spacing w:line="420" w:lineRule="exact"/>
        <w:ind w:firstLine="420" w:firstLineChars="200"/>
        <w:rPr>
          <w:rFonts w:ascii="宋体" w:hAnsi="宋体" w:cs="宋体"/>
          <w:szCs w:val="21"/>
        </w:rPr>
      </w:pPr>
      <w:r>
        <w:rPr>
          <w:rFonts w:hint="eastAsia" w:ascii="宋体" w:hAnsi="宋体" w:cs="宋体"/>
          <w:szCs w:val="21"/>
        </w:rPr>
        <w:t>(二）服务费付款方式：</w:t>
      </w:r>
      <w:r>
        <w:rPr>
          <w:rFonts w:hint="eastAsia" w:ascii="宋体" w:hAnsi="宋体" w:cs="宋体"/>
          <w:szCs w:val="21"/>
          <w:u w:val="single"/>
        </w:rPr>
        <w:t xml:space="preserve"> </w:t>
      </w:r>
      <w:r>
        <w:rPr>
          <w:rFonts w:hint="eastAsia" w:ascii="宋体" w:hAnsi="宋体" w:cs="宋体"/>
          <w:color w:val="000000"/>
          <w:kern w:val="0"/>
          <w:szCs w:val="21"/>
          <w:u w:val="single"/>
          <w:lang w:bidi="ar"/>
        </w:rPr>
        <w:t>签订合同后15个工作日内支付首款为合同暂定总金额</w:t>
      </w:r>
      <w:r>
        <w:rPr>
          <w:rFonts w:hint="eastAsia" w:ascii="宋体" w:hAnsi="宋体" w:cs="宋体"/>
          <w:color w:val="000000"/>
          <w:kern w:val="0"/>
          <w:szCs w:val="21"/>
          <w:u w:val="single"/>
          <w:lang w:val="en-US" w:eastAsia="zh-CN" w:bidi="ar"/>
        </w:rPr>
        <w:t>5</w:t>
      </w:r>
      <w:r>
        <w:rPr>
          <w:rFonts w:hint="eastAsia" w:ascii="宋体" w:hAnsi="宋体" w:cs="宋体"/>
          <w:color w:val="000000"/>
          <w:kern w:val="0"/>
          <w:szCs w:val="21"/>
          <w:u w:val="single"/>
          <w:lang w:bidi="ar"/>
        </w:rPr>
        <w:t>0%；待乙方完成本合同约定的所有检测工作，出具书面检测报告经甲方验收合格且乙方出具合法有效、金额准确的发票后15个工作日内，甲方向乙方支付尾款，尾款根据甲方确认的实际检测数进行结算，尾款=结算金额（成交单价*实际检测数）-首款。乙方应当在甲方每次付款前出具合法有效、金额准确的发票，乙方未提供符合甲方要求的发票或延期提供发票的，甲方有权延迟支付且不承担任何违约责任</w:t>
      </w:r>
      <w:r>
        <w:rPr>
          <w:rFonts w:hint="eastAsia" w:ascii="宋体" w:hAnsi="宋体" w:cs="宋体"/>
          <w:color w:val="000000"/>
          <w:kern w:val="0"/>
          <w:szCs w:val="21"/>
          <w:lang w:bidi="ar"/>
        </w:rPr>
        <w:t>。</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r>
        <w:rPr>
          <w:rFonts w:hint="eastAsia" w:ascii="宋体" w:hAnsi="宋体" w:cs="宋体"/>
          <w:sz w:val="21"/>
          <w:szCs w:val="21"/>
        </w:rPr>
        <w:t xml:space="preserve"> </w:t>
      </w:r>
      <w:bookmarkStart w:id="1057" w:name="_Toc172"/>
      <w:bookmarkStart w:id="1058" w:name="_Toc12337"/>
      <w:bookmarkStart w:id="1059" w:name="_Toc2882"/>
      <w:bookmarkStart w:id="1060" w:name="_Toc11904"/>
      <w:bookmarkStart w:id="1061" w:name="_Toc7582"/>
      <w:bookmarkStart w:id="1062" w:name="_Toc11430"/>
      <w:bookmarkStart w:id="1063" w:name="_Toc16889"/>
      <w:bookmarkStart w:id="1064" w:name="_Toc30389"/>
      <w:bookmarkStart w:id="1065" w:name="_Toc2487"/>
      <w:bookmarkStart w:id="1066" w:name="_Toc7531"/>
      <w:bookmarkStart w:id="1067" w:name="_Toc8921"/>
      <w:r>
        <w:rPr>
          <w:rFonts w:hint="eastAsia" w:ascii="宋体" w:hAnsi="宋体" w:cs="宋体"/>
          <w:sz w:val="21"/>
          <w:szCs w:val="21"/>
        </w:rPr>
        <w:t>知识产权</w:t>
      </w:r>
      <w:bookmarkEnd w:id="1057"/>
      <w:bookmarkEnd w:id="1058"/>
      <w:bookmarkEnd w:id="1059"/>
      <w:bookmarkEnd w:id="1060"/>
      <w:bookmarkEnd w:id="1061"/>
      <w:bookmarkEnd w:id="1062"/>
      <w:bookmarkEnd w:id="1063"/>
      <w:bookmarkEnd w:id="1064"/>
      <w:bookmarkEnd w:id="1065"/>
      <w:bookmarkEnd w:id="1066"/>
      <w:bookmarkEnd w:id="1067"/>
    </w:p>
    <w:p>
      <w:pPr>
        <w:spacing w:line="420" w:lineRule="exact"/>
        <w:ind w:firstLine="420" w:firstLineChars="200"/>
        <w:jc w:val="left"/>
        <w:rPr>
          <w:rFonts w:ascii="宋体" w:hAnsi="宋体" w:cs="宋体"/>
          <w:szCs w:val="21"/>
        </w:rPr>
      </w:pPr>
      <w:r>
        <w:rPr>
          <w:rFonts w:hint="eastAsia" w:ascii="宋体" w:hAnsi="宋体" w:cs="宋体"/>
          <w:szCs w:val="21"/>
        </w:rPr>
        <w:t>乙方应保证所提供的服务或其任何一部分均不会侵犯任何第三方的专利权、商标权或著作权，否则责任由乙方自行承担。</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r>
        <w:rPr>
          <w:rFonts w:hint="eastAsia" w:ascii="宋体" w:hAnsi="宋体" w:cs="宋体"/>
          <w:sz w:val="21"/>
          <w:szCs w:val="21"/>
        </w:rPr>
        <w:t xml:space="preserve"> </w:t>
      </w:r>
      <w:bookmarkStart w:id="1068" w:name="_Toc32477"/>
      <w:bookmarkStart w:id="1069" w:name="_Toc380"/>
      <w:bookmarkStart w:id="1070" w:name="_Toc12020"/>
      <w:bookmarkStart w:id="1071" w:name="_Toc20168"/>
      <w:bookmarkStart w:id="1072" w:name="_Toc14005"/>
      <w:bookmarkStart w:id="1073" w:name="_Toc21268"/>
      <w:bookmarkStart w:id="1074" w:name="_Toc29756"/>
      <w:bookmarkStart w:id="1075" w:name="_Toc9004"/>
      <w:bookmarkStart w:id="1076" w:name="_Toc3077"/>
      <w:bookmarkStart w:id="1077" w:name="_Toc5460"/>
      <w:bookmarkStart w:id="1078" w:name="_Toc13308"/>
      <w:r>
        <w:rPr>
          <w:rFonts w:hint="eastAsia" w:ascii="宋体" w:hAnsi="宋体" w:cs="宋体"/>
          <w:sz w:val="21"/>
          <w:szCs w:val="21"/>
        </w:rPr>
        <w:t>无产权瑕疵条款</w:t>
      </w:r>
      <w:bookmarkEnd w:id="1068"/>
      <w:bookmarkEnd w:id="1069"/>
      <w:bookmarkEnd w:id="1070"/>
      <w:bookmarkEnd w:id="1071"/>
      <w:bookmarkEnd w:id="1072"/>
      <w:bookmarkEnd w:id="1073"/>
      <w:bookmarkEnd w:id="1074"/>
      <w:bookmarkEnd w:id="1075"/>
      <w:bookmarkEnd w:id="1076"/>
      <w:bookmarkEnd w:id="1077"/>
      <w:bookmarkEnd w:id="1078"/>
    </w:p>
    <w:p>
      <w:pPr>
        <w:spacing w:line="420" w:lineRule="exact"/>
        <w:ind w:firstLine="420" w:firstLineChars="200"/>
        <w:rPr>
          <w:rFonts w:ascii="宋体" w:hAnsi="宋体" w:cs="宋体"/>
          <w:szCs w:val="21"/>
        </w:rPr>
      </w:pPr>
      <w:r>
        <w:rPr>
          <w:rFonts w:hint="eastAsia" w:ascii="宋体" w:hAnsi="宋体" w:cs="宋体"/>
          <w:szCs w:val="21"/>
        </w:rPr>
        <w:t>乙方保证所提供的服务的所有权完全属于乙方且无任何抵押、查封等产权瑕疵。如有产权瑕疵的，视为乙方违约。乙方应负担由此给甲方造成的一切损失。</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r>
        <w:rPr>
          <w:rFonts w:hint="eastAsia" w:ascii="宋体" w:hAnsi="宋体" w:cs="宋体"/>
          <w:sz w:val="21"/>
          <w:szCs w:val="21"/>
        </w:rPr>
        <w:t xml:space="preserve"> </w:t>
      </w:r>
      <w:bookmarkStart w:id="1079" w:name="_Toc21001"/>
      <w:bookmarkStart w:id="1080" w:name="_Toc17908"/>
      <w:bookmarkStart w:id="1081" w:name="_Toc11680"/>
      <w:bookmarkStart w:id="1082" w:name="_Toc14646"/>
      <w:bookmarkStart w:id="1083" w:name="_Toc948"/>
      <w:bookmarkStart w:id="1084" w:name="_Toc6047"/>
      <w:bookmarkStart w:id="1085" w:name="_Toc11967"/>
      <w:r>
        <w:rPr>
          <w:rFonts w:hint="eastAsia" w:ascii="宋体" w:hAnsi="宋体" w:cs="宋体"/>
          <w:sz w:val="21"/>
          <w:szCs w:val="21"/>
        </w:rPr>
        <w:t>交付及验收</w:t>
      </w:r>
      <w:bookmarkEnd w:id="1079"/>
      <w:bookmarkEnd w:id="1080"/>
      <w:bookmarkEnd w:id="1081"/>
      <w:bookmarkEnd w:id="1082"/>
      <w:bookmarkEnd w:id="1083"/>
      <w:bookmarkEnd w:id="1084"/>
      <w:bookmarkEnd w:id="1085"/>
    </w:p>
    <w:p>
      <w:pPr>
        <w:pStyle w:val="11"/>
        <w:spacing w:line="42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1、乙方在合同规定的期间内向甲方提交书面检测报告进行验收。甲方在收到报告书之日起</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日内完成验收。验收不合格的，乙方应当对在</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日内进行书面解释答复或整改。解释答复或整改完成后重新通知甲方进行验收，直至验收合格。经乙方解释答复或整改2次后仍不能通过甲方验收的，甲方有权解除合同并不再支付剩余费用。</w:t>
      </w:r>
    </w:p>
    <w:p>
      <w:pPr>
        <w:pStyle w:val="11"/>
        <w:spacing w:line="42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2、验收方案</w:t>
      </w:r>
    </w:p>
    <w:p>
      <w:pPr>
        <w:pStyle w:val="11"/>
        <w:spacing w:line="42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验收主体：</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 xml:space="preserve">  </w:t>
      </w:r>
    </w:p>
    <w:p>
      <w:pPr>
        <w:pStyle w:val="11"/>
        <w:spacing w:line="42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验收时间：</w:t>
      </w:r>
      <w:r>
        <w:rPr>
          <w:rFonts w:hint="eastAsia" w:ascii="宋体" w:hAnsi="宋体" w:eastAsia="宋体" w:cs="宋体"/>
          <w:kern w:val="0"/>
          <w:sz w:val="21"/>
          <w:szCs w:val="21"/>
          <w:u w:val="single"/>
        </w:rPr>
        <w:t xml:space="preserve">                  </w:t>
      </w:r>
    </w:p>
    <w:p>
      <w:pPr>
        <w:pStyle w:val="11"/>
        <w:spacing w:line="42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验收方式：</w:t>
      </w:r>
      <w:r>
        <w:rPr>
          <w:rFonts w:hint="eastAsia" w:ascii="宋体" w:hAnsi="宋体" w:eastAsia="宋体" w:cs="宋体"/>
          <w:kern w:val="0"/>
          <w:sz w:val="21"/>
          <w:szCs w:val="21"/>
          <w:u w:val="single"/>
        </w:rPr>
        <w:t xml:space="preserve">                  </w:t>
      </w:r>
    </w:p>
    <w:p>
      <w:pPr>
        <w:pStyle w:val="11"/>
        <w:spacing w:line="42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验收程序：</w:t>
      </w:r>
      <w:r>
        <w:rPr>
          <w:rFonts w:hint="eastAsia" w:ascii="宋体" w:hAnsi="宋体" w:eastAsia="宋体" w:cs="宋体"/>
          <w:kern w:val="0"/>
          <w:sz w:val="21"/>
          <w:szCs w:val="21"/>
          <w:u w:val="single"/>
        </w:rPr>
        <w:t xml:space="preserve">                  </w:t>
      </w:r>
    </w:p>
    <w:p>
      <w:pPr>
        <w:pStyle w:val="11"/>
        <w:spacing w:line="42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验收内容：</w:t>
      </w:r>
      <w:r>
        <w:rPr>
          <w:rFonts w:hint="eastAsia" w:ascii="宋体" w:hAnsi="宋体" w:eastAsia="宋体" w:cs="宋体"/>
          <w:kern w:val="0"/>
          <w:sz w:val="21"/>
          <w:szCs w:val="21"/>
          <w:u w:val="single"/>
        </w:rPr>
        <w:t xml:space="preserve">                  </w:t>
      </w:r>
    </w:p>
    <w:p>
      <w:pPr>
        <w:pStyle w:val="11"/>
        <w:spacing w:line="420" w:lineRule="exact"/>
        <w:ind w:firstLine="420" w:firstLineChars="200"/>
        <w:rPr>
          <w:rFonts w:ascii="宋体" w:hAnsi="宋体" w:eastAsia="宋体" w:cs="宋体"/>
          <w:kern w:val="0"/>
          <w:sz w:val="21"/>
          <w:szCs w:val="21"/>
        </w:rPr>
      </w:pPr>
      <w:r>
        <w:rPr>
          <w:rFonts w:hint="eastAsia" w:ascii="宋体" w:hAnsi="宋体" w:eastAsia="宋体" w:cs="宋体"/>
          <w:kern w:val="0"/>
          <w:sz w:val="21"/>
          <w:szCs w:val="21"/>
        </w:rPr>
        <w:t>验收标准：</w:t>
      </w:r>
      <w:r>
        <w:rPr>
          <w:rFonts w:hint="eastAsia" w:ascii="宋体" w:hAnsi="宋体" w:eastAsia="宋体" w:cs="宋体"/>
          <w:kern w:val="0"/>
          <w:sz w:val="21"/>
          <w:szCs w:val="21"/>
          <w:u w:val="single"/>
        </w:rPr>
        <w:t xml:space="preserve">                  </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bookmarkStart w:id="1086" w:name="_Toc4903"/>
      <w:bookmarkStart w:id="1087" w:name="_Toc18389"/>
      <w:bookmarkStart w:id="1088" w:name="_Toc10603"/>
      <w:r>
        <w:rPr>
          <w:rFonts w:hint="eastAsia" w:ascii="宋体" w:hAnsi="宋体" w:cs="宋体"/>
          <w:sz w:val="21"/>
          <w:szCs w:val="21"/>
        </w:rPr>
        <w:t xml:space="preserve"> </w:t>
      </w:r>
      <w:bookmarkStart w:id="1089" w:name="_Toc17941"/>
      <w:bookmarkStart w:id="1090" w:name="_Toc7656"/>
      <w:bookmarkStart w:id="1091" w:name="_Toc32599"/>
      <w:bookmarkStart w:id="1092" w:name="_Toc9386"/>
      <w:bookmarkStart w:id="1093" w:name="_Toc206"/>
      <w:bookmarkStart w:id="1094" w:name="_Toc14122"/>
      <w:bookmarkStart w:id="1095" w:name="_Toc22685"/>
      <w:r>
        <w:rPr>
          <w:rFonts w:hint="eastAsia" w:ascii="宋体" w:hAnsi="宋体" w:cs="宋体"/>
          <w:sz w:val="21"/>
          <w:szCs w:val="21"/>
        </w:rPr>
        <w:t>甲方的权利和义务</w:t>
      </w:r>
      <w:bookmarkEnd w:id="1086"/>
      <w:bookmarkEnd w:id="1087"/>
      <w:bookmarkEnd w:id="1088"/>
      <w:bookmarkEnd w:id="1089"/>
      <w:bookmarkEnd w:id="1090"/>
      <w:bookmarkEnd w:id="1091"/>
      <w:bookmarkEnd w:id="1092"/>
      <w:bookmarkEnd w:id="1093"/>
      <w:bookmarkEnd w:id="1094"/>
      <w:bookmarkEnd w:id="1095"/>
    </w:p>
    <w:p>
      <w:pPr>
        <w:spacing w:line="42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pacing w:val="-9"/>
          <w:szCs w:val="21"/>
        </w:rPr>
        <w:t>、甲方有权对合同规定范围内乙方的服务行为进行监督和检查，拥有监管权。有权定期核对乙方提供</w:t>
      </w:r>
      <w:r>
        <w:rPr>
          <w:rFonts w:hint="eastAsia" w:ascii="宋体" w:hAnsi="宋体" w:cs="宋体"/>
          <w:szCs w:val="21"/>
        </w:rPr>
        <w:t>服务所配备的人员数量。对甲方认为不合理的部分有权下达整改通知书，并要求乙方限期整改。</w:t>
      </w:r>
    </w:p>
    <w:p>
      <w:pPr>
        <w:spacing w:line="420" w:lineRule="exact"/>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、负责检查监督乙方管理工作的实施及制度的执行情况。</w:t>
      </w:r>
    </w:p>
    <w:p>
      <w:pPr>
        <w:spacing w:line="420" w:lineRule="exact"/>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、根据本合同规定，按时向乙方支付应付服务费用。</w:t>
      </w:r>
    </w:p>
    <w:p>
      <w:pPr>
        <w:tabs>
          <w:tab w:val="left" w:pos="1641"/>
        </w:tabs>
        <w:spacing w:line="420" w:lineRule="exact"/>
        <w:ind w:firstLine="420" w:firstLineChars="200"/>
        <w:jc w:val="left"/>
        <w:rPr>
          <w:rFonts w:ascii="宋体" w:hAnsi="宋体" w:cs="宋体"/>
          <w:spacing w:val="-18"/>
          <w:szCs w:val="21"/>
        </w:rPr>
      </w:pPr>
      <w:r>
        <w:rPr>
          <w:rFonts w:hint="eastAsia" w:ascii="宋体" w:hAnsi="宋体" w:cs="宋体"/>
          <w:szCs w:val="21"/>
          <w:lang w:val="en-US" w:eastAsia="zh-CN"/>
        </w:rPr>
        <w:t>4</w:t>
      </w:r>
      <w:r>
        <w:rPr>
          <w:rFonts w:hint="eastAsia" w:ascii="宋体" w:hAnsi="宋体" w:cs="宋体"/>
          <w:szCs w:val="21"/>
        </w:rPr>
        <w:t>、国家法律、法规所规定由甲方承担的其它责任</w:t>
      </w:r>
      <w:r>
        <w:rPr>
          <w:rFonts w:hint="eastAsia" w:ascii="宋体" w:hAnsi="宋体" w:cs="宋体"/>
          <w:spacing w:val="-18"/>
          <w:szCs w:val="21"/>
        </w:rPr>
        <w:t>。</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bookmarkStart w:id="1096" w:name="_Toc6852"/>
      <w:bookmarkStart w:id="1097" w:name="_Toc8368"/>
      <w:bookmarkStart w:id="1098" w:name="_Toc390"/>
      <w:r>
        <w:rPr>
          <w:rFonts w:hint="eastAsia" w:ascii="宋体" w:hAnsi="宋体" w:cs="宋体"/>
          <w:sz w:val="21"/>
          <w:szCs w:val="21"/>
        </w:rPr>
        <w:t xml:space="preserve"> </w:t>
      </w:r>
      <w:bookmarkStart w:id="1099" w:name="_Toc31551"/>
      <w:bookmarkStart w:id="1100" w:name="_Toc25500"/>
      <w:bookmarkStart w:id="1101" w:name="_Toc2694"/>
      <w:bookmarkStart w:id="1102" w:name="_Toc4399"/>
      <w:bookmarkStart w:id="1103" w:name="_Toc14144"/>
      <w:bookmarkStart w:id="1104" w:name="_Toc28764"/>
      <w:bookmarkStart w:id="1105" w:name="_Toc24420"/>
      <w:r>
        <w:rPr>
          <w:rFonts w:hint="eastAsia" w:ascii="宋体" w:hAnsi="宋体" w:cs="宋体"/>
          <w:sz w:val="21"/>
          <w:szCs w:val="21"/>
        </w:rPr>
        <w:t>乙方权利和义务</w:t>
      </w:r>
      <w:bookmarkEnd w:id="1096"/>
      <w:bookmarkEnd w:id="1097"/>
      <w:bookmarkEnd w:id="1098"/>
      <w:bookmarkEnd w:id="1099"/>
      <w:bookmarkEnd w:id="1100"/>
      <w:bookmarkEnd w:id="1101"/>
      <w:bookmarkEnd w:id="1102"/>
      <w:bookmarkEnd w:id="1103"/>
      <w:bookmarkEnd w:id="1104"/>
      <w:bookmarkEnd w:id="1105"/>
    </w:p>
    <w:p>
      <w:pPr>
        <w:spacing w:line="420" w:lineRule="exact"/>
        <w:ind w:firstLine="420" w:firstLineChars="200"/>
        <w:rPr>
          <w:rFonts w:ascii="宋体" w:hAnsi="宋体" w:cs="宋体"/>
          <w:szCs w:val="21"/>
        </w:rPr>
      </w:pPr>
      <w:r>
        <w:rPr>
          <w:rFonts w:hint="eastAsia" w:ascii="宋体" w:hAnsi="宋体" w:cs="宋体"/>
          <w:szCs w:val="21"/>
        </w:rPr>
        <w:t>1、对本合同规定的委托服务范围内的项目享有管理权及服务义务。</w:t>
      </w:r>
    </w:p>
    <w:p>
      <w:pPr>
        <w:spacing w:line="420" w:lineRule="exact"/>
        <w:ind w:firstLine="420" w:firstLineChars="200"/>
        <w:rPr>
          <w:rFonts w:ascii="宋体" w:hAnsi="宋体" w:cs="宋体"/>
          <w:szCs w:val="21"/>
        </w:rPr>
      </w:pPr>
      <w:r>
        <w:rPr>
          <w:rFonts w:hint="eastAsia" w:ascii="宋体" w:hAnsi="宋体" w:cs="宋体"/>
          <w:szCs w:val="21"/>
        </w:rPr>
        <w:t>2、根据本合同的规定向甲方收取相关服务费用，并有权在本项目管理范围内管理及合理使用。</w:t>
      </w:r>
    </w:p>
    <w:p>
      <w:pPr>
        <w:spacing w:line="420" w:lineRule="exact"/>
        <w:ind w:firstLine="420" w:firstLineChars="200"/>
        <w:rPr>
          <w:rFonts w:ascii="宋体" w:hAnsi="宋体" w:cs="宋体"/>
          <w:szCs w:val="21"/>
        </w:rPr>
      </w:pPr>
      <w:r>
        <w:rPr>
          <w:rFonts w:hint="eastAsia" w:ascii="宋体" w:hAnsi="宋体" w:cs="宋体"/>
          <w:szCs w:val="21"/>
        </w:rPr>
        <w:t>3、及时向甲方通告本项目服务范围内有关服务的重大事项，及时配合处理投诉。</w:t>
      </w:r>
    </w:p>
    <w:p>
      <w:pPr>
        <w:spacing w:line="420" w:lineRule="exact"/>
        <w:ind w:firstLine="420" w:firstLineChars="200"/>
        <w:rPr>
          <w:rFonts w:ascii="宋体" w:hAnsi="宋体" w:cs="宋体"/>
          <w:szCs w:val="21"/>
        </w:rPr>
      </w:pPr>
      <w:r>
        <w:rPr>
          <w:rFonts w:hint="eastAsia" w:ascii="宋体" w:hAnsi="宋体" w:cs="宋体"/>
          <w:szCs w:val="21"/>
        </w:rPr>
        <w:t>4、接受项目行业管理部门及政府有关部门的指导，接受甲方的监督。</w:t>
      </w:r>
    </w:p>
    <w:p>
      <w:pPr>
        <w:spacing w:line="42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、乙方应当保证其具有符合本项目检测要求的专业资质，不得将项目进行转委托。</w:t>
      </w:r>
    </w:p>
    <w:p>
      <w:pPr>
        <w:spacing w:line="420" w:lineRule="exact"/>
        <w:ind w:firstLine="420" w:firstLineChars="200"/>
        <w:rPr>
          <w:rFonts w:ascii="宋体" w:hAnsi="宋体" w:cs="宋体"/>
          <w:szCs w:val="21"/>
        </w:rPr>
      </w:pPr>
      <w:r>
        <w:rPr>
          <w:rFonts w:hint="eastAsia" w:ascii="宋体" w:hAnsi="宋体" w:cs="宋体"/>
          <w:szCs w:val="21"/>
        </w:rPr>
        <w:t>6、乙方对本次服务的合法、合规及数据、报告结果真实性负责。</w:t>
      </w:r>
    </w:p>
    <w:p>
      <w:pPr>
        <w:spacing w:line="420" w:lineRule="exact"/>
        <w:ind w:firstLine="420" w:firstLineChars="200"/>
        <w:rPr>
          <w:rFonts w:hint="eastAsia" w:ascii="宋体" w:hAnsi="宋体" w:cs="宋体"/>
          <w:szCs w:val="21"/>
        </w:rPr>
      </w:pPr>
      <w:r>
        <w:rPr>
          <w:rFonts w:hint="eastAsia" w:ascii="宋体" w:hAnsi="宋体" w:cs="宋体"/>
          <w:szCs w:val="21"/>
        </w:rPr>
        <w:t xml:space="preserve">7、乙方应指派专人（ </w:t>
      </w:r>
      <w:r>
        <w:rPr>
          <w:rFonts w:ascii="宋体" w:hAnsi="宋体" w:cs="宋体"/>
          <w:szCs w:val="21"/>
        </w:rPr>
        <w:t xml:space="preserve">            </w:t>
      </w:r>
      <w:r>
        <w:rPr>
          <w:rFonts w:hint="eastAsia" w:ascii="宋体" w:hAnsi="宋体" w:cs="宋体"/>
          <w:szCs w:val="21"/>
        </w:rPr>
        <w:t>）负责与甲方的沟通与接洽，统筹项目进度及团队分工，听取甲方的意见或建议。未经甲方书面同意，乙方不得更换该负责人。</w:t>
      </w:r>
    </w:p>
    <w:p>
      <w:pPr>
        <w:tabs>
          <w:tab w:val="left" w:pos="1641"/>
        </w:tabs>
        <w:spacing w:line="420" w:lineRule="exact"/>
        <w:ind w:firstLine="420" w:firstLineChars="200"/>
        <w:jc w:val="left"/>
        <w:rPr>
          <w:rFonts w:ascii="宋体" w:hAnsi="宋体" w:cs="宋体"/>
          <w:spacing w:val="-18"/>
          <w:szCs w:val="21"/>
        </w:rPr>
      </w:pPr>
      <w:r>
        <w:rPr>
          <w:rFonts w:ascii="宋体" w:hAnsi="宋体" w:cs="宋体"/>
          <w:szCs w:val="21"/>
        </w:rPr>
        <w:t>8</w:t>
      </w:r>
      <w:r>
        <w:rPr>
          <w:rFonts w:hint="eastAsia" w:ascii="宋体" w:hAnsi="宋体" w:cs="宋体"/>
          <w:szCs w:val="21"/>
        </w:rPr>
        <w:t>、国家法律、法规所规定由乙方承担的其它责任</w:t>
      </w:r>
      <w:r>
        <w:rPr>
          <w:rFonts w:hint="eastAsia" w:ascii="宋体" w:hAnsi="宋体" w:cs="宋体"/>
          <w:spacing w:val="-18"/>
          <w:szCs w:val="21"/>
        </w:rPr>
        <w:t>。</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bookmarkStart w:id="1106" w:name="_Toc22656"/>
      <w:bookmarkStart w:id="1107" w:name="_Toc8597"/>
      <w:bookmarkStart w:id="1108" w:name="_Toc29279"/>
      <w:r>
        <w:rPr>
          <w:rFonts w:hint="eastAsia" w:ascii="宋体" w:hAnsi="宋体" w:cs="宋体"/>
          <w:sz w:val="21"/>
          <w:szCs w:val="21"/>
        </w:rPr>
        <w:t xml:space="preserve"> </w:t>
      </w:r>
      <w:bookmarkStart w:id="1109" w:name="_Toc859"/>
      <w:bookmarkStart w:id="1110" w:name="_Toc24433"/>
      <w:bookmarkStart w:id="1111" w:name="_Toc8147"/>
      <w:bookmarkStart w:id="1112" w:name="_Toc28209"/>
      <w:bookmarkStart w:id="1113" w:name="_Toc6813"/>
      <w:bookmarkStart w:id="1114" w:name="_Toc1153"/>
      <w:bookmarkStart w:id="1115" w:name="_Toc26205"/>
      <w:r>
        <w:rPr>
          <w:rFonts w:hint="eastAsia" w:ascii="宋体" w:hAnsi="宋体" w:cs="宋体"/>
          <w:sz w:val="21"/>
          <w:szCs w:val="21"/>
        </w:rPr>
        <w:t>违约责任</w:t>
      </w:r>
      <w:bookmarkEnd w:id="1106"/>
      <w:bookmarkEnd w:id="1107"/>
      <w:bookmarkEnd w:id="1108"/>
      <w:bookmarkEnd w:id="1109"/>
      <w:bookmarkEnd w:id="1110"/>
      <w:bookmarkEnd w:id="1111"/>
      <w:bookmarkEnd w:id="1112"/>
      <w:bookmarkEnd w:id="1113"/>
      <w:bookmarkEnd w:id="1114"/>
      <w:bookmarkEnd w:id="1115"/>
    </w:p>
    <w:p>
      <w:pPr>
        <w:spacing w:line="420" w:lineRule="exact"/>
        <w:ind w:firstLine="420" w:firstLineChars="200"/>
        <w:rPr>
          <w:rFonts w:ascii="宋体" w:hAnsi="宋体" w:cs="宋体"/>
          <w:kern w:val="0"/>
          <w:szCs w:val="21"/>
        </w:rPr>
      </w:pPr>
      <w:r>
        <w:rPr>
          <w:rFonts w:hint="eastAsia" w:ascii="宋体" w:hAnsi="宋体" w:cs="宋体"/>
          <w:kern w:val="0"/>
          <w:szCs w:val="21"/>
        </w:rPr>
        <w:t>1、甲乙双方必须遵守本合同并执行合同中的各项规定，保证本合同的正常履行。</w:t>
      </w:r>
    </w:p>
    <w:p>
      <w:pPr>
        <w:spacing w:line="420" w:lineRule="exact"/>
        <w:ind w:firstLine="420" w:firstLineChars="200"/>
        <w:rPr>
          <w:rFonts w:ascii="宋体" w:hAnsi="宋体" w:cs="宋体"/>
          <w:kern w:val="0"/>
          <w:szCs w:val="21"/>
        </w:rPr>
      </w:pPr>
      <w:r>
        <w:rPr>
          <w:rFonts w:hint="eastAsia" w:ascii="宋体" w:hAnsi="宋体" w:cs="宋体"/>
          <w:kern w:val="0"/>
          <w:szCs w:val="21"/>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420" w:lineRule="exact"/>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、除本合同第十条</w:t>
      </w:r>
      <w:r>
        <w:rPr>
          <w:rFonts w:ascii="宋体" w:hAnsi="宋体" w:cs="宋体"/>
          <w:kern w:val="0"/>
          <w:szCs w:val="21"/>
        </w:rPr>
        <w:t>4</w:t>
      </w:r>
      <w:r>
        <w:rPr>
          <w:rFonts w:hint="eastAsia" w:ascii="宋体" w:hAnsi="宋体" w:cs="宋体"/>
          <w:kern w:val="0"/>
          <w:szCs w:val="21"/>
        </w:rPr>
        <w:t>款约定的情形外，乙方提供的服务不符合本合同规定的，每出现一次违约（合同涉及“日期”和“天数”的，每逾期一天或少一天，视为一次违约），乙方须向甲方支付本合同总价</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%的违约金并且按甲方要求进行整改，出现违约3次及以上或未按甲方要求整改的，甲方有权无条件解除本合同并要求乙方退还已收取的费用。</w:t>
      </w:r>
    </w:p>
    <w:p>
      <w:pPr>
        <w:spacing w:line="420" w:lineRule="exact"/>
        <w:ind w:firstLine="420" w:firstLineChars="200"/>
        <w:rPr>
          <w:rFonts w:ascii="宋体" w:hAnsi="宋体" w:cs="宋体"/>
          <w:kern w:val="0"/>
          <w:szCs w:val="21"/>
        </w:rPr>
      </w:pPr>
      <w:r>
        <w:rPr>
          <w:rFonts w:ascii="宋体" w:hAnsi="宋体" w:cs="宋体"/>
          <w:kern w:val="0"/>
          <w:szCs w:val="21"/>
        </w:rPr>
        <w:t>4</w:t>
      </w:r>
      <w:r>
        <w:rPr>
          <w:rFonts w:hint="eastAsia" w:ascii="宋体" w:hAnsi="宋体" w:cs="宋体"/>
          <w:kern w:val="0"/>
          <w:szCs w:val="21"/>
        </w:rPr>
        <w:t>、乙方提交检测报告给甲方验收，检测报告部分或全部验收未通过的，乙方应根据甲方要求限期进行整改或进行书面解释答复，整改或答复完成后由甲方再次验收，再次验收不通过或乙方拒绝进行整改或答复的，乙方应当支付合同总费用</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%的违约金。</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bookmarkStart w:id="1116" w:name="_Toc89"/>
      <w:bookmarkStart w:id="1117" w:name="_Toc22925"/>
      <w:bookmarkStart w:id="1118" w:name="_Toc9121"/>
      <w:r>
        <w:rPr>
          <w:rFonts w:hint="eastAsia" w:ascii="宋体" w:hAnsi="宋体" w:cs="宋体"/>
          <w:sz w:val="21"/>
          <w:szCs w:val="21"/>
        </w:rPr>
        <w:t xml:space="preserve"> </w:t>
      </w:r>
      <w:bookmarkStart w:id="1119" w:name="_Toc2616"/>
      <w:bookmarkStart w:id="1120" w:name="_Toc20515"/>
      <w:bookmarkStart w:id="1121" w:name="_Toc21467"/>
      <w:bookmarkStart w:id="1122" w:name="_Toc3811"/>
      <w:bookmarkStart w:id="1123" w:name="_Toc8549"/>
      <w:bookmarkStart w:id="1124" w:name="_Toc27345"/>
      <w:bookmarkStart w:id="1125" w:name="_Toc22614"/>
      <w:r>
        <w:rPr>
          <w:rFonts w:hint="eastAsia" w:ascii="宋体" w:hAnsi="宋体" w:cs="宋体"/>
          <w:sz w:val="21"/>
          <w:szCs w:val="21"/>
        </w:rPr>
        <w:t>不可抗力事件处理</w:t>
      </w:r>
      <w:bookmarkEnd w:id="1116"/>
      <w:bookmarkEnd w:id="1117"/>
      <w:bookmarkEnd w:id="1118"/>
      <w:bookmarkEnd w:id="1119"/>
      <w:bookmarkEnd w:id="1120"/>
      <w:bookmarkEnd w:id="1121"/>
      <w:bookmarkEnd w:id="1122"/>
      <w:bookmarkEnd w:id="1123"/>
      <w:bookmarkEnd w:id="1124"/>
      <w:bookmarkEnd w:id="1125"/>
    </w:p>
    <w:p>
      <w:pPr>
        <w:spacing w:line="420" w:lineRule="exact"/>
        <w:ind w:firstLine="420" w:firstLineChars="200"/>
        <w:rPr>
          <w:rFonts w:ascii="宋体" w:hAnsi="宋体" w:cs="宋体"/>
          <w:kern w:val="0"/>
          <w:szCs w:val="21"/>
        </w:rPr>
      </w:pPr>
      <w:r>
        <w:rPr>
          <w:rFonts w:hint="eastAsia" w:ascii="宋体" w:hAnsi="宋体" w:cs="宋体"/>
          <w:kern w:val="0"/>
          <w:szCs w:val="21"/>
        </w:rPr>
        <w:t>1、在合同有效期内，任何一方因不可抗力事件导致不能履行合同，则合同履行期可延长，其延长期与不可抗力影响期相同。</w:t>
      </w:r>
    </w:p>
    <w:p>
      <w:pPr>
        <w:spacing w:line="420" w:lineRule="exact"/>
        <w:ind w:firstLine="420" w:firstLineChars="200"/>
        <w:rPr>
          <w:rFonts w:ascii="宋体" w:hAnsi="宋体" w:cs="宋体"/>
          <w:kern w:val="0"/>
          <w:szCs w:val="21"/>
        </w:rPr>
      </w:pPr>
      <w:r>
        <w:rPr>
          <w:rFonts w:hint="eastAsia" w:ascii="宋体" w:hAnsi="宋体" w:cs="宋体"/>
          <w:kern w:val="0"/>
          <w:szCs w:val="21"/>
        </w:rPr>
        <w:t>2、不可抗力事件发生后，应立即通知对方，并寄送有关权威机构出具的证明。</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3、不可抗力事件延续</w:t>
      </w:r>
      <w:r>
        <w:rPr>
          <w:rFonts w:hint="eastAsia" w:ascii="宋体" w:hAnsi="宋体" w:cs="宋体"/>
          <w:kern w:val="0"/>
          <w:szCs w:val="21"/>
          <w:u w:val="single"/>
        </w:rPr>
        <w:t xml:space="preserve">    </w:t>
      </w:r>
      <w:r>
        <w:rPr>
          <w:rFonts w:hint="eastAsia" w:ascii="宋体" w:hAnsi="宋体" w:cs="宋体"/>
          <w:kern w:val="0"/>
          <w:szCs w:val="21"/>
        </w:rPr>
        <w:t>天以上，双方应通过友好协商，确定是否继续履行合同。</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bookmarkStart w:id="1126" w:name="_Toc18246"/>
      <w:bookmarkStart w:id="1127" w:name="_Toc32112"/>
      <w:bookmarkStart w:id="1128" w:name="_Toc26082"/>
      <w:r>
        <w:rPr>
          <w:rFonts w:hint="eastAsia" w:ascii="宋体" w:hAnsi="宋体" w:cs="宋体"/>
          <w:sz w:val="21"/>
          <w:szCs w:val="21"/>
        </w:rPr>
        <w:t xml:space="preserve"> </w:t>
      </w:r>
      <w:bookmarkStart w:id="1129" w:name="_Toc18689"/>
      <w:bookmarkStart w:id="1130" w:name="_Toc12395"/>
      <w:bookmarkStart w:id="1131" w:name="_Toc8098"/>
      <w:bookmarkStart w:id="1132" w:name="_Toc26475"/>
      <w:bookmarkStart w:id="1133" w:name="_Toc27544"/>
      <w:bookmarkStart w:id="1134" w:name="_Toc27094"/>
      <w:bookmarkStart w:id="1135" w:name="_Toc9057"/>
      <w:r>
        <w:rPr>
          <w:rFonts w:hint="eastAsia" w:ascii="宋体" w:hAnsi="宋体" w:cs="宋体"/>
          <w:sz w:val="21"/>
          <w:szCs w:val="21"/>
        </w:rPr>
        <w:t>解决合同纠纷的方式</w:t>
      </w:r>
      <w:bookmarkEnd w:id="1126"/>
      <w:bookmarkEnd w:id="1127"/>
      <w:bookmarkEnd w:id="1128"/>
      <w:bookmarkEnd w:id="1129"/>
      <w:bookmarkEnd w:id="1130"/>
      <w:bookmarkEnd w:id="1131"/>
      <w:bookmarkEnd w:id="1132"/>
      <w:bookmarkEnd w:id="1133"/>
      <w:bookmarkEnd w:id="1134"/>
      <w:bookmarkEnd w:id="1135"/>
    </w:p>
    <w:p>
      <w:pPr>
        <w:spacing w:line="420" w:lineRule="exact"/>
        <w:ind w:firstLine="420" w:firstLineChars="200"/>
        <w:rPr>
          <w:rFonts w:ascii="宋体" w:hAnsi="宋体" w:cs="宋体"/>
          <w:kern w:val="0"/>
          <w:szCs w:val="21"/>
        </w:rPr>
      </w:pPr>
      <w:r>
        <w:rPr>
          <w:rFonts w:hint="eastAsia" w:ascii="宋体" w:hAnsi="宋体" w:cs="宋体"/>
          <w:kern w:val="0"/>
          <w:szCs w:val="21"/>
        </w:rPr>
        <w:t>1、在执行本合同中发生的或与本合同有关的争端，双方应通过友好协商解决，经协商在</w:t>
      </w:r>
      <w:r>
        <w:rPr>
          <w:rFonts w:hint="eastAsia" w:ascii="宋体" w:hAnsi="宋体" w:cs="宋体"/>
          <w:kern w:val="0"/>
          <w:szCs w:val="21"/>
          <w:u w:val="single"/>
        </w:rPr>
        <w:t xml:space="preserve">  </w:t>
      </w:r>
      <w:r>
        <w:rPr>
          <w:rFonts w:hint="eastAsia" w:ascii="宋体" w:hAnsi="宋体" w:cs="宋体"/>
          <w:kern w:val="0"/>
          <w:szCs w:val="21"/>
        </w:rPr>
        <w:t>天内不能达成协议时，应提交成都仲裁委员会进行仲裁。</w:t>
      </w:r>
    </w:p>
    <w:p>
      <w:pPr>
        <w:spacing w:line="420" w:lineRule="exact"/>
        <w:ind w:firstLine="420" w:firstLineChars="200"/>
        <w:rPr>
          <w:rFonts w:ascii="宋体" w:hAnsi="宋体" w:cs="宋体"/>
          <w:kern w:val="0"/>
          <w:szCs w:val="21"/>
        </w:rPr>
      </w:pPr>
      <w:r>
        <w:rPr>
          <w:rFonts w:hint="eastAsia" w:ascii="宋体" w:hAnsi="宋体" w:cs="宋体"/>
          <w:kern w:val="0"/>
          <w:szCs w:val="21"/>
        </w:rPr>
        <w:t>2、仲裁裁决应为最终决定，并对双方具有约束力。</w:t>
      </w:r>
    </w:p>
    <w:p>
      <w:pPr>
        <w:spacing w:line="420" w:lineRule="exact"/>
        <w:ind w:firstLine="420" w:firstLineChars="200"/>
        <w:rPr>
          <w:rFonts w:ascii="宋体" w:hAnsi="宋体" w:cs="宋体"/>
          <w:kern w:val="0"/>
          <w:szCs w:val="21"/>
        </w:rPr>
      </w:pPr>
      <w:r>
        <w:rPr>
          <w:rFonts w:hint="eastAsia" w:ascii="宋体" w:hAnsi="宋体" w:cs="宋体"/>
          <w:kern w:val="0"/>
          <w:szCs w:val="21"/>
        </w:rPr>
        <w:t>3、除另有裁决外，仲裁费应由败诉方负担。</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4、在仲裁期间，除正在进行仲裁部分外，合同其他部分继续执行。</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bookmarkStart w:id="1136" w:name="_Toc9692"/>
      <w:bookmarkStart w:id="1137" w:name="_Toc32057"/>
      <w:bookmarkStart w:id="1138" w:name="_Toc25343"/>
      <w:r>
        <w:rPr>
          <w:rFonts w:hint="eastAsia" w:ascii="宋体" w:hAnsi="宋体" w:cs="宋体"/>
          <w:sz w:val="21"/>
          <w:szCs w:val="21"/>
        </w:rPr>
        <w:t xml:space="preserve"> </w:t>
      </w:r>
      <w:bookmarkStart w:id="1139" w:name="_Toc25227"/>
      <w:bookmarkStart w:id="1140" w:name="_Toc28137"/>
      <w:bookmarkStart w:id="1141" w:name="_Toc6790"/>
      <w:bookmarkStart w:id="1142" w:name="_Toc21095"/>
      <w:bookmarkStart w:id="1143" w:name="_Toc2508"/>
      <w:bookmarkStart w:id="1144" w:name="_Toc28698"/>
      <w:bookmarkStart w:id="1145" w:name="_Toc2828"/>
      <w:r>
        <w:rPr>
          <w:rFonts w:hint="eastAsia" w:ascii="宋体" w:hAnsi="宋体" w:cs="宋体"/>
          <w:sz w:val="21"/>
          <w:szCs w:val="21"/>
        </w:rPr>
        <w:t>合同生效及其他</w:t>
      </w:r>
      <w:bookmarkEnd w:id="1136"/>
      <w:bookmarkEnd w:id="1137"/>
      <w:bookmarkEnd w:id="1138"/>
      <w:bookmarkEnd w:id="1139"/>
      <w:bookmarkEnd w:id="1140"/>
      <w:bookmarkEnd w:id="1141"/>
      <w:bookmarkEnd w:id="1142"/>
      <w:bookmarkEnd w:id="1143"/>
      <w:bookmarkEnd w:id="1144"/>
      <w:bookmarkEnd w:id="1145"/>
    </w:p>
    <w:p>
      <w:pPr>
        <w:tabs>
          <w:tab w:val="left" w:pos="1641"/>
        </w:tabs>
        <w:spacing w:after="10" w:line="420" w:lineRule="exact"/>
        <w:ind w:firstLine="420" w:firstLineChars="200"/>
        <w:jc w:val="left"/>
        <w:rPr>
          <w:rFonts w:ascii="宋体" w:hAnsi="宋体" w:cs="宋体"/>
          <w:kern w:val="0"/>
          <w:szCs w:val="21"/>
        </w:rPr>
      </w:pPr>
      <w:r>
        <w:rPr>
          <w:rFonts w:hint="eastAsia" w:ascii="宋体" w:hAnsi="宋体" w:cs="宋体"/>
          <w:kern w:val="0"/>
          <w:szCs w:val="21"/>
        </w:rPr>
        <w:t>1、合同经双方法定代表人或授权委托代理人签字并加盖单位公章后生效。</w:t>
      </w:r>
    </w:p>
    <w:p>
      <w:pPr>
        <w:tabs>
          <w:tab w:val="left" w:pos="1641"/>
        </w:tabs>
        <w:spacing w:after="10" w:line="420" w:lineRule="exact"/>
        <w:ind w:firstLine="420" w:firstLineChars="200"/>
        <w:jc w:val="left"/>
        <w:rPr>
          <w:rFonts w:ascii="宋体" w:hAnsi="宋体" w:cs="宋体"/>
          <w:kern w:val="0"/>
          <w:szCs w:val="21"/>
        </w:rPr>
      </w:pPr>
      <w:r>
        <w:rPr>
          <w:rFonts w:hint="eastAsia" w:ascii="宋体" w:hAnsi="宋体" w:cs="宋体"/>
          <w:kern w:val="0"/>
          <w:szCs w:val="21"/>
        </w:rPr>
        <w:t>2、合同执行中涉及采购资金和采购内容修改或补充的，须经政府采购监管部门审批，并依法签书面补充协议报政府采购监督管理部门备案，方可作为主合同不可分割的一部分。</w:t>
      </w:r>
    </w:p>
    <w:p>
      <w:pPr>
        <w:tabs>
          <w:tab w:val="left" w:pos="1641"/>
        </w:tabs>
        <w:spacing w:after="10" w:line="420" w:lineRule="exact"/>
        <w:ind w:firstLine="420" w:firstLineChars="200"/>
        <w:jc w:val="left"/>
        <w:rPr>
          <w:rFonts w:ascii="宋体" w:hAnsi="宋体" w:cs="宋体"/>
          <w:kern w:val="0"/>
          <w:szCs w:val="21"/>
        </w:rPr>
      </w:pPr>
      <w:r>
        <w:rPr>
          <w:rFonts w:hint="eastAsia" w:ascii="宋体" w:hAnsi="宋体" w:cs="宋体"/>
          <w:kern w:val="0"/>
          <w:szCs w:val="21"/>
        </w:rPr>
        <w:t>3、本合同一式</w:t>
      </w:r>
      <w:r>
        <w:rPr>
          <w:rFonts w:hint="eastAsia" w:ascii="宋体" w:hAnsi="宋体" w:cs="宋体"/>
          <w:kern w:val="0"/>
          <w:szCs w:val="21"/>
          <w:u w:val="single"/>
        </w:rPr>
        <w:t xml:space="preserve">  </w:t>
      </w:r>
      <w:r>
        <w:rPr>
          <w:rFonts w:hint="eastAsia" w:ascii="宋体" w:hAnsi="宋体" w:cs="宋体"/>
          <w:kern w:val="0"/>
          <w:szCs w:val="21"/>
        </w:rPr>
        <w:t>份，自双方签章之日起起效。甲方</w:t>
      </w:r>
      <w:r>
        <w:rPr>
          <w:rFonts w:hint="eastAsia" w:ascii="宋体" w:hAnsi="宋体" w:cs="宋体"/>
          <w:kern w:val="0"/>
          <w:szCs w:val="21"/>
          <w:u w:val="single"/>
        </w:rPr>
        <w:t xml:space="preserve">   </w:t>
      </w:r>
      <w:r>
        <w:rPr>
          <w:rFonts w:hint="eastAsia" w:ascii="宋体" w:hAnsi="宋体" w:cs="宋体"/>
          <w:kern w:val="0"/>
          <w:szCs w:val="21"/>
        </w:rPr>
        <w:t>份，乙方</w:t>
      </w:r>
      <w:r>
        <w:rPr>
          <w:rFonts w:hint="eastAsia" w:ascii="宋体" w:hAnsi="宋体" w:cs="宋体"/>
          <w:kern w:val="0"/>
          <w:szCs w:val="21"/>
          <w:u w:val="single"/>
        </w:rPr>
        <w:t xml:space="preserve">   </w:t>
      </w:r>
      <w:r>
        <w:rPr>
          <w:rFonts w:hint="eastAsia" w:ascii="宋体" w:hAnsi="宋体" w:cs="宋体"/>
          <w:kern w:val="0"/>
          <w:szCs w:val="21"/>
        </w:rPr>
        <w:t>份，政府采购代理机构</w:t>
      </w:r>
      <w:r>
        <w:rPr>
          <w:rFonts w:hint="eastAsia" w:ascii="宋体" w:hAnsi="宋体" w:cs="宋体"/>
          <w:kern w:val="0"/>
          <w:szCs w:val="21"/>
          <w:u w:val="single"/>
        </w:rPr>
        <w:t xml:space="preserve">   </w:t>
      </w:r>
      <w:r>
        <w:rPr>
          <w:rFonts w:hint="eastAsia" w:ascii="宋体" w:hAnsi="宋体" w:cs="宋体"/>
          <w:kern w:val="0"/>
          <w:szCs w:val="21"/>
        </w:rPr>
        <w:t>份， 同级财政部门备案</w:t>
      </w:r>
      <w:r>
        <w:rPr>
          <w:rFonts w:hint="eastAsia" w:ascii="宋体" w:hAnsi="宋体" w:cs="宋体"/>
          <w:kern w:val="0"/>
          <w:szCs w:val="21"/>
          <w:u w:val="single"/>
        </w:rPr>
        <w:t xml:space="preserve">   </w:t>
      </w:r>
      <w:r>
        <w:rPr>
          <w:rFonts w:hint="eastAsia" w:ascii="宋体" w:hAnsi="宋体" w:cs="宋体"/>
          <w:kern w:val="0"/>
          <w:szCs w:val="21"/>
        </w:rPr>
        <w:t>份，具有同等法律效力。</w:t>
      </w:r>
    </w:p>
    <w:p>
      <w:pPr>
        <w:tabs>
          <w:tab w:val="left" w:pos="1641"/>
        </w:tabs>
        <w:spacing w:after="10" w:line="420" w:lineRule="exact"/>
        <w:ind w:firstLine="420" w:firstLineChars="200"/>
        <w:jc w:val="left"/>
        <w:rPr>
          <w:rFonts w:ascii="宋体" w:hAnsi="宋体" w:cs="宋体"/>
          <w:kern w:val="0"/>
          <w:szCs w:val="21"/>
        </w:rPr>
      </w:pPr>
      <w:r>
        <w:rPr>
          <w:rFonts w:hint="eastAsia" w:ascii="宋体" w:hAnsi="宋体" w:cs="宋体"/>
          <w:kern w:val="0"/>
          <w:szCs w:val="21"/>
        </w:rPr>
        <w:t>4、本合同载明的联系人、地址、电话、电子邮箱等均为各方联系的固定方式，一方联系方式有变化应在变化后3日内书面通知对方，否则应承担由此引发的包括但不限于视为送达等一切法律后果。司法机关或仲裁机构亦可按本款约定的地址、联系方式向受送达方发送相关诉讼文书。</w:t>
      </w:r>
    </w:p>
    <w:p>
      <w:pPr>
        <w:pStyle w:val="4"/>
        <w:keepNext w:val="0"/>
        <w:keepLines w:val="0"/>
        <w:numPr>
          <w:ilvl w:val="0"/>
          <w:numId w:val="5"/>
        </w:numPr>
        <w:tabs>
          <w:tab w:val="left" w:pos="1641"/>
        </w:tabs>
        <w:spacing w:before="0" w:after="10" w:line="420" w:lineRule="exact"/>
        <w:ind w:firstLine="422" w:firstLineChars="200"/>
        <w:jc w:val="left"/>
        <w:rPr>
          <w:rFonts w:ascii="宋体" w:hAnsi="宋体" w:cs="宋体"/>
          <w:sz w:val="21"/>
          <w:szCs w:val="21"/>
        </w:rPr>
      </w:pPr>
      <w:r>
        <w:rPr>
          <w:rFonts w:hint="eastAsia" w:ascii="宋体" w:hAnsi="宋体" w:cs="宋体"/>
          <w:sz w:val="21"/>
          <w:szCs w:val="21"/>
        </w:rPr>
        <w:t xml:space="preserve"> </w:t>
      </w:r>
      <w:bookmarkStart w:id="1146" w:name="_Toc5316"/>
      <w:bookmarkStart w:id="1147" w:name="_Toc14094"/>
      <w:bookmarkStart w:id="1148" w:name="_Toc31266"/>
      <w:bookmarkStart w:id="1149" w:name="_Toc25639"/>
      <w:bookmarkStart w:id="1150" w:name="_Toc13591"/>
      <w:bookmarkStart w:id="1151" w:name="_Toc3487"/>
      <w:bookmarkStart w:id="1152" w:name="_Toc1637"/>
      <w:bookmarkStart w:id="1153" w:name="_Toc12149"/>
      <w:bookmarkStart w:id="1154" w:name="_Toc18374"/>
      <w:bookmarkStart w:id="1155" w:name="_Toc13978"/>
      <w:r>
        <w:rPr>
          <w:rFonts w:hint="eastAsia" w:ascii="宋体" w:hAnsi="宋体" w:cs="宋体"/>
          <w:sz w:val="21"/>
          <w:szCs w:val="21"/>
        </w:rPr>
        <w:t>附件</w:t>
      </w:r>
      <w:bookmarkEnd w:id="1146"/>
      <w:bookmarkEnd w:id="1147"/>
      <w:bookmarkEnd w:id="1148"/>
      <w:bookmarkEnd w:id="1149"/>
      <w:bookmarkEnd w:id="1150"/>
      <w:bookmarkEnd w:id="1151"/>
      <w:bookmarkEnd w:id="1152"/>
      <w:bookmarkEnd w:id="1153"/>
      <w:bookmarkEnd w:id="1154"/>
      <w:bookmarkEnd w:id="1155"/>
    </w:p>
    <w:p>
      <w:pPr>
        <w:spacing w:line="420" w:lineRule="exact"/>
        <w:ind w:firstLine="420" w:firstLineChars="200"/>
        <w:rPr>
          <w:rFonts w:ascii="宋体" w:hAnsi="宋体" w:cs="宋体"/>
          <w:szCs w:val="21"/>
        </w:rPr>
      </w:pPr>
      <w:r>
        <w:rPr>
          <w:rFonts w:hint="eastAsia" w:ascii="宋体" w:hAnsi="宋体" w:cs="宋体"/>
          <w:szCs w:val="21"/>
        </w:rPr>
        <w:t>1、项目竞争性磋商文件</w:t>
      </w:r>
    </w:p>
    <w:p>
      <w:pPr>
        <w:spacing w:line="420" w:lineRule="exact"/>
        <w:ind w:firstLine="420" w:firstLineChars="200"/>
        <w:rPr>
          <w:rFonts w:ascii="宋体" w:hAnsi="宋体" w:cs="宋体"/>
          <w:szCs w:val="21"/>
        </w:rPr>
      </w:pPr>
      <w:r>
        <w:rPr>
          <w:rFonts w:hint="eastAsia" w:ascii="宋体" w:hAnsi="宋体" w:cs="宋体"/>
          <w:szCs w:val="21"/>
        </w:rPr>
        <w:t>2、项目修改澄清文件</w:t>
      </w:r>
    </w:p>
    <w:p>
      <w:pPr>
        <w:spacing w:line="420" w:lineRule="exact"/>
        <w:ind w:firstLine="420" w:firstLineChars="200"/>
        <w:rPr>
          <w:rFonts w:ascii="宋体" w:hAnsi="宋体" w:cs="宋体"/>
          <w:szCs w:val="21"/>
        </w:rPr>
      </w:pPr>
      <w:r>
        <w:rPr>
          <w:rFonts w:hint="eastAsia" w:ascii="宋体" w:hAnsi="宋体" w:cs="宋体"/>
          <w:szCs w:val="21"/>
        </w:rPr>
        <w:t>3、项目响应文件</w:t>
      </w:r>
    </w:p>
    <w:p>
      <w:pPr>
        <w:spacing w:line="420" w:lineRule="exact"/>
        <w:ind w:firstLine="420" w:firstLineChars="200"/>
        <w:rPr>
          <w:rFonts w:ascii="宋体" w:hAnsi="宋体" w:cs="宋体"/>
          <w:szCs w:val="21"/>
        </w:rPr>
      </w:pPr>
      <w:r>
        <w:rPr>
          <w:rFonts w:hint="eastAsia" w:ascii="宋体" w:hAnsi="宋体" w:cs="宋体"/>
          <w:szCs w:val="21"/>
        </w:rPr>
        <w:t>4、成交通知书</w:t>
      </w:r>
    </w:p>
    <w:p>
      <w:pPr>
        <w:spacing w:line="420" w:lineRule="exact"/>
        <w:ind w:firstLine="420" w:firstLineChars="200"/>
        <w:rPr>
          <w:rFonts w:ascii="宋体" w:hAnsi="宋体" w:cs="宋体"/>
          <w:szCs w:val="21"/>
        </w:rPr>
      </w:pPr>
      <w:r>
        <w:rPr>
          <w:rFonts w:hint="eastAsia" w:ascii="宋体" w:hAnsi="宋体" w:cs="宋体"/>
          <w:szCs w:val="21"/>
        </w:rPr>
        <w:t>5、其他</w:t>
      </w:r>
    </w:p>
    <w:p>
      <w:pPr>
        <w:tabs>
          <w:tab w:val="left" w:pos="1679"/>
          <w:tab w:val="left" w:pos="4739"/>
          <w:tab w:val="left" w:pos="5819"/>
        </w:tabs>
        <w:spacing w:line="420" w:lineRule="exact"/>
        <w:ind w:firstLine="420" w:firstLineChars="200"/>
        <w:rPr>
          <w:rFonts w:ascii="宋体" w:hAnsi="宋体" w:cs="宋体"/>
          <w:szCs w:val="21"/>
        </w:rPr>
      </w:pPr>
      <w:r>
        <w:rPr>
          <w:rFonts w:hint="eastAsia" w:ascii="宋体" w:hAnsi="宋体" w:cs="宋体"/>
          <w:szCs w:val="21"/>
        </w:rPr>
        <w:t>甲方：</w:t>
      </w:r>
      <w:r>
        <w:rPr>
          <w:rFonts w:hint="eastAsia" w:ascii="宋体" w:hAnsi="宋体" w:cs="宋体"/>
          <w:szCs w:val="21"/>
        </w:rPr>
        <w:tab/>
      </w:r>
      <w:r>
        <w:rPr>
          <w:rFonts w:hint="eastAsia" w:ascii="宋体" w:hAnsi="宋体" w:cs="宋体"/>
          <w:szCs w:val="21"/>
        </w:rPr>
        <w:t>（盖章）</w:t>
      </w:r>
      <w:r>
        <w:rPr>
          <w:rFonts w:hint="eastAsia" w:ascii="宋体" w:hAnsi="宋体" w:cs="宋体"/>
          <w:szCs w:val="21"/>
        </w:rPr>
        <w:tab/>
      </w:r>
      <w:r>
        <w:rPr>
          <w:rFonts w:hint="eastAsia" w:ascii="宋体" w:hAnsi="宋体" w:cs="宋体"/>
          <w:szCs w:val="21"/>
        </w:rPr>
        <w:t>乙方：</w:t>
      </w:r>
      <w:r>
        <w:rPr>
          <w:rFonts w:hint="eastAsia" w:ascii="宋体" w:hAnsi="宋体" w:cs="宋体"/>
          <w:szCs w:val="21"/>
        </w:rPr>
        <w:tab/>
      </w:r>
      <w:r>
        <w:rPr>
          <w:rFonts w:hint="eastAsia" w:ascii="宋体" w:hAnsi="宋体" w:cs="宋体"/>
          <w:szCs w:val="21"/>
        </w:rPr>
        <w:t>（盖章）</w:t>
      </w:r>
    </w:p>
    <w:p>
      <w:pPr>
        <w:tabs>
          <w:tab w:val="left" w:pos="1319"/>
          <w:tab w:val="left" w:pos="4799"/>
          <w:tab w:val="left" w:pos="5519"/>
        </w:tabs>
        <w:spacing w:line="420" w:lineRule="exact"/>
        <w:ind w:firstLine="420" w:firstLineChars="200"/>
        <w:rPr>
          <w:rFonts w:ascii="宋体" w:hAnsi="宋体" w:cs="宋体"/>
          <w:spacing w:val="-9"/>
          <w:szCs w:val="21"/>
        </w:rPr>
      </w:pPr>
      <w:r>
        <w:rPr>
          <w:rFonts w:hint="eastAsia" w:ascii="宋体" w:hAnsi="宋体" w:cs="宋体"/>
          <w:szCs w:val="21"/>
        </w:rPr>
        <w:t>法定代表人（授权代表）：</w:t>
      </w:r>
      <w:r>
        <w:rPr>
          <w:rFonts w:hint="eastAsia" w:ascii="宋体" w:hAnsi="宋体" w:cs="宋体"/>
          <w:szCs w:val="21"/>
        </w:rPr>
        <w:tab/>
      </w:r>
      <w:r>
        <w:rPr>
          <w:rFonts w:hint="eastAsia" w:ascii="宋体" w:hAnsi="宋体" w:cs="宋体"/>
          <w:szCs w:val="21"/>
        </w:rPr>
        <w:t>法定代表人（授权代表</w:t>
      </w:r>
      <w:r>
        <w:rPr>
          <w:rFonts w:hint="eastAsia" w:ascii="宋体" w:hAnsi="宋体" w:cs="宋体"/>
          <w:spacing w:val="-9"/>
          <w:szCs w:val="21"/>
        </w:rPr>
        <w:t>）：</w:t>
      </w:r>
    </w:p>
    <w:p>
      <w:pPr>
        <w:tabs>
          <w:tab w:val="left" w:pos="1319"/>
          <w:tab w:val="left" w:pos="4799"/>
          <w:tab w:val="left" w:pos="5519"/>
        </w:tabs>
        <w:spacing w:line="420" w:lineRule="exact"/>
        <w:ind w:firstLine="420" w:firstLineChars="200"/>
        <w:rPr>
          <w:rFonts w:ascii="宋体" w:hAnsi="宋体" w:cs="宋体"/>
          <w:szCs w:val="21"/>
        </w:rPr>
      </w:pPr>
      <w:r>
        <w:rPr>
          <w:rFonts w:hint="eastAsia" w:ascii="宋体" w:hAnsi="宋体" w:cs="宋体"/>
          <w:szCs w:val="21"/>
        </w:rPr>
        <w:t>地</w:t>
      </w:r>
      <w:r>
        <w:rPr>
          <w:rFonts w:hint="eastAsia" w:ascii="宋体" w:hAnsi="宋体" w:cs="宋体"/>
          <w:szCs w:val="21"/>
        </w:rPr>
        <w:tab/>
      </w:r>
      <w:r>
        <w:rPr>
          <w:rFonts w:hint="eastAsia" w:ascii="宋体" w:hAnsi="宋体" w:cs="宋体"/>
          <w:szCs w:val="21"/>
        </w:rPr>
        <w:t>址：</w:t>
      </w:r>
      <w:r>
        <w:rPr>
          <w:rFonts w:hint="eastAsia" w:ascii="宋体" w:hAnsi="宋体" w:cs="宋体"/>
          <w:szCs w:val="21"/>
        </w:rPr>
        <w:tab/>
      </w:r>
      <w:r>
        <w:rPr>
          <w:rFonts w:hint="eastAsia" w:ascii="宋体" w:hAnsi="宋体" w:cs="宋体"/>
          <w:szCs w:val="21"/>
        </w:rPr>
        <w:t>地</w:t>
      </w:r>
      <w:r>
        <w:rPr>
          <w:rFonts w:hint="eastAsia" w:ascii="宋体" w:hAnsi="宋体" w:cs="宋体"/>
          <w:szCs w:val="21"/>
        </w:rPr>
        <w:tab/>
      </w:r>
      <w:r>
        <w:rPr>
          <w:rFonts w:hint="eastAsia" w:ascii="宋体" w:hAnsi="宋体" w:cs="宋体"/>
          <w:szCs w:val="21"/>
        </w:rPr>
        <w:t>址：</w:t>
      </w:r>
    </w:p>
    <w:p>
      <w:pPr>
        <w:tabs>
          <w:tab w:val="left" w:pos="4799"/>
        </w:tabs>
        <w:spacing w:line="420" w:lineRule="exact"/>
        <w:ind w:firstLine="420" w:firstLineChars="200"/>
        <w:rPr>
          <w:rFonts w:ascii="宋体" w:hAnsi="宋体" w:cs="宋体"/>
          <w:szCs w:val="21"/>
        </w:rPr>
      </w:pPr>
      <w:r>
        <w:rPr>
          <w:rFonts w:hint="eastAsia" w:ascii="宋体" w:hAnsi="宋体" w:cs="宋体"/>
          <w:szCs w:val="21"/>
        </w:rPr>
        <w:t>开户银行：</w:t>
      </w:r>
      <w:r>
        <w:rPr>
          <w:rFonts w:hint="eastAsia" w:ascii="宋体" w:hAnsi="宋体" w:cs="宋体"/>
          <w:szCs w:val="21"/>
        </w:rPr>
        <w:tab/>
      </w:r>
      <w:r>
        <w:rPr>
          <w:rFonts w:hint="eastAsia" w:ascii="宋体" w:hAnsi="宋体" w:cs="宋体"/>
          <w:szCs w:val="21"/>
        </w:rPr>
        <w:t>开户银行：</w:t>
      </w:r>
    </w:p>
    <w:p>
      <w:pPr>
        <w:tabs>
          <w:tab w:val="left" w:pos="4799"/>
        </w:tabs>
        <w:spacing w:line="420" w:lineRule="exact"/>
        <w:ind w:firstLine="420" w:firstLineChars="200"/>
        <w:rPr>
          <w:rFonts w:ascii="宋体" w:hAnsi="宋体" w:cs="宋体"/>
          <w:szCs w:val="21"/>
        </w:rPr>
      </w:pPr>
      <w:r>
        <w:rPr>
          <w:rFonts w:hint="eastAsia" w:ascii="宋体" w:hAnsi="宋体" w:cs="宋体"/>
          <w:szCs w:val="21"/>
        </w:rPr>
        <w:t>账号：</w:t>
      </w:r>
      <w:r>
        <w:rPr>
          <w:rFonts w:hint="eastAsia" w:ascii="宋体" w:hAnsi="宋体" w:cs="宋体"/>
          <w:szCs w:val="21"/>
        </w:rPr>
        <w:tab/>
      </w:r>
      <w:r>
        <w:rPr>
          <w:rFonts w:hint="eastAsia" w:ascii="宋体" w:hAnsi="宋体" w:cs="宋体"/>
          <w:szCs w:val="21"/>
        </w:rPr>
        <w:t>账号：</w:t>
      </w:r>
    </w:p>
    <w:p>
      <w:pPr>
        <w:tabs>
          <w:tab w:val="left" w:pos="1319"/>
          <w:tab w:val="left" w:pos="4799"/>
          <w:tab w:val="left" w:pos="5519"/>
        </w:tabs>
        <w:spacing w:line="420" w:lineRule="exact"/>
        <w:ind w:firstLine="420" w:firstLineChars="200"/>
        <w:rPr>
          <w:rFonts w:ascii="宋体" w:hAnsi="宋体" w:cs="宋体"/>
          <w:szCs w:val="21"/>
        </w:rPr>
      </w:pPr>
      <w:r>
        <w:rPr>
          <w:rFonts w:hint="eastAsia" w:ascii="宋体" w:hAnsi="宋体" w:cs="宋体"/>
          <w:szCs w:val="21"/>
        </w:rPr>
        <w:t>电</w:t>
      </w:r>
      <w:r>
        <w:rPr>
          <w:rFonts w:hint="eastAsia" w:ascii="宋体" w:hAnsi="宋体" w:cs="宋体"/>
          <w:szCs w:val="21"/>
        </w:rPr>
        <w:tab/>
      </w:r>
      <w:r>
        <w:rPr>
          <w:rFonts w:hint="eastAsia" w:ascii="宋体" w:hAnsi="宋体" w:cs="宋体"/>
          <w:szCs w:val="21"/>
        </w:rPr>
        <w:t>话：</w:t>
      </w:r>
      <w:r>
        <w:rPr>
          <w:rFonts w:hint="eastAsia" w:ascii="宋体" w:hAnsi="宋体" w:cs="宋体"/>
          <w:szCs w:val="21"/>
        </w:rPr>
        <w:tab/>
      </w:r>
      <w:r>
        <w:rPr>
          <w:rFonts w:hint="eastAsia" w:ascii="宋体" w:hAnsi="宋体" w:cs="宋体"/>
          <w:szCs w:val="21"/>
        </w:rPr>
        <w:t>电</w:t>
      </w:r>
      <w:r>
        <w:rPr>
          <w:rFonts w:hint="eastAsia" w:ascii="宋体" w:hAnsi="宋体" w:cs="宋体"/>
          <w:szCs w:val="21"/>
        </w:rPr>
        <w:tab/>
      </w:r>
      <w:r>
        <w:rPr>
          <w:rFonts w:hint="eastAsia" w:ascii="宋体" w:hAnsi="宋体" w:cs="宋体"/>
          <w:szCs w:val="21"/>
        </w:rPr>
        <w:t>话：</w:t>
      </w:r>
    </w:p>
    <w:p>
      <w:pPr>
        <w:tabs>
          <w:tab w:val="left" w:pos="1319"/>
          <w:tab w:val="left" w:pos="4799"/>
          <w:tab w:val="left" w:pos="5519"/>
        </w:tabs>
        <w:spacing w:line="420" w:lineRule="exact"/>
        <w:ind w:firstLine="420" w:firstLineChars="200"/>
        <w:rPr>
          <w:rFonts w:ascii="宋体" w:hAnsi="宋体" w:cs="宋体"/>
          <w:szCs w:val="21"/>
        </w:rPr>
      </w:pPr>
      <w:r>
        <w:rPr>
          <w:rFonts w:hint="eastAsia" w:ascii="宋体" w:hAnsi="宋体" w:cs="宋体"/>
          <w:szCs w:val="21"/>
        </w:rPr>
        <w:t>传</w:t>
      </w:r>
      <w:r>
        <w:rPr>
          <w:rFonts w:hint="eastAsia" w:ascii="宋体" w:hAnsi="宋体" w:cs="宋体"/>
          <w:szCs w:val="21"/>
        </w:rPr>
        <w:tab/>
      </w:r>
      <w:r>
        <w:rPr>
          <w:rFonts w:hint="eastAsia" w:ascii="宋体" w:hAnsi="宋体" w:cs="宋体"/>
          <w:szCs w:val="21"/>
        </w:rPr>
        <w:t>真：</w:t>
      </w:r>
      <w:r>
        <w:rPr>
          <w:rFonts w:hint="eastAsia" w:ascii="宋体" w:hAnsi="宋体" w:cs="宋体"/>
          <w:szCs w:val="21"/>
        </w:rPr>
        <w:tab/>
      </w:r>
      <w:r>
        <w:rPr>
          <w:rFonts w:hint="eastAsia" w:ascii="宋体" w:hAnsi="宋体" w:cs="宋体"/>
          <w:szCs w:val="21"/>
        </w:rPr>
        <w:t>传</w:t>
      </w:r>
      <w:r>
        <w:rPr>
          <w:rFonts w:hint="eastAsia" w:ascii="宋体" w:hAnsi="宋体" w:cs="宋体"/>
          <w:szCs w:val="21"/>
        </w:rPr>
        <w:tab/>
      </w:r>
      <w:r>
        <w:rPr>
          <w:rFonts w:hint="eastAsia" w:ascii="宋体" w:hAnsi="宋体" w:cs="宋体"/>
          <w:szCs w:val="21"/>
        </w:rPr>
        <w:t>真：</w:t>
      </w:r>
    </w:p>
    <w:p>
      <w:pPr>
        <w:tabs>
          <w:tab w:val="left" w:pos="4319"/>
        </w:tabs>
        <w:spacing w:line="420" w:lineRule="exact"/>
        <w:ind w:firstLine="420" w:firstLineChars="200"/>
        <w:jc w:val="left"/>
      </w:pPr>
      <w:r>
        <w:rPr>
          <w:rFonts w:hint="eastAsia" w:ascii="宋体" w:hAnsi="宋体" w:cs="宋体"/>
          <w:szCs w:val="21"/>
        </w:rPr>
        <w:t>签约日期：</w:t>
      </w:r>
      <w:r>
        <w:rPr>
          <w:rFonts w:hint="eastAsia" w:ascii="宋体" w:hAnsi="宋体" w:cs="宋体"/>
          <w:spacing w:val="-1"/>
          <w:szCs w:val="21"/>
        </w:rPr>
        <w:t xml:space="preserve"> </w:t>
      </w:r>
      <w:r>
        <w:rPr>
          <w:rFonts w:hint="eastAsia" w:ascii="宋体" w:hAnsi="宋体" w:cs="宋体"/>
          <w:szCs w:val="21"/>
        </w:rPr>
        <w:t>年</w:t>
      </w:r>
      <w:r>
        <w:rPr>
          <w:rFonts w:hint="eastAsia" w:ascii="宋体" w:hAnsi="宋体" w:cs="宋体"/>
          <w:spacing w:val="-61"/>
          <w:szCs w:val="21"/>
        </w:rPr>
        <w:t xml:space="preserve"> </w:t>
      </w:r>
      <w:r>
        <w:rPr>
          <w:rFonts w:hint="eastAsia" w:ascii="宋体" w:hAnsi="宋体" w:cs="宋体"/>
          <w:szCs w:val="21"/>
        </w:rPr>
        <w:t xml:space="preserve">   月</w:t>
      </w:r>
      <w:r>
        <w:rPr>
          <w:rFonts w:hint="eastAsia" w:ascii="宋体" w:hAnsi="宋体" w:cs="宋体"/>
          <w:spacing w:val="-61"/>
          <w:szCs w:val="21"/>
        </w:rPr>
        <w:t xml:space="preserve"> </w:t>
      </w:r>
      <w:r>
        <w:rPr>
          <w:rFonts w:hint="eastAsia" w:ascii="宋体" w:hAnsi="宋体" w:cs="宋体"/>
          <w:szCs w:val="21"/>
        </w:rPr>
        <w:t xml:space="preserve">  日</w:t>
      </w:r>
      <w:r>
        <w:rPr>
          <w:rFonts w:hint="eastAsia" w:ascii="宋体" w:hAnsi="宋体" w:cs="宋体"/>
          <w:szCs w:val="21"/>
        </w:rPr>
        <w:tab/>
      </w:r>
      <w:r>
        <w:rPr>
          <w:rFonts w:hint="eastAsia" w:ascii="宋体" w:hAnsi="宋体" w:cs="宋体"/>
          <w:szCs w:val="21"/>
        </w:rPr>
        <w:t xml:space="preserve">    签约日期：  年</w:t>
      </w:r>
      <w:r>
        <w:rPr>
          <w:rFonts w:hint="eastAsia" w:ascii="宋体" w:hAnsi="宋体" w:cs="宋体"/>
          <w:spacing w:val="-60"/>
          <w:szCs w:val="21"/>
        </w:rPr>
        <w:t xml:space="preserve"> </w:t>
      </w:r>
      <w:r>
        <w:rPr>
          <w:rFonts w:hint="eastAsia" w:ascii="宋体" w:hAnsi="宋体" w:cs="宋体"/>
          <w:szCs w:val="21"/>
        </w:rPr>
        <w:t xml:space="preserve">   月</w:t>
      </w:r>
      <w:r>
        <w:rPr>
          <w:rFonts w:hint="eastAsia" w:ascii="宋体" w:hAnsi="宋体" w:cs="宋体"/>
          <w:spacing w:val="-61"/>
          <w:szCs w:val="21"/>
        </w:rPr>
        <w:t xml:space="preserve"> </w:t>
      </w:r>
      <w:r>
        <w:rPr>
          <w:rFonts w:hint="eastAsia" w:ascii="宋体" w:hAnsi="宋体" w:cs="宋体"/>
          <w:szCs w:val="21"/>
        </w:rPr>
        <w:t xml:space="preserve"> </w:t>
      </w:r>
      <w:r>
        <w:rPr>
          <w:rFonts w:hint="eastAsia" w:ascii="宋体" w:hAnsi="宋体" w:cs="宋体"/>
          <w:spacing w:val="2"/>
          <w:szCs w:val="21"/>
        </w:rPr>
        <w:t xml:space="preserve">  </w:t>
      </w:r>
      <w:r>
        <w:rPr>
          <w:rFonts w:hint="eastAsia" w:ascii="宋体" w:hAnsi="宋体" w:cs="宋体"/>
          <w:szCs w:val="21"/>
        </w:rPr>
        <w:t>日</w:t>
      </w:r>
    </w:p>
    <w:p>
      <w:pPr>
        <w:pStyle w:val="13"/>
        <w:rPr>
          <w:rFonts w:ascii="宋体" w:hAnsi="宋体" w:cs="宋体"/>
          <w:sz w:val="21"/>
          <w:szCs w:val="21"/>
        </w:rPr>
      </w:pPr>
    </w:p>
    <w:sectPr>
      <w:pgSz w:w="11907" w:h="16840"/>
      <w:pgMar w:top="1134" w:right="1134" w:bottom="1134" w:left="1134" w:header="851" w:footer="85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1"/>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4ZkinFAQAAmwMAAA4AAAAAAAAAAQAgAAAAHgEAAGRycy9lMm9Eb2MueG1s&#10;UEsFBgAAAAAGAAYAWQEAAFUFAAAAAA==&#10;">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thinThickSmallGap" w:color="auto" w:sz="12" w:space="0"/>
      </w:pBdr>
      <w:jc w:val="both"/>
    </w:pPr>
    <w:r>
      <mc:AlternateContent>
        <mc:Choice Requires="wps">
          <w:drawing>
            <wp:anchor distT="0" distB="0" distL="114300" distR="114300" simplePos="0" relativeHeight="251660288" behindDoc="0" locked="0" layoutInCell="1" allowOverlap="1">
              <wp:simplePos x="0" y="0"/>
              <wp:positionH relativeFrom="column">
                <wp:posOffset>2621915</wp:posOffset>
              </wp:positionH>
              <wp:positionV relativeFrom="paragraph">
                <wp:posOffset>172720</wp:posOffset>
              </wp:positionV>
              <wp:extent cx="3474085" cy="2546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45735" cy="254635"/>
                      </a:xfrm>
                      <a:prstGeom prst="rect">
                        <a:avLst/>
                      </a:prstGeom>
                      <a:solidFill>
                        <a:srgbClr val="000000">
                          <a:alpha val="0"/>
                        </a:srgbClr>
                      </a:solidFill>
                      <a:ln>
                        <a:noFill/>
                      </a:ln>
                      <a:effectLst/>
                    </wps:spPr>
                    <wps:txbx>
                      <w:txbxContent>
                        <w:p>
                          <w:pPr>
                            <w:rPr>
                              <w:bCs/>
                              <w:sz w:val="18"/>
                              <w:szCs w:val="18"/>
                            </w:rPr>
                          </w:pPr>
                          <w:r>
                            <w:rPr>
                              <w:rFonts w:hint="eastAsia" w:ascii="宋体"/>
                              <w:bCs/>
                              <w:sz w:val="18"/>
                              <w:szCs w:val="18"/>
                            </w:rPr>
                            <w:t>柴油车、非道路移动机械监督抽测服务（二批次）</w:t>
                          </w:r>
                          <w:r>
                            <w:rPr>
                              <w:rFonts w:hint="eastAsia" w:ascii="宋体" w:hAnsi="宋体" w:cs="宋体"/>
                              <w:bCs/>
                              <w:color w:val="000000"/>
                              <w:sz w:val="18"/>
                              <w:szCs w:val="18"/>
                            </w:rPr>
                            <w:t>竞争性磋商文件</w:t>
                          </w:r>
                        </w:p>
                      </w:txbxContent>
                    </wps:txbx>
                    <wps:bodyPr upright="1"/>
                  </wps:wsp>
                </a:graphicData>
              </a:graphic>
            </wp:anchor>
          </w:drawing>
        </mc:Choice>
        <mc:Fallback>
          <w:pict>
            <v:shape id="_x0000_s1026" o:spid="_x0000_s1026" o:spt="202" type="#_x0000_t202" style="position:absolute;left:0pt;margin-left:206.45pt;margin-top:13.6pt;height:20.05pt;width:273.55pt;z-index:251660288;mso-width-relative:page;mso-height-relative:page;" fillcolor="#000000" filled="t" stroked="f" coordsize="21600,21600" o:gfxdata="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UvQN7aAAAACQEAAA8AAAAAAAAAAQAgAAAA&#10;IgAAAGRycy9kb3ducmV2LnhtbFBLAQIUABQAAAAIAIdO4kCwu2dL0AEAAKIDAAAOAAAAAAAAAAEA&#10;IAAAACkBAABkcnMvZTJvRG9jLnhtbFBLBQYAAAAABgAGAFkBAABrBQAAAAA=&#10;">
              <v:fill on="t" opacity="0f" focussize="0,0"/>
              <v:stroke on="f"/>
              <v:imagedata o:title=""/>
              <o:lock v:ext="edit" aspectratio="f"/>
              <v:textbox>
                <w:txbxContent>
                  <w:p>
                    <w:pPr>
                      <w:rPr>
                        <w:bCs/>
                        <w:sz w:val="18"/>
                        <w:szCs w:val="18"/>
                      </w:rPr>
                    </w:pPr>
                    <w:r>
                      <w:rPr>
                        <w:rFonts w:hint="eastAsia" w:ascii="宋体"/>
                        <w:bCs/>
                        <w:sz w:val="18"/>
                        <w:szCs w:val="18"/>
                      </w:rPr>
                      <w:t>柴油车、非道路移动机械监督抽测服务（二批次）</w:t>
                    </w:r>
                    <w:r>
                      <w:rPr>
                        <w:rFonts w:hint="eastAsia" w:ascii="宋体" w:hAnsi="宋体" w:cs="宋体"/>
                        <w:bCs/>
                        <w:color w:val="000000"/>
                        <w:sz w:val="18"/>
                        <w:szCs w:val="18"/>
                      </w:rPr>
                      <w:t>竞争性磋商文件</w:t>
                    </w:r>
                  </w:p>
                </w:txbxContent>
              </v:textbox>
            </v:shape>
          </w:pict>
        </mc:Fallback>
      </mc:AlternateContent>
    </w:r>
    <w:r>
      <w:drawing>
        <wp:inline distT="0" distB="0" distL="114300" distR="114300">
          <wp:extent cx="457200" cy="387350"/>
          <wp:effectExtent l="0" t="0" r="0"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45720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pStyle w:val="10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10"/>
      <w:suff w:val="nothing"/>
      <w:lvlText w:val="%2、"/>
      <w:lvlJc w:val="left"/>
      <w:pPr>
        <w:ind w:left="568"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112"/>
      <w:suff w:val="nothing"/>
      <w:lvlText w:val="%4."/>
      <w:lvlJc w:val="left"/>
      <w:pPr>
        <w:tabs>
          <w:tab w:val="left" w:pos="0"/>
        </w:tabs>
        <w:ind w:left="0" w:firstLine="0"/>
      </w:pPr>
      <w:rPr>
        <w:rFonts w:hint="eastAsia" w:ascii="宋体" w:hAnsi="宋体" w:eastAsia="宋体" w:cs="宋体"/>
      </w:rPr>
    </w:lvl>
    <w:lvl w:ilvl="4" w:tentative="0">
      <w:start w:val="1"/>
      <w:numFmt w:val="decimal"/>
      <w:pStyle w:val="114"/>
      <w:suff w:val="nothing"/>
      <w:lvlText w:val="%4.%5"/>
      <w:lvlJc w:val="left"/>
      <w:pPr>
        <w:ind w:left="0" w:firstLine="0"/>
      </w:pPr>
      <w:rPr>
        <w:rFonts w:hint="eastAsia" w:ascii="宋体" w:hAnsi="宋体" w:eastAsia="宋体" w:cs="宋体"/>
      </w:rPr>
    </w:lvl>
    <w:lvl w:ilvl="5" w:tentative="0">
      <w:start w:val="1"/>
      <w:numFmt w:val="decimal"/>
      <w:pStyle w:val="115"/>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116"/>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9C07086"/>
    <w:multiLevelType w:val="singleLevel"/>
    <w:tmpl w:val="59C07086"/>
    <w:lvl w:ilvl="0" w:tentative="0">
      <w:start w:val="1"/>
      <w:numFmt w:val="decimal"/>
      <w:suff w:val="nothing"/>
      <w:lvlText w:val="%1、"/>
      <w:lvlJc w:val="left"/>
    </w:lvl>
  </w:abstractNum>
  <w:abstractNum w:abstractNumId="4">
    <w:nsid w:val="7FCDD2B4"/>
    <w:multiLevelType w:val="singleLevel"/>
    <w:tmpl w:val="7FCDD2B4"/>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revisionView w:markup="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F"/>
    <w:rsid w:val="000002C9"/>
    <w:rsid w:val="000008A2"/>
    <w:rsid w:val="000010BF"/>
    <w:rsid w:val="0000177A"/>
    <w:rsid w:val="00007C2F"/>
    <w:rsid w:val="00007C75"/>
    <w:rsid w:val="00007DB4"/>
    <w:rsid w:val="000118D6"/>
    <w:rsid w:val="00011D5F"/>
    <w:rsid w:val="00013A5B"/>
    <w:rsid w:val="00017ADF"/>
    <w:rsid w:val="00024F43"/>
    <w:rsid w:val="00026B3A"/>
    <w:rsid w:val="00030D04"/>
    <w:rsid w:val="00032A11"/>
    <w:rsid w:val="000352C0"/>
    <w:rsid w:val="00035520"/>
    <w:rsid w:val="000364CC"/>
    <w:rsid w:val="00036A7C"/>
    <w:rsid w:val="000401E9"/>
    <w:rsid w:val="000406A7"/>
    <w:rsid w:val="00041DC6"/>
    <w:rsid w:val="000423C9"/>
    <w:rsid w:val="00042D06"/>
    <w:rsid w:val="00045D6D"/>
    <w:rsid w:val="00047352"/>
    <w:rsid w:val="00047C44"/>
    <w:rsid w:val="00047EF5"/>
    <w:rsid w:val="00047F36"/>
    <w:rsid w:val="00050F64"/>
    <w:rsid w:val="00051A4C"/>
    <w:rsid w:val="00051ADE"/>
    <w:rsid w:val="00056CB2"/>
    <w:rsid w:val="00057529"/>
    <w:rsid w:val="00063229"/>
    <w:rsid w:val="00067CB3"/>
    <w:rsid w:val="00072D44"/>
    <w:rsid w:val="00073919"/>
    <w:rsid w:val="00076F73"/>
    <w:rsid w:val="000771C9"/>
    <w:rsid w:val="00080705"/>
    <w:rsid w:val="000815BF"/>
    <w:rsid w:val="000832EC"/>
    <w:rsid w:val="00083389"/>
    <w:rsid w:val="000841FB"/>
    <w:rsid w:val="00085618"/>
    <w:rsid w:val="000944EF"/>
    <w:rsid w:val="000A01B3"/>
    <w:rsid w:val="000A3179"/>
    <w:rsid w:val="000A52B6"/>
    <w:rsid w:val="000B39E4"/>
    <w:rsid w:val="000B7B41"/>
    <w:rsid w:val="000B7D6B"/>
    <w:rsid w:val="000C4C4B"/>
    <w:rsid w:val="000C65F1"/>
    <w:rsid w:val="000D4383"/>
    <w:rsid w:val="000D5F3A"/>
    <w:rsid w:val="000D7582"/>
    <w:rsid w:val="000E1CC8"/>
    <w:rsid w:val="000E4839"/>
    <w:rsid w:val="000E66DB"/>
    <w:rsid w:val="000F1B93"/>
    <w:rsid w:val="000F4353"/>
    <w:rsid w:val="000F7E0D"/>
    <w:rsid w:val="00100818"/>
    <w:rsid w:val="0010095E"/>
    <w:rsid w:val="00101F24"/>
    <w:rsid w:val="001104BA"/>
    <w:rsid w:val="001106A0"/>
    <w:rsid w:val="0011114E"/>
    <w:rsid w:val="00112ED2"/>
    <w:rsid w:val="00115117"/>
    <w:rsid w:val="00116313"/>
    <w:rsid w:val="00122AF6"/>
    <w:rsid w:val="00123566"/>
    <w:rsid w:val="0012433B"/>
    <w:rsid w:val="0013181D"/>
    <w:rsid w:val="001350D9"/>
    <w:rsid w:val="00135A77"/>
    <w:rsid w:val="00146917"/>
    <w:rsid w:val="0015072F"/>
    <w:rsid w:val="0015325E"/>
    <w:rsid w:val="00153C61"/>
    <w:rsid w:val="00154B00"/>
    <w:rsid w:val="0016128D"/>
    <w:rsid w:val="00161605"/>
    <w:rsid w:val="001617A2"/>
    <w:rsid w:val="00163788"/>
    <w:rsid w:val="00165411"/>
    <w:rsid w:val="00165ABD"/>
    <w:rsid w:val="001662B9"/>
    <w:rsid w:val="00177827"/>
    <w:rsid w:val="001850D0"/>
    <w:rsid w:val="0018628A"/>
    <w:rsid w:val="001931F6"/>
    <w:rsid w:val="00196D3B"/>
    <w:rsid w:val="001A23A5"/>
    <w:rsid w:val="001A2476"/>
    <w:rsid w:val="001A3686"/>
    <w:rsid w:val="001A5817"/>
    <w:rsid w:val="001A6429"/>
    <w:rsid w:val="001A644E"/>
    <w:rsid w:val="001A7EA5"/>
    <w:rsid w:val="001B1A4B"/>
    <w:rsid w:val="001B4847"/>
    <w:rsid w:val="001B7C35"/>
    <w:rsid w:val="001C2233"/>
    <w:rsid w:val="001C4DF1"/>
    <w:rsid w:val="001D1EC9"/>
    <w:rsid w:val="001D37B8"/>
    <w:rsid w:val="001E14C9"/>
    <w:rsid w:val="001E35B1"/>
    <w:rsid w:val="001E3951"/>
    <w:rsid w:val="001E7298"/>
    <w:rsid w:val="001F11D9"/>
    <w:rsid w:val="001F2444"/>
    <w:rsid w:val="001F50A2"/>
    <w:rsid w:val="00200780"/>
    <w:rsid w:val="002019AA"/>
    <w:rsid w:val="0020506E"/>
    <w:rsid w:val="00206BC5"/>
    <w:rsid w:val="002103A1"/>
    <w:rsid w:val="00211967"/>
    <w:rsid w:val="00220B99"/>
    <w:rsid w:val="00222B1C"/>
    <w:rsid w:val="00224E4C"/>
    <w:rsid w:val="0023152B"/>
    <w:rsid w:val="00231731"/>
    <w:rsid w:val="00236F48"/>
    <w:rsid w:val="0024267F"/>
    <w:rsid w:val="00243EFE"/>
    <w:rsid w:val="002455E4"/>
    <w:rsid w:val="00245FA0"/>
    <w:rsid w:val="002501A9"/>
    <w:rsid w:val="00256C18"/>
    <w:rsid w:val="0025796C"/>
    <w:rsid w:val="00261A6D"/>
    <w:rsid w:val="00267FAC"/>
    <w:rsid w:val="00271DA1"/>
    <w:rsid w:val="002817D5"/>
    <w:rsid w:val="002919CE"/>
    <w:rsid w:val="00296A01"/>
    <w:rsid w:val="00297E22"/>
    <w:rsid w:val="002A145F"/>
    <w:rsid w:val="002A5302"/>
    <w:rsid w:val="002B585B"/>
    <w:rsid w:val="002C02C0"/>
    <w:rsid w:val="002C08B9"/>
    <w:rsid w:val="002C1A5B"/>
    <w:rsid w:val="002C593F"/>
    <w:rsid w:val="002D7645"/>
    <w:rsid w:val="002E0E72"/>
    <w:rsid w:val="002E513F"/>
    <w:rsid w:val="002E6774"/>
    <w:rsid w:val="002E7AC6"/>
    <w:rsid w:val="002E7FC9"/>
    <w:rsid w:val="002F1A72"/>
    <w:rsid w:val="002F5804"/>
    <w:rsid w:val="002F5EAB"/>
    <w:rsid w:val="002F6518"/>
    <w:rsid w:val="002F76A5"/>
    <w:rsid w:val="002F776E"/>
    <w:rsid w:val="0031061B"/>
    <w:rsid w:val="0031394A"/>
    <w:rsid w:val="00316B0C"/>
    <w:rsid w:val="00321012"/>
    <w:rsid w:val="003212C9"/>
    <w:rsid w:val="00323E41"/>
    <w:rsid w:val="00326F46"/>
    <w:rsid w:val="00326F53"/>
    <w:rsid w:val="00327CB2"/>
    <w:rsid w:val="003349E1"/>
    <w:rsid w:val="00336745"/>
    <w:rsid w:val="003377C4"/>
    <w:rsid w:val="0034630A"/>
    <w:rsid w:val="00346BEF"/>
    <w:rsid w:val="00346C9C"/>
    <w:rsid w:val="003507F5"/>
    <w:rsid w:val="00360095"/>
    <w:rsid w:val="00360E7D"/>
    <w:rsid w:val="00361222"/>
    <w:rsid w:val="00364CD9"/>
    <w:rsid w:val="00380DE6"/>
    <w:rsid w:val="00381EEC"/>
    <w:rsid w:val="00383EC0"/>
    <w:rsid w:val="003864DE"/>
    <w:rsid w:val="003A4F5D"/>
    <w:rsid w:val="003A767A"/>
    <w:rsid w:val="003B1989"/>
    <w:rsid w:val="003B4840"/>
    <w:rsid w:val="003B74B8"/>
    <w:rsid w:val="003C0421"/>
    <w:rsid w:val="003C11FC"/>
    <w:rsid w:val="003C2CE4"/>
    <w:rsid w:val="003C46EC"/>
    <w:rsid w:val="003D0591"/>
    <w:rsid w:val="003D10DE"/>
    <w:rsid w:val="003D3900"/>
    <w:rsid w:val="003D44D5"/>
    <w:rsid w:val="003D5ECC"/>
    <w:rsid w:val="003F0AFE"/>
    <w:rsid w:val="003F2556"/>
    <w:rsid w:val="0040095C"/>
    <w:rsid w:val="004023B6"/>
    <w:rsid w:val="00403059"/>
    <w:rsid w:val="00404839"/>
    <w:rsid w:val="00405987"/>
    <w:rsid w:val="00405F8F"/>
    <w:rsid w:val="004061B6"/>
    <w:rsid w:val="0041309E"/>
    <w:rsid w:val="00414245"/>
    <w:rsid w:val="004150A8"/>
    <w:rsid w:val="00415B17"/>
    <w:rsid w:val="00415DC7"/>
    <w:rsid w:val="0041635D"/>
    <w:rsid w:val="00430C54"/>
    <w:rsid w:val="00434105"/>
    <w:rsid w:val="004348E7"/>
    <w:rsid w:val="004353C9"/>
    <w:rsid w:val="00446764"/>
    <w:rsid w:val="00446D90"/>
    <w:rsid w:val="00447073"/>
    <w:rsid w:val="00447C68"/>
    <w:rsid w:val="00452806"/>
    <w:rsid w:val="0045329E"/>
    <w:rsid w:val="00454CC8"/>
    <w:rsid w:val="004607A6"/>
    <w:rsid w:val="00461408"/>
    <w:rsid w:val="0046161A"/>
    <w:rsid w:val="00462787"/>
    <w:rsid w:val="00466030"/>
    <w:rsid w:val="004672E9"/>
    <w:rsid w:val="004751F7"/>
    <w:rsid w:val="004753E1"/>
    <w:rsid w:val="00475A23"/>
    <w:rsid w:val="0047634A"/>
    <w:rsid w:val="0047750A"/>
    <w:rsid w:val="0047791E"/>
    <w:rsid w:val="00477957"/>
    <w:rsid w:val="0048005B"/>
    <w:rsid w:val="00487BAF"/>
    <w:rsid w:val="00490CD5"/>
    <w:rsid w:val="00493269"/>
    <w:rsid w:val="00493DF7"/>
    <w:rsid w:val="00495221"/>
    <w:rsid w:val="004963CF"/>
    <w:rsid w:val="004970BB"/>
    <w:rsid w:val="0049792F"/>
    <w:rsid w:val="004A1859"/>
    <w:rsid w:val="004A230E"/>
    <w:rsid w:val="004A6FA5"/>
    <w:rsid w:val="004B0C2F"/>
    <w:rsid w:val="004B477A"/>
    <w:rsid w:val="004C0FFF"/>
    <w:rsid w:val="004C1AF5"/>
    <w:rsid w:val="004C397B"/>
    <w:rsid w:val="004C67A5"/>
    <w:rsid w:val="004D1F9A"/>
    <w:rsid w:val="004D3E29"/>
    <w:rsid w:val="004E0B39"/>
    <w:rsid w:val="004E1E3E"/>
    <w:rsid w:val="004E2728"/>
    <w:rsid w:val="004E2F89"/>
    <w:rsid w:val="004E3F87"/>
    <w:rsid w:val="004E502D"/>
    <w:rsid w:val="004E6B67"/>
    <w:rsid w:val="004E7D7B"/>
    <w:rsid w:val="004F0123"/>
    <w:rsid w:val="004F12AD"/>
    <w:rsid w:val="004F26F5"/>
    <w:rsid w:val="004F5544"/>
    <w:rsid w:val="004F6B98"/>
    <w:rsid w:val="004F6BDD"/>
    <w:rsid w:val="00500ADA"/>
    <w:rsid w:val="00502032"/>
    <w:rsid w:val="00502C23"/>
    <w:rsid w:val="005111EA"/>
    <w:rsid w:val="00516826"/>
    <w:rsid w:val="00522EEF"/>
    <w:rsid w:val="005241C7"/>
    <w:rsid w:val="005278A8"/>
    <w:rsid w:val="00527B21"/>
    <w:rsid w:val="00531915"/>
    <w:rsid w:val="00531CF5"/>
    <w:rsid w:val="00535541"/>
    <w:rsid w:val="00535816"/>
    <w:rsid w:val="00541CC1"/>
    <w:rsid w:val="00542617"/>
    <w:rsid w:val="0054392C"/>
    <w:rsid w:val="00550091"/>
    <w:rsid w:val="00552D9E"/>
    <w:rsid w:val="00556A2B"/>
    <w:rsid w:val="00563503"/>
    <w:rsid w:val="005650D8"/>
    <w:rsid w:val="00567DB2"/>
    <w:rsid w:val="005717C8"/>
    <w:rsid w:val="00572935"/>
    <w:rsid w:val="00573476"/>
    <w:rsid w:val="005766C7"/>
    <w:rsid w:val="005779EE"/>
    <w:rsid w:val="00581546"/>
    <w:rsid w:val="00581F04"/>
    <w:rsid w:val="0058682C"/>
    <w:rsid w:val="00594157"/>
    <w:rsid w:val="00596438"/>
    <w:rsid w:val="0059742B"/>
    <w:rsid w:val="005978BA"/>
    <w:rsid w:val="005A185B"/>
    <w:rsid w:val="005A61B7"/>
    <w:rsid w:val="005A7033"/>
    <w:rsid w:val="005B0BF1"/>
    <w:rsid w:val="005B16CB"/>
    <w:rsid w:val="005B29E9"/>
    <w:rsid w:val="005B409B"/>
    <w:rsid w:val="005B4490"/>
    <w:rsid w:val="005B75E3"/>
    <w:rsid w:val="005C0C82"/>
    <w:rsid w:val="005C6DC1"/>
    <w:rsid w:val="005D142E"/>
    <w:rsid w:val="005D1FD2"/>
    <w:rsid w:val="005D5041"/>
    <w:rsid w:val="005D5133"/>
    <w:rsid w:val="005E1006"/>
    <w:rsid w:val="005E311F"/>
    <w:rsid w:val="005F2E05"/>
    <w:rsid w:val="005F479D"/>
    <w:rsid w:val="005F4D50"/>
    <w:rsid w:val="00600CD6"/>
    <w:rsid w:val="0060379F"/>
    <w:rsid w:val="00604181"/>
    <w:rsid w:val="00605A3A"/>
    <w:rsid w:val="00606B2D"/>
    <w:rsid w:val="00607540"/>
    <w:rsid w:val="00611C56"/>
    <w:rsid w:val="006153FF"/>
    <w:rsid w:val="00616DD2"/>
    <w:rsid w:val="00617187"/>
    <w:rsid w:val="006234FE"/>
    <w:rsid w:val="0062614B"/>
    <w:rsid w:val="006268EC"/>
    <w:rsid w:val="00626E69"/>
    <w:rsid w:val="00644540"/>
    <w:rsid w:val="00650DEA"/>
    <w:rsid w:val="0065288F"/>
    <w:rsid w:val="00653DB7"/>
    <w:rsid w:val="00655320"/>
    <w:rsid w:val="006573BC"/>
    <w:rsid w:val="0066068C"/>
    <w:rsid w:val="006606D8"/>
    <w:rsid w:val="006616D5"/>
    <w:rsid w:val="006635C6"/>
    <w:rsid w:val="006655D6"/>
    <w:rsid w:val="006662C3"/>
    <w:rsid w:val="006767AD"/>
    <w:rsid w:val="00677C5C"/>
    <w:rsid w:val="00684FDE"/>
    <w:rsid w:val="00686C33"/>
    <w:rsid w:val="00687E35"/>
    <w:rsid w:val="00690278"/>
    <w:rsid w:val="00692A2F"/>
    <w:rsid w:val="00695FFE"/>
    <w:rsid w:val="006A0302"/>
    <w:rsid w:val="006A0797"/>
    <w:rsid w:val="006A0BB4"/>
    <w:rsid w:val="006B09CE"/>
    <w:rsid w:val="006B192D"/>
    <w:rsid w:val="006B48EE"/>
    <w:rsid w:val="006B4C8F"/>
    <w:rsid w:val="006B7FEC"/>
    <w:rsid w:val="006C0D24"/>
    <w:rsid w:val="006C1DE7"/>
    <w:rsid w:val="006C2259"/>
    <w:rsid w:val="006C28CF"/>
    <w:rsid w:val="006C3776"/>
    <w:rsid w:val="006D1A36"/>
    <w:rsid w:val="006D3948"/>
    <w:rsid w:val="006E5BCA"/>
    <w:rsid w:val="006E6D02"/>
    <w:rsid w:val="006E7E45"/>
    <w:rsid w:val="006F57A2"/>
    <w:rsid w:val="00701BF2"/>
    <w:rsid w:val="00702355"/>
    <w:rsid w:val="00703EBA"/>
    <w:rsid w:val="00707BB0"/>
    <w:rsid w:val="007107CC"/>
    <w:rsid w:val="00717620"/>
    <w:rsid w:val="007213C7"/>
    <w:rsid w:val="00724103"/>
    <w:rsid w:val="007305F1"/>
    <w:rsid w:val="00731EFE"/>
    <w:rsid w:val="00733773"/>
    <w:rsid w:val="00735FAD"/>
    <w:rsid w:val="00744571"/>
    <w:rsid w:val="007447F1"/>
    <w:rsid w:val="007467F8"/>
    <w:rsid w:val="00746CBE"/>
    <w:rsid w:val="00747346"/>
    <w:rsid w:val="0075237F"/>
    <w:rsid w:val="007547FD"/>
    <w:rsid w:val="00755173"/>
    <w:rsid w:val="00757570"/>
    <w:rsid w:val="007675D9"/>
    <w:rsid w:val="00774D7C"/>
    <w:rsid w:val="00774F0B"/>
    <w:rsid w:val="007828AC"/>
    <w:rsid w:val="00792255"/>
    <w:rsid w:val="00792C89"/>
    <w:rsid w:val="00793ECB"/>
    <w:rsid w:val="007940C6"/>
    <w:rsid w:val="00794144"/>
    <w:rsid w:val="00795968"/>
    <w:rsid w:val="0079629E"/>
    <w:rsid w:val="00797F2B"/>
    <w:rsid w:val="007A2706"/>
    <w:rsid w:val="007A454E"/>
    <w:rsid w:val="007B05F0"/>
    <w:rsid w:val="007B2D1C"/>
    <w:rsid w:val="007B5587"/>
    <w:rsid w:val="007B63C3"/>
    <w:rsid w:val="007C3A43"/>
    <w:rsid w:val="007C69D0"/>
    <w:rsid w:val="007D0242"/>
    <w:rsid w:val="007D449D"/>
    <w:rsid w:val="007D64CD"/>
    <w:rsid w:val="007E051E"/>
    <w:rsid w:val="007E07B1"/>
    <w:rsid w:val="007E34E3"/>
    <w:rsid w:val="007E578A"/>
    <w:rsid w:val="007E57D3"/>
    <w:rsid w:val="007E5DBE"/>
    <w:rsid w:val="007E7C4E"/>
    <w:rsid w:val="008009C6"/>
    <w:rsid w:val="00807B7B"/>
    <w:rsid w:val="008159CA"/>
    <w:rsid w:val="00822F46"/>
    <w:rsid w:val="00823220"/>
    <w:rsid w:val="00825FAC"/>
    <w:rsid w:val="0083070F"/>
    <w:rsid w:val="008307DA"/>
    <w:rsid w:val="008357E7"/>
    <w:rsid w:val="008364B3"/>
    <w:rsid w:val="00837F9E"/>
    <w:rsid w:val="00842320"/>
    <w:rsid w:val="00844FBE"/>
    <w:rsid w:val="0084647B"/>
    <w:rsid w:val="00846D80"/>
    <w:rsid w:val="00850E6D"/>
    <w:rsid w:val="0085184E"/>
    <w:rsid w:val="0085337D"/>
    <w:rsid w:val="00856164"/>
    <w:rsid w:val="00861965"/>
    <w:rsid w:val="00861CCA"/>
    <w:rsid w:val="00861F11"/>
    <w:rsid w:val="00870F75"/>
    <w:rsid w:val="00873FAD"/>
    <w:rsid w:val="00875163"/>
    <w:rsid w:val="00883383"/>
    <w:rsid w:val="00883451"/>
    <w:rsid w:val="008844D5"/>
    <w:rsid w:val="0088658A"/>
    <w:rsid w:val="00892E07"/>
    <w:rsid w:val="00893BB7"/>
    <w:rsid w:val="008A1442"/>
    <w:rsid w:val="008A5A50"/>
    <w:rsid w:val="008B0E18"/>
    <w:rsid w:val="008B33AE"/>
    <w:rsid w:val="008B53A7"/>
    <w:rsid w:val="008B770D"/>
    <w:rsid w:val="008C36E9"/>
    <w:rsid w:val="008C7D47"/>
    <w:rsid w:val="008D1525"/>
    <w:rsid w:val="008E0691"/>
    <w:rsid w:val="008E2ED7"/>
    <w:rsid w:val="008E6CAF"/>
    <w:rsid w:val="008F0D43"/>
    <w:rsid w:val="008F2DAF"/>
    <w:rsid w:val="008F78D5"/>
    <w:rsid w:val="00902683"/>
    <w:rsid w:val="00903115"/>
    <w:rsid w:val="00906F56"/>
    <w:rsid w:val="009076D3"/>
    <w:rsid w:val="0091433E"/>
    <w:rsid w:val="0091774A"/>
    <w:rsid w:val="00925F40"/>
    <w:rsid w:val="00927D1C"/>
    <w:rsid w:val="00927F0E"/>
    <w:rsid w:val="00932BED"/>
    <w:rsid w:val="00944A7D"/>
    <w:rsid w:val="009450BA"/>
    <w:rsid w:val="009467E8"/>
    <w:rsid w:val="00946A45"/>
    <w:rsid w:val="009474C6"/>
    <w:rsid w:val="009477A8"/>
    <w:rsid w:val="00956FFF"/>
    <w:rsid w:val="009631FA"/>
    <w:rsid w:val="00964BE1"/>
    <w:rsid w:val="00965CCF"/>
    <w:rsid w:val="00966CFD"/>
    <w:rsid w:val="00972A34"/>
    <w:rsid w:val="0097471C"/>
    <w:rsid w:val="0097719D"/>
    <w:rsid w:val="009803D0"/>
    <w:rsid w:val="00982F11"/>
    <w:rsid w:val="00985CDB"/>
    <w:rsid w:val="00987329"/>
    <w:rsid w:val="00987EAC"/>
    <w:rsid w:val="009913B8"/>
    <w:rsid w:val="0099209D"/>
    <w:rsid w:val="00993204"/>
    <w:rsid w:val="00993C92"/>
    <w:rsid w:val="00995D5B"/>
    <w:rsid w:val="0099694D"/>
    <w:rsid w:val="00996D61"/>
    <w:rsid w:val="009A2A67"/>
    <w:rsid w:val="009A394E"/>
    <w:rsid w:val="009A4C81"/>
    <w:rsid w:val="009A57F8"/>
    <w:rsid w:val="009A5B75"/>
    <w:rsid w:val="009A76F1"/>
    <w:rsid w:val="009B3EEE"/>
    <w:rsid w:val="009B441F"/>
    <w:rsid w:val="009B6B2D"/>
    <w:rsid w:val="009B73D0"/>
    <w:rsid w:val="009C2232"/>
    <w:rsid w:val="009C5C44"/>
    <w:rsid w:val="009C6F77"/>
    <w:rsid w:val="009D190B"/>
    <w:rsid w:val="009D3BBA"/>
    <w:rsid w:val="009D7596"/>
    <w:rsid w:val="009E136E"/>
    <w:rsid w:val="009E17E5"/>
    <w:rsid w:val="009E2CCC"/>
    <w:rsid w:val="009E5CCC"/>
    <w:rsid w:val="009F02E5"/>
    <w:rsid w:val="009F18E5"/>
    <w:rsid w:val="009F75FC"/>
    <w:rsid w:val="00A03AC5"/>
    <w:rsid w:val="00A10735"/>
    <w:rsid w:val="00A10DAB"/>
    <w:rsid w:val="00A1122B"/>
    <w:rsid w:val="00A11780"/>
    <w:rsid w:val="00A148C8"/>
    <w:rsid w:val="00A169B5"/>
    <w:rsid w:val="00A172AE"/>
    <w:rsid w:val="00A20F46"/>
    <w:rsid w:val="00A23670"/>
    <w:rsid w:val="00A264B5"/>
    <w:rsid w:val="00A348C9"/>
    <w:rsid w:val="00A34E7B"/>
    <w:rsid w:val="00A36E06"/>
    <w:rsid w:val="00A3706D"/>
    <w:rsid w:val="00A43A99"/>
    <w:rsid w:val="00A4620C"/>
    <w:rsid w:val="00A47AE1"/>
    <w:rsid w:val="00A5027D"/>
    <w:rsid w:val="00A574CF"/>
    <w:rsid w:val="00A6006C"/>
    <w:rsid w:val="00A625C6"/>
    <w:rsid w:val="00A714A2"/>
    <w:rsid w:val="00A72D36"/>
    <w:rsid w:val="00A76B67"/>
    <w:rsid w:val="00A82285"/>
    <w:rsid w:val="00A83CE7"/>
    <w:rsid w:val="00A857D2"/>
    <w:rsid w:val="00A87C7C"/>
    <w:rsid w:val="00A91575"/>
    <w:rsid w:val="00A93DF8"/>
    <w:rsid w:val="00A962F5"/>
    <w:rsid w:val="00A97F6C"/>
    <w:rsid w:val="00AA29E9"/>
    <w:rsid w:val="00AA3804"/>
    <w:rsid w:val="00AA3990"/>
    <w:rsid w:val="00AA7C78"/>
    <w:rsid w:val="00AA7D91"/>
    <w:rsid w:val="00AB0694"/>
    <w:rsid w:val="00AC180A"/>
    <w:rsid w:val="00AC6BD9"/>
    <w:rsid w:val="00AC782E"/>
    <w:rsid w:val="00AD45D1"/>
    <w:rsid w:val="00AD5567"/>
    <w:rsid w:val="00AD7270"/>
    <w:rsid w:val="00AD7958"/>
    <w:rsid w:val="00AE0556"/>
    <w:rsid w:val="00AE18AC"/>
    <w:rsid w:val="00AE3272"/>
    <w:rsid w:val="00AE3FF4"/>
    <w:rsid w:val="00AE415B"/>
    <w:rsid w:val="00AE483E"/>
    <w:rsid w:val="00AE7FF3"/>
    <w:rsid w:val="00AF5876"/>
    <w:rsid w:val="00B0665F"/>
    <w:rsid w:val="00B07D19"/>
    <w:rsid w:val="00B1082B"/>
    <w:rsid w:val="00B12650"/>
    <w:rsid w:val="00B13FFE"/>
    <w:rsid w:val="00B14610"/>
    <w:rsid w:val="00B231E5"/>
    <w:rsid w:val="00B24A9C"/>
    <w:rsid w:val="00B2578C"/>
    <w:rsid w:val="00B2689D"/>
    <w:rsid w:val="00B327FB"/>
    <w:rsid w:val="00B33FFD"/>
    <w:rsid w:val="00B34160"/>
    <w:rsid w:val="00B37469"/>
    <w:rsid w:val="00B415EB"/>
    <w:rsid w:val="00B41A60"/>
    <w:rsid w:val="00B428F3"/>
    <w:rsid w:val="00B43129"/>
    <w:rsid w:val="00B4511C"/>
    <w:rsid w:val="00B556B1"/>
    <w:rsid w:val="00B601FF"/>
    <w:rsid w:val="00B6360A"/>
    <w:rsid w:val="00B64820"/>
    <w:rsid w:val="00B64910"/>
    <w:rsid w:val="00B654AF"/>
    <w:rsid w:val="00B6648B"/>
    <w:rsid w:val="00B67F27"/>
    <w:rsid w:val="00B72CC0"/>
    <w:rsid w:val="00B73BDF"/>
    <w:rsid w:val="00B75582"/>
    <w:rsid w:val="00B77D78"/>
    <w:rsid w:val="00B805A1"/>
    <w:rsid w:val="00B80F3F"/>
    <w:rsid w:val="00B82FBD"/>
    <w:rsid w:val="00B86024"/>
    <w:rsid w:val="00B8697A"/>
    <w:rsid w:val="00B87E5D"/>
    <w:rsid w:val="00B91D9F"/>
    <w:rsid w:val="00B91E16"/>
    <w:rsid w:val="00B956B4"/>
    <w:rsid w:val="00B9594B"/>
    <w:rsid w:val="00B976DC"/>
    <w:rsid w:val="00B97913"/>
    <w:rsid w:val="00BA102D"/>
    <w:rsid w:val="00BA1886"/>
    <w:rsid w:val="00BA7DE7"/>
    <w:rsid w:val="00BB405C"/>
    <w:rsid w:val="00BB7CDA"/>
    <w:rsid w:val="00BB7DD0"/>
    <w:rsid w:val="00BC69A1"/>
    <w:rsid w:val="00BD1809"/>
    <w:rsid w:val="00BD2B0D"/>
    <w:rsid w:val="00BD55FE"/>
    <w:rsid w:val="00BE26F7"/>
    <w:rsid w:val="00BE4809"/>
    <w:rsid w:val="00BE4C58"/>
    <w:rsid w:val="00BE57F0"/>
    <w:rsid w:val="00BE593B"/>
    <w:rsid w:val="00BF7963"/>
    <w:rsid w:val="00C055E5"/>
    <w:rsid w:val="00C06DBB"/>
    <w:rsid w:val="00C07537"/>
    <w:rsid w:val="00C07ACE"/>
    <w:rsid w:val="00C13870"/>
    <w:rsid w:val="00C138CA"/>
    <w:rsid w:val="00C156C3"/>
    <w:rsid w:val="00C15755"/>
    <w:rsid w:val="00C165CC"/>
    <w:rsid w:val="00C16C57"/>
    <w:rsid w:val="00C1754E"/>
    <w:rsid w:val="00C203C0"/>
    <w:rsid w:val="00C20EF7"/>
    <w:rsid w:val="00C31204"/>
    <w:rsid w:val="00C31D8A"/>
    <w:rsid w:val="00C3214A"/>
    <w:rsid w:val="00C34DB9"/>
    <w:rsid w:val="00C35A86"/>
    <w:rsid w:val="00C50B1F"/>
    <w:rsid w:val="00C51F92"/>
    <w:rsid w:val="00C53947"/>
    <w:rsid w:val="00C543F7"/>
    <w:rsid w:val="00C56CAF"/>
    <w:rsid w:val="00C628C1"/>
    <w:rsid w:val="00C6746A"/>
    <w:rsid w:val="00C73853"/>
    <w:rsid w:val="00C740E8"/>
    <w:rsid w:val="00C74535"/>
    <w:rsid w:val="00C7782A"/>
    <w:rsid w:val="00C80BD3"/>
    <w:rsid w:val="00C835FF"/>
    <w:rsid w:val="00C84778"/>
    <w:rsid w:val="00C85790"/>
    <w:rsid w:val="00C85B28"/>
    <w:rsid w:val="00C96772"/>
    <w:rsid w:val="00CA13F9"/>
    <w:rsid w:val="00CA3CC2"/>
    <w:rsid w:val="00CA7DAB"/>
    <w:rsid w:val="00CB1D37"/>
    <w:rsid w:val="00CB21AA"/>
    <w:rsid w:val="00CB3782"/>
    <w:rsid w:val="00CB43B3"/>
    <w:rsid w:val="00CB5B0C"/>
    <w:rsid w:val="00CB762B"/>
    <w:rsid w:val="00CC083D"/>
    <w:rsid w:val="00CC0D0F"/>
    <w:rsid w:val="00CC0E9B"/>
    <w:rsid w:val="00CC1C97"/>
    <w:rsid w:val="00CC21C5"/>
    <w:rsid w:val="00CC6C8C"/>
    <w:rsid w:val="00CD2D0F"/>
    <w:rsid w:val="00CD49E2"/>
    <w:rsid w:val="00CD613A"/>
    <w:rsid w:val="00CD6982"/>
    <w:rsid w:val="00CD7023"/>
    <w:rsid w:val="00CE5140"/>
    <w:rsid w:val="00CE5B22"/>
    <w:rsid w:val="00CF021D"/>
    <w:rsid w:val="00CF338F"/>
    <w:rsid w:val="00CF4AB7"/>
    <w:rsid w:val="00D04F24"/>
    <w:rsid w:val="00D10A40"/>
    <w:rsid w:val="00D1167A"/>
    <w:rsid w:val="00D14F6E"/>
    <w:rsid w:val="00D21585"/>
    <w:rsid w:val="00D22F3F"/>
    <w:rsid w:val="00D23343"/>
    <w:rsid w:val="00D23DA9"/>
    <w:rsid w:val="00D24B29"/>
    <w:rsid w:val="00D259C2"/>
    <w:rsid w:val="00D26901"/>
    <w:rsid w:val="00D272DF"/>
    <w:rsid w:val="00D3011E"/>
    <w:rsid w:val="00D410B7"/>
    <w:rsid w:val="00D46F0D"/>
    <w:rsid w:val="00D50ACA"/>
    <w:rsid w:val="00D51BF2"/>
    <w:rsid w:val="00D52443"/>
    <w:rsid w:val="00D541A1"/>
    <w:rsid w:val="00D56921"/>
    <w:rsid w:val="00D57BAF"/>
    <w:rsid w:val="00D603DF"/>
    <w:rsid w:val="00D60A84"/>
    <w:rsid w:val="00D61BC4"/>
    <w:rsid w:val="00D63D99"/>
    <w:rsid w:val="00D63F0E"/>
    <w:rsid w:val="00D64C2B"/>
    <w:rsid w:val="00D65AE9"/>
    <w:rsid w:val="00D65D90"/>
    <w:rsid w:val="00D6617F"/>
    <w:rsid w:val="00D67E47"/>
    <w:rsid w:val="00D714E2"/>
    <w:rsid w:val="00D735F8"/>
    <w:rsid w:val="00D7365B"/>
    <w:rsid w:val="00D76355"/>
    <w:rsid w:val="00D844B9"/>
    <w:rsid w:val="00D861BB"/>
    <w:rsid w:val="00D86AC1"/>
    <w:rsid w:val="00D900C4"/>
    <w:rsid w:val="00D921D3"/>
    <w:rsid w:val="00D93E99"/>
    <w:rsid w:val="00D945C3"/>
    <w:rsid w:val="00D96A99"/>
    <w:rsid w:val="00D97F97"/>
    <w:rsid w:val="00DA3C4D"/>
    <w:rsid w:val="00DB0766"/>
    <w:rsid w:val="00DB1A28"/>
    <w:rsid w:val="00DB2320"/>
    <w:rsid w:val="00DB29CF"/>
    <w:rsid w:val="00DB2F93"/>
    <w:rsid w:val="00DB4607"/>
    <w:rsid w:val="00DB4884"/>
    <w:rsid w:val="00DB4BE3"/>
    <w:rsid w:val="00DC1056"/>
    <w:rsid w:val="00DC216D"/>
    <w:rsid w:val="00DC4CD5"/>
    <w:rsid w:val="00DC507A"/>
    <w:rsid w:val="00DD1094"/>
    <w:rsid w:val="00DD1E0B"/>
    <w:rsid w:val="00DD64F5"/>
    <w:rsid w:val="00DD7881"/>
    <w:rsid w:val="00DE42EE"/>
    <w:rsid w:val="00DE535E"/>
    <w:rsid w:val="00DE55E0"/>
    <w:rsid w:val="00DE5FBA"/>
    <w:rsid w:val="00DE624E"/>
    <w:rsid w:val="00DE6DE8"/>
    <w:rsid w:val="00DF2E6E"/>
    <w:rsid w:val="00DF6222"/>
    <w:rsid w:val="00DF73ED"/>
    <w:rsid w:val="00E00F1D"/>
    <w:rsid w:val="00E03274"/>
    <w:rsid w:val="00E06AF3"/>
    <w:rsid w:val="00E11E82"/>
    <w:rsid w:val="00E14217"/>
    <w:rsid w:val="00E17C8F"/>
    <w:rsid w:val="00E202E8"/>
    <w:rsid w:val="00E2215A"/>
    <w:rsid w:val="00E2336C"/>
    <w:rsid w:val="00E234C5"/>
    <w:rsid w:val="00E24844"/>
    <w:rsid w:val="00E27FF7"/>
    <w:rsid w:val="00E30F22"/>
    <w:rsid w:val="00E3167C"/>
    <w:rsid w:val="00E32A70"/>
    <w:rsid w:val="00E345E2"/>
    <w:rsid w:val="00E3483F"/>
    <w:rsid w:val="00E34BE5"/>
    <w:rsid w:val="00E4058A"/>
    <w:rsid w:val="00E41197"/>
    <w:rsid w:val="00E41337"/>
    <w:rsid w:val="00E424D5"/>
    <w:rsid w:val="00E42C54"/>
    <w:rsid w:val="00E51901"/>
    <w:rsid w:val="00E604F4"/>
    <w:rsid w:val="00E61452"/>
    <w:rsid w:val="00E62252"/>
    <w:rsid w:val="00E65BD5"/>
    <w:rsid w:val="00E67E02"/>
    <w:rsid w:val="00E756E6"/>
    <w:rsid w:val="00E75A92"/>
    <w:rsid w:val="00E770B7"/>
    <w:rsid w:val="00E77752"/>
    <w:rsid w:val="00E813AF"/>
    <w:rsid w:val="00E8228E"/>
    <w:rsid w:val="00E83808"/>
    <w:rsid w:val="00E92E8E"/>
    <w:rsid w:val="00E9348A"/>
    <w:rsid w:val="00E9573F"/>
    <w:rsid w:val="00E977EE"/>
    <w:rsid w:val="00EB274C"/>
    <w:rsid w:val="00EC03D1"/>
    <w:rsid w:val="00ED1658"/>
    <w:rsid w:val="00ED2F3D"/>
    <w:rsid w:val="00ED7B71"/>
    <w:rsid w:val="00EE3F6B"/>
    <w:rsid w:val="00EE5E27"/>
    <w:rsid w:val="00EF3703"/>
    <w:rsid w:val="00EF4406"/>
    <w:rsid w:val="00EF752B"/>
    <w:rsid w:val="00EF7F8D"/>
    <w:rsid w:val="00F00DEF"/>
    <w:rsid w:val="00F02737"/>
    <w:rsid w:val="00F04BAC"/>
    <w:rsid w:val="00F31BC4"/>
    <w:rsid w:val="00F321BD"/>
    <w:rsid w:val="00F32C31"/>
    <w:rsid w:val="00F34B5D"/>
    <w:rsid w:val="00F42626"/>
    <w:rsid w:val="00F51283"/>
    <w:rsid w:val="00F51DBF"/>
    <w:rsid w:val="00F541D1"/>
    <w:rsid w:val="00F67205"/>
    <w:rsid w:val="00F700F8"/>
    <w:rsid w:val="00F719AF"/>
    <w:rsid w:val="00F734CF"/>
    <w:rsid w:val="00F73B0D"/>
    <w:rsid w:val="00F80398"/>
    <w:rsid w:val="00F84F38"/>
    <w:rsid w:val="00F90469"/>
    <w:rsid w:val="00F91B47"/>
    <w:rsid w:val="00F96D29"/>
    <w:rsid w:val="00F974DE"/>
    <w:rsid w:val="00FA116F"/>
    <w:rsid w:val="00FA121B"/>
    <w:rsid w:val="00FA30E0"/>
    <w:rsid w:val="00FA6A3E"/>
    <w:rsid w:val="00FB1668"/>
    <w:rsid w:val="00FB3D9D"/>
    <w:rsid w:val="00FB7783"/>
    <w:rsid w:val="00FC2038"/>
    <w:rsid w:val="00FC25B0"/>
    <w:rsid w:val="00FC25CD"/>
    <w:rsid w:val="00FD5611"/>
    <w:rsid w:val="00FE22FF"/>
    <w:rsid w:val="00FE28FB"/>
    <w:rsid w:val="00FE3FB2"/>
    <w:rsid w:val="00FE65ED"/>
    <w:rsid w:val="00FF04B8"/>
    <w:rsid w:val="00FF0A46"/>
    <w:rsid w:val="00FF263E"/>
    <w:rsid w:val="00FF26DD"/>
    <w:rsid w:val="010239C0"/>
    <w:rsid w:val="01104D9D"/>
    <w:rsid w:val="0112673B"/>
    <w:rsid w:val="016163DF"/>
    <w:rsid w:val="0189382E"/>
    <w:rsid w:val="01AD2105"/>
    <w:rsid w:val="01CA1737"/>
    <w:rsid w:val="01DF4D72"/>
    <w:rsid w:val="021873C2"/>
    <w:rsid w:val="022D655E"/>
    <w:rsid w:val="02464B7A"/>
    <w:rsid w:val="02556504"/>
    <w:rsid w:val="027059E7"/>
    <w:rsid w:val="028573ED"/>
    <w:rsid w:val="02CA4404"/>
    <w:rsid w:val="02E41B7A"/>
    <w:rsid w:val="03036B4F"/>
    <w:rsid w:val="03540BC2"/>
    <w:rsid w:val="038E3879"/>
    <w:rsid w:val="038F2548"/>
    <w:rsid w:val="03C16935"/>
    <w:rsid w:val="03C337AF"/>
    <w:rsid w:val="04887EC3"/>
    <w:rsid w:val="04E260C8"/>
    <w:rsid w:val="05015D85"/>
    <w:rsid w:val="050D1ED9"/>
    <w:rsid w:val="05224BD2"/>
    <w:rsid w:val="053248CB"/>
    <w:rsid w:val="055E3320"/>
    <w:rsid w:val="058276E3"/>
    <w:rsid w:val="05CA429E"/>
    <w:rsid w:val="05DA6327"/>
    <w:rsid w:val="05F63873"/>
    <w:rsid w:val="0626644D"/>
    <w:rsid w:val="06581751"/>
    <w:rsid w:val="065F6A20"/>
    <w:rsid w:val="068D710F"/>
    <w:rsid w:val="07026D9A"/>
    <w:rsid w:val="0757610A"/>
    <w:rsid w:val="076E0DAA"/>
    <w:rsid w:val="07797498"/>
    <w:rsid w:val="078035EB"/>
    <w:rsid w:val="078967DD"/>
    <w:rsid w:val="07901481"/>
    <w:rsid w:val="07D30AA1"/>
    <w:rsid w:val="07E559D6"/>
    <w:rsid w:val="08692D59"/>
    <w:rsid w:val="08B24DB9"/>
    <w:rsid w:val="08B763FB"/>
    <w:rsid w:val="08BD2D0D"/>
    <w:rsid w:val="08F65014"/>
    <w:rsid w:val="08FC6C17"/>
    <w:rsid w:val="09504EEC"/>
    <w:rsid w:val="095837D1"/>
    <w:rsid w:val="09624441"/>
    <w:rsid w:val="097C6ABE"/>
    <w:rsid w:val="09CB07A5"/>
    <w:rsid w:val="09DD352B"/>
    <w:rsid w:val="09FA1CEB"/>
    <w:rsid w:val="09FB6644"/>
    <w:rsid w:val="0A1D5180"/>
    <w:rsid w:val="0A2C47AB"/>
    <w:rsid w:val="0A523FEA"/>
    <w:rsid w:val="0A601EED"/>
    <w:rsid w:val="0A7C2FDC"/>
    <w:rsid w:val="0A9125D1"/>
    <w:rsid w:val="0AC47B17"/>
    <w:rsid w:val="0ACA3981"/>
    <w:rsid w:val="0ACD7B4E"/>
    <w:rsid w:val="0B233E8C"/>
    <w:rsid w:val="0B907955"/>
    <w:rsid w:val="0BEE00B4"/>
    <w:rsid w:val="0BFD76B1"/>
    <w:rsid w:val="0C06083B"/>
    <w:rsid w:val="0C1B24DF"/>
    <w:rsid w:val="0C1D11FE"/>
    <w:rsid w:val="0C23286C"/>
    <w:rsid w:val="0C3B1F34"/>
    <w:rsid w:val="0C734494"/>
    <w:rsid w:val="0CAC1C09"/>
    <w:rsid w:val="0CB121FA"/>
    <w:rsid w:val="0CD310FD"/>
    <w:rsid w:val="0CDF1D53"/>
    <w:rsid w:val="0CE35DF0"/>
    <w:rsid w:val="0CF112C6"/>
    <w:rsid w:val="0D0B0B58"/>
    <w:rsid w:val="0D154075"/>
    <w:rsid w:val="0D4B0286"/>
    <w:rsid w:val="0DC12A26"/>
    <w:rsid w:val="0DCA0D5B"/>
    <w:rsid w:val="0DCD18EE"/>
    <w:rsid w:val="0DDE65C7"/>
    <w:rsid w:val="0DE436B1"/>
    <w:rsid w:val="0E2C11F7"/>
    <w:rsid w:val="0E4E4508"/>
    <w:rsid w:val="0E4F6D95"/>
    <w:rsid w:val="0E580B7C"/>
    <w:rsid w:val="0E617440"/>
    <w:rsid w:val="0E6F0323"/>
    <w:rsid w:val="0EA96CF7"/>
    <w:rsid w:val="0EB66C3D"/>
    <w:rsid w:val="0ECC0899"/>
    <w:rsid w:val="0F213F2A"/>
    <w:rsid w:val="0F345EEF"/>
    <w:rsid w:val="0F5F5AA1"/>
    <w:rsid w:val="0F7F421D"/>
    <w:rsid w:val="0F975849"/>
    <w:rsid w:val="0FAC06E2"/>
    <w:rsid w:val="0FB91083"/>
    <w:rsid w:val="0FBA6401"/>
    <w:rsid w:val="0FE0182B"/>
    <w:rsid w:val="0FE33542"/>
    <w:rsid w:val="10162B68"/>
    <w:rsid w:val="102C59C6"/>
    <w:rsid w:val="104A4EA2"/>
    <w:rsid w:val="10690A7B"/>
    <w:rsid w:val="10A95242"/>
    <w:rsid w:val="10BB48BB"/>
    <w:rsid w:val="10DA2086"/>
    <w:rsid w:val="10F8794C"/>
    <w:rsid w:val="112A2CF8"/>
    <w:rsid w:val="113109B0"/>
    <w:rsid w:val="11326319"/>
    <w:rsid w:val="1180197F"/>
    <w:rsid w:val="11966B4C"/>
    <w:rsid w:val="11AE3DFA"/>
    <w:rsid w:val="11E7339F"/>
    <w:rsid w:val="1211639E"/>
    <w:rsid w:val="12447F51"/>
    <w:rsid w:val="125A5100"/>
    <w:rsid w:val="1270143E"/>
    <w:rsid w:val="128D08CA"/>
    <w:rsid w:val="12917D34"/>
    <w:rsid w:val="12AB6274"/>
    <w:rsid w:val="12CD052F"/>
    <w:rsid w:val="13043D08"/>
    <w:rsid w:val="131B7FE7"/>
    <w:rsid w:val="138A583D"/>
    <w:rsid w:val="13A7508F"/>
    <w:rsid w:val="13F60372"/>
    <w:rsid w:val="142202ED"/>
    <w:rsid w:val="146B3793"/>
    <w:rsid w:val="14A8451B"/>
    <w:rsid w:val="14B17E5F"/>
    <w:rsid w:val="14C75E81"/>
    <w:rsid w:val="14D765EB"/>
    <w:rsid w:val="14F40059"/>
    <w:rsid w:val="14FF67C4"/>
    <w:rsid w:val="15114E50"/>
    <w:rsid w:val="15195596"/>
    <w:rsid w:val="151C2E1D"/>
    <w:rsid w:val="153006CD"/>
    <w:rsid w:val="15445AF6"/>
    <w:rsid w:val="157D11B5"/>
    <w:rsid w:val="15896B3B"/>
    <w:rsid w:val="159572EE"/>
    <w:rsid w:val="15B15863"/>
    <w:rsid w:val="15BA0B48"/>
    <w:rsid w:val="15D45853"/>
    <w:rsid w:val="165B0AB6"/>
    <w:rsid w:val="165B3754"/>
    <w:rsid w:val="16771F3D"/>
    <w:rsid w:val="16E40BF7"/>
    <w:rsid w:val="16EE610D"/>
    <w:rsid w:val="16F51533"/>
    <w:rsid w:val="17113B5D"/>
    <w:rsid w:val="17121351"/>
    <w:rsid w:val="17356848"/>
    <w:rsid w:val="17551687"/>
    <w:rsid w:val="179D60C8"/>
    <w:rsid w:val="17AB6E5C"/>
    <w:rsid w:val="17B9141F"/>
    <w:rsid w:val="17C60980"/>
    <w:rsid w:val="17E24852"/>
    <w:rsid w:val="17ED0B59"/>
    <w:rsid w:val="17FF34FE"/>
    <w:rsid w:val="18352026"/>
    <w:rsid w:val="18551E5F"/>
    <w:rsid w:val="186C78C5"/>
    <w:rsid w:val="18AA2D1C"/>
    <w:rsid w:val="192B2B50"/>
    <w:rsid w:val="195E6A67"/>
    <w:rsid w:val="19BA6A14"/>
    <w:rsid w:val="19CE2551"/>
    <w:rsid w:val="19D30F9F"/>
    <w:rsid w:val="19E90EE3"/>
    <w:rsid w:val="1A0B49B6"/>
    <w:rsid w:val="1A0F7918"/>
    <w:rsid w:val="1A1054AA"/>
    <w:rsid w:val="1A177038"/>
    <w:rsid w:val="1A5143A7"/>
    <w:rsid w:val="1A69775A"/>
    <w:rsid w:val="1A6D5653"/>
    <w:rsid w:val="1A76761B"/>
    <w:rsid w:val="1A7A02D9"/>
    <w:rsid w:val="1A7E6E32"/>
    <w:rsid w:val="1A861070"/>
    <w:rsid w:val="1AAD6985"/>
    <w:rsid w:val="1AC34C3C"/>
    <w:rsid w:val="1AFB1D3F"/>
    <w:rsid w:val="1B3772A2"/>
    <w:rsid w:val="1B8D1396"/>
    <w:rsid w:val="1B8E0F5E"/>
    <w:rsid w:val="1B8F5894"/>
    <w:rsid w:val="1B992A8B"/>
    <w:rsid w:val="1BAE4871"/>
    <w:rsid w:val="1BC05B5E"/>
    <w:rsid w:val="1BE508A5"/>
    <w:rsid w:val="1BF84525"/>
    <w:rsid w:val="1C07383C"/>
    <w:rsid w:val="1C0D0AC5"/>
    <w:rsid w:val="1C127AA2"/>
    <w:rsid w:val="1C572C62"/>
    <w:rsid w:val="1C63729E"/>
    <w:rsid w:val="1C933D07"/>
    <w:rsid w:val="1C99656B"/>
    <w:rsid w:val="1CA16DD2"/>
    <w:rsid w:val="1CB23B39"/>
    <w:rsid w:val="1D35042B"/>
    <w:rsid w:val="1D4F69F8"/>
    <w:rsid w:val="1D5F6621"/>
    <w:rsid w:val="1D796B9A"/>
    <w:rsid w:val="1D851A70"/>
    <w:rsid w:val="1D980B54"/>
    <w:rsid w:val="1DAD667C"/>
    <w:rsid w:val="1E41268B"/>
    <w:rsid w:val="1EAB67F5"/>
    <w:rsid w:val="1EAC7DC7"/>
    <w:rsid w:val="1EB34547"/>
    <w:rsid w:val="1EBD64C9"/>
    <w:rsid w:val="1ED1268F"/>
    <w:rsid w:val="1ED25476"/>
    <w:rsid w:val="1EE935DA"/>
    <w:rsid w:val="1EFB1B23"/>
    <w:rsid w:val="1F49119F"/>
    <w:rsid w:val="1F6027EE"/>
    <w:rsid w:val="1F7B1EF9"/>
    <w:rsid w:val="1FA67AC4"/>
    <w:rsid w:val="20071B2D"/>
    <w:rsid w:val="2015535A"/>
    <w:rsid w:val="2021218C"/>
    <w:rsid w:val="20302359"/>
    <w:rsid w:val="208A54E5"/>
    <w:rsid w:val="20B6292E"/>
    <w:rsid w:val="20D1623A"/>
    <w:rsid w:val="21153713"/>
    <w:rsid w:val="212A50E6"/>
    <w:rsid w:val="21503F34"/>
    <w:rsid w:val="21870251"/>
    <w:rsid w:val="2193587D"/>
    <w:rsid w:val="21CB2399"/>
    <w:rsid w:val="22286C0E"/>
    <w:rsid w:val="222C14FB"/>
    <w:rsid w:val="225620B5"/>
    <w:rsid w:val="22853B64"/>
    <w:rsid w:val="22C279DD"/>
    <w:rsid w:val="22C5241B"/>
    <w:rsid w:val="22CB5AEA"/>
    <w:rsid w:val="22EE6E36"/>
    <w:rsid w:val="22F94536"/>
    <w:rsid w:val="22F96DEE"/>
    <w:rsid w:val="23396270"/>
    <w:rsid w:val="23447EF3"/>
    <w:rsid w:val="234F317F"/>
    <w:rsid w:val="236F735D"/>
    <w:rsid w:val="23AF27A1"/>
    <w:rsid w:val="23E5206A"/>
    <w:rsid w:val="242E0FE3"/>
    <w:rsid w:val="244769EA"/>
    <w:rsid w:val="24484620"/>
    <w:rsid w:val="24774576"/>
    <w:rsid w:val="24BB012F"/>
    <w:rsid w:val="24DF398B"/>
    <w:rsid w:val="2502401B"/>
    <w:rsid w:val="251709E1"/>
    <w:rsid w:val="258D299E"/>
    <w:rsid w:val="259D04C7"/>
    <w:rsid w:val="25A726C9"/>
    <w:rsid w:val="25A86AD6"/>
    <w:rsid w:val="25C07ECE"/>
    <w:rsid w:val="25D247AD"/>
    <w:rsid w:val="261F72B2"/>
    <w:rsid w:val="263A7C4D"/>
    <w:rsid w:val="265E6BD8"/>
    <w:rsid w:val="267C5771"/>
    <w:rsid w:val="26A17B18"/>
    <w:rsid w:val="26C12082"/>
    <w:rsid w:val="26F06E4E"/>
    <w:rsid w:val="2702546B"/>
    <w:rsid w:val="275A7FE0"/>
    <w:rsid w:val="275C0FD4"/>
    <w:rsid w:val="275E6D5C"/>
    <w:rsid w:val="27854590"/>
    <w:rsid w:val="27A82CCA"/>
    <w:rsid w:val="27D1066D"/>
    <w:rsid w:val="27D4408E"/>
    <w:rsid w:val="27DA2EEE"/>
    <w:rsid w:val="282E4EF0"/>
    <w:rsid w:val="285665AE"/>
    <w:rsid w:val="28606F0E"/>
    <w:rsid w:val="28750EE6"/>
    <w:rsid w:val="288635E5"/>
    <w:rsid w:val="289217B3"/>
    <w:rsid w:val="28D067ED"/>
    <w:rsid w:val="290469A4"/>
    <w:rsid w:val="29696273"/>
    <w:rsid w:val="296F72BA"/>
    <w:rsid w:val="2983198D"/>
    <w:rsid w:val="29BF0913"/>
    <w:rsid w:val="29C74DCB"/>
    <w:rsid w:val="29D80C6B"/>
    <w:rsid w:val="29F86E17"/>
    <w:rsid w:val="2A123798"/>
    <w:rsid w:val="2A136415"/>
    <w:rsid w:val="2A327B83"/>
    <w:rsid w:val="2A6D003D"/>
    <w:rsid w:val="2A7C4FA2"/>
    <w:rsid w:val="2A820D24"/>
    <w:rsid w:val="2AED6CD3"/>
    <w:rsid w:val="2AF274E6"/>
    <w:rsid w:val="2B107799"/>
    <w:rsid w:val="2B171470"/>
    <w:rsid w:val="2B4178F3"/>
    <w:rsid w:val="2B4B4E4D"/>
    <w:rsid w:val="2B7800D0"/>
    <w:rsid w:val="2B965CA0"/>
    <w:rsid w:val="2BBC6B40"/>
    <w:rsid w:val="2BBF5D8F"/>
    <w:rsid w:val="2BE8170A"/>
    <w:rsid w:val="2BF21515"/>
    <w:rsid w:val="2C4861DE"/>
    <w:rsid w:val="2C600073"/>
    <w:rsid w:val="2C67665D"/>
    <w:rsid w:val="2C783060"/>
    <w:rsid w:val="2C7E0F8B"/>
    <w:rsid w:val="2C913E5F"/>
    <w:rsid w:val="2C926104"/>
    <w:rsid w:val="2C9F2472"/>
    <w:rsid w:val="2CB3090E"/>
    <w:rsid w:val="2CD41194"/>
    <w:rsid w:val="2D2C20F1"/>
    <w:rsid w:val="2D43015E"/>
    <w:rsid w:val="2D6128FB"/>
    <w:rsid w:val="2DA15DAA"/>
    <w:rsid w:val="2DF72B2C"/>
    <w:rsid w:val="2E472FAA"/>
    <w:rsid w:val="2E5917ED"/>
    <w:rsid w:val="2EDC5996"/>
    <w:rsid w:val="2F5C3CC7"/>
    <w:rsid w:val="2FF240D6"/>
    <w:rsid w:val="2FF64215"/>
    <w:rsid w:val="2FF84291"/>
    <w:rsid w:val="300D7698"/>
    <w:rsid w:val="303C2769"/>
    <w:rsid w:val="30504536"/>
    <w:rsid w:val="30B54D2A"/>
    <w:rsid w:val="30CB4EB8"/>
    <w:rsid w:val="30D771F0"/>
    <w:rsid w:val="30E237F0"/>
    <w:rsid w:val="30E83329"/>
    <w:rsid w:val="312C75DD"/>
    <w:rsid w:val="314010EF"/>
    <w:rsid w:val="31570AC4"/>
    <w:rsid w:val="3178157B"/>
    <w:rsid w:val="3178636E"/>
    <w:rsid w:val="31DE6CF8"/>
    <w:rsid w:val="32504AE8"/>
    <w:rsid w:val="325B09C6"/>
    <w:rsid w:val="326124A0"/>
    <w:rsid w:val="3264718F"/>
    <w:rsid w:val="326C67DD"/>
    <w:rsid w:val="326F0BB6"/>
    <w:rsid w:val="32DC3EEB"/>
    <w:rsid w:val="32FB7CBD"/>
    <w:rsid w:val="3301679D"/>
    <w:rsid w:val="33407E74"/>
    <w:rsid w:val="33475150"/>
    <w:rsid w:val="334E0780"/>
    <w:rsid w:val="335B6BD2"/>
    <w:rsid w:val="338016AD"/>
    <w:rsid w:val="338B66C7"/>
    <w:rsid w:val="33FF2E5F"/>
    <w:rsid w:val="340120DE"/>
    <w:rsid w:val="34AC3B1B"/>
    <w:rsid w:val="34B459EE"/>
    <w:rsid w:val="34BC3FF1"/>
    <w:rsid w:val="34C9721D"/>
    <w:rsid w:val="34DB6479"/>
    <w:rsid w:val="34DF3BB8"/>
    <w:rsid w:val="34E6005F"/>
    <w:rsid w:val="34E8383C"/>
    <w:rsid w:val="34F1326D"/>
    <w:rsid w:val="35306B46"/>
    <w:rsid w:val="354074DA"/>
    <w:rsid w:val="3541701A"/>
    <w:rsid w:val="355301CA"/>
    <w:rsid w:val="35572D81"/>
    <w:rsid w:val="358A7C24"/>
    <w:rsid w:val="35A23288"/>
    <w:rsid w:val="35BD22B0"/>
    <w:rsid w:val="35CD0ABB"/>
    <w:rsid w:val="364A2239"/>
    <w:rsid w:val="365147F8"/>
    <w:rsid w:val="3664134E"/>
    <w:rsid w:val="366600FD"/>
    <w:rsid w:val="366D21A0"/>
    <w:rsid w:val="36943715"/>
    <w:rsid w:val="3698176C"/>
    <w:rsid w:val="36D72660"/>
    <w:rsid w:val="371B5F82"/>
    <w:rsid w:val="375E42D4"/>
    <w:rsid w:val="377F5579"/>
    <w:rsid w:val="37C65637"/>
    <w:rsid w:val="37DB6101"/>
    <w:rsid w:val="37E57925"/>
    <w:rsid w:val="37F039D9"/>
    <w:rsid w:val="37FE5747"/>
    <w:rsid w:val="38125173"/>
    <w:rsid w:val="38861CAF"/>
    <w:rsid w:val="38894697"/>
    <w:rsid w:val="38B45FCF"/>
    <w:rsid w:val="38BB1240"/>
    <w:rsid w:val="38D938E0"/>
    <w:rsid w:val="38EA558B"/>
    <w:rsid w:val="3903234C"/>
    <w:rsid w:val="390C169C"/>
    <w:rsid w:val="39466E9A"/>
    <w:rsid w:val="3956137A"/>
    <w:rsid w:val="395726DC"/>
    <w:rsid w:val="398F79E6"/>
    <w:rsid w:val="3994794A"/>
    <w:rsid w:val="3A5B4889"/>
    <w:rsid w:val="3A9D4727"/>
    <w:rsid w:val="3AF16F8D"/>
    <w:rsid w:val="3B024DCA"/>
    <w:rsid w:val="3B3D1EC3"/>
    <w:rsid w:val="3B5A3926"/>
    <w:rsid w:val="3B6477E2"/>
    <w:rsid w:val="3B6F72D2"/>
    <w:rsid w:val="3BA01820"/>
    <w:rsid w:val="3BAA0CA8"/>
    <w:rsid w:val="3C1627BD"/>
    <w:rsid w:val="3C86239C"/>
    <w:rsid w:val="3C935C16"/>
    <w:rsid w:val="3CB97B91"/>
    <w:rsid w:val="3CBE4E90"/>
    <w:rsid w:val="3CC61A14"/>
    <w:rsid w:val="3CE9681C"/>
    <w:rsid w:val="3D5C7C70"/>
    <w:rsid w:val="3D5D75DA"/>
    <w:rsid w:val="3D694932"/>
    <w:rsid w:val="3D856DFB"/>
    <w:rsid w:val="3D9E3281"/>
    <w:rsid w:val="3DB054C2"/>
    <w:rsid w:val="3DB174C5"/>
    <w:rsid w:val="3DB21B9A"/>
    <w:rsid w:val="3DB762D6"/>
    <w:rsid w:val="3DC53C96"/>
    <w:rsid w:val="3DEE7185"/>
    <w:rsid w:val="3E0F43FC"/>
    <w:rsid w:val="3E13011F"/>
    <w:rsid w:val="3E377960"/>
    <w:rsid w:val="3E5633B0"/>
    <w:rsid w:val="3E69521D"/>
    <w:rsid w:val="3EA52B3C"/>
    <w:rsid w:val="3EAA07B7"/>
    <w:rsid w:val="3EE105A7"/>
    <w:rsid w:val="3F185276"/>
    <w:rsid w:val="3F1F0438"/>
    <w:rsid w:val="3F6D00E4"/>
    <w:rsid w:val="3FAA0F0A"/>
    <w:rsid w:val="3FAD4DB6"/>
    <w:rsid w:val="3FF16063"/>
    <w:rsid w:val="400903C2"/>
    <w:rsid w:val="402B63E0"/>
    <w:rsid w:val="402D130B"/>
    <w:rsid w:val="40865F01"/>
    <w:rsid w:val="40AC33A5"/>
    <w:rsid w:val="40B40285"/>
    <w:rsid w:val="40D11547"/>
    <w:rsid w:val="41451437"/>
    <w:rsid w:val="4159757E"/>
    <w:rsid w:val="41750DA2"/>
    <w:rsid w:val="41976398"/>
    <w:rsid w:val="421D605B"/>
    <w:rsid w:val="42327777"/>
    <w:rsid w:val="42491DBA"/>
    <w:rsid w:val="42492E97"/>
    <w:rsid w:val="42990B76"/>
    <w:rsid w:val="429B1260"/>
    <w:rsid w:val="42A134BA"/>
    <w:rsid w:val="43043234"/>
    <w:rsid w:val="431F5FA7"/>
    <w:rsid w:val="433D14E5"/>
    <w:rsid w:val="438C3B83"/>
    <w:rsid w:val="439568B5"/>
    <w:rsid w:val="44043CDF"/>
    <w:rsid w:val="44125006"/>
    <w:rsid w:val="447B6E14"/>
    <w:rsid w:val="44AA27AF"/>
    <w:rsid w:val="44AA7D20"/>
    <w:rsid w:val="44E30982"/>
    <w:rsid w:val="450B3366"/>
    <w:rsid w:val="45513EA9"/>
    <w:rsid w:val="45866B37"/>
    <w:rsid w:val="45B66A3C"/>
    <w:rsid w:val="45C07148"/>
    <w:rsid w:val="45E1355A"/>
    <w:rsid w:val="45ED1F18"/>
    <w:rsid w:val="460F09D0"/>
    <w:rsid w:val="46126F6A"/>
    <w:rsid w:val="462B63A7"/>
    <w:rsid w:val="46364C09"/>
    <w:rsid w:val="467C28EA"/>
    <w:rsid w:val="46826F39"/>
    <w:rsid w:val="46C46AF3"/>
    <w:rsid w:val="46E05AB2"/>
    <w:rsid w:val="470A1183"/>
    <w:rsid w:val="47291339"/>
    <w:rsid w:val="47927538"/>
    <w:rsid w:val="47967359"/>
    <w:rsid w:val="47AF5E05"/>
    <w:rsid w:val="47E9026B"/>
    <w:rsid w:val="4805405A"/>
    <w:rsid w:val="48107668"/>
    <w:rsid w:val="481C02F6"/>
    <w:rsid w:val="482F7554"/>
    <w:rsid w:val="48433E59"/>
    <w:rsid w:val="48582FE3"/>
    <w:rsid w:val="48BF791A"/>
    <w:rsid w:val="49032A1C"/>
    <w:rsid w:val="495D14BC"/>
    <w:rsid w:val="49AD6662"/>
    <w:rsid w:val="49E6155A"/>
    <w:rsid w:val="4A336768"/>
    <w:rsid w:val="4A541A5A"/>
    <w:rsid w:val="4A605BA3"/>
    <w:rsid w:val="4A64253C"/>
    <w:rsid w:val="4A99140C"/>
    <w:rsid w:val="4AAA1721"/>
    <w:rsid w:val="4ABE298D"/>
    <w:rsid w:val="4ABF4940"/>
    <w:rsid w:val="4AD51D05"/>
    <w:rsid w:val="4AD6354A"/>
    <w:rsid w:val="4AEB60D3"/>
    <w:rsid w:val="4B0476EA"/>
    <w:rsid w:val="4B120414"/>
    <w:rsid w:val="4B450E7D"/>
    <w:rsid w:val="4B720B7B"/>
    <w:rsid w:val="4BA2180D"/>
    <w:rsid w:val="4BAD4F5A"/>
    <w:rsid w:val="4BAF082E"/>
    <w:rsid w:val="4BBD1968"/>
    <w:rsid w:val="4BD0278D"/>
    <w:rsid w:val="4BD3076F"/>
    <w:rsid w:val="4BF55F04"/>
    <w:rsid w:val="4BFA557D"/>
    <w:rsid w:val="4C065D67"/>
    <w:rsid w:val="4C094306"/>
    <w:rsid w:val="4C5272CD"/>
    <w:rsid w:val="4C6E23B8"/>
    <w:rsid w:val="4C866082"/>
    <w:rsid w:val="4CE73DAD"/>
    <w:rsid w:val="4D07205E"/>
    <w:rsid w:val="4D185177"/>
    <w:rsid w:val="4D736E89"/>
    <w:rsid w:val="4DCE6B0C"/>
    <w:rsid w:val="4DD119CB"/>
    <w:rsid w:val="4E0B5A2D"/>
    <w:rsid w:val="4E203238"/>
    <w:rsid w:val="4E2B43F4"/>
    <w:rsid w:val="4E3C250A"/>
    <w:rsid w:val="4E920C06"/>
    <w:rsid w:val="4EC661AD"/>
    <w:rsid w:val="4EFC01A7"/>
    <w:rsid w:val="4EFC0AC5"/>
    <w:rsid w:val="4F181C5B"/>
    <w:rsid w:val="4F57304D"/>
    <w:rsid w:val="4F877CAC"/>
    <w:rsid w:val="4F896CAB"/>
    <w:rsid w:val="4FCE376B"/>
    <w:rsid w:val="4FE337A0"/>
    <w:rsid w:val="4FE93A5C"/>
    <w:rsid w:val="4FFB0E89"/>
    <w:rsid w:val="50242172"/>
    <w:rsid w:val="50421202"/>
    <w:rsid w:val="507023ED"/>
    <w:rsid w:val="50A00E7F"/>
    <w:rsid w:val="50AE7D07"/>
    <w:rsid w:val="50D03D65"/>
    <w:rsid w:val="50ED0DFE"/>
    <w:rsid w:val="515D3C39"/>
    <w:rsid w:val="516526CC"/>
    <w:rsid w:val="51BE5EF0"/>
    <w:rsid w:val="51E37A31"/>
    <w:rsid w:val="52441C55"/>
    <w:rsid w:val="524A4879"/>
    <w:rsid w:val="52694AB6"/>
    <w:rsid w:val="529B27DC"/>
    <w:rsid w:val="52AF0E4B"/>
    <w:rsid w:val="52D071A3"/>
    <w:rsid w:val="52D979D1"/>
    <w:rsid w:val="53061DA4"/>
    <w:rsid w:val="53452208"/>
    <w:rsid w:val="53676D7C"/>
    <w:rsid w:val="53842BE5"/>
    <w:rsid w:val="538B02F2"/>
    <w:rsid w:val="539E112F"/>
    <w:rsid w:val="53AB76DB"/>
    <w:rsid w:val="53C2317A"/>
    <w:rsid w:val="53C66B0D"/>
    <w:rsid w:val="53DB1362"/>
    <w:rsid w:val="53E7120F"/>
    <w:rsid w:val="540210C9"/>
    <w:rsid w:val="540E716F"/>
    <w:rsid w:val="541B0B01"/>
    <w:rsid w:val="542343CD"/>
    <w:rsid w:val="542C462B"/>
    <w:rsid w:val="54340D83"/>
    <w:rsid w:val="54456A8C"/>
    <w:rsid w:val="54596B29"/>
    <w:rsid w:val="545E16EB"/>
    <w:rsid w:val="5463295C"/>
    <w:rsid w:val="546B6465"/>
    <w:rsid w:val="54753DC0"/>
    <w:rsid w:val="54B341DC"/>
    <w:rsid w:val="54BA6302"/>
    <w:rsid w:val="54C15197"/>
    <w:rsid w:val="550A711E"/>
    <w:rsid w:val="55273D0B"/>
    <w:rsid w:val="555234EE"/>
    <w:rsid w:val="5593722B"/>
    <w:rsid w:val="55E269EE"/>
    <w:rsid w:val="560B4644"/>
    <w:rsid w:val="567509BD"/>
    <w:rsid w:val="56BB5411"/>
    <w:rsid w:val="56D47993"/>
    <w:rsid w:val="57050098"/>
    <w:rsid w:val="57307145"/>
    <w:rsid w:val="57356A6B"/>
    <w:rsid w:val="57540128"/>
    <w:rsid w:val="57AA3E2C"/>
    <w:rsid w:val="57B77B66"/>
    <w:rsid w:val="57C069C7"/>
    <w:rsid w:val="57CE2D85"/>
    <w:rsid w:val="57EA18C7"/>
    <w:rsid w:val="57F93EDE"/>
    <w:rsid w:val="585E4491"/>
    <w:rsid w:val="58BD0BB0"/>
    <w:rsid w:val="58C774C1"/>
    <w:rsid w:val="59100666"/>
    <w:rsid w:val="591D163C"/>
    <w:rsid w:val="59434DF4"/>
    <w:rsid w:val="594D4D81"/>
    <w:rsid w:val="59761338"/>
    <w:rsid w:val="5989657B"/>
    <w:rsid w:val="59AA53C3"/>
    <w:rsid w:val="59CE0282"/>
    <w:rsid w:val="59F809FE"/>
    <w:rsid w:val="5A4E1144"/>
    <w:rsid w:val="5A531E9C"/>
    <w:rsid w:val="5A955DA4"/>
    <w:rsid w:val="5AB41179"/>
    <w:rsid w:val="5AB51960"/>
    <w:rsid w:val="5ABC3E2E"/>
    <w:rsid w:val="5AD52730"/>
    <w:rsid w:val="5ADA12A8"/>
    <w:rsid w:val="5AE801ED"/>
    <w:rsid w:val="5AE82547"/>
    <w:rsid w:val="5AF64CF8"/>
    <w:rsid w:val="5B414699"/>
    <w:rsid w:val="5B661B6F"/>
    <w:rsid w:val="5B862F40"/>
    <w:rsid w:val="5BA03AA5"/>
    <w:rsid w:val="5BD50B7C"/>
    <w:rsid w:val="5C2B24F8"/>
    <w:rsid w:val="5C4311F7"/>
    <w:rsid w:val="5C551993"/>
    <w:rsid w:val="5C843F39"/>
    <w:rsid w:val="5CDA2791"/>
    <w:rsid w:val="5CE56352"/>
    <w:rsid w:val="5D291304"/>
    <w:rsid w:val="5D375272"/>
    <w:rsid w:val="5D6240E6"/>
    <w:rsid w:val="5D635C99"/>
    <w:rsid w:val="5D696AA8"/>
    <w:rsid w:val="5D792F07"/>
    <w:rsid w:val="5DB52607"/>
    <w:rsid w:val="5DC158C5"/>
    <w:rsid w:val="5DC8216E"/>
    <w:rsid w:val="5DD63E22"/>
    <w:rsid w:val="5E07171A"/>
    <w:rsid w:val="5E293491"/>
    <w:rsid w:val="5E2A77F2"/>
    <w:rsid w:val="5E426EEB"/>
    <w:rsid w:val="5EA15347"/>
    <w:rsid w:val="5EE06AEA"/>
    <w:rsid w:val="5F1C7497"/>
    <w:rsid w:val="5F215C2E"/>
    <w:rsid w:val="5F3F34FD"/>
    <w:rsid w:val="5F496058"/>
    <w:rsid w:val="5F827CD1"/>
    <w:rsid w:val="5F940598"/>
    <w:rsid w:val="5FB224F1"/>
    <w:rsid w:val="60184C0B"/>
    <w:rsid w:val="60346C15"/>
    <w:rsid w:val="603560AD"/>
    <w:rsid w:val="609252EF"/>
    <w:rsid w:val="60B50849"/>
    <w:rsid w:val="60C42C98"/>
    <w:rsid w:val="60D60D0B"/>
    <w:rsid w:val="60E21E3A"/>
    <w:rsid w:val="6103639C"/>
    <w:rsid w:val="610657D8"/>
    <w:rsid w:val="61231049"/>
    <w:rsid w:val="615B4E27"/>
    <w:rsid w:val="6171087D"/>
    <w:rsid w:val="61A20E38"/>
    <w:rsid w:val="61CA5F92"/>
    <w:rsid w:val="61CE617A"/>
    <w:rsid w:val="62037167"/>
    <w:rsid w:val="620B159E"/>
    <w:rsid w:val="62111E56"/>
    <w:rsid w:val="622B717A"/>
    <w:rsid w:val="625B344D"/>
    <w:rsid w:val="62B44DA4"/>
    <w:rsid w:val="62C16575"/>
    <w:rsid w:val="62CC119A"/>
    <w:rsid w:val="63280479"/>
    <w:rsid w:val="634C215A"/>
    <w:rsid w:val="636A4BBF"/>
    <w:rsid w:val="63701E66"/>
    <w:rsid w:val="6390261B"/>
    <w:rsid w:val="63CD4EC2"/>
    <w:rsid w:val="63E50156"/>
    <w:rsid w:val="63FB15A6"/>
    <w:rsid w:val="642A43F7"/>
    <w:rsid w:val="646B5C2F"/>
    <w:rsid w:val="64804BF1"/>
    <w:rsid w:val="648709D7"/>
    <w:rsid w:val="648D7EBB"/>
    <w:rsid w:val="64C93F7D"/>
    <w:rsid w:val="64D07BD7"/>
    <w:rsid w:val="64F715C2"/>
    <w:rsid w:val="65024597"/>
    <w:rsid w:val="652D3071"/>
    <w:rsid w:val="6559795E"/>
    <w:rsid w:val="655F2DAE"/>
    <w:rsid w:val="659C0673"/>
    <w:rsid w:val="65CC063D"/>
    <w:rsid w:val="66102E9C"/>
    <w:rsid w:val="66324D3E"/>
    <w:rsid w:val="663A49D8"/>
    <w:rsid w:val="669A63D4"/>
    <w:rsid w:val="66C425BA"/>
    <w:rsid w:val="66CA3452"/>
    <w:rsid w:val="66CC38D6"/>
    <w:rsid w:val="66DB43F2"/>
    <w:rsid w:val="66DF373A"/>
    <w:rsid w:val="673103B4"/>
    <w:rsid w:val="673718A2"/>
    <w:rsid w:val="677E2F08"/>
    <w:rsid w:val="6789768B"/>
    <w:rsid w:val="67B82FCE"/>
    <w:rsid w:val="67BC2941"/>
    <w:rsid w:val="67DF5332"/>
    <w:rsid w:val="681D48E0"/>
    <w:rsid w:val="685460B1"/>
    <w:rsid w:val="687515AC"/>
    <w:rsid w:val="68D1106E"/>
    <w:rsid w:val="68DC06B2"/>
    <w:rsid w:val="68E062AE"/>
    <w:rsid w:val="69087B81"/>
    <w:rsid w:val="69897835"/>
    <w:rsid w:val="69A46530"/>
    <w:rsid w:val="6A0C5AC1"/>
    <w:rsid w:val="6A7A586E"/>
    <w:rsid w:val="6A8A31DD"/>
    <w:rsid w:val="6AA90C20"/>
    <w:rsid w:val="6ABE0263"/>
    <w:rsid w:val="6AC64BB8"/>
    <w:rsid w:val="6AF6758F"/>
    <w:rsid w:val="6B2A3C39"/>
    <w:rsid w:val="6B432278"/>
    <w:rsid w:val="6B5910FC"/>
    <w:rsid w:val="6B700773"/>
    <w:rsid w:val="6B783CE6"/>
    <w:rsid w:val="6B852117"/>
    <w:rsid w:val="6B89736E"/>
    <w:rsid w:val="6B8F0722"/>
    <w:rsid w:val="6BCA38B1"/>
    <w:rsid w:val="6C135097"/>
    <w:rsid w:val="6C2634C8"/>
    <w:rsid w:val="6C444200"/>
    <w:rsid w:val="6C5D7E45"/>
    <w:rsid w:val="6CDA5B27"/>
    <w:rsid w:val="6CFB4F41"/>
    <w:rsid w:val="6D050115"/>
    <w:rsid w:val="6D2B003C"/>
    <w:rsid w:val="6D711D85"/>
    <w:rsid w:val="6D9A7A67"/>
    <w:rsid w:val="6D9D6C17"/>
    <w:rsid w:val="6DD376A4"/>
    <w:rsid w:val="6DF57521"/>
    <w:rsid w:val="6E6A3137"/>
    <w:rsid w:val="6E993A59"/>
    <w:rsid w:val="6EB368A1"/>
    <w:rsid w:val="6EB53DDC"/>
    <w:rsid w:val="6ECC516B"/>
    <w:rsid w:val="6F3C3739"/>
    <w:rsid w:val="6F493A9C"/>
    <w:rsid w:val="6F4B0361"/>
    <w:rsid w:val="6F510D60"/>
    <w:rsid w:val="6F5B082F"/>
    <w:rsid w:val="6F5D2288"/>
    <w:rsid w:val="6F73379C"/>
    <w:rsid w:val="6F87409D"/>
    <w:rsid w:val="6FB47889"/>
    <w:rsid w:val="6FDE370C"/>
    <w:rsid w:val="704C5FDD"/>
    <w:rsid w:val="704E09A1"/>
    <w:rsid w:val="705D76D8"/>
    <w:rsid w:val="706224E4"/>
    <w:rsid w:val="706D12CD"/>
    <w:rsid w:val="706E3A87"/>
    <w:rsid w:val="70B57726"/>
    <w:rsid w:val="70D977DB"/>
    <w:rsid w:val="70E64BA9"/>
    <w:rsid w:val="70F918FB"/>
    <w:rsid w:val="710B5F7A"/>
    <w:rsid w:val="710D3C50"/>
    <w:rsid w:val="711747A4"/>
    <w:rsid w:val="71207821"/>
    <w:rsid w:val="71242665"/>
    <w:rsid w:val="7155456A"/>
    <w:rsid w:val="71640F8A"/>
    <w:rsid w:val="716D1FE6"/>
    <w:rsid w:val="71E601FC"/>
    <w:rsid w:val="726E0157"/>
    <w:rsid w:val="72A22301"/>
    <w:rsid w:val="72FB3805"/>
    <w:rsid w:val="731321A0"/>
    <w:rsid w:val="73335525"/>
    <w:rsid w:val="73953F25"/>
    <w:rsid w:val="73C024AA"/>
    <w:rsid w:val="73D757F4"/>
    <w:rsid w:val="74616684"/>
    <w:rsid w:val="74711D1B"/>
    <w:rsid w:val="747931AD"/>
    <w:rsid w:val="74BD4DF7"/>
    <w:rsid w:val="74CD686B"/>
    <w:rsid w:val="74DB024E"/>
    <w:rsid w:val="75670F6A"/>
    <w:rsid w:val="75850B96"/>
    <w:rsid w:val="758C59BB"/>
    <w:rsid w:val="75BD6E0B"/>
    <w:rsid w:val="75D84611"/>
    <w:rsid w:val="75DB3866"/>
    <w:rsid w:val="75E8003A"/>
    <w:rsid w:val="760C02ED"/>
    <w:rsid w:val="76351CF8"/>
    <w:rsid w:val="76467472"/>
    <w:rsid w:val="765B7C92"/>
    <w:rsid w:val="76B1473C"/>
    <w:rsid w:val="77056B3A"/>
    <w:rsid w:val="773D6FC6"/>
    <w:rsid w:val="77594B19"/>
    <w:rsid w:val="776D2C8E"/>
    <w:rsid w:val="77771D81"/>
    <w:rsid w:val="7786285B"/>
    <w:rsid w:val="77992DEC"/>
    <w:rsid w:val="783604AF"/>
    <w:rsid w:val="783C38BE"/>
    <w:rsid w:val="783E688C"/>
    <w:rsid w:val="78787FF5"/>
    <w:rsid w:val="789C6A15"/>
    <w:rsid w:val="78A046A3"/>
    <w:rsid w:val="78BB3569"/>
    <w:rsid w:val="78BE2D27"/>
    <w:rsid w:val="78BF635E"/>
    <w:rsid w:val="78D35394"/>
    <w:rsid w:val="791C6010"/>
    <w:rsid w:val="79427F80"/>
    <w:rsid w:val="796567B6"/>
    <w:rsid w:val="796E29C6"/>
    <w:rsid w:val="797742FA"/>
    <w:rsid w:val="797E1F8E"/>
    <w:rsid w:val="79854430"/>
    <w:rsid w:val="7A1C6E5B"/>
    <w:rsid w:val="7A303DA9"/>
    <w:rsid w:val="7A492189"/>
    <w:rsid w:val="7A567F6D"/>
    <w:rsid w:val="7A615287"/>
    <w:rsid w:val="7A8A60AB"/>
    <w:rsid w:val="7AA85F36"/>
    <w:rsid w:val="7AD25F26"/>
    <w:rsid w:val="7AD33C6D"/>
    <w:rsid w:val="7ADD7095"/>
    <w:rsid w:val="7AF24358"/>
    <w:rsid w:val="7B1A47B4"/>
    <w:rsid w:val="7B310F45"/>
    <w:rsid w:val="7B3A2214"/>
    <w:rsid w:val="7B591202"/>
    <w:rsid w:val="7B774A1A"/>
    <w:rsid w:val="7B9155D6"/>
    <w:rsid w:val="7BD332B4"/>
    <w:rsid w:val="7C492AA3"/>
    <w:rsid w:val="7C5631C9"/>
    <w:rsid w:val="7C5D202D"/>
    <w:rsid w:val="7C63285F"/>
    <w:rsid w:val="7C8A51CC"/>
    <w:rsid w:val="7C96418D"/>
    <w:rsid w:val="7C9A4009"/>
    <w:rsid w:val="7CB07EEC"/>
    <w:rsid w:val="7D401470"/>
    <w:rsid w:val="7D746702"/>
    <w:rsid w:val="7D7E1F1F"/>
    <w:rsid w:val="7D84174E"/>
    <w:rsid w:val="7D90710C"/>
    <w:rsid w:val="7DA3376E"/>
    <w:rsid w:val="7DC111BB"/>
    <w:rsid w:val="7DD569FF"/>
    <w:rsid w:val="7EAC4623"/>
    <w:rsid w:val="7EB062FE"/>
    <w:rsid w:val="7F005A30"/>
    <w:rsid w:val="7F2577E8"/>
    <w:rsid w:val="7F3051AD"/>
    <w:rsid w:val="7F4803E5"/>
    <w:rsid w:val="7F77257B"/>
    <w:rsid w:val="7FA32693"/>
    <w:rsid w:val="7FAB23A0"/>
    <w:rsid w:val="7FB425AA"/>
    <w:rsid w:val="7FF06CA1"/>
    <w:rsid w:val="7FFD4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jc w:val="center"/>
      <w:outlineLvl w:val="0"/>
    </w:pPr>
    <w:rPr>
      <w:b/>
      <w:bCs/>
      <w:kern w:val="44"/>
      <w:sz w:val="32"/>
      <w:szCs w:val="44"/>
    </w:rPr>
  </w:style>
  <w:style w:type="paragraph" w:styleId="4">
    <w:name w:val="heading 2"/>
    <w:basedOn w:val="1"/>
    <w:next w:val="1"/>
    <w:link w:val="51"/>
    <w:qFormat/>
    <w:uiPriority w:val="0"/>
    <w:pPr>
      <w:keepNext/>
      <w:keepLines/>
      <w:spacing w:before="260" w:after="260" w:line="416" w:lineRule="auto"/>
      <w:jc w:val="center"/>
      <w:outlineLvl w:val="1"/>
    </w:pPr>
    <w:rPr>
      <w:rFonts w:ascii="Arial" w:hAnsi="Arial"/>
      <w:b/>
      <w:bCs/>
      <w:sz w:val="28"/>
      <w:szCs w:val="32"/>
    </w:rPr>
  </w:style>
  <w:style w:type="paragraph" w:styleId="5">
    <w:name w:val="heading 3"/>
    <w:basedOn w:val="1"/>
    <w:next w:val="1"/>
    <w:link w:val="118"/>
    <w:qFormat/>
    <w:uiPriority w:val="0"/>
    <w:pPr>
      <w:keepNext/>
      <w:keepLines/>
      <w:spacing w:before="260" w:after="260" w:line="416" w:lineRule="auto"/>
      <w:jc w:val="left"/>
      <w:outlineLvl w:val="2"/>
    </w:pPr>
    <w:rPr>
      <w:b/>
      <w:bCs/>
      <w:sz w:val="24"/>
      <w:szCs w:val="32"/>
    </w:rPr>
  </w:style>
  <w:style w:type="paragraph" w:styleId="6">
    <w:name w:val="heading 4"/>
    <w:basedOn w:val="1"/>
    <w:next w:val="1"/>
    <w:link w:val="9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7"/>
    <w:basedOn w:val="1"/>
    <w:next w:val="1"/>
    <w:qFormat/>
    <w:uiPriority w:val="1"/>
    <w:pPr>
      <w:ind w:left="600"/>
      <w:outlineLvl w:val="6"/>
    </w:pPr>
    <w:rPr>
      <w:rFonts w:ascii="宋体" w:hAnsi="宋体" w:cs="宋体"/>
      <w:sz w:val="24"/>
      <w:lang w:val="zh-CN" w:bidi="zh-CN"/>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spacing w:before="280" w:after="156" w:line="377" w:lineRule="auto"/>
      <w:outlineLvl w:val="4"/>
    </w:pPr>
    <w:rPr>
      <w:rFonts w:ascii="Arial" w:hAnsi="Arial" w:eastAsia="黑体" w:cs="Arial"/>
      <w:b/>
      <w:bCs/>
    </w:r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link w:val="64"/>
    <w:qFormat/>
    <w:uiPriority w:val="0"/>
    <w:pPr>
      <w:ind w:firstLine="420" w:firstLineChars="200"/>
    </w:pPr>
  </w:style>
  <w:style w:type="paragraph" w:styleId="10">
    <w:name w:val="Document Map"/>
    <w:basedOn w:val="1"/>
    <w:link w:val="76"/>
    <w:qFormat/>
    <w:uiPriority w:val="0"/>
    <w:rPr>
      <w:rFonts w:ascii="宋体"/>
      <w:sz w:val="18"/>
      <w:szCs w:val="18"/>
    </w:rPr>
  </w:style>
  <w:style w:type="paragraph" w:styleId="11">
    <w:name w:val="annotation text"/>
    <w:basedOn w:val="1"/>
    <w:link w:val="67"/>
    <w:qFormat/>
    <w:uiPriority w:val="99"/>
    <w:pPr>
      <w:jc w:val="left"/>
    </w:pPr>
    <w:rPr>
      <w:rFonts w:asciiTheme="minorHAnsi" w:hAnsiTheme="minorHAnsi" w:eastAsiaTheme="minorEastAsia" w:cstheme="minorBidi"/>
      <w:sz w:val="18"/>
      <w:szCs w:val="22"/>
    </w:rPr>
  </w:style>
  <w:style w:type="paragraph" w:styleId="12">
    <w:name w:val="Body Text"/>
    <w:basedOn w:val="1"/>
    <w:next w:val="13"/>
    <w:link w:val="77"/>
    <w:qFormat/>
    <w:uiPriority w:val="0"/>
    <w:pPr>
      <w:spacing w:after="120"/>
    </w:pPr>
  </w:style>
  <w:style w:type="paragraph" w:styleId="13">
    <w:name w:val="Subtitle"/>
    <w:basedOn w:val="1"/>
    <w:next w:val="1"/>
    <w:qFormat/>
    <w:uiPriority w:val="0"/>
    <w:pPr>
      <w:wordWrap w:val="0"/>
      <w:spacing w:after="60"/>
      <w:jc w:val="center"/>
    </w:pPr>
    <w:rPr>
      <w:sz w:val="24"/>
    </w:rPr>
  </w:style>
  <w:style w:type="paragraph" w:styleId="14">
    <w:name w:val="Body Text Indent"/>
    <w:basedOn w:val="1"/>
    <w:link w:val="53"/>
    <w:qFormat/>
    <w:uiPriority w:val="0"/>
    <w:pPr>
      <w:ind w:firstLine="630"/>
    </w:pPr>
    <w:rPr>
      <w:sz w:val="32"/>
      <w:szCs w:val="20"/>
    </w:rPr>
  </w:style>
  <w:style w:type="paragraph" w:styleId="15">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6">
    <w:name w:val="toc 3"/>
    <w:basedOn w:val="1"/>
    <w:next w:val="1"/>
    <w:unhideWhenUsed/>
    <w:qFormat/>
    <w:uiPriority w:val="39"/>
    <w:pPr>
      <w:ind w:left="840" w:leftChars="400"/>
    </w:pPr>
  </w:style>
  <w:style w:type="paragraph" w:styleId="17">
    <w:name w:val="Plain Text"/>
    <w:basedOn w:val="1"/>
    <w:link w:val="69"/>
    <w:qFormat/>
    <w:uiPriority w:val="0"/>
    <w:pPr>
      <w:autoSpaceDE w:val="0"/>
      <w:autoSpaceDN w:val="0"/>
      <w:adjustRightInd w:val="0"/>
    </w:pPr>
    <w:rPr>
      <w:rFonts w:ascii="宋体" w:hAnsi="Tms Rmn" w:cstheme="minorBidi"/>
      <w:szCs w:val="22"/>
    </w:rPr>
  </w:style>
  <w:style w:type="paragraph" w:styleId="1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9">
    <w:name w:val="Body Text Indent 2"/>
    <w:basedOn w:val="1"/>
    <w:link w:val="57"/>
    <w:qFormat/>
    <w:uiPriority w:val="0"/>
    <w:pPr>
      <w:spacing w:after="120" w:line="480" w:lineRule="auto"/>
      <w:ind w:left="420" w:leftChars="200"/>
    </w:pPr>
  </w:style>
  <w:style w:type="paragraph" w:styleId="20">
    <w:name w:val="Balloon Text"/>
    <w:basedOn w:val="1"/>
    <w:link w:val="63"/>
    <w:qFormat/>
    <w:uiPriority w:val="0"/>
    <w:rPr>
      <w:sz w:val="18"/>
      <w:szCs w:val="18"/>
    </w:rPr>
  </w:style>
  <w:style w:type="paragraph" w:styleId="21">
    <w:name w:val="footer"/>
    <w:basedOn w:val="1"/>
    <w:link w:val="49"/>
    <w:unhideWhenUsed/>
    <w:qFormat/>
    <w:uiPriority w:val="99"/>
    <w:pPr>
      <w:tabs>
        <w:tab w:val="center" w:pos="4153"/>
        <w:tab w:val="right" w:pos="8306"/>
      </w:tabs>
      <w:snapToGrid w:val="0"/>
      <w:jc w:val="left"/>
    </w:pPr>
    <w:rPr>
      <w:sz w:val="18"/>
      <w:szCs w:val="18"/>
    </w:rPr>
  </w:style>
  <w:style w:type="paragraph" w:styleId="22">
    <w:name w:val="header"/>
    <w:basedOn w:val="1"/>
    <w:link w:val="48"/>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line="360" w:lineRule="auto"/>
    </w:pPr>
    <w:rPr>
      <w:rFonts w:eastAsia="微软雅黑"/>
      <w:sz w:val="24"/>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6">
    <w:name w:val="Body Text Indent 3"/>
    <w:basedOn w:val="1"/>
    <w:link w:val="58"/>
    <w:qFormat/>
    <w:uiPriority w:val="0"/>
    <w:pPr>
      <w:spacing w:after="120"/>
      <w:ind w:left="420" w:leftChars="200"/>
    </w:pPr>
    <w:rPr>
      <w:sz w:val="16"/>
      <w:szCs w:val="16"/>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30">
    <w:name w:val="Title"/>
    <w:basedOn w:val="1"/>
    <w:next w:val="1"/>
    <w:link w:val="80"/>
    <w:qFormat/>
    <w:uiPriority w:val="10"/>
    <w:pPr>
      <w:spacing w:before="240" w:after="60"/>
      <w:jc w:val="center"/>
      <w:outlineLvl w:val="0"/>
    </w:pPr>
    <w:rPr>
      <w:rFonts w:asciiTheme="majorHAnsi" w:hAnsiTheme="majorHAnsi" w:cstheme="majorBidi"/>
      <w:b/>
      <w:bCs/>
      <w:sz w:val="32"/>
      <w:szCs w:val="32"/>
    </w:rPr>
  </w:style>
  <w:style w:type="paragraph" w:styleId="31">
    <w:name w:val="annotation subject"/>
    <w:basedOn w:val="11"/>
    <w:next w:val="11"/>
    <w:link w:val="74"/>
    <w:qFormat/>
    <w:uiPriority w:val="0"/>
    <w:rPr>
      <w:b/>
      <w:bCs/>
      <w:sz w:val="21"/>
      <w:szCs w:val="24"/>
    </w:rPr>
  </w:style>
  <w:style w:type="paragraph" w:styleId="32">
    <w:name w:val="Body Text First Indent"/>
    <w:basedOn w:val="12"/>
    <w:qFormat/>
    <w:uiPriority w:val="0"/>
    <w:pPr>
      <w:spacing w:line="360" w:lineRule="auto"/>
      <w:ind w:firstLine="420"/>
    </w:pPr>
    <w:rPr>
      <w:rFonts w:ascii="宋体" w:hAnsi="宋体"/>
      <w:sz w:val="24"/>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rFonts w:cs="Times New Roman"/>
      <w:b/>
      <w:bCs/>
    </w:rPr>
  </w:style>
  <w:style w:type="character" w:styleId="37">
    <w:name w:val="page number"/>
    <w:basedOn w:val="35"/>
    <w:qFormat/>
    <w:uiPriority w:val="0"/>
  </w:style>
  <w:style w:type="character" w:styleId="38">
    <w:name w:val="FollowedHyperlink"/>
    <w:basedOn w:val="35"/>
    <w:unhideWhenUsed/>
    <w:qFormat/>
    <w:uiPriority w:val="99"/>
    <w:rPr>
      <w:color w:val="3D3D3D"/>
      <w:u w:val="none"/>
    </w:rPr>
  </w:style>
  <w:style w:type="character" w:styleId="39">
    <w:name w:val="Emphasis"/>
    <w:qFormat/>
    <w:uiPriority w:val="0"/>
    <w:rPr>
      <w:color w:val="000000"/>
      <w:sz w:val="24"/>
      <w:szCs w:val="24"/>
    </w:rPr>
  </w:style>
  <w:style w:type="character" w:styleId="40">
    <w:name w:val="HTML Definition"/>
    <w:basedOn w:val="35"/>
    <w:unhideWhenUsed/>
    <w:qFormat/>
    <w:uiPriority w:val="99"/>
  </w:style>
  <w:style w:type="character" w:styleId="41">
    <w:name w:val="HTML Variable"/>
    <w:basedOn w:val="35"/>
    <w:unhideWhenUsed/>
    <w:qFormat/>
    <w:uiPriority w:val="99"/>
  </w:style>
  <w:style w:type="character" w:styleId="42">
    <w:name w:val="Hyperlink"/>
    <w:basedOn w:val="35"/>
    <w:qFormat/>
    <w:uiPriority w:val="99"/>
    <w:rPr>
      <w:color w:val="3D3D3D"/>
      <w:u w:val="none"/>
    </w:rPr>
  </w:style>
  <w:style w:type="character" w:styleId="43">
    <w:name w:val="HTML Code"/>
    <w:basedOn w:val="35"/>
    <w:unhideWhenUsed/>
    <w:qFormat/>
    <w:uiPriority w:val="99"/>
    <w:rPr>
      <w:rFonts w:ascii="Courier New" w:hAnsi="Courier New"/>
      <w:sz w:val="20"/>
    </w:rPr>
  </w:style>
  <w:style w:type="character" w:styleId="44">
    <w:name w:val="annotation reference"/>
    <w:basedOn w:val="35"/>
    <w:qFormat/>
    <w:uiPriority w:val="0"/>
    <w:rPr>
      <w:sz w:val="21"/>
      <w:szCs w:val="21"/>
    </w:rPr>
  </w:style>
  <w:style w:type="character" w:styleId="45">
    <w:name w:val="HTML Cite"/>
    <w:basedOn w:val="35"/>
    <w:unhideWhenUsed/>
    <w:qFormat/>
    <w:uiPriority w:val="99"/>
  </w:style>
  <w:style w:type="paragraph" w:customStyle="1" w:styleId="46">
    <w:name w:val="正文（绿盟科技）"/>
    <w:qFormat/>
    <w:uiPriority w:val="99"/>
    <w:pPr>
      <w:spacing w:line="300" w:lineRule="auto"/>
    </w:pPr>
    <w:rPr>
      <w:rFonts w:ascii="Arial" w:hAnsi="Arial" w:eastAsia="宋体" w:cs="Arial"/>
      <w:sz w:val="21"/>
      <w:szCs w:val="21"/>
      <w:lang w:val="en-US" w:eastAsia="zh-CN" w:bidi="ar-SA"/>
    </w:rPr>
  </w:style>
  <w:style w:type="paragraph" w:customStyle="1" w:styleId="47">
    <w:name w:val="Default"/>
    <w:next w:val="1"/>
    <w:qFormat/>
    <w:uiPriority w:val="0"/>
    <w:pPr>
      <w:widowControl w:val="0"/>
      <w:autoSpaceDE w:val="0"/>
      <w:autoSpaceDN w:val="0"/>
    </w:pPr>
    <w:rPr>
      <w:rFonts w:ascii="Arial" w:hAnsi="Times New Roman" w:eastAsia="宋体" w:cs="Times New Roman"/>
      <w:color w:val="000000"/>
      <w:sz w:val="24"/>
      <w:lang w:val="en-US" w:eastAsia="zh-CN" w:bidi="ar-SA"/>
    </w:rPr>
  </w:style>
  <w:style w:type="character" w:customStyle="1" w:styleId="48">
    <w:name w:val="页眉 字符"/>
    <w:basedOn w:val="35"/>
    <w:link w:val="22"/>
    <w:qFormat/>
    <w:uiPriority w:val="0"/>
    <w:rPr>
      <w:sz w:val="18"/>
      <w:szCs w:val="18"/>
    </w:rPr>
  </w:style>
  <w:style w:type="character" w:customStyle="1" w:styleId="49">
    <w:name w:val="页脚 字符"/>
    <w:basedOn w:val="35"/>
    <w:link w:val="21"/>
    <w:qFormat/>
    <w:uiPriority w:val="99"/>
    <w:rPr>
      <w:sz w:val="18"/>
      <w:szCs w:val="18"/>
    </w:rPr>
  </w:style>
  <w:style w:type="character" w:customStyle="1" w:styleId="50">
    <w:name w:val="标题 1 字符"/>
    <w:basedOn w:val="35"/>
    <w:link w:val="3"/>
    <w:qFormat/>
    <w:uiPriority w:val="0"/>
    <w:rPr>
      <w:rFonts w:ascii="Times New Roman" w:hAnsi="Times New Roman" w:eastAsia="宋体" w:cs="Times New Roman"/>
      <w:b/>
      <w:bCs/>
      <w:kern w:val="44"/>
      <w:sz w:val="32"/>
      <w:szCs w:val="44"/>
    </w:rPr>
  </w:style>
  <w:style w:type="character" w:customStyle="1" w:styleId="51">
    <w:name w:val="标题 2 字符"/>
    <w:basedOn w:val="35"/>
    <w:link w:val="4"/>
    <w:qFormat/>
    <w:uiPriority w:val="0"/>
    <w:rPr>
      <w:rFonts w:ascii="Arial" w:hAnsi="Arial" w:eastAsia="宋体" w:cs="Times New Roman"/>
      <w:b/>
      <w:bCs/>
      <w:sz w:val="28"/>
      <w:szCs w:val="32"/>
    </w:rPr>
  </w:style>
  <w:style w:type="character" w:customStyle="1" w:styleId="52">
    <w:name w:val="标题 3 Char"/>
    <w:basedOn w:val="35"/>
    <w:qFormat/>
    <w:uiPriority w:val="0"/>
    <w:rPr>
      <w:rFonts w:ascii="Times New Roman" w:hAnsi="Times New Roman" w:eastAsia="宋体" w:cs="Times New Roman"/>
      <w:b/>
      <w:bCs/>
      <w:sz w:val="24"/>
      <w:szCs w:val="32"/>
    </w:rPr>
  </w:style>
  <w:style w:type="character" w:customStyle="1" w:styleId="53">
    <w:name w:val="正文文本缩进 字符"/>
    <w:basedOn w:val="35"/>
    <w:link w:val="14"/>
    <w:qFormat/>
    <w:uiPriority w:val="0"/>
    <w:rPr>
      <w:rFonts w:ascii="Times New Roman" w:hAnsi="Times New Roman" w:eastAsia="宋体" w:cs="Times New Roman"/>
      <w:sz w:val="32"/>
      <w:szCs w:val="20"/>
    </w:rPr>
  </w:style>
  <w:style w:type="paragraph" w:customStyle="1" w:styleId="54">
    <w:name w:val="正文首行缩进两字符"/>
    <w:basedOn w:val="1"/>
    <w:next w:val="55"/>
    <w:qFormat/>
    <w:uiPriority w:val="0"/>
    <w:pPr>
      <w:spacing w:line="360" w:lineRule="auto"/>
      <w:ind w:firstLine="200" w:firstLineChars="200"/>
    </w:pPr>
  </w:style>
  <w:style w:type="paragraph" w:customStyle="1" w:styleId="55">
    <w:name w:val="目录 7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5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7">
    <w:name w:val="正文文本缩进 2 字符"/>
    <w:basedOn w:val="35"/>
    <w:link w:val="19"/>
    <w:qFormat/>
    <w:uiPriority w:val="0"/>
    <w:rPr>
      <w:rFonts w:ascii="Times New Roman" w:hAnsi="Times New Roman" w:eastAsia="宋体" w:cs="Times New Roman"/>
      <w:szCs w:val="24"/>
    </w:rPr>
  </w:style>
  <w:style w:type="character" w:customStyle="1" w:styleId="58">
    <w:name w:val="正文文本缩进 3 字符"/>
    <w:basedOn w:val="35"/>
    <w:link w:val="26"/>
    <w:qFormat/>
    <w:uiPriority w:val="0"/>
    <w:rPr>
      <w:rFonts w:ascii="Times New Roman" w:hAnsi="Times New Roman" w:eastAsia="宋体" w:cs="Times New Roman"/>
      <w:sz w:val="16"/>
      <w:szCs w:val="16"/>
    </w:rPr>
  </w:style>
  <w:style w:type="paragraph" w:customStyle="1" w:styleId="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0">
    <w:name w:val="表格"/>
    <w:basedOn w:val="1"/>
    <w:qFormat/>
    <w:uiPriority w:val="0"/>
    <w:pPr>
      <w:spacing w:line="400" w:lineRule="exact"/>
    </w:pPr>
    <w:rPr>
      <w:sz w:val="24"/>
    </w:rPr>
  </w:style>
  <w:style w:type="paragraph" w:customStyle="1" w:styleId="61">
    <w:name w:val="样式 首行缩进:  2 字符"/>
    <w:basedOn w:val="1"/>
    <w:qFormat/>
    <w:uiPriority w:val="0"/>
    <w:pPr>
      <w:spacing w:line="400" w:lineRule="exact"/>
      <w:ind w:firstLine="200" w:firstLineChars="200"/>
    </w:pPr>
    <w:rPr>
      <w:rFonts w:cs="宋体"/>
      <w:sz w:val="24"/>
    </w:rPr>
  </w:style>
  <w:style w:type="character" w:customStyle="1" w:styleId="62">
    <w:name w:val="（符号）邀请函中一、"/>
    <w:basedOn w:val="35"/>
    <w:qFormat/>
    <w:uiPriority w:val="0"/>
    <w:rPr>
      <w:rFonts w:ascii="黑体" w:hAnsi="黑体" w:eastAsia="黑体"/>
      <w:b/>
      <w:bCs/>
      <w:sz w:val="24"/>
    </w:rPr>
  </w:style>
  <w:style w:type="character" w:customStyle="1" w:styleId="63">
    <w:name w:val="批注框文本 字符"/>
    <w:basedOn w:val="35"/>
    <w:link w:val="20"/>
    <w:qFormat/>
    <w:uiPriority w:val="0"/>
    <w:rPr>
      <w:rFonts w:ascii="Times New Roman" w:hAnsi="Times New Roman" w:eastAsia="宋体" w:cs="Times New Roman"/>
      <w:sz w:val="18"/>
      <w:szCs w:val="18"/>
    </w:rPr>
  </w:style>
  <w:style w:type="character" w:customStyle="1" w:styleId="64">
    <w:name w:val="正文缩进 字符"/>
    <w:link w:val="9"/>
    <w:qFormat/>
    <w:uiPriority w:val="0"/>
    <w:rPr>
      <w:rFonts w:ascii="Times New Roman" w:hAnsi="Times New Roman" w:eastAsia="宋体" w:cs="Times New Roman"/>
      <w:szCs w:val="24"/>
    </w:rPr>
  </w:style>
  <w:style w:type="character" w:customStyle="1" w:styleId="65">
    <w:name w:val="Char Char9"/>
    <w:qFormat/>
    <w:uiPriority w:val="0"/>
    <w:rPr>
      <w:kern w:val="2"/>
      <w:sz w:val="21"/>
    </w:rPr>
  </w:style>
  <w:style w:type="character" w:customStyle="1" w:styleId="66">
    <w:name w:val="批注文字 Char"/>
    <w:qFormat/>
    <w:uiPriority w:val="99"/>
    <w:rPr>
      <w:sz w:val="18"/>
    </w:rPr>
  </w:style>
  <w:style w:type="character" w:customStyle="1" w:styleId="67">
    <w:name w:val="批注文字 字符"/>
    <w:basedOn w:val="35"/>
    <w:link w:val="11"/>
    <w:qFormat/>
    <w:uiPriority w:val="0"/>
    <w:rPr>
      <w:rFonts w:ascii="Times New Roman" w:hAnsi="Times New Roman" w:eastAsia="宋体" w:cs="Times New Roman"/>
      <w:szCs w:val="24"/>
    </w:rPr>
  </w:style>
  <w:style w:type="character" w:customStyle="1" w:styleId="68">
    <w:name w:val="纯文本 Char"/>
    <w:unhideWhenUsed/>
    <w:qFormat/>
    <w:uiPriority w:val="0"/>
    <w:rPr>
      <w:rFonts w:ascii="宋体" w:hAnsi="Tms Rmn" w:eastAsia="宋体"/>
    </w:rPr>
  </w:style>
  <w:style w:type="character" w:customStyle="1" w:styleId="69">
    <w:name w:val="纯文本 字符"/>
    <w:basedOn w:val="35"/>
    <w:link w:val="17"/>
    <w:qFormat/>
    <w:uiPriority w:val="99"/>
    <w:rPr>
      <w:rFonts w:ascii="宋体" w:hAnsi="Courier New" w:eastAsia="宋体" w:cs="Courier New"/>
      <w:szCs w:val="21"/>
    </w:rPr>
  </w:style>
  <w:style w:type="paragraph" w:customStyle="1" w:styleId="70">
    <w:name w:val="GW-正文"/>
    <w:basedOn w:val="1"/>
    <w:link w:val="71"/>
    <w:qFormat/>
    <w:uiPriority w:val="0"/>
    <w:pPr>
      <w:spacing w:line="360" w:lineRule="auto"/>
      <w:ind w:firstLine="200" w:firstLineChars="200"/>
    </w:pPr>
    <w:rPr>
      <w:rFonts w:eastAsia="仿宋_GB2312"/>
      <w:sz w:val="24"/>
    </w:rPr>
  </w:style>
  <w:style w:type="character" w:customStyle="1" w:styleId="71">
    <w:name w:val="GW-正文 Char"/>
    <w:link w:val="70"/>
    <w:qFormat/>
    <w:uiPriority w:val="0"/>
    <w:rPr>
      <w:rFonts w:ascii="Times New Roman" w:hAnsi="Times New Roman" w:eastAsia="仿宋_GB2312" w:cs="Times New Roman"/>
      <w:sz w:val="24"/>
      <w:szCs w:val="24"/>
    </w:rPr>
  </w:style>
  <w:style w:type="paragraph" w:customStyle="1" w:styleId="72">
    <w:name w:val="列出段落1"/>
    <w:basedOn w:val="1"/>
    <w:link w:val="73"/>
    <w:qFormat/>
    <w:uiPriority w:val="99"/>
    <w:pPr>
      <w:ind w:firstLine="420" w:firstLineChars="200"/>
    </w:pPr>
  </w:style>
  <w:style w:type="character" w:customStyle="1" w:styleId="73">
    <w:name w:val="列出段落 Char"/>
    <w:link w:val="72"/>
    <w:qFormat/>
    <w:uiPriority w:val="0"/>
    <w:rPr>
      <w:rFonts w:ascii="Times New Roman" w:hAnsi="Times New Roman" w:eastAsia="宋体" w:cs="Times New Roman"/>
      <w:szCs w:val="24"/>
    </w:rPr>
  </w:style>
  <w:style w:type="character" w:customStyle="1" w:styleId="74">
    <w:name w:val="批注主题 字符"/>
    <w:basedOn w:val="67"/>
    <w:link w:val="31"/>
    <w:qFormat/>
    <w:uiPriority w:val="0"/>
    <w:rPr>
      <w:rFonts w:ascii="Times New Roman" w:hAnsi="Times New Roman" w:eastAsia="宋体" w:cs="Times New Roman"/>
      <w:b/>
      <w:bCs/>
      <w:szCs w:val="24"/>
    </w:rPr>
  </w:style>
  <w:style w:type="paragraph" w:customStyle="1" w:styleId="75">
    <w:name w:val="Char Char Char Char Char Char Char Char Char Char Char Char Char Char1 Char Char Char Char"/>
    <w:basedOn w:val="1"/>
    <w:qFormat/>
    <w:uiPriority w:val="0"/>
    <w:rPr>
      <w:szCs w:val="21"/>
    </w:rPr>
  </w:style>
  <w:style w:type="character" w:customStyle="1" w:styleId="76">
    <w:name w:val="文档结构图 字符"/>
    <w:basedOn w:val="35"/>
    <w:link w:val="10"/>
    <w:qFormat/>
    <w:uiPriority w:val="0"/>
    <w:rPr>
      <w:rFonts w:ascii="宋体" w:hAnsi="Times New Roman" w:eastAsia="宋体" w:cs="Times New Roman"/>
      <w:sz w:val="18"/>
      <w:szCs w:val="18"/>
    </w:rPr>
  </w:style>
  <w:style w:type="character" w:customStyle="1" w:styleId="77">
    <w:name w:val="正文文本 字符"/>
    <w:basedOn w:val="35"/>
    <w:link w:val="12"/>
    <w:qFormat/>
    <w:uiPriority w:val="0"/>
    <w:rPr>
      <w:rFonts w:ascii="Times New Roman" w:hAnsi="Times New Roman" w:eastAsia="宋体" w:cs="Times New Roman"/>
      <w:szCs w:val="24"/>
    </w:rPr>
  </w:style>
  <w:style w:type="paragraph" w:customStyle="1" w:styleId="78">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9">
    <w:name w:val="font31"/>
    <w:basedOn w:val="35"/>
    <w:qFormat/>
    <w:uiPriority w:val="0"/>
    <w:rPr>
      <w:rFonts w:hint="eastAsia" w:ascii="宋体" w:hAnsi="宋体" w:eastAsia="宋体" w:cs="宋体"/>
      <w:color w:val="000000"/>
      <w:sz w:val="21"/>
      <w:szCs w:val="21"/>
      <w:u w:val="none"/>
    </w:rPr>
  </w:style>
  <w:style w:type="character" w:customStyle="1" w:styleId="80">
    <w:name w:val="标题 字符"/>
    <w:basedOn w:val="35"/>
    <w:link w:val="30"/>
    <w:qFormat/>
    <w:uiPriority w:val="10"/>
    <w:rPr>
      <w:rFonts w:eastAsia="宋体" w:asciiTheme="majorHAnsi" w:hAnsiTheme="majorHAnsi" w:cstheme="majorBidi"/>
      <w:b/>
      <w:bCs/>
      <w:kern w:val="2"/>
      <w:sz w:val="32"/>
      <w:szCs w:val="32"/>
    </w:rPr>
  </w:style>
  <w:style w:type="character" w:customStyle="1" w:styleId="81">
    <w:name w:val="textnorm_chn1"/>
    <w:qFormat/>
    <w:uiPriority w:val="0"/>
    <w:rPr>
      <w:rFonts w:hint="default" w:ascii="Arial" w:hAnsi="Arial"/>
      <w:color w:val="21254A"/>
      <w:sz w:val="22"/>
    </w:rPr>
  </w:style>
  <w:style w:type="character" w:customStyle="1" w:styleId="82">
    <w:name w:val="0h Char"/>
    <w:link w:val="83"/>
    <w:qFormat/>
    <w:uiPriority w:val="0"/>
    <w:rPr>
      <w:rFonts w:ascii="仿宋_GB2312" w:hAnsi="宋体" w:eastAsia="仿宋_GB2312"/>
      <w:kern w:val="2"/>
      <w:sz w:val="28"/>
      <w:szCs w:val="28"/>
    </w:rPr>
  </w:style>
  <w:style w:type="paragraph" w:customStyle="1" w:styleId="83">
    <w:name w:val="0h"/>
    <w:basedOn w:val="1"/>
    <w:link w:val="82"/>
    <w:qFormat/>
    <w:uiPriority w:val="0"/>
    <w:pPr>
      <w:adjustRightInd w:val="0"/>
      <w:spacing w:line="360" w:lineRule="auto"/>
      <w:ind w:firstLine="200" w:firstLineChars="200"/>
      <w:textAlignment w:val="baseline"/>
    </w:pPr>
    <w:rPr>
      <w:rFonts w:ascii="仿宋_GB2312" w:hAnsi="宋体" w:eastAsia="仿宋_GB2312" w:cstheme="minorBidi"/>
      <w:sz w:val="28"/>
      <w:szCs w:val="28"/>
    </w:rPr>
  </w:style>
  <w:style w:type="character" w:customStyle="1" w:styleId="84">
    <w:name w:val="列出段落 字符"/>
    <w:qFormat/>
    <w:uiPriority w:val="34"/>
    <w:rPr>
      <w:rFonts w:ascii="宋体"/>
      <w:sz w:val="18"/>
      <w:szCs w:val="18"/>
    </w:rPr>
  </w:style>
  <w:style w:type="paragraph" w:customStyle="1" w:styleId="85">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86">
    <w:name w:val="无间隔1"/>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8">
    <w:name w:val="No Spacing1"/>
    <w:basedOn w:val="1"/>
    <w:qFormat/>
    <w:uiPriority w:val="0"/>
    <w:rPr>
      <w:rFonts w:ascii="Calibri" w:hAnsi="Calibri"/>
      <w:szCs w:val="21"/>
    </w:rPr>
  </w:style>
  <w:style w:type="character" w:customStyle="1" w:styleId="89">
    <w:name w:val="img"/>
    <w:basedOn w:val="35"/>
    <w:qFormat/>
    <w:uiPriority w:val="0"/>
  </w:style>
  <w:style w:type="character" w:customStyle="1" w:styleId="90">
    <w:name w:val="img1"/>
    <w:basedOn w:val="35"/>
    <w:qFormat/>
    <w:uiPriority w:val="0"/>
  </w:style>
  <w:style w:type="paragraph" w:customStyle="1" w:styleId="91">
    <w:name w:val="Table Paragraph"/>
    <w:basedOn w:val="1"/>
    <w:qFormat/>
    <w:uiPriority w:val="1"/>
  </w:style>
  <w:style w:type="table" w:customStyle="1" w:styleId="92">
    <w:name w:val="Table Normal"/>
    <w:unhideWhenUsed/>
    <w:qFormat/>
    <w:uiPriority w:val="2"/>
    <w:tblPr>
      <w:tblCellMar>
        <w:top w:w="0" w:type="dxa"/>
        <w:left w:w="0" w:type="dxa"/>
        <w:bottom w:w="0" w:type="dxa"/>
        <w:right w:w="0" w:type="dxa"/>
      </w:tblCellMar>
    </w:tblPr>
  </w:style>
  <w:style w:type="paragraph" w:customStyle="1" w:styleId="93">
    <w:name w:val="1.1.1.1A"/>
    <w:basedOn w:val="94"/>
    <w:qFormat/>
    <w:uiPriority w:val="0"/>
    <w:pPr>
      <w:tabs>
        <w:tab w:val="left" w:pos="1134"/>
        <w:tab w:val="left" w:pos="1843"/>
      </w:tabs>
      <w:spacing w:line="400" w:lineRule="atLeast"/>
      <w:ind w:left="1560" w:right="200" w:hanging="426"/>
      <w:jc w:val="both"/>
    </w:pPr>
  </w:style>
  <w:style w:type="paragraph" w:customStyle="1" w:styleId="94">
    <w:name w:val="1.1.1.1"/>
    <w:basedOn w:val="1"/>
    <w:qFormat/>
    <w:uiPriority w:val="0"/>
    <w:pPr>
      <w:tabs>
        <w:tab w:val="left" w:pos="1134"/>
      </w:tabs>
      <w:adjustRightInd w:val="0"/>
      <w:spacing w:before="60" w:after="60" w:line="360" w:lineRule="atLeast"/>
      <w:ind w:left="1134" w:hanging="1134"/>
      <w:jc w:val="left"/>
      <w:textAlignment w:val="baseline"/>
    </w:pPr>
    <w:rPr>
      <w:rFonts w:ascii="Arial" w:hAnsi="Arial"/>
      <w:kern w:val="0"/>
      <w:sz w:val="24"/>
      <w:szCs w:val="20"/>
    </w:rPr>
  </w:style>
  <w:style w:type="character" w:customStyle="1" w:styleId="95">
    <w:name w:val="标题 4 字符"/>
    <w:basedOn w:val="35"/>
    <w:link w:val="6"/>
    <w:semiHidden/>
    <w:qFormat/>
    <w:uiPriority w:val="9"/>
    <w:rPr>
      <w:rFonts w:asciiTheme="majorHAnsi" w:hAnsiTheme="majorHAnsi" w:eastAsiaTheme="majorEastAsia" w:cstheme="majorBidi"/>
      <w:b/>
      <w:bCs/>
      <w:kern w:val="2"/>
      <w:sz w:val="28"/>
      <w:szCs w:val="28"/>
    </w:rPr>
  </w:style>
  <w:style w:type="paragraph" w:customStyle="1" w:styleId="96">
    <w:name w:val="样式 标题 2 + 三号 居中"/>
    <w:basedOn w:val="4"/>
    <w:qFormat/>
    <w:uiPriority w:val="99"/>
    <w:pPr>
      <w:keepLines w:val="0"/>
      <w:widowControl/>
      <w:adjustRightInd w:val="0"/>
      <w:snapToGrid w:val="0"/>
      <w:spacing w:beforeLines="50" w:afterLines="50" w:line="360" w:lineRule="auto"/>
      <w:textAlignment w:val="baseline"/>
    </w:pPr>
    <w:rPr>
      <w:rFonts w:cs="宋体"/>
      <w:color w:val="000000"/>
      <w:kern w:val="0"/>
      <w:sz w:val="30"/>
      <w:szCs w:val="20"/>
    </w:rPr>
  </w:style>
  <w:style w:type="paragraph" w:customStyle="1" w:styleId="97">
    <w:name w:val="1"/>
    <w:basedOn w:val="1"/>
    <w:qFormat/>
    <w:uiPriority w:val="0"/>
  </w:style>
  <w:style w:type="paragraph" w:customStyle="1" w:styleId="9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0">
    <w:name w:val="无间距字符"/>
    <w:link w:val="101"/>
    <w:qFormat/>
    <w:uiPriority w:val="0"/>
    <w:rPr>
      <w:rFonts w:ascii="Calibri" w:hAnsi="Calibri"/>
      <w:sz w:val="22"/>
    </w:rPr>
  </w:style>
  <w:style w:type="paragraph" w:customStyle="1" w:styleId="101">
    <w:name w:val="无间距"/>
    <w:link w:val="100"/>
    <w:qFormat/>
    <w:uiPriority w:val="0"/>
    <w:rPr>
      <w:rFonts w:ascii="Calibri" w:hAnsi="Calibri" w:eastAsiaTheme="minorEastAsia" w:cstheme="minorBidi"/>
      <w:sz w:val="22"/>
      <w:lang w:val="en-US" w:eastAsia="zh-CN" w:bidi="ar-SA"/>
    </w:rPr>
  </w:style>
  <w:style w:type="character" w:customStyle="1" w:styleId="102">
    <w:name w:val="font11"/>
    <w:basedOn w:val="35"/>
    <w:qFormat/>
    <w:uiPriority w:val="0"/>
    <w:rPr>
      <w:rFonts w:hint="eastAsia" w:ascii="仿宋" w:hAnsi="仿宋" w:eastAsia="仿宋" w:cs="仿宋"/>
      <w:color w:val="000000"/>
      <w:sz w:val="24"/>
      <w:szCs w:val="24"/>
      <w:u w:val="none"/>
    </w:rPr>
  </w:style>
  <w:style w:type="character" w:customStyle="1" w:styleId="103">
    <w:name w:val="font01"/>
    <w:basedOn w:val="35"/>
    <w:qFormat/>
    <w:uiPriority w:val="0"/>
    <w:rPr>
      <w:rFonts w:hint="eastAsia" w:ascii="仿宋" w:hAnsi="仿宋" w:eastAsia="仿宋" w:cs="仿宋"/>
      <w:color w:val="000000"/>
      <w:sz w:val="24"/>
      <w:szCs w:val="24"/>
      <w:u w:val="none"/>
    </w:rPr>
  </w:style>
  <w:style w:type="paragraph" w:customStyle="1" w:styleId="104">
    <w:name w:val="WPSOffice手动目录 1"/>
    <w:qFormat/>
    <w:uiPriority w:val="0"/>
    <w:rPr>
      <w:rFonts w:ascii="Times New Roman" w:hAnsi="Times New Roman" w:eastAsia="宋体" w:cs="Times New Roman"/>
      <w:lang w:val="en-US" w:eastAsia="zh-CN" w:bidi="ar-SA"/>
    </w:rPr>
  </w:style>
  <w:style w:type="paragraph" w:customStyle="1" w:styleId="10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07">
    <w:name w:val="NormalCharacter"/>
    <w:qFormat/>
    <w:uiPriority w:val="0"/>
  </w:style>
  <w:style w:type="paragraph" w:customStyle="1" w:styleId="108">
    <w:name w:val="14、“第一章”一级标题"/>
    <w:basedOn w:val="109"/>
    <w:qFormat/>
    <w:uiPriority w:val="0"/>
    <w:pPr>
      <w:numPr>
        <w:ilvl w:val="0"/>
        <w:numId w:val="2"/>
      </w:numPr>
      <w:spacing w:beforeLines="50" w:afterLines="50"/>
      <w:jc w:val="center"/>
      <w:outlineLvl w:val="0"/>
    </w:pPr>
    <w:rPr>
      <w:b/>
      <w:sz w:val="36"/>
    </w:rPr>
  </w:style>
  <w:style w:type="paragraph" w:customStyle="1" w:styleId="109">
    <w:name w:val="01、普通正文"/>
    <w:basedOn w:val="1"/>
    <w:qFormat/>
    <w:uiPriority w:val="0"/>
    <w:pPr>
      <w:tabs>
        <w:tab w:val="left" w:pos="0"/>
      </w:tabs>
      <w:wordWrap w:val="0"/>
      <w:topLinePunct/>
    </w:pPr>
    <w:rPr>
      <w:snapToGrid w:val="0"/>
    </w:rPr>
  </w:style>
  <w:style w:type="paragraph" w:customStyle="1" w:styleId="110">
    <w:name w:val="15、“一、”二级标题"/>
    <w:basedOn w:val="1"/>
    <w:qFormat/>
    <w:uiPriority w:val="0"/>
    <w:pPr>
      <w:numPr>
        <w:ilvl w:val="1"/>
        <w:numId w:val="2"/>
      </w:numPr>
      <w:tabs>
        <w:tab w:val="left" w:pos="0"/>
      </w:tabs>
      <w:wordWrap w:val="0"/>
      <w:topLinePunct/>
      <w:outlineLvl w:val="1"/>
    </w:pPr>
    <w:rPr>
      <w:b/>
    </w:rPr>
  </w:style>
  <w:style w:type="paragraph" w:styleId="111">
    <w:name w:val="List Paragraph"/>
    <w:basedOn w:val="1"/>
    <w:unhideWhenUsed/>
    <w:qFormat/>
    <w:uiPriority w:val="34"/>
    <w:pPr>
      <w:tabs>
        <w:tab w:val="left" w:pos="0"/>
      </w:tabs>
      <w:ind w:firstLine="420" w:firstLineChars="200"/>
    </w:pPr>
  </w:style>
  <w:style w:type="paragraph" w:customStyle="1" w:styleId="112">
    <w:name w:val="17“1.”四级标题"/>
    <w:basedOn w:val="113"/>
    <w:qFormat/>
    <w:uiPriority w:val="0"/>
    <w:pPr>
      <w:numPr>
        <w:ilvl w:val="3"/>
        <w:numId w:val="2"/>
      </w:numPr>
      <w:ind w:firstLineChars="0"/>
    </w:pPr>
  </w:style>
  <w:style w:type="paragraph" w:customStyle="1" w:styleId="113">
    <w:name w:val="02、首行缩进2字符正文"/>
    <w:basedOn w:val="1"/>
    <w:qFormat/>
    <w:uiPriority w:val="0"/>
    <w:pPr>
      <w:tabs>
        <w:tab w:val="left" w:pos="0"/>
      </w:tabs>
      <w:wordWrap w:val="0"/>
      <w:topLinePunct/>
      <w:ind w:firstLine="480" w:firstLineChars="200"/>
    </w:pPr>
  </w:style>
  <w:style w:type="paragraph" w:customStyle="1" w:styleId="114">
    <w:name w:val="18、“1.1”五级标题"/>
    <w:basedOn w:val="112"/>
    <w:qFormat/>
    <w:uiPriority w:val="0"/>
    <w:pPr>
      <w:numPr>
        <w:ilvl w:val="4"/>
      </w:numPr>
    </w:pPr>
  </w:style>
  <w:style w:type="paragraph" w:customStyle="1" w:styleId="115">
    <w:name w:val="19、“(1)”六级标题"/>
    <w:basedOn w:val="112"/>
    <w:qFormat/>
    <w:uiPriority w:val="0"/>
    <w:pPr>
      <w:numPr>
        <w:ilvl w:val="5"/>
      </w:numPr>
    </w:pPr>
  </w:style>
  <w:style w:type="paragraph" w:customStyle="1" w:styleId="116">
    <w:name w:val="06、“1.”正文四级标题"/>
    <w:basedOn w:val="1"/>
    <w:qFormat/>
    <w:uiPriority w:val="0"/>
    <w:pPr>
      <w:numPr>
        <w:ilvl w:val="2"/>
        <w:numId w:val="3"/>
      </w:numPr>
      <w:tabs>
        <w:tab w:val="left" w:pos="0"/>
      </w:tabs>
      <w:wordWrap w:val="0"/>
      <w:topLinePunct/>
      <w:ind w:firstLine="803" w:firstLineChars="200"/>
    </w:pPr>
    <w:rPr>
      <w:snapToGrid w:val="0"/>
    </w:rPr>
  </w:style>
  <w:style w:type="paragraph" w:customStyle="1" w:styleId="117">
    <w:name w:val="03、“注：”正文(加粗，首行缩进2字符)"/>
    <w:basedOn w:val="109"/>
    <w:qFormat/>
    <w:uiPriority w:val="0"/>
    <w:pPr>
      <w:ind w:firstLine="480" w:firstLineChars="200"/>
    </w:pPr>
    <w:rPr>
      <w:b/>
    </w:rPr>
  </w:style>
  <w:style w:type="character" w:customStyle="1" w:styleId="118">
    <w:name w:val="标题 3 字符"/>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83958-B8F8-41B3-B6CB-69088BFAFD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36686</Words>
  <Characters>38222</Characters>
  <Lines>327</Lines>
  <Paragraphs>92</Paragraphs>
  <TotalTime>131</TotalTime>
  <ScaleCrop>false</ScaleCrop>
  <LinksUpToDate>false</LinksUpToDate>
  <CharactersWithSpaces>41522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2021-04-21T02:11:00Z</dcterms:created>
  <dc:creator>刘春阳</dc:creator>
  <cp:lastModifiedBy>斡侑罪</cp:lastModifiedBy>
  <cp:lastPrinted>2021-06-29T08:49:00Z</cp:lastPrinted>
  <dcterms:modified xsi:type="dcterms:W3CDTF">2021-07-01T03:30:18Z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5593C68B80D844399B595F30DFCE316D</vt:lpwstr>
  </property>
</Properties>
</file>