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r>
        <w:rPr>
          <w:rFonts w:hint="eastAsia" w:hAnsi="宋体"/>
          <w:b/>
          <w:color w:val="auto"/>
          <w:sz w:val="36"/>
          <w:highlight w:val="none"/>
        </w:rPr>
        <w:pict>
          <v:shape id="Picture 5" o:spid="_x0000_s1026" o:spt="75" alt="QQ图片20150728140840" type="#_x0000_t75" style="position:absolute;left:0pt;margin-left:104.25pt;margin-top:14.85pt;height:122.2pt;width:297pt;mso-wrap-distance-left:9pt;mso-wrap-distance-right:9pt;z-index:-251656192;mso-width-relative:page;mso-height-relative:page;" filled="f" o:preferrelative="t" stroked="f" coordsize="21600,21600" wrapcoords="-40 0 -40 21520 21600 21520 21600 0 -40 0">
            <v:path/>
            <v:fill on="f" focussize="0,0"/>
            <v:stroke on="f" joinstyle="miter"/>
            <v:imagedata r:id="rId18" o:title="QQ图片20150728140840"/>
            <o:lock v:ext="edit" aspectratio="t"/>
            <w10:wrap type="through"/>
          </v:shape>
        </w:pict>
      </w: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ind w:firstLine="402" w:firstLineChars="100"/>
        <w:jc w:val="center"/>
        <w:rPr>
          <w:rStyle w:val="372"/>
          <w:rFonts w:ascii="宋体" w:cs="宋体-PUA"/>
          <w:color w:val="auto"/>
          <w:sz w:val="44"/>
          <w:szCs w:val="44"/>
          <w:highlight w:val="none"/>
          <w:lang w:eastAsia="zh-CN"/>
        </w:rPr>
      </w:pPr>
      <w:r>
        <w:rPr>
          <w:rStyle w:val="372"/>
          <w:rFonts w:ascii="宋体" w:cs="宋体-PUA"/>
          <w:color w:val="auto"/>
          <w:sz w:val="44"/>
          <w:szCs w:val="44"/>
          <w:highlight w:val="none"/>
          <w:lang w:eastAsia="zh-CN"/>
        </w:rPr>
        <w:t>成都市第五人民医院2021年第十四批医疗设备</w:t>
      </w:r>
    </w:p>
    <w:p>
      <w:pPr>
        <w:spacing w:line="360" w:lineRule="auto"/>
        <w:ind w:firstLine="402" w:firstLineChars="100"/>
        <w:jc w:val="center"/>
        <w:rPr>
          <w:rStyle w:val="372"/>
          <w:rFonts w:hint="eastAsia" w:ascii="宋体" w:eastAsia="宋体" w:cs="宋体-PUA"/>
          <w:color w:val="auto"/>
          <w:sz w:val="44"/>
          <w:szCs w:val="44"/>
          <w:highlight w:val="none"/>
          <w:lang w:eastAsia="zh-CN"/>
        </w:rPr>
      </w:pPr>
      <w:r>
        <w:rPr>
          <w:rStyle w:val="372"/>
          <w:rFonts w:ascii="宋体" w:cs="宋体-PUA"/>
          <w:color w:val="auto"/>
          <w:sz w:val="44"/>
          <w:szCs w:val="44"/>
          <w:highlight w:val="none"/>
          <w:lang w:eastAsia="zh-CN"/>
        </w:rPr>
        <w:t>采购项目</w:t>
      </w:r>
    </w:p>
    <w:p>
      <w:pPr>
        <w:spacing w:line="360" w:lineRule="auto"/>
        <w:ind w:firstLine="321" w:firstLineChars="100"/>
        <w:jc w:val="center"/>
        <w:rPr>
          <w:rFonts w:hint="eastAsia" w:hAnsi="宋体" w:eastAsia="宋体"/>
          <w:b/>
          <w:color w:val="auto"/>
          <w:sz w:val="48"/>
          <w:szCs w:val="48"/>
          <w:highlight w:val="none"/>
          <w:lang w:eastAsia="zh-CN"/>
        </w:rPr>
      </w:pPr>
      <w:r>
        <w:rPr>
          <w:rFonts w:hint="eastAsia" w:hAnsi="宋体"/>
          <w:b/>
          <w:bCs/>
          <w:color w:val="auto"/>
          <w:sz w:val="32"/>
          <w:szCs w:val="32"/>
          <w:highlight w:val="none"/>
        </w:rPr>
        <w:t>招标编号：</w:t>
      </w:r>
      <w:bookmarkStart w:id="204" w:name="_GoBack"/>
      <w:bookmarkEnd w:id="204"/>
      <w:r>
        <w:rPr>
          <w:rFonts w:hint="eastAsia" w:hAnsi="宋体"/>
          <w:b/>
          <w:bCs/>
          <w:color w:val="auto"/>
          <w:sz w:val="32"/>
          <w:szCs w:val="32"/>
          <w:highlight w:val="none"/>
          <w:lang w:eastAsia="zh-CN"/>
        </w:rPr>
        <w:t>510101202101235</w:t>
      </w: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84"/>
          <w:szCs w:val="84"/>
          <w:highlight w:val="none"/>
        </w:rPr>
      </w:pPr>
      <w:r>
        <w:rPr>
          <w:rFonts w:hint="eastAsia" w:hAnsi="宋体" w:cs="宋体"/>
          <w:b/>
          <w:color w:val="auto"/>
          <w:sz w:val="84"/>
          <w:szCs w:val="84"/>
          <w:highlight w:val="none"/>
        </w:rPr>
        <w:t>招 标 文 件</w:t>
      </w:r>
    </w:p>
    <w:p>
      <w:pPr>
        <w:spacing w:line="360" w:lineRule="auto"/>
        <w:outlineLvl w:val="5"/>
        <w:rPr>
          <w:rFonts w:hAnsi="宋体" w:cs="宋体"/>
          <w:color w:val="auto"/>
          <w:sz w:val="44"/>
          <w:szCs w:val="44"/>
          <w:highlight w:val="none"/>
        </w:rPr>
      </w:pPr>
    </w:p>
    <w:p>
      <w:pPr>
        <w:tabs>
          <w:tab w:val="left" w:pos="3360"/>
          <w:tab w:val="left" w:pos="3580"/>
          <w:tab w:val="left" w:pos="3780"/>
        </w:tabs>
        <w:spacing w:line="360" w:lineRule="auto"/>
        <w:ind w:firstLine="723" w:firstLineChars="200"/>
        <w:outlineLvl w:val="5"/>
        <w:rPr>
          <w:rFonts w:hAnsi="宋体" w:cs="宋体"/>
          <w:b/>
          <w:color w:val="auto"/>
          <w:sz w:val="36"/>
          <w:szCs w:val="36"/>
          <w:highlight w:val="none"/>
        </w:rPr>
      </w:pPr>
      <w:bookmarkStart w:id="0" w:name="_Hlt101843627"/>
      <w:bookmarkEnd w:id="0"/>
      <w:bookmarkStart w:id="1" w:name="_Hlt101233737"/>
      <w:bookmarkEnd w:id="1"/>
      <w:bookmarkStart w:id="2" w:name="_Toc183682338"/>
      <w:bookmarkStart w:id="3" w:name="_Toc217446030"/>
      <w:r>
        <w:rPr>
          <w:rFonts w:hint="eastAsia" w:hAnsi="宋体" w:cs="宋体"/>
          <w:b/>
          <w:color w:val="auto"/>
          <w:sz w:val="36"/>
          <w:szCs w:val="36"/>
          <w:highlight w:val="none"/>
        </w:rPr>
        <w:t xml:space="preserve">    采 购  人：成都市第五人民医院</w:t>
      </w:r>
    </w:p>
    <w:p>
      <w:pPr>
        <w:tabs>
          <w:tab w:val="left" w:pos="3360"/>
          <w:tab w:val="left" w:pos="3580"/>
          <w:tab w:val="left" w:pos="3780"/>
        </w:tabs>
        <w:spacing w:line="360" w:lineRule="auto"/>
        <w:ind w:firstLine="1084" w:firstLineChars="300"/>
        <w:outlineLvl w:val="5"/>
        <w:rPr>
          <w:rFonts w:hAnsi="宋体" w:cs="宋体"/>
          <w:b/>
          <w:color w:val="auto"/>
          <w:sz w:val="36"/>
          <w:szCs w:val="36"/>
          <w:highlight w:val="none"/>
        </w:rPr>
      </w:pPr>
      <w:r>
        <w:rPr>
          <w:rFonts w:hint="eastAsia" w:hAnsi="宋体" w:cs="宋体"/>
          <w:b/>
          <w:color w:val="auto"/>
          <w:sz w:val="36"/>
          <w:szCs w:val="36"/>
          <w:highlight w:val="none"/>
        </w:rPr>
        <w:t>采购代理机构：四川五洲招标代理有限公司</w:t>
      </w:r>
    </w:p>
    <w:p>
      <w:pPr>
        <w:spacing w:line="360" w:lineRule="auto"/>
        <w:jc w:val="center"/>
        <w:outlineLvl w:val="5"/>
        <w:rPr>
          <w:rFonts w:hAnsi="宋体" w:cs="宋体"/>
          <w:b/>
          <w:color w:val="auto"/>
          <w:sz w:val="36"/>
          <w:szCs w:val="36"/>
          <w:highlight w:val="none"/>
        </w:rPr>
      </w:pPr>
      <w:r>
        <w:rPr>
          <w:rFonts w:hint="eastAsia" w:hAnsi="宋体" w:cs="宋体"/>
          <w:b/>
          <w:color w:val="auto"/>
          <w:sz w:val="36"/>
          <w:szCs w:val="36"/>
          <w:highlight w:val="none"/>
        </w:rPr>
        <w:t>20</w:t>
      </w:r>
      <w:r>
        <w:rPr>
          <w:rFonts w:hAnsi="宋体" w:cs="宋体"/>
          <w:b/>
          <w:color w:val="auto"/>
          <w:sz w:val="36"/>
          <w:szCs w:val="36"/>
          <w:highlight w:val="none"/>
        </w:rPr>
        <w:t>2</w:t>
      </w:r>
      <w:r>
        <w:rPr>
          <w:rFonts w:hint="eastAsia" w:hAnsi="宋体" w:cs="宋体"/>
          <w:b/>
          <w:color w:val="auto"/>
          <w:sz w:val="36"/>
          <w:szCs w:val="36"/>
          <w:highlight w:val="none"/>
        </w:rPr>
        <w:t>1年</w:t>
      </w:r>
      <w:r>
        <w:rPr>
          <w:rFonts w:hint="eastAsia" w:hAnsi="宋体" w:cs="宋体"/>
          <w:b/>
          <w:color w:val="auto"/>
          <w:sz w:val="36"/>
          <w:szCs w:val="36"/>
          <w:highlight w:val="none"/>
          <w:lang w:val="en-US" w:eastAsia="zh-CN"/>
        </w:rPr>
        <w:t>8</w:t>
      </w:r>
      <w:r>
        <w:rPr>
          <w:rFonts w:hint="eastAsia" w:hAnsi="宋体" w:cs="宋体"/>
          <w:b/>
          <w:color w:val="auto"/>
          <w:sz w:val="36"/>
          <w:szCs w:val="36"/>
          <w:highlight w:val="none"/>
        </w:rPr>
        <w:t>月</w:t>
      </w:r>
    </w:p>
    <w:p>
      <w:pPr>
        <w:pStyle w:val="8"/>
        <w:spacing w:before="0" w:after="0" w:line="360" w:lineRule="auto"/>
        <w:jc w:val="center"/>
        <w:rPr>
          <w:rFonts w:ascii="宋体" w:hAnsi="宋体" w:cs="宋体"/>
          <w:bCs w:val="0"/>
          <w:color w:val="auto"/>
          <w:sz w:val="36"/>
          <w:highlight w:val="none"/>
        </w:rPr>
        <w:sectPr>
          <w:headerReference r:id="rId5" w:type="first"/>
          <w:headerReference r:id="rId3" w:type="default"/>
          <w:footerReference r:id="rId6" w:type="default"/>
          <w:headerReference r:id="rId4" w:type="even"/>
          <w:pgSz w:w="11907" w:h="16840"/>
          <w:pgMar w:top="851" w:right="1134" w:bottom="851" w:left="1418" w:header="471" w:footer="0" w:gutter="0"/>
          <w:pgNumType w:start="0"/>
          <w:cols w:space="720" w:num="1"/>
          <w:docGrid w:linePitch="312" w:charSpace="0"/>
        </w:sectPr>
      </w:pPr>
    </w:p>
    <w:p>
      <w:pPr>
        <w:spacing w:line="360" w:lineRule="auto"/>
        <w:outlineLvl w:val="5"/>
        <w:rPr>
          <w:rFonts w:hAnsi="宋体"/>
          <w:color w:val="auto"/>
          <w:highlight w:val="none"/>
        </w:rPr>
      </w:pPr>
    </w:p>
    <w:p>
      <w:pPr>
        <w:pStyle w:val="8"/>
        <w:spacing w:before="0" w:after="0" w:line="360" w:lineRule="auto"/>
        <w:jc w:val="center"/>
        <w:rPr>
          <w:rFonts w:ascii="宋体" w:hAnsi="宋体" w:cs="宋体"/>
          <w:b w:val="0"/>
          <w:bCs w:val="0"/>
          <w:color w:val="auto"/>
          <w:sz w:val="48"/>
          <w:szCs w:val="48"/>
          <w:highlight w:val="none"/>
        </w:rPr>
      </w:pPr>
      <w:bookmarkStart w:id="4" w:name="_Toc12069"/>
      <w:r>
        <w:rPr>
          <w:rFonts w:hint="eastAsia" w:ascii="宋体" w:hAnsi="宋体" w:cs="宋体"/>
          <w:bCs w:val="0"/>
          <w:color w:val="auto"/>
          <w:sz w:val="48"/>
          <w:szCs w:val="48"/>
          <w:highlight w:val="none"/>
        </w:rPr>
        <w:t>目    录</w:t>
      </w:r>
      <w:bookmarkEnd w:id="4"/>
    </w:p>
    <w:p>
      <w:pPr>
        <w:spacing w:line="360" w:lineRule="auto"/>
        <w:rPr>
          <w:rFonts w:hAnsi="宋体"/>
          <w:color w:val="auto"/>
          <w:highlight w:val="none"/>
        </w:rPr>
      </w:pPr>
    </w:p>
    <w:p>
      <w:pPr>
        <w:spacing w:line="360" w:lineRule="auto"/>
        <w:rPr>
          <w:rFonts w:hAnsi="宋体"/>
          <w:color w:val="auto"/>
          <w:highlight w:val="none"/>
        </w:rPr>
      </w:pPr>
    </w:p>
    <w:p>
      <w:pPr>
        <w:pStyle w:val="31"/>
        <w:tabs>
          <w:tab w:val="right" w:leader="dot" w:pos="9355"/>
        </w:tabs>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"_Toc13740" </w:instrText>
      </w:r>
      <w:r>
        <w:rPr>
          <w:color w:val="auto"/>
          <w:highlight w:val="none"/>
        </w:rPr>
        <w:fldChar w:fldCharType="separate"/>
      </w:r>
      <w:r>
        <w:rPr>
          <w:rFonts w:hint="eastAsia"/>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_Toc13740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1"/>
        <w:tabs>
          <w:tab w:val="right" w:leader="dot" w:pos="9355"/>
        </w:tabs>
        <w:rPr>
          <w:color w:val="auto"/>
          <w:highlight w:val="none"/>
        </w:rPr>
      </w:pPr>
      <w:r>
        <w:rPr>
          <w:color w:val="auto"/>
          <w:highlight w:val="none"/>
        </w:rPr>
        <w:fldChar w:fldCharType="begin"/>
      </w:r>
      <w:r>
        <w:rPr>
          <w:color w:val="auto"/>
          <w:highlight w:val="none"/>
        </w:rPr>
        <w:instrText xml:space="preserve"> HYPERLINK \l "_Toc25923" </w:instrText>
      </w:r>
      <w:r>
        <w:rPr>
          <w:color w:val="auto"/>
          <w:highlight w:val="none"/>
        </w:rPr>
        <w:fldChar w:fldCharType="separate"/>
      </w: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_Toc25923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"_Toc17003" </w:instrText>
      </w:r>
      <w:r>
        <w:rPr>
          <w:color w:val="auto"/>
          <w:highlight w:val="none"/>
        </w:rPr>
        <w:fldChar w:fldCharType="separate"/>
      </w:r>
      <w:r>
        <w:rPr>
          <w:rFonts w:hint="eastAsia"/>
          <w:color w:val="auto"/>
          <w:highlight w:val="none"/>
        </w:rPr>
        <w:t>第三章  投标文件格式</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lang w:val="en-US" w:eastAsia="zh-CN"/>
        </w:rPr>
        <w:t>3</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"_Toc14680" </w:instrText>
      </w:r>
      <w:r>
        <w:rPr>
          <w:color w:val="auto"/>
          <w:highlight w:val="none"/>
        </w:rPr>
        <w:fldChar w:fldCharType="separate"/>
      </w:r>
      <w:r>
        <w:rPr>
          <w:rFonts w:hint="eastAsia"/>
          <w:color w:val="auto"/>
          <w:highlight w:val="none"/>
        </w:rPr>
        <w:t>第四章  投标人和投标产品的资格、资质性及其他类似效力要求</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5</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"_Toc29399" </w:instrText>
      </w:r>
      <w:r>
        <w:rPr>
          <w:color w:val="auto"/>
          <w:highlight w:val="none"/>
        </w:rPr>
        <w:fldChar w:fldCharType="separate"/>
      </w:r>
      <w:r>
        <w:rPr>
          <w:rFonts w:hint="eastAsia"/>
          <w:color w:val="auto"/>
          <w:highlight w:val="none"/>
        </w:rPr>
        <w:t>第五章  投标人应当提供的资格、资质性及其他类似效力要求的相关证明材料</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6</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"_Toc20281" </w:instrText>
      </w:r>
      <w:r>
        <w:rPr>
          <w:color w:val="auto"/>
          <w:highlight w:val="none"/>
        </w:rPr>
        <w:fldChar w:fldCharType="separate"/>
      </w:r>
      <w:r>
        <w:rPr>
          <w:rFonts w:hint="eastAsia"/>
          <w:color w:val="auto"/>
          <w:highlight w:val="none"/>
        </w:rPr>
        <w:t>第六章  本项目技术、服务、政府采购履约主要条款及其他要求条款</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8</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"_Toc13409" </w:instrText>
      </w:r>
      <w:r>
        <w:rPr>
          <w:color w:val="auto"/>
          <w:highlight w:val="none"/>
        </w:rPr>
        <w:fldChar w:fldCharType="separate"/>
      </w:r>
      <w:r>
        <w:rPr>
          <w:rFonts w:hint="eastAsia"/>
          <w:color w:val="auto"/>
          <w:highlight w:val="none"/>
        </w:rPr>
        <w:t>第七章  评标办法</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7</w:t>
      </w:r>
    </w:p>
    <w:p>
      <w:pPr>
        <w:pStyle w:val="31"/>
        <w:tabs>
          <w:tab w:val="right" w:leader="dot" w:pos="9355"/>
        </w:tabs>
        <w:rPr>
          <w:color w:val="auto"/>
          <w:highlight w:val="none"/>
        </w:rPr>
      </w:pPr>
      <w:r>
        <w:rPr>
          <w:color w:val="auto"/>
          <w:highlight w:val="none"/>
        </w:rPr>
        <w:fldChar w:fldCharType="begin"/>
      </w:r>
      <w:r>
        <w:rPr>
          <w:color w:val="auto"/>
          <w:highlight w:val="none"/>
        </w:rPr>
        <w:instrText xml:space="preserve"> HYPERLINK \l "_Toc5934" </w:instrText>
      </w:r>
      <w:r>
        <w:rPr>
          <w:color w:val="auto"/>
          <w:highlight w:val="none"/>
        </w:rPr>
        <w:fldChar w:fldCharType="separate"/>
      </w:r>
      <w:r>
        <w:rPr>
          <w:rFonts w:hint="eastAsia"/>
          <w:color w:val="auto"/>
          <w:highlight w:val="none"/>
        </w:rPr>
        <w:t>第八章  政府采购合同（草案）</w:t>
      </w:r>
      <w:r>
        <w:rPr>
          <w:color w:val="auto"/>
          <w:highlight w:val="none"/>
        </w:rPr>
        <w:tab/>
      </w:r>
      <w:r>
        <w:rPr>
          <w:rFonts w:hint="eastAsia"/>
          <w:color w:val="auto"/>
          <w:highlight w:val="none"/>
        </w:rPr>
        <w:t>6</w:t>
      </w:r>
      <w:r>
        <w:rPr>
          <w:rFonts w:hint="eastAsia"/>
          <w:color w:val="auto"/>
          <w:highlight w:val="none"/>
          <w:lang w:val="en-US" w:eastAsia="zh-CN"/>
        </w:rPr>
        <w:t>7</w:t>
      </w:r>
      <w:r>
        <w:rPr>
          <w:rFonts w:hint="eastAsia"/>
          <w:color w:val="auto"/>
          <w:highlight w:val="none"/>
        </w:rPr>
        <w:fldChar w:fldCharType="end"/>
      </w:r>
    </w:p>
    <w:p>
      <w:pPr>
        <w:pStyle w:val="31"/>
        <w:tabs>
          <w:tab w:val="right" w:leader="dot" w:pos="9355"/>
        </w:tabs>
        <w:rPr>
          <w:color w:val="auto"/>
          <w:highlight w:val="none"/>
        </w:rPr>
      </w:pPr>
    </w:p>
    <w:p>
      <w:pPr>
        <w:spacing w:line="360" w:lineRule="auto"/>
        <w:outlineLvl w:val="0"/>
        <w:rPr>
          <w:color w:val="auto"/>
          <w:highlight w:val="none"/>
        </w:rPr>
      </w:pPr>
      <w:r>
        <w:rPr>
          <w:rFonts w:hint="eastAsia"/>
          <w:color w:val="auto"/>
          <w:highlight w:val="none"/>
        </w:rPr>
        <w:fldChar w:fldCharType="end"/>
      </w:r>
    </w:p>
    <w:p>
      <w:pPr>
        <w:spacing w:line="360" w:lineRule="auto"/>
        <w:outlineLvl w:val="0"/>
        <w:rPr>
          <w:color w:val="auto"/>
          <w:highlight w:val="none"/>
        </w:rPr>
      </w:pPr>
    </w:p>
    <w:p>
      <w:pPr>
        <w:pStyle w:val="3"/>
        <w:rPr>
          <w:color w:val="auto"/>
          <w:highlight w:val="none"/>
        </w:rPr>
      </w:pPr>
      <w:bookmarkStart w:id="5" w:name="_Toc6743"/>
      <w:bookmarkStart w:id="6" w:name="_Toc12289"/>
      <w:bookmarkStart w:id="7" w:name="_Toc13740"/>
      <w:r>
        <w:rPr>
          <w:rFonts w:hint="eastAsia"/>
          <w:color w:val="auto"/>
          <w:highlight w:val="none"/>
        </w:rPr>
        <w:br w:type="page"/>
      </w:r>
      <w:r>
        <w:rPr>
          <w:rFonts w:hint="eastAsia"/>
          <w:color w:val="auto"/>
          <w:highlight w:val="none"/>
        </w:rPr>
        <w:t xml:space="preserve">第一章  </w:t>
      </w:r>
      <w:bookmarkEnd w:id="2"/>
      <w:bookmarkEnd w:id="3"/>
      <w:r>
        <w:rPr>
          <w:rFonts w:hint="eastAsia"/>
          <w:color w:val="auto"/>
          <w:highlight w:val="none"/>
        </w:rPr>
        <w:t>投标邀请</w:t>
      </w:r>
      <w:bookmarkEnd w:id="5"/>
      <w:bookmarkEnd w:id="6"/>
      <w:bookmarkEnd w:id="7"/>
    </w:p>
    <w:p>
      <w:pPr>
        <w:spacing w:line="360" w:lineRule="auto"/>
        <w:ind w:firstLine="480" w:firstLineChars="200"/>
        <w:outlineLvl w:val="5"/>
        <w:rPr>
          <w:rFonts w:hAnsi="宋体" w:cs="宋体"/>
          <w:color w:val="auto"/>
          <w:highlight w:val="none"/>
        </w:rPr>
      </w:pPr>
      <w:r>
        <w:rPr>
          <w:rFonts w:hint="eastAsia" w:hAnsi="宋体" w:cs="宋体"/>
          <w:bCs/>
          <w:color w:val="auto"/>
          <w:highlight w:val="none"/>
        </w:rPr>
        <w:t>四川五洲招标代理有限公司</w:t>
      </w:r>
      <w:r>
        <w:rPr>
          <w:rFonts w:hint="eastAsia" w:hAnsi="宋体" w:cs="宋体"/>
          <w:color w:val="auto"/>
          <w:highlight w:val="none"/>
        </w:rPr>
        <w:t>受成都市第五人民医院委托，拟对“</w:t>
      </w:r>
      <w:r>
        <w:rPr>
          <w:rFonts w:hint="eastAsia" w:hAnsi="宋体" w:cs="宋体"/>
          <w:color w:val="auto"/>
          <w:highlight w:val="none"/>
          <w:lang w:eastAsia="zh-CN"/>
        </w:rPr>
        <w:t>成都市第五人民医院2021年第十四批医疗设备采购项目</w:t>
      </w:r>
      <w:r>
        <w:rPr>
          <w:rFonts w:hint="eastAsia" w:hAnsi="宋体" w:cs="宋体"/>
          <w:color w:val="auto"/>
          <w:highlight w:val="none"/>
        </w:rPr>
        <w:t>”进行国内公开招标，兹邀请符合本次招标要求的供应商参加投标。</w:t>
      </w:r>
    </w:p>
    <w:p>
      <w:pPr>
        <w:spacing w:line="360" w:lineRule="auto"/>
        <w:outlineLvl w:val="5"/>
        <w:rPr>
          <w:rFonts w:hint="eastAsia" w:hAnsi="宋体" w:eastAsia="宋体" w:cs="宋体"/>
          <w:color w:val="auto"/>
          <w:highlight w:val="none"/>
          <w:lang w:eastAsia="zh-CN"/>
        </w:rPr>
      </w:pPr>
      <w:r>
        <w:rPr>
          <w:rFonts w:hint="eastAsia" w:hAnsi="宋体" w:cs="宋体"/>
          <w:b/>
          <w:color w:val="auto"/>
          <w:highlight w:val="none"/>
        </w:rPr>
        <w:t>一、招标编号：</w:t>
      </w:r>
      <w:r>
        <w:rPr>
          <w:rFonts w:hint="eastAsia" w:hAnsi="宋体" w:cs="宋体"/>
          <w:b/>
          <w:color w:val="auto"/>
          <w:highlight w:val="none"/>
          <w:lang w:eastAsia="zh-CN"/>
        </w:rPr>
        <w:t>510101202101235</w:t>
      </w:r>
    </w:p>
    <w:p>
      <w:pPr>
        <w:spacing w:line="360" w:lineRule="auto"/>
        <w:ind w:left="1619" w:hanging="1619" w:hangingChars="672"/>
        <w:outlineLvl w:val="5"/>
        <w:rPr>
          <w:rFonts w:hint="eastAsia" w:hAnsi="宋体" w:eastAsia="宋体" w:cs="宋体"/>
          <w:color w:val="auto"/>
          <w:highlight w:val="none"/>
          <w:lang w:eastAsia="zh-CN"/>
        </w:rPr>
      </w:pPr>
      <w:r>
        <w:rPr>
          <w:rFonts w:hint="eastAsia" w:hAnsi="宋体" w:cs="宋体"/>
          <w:b/>
          <w:color w:val="auto"/>
          <w:highlight w:val="none"/>
        </w:rPr>
        <w:t>二、招标项目</w:t>
      </w:r>
      <w:r>
        <w:rPr>
          <w:rFonts w:hint="eastAsia" w:hAnsi="宋体" w:cs="宋体"/>
          <w:color w:val="auto"/>
          <w:highlight w:val="none"/>
        </w:rPr>
        <w:t>：</w:t>
      </w:r>
      <w:r>
        <w:rPr>
          <w:rFonts w:hint="eastAsia" w:hAnsi="宋体" w:cs="宋体"/>
          <w:color w:val="auto"/>
          <w:highlight w:val="none"/>
          <w:lang w:eastAsia="zh-CN"/>
        </w:rPr>
        <w:t>成都市第五人民医院2021年第十四批医疗设备采购项目</w:t>
      </w:r>
    </w:p>
    <w:p>
      <w:pPr>
        <w:spacing w:line="360" w:lineRule="auto"/>
        <w:outlineLvl w:val="5"/>
        <w:rPr>
          <w:rFonts w:hAnsi="宋体" w:cs="宋体"/>
          <w:color w:val="auto"/>
          <w:highlight w:val="none"/>
        </w:rPr>
      </w:pPr>
      <w:r>
        <w:rPr>
          <w:rFonts w:hint="eastAsia" w:hAnsi="宋体" w:cs="宋体"/>
          <w:b/>
          <w:color w:val="auto"/>
          <w:highlight w:val="none"/>
        </w:rPr>
        <w:t>三、资金来源：</w:t>
      </w:r>
      <w:r>
        <w:rPr>
          <w:rFonts w:hint="eastAsia" w:hAnsi="宋体" w:cs="宋体"/>
          <w:color w:val="auto"/>
          <w:highlight w:val="none"/>
        </w:rPr>
        <w:t>财政性资金，已落实。</w:t>
      </w:r>
    </w:p>
    <w:p>
      <w:pPr>
        <w:spacing w:line="360" w:lineRule="auto"/>
        <w:outlineLvl w:val="5"/>
        <w:rPr>
          <w:rFonts w:hAnsi="宋体"/>
          <w:color w:val="auto"/>
          <w:highlight w:val="none"/>
        </w:rPr>
      </w:pPr>
      <w:r>
        <w:rPr>
          <w:rFonts w:hint="eastAsia" w:hAnsi="宋体"/>
          <w:b/>
          <w:color w:val="auto"/>
          <w:highlight w:val="none"/>
        </w:rPr>
        <w:t>四、招标项目简介：</w:t>
      </w:r>
      <w:r>
        <w:rPr>
          <w:rFonts w:hint="eastAsia" w:hAnsi="宋体"/>
          <w:color w:val="auto"/>
          <w:highlight w:val="none"/>
        </w:rPr>
        <w:t>本项</w:t>
      </w:r>
      <w:r>
        <w:rPr>
          <w:rFonts w:hint="eastAsia" w:hAnsi="宋体" w:cs="宋体"/>
          <w:color w:val="auto"/>
          <w:highlight w:val="none"/>
        </w:rPr>
        <w:t>目共</w:t>
      </w:r>
      <w:r>
        <w:rPr>
          <w:rFonts w:hint="eastAsia" w:hAnsi="宋体" w:cs="宋体"/>
          <w:color w:val="auto"/>
          <w:highlight w:val="none"/>
          <w:lang w:val="en-US" w:eastAsia="zh-CN"/>
        </w:rPr>
        <w:t>1</w:t>
      </w:r>
      <w:r>
        <w:rPr>
          <w:rFonts w:hint="eastAsia" w:hAnsi="宋体" w:cs="宋体"/>
          <w:color w:val="auto"/>
          <w:highlight w:val="none"/>
        </w:rPr>
        <w:t xml:space="preserve">个包，采购内容：单光子发射断层扫描装置 (SPECT) </w:t>
      </w:r>
      <w:r>
        <w:rPr>
          <w:rFonts w:hint="eastAsia" w:hAnsi="宋体"/>
          <w:color w:val="auto"/>
          <w:highlight w:val="none"/>
        </w:rPr>
        <w:t>（具体详见第六章“本项目技术、服务、政府采购履约主要条款及其他要求条款”）</w:t>
      </w:r>
    </w:p>
    <w:p>
      <w:pPr>
        <w:spacing w:line="360" w:lineRule="auto"/>
        <w:outlineLvl w:val="5"/>
        <w:rPr>
          <w:rFonts w:hAnsi="宋体" w:cs="宋体"/>
          <w:b/>
          <w:color w:val="auto"/>
          <w:highlight w:val="none"/>
        </w:rPr>
      </w:pPr>
      <w:r>
        <w:rPr>
          <w:rFonts w:hint="eastAsia" w:hAnsi="宋体" w:cs="宋体"/>
          <w:b/>
          <w:color w:val="auto"/>
          <w:highlight w:val="none"/>
        </w:rPr>
        <w:t>五、供应商参加本次政府采购活动，应当在提交投标文件前具备下列条件：</w:t>
      </w:r>
    </w:p>
    <w:p>
      <w:pPr>
        <w:spacing w:line="360" w:lineRule="auto"/>
        <w:ind w:firstLine="120" w:firstLineChars="50"/>
        <w:outlineLvl w:val="5"/>
        <w:rPr>
          <w:rFonts w:hAnsi="宋体" w:cs="宋体"/>
          <w:b/>
          <w:color w:val="auto"/>
          <w:highlight w:val="none"/>
        </w:rPr>
      </w:pPr>
      <w:r>
        <w:rPr>
          <w:rFonts w:hint="eastAsia" w:hAnsi="宋体" w:cs="宋体"/>
          <w:b/>
          <w:color w:val="auto"/>
          <w:highlight w:val="none"/>
        </w:rPr>
        <w:t>1.投标人应具备《中华人民共和国政府采购法》第二十二条规定的下列条件：</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1.1具有独立承担民事责任的能力；</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1.2具有良好的商业信誉和健全的财务会计制度；</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1.3具有履行合同所必需的设备和专业技术能力；</w:t>
      </w:r>
    </w:p>
    <w:p>
      <w:pPr>
        <w:shd w:val="clear" w:color="auto" w:fill="FFFFFF"/>
        <w:tabs>
          <w:tab w:val="left" w:pos="900"/>
          <w:tab w:val="left" w:pos="5366"/>
          <w:tab w:val="left" w:pos="7932"/>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1.4有依法缴纳税收和社会保障资金的良好记录；</w:t>
      </w:r>
      <w:r>
        <w:rPr>
          <w:rFonts w:hAnsi="宋体" w:cs="宋体"/>
          <w:color w:val="auto"/>
          <w:highlight w:val="none"/>
        </w:rPr>
        <w:tab/>
      </w:r>
    </w:p>
    <w:p>
      <w:pPr>
        <w:shd w:val="clear" w:color="auto" w:fill="FFFFFF"/>
        <w:tabs>
          <w:tab w:val="left" w:pos="900"/>
          <w:tab w:val="left" w:pos="5366"/>
          <w:tab w:val="left" w:pos="7995"/>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1.5参加政府采购活动前三年内，在经营活动中没有重大违法记录；</w:t>
      </w:r>
      <w:r>
        <w:rPr>
          <w:rFonts w:hAnsi="宋体" w:cs="宋体"/>
          <w:color w:val="auto"/>
          <w:highlight w:val="none"/>
        </w:rPr>
        <w:tab/>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1.6法律、行政法规规定的其他条件。</w:t>
      </w:r>
    </w:p>
    <w:p>
      <w:pPr>
        <w:pStyle w:val="108"/>
        <w:ind w:firstLine="0" w:firstLineChars="0"/>
        <w:rPr>
          <w:b/>
          <w:color w:val="auto"/>
          <w:highlight w:val="none"/>
        </w:rPr>
      </w:pPr>
      <w:r>
        <w:rPr>
          <w:rFonts w:hint="eastAsia" w:hAnsi="宋体" w:cs="宋体"/>
          <w:b/>
          <w:color w:val="auto"/>
          <w:highlight w:val="none"/>
        </w:rPr>
        <w:t>2.根据采购项目提出的特</w:t>
      </w:r>
      <w:r>
        <w:rPr>
          <w:rFonts w:hint="eastAsia"/>
          <w:b/>
          <w:color w:val="auto"/>
          <w:highlight w:val="none"/>
        </w:rPr>
        <w:t>殊条件：</w:t>
      </w:r>
    </w:p>
    <w:p>
      <w:pPr>
        <w:pStyle w:val="2"/>
        <w:spacing w:line="360" w:lineRule="auto"/>
        <w:ind w:firstLine="240" w:firstLineChars="100"/>
        <w:rPr>
          <w:rFonts w:hint="eastAsia" w:hAnsi="宋体" w:cs="宋体"/>
          <w:color w:val="auto"/>
          <w:kern w:val="0"/>
          <w:sz w:val="24"/>
          <w:highlight w:val="none"/>
        </w:rPr>
      </w:pPr>
      <w:r>
        <w:rPr>
          <w:rFonts w:hint="eastAsia" w:hAnsi="宋体" w:cs="宋体"/>
          <w:color w:val="auto"/>
          <w:kern w:val="0"/>
          <w:sz w:val="24"/>
          <w:highlight w:val="none"/>
        </w:rPr>
        <w:t>2.1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pPr>
        <w:pStyle w:val="2"/>
        <w:spacing w:line="360" w:lineRule="auto"/>
        <w:ind w:firstLine="240" w:firstLineChars="100"/>
        <w:rPr>
          <w:rFonts w:hint="eastAsia" w:hAnsi="宋体" w:cs="宋体"/>
          <w:color w:val="auto"/>
          <w:kern w:val="0"/>
          <w:sz w:val="24"/>
          <w:highlight w:val="none"/>
        </w:rPr>
      </w:pPr>
      <w:r>
        <w:rPr>
          <w:rFonts w:hint="eastAsia" w:hAnsi="宋体" w:cs="宋体"/>
          <w:color w:val="auto"/>
          <w:kern w:val="0"/>
          <w:sz w:val="24"/>
          <w:highlight w:val="none"/>
        </w:rPr>
        <w:t>2.2投标产品需具有符合《医疗器械注册管理办法》等政策法规要求的中华人民共和国医疗器械注册或备案凭证。（仅限医疗器械适用）</w:t>
      </w:r>
    </w:p>
    <w:p>
      <w:pPr>
        <w:pStyle w:val="2"/>
        <w:spacing w:line="360" w:lineRule="auto"/>
        <w:ind w:firstLine="240" w:firstLineChars="100"/>
        <w:rPr>
          <w:rFonts w:hAnsi="宋体" w:cs="宋体"/>
          <w:color w:val="auto"/>
          <w:kern w:val="0"/>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en-US" w:eastAsia="zh-CN"/>
        </w:rPr>
        <w:t>3</w:t>
      </w:r>
      <w:r>
        <w:rPr>
          <w:rFonts w:hint="eastAsia" w:hAnsi="宋体" w:cs="宋体"/>
          <w:color w:val="auto"/>
          <w:kern w:val="0"/>
          <w:sz w:val="24"/>
          <w:highlight w:val="none"/>
        </w:rPr>
        <w:t>本项目不接受联合体投标。</w:t>
      </w:r>
    </w:p>
    <w:p>
      <w:pPr>
        <w:numPr>
          <w:ilvl w:val="0"/>
          <w:numId w:val="1"/>
        </w:numPr>
        <w:spacing w:line="360" w:lineRule="auto"/>
        <w:outlineLvl w:val="5"/>
        <w:rPr>
          <w:rFonts w:hAnsi="宋体" w:cs="宋体"/>
          <w:b/>
          <w:color w:val="auto"/>
          <w:highlight w:val="none"/>
        </w:rPr>
      </w:pPr>
      <w:r>
        <w:rPr>
          <w:rFonts w:hint="eastAsia" w:hAnsi="宋体" w:cs="宋体"/>
          <w:b/>
          <w:color w:val="auto"/>
          <w:highlight w:val="none"/>
        </w:rPr>
        <w:t>招标文件</w:t>
      </w:r>
      <w:r>
        <w:rPr>
          <w:rFonts w:hint="eastAsia"/>
          <w:b/>
          <w:color w:val="auto"/>
          <w:highlight w:val="none"/>
        </w:rPr>
        <w:t>获取时间、地点</w:t>
      </w:r>
      <w:r>
        <w:rPr>
          <w:rFonts w:hint="eastAsia" w:hAnsi="宋体" w:cs="宋体"/>
          <w:b/>
          <w:color w:val="auto"/>
          <w:highlight w:val="none"/>
        </w:rPr>
        <w:t>及售价：</w:t>
      </w:r>
    </w:p>
    <w:p>
      <w:pPr>
        <w:spacing w:line="360" w:lineRule="auto"/>
        <w:outlineLvl w:val="5"/>
        <w:rPr>
          <w:rFonts w:hAnsi="宋体" w:cs="宋体"/>
          <w:color w:val="auto"/>
          <w:highlight w:val="none"/>
        </w:rPr>
      </w:pPr>
      <w:r>
        <w:rPr>
          <w:rFonts w:hint="eastAsia" w:hAnsi="宋体" w:cs="宋体"/>
          <w:color w:val="auto"/>
          <w:highlight w:val="none"/>
        </w:rPr>
        <w:t xml:space="preserve">    1.招标文件获取时间期限：自2021年</w:t>
      </w:r>
      <w:r>
        <w:rPr>
          <w:rFonts w:hint="eastAsia" w:hAnsi="宋体" w:cs="宋体"/>
          <w:color w:val="auto"/>
          <w:highlight w:val="none"/>
          <w:lang w:val="en-US" w:eastAsia="zh-CN"/>
        </w:rPr>
        <w:t>08</w:t>
      </w:r>
      <w:r>
        <w:rPr>
          <w:rFonts w:hint="eastAsia" w:hAnsi="宋体" w:cs="宋体"/>
          <w:color w:val="auto"/>
          <w:highlight w:val="none"/>
        </w:rPr>
        <w:t>月</w:t>
      </w:r>
      <w:r>
        <w:rPr>
          <w:rFonts w:hint="eastAsia" w:hAnsi="宋体" w:cs="宋体"/>
          <w:color w:val="auto"/>
          <w:highlight w:val="none"/>
          <w:lang w:val="en-US" w:eastAsia="zh-CN"/>
        </w:rPr>
        <w:t>30</w:t>
      </w:r>
      <w:r>
        <w:rPr>
          <w:rFonts w:hint="eastAsia" w:hAnsi="宋体" w:cs="宋体"/>
          <w:color w:val="auto"/>
          <w:highlight w:val="none"/>
        </w:rPr>
        <w:t>日到2021年</w:t>
      </w:r>
      <w:r>
        <w:rPr>
          <w:rFonts w:hint="eastAsia" w:hAnsi="宋体" w:cs="宋体"/>
          <w:color w:val="auto"/>
          <w:highlight w:val="none"/>
          <w:lang w:val="en-US" w:eastAsia="zh-CN"/>
        </w:rPr>
        <w:t>09</w:t>
      </w:r>
      <w:r>
        <w:rPr>
          <w:rFonts w:hint="eastAsia" w:hAnsi="宋体" w:cs="宋体"/>
          <w:color w:val="auto"/>
          <w:highlight w:val="none"/>
        </w:rPr>
        <w:t>月</w:t>
      </w:r>
      <w:r>
        <w:rPr>
          <w:rFonts w:hint="eastAsia" w:hAnsi="宋体" w:cs="宋体"/>
          <w:color w:val="auto"/>
          <w:highlight w:val="none"/>
          <w:lang w:val="en-US" w:eastAsia="zh-CN"/>
        </w:rPr>
        <w:t>03</w:t>
      </w:r>
      <w:r>
        <w:rPr>
          <w:rFonts w:hint="eastAsia" w:hAnsi="宋体" w:cs="宋体"/>
          <w:color w:val="auto"/>
          <w:highlight w:val="none"/>
        </w:rPr>
        <w:t>日,每天上午9:00至12:00,下午14:00至17:00（北京时间，法定节假日除外）。</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2.发售方式及地址：凡有意参加本项目者，在本项目招标文件获取时间期限内，请登录网址：http://www.scwzzbdl.com进行注册后报名，网上注册及报名咨询联系电话：028-85446608/028-85445511转8858。注册成功后进入项目招标公告点击报名，具体流程详见“报名操作指南”。报名成功即可在该网站下载项目的招标文件。</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3.招标文件技术服务费：本项目免费获取（报名后资格不能转让）。</w:t>
      </w:r>
    </w:p>
    <w:p>
      <w:pPr>
        <w:spacing w:line="360" w:lineRule="auto"/>
        <w:outlineLvl w:val="5"/>
        <w:rPr>
          <w:rFonts w:hAnsi="宋体" w:cs="宋体"/>
          <w:color w:val="auto"/>
          <w:highlight w:val="none"/>
        </w:rPr>
      </w:pPr>
      <w:r>
        <w:rPr>
          <w:rFonts w:hint="eastAsia" w:hAnsi="宋体" w:cs="宋体"/>
          <w:b/>
          <w:color w:val="auto"/>
          <w:highlight w:val="none"/>
        </w:rPr>
        <w:t>七、投标截止时间和开标时间：</w:t>
      </w:r>
      <w:r>
        <w:rPr>
          <w:rFonts w:hint="eastAsia" w:hAnsi="宋体" w:cs="宋体"/>
          <w:color w:val="auto"/>
          <w:highlight w:val="none"/>
        </w:rPr>
        <w:t>20</w:t>
      </w:r>
      <w:r>
        <w:rPr>
          <w:rFonts w:hAnsi="宋体" w:cs="宋体"/>
          <w:color w:val="auto"/>
          <w:highlight w:val="none"/>
        </w:rPr>
        <w:t>2</w:t>
      </w:r>
      <w:r>
        <w:rPr>
          <w:rFonts w:hint="eastAsia" w:hAnsi="宋体" w:cs="宋体"/>
          <w:color w:val="auto"/>
          <w:highlight w:val="none"/>
        </w:rPr>
        <w:t>1年</w:t>
      </w:r>
      <w:r>
        <w:rPr>
          <w:rFonts w:hint="eastAsia" w:hAnsi="宋体" w:cs="宋体"/>
          <w:color w:val="auto"/>
          <w:highlight w:val="none"/>
          <w:lang w:val="en-US" w:eastAsia="zh-CN"/>
        </w:rPr>
        <w:t>09</w:t>
      </w:r>
      <w:r>
        <w:rPr>
          <w:rFonts w:hint="eastAsia" w:hAnsi="宋体" w:cs="宋体"/>
          <w:color w:val="auto"/>
          <w:highlight w:val="none"/>
        </w:rPr>
        <w:t>月</w:t>
      </w:r>
      <w:r>
        <w:rPr>
          <w:rFonts w:hint="eastAsia" w:hAnsi="宋体" w:cs="宋体"/>
          <w:color w:val="auto"/>
          <w:highlight w:val="none"/>
          <w:lang w:val="en-US" w:eastAsia="zh-CN"/>
        </w:rPr>
        <w:t>23</w:t>
      </w:r>
      <w:r>
        <w:rPr>
          <w:rFonts w:hint="eastAsia" w:hAnsi="宋体" w:cs="宋体"/>
          <w:color w:val="auto"/>
          <w:highlight w:val="none"/>
        </w:rPr>
        <w:t>日</w:t>
      </w:r>
      <w:r>
        <w:rPr>
          <w:rFonts w:hint="eastAsia" w:hAnsi="宋体" w:cs="宋体"/>
          <w:color w:val="auto"/>
          <w:highlight w:val="none"/>
          <w:lang w:val="en-US" w:eastAsia="zh-CN"/>
        </w:rPr>
        <w:t>9</w:t>
      </w:r>
      <w:r>
        <w:rPr>
          <w:rFonts w:hint="eastAsia" w:hAnsi="宋体" w:cs="宋体"/>
          <w:color w:val="auto"/>
          <w:highlight w:val="none"/>
        </w:rPr>
        <w:t>时30分（北京时间）。</w:t>
      </w:r>
    </w:p>
    <w:p>
      <w:pPr>
        <w:spacing w:line="360" w:lineRule="auto"/>
        <w:outlineLvl w:val="5"/>
        <w:rPr>
          <w:rFonts w:hAnsi="宋体" w:cs="宋体"/>
          <w:color w:val="auto"/>
          <w:highlight w:val="none"/>
        </w:rPr>
      </w:pPr>
      <w:r>
        <w:rPr>
          <w:rFonts w:hint="eastAsia" w:hAnsi="宋体" w:cs="宋体"/>
          <w:color w:val="auto"/>
          <w:highlight w:val="none"/>
        </w:rPr>
        <w:t xml:space="preserve">    投标文件必须在投标截止时间前送达开标地点。逾期送达或者未按照招标文件要求密封的投标文件恕不接受。本次招标不接受邮寄的投标文件。</w:t>
      </w:r>
    </w:p>
    <w:p>
      <w:pPr>
        <w:spacing w:line="360" w:lineRule="auto"/>
        <w:outlineLvl w:val="5"/>
        <w:rPr>
          <w:rFonts w:hAnsi="宋体" w:cs="宋体"/>
          <w:color w:val="auto"/>
          <w:highlight w:val="none"/>
        </w:rPr>
      </w:pPr>
      <w:r>
        <w:rPr>
          <w:rFonts w:hint="eastAsia" w:hAnsi="宋体" w:cs="宋体"/>
          <w:b/>
          <w:color w:val="auto"/>
          <w:highlight w:val="none"/>
        </w:rPr>
        <w:t>八、开标地点：</w:t>
      </w:r>
      <w:r>
        <w:rPr>
          <w:rFonts w:hint="eastAsia" w:hAnsi="宋体" w:cs="宋体"/>
          <w:color w:val="auto"/>
          <w:highlight w:val="none"/>
        </w:rPr>
        <w:t>成都市武侯区星狮路511号大合仓C区415房（成都市三环路川藏立交西内侧）四川五洲招标代理有限公司开标厅。</w:t>
      </w:r>
    </w:p>
    <w:p>
      <w:pPr>
        <w:spacing w:line="360" w:lineRule="auto"/>
        <w:outlineLvl w:val="5"/>
        <w:rPr>
          <w:rFonts w:hAnsi="宋体" w:cs="宋体"/>
          <w:b/>
          <w:color w:val="auto"/>
          <w:highlight w:val="none"/>
        </w:rPr>
      </w:pPr>
      <w:r>
        <w:rPr>
          <w:rFonts w:hint="eastAsia" w:hAnsi="宋体" w:cs="宋体"/>
          <w:b/>
          <w:color w:val="auto"/>
          <w:highlight w:val="none"/>
        </w:rPr>
        <w:t>九、本投标邀请在“四川政府采购网（http://www.ccgp-sichuan.gov.cn）”上以公告形式发布。</w:t>
      </w:r>
    </w:p>
    <w:p>
      <w:pPr>
        <w:spacing w:line="360" w:lineRule="auto"/>
        <w:outlineLvl w:val="5"/>
        <w:rPr>
          <w:rFonts w:hAnsi="宋体" w:cs="宋体"/>
          <w:b/>
          <w:color w:val="auto"/>
          <w:highlight w:val="none"/>
        </w:rPr>
      </w:pPr>
      <w:r>
        <w:rPr>
          <w:rFonts w:hint="eastAsia" w:hAnsi="宋体" w:cs="宋体"/>
          <w:b/>
          <w:color w:val="auto"/>
          <w:highlight w:val="none"/>
        </w:rPr>
        <w:t>十、联系方式：</w:t>
      </w:r>
    </w:p>
    <w:p>
      <w:pPr>
        <w:spacing w:line="360" w:lineRule="auto"/>
        <w:ind w:firstLine="723" w:firstLineChars="300"/>
        <w:outlineLvl w:val="5"/>
        <w:rPr>
          <w:rFonts w:hAnsi="宋体" w:cs="宋体"/>
          <w:b/>
          <w:color w:val="auto"/>
          <w:highlight w:val="none"/>
        </w:rPr>
      </w:pPr>
      <w:r>
        <w:rPr>
          <w:rFonts w:hint="eastAsia" w:hAnsi="宋体" w:cs="宋体"/>
          <w:b/>
          <w:color w:val="auto"/>
          <w:highlight w:val="none"/>
        </w:rPr>
        <w:t>采购人：成都市第五人民医院</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地址：成都市温江区麻市街33号</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联系人：李老师</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联系电话：028-82689950</w:t>
      </w:r>
    </w:p>
    <w:p>
      <w:pPr>
        <w:spacing w:line="360" w:lineRule="auto"/>
        <w:ind w:firstLine="723" w:firstLineChars="300"/>
        <w:outlineLvl w:val="5"/>
        <w:rPr>
          <w:rFonts w:hAnsi="宋体" w:cs="宋体"/>
          <w:color w:val="auto"/>
          <w:highlight w:val="none"/>
        </w:rPr>
      </w:pPr>
      <w:r>
        <w:rPr>
          <w:rFonts w:hint="eastAsia" w:hAnsi="宋体" w:cs="宋体"/>
          <w:b/>
          <w:bCs/>
          <w:color w:val="auto"/>
          <w:highlight w:val="none"/>
        </w:rPr>
        <w:t>采购代理机构： 四川五洲招标代理有限公司</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地    址：成都市武侯区星狮路511号大合仓C区415房</w:t>
      </w:r>
    </w:p>
    <w:p>
      <w:pPr>
        <w:spacing w:line="360" w:lineRule="auto"/>
        <w:ind w:firstLine="720" w:firstLineChars="300"/>
        <w:outlineLvl w:val="5"/>
        <w:rPr>
          <w:rFonts w:hint="eastAsia" w:hAnsi="宋体" w:eastAsia="宋体" w:cs="宋体"/>
          <w:color w:val="auto"/>
          <w:highlight w:val="none"/>
          <w:lang w:eastAsia="zh-CN"/>
        </w:rPr>
      </w:pPr>
      <w:r>
        <w:rPr>
          <w:rFonts w:hint="eastAsia" w:hAnsi="宋体" w:cs="宋体"/>
          <w:color w:val="auto"/>
          <w:highlight w:val="none"/>
        </w:rPr>
        <w:t>联 系 人：张女士、</w:t>
      </w:r>
      <w:r>
        <w:rPr>
          <w:rFonts w:hint="eastAsia" w:hAnsi="宋体" w:cs="宋体"/>
          <w:color w:val="auto"/>
          <w:highlight w:val="none"/>
          <w:lang w:eastAsia="zh-CN"/>
        </w:rPr>
        <w:t>李先生</w:t>
      </w:r>
    </w:p>
    <w:p>
      <w:pPr>
        <w:spacing w:line="360" w:lineRule="auto"/>
        <w:ind w:firstLine="720" w:firstLineChars="300"/>
        <w:outlineLvl w:val="5"/>
        <w:rPr>
          <w:rFonts w:hint="default" w:hAnsi="宋体" w:eastAsia="宋体" w:cs="宋体"/>
          <w:color w:val="auto"/>
          <w:highlight w:val="none"/>
          <w:lang w:val="en-US" w:eastAsia="zh-CN"/>
        </w:rPr>
      </w:pPr>
      <w:r>
        <w:rPr>
          <w:rFonts w:hint="eastAsia" w:hAnsi="宋体" w:cs="宋体"/>
          <w:color w:val="auto"/>
          <w:highlight w:val="none"/>
        </w:rPr>
        <w:t>联系电话：028-85446608、85445511、85045522-8</w:t>
      </w:r>
      <w:r>
        <w:rPr>
          <w:rFonts w:hAnsi="宋体" w:cs="宋体"/>
          <w:color w:val="auto"/>
          <w:highlight w:val="none"/>
        </w:rPr>
        <w:t>8</w:t>
      </w:r>
      <w:r>
        <w:rPr>
          <w:rFonts w:hint="eastAsia" w:hAnsi="宋体" w:cs="宋体"/>
          <w:color w:val="auto"/>
          <w:highlight w:val="none"/>
        </w:rPr>
        <w:t>09、88</w:t>
      </w:r>
      <w:r>
        <w:rPr>
          <w:rFonts w:hint="eastAsia" w:hAnsi="宋体" w:cs="宋体"/>
          <w:color w:val="auto"/>
          <w:highlight w:val="none"/>
          <w:lang w:val="en-US" w:eastAsia="zh-CN"/>
        </w:rPr>
        <w:t>25</w:t>
      </w:r>
    </w:p>
    <w:p>
      <w:pPr>
        <w:spacing w:line="360" w:lineRule="auto"/>
        <w:ind w:firstLine="5280" w:firstLineChars="2200"/>
        <w:outlineLvl w:val="5"/>
        <w:rPr>
          <w:rFonts w:hAnsi="宋体" w:cs="宋体"/>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rPr>
          <w:color w:val="auto"/>
          <w:highlight w:val="none"/>
        </w:rPr>
      </w:pPr>
      <w:bookmarkStart w:id="8" w:name="_Toc213496267"/>
      <w:bookmarkStart w:id="9" w:name="_Toc7915"/>
      <w:bookmarkStart w:id="10" w:name="_Toc213396759"/>
      <w:bookmarkStart w:id="11" w:name="_Toc213397009"/>
      <w:bookmarkStart w:id="12" w:name="_Toc213396945"/>
      <w:bookmarkStart w:id="13" w:name="_Toc20736"/>
      <w:bookmarkStart w:id="14" w:name="_Toc25923"/>
      <w:bookmarkStart w:id="15" w:name="_Toc217446031"/>
      <w:bookmarkStart w:id="16" w:name="_Toc183582202"/>
      <w:bookmarkStart w:id="17" w:name="_Toc183682339"/>
      <w:bookmarkStart w:id="18" w:name="_Toc89075871"/>
      <w:bookmarkStart w:id="19" w:name="_Toc77400776"/>
      <w:r>
        <w:rPr>
          <w:rFonts w:hint="eastAsia"/>
          <w:color w:val="auto"/>
          <w:highlight w:val="none"/>
        </w:rPr>
        <w:br w:type="page"/>
      </w:r>
      <w:r>
        <w:rPr>
          <w:rFonts w:hint="eastAsia"/>
          <w:color w:val="auto"/>
          <w:highlight w:val="none"/>
        </w:rPr>
        <w:t>第二章  投标人须知</w:t>
      </w:r>
      <w:bookmarkEnd w:id="8"/>
      <w:bookmarkEnd w:id="9"/>
      <w:bookmarkEnd w:id="10"/>
      <w:bookmarkEnd w:id="11"/>
      <w:bookmarkEnd w:id="12"/>
      <w:bookmarkEnd w:id="13"/>
      <w:bookmarkEnd w:id="14"/>
      <w:bookmarkEnd w:id="15"/>
      <w:bookmarkStart w:id="20" w:name="_Toc184274915"/>
      <w:bookmarkStart w:id="21" w:name="_Toc184283909"/>
    </w:p>
    <w:p>
      <w:pPr>
        <w:pStyle w:val="4"/>
        <w:rPr>
          <w:color w:val="auto"/>
          <w:highlight w:val="none"/>
        </w:rPr>
      </w:pPr>
      <w:bookmarkStart w:id="22" w:name="_Toc217446032"/>
      <w:bookmarkStart w:id="23" w:name="_Toc189727030"/>
      <w:bookmarkStart w:id="24" w:name="_Toc15899"/>
      <w:bookmarkStart w:id="25" w:name="_Toc213396946"/>
      <w:bookmarkStart w:id="26" w:name="_Toc213397010"/>
      <w:bookmarkStart w:id="27" w:name="_Toc3389"/>
      <w:bookmarkStart w:id="28" w:name="_Toc213496268"/>
      <w:bookmarkStart w:id="29" w:name="_Toc213396760"/>
      <w:r>
        <w:rPr>
          <w:rFonts w:hint="eastAsia"/>
          <w:color w:val="auto"/>
          <w:highlight w:val="none"/>
        </w:rPr>
        <w:t>一、投标人须知附表</w:t>
      </w:r>
      <w:bookmarkEnd w:id="20"/>
      <w:bookmarkEnd w:id="21"/>
      <w:bookmarkEnd w:id="22"/>
      <w:bookmarkEnd w:id="23"/>
      <w:bookmarkEnd w:id="24"/>
      <w:bookmarkEnd w:id="25"/>
      <w:bookmarkEnd w:id="26"/>
      <w:bookmarkEnd w:id="27"/>
      <w:bookmarkEnd w:id="28"/>
      <w:bookmarkEnd w:id="29"/>
    </w:p>
    <w:tbl>
      <w:tblPr>
        <w:tblStyle w:val="46"/>
        <w:tblW w:w="9399"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65"/>
        <w:gridCol w:w="1968"/>
        <w:gridCol w:w="69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465"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 xml:space="preserve">序号 </w:t>
            </w:r>
          </w:p>
        </w:tc>
        <w:tc>
          <w:tcPr>
            <w:tcW w:w="1968"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条款名称</w:t>
            </w:r>
          </w:p>
        </w:tc>
        <w:tc>
          <w:tcPr>
            <w:tcW w:w="6966"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1</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采购人</w:t>
            </w:r>
          </w:p>
        </w:tc>
        <w:tc>
          <w:tcPr>
            <w:tcW w:w="6966" w:type="dxa"/>
            <w:noWrap/>
          </w:tcPr>
          <w:p>
            <w:pPr>
              <w:rPr>
                <w:rFonts w:hAnsi="宋体" w:cs="宋体"/>
                <w:color w:val="auto"/>
                <w:highlight w:val="none"/>
                <w:lang w:val="zh-CN"/>
              </w:rPr>
            </w:pPr>
            <w:r>
              <w:rPr>
                <w:rFonts w:hint="eastAsia" w:hAnsi="宋体" w:cs="宋体"/>
                <w:color w:val="auto"/>
                <w:highlight w:val="none"/>
                <w:lang w:val="zh-CN"/>
              </w:rPr>
              <w:t>成都市第五人民医院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2</w:t>
            </w:r>
          </w:p>
        </w:tc>
        <w:tc>
          <w:tcPr>
            <w:tcW w:w="1968" w:type="dxa"/>
            <w:noWrap/>
            <w:vAlign w:val="center"/>
          </w:tcPr>
          <w:p>
            <w:pPr>
              <w:spacing w:line="360" w:lineRule="auto"/>
              <w:ind w:right="204" w:rightChars="85"/>
              <w:outlineLvl w:val="5"/>
              <w:rPr>
                <w:rFonts w:hAnsi="宋体" w:cs="宋体"/>
                <w:color w:val="auto"/>
                <w:highlight w:val="none"/>
                <w:lang w:val="zh-CN"/>
              </w:rPr>
            </w:pPr>
            <w:r>
              <w:rPr>
                <w:rFonts w:hint="eastAsia" w:hAnsi="宋体" w:cs="宋体"/>
                <w:color w:val="auto"/>
                <w:highlight w:val="none"/>
                <w:lang w:val="zh-CN"/>
              </w:rPr>
              <w:t>招标代理机构</w:t>
            </w:r>
          </w:p>
        </w:tc>
        <w:tc>
          <w:tcPr>
            <w:tcW w:w="6966" w:type="dxa"/>
            <w:noWrap/>
          </w:tcPr>
          <w:p>
            <w:pPr>
              <w:rPr>
                <w:rFonts w:hAnsi="宋体" w:cs="宋体"/>
                <w:color w:val="auto"/>
                <w:highlight w:val="none"/>
                <w:lang w:val="zh-CN"/>
              </w:rPr>
            </w:pPr>
            <w:r>
              <w:rPr>
                <w:rFonts w:hint="eastAsia" w:hAnsi="宋体" w:cs="宋体"/>
                <w:color w:val="auto"/>
                <w:highlight w:val="none"/>
                <w:lang w:val="zh-CN"/>
              </w:rPr>
              <w:t>四川五洲招标代理有限公司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3</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采购项目名称</w:t>
            </w:r>
          </w:p>
        </w:tc>
        <w:tc>
          <w:tcPr>
            <w:tcW w:w="6966" w:type="dxa"/>
            <w:noWrap/>
          </w:tcPr>
          <w:p>
            <w:pPr>
              <w:rPr>
                <w:rFonts w:hAnsi="宋体" w:cs="宋体"/>
                <w:color w:val="auto"/>
                <w:highlight w:val="none"/>
                <w:lang w:val="zh-CN"/>
              </w:rPr>
            </w:pPr>
            <w:r>
              <w:rPr>
                <w:rFonts w:hint="eastAsia" w:hAnsi="宋体" w:cs="宋体"/>
                <w:color w:val="auto"/>
                <w:highlight w:val="none"/>
                <w:lang w:val="zh-CN"/>
              </w:rPr>
              <w:t>成都市第五人民医院2021年第十四批医疗设备采购项目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4</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采购文件编号</w:t>
            </w:r>
          </w:p>
        </w:tc>
        <w:tc>
          <w:tcPr>
            <w:tcW w:w="6966" w:type="dxa"/>
            <w:noWrap/>
            <w:vAlign w:val="center"/>
          </w:tcPr>
          <w:p>
            <w:pPr>
              <w:spacing w:line="360" w:lineRule="auto"/>
              <w:outlineLvl w:val="5"/>
              <w:rPr>
                <w:rFonts w:hint="eastAsia" w:hAnsi="宋体" w:eastAsia="宋体" w:cs="宋体"/>
                <w:color w:val="auto"/>
                <w:highlight w:val="none"/>
                <w:lang w:eastAsia="zh-CN"/>
              </w:rPr>
            </w:pPr>
            <w:r>
              <w:rPr>
                <w:rFonts w:hint="eastAsia" w:hAnsi="宋体" w:cs="宋体"/>
                <w:color w:val="auto"/>
                <w:highlight w:val="none"/>
                <w:lang w:eastAsia="zh-CN"/>
              </w:rPr>
              <w:t>510101202101235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5</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招标文件编制</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rPr>
              <w:t>由成都市第五人民医院和四川五洲招标代理有限公司共同编制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6</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资金来源</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rPr>
              <w:t>财政性资金，已落实。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restart"/>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7</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采购预算</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tcBorders>
              <w:bottom w:val="single" w:color="auto" w:sz="4" w:space="0"/>
            </w:tcBorders>
            <w:noWrap/>
            <w:vAlign w:val="center"/>
          </w:tcPr>
          <w:p>
            <w:pPr>
              <w:spacing w:line="360" w:lineRule="auto"/>
              <w:outlineLvl w:val="5"/>
              <w:rPr>
                <w:rFonts w:hAnsi="宋体" w:cs="宋体"/>
                <w:color w:val="auto"/>
                <w:highlight w:val="none"/>
              </w:rPr>
            </w:pPr>
            <w:r>
              <w:rPr>
                <w:rFonts w:hint="eastAsia" w:hAnsi="宋体" w:cs="宋体"/>
                <w:color w:val="auto"/>
                <w:highlight w:val="none"/>
              </w:rPr>
              <w:t>本项目采购预算为：</w:t>
            </w:r>
            <w:r>
              <w:rPr>
                <w:rFonts w:hint="eastAsia" w:hAnsi="宋体" w:cs="宋体"/>
                <w:color w:val="auto"/>
                <w:highlight w:val="none"/>
                <w:lang w:val="en-US" w:eastAsia="zh-CN"/>
              </w:rPr>
              <w:t>450</w:t>
            </w:r>
            <w:r>
              <w:rPr>
                <w:rFonts w:hint="eastAsia" w:hAnsi="宋体" w:cs="宋体"/>
                <w:color w:val="auto"/>
                <w:highlight w:val="none"/>
              </w:rPr>
              <w:t>万元；</w:t>
            </w:r>
          </w:p>
          <w:p>
            <w:pPr>
              <w:spacing w:line="360" w:lineRule="auto"/>
              <w:outlineLvl w:val="5"/>
              <w:rPr>
                <w:rFonts w:hAnsi="宋体" w:cs="宋体"/>
                <w:color w:val="auto"/>
                <w:highlight w:val="none"/>
                <w:lang w:val="zh-CN"/>
              </w:rPr>
            </w:pPr>
            <w:r>
              <w:rPr>
                <w:rFonts w:hint="eastAsia" w:hAnsi="宋体" w:cs="宋体"/>
                <w:color w:val="auto"/>
                <w:highlight w:val="none"/>
                <w:lang w:val="zh-CN"/>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continue"/>
            <w:noWrap/>
            <w:vAlign w:val="center"/>
          </w:tcPr>
          <w:p>
            <w:pPr>
              <w:spacing w:line="360" w:lineRule="auto"/>
              <w:jc w:val="center"/>
              <w:outlineLvl w:val="5"/>
              <w:rPr>
                <w:rFonts w:hAnsi="宋体" w:cs="宋体"/>
                <w:color w:val="auto"/>
                <w:highlight w:val="none"/>
                <w:lang w:val="zh-CN"/>
              </w:rPr>
            </w:pPr>
          </w:p>
        </w:tc>
        <w:tc>
          <w:tcPr>
            <w:tcW w:w="1968" w:type="dxa"/>
            <w:tcBorders>
              <w:top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最高限价</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tcBorders>
              <w:top w:val="single" w:color="auto" w:sz="4" w:space="0"/>
            </w:tcBorders>
            <w:noWrap/>
          </w:tcPr>
          <w:p>
            <w:pPr>
              <w:spacing w:line="360" w:lineRule="auto"/>
              <w:outlineLvl w:val="5"/>
              <w:rPr>
                <w:color w:val="auto"/>
                <w:highlight w:val="none"/>
              </w:rPr>
            </w:pPr>
            <w:r>
              <w:rPr>
                <w:rFonts w:hint="eastAsia"/>
                <w:color w:val="auto"/>
                <w:highlight w:val="none"/>
              </w:rPr>
              <w:t>本项目最高限价为：</w:t>
            </w:r>
            <w:r>
              <w:rPr>
                <w:rFonts w:hint="eastAsia"/>
                <w:color w:val="auto"/>
                <w:highlight w:val="none"/>
                <w:lang w:val="en-US" w:eastAsia="zh-CN"/>
              </w:rPr>
              <w:t>450万元</w:t>
            </w:r>
            <w:r>
              <w:rPr>
                <w:rFonts w:hint="eastAsia"/>
                <w:color w:val="auto"/>
                <w:highlight w:val="none"/>
              </w:rPr>
              <w:t>。</w:t>
            </w:r>
          </w:p>
          <w:p>
            <w:pPr>
              <w:pStyle w:val="2"/>
              <w:spacing w:line="240" w:lineRule="auto"/>
              <w:rPr>
                <w:color w:val="auto"/>
                <w:highlight w:val="none"/>
                <w:lang w:val="en-US" w:eastAsia="zh-CN"/>
              </w:rPr>
            </w:pPr>
            <w:r>
              <w:rPr>
                <w:rFonts w:hint="eastAsia" w:hAnsi="宋体" w:cs="宋体"/>
                <w:color w:val="auto"/>
                <w:kern w:val="0"/>
                <w:sz w:val="24"/>
                <w:highlight w:val="none"/>
                <w:lang w:val="en-US" w:eastAsia="zh-CN"/>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8</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低于成本价不正当</w:t>
            </w:r>
          </w:p>
          <w:p>
            <w:pPr>
              <w:spacing w:line="360" w:lineRule="auto"/>
              <w:outlineLvl w:val="5"/>
              <w:rPr>
                <w:rFonts w:hAnsi="宋体" w:cs="宋体"/>
                <w:color w:val="auto"/>
                <w:highlight w:val="none"/>
                <w:lang w:val="zh-CN"/>
              </w:rPr>
            </w:pPr>
            <w:r>
              <w:rPr>
                <w:rFonts w:hint="eastAsia" w:hAnsi="宋体" w:cs="宋体"/>
                <w:color w:val="auto"/>
                <w:highlight w:val="none"/>
                <w:lang w:val="zh-CN"/>
              </w:rPr>
              <w:t>竞争预防措施</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outlineLvl w:val="5"/>
              <w:rPr>
                <w:rFonts w:hAnsi="宋体" w:cs="宋体"/>
                <w:bCs/>
                <w:color w:val="auto"/>
                <w:highlight w:val="none"/>
              </w:rPr>
            </w:pPr>
            <w:r>
              <w:rPr>
                <w:rFonts w:hint="eastAsia" w:hAnsi="宋体" w:cs="宋体"/>
                <w:color w:val="auto"/>
                <w:highlight w:val="none"/>
                <w:lang w:val="zh-CN"/>
              </w:rPr>
              <w:t>供应商书面说明应当签字确认或者加盖公章，否则无效。书面说</w:t>
            </w:r>
            <w:r>
              <w:rPr>
                <w:rFonts w:hint="eastAsia" w:hAnsi="宋体" w:cs="宋体"/>
                <w:bCs/>
                <w:color w:val="auto"/>
                <w:highlight w:val="none"/>
              </w:rPr>
              <w:t>明的签字确认，由其法定代表人/主要负责人/本人或者其授权代表签字确认。</w:t>
            </w:r>
          </w:p>
          <w:p>
            <w:pPr>
              <w:spacing w:line="360" w:lineRule="auto"/>
              <w:outlineLvl w:val="5"/>
              <w:rPr>
                <w:rFonts w:hAnsi="宋体" w:cs="宋体"/>
                <w:color w:val="auto"/>
                <w:highlight w:val="none"/>
                <w:lang w:val="zh-CN"/>
              </w:rPr>
            </w:pPr>
            <w:r>
              <w:rPr>
                <w:rFonts w:hint="eastAsia" w:hAnsi="宋体" w:cs="宋体"/>
                <w:color w:val="auto"/>
                <w:highlight w:val="none"/>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9</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采购方式</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10</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评标方法</w:t>
            </w:r>
          </w:p>
        </w:tc>
        <w:tc>
          <w:tcPr>
            <w:tcW w:w="6966"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11</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highlight w:val="none"/>
              </w:rPr>
            </w:pPr>
            <w:r>
              <w:rPr>
                <w:rFonts w:hint="eastAsia" w:cs="Times New Roman"/>
                <w:color w:val="auto"/>
                <w:highlight w:val="none"/>
              </w:rPr>
              <w:t>小微企业（监狱企业、</w:t>
            </w:r>
            <w:r>
              <w:rPr>
                <w:rFonts w:cs="Times New Roman"/>
                <w:color w:val="auto"/>
                <w:highlight w:val="none"/>
              </w:rPr>
              <w:t>残疾人福利性单位</w:t>
            </w:r>
            <w:r>
              <w:rPr>
                <w:rFonts w:hint="eastAsia" w:cs="Times New Roman"/>
                <w:color w:val="auto"/>
                <w:highlight w:val="none"/>
              </w:rPr>
              <w:t>视同小微企业）价格扣除</w:t>
            </w:r>
          </w:p>
          <w:p>
            <w:pPr>
              <w:pStyle w:val="98"/>
              <w:spacing w:line="360" w:lineRule="auto"/>
              <w:rPr>
                <w:rFonts w:cs="Times New Roman"/>
                <w:b/>
                <w:color w:val="auto"/>
                <w:kern w:val="2"/>
                <w:highlight w:val="none"/>
              </w:rPr>
            </w:pPr>
            <w:r>
              <w:rPr>
                <w:rFonts w:hint="eastAsia" w:cs="Times New Roman"/>
                <w:b/>
                <w:color w:val="auto"/>
                <w:kern w:val="2"/>
                <w:highlight w:val="none"/>
              </w:rPr>
              <w:t>（实质性要求）</w:t>
            </w:r>
          </w:p>
        </w:tc>
        <w:tc>
          <w:tcPr>
            <w:tcW w:w="6966" w:type="dxa"/>
            <w:tcBorders>
              <w:top w:val="single" w:color="auto" w:sz="4" w:space="0"/>
              <w:bottom w:val="single" w:color="auto" w:sz="4" w:space="0"/>
            </w:tcBorders>
            <w:noWrap/>
            <w:vAlign w:val="center"/>
          </w:tcPr>
          <w:p>
            <w:pPr>
              <w:spacing w:line="360" w:lineRule="auto"/>
              <w:rPr>
                <w:rFonts w:ascii="宋体" w:hAnsi="宋体" w:cs="宋体"/>
                <w:color w:val="auto"/>
                <w:highlight w:val="none"/>
              </w:rPr>
            </w:pPr>
            <w:r>
              <w:rPr>
                <w:rFonts w:hint="eastAsia" w:ascii="宋体" w:hAnsi="宋体" w:cs="宋体"/>
                <w:color w:val="auto"/>
                <w:highlight w:val="none"/>
              </w:rPr>
              <w:t>一、小微企业（监狱企业、</w:t>
            </w:r>
            <w:r>
              <w:rPr>
                <w:rFonts w:hint="eastAsia" w:ascii="宋体" w:hAnsi="宋体" w:cs="宋体"/>
                <w:color w:val="auto"/>
                <w:highlight w:val="none"/>
                <w:shd w:val="clear" w:color="auto" w:fill="FFFFFF"/>
              </w:rPr>
              <w:t>残疾人福利性单位</w:t>
            </w:r>
            <w:r>
              <w:rPr>
                <w:rFonts w:hint="eastAsia" w:ascii="宋体" w:hAnsi="宋体" w:cs="宋体"/>
                <w:color w:val="auto"/>
                <w:highlight w:val="none"/>
              </w:rPr>
              <w:t>视同小微企业）价格扣除</w:t>
            </w:r>
          </w:p>
          <w:p>
            <w:pPr>
              <w:spacing w:line="360" w:lineRule="auto"/>
              <w:rPr>
                <w:rFonts w:ascii="宋体" w:hAnsi="宋体" w:cs="宋体"/>
                <w:color w:val="auto"/>
                <w:highlight w:val="none"/>
              </w:rPr>
            </w:pPr>
            <w:r>
              <w:rPr>
                <w:rFonts w:hint="eastAsia" w:ascii="宋体" w:hAnsi="宋体" w:cs="宋体"/>
                <w:color w:val="auto"/>
                <w:highlight w:val="none"/>
              </w:rPr>
              <w:t>1、根据《政府采购促进中小企业发展管理办法》（财库〔2020〕46号）的规定，对小型和微型企业的报价给予10%的价格扣除，用扣除后的价格参与评标。</w:t>
            </w:r>
          </w:p>
          <w:p>
            <w:pPr>
              <w:spacing w:line="360" w:lineRule="auto"/>
              <w:rPr>
                <w:rFonts w:ascii="宋体" w:hAnsi="宋体" w:cs="宋体"/>
                <w:color w:val="auto"/>
                <w:highlight w:val="none"/>
              </w:rPr>
            </w:pPr>
            <w:r>
              <w:rPr>
                <w:rFonts w:hint="eastAsia" w:ascii="宋体" w:hAnsi="宋体" w:cs="宋体"/>
                <w:color w:val="auto"/>
                <w:highlight w:val="none"/>
              </w:rPr>
              <w:t>2、参加政府采购活动的中小微企业应当提供《中小企业声明函》原件。若为监狱企业应当提供《监狱企业证明》。若为残疾人福利性单位应当提供《残疾人福利性单位声明函》。</w:t>
            </w:r>
          </w:p>
          <w:p>
            <w:pPr>
              <w:spacing w:line="360" w:lineRule="auto"/>
              <w:rPr>
                <w:rFonts w:ascii="宋体" w:hAnsi="宋体" w:cs="宋体"/>
                <w:color w:val="auto"/>
                <w:highlight w:val="none"/>
              </w:rPr>
            </w:pPr>
            <w:r>
              <w:rPr>
                <w:rFonts w:hint="eastAsia" w:ascii="宋体" w:hAnsi="宋体" w:cs="宋体"/>
                <w:color w:val="auto"/>
                <w:highlight w:val="none"/>
              </w:rPr>
              <w:t>3.本项目采购内容对应的中小企业划分标准所属行业为</w:t>
            </w:r>
            <w:r>
              <w:rPr>
                <w:rFonts w:hint="eastAsia" w:ascii="宋体" w:hAnsi="宋体" w:cs="宋体"/>
                <w:color w:val="auto"/>
                <w:highlight w:val="none"/>
                <w:u w:val="single"/>
              </w:rPr>
              <w:t>工业</w:t>
            </w:r>
            <w:r>
              <w:rPr>
                <w:rFonts w:hint="eastAsia" w:ascii="宋体" w:hAnsi="宋体" w:cs="宋体"/>
                <w:color w:val="auto"/>
                <w:highlight w:val="none"/>
              </w:rPr>
              <w:t xml:space="preserve">。 </w:t>
            </w:r>
          </w:p>
          <w:p>
            <w:pPr>
              <w:spacing w:line="360" w:lineRule="auto"/>
              <w:rPr>
                <w:rFonts w:hAnsi="宋体"/>
                <w:color w:val="auto"/>
                <w:highlight w:val="none"/>
              </w:rPr>
            </w:pPr>
            <w:r>
              <w:rPr>
                <w:rFonts w:hint="eastAsia" w:ascii="宋体" w:hAnsi="宋体" w:cs="宋体"/>
                <w:color w:val="auto"/>
                <w:highlight w:val="none"/>
              </w:rPr>
              <w:t>注：供应商提供的货物制造商在中华人民共和国境内依法设立，符合《工业和信息化部、国家统计局、国家发展和改革委员会、财政部关于印发中小企业划型标准规定的通知》（工信部联企业〔2011〕300号）规定的划分标准为小微企业，但与大企业的负责人为同一人，或者与大企业存在直接控股、管理关系的除外适用。符合中小企业划分标准的个体工商户，在政府采购活动中视同中小企业。按照财库[2014]68号文的规定监狱企业视同为小微企业。 按照财库〔2017〕141号文的规定残疾人福利性单位视同为小微企业。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12</w:t>
            </w:r>
          </w:p>
        </w:tc>
        <w:tc>
          <w:tcPr>
            <w:tcW w:w="1968" w:type="dxa"/>
            <w:tcBorders>
              <w:top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评标情况公告</w:t>
            </w:r>
          </w:p>
        </w:tc>
        <w:tc>
          <w:tcPr>
            <w:tcW w:w="6966" w:type="dxa"/>
            <w:tcBorders>
              <w:top w:val="single" w:color="auto" w:sz="4" w:space="0"/>
            </w:tcBorders>
            <w:noWrap/>
            <w:vAlign w:val="center"/>
          </w:tcPr>
          <w:p>
            <w:pPr>
              <w:spacing w:line="360" w:lineRule="auto"/>
              <w:rPr>
                <w:rFonts w:hAnsi="宋体"/>
                <w:color w:val="auto"/>
                <w:highlight w:val="none"/>
              </w:rPr>
            </w:pPr>
            <w:r>
              <w:rPr>
                <w:rFonts w:hint="eastAsia" w:hAnsi="宋体"/>
                <w:color w:val="auto"/>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13</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考察现场、标前答疑会</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4</w:t>
            </w:r>
          </w:p>
        </w:tc>
        <w:tc>
          <w:tcPr>
            <w:tcW w:w="1968" w:type="dxa"/>
            <w:noWrap/>
            <w:vAlign w:val="bottom"/>
          </w:tcPr>
          <w:p>
            <w:pPr>
              <w:spacing w:line="360" w:lineRule="auto"/>
              <w:ind w:left="-19" w:leftChars="-8"/>
              <w:outlineLvl w:val="5"/>
              <w:rPr>
                <w:rFonts w:hAnsi="宋体" w:cs="宋体"/>
                <w:color w:val="auto"/>
                <w:highlight w:val="none"/>
                <w:lang w:val="zh-CN"/>
              </w:rPr>
            </w:pPr>
            <w:r>
              <w:rPr>
                <w:rFonts w:hint="eastAsia" w:hAnsi="宋体" w:cs="宋体"/>
                <w:color w:val="auto"/>
                <w:highlight w:val="none"/>
                <w:lang w:val="zh-CN"/>
              </w:rPr>
              <w:t>投标人对招标文件提出质疑的时间</w:t>
            </w:r>
          </w:p>
        </w:tc>
        <w:tc>
          <w:tcPr>
            <w:tcW w:w="6966" w:type="dxa"/>
            <w:noWrap/>
            <w:vAlign w:val="center"/>
          </w:tcPr>
          <w:p>
            <w:pPr>
              <w:spacing w:line="360" w:lineRule="auto"/>
              <w:outlineLvl w:val="5"/>
              <w:rPr>
                <w:rFonts w:hAnsi="宋体"/>
                <w:color w:val="auto"/>
                <w:highlight w:val="none"/>
              </w:rPr>
            </w:pPr>
            <w:r>
              <w:rPr>
                <w:rFonts w:hint="eastAsia"/>
                <w:bCs/>
                <w:color w:val="auto"/>
                <w:highlight w:val="none"/>
              </w:rPr>
              <w:t>严格按中华人民共和国财政部令第94号《政府采购质疑和投诉办法》规定执行。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5</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构成招标文件的其他文件</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lang w:val="zh-CN"/>
              </w:rPr>
              <w:t>招标文件的澄清</w:t>
            </w:r>
            <w:r>
              <w:rPr>
                <w:rFonts w:hint="eastAsia" w:hAnsi="宋体" w:cs="宋体"/>
                <w:color w:val="auto"/>
                <w:highlight w:val="none"/>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6</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投标有效期</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rPr>
              <w:t>递交投标文件截止之日起90天。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7</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投标保证金</w:t>
            </w:r>
          </w:p>
        </w:tc>
        <w:tc>
          <w:tcPr>
            <w:tcW w:w="6966" w:type="dxa"/>
            <w:tcBorders>
              <w:bottom w:val="single" w:color="auto" w:sz="4" w:space="0"/>
            </w:tcBorders>
            <w:noWrap/>
            <w:vAlign w:val="center"/>
          </w:tcPr>
          <w:p>
            <w:pPr>
              <w:pStyle w:val="2"/>
              <w:rPr>
                <w:color w:val="auto"/>
                <w:kern w:val="0"/>
                <w:sz w:val="24"/>
                <w:highlight w:val="none"/>
                <w:lang w:val="en-US" w:eastAsia="zh-CN"/>
              </w:rPr>
            </w:pPr>
            <w:r>
              <w:rPr>
                <w:rFonts w:hint="eastAsia"/>
                <w:color w:val="auto"/>
                <w:kern w:val="0"/>
                <w:sz w:val="24"/>
                <w:highlight w:val="none"/>
                <w:lang w:val="en-US" w:eastAsia="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1</w:t>
            </w:r>
            <w:r>
              <w:rPr>
                <w:rFonts w:hint="eastAsia" w:hAnsi="宋体" w:cs="宋体"/>
                <w:color w:val="auto"/>
                <w:highlight w:val="none"/>
              </w:rPr>
              <w:t>8</w:t>
            </w:r>
          </w:p>
        </w:tc>
        <w:tc>
          <w:tcPr>
            <w:tcW w:w="1968" w:type="dxa"/>
            <w:tcBorders>
              <w:top w:val="single" w:color="auto" w:sz="4" w:space="0"/>
              <w:bottom w:val="single" w:color="auto" w:sz="4" w:space="0"/>
            </w:tcBorders>
            <w:noWrap/>
            <w:vAlign w:val="center"/>
          </w:tcPr>
          <w:p>
            <w:pPr>
              <w:pStyle w:val="98"/>
              <w:spacing w:line="360" w:lineRule="auto"/>
              <w:rPr>
                <w:color w:val="auto"/>
                <w:highlight w:val="none"/>
                <w:lang w:val="zh-CN"/>
              </w:rPr>
            </w:pPr>
            <w:r>
              <w:rPr>
                <w:rFonts w:hint="eastAsia"/>
                <w:color w:val="auto"/>
                <w:highlight w:val="none"/>
                <w:lang w:val="zh-CN"/>
              </w:rPr>
              <w:t>履约保证金</w:t>
            </w:r>
          </w:p>
        </w:tc>
        <w:tc>
          <w:tcPr>
            <w:tcW w:w="6966" w:type="dxa"/>
            <w:tcBorders>
              <w:top w:val="single" w:color="auto" w:sz="4" w:space="0"/>
              <w:bottom w:val="single" w:color="auto" w:sz="4" w:space="0"/>
            </w:tcBorders>
            <w:noWrap/>
            <w:vAlign w:val="center"/>
          </w:tcPr>
          <w:p>
            <w:pPr>
              <w:pStyle w:val="98"/>
              <w:spacing w:line="360" w:lineRule="auto"/>
              <w:rPr>
                <w:color w:val="auto"/>
                <w:highlight w:val="none"/>
              </w:rPr>
            </w:pPr>
            <w:r>
              <w:rPr>
                <w:rFonts w:hint="eastAsia"/>
                <w:color w:val="auto"/>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19</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招标文件、开评标工作咨询咨询</w:t>
            </w:r>
          </w:p>
        </w:tc>
        <w:tc>
          <w:tcPr>
            <w:tcW w:w="6966" w:type="dxa"/>
            <w:tcBorders>
              <w:top w:val="single" w:color="auto" w:sz="4" w:space="0"/>
              <w:bottom w:val="single" w:color="auto" w:sz="4" w:space="0"/>
            </w:tcBorders>
            <w:noWrap/>
          </w:tcPr>
          <w:p>
            <w:pPr>
              <w:spacing w:line="360" w:lineRule="auto"/>
              <w:ind w:right="120" w:rightChars="50"/>
              <w:rPr>
                <w:rFonts w:hint="eastAsia" w:hAnsi="宋体" w:eastAsia="宋体"/>
                <w:color w:val="auto"/>
                <w:highlight w:val="none"/>
                <w:lang w:eastAsia="zh-CN"/>
              </w:rPr>
            </w:pPr>
            <w:r>
              <w:rPr>
                <w:rFonts w:hint="eastAsia" w:hAnsi="宋体"/>
                <w:color w:val="auto"/>
                <w:highlight w:val="none"/>
              </w:rPr>
              <w:t>联 系 人：张女士、</w:t>
            </w:r>
            <w:r>
              <w:rPr>
                <w:rFonts w:hint="eastAsia" w:hAnsi="宋体"/>
                <w:color w:val="auto"/>
                <w:highlight w:val="none"/>
                <w:lang w:eastAsia="zh-CN"/>
              </w:rPr>
              <w:t>李先生</w:t>
            </w:r>
          </w:p>
          <w:p>
            <w:pPr>
              <w:spacing w:line="360" w:lineRule="auto"/>
              <w:ind w:right="120" w:rightChars="50"/>
              <w:rPr>
                <w:rFonts w:hAnsi="宋体"/>
                <w:color w:val="auto"/>
                <w:highlight w:val="none"/>
              </w:rPr>
            </w:pPr>
            <w:r>
              <w:rPr>
                <w:rFonts w:hint="eastAsia" w:hAnsi="宋体"/>
                <w:color w:val="auto"/>
                <w:highlight w:val="none"/>
              </w:rPr>
              <w:t>联系电话：028-85446608、85445511、85045522-8809、88</w:t>
            </w:r>
            <w:r>
              <w:rPr>
                <w:rFonts w:hint="eastAsia" w:hAnsi="宋体"/>
                <w:color w:val="auto"/>
                <w:highlight w:val="none"/>
                <w:lang w:val="en-US" w:eastAsia="zh-CN"/>
              </w:rPr>
              <w:t>2</w:t>
            </w:r>
            <w:r>
              <w:rPr>
                <w:rFonts w:hint="eastAsia" w:hAnsi="宋体"/>
                <w:color w:val="auto"/>
                <w:highlight w:val="none"/>
              </w:rPr>
              <w:t>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0</w:t>
            </w:r>
          </w:p>
        </w:tc>
        <w:tc>
          <w:tcPr>
            <w:tcW w:w="1968" w:type="dxa"/>
            <w:tcBorders>
              <w:top w:val="single" w:color="auto" w:sz="4" w:space="0"/>
              <w:bottom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中标通知书领取</w:t>
            </w:r>
          </w:p>
        </w:tc>
        <w:tc>
          <w:tcPr>
            <w:tcW w:w="6966" w:type="dxa"/>
            <w:tcBorders>
              <w:top w:val="single" w:color="auto" w:sz="4" w:space="0"/>
              <w:bottom w:val="single" w:color="auto" w:sz="4" w:space="0"/>
            </w:tcBorders>
            <w:noWrap/>
            <w:vAlign w:val="center"/>
          </w:tcPr>
          <w:p>
            <w:pPr>
              <w:tabs>
                <w:tab w:val="left" w:pos="7665"/>
              </w:tabs>
              <w:spacing w:line="360" w:lineRule="auto"/>
              <w:rPr>
                <w:rFonts w:hint="eastAsia" w:hAnsi="宋体" w:eastAsia="宋体"/>
                <w:b/>
                <w:i/>
                <w:color w:val="auto"/>
                <w:highlight w:val="none"/>
                <w:lang w:eastAsia="zh-CN"/>
              </w:rPr>
            </w:pPr>
            <w:r>
              <w:rPr>
                <w:rFonts w:hint="eastAsia" w:hAnsi="宋体"/>
                <w:color w:val="auto"/>
                <w:highlight w:val="none"/>
              </w:rPr>
              <w:t>中标公告在“四川政府采购网”上公告后，中标人凭有效身份证明证件（单位介绍信和个人身份证）到采购代理机构处领取中标通知书</w:t>
            </w:r>
            <w:r>
              <w:rPr>
                <w:rFonts w:hint="eastAsia" w:hAnsi="宋体"/>
                <w:color w:val="auto"/>
                <w:highlight w:val="none"/>
                <w:lang w:eastAsia="zh-CN"/>
              </w:rPr>
              <w:t>。</w:t>
            </w:r>
          </w:p>
          <w:p>
            <w:pPr>
              <w:spacing w:line="360" w:lineRule="auto"/>
              <w:rPr>
                <w:rFonts w:hAnsi="宋体"/>
                <w:color w:val="auto"/>
                <w:highlight w:val="none"/>
                <w:lang w:val="zh-CN"/>
              </w:rPr>
            </w:pPr>
            <w:r>
              <w:rPr>
                <w:rFonts w:hint="eastAsia" w:hAnsi="宋体"/>
                <w:color w:val="auto"/>
                <w:highlight w:val="none"/>
                <w:lang w:val="zh-CN"/>
              </w:rPr>
              <w:t>联系人：</w:t>
            </w:r>
            <w:r>
              <w:rPr>
                <w:rFonts w:hint="eastAsia" w:hAnsi="宋体"/>
                <w:color w:val="auto"/>
                <w:highlight w:val="none"/>
              </w:rPr>
              <w:t>徐</w:t>
            </w:r>
            <w:r>
              <w:rPr>
                <w:rFonts w:hint="eastAsia" w:hAnsi="宋体"/>
                <w:color w:val="auto"/>
                <w:highlight w:val="none"/>
                <w:lang w:val="zh-CN"/>
              </w:rPr>
              <w:t>女士。</w:t>
            </w:r>
          </w:p>
          <w:p>
            <w:pPr>
              <w:spacing w:line="360" w:lineRule="auto"/>
              <w:rPr>
                <w:rFonts w:hAnsi="宋体"/>
                <w:color w:val="auto"/>
                <w:highlight w:val="none"/>
              </w:rPr>
            </w:pPr>
            <w:r>
              <w:rPr>
                <w:rFonts w:hint="eastAsia" w:hAnsi="宋体"/>
                <w:color w:val="auto"/>
                <w:highlight w:val="none"/>
                <w:lang w:val="zh-CN"/>
              </w:rPr>
              <w:t>联系电话：028-85045522-</w:t>
            </w:r>
            <w:r>
              <w:rPr>
                <w:rFonts w:hAnsi="宋体"/>
                <w:color w:val="auto"/>
                <w:highlight w:val="none"/>
                <w:lang w:val="zh-CN"/>
              </w:rPr>
              <w:t>8</w:t>
            </w:r>
            <w:r>
              <w:rPr>
                <w:rFonts w:hint="eastAsia" w:hAnsi="宋体"/>
                <w:color w:val="auto"/>
                <w:highlight w:val="none"/>
              </w:rPr>
              <w:t>858</w:t>
            </w:r>
          </w:p>
          <w:p>
            <w:pPr>
              <w:spacing w:line="360" w:lineRule="auto"/>
              <w:rPr>
                <w:rFonts w:hAnsi="宋体"/>
                <w:color w:val="auto"/>
                <w:highlight w:val="none"/>
                <w:lang w:val="zh-CN"/>
              </w:rPr>
            </w:pPr>
            <w:r>
              <w:rPr>
                <w:rFonts w:hint="eastAsia" w:hAnsi="宋体"/>
                <w:color w:val="auto"/>
                <w:highlight w:val="none"/>
              </w:rPr>
              <w:t>地址：四川五洲招标代理有限公司（成都市武侯区星狮路511号大合仓C区415房）。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1</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供应商询问、质疑</w:t>
            </w:r>
          </w:p>
        </w:tc>
        <w:tc>
          <w:tcPr>
            <w:tcW w:w="6966" w:type="dxa"/>
            <w:tcBorders>
              <w:top w:val="single" w:color="auto" w:sz="4" w:space="0"/>
              <w:bottom w:val="single" w:color="auto" w:sz="4" w:space="0"/>
            </w:tcBorders>
            <w:noWrap/>
          </w:tcPr>
          <w:p>
            <w:pPr>
              <w:spacing w:line="360" w:lineRule="auto"/>
              <w:rPr>
                <w:rFonts w:hAnsi="宋体"/>
                <w:color w:val="auto"/>
                <w:highlight w:val="none"/>
                <w:lang w:val="zh-CN"/>
              </w:rPr>
            </w:pPr>
            <w:r>
              <w:rPr>
                <w:rFonts w:hint="eastAsia" w:hAnsi="宋体"/>
                <w:color w:val="auto"/>
                <w:highlight w:val="none"/>
              </w:rPr>
              <w:t>供应商询问、质疑由四川五洲招标代理有限公司</w:t>
            </w:r>
            <w:r>
              <w:rPr>
                <w:rFonts w:hint="eastAsia" w:hAnsi="宋体"/>
                <w:color w:val="auto"/>
                <w:highlight w:val="none"/>
                <w:lang w:val="zh-CN"/>
              </w:rPr>
              <w:t>负责答复。</w:t>
            </w:r>
          </w:p>
          <w:p>
            <w:pPr>
              <w:spacing w:line="360" w:lineRule="auto"/>
              <w:rPr>
                <w:rFonts w:hAnsi="宋体"/>
                <w:color w:val="auto"/>
                <w:highlight w:val="none"/>
                <w:lang w:val="zh-CN"/>
              </w:rPr>
            </w:pPr>
            <w:r>
              <w:rPr>
                <w:rFonts w:hint="eastAsia" w:hAnsi="宋体"/>
                <w:color w:val="auto"/>
                <w:highlight w:val="none"/>
                <w:lang w:val="zh-CN"/>
              </w:rPr>
              <w:t>联 系 人：</w:t>
            </w:r>
            <w:r>
              <w:rPr>
                <w:rFonts w:hint="eastAsia" w:hAnsi="宋体"/>
                <w:color w:val="auto"/>
                <w:highlight w:val="none"/>
              </w:rPr>
              <w:t>张</w:t>
            </w:r>
            <w:r>
              <w:rPr>
                <w:rFonts w:hint="eastAsia" w:hAnsi="宋体"/>
                <w:color w:val="auto"/>
                <w:highlight w:val="none"/>
                <w:lang w:val="zh-CN"/>
              </w:rPr>
              <w:t>女士</w:t>
            </w:r>
          </w:p>
          <w:p>
            <w:pPr>
              <w:spacing w:line="360" w:lineRule="auto"/>
              <w:rPr>
                <w:rFonts w:hAnsi="宋体"/>
                <w:color w:val="auto"/>
                <w:highlight w:val="none"/>
              </w:rPr>
            </w:pPr>
            <w:r>
              <w:rPr>
                <w:rFonts w:hint="eastAsia" w:hAnsi="宋体"/>
                <w:color w:val="auto"/>
                <w:highlight w:val="none"/>
                <w:lang w:val="zh-CN"/>
              </w:rPr>
              <w:t>联系电话：028-85446608、85445511、85045522-88</w:t>
            </w:r>
            <w:r>
              <w:rPr>
                <w:rFonts w:hint="eastAsia" w:hAnsi="宋体"/>
                <w:color w:val="auto"/>
                <w:highlight w:val="none"/>
              </w:rPr>
              <w:t>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2</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供应商投诉</w:t>
            </w:r>
          </w:p>
        </w:tc>
        <w:tc>
          <w:tcPr>
            <w:tcW w:w="6966" w:type="dxa"/>
            <w:tcBorders>
              <w:top w:val="single" w:color="auto" w:sz="4" w:space="0"/>
              <w:bottom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 xml:space="preserve">投诉受理单位：成都市财政局；联系电话：028-61882648。 </w:t>
            </w:r>
          </w:p>
          <w:p>
            <w:pPr>
              <w:spacing w:line="360" w:lineRule="auto"/>
              <w:ind w:right="120" w:rightChars="50"/>
              <w:rPr>
                <w:rFonts w:hAnsi="宋体"/>
                <w:color w:val="auto"/>
                <w:highlight w:val="none"/>
              </w:rPr>
            </w:pPr>
            <w:r>
              <w:rPr>
                <w:rFonts w:hint="eastAsia" w:hAnsi="宋体"/>
                <w:color w:val="auto"/>
                <w:highlight w:val="none"/>
              </w:rPr>
              <w:t>注：根据《中华人民共和国政府采购法实施条例》及中华人民共和国财政部令第94号《政府采购质疑和投诉办法》规定执行的规定，供应商投诉事项不得超出已质疑事项的范围。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3</w:t>
            </w:r>
          </w:p>
        </w:tc>
        <w:tc>
          <w:tcPr>
            <w:tcW w:w="1968" w:type="dxa"/>
            <w:tcBorders>
              <w:top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政府采购合同公告备案</w:t>
            </w:r>
          </w:p>
        </w:tc>
        <w:tc>
          <w:tcPr>
            <w:tcW w:w="6966" w:type="dxa"/>
            <w:tcBorders>
              <w:top w:val="single" w:color="auto" w:sz="4" w:space="0"/>
            </w:tcBorders>
            <w:noWrap/>
          </w:tcPr>
          <w:p>
            <w:pPr>
              <w:pStyle w:val="98"/>
              <w:spacing w:line="360" w:lineRule="auto"/>
              <w:rPr>
                <w:rFonts w:cs="Times New Roman"/>
                <w:color w:val="auto"/>
                <w:kern w:val="2"/>
                <w:highlight w:val="none"/>
              </w:rPr>
            </w:pPr>
            <w:r>
              <w:rPr>
                <w:rFonts w:hint="eastAsia" w:cs="Times New Roman"/>
                <w:color w:val="auto"/>
                <w:kern w:val="2"/>
                <w:highlight w:val="none"/>
              </w:rPr>
              <w:t>政府采购合同签订之日起2个工作日内，政府采购合同将在“四川政府采购网”公告；政府采购合同签订之日起七个工作日内，政府采购合同副本将向本采购项目同级财政部门备案。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3" w:hRule="atLeast"/>
        </w:trPr>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4</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备选投标方案和报价</w:t>
            </w:r>
          </w:p>
        </w:tc>
        <w:tc>
          <w:tcPr>
            <w:tcW w:w="6966"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5</w:t>
            </w:r>
          </w:p>
        </w:tc>
        <w:tc>
          <w:tcPr>
            <w:tcW w:w="1968" w:type="dxa"/>
            <w:tcBorders>
              <w:top w:val="single" w:color="auto" w:sz="4" w:space="0"/>
            </w:tcBorders>
            <w:noWrap/>
            <w:vAlign w:val="center"/>
          </w:tcPr>
          <w:p>
            <w:pPr>
              <w:spacing w:line="340" w:lineRule="exact"/>
              <w:ind w:left="120" w:leftChars="50" w:right="120" w:rightChars="50"/>
              <w:rPr>
                <w:rFonts w:hAnsi="宋体" w:cs="宋体"/>
                <w:b/>
                <w:color w:val="auto"/>
                <w:highlight w:val="none"/>
                <w:lang w:val="zh-CN"/>
              </w:rPr>
            </w:pPr>
            <w:r>
              <w:rPr>
                <w:rFonts w:hint="eastAsia" w:ascii="宋体" w:hAnsi="宋体" w:cs="宋体"/>
                <w:color w:val="auto"/>
                <w:szCs w:val="21"/>
                <w:highlight w:val="none"/>
              </w:rPr>
              <w:t>节能、环保及无线局域网产品政府采购政策</w:t>
            </w:r>
          </w:p>
        </w:tc>
        <w:tc>
          <w:tcPr>
            <w:tcW w:w="6966" w:type="dxa"/>
            <w:tcBorders>
              <w:top w:val="single" w:color="auto" w:sz="4" w:space="0"/>
            </w:tcBorders>
            <w:noWrap/>
            <w:vAlign w:val="center"/>
          </w:tcPr>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一、节能、环保产品政府采购政策：</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或投标人提供所投产品在中国政府采购网“http://www.ccgp.gov.cn/jnhb/jnhbqd/”节能产品查询、环保标志产品查询中对应所投产品型号的查询截图，对符合上述要求的产品实施政府优先采购或强制采购。</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若本项目采购的产品属于品目清单强制采购范围的，投标人应按上述要求提供产品认证证书复印件或所投产品在中国政府采购网“http://www.ccgp.gov.cn/jnhb/jnhbqd/”节能产品查询、环保标志产品查询中对应所投产品型号的查询截图，并加盖供应商单位公章（鲜章），否则投标无效。（实质性要求）</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本项目采购的产品属于品目清单优先采购范围的，按照第七章《综合评分明细表》的规则进行加分。</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二、无线局域网产品政府采购政策：</w:t>
            </w:r>
          </w:p>
          <w:p>
            <w:pPr>
              <w:spacing w:line="340" w:lineRule="exact"/>
              <w:ind w:right="120" w:rightChars="50"/>
              <w:rPr>
                <w:rFonts w:hAnsi="宋体" w:cs="宋体"/>
                <w:color w:val="auto"/>
                <w:highlight w:val="none"/>
              </w:rPr>
            </w:pPr>
            <w:r>
              <w:rPr>
                <w:rFonts w:hint="eastAsia" w:ascii="宋体" w:hAnsi="宋体" w:cs="宋体"/>
                <w:color w:val="auto"/>
                <w:kern w:val="2"/>
                <w:highlight w:val="none"/>
              </w:rPr>
              <w:t>若本项目采购的产品属于中国政府采购网公布的《无线局域网认证产品政府采购清单》的，按照第七章《综合评分明细表》的规则进行加分。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2</w:t>
            </w:r>
            <w:r>
              <w:rPr>
                <w:rFonts w:hint="eastAsia" w:hAnsi="宋体" w:cs="宋体"/>
                <w:color w:val="auto"/>
                <w:highlight w:val="none"/>
              </w:rPr>
              <w:t>6</w:t>
            </w:r>
          </w:p>
        </w:tc>
        <w:tc>
          <w:tcPr>
            <w:tcW w:w="1968" w:type="dxa"/>
            <w:tcBorders>
              <w:top w:val="single" w:color="auto" w:sz="4" w:space="0"/>
            </w:tcBorders>
            <w:noWrap/>
            <w:vAlign w:val="center"/>
          </w:tcPr>
          <w:p>
            <w:pPr>
              <w:spacing w:line="276" w:lineRule="auto"/>
              <w:outlineLvl w:val="5"/>
              <w:rPr>
                <w:color w:val="auto"/>
                <w:highlight w:val="none"/>
              </w:rPr>
            </w:pPr>
            <w:r>
              <w:rPr>
                <w:rFonts w:hint="eastAsia"/>
                <w:color w:val="auto"/>
                <w:highlight w:val="none"/>
              </w:rPr>
              <w:t>信用融资规定</w:t>
            </w:r>
          </w:p>
        </w:tc>
        <w:tc>
          <w:tcPr>
            <w:tcW w:w="6966" w:type="dxa"/>
            <w:tcBorders>
              <w:top w:val="single" w:color="auto" w:sz="4" w:space="0"/>
            </w:tcBorders>
            <w:noWrap/>
            <w:vAlign w:val="center"/>
          </w:tcPr>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本项目可开展政府采购信用融资。</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1、根据《四川省财政厅关于推进四川省政府采购供应商信用融资工作的通知》（川财采〔2018〕123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申请政采贷具体相关流程请查看 http://202.61.88.41:9009/static/login/login.html。</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2、为有效缓解中小企业融资难、融资贵问题，根据成都市财政局中国人民银行成都分行营业管理部 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w:t>
            </w:r>
          </w:p>
          <w:p>
            <w:pPr>
              <w:shd w:val="clear" w:color="auto" w:fill="FFFFFF"/>
              <w:tabs>
                <w:tab w:val="left" w:pos="900"/>
                <w:tab w:val="left" w:pos="5366"/>
              </w:tabs>
              <w:snapToGrid w:val="0"/>
              <w:spacing w:line="360" w:lineRule="auto"/>
              <w:outlineLvl w:val="5"/>
              <w:rPr>
                <w:color w:val="auto"/>
                <w:highlight w:val="none"/>
              </w:rPr>
            </w:pPr>
            <w:r>
              <w:rPr>
                <w:rFonts w:hint="eastAsia"/>
                <w:color w:val="auto"/>
                <w:highlight w:val="none"/>
                <w:lang w:val="zh-CN"/>
              </w:rPr>
              <w:t>申请蓉采贷具体相关流程请查看 http://cdcz.chengdu.gov.cn/zfcg/gpLoan。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7</w:t>
            </w:r>
          </w:p>
        </w:tc>
        <w:tc>
          <w:tcPr>
            <w:tcW w:w="1968" w:type="dxa"/>
            <w:noWrap/>
            <w:vAlign w:val="center"/>
          </w:tcPr>
          <w:p>
            <w:pPr>
              <w:spacing w:line="276" w:lineRule="auto"/>
              <w:outlineLvl w:val="5"/>
              <w:rPr>
                <w:rFonts w:hAnsi="宋体" w:cs="宋体"/>
                <w:color w:val="auto"/>
                <w:highlight w:val="none"/>
                <w:lang w:val="zh-CN"/>
              </w:rPr>
            </w:pPr>
            <w:r>
              <w:rPr>
                <w:rFonts w:hint="eastAsia" w:hAnsi="宋体" w:cs="宋体"/>
                <w:color w:val="auto"/>
                <w:highlight w:val="none"/>
                <w:lang w:val="zh-CN"/>
              </w:rPr>
              <w:t>招标代理服务费</w:t>
            </w:r>
          </w:p>
        </w:tc>
        <w:tc>
          <w:tcPr>
            <w:tcW w:w="6966" w:type="dxa"/>
            <w:noWrap/>
            <w:vAlign w:val="center"/>
          </w:tcPr>
          <w:p>
            <w:pPr>
              <w:spacing w:line="360" w:lineRule="auto"/>
              <w:outlineLvl w:val="5"/>
              <w:rPr>
                <w:rFonts w:hint="eastAsia" w:hAnsi="宋体" w:cs="宋体"/>
                <w:color w:val="auto"/>
                <w:highlight w:val="none"/>
                <w:lang w:val="zh-CN"/>
              </w:rPr>
            </w:pPr>
            <w:r>
              <w:rPr>
                <w:rFonts w:hint="eastAsia" w:hAnsi="宋体" w:cs="宋体"/>
                <w:color w:val="auto"/>
                <w:highlight w:val="none"/>
                <w:lang w:val="zh-CN"/>
              </w:rPr>
              <w:t>按照《四川省政府采购营商环境指标提升专项行动工作方案》中“成本+合理利润”原则及与采购人签订的委托代理协议之相关规定，以中标金额作为计算基数，按照以下收费标准计算后下浮</w:t>
            </w:r>
            <w:r>
              <w:rPr>
                <w:rFonts w:hint="eastAsia" w:hAnsi="宋体" w:cs="宋体"/>
                <w:color w:val="auto"/>
                <w:highlight w:val="none"/>
                <w:lang w:val="en-US" w:eastAsia="zh-CN"/>
              </w:rPr>
              <w:t>20%</w:t>
            </w:r>
            <w:r>
              <w:rPr>
                <w:rFonts w:hint="eastAsia" w:hAnsi="宋体" w:cs="宋体"/>
                <w:color w:val="auto"/>
                <w:highlight w:val="none"/>
                <w:lang w:val="zh-CN"/>
              </w:rPr>
              <w:t>进行收取。由中标人在领取中标通知书前向招标代理机构交纳招标代理服务费。收费标准(费率) :</w:t>
            </w:r>
          </w:p>
          <w:p>
            <w:pPr>
              <w:spacing w:line="360" w:lineRule="auto"/>
              <w:outlineLvl w:val="5"/>
              <w:rPr>
                <w:rFonts w:hint="eastAsia" w:hAnsi="宋体" w:cs="宋体"/>
                <w:color w:val="auto"/>
                <w:highlight w:val="none"/>
                <w:lang w:val="zh-CN"/>
              </w:rPr>
            </w:pPr>
            <w:r>
              <w:rPr>
                <w:highlight w:val="none"/>
              </w:rPr>
              <w:pict>
                <v:shape id="_x0000_i1026" o:spt="75" type="#_x0000_t75" style="height:161.75pt;width:346.2pt;" filled="f" stroked="f" coordsize="21600,21600">
                  <v:path/>
                  <v:fill on="f" focussize="0,0"/>
                  <v:stroke on="f"/>
                  <v:imagedata r:id="rId19" o:title=""/>
                  <o:lock v:ext="edit" aspectratio="t"/>
                  <w10:wrap type="none"/>
                  <w10:anchorlock/>
                </v:shape>
              </w:pict>
            </w:r>
          </w:p>
          <w:p>
            <w:pPr>
              <w:spacing w:line="360" w:lineRule="auto"/>
              <w:outlineLvl w:val="5"/>
              <w:rPr>
                <w:rFonts w:hint="eastAsia" w:hAnsi="宋体" w:cs="宋体"/>
                <w:color w:val="auto"/>
                <w:highlight w:val="none"/>
                <w:lang w:val="zh-CN"/>
              </w:rPr>
            </w:pPr>
            <w:r>
              <w:rPr>
                <w:rFonts w:hint="eastAsia" w:hAnsi="宋体" w:cs="宋体"/>
                <w:color w:val="auto"/>
                <w:highlight w:val="none"/>
                <w:lang w:val="zh-CN"/>
              </w:rPr>
              <w:t>注:①按本表费率计算的收费为采购代理服务全过程的收费基准价格。②采购代理服务收费按差额定率累进法计算。</w:t>
            </w:r>
          </w:p>
          <w:p>
            <w:pPr>
              <w:pStyle w:val="214"/>
              <w:tabs>
                <w:tab w:val="left" w:pos="7665"/>
              </w:tabs>
              <w:snapToGrid w:val="0"/>
              <w:spacing w:line="240" w:lineRule="auto"/>
              <w:jc w:val="left"/>
              <w:rPr>
                <w:color w:val="auto"/>
                <w:highlight w:val="none"/>
              </w:rPr>
            </w:pPr>
            <w:r>
              <w:rPr>
                <w:rFonts w:hint="eastAsia"/>
                <w:color w:val="auto"/>
                <w:highlight w:val="none"/>
              </w:rPr>
              <w:t>收款单位：四川五洲招标代理有限公司</w:t>
            </w:r>
          </w:p>
          <w:p>
            <w:pPr>
              <w:pStyle w:val="214"/>
              <w:tabs>
                <w:tab w:val="left" w:pos="7665"/>
              </w:tabs>
              <w:snapToGrid w:val="0"/>
              <w:spacing w:line="240" w:lineRule="auto"/>
              <w:jc w:val="left"/>
              <w:rPr>
                <w:color w:val="auto"/>
                <w:highlight w:val="none"/>
              </w:rPr>
            </w:pPr>
            <w:r>
              <w:rPr>
                <w:rFonts w:hint="eastAsia"/>
                <w:color w:val="auto"/>
                <w:highlight w:val="none"/>
              </w:rPr>
              <w:t>银行帐号：320 220 102 200 057 000 16</w:t>
            </w:r>
          </w:p>
          <w:p>
            <w:pPr>
              <w:spacing w:line="360" w:lineRule="auto"/>
              <w:outlineLvl w:val="5"/>
              <w:rPr>
                <w:rFonts w:hAnsi="宋体" w:cs="宋体"/>
                <w:color w:val="auto"/>
                <w:highlight w:val="none"/>
              </w:rPr>
            </w:pPr>
            <w:r>
              <w:rPr>
                <w:rFonts w:hint="eastAsia"/>
                <w:color w:val="auto"/>
                <w:highlight w:val="none"/>
              </w:rPr>
              <w:t>开户银行：成都银行金府路支行</w:t>
            </w:r>
          </w:p>
        </w:tc>
      </w:tr>
      <w:bookmarkEnd w:id="16"/>
      <w:bookmarkEnd w:id="17"/>
      <w:bookmarkEnd w:id="18"/>
      <w:bookmarkEnd w:id="19"/>
    </w:tbl>
    <w:p>
      <w:pPr>
        <w:pStyle w:val="4"/>
        <w:rPr>
          <w:color w:val="auto"/>
          <w:highlight w:val="none"/>
        </w:rPr>
      </w:pPr>
      <w:bookmarkStart w:id="30" w:name="_Toc7438"/>
      <w:bookmarkStart w:id="31" w:name="_Toc77400778"/>
      <w:bookmarkStart w:id="32" w:name="_Toc89075873"/>
      <w:bookmarkStart w:id="33" w:name="_Toc183582204"/>
      <w:bookmarkStart w:id="34" w:name="_Toc217446033"/>
      <w:bookmarkStart w:id="35" w:name="_Toc25712"/>
      <w:bookmarkStart w:id="36" w:name="_Toc183682341"/>
      <w:r>
        <w:rPr>
          <w:rFonts w:hint="eastAsia"/>
          <w:color w:val="auto"/>
          <w:highlight w:val="none"/>
        </w:rPr>
        <w:br w:type="page"/>
      </w:r>
      <w:r>
        <w:rPr>
          <w:rFonts w:hint="eastAsia"/>
          <w:color w:val="auto"/>
          <w:highlight w:val="none"/>
        </w:rPr>
        <w:t>二、总  则</w:t>
      </w:r>
      <w:bookmarkEnd w:id="30"/>
      <w:bookmarkEnd w:id="31"/>
      <w:bookmarkEnd w:id="32"/>
      <w:bookmarkEnd w:id="33"/>
      <w:bookmarkEnd w:id="34"/>
      <w:bookmarkEnd w:id="35"/>
      <w:bookmarkEnd w:id="36"/>
    </w:p>
    <w:p>
      <w:pPr>
        <w:pStyle w:val="5"/>
        <w:spacing w:line="360" w:lineRule="auto"/>
        <w:rPr>
          <w:color w:val="auto"/>
          <w:highlight w:val="none"/>
        </w:rPr>
      </w:pPr>
      <w:bookmarkStart w:id="37" w:name="_Toc183582205"/>
      <w:bookmarkStart w:id="38" w:name="_Toc183682342"/>
      <w:bookmarkStart w:id="39" w:name="_Toc217446034"/>
      <w:r>
        <w:rPr>
          <w:rFonts w:hint="eastAsia"/>
          <w:color w:val="auto"/>
          <w:highlight w:val="none"/>
        </w:rPr>
        <w:t>1.</w:t>
      </w:r>
      <w:bookmarkEnd w:id="37"/>
      <w:bookmarkEnd w:id="38"/>
      <w:r>
        <w:rPr>
          <w:rFonts w:hint="eastAsia"/>
          <w:color w:val="auto"/>
          <w:highlight w:val="none"/>
        </w:rPr>
        <w:t xml:space="preserve"> 适用范围</w:t>
      </w:r>
      <w:bookmarkEnd w:id="39"/>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1.1  本招标文件仅适用于本次公开招标采购项目。</w:t>
      </w:r>
    </w:p>
    <w:p>
      <w:pPr>
        <w:pStyle w:val="5"/>
        <w:spacing w:line="360" w:lineRule="auto"/>
        <w:rPr>
          <w:color w:val="auto"/>
          <w:highlight w:val="none"/>
        </w:rPr>
      </w:pPr>
      <w:bookmarkStart w:id="40" w:name="_Toc183582206"/>
      <w:bookmarkStart w:id="41" w:name="_Toc183682343"/>
      <w:bookmarkStart w:id="42" w:name="_Toc217446035"/>
      <w:r>
        <w:rPr>
          <w:rFonts w:hint="eastAsia"/>
          <w:color w:val="auto"/>
          <w:highlight w:val="none"/>
        </w:rPr>
        <w:t xml:space="preserve">2. </w:t>
      </w:r>
      <w:bookmarkEnd w:id="40"/>
      <w:bookmarkEnd w:id="41"/>
      <w:r>
        <w:rPr>
          <w:rFonts w:hint="eastAsia"/>
          <w:color w:val="auto"/>
          <w:highlight w:val="none"/>
        </w:rPr>
        <w:t>有关定义</w:t>
      </w:r>
      <w:bookmarkEnd w:id="42"/>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2.1 “采购人”系指依法进行政府采购的国家机关、事业单位、团体组织。本次招标的采购人是</w:t>
      </w:r>
      <w:r>
        <w:rPr>
          <w:rFonts w:hint="eastAsia" w:hAnsi="宋体" w:cs="宋体"/>
          <w:color w:val="auto"/>
          <w:highlight w:val="none"/>
          <w:u w:val="single"/>
        </w:rPr>
        <w:t>成都市第五人民医院</w:t>
      </w:r>
      <w:r>
        <w:rPr>
          <w:rFonts w:hint="eastAsia" w:hAnsi="宋体" w:cs="宋体"/>
          <w:color w:val="auto"/>
          <w:highlight w:val="none"/>
        </w:rPr>
        <w:t>。</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2.2 “采购代理机构” 系指根据采购人的委托依法办理招标事宜的采购机构。本次招标的采购代理机构是</w:t>
      </w:r>
      <w:r>
        <w:rPr>
          <w:rFonts w:hint="eastAsia" w:hAnsi="宋体" w:cs="宋体"/>
          <w:color w:val="auto"/>
          <w:highlight w:val="none"/>
          <w:u w:val="single"/>
        </w:rPr>
        <w:t>四川五洲招标代理有限公司</w:t>
      </w:r>
      <w:r>
        <w:rPr>
          <w:rFonts w:hint="eastAsia" w:hAnsi="宋体" w:cs="宋体"/>
          <w:color w:val="auto"/>
          <w:highlight w:val="none"/>
        </w:rPr>
        <w:t>。</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2.3 “招标采购单位”系指“采购人”和“采购代理机构”的统称。</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2.4 “投标人”系指购买了招标文件拟参加投标和向采购人提供货物及相应服务的供应商。</w:t>
      </w:r>
      <w:bookmarkStart w:id="43" w:name="_Toc217390843"/>
      <w:bookmarkStart w:id="44" w:name="_Toc183682344"/>
      <w:bookmarkStart w:id="45" w:name="_Toc183582207"/>
      <w:bookmarkStart w:id="46" w:name="_Toc217446036"/>
    </w:p>
    <w:p>
      <w:pPr>
        <w:pStyle w:val="5"/>
        <w:spacing w:line="360" w:lineRule="auto"/>
        <w:rPr>
          <w:color w:val="auto"/>
          <w:highlight w:val="none"/>
        </w:rPr>
      </w:pPr>
      <w:r>
        <w:rPr>
          <w:rFonts w:hint="eastAsia"/>
          <w:color w:val="auto"/>
          <w:highlight w:val="none"/>
        </w:rPr>
        <w:t>3. 合格的投标人</w:t>
      </w:r>
      <w:bookmarkEnd w:id="43"/>
      <w:bookmarkEnd w:id="44"/>
      <w:bookmarkEnd w:id="45"/>
      <w:bookmarkEnd w:id="46"/>
      <w:r>
        <w:rPr>
          <w:rFonts w:hint="eastAsia"/>
          <w:color w:val="auto"/>
          <w:highlight w:val="none"/>
        </w:rPr>
        <w:t>（实质性要求）</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3.1合格的投标人应具备以下条件：</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（1）本招标文件规定的供应商资格条件；</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（2）向采购代理机构购买了招标文件并登记备案；</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（3）遵守国家有关的法律、法规、规章和其他政策制度；</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（4）不属于禁止参加本项目采购活动的供应商；</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w:t>
      </w:r>
      <w:r>
        <w:rPr>
          <w:rFonts w:hAnsi="宋体" w:cs="宋体"/>
          <w:color w:val="auto"/>
          <w:highlight w:val="none"/>
        </w:rPr>
        <w:t>5</w:t>
      </w:r>
      <w:r>
        <w:rPr>
          <w:rFonts w:hint="eastAsia" w:hAnsi="宋体" w:cs="宋体"/>
          <w:color w:val="auto"/>
          <w:highlight w:val="none"/>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（6）根据《关于在政府采购活动中查询及使用信用记录有关问题的通知》（财库〔2016〕125号）的要求，采购人/采购代理机构将通过“信用中国”网站（ www.creditchina.gov.cn）、“中国政府采购网”网站（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tabs>
          <w:tab w:val="left" w:pos="7665"/>
        </w:tabs>
        <w:snapToGrid w:val="0"/>
        <w:spacing w:line="360" w:lineRule="auto"/>
        <w:ind w:firstLine="480" w:firstLineChars="200"/>
        <w:outlineLvl w:val="5"/>
        <w:rPr>
          <w:color w:val="auto"/>
          <w:highlight w:val="none"/>
        </w:rPr>
      </w:pPr>
      <w:bookmarkStart w:id="47" w:name="_Toc183582208"/>
      <w:bookmarkStart w:id="48" w:name="_Toc217446037"/>
      <w:bookmarkStart w:id="49" w:name="_Toc183682345"/>
      <w:r>
        <w:rPr>
          <w:rFonts w:hint="eastAsia" w:ascii="宋体" w:hAnsi="宋体" w:cs="宋体"/>
          <w:color w:val="auto"/>
          <w:highlight w:val="none"/>
        </w:rPr>
        <w:t>（7）本项目参加政府采购活动的供应商在前三年内不得具有行贿犯罪记录。本项目参加政府采购活动的供应商及其现任法定代表人、主要负责人在前三年内不得具有行贿犯罪记录证明材料（在投标文件中进行承诺，如果虚假承诺，作无效投标、中标处理）。</w:t>
      </w:r>
    </w:p>
    <w:p>
      <w:pPr>
        <w:pStyle w:val="16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（8）有下列情形之一的，视为供应商串通投标，其报价无效：</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（一）不同投标人的投标文件由同一单位或者个人编制；</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（二）不同投标人委托同一单位或者个人办理投标事宜；</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（三）不同投标人的投标文件载明的项目管理成员或者联系人员为同一人</w:t>
      </w:r>
      <w:r>
        <w:rPr>
          <w:rFonts w:hint="eastAsia" w:ascii="宋体" w:hAnsi="宋体" w:cs="宋体"/>
          <w:color w:val="auto"/>
          <w:highlight w:val="none"/>
        </w:rPr>
        <w:t>（项目管理成员系指投标文件里供应商提供的法定代表人、被授权人及在投标文件里明确为本项目实施服务的具体人员）</w:t>
      </w:r>
      <w:r>
        <w:rPr>
          <w:rFonts w:hint="eastAsia" w:ascii="宋体" w:hAnsi="宋体" w:cs="宋体"/>
          <w:color w:val="auto"/>
          <w:szCs w:val="22"/>
          <w:highlight w:val="none"/>
        </w:rPr>
        <w:t>；</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（四）不同投标人的投标文件异常一致或者投标报价呈规律性差异；</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（五）不同投标人的投标文件相互混装；</w:t>
      </w:r>
    </w:p>
    <w:p>
      <w:pPr>
        <w:tabs>
          <w:tab w:val="left" w:pos="7665"/>
        </w:tabs>
        <w:snapToGrid w:val="0"/>
        <w:spacing w:line="360" w:lineRule="auto"/>
        <w:ind w:firstLine="480" w:firstLineChars="200"/>
        <w:outlineLvl w:val="5"/>
        <w:rPr>
          <w:rFonts w:ascii="宋体" w:hAnsi="宋体" w:cs="宋体"/>
          <w:color w:val="auto"/>
          <w:highlight w:val="none"/>
        </w:rPr>
      </w:pPr>
      <w:r>
        <w:rPr>
          <w:rFonts w:hint="eastAsia" w:ascii="宋体" w:hAnsi="宋体" w:cs="宋体"/>
          <w:color w:val="auto"/>
          <w:szCs w:val="22"/>
          <w:highlight w:val="none"/>
        </w:rPr>
        <w:t>（六）不同投标人的投标保证金从同一单位或者个人的账户转出。</w:t>
      </w:r>
    </w:p>
    <w:p>
      <w:pPr>
        <w:pStyle w:val="5"/>
        <w:spacing w:line="360" w:lineRule="auto"/>
        <w:rPr>
          <w:color w:val="auto"/>
          <w:highlight w:val="none"/>
        </w:rPr>
      </w:pPr>
      <w:r>
        <w:rPr>
          <w:rFonts w:hint="eastAsia"/>
          <w:color w:val="auto"/>
          <w:highlight w:val="none"/>
        </w:rPr>
        <w:t>4. 投标费用</w:t>
      </w:r>
      <w:bookmarkEnd w:id="47"/>
      <w:bookmarkEnd w:id="48"/>
      <w:bookmarkEnd w:id="49"/>
      <w:r>
        <w:rPr>
          <w:rFonts w:hint="eastAsia"/>
          <w:color w:val="auto"/>
          <w:highlight w:val="none"/>
        </w:rPr>
        <w:t>（实质性要求）</w:t>
      </w:r>
    </w:p>
    <w:p>
      <w:pPr>
        <w:tabs>
          <w:tab w:val="left" w:pos="7665"/>
        </w:tabs>
        <w:snapToGrid w:val="0"/>
        <w:spacing w:line="360" w:lineRule="auto"/>
        <w:outlineLvl w:val="5"/>
        <w:rPr>
          <w:rFonts w:hAnsi="宋体" w:cs="宋体"/>
          <w:b/>
          <w:color w:val="auto"/>
          <w:highlight w:val="none"/>
        </w:rPr>
      </w:pPr>
      <w:r>
        <w:rPr>
          <w:rFonts w:hint="eastAsia"/>
          <w:color w:val="auto"/>
          <w:highlight w:val="none"/>
        </w:rPr>
        <w:t>投标人参加投标的有关费用由投标人自行承担。</w:t>
      </w:r>
    </w:p>
    <w:p>
      <w:pPr>
        <w:pStyle w:val="5"/>
        <w:spacing w:line="360" w:lineRule="auto"/>
        <w:rPr>
          <w:color w:val="auto"/>
          <w:highlight w:val="none"/>
        </w:rPr>
      </w:pPr>
      <w:bookmarkStart w:id="50" w:name="_Toc77400779"/>
      <w:bookmarkStart w:id="51" w:name="_Toc20146"/>
      <w:bookmarkStart w:id="52" w:name="_Toc217446038"/>
      <w:bookmarkStart w:id="53" w:name="_Toc183582209"/>
      <w:bookmarkStart w:id="54" w:name="_Toc12399"/>
      <w:bookmarkStart w:id="55" w:name="_Toc89075875"/>
      <w:bookmarkStart w:id="56" w:name="_Toc183682346"/>
      <w:r>
        <w:rPr>
          <w:rFonts w:hint="eastAsia"/>
          <w:color w:val="auto"/>
          <w:highlight w:val="none"/>
        </w:rPr>
        <w:t>5、充分、公平竞争保障措施（实质性要求）</w:t>
      </w:r>
    </w:p>
    <w:p>
      <w:pPr>
        <w:pStyle w:val="86"/>
        <w:spacing w:line="360" w:lineRule="auto"/>
        <w:ind w:left="1" w:firstLine="480" w:firstLineChars="200"/>
        <w:rPr>
          <w:rFonts w:hAnsi="宋体"/>
          <w:color w:val="auto"/>
          <w:sz w:val="24"/>
          <w:highlight w:val="none"/>
        </w:rPr>
      </w:pPr>
      <w:r>
        <w:rPr>
          <w:rFonts w:hint="eastAsia" w:hAnsi="宋体"/>
          <w:color w:val="auto"/>
          <w:sz w:val="24"/>
          <w:highlight w:val="none"/>
        </w:rPr>
        <w:t>5.1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spacing w:line="360" w:lineRule="auto"/>
        <w:ind w:left="1" w:firstLine="480" w:firstLineChars="200"/>
        <w:rPr>
          <w:rFonts w:hAnsi="宋体"/>
          <w:color w:val="auto"/>
          <w:sz w:val="24"/>
          <w:highlight w:val="none"/>
        </w:rPr>
      </w:pPr>
      <w:r>
        <w:rPr>
          <w:rFonts w:hint="eastAsia" w:hAnsi="宋体"/>
          <w:color w:val="auto"/>
          <w:sz w:val="24"/>
          <w:highlight w:val="none"/>
        </w:rPr>
        <w:t>非单一产品采购项目，采购人根据采购项目技术构成、产品价格比重等合理确定核心产品，本项目核心产品为第六章项目清单中标注了▲号的产品主机或主体。多家投标人提供的核心产品品牌相同的，按前两款规定处理。</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5.4利害关系代理人处理。2家以上的供应商不得在同一合同项下的采购项目中，同时委托同一个自然人、同一家庭的人员、同一单位的人员作为其代理人，否则，其投标文件作为无效处理。</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5.5有下列情形之一的，视为投标人串通投标，其投标无效：</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(一)不同投标人的投标文件由同一单位或者个人编制;</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(二)不同投标人委托同一单位或者个人办理投标事宜;</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(三)不同投标人的投标文件载明的项目管理成员或者联系人员为同一人（项目管理成员系指投标文件里供应商提供的法定代表人、被授权人及在投标文件里明确为本项目实施服务的具体人员）;</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(四)不同投标人的投标文件异常一致或者投标报价呈规律性差异;</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(五)不同投标人的投标文件相互混装;</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(六)不同投标人的投标保证金（如有）从同一单位或者个人的账户转出。</w:t>
      </w:r>
    </w:p>
    <w:p>
      <w:pPr>
        <w:pStyle w:val="5"/>
        <w:jc w:val="center"/>
        <w:rPr>
          <w:color w:val="auto"/>
          <w:highlight w:val="none"/>
        </w:rPr>
      </w:pPr>
      <w:r>
        <w:rPr>
          <w:rFonts w:hint="eastAsia"/>
          <w:color w:val="auto"/>
          <w:highlight w:val="none"/>
        </w:rPr>
        <w:t>三、招标文件</w:t>
      </w:r>
      <w:bookmarkEnd w:id="50"/>
      <w:bookmarkEnd w:id="51"/>
      <w:bookmarkEnd w:id="52"/>
      <w:bookmarkEnd w:id="53"/>
      <w:bookmarkEnd w:id="54"/>
      <w:bookmarkEnd w:id="55"/>
      <w:bookmarkEnd w:id="56"/>
    </w:p>
    <w:p>
      <w:pPr>
        <w:pStyle w:val="5"/>
        <w:spacing w:line="360" w:lineRule="auto"/>
        <w:rPr>
          <w:color w:val="auto"/>
          <w:highlight w:val="none"/>
        </w:rPr>
      </w:pPr>
      <w:bookmarkStart w:id="57" w:name="_Toc183682347"/>
      <w:bookmarkStart w:id="58" w:name="_Toc217446039"/>
      <w:bookmarkStart w:id="59" w:name="_Toc183582210"/>
      <w:r>
        <w:rPr>
          <w:rFonts w:hint="eastAsia"/>
          <w:color w:val="auto"/>
          <w:highlight w:val="none"/>
        </w:rPr>
        <w:t>6．招标文件的构成</w:t>
      </w:r>
      <w:bookmarkEnd w:id="57"/>
      <w:bookmarkEnd w:id="58"/>
      <w:bookmarkEnd w:id="59"/>
    </w:p>
    <w:p>
      <w:pPr>
        <w:tabs>
          <w:tab w:val="left" w:pos="7665"/>
        </w:tabs>
        <w:snapToGrid w:val="0"/>
        <w:spacing w:line="360" w:lineRule="auto"/>
        <w:outlineLvl w:val="5"/>
        <w:rPr>
          <w:rFonts w:hAnsi="宋体" w:cs="宋体"/>
          <w:color w:val="auto"/>
          <w:highlight w:val="none"/>
        </w:rPr>
      </w:pPr>
      <w:r>
        <w:rPr>
          <w:rFonts w:hint="eastAsia" w:hAnsi="宋体" w:cs="宋体"/>
          <w:color w:val="auto"/>
          <w:highlight w:val="none"/>
        </w:rPr>
        <w:t xml:space="preserve">    6</w:t>
      </w:r>
      <w:r>
        <w:rPr>
          <w:rFonts w:hint="eastAsia" w:hAnsi="宋体" w:cs="宋体"/>
          <w:b/>
          <w:bCs/>
          <w:color w:val="auto"/>
          <w:highlight w:val="none"/>
        </w:rPr>
        <w:t>.</w:t>
      </w:r>
      <w:r>
        <w:rPr>
          <w:rFonts w:hint="eastAsia" w:hAnsi="宋体" w:cs="宋体"/>
          <w:color w:val="auto"/>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（一）投标邀请；</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（二）投标人须知；</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（三）投标文件格式；</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（四）投标人和投标产品的资格、资质性及其他类似效力要求；</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（五）投标人应当提供的资格、资质性及其他类似效力要求的相关证明材料；</w:t>
      </w:r>
    </w:p>
    <w:p>
      <w:pPr>
        <w:tabs>
          <w:tab w:val="left" w:pos="720"/>
        </w:tabs>
        <w:snapToGrid w:val="0"/>
        <w:spacing w:line="360" w:lineRule="auto"/>
        <w:ind w:firstLine="480" w:firstLineChars="200"/>
        <w:outlineLvl w:val="5"/>
        <w:rPr>
          <w:rFonts w:hint="eastAsia" w:hAnsi="宋体" w:eastAsia="宋体" w:cs="宋体"/>
          <w:color w:val="auto"/>
          <w:highlight w:val="none"/>
          <w:lang w:eastAsia="zh-CN"/>
        </w:rPr>
      </w:pPr>
      <w:r>
        <w:rPr>
          <w:rFonts w:hint="eastAsia" w:hAnsi="宋体" w:cs="宋体"/>
          <w:color w:val="auto"/>
          <w:highlight w:val="none"/>
        </w:rPr>
        <w:t>（六）本项目技术、服务、政府采购履约主要条款及其他要求条款</w:t>
      </w:r>
      <w:r>
        <w:rPr>
          <w:rFonts w:hint="eastAsia"/>
          <w:color w:val="auto"/>
          <w:highlight w:val="none"/>
          <w:lang w:eastAsia="zh-CN"/>
        </w:rPr>
        <w:t>；</w:t>
      </w:r>
    </w:p>
    <w:p>
      <w:pPr>
        <w:tabs>
          <w:tab w:val="left" w:pos="720"/>
          <w:tab w:val="left" w:pos="6575"/>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（七）评标办法；</w:t>
      </w:r>
      <w:r>
        <w:rPr>
          <w:rFonts w:hint="eastAsia" w:hAnsi="宋体" w:cs="宋体"/>
          <w:color w:val="auto"/>
          <w:highlight w:val="none"/>
        </w:rPr>
        <w:tab/>
      </w:r>
      <w:r>
        <w:rPr>
          <w:rFonts w:hAnsi="宋体" w:cs="宋体"/>
          <w:color w:val="auto"/>
          <w:highlight w:val="none"/>
        </w:rPr>
        <w:tab/>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（八）政府采购合同（草案）。</w:t>
      </w:r>
    </w:p>
    <w:p>
      <w:pPr>
        <w:tabs>
          <w:tab w:val="left" w:pos="7665"/>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6</w:t>
      </w:r>
      <w:r>
        <w:rPr>
          <w:rFonts w:hint="eastAsia" w:hAnsi="宋体" w:cs="宋体"/>
          <w:b/>
          <w:bCs/>
          <w:color w:val="auto"/>
          <w:highlight w:val="none"/>
        </w:rPr>
        <w:t>.</w:t>
      </w:r>
      <w:r>
        <w:rPr>
          <w:rFonts w:hint="eastAsia" w:hAnsi="宋体" w:cs="宋体"/>
          <w:color w:val="auto"/>
          <w:highlight w:val="none"/>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360" w:lineRule="auto"/>
        <w:rPr>
          <w:color w:val="auto"/>
          <w:highlight w:val="none"/>
        </w:rPr>
      </w:pPr>
      <w:bookmarkStart w:id="60" w:name="_Toc183582211"/>
      <w:bookmarkStart w:id="61" w:name="_Toc183682348"/>
      <w:bookmarkStart w:id="62" w:name="_Toc217446040"/>
      <w:r>
        <w:rPr>
          <w:rFonts w:hint="eastAsia"/>
          <w:color w:val="auto"/>
          <w:highlight w:val="none"/>
        </w:rPr>
        <w:t>7. 招标文件的澄清</w:t>
      </w:r>
      <w:bookmarkEnd w:id="60"/>
      <w:bookmarkEnd w:id="61"/>
      <w:r>
        <w:rPr>
          <w:rFonts w:hint="eastAsia"/>
          <w:color w:val="auto"/>
          <w:highlight w:val="none"/>
        </w:rPr>
        <w:t>和修改</w:t>
      </w:r>
      <w:bookmarkEnd w:id="62"/>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7.1招标采购单位可以依法对招标文件进行澄清或者修改。</w:t>
      </w:r>
    </w:p>
    <w:p>
      <w:pPr>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7.2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w:t>
      </w:r>
      <w:r>
        <w:rPr>
          <w:rFonts w:hint="eastAsia" w:hAnsi="宋体" w:cs="宋体"/>
          <w:b/>
          <w:bCs/>
          <w:color w:val="auto"/>
          <w:highlight w:val="none"/>
        </w:rPr>
        <w:t>.</w:t>
      </w:r>
      <w:r>
        <w:rPr>
          <w:rFonts w:hint="eastAsia" w:hAnsi="宋体" w:cs="宋体"/>
          <w:color w:val="auto"/>
          <w:highlight w:val="none"/>
        </w:rPr>
        <w:t>3 投标人认为需要对招标文件进行澄清或者修改的，可以以书面形式向招标采购单位提出申请，但招标采购单位可以决定是否采纳投标人的申请事项。</w:t>
      </w:r>
    </w:p>
    <w:p>
      <w:pPr>
        <w:pStyle w:val="5"/>
        <w:spacing w:line="360" w:lineRule="auto"/>
        <w:rPr>
          <w:color w:val="auto"/>
          <w:highlight w:val="none"/>
        </w:rPr>
      </w:pPr>
      <w:bookmarkStart w:id="63" w:name="_Toc217446041"/>
      <w:bookmarkStart w:id="64" w:name="_Toc208848971"/>
      <w:r>
        <w:rPr>
          <w:rFonts w:hint="eastAsia"/>
          <w:color w:val="auto"/>
          <w:highlight w:val="none"/>
        </w:rPr>
        <w:t>8. 答疑会和现场考察</w:t>
      </w:r>
      <w:bookmarkEnd w:id="63"/>
      <w:bookmarkEnd w:id="64"/>
    </w:p>
    <w:p>
      <w:pPr>
        <w:snapToGrid w:val="0"/>
        <w:spacing w:line="360" w:lineRule="auto"/>
        <w:ind w:firstLine="566" w:firstLineChars="236"/>
        <w:outlineLvl w:val="5"/>
        <w:rPr>
          <w:rFonts w:hAnsi="宋体" w:cs="宋体"/>
          <w:color w:val="auto"/>
          <w:highlight w:val="none"/>
        </w:rPr>
      </w:pPr>
      <w:r>
        <w:rPr>
          <w:rFonts w:hint="eastAsia" w:hAnsi="宋体" w:cs="宋体"/>
          <w:color w:val="auto"/>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adjustRightInd w:val="0"/>
        <w:snapToGrid w:val="0"/>
        <w:spacing w:line="360" w:lineRule="auto"/>
        <w:ind w:firstLine="566" w:firstLineChars="236"/>
        <w:outlineLvl w:val="5"/>
        <w:rPr>
          <w:rFonts w:hAnsi="宋体" w:cs="宋体"/>
          <w:color w:val="auto"/>
          <w:highlight w:val="none"/>
        </w:rPr>
      </w:pPr>
      <w:r>
        <w:rPr>
          <w:rFonts w:hint="eastAsia" w:hAnsi="宋体" w:cs="宋体"/>
          <w:color w:val="auto"/>
          <w:highlight w:val="none"/>
        </w:rPr>
        <w:t>8.2 供应商考察现场所发生的一切费用由供应商自己承担。</w:t>
      </w:r>
    </w:p>
    <w:p>
      <w:pPr>
        <w:pStyle w:val="4"/>
        <w:rPr>
          <w:color w:val="auto"/>
          <w:highlight w:val="none"/>
        </w:rPr>
      </w:pPr>
      <w:bookmarkStart w:id="65" w:name="_Toc15488"/>
      <w:bookmarkStart w:id="66" w:name="_Toc32092"/>
      <w:bookmarkStart w:id="67" w:name="_Toc217446042"/>
      <w:bookmarkStart w:id="68" w:name="_Toc183682351"/>
      <w:bookmarkStart w:id="69" w:name="_Toc77400780"/>
      <w:bookmarkStart w:id="70" w:name="_Toc89075876"/>
      <w:bookmarkStart w:id="71" w:name="_Toc183582214"/>
      <w:r>
        <w:rPr>
          <w:rFonts w:hint="eastAsia"/>
          <w:color w:val="auto"/>
          <w:highlight w:val="none"/>
        </w:rPr>
        <w:t>四、投标文件</w:t>
      </w:r>
      <w:bookmarkEnd w:id="65"/>
      <w:bookmarkEnd w:id="66"/>
      <w:bookmarkEnd w:id="67"/>
      <w:bookmarkEnd w:id="68"/>
      <w:bookmarkEnd w:id="69"/>
      <w:bookmarkEnd w:id="70"/>
      <w:bookmarkEnd w:id="71"/>
    </w:p>
    <w:p>
      <w:pPr>
        <w:pStyle w:val="5"/>
        <w:spacing w:line="360" w:lineRule="auto"/>
        <w:rPr>
          <w:color w:val="auto"/>
          <w:highlight w:val="none"/>
        </w:rPr>
      </w:pPr>
      <w:bookmarkStart w:id="72" w:name="_Toc183682352"/>
      <w:bookmarkStart w:id="73" w:name="_Toc183582215"/>
      <w:bookmarkStart w:id="74" w:name="_Toc217446043"/>
      <w:r>
        <w:rPr>
          <w:rFonts w:hint="eastAsia"/>
          <w:color w:val="auto"/>
          <w:highlight w:val="none"/>
        </w:rPr>
        <w:t>9．投标文件的语言</w:t>
      </w:r>
      <w:bookmarkEnd w:id="72"/>
      <w:bookmarkEnd w:id="73"/>
      <w:bookmarkEnd w:id="74"/>
    </w:p>
    <w:p>
      <w:pPr>
        <w:spacing w:line="360" w:lineRule="auto"/>
        <w:ind w:firstLine="480" w:firstLineChars="200"/>
        <w:outlineLvl w:val="5"/>
        <w:rPr>
          <w:rFonts w:hAnsi="宋体" w:cs="宋体"/>
          <w:color w:val="auto"/>
          <w:highlight w:val="none"/>
        </w:rPr>
      </w:pPr>
      <w:r>
        <w:rPr>
          <w:rFonts w:hint="eastAsia" w:hAnsi="宋体" w:cs="宋体"/>
          <w:color w:val="auto"/>
          <w:highlight w:val="none"/>
        </w:rPr>
        <w:t>9.1 投标人提交的投标文件以及投标人与招标采购单位就有关投标的所有来往书面文件均须使用中文</w:t>
      </w:r>
      <w:r>
        <w:rPr>
          <w:rFonts w:hint="eastAsia" w:hAnsi="宋体" w:cs="宋体"/>
          <w:b/>
          <w:color w:val="auto"/>
          <w:highlight w:val="none"/>
        </w:rPr>
        <w:t>（实质性要求）</w:t>
      </w:r>
      <w:r>
        <w:rPr>
          <w:rFonts w:hint="eastAsia" w:hAnsi="宋体" w:cs="宋体"/>
          <w:color w:val="auto"/>
          <w:highlight w:val="none"/>
        </w:rPr>
        <w:t>。投标文件中如附有外文资料，应对应翻译成中文并加盖投标人公章后附在相关外文资料后面</w:t>
      </w:r>
      <w:r>
        <w:rPr>
          <w:rFonts w:hint="eastAsia"/>
          <w:color w:val="auto"/>
          <w:highlight w:val="none"/>
        </w:rPr>
        <w:t>。</w:t>
      </w:r>
      <w:r>
        <w:rPr>
          <w:rFonts w:hint="eastAsia" w:hAnsi="宋体" w:cs="宋体"/>
          <w:color w:val="auto"/>
          <w:highlight w:val="none"/>
        </w:rPr>
        <w:t>（说明：供应商的法定代表人为外籍人士的，法定代表人的签字和护照除外。）</w:t>
      </w:r>
    </w:p>
    <w:p>
      <w:pPr>
        <w:tabs>
          <w:tab w:val="left" w:pos="1134"/>
        </w:tabs>
        <w:spacing w:line="360" w:lineRule="auto"/>
        <w:ind w:firstLine="480" w:firstLineChars="200"/>
        <w:rPr>
          <w:rFonts w:hAnsi="宋体" w:cs="宋体"/>
          <w:color w:val="auto"/>
          <w:highlight w:val="none"/>
        </w:rPr>
      </w:pPr>
      <w:r>
        <w:rPr>
          <w:rFonts w:hint="eastAsia" w:hAnsi="宋体" w:cs="宋体"/>
          <w:color w:val="auto"/>
          <w:highlight w:val="none"/>
        </w:rPr>
        <w:t>9.2 翻译的中文资料与外文资料如果出现差异和矛盾时，以中文为准。</w:t>
      </w:r>
      <w:bookmarkStart w:id="75" w:name="_Toc217446044"/>
      <w:bookmarkStart w:id="76" w:name="_Toc183682353"/>
      <w:bookmarkStart w:id="77" w:name="_Toc183582216"/>
      <w:r>
        <w:rPr>
          <w:rFonts w:hint="eastAsia" w:hAnsi="宋体" w:cs="宋体"/>
          <w:color w:val="auto"/>
          <w:highlight w:val="none"/>
        </w:rPr>
        <w:t>涉嫌虚假响应的按照相关法律法规处理。</w:t>
      </w:r>
    </w:p>
    <w:p>
      <w:pPr>
        <w:pStyle w:val="5"/>
        <w:spacing w:line="360" w:lineRule="auto"/>
        <w:rPr>
          <w:color w:val="auto"/>
          <w:highlight w:val="none"/>
        </w:rPr>
      </w:pPr>
      <w:r>
        <w:rPr>
          <w:rFonts w:hint="eastAsia"/>
          <w:color w:val="auto"/>
          <w:highlight w:val="none"/>
        </w:rPr>
        <w:t>10．计量单位</w:t>
      </w:r>
      <w:bookmarkEnd w:id="75"/>
      <w:bookmarkEnd w:id="76"/>
      <w:bookmarkEnd w:id="77"/>
      <w:r>
        <w:rPr>
          <w:rFonts w:hint="eastAsia"/>
          <w:color w:val="auto"/>
          <w:highlight w:val="none"/>
        </w:rPr>
        <w:t>（实质性要求）</w:t>
      </w:r>
    </w:p>
    <w:p>
      <w:pPr>
        <w:spacing w:line="360" w:lineRule="auto"/>
        <w:ind w:firstLine="470" w:firstLineChars="196"/>
        <w:outlineLvl w:val="5"/>
        <w:rPr>
          <w:rFonts w:hAnsi="宋体" w:cs="宋体"/>
          <w:color w:val="auto"/>
          <w:highlight w:val="none"/>
        </w:rPr>
      </w:pPr>
      <w:r>
        <w:rPr>
          <w:rFonts w:hint="eastAsia" w:hAnsi="宋体" w:cs="宋体"/>
          <w:color w:val="auto"/>
          <w:highlight w:val="none"/>
        </w:rPr>
        <w:t>除招标文件中另有规定外，本次采购项目所有合同项下的投标均采用国家法定的计量单位。</w:t>
      </w:r>
    </w:p>
    <w:p>
      <w:pPr>
        <w:pStyle w:val="8"/>
        <w:spacing w:before="0" w:after="0" w:line="360" w:lineRule="auto"/>
        <w:ind w:left="613" w:hanging="613" w:hangingChars="235"/>
        <w:rPr>
          <w:rStyle w:val="231"/>
          <w:b/>
          <w:bCs w:val="0"/>
          <w:color w:val="auto"/>
          <w:highlight w:val="none"/>
        </w:rPr>
      </w:pPr>
      <w:bookmarkStart w:id="78" w:name="_Toc217446045"/>
      <w:r>
        <w:rPr>
          <w:rStyle w:val="231"/>
          <w:rFonts w:hint="eastAsia"/>
          <w:b/>
          <w:bCs w:val="0"/>
          <w:color w:val="auto"/>
          <w:highlight w:val="none"/>
        </w:rPr>
        <w:t>11. 投标货币</w:t>
      </w:r>
      <w:bookmarkEnd w:id="78"/>
      <w:r>
        <w:rPr>
          <w:rStyle w:val="231"/>
          <w:rFonts w:hint="eastAsia"/>
          <w:b/>
          <w:bCs w:val="0"/>
          <w:color w:val="auto"/>
          <w:highlight w:val="none"/>
        </w:rPr>
        <w:t>（实质性要求）</w:t>
      </w:r>
    </w:p>
    <w:p>
      <w:pPr>
        <w:tabs>
          <w:tab w:val="left" w:pos="7665"/>
        </w:tabs>
        <w:spacing w:line="360" w:lineRule="auto"/>
        <w:ind w:hanging="118"/>
        <w:outlineLvl w:val="5"/>
        <w:rPr>
          <w:rFonts w:hAnsi="宋体" w:cs="宋体"/>
          <w:color w:val="auto"/>
          <w:highlight w:val="none"/>
        </w:rPr>
      </w:pPr>
      <w:r>
        <w:rPr>
          <w:rFonts w:hint="eastAsia" w:hAnsi="宋体" w:cs="宋体"/>
          <w:color w:val="auto"/>
          <w:highlight w:val="none"/>
        </w:rPr>
        <w:t xml:space="preserve">     本次招标项目的投标均以人民币报价。</w:t>
      </w:r>
    </w:p>
    <w:p>
      <w:pPr>
        <w:pStyle w:val="5"/>
        <w:spacing w:line="360" w:lineRule="auto"/>
        <w:rPr>
          <w:color w:val="auto"/>
          <w:highlight w:val="none"/>
        </w:rPr>
      </w:pPr>
      <w:bookmarkStart w:id="79" w:name="_Toc217446046"/>
      <w:r>
        <w:rPr>
          <w:rFonts w:hint="eastAsia"/>
          <w:color w:val="auto"/>
          <w:highlight w:val="none"/>
        </w:rPr>
        <w:t>12. 联合体投标</w:t>
      </w:r>
      <w:bookmarkEnd w:id="79"/>
    </w:p>
    <w:p>
      <w:pPr>
        <w:pStyle w:val="207"/>
        <w:spacing w:line="400" w:lineRule="exact"/>
        <w:ind w:left="1" w:firstLine="480" w:firstLineChars="200"/>
        <w:rPr>
          <w:rFonts w:hAnsi="宋体" w:cs="宋体"/>
          <w:color w:val="auto"/>
          <w:sz w:val="24"/>
          <w:highlight w:val="none"/>
        </w:rPr>
      </w:pPr>
      <w:bookmarkStart w:id="80" w:name="_Toc217446047"/>
      <w:r>
        <w:rPr>
          <w:rFonts w:hint="eastAsia" w:hAnsi="宋体" w:cs="宋体"/>
          <w:color w:val="auto"/>
          <w:sz w:val="24"/>
          <w:highlight w:val="none"/>
        </w:rPr>
        <w:t>12.1本项目不接受</w:t>
      </w:r>
      <w:r>
        <w:rPr>
          <w:rFonts w:hAnsi="宋体" w:cs="宋体"/>
          <w:color w:val="auto"/>
          <w:sz w:val="24"/>
          <w:highlight w:val="none"/>
        </w:rPr>
        <w:t>联合体投标。</w:t>
      </w:r>
    </w:p>
    <w:p>
      <w:pPr>
        <w:pStyle w:val="5"/>
        <w:spacing w:line="360" w:lineRule="auto"/>
        <w:rPr>
          <w:color w:val="auto"/>
          <w:highlight w:val="none"/>
        </w:rPr>
      </w:pPr>
      <w:r>
        <w:rPr>
          <w:rFonts w:hint="eastAsia"/>
          <w:color w:val="auto"/>
          <w:highlight w:val="none"/>
        </w:rPr>
        <w:t>13. 知识产权</w:t>
      </w:r>
      <w:bookmarkEnd w:id="80"/>
      <w:r>
        <w:rPr>
          <w:rFonts w:hint="eastAsia"/>
          <w:color w:val="auto"/>
          <w:highlight w:val="none"/>
        </w:rPr>
        <w:t>（实质性要求）</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13.2 采购人享有本项目实施过程中产生的知识成果及知识产权。</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 xml:space="preserve">13.4 如采用投标人所不拥有的知识产权，则在投标报价中必须包括合法获取该知识产权的相关费用。  </w:t>
      </w:r>
      <w:bookmarkStart w:id="81" w:name="_Toc183682354"/>
      <w:bookmarkStart w:id="82" w:name="_Toc217446048"/>
      <w:bookmarkStart w:id="83" w:name="_Toc183582217"/>
    </w:p>
    <w:p>
      <w:pPr>
        <w:pStyle w:val="5"/>
        <w:spacing w:line="360" w:lineRule="auto"/>
        <w:rPr>
          <w:color w:val="auto"/>
          <w:highlight w:val="none"/>
        </w:rPr>
      </w:pPr>
      <w:r>
        <w:rPr>
          <w:rFonts w:hint="eastAsia"/>
          <w:color w:val="auto"/>
          <w:highlight w:val="none"/>
        </w:rPr>
        <w:t>14．投标文件的组成</w:t>
      </w:r>
      <w:bookmarkEnd w:id="81"/>
      <w:bookmarkEnd w:id="82"/>
      <w:bookmarkEnd w:id="83"/>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投标人应按照招标文件的规定和要求编制投标文件。投标人拟在中标后将中标项目的非主体、非关键性工作交由他人完成的，应当在投标文件中载明。投标人编写的投标文件应包括下列部分：</w:t>
      </w:r>
    </w:p>
    <w:p>
      <w:pPr>
        <w:adjustRightInd w:val="0"/>
        <w:snapToGrid w:val="0"/>
        <w:spacing w:line="360" w:lineRule="auto"/>
        <w:ind w:firstLine="472" w:firstLineChars="196"/>
        <w:outlineLvl w:val="5"/>
        <w:rPr>
          <w:rFonts w:hAnsi="宋体" w:cs="宋体"/>
          <w:color w:val="auto"/>
          <w:highlight w:val="none"/>
        </w:rPr>
      </w:pPr>
      <w:r>
        <w:rPr>
          <w:rFonts w:hint="eastAsia" w:hAnsi="宋体" w:cs="宋体"/>
          <w:b/>
          <w:color w:val="auto"/>
          <w:highlight w:val="none"/>
        </w:rPr>
        <w:t>14.1 报价部分。</w:t>
      </w:r>
      <w:r>
        <w:rPr>
          <w:rFonts w:hint="eastAsia" w:hAnsi="宋体" w:cs="宋体"/>
          <w:bCs/>
          <w:color w:val="auto"/>
          <w:highlight w:val="none"/>
        </w:rPr>
        <w:t>投标人</w:t>
      </w:r>
      <w:r>
        <w:rPr>
          <w:rFonts w:hint="eastAsia" w:hAnsi="宋体" w:cs="宋体"/>
          <w:color w:val="auto"/>
          <w:highlight w:val="none"/>
        </w:rPr>
        <w:t>按照招标文件要求填写的“开标一览表”及“报价明细表”。 本次招标报价要求：</w:t>
      </w:r>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（1）投标人的报价是投标人响应招标项目要求的全部工作内容的价格体现，包括投标人完成本项目所需的一切费用。（实质性要求）</w:t>
      </w:r>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（2）投标人每种货物只允许有一个报价，并且在合同履行过程中是固定不变的，任何有选择或可调整的报价将不予接受，并按无效投标处理。（实质性要求）</w:t>
      </w:r>
    </w:p>
    <w:p>
      <w:pPr>
        <w:tabs>
          <w:tab w:val="left" w:pos="540"/>
        </w:tabs>
        <w:adjustRightInd w:val="0"/>
        <w:snapToGrid w:val="0"/>
        <w:spacing w:line="360" w:lineRule="auto"/>
        <w:ind w:firstLine="472" w:firstLineChars="196"/>
        <w:outlineLvl w:val="5"/>
        <w:rPr>
          <w:rFonts w:hAnsi="宋体" w:cs="宋体"/>
          <w:color w:val="auto"/>
          <w:highlight w:val="none"/>
        </w:rPr>
      </w:pPr>
      <w:bookmarkStart w:id="84" w:name="_Toc217446049"/>
      <w:bookmarkStart w:id="85" w:name="_Toc183582218"/>
      <w:bookmarkStart w:id="86" w:name="_Toc183682355"/>
      <w:bookmarkStart w:id="87" w:name="_Toc217446081"/>
      <w:r>
        <w:rPr>
          <w:rFonts w:hint="eastAsia" w:hAnsi="宋体" w:cs="宋体"/>
          <w:b/>
          <w:bCs/>
          <w:color w:val="auto"/>
          <w:highlight w:val="none"/>
        </w:rPr>
        <w:t>14.2 技术部分。</w:t>
      </w:r>
      <w:r>
        <w:rPr>
          <w:rFonts w:hint="eastAsia" w:hAnsi="宋体" w:cs="宋体"/>
          <w:bCs/>
          <w:color w:val="auto"/>
          <w:highlight w:val="none"/>
        </w:rPr>
        <w:t>投标人</w:t>
      </w:r>
      <w:r>
        <w:rPr>
          <w:rFonts w:hint="eastAsia" w:hAnsi="宋体" w:cs="宋体"/>
          <w:color w:val="auto"/>
          <w:highlight w:val="none"/>
        </w:rPr>
        <w:t>按照招标文件要求做出的技术应答，主要是针对招标项目的技术指标、参数和技术要求做出的响应和满足。投标人的技术应答应包括下列内容：</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（1）投标产品的品牌、型号、配置；</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（2）投标产品本身的详细的技术指标和参数（应当尽可能提供检测报告、产品使用说</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明书、采购人手册等材料予以佐证）；</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（3）技术方案、项目实施方案；</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（4）投标产品技术配置参数表；</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（5）产品彩页资料或技术资料；</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（6）产品工作环境条件；</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（7）产品验收标准和验收方法；</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（8）产品验收清单（注明各部件的品名、数量</w:t>
      </w:r>
      <w:r>
        <w:rPr>
          <w:rFonts w:hint="eastAsia" w:hAnsi="宋体" w:cs="宋体"/>
          <w:color w:val="auto"/>
          <w:spacing w:val="-20"/>
          <w:highlight w:val="none"/>
        </w:rPr>
        <w:t>、价格</w:t>
      </w:r>
      <w:r>
        <w:rPr>
          <w:rFonts w:hint="eastAsia" w:hAnsi="宋体" w:cs="宋体"/>
          <w:color w:val="auto"/>
          <w:highlight w:val="none"/>
        </w:rPr>
        <w:t>、规格型号和原产地或生产厂家</w:t>
      </w:r>
      <w:r>
        <w:rPr>
          <w:rFonts w:hint="eastAsia" w:hAnsi="宋体" w:cs="宋体"/>
          <w:color w:val="auto"/>
          <w:spacing w:val="-20"/>
          <w:highlight w:val="none"/>
        </w:rPr>
        <w:t>）；</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（9）投标人认为需要提供的其他文件和资料。</w:t>
      </w:r>
    </w:p>
    <w:p>
      <w:pPr>
        <w:adjustRightInd w:val="0"/>
        <w:snapToGrid w:val="0"/>
        <w:spacing w:line="360" w:lineRule="auto"/>
        <w:ind w:firstLine="472" w:firstLineChars="196"/>
        <w:outlineLvl w:val="5"/>
        <w:rPr>
          <w:rFonts w:hAnsi="宋体" w:cs="宋体"/>
          <w:color w:val="auto"/>
          <w:highlight w:val="none"/>
        </w:rPr>
      </w:pPr>
      <w:r>
        <w:rPr>
          <w:rFonts w:hint="eastAsia" w:hAnsi="宋体" w:cs="宋体"/>
          <w:b/>
          <w:bCs/>
          <w:color w:val="auto"/>
          <w:highlight w:val="none"/>
        </w:rPr>
        <w:t>14.3 商务部分。</w:t>
      </w:r>
      <w:r>
        <w:rPr>
          <w:rFonts w:hint="eastAsia" w:hAnsi="宋体" w:cs="宋体"/>
          <w:bCs/>
          <w:color w:val="auto"/>
          <w:highlight w:val="none"/>
        </w:rPr>
        <w:t>投标人</w:t>
      </w:r>
      <w:r>
        <w:rPr>
          <w:rFonts w:hint="eastAsia" w:hAnsi="宋体" w:cs="宋体"/>
          <w:color w:val="auto"/>
          <w:highlight w:val="none"/>
        </w:rPr>
        <w:t>按照招标文件要求提供的有关证明材料及优惠承诺。包括以下内容：</w:t>
      </w:r>
    </w:p>
    <w:p>
      <w:pPr>
        <w:adjustRightInd w:val="0"/>
        <w:snapToGrid w:val="0"/>
        <w:spacing w:line="360" w:lineRule="auto"/>
        <w:rPr>
          <w:rFonts w:hAnsi="宋体" w:cs="宋体"/>
          <w:color w:val="auto"/>
          <w:highlight w:val="none"/>
        </w:rPr>
      </w:pPr>
      <w:r>
        <w:rPr>
          <w:rFonts w:hint="eastAsia" w:hAnsi="宋体" w:cs="宋体"/>
          <w:color w:val="auto"/>
          <w:highlight w:val="none"/>
        </w:rPr>
        <w:t xml:space="preserve">    （1）投标函；</w:t>
      </w:r>
    </w:p>
    <w:p>
      <w:pPr>
        <w:adjustRightInd w:val="0"/>
        <w:snapToGrid w:val="0"/>
        <w:spacing w:line="360" w:lineRule="auto"/>
        <w:rPr>
          <w:rFonts w:hAnsi="宋体" w:cs="宋体"/>
          <w:color w:val="auto"/>
          <w:highlight w:val="none"/>
        </w:rPr>
      </w:pPr>
      <w:r>
        <w:rPr>
          <w:rFonts w:hint="eastAsia" w:hAnsi="宋体" w:cs="宋体"/>
          <w:color w:val="auto"/>
          <w:highlight w:val="none"/>
        </w:rPr>
        <w:t xml:space="preserve">    （2）投标人应当提供的资格、资质性及其他类似效力要求的相关证明材料（详见第五章）；</w:t>
      </w:r>
    </w:p>
    <w:p>
      <w:pPr>
        <w:shd w:val="clear" w:color="auto" w:fill="FFFFFF"/>
        <w:adjustRightInd w:val="0"/>
        <w:snapToGrid w:val="0"/>
        <w:spacing w:line="360" w:lineRule="auto"/>
        <w:rPr>
          <w:rFonts w:hAnsi="宋体" w:cs="宋体"/>
          <w:color w:val="auto"/>
          <w:highlight w:val="none"/>
        </w:rPr>
      </w:pPr>
      <w:r>
        <w:rPr>
          <w:rFonts w:hint="eastAsia" w:hAnsi="宋体" w:cs="宋体"/>
          <w:color w:val="auto"/>
          <w:highlight w:val="none"/>
        </w:rPr>
        <w:t xml:space="preserve">    （3）投标承诺函；</w:t>
      </w:r>
    </w:p>
    <w:p>
      <w:pPr>
        <w:shd w:val="clear" w:color="auto" w:fill="FFFFFF"/>
        <w:adjustRightInd w:val="0"/>
        <w:snapToGrid w:val="0"/>
        <w:spacing w:line="360" w:lineRule="auto"/>
        <w:rPr>
          <w:rFonts w:hAnsi="宋体" w:cs="宋体"/>
          <w:color w:val="auto"/>
          <w:highlight w:val="none"/>
        </w:rPr>
      </w:pPr>
      <w:r>
        <w:rPr>
          <w:rFonts w:hint="eastAsia" w:hAnsi="宋体" w:cs="宋体"/>
          <w:color w:val="auto"/>
          <w:highlight w:val="none"/>
        </w:rPr>
        <w:t xml:space="preserve">    （4）商务应答表；</w:t>
      </w:r>
    </w:p>
    <w:p>
      <w:pPr>
        <w:tabs>
          <w:tab w:val="left" w:pos="540"/>
        </w:tabs>
        <w:adjustRightInd w:val="0"/>
        <w:snapToGrid w:val="0"/>
        <w:spacing w:line="360" w:lineRule="auto"/>
        <w:rPr>
          <w:rFonts w:hAnsi="宋体" w:cs="宋体"/>
          <w:color w:val="auto"/>
          <w:highlight w:val="none"/>
        </w:rPr>
      </w:pPr>
      <w:r>
        <w:rPr>
          <w:rFonts w:hint="eastAsia" w:hAnsi="宋体" w:cs="宋体"/>
          <w:color w:val="auto"/>
          <w:highlight w:val="none"/>
        </w:rPr>
        <w:t xml:space="preserve">    （5）投标人承诺给予招标采购单位的各种优惠条件（优惠条件事项不能包括采购项</w:t>
      </w:r>
    </w:p>
    <w:p>
      <w:pPr>
        <w:tabs>
          <w:tab w:val="left" w:pos="540"/>
        </w:tabs>
        <w:adjustRightInd w:val="0"/>
        <w:snapToGrid w:val="0"/>
        <w:spacing w:line="360" w:lineRule="auto"/>
        <w:rPr>
          <w:rFonts w:hAnsi="宋体" w:cs="宋体"/>
          <w:color w:val="auto"/>
          <w:highlight w:val="none"/>
        </w:rPr>
      </w:pPr>
      <w:r>
        <w:rPr>
          <w:rFonts w:hint="eastAsia" w:hAnsi="宋体" w:cs="宋体"/>
          <w:color w:val="auto"/>
          <w:highlight w:val="none"/>
        </w:rPr>
        <w:t>目本身所包含的采购事项。投标人不能以“赠送、赠予”等任何名义提供货物和服务以规避招标文件的约束。否则，投标人提供的投标文件将作为无效投标处理，即使中标也将取消中标资格）（实质性要求）；</w:t>
      </w:r>
    </w:p>
    <w:p>
      <w:pPr>
        <w:adjustRightInd w:val="0"/>
        <w:snapToGrid w:val="0"/>
        <w:spacing w:line="360" w:lineRule="auto"/>
        <w:ind w:firstLine="480" w:firstLineChars="200"/>
        <w:rPr>
          <w:color w:val="auto"/>
          <w:highlight w:val="none"/>
        </w:rPr>
      </w:pPr>
      <w:r>
        <w:rPr>
          <w:rFonts w:hint="eastAsia"/>
          <w:color w:val="auto"/>
          <w:highlight w:val="none"/>
        </w:rPr>
        <w:t>（6）证明投标人业绩和荣誉的有关材料复印件；</w:t>
      </w:r>
    </w:p>
    <w:p>
      <w:pPr>
        <w:tabs>
          <w:tab w:val="left" w:pos="540"/>
        </w:tabs>
        <w:adjustRightInd w:val="0"/>
        <w:snapToGrid w:val="0"/>
        <w:spacing w:line="360" w:lineRule="auto"/>
        <w:rPr>
          <w:rFonts w:hAnsi="宋体"/>
          <w:color w:val="auto"/>
          <w:highlight w:val="none"/>
        </w:rPr>
      </w:pPr>
      <w:r>
        <w:rPr>
          <w:rFonts w:hint="eastAsia" w:hAnsi="宋体"/>
          <w:color w:val="auto"/>
          <w:highlight w:val="none"/>
        </w:rPr>
        <w:t xml:space="preserve">    （7）其他投标人认为需要提供的文件和资料。</w:t>
      </w:r>
    </w:p>
    <w:p>
      <w:pPr>
        <w:pStyle w:val="5"/>
        <w:adjustRightInd w:val="0"/>
        <w:snapToGrid w:val="0"/>
        <w:spacing w:before="0" w:after="0" w:line="360" w:lineRule="auto"/>
        <w:ind w:firstLine="522" w:firstLineChars="200"/>
        <w:rPr>
          <w:b w:val="0"/>
          <w:bCs w:val="0"/>
          <w:color w:val="auto"/>
          <w:highlight w:val="none"/>
        </w:rPr>
      </w:pPr>
      <w:r>
        <w:rPr>
          <w:rFonts w:hint="eastAsia"/>
          <w:color w:val="auto"/>
          <w:highlight w:val="none"/>
        </w:rPr>
        <w:t>14.4售后服务。</w:t>
      </w:r>
      <w:r>
        <w:rPr>
          <w:rFonts w:hint="eastAsia"/>
          <w:b w:val="0"/>
          <w:bCs w:val="0"/>
          <w:color w:val="auto"/>
          <w:highlight w:val="none"/>
        </w:rPr>
        <w:t xml:space="preserve">投标人按照招标文件中售后服务要求作出的积极响应和承诺。包括以下内容： </w:t>
      </w:r>
    </w:p>
    <w:p>
      <w:pPr>
        <w:adjustRightInd w:val="0"/>
        <w:snapToGrid w:val="0"/>
        <w:spacing w:line="360" w:lineRule="auto"/>
        <w:ind w:firstLine="480" w:firstLineChars="200"/>
        <w:rPr>
          <w:color w:val="auto"/>
          <w:highlight w:val="none"/>
        </w:rPr>
      </w:pPr>
      <w:r>
        <w:rPr>
          <w:rFonts w:hint="eastAsia"/>
          <w:color w:val="auto"/>
          <w:highlight w:val="none"/>
        </w:rPr>
        <w:t>（1）产品制造厂家或投标人设立的售后服务机构网点清单、服务电话和维修人员名单；</w:t>
      </w:r>
    </w:p>
    <w:p>
      <w:pPr>
        <w:adjustRightInd w:val="0"/>
        <w:snapToGrid w:val="0"/>
        <w:spacing w:line="360" w:lineRule="auto"/>
        <w:ind w:firstLine="480" w:firstLineChars="200"/>
        <w:rPr>
          <w:color w:val="auto"/>
          <w:highlight w:val="none"/>
        </w:rPr>
      </w:pPr>
      <w:r>
        <w:rPr>
          <w:rFonts w:hint="eastAsia"/>
          <w:color w:val="auto"/>
          <w:highlight w:val="none"/>
        </w:rPr>
        <w:t>（2）说明投标产品的保修时间、保修期内的保修内容与范围、维修响应时间等。分别提供产品制造厂家和投标人的服务承诺和保障措施；</w:t>
      </w:r>
    </w:p>
    <w:p>
      <w:pPr>
        <w:adjustRightInd w:val="0"/>
        <w:snapToGrid w:val="0"/>
        <w:spacing w:line="360" w:lineRule="auto"/>
        <w:ind w:firstLine="480" w:firstLineChars="200"/>
        <w:rPr>
          <w:color w:val="auto"/>
          <w:highlight w:val="none"/>
        </w:rPr>
      </w:pPr>
      <w:r>
        <w:rPr>
          <w:rFonts w:hint="eastAsia"/>
          <w:color w:val="auto"/>
          <w:highlight w:val="none"/>
        </w:rPr>
        <w:t>（3）培训措施：说明培训内容及培训的时间、地点、目标、培训人数、收费标准和办法；</w:t>
      </w:r>
    </w:p>
    <w:p>
      <w:pPr>
        <w:adjustRightInd w:val="0"/>
        <w:snapToGrid w:val="0"/>
        <w:spacing w:line="360" w:lineRule="auto"/>
        <w:ind w:firstLine="480" w:firstLineChars="200"/>
        <w:rPr>
          <w:rFonts w:hAnsi="宋体"/>
          <w:color w:val="auto"/>
          <w:highlight w:val="none"/>
        </w:rPr>
      </w:pPr>
      <w:r>
        <w:rPr>
          <w:rFonts w:hint="eastAsia"/>
          <w:color w:val="auto"/>
          <w:highlight w:val="none"/>
        </w:rPr>
        <w:t>（4）其他有利于用户的服务承诺。</w:t>
      </w:r>
    </w:p>
    <w:p>
      <w:pPr>
        <w:adjustRightInd w:val="0"/>
        <w:snapToGrid w:val="0"/>
        <w:spacing w:line="360" w:lineRule="auto"/>
        <w:ind w:firstLine="482" w:firstLineChars="200"/>
        <w:outlineLvl w:val="5"/>
        <w:rPr>
          <w:rFonts w:hAnsi="宋体" w:cs="宋体"/>
          <w:color w:val="auto"/>
          <w:highlight w:val="none"/>
        </w:rPr>
      </w:pPr>
      <w:r>
        <w:rPr>
          <w:rFonts w:hint="eastAsia" w:hAnsi="宋体" w:cs="宋体"/>
          <w:b/>
          <w:bCs/>
          <w:color w:val="auto"/>
          <w:highlight w:val="none"/>
        </w:rPr>
        <w:t>14.5其他部分。</w:t>
      </w:r>
      <w:r>
        <w:rPr>
          <w:rFonts w:hint="eastAsia" w:hAnsi="宋体" w:cs="宋体"/>
          <w:bCs/>
          <w:color w:val="auto"/>
          <w:highlight w:val="none"/>
        </w:rPr>
        <w:t>投标人按照招标文件要求作出的其他应答和承诺。</w:t>
      </w:r>
    </w:p>
    <w:p>
      <w:pPr>
        <w:pStyle w:val="5"/>
        <w:spacing w:line="360" w:lineRule="auto"/>
        <w:rPr>
          <w:color w:val="auto"/>
          <w:highlight w:val="none"/>
        </w:rPr>
      </w:pPr>
      <w:r>
        <w:rPr>
          <w:rFonts w:hint="eastAsia"/>
          <w:color w:val="auto"/>
          <w:highlight w:val="none"/>
        </w:rPr>
        <w:t>15．投标文件格式</w:t>
      </w:r>
      <w:bookmarkEnd w:id="84"/>
      <w:bookmarkEnd w:id="85"/>
      <w:bookmarkEnd w:id="86"/>
    </w:p>
    <w:p>
      <w:pPr>
        <w:tabs>
          <w:tab w:val="left" w:pos="7665"/>
        </w:tabs>
        <w:spacing w:line="360" w:lineRule="auto"/>
        <w:ind w:left="14" w:leftChars="6" w:firstLine="480" w:firstLineChars="200"/>
        <w:rPr>
          <w:rFonts w:hAnsi="宋体"/>
          <w:color w:val="auto"/>
          <w:highlight w:val="none"/>
        </w:rPr>
      </w:pPr>
      <w:bookmarkStart w:id="88" w:name="_Toc183582223"/>
      <w:bookmarkStart w:id="89" w:name="_Toc217446050"/>
      <w:bookmarkStart w:id="90" w:name="_Toc183682360"/>
      <w:r>
        <w:rPr>
          <w:rFonts w:hint="eastAsia" w:hAnsi="宋体"/>
          <w:color w:val="auto"/>
          <w:highlight w:val="none"/>
        </w:rPr>
        <w:t>15.1 投标人应执行招标文件第三章的规定要求。</w:t>
      </w:r>
    </w:p>
    <w:p>
      <w:pPr>
        <w:tabs>
          <w:tab w:val="left" w:pos="7665"/>
        </w:tabs>
        <w:spacing w:line="360" w:lineRule="auto"/>
        <w:ind w:left="14" w:leftChars="6" w:firstLine="480" w:firstLineChars="200"/>
        <w:rPr>
          <w:rFonts w:hAnsi="宋体"/>
          <w:color w:val="auto"/>
          <w:highlight w:val="none"/>
        </w:rPr>
      </w:pPr>
      <w:r>
        <w:rPr>
          <w:rFonts w:hint="eastAsia" w:hAnsi="宋体"/>
          <w:color w:val="auto"/>
          <w:highlight w:val="none"/>
        </w:rPr>
        <w:t>15.2 对于没有格式要求的投标文件由投标人自行编写。</w:t>
      </w:r>
    </w:p>
    <w:p>
      <w:pPr>
        <w:pStyle w:val="5"/>
        <w:spacing w:line="360" w:lineRule="auto"/>
        <w:rPr>
          <w:rFonts w:hAnsi="宋体" w:cs="宋体"/>
          <w:bCs w:val="0"/>
          <w:color w:val="auto"/>
          <w:highlight w:val="none"/>
        </w:rPr>
      </w:pPr>
      <w:r>
        <w:rPr>
          <w:rFonts w:hint="eastAsia"/>
          <w:color w:val="auto"/>
          <w:highlight w:val="none"/>
        </w:rPr>
        <w:t>16．投标保证金</w:t>
      </w:r>
      <w:bookmarkEnd w:id="88"/>
      <w:bookmarkEnd w:id="89"/>
      <w:bookmarkEnd w:id="90"/>
    </w:p>
    <w:p>
      <w:pPr>
        <w:pStyle w:val="5"/>
        <w:spacing w:line="360" w:lineRule="auto"/>
        <w:rPr>
          <w:color w:val="auto"/>
          <w:highlight w:val="none"/>
        </w:rPr>
      </w:pPr>
      <w:bookmarkStart w:id="91" w:name="_Toc217446051"/>
      <w:bookmarkStart w:id="92" w:name="_Toc183582224"/>
      <w:bookmarkStart w:id="93" w:name="_Toc183682361"/>
      <w:r>
        <w:rPr>
          <w:rFonts w:hint="eastAsia"/>
          <w:color w:val="auto"/>
          <w:highlight w:val="none"/>
        </w:rPr>
        <w:t>本项目不收取投标保证金。</w:t>
      </w:r>
    </w:p>
    <w:p>
      <w:pPr>
        <w:pStyle w:val="5"/>
        <w:spacing w:line="360" w:lineRule="auto"/>
        <w:rPr>
          <w:color w:val="auto"/>
          <w:highlight w:val="none"/>
        </w:rPr>
      </w:pPr>
      <w:r>
        <w:rPr>
          <w:rFonts w:hint="eastAsia"/>
          <w:color w:val="auto"/>
          <w:highlight w:val="none"/>
        </w:rPr>
        <w:t>17．投标有效期</w:t>
      </w:r>
      <w:bookmarkEnd w:id="91"/>
      <w:bookmarkEnd w:id="92"/>
      <w:bookmarkEnd w:id="93"/>
      <w:r>
        <w:rPr>
          <w:rFonts w:hint="eastAsia"/>
          <w:color w:val="auto"/>
          <w:highlight w:val="none"/>
        </w:rPr>
        <w:t>（实质性要求）</w:t>
      </w:r>
    </w:p>
    <w:p>
      <w:pPr>
        <w:tabs>
          <w:tab w:val="left" w:pos="7665"/>
        </w:tabs>
        <w:spacing w:line="360" w:lineRule="auto"/>
        <w:ind w:firstLine="480" w:firstLineChars="200"/>
        <w:outlineLvl w:val="5"/>
        <w:rPr>
          <w:rFonts w:hAnsi="宋体"/>
          <w:color w:val="auto"/>
          <w:highlight w:val="none"/>
        </w:rPr>
      </w:pPr>
      <w:r>
        <w:rPr>
          <w:rFonts w:hint="eastAsia" w:hAnsi="宋体" w:cs="宋体"/>
          <w:color w:val="auto"/>
          <w:highlight w:val="none"/>
        </w:rPr>
        <w:t>17.1投标有效期见投标人须知前附表。</w:t>
      </w:r>
      <w:r>
        <w:rPr>
          <w:rFonts w:hint="eastAsia" w:hAnsi="宋体"/>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firstLine="480" w:firstLineChars="200"/>
        <w:outlineLvl w:val="5"/>
        <w:rPr>
          <w:rFonts w:hAnsi="宋体"/>
          <w:color w:val="auto"/>
          <w:highlight w:val="none"/>
        </w:rPr>
      </w:pPr>
      <w:r>
        <w:rPr>
          <w:rFonts w:hint="eastAsia" w:hAnsi="宋体"/>
          <w:color w:val="auto"/>
          <w:highlight w:val="none"/>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firstLine="480" w:firstLineChars="200"/>
        <w:outlineLvl w:val="5"/>
        <w:rPr>
          <w:rFonts w:hAnsi="宋体" w:cs="宋体"/>
          <w:color w:val="auto"/>
          <w:highlight w:val="none"/>
        </w:rPr>
      </w:pPr>
      <w:r>
        <w:rPr>
          <w:rFonts w:hint="eastAsia" w:hAnsi="宋体"/>
          <w:color w:val="auto"/>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360" w:lineRule="auto"/>
        <w:rPr>
          <w:color w:val="auto"/>
          <w:highlight w:val="none"/>
        </w:rPr>
      </w:pPr>
      <w:bookmarkStart w:id="94" w:name="_Toc183682362"/>
      <w:bookmarkStart w:id="95" w:name="_Toc183582225"/>
      <w:bookmarkStart w:id="96" w:name="_Toc217446052"/>
      <w:r>
        <w:rPr>
          <w:rFonts w:hint="eastAsia"/>
          <w:color w:val="auto"/>
          <w:highlight w:val="none"/>
        </w:rPr>
        <w:t>18．投标文件的印制和签署</w:t>
      </w:r>
      <w:bookmarkEnd w:id="94"/>
      <w:bookmarkEnd w:id="95"/>
      <w:bookmarkEnd w:id="96"/>
    </w:p>
    <w:p>
      <w:pPr>
        <w:tabs>
          <w:tab w:val="left" w:pos="1080"/>
        </w:tabs>
        <w:spacing w:line="360" w:lineRule="auto"/>
        <w:ind w:firstLine="480" w:firstLineChars="200"/>
        <w:outlineLvl w:val="5"/>
        <w:rPr>
          <w:rFonts w:hAnsi="宋体" w:cs="宋体"/>
          <w:color w:val="auto"/>
          <w:highlight w:val="none"/>
        </w:rPr>
      </w:pPr>
      <w:r>
        <w:rPr>
          <w:rFonts w:hint="eastAsia" w:hAnsi="宋体" w:cs="宋体"/>
          <w:color w:val="auto"/>
          <w:highlight w:val="none"/>
        </w:rPr>
        <w:t>18.1 投标人应当准备投标文件正本1份、副本</w:t>
      </w:r>
      <w:r>
        <w:rPr>
          <w:rFonts w:hAnsi="宋体" w:cs="宋体"/>
          <w:color w:val="auto"/>
          <w:highlight w:val="none"/>
        </w:rPr>
        <w:t>2</w:t>
      </w:r>
      <w:r>
        <w:rPr>
          <w:rFonts w:hint="eastAsia" w:hAnsi="宋体" w:cs="宋体"/>
          <w:color w:val="auto"/>
          <w:highlight w:val="none"/>
        </w:rPr>
        <w:t>份、电子文档（U盘或光盘）1份、以及用于开标唱标单独提交的“开标一览表”（1份）。投标文件的正本和副本应在其封面右上角清楚地标明“正本”或“副本”字样。若正本和副本有不一致的内容，以正本书面投标文件为准。</w:t>
      </w:r>
      <w:r>
        <w:rPr>
          <w:rFonts w:hint="eastAsia" w:hAnsi="宋体" w:cs="宋体"/>
          <w:b/>
          <w:bCs/>
          <w:color w:val="auto"/>
          <w:highlight w:val="none"/>
        </w:rPr>
        <w:t>投标文件电子档制作参考：将已按照招标文件要求完成制作、盖章、签署、逐页编码后的投标文件正本，从封面开始逐页扫描后形成的PDF完整版本。</w:t>
      </w:r>
    </w:p>
    <w:p>
      <w:pPr>
        <w:tabs>
          <w:tab w:val="left" w:pos="1095"/>
        </w:tabs>
        <w:spacing w:line="360" w:lineRule="auto"/>
        <w:ind w:firstLine="460" w:firstLineChars="192"/>
        <w:outlineLvl w:val="5"/>
        <w:rPr>
          <w:rFonts w:hAnsi="宋体" w:cs="宋体"/>
          <w:color w:val="auto"/>
          <w:highlight w:val="none"/>
        </w:rPr>
      </w:pPr>
      <w:r>
        <w:rPr>
          <w:rFonts w:hint="eastAsia" w:hAnsi="宋体" w:cs="宋体"/>
          <w:color w:val="auto"/>
          <w:highlight w:val="none"/>
        </w:rPr>
        <w:t>18.2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1095"/>
        </w:tabs>
        <w:spacing w:line="360" w:lineRule="auto"/>
        <w:ind w:firstLine="460" w:firstLineChars="192"/>
        <w:outlineLvl w:val="5"/>
        <w:rPr>
          <w:rFonts w:hAnsi="宋体" w:cs="宋体"/>
          <w:color w:val="auto"/>
          <w:highlight w:val="none"/>
        </w:rPr>
      </w:pPr>
      <w:r>
        <w:rPr>
          <w:rFonts w:hint="eastAsia" w:hAnsi="宋体" w:cs="宋体"/>
          <w:color w:val="auto"/>
          <w:highlight w:val="none"/>
        </w:rPr>
        <w:t>18.3 投标文件的打印和书写应清楚工整，任何行间插字、涂改或增删，必须由投标人的法定代表人或其授权代表签字或盖个人印鉴。</w:t>
      </w:r>
    </w:p>
    <w:p>
      <w:pPr>
        <w:tabs>
          <w:tab w:val="left" w:pos="1080"/>
        </w:tabs>
        <w:spacing w:line="360" w:lineRule="auto"/>
        <w:ind w:firstLine="460" w:firstLineChars="192"/>
        <w:outlineLvl w:val="5"/>
        <w:rPr>
          <w:color w:val="auto"/>
          <w:highlight w:val="none"/>
        </w:rPr>
      </w:pPr>
      <w:r>
        <w:rPr>
          <w:rFonts w:hint="eastAsia" w:hAnsi="宋体" w:cs="宋体"/>
          <w:color w:val="auto"/>
          <w:highlight w:val="none"/>
        </w:rPr>
        <w:t>18.4</w:t>
      </w:r>
      <w:r>
        <w:rPr>
          <w:rFonts w:hint="eastAsia"/>
          <w:color w:val="auto"/>
          <w:highlight w:val="none"/>
        </w:rPr>
        <w:t>投标文件正本和副本应当采取胶装方式装订成册，不得散装或者合页装订</w:t>
      </w:r>
      <w:r>
        <w:rPr>
          <w:rFonts w:hint="eastAsia"/>
          <w:b/>
          <w:color w:val="auto"/>
          <w:highlight w:val="none"/>
        </w:rPr>
        <w:t>。</w:t>
      </w:r>
    </w:p>
    <w:p>
      <w:pPr>
        <w:tabs>
          <w:tab w:val="left" w:pos="1080"/>
        </w:tabs>
        <w:spacing w:line="360" w:lineRule="auto"/>
        <w:ind w:firstLine="460" w:firstLineChars="192"/>
        <w:outlineLvl w:val="5"/>
        <w:rPr>
          <w:rFonts w:hAnsi="宋体" w:cs="宋体"/>
          <w:color w:val="auto"/>
          <w:highlight w:val="none"/>
        </w:rPr>
      </w:pPr>
      <w:r>
        <w:rPr>
          <w:rFonts w:hint="eastAsia" w:hAnsi="宋体" w:cs="宋体"/>
          <w:color w:val="auto"/>
          <w:highlight w:val="none"/>
        </w:rPr>
        <w:t>18.5 投标文件应根据招标文件的要求制作，签署、盖章和内容应完整。</w:t>
      </w:r>
    </w:p>
    <w:p>
      <w:pPr>
        <w:tabs>
          <w:tab w:val="left" w:pos="1080"/>
        </w:tabs>
        <w:spacing w:line="360" w:lineRule="auto"/>
        <w:ind w:firstLine="460" w:firstLineChars="192"/>
        <w:outlineLvl w:val="5"/>
        <w:rPr>
          <w:rFonts w:hAnsi="宋体" w:cs="宋体"/>
          <w:color w:val="auto"/>
          <w:highlight w:val="none"/>
        </w:rPr>
      </w:pPr>
      <w:r>
        <w:rPr>
          <w:rFonts w:hint="eastAsia" w:hAnsi="宋体" w:cs="宋体"/>
          <w:color w:val="auto"/>
          <w:highlight w:val="none"/>
        </w:rPr>
        <w:t>18.6 投标文件统一用A4幅面纸印制。（生产厂家的白皮书、宣传资料、彩页资料等除外）</w:t>
      </w:r>
    </w:p>
    <w:p>
      <w:pPr>
        <w:pStyle w:val="5"/>
        <w:spacing w:line="360" w:lineRule="auto"/>
        <w:rPr>
          <w:color w:val="auto"/>
          <w:highlight w:val="none"/>
        </w:rPr>
      </w:pPr>
      <w:bookmarkStart w:id="97" w:name="_Toc89075877"/>
      <w:bookmarkStart w:id="98" w:name="_Toc183682363"/>
      <w:bookmarkStart w:id="99" w:name="_Toc77400781"/>
      <w:bookmarkStart w:id="100" w:name="_Toc183582226"/>
      <w:bookmarkStart w:id="101" w:name="_Toc217446053"/>
      <w:r>
        <w:rPr>
          <w:rFonts w:hint="eastAsia"/>
          <w:color w:val="auto"/>
          <w:highlight w:val="none"/>
        </w:rPr>
        <w:t>19. 投标文件的密封和标</w:t>
      </w:r>
      <w:bookmarkEnd w:id="97"/>
      <w:bookmarkEnd w:id="98"/>
      <w:bookmarkEnd w:id="99"/>
      <w:bookmarkEnd w:id="100"/>
      <w:r>
        <w:rPr>
          <w:rFonts w:hint="eastAsia"/>
          <w:color w:val="auto"/>
          <w:highlight w:val="none"/>
        </w:rPr>
        <w:t>注</w:t>
      </w:r>
      <w:bookmarkEnd w:id="101"/>
    </w:p>
    <w:p>
      <w:pPr>
        <w:tabs>
          <w:tab w:val="left" w:pos="1080"/>
        </w:tabs>
        <w:spacing w:line="360" w:lineRule="auto"/>
        <w:outlineLvl w:val="5"/>
        <w:rPr>
          <w:rFonts w:hAnsi="宋体" w:cs="宋体"/>
          <w:color w:val="auto"/>
          <w:highlight w:val="none"/>
        </w:rPr>
      </w:pPr>
      <w:bookmarkStart w:id="102" w:name="_Toc183582227"/>
      <w:bookmarkStart w:id="103" w:name="_Toc183682364"/>
      <w:bookmarkStart w:id="104" w:name="_Toc217446054"/>
      <w:r>
        <w:rPr>
          <w:rFonts w:hint="eastAsia" w:hAnsi="宋体" w:cs="宋体"/>
          <w:color w:val="auto"/>
          <w:highlight w:val="none"/>
        </w:rPr>
        <w:t>19.1 投标人应在投标文件正本和所有副本的封面上注明投标人名称、招标编号、项目名称</w:t>
      </w:r>
      <w:r>
        <w:rPr>
          <w:rFonts w:hint="eastAsia" w:hAnsi="宋体" w:cs="宋体"/>
          <w:color w:val="auto"/>
          <w:highlight w:val="none"/>
          <w:lang w:eastAsia="zh-CN"/>
        </w:rPr>
        <w:t>、包号</w:t>
      </w:r>
      <w:r>
        <w:rPr>
          <w:rFonts w:hint="eastAsia" w:hAnsi="宋体" w:cs="宋体"/>
          <w:color w:val="auto"/>
          <w:highlight w:val="none"/>
        </w:rPr>
        <w:t>。</w:t>
      </w:r>
    </w:p>
    <w:p>
      <w:pPr>
        <w:tabs>
          <w:tab w:val="left" w:pos="1080"/>
        </w:tabs>
        <w:spacing w:line="360" w:lineRule="auto"/>
        <w:rPr>
          <w:rFonts w:hAnsi="宋体" w:cs="宋体"/>
          <w:color w:val="auto"/>
          <w:highlight w:val="none"/>
        </w:rPr>
      </w:pPr>
      <w:r>
        <w:rPr>
          <w:rFonts w:hint="eastAsia" w:hAnsi="宋体" w:cs="宋体"/>
          <w:color w:val="auto"/>
          <w:highlight w:val="none"/>
        </w:rPr>
        <w:t>19.2 投标文件包括正本、副本和用于开标唱标单独提交的“开标一览表”。投标文件应当密封，其中，“开标一览表”单独密封。密封袋上应分别标上“正本”、“副本”、“开标一览表”、</w:t>
      </w:r>
      <w:r>
        <w:rPr>
          <w:rFonts w:hint="eastAsia" w:hAnsi="宋体" w:cs="宋体"/>
          <w:color w:val="auto"/>
          <w:highlight w:val="none"/>
          <w:lang w:eastAsia="zh-CN"/>
        </w:rPr>
        <w:t>“</w:t>
      </w:r>
      <w:r>
        <w:rPr>
          <w:rFonts w:hint="eastAsia" w:hAnsi="宋体" w:cs="宋体"/>
          <w:color w:val="auto"/>
          <w:highlight w:val="none"/>
        </w:rPr>
        <w:t>电子文档</w:t>
      </w:r>
      <w:r>
        <w:rPr>
          <w:rFonts w:hint="eastAsia" w:hAnsi="宋体" w:cs="宋体"/>
          <w:color w:val="auto"/>
          <w:highlight w:val="none"/>
          <w:lang w:eastAsia="zh-CN"/>
        </w:rPr>
        <w:t>”</w:t>
      </w:r>
      <w:r>
        <w:rPr>
          <w:rFonts w:hint="eastAsia" w:hAnsi="宋体" w:cs="宋体"/>
          <w:color w:val="auto"/>
          <w:highlight w:val="none"/>
        </w:rPr>
        <w:t xml:space="preserve">字样，并注明投标人名称、招标编号、项目名称。 </w:t>
      </w:r>
    </w:p>
    <w:p>
      <w:pPr>
        <w:pStyle w:val="2"/>
        <w:rPr>
          <w:color w:val="auto"/>
          <w:highlight w:val="none"/>
        </w:rPr>
      </w:pPr>
    </w:p>
    <w:p>
      <w:pPr>
        <w:tabs>
          <w:tab w:val="left" w:pos="1080"/>
        </w:tabs>
        <w:spacing w:line="360" w:lineRule="auto"/>
        <w:outlineLvl w:val="5"/>
        <w:rPr>
          <w:b/>
          <w:bCs/>
          <w:color w:val="auto"/>
          <w:szCs w:val="32"/>
          <w:highlight w:val="none"/>
        </w:rPr>
      </w:pPr>
      <w:r>
        <w:rPr>
          <w:rFonts w:hint="eastAsia"/>
          <w:b/>
          <w:bCs/>
          <w:color w:val="auto"/>
          <w:szCs w:val="32"/>
          <w:highlight w:val="none"/>
        </w:rPr>
        <w:t>20．投标文件的</w:t>
      </w:r>
      <w:bookmarkEnd w:id="102"/>
      <w:bookmarkEnd w:id="103"/>
      <w:r>
        <w:rPr>
          <w:rFonts w:hint="eastAsia"/>
          <w:b/>
          <w:bCs/>
          <w:color w:val="auto"/>
          <w:szCs w:val="32"/>
          <w:highlight w:val="none"/>
        </w:rPr>
        <w:t>递交</w:t>
      </w:r>
      <w:bookmarkEnd w:id="104"/>
    </w:p>
    <w:p>
      <w:pPr>
        <w:tabs>
          <w:tab w:val="left" w:pos="1095"/>
        </w:tabs>
        <w:spacing w:line="360" w:lineRule="auto"/>
        <w:ind w:firstLine="460" w:firstLineChars="192"/>
        <w:rPr>
          <w:rFonts w:hAnsi="宋体"/>
          <w:color w:val="auto"/>
          <w:highlight w:val="none"/>
        </w:rPr>
      </w:pPr>
      <w:r>
        <w:rPr>
          <w:rFonts w:hint="eastAsia" w:hAnsi="宋体"/>
          <w:color w:val="auto"/>
          <w:highlight w:val="none"/>
        </w:rPr>
        <w:t>20.1 投标人应在招标文件规定的投标截止时间前，将投标文件按招标文件的规定密封后送达开标地点。投标截止时间以后送达的投标文件将不予接收。</w:t>
      </w:r>
    </w:p>
    <w:p>
      <w:pPr>
        <w:tabs>
          <w:tab w:val="left" w:pos="1095"/>
        </w:tabs>
        <w:spacing w:line="360" w:lineRule="auto"/>
        <w:ind w:firstLine="460" w:firstLineChars="192"/>
        <w:rPr>
          <w:rFonts w:hAnsi="宋体"/>
          <w:color w:val="auto"/>
          <w:highlight w:val="none"/>
        </w:rPr>
      </w:pPr>
      <w:r>
        <w:rPr>
          <w:rFonts w:hint="eastAsia" w:hAnsi="宋体"/>
          <w:color w:val="auto"/>
          <w:highlight w:val="none"/>
        </w:rPr>
        <w:t>20.2递交投标文件时，报名供应商名称和招标文件的文号、分包号应当与投标供应商名称和招标文件的文号、分包号一致。但是，投标文件实质内容报名供应商名称和招标文件的编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hAnsi="宋体"/>
          <w:color w:val="auto"/>
          <w:highlight w:val="none"/>
        </w:rPr>
      </w:pPr>
      <w:r>
        <w:rPr>
          <w:rFonts w:hint="eastAsia" w:hAnsi="宋体"/>
          <w:color w:val="auto"/>
          <w:highlight w:val="none"/>
        </w:rPr>
        <w:t>20.3本次招标不接收邮寄的投标文件。</w:t>
      </w:r>
    </w:p>
    <w:p>
      <w:pPr>
        <w:pStyle w:val="5"/>
        <w:spacing w:line="360" w:lineRule="auto"/>
        <w:rPr>
          <w:color w:val="auto"/>
          <w:highlight w:val="none"/>
        </w:rPr>
      </w:pPr>
      <w:bookmarkStart w:id="105" w:name="_Toc183582228"/>
      <w:bookmarkStart w:id="106" w:name="_Toc183682365"/>
      <w:bookmarkStart w:id="107" w:name="_Toc217446055"/>
      <w:r>
        <w:rPr>
          <w:rFonts w:hint="eastAsia"/>
          <w:color w:val="auto"/>
          <w:highlight w:val="none"/>
        </w:rPr>
        <w:t>21．投标文件的修改和撤</w:t>
      </w:r>
      <w:bookmarkEnd w:id="105"/>
      <w:bookmarkEnd w:id="106"/>
      <w:r>
        <w:rPr>
          <w:rFonts w:hint="eastAsia"/>
          <w:color w:val="auto"/>
          <w:highlight w:val="none"/>
        </w:rPr>
        <w:t>回</w:t>
      </w:r>
      <w:bookmarkEnd w:id="107"/>
    </w:p>
    <w:p>
      <w:pPr>
        <w:spacing w:line="360" w:lineRule="auto"/>
        <w:ind w:firstLine="470" w:firstLineChars="196"/>
        <w:rPr>
          <w:rFonts w:hAnsi="宋体"/>
          <w:color w:val="auto"/>
          <w:highlight w:val="none"/>
        </w:rPr>
      </w:pPr>
      <w:bookmarkStart w:id="108" w:name="_Toc22945"/>
      <w:bookmarkStart w:id="109" w:name="_Toc22907"/>
      <w:bookmarkStart w:id="110" w:name="_Toc183582240"/>
      <w:bookmarkStart w:id="111" w:name="_Toc217446065"/>
      <w:bookmarkStart w:id="112" w:name="_Toc183682377"/>
      <w:r>
        <w:rPr>
          <w:rFonts w:hint="eastAsia" w:hAnsi="宋体"/>
          <w:color w:val="auto"/>
          <w:highlight w:val="none"/>
        </w:rPr>
        <w:t>21.1 投标人在递交了投标文件后，可以修改或撤回其投标文件，但必须在规定的投标截止时间前，以书面形式通知采购代理机构。</w:t>
      </w:r>
    </w:p>
    <w:p>
      <w:pPr>
        <w:spacing w:line="360" w:lineRule="auto"/>
        <w:ind w:firstLine="470" w:firstLineChars="196"/>
        <w:rPr>
          <w:rFonts w:hAnsi="宋体"/>
          <w:color w:val="auto"/>
          <w:highlight w:val="none"/>
        </w:rPr>
      </w:pPr>
      <w:r>
        <w:rPr>
          <w:rFonts w:hint="eastAsia" w:hAnsi="宋体"/>
          <w:color w:val="auto"/>
          <w:highlight w:val="none"/>
        </w:rPr>
        <w:t>21.2 投标人的修改书或撤回通知书，应由其法定代表人或授权代表签署并盖单位印章。修改书应按投标须知第19条规定进行密封和标注，并在密封袋上标注“修改”字样。</w:t>
      </w:r>
    </w:p>
    <w:p>
      <w:pPr>
        <w:spacing w:line="360" w:lineRule="auto"/>
        <w:ind w:firstLine="480"/>
        <w:rPr>
          <w:rFonts w:hAnsi="宋体"/>
          <w:color w:val="auto"/>
          <w:highlight w:val="none"/>
        </w:rPr>
      </w:pPr>
      <w:r>
        <w:rPr>
          <w:rFonts w:hint="eastAsia" w:hAnsi="宋体"/>
          <w:color w:val="auto"/>
          <w:highlight w:val="none"/>
        </w:rPr>
        <w:t>21.3 在投标截止时间之后，投标人不得对其递交的投标文件做任何修改，撤回投标的，将按照有关规定进行相应处理。</w:t>
      </w:r>
    </w:p>
    <w:p>
      <w:pPr>
        <w:pStyle w:val="4"/>
        <w:rPr>
          <w:color w:val="auto"/>
          <w:highlight w:val="none"/>
        </w:rPr>
      </w:pPr>
      <w:r>
        <w:rPr>
          <w:rFonts w:hint="eastAsia"/>
          <w:color w:val="auto"/>
          <w:highlight w:val="none"/>
        </w:rPr>
        <w:t>五、开标和中标</w:t>
      </w:r>
      <w:bookmarkEnd w:id="108"/>
      <w:bookmarkEnd w:id="109"/>
    </w:p>
    <w:p>
      <w:pPr>
        <w:pStyle w:val="5"/>
        <w:spacing w:line="360" w:lineRule="auto"/>
        <w:rPr>
          <w:color w:val="auto"/>
          <w:highlight w:val="none"/>
        </w:rPr>
      </w:pPr>
      <w:bookmarkStart w:id="113" w:name="_Toc217446057"/>
      <w:bookmarkStart w:id="114" w:name="_Toc183582232"/>
      <w:bookmarkStart w:id="115" w:name="_Toc183682369"/>
      <w:r>
        <w:rPr>
          <w:rFonts w:hint="eastAsia"/>
          <w:color w:val="auto"/>
          <w:highlight w:val="none"/>
        </w:rPr>
        <w:t>22．开标</w:t>
      </w:r>
      <w:bookmarkEnd w:id="113"/>
      <w:bookmarkEnd w:id="114"/>
      <w:bookmarkEnd w:id="115"/>
    </w:p>
    <w:p>
      <w:pPr>
        <w:spacing w:before="120" w:line="360" w:lineRule="auto"/>
        <w:ind w:firstLine="480" w:firstLineChars="200"/>
        <w:rPr>
          <w:rFonts w:hAnsi="宋体"/>
          <w:color w:val="auto"/>
          <w:highlight w:val="none"/>
        </w:rPr>
      </w:pPr>
      <w:bookmarkStart w:id="116" w:name="_Toc217446058"/>
      <w:r>
        <w:rPr>
          <w:rFonts w:hint="eastAsia" w:hAnsi="宋体"/>
          <w:color w:val="auto"/>
          <w:highlight w:val="none"/>
        </w:rPr>
        <w:t>22.1 开标在招标文件规定的时间和地点公开进行，投标人须派代表参加并签到以证明其出席。开标由采购代理机构主持，投标人代表参加。评标专家不参加开标活动。</w:t>
      </w:r>
    </w:p>
    <w:p>
      <w:pPr>
        <w:spacing w:line="360" w:lineRule="auto"/>
        <w:ind w:firstLine="480" w:firstLineChars="200"/>
        <w:rPr>
          <w:rFonts w:hAnsi="宋体"/>
          <w:color w:val="auto"/>
          <w:highlight w:val="none"/>
        </w:rPr>
      </w:pPr>
      <w:r>
        <w:rPr>
          <w:rFonts w:hint="eastAsia" w:hAnsi="宋体"/>
          <w:color w:val="auto"/>
          <w:highlight w:val="none"/>
        </w:rPr>
        <w:t>22.2 开标时，可能根据具体情况邀请有关监督管理部门对开标活动进行现场监督。</w:t>
      </w:r>
    </w:p>
    <w:p>
      <w:pPr>
        <w:spacing w:line="360" w:lineRule="auto"/>
        <w:ind w:firstLine="480" w:firstLineChars="200"/>
        <w:rPr>
          <w:rFonts w:hAnsi="宋体"/>
          <w:color w:val="auto"/>
          <w:highlight w:val="none"/>
        </w:rPr>
      </w:pPr>
      <w:r>
        <w:rPr>
          <w:rFonts w:hint="eastAsia" w:hAnsi="宋体"/>
          <w:color w:val="auto"/>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napToGrid w:val="0"/>
        <w:spacing w:line="360" w:lineRule="auto"/>
        <w:ind w:firstLine="480" w:firstLineChars="200"/>
        <w:rPr>
          <w:rFonts w:hAnsi="宋体"/>
          <w:color w:val="auto"/>
          <w:highlight w:val="none"/>
        </w:rPr>
      </w:pPr>
      <w:r>
        <w:rPr>
          <w:rFonts w:hint="eastAsia" w:hAnsi="宋体"/>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napToGrid w:val="0"/>
        <w:spacing w:line="360" w:lineRule="auto"/>
        <w:ind w:firstLine="480" w:firstLineChars="200"/>
        <w:rPr>
          <w:rFonts w:hAnsi="宋体"/>
          <w:color w:val="auto"/>
          <w:highlight w:val="none"/>
        </w:rPr>
      </w:pPr>
      <w:r>
        <w:rPr>
          <w:rFonts w:hint="eastAsia" w:hAnsi="宋体"/>
          <w:color w:val="auto"/>
          <w:highlight w:val="none"/>
        </w:rPr>
        <w:t>22.4 投标文件报价出现前后不一致的，按照下列规定修正：</w:t>
      </w:r>
    </w:p>
    <w:p>
      <w:pPr>
        <w:snapToGrid w:val="0"/>
        <w:spacing w:line="360" w:lineRule="auto"/>
        <w:ind w:firstLine="480" w:firstLineChars="200"/>
        <w:rPr>
          <w:rFonts w:hAnsi="宋体"/>
          <w:color w:val="auto"/>
          <w:highlight w:val="none"/>
        </w:rPr>
      </w:pPr>
      <w:r>
        <w:rPr>
          <w:rFonts w:hint="eastAsia" w:hAnsi="宋体"/>
          <w:color w:val="auto"/>
          <w:highlight w:val="none"/>
        </w:rPr>
        <w:t>（1）开标一览表（报价表）内容与投标文件中相应内容不一致的，以开标一览表（报价表）为准；</w:t>
      </w:r>
    </w:p>
    <w:p>
      <w:pPr>
        <w:snapToGrid w:val="0"/>
        <w:spacing w:line="360" w:lineRule="auto"/>
        <w:ind w:firstLine="480" w:firstLineChars="200"/>
        <w:rPr>
          <w:rFonts w:hAnsi="宋体"/>
          <w:color w:val="auto"/>
          <w:highlight w:val="none"/>
        </w:rPr>
      </w:pPr>
      <w:r>
        <w:rPr>
          <w:rFonts w:hint="eastAsia" w:hAnsi="宋体"/>
          <w:color w:val="auto"/>
          <w:highlight w:val="none"/>
        </w:rPr>
        <w:t>（2）大写金额与小写金额不一致的，以大写金额为准；</w:t>
      </w:r>
    </w:p>
    <w:p>
      <w:pPr>
        <w:snapToGrid w:val="0"/>
        <w:spacing w:line="360" w:lineRule="auto"/>
        <w:ind w:firstLine="48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snapToGrid w:val="0"/>
        <w:spacing w:line="360" w:lineRule="auto"/>
        <w:ind w:firstLine="480" w:firstLineChars="200"/>
        <w:rPr>
          <w:rFonts w:hAnsi="宋体"/>
          <w:color w:val="auto"/>
          <w:highlight w:val="none"/>
        </w:rPr>
      </w:pPr>
      <w:r>
        <w:rPr>
          <w:rFonts w:hint="eastAsia" w:hAnsi="宋体"/>
          <w:color w:val="auto"/>
          <w:highlight w:val="none"/>
        </w:rPr>
        <w:t>（4）总价金额与按单价汇总金额不一致的，以单价金额计算结果为准。</w:t>
      </w:r>
    </w:p>
    <w:p>
      <w:pPr>
        <w:snapToGrid w:val="0"/>
        <w:spacing w:line="360" w:lineRule="auto"/>
        <w:ind w:firstLine="480" w:firstLineChars="200"/>
        <w:rPr>
          <w:rFonts w:hAnsi="宋体"/>
          <w:color w:val="auto"/>
          <w:highlight w:val="none"/>
        </w:rPr>
      </w:pPr>
      <w:r>
        <w:rPr>
          <w:rFonts w:hAnsi="宋体"/>
          <w:color w:val="auto"/>
          <w:highlight w:val="none"/>
        </w:rPr>
        <w:t>同时出现两种以上不一致的</w:t>
      </w:r>
      <w:r>
        <w:rPr>
          <w:rFonts w:hint="eastAsia" w:hAnsi="宋体"/>
          <w:color w:val="auto"/>
          <w:highlight w:val="none"/>
        </w:rPr>
        <w:t>，</w:t>
      </w:r>
      <w:r>
        <w:rPr>
          <w:rFonts w:hAnsi="宋体"/>
          <w:color w:val="auto"/>
          <w:highlight w:val="none"/>
        </w:rPr>
        <w:t>按照前款规定的顺序修正</w:t>
      </w:r>
      <w:r>
        <w:rPr>
          <w:rFonts w:hint="eastAsia" w:hAnsi="宋体"/>
          <w:color w:val="auto"/>
          <w:highlight w:val="none"/>
        </w:rPr>
        <w:t>。</w:t>
      </w:r>
      <w:r>
        <w:rPr>
          <w:rFonts w:hAnsi="宋体"/>
          <w:color w:val="auto"/>
          <w:highlight w:val="none"/>
        </w:rPr>
        <w:t>修正后的报价经投标人确认后产生约束力</w:t>
      </w:r>
      <w:r>
        <w:rPr>
          <w:rFonts w:hint="eastAsia" w:hAnsi="宋体"/>
          <w:color w:val="auto"/>
          <w:highlight w:val="none"/>
        </w:rPr>
        <w:t>，</w:t>
      </w:r>
      <w:r>
        <w:rPr>
          <w:rFonts w:hAnsi="宋体"/>
          <w:color w:val="auto"/>
          <w:highlight w:val="none"/>
        </w:rPr>
        <w:t>投标人不确认的</w:t>
      </w:r>
      <w:r>
        <w:rPr>
          <w:rFonts w:hint="eastAsia" w:hAnsi="宋体"/>
          <w:color w:val="auto"/>
          <w:highlight w:val="none"/>
        </w:rPr>
        <w:t>，</w:t>
      </w:r>
      <w:r>
        <w:rPr>
          <w:rFonts w:hAnsi="宋体"/>
          <w:color w:val="auto"/>
          <w:highlight w:val="none"/>
        </w:rPr>
        <w:t>其投标无效</w:t>
      </w:r>
      <w:r>
        <w:rPr>
          <w:rFonts w:hint="eastAsia" w:hAnsi="宋体"/>
          <w:color w:val="auto"/>
          <w:highlight w:val="none"/>
        </w:rPr>
        <w:t>。</w:t>
      </w:r>
    </w:p>
    <w:p>
      <w:pPr>
        <w:snapToGrid w:val="0"/>
        <w:spacing w:line="360" w:lineRule="auto"/>
        <w:ind w:firstLine="480" w:firstLineChars="200"/>
        <w:rPr>
          <w:rFonts w:hAnsi="宋体"/>
          <w:color w:val="auto"/>
          <w:highlight w:val="none"/>
        </w:rPr>
      </w:pPr>
      <w:r>
        <w:rPr>
          <w:rFonts w:hint="eastAsia" w:hAnsi="宋体"/>
          <w:color w:val="auto"/>
          <w:highlight w:val="none"/>
        </w:rPr>
        <w:t>22.</w:t>
      </w:r>
      <w:r>
        <w:rPr>
          <w:rFonts w:hAnsi="宋体"/>
          <w:color w:val="auto"/>
          <w:highlight w:val="none"/>
        </w:rPr>
        <w:t>5</w:t>
      </w:r>
      <w:r>
        <w:rPr>
          <w:rFonts w:hint="eastAsia" w:hAnsi="宋体"/>
          <w:color w:val="auto"/>
          <w:highlight w:val="none"/>
        </w:rPr>
        <w:t xml:space="preserve"> 所有投标唱标完毕，如投标人代表对宣读的“开标一览表”上的内容有异议的，应在获得开标会主持人同意后当场提出。如确实属于唱标人员宣读错了的，经现场监督人员核实后，当场予以更正。</w:t>
      </w:r>
    </w:p>
    <w:p>
      <w:pPr>
        <w:snapToGrid w:val="0"/>
        <w:spacing w:line="360" w:lineRule="auto"/>
        <w:ind w:firstLine="480" w:firstLineChars="200"/>
        <w:rPr>
          <w:rFonts w:hAnsi="宋体"/>
          <w:color w:val="auto"/>
          <w:highlight w:val="none"/>
        </w:rPr>
      </w:pPr>
      <w:r>
        <w:rPr>
          <w:rFonts w:hint="eastAsia" w:hAnsi="宋体"/>
          <w:color w:val="auto"/>
          <w:highlight w:val="none"/>
        </w:rPr>
        <w:t>22.</w:t>
      </w:r>
      <w:r>
        <w:rPr>
          <w:rFonts w:hAnsi="宋体"/>
          <w:color w:val="auto"/>
          <w:highlight w:val="none"/>
        </w:rPr>
        <w:t>6</w:t>
      </w:r>
      <w:r>
        <w:rPr>
          <w:rFonts w:hint="eastAsia" w:hAnsi="宋体"/>
          <w:color w:val="auto"/>
          <w:highlight w:val="none"/>
        </w:rPr>
        <w:t xml:space="preserve"> 开标时属于下列情况之一的，将作为无效投标处理:</w:t>
      </w:r>
    </w:p>
    <w:p>
      <w:pPr>
        <w:snapToGrid w:val="0"/>
        <w:spacing w:line="360" w:lineRule="auto"/>
        <w:ind w:firstLine="482" w:firstLineChars="200"/>
        <w:rPr>
          <w:rFonts w:hAnsi="宋体"/>
          <w:b/>
          <w:color w:val="auto"/>
          <w:highlight w:val="none"/>
        </w:rPr>
      </w:pPr>
      <w:r>
        <w:rPr>
          <w:rFonts w:hint="eastAsia" w:hAnsi="宋体"/>
          <w:b/>
          <w:color w:val="auto"/>
          <w:highlight w:val="none"/>
        </w:rPr>
        <w:t>（1）除本招标文件规定的情形以外，单独提交的“开标一览表”未按要求签字、盖章；</w:t>
      </w:r>
    </w:p>
    <w:p>
      <w:pPr>
        <w:snapToGrid w:val="0"/>
        <w:spacing w:line="360" w:lineRule="auto"/>
        <w:rPr>
          <w:rFonts w:hAnsi="宋体"/>
          <w:b/>
          <w:color w:val="auto"/>
          <w:highlight w:val="none"/>
        </w:rPr>
      </w:pPr>
      <w:r>
        <w:rPr>
          <w:rFonts w:hint="eastAsia" w:hAnsi="宋体"/>
          <w:b/>
          <w:color w:val="auto"/>
          <w:highlight w:val="none"/>
        </w:rPr>
        <w:t xml:space="preserve">    （2）没有提供单独递交用于开标的“开标一览表”的。</w:t>
      </w:r>
    </w:p>
    <w:p>
      <w:pPr>
        <w:pStyle w:val="5"/>
        <w:spacing w:line="360" w:lineRule="auto"/>
        <w:rPr>
          <w:color w:val="auto"/>
          <w:highlight w:val="none"/>
        </w:rPr>
      </w:pPr>
      <w:r>
        <w:rPr>
          <w:rFonts w:hint="eastAsia"/>
          <w:color w:val="auto"/>
          <w:highlight w:val="none"/>
        </w:rPr>
        <w:t>23. 开标程序</w:t>
      </w:r>
      <w:bookmarkEnd w:id="116"/>
    </w:p>
    <w:p>
      <w:pPr>
        <w:spacing w:line="360" w:lineRule="auto"/>
        <w:ind w:firstLine="480" w:firstLineChars="200"/>
        <w:outlineLvl w:val="5"/>
        <w:rPr>
          <w:rFonts w:hAnsi="宋体" w:cs="宋体"/>
          <w:color w:val="auto"/>
          <w:highlight w:val="none"/>
        </w:rPr>
      </w:pPr>
      <w:r>
        <w:rPr>
          <w:rFonts w:hint="eastAsia" w:hAnsi="宋体" w:cs="宋体"/>
          <w:color w:val="auto"/>
          <w:highlight w:val="none"/>
        </w:rPr>
        <w:t>开标会主持人按照招标文件规定的开标时间宣布开标，按照规定要求主持开标会。开标将按以下程序进行：</w:t>
      </w:r>
    </w:p>
    <w:p>
      <w:pPr>
        <w:spacing w:line="360" w:lineRule="auto"/>
        <w:ind w:firstLine="480" w:firstLineChars="200"/>
        <w:rPr>
          <w:rFonts w:hAnsi="宋体"/>
          <w:color w:val="auto"/>
          <w:highlight w:val="none"/>
        </w:rPr>
      </w:pPr>
      <w:r>
        <w:rPr>
          <w:rFonts w:hint="eastAsia" w:hAnsi="宋体" w:cs="宋体"/>
          <w:color w:val="auto"/>
          <w:highlight w:val="none"/>
        </w:rPr>
        <w:t>（1）</w:t>
      </w:r>
      <w:r>
        <w:rPr>
          <w:rFonts w:hint="eastAsia" w:hAnsi="宋体"/>
          <w:color w:val="auto"/>
          <w:highlight w:val="none"/>
        </w:rPr>
        <w:t>宣布开标会开始，开标由采购代理机构主持，邀请投标人参加。根据“供应商签到表”宣布参加投标的供应商名单。</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（2）宣布会场纪律和有关注意事项。</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（3）</w:t>
      </w:r>
      <w:r>
        <w:rPr>
          <w:rFonts w:hint="eastAsia" w:hAnsi="宋体"/>
          <w:color w:val="auto"/>
          <w:highlight w:val="none"/>
        </w:rPr>
        <w:t>根据投标人或者其推选的代表对投标文件密封的检查结果，当众宣布投标文件的密封情况。</w:t>
      </w:r>
    </w:p>
    <w:p>
      <w:pPr>
        <w:spacing w:line="360" w:lineRule="auto"/>
        <w:ind w:firstLine="460" w:firstLineChars="192"/>
        <w:outlineLvl w:val="5"/>
        <w:rPr>
          <w:rFonts w:hAnsi="宋体"/>
          <w:color w:val="auto"/>
          <w:highlight w:val="none"/>
        </w:rPr>
      </w:pPr>
      <w:r>
        <w:rPr>
          <w:rFonts w:hint="eastAsia" w:hAnsi="宋体" w:cs="宋体"/>
          <w:color w:val="auto"/>
          <w:highlight w:val="none"/>
        </w:rPr>
        <w:t>（4）</w:t>
      </w:r>
      <w:r>
        <w:rPr>
          <w:rFonts w:hint="eastAsia" w:hAnsi="宋体"/>
          <w:color w:val="auto"/>
          <w:highlight w:val="none"/>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80" w:firstLineChars="200"/>
        <w:rPr>
          <w:rFonts w:hAnsi="宋体"/>
          <w:color w:val="auto"/>
          <w:highlight w:val="none"/>
        </w:rPr>
      </w:pPr>
      <w:r>
        <w:rPr>
          <w:rFonts w:hint="eastAsia" w:hAnsi="宋体"/>
          <w:color w:val="auto"/>
          <w:highlight w:val="none"/>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理。</w:t>
      </w:r>
    </w:p>
    <w:p>
      <w:pPr>
        <w:spacing w:line="360" w:lineRule="auto"/>
        <w:ind w:firstLine="480" w:firstLineChars="200"/>
        <w:rPr>
          <w:rFonts w:hint="eastAsia" w:hAnsi="宋体"/>
          <w:color w:val="auto"/>
          <w:highlight w:val="none"/>
          <w:lang w:val="en-US" w:eastAsia="zh-CN"/>
        </w:rPr>
      </w:pPr>
      <w:r>
        <w:rPr>
          <w:rFonts w:hint="eastAsia" w:hAnsi="宋体" w:cs="宋体"/>
          <w:color w:val="auto"/>
          <w:highlight w:val="none"/>
        </w:rPr>
        <w:t>（6）</w:t>
      </w:r>
      <w:r>
        <w:rPr>
          <w:rFonts w:hint="eastAsia" w:hAnsi="宋体"/>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r>
        <w:rPr>
          <w:rFonts w:hint="eastAsia" w:hAnsi="宋体"/>
          <w:color w:val="auto"/>
          <w:highlight w:val="none"/>
          <w:lang w:val="en-US" w:eastAsia="zh-CN"/>
        </w:rPr>
        <w:t xml:space="preserve"> </w:t>
      </w:r>
    </w:p>
    <w:p>
      <w:pPr>
        <w:spacing w:line="360" w:lineRule="auto"/>
        <w:ind w:firstLine="480" w:firstLineChars="200"/>
        <w:rPr>
          <w:rFonts w:hAnsi="宋体"/>
          <w:color w:val="auto"/>
          <w:highlight w:val="none"/>
        </w:rPr>
      </w:pPr>
      <w:r>
        <w:rPr>
          <w:rFonts w:hint="eastAsia"/>
          <w:color w:val="auto"/>
          <w:highlight w:val="none"/>
        </w:rPr>
        <w:t>（7）投标人未参加开标的，视同认可开标结果。</w:t>
      </w:r>
      <w:r>
        <w:rPr>
          <w:rFonts w:hint="eastAsia" w:ascii="仿宋" w:hAnsi="仿宋" w:eastAsia="仿宋" w:cs="Calibri"/>
          <w:color w:val="auto"/>
          <w:sz w:val="28"/>
          <w:szCs w:val="28"/>
          <w:highlight w:val="none"/>
          <w:shd w:val="clear" w:color="auto" w:fill="FFFFFF"/>
        </w:rPr>
        <w:t>　</w:t>
      </w:r>
    </w:p>
    <w:bookmarkEnd w:id="110"/>
    <w:bookmarkEnd w:id="111"/>
    <w:bookmarkEnd w:id="112"/>
    <w:p>
      <w:pPr>
        <w:pStyle w:val="5"/>
        <w:spacing w:line="360" w:lineRule="auto"/>
        <w:rPr>
          <w:color w:val="auto"/>
          <w:highlight w:val="none"/>
        </w:rPr>
      </w:pPr>
      <w:bookmarkStart w:id="117" w:name="_Toc183582238"/>
      <w:bookmarkStart w:id="118" w:name="_Toc183682375"/>
      <w:bookmarkStart w:id="119" w:name="_Toc217446063"/>
      <w:r>
        <w:rPr>
          <w:rFonts w:hint="eastAsia"/>
          <w:color w:val="auto"/>
          <w:highlight w:val="none"/>
        </w:rPr>
        <w:t>24. 开评标过程存档</w:t>
      </w:r>
    </w:p>
    <w:p>
      <w:pPr>
        <w:spacing w:beforeLines="50" w:line="360" w:lineRule="auto"/>
        <w:ind w:firstLine="480" w:firstLineChars="200"/>
        <w:rPr>
          <w:rFonts w:hAnsi="宋体"/>
          <w:color w:val="auto"/>
          <w:highlight w:val="none"/>
        </w:rPr>
      </w:pPr>
      <w:r>
        <w:rPr>
          <w:rFonts w:hint="eastAsia" w:hAnsi="宋体"/>
          <w:color w:val="auto"/>
          <w:highlight w:val="none"/>
        </w:rPr>
        <w:t>开标和评标过程进行全过程电子监控，并将电子监控资料存储介质留存归档。</w:t>
      </w:r>
    </w:p>
    <w:p>
      <w:pPr>
        <w:pStyle w:val="5"/>
        <w:spacing w:line="360" w:lineRule="auto"/>
        <w:rPr>
          <w:color w:val="auto"/>
          <w:highlight w:val="none"/>
        </w:rPr>
      </w:pPr>
      <w:r>
        <w:rPr>
          <w:rFonts w:hint="eastAsia"/>
          <w:color w:val="auto"/>
          <w:highlight w:val="none"/>
        </w:rPr>
        <w:t>25. 评标情况公告</w:t>
      </w:r>
    </w:p>
    <w:p>
      <w:pPr>
        <w:spacing w:beforeLines="50" w:line="360" w:lineRule="auto"/>
        <w:ind w:firstLine="480" w:firstLineChars="200"/>
        <w:rPr>
          <w:rFonts w:hAnsi="宋体"/>
          <w:color w:val="auto"/>
          <w:highlight w:val="none"/>
        </w:rPr>
      </w:pPr>
      <w:r>
        <w:rPr>
          <w:rFonts w:hint="eastAsia" w:hAnsi="宋体"/>
          <w:color w:val="auto"/>
          <w:highlight w:val="none"/>
        </w:rPr>
        <w:t>所有供应商投标文件资格性、符合性检查情况、采用综合评分法时的总得分和分项汇总得分情况、评标结果等将在“四川政府采购网”上采购结果公告栏中予以公告。</w:t>
      </w:r>
    </w:p>
    <w:p>
      <w:pPr>
        <w:pStyle w:val="5"/>
        <w:spacing w:line="360" w:lineRule="auto"/>
        <w:rPr>
          <w:color w:val="auto"/>
          <w:highlight w:val="none"/>
        </w:rPr>
      </w:pPr>
      <w:r>
        <w:rPr>
          <w:rFonts w:hint="eastAsia"/>
          <w:color w:val="auto"/>
          <w:highlight w:val="none"/>
        </w:rPr>
        <w:t>26. 中标通知</w:t>
      </w:r>
      <w:bookmarkEnd w:id="117"/>
      <w:bookmarkEnd w:id="118"/>
      <w:r>
        <w:rPr>
          <w:rFonts w:hint="eastAsia"/>
          <w:color w:val="auto"/>
          <w:highlight w:val="none"/>
        </w:rPr>
        <w:t>书</w:t>
      </w:r>
      <w:bookmarkEnd w:id="119"/>
    </w:p>
    <w:p>
      <w:pPr>
        <w:tabs>
          <w:tab w:val="left" w:pos="7665"/>
        </w:tabs>
        <w:adjustRightInd w:val="0"/>
        <w:snapToGrid w:val="0"/>
        <w:spacing w:line="360" w:lineRule="auto"/>
        <w:ind w:firstLine="480" w:firstLineChars="200"/>
        <w:rPr>
          <w:rFonts w:hAnsi="宋体"/>
          <w:color w:val="auto"/>
          <w:highlight w:val="none"/>
        </w:rPr>
      </w:pPr>
      <w:r>
        <w:rPr>
          <w:rFonts w:hint="eastAsia" w:hAnsi="宋体"/>
          <w:color w:val="auto"/>
          <w:highlight w:val="none"/>
        </w:rPr>
        <w:t>26</w:t>
      </w:r>
      <w:r>
        <w:rPr>
          <w:rFonts w:hint="eastAsia" w:hAnsi="宋体"/>
          <w:bCs/>
          <w:color w:val="auto"/>
          <w:highlight w:val="none"/>
        </w:rPr>
        <w:t>.</w:t>
      </w:r>
      <w:r>
        <w:rPr>
          <w:rFonts w:hint="eastAsia" w:hAnsi="宋体"/>
          <w:color w:val="auto"/>
          <w:highlight w:val="none"/>
        </w:rPr>
        <w:t>1 中标通知书为签订政府采购合同的依据之一，是合同的有效组成部分。</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26.2 中标通知书对采购人和中标人均具有法律效力。中标通知书发出后，采购人改变中标结果，或者中标人无正当理由放弃中标的，应当承担相应的法律责任。</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26.4中标公告发出后，中标供应商自行领取中标通知书的，可凭有效身份证明证件（单位介绍信和个人身份证）到采购代理机构处领取中标通知书。</w:t>
      </w:r>
    </w:p>
    <w:p>
      <w:pPr>
        <w:pStyle w:val="4"/>
        <w:rPr>
          <w:color w:val="auto"/>
          <w:highlight w:val="none"/>
        </w:rPr>
      </w:pPr>
      <w:r>
        <w:rPr>
          <w:rFonts w:hint="eastAsia"/>
          <w:color w:val="auto"/>
          <w:highlight w:val="none"/>
        </w:rPr>
        <w:t>六、签订及履行合同和验收</w:t>
      </w:r>
    </w:p>
    <w:p>
      <w:pPr>
        <w:pStyle w:val="5"/>
        <w:spacing w:line="360" w:lineRule="auto"/>
        <w:rPr>
          <w:color w:val="auto"/>
          <w:highlight w:val="none"/>
        </w:rPr>
      </w:pPr>
      <w:r>
        <w:rPr>
          <w:rFonts w:hint="eastAsia"/>
          <w:color w:val="auto"/>
          <w:highlight w:val="none"/>
        </w:rPr>
        <w:t>27. 签订合同</w:t>
      </w:r>
    </w:p>
    <w:p>
      <w:pPr>
        <w:spacing w:line="360" w:lineRule="auto"/>
        <w:ind w:firstLine="480" w:firstLineChars="200"/>
        <w:rPr>
          <w:rFonts w:hAnsi="宋体"/>
          <w:color w:val="auto"/>
          <w:highlight w:val="none"/>
        </w:rPr>
      </w:pPr>
      <w:r>
        <w:rPr>
          <w:rFonts w:hint="eastAsia" w:hAnsi="宋体"/>
          <w:color w:val="auto"/>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hAnsi="宋体"/>
          <w:color w:val="auto"/>
          <w:highlight w:val="none"/>
        </w:rPr>
      </w:pPr>
      <w:r>
        <w:rPr>
          <w:rFonts w:hint="eastAsia" w:hAnsi="宋体"/>
          <w:color w:val="auto"/>
          <w:highlight w:val="none"/>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41"/>
        <w:widowControl w:val="0"/>
        <w:shd w:val="clear" w:color="auto" w:fill="FFFFFF"/>
        <w:spacing w:before="0" w:beforeAutospacing="0" w:after="0" w:afterAutospacing="0" w:line="360" w:lineRule="auto"/>
        <w:ind w:firstLine="480" w:firstLineChars="200"/>
        <w:jc w:val="both"/>
        <w:textAlignment w:val="center"/>
        <w:rPr>
          <w:color w:val="auto"/>
          <w:highlight w:val="none"/>
        </w:rPr>
      </w:pPr>
      <w:r>
        <w:rPr>
          <w:rFonts w:hint="eastAsia"/>
          <w:color w:val="auto"/>
          <w:highlight w:val="none"/>
        </w:rPr>
        <w:t>27.3中标人拒绝或因不可抗力原因不能履行采购合同或放弃中标的，采购人可以按照评标报告推荐的中标候选人名单排序，确定下一候选人为中标人，以此类推。也可以重新开展政府采购活动。</w:t>
      </w:r>
    </w:p>
    <w:p>
      <w:pPr>
        <w:spacing w:line="360" w:lineRule="auto"/>
        <w:ind w:firstLine="420" w:firstLineChars="175"/>
        <w:rPr>
          <w:rFonts w:hAnsi="宋体"/>
          <w:color w:val="auto"/>
          <w:highlight w:val="none"/>
        </w:rPr>
      </w:pPr>
      <w:r>
        <w:rPr>
          <w:rFonts w:hint="eastAsia" w:hAnsi="宋体"/>
          <w:color w:val="auto"/>
          <w:highlight w:val="none"/>
        </w:rPr>
        <w:t>27.4 中标人在合同签订之后三个工作日内，将签订的合同（一份）送采购代理机构财务科室。签订的合同编号按照本项目中标通知书上的编号执行。</w:t>
      </w:r>
    </w:p>
    <w:p>
      <w:pPr>
        <w:spacing w:line="360" w:lineRule="auto"/>
        <w:ind w:firstLine="420" w:firstLineChars="175"/>
        <w:rPr>
          <w:rFonts w:hAnsi="宋体"/>
          <w:color w:val="auto"/>
          <w:highlight w:val="none"/>
        </w:rPr>
      </w:pPr>
      <w:r>
        <w:rPr>
          <w:rFonts w:hint="eastAsia" w:hAnsi="宋体"/>
          <w:color w:val="auto"/>
          <w:highlight w:val="none"/>
        </w:rPr>
        <w:t>27.5中标人在合同履行验收后三个工作日内，将采购人出具的验收书（一份）送采购代理机构财务科室。</w:t>
      </w:r>
    </w:p>
    <w:p>
      <w:pPr>
        <w:pStyle w:val="5"/>
        <w:spacing w:line="360" w:lineRule="auto"/>
        <w:rPr>
          <w:color w:val="auto"/>
          <w:highlight w:val="none"/>
        </w:rPr>
      </w:pPr>
      <w:bookmarkStart w:id="120" w:name="_Toc217446066"/>
      <w:r>
        <w:rPr>
          <w:rFonts w:hint="eastAsia"/>
          <w:color w:val="auto"/>
          <w:highlight w:val="none"/>
        </w:rPr>
        <w:t>28. 合同分包</w:t>
      </w:r>
      <w:bookmarkEnd w:id="120"/>
      <w:r>
        <w:rPr>
          <w:rFonts w:hint="eastAsia"/>
          <w:color w:val="auto"/>
          <w:highlight w:val="none"/>
        </w:rPr>
        <w:t>（实质性要求）</w:t>
      </w:r>
    </w:p>
    <w:p>
      <w:pPr>
        <w:adjustRightInd w:val="0"/>
        <w:snapToGrid w:val="0"/>
        <w:spacing w:line="360" w:lineRule="auto"/>
        <w:ind w:firstLine="480" w:firstLineChars="200"/>
        <w:rPr>
          <w:rFonts w:hAnsi="宋体"/>
          <w:color w:val="auto"/>
          <w:highlight w:val="none"/>
        </w:rPr>
      </w:pPr>
      <w:bookmarkStart w:id="121" w:name="_Toc217446067"/>
      <w:r>
        <w:rPr>
          <w:rFonts w:hint="eastAsia" w:hAnsi="宋体"/>
          <w:color w:val="auto"/>
          <w:highlight w:val="none"/>
        </w:rPr>
        <w:t>28.1 经采购人同意，中标人可以依法采取分包方式履行合同。这种要求应当在合同签订之前征得采购人同意，并且分包供应商履行的分包项目的品牌、规格型号及技术要求等，必须与中标的一致。</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28.2 采购合同实行分包履行的，中标人就采购项目和分包项目向采购人负责，分包供应商就分包项目承担责任。</w:t>
      </w:r>
    </w:p>
    <w:bookmarkEnd w:id="121"/>
    <w:p>
      <w:pPr>
        <w:adjustRightInd w:val="0"/>
        <w:snapToGrid w:val="0"/>
        <w:spacing w:line="360" w:lineRule="auto"/>
        <w:ind w:firstLine="540" w:firstLineChars="225"/>
        <w:rPr>
          <w:rFonts w:ascii="宋体" w:hAnsi="宋体" w:cs="宋体"/>
          <w:color w:val="auto"/>
          <w:highlight w:val="none"/>
        </w:rPr>
      </w:pPr>
      <w:bookmarkStart w:id="122" w:name="_Toc217446069"/>
      <w:r>
        <w:rPr>
          <w:rFonts w:hint="eastAsia" w:ascii="宋体" w:hAnsi="宋体" w:cs="宋体"/>
          <w:color w:val="auto"/>
          <w:highlight w:val="none"/>
        </w:rPr>
        <w:t>28.3 中小企业根据《政府采购促进中小企业发展管理办法》（财库〔2020〕46号）的规定依据本办法规定享受扶持政策获得政府采购合同的，小微企业不得将合同分包给大中型企业，中型企业不得将合同分包给大型企业。</w:t>
      </w:r>
    </w:p>
    <w:p>
      <w:pPr>
        <w:pStyle w:val="5"/>
        <w:spacing w:line="360" w:lineRule="auto"/>
        <w:rPr>
          <w:color w:val="auto"/>
          <w:highlight w:val="none"/>
        </w:rPr>
      </w:pPr>
      <w:r>
        <w:rPr>
          <w:rFonts w:hint="eastAsia"/>
          <w:color w:val="auto"/>
          <w:highlight w:val="none"/>
        </w:rPr>
        <w:t>29.合同转包（实质性要求）</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中标人转包的，视同拒绝履行政府采购合同义务，将依法追究法律责任。</w:t>
      </w:r>
    </w:p>
    <w:p>
      <w:pPr>
        <w:pStyle w:val="5"/>
        <w:spacing w:line="360" w:lineRule="auto"/>
        <w:rPr>
          <w:color w:val="auto"/>
          <w:highlight w:val="none"/>
        </w:rPr>
      </w:pPr>
      <w:r>
        <w:rPr>
          <w:rFonts w:hint="eastAsia"/>
          <w:color w:val="auto"/>
          <w:highlight w:val="none"/>
        </w:rPr>
        <w:t>30. 补充合同</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360" w:lineRule="auto"/>
        <w:rPr>
          <w:color w:val="auto"/>
          <w:highlight w:val="none"/>
        </w:rPr>
      </w:pPr>
      <w:bookmarkStart w:id="123" w:name="_Toc308164812"/>
      <w:r>
        <w:rPr>
          <w:rFonts w:hint="eastAsia"/>
          <w:color w:val="auto"/>
          <w:highlight w:val="none"/>
        </w:rPr>
        <w:t>31. 履约保证金</w:t>
      </w:r>
      <w:bookmarkEnd w:id="123"/>
      <w:r>
        <w:rPr>
          <w:rFonts w:hint="eastAsia"/>
          <w:color w:val="auto"/>
          <w:highlight w:val="none"/>
        </w:rPr>
        <w:t>（实质性要求）</w:t>
      </w:r>
    </w:p>
    <w:p>
      <w:pPr>
        <w:pStyle w:val="5"/>
        <w:spacing w:line="360" w:lineRule="auto"/>
        <w:rPr>
          <w:color w:val="auto"/>
          <w:highlight w:val="none"/>
        </w:rPr>
      </w:pPr>
      <w:r>
        <w:rPr>
          <w:rFonts w:hint="eastAsia"/>
          <w:color w:val="auto"/>
          <w:highlight w:val="none"/>
        </w:rPr>
        <w:t>本项目不收取履约保证金。</w:t>
      </w:r>
    </w:p>
    <w:p>
      <w:pPr>
        <w:pStyle w:val="5"/>
        <w:spacing w:line="360" w:lineRule="auto"/>
        <w:rPr>
          <w:color w:val="auto"/>
          <w:highlight w:val="none"/>
        </w:rPr>
      </w:pPr>
      <w:r>
        <w:rPr>
          <w:rFonts w:hint="eastAsia"/>
          <w:color w:val="auto"/>
          <w:highlight w:val="none"/>
        </w:rPr>
        <w:t>32.合同公告</w:t>
      </w:r>
    </w:p>
    <w:p>
      <w:pPr>
        <w:spacing w:line="360" w:lineRule="auto"/>
        <w:ind w:firstLine="480" w:firstLineChars="200"/>
        <w:rPr>
          <w:rFonts w:hAnsi="宋体"/>
          <w:color w:val="auto"/>
          <w:highlight w:val="none"/>
        </w:rPr>
      </w:pPr>
      <w:r>
        <w:rPr>
          <w:rFonts w:hint="eastAsia" w:hAnsi="宋体"/>
          <w:color w:val="auto"/>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360" w:lineRule="auto"/>
        <w:rPr>
          <w:color w:val="auto"/>
          <w:highlight w:val="none"/>
        </w:rPr>
      </w:pPr>
      <w:r>
        <w:rPr>
          <w:rFonts w:hint="eastAsia"/>
          <w:color w:val="auto"/>
          <w:highlight w:val="none"/>
        </w:rPr>
        <w:t>33.合同备案</w:t>
      </w:r>
    </w:p>
    <w:p>
      <w:pPr>
        <w:spacing w:line="360" w:lineRule="auto"/>
        <w:ind w:firstLine="480" w:firstLineChars="200"/>
        <w:rPr>
          <w:rFonts w:hAnsi="宋体"/>
          <w:color w:val="auto"/>
          <w:highlight w:val="none"/>
        </w:rPr>
      </w:pPr>
      <w:r>
        <w:rPr>
          <w:rFonts w:hint="eastAsia" w:hAnsi="宋体"/>
          <w:color w:val="auto"/>
          <w:highlight w:val="none"/>
        </w:rPr>
        <w:t>采购人应当将政府采购合同副本自签订（双方当事人均已签字盖章）之日起七个工作日内通过“四川政府采购网”报同级财政部门备案。</w:t>
      </w:r>
    </w:p>
    <w:p>
      <w:pPr>
        <w:pStyle w:val="5"/>
        <w:spacing w:line="360" w:lineRule="auto"/>
        <w:rPr>
          <w:color w:val="auto"/>
          <w:highlight w:val="none"/>
        </w:rPr>
      </w:pPr>
      <w:r>
        <w:rPr>
          <w:rFonts w:hint="eastAsia"/>
          <w:color w:val="auto"/>
          <w:highlight w:val="none"/>
        </w:rPr>
        <w:t>34. 履行合同</w:t>
      </w:r>
    </w:p>
    <w:p>
      <w:pPr>
        <w:spacing w:line="360" w:lineRule="auto"/>
        <w:rPr>
          <w:rFonts w:hAnsi="宋体"/>
          <w:color w:val="auto"/>
          <w:highlight w:val="none"/>
        </w:rPr>
      </w:pPr>
      <w:r>
        <w:rPr>
          <w:rFonts w:hint="eastAsia" w:hAnsi="宋体"/>
          <w:color w:val="auto"/>
          <w:highlight w:val="none"/>
        </w:rPr>
        <w:t xml:space="preserve">    34.1 中标人与采购人签订合同后，合同双方应严格执行合同条款，履行合同规定的义务，保证合同的顺利完成。</w:t>
      </w:r>
    </w:p>
    <w:p>
      <w:pPr>
        <w:spacing w:line="360" w:lineRule="auto"/>
        <w:ind w:firstLine="480"/>
        <w:rPr>
          <w:rFonts w:hAnsi="宋体"/>
          <w:color w:val="auto"/>
          <w:highlight w:val="none"/>
        </w:rPr>
      </w:pPr>
      <w:r>
        <w:rPr>
          <w:rFonts w:hint="eastAsia" w:hAnsi="宋体"/>
          <w:color w:val="auto"/>
          <w:highlight w:val="none"/>
        </w:rPr>
        <w:t>34.2 在合同履行过程中，如发生合同纠纷，合同双方应按照《中华人民共和国民法典》的有关规定进行处理。</w:t>
      </w:r>
    </w:p>
    <w:p>
      <w:pPr>
        <w:pStyle w:val="2"/>
        <w:spacing w:line="360" w:lineRule="auto"/>
        <w:ind w:firstLine="480"/>
        <w:rPr>
          <w:rFonts w:hAnsi="宋体"/>
          <w:color w:val="auto"/>
          <w:kern w:val="0"/>
          <w:sz w:val="24"/>
          <w:highlight w:val="none"/>
        </w:rPr>
      </w:pPr>
      <w:r>
        <w:rPr>
          <w:rFonts w:hint="eastAsia" w:hAnsi="宋体"/>
          <w:color w:val="auto"/>
          <w:kern w:val="0"/>
          <w:sz w:val="24"/>
          <w:highlight w:val="none"/>
          <w:lang w:val="en-US" w:eastAsia="zh-CN"/>
        </w:rPr>
        <w:t>34.3政府采购货物、工程和服务项目中涉及商品包装和快递包装的，要参考《商品包装政府采购需求标准（试行）》《快递包装政府采购需求标准（试行）》包装需求标准执行。</w:t>
      </w:r>
    </w:p>
    <w:p>
      <w:pPr>
        <w:pStyle w:val="5"/>
        <w:spacing w:line="360" w:lineRule="auto"/>
        <w:rPr>
          <w:rFonts w:hAnsi="宋体"/>
          <w:color w:val="auto"/>
          <w:sz w:val="24"/>
          <w:szCs w:val="24"/>
          <w:highlight w:val="none"/>
        </w:rPr>
      </w:pPr>
      <w:bookmarkStart w:id="124" w:name="_Toc308164814"/>
      <w:r>
        <w:rPr>
          <w:rFonts w:hint="eastAsia" w:hAnsi="宋体"/>
          <w:color w:val="auto"/>
          <w:sz w:val="24"/>
          <w:szCs w:val="24"/>
          <w:highlight w:val="none"/>
          <w:lang w:val="en-US" w:eastAsia="zh-CN"/>
        </w:rPr>
        <w:t>35. 验收</w:t>
      </w:r>
      <w:bookmarkEnd w:id="124"/>
    </w:p>
    <w:bookmarkEnd w:id="122"/>
    <w:p>
      <w:pPr>
        <w:adjustRightInd w:val="0"/>
        <w:snapToGrid w:val="0"/>
        <w:spacing w:line="360" w:lineRule="auto"/>
        <w:ind w:firstLine="480" w:firstLineChars="200"/>
        <w:rPr>
          <w:rFonts w:ascii="宋体" w:hAnsi="宋体" w:cs="宋体"/>
          <w:color w:val="auto"/>
          <w:highlight w:val="none"/>
        </w:rPr>
      </w:pPr>
      <w:bookmarkStart w:id="125" w:name="_Toc217446074"/>
      <w:bookmarkStart w:id="126" w:name="_Toc183682380"/>
      <w:bookmarkStart w:id="127" w:name="_Toc183582243"/>
      <w:r>
        <w:rPr>
          <w:rFonts w:hint="eastAsia" w:ascii="宋体" w:hAnsi="宋体" w:cs="宋体"/>
          <w:color w:val="auto"/>
          <w:highlight w:val="none"/>
        </w:rPr>
        <w:t>35.1本项目采购人将严格按照政府采购相关法律法规以及《财政部关于进一步加强政府采购需求和履约验收管理的指导意见》（财库〔2016〕205号），参照《四川省政府采购项目需求论证和履约验收管理办法》（川财采〔2015〕32号）的要求进行验收。</w:t>
      </w:r>
    </w:p>
    <w:p>
      <w:pPr>
        <w:pStyle w:val="4"/>
        <w:rPr>
          <w:color w:val="auto"/>
          <w:highlight w:val="none"/>
        </w:rPr>
      </w:pPr>
      <w:r>
        <w:rPr>
          <w:rFonts w:hint="eastAsia"/>
          <w:color w:val="auto"/>
          <w:highlight w:val="none"/>
        </w:rPr>
        <w:t>七、投标纪律要求</w:t>
      </w:r>
      <w:bookmarkEnd w:id="125"/>
    </w:p>
    <w:p>
      <w:pPr>
        <w:pStyle w:val="5"/>
        <w:spacing w:line="360" w:lineRule="auto"/>
        <w:rPr>
          <w:color w:val="auto"/>
          <w:highlight w:val="none"/>
        </w:rPr>
      </w:pPr>
      <w:bookmarkStart w:id="128" w:name="_Toc217446075"/>
      <w:r>
        <w:rPr>
          <w:rFonts w:hint="eastAsia"/>
          <w:color w:val="auto"/>
          <w:highlight w:val="none"/>
        </w:rPr>
        <w:t>36. 投标人不得具有的情形</w:t>
      </w:r>
      <w:bookmarkEnd w:id="128"/>
    </w:p>
    <w:p>
      <w:pPr>
        <w:pStyle w:val="13"/>
        <w:spacing w:line="360" w:lineRule="auto"/>
        <w:ind w:firstLine="480"/>
        <w:rPr>
          <w:rFonts w:hAnsi="宋体"/>
          <w:color w:val="auto"/>
          <w:kern w:val="0"/>
          <w:sz w:val="24"/>
          <w:szCs w:val="24"/>
          <w:highlight w:val="none"/>
        </w:rPr>
      </w:pPr>
      <w:bookmarkStart w:id="129" w:name="_Toc217446076"/>
      <w:r>
        <w:rPr>
          <w:rFonts w:hint="eastAsia" w:hAnsi="宋体"/>
          <w:color w:val="auto"/>
          <w:kern w:val="0"/>
          <w:sz w:val="24"/>
          <w:szCs w:val="24"/>
          <w:highlight w:val="none"/>
          <w:lang w:val="en-US" w:eastAsia="zh-CN"/>
        </w:rPr>
        <w:t>投标人参加本项目投标不得有下列情形：</w:t>
      </w:r>
    </w:p>
    <w:p>
      <w:pPr>
        <w:spacing w:line="360" w:lineRule="auto"/>
        <w:ind w:firstLine="460" w:firstLineChars="192"/>
        <w:rPr>
          <w:rFonts w:hAnsi="宋体"/>
          <w:color w:val="auto"/>
          <w:highlight w:val="none"/>
        </w:rPr>
      </w:pPr>
      <w:r>
        <w:rPr>
          <w:rFonts w:hint="eastAsia" w:hAnsi="宋体"/>
          <w:color w:val="auto"/>
          <w:highlight w:val="none"/>
        </w:rPr>
        <w:t>（1）提供虚假材料、承诺谋取中标；</w:t>
      </w:r>
    </w:p>
    <w:p>
      <w:pPr>
        <w:spacing w:line="360" w:lineRule="auto"/>
        <w:ind w:firstLine="460" w:firstLineChars="192"/>
        <w:rPr>
          <w:rFonts w:hAnsi="宋体"/>
          <w:color w:val="auto"/>
          <w:highlight w:val="none"/>
        </w:rPr>
      </w:pPr>
      <w:r>
        <w:rPr>
          <w:rFonts w:hint="eastAsia" w:hAnsi="宋体"/>
          <w:color w:val="auto"/>
          <w:highlight w:val="none"/>
        </w:rPr>
        <w:t>（2）采取不正当手段诋毁、排挤其他投标人；</w:t>
      </w:r>
    </w:p>
    <w:p>
      <w:pPr>
        <w:spacing w:line="360" w:lineRule="auto"/>
        <w:ind w:firstLine="480" w:firstLineChars="200"/>
        <w:rPr>
          <w:rFonts w:hAnsi="宋体"/>
          <w:color w:val="auto"/>
          <w:highlight w:val="none"/>
        </w:rPr>
      </w:pPr>
      <w:r>
        <w:rPr>
          <w:rFonts w:hint="eastAsia" w:hAnsi="宋体"/>
          <w:color w:val="auto"/>
          <w:highlight w:val="none"/>
        </w:rPr>
        <w:t>（3）与招标采购单位、其他投标人恶意串通；</w:t>
      </w:r>
    </w:p>
    <w:p>
      <w:pPr>
        <w:spacing w:line="360" w:lineRule="auto"/>
        <w:rPr>
          <w:rFonts w:hAnsi="宋体"/>
          <w:color w:val="auto"/>
          <w:highlight w:val="none"/>
        </w:rPr>
      </w:pPr>
      <w:r>
        <w:rPr>
          <w:rFonts w:hint="eastAsia" w:hAnsi="宋体"/>
          <w:color w:val="auto"/>
          <w:highlight w:val="none"/>
        </w:rPr>
        <w:t xml:space="preserve">    （4）向招标采购单位、评标委员会成员行贿或者提供其他不正当利益；</w:t>
      </w:r>
    </w:p>
    <w:p>
      <w:pPr>
        <w:spacing w:line="360" w:lineRule="auto"/>
        <w:ind w:firstLine="460" w:firstLineChars="192"/>
        <w:rPr>
          <w:rFonts w:hAnsi="宋体"/>
          <w:color w:val="auto"/>
          <w:highlight w:val="none"/>
        </w:rPr>
      </w:pPr>
      <w:r>
        <w:rPr>
          <w:rFonts w:hint="eastAsia" w:hAnsi="宋体"/>
          <w:color w:val="auto"/>
          <w:highlight w:val="none"/>
        </w:rPr>
        <w:t>（5）在招标过程中与招标采购单位进行协商谈判；</w:t>
      </w:r>
    </w:p>
    <w:p>
      <w:pPr>
        <w:spacing w:line="360" w:lineRule="auto"/>
        <w:ind w:firstLine="460" w:firstLineChars="192"/>
        <w:rPr>
          <w:rFonts w:hAnsi="宋体"/>
          <w:color w:val="auto"/>
          <w:highlight w:val="none"/>
        </w:rPr>
      </w:pPr>
      <w:r>
        <w:rPr>
          <w:rFonts w:hint="eastAsia" w:hAnsi="宋体"/>
          <w:color w:val="auto"/>
          <w:highlight w:val="none"/>
        </w:rPr>
        <w:t>（6）中标或者成交后无正当理由拒不与采购人签订政府采购合同；</w:t>
      </w:r>
    </w:p>
    <w:p>
      <w:pPr>
        <w:spacing w:line="360" w:lineRule="auto"/>
        <w:ind w:firstLine="480" w:firstLineChars="200"/>
        <w:rPr>
          <w:rFonts w:hAnsi="宋体"/>
          <w:color w:val="auto"/>
          <w:highlight w:val="none"/>
        </w:rPr>
      </w:pPr>
      <w:r>
        <w:rPr>
          <w:rFonts w:hint="eastAsia" w:hAnsi="宋体"/>
          <w:color w:val="auto"/>
          <w:highlight w:val="none"/>
        </w:rPr>
        <w:t>（7）未按照招标（采购）文件确定的事项签订政府采购合同；</w:t>
      </w:r>
    </w:p>
    <w:p>
      <w:pPr>
        <w:spacing w:line="360" w:lineRule="auto"/>
        <w:ind w:firstLine="480" w:firstLineChars="200"/>
        <w:rPr>
          <w:rFonts w:hAnsi="宋体"/>
          <w:color w:val="auto"/>
          <w:highlight w:val="none"/>
        </w:rPr>
      </w:pPr>
      <w:r>
        <w:rPr>
          <w:rFonts w:hint="eastAsia" w:hAnsi="宋体"/>
          <w:color w:val="auto"/>
          <w:highlight w:val="none"/>
        </w:rPr>
        <w:t>（8）将政府采购合同转包或者违规分包；</w:t>
      </w:r>
    </w:p>
    <w:p>
      <w:pPr>
        <w:spacing w:line="360" w:lineRule="auto"/>
        <w:ind w:firstLine="480" w:firstLineChars="200"/>
        <w:rPr>
          <w:rFonts w:hAnsi="宋体"/>
          <w:color w:val="auto"/>
          <w:highlight w:val="none"/>
        </w:rPr>
      </w:pPr>
      <w:r>
        <w:rPr>
          <w:rFonts w:hint="eastAsia" w:hAnsi="宋体"/>
          <w:color w:val="auto"/>
          <w:highlight w:val="none"/>
        </w:rPr>
        <w:t>（9）提供假冒伪劣产品；</w:t>
      </w:r>
    </w:p>
    <w:p>
      <w:pPr>
        <w:spacing w:line="360" w:lineRule="auto"/>
        <w:ind w:firstLine="480" w:firstLineChars="200"/>
        <w:rPr>
          <w:rFonts w:hAnsi="宋体"/>
          <w:color w:val="auto"/>
          <w:highlight w:val="none"/>
        </w:rPr>
      </w:pPr>
      <w:r>
        <w:rPr>
          <w:rFonts w:hint="eastAsia" w:hAnsi="宋体"/>
          <w:color w:val="auto"/>
          <w:highlight w:val="none"/>
        </w:rPr>
        <w:t>（10）擅自变更、中止或者终止政府采购合同；</w:t>
      </w:r>
    </w:p>
    <w:p>
      <w:pPr>
        <w:spacing w:line="360" w:lineRule="auto"/>
        <w:ind w:firstLine="460" w:firstLineChars="192"/>
        <w:rPr>
          <w:rFonts w:hAnsi="宋体"/>
          <w:color w:val="auto"/>
          <w:highlight w:val="none"/>
        </w:rPr>
      </w:pPr>
      <w:r>
        <w:rPr>
          <w:rFonts w:hint="eastAsia" w:hAnsi="宋体"/>
          <w:color w:val="auto"/>
          <w:highlight w:val="none"/>
        </w:rPr>
        <w:t>（11）拒绝有关部门的监督检查或者向监督检查部门提供虚假情况；</w:t>
      </w:r>
    </w:p>
    <w:p>
      <w:pPr>
        <w:spacing w:line="360" w:lineRule="auto"/>
        <w:ind w:firstLine="480" w:firstLineChars="200"/>
        <w:rPr>
          <w:rFonts w:hAnsi="宋体"/>
          <w:color w:val="auto"/>
          <w:highlight w:val="none"/>
        </w:rPr>
      </w:pPr>
      <w:r>
        <w:rPr>
          <w:rFonts w:hint="eastAsia" w:hAnsi="宋体"/>
          <w:color w:val="auto"/>
          <w:highlight w:val="none"/>
        </w:rPr>
        <w:t>（12）法律法规规定的其他情形。</w:t>
      </w:r>
    </w:p>
    <w:p>
      <w:pPr>
        <w:spacing w:line="360" w:lineRule="auto"/>
        <w:ind w:firstLine="480" w:firstLineChars="200"/>
        <w:rPr>
          <w:rFonts w:hAnsi="宋体"/>
          <w:color w:val="auto"/>
          <w:szCs w:val="28"/>
          <w:highlight w:val="none"/>
        </w:rPr>
      </w:pPr>
      <w:r>
        <w:rPr>
          <w:rFonts w:hint="eastAsia" w:hAnsi="宋体"/>
          <w:color w:val="auto"/>
          <w:highlight w:val="none"/>
        </w:rPr>
        <w:t>投标人有上述情形的，按照规定追究法律责任，具备（1）-（12）条情形之一的，同时将取消中标资格或者认定中标无效。</w:t>
      </w:r>
      <w:bookmarkEnd w:id="129"/>
      <w:bookmarkStart w:id="130" w:name="_Toc217446077"/>
    </w:p>
    <w:p>
      <w:pPr>
        <w:pStyle w:val="4"/>
        <w:rPr>
          <w:color w:val="auto"/>
          <w:highlight w:val="none"/>
        </w:rPr>
      </w:pPr>
      <w:r>
        <w:rPr>
          <w:rFonts w:hint="eastAsia"/>
          <w:color w:val="auto"/>
          <w:highlight w:val="none"/>
        </w:rPr>
        <w:t>八、质疑和投诉</w:t>
      </w:r>
    </w:p>
    <w:bookmarkEnd w:id="130"/>
    <w:p>
      <w:pPr>
        <w:pStyle w:val="27"/>
        <w:spacing w:line="360" w:lineRule="auto"/>
        <w:ind w:left="0" w:firstLine="0"/>
        <w:rPr>
          <w:rFonts w:hAnsi="宋体"/>
          <w:color w:val="auto"/>
          <w:sz w:val="24"/>
          <w:highlight w:val="none"/>
        </w:rPr>
      </w:pPr>
      <w:bookmarkStart w:id="131" w:name="_Toc217446079"/>
      <w:r>
        <w:rPr>
          <w:rFonts w:hint="eastAsia" w:hAnsi="宋体"/>
          <w:bCs/>
          <w:color w:val="auto"/>
          <w:sz w:val="24"/>
          <w:highlight w:val="none"/>
        </w:rPr>
        <w:t xml:space="preserve"> 3</w:t>
      </w:r>
      <w:bookmarkEnd w:id="131"/>
      <w:r>
        <w:rPr>
          <w:rFonts w:hint="eastAsia" w:hAnsi="宋体"/>
          <w:bCs/>
          <w:color w:val="auto"/>
          <w:sz w:val="24"/>
          <w:highlight w:val="none"/>
        </w:rPr>
        <w:t>7．</w:t>
      </w:r>
      <w:bookmarkEnd w:id="126"/>
      <w:bookmarkEnd w:id="127"/>
      <w:r>
        <w:rPr>
          <w:rFonts w:hint="eastAsia" w:hAnsi="宋体"/>
          <w:color w:val="auto"/>
          <w:sz w:val="24"/>
          <w:highlight w:val="none"/>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pStyle w:val="4"/>
        <w:rPr>
          <w:color w:val="auto"/>
          <w:highlight w:val="none"/>
        </w:rPr>
      </w:pPr>
      <w:r>
        <w:rPr>
          <w:rFonts w:hint="eastAsia"/>
          <w:color w:val="auto"/>
          <w:highlight w:val="none"/>
        </w:rPr>
        <w:t>九、其他</w:t>
      </w:r>
    </w:p>
    <w:p>
      <w:pPr>
        <w:spacing w:line="360" w:lineRule="auto"/>
        <w:ind w:firstLine="480"/>
        <w:outlineLvl w:val="1"/>
        <w:rPr>
          <w:rFonts w:hAnsi="宋体"/>
          <w:color w:val="auto"/>
          <w:highlight w:val="none"/>
        </w:rPr>
      </w:pPr>
      <w:r>
        <w:rPr>
          <w:rFonts w:hint="eastAsia" w:hAnsi="宋体"/>
          <w:bCs/>
          <w:color w:val="auto"/>
          <w:highlight w:val="none"/>
        </w:rPr>
        <w:t xml:space="preserve">38. </w:t>
      </w:r>
      <w:r>
        <w:rPr>
          <w:rFonts w:hint="eastAsia" w:hAnsi="宋体"/>
          <w:color w:val="auto"/>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7"/>
        <w:tabs>
          <w:tab w:val="left" w:pos="5909"/>
        </w:tabs>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39. 本项目除招标文件明确规定可以采购进口产品的货物外，不允许采购进口产品，否则作无效处理。</w:t>
      </w:r>
    </w:p>
    <w:p>
      <w:pPr>
        <w:pStyle w:val="27"/>
        <w:tabs>
          <w:tab w:val="left" w:pos="5909"/>
        </w:tabs>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40.（实质性要求）国家或行业主管部门对采购产品的技术标准、质量标准和资格资质条件等有强制性规定的，必须符合其要求。</w:t>
      </w: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3"/>
        <w:rPr>
          <w:color w:val="auto"/>
          <w:highlight w:val="none"/>
        </w:rPr>
      </w:pPr>
      <w:bookmarkStart w:id="132" w:name="_Toc18996"/>
      <w:bookmarkStart w:id="133" w:name="_Toc18552"/>
      <w:bookmarkStart w:id="134" w:name="_Toc17003"/>
      <w:r>
        <w:rPr>
          <w:rFonts w:hint="eastAsia"/>
          <w:color w:val="auto"/>
          <w:highlight w:val="none"/>
        </w:rPr>
        <w:t>第三章 投标文件格式</w:t>
      </w:r>
      <w:bookmarkEnd w:id="87"/>
      <w:bookmarkEnd w:id="132"/>
      <w:bookmarkEnd w:id="133"/>
      <w:bookmarkEnd w:id="134"/>
    </w:p>
    <w:p>
      <w:pPr>
        <w:spacing w:line="360" w:lineRule="auto"/>
        <w:outlineLvl w:val="1"/>
        <w:rPr>
          <w:rFonts w:hAnsi="宋体"/>
          <w:color w:val="auto"/>
          <w:highlight w:val="none"/>
        </w:rPr>
      </w:pPr>
    </w:p>
    <w:p>
      <w:pPr>
        <w:spacing w:line="360" w:lineRule="auto"/>
        <w:ind w:firstLine="470" w:firstLineChars="196"/>
        <w:outlineLvl w:val="1"/>
        <w:rPr>
          <w:rFonts w:hAnsi="宋体"/>
          <w:color w:val="auto"/>
          <w:highlight w:val="none"/>
        </w:rPr>
      </w:pPr>
      <w:r>
        <w:rPr>
          <w:rFonts w:hint="eastAsia" w:hAnsi="宋体"/>
          <w:color w:val="auto"/>
          <w:highlight w:val="none"/>
        </w:rPr>
        <w:t>一、本章所制投标文件格式，除格式中明确将该格式作为实质性要求的，一律不具有强制性。</w:t>
      </w:r>
    </w:p>
    <w:p>
      <w:pPr>
        <w:spacing w:line="360" w:lineRule="auto"/>
        <w:ind w:firstLine="470" w:firstLineChars="196"/>
        <w:outlineLvl w:val="1"/>
        <w:rPr>
          <w:rFonts w:hAnsi="宋体"/>
          <w:color w:val="auto"/>
          <w:highlight w:val="none"/>
        </w:rPr>
      </w:pPr>
      <w:r>
        <w:rPr>
          <w:rFonts w:hint="eastAsia" w:hAnsi="宋体"/>
          <w:color w:val="auto"/>
          <w:highlight w:val="none"/>
        </w:rPr>
        <w:t>二、本章所制投标文件格式有关表格中的备注栏，由投标人根据自身投标情况作解释性说明，不作为必填项（如果供应商投标文件中已经去掉备注而无其他解释性说明，则视为完全理解并同意备注中的要求）。</w:t>
      </w:r>
    </w:p>
    <w:p>
      <w:pPr>
        <w:spacing w:line="360" w:lineRule="auto"/>
        <w:ind w:firstLine="470" w:firstLineChars="196"/>
        <w:outlineLvl w:val="1"/>
        <w:rPr>
          <w:rFonts w:hAnsi="宋体"/>
          <w:color w:val="auto"/>
          <w:highlight w:val="none"/>
        </w:rPr>
      </w:pPr>
      <w:r>
        <w:rPr>
          <w:rFonts w:hint="eastAsia" w:hAnsi="宋体"/>
          <w:color w:val="auto"/>
          <w:highlight w:val="none"/>
        </w:rPr>
        <w:t>三、本章所制投标文件格式中需要填写的相关内容事项，可能会与本采购项目无关，在不改变投标文件原义、不影响本项目采购需求的情况下，投标人可以不予填写，但应当注明。</w:t>
      </w:r>
    </w:p>
    <w:p>
      <w:pPr>
        <w:pStyle w:val="2"/>
        <w:rPr>
          <w:rFonts w:hAnsi="宋体"/>
          <w:color w:val="auto"/>
          <w:highlight w:val="none"/>
        </w:rPr>
      </w:pPr>
    </w:p>
    <w:p>
      <w:pPr>
        <w:pStyle w:val="2"/>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rPr>
          <w:color w:val="auto"/>
          <w:highlight w:val="none"/>
        </w:rPr>
      </w:pPr>
      <w:bookmarkStart w:id="135" w:name="_Toc217446082"/>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5"/>
        <w:ind w:firstLine="210"/>
        <w:rPr>
          <w:color w:val="auto"/>
          <w:highlight w:val="none"/>
        </w:rPr>
      </w:pPr>
    </w:p>
    <w:p>
      <w:pPr>
        <w:pStyle w:val="45"/>
        <w:ind w:firstLine="210"/>
        <w:rPr>
          <w:color w:val="auto"/>
          <w:highlight w:val="none"/>
        </w:rPr>
      </w:pPr>
    </w:p>
    <w:p>
      <w:pPr>
        <w:pStyle w:val="45"/>
        <w:ind w:firstLine="210"/>
        <w:rPr>
          <w:color w:val="auto"/>
          <w:highlight w:val="none"/>
        </w:rPr>
      </w:pPr>
    </w:p>
    <w:p>
      <w:pPr>
        <w:pStyle w:val="45"/>
        <w:ind w:firstLine="21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6"/>
        <w:spacing w:before="0" w:after="0" w:line="360" w:lineRule="auto"/>
        <w:rPr>
          <w:color w:val="auto"/>
          <w:highlight w:val="none"/>
        </w:rPr>
      </w:pPr>
      <w:r>
        <w:rPr>
          <w:rFonts w:hint="eastAsia"/>
          <w:color w:val="auto"/>
          <w:highlight w:val="none"/>
        </w:rPr>
        <w:t>一、投 标 函</w:t>
      </w:r>
      <w:bookmarkEnd w:id="135"/>
    </w:p>
    <w:p>
      <w:pPr>
        <w:spacing w:line="360" w:lineRule="auto"/>
        <w:outlineLvl w:val="5"/>
        <w:rPr>
          <w:rFonts w:hAnsi="宋体" w:cs="宋体"/>
          <w:bCs/>
          <w:color w:val="auto"/>
          <w:highlight w:val="none"/>
        </w:rPr>
      </w:pPr>
      <w:r>
        <w:rPr>
          <w:rFonts w:hint="eastAsia" w:hAnsi="宋体" w:cs="宋体"/>
          <w:bCs/>
          <w:color w:val="auto"/>
          <w:highlight w:val="none"/>
        </w:rPr>
        <w:t>四川五洲招标代理有限公司：</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我方全面研究了 “”项目【招标编号</w:t>
      </w:r>
      <w:r>
        <w:rPr>
          <w:rFonts w:hint="eastAsia" w:hAnsi="宋体" w:cs="宋体"/>
          <w:color w:val="auto"/>
          <w:highlight w:val="none"/>
        </w:rPr>
        <w:t>：</w:t>
      </w:r>
      <w:r>
        <w:rPr>
          <w:rFonts w:hint="eastAsia" w:hAnsi="宋体" w:cs="宋体"/>
          <w:color w:val="auto"/>
          <w:highlight w:val="none"/>
          <w:u w:val="single"/>
          <w:lang w:val="en-US" w:eastAsia="zh-CN"/>
        </w:rPr>
        <w:t xml:space="preserve">         </w:t>
      </w:r>
      <w:r>
        <w:rPr>
          <w:rFonts w:hint="eastAsia" w:hAnsi="宋体" w:cs="宋体"/>
          <w:bCs/>
          <w:color w:val="auto"/>
          <w:highlight w:val="none"/>
        </w:rPr>
        <w:t>】招标文件；决定参加贵单位组织的本项目投标。我方授权 （姓名、职务）代表我方（投标单位的名称）全权处理本项目投标的有关事宜。</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1、我方自愿按照招标文件规定的各项要求向采购人提供所需货物/服务，投标总价为人民币</w:t>
      </w:r>
      <w:r>
        <w:rPr>
          <w:rFonts w:hint="eastAsia" w:hAnsi="宋体" w:cs="宋体"/>
          <w:bCs/>
          <w:color w:val="auto"/>
          <w:highlight w:val="none"/>
          <w:lang w:eastAsia="zh-CN"/>
        </w:rPr>
        <w:t>小写：</w:t>
      </w:r>
      <w:r>
        <w:rPr>
          <w:rFonts w:hint="eastAsia" w:hAnsi="宋体" w:cs="宋体"/>
          <w:bCs/>
          <w:color w:val="auto"/>
          <w:highlight w:val="none"/>
          <w:lang w:val="en-US" w:eastAsia="zh-CN"/>
        </w:rPr>
        <w:t xml:space="preserve">     </w:t>
      </w:r>
      <w:r>
        <w:rPr>
          <w:rFonts w:hint="eastAsia" w:hAnsi="宋体" w:cs="宋体"/>
          <w:bCs/>
          <w:color w:val="auto"/>
          <w:highlight w:val="none"/>
        </w:rPr>
        <w:t>（大写：）。</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2、一旦我方中标，我方将严格履行政府采购合同规定的责任和义务。</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3、我们已详细阅读全部招标文件，参考资料及有关附件等，我们完全理解并放弃提出含糊不清或误解的问题的权利。</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4、我方为本项目提交的投标文件正本1份，副本</w:t>
      </w:r>
      <w:r>
        <w:rPr>
          <w:rFonts w:hAnsi="宋体" w:cs="宋体"/>
          <w:bCs/>
          <w:color w:val="auto"/>
          <w:highlight w:val="none"/>
        </w:rPr>
        <w:t>2</w:t>
      </w:r>
      <w:r>
        <w:rPr>
          <w:rFonts w:hint="eastAsia" w:hAnsi="宋体" w:cs="宋体"/>
          <w:bCs/>
          <w:color w:val="auto"/>
          <w:highlight w:val="none"/>
        </w:rPr>
        <w:t>份，电子文档一份（U盘或光盘），用于开标唱标的“开标一览表”1份，投标有效期为递交投标文件截止之日起90天。</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5、我方完全理解采购人</w:t>
      </w:r>
      <w:r>
        <w:rPr>
          <w:rFonts w:hint="eastAsia" w:hAnsi="宋体" w:cs="宋体"/>
          <w:color w:val="auto"/>
          <w:highlight w:val="none"/>
        </w:rPr>
        <w:t>不一定接受最低报价的投标或收到的任何投标</w:t>
      </w:r>
      <w:r>
        <w:rPr>
          <w:rFonts w:hint="eastAsia" w:hAnsi="宋体" w:cs="宋体"/>
          <w:bCs/>
          <w:color w:val="auto"/>
          <w:highlight w:val="none"/>
        </w:rPr>
        <w:t>。</w:t>
      </w:r>
    </w:p>
    <w:p>
      <w:pPr>
        <w:spacing w:line="400" w:lineRule="atLeast"/>
        <w:ind w:firstLine="470" w:firstLineChars="196"/>
        <w:outlineLvl w:val="1"/>
        <w:rPr>
          <w:rFonts w:hAnsi="宋体"/>
          <w:color w:val="auto"/>
          <w:highlight w:val="none"/>
        </w:rPr>
      </w:pPr>
      <w:r>
        <w:rPr>
          <w:rFonts w:hint="eastAsia" w:hAnsi="宋体" w:cs="宋体"/>
          <w:bCs/>
          <w:color w:val="auto"/>
          <w:highlight w:val="none"/>
        </w:rPr>
        <w:t>6、</w:t>
      </w:r>
      <w:r>
        <w:rPr>
          <w:rFonts w:hint="eastAsia" w:hAnsi="宋体"/>
          <w:color w:val="auto"/>
          <w:highlight w:val="none"/>
        </w:rPr>
        <w:t>我方同意本招标文件依据</w:t>
      </w:r>
      <w:r>
        <w:rPr>
          <w:rFonts w:ascii="宋体" w:hAnsi="宋体" w:cs="宋体"/>
          <w:color w:val="auto"/>
          <w:highlight w:val="none"/>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highlight w:val="none"/>
        </w:rPr>
        <w:t>对我方可能存在的失信行为进行的惩戒。</w:t>
      </w:r>
    </w:p>
    <w:p>
      <w:pPr>
        <w:autoSpaceDE w:val="0"/>
        <w:autoSpaceDN w:val="0"/>
        <w:snapToGrid w:val="0"/>
        <w:spacing w:line="400" w:lineRule="atLeast"/>
        <w:ind w:firstLine="480" w:firstLineChars="200"/>
        <w:rPr>
          <w:color w:val="auto"/>
          <w:highlight w:val="none"/>
        </w:rPr>
      </w:pPr>
      <w:r>
        <w:rPr>
          <w:rFonts w:hint="eastAsia" w:hAnsi="宋体"/>
          <w:color w:val="auto"/>
          <w:highlight w:val="none"/>
        </w:rPr>
        <w:t>7、</w:t>
      </w:r>
      <w:r>
        <w:rPr>
          <w:rFonts w:hAnsi="宋体"/>
          <w:color w:val="auto"/>
          <w:highlight w:val="none"/>
        </w:rPr>
        <w:t>如果我方</w:t>
      </w:r>
      <w:r>
        <w:rPr>
          <w:rFonts w:hint="eastAsia" w:hAnsi="宋体"/>
          <w:color w:val="auto"/>
          <w:highlight w:val="none"/>
        </w:rPr>
        <w:t>中标</w:t>
      </w:r>
      <w:r>
        <w:rPr>
          <w:rFonts w:hAnsi="宋体"/>
          <w:color w:val="auto"/>
          <w:highlight w:val="none"/>
        </w:rPr>
        <w:t>，我方保证按照招标文件的规定向贵方交纳</w:t>
      </w:r>
      <w:r>
        <w:rPr>
          <w:rFonts w:hint="eastAsia" w:hAnsi="宋体"/>
          <w:color w:val="auto"/>
          <w:highlight w:val="none"/>
        </w:rPr>
        <w:t>中标</w:t>
      </w:r>
      <w:r>
        <w:rPr>
          <w:rFonts w:hAnsi="宋体"/>
          <w:color w:val="auto"/>
          <w:highlight w:val="none"/>
        </w:rPr>
        <w:t>服务费</w:t>
      </w:r>
      <w:r>
        <w:rPr>
          <w:rFonts w:hint="eastAsia" w:hAnsi="宋体"/>
          <w:color w:val="auto"/>
          <w:highlight w:val="none"/>
        </w:rPr>
        <w:t>。</w:t>
      </w:r>
    </w:p>
    <w:p>
      <w:pPr>
        <w:spacing w:line="400" w:lineRule="atLeast"/>
        <w:ind w:firstLine="470" w:firstLineChars="196"/>
        <w:outlineLvl w:val="1"/>
        <w:rPr>
          <w:rFonts w:hAnsi="宋体" w:cs="宋体"/>
          <w:bCs/>
          <w:color w:val="auto"/>
          <w:highlight w:val="none"/>
        </w:rPr>
      </w:pPr>
      <w:r>
        <w:rPr>
          <w:rFonts w:hint="eastAsia" w:hAnsi="宋体" w:cs="宋体"/>
          <w:bCs/>
          <w:color w:val="auto"/>
          <w:highlight w:val="none"/>
        </w:rPr>
        <w:t>8、我方愿意提供贵方可能另外要求的，与投标有关的文件资料，并保证我方已提供和将要提供的文件资料是真实、准确的。</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 xml:space="preserve">投标人名称（单位公章）：        </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法定代表人或授权代表（签字）：</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 xml:space="preserve">联系电话：                       </w:t>
      </w:r>
    </w:p>
    <w:p>
      <w:pPr>
        <w:spacing w:line="400" w:lineRule="atLeast"/>
        <w:ind w:firstLine="480" w:firstLineChars="200"/>
        <w:outlineLvl w:val="5"/>
        <w:rPr>
          <w:rFonts w:hAnsi="宋体"/>
          <w:color w:val="auto"/>
          <w:highlight w:val="none"/>
        </w:rPr>
      </w:pPr>
      <w:r>
        <w:rPr>
          <w:rFonts w:hint="eastAsia" w:hAnsi="宋体"/>
          <w:color w:val="auto"/>
          <w:highlight w:val="none"/>
        </w:rPr>
        <w:t>传    真：</w:t>
      </w:r>
    </w:p>
    <w:p>
      <w:pPr>
        <w:spacing w:line="400" w:lineRule="atLeast"/>
        <w:ind w:firstLine="480" w:firstLineChars="200"/>
        <w:outlineLvl w:val="5"/>
        <w:rPr>
          <w:rFonts w:hAnsi="宋体"/>
          <w:color w:val="auto"/>
          <w:highlight w:val="none"/>
        </w:rPr>
      </w:pPr>
      <w:r>
        <w:rPr>
          <w:rFonts w:hint="eastAsia" w:hAnsi="宋体"/>
          <w:color w:val="auto"/>
          <w:highlight w:val="none"/>
        </w:rPr>
        <w:t xml:space="preserve">通讯地址：                        </w:t>
      </w:r>
    </w:p>
    <w:p>
      <w:pPr>
        <w:spacing w:line="400" w:lineRule="atLeast"/>
        <w:ind w:firstLine="480" w:firstLineChars="200"/>
        <w:outlineLvl w:val="5"/>
        <w:rPr>
          <w:rFonts w:hAnsi="宋体"/>
          <w:color w:val="auto"/>
          <w:highlight w:val="none"/>
        </w:rPr>
      </w:pPr>
      <w:r>
        <w:rPr>
          <w:rFonts w:hint="eastAsia" w:hAnsi="宋体"/>
          <w:color w:val="auto"/>
          <w:highlight w:val="none"/>
        </w:rPr>
        <w:t xml:space="preserve">邮政编码：             </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日    期：</w:t>
      </w:r>
    </w:p>
    <w:p>
      <w:pPr>
        <w:pStyle w:val="6"/>
        <w:spacing w:before="0" w:after="0" w:line="360" w:lineRule="auto"/>
        <w:rPr>
          <w:color w:val="auto"/>
          <w:highlight w:val="none"/>
        </w:rPr>
      </w:pPr>
      <w:r>
        <w:rPr>
          <w:rFonts w:hint="eastAsia"/>
          <w:color w:val="auto"/>
          <w:highlight w:val="none"/>
        </w:rPr>
        <w:br w:type="page"/>
      </w:r>
      <w:r>
        <w:rPr>
          <w:rFonts w:hint="eastAsia"/>
          <w:color w:val="auto"/>
          <w:highlight w:val="none"/>
        </w:rPr>
        <w:t xml:space="preserve">二、承诺函 </w:t>
      </w:r>
    </w:p>
    <w:p>
      <w:pPr>
        <w:spacing w:line="240" w:lineRule="auto"/>
        <w:outlineLvl w:val="5"/>
        <w:rPr>
          <w:rFonts w:hAnsi="宋体" w:cs="宋体"/>
          <w:highlight w:val="none"/>
        </w:rPr>
      </w:pPr>
      <w:r>
        <w:rPr>
          <w:rFonts w:hint="eastAsia" w:hAnsi="宋体" w:cs="宋体"/>
          <w:highlight w:val="none"/>
        </w:rPr>
        <w:t>致：四川五洲招标代理有限公司</w:t>
      </w:r>
    </w:p>
    <w:p>
      <w:pPr>
        <w:spacing w:line="240" w:lineRule="auto"/>
        <w:ind w:firstLine="480" w:firstLineChars="200"/>
        <w:outlineLvl w:val="1"/>
        <w:rPr>
          <w:rFonts w:hAnsi="宋体"/>
          <w:highlight w:val="none"/>
        </w:rPr>
      </w:pPr>
      <w:r>
        <w:rPr>
          <w:rFonts w:hint="eastAsia" w:hAnsi="宋体"/>
          <w:highlight w:val="none"/>
        </w:rPr>
        <w:t>我公司作为本次采购项目的投标人，根据招标文件要求，现郑重承诺如下：</w:t>
      </w:r>
    </w:p>
    <w:p>
      <w:pPr>
        <w:spacing w:line="240" w:lineRule="auto"/>
        <w:ind w:firstLine="480" w:firstLineChars="200"/>
        <w:outlineLvl w:val="1"/>
        <w:rPr>
          <w:rFonts w:hAnsi="宋体"/>
          <w:highlight w:val="none"/>
        </w:rPr>
      </w:pPr>
      <w:r>
        <w:rPr>
          <w:rFonts w:hint="eastAsia" w:hAnsi="宋体"/>
          <w:highlight w:val="none"/>
        </w:rPr>
        <w:t>一、具备《中华人民共和国政府采购法》第二十二条第一款和本项目规定的条件：</w:t>
      </w:r>
    </w:p>
    <w:p>
      <w:pPr>
        <w:spacing w:line="240" w:lineRule="auto"/>
        <w:ind w:firstLine="480" w:firstLineChars="200"/>
        <w:outlineLvl w:val="1"/>
        <w:rPr>
          <w:rFonts w:hAnsi="宋体"/>
          <w:highlight w:val="none"/>
        </w:rPr>
      </w:pPr>
      <w:r>
        <w:rPr>
          <w:rFonts w:hint="eastAsia" w:hAnsi="宋体"/>
          <w:highlight w:val="none"/>
        </w:rPr>
        <w:t xml:space="preserve">（1）具有独立承担民事责任的能力； </w:t>
      </w:r>
    </w:p>
    <w:p>
      <w:pPr>
        <w:spacing w:line="240" w:lineRule="auto"/>
        <w:ind w:firstLine="480" w:firstLineChars="200"/>
        <w:outlineLvl w:val="1"/>
        <w:rPr>
          <w:rFonts w:hAnsi="宋体"/>
          <w:highlight w:val="none"/>
        </w:rPr>
      </w:pPr>
      <w:r>
        <w:rPr>
          <w:rFonts w:hint="eastAsia" w:hAnsi="宋体"/>
          <w:highlight w:val="none"/>
        </w:rPr>
        <w:t xml:space="preserve">（2）具有良好的商业信誉和健全的财务会计制度； </w:t>
      </w:r>
    </w:p>
    <w:p>
      <w:pPr>
        <w:spacing w:line="240" w:lineRule="auto"/>
        <w:ind w:firstLine="480" w:firstLineChars="200"/>
        <w:outlineLvl w:val="1"/>
        <w:rPr>
          <w:rFonts w:hAnsi="宋体"/>
          <w:highlight w:val="none"/>
        </w:rPr>
      </w:pPr>
      <w:r>
        <w:rPr>
          <w:rFonts w:hint="eastAsia" w:hAnsi="宋体"/>
          <w:highlight w:val="none"/>
        </w:rPr>
        <w:t xml:space="preserve">（3）具有履行合同所必需的设备和专业技术能力； </w:t>
      </w:r>
    </w:p>
    <w:p>
      <w:pPr>
        <w:spacing w:line="240" w:lineRule="auto"/>
        <w:ind w:firstLine="480" w:firstLineChars="200"/>
        <w:outlineLvl w:val="1"/>
        <w:rPr>
          <w:rFonts w:hAnsi="宋体"/>
          <w:highlight w:val="none"/>
        </w:rPr>
      </w:pPr>
      <w:r>
        <w:rPr>
          <w:rFonts w:hint="eastAsia" w:hAnsi="宋体"/>
          <w:highlight w:val="none"/>
        </w:rPr>
        <w:t xml:space="preserve">（4）有依法缴纳税收和社会保障资金的良好记录； </w:t>
      </w:r>
    </w:p>
    <w:p>
      <w:pPr>
        <w:spacing w:line="240" w:lineRule="auto"/>
        <w:ind w:firstLine="480" w:firstLineChars="200"/>
        <w:outlineLvl w:val="1"/>
        <w:rPr>
          <w:rFonts w:hAnsi="宋体"/>
          <w:highlight w:val="none"/>
        </w:rPr>
      </w:pPr>
      <w:r>
        <w:rPr>
          <w:rFonts w:hint="eastAsia" w:hAnsi="宋体"/>
          <w:highlight w:val="none"/>
        </w:rPr>
        <w:t>（5）参加政府采购活动前三年内，在经营活动中没有重大违法记录；</w:t>
      </w:r>
    </w:p>
    <w:p>
      <w:pPr>
        <w:spacing w:line="240" w:lineRule="auto"/>
        <w:ind w:firstLine="480" w:firstLineChars="200"/>
        <w:outlineLvl w:val="1"/>
        <w:rPr>
          <w:rFonts w:hAnsi="宋体"/>
          <w:highlight w:val="none"/>
        </w:rPr>
      </w:pPr>
      <w:r>
        <w:rPr>
          <w:rFonts w:hint="eastAsia" w:hAnsi="宋体"/>
          <w:highlight w:val="none"/>
        </w:rPr>
        <w:t>（6）法律、行政法规规定的其他条件；</w:t>
      </w:r>
    </w:p>
    <w:p>
      <w:pPr>
        <w:spacing w:line="240" w:lineRule="auto"/>
        <w:ind w:firstLine="480" w:firstLineChars="200"/>
        <w:outlineLvl w:val="1"/>
        <w:rPr>
          <w:rFonts w:hAnsi="宋体"/>
          <w:highlight w:val="none"/>
        </w:rPr>
      </w:pPr>
      <w:r>
        <w:rPr>
          <w:rFonts w:hint="eastAsia" w:hAnsi="宋体"/>
          <w:highlight w:val="none"/>
        </w:rPr>
        <w:t>（7）根据采购项目提出的特殊条件</w:t>
      </w:r>
      <w:r>
        <w:rPr>
          <w:rFonts w:hAnsi="宋体"/>
          <w:highlight w:val="none"/>
        </w:rPr>
        <w:t>。</w:t>
      </w:r>
    </w:p>
    <w:p>
      <w:pPr>
        <w:spacing w:line="240" w:lineRule="auto"/>
        <w:ind w:firstLine="480" w:firstLineChars="200"/>
        <w:outlineLvl w:val="1"/>
        <w:rPr>
          <w:rFonts w:hAnsi="宋体"/>
          <w:highlight w:val="none"/>
        </w:rPr>
      </w:pPr>
      <w:r>
        <w:rPr>
          <w:rFonts w:hAnsi="宋体"/>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240" w:lineRule="auto"/>
        <w:ind w:firstLine="480" w:firstLineChars="200"/>
        <w:outlineLvl w:val="1"/>
        <w:rPr>
          <w:rFonts w:hAnsi="宋体"/>
          <w:highlight w:val="none"/>
        </w:rPr>
      </w:pPr>
      <w:r>
        <w:rPr>
          <w:rFonts w:hint="eastAsia" w:hAnsi="宋体"/>
          <w:highlight w:val="none"/>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spacing w:line="240" w:lineRule="auto"/>
        <w:ind w:firstLine="480" w:firstLineChars="200"/>
        <w:outlineLvl w:val="1"/>
        <w:rPr>
          <w:rFonts w:hAnsi="宋体"/>
          <w:highlight w:val="none"/>
        </w:rPr>
      </w:pPr>
      <w:r>
        <w:rPr>
          <w:rFonts w:hint="eastAsia" w:hAnsi="宋体"/>
          <w:highlight w:val="none"/>
        </w:rPr>
        <w:t>四、参加本次招标采购活动，不存在和其他供应商在同一合同项下的采购项目中，同时委托同一个自然人、同一家庭的人员、同一单位的人员作为代理人的行为。</w:t>
      </w:r>
    </w:p>
    <w:p>
      <w:pPr>
        <w:spacing w:line="240" w:lineRule="auto"/>
        <w:ind w:firstLine="480" w:firstLineChars="200"/>
        <w:outlineLvl w:val="1"/>
        <w:rPr>
          <w:rFonts w:hAnsi="宋体"/>
          <w:highlight w:val="none"/>
        </w:rPr>
      </w:pPr>
      <w:r>
        <w:rPr>
          <w:rFonts w:hint="eastAsia" w:hAnsi="宋体"/>
          <w:highlight w:val="none"/>
        </w:rPr>
        <w:t>五、我司未被</w:t>
      </w:r>
      <w:r>
        <w:rPr>
          <w:rFonts w:hAnsi="宋体"/>
          <w:highlight w:val="none"/>
        </w:rPr>
        <w:t>对列入</w:t>
      </w:r>
      <w:r>
        <w:rPr>
          <w:rFonts w:hint="eastAsia" w:hAnsi="宋体"/>
          <w:highlight w:val="none"/>
        </w:rPr>
        <w:t>按财库[2016]125号规定的</w:t>
      </w:r>
      <w:r>
        <w:rPr>
          <w:rFonts w:hAnsi="宋体"/>
          <w:highlight w:val="none"/>
        </w:rPr>
        <w:t>失信被执行人、重大税收违法案件当事人名单、政府采购严重违法失信行为记录名单及其他不符合《中华人民共和国政府采购法》第二十二条规定条件的供应商</w:t>
      </w:r>
      <w:r>
        <w:rPr>
          <w:rFonts w:hint="eastAsia" w:hAnsi="宋体"/>
          <w:highlight w:val="none"/>
        </w:rPr>
        <w:t>。</w:t>
      </w:r>
    </w:p>
    <w:p>
      <w:pPr>
        <w:spacing w:line="240" w:lineRule="auto"/>
        <w:ind w:firstLine="480" w:firstLineChars="200"/>
        <w:outlineLvl w:val="1"/>
        <w:rPr>
          <w:rFonts w:hAnsi="宋体"/>
          <w:b/>
          <w:highlight w:val="none"/>
        </w:rPr>
      </w:pPr>
      <w:r>
        <w:rPr>
          <w:rFonts w:hAnsi="宋体"/>
          <w:highlight w:val="none"/>
        </w:rPr>
        <w:t>六</w:t>
      </w:r>
      <w:r>
        <w:rPr>
          <w:rFonts w:hint="eastAsia" w:hAnsi="宋体"/>
          <w:highlight w:val="none"/>
        </w:rPr>
        <w:t>、</w:t>
      </w:r>
      <w:r>
        <w:rPr>
          <w:rFonts w:hint="eastAsia" w:hAnsi="宋体"/>
          <w:b/>
          <w:highlight w:val="none"/>
        </w:rPr>
        <w:t>如果有《四川省公共资源交易领域严重失信联合惩戒实施办法》（川发改信用规〔2019〕405号）、《关于对政府采购领域严重违法失信主体开展联合惩戒的合作备忘录》（发改财金〔2018〕1614号）规定的记入诚信档案的失信行为，将在投标文件中全面如实反映。</w:t>
      </w:r>
    </w:p>
    <w:p>
      <w:pPr>
        <w:spacing w:line="240" w:lineRule="auto"/>
        <w:ind w:firstLine="480" w:firstLineChars="200"/>
        <w:outlineLvl w:val="1"/>
        <w:rPr>
          <w:rFonts w:hAnsi="宋体"/>
          <w:highlight w:val="none"/>
        </w:rPr>
      </w:pPr>
      <w:r>
        <w:rPr>
          <w:rFonts w:hint="eastAsia" w:hAnsi="宋体"/>
          <w:highlight w:val="none"/>
        </w:rPr>
        <w:t>七、投标文件中提供的能够给予我公司带来优惠、好处的任何材料资料和技术、服务、商务等响应承诺情况都是真实的、有效的、合法的。</w:t>
      </w:r>
    </w:p>
    <w:p>
      <w:pPr>
        <w:spacing w:line="240" w:lineRule="auto"/>
        <w:ind w:firstLine="480" w:firstLineChars="200"/>
        <w:outlineLvl w:val="1"/>
        <w:rPr>
          <w:rFonts w:hAnsi="宋体"/>
          <w:highlight w:val="none"/>
        </w:rPr>
      </w:pPr>
      <w:r>
        <w:rPr>
          <w:rFonts w:hint="eastAsia" w:hAnsi="宋体"/>
          <w:highlight w:val="none"/>
        </w:rPr>
        <w:t>八、我司完全同意招标文件中关于知识产权的说明，承诺由此造成的纠纷由本单位全权负责。</w:t>
      </w:r>
    </w:p>
    <w:p>
      <w:pPr>
        <w:spacing w:line="240" w:lineRule="auto"/>
        <w:ind w:firstLine="480" w:firstLineChars="200"/>
        <w:outlineLvl w:val="1"/>
        <w:rPr>
          <w:rFonts w:hint="eastAsia" w:hAnsi="宋体"/>
          <w:highlight w:val="none"/>
        </w:rPr>
      </w:pPr>
      <w:r>
        <w:rPr>
          <w:rFonts w:hint="eastAsia" w:hAnsi="宋体"/>
          <w:highlight w:val="none"/>
        </w:rPr>
        <w:t>九、国家或行业主管部门对采购产品的技术标准、质量标准和资格资质条件等有强制性规定的，我方承诺符合其要求。</w:t>
      </w:r>
    </w:p>
    <w:p>
      <w:pPr>
        <w:spacing w:line="240" w:lineRule="auto"/>
        <w:ind w:firstLine="480" w:firstLineChars="200"/>
        <w:outlineLvl w:val="1"/>
        <w:rPr>
          <w:rFonts w:hint="eastAsia" w:hAnsi="宋体"/>
          <w:highlight w:val="none"/>
        </w:rPr>
      </w:pPr>
      <w:r>
        <w:rPr>
          <w:rFonts w:hint="eastAsia" w:hAnsi="宋体"/>
          <w:highlight w:val="none"/>
          <w:lang w:eastAsia="zh-CN"/>
        </w:rPr>
        <w:t>十</w:t>
      </w:r>
      <w:r>
        <w:rPr>
          <w:rFonts w:hint="eastAsia" w:hAnsi="宋体"/>
          <w:highlight w:val="none"/>
        </w:rPr>
        <w:t>、我方将严格按照相关法律法规的要求参与医院采购活动，积极配合医院营造风清气正的亲清营商环境。不以现金、红包、回扣、有价证券、贵重礼品等任何形式影响采购人采购行为。  </w:t>
      </w:r>
    </w:p>
    <w:p>
      <w:pPr>
        <w:spacing w:line="240" w:lineRule="auto"/>
        <w:ind w:firstLine="480" w:firstLineChars="200"/>
        <w:outlineLvl w:val="1"/>
        <w:rPr>
          <w:rFonts w:hint="eastAsia" w:hAnsi="宋体"/>
          <w:highlight w:val="none"/>
        </w:rPr>
      </w:pPr>
      <w:r>
        <w:rPr>
          <w:rFonts w:hint="eastAsia" w:hAnsi="宋体"/>
          <w:highlight w:val="none"/>
          <w:lang w:eastAsia="zh-CN"/>
        </w:rPr>
        <w:t>十一</w:t>
      </w:r>
      <w:r>
        <w:rPr>
          <w:rFonts w:hint="eastAsia" w:hAnsi="宋体"/>
          <w:highlight w:val="none"/>
        </w:rPr>
        <w:t>、我公司郑重承诺：不组织、不参与任何陪标、围标、串标行为；绝不以他人名义投标，不以任何弄虚作假的方式参加投标。</w:t>
      </w:r>
    </w:p>
    <w:p>
      <w:pPr>
        <w:adjustRightInd w:val="0"/>
        <w:spacing w:line="240" w:lineRule="auto"/>
        <w:ind w:firstLine="480" w:firstLineChars="200"/>
        <w:outlineLvl w:val="5"/>
        <w:rPr>
          <w:rFonts w:hAnsi="宋体"/>
          <w:highlight w:val="none"/>
        </w:rPr>
      </w:pPr>
      <w:r>
        <w:rPr>
          <w:rFonts w:hint="eastAsia" w:hAnsi="宋体"/>
          <w:highlight w:val="none"/>
        </w:rPr>
        <w:t>本单位对上述承诺内容事项真实性负责。如经查实上述承诺的内容事项存在虚假，本单位愿意接受以提供虚假材料谋取中标追究法律责任。</w:t>
      </w:r>
    </w:p>
    <w:p>
      <w:pPr>
        <w:adjustRightInd w:val="0"/>
        <w:spacing w:line="240" w:lineRule="auto"/>
        <w:outlineLvl w:val="5"/>
        <w:rPr>
          <w:rFonts w:hint="eastAsia" w:hAnsi="宋体"/>
          <w:highlight w:val="none"/>
        </w:rPr>
      </w:pPr>
    </w:p>
    <w:p>
      <w:pPr>
        <w:adjustRightInd w:val="0"/>
        <w:spacing w:line="240" w:lineRule="auto"/>
        <w:outlineLvl w:val="5"/>
        <w:rPr>
          <w:rFonts w:hint="eastAsia" w:hAnsi="宋体"/>
          <w:highlight w:val="none"/>
        </w:rPr>
      </w:pPr>
    </w:p>
    <w:p>
      <w:pPr>
        <w:adjustRightInd w:val="0"/>
        <w:spacing w:line="240" w:lineRule="auto"/>
        <w:outlineLvl w:val="5"/>
        <w:rPr>
          <w:rFonts w:hAnsi="宋体"/>
          <w:highlight w:val="none"/>
        </w:rPr>
      </w:pPr>
      <w:r>
        <w:rPr>
          <w:rFonts w:hint="eastAsia" w:hAnsi="宋体"/>
          <w:highlight w:val="none"/>
        </w:rPr>
        <w:t>投标人名称：        （盖单位公章）</w:t>
      </w:r>
    </w:p>
    <w:p>
      <w:pPr>
        <w:adjustRightInd w:val="0"/>
        <w:spacing w:line="240" w:lineRule="auto"/>
        <w:outlineLvl w:val="5"/>
        <w:rPr>
          <w:rFonts w:hAnsi="宋体"/>
          <w:highlight w:val="none"/>
        </w:rPr>
      </w:pPr>
      <w:r>
        <w:rPr>
          <w:rFonts w:hint="eastAsia" w:hAnsi="宋体"/>
          <w:highlight w:val="none"/>
        </w:rPr>
        <w:t>法定代表人或授权代表（签字）：</w:t>
      </w:r>
    </w:p>
    <w:p>
      <w:pPr>
        <w:spacing w:line="240" w:lineRule="auto"/>
        <w:outlineLvl w:val="5"/>
        <w:rPr>
          <w:rFonts w:hAnsi="宋体"/>
          <w:highlight w:val="none"/>
        </w:rPr>
      </w:pPr>
      <w:r>
        <w:rPr>
          <w:rFonts w:hint="eastAsia" w:hAnsi="宋体"/>
          <w:highlight w:val="none"/>
        </w:rPr>
        <w:t>日期：</w:t>
      </w:r>
    </w:p>
    <w:p>
      <w:pPr>
        <w:pStyle w:val="6"/>
        <w:spacing w:line="360" w:lineRule="auto"/>
        <w:rPr>
          <w:color w:val="auto"/>
          <w:highlight w:val="none"/>
        </w:rPr>
      </w:pPr>
      <w:r>
        <w:rPr>
          <w:rFonts w:hint="eastAsia"/>
          <w:color w:val="auto"/>
          <w:highlight w:val="none"/>
        </w:rPr>
        <w:t>三、法定代表人授权书</w:t>
      </w:r>
    </w:p>
    <w:p>
      <w:pPr>
        <w:spacing w:line="360" w:lineRule="auto"/>
        <w:outlineLvl w:val="5"/>
        <w:rPr>
          <w:rFonts w:hAnsi="宋体" w:cs="宋体"/>
          <w:b/>
          <w:color w:val="auto"/>
          <w:sz w:val="44"/>
          <w:highlight w:val="none"/>
        </w:rPr>
      </w:pPr>
    </w:p>
    <w:p>
      <w:pPr>
        <w:spacing w:line="360" w:lineRule="auto"/>
        <w:outlineLvl w:val="5"/>
        <w:rPr>
          <w:rFonts w:hAnsi="宋体" w:cs="宋体"/>
          <w:color w:val="auto"/>
          <w:highlight w:val="none"/>
        </w:rPr>
      </w:pPr>
      <w:r>
        <w:rPr>
          <w:rFonts w:hint="eastAsia" w:hAnsi="宋体" w:cs="宋体"/>
          <w:color w:val="auto"/>
          <w:highlight w:val="none"/>
        </w:rPr>
        <w:t>四川五洲招标代理有限公司：</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本授权声明：（投标人名称）（法定代表人姓名、职务）授权（被授权人姓名、职务）为我方 “”项目（招标编号：</w:t>
      </w:r>
      <w:r>
        <w:rPr>
          <w:rFonts w:hint="eastAsia" w:hAnsi="宋体" w:cs="宋体"/>
          <w:color w:val="auto"/>
          <w:highlight w:val="none"/>
          <w:u w:val="single"/>
          <w:lang w:val="en-US" w:eastAsia="zh-CN"/>
        </w:rPr>
        <w:t xml:space="preserve">             </w:t>
      </w:r>
      <w:r>
        <w:rPr>
          <w:rFonts w:hint="eastAsia" w:hAnsi="宋体" w:cs="宋体"/>
          <w:color w:val="auto"/>
          <w:highlight w:val="none"/>
        </w:rPr>
        <w:t>）；投标活动的合法代表，以我方名义全权处理该项目有关投标、签订合同以及执行合同等一切事宜。</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特此声明。</w:t>
      </w:r>
    </w:p>
    <w:p>
      <w:pPr>
        <w:spacing w:line="360" w:lineRule="auto"/>
        <w:ind w:firstLine="480" w:firstLineChars="200"/>
        <w:outlineLvl w:val="5"/>
        <w:rPr>
          <w:rFonts w:hAnsi="宋体" w:cs="宋体"/>
          <w:color w:val="auto"/>
          <w:highlight w:val="none"/>
        </w:rPr>
      </w:pPr>
    </w:p>
    <w:p>
      <w:pPr>
        <w:spacing w:line="360" w:lineRule="auto"/>
        <w:ind w:firstLine="480" w:firstLineChars="200"/>
        <w:outlineLvl w:val="5"/>
        <w:rPr>
          <w:rFonts w:hAnsi="宋体" w:cs="宋体"/>
          <w:color w:val="auto"/>
          <w:highlight w:val="none"/>
        </w:rPr>
      </w:pPr>
    </w:p>
    <w:p>
      <w:pPr>
        <w:spacing w:line="360" w:lineRule="auto"/>
        <w:ind w:firstLine="470" w:firstLineChars="196"/>
        <w:outlineLvl w:val="1"/>
        <w:rPr>
          <w:color w:val="auto"/>
          <w:highlight w:val="none"/>
        </w:rPr>
      </w:pPr>
      <w:r>
        <w:rPr>
          <w:rFonts w:hint="eastAsia"/>
          <w:color w:val="auto"/>
          <w:highlight w:val="none"/>
        </w:rPr>
        <w:t>法定代表人签字或盖法定代表人名章</w:t>
      </w:r>
      <w:r>
        <w:rPr>
          <w:rFonts w:hint="eastAsia" w:hAnsi="宋体" w:cs="宋体"/>
          <w:color w:val="auto"/>
          <w:highlight w:val="none"/>
        </w:rPr>
        <w:t>：</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授权代表人（签字）：</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投标人名称：         （盖单位公章）</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日    期：</w:t>
      </w:r>
    </w:p>
    <w:p>
      <w:pPr>
        <w:spacing w:line="360" w:lineRule="auto"/>
        <w:outlineLvl w:val="5"/>
        <w:rPr>
          <w:rFonts w:hAnsi="宋体" w:cs="宋体"/>
          <w:color w:val="auto"/>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Cs/>
          <w:color w:val="auto"/>
          <w:highlight w:val="none"/>
        </w:rPr>
      </w:pPr>
      <w:r>
        <w:rPr>
          <w:rFonts w:hint="eastAsia" w:hAnsi="宋体" w:cs="宋体"/>
          <w:bCs/>
          <w:color w:val="auto"/>
          <w:highlight w:val="none"/>
        </w:rPr>
        <w:t>注：（1）法定代表人不参与投标而委托代理人投标适用。</w:t>
      </w:r>
    </w:p>
    <w:p>
      <w:pPr>
        <w:spacing w:line="360" w:lineRule="auto"/>
        <w:ind w:firstLine="360" w:firstLineChars="150"/>
        <w:outlineLvl w:val="5"/>
        <w:rPr>
          <w:rFonts w:hAnsi="宋体" w:cs="宋体"/>
          <w:bCs/>
          <w:color w:val="auto"/>
          <w:sz w:val="28"/>
          <w:szCs w:val="28"/>
          <w:highlight w:val="none"/>
        </w:rPr>
      </w:pPr>
      <w:r>
        <w:rPr>
          <w:rFonts w:hint="eastAsia" w:hAnsi="宋体" w:cs="宋体"/>
          <w:bCs/>
          <w:color w:val="auto"/>
          <w:highlight w:val="none"/>
        </w:rPr>
        <w:t xml:space="preserve"> （2）附法定代表人、授权代表身份证复印件加盖投标人公章。</w:t>
      </w: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pStyle w:val="45"/>
        <w:rPr>
          <w:color w:val="auto"/>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pStyle w:val="6"/>
        <w:spacing w:line="360" w:lineRule="auto"/>
        <w:rPr>
          <w:color w:val="auto"/>
          <w:highlight w:val="none"/>
        </w:rPr>
      </w:pPr>
      <w:r>
        <w:rPr>
          <w:rFonts w:hint="eastAsia"/>
          <w:color w:val="auto"/>
          <w:highlight w:val="none"/>
        </w:rPr>
        <w:t>四、法定代表人身份证明</w:t>
      </w:r>
    </w:p>
    <w:p>
      <w:pPr>
        <w:autoSpaceDE w:val="0"/>
        <w:autoSpaceDN w:val="0"/>
        <w:adjustRightInd w:val="0"/>
        <w:spacing w:line="360" w:lineRule="auto"/>
        <w:outlineLvl w:val="5"/>
        <w:rPr>
          <w:rFonts w:hAnsi="宋体" w:cs="宋体"/>
          <w:color w:val="auto"/>
          <w:sz w:val="20"/>
          <w:highlight w:val="none"/>
        </w:rPr>
      </w:pPr>
    </w:p>
    <w:p>
      <w:pPr>
        <w:autoSpaceDE w:val="0"/>
        <w:autoSpaceDN w:val="0"/>
        <w:adjustRightInd w:val="0"/>
        <w:spacing w:before="1" w:line="360" w:lineRule="auto"/>
        <w:outlineLvl w:val="5"/>
        <w:rPr>
          <w:rFonts w:hAnsi="宋体" w:cs="宋体"/>
          <w:color w:val="auto"/>
          <w:highlight w:val="none"/>
        </w:rPr>
      </w:pPr>
    </w:p>
    <w:p>
      <w:pPr>
        <w:tabs>
          <w:tab w:val="left" w:pos="5420"/>
        </w:tabs>
        <w:autoSpaceDE w:val="0"/>
        <w:autoSpaceDN w:val="0"/>
        <w:adjustRightInd w:val="0"/>
        <w:spacing w:line="360" w:lineRule="auto"/>
        <w:ind w:left="120" w:right="-20"/>
        <w:outlineLvl w:val="5"/>
        <w:rPr>
          <w:rFonts w:hAnsi="宋体" w:cs="宋体"/>
          <w:color w:val="auto"/>
          <w:highlight w:val="none"/>
        </w:rPr>
      </w:pPr>
      <w:r>
        <w:rPr>
          <w:rFonts w:hint="eastAsia" w:hAnsi="宋体" w:cs="宋体"/>
          <w:color w:val="auto"/>
          <w:highlight w:val="none"/>
        </w:rPr>
        <w:t>投标人</w:t>
      </w:r>
      <w:r>
        <w:rPr>
          <w:rFonts w:hint="eastAsia" w:hAnsi="宋体" w:cs="宋体"/>
          <w:color w:val="auto"/>
          <w:spacing w:val="5"/>
          <w:highlight w:val="none"/>
        </w:rPr>
        <w:t>名</w:t>
      </w:r>
      <w:r>
        <w:rPr>
          <w:rFonts w:hint="eastAsia" w:hAnsi="宋体" w:cs="宋体"/>
          <w:color w:val="auto"/>
          <w:highlight w:val="none"/>
        </w:rPr>
        <w:t>称：</w:t>
      </w:r>
      <w:r>
        <w:rPr>
          <w:rFonts w:hint="eastAsia" w:hAnsi="宋体" w:cs="宋体"/>
          <w:color w:val="auto"/>
          <w:highlight w:val="none"/>
          <w:u w:val="single"/>
        </w:rPr>
        <w:tab/>
      </w:r>
    </w:p>
    <w:p>
      <w:pPr>
        <w:tabs>
          <w:tab w:val="left" w:pos="54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单位性</w:t>
      </w:r>
      <w:r>
        <w:rPr>
          <w:rFonts w:hint="eastAsia" w:hAnsi="宋体" w:cs="宋体"/>
          <w:color w:val="auto"/>
          <w:spacing w:val="5"/>
          <w:highlight w:val="none"/>
        </w:rPr>
        <w:t>质</w:t>
      </w:r>
      <w:r>
        <w:rPr>
          <w:rFonts w:hint="eastAsia" w:hAnsi="宋体" w:cs="宋体"/>
          <w:color w:val="auto"/>
          <w:highlight w:val="none"/>
        </w:rPr>
        <w:t>：</w:t>
      </w:r>
      <w:r>
        <w:rPr>
          <w:rFonts w:hint="eastAsia" w:hAnsi="宋体" w:cs="宋体"/>
          <w:color w:val="auto"/>
          <w:highlight w:val="none"/>
          <w:u w:val="single"/>
        </w:rPr>
        <w:tab/>
      </w:r>
    </w:p>
    <w:p>
      <w:pPr>
        <w:tabs>
          <w:tab w:val="left" w:pos="54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ab/>
      </w:r>
    </w:p>
    <w:p>
      <w:pPr>
        <w:tabs>
          <w:tab w:val="left" w:pos="2340"/>
          <w:tab w:val="left" w:pos="3600"/>
          <w:tab w:val="left" w:pos="47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成立时</w:t>
      </w:r>
      <w:r>
        <w:rPr>
          <w:rFonts w:hint="eastAsia" w:hAnsi="宋体" w:cs="宋体"/>
          <w:color w:val="auto"/>
          <w:spacing w:val="5"/>
          <w:highlight w:val="none"/>
        </w:rPr>
        <w:t>间</w:t>
      </w:r>
      <w:r>
        <w:rPr>
          <w:rFonts w:hint="eastAsia" w:hAnsi="宋体" w:cs="宋体"/>
          <w:color w:val="auto"/>
          <w:highlight w:val="none"/>
        </w:rPr>
        <w:t>：</w:t>
      </w:r>
      <w:r>
        <w:rPr>
          <w:rFonts w:hint="eastAsia" w:hAnsi="宋体" w:cs="宋体"/>
          <w:color w:val="auto"/>
          <w:highlight w:val="none"/>
          <w:u w:val="single"/>
        </w:rPr>
        <w:tab/>
      </w:r>
      <w:r>
        <w:rPr>
          <w:rFonts w:hint="eastAsia" w:hAnsi="宋体" w:cs="宋体"/>
          <w:color w:val="auto"/>
          <w:highlight w:val="none"/>
        </w:rPr>
        <w:t xml:space="preserve"> 年</w:t>
      </w:r>
      <w:r>
        <w:rPr>
          <w:rFonts w:hint="eastAsia" w:hAnsi="宋体" w:cs="宋体"/>
          <w:color w:val="auto"/>
          <w:highlight w:val="none"/>
          <w:u w:val="single"/>
        </w:rPr>
        <w:tab/>
      </w:r>
      <w:r>
        <w:rPr>
          <w:rFonts w:hint="eastAsia" w:hAnsi="宋体" w:cs="宋体"/>
          <w:color w:val="auto"/>
          <w:spacing w:val="5"/>
          <w:highlight w:val="none"/>
        </w:rPr>
        <w:t>月</w:t>
      </w:r>
      <w:r>
        <w:rPr>
          <w:rFonts w:hint="eastAsia" w:hAnsi="宋体" w:cs="宋体"/>
          <w:color w:val="auto"/>
          <w:highlight w:val="none"/>
          <w:u w:val="single"/>
        </w:rPr>
        <w:tab/>
      </w:r>
      <w:r>
        <w:rPr>
          <w:rFonts w:hint="eastAsia" w:hAnsi="宋体" w:cs="宋体"/>
          <w:color w:val="auto"/>
          <w:highlight w:val="none"/>
        </w:rPr>
        <w:t>日</w:t>
      </w:r>
    </w:p>
    <w:p>
      <w:pPr>
        <w:tabs>
          <w:tab w:val="left" w:pos="2340"/>
        </w:tabs>
        <w:autoSpaceDE w:val="0"/>
        <w:autoSpaceDN w:val="0"/>
        <w:adjustRightInd w:val="0"/>
        <w:spacing w:line="360" w:lineRule="auto"/>
        <w:ind w:left="120" w:right="-20"/>
        <w:outlineLvl w:val="5"/>
        <w:rPr>
          <w:rFonts w:hAnsi="宋体" w:cs="宋体"/>
          <w:color w:val="auto"/>
          <w:highlight w:val="none"/>
          <w:u w:val="single"/>
        </w:rPr>
      </w:pPr>
      <w:r>
        <w:rPr>
          <w:rFonts w:hint="eastAsia" w:hAnsi="宋体" w:cs="宋体"/>
          <w:color w:val="auto"/>
          <w:highlight w:val="none"/>
        </w:rPr>
        <w:t>经营期</w:t>
      </w:r>
      <w:r>
        <w:rPr>
          <w:rFonts w:hint="eastAsia" w:hAnsi="宋体" w:cs="宋体"/>
          <w:color w:val="auto"/>
          <w:spacing w:val="5"/>
          <w:highlight w:val="none"/>
        </w:rPr>
        <w:t>限</w:t>
      </w:r>
      <w:r>
        <w:rPr>
          <w:rFonts w:hint="eastAsia" w:hAnsi="宋体" w:cs="宋体"/>
          <w:color w:val="auto"/>
          <w:highlight w:val="none"/>
        </w:rPr>
        <w:t>：</w:t>
      </w:r>
      <w:r>
        <w:rPr>
          <w:rFonts w:hint="eastAsia" w:hAnsi="宋体" w:cs="宋体"/>
          <w:color w:val="auto"/>
          <w:highlight w:val="none"/>
          <w:u w:val="single"/>
        </w:rPr>
        <w:tab/>
      </w:r>
    </w:p>
    <w:p>
      <w:pPr>
        <w:tabs>
          <w:tab w:val="left" w:pos="2340"/>
        </w:tabs>
        <w:autoSpaceDE w:val="0"/>
        <w:autoSpaceDN w:val="0"/>
        <w:adjustRightInd w:val="0"/>
        <w:spacing w:line="360" w:lineRule="auto"/>
        <w:ind w:left="120" w:right="-20"/>
        <w:outlineLvl w:val="5"/>
        <w:rPr>
          <w:rFonts w:hAnsi="宋体" w:cs="宋体"/>
          <w:color w:val="auto"/>
          <w:highlight w:val="none"/>
          <w:u w:val="single"/>
        </w:rPr>
      </w:pPr>
    </w:p>
    <w:p>
      <w:pPr>
        <w:autoSpaceDE w:val="0"/>
        <w:autoSpaceDN w:val="0"/>
        <w:adjustRightInd w:val="0"/>
        <w:spacing w:line="360" w:lineRule="auto"/>
        <w:outlineLvl w:val="5"/>
        <w:rPr>
          <w:rFonts w:hAnsi="宋体" w:cs="宋体"/>
          <w:color w:val="auto"/>
          <w:highlight w:val="none"/>
        </w:rPr>
      </w:pPr>
    </w:p>
    <w:p>
      <w:pPr>
        <w:tabs>
          <w:tab w:val="left" w:pos="2640"/>
          <w:tab w:val="left" w:pos="4440"/>
          <w:tab w:val="left" w:pos="6600"/>
          <w:tab w:val="left" w:pos="7940"/>
        </w:tabs>
        <w:autoSpaceDE w:val="0"/>
        <w:autoSpaceDN w:val="0"/>
        <w:adjustRightInd w:val="0"/>
        <w:spacing w:before="6" w:line="360" w:lineRule="auto"/>
        <w:ind w:left="120" w:right="-199"/>
        <w:outlineLvl w:val="5"/>
        <w:rPr>
          <w:rFonts w:hAnsi="宋体" w:cs="宋体"/>
          <w:color w:val="auto"/>
          <w:highlight w:val="none"/>
        </w:rPr>
      </w:pPr>
      <w:r>
        <w:rPr>
          <w:rFonts w:hint="eastAsia" w:hAnsi="宋体" w:cs="宋体"/>
          <w:color w:val="auto"/>
          <w:highlight w:val="none"/>
        </w:rPr>
        <w:t>姓名</w:t>
      </w:r>
      <w:r>
        <w:rPr>
          <w:rFonts w:hint="eastAsia" w:hAnsi="宋体" w:cs="宋体"/>
          <w:color w:val="auto"/>
          <w:spacing w:val="-115"/>
          <w:highlight w:val="none"/>
        </w:rPr>
        <w:t>：</w:t>
      </w:r>
      <w:r>
        <w:rPr>
          <w:rFonts w:hint="eastAsia" w:hAnsi="宋体" w:cs="宋体"/>
          <w:color w:val="auto"/>
          <w:highlight w:val="none"/>
          <w:u w:val="single"/>
        </w:rPr>
        <w:tab/>
      </w:r>
      <w:r>
        <w:rPr>
          <w:rFonts w:hint="eastAsia" w:hAnsi="宋体" w:cs="宋体"/>
          <w:color w:val="auto"/>
          <w:highlight w:val="none"/>
        </w:rPr>
        <w:t>系</w:t>
      </w:r>
      <w:r>
        <w:rPr>
          <w:rFonts w:hint="eastAsia" w:hAnsi="宋体" w:cs="宋体"/>
          <w:color w:val="auto"/>
          <w:highlight w:val="none"/>
          <w:u w:val="single"/>
        </w:rPr>
        <w:tab/>
      </w:r>
      <w:r>
        <w:rPr>
          <w:rFonts w:hint="eastAsia" w:hAnsi="宋体" w:cs="宋体"/>
          <w:color w:val="auto"/>
          <w:highlight w:val="none"/>
          <w:u w:val="single"/>
        </w:rPr>
        <w:tab/>
      </w:r>
      <w:r>
        <w:rPr>
          <w:rFonts w:hint="eastAsia" w:hAnsi="宋体" w:cs="宋体"/>
          <w:color w:val="auto"/>
          <w:highlight w:val="none"/>
          <w:u w:val="single"/>
        </w:rPr>
        <w:t>（</w:t>
      </w:r>
      <w:r>
        <w:rPr>
          <w:rFonts w:hint="eastAsia" w:hAnsi="宋体" w:cs="宋体"/>
          <w:color w:val="auto"/>
          <w:spacing w:val="5"/>
          <w:highlight w:val="none"/>
        </w:rPr>
        <w:t>投</w:t>
      </w:r>
      <w:r>
        <w:rPr>
          <w:rFonts w:hint="eastAsia" w:hAnsi="宋体" w:cs="宋体"/>
          <w:color w:val="auto"/>
          <w:highlight w:val="none"/>
        </w:rPr>
        <w:t>标人</w:t>
      </w:r>
      <w:r>
        <w:rPr>
          <w:rFonts w:hint="eastAsia" w:hAnsi="宋体" w:cs="宋体"/>
          <w:color w:val="auto"/>
          <w:spacing w:val="5"/>
          <w:highlight w:val="none"/>
        </w:rPr>
        <w:t>名</w:t>
      </w:r>
      <w:r>
        <w:rPr>
          <w:rFonts w:hint="eastAsia" w:hAnsi="宋体" w:cs="宋体"/>
          <w:color w:val="auto"/>
          <w:highlight w:val="none"/>
        </w:rPr>
        <w:t>称</w:t>
      </w:r>
      <w:r>
        <w:rPr>
          <w:rFonts w:hint="eastAsia" w:hAnsi="宋体" w:cs="宋体"/>
          <w:color w:val="auto"/>
          <w:spacing w:val="5"/>
          <w:highlight w:val="none"/>
        </w:rPr>
        <w:t xml:space="preserve">） </w:t>
      </w:r>
      <w:r>
        <w:rPr>
          <w:rFonts w:hint="eastAsia" w:hAnsi="宋体" w:cs="宋体"/>
          <w:color w:val="auto"/>
          <w:highlight w:val="none"/>
        </w:rPr>
        <w:t>的法定</w:t>
      </w:r>
      <w:r>
        <w:rPr>
          <w:rFonts w:hint="eastAsia" w:hAnsi="宋体" w:cs="宋体"/>
          <w:color w:val="auto"/>
          <w:spacing w:val="5"/>
          <w:highlight w:val="none"/>
        </w:rPr>
        <w:t>代</w:t>
      </w:r>
      <w:r>
        <w:rPr>
          <w:rFonts w:hint="eastAsia" w:hAnsi="宋体" w:cs="宋体"/>
          <w:color w:val="auto"/>
          <w:highlight w:val="none"/>
        </w:rPr>
        <w:t>表人</w:t>
      </w:r>
      <w:r>
        <w:rPr>
          <w:rFonts w:hint="eastAsia" w:hAnsi="宋体" w:cs="宋体"/>
          <w:color w:val="auto"/>
          <w:spacing w:val="5"/>
          <w:highlight w:val="none"/>
        </w:rPr>
        <w:t>（</w:t>
      </w:r>
      <w:r>
        <w:rPr>
          <w:rFonts w:hint="eastAsia" w:hAnsi="宋体" w:cs="宋体"/>
          <w:color w:val="auto"/>
          <w:highlight w:val="none"/>
        </w:rPr>
        <w:t>职务：</w:t>
      </w:r>
      <w:r>
        <w:rPr>
          <w:rFonts w:hint="eastAsia" w:hAnsi="宋体" w:cs="宋体"/>
          <w:color w:val="auto"/>
          <w:highlight w:val="none"/>
          <w:u w:val="single"/>
        </w:rPr>
        <w:tab/>
      </w:r>
      <w:r>
        <w:rPr>
          <w:rFonts w:hint="eastAsia" w:hAnsi="宋体" w:cs="宋体"/>
          <w:color w:val="auto"/>
          <w:spacing w:val="5"/>
          <w:highlight w:val="none"/>
        </w:rPr>
        <w:t>电</w:t>
      </w:r>
      <w:r>
        <w:rPr>
          <w:rFonts w:hint="eastAsia" w:hAnsi="宋体" w:cs="宋体"/>
          <w:color w:val="auto"/>
          <w:highlight w:val="none"/>
        </w:rPr>
        <w:t>话：</w:t>
      </w:r>
      <w:r>
        <w:rPr>
          <w:rFonts w:hint="eastAsia" w:hAnsi="宋体" w:cs="宋体"/>
          <w:color w:val="auto"/>
          <w:highlight w:val="none"/>
          <w:u w:val="single"/>
        </w:rPr>
        <w:tab/>
      </w:r>
      <w:r>
        <w:rPr>
          <w:rFonts w:hint="eastAsia" w:hAnsi="宋体" w:cs="宋体"/>
          <w:color w:val="auto"/>
          <w:highlight w:val="none"/>
          <w:u w:val="single"/>
        </w:rPr>
        <w:tab/>
      </w:r>
      <w:r>
        <w:rPr>
          <w:rFonts w:hint="eastAsia" w:hAnsi="宋体" w:cs="宋体"/>
          <w:color w:val="auto"/>
          <w:spacing w:val="5"/>
          <w:highlight w:val="none"/>
        </w:rPr>
        <w:t>）。</w:t>
      </w:r>
    </w:p>
    <w:p>
      <w:pPr>
        <w:autoSpaceDE w:val="0"/>
        <w:autoSpaceDN w:val="0"/>
        <w:adjustRightInd w:val="0"/>
        <w:spacing w:line="360" w:lineRule="auto"/>
        <w:outlineLvl w:val="5"/>
        <w:rPr>
          <w:rFonts w:hAnsi="宋体" w:cs="宋体"/>
          <w:color w:val="auto"/>
          <w:highlight w:val="none"/>
        </w:rPr>
      </w:pPr>
    </w:p>
    <w:p>
      <w:pPr>
        <w:autoSpaceDE w:val="0"/>
        <w:autoSpaceDN w:val="0"/>
        <w:adjustRightInd w:val="0"/>
        <w:spacing w:before="4" w:line="360" w:lineRule="auto"/>
        <w:outlineLvl w:val="5"/>
        <w:rPr>
          <w:rFonts w:hAnsi="宋体" w:cs="宋体"/>
          <w:color w:val="auto"/>
          <w:highlight w:val="none"/>
        </w:rPr>
      </w:pPr>
    </w:p>
    <w:p>
      <w:pPr>
        <w:autoSpaceDE w:val="0"/>
        <w:autoSpaceDN w:val="0"/>
        <w:adjustRightInd w:val="0"/>
        <w:spacing w:line="360" w:lineRule="auto"/>
        <w:ind w:left="677" w:right="-20"/>
        <w:outlineLvl w:val="5"/>
        <w:rPr>
          <w:rFonts w:hAnsi="宋体" w:cs="宋体"/>
          <w:color w:val="auto"/>
          <w:highlight w:val="none"/>
        </w:rPr>
      </w:pPr>
      <w:r>
        <w:rPr>
          <w:rFonts w:hint="eastAsia" w:hAnsi="宋体" w:cs="宋体"/>
          <w:color w:val="auto"/>
          <w:highlight w:val="none"/>
        </w:rPr>
        <w:t>特</w:t>
      </w:r>
      <w:r>
        <w:rPr>
          <w:rFonts w:hint="eastAsia" w:hAnsi="宋体" w:cs="宋体"/>
          <w:color w:val="auto"/>
          <w:spacing w:val="5"/>
          <w:highlight w:val="none"/>
        </w:rPr>
        <w:t>此</w:t>
      </w:r>
      <w:r>
        <w:rPr>
          <w:rFonts w:hint="eastAsia" w:hAnsi="宋体" w:cs="宋体"/>
          <w:color w:val="auto"/>
          <w:highlight w:val="none"/>
        </w:rPr>
        <w:t>证明。</w:t>
      </w:r>
    </w:p>
    <w:p>
      <w:pPr>
        <w:autoSpaceDE w:val="0"/>
        <w:autoSpaceDN w:val="0"/>
        <w:adjustRightInd w:val="0"/>
        <w:spacing w:line="360" w:lineRule="auto"/>
        <w:outlineLvl w:val="5"/>
        <w:rPr>
          <w:rFonts w:hAnsi="宋体" w:cs="宋体"/>
          <w:color w:val="auto"/>
          <w:highlight w:val="none"/>
        </w:rPr>
      </w:pPr>
    </w:p>
    <w:p>
      <w:pPr>
        <w:autoSpaceDE w:val="0"/>
        <w:autoSpaceDN w:val="0"/>
        <w:adjustRightInd w:val="0"/>
        <w:spacing w:line="360" w:lineRule="auto"/>
        <w:ind w:left="677" w:right="-20"/>
        <w:outlineLvl w:val="5"/>
        <w:rPr>
          <w:rFonts w:hAnsi="宋体" w:cs="宋体"/>
          <w:color w:val="auto"/>
          <w:highlight w:val="none"/>
        </w:rPr>
      </w:pPr>
      <w:r>
        <w:rPr>
          <w:rFonts w:hint="eastAsia" w:hAnsi="宋体" w:cs="宋体"/>
          <w:color w:val="auto"/>
          <w:highlight w:val="none"/>
        </w:rPr>
        <w:t>附</w:t>
      </w:r>
      <w:r>
        <w:rPr>
          <w:rFonts w:hint="eastAsia" w:hAnsi="宋体" w:cs="宋体"/>
          <w:color w:val="auto"/>
          <w:spacing w:val="5"/>
          <w:highlight w:val="none"/>
        </w:rPr>
        <w:t>：</w:t>
      </w:r>
      <w:r>
        <w:rPr>
          <w:rFonts w:hint="eastAsia" w:hAnsi="宋体" w:cs="宋体"/>
          <w:color w:val="auto"/>
          <w:highlight w:val="none"/>
        </w:rPr>
        <w:t>法定</w:t>
      </w:r>
      <w:r>
        <w:rPr>
          <w:rFonts w:hint="eastAsia" w:hAnsi="宋体" w:cs="宋体"/>
          <w:color w:val="auto"/>
          <w:spacing w:val="5"/>
          <w:highlight w:val="none"/>
        </w:rPr>
        <w:t>代</w:t>
      </w:r>
      <w:r>
        <w:rPr>
          <w:rFonts w:hint="eastAsia" w:hAnsi="宋体" w:cs="宋体"/>
          <w:color w:val="auto"/>
          <w:highlight w:val="none"/>
        </w:rPr>
        <w:t>表人</w:t>
      </w:r>
      <w:r>
        <w:rPr>
          <w:rFonts w:hint="eastAsia" w:hAnsi="宋体" w:cs="宋体"/>
          <w:color w:val="auto"/>
          <w:spacing w:val="5"/>
          <w:highlight w:val="none"/>
        </w:rPr>
        <w:t>身</w:t>
      </w:r>
      <w:r>
        <w:rPr>
          <w:rFonts w:hint="eastAsia" w:hAnsi="宋体" w:cs="宋体"/>
          <w:color w:val="auto"/>
          <w:highlight w:val="none"/>
        </w:rPr>
        <w:t>份证</w:t>
      </w:r>
      <w:r>
        <w:rPr>
          <w:rFonts w:hint="eastAsia" w:hAnsi="宋体" w:cs="宋体"/>
          <w:color w:val="auto"/>
          <w:spacing w:val="5"/>
          <w:highlight w:val="none"/>
        </w:rPr>
        <w:t>复</w:t>
      </w:r>
      <w:r>
        <w:rPr>
          <w:rFonts w:hint="eastAsia" w:hAnsi="宋体" w:cs="宋体"/>
          <w:color w:val="auto"/>
          <w:highlight w:val="none"/>
        </w:rPr>
        <w:t>印</w:t>
      </w:r>
      <w:r>
        <w:rPr>
          <w:rFonts w:hint="eastAsia" w:hAnsi="宋体" w:cs="宋体"/>
          <w:color w:val="auto"/>
          <w:spacing w:val="5"/>
          <w:highlight w:val="none"/>
        </w:rPr>
        <w:t>件</w:t>
      </w:r>
    </w:p>
    <w:p>
      <w:pPr>
        <w:autoSpaceDE w:val="0"/>
        <w:autoSpaceDN w:val="0"/>
        <w:adjustRightInd w:val="0"/>
        <w:spacing w:before="11" w:line="360" w:lineRule="auto"/>
        <w:outlineLvl w:val="5"/>
        <w:rPr>
          <w:rFonts w:hAnsi="宋体" w:cs="宋体"/>
          <w:color w:val="auto"/>
          <w:highlight w:val="none"/>
        </w:rPr>
      </w:pPr>
    </w:p>
    <w:p>
      <w:pPr>
        <w:autoSpaceDE w:val="0"/>
        <w:autoSpaceDN w:val="0"/>
        <w:adjustRightInd w:val="0"/>
        <w:spacing w:line="360" w:lineRule="auto"/>
        <w:outlineLvl w:val="5"/>
        <w:rPr>
          <w:rFonts w:hAnsi="宋体" w:cs="宋体"/>
          <w:color w:val="auto"/>
          <w:highlight w:val="none"/>
        </w:rPr>
      </w:pPr>
    </w:p>
    <w:p>
      <w:pPr>
        <w:tabs>
          <w:tab w:val="left" w:pos="5840"/>
        </w:tabs>
        <w:autoSpaceDE w:val="0"/>
        <w:autoSpaceDN w:val="0"/>
        <w:adjustRightInd w:val="0"/>
        <w:spacing w:line="360" w:lineRule="auto"/>
        <w:ind w:right="-20"/>
        <w:outlineLvl w:val="5"/>
        <w:rPr>
          <w:rFonts w:hAnsi="宋体" w:cs="宋体"/>
          <w:color w:val="auto"/>
          <w:highlight w:val="none"/>
        </w:rPr>
      </w:pPr>
      <w:r>
        <w:rPr>
          <w:rFonts w:hint="eastAsia" w:hAnsi="宋体" w:cs="宋体"/>
          <w:color w:val="auto"/>
          <w:spacing w:val="5"/>
          <w:highlight w:val="none"/>
        </w:rPr>
        <w:t>投</w:t>
      </w:r>
      <w:r>
        <w:rPr>
          <w:rFonts w:hint="eastAsia" w:hAnsi="宋体" w:cs="宋体"/>
          <w:color w:val="auto"/>
          <w:highlight w:val="none"/>
        </w:rPr>
        <w:t>标人</w:t>
      </w:r>
      <w:r>
        <w:rPr>
          <w:rFonts w:hint="eastAsia" w:hAnsi="宋体" w:cs="宋体"/>
          <w:color w:val="auto"/>
          <w:spacing w:val="5"/>
          <w:highlight w:val="none"/>
        </w:rPr>
        <w:t>：</w:t>
      </w:r>
      <w:r>
        <w:rPr>
          <w:rFonts w:hint="eastAsia" w:hAnsi="宋体" w:cs="宋体"/>
          <w:color w:val="auto"/>
          <w:highlight w:val="none"/>
          <w:u w:val="single"/>
        </w:rPr>
        <w:tab/>
      </w:r>
      <w:r>
        <w:rPr>
          <w:rFonts w:hint="eastAsia" w:hAnsi="宋体" w:cs="宋体"/>
          <w:color w:val="auto"/>
          <w:highlight w:val="none"/>
        </w:rPr>
        <w:t xml:space="preserve"> （盖单位公章）</w:t>
      </w:r>
    </w:p>
    <w:p>
      <w:pPr>
        <w:tabs>
          <w:tab w:val="left" w:pos="5840"/>
        </w:tabs>
        <w:autoSpaceDE w:val="0"/>
        <w:autoSpaceDN w:val="0"/>
        <w:adjustRightInd w:val="0"/>
        <w:spacing w:line="360" w:lineRule="auto"/>
        <w:ind w:right="-20"/>
        <w:outlineLvl w:val="5"/>
        <w:rPr>
          <w:rFonts w:hAnsi="宋体" w:cs="宋体"/>
          <w:color w:val="auto"/>
          <w:highlight w:val="none"/>
        </w:rPr>
      </w:pPr>
      <w:r>
        <w:rPr>
          <w:rFonts w:hint="eastAsia" w:hAnsi="宋体" w:cs="宋体"/>
          <w:color w:val="auto"/>
          <w:highlight w:val="none"/>
        </w:rPr>
        <w:t>法定代表人签字或者加盖法定代表人名章：</w:t>
      </w:r>
      <w:r>
        <w:rPr>
          <w:rFonts w:hint="eastAsia" w:hAnsi="宋体" w:cs="宋体"/>
          <w:color w:val="auto"/>
          <w:highlight w:val="none"/>
          <w:u w:val="single"/>
        </w:rPr>
        <w:tab/>
      </w:r>
      <w:r>
        <w:rPr>
          <w:rFonts w:hint="eastAsia" w:hAnsi="宋体" w:cs="宋体"/>
          <w:color w:val="auto"/>
          <w:highlight w:val="none"/>
        </w:rPr>
        <w:t>。</w:t>
      </w:r>
    </w:p>
    <w:p>
      <w:pPr>
        <w:autoSpaceDE w:val="0"/>
        <w:autoSpaceDN w:val="0"/>
        <w:adjustRightInd w:val="0"/>
        <w:spacing w:before="5" w:line="360" w:lineRule="auto"/>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right="-20"/>
        <w:outlineLvl w:val="5"/>
        <w:rPr>
          <w:rFonts w:hAnsi="宋体" w:cs="宋体"/>
          <w:color w:val="auto"/>
          <w:highlight w:val="none"/>
        </w:rPr>
      </w:pPr>
      <w:r>
        <w:rPr>
          <w:rFonts w:hint="eastAsia" w:hAnsi="宋体" w:cs="宋体"/>
          <w:color w:val="auto"/>
          <w:spacing w:val="5"/>
          <w:highlight w:val="none"/>
        </w:rPr>
        <w:t>年</w:t>
      </w:r>
      <w:r>
        <w:rPr>
          <w:rFonts w:hint="eastAsia" w:hAnsi="宋体" w:cs="宋体"/>
          <w:color w:val="auto"/>
          <w:highlight w:val="none"/>
        </w:rPr>
        <w:t xml:space="preserve"> 月 日</w:t>
      </w: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sz w:val="10"/>
          <w:highlight w:val="none"/>
        </w:rPr>
      </w:pPr>
    </w:p>
    <w:p>
      <w:pPr>
        <w:spacing w:line="360" w:lineRule="auto"/>
        <w:outlineLvl w:val="5"/>
        <w:rPr>
          <w:rFonts w:hAnsi="宋体" w:cs="宋体"/>
          <w:color w:val="auto"/>
          <w:sz w:val="32"/>
          <w:szCs w:val="32"/>
          <w:highlight w:val="none"/>
        </w:rPr>
        <w:sectPr>
          <w:headerReference r:id="rId8" w:type="first"/>
          <w:footerReference r:id="rId9" w:type="default"/>
          <w:headerReference r:id="rId7" w:type="even"/>
          <w:pgSz w:w="11907" w:h="16840"/>
          <w:pgMar w:top="1134" w:right="1134" w:bottom="851" w:left="1418" w:header="851" w:footer="992" w:gutter="0"/>
          <w:pgNumType w:start="1"/>
          <w:cols w:space="720" w:num="1"/>
          <w:docGrid w:linePitch="312" w:charSpace="0"/>
        </w:sectPr>
      </w:pPr>
      <w:r>
        <w:rPr>
          <w:rFonts w:hint="eastAsia" w:hAnsi="宋体" w:cs="宋体"/>
          <w:b/>
          <w:color w:val="auto"/>
          <w:highlight w:val="none"/>
        </w:rPr>
        <w:t>注</w:t>
      </w:r>
      <w:r>
        <w:rPr>
          <w:rFonts w:hint="eastAsia" w:hAnsi="宋体" w:cs="宋体"/>
          <w:b/>
          <w:color w:val="auto"/>
          <w:spacing w:val="-139"/>
          <w:highlight w:val="none"/>
        </w:rPr>
        <w:t>：</w:t>
      </w:r>
      <w:r>
        <w:rPr>
          <w:rFonts w:hint="eastAsia" w:hAnsi="宋体" w:cs="宋体"/>
          <w:b/>
          <w:color w:val="auto"/>
          <w:highlight w:val="none"/>
        </w:rPr>
        <w:t>：</w:t>
      </w:r>
      <w:r>
        <w:rPr>
          <w:rFonts w:hint="eastAsia" w:hAnsi="宋体" w:cs="宋体"/>
          <w:b/>
          <w:color w:val="auto"/>
          <w:spacing w:val="5"/>
          <w:highlight w:val="none"/>
        </w:rPr>
        <w:t>法</w:t>
      </w:r>
      <w:r>
        <w:rPr>
          <w:rFonts w:hint="eastAsia" w:hAnsi="宋体" w:cs="宋体"/>
          <w:b/>
          <w:color w:val="auto"/>
          <w:highlight w:val="none"/>
        </w:rPr>
        <w:t>定代</w:t>
      </w:r>
      <w:r>
        <w:rPr>
          <w:rFonts w:hint="eastAsia" w:hAnsi="宋体" w:cs="宋体"/>
          <w:b/>
          <w:color w:val="auto"/>
          <w:spacing w:val="5"/>
          <w:highlight w:val="none"/>
        </w:rPr>
        <w:t>表</w:t>
      </w:r>
      <w:r>
        <w:rPr>
          <w:rFonts w:hint="eastAsia" w:hAnsi="宋体" w:cs="宋体"/>
          <w:b/>
          <w:color w:val="auto"/>
          <w:highlight w:val="none"/>
        </w:rPr>
        <w:t>人投标</w:t>
      </w:r>
      <w:r>
        <w:rPr>
          <w:rFonts w:hint="eastAsia" w:hAnsi="宋体" w:cs="宋体"/>
          <w:b/>
          <w:color w:val="auto"/>
          <w:spacing w:val="5"/>
          <w:highlight w:val="none"/>
        </w:rPr>
        <w:t>而非</w:t>
      </w:r>
      <w:r>
        <w:rPr>
          <w:rFonts w:hint="eastAsia" w:hAnsi="宋体" w:cs="宋体"/>
          <w:b/>
          <w:color w:val="auto"/>
          <w:highlight w:val="none"/>
        </w:rPr>
        <w:t>委托代</w:t>
      </w:r>
      <w:r>
        <w:rPr>
          <w:rFonts w:hint="eastAsia" w:hAnsi="宋体" w:cs="宋体"/>
          <w:b/>
          <w:color w:val="auto"/>
          <w:spacing w:val="5"/>
          <w:highlight w:val="none"/>
        </w:rPr>
        <w:t>理</w:t>
      </w:r>
      <w:r>
        <w:rPr>
          <w:rFonts w:hint="eastAsia" w:hAnsi="宋体" w:cs="宋体"/>
          <w:b/>
          <w:color w:val="auto"/>
          <w:highlight w:val="none"/>
        </w:rPr>
        <w:t>人投</w:t>
      </w:r>
      <w:r>
        <w:rPr>
          <w:rFonts w:hint="eastAsia" w:hAnsi="宋体" w:cs="宋体"/>
          <w:b/>
          <w:color w:val="auto"/>
          <w:spacing w:val="5"/>
          <w:highlight w:val="none"/>
        </w:rPr>
        <w:t>标</w:t>
      </w:r>
      <w:r>
        <w:rPr>
          <w:rFonts w:hint="eastAsia" w:hAnsi="宋体" w:cs="宋体"/>
          <w:b/>
          <w:color w:val="auto"/>
          <w:highlight w:val="none"/>
        </w:rPr>
        <w:t>适用。</w:t>
      </w:r>
      <w:bookmarkStart w:id="136" w:name="_Toc217446086"/>
    </w:p>
    <w:p>
      <w:pPr>
        <w:pStyle w:val="6"/>
        <w:spacing w:line="360" w:lineRule="auto"/>
        <w:rPr>
          <w:color w:val="auto"/>
          <w:highlight w:val="none"/>
        </w:rPr>
      </w:pPr>
      <w:r>
        <w:rPr>
          <w:rFonts w:hint="eastAsia"/>
          <w:color w:val="auto"/>
          <w:highlight w:val="none"/>
        </w:rPr>
        <w:t>五、开标一览表</w:t>
      </w:r>
    </w:p>
    <w:p>
      <w:pPr>
        <w:spacing w:line="360" w:lineRule="auto"/>
        <w:rPr>
          <w:rFonts w:hint="eastAsia" w:hAnsi="宋体" w:eastAsia="宋体"/>
          <w:b/>
          <w:bCs/>
          <w:color w:val="auto"/>
          <w:highlight w:val="none"/>
          <w:lang w:eastAsia="zh-CN"/>
        </w:rPr>
      </w:pPr>
      <w:r>
        <w:rPr>
          <w:rFonts w:hint="eastAsia" w:hAnsi="宋体"/>
          <w:b/>
          <w:color w:val="auto"/>
          <w:highlight w:val="none"/>
        </w:rPr>
        <w:t xml:space="preserve">   项目名称：        招标编号：</w:t>
      </w:r>
      <w:r>
        <w:rPr>
          <w:rFonts w:hint="eastAsia" w:hAnsi="宋体"/>
          <w:b/>
          <w:color w:val="auto"/>
          <w:highlight w:val="non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659"/>
        <w:gridCol w:w="4037"/>
        <w:gridCol w:w="1418"/>
        <w:gridCol w:w="1559"/>
        <w:gridCol w:w="1559"/>
        <w:gridCol w:w="177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783" w:type="dxa"/>
            <w:noWrap/>
            <w:vAlign w:val="center"/>
          </w:tcPr>
          <w:p>
            <w:pPr>
              <w:spacing w:line="360" w:lineRule="auto"/>
              <w:jc w:val="center"/>
              <w:rPr>
                <w:rFonts w:hAnsi="宋体"/>
                <w:b/>
                <w:color w:val="auto"/>
                <w:highlight w:val="none"/>
              </w:rPr>
            </w:pPr>
            <w:r>
              <w:rPr>
                <w:rFonts w:hint="eastAsia" w:hAnsi="宋体"/>
                <w:b/>
                <w:color w:val="auto"/>
                <w:highlight w:val="none"/>
              </w:rPr>
              <w:t>序号</w:t>
            </w:r>
          </w:p>
        </w:tc>
        <w:tc>
          <w:tcPr>
            <w:tcW w:w="2659" w:type="dxa"/>
            <w:noWrap/>
            <w:vAlign w:val="center"/>
          </w:tcPr>
          <w:p>
            <w:pPr>
              <w:spacing w:line="360" w:lineRule="auto"/>
              <w:jc w:val="center"/>
              <w:rPr>
                <w:rFonts w:hAnsi="宋体"/>
                <w:b/>
                <w:color w:val="auto"/>
                <w:highlight w:val="none"/>
              </w:rPr>
            </w:pPr>
            <w:r>
              <w:rPr>
                <w:rFonts w:hint="eastAsia" w:hAnsi="宋体"/>
                <w:b/>
                <w:color w:val="auto"/>
                <w:highlight w:val="none"/>
              </w:rPr>
              <w:t>采购内容</w:t>
            </w:r>
          </w:p>
        </w:tc>
        <w:tc>
          <w:tcPr>
            <w:tcW w:w="4037" w:type="dxa"/>
            <w:noWrap/>
            <w:vAlign w:val="center"/>
          </w:tcPr>
          <w:p>
            <w:pPr>
              <w:spacing w:line="360" w:lineRule="auto"/>
              <w:jc w:val="center"/>
              <w:rPr>
                <w:rFonts w:hAnsi="宋体"/>
                <w:b/>
                <w:color w:val="auto"/>
                <w:highlight w:val="none"/>
              </w:rPr>
            </w:pPr>
            <w:r>
              <w:rPr>
                <w:rFonts w:hint="eastAsia" w:hAnsi="宋体"/>
                <w:b/>
                <w:color w:val="auto"/>
                <w:highlight w:val="none"/>
              </w:rPr>
              <w:t>制造商家及规格型号</w:t>
            </w:r>
          </w:p>
        </w:tc>
        <w:tc>
          <w:tcPr>
            <w:tcW w:w="1418" w:type="dxa"/>
            <w:noWrap/>
            <w:vAlign w:val="center"/>
          </w:tcPr>
          <w:p>
            <w:pPr>
              <w:spacing w:line="360" w:lineRule="auto"/>
              <w:jc w:val="center"/>
              <w:rPr>
                <w:rFonts w:hAnsi="宋体"/>
                <w:b/>
                <w:color w:val="auto"/>
                <w:highlight w:val="none"/>
              </w:rPr>
            </w:pPr>
            <w:r>
              <w:rPr>
                <w:rFonts w:hint="eastAsia" w:hAnsi="宋体"/>
                <w:b/>
                <w:color w:val="auto"/>
                <w:highlight w:val="none"/>
              </w:rPr>
              <w:t>投标单价</w:t>
            </w:r>
          </w:p>
          <w:p>
            <w:pPr>
              <w:spacing w:line="360" w:lineRule="auto"/>
              <w:jc w:val="center"/>
              <w:rPr>
                <w:rFonts w:hAnsi="宋体"/>
                <w:b/>
                <w:color w:val="auto"/>
                <w:highlight w:val="none"/>
              </w:rPr>
            </w:pPr>
            <w:r>
              <w:rPr>
                <w:rFonts w:hint="eastAsia" w:hAnsi="宋体"/>
                <w:b/>
                <w:color w:val="auto"/>
                <w:highlight w:val="none"/>
              </w:rPr>
              <w:t>（万元）</w:t>
            </w:r>
          </w:p>
        </w:tc>
        <w:tc>
          <w:tcPr>
            <w:tcW w:w="1559" w:type="dxa"/>
            <w:noWrap/>
            <w:vAlign w:val="center"/>
          </w:tcPr>
          <w:p>
            <w:pPr>
              <w:spacing w:line="360" w:lineRule="auto"/>
              <w:jc w:val="center"/>
              <w:rPr>
                <w:rFonts w:hAnsi="宋体"/>
                <w:b/>
                <w:color w:val="auto"/>
                <w:highlight w:val="none"/>
              </w:rPr>
            </w:pPr>
            <w:r>
              <w:rPr>
                <w:rFonts w:hint="eastAsia" w:hAnsi="宋体"/>
                <w:b/>
                <w:color w:val="auto"/>
                <w:highlight w:val="none"/>
              </w:rPr>
              <w:t>投标总价</w:t>
            </w:r>
          </w:p>
          <w:p>
            <w:pPr>
              <w:spacing w:line="360" w:lineRule="auto"/>
              <w:jc w:val="center"/>
              <w:rPr>
                <w:rFonts w:hAnsi="宋体"/>
                <w:b/>
                <w:color w:val="auto"/>
                <w:highlight w:val="none"/>
              </w:rPr>
            </w:pPr>
            <w:r>
              <w:rPr>
                <w:rFonts w:hint="eastAsia" w:hAnsi="宋体"/>
                <w:b/>
                <w:color w:val="auto"/>
                <w:highlight w:val="none"/>
              </w:rPr>
              <w:t>（万元）</w:t>
            </w:r>
          </w:p>
        </w:tc>
        <w:tc>
          <w:tcPr>
            <w:tcW w:w="1559" w:type="dxa"/>
            <w:noWrap/>
            <w:vAlign w:val="center"/>
          </w:tcPr>
          <w:p>
            <w:pPr>
              <w:spacing w:line="360" w:lineRule="auto"/>
              <w:jc w:val="center"/>
              <w:rPr>
                <w:rFonts w:hAnsi="宋体"/>
                <w:b/>
                <w:color w:val="auto"/>
                <w:highlight w:val="none"/>
              </w:rPr>
            </w:pPr>
            <w:r>
              <w:rPr>
                <w:rFonts w:hint="eastAsia" w:hAnsi="宋体"/>
                <w:b/>
                <w:color w:val="auto"/>
                <w:highlight w:val="none"/>
              </w:rPr>
              <w:t>交货时间</w:t>
            </w:r>
          </w:p>
          <w:p>
            <w:pPr>
              <w:spacing w:line="360" w:lineRule="auto"/>
              <w:jc w:val="center"/>
              <w:rPr>
                <w:rFonts w:hAnsi="宋体"/>
                <w:b/>
                <w:color w:val="auto"/>
                <w:highlight w:val="none"/>
              </w:rPr>
            </w:pPr>
            <w:r>
              <w:rPr>
                <w:rFonts w:hint="eastAsia" w:hAnsi="宋体"/>
                <w:b/>
                <w:color w:val="auto"/>
                <w:highlight w:val="none"/>
              </w:rPr>
              <w:t>（完工期）</w:t>
            </w:r>
          </w:p>
        </w:tc>
        <w:tc>
          <w:tcPr>
            <w:tcW w:w="1774" w:type="dxa"/>
            <w:noWrap/>
            <w:vAlign w:val="center"/>
          </w:tcPr>
          <w:p>
            <w:pPr>
              <w:spacing w:line="360" w:lineRule="auto"/>
              <w:jc w:val="center"/>
              <w:rPr>
                <w:rFonts w:hAnsi="宋体"/>
                <w:b/>
                <w:color w:val="auto"/>
                <w:highlight w:val="none"/>
              </w:rPr>
            </w:pPr>
            <w:r>
              <w:rPr>
                <w:rFonts w:hint="eastAsia" w:hAnsi="宋体"/>
                <w:b/>
                <w:color w:val="auto"/>
                <w:highlight w:val="none"/>
              </w:rPr>
              <w:t>交货地点</w:t>
            </w:r>
          </w:p>
        </w:tc>
        <w:tc>
          <w:tcPr>
            <w:tcW w:w="1282" w:type="dxa"/>
            <w:noWrap/>
            <w:vAlign w:val="center"/>
          </w:tcPr>
          <w:p>
            <w:pPr>
              <w:spacing w:line="360" w:lineRule="auto"/>
              <w:jc w:val="center"/>
              <w:rPr>
                <w:rFonts w:hAnsi="宋体"/>
                <w:b/>
                <w:color w:val="auto"/>
                <w:highlight w:val="none"/>
              </w:rPr>
            </w:pPr>
            <w:r>
              <w:rPr>
                <w:rFonts w:hint="eastAsia"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3" w:type="dxa"/>
            <w:noWrap/>
          </w:tcPr>
          <w:p>
            <w:pPr>
              <w:spacing w:line="360" w:lineRule="auto"/>
              <w:jc w:val="center"/>
              <w:rPr>
                <w:rFonts w:hAnsi="宋体"/>
                <w:b/>
                <w:color w:val="auto"/>
                <w:highlight w:val="none"/>
              </w:rPr>
            </w:pPr>
          </w:p>
        </w:tc>
        <w:tc>
          <w:tcPr>
            <w:tcW w:w="2659" w:type="dxa"/>
            <w:noWrap/>
            <w:vAlign w:val="center"/>
          </w:tcPr>
          <w:p>
            <w:pPr>
              <w:spacing w:line="360" w:lineRule="auto"/>
              <w:jc w:val="center"/>
              <w:rPr>
                <w:rFonts w:hAnsi="宋体"/>
                <w:b/>
                <w:color w:val="auto"/>
                <w:highlight w:val="none"/>
              </w:rPr>
            </w:pPr>
          </w:p>
        </w:tc>
        <w:tc>
          <w:tcPr>
            <w:tcW w:w="4037" w:type="dxa"/>
            <w:noWrap/>
            <w:vAlign w:val="center"/>
          </w:tcPr>
          <w:p>
            <w:pPr>
              <w:spacing w:line="360" w:lineRule="auto"/>
              <w:jc w:val="center"/>
              <w:rPr>
                <w:rFonts w:hAnsi="宋体"/>
                <w:b/>
                <w:color w:val="auto"/>
                <w:highlight w:val="none"/>
              </w:rPr>
            </w:pPr>
          </w:p>
        </w:tc>
        <w:tc>
          <w:tcPr>
            <w:tcW w:w="1418"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774" w:type="dxa"/>
            <w:noWrap/>
            <w:vAlign w:val="center"/>
          </w:tcPr>
          <w:p>
            <w:pPr>
              <w:spacing w:line="360" w:lineRule="auto"/>
              <w:jc w:val="center"/>
              <w:rPr>
                <w:rFonts w:hAnsi="宋体"/>
                <w:b/>
                <w:color w:val="auto"/>
                <w:highlight w:val="none"/>
              </w:rPr>
            </w:pPr>
          </w:p>
        </w:tc>
        <w:tc>
          <w:tcPr>
            <w:tcW w:w="1282" w:type="dxa"/>
            <w:noWrap/>
            <w:vAlign w:val="center"/>
          </w:tcPr>
          <w:p>
            <w:pPr>
              <w:spacing w:line="360" w:lineRule="auto"/>
              <w:jc w:val="center"/>
              <w:rPr>
                <w:rFonts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3" w:type="dxa"/>
            <w:noWrap/>
          </w:tcPr>
          <w:p>
            <w:pPr>
              <w:spacing w:line="360" w:lineRule="auto"/>
              <w:jc w:val="center"/>
              <w:rPr>
                <w:rFonts w:hAnsi="宋体"/>
                <w:b/>
                <w:color w:val="auto"/>
                <w:highlight w:val="none"/>
              </w:rPr>
            </w:pPr>
          </w:p>
        </w:tc>
        <w:tc>
          <w:tcPr>
            <w:tcW w:w="2659" w:type="dxa"/>
            <w:noWrap/>
            <w:vAlign w:val="center"/>
          </w:tcPr>
          <w:p>
            <w:pPr>
              <w:spacing w:line="360" w:lineRule="auto"/>
              <w:jc w:val="center"/>
              <w:rPr>
                <w:rFonts w:hAnsi="宋体"/>
                <w:b/>
                <w:color w:val="auto"/>
                <w:highlight w:val="none"/>
              </w:rPr>
            </w:pPr>
          </w:p>
        </w:tc>
        <w:tc>
          <w:tcPr>
            <w:tcW w:w="4037" w:type="dxa"/>
            <w:noWrap/>
            <w:vAlign w:val="center"/>
          </w:tcPr>
          <w:p>
            <w:pPr>
              <w:spacing w:line="360" w:lineRule="auto"/>
              <w:jc w:val="center"/>
              <w:rPr>
                <w:rFonts w:hAnsi="宋体"/>
                <w:b/>
                <w:color w:val="auto"/>
                <w:highlight w:val="none"/>
              </w:rPr>
            </w:pPr>
          </w:p>
        </w:tc>
        <w:tc>
          <w:tcPr>
            <w:tcW w:w="1418"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774" w:type="dxa"/>
            <w:noWrap/>
            <w:vAlign w:val="center"/>
          </w:tcPr>
          <w:p>
            <w:pPr>
              <w:spacing w:line="360" w:lineRule="auto"/>
              <w:jc w:val="center"/>
              <w:rPr>
                <w:rFonts w:hAnsi="宋体"/>
                <w:b/>
                <w:color w:val="auto"/>
                <w:highlight w:val="none"/>
              </w:rPr>
            </w:pPr>
          </w:p>
        </w:tc>
        <w:tc>
          <w:tcPr>
            <w:tcW w:w="1282" w:type="dxa"/>
            <w:noWrap/>
            <w:vAlign w:val="center"/>
          </w:tcPr>
          <w:p>
            <w:pPr>
              <w:spacing w:line="360" w:lineRule="auto"/>
              <w:jc w:val="center"/>
              <w:rPr>
                <w:rFonts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071" w:type="dxa"/>
            <w:gridSpan w:val="8"/>
            <w:noWrap/>
          </w:tcPr>
          <w:p>
            <w:pPr>
              <w:spacing w:line="360" w:lineRule="auto"/>
              <w:rPr>
                <w:rFonts w:hAnsi="宋体"/>
                <w:b/>
                <w:color w:val="auto"/>
                <w:highlight w:val="none"/>
              </w:rPr>
            </w:pPr>
            <w:r>
              <w:rPr>
                <w:rFonts w:hint="eastAsia" w:hAnsi="宋体"/>
                <w:b/>
                <w:color w:val="auto"/>
                <w:highlight w:val="none"/>
              </w:rPr>
              <w:t>报价合计（万元）：                大写：</w:t>
            </w:r>
          </w:p>
        </w:tc>
      </w:tr>
    </w:tbl>
    <w:p>
      <w:pPr>
        <w:adjustRightInd w:val="0"/>
        <w:snapToGrid w:val="0"/>
        <w:spacing w:line="360" w:lineRule="auto"/>
        <w:outlineLvl w:val="2"/>
        <w:rPr>
          <w:rFonts w:hAnsi="宋体"/>
          <w:color w:val="auto"/>
          <w:highlight w:val="none"/>
        </w:rPr>
      </w:pPr>
      <w:r>
        <w:rPr>
          <w:rFonts w:hint="eastAsia" w:hAnsi="宋体"/>
          <w:color w:val="auto"/>
          <w:highlight w:val="none"/>
        </w:rPr>
        <w:t xml:space="preserve">    注：</w:t>
      </w:r>
      <w:r>
        <w:rPr>
          <w:rFonts w:hAnsi="宋体"/>
          <w:color w:val="auto"/>
          <w:highlight w:val="none"/>
        </w:rPr>
        <w:t>1.</w:t>
      </w:r>
      <w:r>
        <w:rPr>
          <w:rFonts w:hint="eastAsia"/>
          <w:color w:val="auto"/>
          <w:highlight w:val="none"/>
        </w:rPr>
        <w:t xml:space="preserve"> 报价应是最终用户验收合格后的总价，包括货物运输、保险、代理、安装调试、培训、税费、系统集成费用和招标文件规定的其它费用。</w:t>
      </w:r>
    </w:p>
    <w:p>
      <w:pPr>
        <w:adjustRightInd w:val="0"/>
        <w:snapToGrid w:val="0"/>
        <w:spacing w:line="360" w:lineRule="auto"/>
        <w:outlineLvl w:val="2"/>
        <w:rPr>
          <w:rFonts w:hAnsi="宋体"/>
          <w:color w:val="auto"/>
          <w:highlight w:val="none"/>
        </w:rPr>
      </w:pP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hAnsi="宋体"/>
          <w:color w:val="auto"/>
          <w:highlight w:val="none"/>
        </w:rPr>
        <w:t>2.“开标一览表”为多页的，每页均需由法定代表人或授权代表签字并盖投标人印章。</w:t>
      </w:r>
    </w:p>
    <w:p>
      <w:pPr>
        <w:adjustRightInd w:val="0"/>
        <w:snapToGrid w:val="0"/>
        <w:spacing w:line="360" w:lineRule="auto"/>
        <w:outlineLvl w:val="2"/>
        <w:rPr>
          <w:color w:val="auto"/>
          <w:highlight w:val="none"/>
        </w:rPr>
      </w:pPr>
    </w:p>
    <w:p>
      <w:pPr>
        <w:adjustRightInd w:val="0"/>
        <w:snapToGrid w:val="0"/>
        <w:spacing w:line="360" w:lineRule="auto"/>
        <w:outlineLvl w:val="2"/>
        <w:rPr>
          <w:rFonts w:hAnsi="宋体"/>
          <w:bCs/>
          <w:color w:val="auto"/>
          <w:highlight w:val="none"/>
        </w:rPr>
      </w:pPr>
      <w:r>
        <w:rPr>
          <w:rFonts w:hint="eastAsia" w:hAnsi="宋体"/>
          <w:bCs/>
          <w:color w:val="auto"/>
          <w:highlight w:val="none"/>
        </w:rPr>
        <w:t xml:space="preserve">投标人名称：        </w:t>
      </w:r>
      <w:r>
        <w:rPr>
          <w:rFonts w:hint="eastAsia"/>
          <w:bCs/>
          <w:color w:val="auto"/>
          <w:highlight w:val="none"/>
        </w:rPr>
        <w:t>（盖单位公章）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w:t>
      </w:r>
    </w:p>
    <w:p>
      <w:pPr>
        <w:spacing w:line="360" w:lineRule="auto"/>
        <w:rPr>
          <w:rFonts w:hAnsi="宋体"/>
          <w:bCs/>
          <w:color w:val="auto"/>
          <w:highlight w:val="none"/>
        </w:rPr>
        <w:sectPr>
          <w:headerReference r:id="rId11" w:type="first"/>
          <w:headerReference r:id="rId10" w:type="even"/>
          <w:pgSz w:w="16840" w:h="11907" w:orient="landscape"/>
          <w:pgMar w:top="1418" w:right="1134" w:bottom="1134" w:left="851" w:header="851" w:footer="992" w:gutter="0"/>
          <w:cols w:space="720" w:num="1"/>
          <w:docGrid w:linePitch="312" w:charSpace="0"/>
        </w:sectPr>
      </w:pPr>
      <w:r>
        <w:rPr>
          <w:rFonts w:hint="eastAsia" w:hAnsi="宋体"/>
          <w:bCs/>
          <w:color w:val="auto"/>
          <w:highlight w:val="none"/>
        </w:rPr>
        <w:t>日期：</w:t>
      </w:r>
    </w:p>
    <w:bookmarkEnd w:id="136"/>
    <w:p>
      <w:pPr>
        <w:pStyle w:val="6"/>
        <w:spacing w:line="360" w:lineRule="auto"/>
        <w:rPr>
          <w:color w:val="auto"/>
          <w:highlight w:val="none"/>
        </w:rPr>
      </w:pPr>
      <w:r>
        <w:rPr>
          <w:rFonts w:hint="eastAsia"/>
          <w:color w:val="auto"/>
          <w:highlight w:val="none"/>
        </w:rPr>
        <w:t>六、分项报价明细表</w:t>
      </w:r>
    </w:p>
    <w:p>
      <w:pPr>
        <w:spacing w:line="360" w:lineRule="auto"/>
        <w:outlineLvl w:val="5"/>
        <w:rPr>
          <w:rFonts w:hAnsi="宋体"/>
          <w:b/>
          <w:color w:val="auto"/>
          <w:highlight w:val="none"/>
        </w:rPr>
      </w:pPr>
    </w:p>
    <w:p>
      <w:pPr>
        <w:spacing w:line="360" w:lineRule="auto"/>
        <w:outlineLvl w:val="5"/>
        <w:rPr>
          <w:rFonts w:hint="eastAsia" w:hAnsi="宋体" w:eastAsia="宋体" w:cs="宋体"/>
          <w:b/>
          <w:bCs/>
          <w:color w:val="auto"/>
          <w:sz w:val="32"/>
          <w:szCs w:val="32"/>
          <w:highlight w:val="none"/>
          <w:lang w:eastAsia="zh-CN"/>
        </w:rPr>
      </w:pPr>
      <w:r>
        <w:rPr>
          <w:rFonts w:hint="eastAsia" w:hAnsi="宋体"/>
          <w:b/>
          <w:color w:val="auto"/>
          <w:highlight w:val="none"/>
        </w:rPr>
        <w:t>项目名称：   招标编号：</w:t>
      </w:r>
      <w:r>
        <w:rPr>
          <w:rFonts w:hint="eastAsia" w:hAnsi="宋体"/>
          <w:b/>
          <w:color w:val="auto"/>
          <w:highlight w:val="none"/>
          <w:u w:val="single"/>
          <w:lang w:val="en-US" w:eastAsia="zh-CN"/>
        </w:rPr>
        <w:t xml:space="preserve"> </w:t>
      </w:r>
    </w:p>
    <w:p>
      <w:pPr>
        <w:spacing w:line="360" w:lineRule="auto"/>
        <w:outlineLvl w:val="5"/>
        <w:rPr>
          <w:rFonts w:hAnsi="宋体" w:cs="宋体"/>
          <w:b/>
          <w:bCs/>
          <w:color w:val="auto"/>
          <w:sz w:val="32"/>
          <w:szCs w:val="32"/>
          <w:highlight w:val="none"/>
        </w:rPr>
      </w:pPr>
      <w:bookmarkStart w:id="137" w:name="_Toc217446087"/>
    </w:p>
    <w:tbl>
      <w:tblPr>
        <w:tblStyle w:val="46"/>
        <w:tblW w:w="10014" w:type="dxa"/>
        <w:tblInd w:w="-885" w:type="dxa"/>
        <w:tblLayout w:type="fixed"/>
        <w:tblCellMar>
          <w:top w:w="0" w:type="dxa"/>
          <w:left w:w="108" w:type="dxa"/>
          <w:bottom w:w="0" w:type="dxa"/>
          <w:right w:w="108" w:type="dxa"/>
        </w:tblCellMar>
      </w:tblPr>
      <w:tblGrid>
        <w:gridCol w:w="1844"/>
        <w:gridCol w:w="1984"/>
        <w:gridCol w:w="1843"/>
        <w:gridCol w:w="1628"/>
        <w:gridCol w:w="1490"/>
        <w:gridCol w:w="1225"/>
      </w:tblGrid>
      <w:tr>
        <w:tblPrEx>
          <w:tblCellMar>
            <w:top w:w="0" w:type="dxa"/>
            <w:left w:w="108" w:type="dxa"/>
            <w:bottom w:w="0" w:type="dxa"/>
            <w:right w:w="108" w:type="dxa"/>
          </w:tblCellMar>
        </w:tblPrEx>
        <w:trPr>
          <w:trHeight w:val="285" w:hRule="atLeast"/>
        </w:trPr>
        <w:tc>
          <w:tcPr>
            <w:tcW w:w="184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配置</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名称</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规格型号</w:t>
            </w:r>
          </w:p>
        </w:tc>
        <w:tc>
          <w:tcPr>
            <w:tcW w:w="16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单价（万元）</w:t>
            </w:r>
          </w:p>
        </w:tc>
        <w:tc>
          <w:tcPr>
            <w:tcW w:w="149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数量</w:t>
            </w:r>
          </w:p>
        </w:tc>
        <w:tc>
          <w:tcPr>
            <w:tcW w:w="12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总价（万元）</w:t>
            </w:r>
          </w:p>
        </w:tc>
      </w:tr>
      <w:tr>
        <w:tblPrEx>
          <w:tblCellMar>
            <w:top w:w="0" w:type="dxa"/>
            <w:left w:w="108" w:type="dxa"/>
            <w:bottom w:w="0" w:type="dxa"/>
            <w:right w:w="108" w:type="dxa"/>
          </w:tblCellMar>
        </w:tblPrEx>
        <w:trPr>
          <w:trHeight w:val="270" w:hRule="atLeast"/>
        </w:trPr>
        <w:tc>
          <w:tcPr>
            <w:tcW w:w="1844"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标准配置清单</w:t>
            </w:r>
          </w:p>
          <w:p>
            <w:pPr>
              <w:spacing w:line="360" w:lineRule="auto"/>
              <w:jc w:val="center"/>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restart"/>
            <w:tcBorders>
              <w:left w:val="single" w:color="auto" w:sz="4" w:space="0"/>
              <w:right w:val="single" w:color="auto" w:sz="4" w:space="0"/>
            </w:tcBorders>
            <w:noWrap/>
            <w:vAlign w:val="center"/>
          </w:tcPr>
          <w:p>
            <w:pPr>
              <w:spacing w:line="360" w:lineRule="auto"/>
              <w:rPr>
                <w:color w:val="auto"/>
                <w:highlight w:val="none"/>
              </w:rPr>
            </w:pPr>
            <w:r>
              <w:rPr>
                <w:rFonts w:hint="eastAsia" w:hAnsi="宋体" w:cs="宋体"/>
                <w:color w:val="auto"/>
                <w:sz w:val="21"/>
                <w:szCs w:val="21"/>
                <w:highlight w:val="none"/>
              </w:rPr>
              <w:t>场所改造及场所配套设施清单（如涉及）</w:t>
            </w: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510" w:hRule="atLeast"/>
        </w:trPr>
        <w:tc>
          <w:tcPr>
            <w:tcW w:w="1844" w:type="dxa"/>
            <w:vMerge w:val="continue"/>
            <w:tcBorders>
              <w:left w:val="single" w:color="auto" w:sz="4" w:space="0"/>
              <w:bottom w:val="single" w:color="auto" w:sz="4" w:space="0"/>
              <w:right w:val="single" w:color="auto" w:sz="4" w:space="0"/>
            </w:tcBorders>
            <w:noWrap/>
            <w:vAlign w:val="center"/>
          </w:tcPr>
          <w:p>
            <w:pPr>
              <w:spacing w:line="360" w:lineRule="auto"/>
              <w:rPr>
                <w:rFonts w:hAnsi="宋体" w:cs="宋体"/>
                <w:color w:val="auto"/>
                <w:sz w:val="21"/>
                <w:szCs w:val="21"/>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648" w:hRule="atLeast"/>
        </w:trPr>
        <w:tc>
          <w:tcPr>
            <w:tcW w:w="1844" w:type="dxa"/>
            <w:tcBorders>
              <w:top w:val="single" w:color="auto" w:sz="4" w:space="0"/>
              <w:left w:val="single" w:color="auto" w:sz="4" w:space="0"/>
              <w:bottom w:val="single" w:color="auto" w:sz="4" w:space="0"/>
              <w:right w:val="single" w:color="auto" w:sz="4" w:space="0"/>
            </w:tcBorders>
            <w:noWrap/>
            <w:vAlign w:val="center"/>
          </w:tcPr>
          <w:p>
            <w:pPr>
              <w:pStyle w:val="6"/>
              <w:rPr>
                <w:rFonts w:hAnsi="宋体" w:cs="宋体"/>
                <w:color w:val="auto"/>
                <w:sz w:val="21"/>
                <w:szCs w:val="21"/>
                <w:highlight w:val="none"/>
                <w:lang w:val="en-US" w:eastAsia="zh-CN"/>
              </w:rPr>
            </w:pPr>
            <w:r>
              <w:rPr>
                <w:rFonts w:hAnsi="宋体" w:cs="宋体"/>
                <w:color w:val="auto"/>
                <w:sz w:val="21"/>
                <w:szCs w:val="21"/>
                <w:highlight w:val="none"/>
                <w:lang w:val="en-US" w:eastAsia="zh-CN"/>
              </w:rPr>
              <w:t>其他</w:t>
            </w:r>
            <w:r>
              <w:rPr>
                <w:rFonts w:hint="eastAsia" w:hAnsi="宋体" w:cs="宋体"/>
                <w:color w:val="auto"/>
                <w:sz w:val="21"/>
                <w:szCs w:val="21"/>
                <w:highlight w:val="none"/>
                <w:lang w:val="en-US" w:eastAsia="zh-CN"/>
              </w:rPr>
              <w:t>（如涉及）</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694" w:hRule="atLeast"/>
        </w:trPr>
        <w:tc>
          <w:tcPr>
            <w:tcW w:w="1001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22"/>
                <w:highlight w:val="none"/>
              </w:rPr>
            </w:pPr>
            <w:r>
              <w:rPr>
                <w:rFonts w:hint="eastAsia" w:hAnsi="宋体" w:cs="宋体"/>
                <w:b/>
                <w:bCs/>
                <w:color w:val="auto"/>
                <w:sz w:val="22"/>
                <w:highlight w:val="none"/>
              </w:rPr>
              <w:t>报价合计（万元）：¥     万元   ；大写人民币：        整</w:t>
            </w:r>
          </w:p>
        </w:tc>
      </w:tr>
    </w:tbl>
    <w:p>
      <w:pPr>
        <w:snapToGrid w:val="0"/>
        <w:spacing w:line="360" w:lineRule="auto"/>
        <w:outlineLvl w:val="1"/>
        <w:rPr>
          <w:color w:val="auto"/>
          <w:highlight w:val="none"/>
        </w:rPr>
      </w:pPr>
      <w:r>
        <w:rPr>
          <w:rFonts w:hint="eastAsia"/>
          <w:color w:val="auto"/>
          <w:highlight w:val="none"/>
        </w:rPr>
        <w:t>注：1、投标人需按“分项报价明细表”的格式详细报出投标总价的各个组成部分的报价。</w:t>
      </w:r>
    </w:p>
    <w:p>
      <w:pPr>
        <w:snapToGrid w:val="0"/>
        <w:spacing w:line="360" w:lineRule="auto"/>
        <w:outlineLvl w:val="1"/>
        <w:rPr>
          <w:color w:val="auto"/>
          <w:highlight w:val="none"/>
        </w:rPr>
      </w:pPr>
      <w:r>
        <w:rPr>
          <w:rFonts w:hint="eastAsia"/>
          <w:color w:val="auto"/>
          <w:highlight w:val="none"/>
        </w:rPr>
        <w:t xml:space="preserve"> 2、“分项报价明细表”各分项报价合计应当与“开标一览表”报价合计相等。</w:t>
      </w: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adjustRightInd w:val="0"/>
        <w:spacing w:line="360" w:lineRule="auto"/>
        <w:outlineLvl w:val="5"/>
        <w:rPr>
          <w:rFonts w:hAnsi="宋体" w:cs="宋体"/>
          <w:color w:val="auto"/>
          <w:highlight w:val="none"/>
        </w:rPr>
      </w:pPr>
      <w:r>
        <w:rPr>
          <w:rFonts w:hint="eastAsia" w:hAnsi="宋体" w:cs="宋体"/>
          <w:color w:val="auto"/>
          <w:highlight w:val="none"/>
        </w:rPr>
        <w:t>日期：</w:t>
      </w:r>
    </w:p>
    <w:p>
      <w:pPr>
        <w:pStyle w:val="6"/>
        <w:spacing w:line="360" w:lineRule="auto"/>
        <w:rPr>
          <w:color w:val="auto"/>
          <w:highlight w:val="none"/>
        </w:rPr>
      </w:pPr>
      <w:r>
        <w:rPr>
          <w:rFonts w:hint="eastAsia"/>
          <w:color w:val="auto"/>
          <w:highlight w:val="none"/>
        </w:rPr>
        <w:t>七、耗材价格清单表</w:t>
      </w:r>
    </w:p>
    <w:p>
      <w:pPr>
        <w:rPr>
          <w:rFonts w:hint="eastAsia" w:eastAsia="宋体"/>
          <w:color w:val="auto"/>
          <w:highlight w:val="none"/>
          <w:lang w:eastAsia="zh-CN"/>
        </w:rPr>
      </w:pPr>
      <w:r>
        <w:rPr>
          <w:rFonts w:hint="eastAsia" w:hAnsi="宋体"/>
          <w:b/>
          <w:color w:val="auto"/>
          <w:highlight w:val="none"/>
        </w:rPr>
        <w:t>项目名称：   招标编号：</w:t>
      </w:r>
      <w:r>
        <w:rPr>
          <w:rFonts w:hint="eastAsia" w:hAnsi="宋体"/>
          <w:b/>
          <w:color w:val="auto"/>
          <w:highlight w:val="none"/>
          <w:u w:val="single"/>
          <w:lang w:val="en-US" w:eastAsia="zh-CN"/>
        </w:rPr>
        <w:t xml:space="preserve"> </w:t>
      </w:r>
    </w:p>
    <w:tbl>
      <w:tblPr>
        <w:tblStyle w:val="46"/>
        <w:tblW w:w="11173" w:type="dxa"/>
        <w:tblInd w:w="-1452" w:type="dxa"/>
        <w:tblLayout w:type="fixed"/>
        <w:tblCellMar>
          <w:top w:w="0" w:type="dxa"/>
          <w:left w:w="108" w:type="dxa"/>
          <w:bottom w:w="0" w:type="dxa"/>
          <w:right w:w="108" w:type="dxa"/>
        </w:tblCellMar>
      </w:tblPr>
      <w:tblGrid>
        <w:gridCol w:w="718"/>
        <w:gridCol w:w="1095"/>
        <w:gridCol w:w="1365"/>
        <w:gridCol w:w="1170"/>
        <w:gridCol w:w="1425"/>
        <w:gridCol w:w="1530"/>
        <w:gridCol w:w="795"/>
        <w:gridCol w:w="885"/>
        <w:gridCol w:w="1095"/>
        <w:gridCol w:w="1095"/>
      </w:tblGrid>
      <w:tr>
        <w:tblPrEx>
          <w:tblCellMar>
            <w:top w:w="0" w:type="dxa"/>
            <w:left w:w="108" w:type="dxa"/>
            <w:bottom w:w="0" w:type="dxa"/>
            <w:right w:w="108" w:type="dxa"/>
          </w:tblCellMar>
        </w:tblPrEx>
        <w:trPr>
          <w:trHeight w:val="912" w:hRule="atLeast"/>
        </w:trPr>
        <w:tc>
          <w:tcPr>
            <w:tcW w:w="7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序号</w:t>
            </w:r>
          </w:p>
        </w:tc>
        <w:tc>
          <w:tcPr>
            <w:tcW w:w="10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名称</w:t>
            </w:r>
          </w:p>
        </w:tc>
        <w:tc>
          <w:tcPr>
            <w:tcW w:w="136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生产厂家</w:t>
            </w:r>
          </w:p>
        </w:tc>
        <w:tc>
          <w:tcPr>
            <w:tcW w:w="117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产地</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品牌、规格、型号</w:t>
            </w:r>
          </w:p>
        </w:tc>
        <w:tc>
          <w:tcPr>
            <w:tcW w:w="153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挂网流水号</w:t>
            </w:r>
          </w:p>
        </w:tc>
        <w:tc>
          <w:tcPr>
            <w:tcW w:w="7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单位</w:t>
            </w:r>
          </w:p>
        </w:tc>
        <w:tc>
          <w:tcPr>
            <w:tcW w:w="88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数量</w:t>
            </w:r>
          </w:p>
        </w:tc>
        <w:tc>
          <w:tcPr>
            <w:tcW w:w="1095" w:type="dxa"/>
            <w:tcBorders>
              <w:top w:val="single" w:color="auto" w:sz="4" w:space="0"/>
              <w:left w:val="nil"/>
              <w:bottom w:val="single" w:color="auto" w:sz="4" w:space="0"/>
              <w:right w:val="single" w:color="auto" w:sz="4" w:space="0"/>
            </w:tcBorders>
            <w:noWrap/>
            <w:vAlign w:val="center"/>
          </w:tcPr>
          <w:p>
            <w:pPr>
              <w:spacing w:line="360" w:lineRule="auto"/>
              <w:ind w:firstLine="120" w:firstLineChars="50"/>
              <w:jc w:val="center"/>
              <w:rPr>
                <w:rFonts w:hAnsi="宋体" w:cs="宋体"/>
                <w:b/>
                <w:color w:val="auto"/>
                <w:highlight w:val="none"/>
              </w:rPr>
            </w:pPr>
            <w:r>
              <w:rPr>
                <w:rFonts w:hint="eastAsia" w:hAnsi="宋体" w:cs="宋体"/>
                <w:b/>
                <w:color w:val="auto"/>
                <w:highlight w:val="none"/>
              </w:rPr>
              <w:t>单价</w:t>
            </w:r>
          </w:p>
          <w:p>
            <w:pPr>
              <w:spacing w:line="360" w:lineRule="auto"/>
              <w:ind w:firstLine="120" w:firstLineChars="50"/>
              <w:jc w:val="center"/>
              <w:rPr>
                <w:rFonts w:hAnsi="宋体" w:cs="宋体"/>
                <w:b/>
                <w:color w:val="auto"/>
                <w:highlight w:val="none"/>
              </w:rPr>
            </w:pPr>
            <w:r>
              <w:rPr>
                <w:rFonts w:hint="eastAsia" w:hAnsi="宋体" w:cs="宋体"/>
                <w:b/>
                <w:color w:val="auto"/>
                <w:highlight w:val="none"/>
              </w:rPr>
              <w:t>（元）</w:t>
            </w:r>
          </w:p>
        </w:tc>
        <w:tc>
          <w:tcPr>
            <w:tcW w:w="10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总价（元）</w:t>
            </w:r>
          </w:p>
        </w:tc>
      </w:tr>
      <w:tr>
        <w:tblPrEx>
          <w:tblCellMar>
            <w:top w:w="0" w:type="dxa"/>
            <w:left w:w="108" w:type="dxa"/>
            <w:bottom w:w="0" w:type="dxa"/>
            <w:right w:w="108" w:type="dxa"/>
          </w:tblCellMar>
        </w:tblPrEx>
        <w:trPr>
          <w:trHeight w:val="561"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1</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2</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37"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3</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37"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4</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nil"/>
              <w:right w:val="nil"/>
            </w:tcBorders>
            <w:noWrap/>
            <w:vAlign w:val="center"/>
          </w:tcPr>
          <w:p>
            <w:pPr>
              <w:spacing w:line="360" w:lineRule="auto"/>
              <w:jc w:val="center"/>
              <w:rPr>
                <w:rFonts w:hAnsi="宋体" w:cs="宋体"/>
                <w:color w:val="auto"/>
                <w:sz w:val="22"/>
                <w:highlight w:val="none"/>
              </w:rPr>
            </w:pPr>
          </w:p>
        </w:tc>
        <w:tc>
          <w:tcPr>
            <w:tcW w:w="1095"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00"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5</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bl>
    <w:p>
      <w:pPr>
        <w:spacing w:line="360" w:lineRule="auto"/>
        <w:rPr>
          <w:rFonts w:hAnsi="宋体"/>
          <w:b/>
          <w:color w:val="auto"/>
          <w:sz w:val="28"/>
          <w:highlight w:val="none"/>
        </w:rPr>
      </w:pPr>
      <w:r>
        <w:rPr>
          <w:rFonts w:hint="eastAsia" w:hAnsi="宋体"/>
          <w:b/>
          <w:color w:val="auto"/>
          <w:sz w:val="28"/>
          <w:highlight w:val="none"/>
        </w:rPr>
        <w:t>耗材是否为专机专用      □ 是    □ 否</w:t>
      </w:r>
    </w:p>
    <w:p>
      <w:pPr>
        <w:spacing w:line="360" w:lineRule="auto"/>
        <w:rPr>
          <w:rFonts w:hAnsi="宋体"/>
          <w:b/>
          <w:color w:val="auto"/>
          <w:sz w:val="28"/>
          <w:highlight w:val="none"/>
        </w:rPr>
      </w:pPr>
    </w:p>
    <w:p>
      <w:pPr>
        <w:snapToGrid w:val="0"/>
        <w:spacing w:line="360" w:lineRule="auto"/>
        <w:ind w:firstLine="470" w:firstLineChars="196"/>
        <w:outlineLvl w:val="1"/>
        <w:rPr>
          <w:color w:val="auto"/>
          <w:highlight w:val="none"/>
        </w:rPr>
      </w:pPr>
      <w:r>
        <w:rPr>
          <w:rFonts w:hint="eastAsia"/>
          <w:color w:val="auto"/>
          <w:highlight w:val="none"/>
        </w:rPr>
        <w:t>注：1、本表仅限投标产品在后期使用中需使用医疗耗材的产品适用，仅作为采购人后期工作的参考。如投标产品在后期使用中需使用医疗耗材而未提供上表仅做扣分处理。</w:t>
      </w:r>
    </w:p>
    <w:p>
      <w:pPr>
        <w:snapToGrid w:val="0"/>
        <w:spacing w:line="360" w:lineRule="auto"/>
        <w:ind w:firstLine="470" w:firstLineChars="196"/>
        <w:outlineLvl w:val="1"/>
        <w:rPr>
          <w:color w:val="auto"/>
          <w:highlight w:val="none"/>
        </w:rPr>
      </w:pP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adjustRightInd w:val="0"/>
        <w:spacing w:line="360" w:lineRule="auto"/>
        <w:outlineLvl w:val="5"/>
        <w:rPr>
          <w:rFonts w:hAnsi="宋体" w:cs="宋体"/>
          <w:color w:val="auto"/>
          <w:highlight w:val="none"/>
        </w:rPr>
        <w:sectPr>
          <w:pgSz w:w="11906" w:h="16838"/>
          <w:pgMar w:top="1440" w:right="1800" w:bottom="1440" w:left="1800" w:header="851" w:footer="992" w:gutter="0"/>
          <w:cols w:space="720" w:num="1"/>
          <w:docGrid w:type="lines" w:linePitch="462" w:charSpace="0"/>
        </w:sectPr>
      </w:pPr>
      <w:r>
        <w:rPr>
          <w:rFonts w:hint="eastAsia" w:hAnsi="宋体" w:cs="宋体"/>
          <w:color w:val="auto"/>
          <w:highlight w:val="none"/>
        </w:rPr>
        <w:t>日期：</w:t>
      </w:r>
    </w:p>
    <w:p>
      <w:pPr>
        <w:pStyle w:val="6"/>
        <w:spacing w:before="0" w:after="0" w:line="360" w:lineRule="auto"/>
        <w:jc w:val="left"/>
        <w:rPr>
          <w:color w:val="auto"/>
          <w:highlight w:val="none"/>
        </w:rPr>
      </w:pPr>
    </w:p>
    <w:p>
      <w:pPr>
        <w:pStyle w:val="6"/>
        <w:spacing w:before="0" w:after="0" w:line="360" w:lineRule="auto"/>
        <w:rPr>
          <w:color w:val="auto"/>
          <w:highlight w:val="none"/>
        </w:rPr>
      </w:pPr>
      <w:r>
        <w:rPr>
          <w:rFonts w:hint="eastAsia"/>
          <w:color w:val="auto"/>
          <w:highlight w:val="none"/>
        </w:rPr>
        <w:t>八、商务应答表</w:t>
      </w:r>
    </w:p>
    <w:p>
      <w:pPr>
        <w:spacing w:line="360" w:lineRule="auto"/>
        <w:outlineLvl w:val="5"/>
        <w:rPr>
          <w:rFonts w:hAnsi="宋体" w:cs="宋体"/>
          <w:color w:val="auto"/>
          <w:highlight w:val="none"/>
        </w:rPr>
      </w:pPr>
    </w:p>
    <w:p>
      <w:pPr>
        <w:spacing w:line="360" w:lineRule="auto"/>
        <w:outlineLvl w:val="5"/>
        <w:rPr>
          <w:rFonts w:hint="eastAsia" w:hAnsi="宋体" w:eastAsia="宋体" w:cs="宋体"/>
          <w:b/>
          <w:color w:val="auto"/>
          <w:highlight w:val="none"/>
          <w:u w:val="single"/>
          <w:lang w:eastAsia="zh-CN"/>
        </w:rPr>
      </w:pPr>
      <w:r>
        <w:rPr>
          <w:rFonts w:hint="eastAsia" w:hAnsi="宋体"/>
          <w:b/>
          <w:color w:val="auto"/>
          <w:highlight w:val="none"/>
        </w:rPr>
        <w:t>项目名称：   招标编号：</w:t>
      </w:r>
      <w:r>
        <w:rPr>
          <w:rFonts w:hint="eastAsia" w:hAnsi="宋体"/>
          <w:b/>
          <w:color w:val="auto"/>
          <w:highlight w:val="none"/>
          <w:u w:val="single"/>
          <w:lang w:val="en-US" w:eastAsia="zh-CN"/>
        </w:rPr>
        <w:t xml:space="preserve"> </w:t>
      </w:r>
    </w:p>
    <w:p>
      <w:pPr>
        <w:pStyle w:val="29"/>
        <w:spacing w:line="360" w:lineRule="auto"/>
        <w:outlineLvl w:val="5"/>
        <w:rPr>
          <w:rFonts w:hAnsi="宋体" w:cs="宋体"/>
          <w:b/>
          <w:bCs/>
          <w:color w:val="auto"/>
          <w:sz w:val="24"/>
          <w:szCs w:val="24"/>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序号</w:t>
            </w:r>
          </w:p>
        </w:tc>
        <w:tc>
          <w:tcPr>
            <w:tcW w:w="3883"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招标要求</w:t>
            </w:r>
          </w:p>
        </w:tc>
        <w:tc>
          <w:tcPr>
            <w:tcW w:w="3884"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投标应答</w:t>
            </w:r>
          </w:p>
        </w:tc>
        <w:tc>
          <w:tcPr>
            <w:tcW w:w="1230"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ind w:left="317" w:hanging="316" w:hangingChars="132"/>
              <w:jc w:val="center"/>
              <w:outlineLvl w:val="5"/>
              <w:rPr>
                <w:rFonts w:hAnsi="宋体" w:cs="宋体"/>
                <w:color w:val="auto"/>
                <w:highlight w:val="none"/>
              </w:rPr>
            </w:pPr>
          </w:p>
        </w:tc>
        <w:tc>
          <w:tcPr>
            <w:tcW w:w="1230" w:type="dxa"/>
            <w:noWrap/>
            <w:vAlign w:val="center"/>
          </w:tcPr>
          <w:p>
            <w:pPr>
              <w:spacing w:line="360" w:lineRule="auto"/>
              <w:ind w:left="317" w:hanging="316" w:hangingChars="132"/>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bl>
    <w:p>
      <w:pPr>
        <w:spacing w:line="360" w:lineRule="auto"/>
        <w:outlineLvl w:val="5"/>
        <w:rPr>
          <w:rFonts w:hAnsi="宋体" w:cs="宋体"/>
          <w:color w:val="auto"/>
          <w:highlight w:val="none"/>
        </w:rPr>
      </w:pPr>
      <w:r>
        <w:rPr>
          <w:rFonts w:hint="eastAsia" w:hAnsi="宋体" w:cs="宋体"/>
          <w:color w:val="auto"/>
          <w:highlight w:val="none"/>
        </w:rPr>
        <w:t>注：1.投标人把招标文件第六章中第三部分：总体商务、服务要求及履约主要条款逐条列出。</w:t>
      </w:r>
    </w:p>
    <w:p>
      <w:pPr>
        <w:spacing w:line="360" w:lineRule="auto"/>
        <w:ind w:left="480" w:leftChars="200"/>
        <w:outlineLvl w:val="5"/>
        <w:rPr>
          <w:rFonts w:hAnsi="宋体" w:cs="宋体"/>
          <w:color w:val="auto"/>
          <w:highlight w:val="none"/>
        </w:rPr>
      </w:pPr>
      <w:r>
        <w:rPr>
          <w:rFonts w:hint="eastAsia" w:hAnsi="宋体" w:cs="宋体"/>
          <w:color w:val="auto"/>
          <w:highlight w:val="none"/>
        </w:rPr>
        <w:t>2.投标人必须据实填写，不得虚假应答，否则将取消其投标或中标资格，并按有关规定进行处罚。</w:t>
      </w: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spacing w:line="360" w:lineRule="auto"/>
        <w:outlineLvl w:val="1"/>
        <w:rPr>
          <w:rFonts w:hAnsi="宋体"/>
          <w:color w:val="auto"/>
          <w:szCs w:val="21"/>
          <w:highlight w:val="none"/>
        </w:rPr>
      </w:pPr>
      <w:r>
        <w:rPr>
          <w:rFonts w:hint="eastAsia" w:hAnsi="宋体" w:cs="宋体"/>
          <w:bCs/>
          <w:color w:val="auto"/>
          <w:highlight w:val="none"/>
        </w:rPr>
        <w:t>日期:</w:t>
      </w:r>
    </w:p>
    <w:p>
      <w:pPr>
        <w:pStyle w:val="6"/>
        <w:spacing w:line="360" w:lineRule="auto"/>
        <w:rPr>
          <w:color w:val="auto"/>
          <w:highlight w:val="none"/>
        </w:rPr>
      </w:pPr>
      <w:r>
        <w:rPr>
          <w:rFonts w:hint="eastAsia"/>
          <w:color w:val="auto"/>
          <w:highlight w:val="none"/>
        </w:rPr>
        <w:t>九、</w:t>
      </w:r>
      <w:bookmarkEnd w:id="137"/>
      <w:bookmarkStart w:id="138" w:name="_Toc217446088"/>
      <w:r>
        <w:rPr>
          <w:rFonts w:hint="eastAsia"/>
          <w:color w:val="auto"/>
          <w:highlight w:val="none"/>
        </w:rPr>
        <w:t>投标产品技术配置参数表</w:t>
      </w:r>
    </w:p>
    <w:p>
      <w:pPr>
        <w:spacing w:line="360" w:lineRule="auto"/>
        <w:ind w:firstLine="241" w:firstLineChars="100"/>
        <w:rPr>
          <w:rFonts w:hint="eastAsia" w:hAnsi="宋体" w:eastAsia="宋体"/>
          <w:color w:val="auto"/>
          <w:highlight w:val="none"/>
          <w:lang w:eastAsia="zh-CN"/>
        </w:rPr>
      </w:pPr>
      <w:r>
        <w:rPr>
          <w:rFonts w:hint="eastAsia" w:hAnsi="宋体"/>
          <w:b/>
          <w:color w:val="auto"/>
          <w:highlight w:val="none"/>
        </w:rPr>
        <w:t>项目名称：   招标编号：</w:t>
      </w:r>
      <w:r>
        <w:rPr>
          <w:rFonts w:hint="eastAsia" w:hAnsi="宋体"/>
          <w:b/>
          <w:color w:val="auto"/>
          <w:highlight w:val="none"/>
          <w:u w:val="single"/>
          <w:lang w:val="en-US"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84"/>
        <w:gridCol w:w="2812"/>
        <w:gridCol w:w="3256"/>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序号</w:t>
            </w:r>
          </w:p>
        </w:tc>
        <w:tc>
          <w:tcPr>
            <w:tcW w:w="1384"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货物名称</w:t>
            </w:r>
          </w:p>
        </w:tc>
        <w:tc>
          <w:tcPr>
            <w:tcW w:w="2812" w:type="dxa"/>
            <w:noWrap/>
            <w:vAlign w:val="center"/>
          </w:tcPr>
          <w:p>
            <w:pPr>
              <w:pStyle w:val="70"/>
              <w:spacing w:line="360" w:lineRule="auto"/>
              <w:ind w:firstLine="442" w:firstLineChars="200"/>
              <w:jc w:val="center"/>
              <w:rPr>
                <w:rFonts w:hAnsi="宋体"/>
                <w:b/>
                <w:color w:val="auto"/>
                <w:kern w:val="0"/>
                <w:sz w:val="22"/>
                <w:highlight w:val="none"/>
              </w:rPr>
            </w:pPr>
            <w:r>
              <w:rPr>
                <w:rFonts w:hint="eastAsia" w:hAnsi="宋体"/>
                <w:b/>
                <w:color w:val="auto"/>
                <w:kern w:val="0"/>
                <w:sz w:val="22"/>
                <w:highlight w:val="none"/>
              </w:rPr>
              <w:t>招标文件要求</w:t>
            </w:r>
          </w:p>
        </w:tc>
        <w:tc>
          <w:tcPr>
            <w:tcW w:w="3256" w:type="dxa"/>
            <w:noWrap/>
            <w:vAlign w:val="center"/>
          </w:tcPr>
          <w:p>
            <w:pPr>
              <w:pStyle w:val="70"/>
              <w:spacing w:line="360" w:lineRule="auto"/>
              <w:ind w:firstLine="221" w:firstLineChars="100"/>
              <w:jc w:val="center"/>
              <w:rPr>
                <w:rFonts w:hAnsi="宋体"/>
                <w:b/>
                <w:color w:val="auto"/>
                <w:kern w:val="0"/>
                <w:sz w:val="22"/>
                <w:highlight w:val="none"/>
              </w:rPr>
            </w:pPr>
            <w:r>
              <w:rPr>
                <w:rFonts w:hint="eastAsia" w:hAnsi="宋体"/>
                <w:b/>
                <w:color w:val="auto"/>
                <w:kern w:val="0"/>
                <w:sz w:val="22"/>
                <w:highlight w:val="none"/>
              </w:rPr>
              <w:t>投标产品技术配置参数</w:t>
            </w:r>
          </w:p>
        </w:tc>
        <w:tc>
          <w:tcPr>
            <w:tcW w:w="2053"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bl>
    <w:p>
      <w:pPr>
        <w:spacing w:line="360" w:lineRule="auto"/>
        <w:ind w:left="377" w:leftChars="57" w:hanging="240" w:hangingChars="100"/>
        <w:rPr>
          <w:rFonts w:hAnsi="宋体"/>
          <w:color w:val="auto"/>
          <w:highlight w:val="none"/>
        </w:rPr>
      </w:pPr>
      <w:r>
        <w:rPr>
          <w:rFonts w:hint="eastAsia" w:hAnsi="宋体"/>
          <w:color w:val="auto"/>
          <w:highlight w:val="none"/>
        </w:rPr>
        <w:t>注：1.供应商需把招标文件第六章中第二部分项目技术指标的全部技术配置参数逐条列入此表。</w:t>
      </w:r>
    </w:p>
    <w:p>
      <w:pPr>
        <w:spacing w:line="360" w:lineRule="auto"/>
        <w:ind w:left="377" w:leftChars="157"/>
        <w:rPr>
          <w:rFonts w:hAnsi="宋体"/>
          <w:color w:val="auto"/>
          <w:highlight w:val="none"/>
        </w:rPr>
      </w:pPr>
      <w:r>
        <w:rPr>
          <w:rFonts w:hint="eastAsia" w:hAnsi="宋体"/>
          <w:color w:val="auto"/>
          <w:highlight w:val="none"/>
        </w:rPr>
        <w:t>2.投标人必须据实填写，不得虚假应答，否则将取消其投标或中标资格。</w:t>
      </w:r>
    </w:p>
    <w:p>
      <w:pPr>
        <w:pStyle w:val="2"/>
        <w:rPr>
          <w:color w:val="auto"/>
          <w:highlight w:val="none"/>
        </w:rPr>
      </w:pPr>
    </w:p>
    <w:p>
      <w:pPr>
        <w:adjustRightInd w:val="0"/>
        <w:spacing w:line="360" w:lineRule="auto"/>
        <w:rPr>
          <w:rFonts w:hAnsi="宋体"/>
          <w:color w:val="auto"/>
          <w:highlight w:val="none"/>
        </w:rPr>
      </w:pPr>
      <w:r>
        <w:rPr>
          <w:rFonts w:hint="eastAsia" w:hAnsi="宋体"/>
          <w:color w:val="auto"/>
          <w:highlight w:val="none"/>
        </w:rPr>
        <w:t>投标人名称：        （盖单位公章）</w:t>
      </w:r>
    </w:p>
    <w:p>
      <w:pPr>
        <w:adjustRightInd w:val="0"/>
        <w:spacing w:line="360" w:lineRule="auto"/>
        <w:rPr>
          <w:rFonts w:hAnsi="宋体"/>
          <w:color w:val="auto"/>
          <w:highlight w:val="none"/>
        </w:rPr>
      </w:pPr>
      <w:r>
        <w:rPr>
          <w:rFonts w:hint="eastAsia" w:hAnsi="宋体"/>
          <w:color w:val="auto"/>
          <w:highlight w:val="none"/>
        </w:rPr>
        <w:t>法定代表人或授权代表（签字）：</w:t>
      </w:r>
    </w:p>
    <w:p>
      <w:pPr>
        <w:spacing w:line="360" w:lineRule="auto"/>
        <w:rPr>
          <w:rFonts w:hAnsi="宋体"/>
          <w:color w:val="auto"/>
          <w:highlight w:val="none"/>
        </w:rPr>
      </w:pPr>
      <w:r>
        <w:rPr>
          <w:rFonts w:hint="eastAsia" w:hAnsi="宋体"/>
          <w:color w:val="auto"/>
          <w:highlight w:val="none"/>
        </w:rPr>
        <w:t>日期</w:t>
      </w:r>
      <w:r>
        <w:rPr>
          <w:rFonts w:hAnsi="宋体"/>
          <w:color w:val="auto"/>
          <w:highlight w:val="none"/>
        </w:rPr>
        <w:t>:</w:t>
      </w:r>
    </w:p>
    <w:p>
      <w:pPr>
        <w:pStyle w:val="2"/>
        <w:rPr>
          <w:color w:val="auto"/>
          <w:highlight w:val="none"/>
        </w:rPr>
      </w:pPr>
    </w:p>
    <w:p>
      <w:pPr>
        <w:pStyle w:val="2"/>
        <w:rPr>
          <w:color w:val="auto"/>
          <w:highlight w:val="none"/>
        </w:rPr>
      </w:pPr>
    </w:p>
    <w:p>
      <w:pPr>
        <w:pStyle w:val="6"/>
        <w:spacing w:before="0" w:after="0" w:line="360" w:lineRule="auto"/>
        <w:rPr>
          <w:rFonts w:ascii="宋体" w:hAnsi="宋体" w:cs="宋体"/>
          <w:color w:val="auto"/>
          <w:highlight w:val="none"/>
        </w:rPr>
      </w:pPr>
      <w:r>
        <w:rPr>
          <w:rStyle w:val="394"/>
          <w:rFonts w:hint="eastAsia"/>
          <w:b/>
          <w:bCs/>
          <w:color w:val="auto"/>
          <w:highlight w:val="none"/>
        </w:rPr>
        <w:t>十、投标人基本情况表</w:t>
      </w:r>
      <w:bookmarkEnd w:id="138"/>
    </w:p>
    <w:p>
      <w:pPr>
        <w:spacing w:line="360" w:lineRule="auto"/>
        <w:rPr>
          <w:rFonts w:hAnsi="宋体"/>
          <w:color w:val="auto"/>
          <w:highlight w:val="none"/>
        </w:rPr>
      </w:pPr>
    </w:p>
    <w:p>
      <w:pPr>
        <w:spacing w:line="360" w:lineRule="auto"/>
        <w:rPr>
          <w:rFonts w:hint="eastAsia" w:hAnsi="宋体" w:eastAsia="宋体"/>
          <w:b/>
          <w:color w:val="auto"/>
          <w:highlight w:val="none"/>
          <w:u w:val="single"/>
          <w:lang w:eastAsia="zh-CN"/>
        </w:rPr>
      </w:pPr>
      <w:r>
        <w:rPr>
          <w:rFonts w:hint="eastAsia" w:hAnsi="宋体"/>
          <w:b/>
          <w:color w:val="auto"/>
          <w:highlight w:val="none"/>
        </w:rPr>
        <w:t>项目名称：   招标编号：</w:t>
      </w:r>
      <w:r>
        <w:rPr>
          <w:rFonts w:hint="eastAsia" w:hAnsi="宋体"/>
          <w:b/>
          <w:color w:val="auto"/>
          <w:highlight w:val="none"/>
          <w:u w:val="single"/>
          <w:lang w:val="en-US" w:eastAsia="zh-CN"/>
        </w:rPr>
        <w:t xml:space="preserve"> </w:t>
      </w:r>
    </w:p>
    <w:tbl>
      <w:tblPr>
        <w:tblStyle w:val="4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投标人名称</w:t>
            </w:r>
          </w:p>
        </w:tc>
        <w:tc>
          <w:tcPr>
            <w:tcW w:w="7879" w:type="dxa"/>
            <w:gridSpan w:val="7"/>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注册地址</w:t>
            </w:r>
          </w:p>
        </w:tc>
        <w:tc>
          <w:tcPr>
            <w:tcW w:w="3865" w:type="dxa"/>
            <w:gridSpan w:val="4"/>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8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邮政编码</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联系方式</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联系人</w:t>
            </w:r>
          </w:p>
        </w:tc>
        <w:tc>
          <w:tcPr>
            <w:tcW w:w="2770"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传真</w:t>
            </w:r>
          </w:p>
        </w:tc>
        <w:tc>
          <w:tcPr>
            <w:tcW w:w="2770"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网址</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组织结构</w:t>
            </w:r>
          </w:p>
        </w:tc>
        <w:tc>
          <w:tcPr>
            <w:tcW w:w="7879" w:type="dxa"/>
            <w:gridSpan w:val="7"/>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法定代表人</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姓名</w:t>
            </w:r>
          </w:p>
        </w:tc>
        <w:tc>
          <w:tcPr>
            <w:tcW w:w="1365" w:type="dxa"/>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0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技术职称</w:t>
            </w: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31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1212" w:type="dxa"/>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技术负责人</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姓名</w:t>
            </w:r>
          </w:p>
        </w:tc>
        <w:tc>
          <w:tcPr>
            <w:tcW w:w="1365" w:type="dxa"/>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0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技术职称</w:t>
            </w: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31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1212" w:type="dxa"/>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成立时间</w:t>
            </w:r>
          </w:p>
        </w:tc>
        <w:tc>
          <w:tcPr>
            <w:tcW w:w="2452"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5427" w:type="dxa"/>
            <w:gridSpan w:val="5"/>
            <w:noWrap/>
            <w:vAlign w:val="center"/>
          </w:tcPr>
          <w:p>
            <w:pPr>
              <w:autoSpaceDE w:val="0"/>
              <w:autoSpaceDN w:val="0"/>
              <w:adjustRightInd w:val="0"/>
              <w:spacing w:line="360" w:lineRule="auto"/>
              <w:ind w:firstLine="1540" w:firstLineChars="700"/>
              <w:outlineLvl w:val="5"/>
              <w:rPr>
                <w:rFonts w:hAnsi="宋体" w:cs="宋体"/>
                <w:color w:val="auto"/>
                <w:sz w:val="22"/>
                <w:highlight w:val="none"/>
              </w:rPr>
            </w:pPr>
            <w:r>
              <w:rPr>
                <w:rFonts w:hint="eastAsia" w:hAnsi="宋体" w:cs="宋体"/>
                <w:color w:val="auto"/>
                <w:sz w:val="22"/>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企业资质等级</w:t>
            </w:r>
          </w:p>
        </w:tc>
        <w:tc>
          <w:tcPr>
            <w:tcW w:w="7879" w:type="dxa"/>
            <w:gridSpan w:val="7"/>
            <w:tcBorders>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营业执照号</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注册资金</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开户银行</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账号</w:t>
            </w:r>
          </w:p>
        </w:tc>
        <w:tc>
          <w:tcPr>
            <w:tcW w:w="7879" w:type="dxa"/>
            <w:gridSpan w:val="7"/>
            <w:tcBorders>
              <w:top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2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经营范围</w:t>
            </w:r>
          </w:p>
        </w:tc>
        <w:tc>
          <w:tcPr>
            <w:tcW w:w="7879" w:type="dxa"/>
            <w:gridSpan w:val="7"/>
            <w:noWrap/>
            <w:vAlign w:val="center"/>
          </w:tcPr>
          <w:p>
            <w:pPr>
              <w:autoSpaceDE w:val="0"/>
              <w:autoSpaceDN w:val="0"/>
              <w:adjustRightInd w:val="0"/>
              <w:spacing w:line="360" w:lineRule="auto"/>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07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备注</w:t>
            </w:r>
          </w:p>
        </w:tc>
        <w:tc>
          <w:tcPr>
            <w:tcW w:w="7879" w:type="dxa"/>
            <w:gridSpan w:val="7"/>
            <w:noWrap/>
          </w:tcPr>
          <w:p>
            <w:pPr>
              <w:autoSpaceDE w:val="0"/>
              <w:autoSpaceDN w:val="0"/>
              <w:adjustRightInd w:val="0"/>
              <w:spacing w:line="360" w:lineRule="auto"/>
              <w:outlineLvl w:val="5"/>
              <w:rPr>
                <w:rFonts w:hAnsi="宋体" w:cs="宋体"/>
                <w:color w:val="auto"/>
                <w:sz w:val="22"/>
                <w:highlight w:val="none"/>
              </w:rPr>
            </w:pPr>
          </w:p>
        </w:tc>
      </w:tr>
    </w:tbl>
    <w:p>
      <w:pPr>
        <w:adjustRightInd w:val="0"/>
        <w:spacing w:line="360" w:lineRule="auto"/>
        <w:outlineLvl w:val="5"/>
        <w:rPr>
          <w:rFonts w:hAnsi="宋体" w:cs="宋体"/>
          <w:b/>
          <w:color w:val="auto"/>
          <w:highlight w:val="none"/>
        </w:rPr>
      </w:pP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spacing w:line="360" w:lineRule="auto"/>
        <w:outlineLvl w:val="5"/>
        <w:rPr>
          <w:rFonts w:hAnsi="宋体" w:cs="宋体"/>
          <w:bCs/>
          <w:color w:val="auto"/>
          <w:highlight w:val="none"/>
        </w:rPr>
      </w:pPr>
      <w:r>
        <w:rPr>
          <w:rFonts w:hint="eastAsia" w:hAnsi="宋体" w:cs="宋体"/>
          <w:bCs/>
          <w:color w:val="auto"/>
          <w:highlight w:val="none"/>
        </w:rPr>
        <w:t>日期:</w:t>
      </w:r>
    </w:p>
    <w:p>
      <w:pPr>
        <w:pStyle w:val="8"/>
        <w:spacing w:before="0" w:after="0" w:line="360" w:lineRule="auto"/>
        <w:jc w:val="center"/>
        <w:rPr>
          <w:rFonts w:ascii="宋体" w:hAnsi="宋体" w:cs="宋体"/>
          <w:color w:val="auto"/>
          <w:highlight w:val="none"/>
        </w:rPr>
      </w:pPr>
      <w:bookmarkStart w:id="139" w:name="_Toc217446089"/>
      <w:r>
        <w:rPr>
          <w:rFonts w:hint="eastAsia" w:ascii="宋体" w:hAnsi="宋体" w:cs="宋体"/>
          <w:color w:val="auto"/>
          <w:highlight w:val="none"/>
        </w:rPr>
        <w:br w:type="page"/>
      </w:r>
      <w:r>
        <w:rPr>
          <w:rStyle w:val="394"/>
          <w:rFonts w:hint="eastAsia" w:ascii="宋体" w:hAnsi="宋体" w:eastAsia="宋体" w:cs="宋体"/>
          <w:b/>
          <w:bCs/>
          <w:color w:val="auto"/>
          <w:highlight w:val="none"/>
        </w:rPr>
        <w:t>十一、投标产品类似项目业绩一览表</w:t>
      </w:r>
      <w:bookmarkEnd w:id="139"/>
    </w:p>
    <w:p>
      <w:pPr>
        <w:spacing w:line="360" w:lineRule="auto"/>
        <w:rPr>
          <w:rFonts w:hAnsi="宋体"/>
          <w:color w:val="auto"/>
          <w:highlight w:val="none"/>
        </w:rPr>
      </w:pPr>
    </w:p>
    <w:p>
      <w:pPr>
        <w:spacing w:line="360" w:lineRule="auto"/>
        <w:rPr>
          <w:rFonts w:hint="eastAsia" w:hAnsi="宋体" w:eastAsia="宋体"/>
          <w:b/>
          <w:color w:val="auto"/>
          <w:highlight w:val="none"/>
          <w:u w:val="single"/>
          <w:lang w:eastAsia="zh-CN"/>
        </w:rPr>
      </w:pPr>
      <w:r>
        <w:rPr>
          <w:rFonts w:hint="eastAsia" w:hAnsi="宋体"/>
          <w:b/>
          <w:color w:val="auto"/>
          <w:highlight w:val="none"/>
        </w:rPr>
        <w:t>项目名称：   招标编号：</w:t>
      </w:r>
      <w:r>
        <w:rPr>
          <w:rFonts w:hint="eastAsia" w:hAnsi="宋体"/>
          <w:b/>
          <w:color w:val="auto"/>
          <w:highlight w:val="non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noWrap/>
            <w:vAlign w:val="center"/>
          </w:tcPr>
          <w:p>
            <w:pPr>
              <w:spacing w:line="360" w:lineRule="auto"/>
              <w:ind w:firstLine="120" w:firstLineChars="50"/>
              <w:outlineLvl w:val="5"/>
              <w:rPr>
                <w:rFonts w:hAnsi="宋体" w:cs="宋体"/>
                <w:b/>
                <w:color w:val="auto"/>
                <w:highlight w:val="none"/>
              </w:rPr>
            </w:pPr>
            <w:r>
              <w:rPr>
                <w:rFonts w:hint="eastAsia" w:hAnsi="宋体" w:cs="宋体"/>
                <w:b/>
                <w:color w:val="auto"/>
                <w:highlight w:val="none"/>
              </w:rPr>
              <w:t>年份</w:t>
            </w:r>
          </w:p>
        </w:tc>
        <w:tc>
          <w:tcPr>
            <w:tcW w:w="2391"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采购人名称</w:t>
            </w:r>
          </w:p>
        </w:tc>
        <w:tc>
          <w:tcPr>
            <w:tcW w:w="2753"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项目名称</w:t>
            </w:r>
          </w:p>
        </w:tc>
        <w:tc>
          <w:tcPr>
            <w:tcW w:w="1794"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合同金额</w:t>
            </w:r>
          </w:p>
        </w:tc>
        <w:tc>
          <w:tcPr>
            <w:tcW w:w="1705" w:type="dxa"/>
            <w:tcBorders>
              <w:left w:val="single" w:color="auto" w:sz="4" w:space="0"/>
            </w:tcBorders>
            <w:noWrap/>
            <w:vAlign w:val="center"/>
          </w:tcPr>
          <w:p>
            <w:pPr>
              <w:spacing w:line="360" w:lineRule="auto"/>
              <w:outlineLvl w:val="5"/>
              <w:rPr>
                <w:rFonts w:hAnsi="宋体" w:cs="宋体"/>
                <w:b/>
                <w:color w:val="auto"/>
                <w:highlight w:val="none"/>
              </w:rPr>
            </w:pPr>
            <w:r>
              <w:rPr>
                <w:rFonts w:hint="eastAsia" w:hAnsi="宋体" w:cs="宋体"/>
                <w:b/>
                <w:color w:val="auto"/>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tcBorders>
              <w:right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left w:val="single" w:color="auto" w:sz="4" w:space="0"/>
            </w:tcBorders>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noWrap/>
            <w:vAlign w:val="center"/>
          </w:tcPr>
          <w:p>
            <w:pPr>
              <w:spacing w:line="360" w:lineRule="auto"/>
              <w:outlineLvl w:val="5"/>
              <w:rPr>
                <w:rFonts w:hAnsi="宋体" w:cs="宋体"/>
                <w:color w:val="auto"/>
                <w:highlight w:val="none"/>
              </w:rPr>
            </w:pPr>
          </w:p>
        </w:tc>
        <w:tc>
          <w:tcPr>
            <w:tcW w:w="2391"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2753"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1794"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1705" w:type="dxa"/>
            <w:tcBorders>
              <w:left w:val="single" w:color="auto" w:sz="4" w:space="0"/>
            </w:tcBorders>
            <w:noWrap/>
            <w:vAlign w:val="center"/>
          </w:tcPr>
          <w:p>
            <w:pPr>
              <w:spacing w:line="360" w:lineRule="auto"/>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outlineLvl w:val="5"/>
              <w:rPr>
                <w:rFonts w:hAnsi="宋体" w:cs="宋体"/>
                <w:color w:val="auto"/>
                <w:highlight w:val="none"/>
              </w:rPr>
            </w:pPr>
          </w:p>
        </w:tc>
        <w:tc>
          <w:tcPr>
            <w:tcW w:w="2391" w:type="dxa"/>
            <w:noWrap/>
            <w:vAlign w:val="center"/>
          </w:tcPr>
          <w:p>
            <w:pPr>
              <w:spacing w:line="360" w:lineRule="auto"/>
              <w:outlineLvl w:val="5"/>
              <w:rPr>
                <w:rFonts w:hAnsi="宋体" w:cs="宋体"/>
                <w:color w:val="auto"/>
                <w:highlight w:val="none"/>
              </w:rPr>
            </w:pPr>
          </w:p>
        </w:tc>
        <w:tc>
          <w:tcPr>
            <w:tcW w:w="2753" w:type="dxa"/>
            <w:noWrap/>
            <w:vAlign w:val="center"/>
          </w:tcPr>
          <w:p>
            <w:pPr>
              <w:spacing w:line="360" w:lineRule="auto"/>
              <w:outlineLvl w:val="5"/>
              <w:rPr>
                <w:rFonts w:hAnsi="宋体" w:cs="宋体"/>
                <w:color w:val="auto"/>
                <w:highlight w:val="none"/>
              </w:rPr>
            </w:pPr>
          </w:p>
        </w:tc>
        <w:tc>
          <w:tcPr>
            <w:tcW w:w="1794" w:type="dxa"/>
            <w:noWrap/>
            <w:vAlign w:val="center"/>
          </w:tcPr>
          <w:p>
            <w:pPr>
              <w:spacing w:line="360" w:lineRule="auto"/>
              <w:outlineLvl w:val="5"/>
              <w:rPr>
                <w:rFonts w:hAnsi="宋体" w:cs="宋体"/>
                <w:color w:val="auto"/>
                <w:highlight w:val="none"/>
              </w:rPr>
            </w:pPr>
          </w:p>
        </w:tc>
        <w:tc>
          <w:tcPr>
            <w:tcW w:w="1705" w:type="dxa"/>
            <w:tcBorders>
              <w:left w:val="single" w:color="auto" w:sz="4" w:space="0"/>
            </w:tcBorders>
            <w:noWrap/>
            <w:vAlign w:val="center"/>
          </w:tcPr>
          <w:p>
            <w:pPr>
              <w:spacing w:line="360" w:lineRule="auto"/>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20"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hAnsi="宋体" w:cs="宋体"/>
          <w:color w:val="auto"/>
          <w:highlight w:val="none"/>
        </w:rPr>
      </w:pPr>
      <w:r>
        <w:rPr>
          <w:rFonts w:hint="eastAsia" w:hAnsi="宋体" w:cs="宋体"/>
          <w:color w:val="auto"/>
          <w:highlight w:val="none"/>
        </w:rPr>
        <w:t>注：以上业绩需提供有关书面证明材料，否则将不予认定。</w:t>
      </w:r>
    </w:p>
    <w:p>
      <w:pPr>
        <w:spacing w:line="360" w:lineRule="auto"/>
        <w:jc w:val="center"/>
        <w:outlineLvl w:val="5"/>
        <w:rPr>
          <w:rFonts w:hAnsi="宋体" w:cs="宋体"/>
          <w:color w:val="auto"/>
          <w:highlight w:val="none"/>
        </w:rPr>
      </w:pPr>
    </w:p>
    <w:p>
      <w:pPr>
        <w:spacing w:line="360" w:lineRule="auto"/>
        <w:jc w:val="center"/>
        <w:outlineLvl w:val="5"/>
        <w:rPr>
          <w:rFonts w:hAnsi="宋体" w:cs="宋体"/>
          <w:color w:val="auto"/>
          <w:highlight w:val="none"/>
        </w:rPr>
      </w:pP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spacing w:line="360" w:lineRule="auto"/>
        <w:outlineLvl w:val="5"/>
        <w:rPr>
          <w:rFonts w:hAnsi="宋体" w:cs="宋体"/>
          <w:color w:val="auto"/>
          <w:highlight w:val="none"/>
        </w:rPr>
      </w:pPr>
      <w:r>
        <w:rPr>
          <w:rFonts w:hint="eastAsia" w:hAnsi="宋体" w:cs="宋体"/>
          <w:color w:val="auto"/>
          <w:highlight w:val="none"/>
        </w:rPr>
        <w:t>日期:</w:t>
      </w:r>
      <w:bookmarkStart w:id="140" w:name="_Toc217446090"/>
    </w:p>
    <w:p>
      <w:pPr>
        <w:spacing w:line="360" w:lineRule="auto"/>
        <w:outlineLvl w:val="5"/>
        <w:rPr>
          <w:rFonts w:hAnsi="宋体" w:cs="宋体"/>
          <w:color w:val="auto"/>
          <w:highlight w:val="none"/>
        </w:rPr>
      </w:pPr>
    </w:p>
    <w:bookmarkEnd w:id="140"/>
    <w:p>
      <w:pPr>
        <w:pStyle w:val="6"/>
        <w:spacing w:line="360" w:lineRule="auto"/>
        <w:rPr>
          <w:color w:val="auto"/>
          <w:highlight w:val="none"/>
        </w:rPr>
      </w:pPr>
      <w:bookmarkStart w:id="141" w:name="_Toc217446091"/>
      <w:bookmarkStart w:id="142" w:name="_Toc217446092"/>
      <w:r>
        <w:rPr>
          <w:rFonts w:hint="eastAsia"/>
          <w:color w:val="auto"/>
          <w:highlight w:val="none"/>
        </w:rPr>
        <w:t>十二、投标人本项目管理、技术、服务人员情况表</w:t>
      </w:r>
      <w:bookmarkEnd w:id="141"/>
    </w:p>
    <w:p>
      <w:pPr>
        <w:spacing w:line="360" w:lineRule="auto"/>
        <w:ind w:firstLine="413" w:firstLineChars="147"/>
        <w:jc w:val="center"/>
        <w:outlineLvl w:val="5"/>
        <w:rPr>
          <w:rFonts w:hAnsi="宋体" w:cs="宋体"/>
          <w:b/>
          <w:bCs/>
          <w:color w:val="auto"/>
          <w:sz w:val="28"/>
          <w:szCs w:val="28"/>
          <w:highlight w:val="none"/>
        </w:rPr>
      </w:pPr>
    </w:p>
    <w:p>
      <w:pPr>
        <w:spacing w:line="360" w:lineRule="auto"/>
        <w:rPr>
          <w:rFonts w:hint="eastAsia" w:hAnsi="宋体" w:eastAsia="宋体"/>
          <w:b/>
          <w:color w:val="auto"/>
          <w:highlight w:val="none"/>
          <w:u w:val="single"/>
          <w:lang w:eastAsia="zh-CN"/>
        </w:rPr>
      </w:pPr>
      <w:r>
        <w:rPr>
          <w:rFonts w:hint="eastAsia" w:hAnsi="宋体"/>
          <w:b/>
          <w:color w:val="auto"/>
          <w:highlight w:val="none"/>
        </w:rPr>
        <w:t>项目名称：   招标编号：</w:t>
      </w:r>
      <w:r>
        <w:rPr>
          <w:rFonts w:hint="eastAsia" w:hAnsi="宋体"/>
          <w:b/>
          <w:color w:val="auto"/>
          <w:highlight w:val="none"/>
          <w:lang w:val="en-US"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类别</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职务</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姓名</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职称</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常住地</w:t>
            </w:r>
          </w:p>
        </w:tc>
        <w:tc>
          <w:tcPr>
            <w:tcW w:w="4369" w:type="dxa"/>
            <w:gridSpan w:val="4"/>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371"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证书名称</w:t>
            </w:r>
          </w:p>
        </w:tc>
        <w:tc>
          <w:tcPr>
            <w:tcW w:w="955"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级别</w:t>
            </w:r>
          </w:p>
        </w:tc>
        <w:tc>
          <w:tcPr>
            <w:tcW w:w="1092"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证号</w:t>
            </w:r>
          </w:p>
        </w:tc>
        <w:tc>
          <w:tcPr>
            <w:tcW w:w="951"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管</w:t>
            </w:r>
          </w:p>
          <w:p>
            <w:pPr>
              <w:spacing w:line="360" w:lineRule="auto"/>
              <w:jc w:val="center"/>
              <w:outlineLvl w:val="5"/>
              <w:rPr>
                <w:rFonts w:hAnsi="宋体" w:cs="宋体"/>
                <w:color w:val="auto"/>
                <w:highlight w:val="none"/>
              </w:rPr>
            </w:pPr>
            <w:r>
              <w:rPr>
                <w:rFonts w:hint="eastAsia" w:hAnsi="宋体" w:cs="宋体"/>
                <w:color w:val="auto"/>
                <w:highlight w:val="none"/>
              </w:rPr>
              <w:t>理</w:t>
            </w:r>
          </w:p>
          <w:p>
            <w:pPr>
              <w:spacing w:line="360" w:lineRule="auto"/>
              <w:jc w:val="center"/>
              <w:outlineLvl w:val="5"/>
              <w:rPr>
                <w:rFonts w:hAnsi="宋体" w:cs="宋体"/>
                <w:color w:val="auto"/>
                <w:highlight w:val="none"/>
              </w:rPr>
            </w:pPr>
            <w:r>
              <w:rPr>
                <w:rFonts w:hint="eastAsia" w:hAnsi="宋体" w:cs="宋体"/>
                <w:color w:val="auto"/>
                <w:highlight w:val="none"/>
              </w:rPr>
              <w:t>人</w:t>
            </w:r>
          </w:p>
          <w:p>
            <w:pPr>
              <w:spacing w:line="360" w:lineRule="auto"/>
              <w:jc w:val="center"/>
              <w:outlineLvl w:val="5"/>
              <w:rPr>
                <w:rFonts w:hAnsi="宋体" w:cs="宋体"/>
                <w:color w:val="auto"/>
                <w:highlight w:val="none"/>
              </w:rPr>
            </w:pPr>
            <w:r>
              <w:rPr>
                <w:rFonts w:hint="eastAsia" w:hAnsi="宋体" w:cs="宋体"/>
                <w:color w:val="auto"/>
                <w:highlight w:val="none"/>
              </w:rPr>
              <w:t>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技</w:t>
            </w:r>
          </w:p>
          <w:p>
            <w:pPr>
              <w:spacing w:line="360" w:lineRule="auto"/>
              <w:jc w:val="center"/>
              <w:outlineLvl w:val="5"/>
              <w:rPr>
                <w:rFonts w:hAnsi="宋体" w:cs="宋体"/>
                <w:color w:val="auto"/>
                <w:highlight w:val="none"/>
              </w:rPr>
            </w:pPr>
            <w:r>
              <w:rPr>
                <w:rFonts w:hint="eastAsia" w:hAnsi="宋体" w:cs="宋体"/>
                <w:color w:val="auto"/>
                <w:highlight w:val="none"/>
              </w:rPr>
              <w:t>术</w:t>
            </w:r>
          </w:p>
          <w:p>
            <w:pPr>
              <w:spacing w:line="360" w:lineRule="auto"/>
              <w:jc w:val="center"/>
              <w:outlineLvl w:val="5"/>
              <w:rPr>
                <w:rFonts w:hAnsi="宋体" w:cs="宋体"/>
                <w:color w:val="auto"/>
                <w:highlight w:val="none"/>
              </w:rPr>
            </w:pPr>
            <w:r>
              <w:rPr>
                <w:rFonts w:hint="eastAsia" w:hAnsi="宋体" w:cs="宋体"/>
                <w:color w:val="auto"/>
                <w:highlight w:val="none"/>
              </w:rPr>
              <w:t>人</w:t>
            </w:r>
          </w:p>
          <w:p>
            <w:pPr>
              <w:spacing w:line="360" w:lineRule="auto"/>
              <w:jc w:val="center"/>
              <w:outlineLvl w:val="5"/>
              <w:rPr>
                <w:rFonts w:hAnsi="宋体" w:cs="宋体"/>
                <w:color w:val="auto"/>
                <w:highlight w:val="none"/>
              </w:rPr>
            </w:pPr>
            <w:r>
              <w:rPr>
                <w:rFonts w:hint="eastAsia" w:hAnsi="宋体" w:cs="宋体"/>
                <w:color w:val="auto"/>
                <w:highlight w:val="none"/>
              </w:rPr>
              <w:t>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售后</w:t>
            </w:r>
          </w:p>
          <w:p>
            <w:pPr>
              <w:spacing w:line="360" w:lineRule="auto"/>
              <w:jc w:val="center"/>
              <w:outlineLvl w:val="5"/>
              <w:rPr>
                <w:rFonts w:hAnsi="宋体" w:cs="宋体"/>
                <w:color w:val="auto"/>
                <w:highlight w:val="none"/>
              </w:rPr>
            </w:pPr>
            <w:r>
              <w:rPr>
                <w:rFonts w:hint="eastAsia" w:hAnsi="宋体" w:cs="宋体"/>
                <w:color w:val="auto"/>
                <w:highlight w:val="none"/>
              </w:rPr>
              <w:t>服务</w:t>
            </w:r>
          </w:p>
          <w:p>
            <w:pPr>
              <w:spacing w:line="360" w:lineRule="auto"/>
              <w:jc w:val="center"/>
              <w:outlineLvl w:val="5"/>
              <w:rPr>
                <w:rFonts w:hAnsi="宋体" w:cs="宋体"/>
                <w:color w:val="auto"/>
                <w:highlight w:val="none"/>
              </w:rPr>
            </w:pPr>
            <w:r>
              <w:rPr>
                <w:rFonts w:hint="eastAsia" w:hAnsi="宋体" w:cs="宋体"/>
                <w:color w:val="auto"/>
                <w:highlight w:val="none"/>
              </w:rPr>
              <w:t>人员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371" w:type="dxa"/>
            <w:noWrap/>
          </w:tcPr>
          <w:p>
            <w:pPr>
              <w:spacing w:line="360" w:lineRule="auto"/>
              <w:jc w:val="center"/>
              <w:outlineLvl w:val="5"/>
              <w:rPr>
                <w:rFonts w:hAnsi="宋体" w:cs="宋体"/>
                <w:bCs/>
                <w:color w:val="auto"/>
                <w:highlight w:val="none"/>
              </w:rPr>
            </w:pPr>
          </w:p>
        </w:tc>
        <w:tc>
          <w:tcPr>
            <w:tcW w:w="955" w:type="dxa"/>
            <w:noWrap/>
          </w:tcPr>
          <w:p>
            <w:pPr>
              <w:spacing w:line="360" w:lineRule="auto"/>
              <w:jc w:val="center"/>
              <w:outlineLvl w:val="5"/>
              <w:rPr>
                <w:rFonts w:hAnsi="宋体" w:cs="宋体"/>
                <w:bCs/>
                <w:color w:val="auto"/>
                <w:highlight w:val="none"/>
              </w:rPr>
            </w:pPr>
          </w:p>
        </w:tc>
        <w:tc>
          <w:tcPr>
            <w:tcW w:w="1092" w:type="dxa"/>
            <w:noWrap/>
          </w:tcPr>
          <w:p>
            <w:pPr>
              <w:spacing w:line="360" w:lineRule="auto"/>
              <w:jc w:val="center"/>
              <w:outlineLvl w:val="5"/>
              <w:rPr>
                <w:rFonts w:hAnsi="宋体" w:cs="宋体"/>
                <w:bCs/>
                <w:color w:val="auto"/>
                <w:highlight w:val="none"/>
              </w:rPr>
            </w:pPr>
          </w:p>
        </w:tc>
        <w:tc>
          <w:tcPr>
            <w:tcW w:w="951" w:type="dxa"/>
            <w:noWrap/>
          </w:tcPr>
          <w:p>
            <w:pPr>
              <w:spacing w:line="360" w:lineRule="auto"/>
              <w:jc w:val="center"/>
              <w:outlineLvl w:val="5"/>
              <w:rPr>
                <w:rFonts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371" w:type="dxa"/>
            <w:noWrap/>
          </w:tcPr>
          <w:p>
            <w:pPr>
              <w:spacing w:line="360" w:lineRule="auto"/>
              <w:jc w:val="center"/>
              <w:outlineLvl w:val="5"/>
              <w:rPr>
                <w:rFonts w:hAnsi="宋体" w:cs="宋体"/>
                <w:bCs/>
                <w:color w:val="auto"/>
                <w:highlight w:val="none"/>
              </w:rPr>
            </w:pPr>
          </w:p>
        </w:tc>
        <w:tc>
          <w:tcPr>
            <w:tcW w:w="955" w:type="dxa"/>
            <w:noWrap/>
          </w:tcPr>
          <w:p>
            <w:pPr>
              <w:spacing w:line="360" w:lineRule="auto"/>
              <w:jc w:val="center"/>
              <w:outlineLvl w:val="5"/>
              <w:rPr>
                <w:rFonts w:hAnsi="宋体" w:cs="宋体"/>
                <w:bCs/>
                <w:color w:val="auto"/>
                <w:highlight w:val="none"/>
              </w:rPr>
            </w:pPr>
          </w:p>
        </w:tc>
        <w:tc>
          <w:tcPr>
            <w:tcW w:w="1092" w:type="dxa"/>
            <w:noWrap/>
          </w:tcPr>
          <w:p>
            <w:pPr>
              <w:spacing w:line="360" w:lineRule="auto"/>
              <w:jc w:val="center"/>
              <w:outlineLvl w:val="5"/>
              <w:rPr>
                <w:rFonts w:hAnsi="宋体" w:cs="宋体"/>
                <w:bCs/>
                <w:color w:val="auto"/>
                <w:highlight w:val="none"/>
              </w:rPr>
            </w:pPr>
          </w:p>
        </w:tc>
        <w:tc>
          <w:tcPr>
            <w:tcW w:w="951" w:type="dxa"/>
            <w:noWrap/>
          </w:tcPr>
          <w:p>
            <w:pPr>
              <w:spacing w:line="360" w:lineRule="auto"/>
              <w:jc w:val="center"/>
              <w:outlineLvl w:val="5"/>
              <w:rPr>
                <w:rFonts w:hAnsi="宋体" w:cs="宋体"/>
                <w:bCs/>
                <w:color w:val="auto"/>
                <w:highlight w:val="none"/>
              </w:rPr>
            </w:pPr>
          </w:p>
        </w:tc>
      </w:tr>
    </w:tbl>
    <w:p>
      <w:pPr>
        <w:spacing w:line="360" w:lineRule="auto"/>
        <w:jc w:val="center"/>
        <w:outlineLvl w:val="5"/>
        <w:rPr>
          <w:rFonts w:hAnsi="宋体" w:cs="宋体"/>
          <w:b/>
          <w:bCs/>
          <w:color w:val="auto"/>
          <w:sz w:val="28"/>
          <w:highlight w:val="none"/>
        </w:rPr>
      </w:pPr>
    </w:p>
    <w:p>
      <w:pPr>
        <w:adjustRightInd w:val="0"/>
        <w:spacing w:line="360" w:lineRule="auto"/>
        <w:outlineLvl w:val="5"/>
        <w:rPr>
          <w:rFonts w:hAnsi="宋体" w:cs="宋体"/>
          <w:b/>
          <w:color w:val="auto"/>
          <w:highlight w:val="none"/>
        </w:rPr>
      </w:pP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adjustRightInd w:val="0"/>
        <w:spacing w:line="360" w:lineRule="auto"/>
        <w:outlineLvl w:val="5"/>
        <w:rPr>
          <w:rFonts w:hAnsi="宋体" w:cs="宋体"/>
          <w:bCs/>
          <w:color w:val="auto"/>
          <w:highlight w:val="none"/>
        </w:rPr>
      </w:pPr>
      <w:r>
        <w:rPr>
          <w:rFonts w:hint="eastAsia" w:hAnsi="宋体" w:cs="宋体"/>
          <w:bCs/>
          <w:color w:val="auto"/>
          <w:highlight w:val="none"/>
        </w:rPr>
        <w:t>日期：</w:t>
      </w:r>
    </w:p>
    <w:p>
      <w:pPr>
        <w:spacing w:line="360" w:lineRule="auto"/>
        <w:outlineLvl w:val="5"/>
        <w:rPr>
          <w:rFonts w:hAnsi="宋体" w:cs="宋体"/>
          <w:bCs/>
          <w:color w:val="auto"/>
          <w:highlight w:val="none"/>
        </w:rPr>
      </w:pPr>
    </w:p>
    <w:p>
      <w:pPr>
        <w:spacing w:line="360" w:lineRule="auto"/>
        <w:outlineLvl w:val="5"/>
        <w:rPr>
          <w:rFonts w:hAnsi="宋体" w:cs="宋体"/>
          <w:bCs/>
          <w:color w:val="auto"/>
          <w:highlight w:val="none"/>
        </w:rPr>
      </w:pPr>
    </w:p>
    <w:p>
      <w:pPr>
        <w:pStyle w:val="6"/>
        <w:spacing w:line="360" w:lineRule="auto"/>
        <w:rPr>
          <w:color w:val="auto"/>
          <w:highlight w:val="none"/>
        </w:rPr>
      </w:pPr>
      <w:r>
        <w:rPr>
          <w:rFonts w:hint="eastAsia"/>
          <w:color w:val="auto"/>
          <w:highlight w:val="none"/>
        </w:rPr>
        <w:t>十三、中小企业声明函</w:t>
      </w:r>
    </w:p>
    <w:p>
      <w:pPr>
        <w:spacing w:line="360" w:lineRule="auto"/>
        <w:outlineLvl w:val="5"/>
        <w:rPr>
          <w:rFonts w:hAnsi="宋体" w:cs="宋体"/>
          <w:color w:val="auto"/>
          <w:highlight w:val="none"/>
        </w:rPr>
      </w:pPr>
    </w:p>
    <w:p>
      <w:pPr>
        <w:spacing w:line="360" w:lineRule="auto"/>
        <w:outlineLvl w:val="5"/>
        <w:rPr>
          <w:rFonts w:hAnsi="宋体" w:cs="宋体"/>
          <w:color w:val="auto"/>
          <w:highlight w:val="none"/>
        </w:rPr>
      </w:pPr>
    </w:p>
    <w:p>
      <w:pPr>
        <w:pStyle w:val="6"/>
        <w:spacing w:line="360" w:lineRule="auto"/>
        <w:ind w:firstLine="720" w:firstLineChars="3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本公司郑重声明，根据《政府采购促进中小企业发展管理办法》（财库﹝2020﹞46号）的规定，本公司参加</w:t>
      </w:r>
      <w:r>
        <w:rPr>
          <w:rFonts w:hint="eastAsia" w:ascii="宋体" w:hAnsi="宋体" w:cs="宋体"/>
          <w:b w:val="0"/>
          <w:bCs w:val="0"/>
          <w:color w:val="auto"/>
          <w:kern w:val="2"/>
          <w:sz w:val="24"/>
          <w:szCs w:val="24"/>
          <w:highlight w:val="none"/>
          <w:u w:val="single"/>
        </w:rPr>
        <w:t>（单位名称）</w:t>
      </w:r>
      <w:r>
        <w:rPr>
          <w:rFonts w:hint="eastAsia" w:ascii="宋体" w:hAnsi="宋体" w:cs="宋体"/>
          <w:b w:val="0"/>
          <w:bCs w:val="0"/>
          <w:color w:val="auto"/>
          <w:kern w:val="2"/>
          <w:sz w:val="24"/>
          <w:szCs w:val="24"/>
          <w:highlight w:val="none"/>
        </w:rPr>
        <w:t>的</w:t>
      </w:r>
      <w:r>
        <w:rPr>
          <w:rFonts w:hint="eastAsia" w:ascii="宋体" w:hAnsi="宋体" w:cs="宋体"/>
          <w:b w:val="0"/>
          <w:bCs w:val="0"/>
          <w:color w:val="auto"/>
          <w:kern w:val="2"/>
          <w:sz w:val="24"/>
          <w:szCs w:val="24"/>
          <w:highlight w:val="none"/>
          <w:u w:val="single"/>
        </w:rPr>
        <w:t>（项目名称）</w:t>
      </w:r>
      <w:r>
        <w:rPr>
          <w:rFonts w:hint="eastAsia" w:ascii="宋体" w:hAnsi="宋体" w:cs="宋体"/>
          <w:b w:val="0"/>
          <w:bCs w:val="0"/>
          <w:color w:val="auto"/>
          <w:kern w:val="2"/>
          <w:sz w:val="24"/>
          <w:szCs w:val="24"/>
          <w:highlight w:val="none"/>
        </w:rPr>
        <w:t>采购活动，提供的货物全部由符合政策要求的中小企业制造。相关企业 的具体情况如下：</w:t>
      </w:r>
    </w:p>
    <w:p>
      <w:pPr>
        <w:pStyle w:val="6"/>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u w:val="single"/>
        </w:rPr>
        <w:t xml:space="preserve">（标的名称） </w:t>
      </w:r>
      <w:r>
        <w:rPr>
          <w:rFonts w:hint="eastAsia" w:ascii="宋体" w:hAnsi="宋体" w:cs="宋体"/>
          <w:b w:val="0"/>
          <w:bCs w:val="0"/>
          <w:color w:val="auto"/>
          <w:kern w:val="2"/>
          <w:sz w:val="24"/>
          <w:szCs w:val="24"/>
          <w:highlight w:val="none"/>
        </w:rPr>
        <w:t>，属于</w:t>
      </w:r>
      <w:r>
        <w:rPr>
          <w:rFonts w:hint="eastAsia" w:ascii="宋体" w:hAnsi="宋体" w:cs="宋体"/>
          <w:b w:val="0"/>
          <w:bCs w:val="0"/>
          <w:color w:val="auto"/>
          <w:kern w:val="2"/>
          <w:sz w:val="24"/>
          <w:szCs w:val="24"/>
          <w:highlight w:val="none"/>
          <w:u w:val="single"/>
        </w:rPr>
        <w:t>（招标文件中明确的所属行业）</w:t>
      </w:r>
      <w:r>
        <w:rPr>
          <w:rFonts w:hint="eastAsia" w:ascii="宋体" w:hAnsi="宋体" w:cs="宋体"/>
          <w:b w:val="0"/>
          <w:bCs w:val="0"/>
          <w:color w:val="auto"/>
          <w:kern w:val="2"/>
          <w:sz w:val="24"/>
          <w:szCs w:val="24"/>
          <w:highlight w:val="none"/>
        </w:rPr>
        <w:t>行业；制造商为（</w:t>
      </w:r>
      <w:r>
        <w:rPr>
          <w:rFonts w:hint="eastAsia" w:ascii="宋体" w:hAnsi="宋体" w:cs="宋体"/>
          <w:b w:val="0"/>
          <w:bCs w:val="0"/>
          <w:color w:val="auto"/>
          <w:kern w:val="2"/>
          <w:sz w:val="24"/>
          <w:szCs w:val="24"/>
          <w:highlight w:val="none"/>
          <w:u w:val="single"/>
        </w:rPr>
        <w:t>企业名称</w:t>
      </w:r>
      <w:r>
        <w:rPr>
          <w:rFonts w:hint="eastAsia" w:ascii="宋体" w:hAnsi="宋体" w:cs="宋体"/>
          <w:b w:val="0"/>
          <w:bCs w:val="0"/>
          <w:color w:val="auto"/>
          <w:kern w:val="2"/>
          <w:sz w:val="24"/>
          <w:szCs w:val="24"/>
          <w:highlight w:val="none"/>
        </w:rPr>
        <w:t>），从业人员人，营业收入为万元，资产总额为万元</w:t>
      </w:r>
      <w:r>
        <w:rPr>
          <w:rFonts w:hint="eastAsia" w:ascii="宋体" w:hAnsi="宋体" w:cs="宋体"/>
          <w:b w:val="0"/>
          <w:bCs w:val="0"/>
          <w:color w:val="auto"/>
          <w:kern w:val="2"/>
          <w:sz w:val="24"/>
          <w:szCs w:val="24"/>
          <w:highlight w:val="none"/>
          <w:vertAlign w:val="superscript"/>
        </w:rPr>
        <w:t>1</w:t>
      </w:r>
      <w:r>
        <w:rPr>
          <w:rFonts w:hint="eastAsia" w:ascii="宋体" w:hAnsi="宋体" w:cs="宋体"/>
          <w:b w:val="0"/>
          <w:bCs w:val="0"/>
          <w:color w:val="auto"/>
          <w:kern w:val="2"/>
          <w:sz w:val="24"/>
          <w:szCs w:val="24"/>
          <w:highlight w:val="none"/>
        </w:rPr>
        <w:t>，属于（</w:t>
      </w:r>
      <w:r>
        <w:rPr>
          <w:rFonts w:hint="eastAsia" w:ascii="宋体" w:hAnsi="宋体" w:cs="宋体"/>
          <w:b w:val="0"/>
          <w:bCs w:val="0"/>
          <w:color w:val="auto"/>
          <w:kern w:val="2"/>
          <w:sz w:val="24"/>
          <w:szCs w:val="24"/>
          <w:highlight w:val="none"/>
          <w:u w:val="single"/>
        </w:rPr>
        <w:t>中型企业、小型企业、微型企业</w:t>
      </w:r>
      <w:r>
        <w:rPr>
          <w:rFonts w:hint="eastAsia" w:ascii="宋体" w:hAnsi="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lang w:eastAsia="zh-CN"/>
        </w:rPr>
        <w:t>。</w:t>
      </w:r>
    </w:p>
    <w:p>
      <w:pPr>
        <w:pStyle w:val="6"/>
        <w:spacing w:line="360" w:lineRule="auto"/>
        <w:ind w:firstLine="480" w:firstLineChars="200"/>
        <w:jc w:val="left"/>
        <w:rPr>
          <w:rFonts w:ascii="宋体" w:hAnsi="宋体" w:cs="宋体"/>
          <w:b w:val="0"/>
          <w:bCs w:val="0"/>
          <w:color w:val="auto"/>
          <w:kern w:val="2"/>
          <w:sz w:val="24"/>
          <w:szCs w:val="24"/>
          <w:highlight w:val="none"/>
        </w:rPr>
      </w:pPr>
    </w:p>
    <w:p>
      <w:pPr>
        <w:pStyle w:val="6"/>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以上企业，不属于大企业的分支机构，不存在控股股东为大企业的情形，也不存在与大企业的负责人为同一人的情形。  </w:t>
      </w:r>
    </w:p>
    <w:p>
      <w:pPr>
        <w:pStyle w:val="6"/>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本企业对上述声明内容的真实性负责。如有虚假，将依法承担相应责任。 </w:t>
      </w:r>
    </w:p>
    <w:p>
      <w:pPr>
        <w:pStyle w:val="6"/>
        <w:spacing w:line="360" w:lineRule="auto"/>
        <w:ind w:firstLine="5040" w:firstLineChars="2100"/>
        <w:jc w:val="left"/>
        <w:rPr>
          <w:rFonts w:ascii="宋体" w:hAnsi="宋体" w:cs="宋体"/>
          <w:b w:val="0"/>
          <w:bCs w:val="0"/>
          <w:color w:val="auto"/>
          <w:kern w:val="2"/>
          <w:sz w:val="24"/>
          <w:szCs w:val="24"/>
          <w:highlight w:val="none"/>
        </w:rPr>
      </w:pPr>
    </w:p>
    <w:p>
      <w:pPr>
        <w:pStyle w:val="6"/>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企业名称（盖章）： </w:t>
      </w:r>
    </w:p>
    <w:p>
      <w:pPr>
        <w:pStyle w:val="6"/>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日 期：</w:t>
      </w:r>
    </w:p>
    <w:p>
      <w:pPr>
        <w:pStyle w:val="6"/>
        <w:jc w:val="left"/>
        <w:rPr>
          <w:rFonts w:ascii="宋体" w:hAnsi="宋体" w:cs="宋体"/>
          <w:b w:val="0"/>
          <w:bCs w:val="0"/>
          <w:color w:val="auto"/>
          <w:kern w:val="2"/>
          <w:sz w:val="22"/>
          <w:szCs w:val="22"/>
          <w:highlight w:val="none"/>
        </w:rPr>
      </w:pPr>
    </w:p>
    <w:p>
      <w:pPr>
        <w:pStyle w:val="6"/>
        <w:jc w:val="left"/>
        <w:rPr>
          <w:rFonts w:ascii="宋体" w:hAnsi="宋体" w:cs="宋体"/>
          <w:b w:val="0"/>
          <w:bCs w:val="0"/>
          <w:color w:val="auto"/>
          <w:kern w:val="2"/>
          <w:sz w:val="22"/>
          <w:szCs w:val="22"/>
          <w:highlight w:val="none"/>
        </w:rPr>
      </w:pPr>
    </w:p>
    <w:p>
      <w:pPr>
        <w:pStyle w:val="6"/>
        <w:jc w:val="left"/>
        <w:rPr>
          <w:rFonts w:ascii="宋体" w:hAnsi="宋体" w:cs="宋体"/>
          <w:b w:val="0"/>
          <w:bCs w:val="0"/>
          <w:color w:val="auto"/>
          <w:sz w:val="22"/>
          <w:szCs w:val="22"/>
          <w:highlight w:val="none"/>
        </w:rPr>
      </w:pPr>
      <w:r>
        <w:rPr>
          <w:rFonts w:hint="eastAsia" w:ascii="宋体" w:hAnsi="宋体" w:cs="宋体"/>
          <w:b w:val="0"/>
          <w:bCs w:val="0"/>
          <w:color w:val="auto"/>
          <w:kern w:val="2"/>
          <w:sz w:val="22"/>
          <w:szCs w:val="22"/>
          <w:highlight w:val="none"/>
        </w:rPr>
        <w:t>注</w:t>
      </w:r>
      <w:r>
        <w:rPr>
          <w:rFonts w:hint="eastAsia" w:ascii="宋体" w:hAnsi="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rPr>
        <w:t>从业人员、营业收入、资产总额填报上一年度数据，无上一年度数据的新成立企业可不填报。　</w:t>
      </w:r>
    </w:p>
    <w:p>
      <w:pPr>
        <w:spacing w:line="360" w:lineRule="auto"/>
        <w:ind w:left="472" w:hanging="472" w:hangingChars="196"/>
        <w:outlineLvl w:val="5"/>
        <w:rPr>
          <w:rFonts w:hAnsi="宋体" w:cs="宋体"/>
          <w:b/>
          <w:color w:val="auto"/>
          <w:szCs w:val="21"/>
          <w:highlight w:val="none"/>
        </w:rPr>
      </w:pPr>
    </w:p>
    <w:p>
      <w:pPr>
        <w:pStyle w:val="6"/>
        <w:spacing w:line="360" w:lineRule="auto"/>
        <w:rPr>
          <w:color w:val="auto"/>
          <w:highlight w:val="none"/>
        </w:rPr>
      </w:pPr>
      <w:r>
        <w:rPr>
          <w:rFonts w:hint="eastAsia"/>
          <w:color w:val="auto"/>
          <w:highlight w:val="none"/>
        </w:rPr>
        <w:t>十四、残疾人福利性单位声明函</w:t>
      </w:r>
    </w:p>
    <w:p>
      <w:pPr>
        <w:pStyle w:val="6"/>
        <w:spacing w:line="360" w:lineRule="auto"/>
        <w:rPr>
          <w:rFonts w:ascii="宋体" w:hAnsi="宋体" w:cs="宋体"/>
          <w:b w:val="0"/>
          <w:bCs w:val="0"/>
          <w:color w:val="auto"/>
          <w:kern w:val="2"/>
          <w:sz w:val="24"/>
          <w:szCs w:val="24"/>
          <w:highlight w:val="none"/>
        </w:rPr>
      </w:pPr>
    </w:p>
    <w:p>
      <w:pPr>
        <w:pStyle w:val="6"/>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     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auto"/>
          <w:highlight w:val="none"/>
        </w:rPr>
      </w:pPr>
      <w:r>
        <w:rPr>
          <w:rFonts w:hint="eastAsia" w:hAnsi="宋体" w:cs="宋体"/>
          <w:color w:val="auto"/>
          <w:highlight w:val="none"/>
        </w:rPr>
        <w:t>本公司对上述声明内容事项真实性负责。如经查实上述声明的内容事项存在虚假，本单位愿意接受以提供虚假材料谋取中标追究法律责任。</w:t>
      </w: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rFonts w:hAnsi="宋体" w:cs="宋体"/>
          <w:color w:val="auto"/>
          <w:highlight w:val="none"/>
        </w:rPr>
      </w:pPr>
      <w:r>
        <w:rPr>
          <w:rFonts w:hint="eastAsia" w:hAnsi="宋体" w:cs="宋体"/>
          <w:color w:val="auto"/>
          <w:highlight w:val="none"/>
        </w:rPr>
        <w:t>投标人名称：        （盖单位公章）</w:t>
      </w:r>
    </w:p>
    <w:p>
      <w:pPr>
        <w:spacing w:line="360" w:lineRule="auto"/>
        <w:rPr>
          <w:rFonts w:hAnsi="宋体" w:cs="宋体"/>
          <w:color w:val="auto"/>
          <w:highlight w:val="none"/>
        </w:rPr>
      </w:pPr>
      <w:r>
        <w:rPr>
          <w:rFonts w:hint="eastAsia" w:hAnsi="宋体" w:cs="宋体"/>
          <w:color w:val="auto"/>
          <w:highlight w:val="none"/>
        </w:rPr>
        <w:t>法定代表人或授权代表（签字）：</w:t>
      </w:r>
    </w:p>
    <w:p>
      <w:pPr>
        <w:spacing w:line="360" w:lineRule="auto"/>
        <w:rPr>
          <w:rFonts w:hAnsi="宋体" w:cs="宋体"/>
          <w:color w:val="auto"/>
          <w:highlight w:val="none"/>
        </w:rPr>
      </w:pPr>
      <w:r>
        <w:rPr>
          <w:rFonts w:hint="eastAsia" w:hAnsi="宋体" w:cs="宋体"/>
          <w:color w:val="auto"/>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color w:val="auto"/>
          <w:highlight w:val="none"/>
        </w:rPr>
        <w:t>注</w:t>
      </w:r>
      <w:r>
        <w:rPr>
          <w:rFonts w:hint="eastAsia"/>
          <w:color w:val="auto"/>
          <w:highlight w:val="none"/>
        </w:rPr>
        <w:t>：</w:t>
      </w:r>
      <w:r>
        <w:rPr>
          <w:color w:val="auto"/>
          <w:highlight w:val="none"/>
        </w:rPr>
        <w:t>非</w:t>
      </w:r>
      <w:r>
        <w:rPr>
          <w:rFonts w:hint="eastAsia"/>
          <w:color w:val="auto"/>
          <w:highlight w:val="none"/>
        </w:rPr>
        <w:t>残疾人福利性单位不用提供以上声明函。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6"/>
        <w:spacing w:line="360" w:lineRule="auto"/>
        <w:rPr>
          <w:color w:val="auto"/>
          <w:highlight w:val="none"/>
        </w:rPr>
      </w:pPr>
      <w:r>
        <w:rPr>
          <w:rFonts w:hint="eastAsia"/>
          <w:color w:val="auto"/>
          <w:highlight w:val="none"/>
        </w:rPr>
        <w:t>十</w:t>
      </w:r>
      <w:r>
        <w:rPr>
          <w:rFonts w:hint="eastAsia"/>
          <w:color w:val="auto"/>
          <w:highlight w:val="none"/>
          <w:lang w:eastAsia="zh-CN"/>
        </w:rPr>
        <w:t>五</w:t>
      </w:r>
      <w:r>
        <w:rPr>
          <w:rFonts w:hint="eastAsia"/>
          <w:color w:val="auto"/>
          <w:highlight w:val="none"/>
        </w:rPr>
        <w:t>、本项目参加政府采购活动的投标人在前三年内不得具有行贿犯罪记录的承诺</w:t>
      </w:r>
    </w:p>
    <w:p>
      <w:pPr>
        <w:spacing w:line="360" w:lineRule="auto"/>
        <w:rPr>
          <w:color w:val="auto"/>
          <w:highlight w:val="none"/>
        </w:rPr>
      </w:pPr>
    </w:p>
    <w:p>
      <w:pPr>
        <w:spacing w:line="360" w:lineRule="auto"/>
        <w:outlineLvl w:val="5"/>
        <w:rPr>
          <w:rFonts w:hAnsi="宋体" w:cs="宋体"/>
          <w:color w:val="auto"/>
          <w:highlight w:val="none"/>
        </w:rPr>
      </w:pPr>
      <w:r>
        <w:rPr>
          <w:rFonts w:hint="eastAsia" w:hAnsi="宋体" w:cs="宋体"/>
          <w:color w:val="auto"/>
          <w:highlight w:val="none"/>
        </w:rPr>
        <w:t>致：四川五洲招标代理有限公司</w:t>
      </w:r>
    </w:p>
    <w:p>
      <w:pPr>
        <w:pStyle w:val="5"/>
        <w:adjustRightInd w:val="0"/>
        <w:snapToGrid w:val="0"/>
        <w:spacing w:before="0" w:after="0" w:line="360" w:lineRule="auto"/>
        <w:ind w:firstLine="512" w:firstLineChars="196"/>
        <w:rPr>
          <w:rFonts w:hAnsi="宋体"/>
          <w:color w:val="auto"/>
          <w:highlight w:val="none"/>
        </w:rPr>
      </w:pPr>
    </w:p>
    <w:p>
      <w:pPr>
        <w:pStyle w:val="5"/>
        <w:adjustRightInd w:val="0"/>
        <w:snapToGrid w:val="0"/>
        <w:spacing w:before="0" w:after="0" w:line="360" w:lineRule="auto"/>
        <w:ind w:firstLine="512" w:firstLineChars="196"/>
        <w:rPr>
          <w:rFonts w:hAnsi="宋体"/>
          <w:color w:val="auto"/>
          <w:highlight w:val="none"/>
        </w:rPr>
      </w:pPr>
      <w:r>
        <w:rPr>
          <w:rFonts w:hint="eastAsia" w:hAnsi="宋体"/>
          <w:color w:val="auto"/>
          <w:highlight w:val="none"/>
        </w:rPr>
        <w:t>依据《关于在政府采购活动中全面开展行贿犯罪档案查询的通知》（</w:t>
      </w:r>
      <w:r>
        <w:rPr>
          <w:rFonts w:hint="eastAsia"/>
          <w:color w:val="auto"/>
          <w:highlight w:val="none"/>
        </w:rPr>
        <w:t>川检会〔2016〕5号</w:t>
      </w:r>
      <w:r>
        <w:rPr>
          <w:rFonts w:hint="eastAsia" w:hAnsi="宋体"/>
          <w:color w:val="auto"/>
          <w:highlight w:val="none"/>
        </w:rPr>
        <w:t>）的规定，本单位承诺在参加本项目政府采购活动前三年中本单位</w:t>
      </w:r>
      <w:r>
        <w:rPr>
          <w:rFonts w:hAnsi="宋体"/>
          <w:color w:val="auto"/>
          <w:highlight w:val="none"/>
        </w:rPr>
        <w:t>及其现任法定代表人、主要负责人不具有行贿犯罪记录</w:t>
      </w:r>
      <w:r>
        <w:rPr>
          <w:rFonts w:hint="eastAsia" w:hAnsi="宋体"/>
          <w:color w:val="auto"/>
          <w:highlight w:val="none"/>
        </w:rPr>
        <w:t>。</w:t>
      </w:r>
    </w:p>
    <w:p>
      <w:pPr>
        <w:adjustRightInd w:val="0"/>
        <w:snapToGrid w:val="0"/>
        <w:spacing w:line="360" w:lineRule="auto"/>
        <w:ind w:firstLine="480" w:firstLineChars="200"/>
        <w:outlineLvl w:val="2"/>
        <w:rPr>
          <w:rFonts w:hAnsi="宋体" w:cs="宋体"/>
          <w:color w:val="auto"/>
          <w:highlight w:val="none"/>
        </w:rPr>
      </w:pPr>
      <w:r>
        <w:rPr>
          <w:rFonts w:hint="eastAsia" w:hAnsi="宋体" w:cs="宋体"/>
          <w:color w:val="auto"/>
          <w:highlight w:val="none"/>
        </w:rPr>
        <w:t>本公司对上述承诺内容事项真实性负责。如经查实上述承诺的内容事项存在虚假，我公司愿意接受以提供虚假材料谋取中标追究法律责任。</w:t>
      </w:r>
    </w:p>
    <w:p>
      <w:pPr>
        <w:spacing w:line="360" w:lineRule="auto"/>
        <w:ind w:firstLine="480" w:firstLineChars="200"/>
        <w:rPr>
          <w:rFonts w:hAnsi="宋体" w:cs="宋体"/>
          <w:color w:val="auto"/>
          <w:highlight w:val="none"/>
        </w:rPr>
      </w:pPr>
      <w:r>
        <w:rPr>
          <w:rFonts w:hint="eastAsia" w:hAnsi="宋体" w:cs="宋体"/>
          <w:color w:val="auto"/>
          <w:highlight w:val="none"/>
        </w:rPr>
        <w:t>且同时承诺如本单位中标，如果虚假承诺，作无效投标、中标处理。</w:t>
      </w:r>
    </w:p>
    <w:p>
      <w:pPr>
        <w:adjustRightInd w:val="0"/>
        <w:spacing w:line="360" w:lineRule="auto"/>
        <w:outlineLvl w:val="2"/>
        <w:rPr>
          <w:rFonts w:hAnsi="宋体"/>
          <w:b/>
          <w:color w:val="auto"/>
          <w:highlight w:val="none"/>
        </w:rPr>
      </w:pPr>
    </w:p>
    <w:p>
      <w:pPr>
        <w:adjustRightInd w:val="0"/>
        <w:spacing w:line="360" w:lineRule="auto"/>
        <w:outlineLvl w:val="2"/>
        <w:rPr>
          <w:rFonts w:hAnsi="宋体"/>
          <w:b/>
          <w:color w:val="auto"/>
          <w:highlight w:val="none"/>
        </w:rPr>
      </w:pPr>
    </w:p>
    <w:p>
      <w:pPr>
        <w:adjustRightInd w:val="0"/>
        <w:spacing w:line="360" w:lineRule="auto"/>
        <w:outlineLvl w:val="2"/>
        <w:rPr>
          <w:rFonts w:hAnsi="宋体"/>
          <w:b/>
          <w:color w:val="auto"/>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w:t>
      </w:r>
    </w:p>
    <w:p>
      <w:pPr>
        <w:adjustRightInd w:val="0"/>
        <w:spacing w:line="360" w:lineRule="auto"/>
        <w:outlineLvl w:val="2"/>
        <w:rPr>
          <w:rFonts w:hAnsi="宋体"/>
          <w:bCs/>
          <w:color w:val="auto"/>
          <w:highlight w:val="none"/>
        </w:rPr>
      </w:pPr>
      <w:r>
        <w:rPr>
          <w:rFonts w:hint="eastAsia" w:hAnsi="宋体"/>
          <w:bCs/>
          <w:color w:val="auto"/>
          <w:highlight w:val="none"/>
        </w:rPr>
        <w:t>日期：</w:t>
      </w:r>
    </w:p>
    <w:p>
      <w:pPr>
        <w:pStyle w:val="5"/>
        <w:spacing w:line="360" w:lineRule="auto"/>
        <w:ind w:firstLine="482"/>
        <w:rPr>
          <w:rFonts w:hAnsi="宋体" w:cs="宋体"/>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rFonts w:eastAsia="黑体"/>
          <w:b/>
          <w:bCs/>
          <w:color w:val="auto"/>
          <w:sz w:val="32"/>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eastAsia="黑体"/>
          <w:b/>
          <w:bCs/>
          <w:color w:val="auto"/>
          <w:sz w:val="32"/>
          <w:szCs w:val="28"/>
          <w:highlight w:val="none"/>
        </w:rPr>
      </w:pPr>
    </w:p>
    <w:p>
      <w:pPr>
        <w:spacing w:line="360" w:lineRule="auto"/>
        <w:jc w:val="center"/>
        <w:rPr>
          <w:rFonts w:eastAsia="黑体"/>
          <w:b/>
          <w:bCs/>
          <w:color w:val="auto"/>
          <w:sz w:val="32"/>
          <w:szCs w:val="28"/>
          <w:highlight w:val="none"/>
        </w:rPr>
      </w:pPr>
      <w:r>
        <w:rPr>
          <w:rFonts w:hint="eastAsia" w:eastAsia="黑体"/>
          <w:b/>
          <w:bCs/>
          <w:color w:val="auto"/>
          <w:sz w:val="32"/>
          <w:szCs w:val="28"/>
          <w:highlight w:val="none"/>
        </w:rPr>
        <w:t>十六、近三年在经营活动中没有重大违法记录的书面声明</w:t>
      </w:r>
    </w:p>
    <w:p>
      <w:pPr>
        <w:tabs>
          <w:tab w:val="left" w:pos="6928"/>
        </w:tabs>
        <w:spacing w:line="360" w:lineRule="auto"/>
        <w:rPr>
          <w:rFonts w:hAnsi="宋体" w:cs="宋体"/>
          <w:color w:val="auto"/>
          <w:highlight w:val="none"/>
        </w:rPr>
      </w:pPr>
      <w:r>
        <w:rPr>
          <w:rFonts w:hAnsi="宋体" w:cs="宋体"/>
          <w:color w:val="auto"/>
          <w:highlight w:val="none"/>
        </w:rPr>
        <w:tab/>
      </w:r>
    </w:p>
    <w:p>
      <w:pPr>
        <w:adjustRightInd w:val="0"/>
        <w:snapToGrid w:val="0"/>
        <w:spacing w:line="360" w:lineRule="auto"/>
        <w:ind w:left="480" w:hanging="480" w:hangingChars="200"/>
        <w:rPr>
          <w:rFonts w:hAnsi="宋体" w:cs="宋体"/>
          <w:color w:val="auto"/>
          <w:highlight w:val="none"/>
        </w:rPr>
      </w:pPr>
      <w:r>
        <w:rPr>
          <w:rFonts w:hint="eastAsia" w:hAnsi="宋体" w:cs="宋体"/>
          <w:color w:val="auto"/>
          <w:highlight w:val="none"/>
        </w:rPr>
        <w:t xml:space="preserve">致：四川五洲招标代理有限公司          </w:t>
      </w:r>
    </w:p>
    <w:p>
      <w:pPr>
        <w:adjustRightInd w:val="0"/>
        <w:snapToGrid w:val="0"/>
        <w:spacing w:line="360" w:lineRule="auto"/>
        <w:ind w:left="480" w:hanging="480" w:hangingChars="200"/>
        <w:rPr>
          <w:rFonts w:hAnsi="宋体" w:cs="宋体"/>
          <w:color w:val="auto"/>
          <w:highlight w:val="none"/>
        </w:rPr>
      </w:pPr>
    </w:p>
    <w:p>
      <w:pPr>
        <w:snapToGrid w:val="0"/>
        <w:spacing w:line="360" w:lineRule="auto"/>
        <w:ind w:firstLine="482" w:firstLineChars="200"/>
        <w:rPr>
          <w:rFonts w:hAnsi="宋体" w:cs="宋体"/>
          <w:b/>
          <w:bCs/>
          <w:color w:val="auto"/>
          <w:highlight w:val="none"/>
        </w:rPr>
      </w:pPr>
      <w:r>
        <w:rPr>
          <w:rFonts w:hint="eastAsia" w:hAnsi="宋体" w:cs="宋体"/>
          <w:b/>
          <w:bCs/>
          <w:color w:val="auto"/>
          <w:highlight w:val="none"/>
        </w:rPr>
        <w:t>本单位（公司名称）参加（项目名称）的投标活动，现承诺本单位在参加政府采购活动前三年内，在经营活动中没有重大违法记录。</w:t>
      </w:r>
    </w:p>
    <w:p>
      <w:pPr>
        <w:snapToGrid w:val="0"/>
        <w:spacing w:line="360" w:lineRule="auto"/>
        <w:rPr>
          <w:rFonts w:hAnsi="宋体" w:cs="宋体"/>
          <w:color w:val="auto"/>
          <w:highlight w:val="none"/>
        </w:rPr>
      </w:pPr>
      <w:r>
        <w:rPr>
          <w:rFonts w:hint="eastAsia" w:hAnsi="宋体" w:cs="宋体"/>
          <w:color w:val="auto"/>
          <w:highlight w:val="none"/>
        </w:rPr>
        <w:t>本公司对上述承诺内容事项真实性负责。如经查实上述承诺的内容事项存在虚假，我公司愿意接受以提供虚假材料谋取中标追究法律责任。</w:t>
      </w: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color w:val="auto"/>
          <w:highlight w:val="none"/>
        </w:rPr>
      </w:pPr>
      <w:r>
        <w:rPr>
          <w:rFonts w:hint="eastAsia"/>
          <w:color w:val="auto"/>
          <w:highlight w:val="none"/>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spacing w:line="360" w:lineRule="auto"/>
        <w:rPr>
          <w:rFonts w:hAnsi="宋体" w:cs="宋体"/>
          <w:color w:val="auto"/>
          <w:highlight w:val="none"/>
        </w:rPr>
      </w:pPr>
    </w:p>
    <w:p>
      <w:pPr>
        <w:spacing w:line="360" w:lineRule="auto"/>
        <w:rPr>
          <w:rFonts w:hAnsi="宋体" w:cs="宋体"/>
          <w:color w:val="auto"/>
          <w:highlight w:val="none"/>
        </w:rPr>
      </w:pPr>
    </w:p>
    <w:p>
      <w:pPr>
        <w:adjustRightInd w:val="0"/>
        <w:snapToGrid w:val="0"/>
        <w:spacing w:line="360" w:lineRule="auto"/>
        <w:rPr>
          <w:rFonts w:hAnsi="宋体" w:cs="宋体"/>
          <w:color w:val="auto"/>
          <w:highlight w:val="none"/>
        </w:rPr>
      </w:pPr>
      <w:r>
        <w:rPr>
          <w:rFonts w:hint="eastAsia" w:hAnsi="宋体" w:cs="宋体"/>
          <w:color w:val="auto"/>
          <w:highlight w:val="none"/>
        </w:rPr>
        <w:t>供应商名称：        （盖章）</w:t>
      </w:r>
    </w:p>
    <w:p>
      <w:pPr>
        <w:adjustRightInd w:val="0"/>
        <w:snapToGrid w:val="0"/>
        <w:spacing w:line="360" w:lineRule="auto"/>
        <w:rPr>
          <w:rFonts w:hAnsi="宋体" w:cs="宋体"/>
          <w:color w:val="auto"/>
          <w:highlight w:val="none"/>
        </w:rPr>
      </w:pPr>
      <w:r>
        <w:rPr>
          <w:rFonts w:hint="eastAsia" w:hAnsi="宋体" w:cs="宋体"/>
          <w:color w:val="auto"/>
          <w:highlight w:val="none"/>
        </w:rPr>
        <w:t>法定代表人或授权代表（签字）：</w:t>
      </w:r>
    </w:p>
    <w:p>
      <w:pPr>
        <w:adjustRightInd w:val="0"/>
        <w:snapToGrid w:val="0"/>
        <w:spacing w:line="360" w:lineRule="auto"/>
        <w:rPr>
          <w:rFonts w:hAnsi="宋体" w:cs="宋体"/>
          <w:color w:val="auto"/>
          <w:highlight w:val="none"/>
        </w:rPr>
      </w:pPr>
      <w:r>
        <w:rPr>
          <w:rFonts w:hint="eastAsia" w:hAnsi="宋体" w:cs="宋体"/>
          <w:color w:val="auto"/>
          <w:highlight w:val="none"/>
        </w:rPr>
        <w:t>日期：</w:t>
      </w:r>
    </w:p>
    <w:p>
      <w:pPr>
        <w:pStyle w:val="2"/>
        <w:rPr>
          <w:color w:val="auto"/>
          <w:highlight w:val="none"/>
        </w:rPr>
      </w:pPr>
    </w:p>
    <w:p>
      <w:pPr>
        <w:pStyle w:val="6"/>
        <w:tabs>
          <w:tab w:val="left" w:pos="3400"/>
        </w:tabs>
        <w:spacing w:line="360" w:lineRule="auto"/>
        <w:jc w:val="both"/>
        <w:rPr>
          <w:color w:val="auto"/>
          <w:highlight w:val="none"/>
        </w:rPr>
      </w:pPr>
    </w:p>
    <w:p>
      <w:pPr>
        <w:rPr>
          <w:rFonts w:eastAsia="黑体"/>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3"/>
        <w:rPr>
          <w:color w:val="auto"/>
          <w:highlight w:val="none"/>
        </w:rPr>
      </w:pPr>
    </w:p>
    <w:p>
      <w:pPr>
        <w:rPr>
          <w:color w:val="auto"/>
          <w:highlight w:val="none"/>
        </w:rPr>
      </w:pPr>
    </w:p>
    <w:p>
      <w:pPr>
        <w:pStyle w:val="2"/>
        <w:rPr>
          <w:color w:val="auto"/>
          <w:highlight w:val="none"/>
        </w:rPr>
      </w:pPr>
    </w:p>
    <w:p>
      <w:pPr>
        <w:pStyle w:val="6"/>
        <w:tabs>
          <w:tab w:val="left" w:pos="3400"/>
        </w:tabs>
        <w:spacing w:line="360" w:lineRule="auto"/>
        <w:rPr>
          <w:color w:val="auto"/>
          <w:highlight w:val="none"/>
        </w:rPr>
      </w:pPr>
      <w:r>
        <w:rPr>
          <w:rFonts w:hint="eastAsia"/>
          <w:color w:val="auto"/>
          <w:highlight w:val="none"/>
        </w:rPr>
        <w:t>十</w:t>
      </w:r>
      <w:r>
        <w:rPr>
          <w:rFonts w:hint="eastAsia"/>
          <w:color w:val="auto"/>
          <w:highlight w:val="none"/>
          <w:lang w:eastAsia="zh-CN"/>
        </w:rPr>
        <w:t>七</w:t>
      </w:r>
      <w:r>
        <w:rPr>
          <w:rFonts w:hint="eastAsia"/>
          <w:color w:val="auto"/>
          <w:highlight w:val="none"/>
        </w:rPr>
        <w:t>、知识产权声明函</w:t>
      </w:r>
    </w:p>
    <w:p>
      <w:pPr>
        <w:rPr>
          <w:rFonts w:hAnsi="宋体" w:cs="宋体"/>
          <w:color w:val="auto"/>
          <w:highlight w:val="none"/>
        </w:rPr>
      </w:pPr>
      <w:r>
        <w:rPr>
          <w:rFonts w:hint="eastAsia" w:hAnsi="宋体" w:cs="宋体"/>
          <w:color w:val="auto"/>
          <w:highlight w:val="none"/>
        </w:rPr>
        <w:t xml:space="preserve">致：四川五洲招标代理有限公司  </w:t>
      </w:r>
    </w:p>
    <w:p>
      <w:pPr>
        <w:pStyle w:val="2"/>
        <w:rPr>
          <w:color w:val="auto"/>
          <w:highlight w:val="none"/>
        </w:rPr>
      </w:pPr>
    </w:p>
    <w:p>
      <w:pPr>
        <w:pStyle w:val="2"/>
        <w:ind w:firstLine="422" w:firstLineChars="200"/>
        <w:rPr>
          <w:rFonts w:hAnsi="宋体" w:cs="宋体"/>
          <w:b/>
          <w:bCs/>
          <w:color w:val="auto"/>
          <w:highlight w:val="none"/>
        </w:rPr>
      </w:pPr>
      <w:r>
        <w:rPr>
          <w:rFonts w:hint="eastAsia" w:hAnsi="宋体" w:cs="宋体"/>
          <w:b/>
          <w:bCs/>
          <w:color w:val="auto"/>
          <w:highlight w:val="none"/>
        </w:rPr>
        <w:t>本单位（公司名称）参加（项目名称）的投标活动，现承诺声明：</w:t>
      </w:r>
    </w:p>
    <w:p>
      <w:pPr>
        <w:pStyle w:val="2"/>
        <w:ind w:firstLine="420" w:firstLineChars="200"/>
        <w:rPr>
          <w:rFonts w:hAnsi="宋体" w:cs="宋体"/>
          <w:bCs/>
          <w:color w:val="auto"/>
          <w:highlight w:val="none"/>
        </w:rPr>
      </w:pPr>
      <w:r>
        <w:rPr>
          <w:rFonts w:hint="eastAsia" w:hAnsi="宋体" w:cs="宋体"/>
          <w:bCs/>
          <w:color w:val="auto"/>
          <w:highlight w:val="none"/>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ind w:firstLine="420" w:firstLineChars="200"/>
        <w:rPr>
          <w:rFonts w:hAnsi="宋体" w:cs="宋体"/>
          <w:bCs/>
          <w:color w:val="auto"/>
          <w:highlight w:val="none"/>
        </w:rPr>
      </w:pPr>
      <w:r>
        <w:rPr>
          <w:rFonts w:hint="eastAsia" w:hAnsi="宋体" w:cs="宋体"/>
          <w:bCs/>
          <w:color w:val="auto"/>
          <w:highlight w:val="none"/>
        </w:rPr>
        <w:t>2.采购人享有本项目实施过程中产生的知识成果及知识产权。</w:t>
      </w:r>
    </w:p>
    <w:p>
      <w:pPr>
        <w:pStyle w:val="2"/>
        <w:ind w:firstLine="420" w:firstLineChars="200"/>
        <w:rPr>
          <w:rFonts w:hAnsi="宋体" w:cs="宋体"/>
          <w:bCs/>
          <w:color w:val="auto"/>
          <w:highlight w:val="none"/>
        </w:rPr>
      </w:pPr>
      <w:r>
        <w:rPr>
          <w:rFonts w:hint="eastAsia" w:hAnsi="宋体" w:cs="宋体"/>
          <w:bCs/>
          <w:color w:val="auto"/>
          <w:highlight w:val="none"/>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ind w:firstLine="420" w:firstLineChars="200"/>
        <w:rPr>
          <w:color w:val="auto"/>
          <w:highlight w:val="none"/>
        </w:rPr>
      </w:pPr>
      <w:r>
        <w:rPr>
          <w:rFonts w:hint="eastAsia" w:hAnsi="宋体" w:cs="宋体"/>
          <w:bCs/>
          <w:color w:val="auto"/>
          <w:highlight w:val="none"/>
        </w:rPr>
        <w:t xml:space="preserve">4.如采用本单位所不拥有的知识产权，本单位承诺在本项目投标报价中已经包括合法获取该知识产权的相关费用。 </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r>
        <w:rPr>
          <w:rFonts w:hint="eastAsia" w:hAnsi="宋体" w:cs="宋体"/>
          <w:b/>
          <w:bCs/>
          <w:color w:val="auto"/>
          <w:highlight w:val="none"/>
        </w:rPr>
        <w:t>本公司对上述承诺声明内容事项真实性负责。如经查实上述承诺声明的内容事项存在虚假或未履行，本单位愿意接受以提供虚假材料谋取中标追究法律责任。</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p>
    <w:p>
      <w:pPr>
        <w:adjustRightInd w:val="0"/>
        <w:snapToGrid w:val="0"/>
        <w:spacing w:line="360" w:lineRule="auto"/>
        <w:rPr>
          <w:rFonts w:hAnsi="宋体" w:cs="宋体"/>
          <w:color w:val="auto"/>
          <w:highlight w:val="none"/>
        </w:rPr>
      </w:pPr>
      <w:r>
        <w:rPr>
          <w:rFonts w:hint="eastAsia" w:hAnsi="宋体" w:cs="宋体"/>
          <w:color w:val="auto"/>
          <w:highlight w:val="none"/>
        </w:rPr>
        <w:t>供应商名称：        （盖章）</w:t>
      </w:r>
    </w:p>
    <w:p>
      <w:pPr>
        <w:tabs>
          <w:tab w:val="left" w:pos="5550"/>
        </w:tabs>
        <w:adjustRightInd w:val="0"/>
        <w:snapToGrid w:val="0"/>
        <w:spacing w:line="360" w:lineRule="auto"/>
        <w:rPr>
          <w:rFonts w:hAnsi="宋体" w:cs="宋体"/>
          <w:color w:val="auto"/>
          <w:highlight w:val="none"/>
        </w:rPr>
      </w:pPr>
      <w:r>
        <w:rPr>
          <w:rFonts w:hint="eastAsia" w:hAnsi="宋体" w:cs="宋体"/>
          <w:color w:val="auto"/>
          <w:highlight w:val="none"/>
        </w:rPr>
        <w:t>法定代表人或授权代表（签字）：</w:t>
      </w:r>
      <w:r>
        <w:rPr>
          <w:rFonts w:hAnsi="宋体" w:cs="宋体"/>
          <w:color w:val="auto"/>
          <w:highlight w:val="none"/>
        </w:rPr>
        <w:tab/>
      </w:r>
    </w:p>
    <w:p>
      <w:pPr>
        <w:rPr>
          <w:color w:val="auto"/>
          <w:highlight w:val="none"/>
        </w:rPr>
      </w:pPr>
      <w:r>
        <w:rPr>
          <w:rFonts w:hint="eastAsia" w:hAnsi="宋体" w:cs="宋体"/>
          <w:color w:val="auto"/>
          <w:highlight w:val="none"/>
        </w:rPr>
        <w:t>日期：</w:t>
      </w:r>
    </w:p>
    <w:p>
      <w:pPr>
        <w:pStyle w:val="2"/>
        <w:rPr>
          <w:color w:val="auto"/>
          <w:highlight w:val="none"/>
        </w:rPr>
      </w:pPr>
    </w:p>
    <w:p>
      <w:pPr>
        <w:pStyle w:val="2"/>
        <w:rPr>
          <w:color w:val="auto"/>
          <w:highlight w:val="none"/>
        </w:rPr>
      </w:pPr>
    </w:p>
    <w:p>
      <w:pPr>
        <w:pStyle w:val="2"/>
        <w:rPr>
          <w:color w:val="auto"/>
          <w:highlight w:val="none"/>
        </w:rPr>
      </w:pPr>
    </w:p>
    <w:p>
      <w:pPr>
        <w:pStyle w:val="6"/>
        <w:tabs>
          <w:tab w:val="left" w:pos="3400"/>
        </w:tabs>
        <w:spacing w:line="360" w:lineRule="auto"/>
        <w:jc w:val="both"/>
        <w:rPr>
          <w:color w:val="auto"/>
          <w:highlight w:val="none"/>
        </w:rPr>
      </w:pPr>
    </w:p>
    <w:p>
      <w:pPr>
        <w:rPr>
          <w:color w:val="auto"/>
          <w:highlight w:val="none"/>
        </w:rPr>
      </w:pPr>
    </w:p>
    <w:p>
      <w:pPr>
        <w:pStyle w:val="86"/>
        <w:snapToGrid w:val="0"/>
        <w:spacing w:line="360" w:lineRule="auto"/>
        <w:ind w:left="1" w:firstLine="680" w:firstLineChars="200"/>
        <w:rPr>
          <w:color w:val="auto"/>
          <w:highlight w:val="none"/>
        </w:rPr>
      </w:pPr>
    </w:p>
    <w:p>
      <w:pPr>
        <w:pStyle w:val="86"/>
        <w:snapToGrid w:val="0"/>
        <w:spacing w:line="360" w:lineRule="auto"/>
        <w:ind w:left="1" w:firstLine="680" w:firstLineChars="200"/>
        <w:rPr>
          <w:color w:val="auto"/>
          <w:highlight w:val="none"/>
        </w:rPr>
      </w:pPr>
    </w:p>
    <w:p>
      <w:pPr>
        <w:pStyle w:val="86"/>
        <w:snapToGrid w:val="0"/>
        <w:spacing w:line="360" w:lineRule="auto"/>
        <w:ind w:left="1" w:firstLine="680" w:firstLineChars="200"/>
        <w:rPr>
          <w:color w:val="auto"/>
          <w:highlight w:val="none"/>
        </w:rPr>
      </w:pPr>
    </w:p>
    <w:p>
      <w:pPr>
        <w:pStyle w:val="6"/>
        <w:tabs>
          <w:tab w:val="left" w:pos="3400"/>
        </w:tabs>
        <w:spacing w:line="360" w:lineRule="auto"/>
        <w:rPr>
          <w:color w:val="auto"/>
          <w:highlight w:val="none"/>
        </w:rPr>
      </w:pPr>
      <w:r>
        <w:rPr>
          <w:rFonts w:hint="eastAsia"/>
          <w:color w:val="auto"/>
          <w:highlight w:val="none"/>
        </w:rPr>
        <w:t>十</w:t>
      </w:r>
      <w:r>
        <w:rPr>
          <w:rFonts w:hint="eastAsia"/>
          <w:color w:val="auto"/>
          <w:highlight w:val="none"/>
          <w:lang w:eastAsia="zh-CN"/>
        </w:rPr>
        <w:t>八</w:t>
      </w:r>
      <w:r>
        <w:rPr>
          <w:rFonts w:hint="eastAsia"/>
          <w:color w:val="auto"/>
          <w:highlight w:val="none"/>
        </w:rPr>
        <w:t>、关于投标人控股关系声明函</w:t>
      </w:r>
    </w:p>
    <w:p>
      <w:pPr>
        <w:rPr>
          <w:rFonts w:hAnsi="宋体" w:cs="宋体"/>
          <w:color w:val="auto"/>
          <w:highlight w:val="none"/>
        </w:rPr>
      </w:pPr>
      <w:r>
        <w:rPr>
          <w:rFonts w:hint="eastAsia" w:hAnsi="宋体" w:cs="宋体"/>
          <w:color w:val="auto"/>
          <w:highlight w:val="none"/>
        </w:rPr>
        <w:t xml:space="preserve">四川五洲招标代理有限公司：  </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r>
        <w:rPr>
          <w:rFonts w:hint="eastAsia" w:hAnsi="宋体" w:cs="宋体"/>
          <w:b/>
          <w:bCs/>
          <w:color w:val="auto"/>
          <w:highlight w:val="none"/>
        </w:rPr>
        <w:t>本单位（公司名称）参加（项目名称）的投标活动，现声明：</w:t>
      </w:r>
    </w:p>
    <w:p>
      <w:pPr>
        <w:pStyle w:val="166"/>
        <w:snapToGrid w:val="0"/>
        <w:spacing w:line="360" w:lineRule="auto"/>
        <w:ind w:left="1" w:firstLine="480" w:firstLineChars="200"/>
        <w:rPr>
          <w:rFonts w:hAnsi="宋体"/>
          <w:color w:val="auto"/>
          <w:sz w:val="24"/>
          <w:highlight w:val="none"/>
        </w:rPr>
      </w:pPr>
    </w:p>
    <w:p>
      <w:pPr>
        <w:pStyle w:val="2"/>
        <w:ind w:firstLine="420" w:firstLineChars="200"/>
        <w:rPr>
          <w:rFonts w:hAnsi="宋体"/>
          <w:color w:val="auto"/>
          <w:highlight w:val="none"/>
        </w:rPr>
      </w:pPr>
      <w:r>
        <w:rPr>
          <w:rFonts w:hint="eastAsia" w:hAnsi="宋体"/>
          <w:color w:val="auto"/>
          <w:highlight w:val="none"/>
        </w:rPr>
        <w:t>除</w:t>
      </w:r>
      <w:r>
        <w:rPr>
          <w:rFonts w:hAnsi="宋体"/>
          <w:color w:val="auto"/>
          <w:highlight w:val="none"/>
        </w:rPr>
        <w:t>本公司外，本</w:t>
      </w:r>
      <w:r>
        <w:rPr>
          <w:rFonts w:hint="eastAsia" w:hAnsi="宋体"/>
          <w:color w:val="auto"/>
          <w:highlight w:val="none"/>
        </w:rPr>
        <w:t>单位负责人为同一人或者存在直接控股、管理关系的其他供应商均未参加本</w:t>
      </w:r>
      <w:r>
        <w:rPr>
          <w:rFonts w:hAnsi="宋体"/>
          <w:color w:val="auto"/>
          <w:highlight w:val="none"/>
        </w:rPr>
        <w:t>项目</w:t>
      </w:r>
      <w:r>
        <w:rPr>
          <w:rFonts w:hint="eastAsia" w:hAnsi="宋体"/>
          <w:color w:val="auto"/>
          <w:highlight w:val="none"/>
        </w:rPr>
        <w:t>同一合同项下的政府采购活动。与本</w:t>
      </w:r>
      <w:r>
        <w:rPr>
          <w:rFonts w:hAnsi="宋体"/>
          <w:color w:val="auto"/>
          <w:highlight w:val="none"/>
        </w:rPr>
        <w:t>单位</w:t>
      </w:r>
      <w:r>
        <w:rPr>
          <w:rFonts w:hint="eastAsia" w:hAnsi="宋体"/>
          <w:color w:val="auto"/>
          <w:highlight w:val="none"/>
        </w:rPr>
        <w:t>存在直接控股、管理关系的其他供应商均未参加本</w:t>
      </w:r>
      <w:r>
        <w:rPr>
          <w:rFonts w:hAnsi="宋体"/>
          <w:color w:val="auto"/>
          <w:highlight w:val="none"/>
        </w:rPr>
        <w:t>项目</w:t>
      </w:r>
      <w:r>
        <w:rPr>
          <w:rFonts w:hint="eastAsia" w:hAnsi="宋体"/>
          <w:color w:val="auto"/>
          <w:highlight w:val="none"/>
        </w:rPr>
        <w:t>同一合同项下的政府采购活动（仅</w:t>
      </w:r>
      <w:r>
        <w:rPr>
          <w:rFonts w:hAnsi="宋体"/>
          <w:color w:val="auto"/>
          <w:highlight w:val="none"/>
        </w:rPr>
        <w:t>参加</w:t>
      </w:r>
      <w:r>
        <w:rPr>
          <w:rFonts w:hint="eastAsia" w:hAnsi="宋体"/>
          <w:color w:val="auto"/>
          <w:highlight w:val="none"/>
        </w:rPr>
        <w:t>资格预审例外）。</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r>
        <w:rPr>
          <w:rFonts w:hint="eastAsia" w:hAnsi="宋体" w:cs="宋体"/>
          <w:b/>
          <w:bCs/>
          <w:color w:val="auto"/>
          <w:highlight w:val="none"/>
        </w:rPr>
        <w:t>本公司对上述声明内容事项真实性负责。如经查实上述承诺声明的内容事项存在虚假或未履行，本单位愿意接受相关处罚并追究法律责任。</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p>
    <w:p>
      <w:pPr>
        <w:pStyle w:val="2"/>
        <w:ind w:firstLine="420" w:firstLineChars="200"/>
        <w:rPr>
          <w:rFonts w:hAnsi="宋体" w:cs="宋体"/>
          <w:b/>
          <w:bCs/>
          <w:color w:val="auto"/>
          <w:highlight w:val="none"/>
        </w:rPr>
      </w:pPr>
      <w:r>
        <w:rPr>
          <w:rFonts w:hint="eastAsia" w:ascii="宋体" w:hAnsi="宋体"/>
          <w:color w:val="auto"/>
          <w:highlight w:val="none"/>
        </w:rPr>
        <w:t>注：供应商应该</w:t>
      </w:r>
      <w:r>
        <w:rPr>
          <w:rFonts w:ascii="宋体" w:hAnsi="宋体"/>
          <w:color w:val="auto"/>
          <w:highlight w:val="none"/>
        </w:rPr>
        <w:t>列明其存在直接控股、管理关系的相关供应商名单</w:t>
      </w:r>
      <w:r>
        <w:rPr>
          <w:rFonts w:hint="eastAsia" w:ascii="宋体" w:hAnsi="宋体"/>
          <w:color w:val="auto"/>
          <w:highlight w:val="none"/>
        </w:rPr>
        <w:t>作为附件。</w:t>
      </w:r>
    </w:p>
    <w:p>
      <w:pPr>
        <w:pStyle w:val="2"/>
        <w:ind w:firstLine="422" w:firstLineChars="200"/>
        <w:rPr>
          <w:rFonts w:hAnsi="宋体" w:cs="宋体"/>
          <w:b/>
          <w:bCs/>
          <w:color w:val="auto"/>
          <w:highlight w:val="none"/>
        </w:rPr>
      </w:pPr>
    </w:p>
    <w:p>
      <w:pPr>
        <w:pStyle w:val="2"/>
        <w:ind w:firstLine="422" w:firstLineChars="200"/>
        <w:rPr>
          <w:rFonts w:hAnsi="宋体" w:cs="宋体"/>
          <w:b/>
          <w:bCs/>
          <w:color w:val="auto"/>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法定代表人或授权代表（签字或盖章）：</w:t>
      </w:r>
    </w:p>
    <w:p>
      <w:pPr>
        <w:pStyle w:val="2"/>
        <w:rPr>
          <w:rFonts w:hAnsi="宋体" w:cs="宋体"/>
          <w:b/>
          <w:bCs/>
          <w:color w:val="auto"/>
          <w:highlight w:val="none"/>
        </w:rPr>
      </w:pPr>
      <w:r>
        <w:rPr>
          <w:rFonts w:hint="eastAsia" w:hAnsi="宋体"/>
          <w:bCs/>
          <w:color w:val="auto"/>
          <w:highlight w:val="none"/>
        </w:rPr>
        <w:t>日期：</w:t>
      </w:r>
    </w:p>
    <w:p>
      <w:pPr>
        <w:pStyle w:val="6"/>
        <w:tabs>
          <w:tab w:val="left" w:pos="3400"/>
        </w:tabs>
        <w:spacing w:line="360" w:lineRule="auto"/>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6"/>
        <w:tabs>
          <w:tab w:val="left" w:pos="3400"/>
        </w:tabs>
        <w:spacing w:line="360" w:lineRule="auto"/>
        <w:rPr>
          <w:color w:val="auto"/>
          <w:highlight w:val="none"/>
        </w:rPr>
      </w:pPr>
      <w:r>
        <w:rPr>
          <w:rFonts w:hint="eastAsia"/>
          <w:color w:val="auto"/>
          <w:highlight w:val="none"/>
          <w:lang w:eastAsia="zh-CN"/>
        </w:rPr>
        <w:t>十九</w:t>
      </w:r>
      <w:r>
        <w:rPr>
          <w:rFonts w:hint="eastAsia"/>
          <w:color w:val="auto"/>
          <w:highlight w:val="none"/>
        </w:rPr>
        <w:t>、项目实施及售后服务方案</w:t>
      </w:r>
    </w:p>
    <w:p>
      <w:pPr>
        <w:spacing w:line="360" w:lineRule="auto"/>
        <w:outlineLvl w:val="2"/>
        <w:rPr>
          <w:rFonts w:hAnsi="宋体"/>
          <w:b/>
          <w:color w:val="auto"/>
          <w:highlight w:val="none"/>
        </w:rPr>
      </w:pPr>
    </w:p>
    <w:p>
      <w:pPr>
        <w:spacing w:line="360" w:lineRule="auto"/>
        <w:outlineLvl w:val="2"/>
        <w:rPr>
          <w:rFonts w:hAnsi="宋体"/>
          <w:b/>
          <w:color w:val="auto"/>
          <w:highlight w:val="none"/>
        </w:rPr>
      </w:pPr>
    </w:p>
    <w:p>
      <w:pPr>
        <w:spacing w:line="360" w:lineRule="auto"/>
        <w:outlineLvl w:val="2"/>
        <w:rPr>
          <w:rFonts w:hint="default" w:hAnsi="宋体" w:eastAsia="宋体"/>
          <w:b/>
          <w:bCs/>
          <w:color w:val="auto"/>
          <w:sz w:val="32"/>
          <w:szCs w:val="32"/>
          <w:highlight w:val="none"/>
          <w:lang w:val="en-US" w:eastAsia="zh-CN"/>
        </w:rPr>
      </w:pPr>
      <w:r>
        <w:rPr>
          <w:rFonts w:hint="eastAsia" w:hAnsi="宋体"/>
          <w:b/>
          <w:color w:val="auto"/>
          <w:highlight w:val="none"/>
        </w:rPr>
        <w:t>项目名称：   招标编号：</w:t>
      </w:r>
      <w:r>
        <w:rPr>
          <w:rFonts w:hint="eastAsia"/>
          <w:highlight w:val="none"/>
          <w:lang w:val="en-US" w:eastAsia="zh-CN"/>
        </w:rPr>
        <w:t xml:space="preserve">    </w:t>
      </w:r>
      <w:r>
        <w:rPr>
          <w:rFonts w:hint="eastAsia"/>
          <w:b/>
          <w:bCs/>
          <w:highlight w:val="none"/>
          <w:lang w:val="en-US" w:eastAsia="zh-CN"/>
        </w:rPr>
        <w:t xml:space="preserve"> </w:t>
      </w:r>
    </w:p>
    <w:p>
      <w:pPr>
        <w:spacing w:line="360" w:lineRule="auto"/>
        <w:ind w:firstLine="630" w:firstLineChars="196"/>
        <w:jc w:val="center"/>
        <w:outlineLvl w:val="2"/>
        <w:rPr>
          <w:rFonts w:hAnsi="宋体"/>
          <w:b/>
          <w:color w:val="auto"/>
          <w:sz w:val="32"/>
          <w:szCs w:val="32"/>
          <w:highlight w:val="none"/>
        </w:rPr>
      </w:pPr>
    </w:p>
    <w:p>
      <w:pPr>
        <w:spacing w:line="360" w:lineRule="auto"/>
        <w:ind w:firstLine="630" w:firstLineChars="196"/>
        <w:jc w:val="center"/>
        <w:outlineLvl w:val="2"/>
        <w:rPr>
          <w:rFonts w:hAnsi="宋体"/>
          <w:b/>
          <w:color w:val="auto"/>
          <w:sz w:val="32"/>
          <w:szCs w:val="32"/>
          <w:highlight w:val="none"/>
        </w:rPr>
      </w:pPr>
    </w:p>
    <w:p>
      <w:pPr>
        <w:spacing w:line="360" w:lineRule="auto"/>
        <w:ind w:firstLine="630" w:firstLineChars="196"/>
        <w:jc w:val="center"/>
        <w:outlineLvl w:val="2"/>
        <w:rPr>
          <w:rFonts w:hAnsi="宋体"/>
          <w:b/>
          <w:color w:val="auto"/>
          <w:sz w:val="32"/>
          <w:szCs w:val="32"/>
          <w:highlight w:val="none"/>
        </w:rPr>
      </w:pPr>
      <w:r>
        <w:rPr>
          <w:rFonts w:hint="eastAsia" w:hAnsi="宋体"/>
          <w:b/>
          <w:color w:val="auto"/>
          <w:sz w:val="32"/>
          <w:szCs w:val="32"/>
          <w:highlight w:val="none"/>
        </w:rPr>
        <w:t>（格式自拟）</w:t>
      </w:r>
    </w:p>
    <w:p>
      <w:pPr>
        <w:spacing w:line="360" w:lineRule="auto"/>
        <w:ind w:firstLine="630" w:firstLineChars="196"/>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法定代表人或授权代表（签字或盖章）：</w:t>
      </w:r>
    </w:p>
    <w:p>
      <w:pPr>
        <w:adjustRightInd w:val="0"/>
        <w:spacing w:line="360" w:lineRule="auto"/>
        <w:outlineLvl w:val="2"/>
        <w:rPr>
          <w:rFonts w:hAnsi="宋体"/>
          <w:bCs/>
          <w:color w:val="auto"/>
          <w:highlight w:val="none"/>
        </w:rPr>
      </w:pPr>
      <w:r>
        <w:rPr>
          <w:rFonts w:hint="eastAsia" w:hAnsi="宋体"/>
          <w:bCs/>
          <w:color w:val="auto"/>
          <w:highlight w:val="none"/>
        </w:rPr>
        <w:t>日期：</w:t>
      </w:r>
    </w:p>
    <w:p>
      <w:pPr>
        <w:spacing w:line="360" w:lineRule="auto"/>
        <w:rPr>
          <w:rFonts w:hAnsi="宋体"/>
          <w:color w:val="auto"/>
          <w:highlight w:val="none"/>
        </w:rPr>
      </w:pPr>
    </w:p>
    <w:p>
      <w:pPr>
        <w:spacing w:line="360" w:lineRule="auto"/>
        <w:rPr>
          <w:rFonts w:hAnsi="宋体"/>
          <w:color w:val="auto"/>
          <w:szCs w:val="21"/>
          <w:highlight w:val="none"/>
        </w:rPr>
        <w:sectPr>
          <w:headerReference r:id="rId13" w:type="first"/>
          <w:headerReference r:id="rId12" w:type="even"/>
          <w:pgSz w:w="11906" w:h="16838"/>
          <w:pgMar w:top="851" w:right="1361" w:bottom="851" w:left="1361" w:header="851" w:footer="992" w:gutter="0"/>
          <w:cols w:space="720" w:num="1"/>
          <w:docGrid w:type="lines" w:linePitch="312" w:charSpace="0"/>
        </w:sectPr>
      </w:pPr>
    </w:p>
    <w:p>
      <w:pPr>
        <w:pStyle w:val="6"/>
        <w:spacing w:line="360" w:lineRule="auto"/>
        <w:rPr>
          <w:color w:val="auto"/>
          <w:highlight w:val="none"/>
        </w:rPr>
      </w:pPr>
      <w:r>
        <w:rPr>
          <w:rFonts w:hint="eastAsia"/>
          <w:color w:val="auto"/>
          <w:highlight w:val="none"/>
        </w:rPr>
        <w:t>二十、制造商家授权书（参考）</w:t>
      </w:r>
    </w:p>
    <w:p>
      <w:pPr>
        <w:spacing w:line="360" w:lineRule="auto"/>
        <w:jc w:val="center"/>
        <w:outlineLvl w:val="5"/>
        <w:rPr>
          <w:rFonts w:hAnsi="宋体" w:cs="宋体"/>
          <w:b/>
          <w:color w:val="auto"/>
          <w:sz w:val="44"/>
          <w:highlight w:val="none"/>
        </w:rPr>
      </w:pPr>
    </w:p>
    <w:p>
      <w:pPr>
        <w:spacing w:line="360" w:lineRule="auto"/>
        <w:outlineLvl w:val="5"/>
        <w:rPr>
          <w:rFonts w:hAnsi="宋体" w:cs="宋体"/>
          <w:color w:val="auto"/>
          <w:highlight w:val="none"/>
        </w:rPr>
      </w:pPr>
      <w:r>
        <w:rPr>
          <w:rFonts w:hint="eastAsia" w:hAnsi="宋体" w:cs="宋体"/>
          <w:color w:val="auto"/>
          <w:highlight w:val="none"/>
        </w:rPr>
        <w:t>__________________（采购代理机构名称）：</w:t>
      </w:r>
    </w:p>
    <w:p>
      <w:pPr>
        <w:spacing w:line="360" w:lineRule="auto"/>
        <w:ind w:firstLine="630"/>
        <w:outlineLvl w:val="5"/>
        <w:rPr>
          <w:rFonts w:hAnsi="宋体" w:cs="宋体"/>
          <w:color w:val="auto"/>
          <w:highlight w:val="none"/>
        </w:rPr>
      </w:pPr>
      <w:r>
        <w:rPr>
          <w:rFonts w:hint="eastAsia" w:hAnsi="宋体" w:cs="宋体"/>
          <w:color w:val="auto"/>
          <w:highlight w:val="none"/>
        </w:rPr>
        <w:t>（制造商家名称）是在（国名）依法登记注册的，其厂址现在。</w:t>
      </w:r>
    </w:p>
    <w:p>
      <w:pPr>
        <w:spacing w:line="360" w:lineRule="auto"/>
        <w:ind w:firstLine="630"/>
        <w:outlineLvl w:val="5"/>
        <w:rPr>
          <w:rFonts w:hAnsi="宋体" w:cs="宋体"/>
          <w:color w:val="auto"/>
          <w:highlight w:val="none"/>
          <w:u w:val="single"/>
        </w:rPr>
      </w:pPr>
      <w:r>
        <w:rPr>
          <w:rFonts w:hint="eastAsia" w:hAnsi="宋体" w:cs="宋体"/>
          <w:color w:val="auto"/>
          <w:highlight w:val="none"/>
        </w:rPr>
        <w:t>（被授权公司名称）是在（国名）依法登记注册的，其主要营业地点现在。</w:t>
      </w:r>
    </w:p>
    <w:p>
      <w:pPr>
        <w:spacing w:line="360" w:lineRule="auto"/>
        <w:ind w:firstLine="630"/>
        <w:outlineLvl w:val="5"/>
        <w:rPr>
          <w:rFonts w:hAnsi="宋体" w:cs="宋体"/>
          <w:color w:val="auto"/>
          <w:highlight w:val="none"/>
        </w:rPr>
      </w:pPr>
      <w:r>
        <w:rPr>
          <w:rFonts w:hint="eastAsia" w:hAnsi="宋体" w:cs="宋体"/>
          <w:color w:val="auto"/>
          <w:highlight w:val="none"/>
        </w:rPr>
        <w:t>（制造商家名称）授权   （被授权公司名称）为我方制造的品牌产品的合法销售商（授权销售的产品清单附后），参加“ ” 项目（招标编号：包号：）的投标，全权处理与该产品投标的有关事宜，并对我方具有约束力。</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作为制造商，我方承诺，为本次招标提供的货物为原厂制造、合法渠道供应的全新产品。我方保证以投标合作者来约束自己，并对该投标共同承担和分别承担招标文件中所规定的义务。</w:t>
      </w:r>
    </w:p>
    <w:p>
      <w:pPr>
        <w:spacing w:line="360" w:lineRule="auto"/>
        <w:ind w:firstLine="630"/>
        <w:outlineLvl w:val="5"/>
        <w:rPr>
          <w:rFonts w:hAnsi="宋体" w:cs="宋体"/>
          <w:color w:val="auto"/>
          <w:highlight w:val="none"/>
        </w:rPr>
      </w:pPr>
    </w:p>
    <w:p>
      <w:pPr>
        <w:spacing w:line="360" w:lineRule="auto"/>
        <w:ind w:firstLine="480" w:firstLineChars="200"/>
        <w:outlineLvl w:val="5"/>
        <w:rPr>
          <w:rFonts w:hAnsi="宋体" w:cs="宋体"/>
          <w:color w:val="auto"/>
          <w:highlight w:val="none"/>
        </w:rPr>
      </w:pPr>
      <w:r>
        <w:rPr>
          <w:rFonts w:hint="eastAsia" w:hAnsi="宋体" w:cs="宋体"/>
          <w:color w:val="auto"/>
          <w:highlight w:val="none"/>
        </w:rPr>
        <w:t xml:space="preserve">授权单位名称：       （盖单位公章） </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 xml:space="preserve">授权单位法定代表人或授权代表（签字）：  </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ab/>
      </w:r>
      <w:r>
        <w:rPr>
          <w:rFonts w:hint="eastAsia" w:hAnsi="宋体" w:cs="宋体"/>
          <w:color w:val="auto"/>
          <w:highlight w:val="none"/>
        </w:rPr>
        <w:tab/>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被授权单位名称：     （盖单位公章）</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被授权单位法定代表人或授权代表（签字）：</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授权日期：</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附：授权销售产品清单(格式自拟)</w:t>
      </w:r>
    </w:p>
    <w:p>
      <w:pPr>
        <w:spacing w:line="360" w:lineRule="auto"/>
        <w:outlineLvl w:val="5"/>
        <w:rPr>
          <w:rFonts w:hAnsi="宋体" w:cs="宋体"/>
          <w:color w:val="auto"/>
          <w:sz w:val="32"/>
          <w:highlight w:val="none"/>
        </w:rPr>
      </w:pPr>
    </w:p>
    <w:p>
      <w:pPr>
        <w:spacing w:line="360" w:lineRule="auto"/>
        <w:outlineLvl w:val="5"/>
        <w:rPr>
          <w:rFonts w:hAnsi="宋体" w:cs="宋体"/>
          <w:color w:val="auto"/>
          <w:highlight w:val="none"/>
        </w:rPr>
      </w:pPr>
      <w:r>
        <w:rPr>
          <w:rFonts w:hint="eastAsia" w:hAnsi="宋体" w:cs="宋体"/>
          <w:color w:val="auto"/>
          <w:highlight w:val="none"/>
        </w:rPr>
        <w:t>注：投标人也可提供制造商家或合法代理商自有的授权格式文件，但授权书中应有授权单位法定代表人（或授权代表）的签字或盖单位的印章。</w:t>
      </w:r>
    </w:p>
    <w:p>
      <w:pPr>
        <w:pStyle w:val="4"/>
        <w:rPr>
          <w:color w:val="auto"/>
          <w:highlight w:val="none"/>
        </w:rPr>
      </w:pPr>
    </w:p>
    <w:p>
      <w:pPr>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pStyle w:val="6"/>
        <w:spacing w:line="360" w:lineRule="auto"/>
        <w:rPr>
          <w:color w:val="auto"/>
          <w:highlight w:val="none"/>
        </w:rPr>
      </w:pPr>
      <w:r>
        <w:rPr>
          <w:rFonts w:hint="eastAsia"/>
          <w:color w:val="auto"/>
          <w:highlight w:val="none"/>
        </w:rPr>
        <w:t>二十</w:t>
      </w:r>
      <w:r>
        <w:rPr>
          <w:rFonts w:hint="eastAsia"/>
          <w:color w:val="auto"/>
          <w:highlight w:val="none"/>
          <w:lang w:eastAsia="zh-CN"/>
        </w:rPr>
        <w:t>一</w:t>
      </w:r>
      <w:r>
        <w:rPr>
          <w:rFonts w:hint="eastAsia"/>
          <w:color w:val="auto"/>
          <w:highlight w:val="none"/>
        </w:rPr>
        <w:t>、其他材料（格式自拟）</w:t>
      </w:r>
    </w:p>
    <w:p>
      <w:pPr>
        <w:snapToGrid w:val="0"/>
        <w:spacing w:line="360" w:lineRule="auto"/>
        <w:ind w:firstLine="480" w:firstLineChars="200"/>
        <w:textAlignment w:val="bottom"/>
        <w:rPr>
          <w:rFonts w:hAnsi="宋体" w:cs="宋体"/>
          <w:color w:val="auto"/>
          <w:highlight w:val="none"/>
        </w:rPr>
      </w:pPr>
    </w:p>
    <w:p>
      <w:pPr>
        <w:snapToGrid w:val="0"/>
        <w:spacing w:line="360" w:lineRule="auto"/>
        <w:rPr>
          <w:rFonts w:hAnsi="宋体"/>
          <w:b/>
          <w:color w:val="auto"/>
          <w:highlight w:val="none"/>
        </w:rPr>
      </w:pPr>
    </w:p>
    <w:p>
      <w:pPr>
        <w:snapToGrid w:val="0"/>
        <w:spacing w:line="360" w:lineRule="auto"/>
        <w:rPr>
          <w:rFonts w:hint="eastAsia" w:hAnsi="宋体" w:eastAsia="宋体"/>
          <w:b/>
          <w:color w:val="auto"/>
          <w:highlight w:val="none"/>
          <w:lang w:eastAsia="zh-CN"/>
        </w:rPr>
      </w:pPr>
      <w:r>
        <w:rPr>
          <w:rFonts w:hint="eastAsia" w:hAnsi="宋体"/>
          <w:b/>
          <w:color w:val="auto"/>
          <w:highlight w:val="none"/>
        </w:rPr>
        <w:t>项目名称：   招标编号：</w:t>
      </w:r>
      <w:r>
        <w:rPr>
          <w:rFonts w:hint="eastAsia" w:hAnsi="宋体"/>
          <w:b/>
          <w:color w:val="auto"/>
          <w:highlight w:val="none"/>
          <w:lang w:val="en-US" w:eastAsia="zh-CN"/>
        </w:rPr>
        <w:t xml:space="preserve">     </w:t>
      </w:r>
      <w:r>
        <w:rPr>
          <w:rFonts w:hint="eastAsia"/>
          <w:b/>
          <w:bCs/>
          <w:highlight w:val="none"/>
          <w:lang w:val="en-US" w:eastAsia="zh-CN"/>
        </w:rPr>
        <w:t xml:space="preserve"> </w:t>
      </w: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rPr>
          <w:rFonts w:hAnsi="宋体"/>
          <w:b/>
          <w:color w:val="auto"/>
          <w:sz w:val="32"/>
          <w:szCs w:val="32"/>
          <w:highlight w:val="none"/>
        </w:rPr>
      </w:pPr>
      <w:r>
        <w:rPr>
          <w:rFonts w:hint="eastAsia" w:hAnsi="宋体"/>
          <w:b/>
          <w:color w:val="auto"/>
          <w:sz w:val="32"/>
          <w:szCs w:val="32"/>
          <w:highlight w:val="none"/>
        </w:rPr>
        <w:t xml:space="preserve">                    （格式自拟）</w:t>
      </w:r>
    </w:p>
    <w:p>
      <w:pPr>
        <w:snapToGrid w:val="0"/>
        <w:spacing w:line="360" w:lineRule="auto"/>
        <w:ind w:firstLine="480" w:firstLineChars="200"/>
        <w:rPr>
          <w:rFonts w:hAnsi="宋体" w:cs="宋体"/>
          <w:snapToGrid w:val="0"/>
          <w:color w:val="auto"/>
          <w:highlight w:val="none"/>
        </w:rPr>
      </w:pPr>
    </w:p>
    <w:p>
      <w:pPr>
        <w:snapToGrid w:val="0"/>
        <w:spacing w:line="360" w:lineRule="auto"/>
        <w:ind w:firstLine="480" w:firstLineChars="200"/>
        <w:rPr>
          <w:rFonts w:hAnsi="宋体" w:cs="宋体"/>
          <w:snapToGrid w:val="0"/>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adjustRightInd w:val="0"/>
        <w:spacing w:line="360" w:lineRule="auto"/>
        <w:rPr>
          <w:rFonts w:hAnsi="宋体"/>
          <w:bCs/>
          <w:color w:val="auto"/>
          <w:highlight w:val="none"/>
        </w:rPr>
      </w:pPr>
      <w:r>
        <w:rPr>
          <w:rFonts w:hint="eastAsia" w:hAnsi="宋体"/>
          <w:bCs/>
          <w:color w:val="auto"/>
          <w:highlight w:val="none"/>
        </w:rPr>
        <w:t>投标人名称：        （盖单位公章）</w:t>
      </w:r>
    </w:p>
    <w:p>
      <w:pPr>
        <w:adjustRightInd w:val="0"/>
        <w:spacing w:line="360" w:lineRule="auto"/>
        <w:rPr>
          <w:rFonts w:hAnsi="宋体"/>
          <w:bCs/>
          <w:color w:val="auto"/>
          <w:highlight w:val="none"/>
        </w:rPr>
      </w:pPr>
      <w:r>
        <w:rPr>
          <w:rFonts w:hint="eastAsia" w:hAnsi="宋体"/>
          <w:color w:val="auto"/>
          <w:highlight w:val="none"/>
        </w:rPr>
        <w:t>法定代表人或授权代表（签字）</w:t>
      </w:r>
      <w:r>
        <w:rPr>
          <w:rFonts w:hint="eastAsia" w:hAnsi="宋体"/>
          <w:bCs/>
          <w:color w:val="auto"/>
          <w:highlight w:val="none"/>
        </w:rPr>
        <w:t>：</w:t>
      </w:r>
    </w:p>
    <w:p>
      <w:pPr>
        <w:adjustRightInd w:val="0"/>
        <w:spacing w:line="360" w:lineRule="auto"/>
        <w:rPr>
          <w:rFonts w:hAnsi="宋体"/>
          <w:bCs/>
          <w:color w:val="auto"/>
          <w:highlight w:val="none"/>
        </w:rPr>
      </w:pPr>
      <w:r>
        <w:rPr>
          <w:rFonts w:hint="eastAsia" w:hAnsi="宋体"/>
          <w:bCs/>
          <w:color w:val="auto"/>
          <w:highlight w:val="none"/>
        </w:rPr>
        <w:t>投标日期：</w:t>
      </w:r>
    </w:p>
    <w:p>
      <w:pPr>
        <w:spacing w:line="360" w:lineRule="auto"/>
        <w:outlineLvl w:val="5"/>
        <w:rPr>
          <w:rFonts w:hAnsi="宋体" w:cs="宋体"/>
          <w:b/>
          <w:color w:val="auto"/>
          <w:sz w:val="32"/>
          <w:szCs w:val="32"/>
          <w:highlight w:val="none"/>
        </w:rPr>
      </w:pPr>
    </w:p>
    <w:p>
      <w:pPr>
        <w:spacing w:line="360" w:lineRule="auto"/>
        <w:ind w:left="4035"/>
        <w:outlineLvl w:val="0"/>
        <w:rPr>
          <w:rFonts w:hAnsi="宋体" w:cs="宋体"/>
          <w:b/>
          <w:bCs/>
          <w:color w:val="auto"/>
          <w:sz w:val="30"/>
          <w:szCs w:val="30"/>
          <w:highlight w:val="none"/>
        </w:rPr>
      </w:pPr>
    </w:p>
    <w:p>
      <w:pPr>
        <w:spacing w:line="360" w:lineRule="auto"/>
        <w:jc w:val="center"/>
        <w:outlineLvl w:val="0"/>
        <w:rPr>
          <w:rStyle w:val="229"/>
          <w:color w:val="auto"/>
          <w:highlight w:val="none"/>
        </w:rPr>
      </w:pPr>
      <w:r>
        <w:rPr>
          <w:rFonts w:hint="eastAsia" w:hAnsi="宋体" w:cs="宋体"/>
          <w:color w:val="auto"/>
          <w:highlight w:val="none"/>
        </w:rPr>
        <w:br w:type="page"/>
      </w:r>
      <w:bookmarkEnd w:id="142"/>
      <w:bookmarkStart w:id="143" w:name="_Toc10194"/>
      <w:bookmarkStart w:id="144" w:name="_Toc1392"/>
      <w:bookmarkStart w:id="145" w:name="_Toc14680"/>
      <w:r>
        <w:rPr>
          <w:rStyle w:val="229"/>
          <w:rFonts w:hint="eastAsia"/>
          <w:color w:val="auto"/>
          <w:highlight w:val="none"/>
        </w:rPr>
        <w:t>第四章、投标人和投标产品的资格、资质性及其他类似效力要求</w:t>
      </w:r>
      <w:bookmarkEnd w:id="143"/>
      <w:bookmarkEnd w:id="144"/>
      <w:bookmarkEnd w:id="145"/>
    </w:p>
    <w:p>
      <w:pPr>
        <w:pStyle w:val="8"/>
        <w:numPr>
          <w:ilvl w:val="0"/>
          <w:numId w:val="2"/>
        </w:numPr>
        <w:adjustRightInd w:val="0"/>
        <w:snapToGrid w:val="0"/>
        <w:spacing w:before="0" w:after="0" w:line="360" w:lineRule="auto"/>
        <w:rPr>
          <w:rFonts w:hAnsi="宋体" w:cs="宋体"/>
          <w:color w:val="auto"/>
          <w:sz w:val="24"/>
          <w:szCs w:val="24"/>
          <w:highlight w:val="none"/>
        </w:rPr>
      </w:pPr>
      <w:r>
        <w:rPr>
          <w:rFonts w:hint="eastAsia" w:hAnsi="宋体" w:cs="宋体"/>
          <w:color w:val="auto"/>
          <w:sz w:val="24"/>
          <w:szCs w:val="24"/>
          <w:highlight w:val="none"/>
        </w:rPr>
        <w:t>投标人资格、资质性及其他类似效力要求</w:t>
      </w:r>
    </w:p>
    <w:p>
      <w:pPr>
        <w:adjustRightInd w:val="0"/>
        <w:snapToGrid w:val="0"/>
        <w:spacing w:line="360" w:lineRule="auto"/>
        <w:outlineLvl w:val="5"/>
        <w:rPr>
          <w:rFonts w:hAnsi="宋体" w:cs="宋体"/>
          <w:b/>
          <w:bCs/>
          <w:color w:val="auto"/>
          <w:highlight w:val="none"/>
        </w:rPr>
      </w:pPr>
      <w:r>
        <w:rPr>
          <w:rFonts w:hint="eastAsia" w:hAnsi="宋体" w:cs="宋体"/>
          <w:b/>
          <w:bCs/>
          <w:color w:val="auto"/>
          <w:highlight w:val="none"/>
        </w:rPr>
        <w:t>（一）投标人应具备《中华人民共和国政府采购法》第二十二条规定的下列条件：</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具有独立承担民事责任的能力；</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具有良好的商业信誉和健全的财务会计制度；</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具有履行合同所必需的设备和专业技术能力；</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有依法缴纳税收和社会保障资金的良好记录；</w:t>
      </w:r>
    </w:p>
    <w:p>
      <w:pPr>
        <w:numPr>
          <w:ilvl w:val="3"/>
          <w:numId w:val="3"/>
        </w:numPr>
        <w:shd w:val="clear" w:color="auto" w:fill="FFFFFF"/>
        <w:tabs>
          <w:tab w:val="left" w:pos="900"/>
        </w:tabs>
        <w:adjustRightInd w:val="0"/>
        <w:snapToGrid w:val="0"/>
        <w:spacing w:line="360" w:lineRule="auto"/>
        <w:ind w:left="840" w:hanging="300"/>
        <w:outlineLvl w:val="5"/>
        <w:rPr>
          <w:rFonts w:hAnsi="宋体" w:cs="宋体"/>
          <w:color w:val="auto"/>
          <w:highlight w:val="none"/>
        </w:rPr>
      </w:pPr>
      <w:r>
        <w:rPr>
          <w:rFonts w:hint="eastAsia" w:hAnsi="宋体" w:cs="宋体"/>
          <w:color w:val="auto"/>
          <w:highlight w:val="none"/>
        </w:rPr>
        <w:t>参加政府采购活动前三年内，在经营活动中没有重大违法记录</w:t>
      </w:r>
      <w:r>
        <w:rPr>
          <w:rFonts w:hint="eastAsia" w:hAnsi="宋体"/>
          <w:bCs/>
          <w:color w:val="auto"/>
          <w:highlight w:val="none"/>
        </w:rPr>
        <w:t>；</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法律、行政法规规定的其他条件。</w:t>
      </w:r>
    </w:p>
    <w:p>
      <w:pPr>
        <w:pStyle w:val="108"/>
        <w:ind w:firstLine="0" w:firstLineChars="0"/>
        <w:rPr>
          <w:b/>
          <w:color w:val="auto"/>
          <w:highlight w:val="none"/>
        </w:rPr>
      </w:pPr>
      <w:r>
        <w:rPr>
          <w:rFonts w:hint="eastAsia" w:hAnsi="宋体"/>
          <w:b/>
          <w:bCs/>
          <w:color w:val="auto"/>
          <w:highlight w:val="none"/>
        </w:rPr>
        <w:t>（二）</w:t>
      </w:r>
      <w:r>
        <w:rPr>
          <w:rFonts w:hint="eastAsia" w:hAnsi="宋体" w:cs="宋体"/>
          <w:b/>
          <w:color w:val="auto"/>
          <w:highlight w:val="none"/>
        </w:rPr>
        <w:t xml:space="preserve"> 根据采购项目提出的特</w:t>
      </w:r>
      <w:r>
        <w:rPr>
          <w:rFonts w:hint="eastAsia"/>
          <w:b/>
          <w:color w:val="auto"/>
          <w:highlight w:val="none"/>
        </w:rPr>
        <w:t>殊条件：</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2.1</w:t>
      </w:r>
      <w:r>
        <w:rPr>
          <w:rFonts w:ascii="宋体" w:hAnsi="宋体" w:eastAsia="宋体" w:cs="宋体"/>
          <w:sz w:val="24"/>
          <w:szCs w:val="24"/>
          <w:highlight w:val="none"/>
        </w:rPr>
        <w:t>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2.2本项目不接受联合体投标。</w:t>
      </w:r>
    </w:p>
    <w:p>
      <w:pPr>
        <w:adjustRightInd w:val="0"/>
        <w:snapToGrid w:val="0"/>
        <w:spacing w:line="360" w:lineRule="auto"/>
        <w:ind w:left="-300" w:leftChars="-125"/>
        <w:rPr>
          <w:rFonts w:hAnsi="宋体" w:cs="宋体"/>
          <w:color w:val="auto"/>
          <w:highlight w:val="none"/>
        </w:rPr>
      </w:pPr>
      <w:r>
        <w:rPr>
          <w:rFonts w:hint="eastAsia" w:hAnsi="宋体"/>
          <w:b/>
          <w:bCs/>
          <w:color w:val="auto"/>
          <w:highlight w:val="none"/>
        </w:rPr>
        <w:t xml:space="preserve"> （三）其他类似效力要求：</w:t>
      </w:r>
      <w:r>
        <w:rPr>
          <w:rFonts w:hint="eastAsia" w:hAnsi="宋体"/>
          <w:color w:val="auto"/>
          <w:highlight w:val="none"/>
        </w:rPr>
        <w:t>投标供应商法定代表人授权参加本次投标活动的合法代表（非独立法人机构提供具有</w:t>
      </w:r>
      <w:r>
        <w:rPr>
          <w:rFonts w:hint="eastAsia" w:hAnsi="宋体" w:cs="宋体"/>
          <w:color w:val="auto"/>
          <w:highlight w:val="none"/>
        </w:rPr>
        <w:t>独立承担民事责任的能力的负责人</w:t>
      </w:r>
      <w:r>
        <w:rPr>
          <w:rFonts w:hint="eastAsia" w:hAnsi="宋体"/>
          <w:color w:val="auto"/>
          <w:highlight w:val="none"/>
        </w:rPr>
        <w:t>授权参加本次投标活动的合法代表）。</w:t>
      </w:r>
    </w:p>
    <w:p>
      <w:pPr>
        <w:adjustRightInd w:val="0"/>
        <w:snapToGrid w:val="0"/>
        <w:spacing w:line="360" w:lineRule="auto"/>
        <w:ind w:left="723" w:hanging="723" w:hangingChars="300"/>
        <w:outlineLvl w:val="5"/>
        <w:rPr>
          <w:rFonts w:hAnsi="宋体" w:cs="宋体"/>
          <w:b/>
          <w:color w:val="auto"/>
          <w:highlight w:val="none"/>
        </w:rPr>
      </w:pPr>
      <w:r>
        <w:rPr>
          <w:rFonts w:hint="eastAsia" w:hAnsi="宋体" w:cs="宋体"/>
          <w:b/>
          <w:bCs/>
          <w:color w:val="auto"/>
          <w:highlight w:val="none"/>
        </w:rPr>
        <w:t>二、</w:t>
      </w:r>
      <w:r>
        <w:rPr>
          <w:rFonts w:hint="eastAsia" w:hAnsi="宋体" w:cs="宋体"/>
          <w:b/>
          <w:color w:val="auto"/>
          <w:highlight w:val="none"/>
        </w:rPr>
        <w:t>投标产品的资格、资质性及其他类似效力要求</w:t>
      </w:r>
    </w:p>
    <w:p>
      <w:pPr>
        <w:adjustRightInd w:val="0"/>
        <w:snapToGrid w:val="0"/>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投标产品需具有符合《医疗器械注册管理办法》等政策法规要求的中华人民共和国医疗器械注册或备案凭证。（仅限医疗器械适用）</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注：</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1、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经营活动中重大违法记录中较大数额罚款的金额标准为：</w:t>
      </w:r>
      <w:r>
        <w:rPr>
          <w:rFonts w:hAnsi="宋体" w:cs="宋体"/>
          <w:b/>
          <w:bCs/>
          <w:color w:val="auto"/>
          <w:sz w:val="21"/>
          <w:szCs w:val="21"/>
          <w:highlight w:val="none"/>
        </w:rPr>
        <w:t>5</w:t>
      </w:r>
      <w:r>
        <w:rPr>
          <w:rFonts w:hint="eastAsia" w:hAnsi="宋体" w:cs="宋体"/>
          <w:b/>
          <w:bCs/>
          <w:color w:val="auto"/>
          <w:sz w:val="21"/>
          <w:szCs w:val="21"/>
          <w:highlight w:val="none"/>
        </w:rPr>
        <w:t>万元。</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jc w:val="center"/>
        <w:rPr>
          <w:color w:val="auto"/>
          <w:highlight w:val="none"/>
        </w:rPr>
      </w:pPr>
      <w:r>
        <w:rPr>
          <w:rFonts w:hint="eastAsia"/>
          <w:color w:val="auto"/>
          <w:highlight w:val="none"/>
        </w:rPr>
        <w:br w:type="page"/>
      </w:r>
      <w:bookmarkStart w:id="146" w:name="_Toc12281"/>
      <w:bookmarkStart w:id="147" w:name="_Toc29399"/>
      <w:bookmarkStart w:id="148" w:name="_Toc21378"/>
      <w:r>
        <w:rPr>
          <w:rStyle w:val="229"/>
          <w:rFonts w:hint="eastAsia"/>
          <w:color w:val="auto"/>
          <w:highlight w:val="none"/>
        </w:rPr>
        <w:t>第五章 投标人应当提供的资格、资质性及其他类似效力要求的相关证明材料</w:t>
      </w:r>
      <w:bookmarkEnd w:id="146"/>
      <w:bookmarkEnd w:id="147"/>
      <w:bookmarkEnd w:id="148"/>
    </w:p>
    <w:p>
      <w:pPr>
        <w:pStyle w:val="24"/>
        <w:numPr>
          <w:ilvl w:val="0"/>
          <w:numId w:val="4"/>
        </w:numPr>
        <w:spacing w:line="360" w:lineRule="auto"/>
        <w:outlineLvl w:val="5"/>
        <w:rPr>
          <w:rFonts w:hAnsi="宋体"/>
          <w:b/>
          <w:color w:val="auto"/>
          <w:highlight w:val="none"/>
        </w:rPr>
      </w:pPr>
      <w:r>
        <w:rPr>
          <w:rFonts w:hint="eastAsia" w:hAnsi="宋体"/>
          <w:b/>
          <w:color w:val="auto"/>
          <w:highlight w:val="none"/>
        </w:rPr>
        <w:t>投标人应当提供的资格、资质性文件及其他类似效力的要求的相关证明材料</w:t>
      </w:r>
    </w:p>
    <w:p>
      <w:pPr>
        <w:spacing w:line="360" w:lineRule="auto"/>
        <w:ind w:firstLine="120" w:firstLineChars="50"/>
        <w:outlineLvl w:val="5"/>
        <w:rPr>
          <w:rFonts w:hAnsi="宋体"/>
          <w:b/>
          <w:color w:val="auto"/>
          <w:highlight w:val="none"/>
        </w:rPr>
      </w:pPr>
      <w:r>
        <w:rPr>
          <w:rFonts w:hint="eastAsia" w:hAnsi="宋体"/>
          <w:b/>
          <w:color w:val="auto"/>
          <w:highlight w:val="none"/>
        </w:rPr>
        <w:t>（一）</w:t>
      </w:r>
      <w:r>
        <w:rPr>
          <w:rFonts w:hint="eastAsia" w:hAnsi="宋体" w:cs="宋体"/>
          <w:b/>
          <w:color w:val="auto"/>
          <w:highlight w:val="none"/>
        </w:rPr>
        <w:t>投标人应具备《中华人民共和国政府采购法》第二十二条规定的下列条件：</w:t>
      </w:r>
    </w:p>
    <w:p>
      <w:pPr>
        <w:shd w:val="clear" w:color="auto" w:fill="FFFFFF"/>
        <w:tabs>
          <w:tab w:val="left" w:pos="900"/>
        </w:tabs>
        <w:snapToGrid w:val="0"/>
        <w:spacing w:line="360" w:lineRule="auto"/>
        <w:outlineLvl w:val="5"/>
        <w:rPr>
          <w:rFonts w:hAnsi="宋体" w:cs="宋体"/>
          <w:color w:val="auto"/>
          <w:highlight w:val="none"/>
        </w:rPr>
      </w:pPr>
      <w:bookmarkStart w:id="149" w:name="_Toc320624222"/>
      <w:bookmarkEnd w:id="149"/>
      <w:bookmarkStart w:id="150" w:name="_Toc320624212"/>
      <w:bookmarkEnd w:id="150"/>
      <w:bookmarkStart w:id="151" w:name="_Toc320624224"/>
      <w:bookmarkEnd w:id="151"/>
      <w:bookmarkStart w:id="152" w:name="_Toc320624223"/>
      <w:bookmarkEnd w:id="152"/>
      <w:bookmarkStart w:id="153" w:name="_Toc320624216"/>
      <w:bookmarkEnd w:id="153"/>
      <w:bookmarkStart w:id="154" w:name="_Toc320624218"/>
      <w:bookmarkEnd w:id="154"/>
      <w:bookmarkStart w:id="155" w:name="_Toc320624215"/>
      <w:bookmarkEnd w:id="155"/>
      <w:bookmarkStart w:id="156" w:name="_Toc320624221"/>
      <w:bookmarkEnd w:id="156"/>
      <w:bookmarkStart w:id="157" w:name="_Toc320624217"/>
      <w:bookmarkEnd w:id="157"/>
      <w:bookmarkStart w:id="158" w:name="_Toc320624219"/>
      <w:bookmarkEnd w:id="158"/>
      <w:bookmarkStart w:id="159" w:name="_Toc320624213"/>
      <w:bookmarkEnd w:id="159"/>
      <w:bookmarkStart w:id="160" w:name="_Toc320624220"/>
      <w:bookmarkEnd w:id="160"/>
      <w:bookmarkStart w:id="161" w:name="_Toc320624214"/>
      <w:bookmarkEnd w:id="161"/>
      <w:r>
        <w:rPr>
          <w:rFonts w:hint="eastAsia" w:hAnsi="宋体"/>
          <w:b/>
          <w:color w:val="auto"/>
          <w:highlight w:val="none"/>
        </w:rPr>
        <w:t xml:space="preserve">   1.具有独立承担民事责任的能力提供以下证明材料：</w:t>
      </w:r>
    </w:p>
    <w:p>
      <w:pPr>
        <w:tabs>
          <w:tab w:val="left" w:pos="1134"/>
        </w:tabs>
        <w:spacing w:line="360" w:lineRule="auto"/>
        <w:ind w:left="919" w:leftChars="229" w:hanging="369" w:hangingChars="154"/>
        <w:outlineLvl w:val="5"/>
        <w:rPr>
          <w:rFonts w:hAnsi="宋体"/>
          <w:color w:val="auto"/>
          <w:highlight w:val="none"/>
        </w:rPr>
      </w:pPr>
      <w:r>
        <w:rPr>
          <w:rFonts w:hint="eastAsia" w:hAnsi="宋体"/>
          <w:color w:val="auto"/>
          <w:highlight w:val="none"/>
        </w:rPr>
        <w:t>（1）独立法人机构提供下述证明材料：</w:t>
      </w:r>
    </w:p>
    <w:p>
      <w:pPr>
        <w:tabs>
          <w:tab w:val="left" w:pos="1134"/>
        </w:tabs>
        <w:spacing w:line="360" w:lineRule="auto"/>
        <w:outlineLvl w:val="5"/>
        <w:rPr>
          <w:rFonts w:hAnsi="宋体"/>
          <w:color w:val="auto"/>
          <w:highlight w:val="none"/>
        </w:rPr>
      </w:pPr>
      <w:r>
        <w:rPr>
          <w:rFonts w:hint="eastAsia" w:hAnsi="宋体"/>
          <w:color w:val="auto"/>
          <w:highlight w:val="none"/>
        </w:rPr>
        <w:t xml:space="preserve">    营业执照副本复印件（注：①在有效期内；②具有独立法人资格；）或</w:t>
      </w:r>
      <w:r>
        <w:rPr>
          <w:rFonts w:hint="eastAsia" w:hAnsi="宋体"/>
          <w:color w:val="auto"/>
          <w:highlight w:val="none"/>
          <w:shd w:val="clear" w:color="auto" w:fill="FFFFFF"/>
        </w:rPr>
        <w:t>工商部门新颁发的营业执照复印件（有效期内）</w:t>
      </w:r>
      <w:r>
        <w:rPr>
          <w:rFonts w:hint="eastAsia" w:hAnsi="宋体"/>
          <w:color w:val="auto"/>
          <w:highlight w:val="none"/>
        </w:rPr>
        <w:t>。</w:t>
      </w:r>
    </w:p>
    <w:p>
      <w:pPr>
        <w:tabs>
          <w:tab w:val="left" w:pos="1134"/>
          <w:tab w:val="right" w:pos="9440"/>
        </w:tabs>
        <w:spacing w:line="360" w:lineRule="auto"/>
        <w:rPr>
          <w:rFonts w:hAnsi="宋体"/>
          <w:color w:val="auto"/>
          <w:highlight w:val="none"/>
        </w:rPr>
      </w:pPr>
      <w:r>
        <w:rPr>
          <w:rFonts w:hint="eastAsia" w:hAnsi="宋体"/>
          <w:color w:val="auto"/>
          <w:highlight w:val="none"/>
        </w:rPr>
        <w:t xml:space="preserve">    （2）其他组织或自然人提供具有承担民事责任的能力的证明材料复印件；</w:t>
      </w:r>
    </w:p>
    <w:p>
      <w:pPr>
        <w:tabs>
          <w:tab w:val="left" w:pos="1134"/>
        </w:tabs>
        <w:spacing w:line="360" w:lineRule="auto"/>
        <w:outlineLvl w:val="5"/>
        <w:rPr>
          <w:rFonts w:hAnsi="宋体"/>
          <w:b/>
          <w:color w:val="auto"/>
          <w:highlight w:val="none"/>
        </w:rPr>
      </w:pPr>
      <w:r>
        <w:rPr>
          <w:rFonts w:hint="eastAsia" w:hAnsi="宋体"/>
          <w:b/>
          <w:color w:val="auto"/>
          <w:highlight w:val="none"/>
        </w:rPr>
        <w:t xml:space="preserve">   2.具有良好的商业信誉和健全的财务会计制度提供以下证明材料：</w:t>
      </w:r>
    </w:p>
    <w:p>
      <w:pPr>
        <w:tabs>
          <w:tab w:val="left" w:pos="1134"/>
        </w:tabs>
        <w:spacing w:line="360" w:lineRule="auto"/>
        <w:ind w:left="902" w:leftChars="176" w:hanging="480" w:hangingChars="200"/>
        <w:outlineLvl w:val="5"/>
        <w:rPr>
          <w:rFonts w:hAnsi="宋体"/>
          <w:color w:val="auto"/>
          <w:highlight w:val="none"/>
        </w:rPr>
      </w:pPr>
      <w:r>
        <w:rPr>
          <w:rFonts w:hint="eastAsia" w:hAnsi="宋体"/>
          <w:color w:val="auto"/>
          <w:highlight w:val="none"/>
        </w:rPr>
        <w:t>（1）具有健全的财务会计制度（2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财务状况（投标人可根据自身实际情况任选其一提供以下证明材料））：</w:t>
      </w:r>
    </w:p>
    <w:p>
      <w:pPr>
        <w:tabs>
          <w:tab w:val="left" w:pos="1134"/>
        </w:tabs>
        <w:spacing w:line="360" w:lineRule="auto"/>
        <w:ind w:left="902" w:leftChars="276" w:hanging="240" w:hangingChars="100"/>
        <w:outlineLvl w:val="5"/>
        <w:rPr>
          <w:rFonts w:hAnsi="宋体"/>
          <w:color w:val="auto"/>
          <w:highlight w:val="none"/>
        </w:rPr>
      </w:pPr>
      <w:r>
        <w:rPr>
          <w:rFonts w:hint="eastAsia" w:hAnsi="宋体"/>
          <w:color w:val="auto"/>
          <w:highlight w:val="none"/>
        </w:rPr>
        <w:t>①可提供2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经审计的财务报告复印件（包含审计报告和审计报告中所涉及的财务报表和报表附注）；</w:t>
      </w:r>
    </w:p>
    <w:p>
      <w:pPr>
        <w:tabs>
          <w:tab w:val="left" w:pos="1134"/>
        </w:tabs>
        <w:spacing w:line="360" w:lineRule="auto"/>
        <w:ind w:left="902" w:leftChars="276" w:hanging="240" w:hangingChars="100"/>
        <w:outlineLvl w:val="5"/>
        <w:rPr>
          <w:rFonts w:hAnsi="宋体"/>
          <w:color w:val="auto"/>
          <w:highlight w:val="none"/>
        </w:rPr>
      </w:pPr>
      <w:r>
        <w:rPr>
          <w:rFonts w:hint="eastAsia" w:hAnsi="宋体"/>
          <w:color w:val="auto"/>
          <w:highlight w:val="none"/>
        </w:rPr>
        <w:t>②也可提供2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供应商内部的财务报表复印件（至少包含资产负债表）；</w:t>
      </w:r>
    </w:p>
    <w:p>
      <w:pPr>
        <w:tabs>
          <w:tab w:val="left" w:pos="1134"/>
        </w:tabs>
        <w:spacing w:line="360" w:lineRule="auto"/>
        <w:ind w:left="422" w:leftChars="176" w:firstLine="480"/>
        <w:outlineLvl w:val="5"/>
        <w:rPr>
          <w:rFonts w:hAnsi="宋体"/>
          <w:color w:val="auto"/>
          <w:highlight w:val="none"/>
          <w:u w:val="single"/>
        </w:rPr>
      </w:pPr>
      <w:r>
        <w:rPr>
          <w:rFonts w:hint="eastAsia" w:hAnsi="宋体"/>
          <w:color w:val="auto"/>
          <w:highlight w:val="none"/>
        </w:rPr>
        <w:t>③也可提供截至响应文件递交截止日一年内银行出具的资信证明（复印件）。</w:t>
      </w:r>
    </w:p>
    <w:p>
      <w:pPr>
        <w:tabs>
          <w:tab w:val="left" w:pos="1134"/>
        </w:tabs>
        <w:spacing w:line="360" w:lineRule="auto"/>
        <w:ind w:left="422" w:leftChars="176" w:firstLine="480"/>
        <w:outlineLvl w:val="5"/>
        <w:rPr>
          <w:rFonts w:hAnsi="宋体"/>
          <w:color w:val="auto"/>
          <w:highlight w:val="none"/>
        </w:rPr>
      </w:pPr>
      <w:r>
        <w:rPr>
          <w:rFonts w:hint="eastAsia" w:hAnsi="宋体"/>
          <w:color w:val="auto"/>
          <w:highlight w:val="none"/>
        </w:rPr>
        <w:t>④供应商注册时间至文件递交截止日不足一年的，也可提供在工商备案的公司章程（复印件）。</w:t>
      </w:r>
    </w:p>
    <w:p>
      <w:pPr>
        <w:tabs>
          <w:tab w:val="left" w:pos="1134"/>
        </w:tabs>
        <w:spacing w:line="360" w:lineRule="auto"/>
        <w:ind w:firstLine="480" w:firstLineChars="200"/>
        <w:outlineLvl w:val="5"/>
        <w:rPr>
          <w:rFonts w:hAnsi="宋体"/>
          <w:color w:val="auto"/>
          <w:highlight w:val="none"/>
          <w:lang w:val="zh-CN"/>
        </w:rPr>
      </w:pPr>
      <w:r>
        <w:rPr>
          <w:rFonts w:hint="eastAsia" w:hAnsi="宋体"/>
          <w:color w:val="auto"/>
          <w:highlight w:val="none"/>
          <w:lang w:val="zh-CN"/>
        </w:rPr>
        <w:t>（2）具有良好的商业信誉可提供承诺书原件【格式可自拟】。</w:t>
      </w:r>
    </w:p>
    <w:p>
      <w:pPr>
        <w:tabs>
          <w:tab w:val="left" w:pos="1134"/>
        </w:tabs>
        <w:spacing w:line="360" w:lineRule="auto"/>
        <w:outlineLvl w:val="5"/>
        <w:rPr>
          <w:rFonts w:hAnsi="宋体"/>
          <w:b/>
          <w:color w:val="auto"/>
          <w:highlight w:val="none"/>
        </w:rPr>
      </w:pPr>
      <w:r>
        <w:rPr>
          <w:rFonts w:hint="eastAsia" w:hAnsi="宋体"/>
          <w:b/>
          <w:color w:val="auto"/>
          <w:highlight w:val="none"/>
        </w:rPr>
        <w:t xml:space="preserve">   3.具有履行合同所必需的设备和专业技术能力的证明材料：</w:t>
      </w:r>
    </w:p>
    <w:p>
      <w:pPr>
        <w:spacing w:line="360" w:lineRule="auto"/>
        <w:rPr>
          <w:rFonts w:hAnsi="宋体"/>
          <w:color w:val="auto"/>
          <w:highlight w:val="none"/>
        </w:rPr>
      </w:pPr>
      <w:r>
        <w:rPr>
          <w:rFonts w:hint="eastAsia" w:hAnsi="宋体"/>
          <w:color w:val="auto"/>
          <w:highlight w:val="none"/>
        </w:rPr>
        <w:t xml:space="preserve">    （1）投标人自行提供或提供承诺函原件。</w:t>
      </w:r>
    </w:p>
    <w:p>
      <w:pPr>
        <w:spacing w:line="360" w:lineRule="auto"/>
        <w:rPr>
          <w:rFonts w:hAnsi="宋体"/>
          <w:b/>
          <w:color w:val="auto"/>
          <w:highlight w:val="none"/>
        </w:rPr>
      </w:pPr>
      <w:r>
        <w:rPr>
          <w:rFonts w:hint="eastAsia" w:hAnsi="宋体"/>
          <w:b/>
          <w:color w:val="auto"/>
          <w:highlight w:val="none"/>
        </w:rPr>
        <w:t xml:space="preserve">   4.有依法缴纳税收和社会保障资金的良好记录：</w:t>
      </w:r>
    </w:p>
    <w:p>
      <w:pPr>
        <w:tabs>
          <w:tab w:val="left" w:pos="1134"/>
        </w:tabs>
        <w:spacing w:line="360" w:lineRule="auto"/>
        <w:rPr>
          <w:rFonts w:hAnsi="宋体"/>
          <w:color w:val="auto"/>
          <w:highlight w:val="none"/>
        </w:rPr>
      </w:pPr>
      <w:r>
        <w:rPr>
          <w:rFonts w:hint="eastAsia" w:hAnsi="宋体"/>
          <w:color w:val="auto"/>
          <w:highlight w:val="none"/>
        </w:rPr>
        <w:t xml:space="preserve">    （1）</w:t>
      </w:r>
      <w:r>
        <w:rPr>
          <w:rFonts w:hAnsi="宋体"/>
          <w:color w:val="auto"/>
          <w:highlight w:val="none"/>
        </w:rPr>
        <w:t>缴纳税收</w:t>
      </w:r>
      <w:r>
        <w:rPr>
          <w:rFonts w:hint="eastAsia" w:hAnsi="宋体"/>
          <w:color w:val="auto"/>
          <w:highlight w:val="none"/>
        </w:rPr>
        <w:t>证明材料（投标人可提供以下证明材料）：</w:t>
      </w:r>
    </w:p>
    <w:p>
      <w:pPr>
        <w:tabs>
          <w:tab w:val="left" w:pos="1134"/>
        </w:tabs>
        <w:spacing w:line="360" w:lineRule="auto"/>
        <w:ind w:left="919" w:leftChars="229" w:hanging="369" w:hangingChars="154"/>
        <w:rPr>
          <w:rFonts w:hAnsi="宋体"/>
          <w:color w:val="auto"/>
          <w:highlight w:val="none"/>
          <w:shd w:val="clear" w:color="auto" w:fill="FFFFFF"/>
        </w:rPr>
      </w:pPr>
      <w:r>
        <w:rPr>
          <w:rFonts w:hint="eastAsia" w:hAnsi="宋体"/>
          <w:color w:val="auto"/>
          <w:highlight w:val="none"/>
        </w:rPr>
        <w:t xml:space="preserve"> ①税务登记证副本复印件（注：在有效期内）或</w:t>
      </w:r>
      <w:r>
        <w:rPr>
          <w:rFonts w:hint="eastAsia" w:hAnsi="宋体"/>
          <w:color w:val="auto"/>
          <w:highlight w:val="none"/>
          <w:shd w:val="clear" w:color="auto" w:fill="FFFFFF"/>
        </w:rPr>
        <w:t>工商部门新颁发的营业执照复印件（有效期内）</w:t>
      </w:r>
      <w:r>
        <w:rPr>
          <w:rFonts w:hint="eastAsia" w:hAnsi="宋体"/>
          <w:color w:val="auto"/>
          <w:highlight w:val="none"/>
        </w:rPr>
        <w:t>。</w:t>
      </w:r>
    </w:p>
    <w:p>
      <w:pPr>
        <w:tabs>
          <w:tab w:val="left" w:pos="1134"/>
        </w:tabs>
        <w:spacing w:line="360" w:lineRule="auto"/>
        <w:ind w:left="919" w:leftChars="229" w:hanging="369" w:hangingChars="154"/>
        <w:rPr>
          <w:rFonts w:hAnsi="宋体"/>
          <w:color w:val="auto"/>
          <w:highlight w:val="none"/>
        </w:rPr>
      </w:pPr>
      <w:r>
        <w:rPr>
          <w:rFonts w:hint="eastAsia" w:hAnsi="宋体"/>
          <w:color w:val="auto"/>
          <w:highlight w:val="none"/>
        </w:rPr>
        <w:t xml:space="preserve"> ②投标人提供20</w:t>
      </w:r>
      <w:r>
        <w:rPr>
          <w:rFonts w:hAnsi="宋体"/>
          <w:color w:val="auto"/>
          <w:highlight w:val="none"/>
        </w:rPr>
        <w:t>2</w:t>
      </w:r>
      <w:r>
        <w:rPr>
          <w:rFonts w:hint="eastAsia" w:hAnsi="宋体"/>
          <w:color w:val="auto"/>
          <w:highlight w:val="none"/>
        </w:rPr>
        <w:t>1年1月1号以后任意一月的</w:t>
      </w:r>
      <w:r>
        <w:rPr>
          <w:rFonts w:hAnsi="宋体"/>
          <w:color w:val="auto"/>
          <w:highlight w:val="none"/>
        </w:rPr>
        <w:t>缴纳税收的银行电子回单或者税务部门出具的纳税证明或完税证明</w:t>
      </w:r>
      <w:r>
        <w:rPr>
          <w:rFonts w:hint="eastAsia" w:hAnsi="宋体"/>
          <w:color w:val="auto"/>
          <w:highlight w:val="none"/>
        </w:rPr>
        <w:t>（注：原件或复印件或扫描件）或承诺书</w:t>
      </w:r>
      <w:r>
        <w:rPr>
          <w:rFonts w:hint="eastAsia" w:hAnsi="宋体"/>
          <w:color w:val="auto"/>
          <w:highlight w:val="none"/>
          <w:lang w:val="zh-CN"/>
        </w:rPr>
        <w:t>【格式可自拟】</w:t>
      </w:r>
      <w:r>
        <w:rPr>
          <w:rFonts w:hint="eastAsia" w:hAnsi="宋体"/>
          <w:color w:val="auto"/>
          <w:highlight w:val="none"/>
        </w:rPr>
        <w:t>（注：原件）</w:t>
      </w:r>
      <w:r>
        <w:rPr>
          <w:rFonts w:hint="eastAsia" w:ascii="宋体" w:hAnsi="宋体" w:cs="宋体"/>
          <w:color w:val="auto"/>
          <w:highlight w:val="none"/>
        </w:rPr>
        <w:t>（注：承诺若不属实，将视为虚假响应，并按政府采购相关规定予以严惩）。</w:t>
      </w:r>
    </w:p>
    <w:p>
      <w:pPr>
        <w:tabs>
          <w:tab w:val="left" w:pos="1134"/>
        </w:tabs>
        <w:spacing w:line="360" w:lineRule="auto"/>
        <w:ind w:firstLine="480" w:firstLineChars="200"/>
        <w:rPr>
          <w:rFonts w:hAnsi="宋体"/>
          <w:color w:val="auto"/>
          <w:highlight w:val="none"/>
        </w:rPr>
      </w:pPr>
      <w:r>
        <w:rPr>
          <w:rFonts w:hint="eastAsia" w:hAnsi="宋体"/>
          <w:color w:val="auto"/>
          <w:highlight w:val="none"/>
        </w:rPr>
        <w:t>（2）缴纳</w:t>
      </w:r>
      <w:r>
        <w:rPr>
          <w:rFonts w:hAnsi="宋体"/>
          <w:color w:val="auto"/>
          <w:highlight w:val="none"/>
        </w:rPr>
        <w:t>社会保障资金</w:t>
      </w:r>
      <w:r>
        <w:rPr>
          <w:rFonts w:hint="eastAsia" w:hAnsi="宋体"/>
          <w:color w:val="auto"/>
          <w:highlight w:val="none"/>
        </w:rPr>
        <w:t>（投标人可提供以下证明材料）：</w:t>
      </w:r>
    </w:p>
    <w:p>
      <w:pPr>
        <w:tabs>
          <w:tab w:val="left" w:pos="1134"/>
        </w:tabs>
        <w:spacing w:line="360" w:lineRule="auto"/>
        <w:ind w:left="1058" w:leftChars="228" w:hanging="511" w:hangingChars="213"/>
        <w:rPr>
          <w:rFonts w:hAnsi="宋体"/>
          <w:color w:val="auto"/>
          <w:highlight w:val="none"/>
        </w:rPr>
      </w:pPr>
      <w:r>
        <w:rPr>
          <w:rFonts w:hint="eastAsia" w:hAnsi="宋体"/>
          <w:color w:val="auto"/>
          <w:highlight w:val="none"/>
        </w:rPr>
        <w:t xml:space="preserve"> ①投标人提供20</w:t>
      </w:r>
      <w:r>
        <w:rPr>
          <w:rFonts w:hAnsi="宋体"/>
          <w:color w:val="auto"/>
          <w:highlight w:val="none"/>
        </w:rPr>
        <w:t>2</w:t>
      </w:r>
      <w:r>
        <w:rPr>
          <w:rFonts w:hint="eastAsia" w:hAnsi="宋体"/>
          <w:color w:val="auto"/>
          <w:highlight w:val="none"/>
        </w:rPr>
        <w:t>1年1月1号以后任意一月社保缴纳的证明材料（注：1.</w:t>
      </w:r>
      <w:r>
        <w:rPr>
          <w:rFonts w:hAnsi="宋体"/>
          <w:color w:val="auto"/>
          <w:highlight w:val="none"/>
        </w:rPr>
        <w:t>缴纳的银行电子回单</w:t>
      </w:r>
      <w:r>
        <w:rPr>
          <w:rFonts w:hint="eastAsia" w:hAnsi="宋体"/>
          <w:color w:val="auto"/>
          <w:highlight w:val="none"/>
        </w:rPr>
        <w:t>或以社保部门出具的为准（注：原件或复印件或扫描件）或承诺书</w:t>
      </w:r>
      <w:r>
        <w:rPr>
          <w:rFonts w:hint="eastAsia" w:hAnsi="宋体"/>
          <w:color w:val="auto"/>
          <w:highlight w:val="none"/>
          <w:lang w:val="zh-CN"/>
        </w:rPr>
        <w:t>【格式可自拟】</w:t>
      </w:r>
      <w:r>
        <w:rPr>
          <w:rFonts w:hint="eastAsia" w:hAnsi="宋体"/>
          <w:color w:val="auto"/>
          <w:highlight w:val="none"/>
        </w:rPr>
        <w:t>（注：原件）</w:t>
      </w:r>
      <w:r>
        <w:rPr>
          <w:rFonts w:hint="eastAsia" w:ascii="宋体" w:hAnsi="宋体" w:cs="宋体"/>
          <w:color w:val="auto"/>
          <w:highlight w:val="none"/>
        </w:rPr>
        <w:t>（注：承诺若不属实，将视为虚假响应，并按政府采购相关规定予以严惩）</w:t>
      </w:r>
      <w:r>
        <w:rPr>
          <w:rFonts w:hint="eastAsia" w:hAnsi="宋体"/>
          <w:color w:val="auto"/>
          <w:highlight w:val="none"/>
        </w:rPr>
        <w:t>。</w:t>
      </w:r>
    </w:p>
    <w:p>
      <w:pPr>
        <w:tabs>
          <w:tab w:val="left" w:pos="1134"/>
        </w:tabs>
        <w:spacing w:line="360" w:lineRule="auto"/>
        <w:outlineLvl w:val="5"/>
        <w:rPr>
          <w:rFonts w:hAnsi="宋体"/>
          <w:b/>
          <w:color w:val="auto"/>
          <w:spacing w:val="-20"/>
          <w:highlight w:val="none"/>
        </w:rPr>
      </w:pPr>
      <w:r>
        <w:rPr>
          <w:rFonts w:hint="eastAsia" w:hAnsi="宋体"/>
          <w:b/>
          <w:color w:val="auto"/>
          <w:highlight w:val="none"/>
        </w:rPr>
        <w:t xml:space="preserve">   5.参加政府采购活动前三年内，在经营活动中没有重大违法记录提供以</w:t>
      </w:r>
      <w:r>
        <w:rPr>
          <w:rFonts w:hint="eastAsia" w:hAnsi="宋体"/>
          <w:b/>
          <w:color w:val="auto"/>
          <w:spacing w:val="-20"/>
          <w:highlight w:val="none"/>
        </w:rPr>
        <w:t>下证明材料：</w:t>
      </w:r>
    </w:p>
    <w:p>
      <w:pPr>
        <w:spacing w:line="360" w:lineRule="auto"/>
        <w:ind w:left="1" w:firstLine="424" w:firstLineChars="177"/>
        <w:rPr>
          <w:rFonts w:hAnsi="宋体"/>
          <w:color w:val="auto"/>
          <w:highlight w:val="none"/>
        </w:rPr>
      </w:pPr>
      <w:r>
        <w:rPr>
          <w:rFonts w:hint="eastAsia" w:hAnsi="宋体"/>
          <w:color w:val="auto"/>
          <w:highlight w:val="none"/>
        </w:rPr>
        <w:t>（1）投标人参加政府采购活动前三年内，在经营活动中没有重大违法记录的书面声明原件。</w:t>
      </w:r>
    </w:p>
    <w:p>
      <w:pPr>
        <w:pStyle w:val="108"/>
        <w:ind w:firstLine="0" w:firstLineChars="0"/>
        <w:rPr>
          <w:b/>
          <w:color w:val="auto"/>
          <w:highlight w:val="none"/>
        </w:rPr>
      </w:pPr>
      <w:r>
        <w:rPr>
          <w:rFonts w:hint="eastAsia" w:hAnsi="宋体"/>
          <w:b/>
          <w:color w:val="auto"/>
          <w:highlight w:val="none"/>
        </w:rPr>
        <w:t>（二）</w:t>
      </w:r>
      <w:r>
        <w:rPr>
          <w:rFonts w:hint="eastAsia" w:hAnsi="宋体" w:cs="宋体"/>
          <w:b/>
          <w:color w:val="auto"/>
          <w:highlight w:val="none"/>
        </w:rPr>
        <w:t>根据采购项目提出的特</w:t>
      </w:r>
      <w:r>
        <w:rPr>
          <w:rFonts w:hint="eastAsia"/>
          <w:b/>
          <w:color w:val="auto"/>
          <w:highlight w:val="none"/>
        </w:rPr>
        <w:t>殊条件：</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1</w:t>
      </w:r>
      <w:r>
        <w:rPr>
          <w:rFonts w:hAnsi="宋体" w:cs="宋体"/>
          <w:color w:val="auto"/>
          <w:highlight w:val="none"/>
        </w:rPr>
        <w:t>.</w:t>
      </w:r>
      <w:r>
        <w:rPr>
          <w:rFonts w:ascii="宋体" w:hAnsi="宋体" w:eastAsia="宋体" w:cs="宋体"/>
          <w:sz w:val="24"/>
          <w:szCs w:val="24"/>
          <w:highlight w:val="none"/>
        </w:rPr>
        <w:t>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w:t>
      </w:r>
      <w:r>
        <w:rPr>
          <w:rFonts w:hint="eastAsia" w:ascii="宋体" w:hAnsi="宋体" w:cs="宋体"/>
          <w:sz w:val="24"/>
          <w:szCs w:val="24"/>
          <w:highlight w:val="none"/>
          <w:lang w:eastAsia="zh-CN"/>
        </w:rPr>
        <w:t>复印件</w:t>
      </w:r>
      <w:r>
        <w:rPr>
          <w:rFonts w:ascii="宋体" w:hAnsi="宋体" w:eastAsia="宋体" w:cs="宋体"/>
          <w:sz w:val="24"/>
          <w:szCs w:val="24"/>
          <w:highlight w:val="none"/>
        </w:rPr>
        <w:t>。（仅限医疗器械适用）</w:t>
      </w:r>
    </w:p>
    <w:p>
      <w:pPr>
        <w:shd w:val="clear" w:color="auto" w:fill="FFFFFF"/>
        <w:tabs>
          <w:tab w:val="left" w:pos="900"/>
          <w:tab w:val="left" w:pos="5366"/>
        </w:tabs>
        <w:snapToGrid w:val="0"/>
        <w:spacing w:line="360" w:lineRule="auto"/>
        <w:outlineLvl w:val="5"/>
        <w:rPr>
          <w:rFonts w:hAnsi="宋体" w:cs="宋体"/>
          <w:color w:val="auto"/>
          <w:highlight w:val="none"/>
        </w:rPr>
      </w:pPr>
      <w:r>
        <w:rPr>
          <w:rFonts w:hint="eastAsia" w:hAnsi="宋体"/>
          <w:b/>
          <w:color w:val="auto"/>
          <w:highlight w:val="none"/>
        </w:rPr>
        <w:t>（三）其他类似效力要求相关证明材料：</w:t>
      </w:r>
    </w:p>
    <w:p>
      <w:pPr>
        <w:tabs>
          <w:tab w:val="left" w:pos="1134"/>
        </w:tabs>
        <w:spacing w:line="360" w:lineRule="auto"/>
        <w:ind w:firstLine="338" w:firstLineChars="141"/>
        <w:rPr>
          <w:rFonts w:hAnsi="宋体"/>
          <w:bCs/>
          <w:color w:val="auto"/>
          <w:highlight w:val="none"/>
        </w:rPr>
      </w:pPr>
      <w:r>
        <w:rPr>
          <w:rFonts w:hint="eastAsia" w:hAnsi="宋体"/>
          <w:bCs/>
          <w:color w:val="auto"/>
          <w:highlight w:val="none"/>
        </w:rPr>
        <w:t>1.法定代表人身份证复印件或护照复印件［注：①法定代表人身份证复印件（在有效期内、两面均应复印）或护照复印件（法定代表人为外籍人士的，按此提供）；</w:t>
      </w:r>
    </w:p>
    <w:p>
      <w:pPr>
        <w:tabs>
          <w:tab w:val="left" w:pos="1134"/>
        </w:tabs>
        <w:spacing w:line="360" w:lineRule="auto"/>
        <w:ind w:firstLine="338" w:firstLineChars="141"/>
        <w:rPr>
          <w:rFonts w:hAnsi="宋体"/>
          <w:bCs/>
          <w:color w:val="auto"/>
          <w:highlight w:val="none"/>
        </w:rPr>
      </w:pPr>
      <w:r>
        <w:rPr>
          <w:rFonts w:hint="eastAsia" w:hAnsi="宋体"/>
          <w:bCs/>
          <w:color w:val="auto"/>
          <w:highlight w:val="none"/>
        </w:rPr>
        <w:t>2.代理人身份证复印件（身份证两面均应复印）（注：①在有效期内；②由投标人法定代表人签署所有投标文件并参加投标的，则可不提供）。</w:t>
      </w:r>
    </w:p>
    <w:p>
      <w:pPr>
        <w:spacing w:line="360" w:lineRule="auto"/>
        <w:ind w:firstLine="338" w:firstLineChars="141"/>
        <w:rPr>
          <w:rFonts w:hAnsi="宋体"/>
          <w:bCs/>
          <w:color w:val="auto"/>
          <w:highlight w:val="none"/>
        </w:rPr>
      </w:pPr>
      <w:r>
        <w:rPr>
          <w:rFonts w:hint="eastAsia" w:hAnsi="宋体"/>
          <w:bCs/>
          <w:color w:val="auto"/>
          <w:highlight w:val="none"/>
        </w:rPr>
        <w:t>3.法人授权书原件（注：①非法定代表人签署所有投标文件并参加投标的适用；②非独立法人机构提供相应的有授权资格的负责人授权书原件；③其签字或加盖法定代表人私人印章须</w:t>
      </w:r>
      <w:r>
        <w:rPr>
          <w:rFonts w:hint="eastAsia" w:hAnsi="宋体" w:cs="宋体"/>
          <w:color w:val="auto"/>
          <w:highlight w:val="none"/>
        </w:rPr>
        <w:t>与其相对应的身份证明文件[身份证复印件或护照复印件（外籍人士适用）]上姓名一致</w:t>
      </w:r>
      <w:r>
        <w:rPr>
          <w:rStyle w:val="58"/>
          <w:rFonts w:hint="eastAsia"/>
          <w:color w:val="auto"/>
          <w:highlight w:val="none"/>
        </w:rPr>
        <w:t>。）</w:t>
      </w:r>
    </w:p>
    <w:p>
      <w:pPr>
        <w:pStyle w:val="4"/>
        <w:jc w:val="left"/>
        <w:rPr>
          <w:rFonts w:ascii="宋体" w:hAnsi="宋体"/>
          <w:bCs w:val="0"/>
          <w:iCs w:val="0"/>
          <w:color w:val="auto"/>
          <w:sz w:val="24"/>
          <w:szCs w:val="20"/>
          <w:highlight w:val="none"/>
        </w:rPr>
      </w:pPr>
      <w:r>
        <w:rPr>
          <w:rFonts w:hint="eastAsia" w:ascii="宋体" w:hAnsi="宋体"/>
          <w:bCs w:val="0"/>
          <w:iCs w:val="0"/>
          <w:color w:val="auto"/>
          <w:sz w:val="24"/>
          <w:szCs w:val="20"/>
          <w:highlight w:val="none"/>
        </w:rPr>
        <w:t>二、应当提供的投标产品的资格、资质性及其他类似效力要求的相关证明材料</w:t>
      </w:r>
    </w:p>
    <w:p>
      <w:pPr>
        <w:spacing w:line="360" w:lineRule="auto"/>
        <w:ind w:firstLine="470" w:firstLineChars="196"/>
        <w:outlineLvl w:val="5"/>
        <w:rPr>
          <w:rFonts w:hAnsi="宋体"/>
          <w:bCs/>
          <w:color w:val="auto"/>
          <w:highlight w:val="none"/>
        </w:rPr>
      </w:pPr>
      <w:r>
        <w:rPr>
          <w:rFonts w:hAnsi="宋体"/>
          <w:bCs/>
          <w:color w:val="auto"/>
          <w:highlight w:val="none"/>
        </w:rPr>
        <w:t>1.</w:t>
      </w:r>
      <w:r>
        <w:rPr>
          <w:rFonts w:hint="eastAsia" w:hAnsi="宋体"/>
          <w:color w:val="auto"/>
          <w:highlight w:val="none"/>
        </w:rPr>
        <w:t>投标产品需具有符合《医疗器械注册管理办法》等政策法规要求的中华人民共和国医疗器械注册或备案凭证</w:t>
      </w:r>
      <w:r>
        <w:rPr>
          <w:rFonts w:hint="eastAsia" w:hAnsi="宋体"/>
          <w:color w:val="auto"/>
          <w:highlight w:val="none"/>
          <w:lang w:eastAsia="zh-CN"/>
        </w:rPr>
        <w:t>复印件</w:t>
      </w:r>
      <w:r>
        <w:rPr>
          <w:rFonts w:hint="eastAsia" w:hAnsi="宋体"/>
          <w:color w:val="auto"/>
          <w:highlight w:val="none"/>
        </w:rPr>
        <w:t>。（仅限医疗器械适用）</w:t>
      </w:r>
    </w:p>
    <w:p>
      <w:pPr>
        <w:adjustRightInd w:val="0"/>
        <w:snapToGrid w:val="0"/>
        <w:spacing w:line="360" w:lineRule="auto"/>
        <w:ind w:firstLine="442" w:firstLineChars="200"/>
        <w:rPr>
          <w:rFonts w:hAnsi="宋体" w:cs="宋体"/>
          <w:b/>
          <w:color w:val="auto"/>
          <w:sz w:val="22"/>
          <w:highlight w:val="none"/>
        </w:rPr>
      </w:pPr>
      <w:r>
        <w:rPr>
          <w:rFonts w:hint="eastAsia" w:hAnsi="宋体" w:cs="宋体"/>
          <w:b/>
          <w:color w:val="auto"/>
          <w:sz w:val="22"/>
          <w:highlight w:val="none"/>
        </w:rPr>
        <w:t>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adjustRightInd w:val="0"/>
        <w:snapToGrid w:val="0"/>
        <w:spacing w:line="360" w:lineRule="auto"/>
        <w:ind w:firstLine="442" w:firstLineChars="200"/>
        <w:rPr>
          <w:rFonts w:hAnsi="宋体" w:cs="宋体"/>
          <w:b/>
          <w:color w:val="auto"/>
          <w:sz w:val="22"/>
          <w:highlight w:val="none"/>
        </w:rPr>
      </w:pPr>
    </w:p>
    <w:p>
      <w:pPr>
        <w:adjustRightInd w:val="0"/>
        <w:snapToGrid w:val="0"/>
        <w:spacing w:line="360" w:lineRule="auto"/>
        <w:ind w:firstLine="442" w:firstLineChars="200"/>
        <w:rPr>
          <w:rFonts w:hAnsi="宋体" w:cs="宋体"/>
          <w:b/>
          <w:color w:val="auto"/>
          <w:sz w:val="22"/>
          <w:highlight w:val="none"/>
        </w:rPr>
      </w:pPr>
    </w:p>
    <w:p>
      <w:pPr>
        <w:adjustRightInd w:val="0"/>
        <w:snapToGrid w:val="0"/>
        <w:spacing w:line="360" w:lineRule="auto"/>
        <w:ind w:firstLine="442" w:firstLineChars="200"/>
        <w:rPr>
          <w:rFonts w:hAnsi="宋体" w:cs="宋体"/>
          <w:b/>
          <w:color w:val="auto"/>
          <w:sz w:val="22"/>
          <w:highlight w:val="none"/>
        </w:rPr>
      </w:pPr>
    </w:p>
    <w:p>
      <w:pPr>
        <w:pStyle w:val="3"/>
        <w:rPr>
          <w:rFonts w:hAnsi="宋体"/>
          <w:color w:val="auto"/>
          <w:sz w:val="24"/>
          <w:szCs w:val="24"/>
          <w:highlight w:val="none"/>
        </w:rPr>
      </w:pPr>
      <w:bookmarkStart w:id="162" w:name="_Toc217446093"/>
      <w:bookmarkStart w:id="163" w:name="_Toc7890"/>
      <w:bookmarkStart w:id="164" w:name="_Toc20583"/>
      <w:bookmarkStart w:id="165" w:name="_Toc20281"/>
      <w:r>
        <w:rPr>
          <w:rFonts w:hint="eastAsia"/>
          <w:color w:val="auto"/>
          <w:highlight w:val="none"/>
        </w:rPr>
        <w:t xml:space="preserve">第六章 </w:t>
      </w:r>
      <w:bookmarkEnd w:id="162"/>
      <w:bookmarkEnd w:id="163"/>
      <w:bookmarkEnd w:id="164"/>
      <w:bookmarkStart w:id="166" w:name="_Toc217446094"/>
      <w:r>
        <w:rPr>
          <w:rFonts w:hint="eastAsia"/>
          <w:color w:val="auto"/>
          <w:highlight w:val="none"/>
        </w:rPr>
        <w:t>本项目技术、服务、政府采购履约主要条款及其他要求条款</w:t>
      </w:r>
      <w:bookmarkEnd w:id="165"/>
    </w:p>
    <w:bookmarkEnd w:id="166"/>
    <w:p>
      <w:pPr>
        <w:pStyle w:val="2"/>
        <w:rPr>
          <w:rFonts w:hAnsi="宋体"/>
          <w:b/>
          <w:color w:val="auto"/>
          <w:sz w:val="24"/>
          <w:highlight w:val="none"/>
        </w:rPr>
      </w:pPr>
      <w:bookmarkStart w:id="167" w:name="_Toc572"/>
      <w:bookmarkStart w:id="168" w:name="_Toc217446096"/>
      <w:bookmarkStart w:id="169" w:name="_Toc10567"/>
      <w:bookmarkStart w:id="170" w:name="_Toc13409"/>
      <w:r>
        <w:rPr>
          <w:rFonts w:hAnsi="宋体"/>
          <w:b/>
          <w:color w:val="auto"/>
          <w:sz w:val="24"/>
          <w:highlight w:val="none"/>
        </w:rPr>
        <w:t>第一部分</w:t>
      </w:r>
      <w:r>
        <w:rPr>
          <w:rFonts w:hint="eastAsia" w:hAnsi="宋体"/>
          <w:b/>
          <w:color w:val="auto"/>
          <w:sz w:val="24"/>
          <w:highlight w:val="none"/>
        </w:rPr>
        <w:t>：项目清单及限价</w:t>
      </w:r>
    </w:p>
    <w:tbl>
      <w:tblPr>
        <w:tblStyle w:val="4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21"/>
        <w:gridCol w:w="1389"/>
        <w:gridCol w:w="1320"/>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4" w:type="dxa"/>
            <w:noWrap/>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序号</w:t>
            </w:r>
          </w:p>
        </w:tc>
        <w:tc>
          <w:tcPr>
            <w:tcW w:w="2121" w:type="dxa"/>
            <w:noWrap/>
            <w:vAlign w:val="center"/>
          </w:tcPr>
          <w:p>
            <w:pPr>
              <w:jc w:val="center"/>
              <w:rPr>
                <w:rFonts w:ascii="宋体" w:hAnsi="宋体" w:cs="宋体"/>
                <w:b/>
                <w:color w:val="auto"/>
                <w:highlight w:val="none"/>
              </w:rPr>
            </w:pPr>
            <w:r>
              <w:rPr>
                <w:rFonts w:hint="eastAsia" w:ascii="宋体" w:hAnsi="宋体" w:cs="宋体"/>
                <w:b/>
                <w:color w:val="auto"/>
                <w:highlight w:val="none"/>
              </w:rPr>
              <w:t>产品名称</w:t>
            </w:r>
          </w:p>
        </w:tc>
        <w:tc>
          <w:tcPr>
            <w:tcW w:w="1389" w:type="dxa"/>
            <w:noWrap/>
            <w:vAlign w:val="center"/>
          </w:tcPr>
          <w:p>
            <w:pPr>
              <w:jc w:val="center"/>
              <w:rPr>
                <w:rFonts w:ascii="宋体" w:hAnsi="宋体" w:cs="宋体"/>
                <w:b/>
                <w:color w:val="auto"/>
                <w:highlight w:val="none"/>
              </w:rPr>
            </w:pPr>
            <w:r>
              <w:rPr>
                <w:rFonts w:hint="eastAsia" w:ascii="宋体" w:hAnsi="宋体" w:cs="宋体"/>
                <w:b/>
                <w:color w:val="auto"/>
                <w:highlight w:val="none"/>
              </w:rPr>
              <w:t>采购数量（项/台/套）</w:t>
            </w:r>
          </w:p>
        </w:tc>
        <w:tc>
          <w:tcPr>
            <w:tcW w:w="1320" w:type="dxa"/>
            <w:noWrap/>
            <w:vAlign w:val="center"/>
          </w:tcPr>
          <w:p>
            <w:pPr>
              <w:jc w:val="center"/>
              <w:rPr>
                <w:rFonts w:ascii="宋体" w:hAnsi="宋体" w:cs="宋体"/>
                <w:b/>
                <w:color w:val="auto"/>
                <w:highlight w:val="none"/>
              </w:rPr>
            </w:pPr>
            <w:r>
              <w:rPr>
                <w:rFonts w:hint="eastAsia" w:ascii="宋体" w:hAnsi="宋体" w:cs="宋体"/>
                <w:b/>
                <w:color w:val="auto"/>
                <w:highlight w:val="none"/>
              </w:rPr>
              <w:t>最高限价（万元）</w:t>
            </w:r>
          </w:p>
        </w:tc>
        <w:tc>
          <w:tcPr>
            <w:tcW w:w="2722" w:type="dxa"/>
            <w:noWrap/>
            <w:vAlign w:val="center"/>
          </w:tcPr>
          <w:p>
            <w:pPr>
              <w:jc w:val="center"/>
              <w:rPr>
                <w:rFonts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4" w:type="dxa"/>
            <w:noWrap/>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w:t>
            </w:r>
          </w:p>
        </w:tc>
        <w:tc>
          <w:tcPr>
            <w:tcW w:w="2121" w:type="dxa"/>
            <w:noWrap/>
            <w:vAlign w:val="center"/>
          </w:tcPr>
          <w:p>
            <w:pPr>
              <w:jc w:val="center"/>
              <w:rPr>
                <w:color w:val="auto"/>
                <w:highlight w:val="none"/>
              </w:rPr>
            </w:pPr>
            <w:r>
              <w:rPr>
                <w:rFonts w:hint="eastAsia"/>
                <w:color w:val="auto"/>
                <w:highlight w:val="none"/>
              </w:rPr>
              <w:t xml:space="preserve">▲单光子发射断层扫描装置 (SPECT) </w:t>
            </w:r>
          </w:p>
        </w:tc>
        <w:tc>
          <w:tcPr>
            <w:tcW w:w="1389" w:type="dxa"/>
            <w:noWrap/>
            <w:vAlign w:val="center"/>
          </w:tcPr>
          <w:p>
            <w:pPr>
              <w:jc w:val="center"/>
              <w:rPr>
                <w:color w:val="auto"/>
                <w:highlight w:val="none"/>
              </w:rPr>
            </w:pPr>
            <w:r>
              <w:rPr>
                <w:rFonts w:hint="eastAsia"/>
                <w:color w:val="auto"/>
                <w:highlight w:val="none"/>
              </w:rPr>
              <w:t>1</w:t>
            </w:r>
          </w:p>
        </w:tc>
        <w:tc>
          <w:tcPr>
            <w:tcW w:w="1320" w:type="dxa"/>
            <w:noWrap/>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450</w:t>
            </w:r>
          </w:p>
        </w:tc>
        <w:tc>
          <w:tcPr>
            <w:tcW w:w="2722" w:type="dxa"/>
            <w:noWrap/>
            <w:vAlign w:val="center"/>
          </w:tcPr>
          <w:p>
            <w:pPr>
              <w:jc w:val="center"/>
              <w:rPr>
                <w:color w:val="auto"/>
                <w:highlight w:val="none"/>
              </w:rPr>
            </w:pPr>
            <w:r>
              <w:rPr>
                <w:rFonts w:hint="eastAsia" w:ascii="宋体" w:hAnsi="宋体" w:cs="宋体"/>
                <w:color w:val="auto"/>
                <w:highlight w:val="none"/>
              </w:rPr>
              <w:t>允许进口产品参与</w:t>
            </w:r>
          </w:p>
        </w:tc>
      </w:tr>
    </w:tbl>
    <w:p>
      <w:pPr>
        <w:pStyle w:val="2"/>
        <w:rPr>
          <w:rFonts w:hAnsi="宋体"/>
          <w:b/>
          <w:color w:val="auto"/>
          <w:highlight w:val="none"/>
        </w:rPr>
      </w:pPr>
    </w:p>
    <w:p>
      <w:pPr>
        <w:pStyle w:val="2"/>
        <w:rPr>
          <w:rFonts w:ascii="宋体" w:hAnsi="宋体"/>
          <w:color w:val="auto"/>
          <w:kern w:val="0"/>
          <w:sz w:val="24"/>
          <w:highlight w:val="none"/>
        </w:rPr>
      </w:pPr>
      <w:r>
        <w:rPr>
          <w:rFonts w:hint="eastAsia" w:ascii="宋体" w:hAnsi="宋体"/>
          <w:color w:val="auto"/>
          <w:kern w:val="0"/>
          <w:sz w:val="24"/>
          <w:highlight w:val="none"/>
        </w:rPr>
        <w:t>注：上述清单里标注了▲号的设备主机或主体（不含配套、配置设备设施）为核心产品。</w:t>
      </w:r>
    </w:p>
    <w:p>
      <w:pPr>
        <w:pStyle w:val="2"/>
        <w:rPr>
          <w:rFonts w:ascii="宋体" w:hAnsi="宋体"/>
          <w:color w:val="auto"/>
          <w:kern w:val="0"/>
          <w:sz w:val="24"/>
          <w:highlight w:val="none"/>
        </w:rPr>
      </w:pPr>
    </w:p>
    <w:p>
      <w:pPr>
        <w:pStyle w:val="2"/>
        <w:rPr>
          <w:rFonts w:hint="eastAsia" w:hAnsi="宋体"/>
          <w:b/>
          <w:color w:val="auto"/>
          <w:sz w:val="24"/>
          <w:highlight w:val="none"/>
        </w:rPr>
      </w:pPr>
      <w:r>
        <w:rPr>
          <w:rFonts w:hAnsi="宋体"/>
          <w:b/>
          <w:color w:val="auto"/>
          <w:sz w:val="24"/>
          <w:highlight w:val="none"/>
        </w:rPr>
        <w:t>第二部分</w:t>
      </w:r>
      <w:r>
        <w:rPr>
          <w:rFonts w:hint="eastAsia" w:hAnsi="宋体"/>
          <w:b/>
          <w:color w:val="auto"/>
          <w:sz w:val="24"/>
          <w:highlight w:val="none"/>
        </w:rPr>
        <w:t>：项目技术指标</w:t>
      </w:r>
    </w:p>
    <w:p>
      <w:pPr>
        <w:numPr>
          <w:ilvl w:val="0"/>
          <w:numId w:val="5"/>
        </w:numPr>
        <w:spacing w:line="360" w:lineRule="auto"/>
        <w:rPr>
          <w:rFonts w:ascii="Arial" w:hAnsi="宋体" w:cs="Arial"/>
          <w:b/>
          <w:sz w:val="22"/>
          <w:highlight w:val="none"/>
        </w:rPr>
      </w:pPr>
      <w:r>
        <w:rPr>
          <w:rFonts w:hint="eastAsia" w:ascii="宋体" w:hAnsi="宋体" w:eastAsia="宋体" w:cs="宋体"/>
          <w:b/>
          <w:bCs/>
          <w:color w:val="auto"/>
          <w:sz w:val="24"/>
          <w:szCs w:val="24"/>
          <w:highlight w:val="none"/>
        </w:rPr>
        <w:t xml:space="preserve">单光子发射断层扫描装置 (SPECT) </w:t>
      </w:r>
      <w:r>
        <w:rPr>
          <w:rFonts w:hint="eastAsia" w:ascii="仿宋_GB2312" w:hAnsi="仿宋_GB2312" w:eastAsia="仿宋_GB2312"/>
          <w:sz w:val="28"/>
          <w:highlight w:val="none"/>
        </w:rPr>
        <w:t xml:space="preserve">        </w:t>
      </w:r>
    </w:p>
    <w:p>
      <w:pPr>
        <w:jc w:val="center"/>
        <w:rPr>
          <w:rFonts w:ascii="Arial" w:hAnsi="宋体" w:cs="Arial"/>
          <w:b/>
          <w:sz w:val="22"/>
          <w:highlight w:val="none"/>
        </w:rPr>
      </w:pPr>
    </w:p>
    <w:tbl>
      <w:tblPr>
        <w:tblStyle w:val="46"/>
        <w:tblW w:w="5277"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3151"/>
        <w:gridCol w:w="528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302" w:type="pct"/>
            <w:gridSpan w:val="2"/>
            <w:noWrap w:val="0"/>
            <w:vAlign w:val="center"/>
          </w:tcPr>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性能指标与要求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双探头、可变角、全数字化、矩形</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真正矩形视野</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≥380 mm×500 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晶体厚度</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碘化钠晶体, 3/8英寸</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光电倍增管数</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≥59个/探头</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模/数转换</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每个光电倍增管后接单独数字模拟转换器(1ADC/PMT)</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探头性能</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606" w:type="pct"/>
            <w:noWrap w:val="0"/>
            <w:vAlign w:val="center"/>
          </w:tcPr>
          <w:p>
            <w:pPr>
              <w:spacing w:line="360" w:lineRule="auto"/>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最大计数率</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≥460 kcps</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能量范围</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 KeV－580 KeV</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固有能量分辨率</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≤9.9 %</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固有空间分辨率</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≤3.8 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固有空间线性</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≤0.2 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均匀性</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≤3.8 %</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系统分辨率（低能高分辨型准直器，FWHM）</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7.5 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r>
              <w:rPr>
                <w:rFonts w:hint="eastAsia" w:ascii="宋体" w:hAnsi="宋体" w:eastAsia="宋体" w:cs="宋体"/>
                <w:b/>
                <w:bCs/>
                <w:color w:val="auto"/>
                <w:kern w:val="0"/>
                <w:sz w:val="24"/>
                <w:szCs w:val="24"/>
                <w:highlight w:val="none"/>
                <w:lang w:val="en-US" w:eastAsia="zh-CN"/>
              </w:rPr>
              <w:t>★</w:t>
            </w:r>
          </w:p>
        </w:tc>
        <w:tc>
          <w:tcPr>
            <w:tcW w:w="4302" w:type="pct"/>
            <w:gridSpan w:val="2"/>
            <w:tcBorders>
              <w:right w:val="single" w:color="auto" w:sz="4" w:space="0"/>
            </w:tcBorders>
            <w:noWrap w:val="0"/>
            <w:vAlign w:val="center"/>
          </w:tcPr>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提供高级3D重建技术(</w:t>
            </w:r>
            <w:r>
              <w:rPr>
                <w:rFonts w:hint="eastAsia" w:ascii="宋体" w:hAnsi="宋体" w:eastAsia="宋体" w:cs="宋体"/>
                <w:color w:val="auto"/>
                <w:kern w:val="0"/>
                <w:sz w:val="24"/>
                <w:szCs w:val="24"/>
                <w:highlight w:val="none"/>
                <w:lang w:eastAsia="zh-CN"/>
              </w:rPr>
              <w:t>其技术水平等同或优于Flash3D或Evolution技术</w:t>
            </w:r>
            <w:r>
              <w:rPr>
                <w:rFonts w:hint="eastAsia" w:ascii="宋体" w:hAnsi="宋体" w:eastAsia="宋体" w:cs="宋体"/>
                <w:color w:val="auto"/>
                <w:kern w:val="0"/>
                <w:sz w:val="24"/>
                <w:szCs w:val="24"/>
                <w:highlight w:val="none"/>
              </w:rPr>
              <w:t>)分辨率（低能高分辨型准直器）</w:t>
            </w:r>
            <w:r>
              <w:rPr>
                <w:rFonts w:hint="eastAsia" w:ascii="宋体" w:hAnsi="宋体" w:eastAsia="宋体" w:cs="宋体"/>
                <w:color w:val="auto"/>
                <w:sz w:val="24"/>
                <w:szCs w:val="24"/>
                <w:highlight w:val="none"/>
              </w:rPr>
              <w:t>Reconstructed spatial resolution with scatter (LEHR)</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w:t>
            </w:r>
          </w:p>
        </w:tc>
        <w:tc>
          <w:tcPr>
            <w:tcW w:w="2695" w:type="pct"/>
            <w:tcBorders>
              <w:right w:val="single" w:color="auto" w:sz="4" w:space="0"/>
            </w:tcBorders>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5.8mm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径向</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5.0mm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切向</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4.1mm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系统灵敏度</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1.2.9.1</w:t>
            </w:r>
            <w:r>
              <w:rPr>
                <w:rFonts w:hint="eastAsia" w:ascii="宋体" w:hAnsi="宋体" w:eastAsia="宋体" w:cs="宋体"/>
                <w:b/>
                <w:bCs/>
                <w:color w:val="auto"/>
                <w:kern w:val="0"/>
                <w:sz w:val="24"/>
                <w:szCs w:val="24"/>
                <w:highlight w:val="none"/>
                <w:lang w:val="en-US" w:eastAsia="zh-CN"/>
              </w:rPr>
              <w:t>★</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系统灵敏度（低能高分辨型LEHR准直器10cm处，间壁透射率≤1.5%）</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≥202cpm/uCi </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1.2.9.2</w:t>
            </w:r>
            <w:r>
              <w:rPr>
                <w:rFonts w:hint="eastAsia" w:ascii="宋体" w:hAnsi="宋体" w:eastAsia="宋体" w:cs="宋体"/>
                <w:b/>
                <w:bCs/>
                <w:color w:val="auto"/>
                <w:kern w:val="0"/>
                <w:sz w:val="24"/>
                <w:szCs w:val="24"/>
                <w:highlight w:val="none"/>
                <w:lang w:val="en-US" w:eastAsia="zh-CN"/>
              </w:rPr>
              <w:t>★</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系统灵敏度(高能通用准直器10cm处)</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≥135cpm/uci</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质控非能量依赖性</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可用同一种核素进行全能量均匀性校正(从锝99到碘131)</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Whole-body采集的最大采集矩阵</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512*1024</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开放型机架</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病人安全保护装置</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探头全自动归位功能</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r>
              <w:rPr>
                <w:rFonts w:hint="eastAsia" w:ascii="宋体" w:hAnsi="宋体" w:eastAsia="宋体" w:cs="宋体"/>
                <w:b/>
                <w:bCs/>
                <w:color w:val="auto"/>
                <w:kern w:val="0"/>
                <w:sz w:val="24"/>
                <w:szCs w:val="24"/>
                <w:highlight w:val="none"/>
                <w:lang w:val="en-US" w:eastAsia="zh-CN"/>
              </w:rPr>
              <w:t>★</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双探头76度角心脏成像系统</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606" w:type="pct"/>
            <w:noWrap w:val="0"/>
            <w:vAlign w:val="top"/>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探头具备头尾角倾斜功能，Z轴方向的倾斜</w:t>
            </w:r>
          </w:p>
        </w:tc>
        <w:tc>
          <w:tcPr>
            <w:tcW w:w="2695" w:type="pct"/>
            <w:noWrap w:val="0"/>
            <w:vAlign w:val="top"/>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有，倾斜角度≥±16°</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探头旋转角度范围</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540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具有红外线全身轮廓自动跟踪系统</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探头到人体的最小距 离≤1.2cm</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两探头夹角在180度、90度、76度时均能实时全自动人体轮廓跟踪采集</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探头侧向移动</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具备，左/右：37.5cm / 10cm</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手控盒</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机架上配有液晶控制触摸屏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内置式质控点源支架</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具备</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机架最大孔径</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100 cm</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机架旋转精度</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≤0.1°</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SPECT断层采集最小步进值(Step and shoot)</w:t>
            </w:r>
          </w:p>
        </w:tc>
        <w:tc>
          <w:tcPr>
            <w:tcW w:w="2695" w:type="pct"/>
            <w:noWrap w:val="0"/>
            <w:vAlign w:val="center"/>
          </w:tcPr>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两探头行90度夹角(L-Mode)断层扫描时可支持的准直器种类</w:t>
            </w:r>
          </w:p>
        </w:tc>
        <w:tc>
          <w:tcPr>
            <w:tcW w:w="2695" w:type="pct"/>
            <w:noWrap w:val="0"/>
            <w:vAlign w:val="center"/>
          </w:tcPr>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提供（Datasheet）</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低能高分辨准直器</w:t>
            </w:r>
          </w:p>
        </w:tc>
        <w:tc>
          <w:tcPr>
            <w:tcW w:w="2695" w:type="pct"/>
            <w:noWrap w:val="0"/>
            <w:vAlign w:val="center"/>
          </w:tcPr>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提供支持</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高能准直器</w:t>
            </w:r>
          </w:p>
        </w:tc>
        <w:tc>
          <w:tcPr>
            <w:tcW w:w="2695" w:type="pct"/>
            <w:noWrap w:val="0"/>
            <w:vAlign w:val="center"/>
          </w:tcPr>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提供支持</w:t>
            </w:r>
            <w:r>
              <w:rPr>
                <w:rFonts w:hint="eastAsia" w:ascii="宋体" w:hAnsi="宋体" w:eastAsia="宋体" w:cs="宋体"/>
                <w:color w:val="auto"/>
                <w:kern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双探头断层采集角度</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≥3种角度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旋转中心误差</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0.25 象素点</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19</w:t>
            </w:r>
          </w:p>
        </w:tc>
        <w:tc>
          <w:tcPr>
            <w:tcW w:w="1606" w:type="pct"/>
            <w:noWrap w:val="0"/>
            <w:vAlign w:val="top"/>
          </w:tcPr>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180 度模式下双探头之间最小距离（带</w:t>
            </w:r>
          </w:p>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LEHR 准直器情况下）</w:t>
            </w:r>
          </w:p>
        </w:tc>
        <w:tc>
          <w:tcPr>
            <w:tcW w:w="2695" w:type="pct"/>
            <w:noWrap w:val="0"/>
            <w:vAlign w:val="top"/>
          </w:tcPr>
          <w:p>
            <w:pPr>
              <w:pStyle w:val="73"/>
              <w:spacing w:before="163"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≤19.5cm。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1606" w:type="pct"/>
            <w:noWrap w:val="0"/>
            <w:vAlign w:val="top"/>
          </w:tcPr>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180 度模式下双探头之间最大距离（带</w:t>
            </w:r>
          </w:p>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LEHR 准直器情况下）</w:t>
            </w:r>
          </w:p>
        </w:tc>
        <w:tc>
          <w:tcPr>
            <w:tcW w:w="2695" w:type="pct"/>
            <w:noWrap w:val="0"/>
            <w:vAlign w:val="top"/>
          </w:tcPr>
          <w:p>
            <w:pPr>
              <w:pStyle w:val="73"/>
              <w:spacing w:before="163"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≥72cm。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1</w:t>
            </w:r>
          </w:p>
        </w:tc>
        <w:tc>
          <w:tcPr>
            <w:tcW w:w="1606" w:type="pct"/>
            <w:noWrap w:val="0"/>
            <w:vAlign w:val="top"/>
          </w:tcPr>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180 度模式下双探头之间最小距离（带</w:t>
            </w:r>
          </w:p>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HE 准直器情况下）</w:t>
            </w:r>
          </w:p>
        </w:tc>
        <w:tc>
          <w:tcPr>
            <w:tcW w:w="2695" w:type="pct"/>
            <w:noWrap w:val="0"/>
            <w:vAlign w:val="top"/>
          </w:tcPr>
          <w:p>
            <w:pPr>
              <w:pStyle w:val="73"/>
              <w:spacing w:before="163"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≤12cm。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2</w:t>
            </w:r>
          </w:p>
        </w:tc>
        <w:tc>
          <w:tcPr>
            <w:tcW w:w="1606" w:type="pct"/>
            <w:noWrap w:val="0"/>
            <w:vAlign w:val="top"/>
          </w:tcPr>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180 度模式下双探头之间最大距离（带</w:t>
            </w:r>
          </w:p>
          <w:p>
            <w:pPr>
              <w:pStyle w:val="73"/>
              <w:spacing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HE 准直器情况下）</w:t>
            </w:r>
          </w:p>
        </w:tc>
        <w:tc>
          <w:tcPr>
            <w:tcW w:w="2695" w:type="pct"/>
            <w:noWrap w:val="0"/>
            <w:vAlign w:val="top"/>
          </w:tcPr>
          <w:p>
            <w:pPr>
              <w:pStyle w:val="73"/>
              <w:spacing w:before="163" w:line="360" w:lineRule="auto"/>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≥65cm。</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检查床</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可完成全身及断层扫描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承重≥225kg</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检查床材料</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铝</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检查床板厚度</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≤3mm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床板衰减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头托及心脏检查专用臂托</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bookmarkStart w:id="171" w:name="OLE_LINK4" w:colFirst="2" w:colLast="3"/>
            <w:bookmarkStart w:id="172" w:name="OLE_LINK3" w:colFirst="2" w:colLast="3"/>
            <w:bookmarkStart w:id="173" w:name="_Hlk444246150"/>
            <w:r>
              <w:rPr>
                <w:rFonts w:hint="eastAsia" w:ascii="宋体" w:hAnsi="宋体" w:eastAsia="宋体" w:cs="宋体"/>
                <w:color w:val="auto"/>
                <w:sz w:val="24"/>
                <w:szCs w:val="24"/>
                <w:highlight w:val="none"/>
              </w:rPr>
              <w:t>3.6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最大全身扫描范围</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200cm</w:t>
            </w:r>
            <w:r>
              <w:rPr>
                <w:rFonts w:hint="eastAsia" w:ascii="宋体" w:hAnsi="宋体" w:eastAsia="宋体" w:cs="宋体"/>
                <w:color w:val="auto"/>
                <w:kern w:val="0"/>
                <w:sz w:val="24"/>
                <w:szCs w:val="24"/>
                <w:highlight w:val="none"/>
                <w:lang w:eastAsia="zh-CN"/>
              </w:rPr>
              <w:t>。</w:t>
            </w:r>
          </w:p>
        </w:tc>
      </w:tr>
      <w:bookmarkEnd w:id="171"/>
      <w:bookmarkEnd w:id="172"/>
      <w:bookmarkEnd w:id="173"/>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b/>
                <w:bCs/>
                <w:color w:val="auto"/>
                <w:kern w:val="0"/>
                <w:sz w:val="24"/>
                <w:szCs w:val="24"/>
                <w:highlight w:val="none"/>
                <w:lang w:val="en-US" w:eastAsia="zh-CN"/>
              </w:rPr>
              <w:t>★</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扫描床最低的高度</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≤55cm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扫描床最高的高度</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≥103cm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后端床板联动支持宽度</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≥26cm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p>
        </w:tc>
        <w:tc>
          <w:tcPr>
            <w:tcW w:w="1606" w:type="pct"/>
            <w:noWrap w:val="0"/>
            <w:vAlign w:val="top"/>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后端床板联动支持长度</w:t>
            </w:r>
          </w:p>
        </w:tc>
        <w:tc>
          <w:tcPr>
            <w:tcW w:w="2695" w:type="pct"/>
            <w:noWrap w:val="0"/>
            <w:vAlign w:val="top"/>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≥100cm</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准直器</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准直器车</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每个准直器车上可放置两对准直器，单次操作可以完成探头上准直器的卸下及新准直器的安装</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准直器更换易用性</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更换准直器时，无需移或转动扫描床。</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低能高分辨型准直器</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1对，六角形孔，每个准直器的孔数目大于140000个</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低能高分辨型准直器重量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≤25kg/个</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b/>
                <w:bCs/>
                <w:color w:val="auto"/>
                <w:kern w:val="0"/>
                <w:sz w:val="24"/>
                <w:szCs w:val="24"/>
                <w:highlight w:val="none"/>
                <w:lang w:val="en-US" w:eastAsia="zh-CN"/>
              </w:rPr>
              <w:t>★</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高能通用型准直器</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1对,准直器孔数不小于8000个（提供原厂datasheet）</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高能通用型准直器重量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≤125kg/个</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采集工作站</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一台</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工作站性能</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时钟频率&gt;3.2GHz</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内存≥4GB</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存储硬盘</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硬盘≥500GB</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≥19”液晶显示器</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刻录设备</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DVD-RW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10/100/1000M自适应网卡</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原厂</w:t>
            </w:r>
            <w:r>
              <w:rPr>
                <w:rFonts w:hint="eastAsia" w:ascii="宋体" w:hAnsi="宋体" w:eastAsia="宋体" w:cs="宋体"/>
                <w:color w:val="auto"/>
                <w:sz w:val="24"/>
                <w:szCs w:val="24"/>
                <w:highlight w:val="none"/>
              </w:rPr>
              <w:t>处理工作站</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一台</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工作站性能</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时钟频率&gt;3.2GHz</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内存≥8GB</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存储硬盘</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硬盘≥500GB</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≥19”液晶显示器</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刻录设备</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DVD-RW </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10/100/1000M自适应网卡</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多学科浏览工作站界面</w:t>
            </w:r>
          </w:p>
        </w:tc>
        <w:tc>
          <w:tcPr>
            <w:tcW w:w="2695" w:type="pct"/>
            <w:noWrap w:val="0"/>
            <w:vAlign w:val="center"/>
          </w:tcPr>
          <w:p>
            <w:pPr>
              <w:pStyle w:val="16"/>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可连接</w:t>
            </w:r>
            <w:r>
              <w:rPr>
                <w:rFonts w:hint="eastAsia" w:ascii="宋体" w:hAnsi="宋体" w:eastAsia="宋体" w:cs="宋体"/>
                <w:color w:val="auto"/>
                <w:sz w:val="24"/>
                <w:szCs w:val="24"/>
                <w:highlight w:val="none"/>
                <w:lang w:eastAsia="zh-CN"/>
              </w:rPr>
              <w:t>采购人现有</w:t>
            </w:r>
            <w:r>
              <w:rPr>
                <w:rFonts w:hint="eastAsia" w:ascii="宋体" w:hAnsi="宋体" w:eastAsia="宋体" w:cs="宋体"/>
                <w:color w:val="auto"/>
                <w:sz w:val="24"/>
                <w:szCs w:val="24"/>
                <w:highlight w:val="none"/>
              </w:rPr>
              <w:t>CT、MR系统，工作站可直接浏览CT、MR输出的DICOM格式图像，可与本院HIS，RIS，PACS系统连接</w:t>
            </w:r>
            <w:r>
              <w:rPr>
                <w:rFonts w:hint="eastAsia" w:ascii="宋体" w:hAnsi="宋体" w:eastAsia="宋体" w:cs="宋体"/>
                <w:color w:val="auto"/>
                <w:sz w:val="24"/>
                <w:szCs w:val="24"/>
                <w:highlight w:val="none"/>
                <w:lang w:eastAsia="zh-CN"/>
              </w:rPr>
              <w:t>，费用包含在总价内。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5.2.8</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DICOM 3.0网络接口</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具有打印/存储/多机连接服务功能</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采集软件</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静态平面</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断层显像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门控平面显像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门控断层</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全身扫描显像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全身断层</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.8</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动态断层显像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处理软件</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通用图像显示及分析功能</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临床肾脏功能分析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静态图像显示</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肾有效肾血浆流量分析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肾小球滤过率分析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肾灌注分析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各器官或系统的断层显像</w:t>
            </w:r>
          </w:p>
        </w:tc>
        <w:tc>
          <w:tcPr>
            <w:tcW w:w="2695" w:type="pct"/>
            <w:noWrap w:val="0"/>
            <w:vAlign w:val="center"/>
          </w:tcPr>
          <w:p>
            <w:pPr>
              <w:spacing w:line="360" w:lineRule="auto"/>
              <w:jc w:val="left"/>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骨骼常规分析及图像的显示处理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全身骨骼图像显示分析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骨断层显像分析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肝脏图像的显示处理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肝血流定量分析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肺脏图像的显示处理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肺通气/灌注分析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.3.8</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肺左右摄取率定量分析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.3.9</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全身显像的显示处理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.3.10</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甲状腺显像的显示处理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.3.11</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甲状腺定量和重量分析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.3.12</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甲状腺摄取定量分析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.3.13</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肝胆系统图像的显示处理</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胆囊胆汁排放分析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食道，胃肠功能分析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食道通过时间分析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.3.17</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食道反流显示和分析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.3.18</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胃排空分析</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全身骨断层软件</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可进行多视野连续采集及电影回放，检查床自动移动而无需操作者调节</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图像重建</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可由用户指定参数的滤波反投影重建，和由用户指定参数的迭代重建法</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c>
          <w:tcPr>
            <w:tcW w:w="1606" w:type="pct"/>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曲线及图像运算</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97" w:type="pct"/>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1606" w:type="pct"/>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（实质性要求）</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kern w:val="0"/>
                <w:sz w:val="24"/>
                <w:szCs w:val="24"/>
                <w:highlight w:val="none"/>
              </w:rPr>
              <w:t>异机</w:t>
            </w:r>
            <w:r>
              <w:rPr>
                <w:rFonts w:hint="eastAsia" w:ascii="宋体" w:hAnsi="宋体" w:eastAsia="宋体" w:cs="宋体"/>
                <w:color w:val="auto"/>
                <w:kern w:val="0"/>
                <w:sz w:val="24"/>
                <w:szCs w:val="24"/>
                <w:highlight w:val="none"/>
                <w:lang w:val="en-US" w:eastAsia="zh-CN"/>
              </w:rPr>
              <w:t>CT</w:t>
            </w:r>
            <w:r>
              <w:rPr>
                <w:rFonts w:hint="eastAsia" w:ascii="宋体" w:hAnsi="宋体" w:eastAsia="宋体" w:cs="宋体"/>
                <w:color w:val="auto"/>
                <w:kern w:val="0"/>
                <w:sz w:val="24"/>
                <w:szCs w:val="24"/>
                <w:highlight w:val="none"/>
              </w:rPr>
              <w:t>融合</w:t>
            </w:r>
            <w:r>
              <w:rPr>
                <w:rFonts w:hint="eastAsia" w:ascii="宋体" w:hAnsi="宋体" w:eastAsia="宋体" w:cs="宋体"/>
                <w:color w:val="auto"/>
                <w:kern w:val="0"/>
                <w:sz w:val="24"/>
                <w:szCs w:val="24"/>
                <w:highlight w:val="none"/>
                <w:lang w:val="en-US" w:eastAsia="zh-CN"/>
              </w:rPr>
              <w:t>图像对比技术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各CT机型均可兼容</w:t>
            </w:r>
          </w:p>
        </w:tc>
        <w:tc>
          <w:tcPr>
            <w:tcW w:w="2695" w:type="pct"/>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其他硬件</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.1</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铅放射性废物垃圾桶</w:t>
            </w:r>
          </w:p>
        </w:tc>
        <w:tc>
          <w:tcPr>
            <w:tcW w:w="2695"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规格尺寸根据采购人需求定制。</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.2</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报告工作站</w:t>
            </w:r>
          </w:p>
        </w:tc>
        <w:tc>
          <w:tcPr>
            <w:tcW w:w="2695" w:type="pct"/>
            <w:noWrap w:val="0"/>
            <w:vAlign w:val="top"/>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9.3</w:t>
            </w:r>
          </w:p>
        </w:tc>
        <w:tc>
          <w:tcPr>
            <w:tcW w:w="1606" w:type="pct"/>
            <w:noWrap w:val="0"/>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除湿机</w:t>
            </w:r>
          </w:p>
        </w:tc>
        <w:tc>
          <w:tcPr>
            <w:tcW w:w="2695" w:type="pct"/>
            <w:noWrap w:val="0"/>
            <w:vAlign w:val="top"/>
          </w:tcPr>
          <w:p>
            <w:pPr>
              <w:widowControl/>
              <w:spacing w:line="360" w:lineRule="auto"/>
              <w:jc w:val="left"/>
              <w:rPr>
                <w:rFonts w:hint="default" w:ascii="宋体" w:hAnsi="宋体" w:eastAsia="宋体" w:cs="宋体"/>
                <w:color w:val="auto"/>
                <w:kern w:val="0"/>
                <w:sz w:val="24"/>
                <w:szCs w:val="24"/>
                <w:highlight w:val="none"/>
                <w:lang w:val="en-US" w:eastAsia="zh-CN"/>
              </w:rPr>
            </w:pPr>
            <w:r>
              <w:rPr>
                <w:rFonts w:hint="eastAsia"/>
              </w:rPr>
              <w:t>适用面积35平方米</w:t>
            </w:r>
            <w:r>
              <w:rPr>
                <w:rFonts w:hint="eastAsia"/>
                <w:lang w:eastAsia="zh-CN"/>
              </w:rPr>
              <w:t>，</w:t>
            </w:r>
            <w:r>
              <w:rPr>
                <w:rFonts w:hint="eastAsia"/>
                <w:lang w:val="en-US" w:eastAsia="zh-CN"/>
              </w:rPr>
              <w:t>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4</w:t>
            </w:r>
          </w:p>
        </w:tc>
        <w:tc>
          <w:tcPr>
            <w:tcW w:w="4302" w:type="pct"/>
            <w:gridSpan w:val="2"/>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（实质性要求）应提供投标产品生产企业有效的《辐射安全许可证》（复印件）</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97" w:type="pct"/>
            <w:noWrap w:val="0"/>
            <w:vAlign w:val="center"/>
          </w:tcPr>
          <w:p>
            <w:pPr>
              <w:widowControl/>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w:t>
            </w:r>
          </w:p>
        </w:tc>
        <w:tc>
          <w:tcPr>
            <w:tcW w:w="4302" w:type="pct"/>
            <w:gridSpan w:val="2"/>
            <w:noWrap w:val="0"/>
            <w:vAlign w:val="center"/>
          </w:tcPr>
          <w:p>
            <w:pPr>
              <w:widowControl/>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为保证产品的合法来源，非生产厂家投标，投标产品（限核心产品）需具有投标产品生产厂家或有效经销商针对本项目的授权委托书原件。</w:t>
            </w:r>
          </w:p>
        </w:tc>
      </w:tr>
    </w:tbl>
    <w:p>
      <w:pPr>
        <w:rPr>
          <w:rFonts w:hint="eastAsia"/>
          <w:highlight w:val="none"/>
        </w:rPr>
      </w:pPr>
    </w:p>
    <w:p>
      <w:pPr>
        <w:pStyle w:val="2"/>
        <w:rPr>
          <w:rFonts w:hint="eastAsia"/>
          <w:highlight w:val="none"/>
        </w:rPr>
      </w:pPr>
    </w:p>
    <w:p>
      <w:pPr>
        <w:rPr>
          <w:rFonts w:hint="eastAsia" w:ascii="Arial" w:hAnsi="Arial" w:cs="Arial"/>
          <w:b/>
          <w:sz w:val="22"/>
          <w:szCs w:val="22"/>
          <w:highlight w:val="none"/>
          <w:lang w:eastAsia="zh-CN"/>
        </w:rPr>
      </w:pPr>
    </w:p>
    <w:p>
      <w:pPr>
        <w:pStyle w:val="45"/>
        <w:ind w:firstLine="0" w:firstLineChars="0"/>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第三部分：总体商务、服务要求及履约主要条款</w:t>
      </w:r>
      <w:r>
        <w:rPr>
          <w:rFonts w:hint="eastAsia" w:ascii="宋体" w:hAnsi="宋体" w:cs="宋体"/>
          <w:b/>
          <w:bCs/>
          <w:color w:val="auto"/>
          <w:sz w:val="24"/>
          <w:szCs w:val="24"/>
          <w:highlight w:val="none"/>
          <w:lang w:eastAsia="zh-CN"/>
        </w:rPr>
        <w:t>（实质性要求）</w:t>
      </w:r>
    </w:p>
    <w:tbl>
      <w:tblPr>
        <w:tblStyle w:val="46"/>
        <w:tblW w:w="9087" w:type="dxa"/>
        <w:tblInd w:w="93" w:type="dxa"/>
        <w:tblLayout w:type="fixed"/>
        <w:tblCellMar>
          <w:top w:w="0" w:type="dxa"/>
          <w:left w:w="108" w:type="dxa"/>
          <w:bottom w:w="0" w:type="dxa"/>
          <w:right w:w="108" w:type="dxa"/>
        </w:tblCellMar>
      </w:tblPr>
      <w:tblGrid>
        <w:gridCol w:w="1800"/>
        <w:gridCol w:w="7287"/>
      </w:tblGrid>
      <w:tr>
        <w:tblPrEx>
          <w:tblCellMar>
            <w:top w:w="0" w:type="dxa"/>
            <w:left w:w="108" w:type="dxa"/>
            <w:bottom w:w="0" w:type="dxa"/>
            <w:right w:w="108" w:type="dxa"/>
          </w:tblCellMar>
        </w:tblPrEx>
        <w:trPr>
          <w:trHeight w:val="468"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1.验收标准和方法</w:t>
            </w:r>
          </w:p>
        </w:tc>
        <w:tc>
          <w:tcPr>
            <w:tcW w:w="7287" w:type="dxa"/>
            <w:tcBorders>
              <w:top w:val="single" w:color="auto" w:sz="4" w:space="0"/>
              <w:left w:val="nil"/>
              <w:bottom w:val="single" w:color="auto" w:sz="4" w:space="0"/>
              <w:right w:val="single" w:color="auto" w:sz="4" w:space="0"/>
            </w:tcBorders>
            <w:noWrap w:val="0"/>
            <w:vAlign w:val="top"/>
          </w:tcPr>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1.设备验收在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的安装地点进行。在货物抵达</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指定地点3日内，</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人员应抵达</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指定地点，依据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提供的装箱单、检验合格证书、使用说明及质量标准等有关资料，由买卖双方及相关人员共同开箱验收，如有短缺、规格质量不符、资料不全等，由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在7日内无偿给予更换、补齐，并承担由此产生的全部费用。在验收合格后，经双方代表签字予以确认。</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2.按照招标文件中各方面技术指标、规格、性能以及生产厂家提供的正式技术文件或国家强制性标准进行验收。</w:t>
            </w:r>
          </w:p>
        </w:tc>
      </w:tr>
      <w:tr>
        <w:tblPrEx>
          <w:tblCellMar>
            <w:top w:w="0" w:type="dxa"/>
            <w:left w:w="108" w:type="dxa"/>
            <w:bottom w:w="0" w:type="dxa"/>
            <w:right w:w="108" w:type="dxa"/>
          </w:tblCellMar>
        </w:tblPrEx>
        <w:trPr>
          <w:trHeight w:val="672" w:hRule="atLeast"/>
        </w:trPr>
        <w:tc>
          <w:tcPr>
            <w:tcW w:w="1800"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2.安装调试及技术服务(含培训)要求</w:t>
            </w:r>
          </w:p>
        </w:tc>
        <w:tc>
          <w:tcPr>
            <w:tcW w:w="7287" w:type="dxa"/>
            <w:tcBorders>
              <w:top w:val="nil"/>
              <w:left w:val="nil"/>
              <w:bottom w:val="single" w:color="auto" w:sz="4" w:space="0"/>
              <w:right w:val="single" w:color="auto" w:sz="4" w:space="0"/>
            </w:tcBorders>
            <w:noWrap w:val="0"/>
            <w:vAlign w:val="top"/>
          </w:tcPr>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1.现场开箱检验：货物抵达</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项目现场后  3  日内</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人员应抵达</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项目现场，依据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提供的装箱单、检验合格证书、使用说明及质量标准等有关资料，由双方各自指定的人员共同开箱检验，如出现设备短缺、规格质量不符、资料不全等，由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无偿给予更换、补齐，并承担由此产生的一切费用。</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2.设备开箱检验后，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  7  日之内，派工程技术人员抵达项目现场，开始系统安装和调试，达到正式运行要求，保证医院能正常使用。如设备的安装和运行需要特定的场所和配套设施，</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应明确向</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作出说明，以便</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能按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要求完成相关准备工作。如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对安装场地予以认可后，应向</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出具《设置场所验收合格证明》。</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验收：安装调试后1个工作日内，双方依据投标文件的技术响应承诺和本合同特别约定的条款对设备进行性能考核。遵从国家标准及企业相关标准按照就高不就低的原则执行，并且实际技术指标应与投标书中所提供的技术指标一致。货物一经验收合格，双方即签署验收合格证书，一式两份，双方各执一份。在签署验收之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不做正式临床使用。如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所供货物不符合上述要求，</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有权拒签验收合格证明，并有权要求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限期无条件更换或补齐；</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提出相关要求后  7  日内提供符合上述要求的产品。如不能在上述时间内提供产品，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有权退货并解除合同，如已支付货款的，要求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全额返还货款，并按照双方已签订合同价款的20%要求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支付违约金。</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原因，不能按期安装、调试、验收超过10天，</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有权要求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及时退货、换货，相应费用由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承担。</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应在设备安装调试前和安装调试中对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有关人员进行免费技术培训（操作、机械、电器维修等），提供成套培训资料。并保证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受训技术人员熟练掌握操作设备，保证设备正常运行并能排除设备的一般故障。</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维修工程师免费进行设备全系统维修培训。</w:t>
            </w:r>
          </w:p>
        </w:tc>
      </w:tr>
      <w:tr>
        <w:tblPrEx>
          <w:tblCellMar>
            <w:top w:w="0" w:type="dxa"/>
            <w:left w:w="108" w:type="dxa"/>
            <w:bottom w:w="0" w:type="dxa"/>
            <w:right w:w="108" w:type="dxa"/>
          </w:tblCellMar>
        </w:tblPrEx>
        <w:trPr>
          <w:trHeight w:val="1092" w:hRule="atLeast"/>
        </w:trPr>
        <w:tc>
          <w:tcPr>
            <w:tcW w:w="1800"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3.售后服务的要求</w:t>
            </w:r>
          </w:p>
        </w:tc>
        <w:tc>
          <w:tcPr>
            <w:tcW w:w="7287" w:type="dxa"/>
            <w:tcBorders>
              <w:top w:val="nil"/>
              <w:left w:val="nil"/>
              <w:bottom w:val="single" w:color="auto" w:sz="4" w:space="0"/>
              <w:right w:val="single" w:color="auto" w:sz="4" w:space="0"/>
            </w:tcBorders>
            <w:noWrap w:val="0"/>
            <w:vAlign w:val="top"/>
          </w:tcPr>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1.提供售后服务承诺。</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2.质保期外为终身维护，设备故障维修只收取零配件费用，免收人工等其他费用。若涉及零配件及易耗品，投标时投标人需提供原厂零配件及易耗品报价清单（市场价格下降时按市场最低价执行）。</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制造厂家需配备足够的原厂的维修工程师常驻项目所在地省份，提供工程师名单、工作证和身份证（复印件），并提供在项目所在地的座机服务电话和手机。（或厂家提供书面承诺函原件，承诺中标后一个月内在项目所在地省份提供原厂的维修工程师常驻）</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4．投标人应对操作人员进行培训，并保证正常使用。</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48小时无法排除故障，需提供备用设备。</w:t>
            </w:r>
          </w:p>
        </w:tc>
      </w:tr>
      <w:tr>
        <w:tblPrEx>
          <w:tblCellMar>
            <w:top w:w="0" w:type="dxa"/>
            <w:left w:w="108" w:type="dxa"/>
            <w:bottom w:w="0" w:type="dxa"/>
            <w:right w:w="108" w:type="dxa"/>
          </w:tblCellMar>
        </w:tblPrEx>
        <w:trPr>
          <w:trHeight w:val="954"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4.履约要求</w:t>
            </w:r>
          </w:p>
        </w:tc>
        <w:tc>
          <w:tcPr>
            <w:tcW w:w="7287" w:type="dxa"/>
            <w:tcBorders>
              <w:top w:val="single" w:color="auto" w:sz="4" w:space="0"/>
              <w:left w:val="nil"/>
              <w:bottom w:val="single" w:color="auto" w:sz="4" w:space="0"/>
              <w:right w:val="single" w:color="auto" w:sz="4" w:space="0"/>
            </w:tcBorders>
            <w:noWrap w:val="0"/>
            <w:vAlign w:val="top"/>
          </w:tcPr>
          <w:p>
            <w:pPr>
              <w:pStyle w:val="16"/>
              <w:spacing w:line="276"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名称、地址：成都市第五人民医院、温江区麻市街33号</w:t>
            </w:r>
            <w:r>
              <w:rPr>
                <w:rFonts w:hint="eastAsia" w:ascii="宋体" w:hAnsi="宋体" w:cs="宋体"/>
                <w:color w:val="auto"/>
                <w:kern w:val="0"/>
                <w:sz w:val="24"/>
                <w:szCs w:val="24"/>
                <w:highlight w:val="none"/>
                <w:lang w:eastAsia="zh-CN"/>
              </w:rPr>
              <w:t>。</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2.项目现场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交货地点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采购人指定的安装地点</w:t>
            </w:r>
            <w:r>
              <w:rPr>
                <w:rFonts w:hint="eastAsia" w:ascii="宋体" w:hAnsi="宋体" w:cs="宋体"/>
                <w:color w:val="auto"/>
                <w:kern w:val="0"/>
                <w:sz w:val="24"/>
                <w:szCs w:val="24"/>
                <w:highlight w:val="none"/>
                <w:lang w:eastAsia="zh-CN"/>
              </w:rPr>
              <w:t>。</w:t>
            </w:r>
          </w:p>
          <w:p>
            <w:pPr>
              <w:pStyle w:val="16"/>
              <w:spacing w:line="276" w:lineRule="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3.履行合同的时间（交货时间）及方式：</w:t>
            </w:r>
            <w:r>
              <w:rPr>
                <w:rFonts w:hint="eastAsia" w:ascii="宋体" w:hAnsi="宋体" w:cs="宋体"/>
                <w:kern w:val="0"/>
                <w:sz w:val="24"/>
                <w:highlight w:val="none"/>
              </w:rPr>
              <w:t>进口产品在合同签订生效后60日以内交货</w:t>
            </w:r>
            <w:r>
              <w:rPr>
                <w:rFonts w:hint="eastAsia" w:ascii="宋体" w:hAnsi="宋体" w:cs="宋体"/>
                <w:kern w:val="0"/>
                <w:sz w:val="24"/>
                <w:highlight w:val="none"/>
                <w:lang w:eastAsia="zh-CN"/>
              </w:rPr>
              <w:t>，</w:t>
            </w:r>
            <w:r>
              <w:rPr>
                <w:rFonts w:hint="eastAsia" w:ascii="宋体" w:hAnsi="宋体" w:cs="宋体"/>
                <w:kern w:val="0"/>
                <w:sz w:val="24"/>
                <w:highlight w:val="none"/>
              </w:rPr>
              <w:t>国产产品的在合同签订生效后30日以内交货。延迟到货则按成交总价的 0.5 ％/天作为违约金支付给甲方</w:t>
            </w:r>
            <w:r>
              <w:rPr>
                <w:rFonts w:hint="eastAsia" w:ascii="宋体" w:hAnsi="宋体" w:eastAsia="宋体" w:cs="宋体"/>
                <w:color w:val="auto"/>
                <w:kern w:val="0"/>
                <w:sz w:val="24"/>
                <w:szCs w:val="24"/>
                <w:highlight w:val="none"/>
              </w:rPr>
              <w:t>。</w:t>
            </w:r>
          </w:p>
          <w:p>
            <w:pPr>
              <w:pStyle w:val="16"/>
              <w:spacing w:line="276"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4.质量保证期：2年</w:t>
            </w:r>
            <w:r>
              <w:rPr>
                <w:rFonts w:hint="eastAsia" w:ascii="宋体" w:hAnsi="宋体" w:cs="宋体"/>
                <w:b/>
                <w:color w:val="auto"/>
                <w:kern w:val="0"/>
                <w:sz w:val="24"/>
                <w:szCs w:val="24"/>
                <w:highlight w:val="none"/>
                <w:lang w:eastAsia="zh-CN"/>
              </w:rPr>
              <w:t>。</w:t>
            </w:r>
          </w:p>
          <w:p>
            <w:pPr>
              <w:pStyle w:val="16"/>
              <w:spacing w:line="276"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5.响应时间：2小时</w:t>
            </w:r>
            <w:r>
              <w:rPr>
                <w:rFonts w:hint="eastAsia" w:ascii="宋体" w:hAnsi="宋体" w:cs="宋体"/>
                <w:color w:val="auto"/>
                <w:kern w:val="0"/>
                <w:sz w:val="24"/>
                <w:szCs w:val="24"/>
                <w:highlight w:val="none"/>
                <w:lang w:eastAsia="zh-CN"/>
              </w:rPr>
              <w:t>。</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6.合同价款支付方式和条件：</w:t>
            </w:r>
          </w:p>
          <w:p>
            <w:pPr>
              <w:widowControl w:val="0"/>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6.1、自筹资金支付：安装验收合格无异议，采购人凭供应商开具的全额正规发票和验收单据，以银行转账的方式向供应商支付总货款的95%。剩余5%在质保期满后，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进行无息支付。</w:t>
            </w:r>
          </w:p>
          <w:p>
            <w:pPr>
              <w:widowControl w:val="0"/>
              <w:autoSpaceDE w:val="0"/>
              <w:autoSpaceDN w:val="0"/>
              <w:adjustRightIn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逾期支付将依法承担法律责任。</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注：上述2种方式供应商均需应答，采购人根据资金情况在合同明确约定具体付款方式。</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.解决争议的方式: 向</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所在地人民法院提起诉讼</w:t>
            </w:r>
            <w:r>
              <w:rPr>
                <w:rFonts w:hint="eastAsia" w:ascii="宋体" w:hAnsi="宋体" w:eastAsia="宋体" w:cs="宋体"/>
                <w:color w:val="auto"/>
                <w:kern w:val="0"/>
                <w:sz w:val="24"/>
                <w:szCs w:val="24"/>
                <w:highlight w:val="none"/>
                <w:lang w:val="en-US" w:eastAsia="zh-CN"/>
              </w:rPr>
              <w:t>。</w:t>
            </w:r>
          </w:p>
        </w:tc>
      </w:tr>
      <w:tr>
        <w:tblPrEx>
          <w:tblCellMar>
            <w:top w:w="0" w:type="dxa"/>
            <w:left w:w="108" w:type="dxa"/>
            <w:bottom w:w="0" w:type="dxa"/>
            <w:right w:w="108" w:type="dxa"/>
          </w:tblCellMar>
        </w:tblPrEx>
        <w:trPr>
          <w:trHeight w:val="1307"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5.其它需要说明的事项</w:t>
            </w:r>
          </w:p>
        </w:tc>
        <w:tc>
          <w:tcPr>
            <w:tcW w:w="7287" w:type="dxa"/>
            <w:tcBorders>
              <w:top w:val="single" w:color="auto" w:sz="4" w:space="0"/>
              <w:left w:val="nil"/>
              <w:bottom w:val="single" w:color="auto" w:sz="4" w:space="0"/>
              <w:right w:val="single" w:color="auto" w:sz="4" w:space="0"/>
            </w:tcBorders>
            <w:noWrap w:val="0"/>
            <w:vAlign w:val="top"/>
          </w:tcPr>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1.提供质保期满后相关零配件、易损件，并提供价格清单；</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所购设备可对比相同品牌、规格、型号产品，如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在质保期内发现招标采购价高于成都市地区当地同级医院的市场价格的情况，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返还已支付高于市场价格部分货款，同时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须按产品超过部分货款的2倍向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支付违约金。</w:t>
            </w:r>
          </w:p>
          <w:p>
            <w:pPr>
              <w:pStyle w:val="16"/>
              <w:spacing w:line="276"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3.具体技术参数里有明确的商务要求的，以具体</w:t>
            </w:r>
            <w:r>
              <w:rPr>
                <w:rFonts w:hint="eastAsia" w:ascii="宋体" w:hAnsi="宋体" w:eastAsia="宋体" w:cs="宋体"/>
                <w:color w:val="auto"/>
                <w:kern w:val="0"/>
                <w:sz w:val="24"/>
                <w:szCs w:val="24"/>
                <w:highlight w:val="none"/>
                <w:lang w:eastAsia="zh-CN"/>
              </w:rPr>
              <w:t>参数</w:t>
            </w:r>
            <w:r>
              <w:rPr>
                <w:rFonts w:hint="eastAsia" w:ascii="宋体" w:hAnsi="宋体" w:eastAsia="宋体" w:cs="宋体"/>
                <w:color w:val="auto"/>
                <w:kern w:val="0"/>
                <w:sz w:val="24"/>
                <w:szCs w:val="24"/>
                <w:highlight w:val="none"/>
              </w:rPr>
              <w:t>里的明确商务要求为准。</w:t>
            </w:r>
          </w:p>
          <w:p>
            <w:pPr>
              <w:pStyle w:val="45"/>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.上述所有设备如确需配备必要的附属设备方能不影响采购人使用，供应商应在报价中包含该设备的必要配备。如有设备涉及必要耗材，供应商需按所投设备的耗材清单报出耗材品种和单价。</w:t>
            </w:r>
          </w:p>
          <w:p>
            <w:pPr>
              <w:pStyle w:val="45"/>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.本项目采购的设备如需与采购人现有的柯林布瑞HSB数据总线进行数据交互的，由供应商负责与信息科对接工作，费用包含在报价中。</w:t>
            </w:r>
          </w:p>
          <w:p>
            <w:pPr>
              <w:pStyle w:val="45"/>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供应商应按招标文件格式要求提供投标设备使用中涉及的耗材价格清单表（仅限投标产品后期使用时需要使用医疗耗材的设备适用），该表内容不做评审要求，仅作为采购人后期工作参考。（注：如未提供视为负偏离扣分处理）。</w:t>
            </w:r>
          </w:p>
          <w:p>
            <w:pPr>
              <w:pStyle w:val="45"/>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.合同版本以采购人版本为准。</w:t>
            </w:r>
          </w:p>
        </w:tc>
      </w:tr>
    </w:tbl>
    <w:p>
      <w:pPr>
        <w:pStyle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注：本项目标注“★”号为重要参数要求，若有负偏离，仅作扣分处理。</w:t>
      </w: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rPr>
      </w:pPr>
    </w:p>
    <w:p>
      <w:pPr>
        <w:spacing w:line="360" w:lineRule="auto"/>
        <w:jc w:val="center"/>
        <w:rPr>
          <w:rStyle w:val="229"/>
          <w:color w:val="auto"/>
          <w:highlight w:val="none"/>
        </w:rPr>
      </w:pPr>
      <w:r>
        <w:rPr>
          <w:rStyle w:val="229"/>
          <w:rFonts w:hint="eastAsia"/>
          <w:color w:val="auto"/>
          <w:highlight w:val="none"/>
        </w:rPr>
        <w:t>第七章  评标办法</w:t>
      </w:r>
      <w:bookmarkEnd w:id="167"/>
      <w:bookmarkEnd w:id="168"/>
      <w:bookmarkEnd w:id="169"/>
      <w:bookmarkStart w:id="174" w:name="_Hlt101846155"/>
      <w:bookmarkEnd w:id="174"/>
      <w:bookmarkStart w:id="175" w:name="_Toc208849007"/>
      <w:bookmarkStart w:id="176" w:name="_Toc183582280"/>
      <w:bookmarkStart w:id="177" w:name="_Toc217446097"/>
      <w:bookmarkStart w:id="178" w:name="_Toc183682415"/>
    </w:p>
    <w:bookmarkEnd w:id="170"/>
    <w:bookmarkEnd w:id="175"/>
    <w:bookmarkEnd w:id="176"/>
    <w:bookmarkEnd w:id="177"/>
    <w:bookmarkEnd w:id="178"/>
    <w:p>
      <w:pPr>
        <w:pStyle w:val="5"/>
        <w:spacing w:before="0" w:after="0" w:line="360" w:lineRule="auto"/>
        <w:ind w:firstLine="482"/>
        <w:rPr>
          <w:color w:val="auto"/>
          <w:highlight w:val="none"/>
        </w:rPr>
      </w:pPr>
      <w:r>
        <w:rPr>
          <w:rFonts w:hint="eastAsia"/>
          <w:color w:val="auto"/>
          <w:highlight w:val="none"/>
        </w:rPr>
        <w:t>1. 总则</w:t>
      </w:r>
    </w:p>
    <w:p>
      <w:pPr>
        <w:snapToGrid w:val="0"/>
        <w:spacing w:line="360" w:lineRule="auto"/>
        <w:ind w:firstLine="480" w:firstLineChars="200"/>
        <w:rPr>
          <w:color w:val="auto"/>
          <w:highlight w:val="none"/>
        </w:rPr>
      </w:pPr>
      <w:r>
        <w:rPr>
          <w:rFonts w:hint="eastAsia"/>
          <w:color w:val="auto"/>
          <w:highlight w:val="none"/>
        </w:rPr>
        <w:t>1.1 根据《中华人民共和国政府采购法》、《中华人民共和国政府采购法实施条例》、《政府采购货物和服务招标投标管理办法》等法律法规，结合采购项目特点制定本评标办法。</w:t>
      </w:r>
    </w:p>
    <w:p>
      <w:pPr>
        <w:snapToGrid w:val="0"/>
        <w:spacing w:line="360" w:lineRule="auto"/>
        <w:ind w:firstLine="480" w:firstLineChars="200"/>
        <w:rPr>
          <w:color w:val="auto"/>
          <w:highlight w:val="none"/>
        </w:rPr>
      </w:pPr>
      <w:r>
        <w:rPr>
          <w:rFonts w:hint="eastAsia"/>
          <w:color w:val="auto"/>
          <w:highlight w:val="none"/>
        </w:rPr>
        <w:t xml:space="preserve">1.2 </w:t>
      </w:r>
      <w:r>
        <w:rPr>
          <w:rFonts w:hint="eastAsia"/>
          <w:bCs/>
          <w:color w:val="auto"/>
          <w:highlight w:val="none"/>
        </w:rPr>
        <w:t>评标工作由采购代理机构负责组织，具体评标事务由采购代理机构依法组建的评标委员会负责。评标委员会由采购人代表和有关技术、经济等方面的专家组成。</w:t>
      </w:r>
    </w:p>
    <w:p>
      <w:pPr>
        <w:snapToGrid w:val="0"/>
        <w:spacing w:line="360" w:lineRule="auto"/>
        <w:ind w:firstLine="480" w:firstLineChars="200"/>
        <w:rPr>
          <w:color w:val="auto"/>
          <w:highlight w:val="none"/>
        </w:rPr>
      </w:pPr>
      <w:r>
        <w:rPr>
          <w:rFonts w:hint="eastAsia"/>
          <w:color w:val="auto"/>
          <w:highlight w:val="none"/>
        </w:rPr>
        <w:t>1.3 评标工作应遵循公平、公正、科学及择优的原则，并以相同的评标程序和标准对待所有的投标人。</w:t>
      </w:r>
    </w:p>
    <w:p>
      <w:pPr>
        <w:snapToGrid w:val="0"/>
        <w:spacing w:line="360" w:lineRule="auto"/>
        <w:ind w:firstLine="480" w:firstLineChars="200"/>
        <w:rPr>
          <w:color w:val="auto"/>
          <w:highlight w:val="none"/>
        </w:rPr>
      </w:pPr>
      <w:r>
        <w:rPr>
          <w:rFonts w:hint="eastAsia"/>
          <w:color w:val="auto"/>
          <w:highlight w:val="none"/>
        </w:rPr>
        <w:t>1.4 评标委员会按照招标文件规定的评标方法和标准进行评标，并独立履行下列职责：</w:t>
      </w:r>
    </w:p>
    <w:p>
      <w:pPr>
        <w:snapToGrid w:val="0"/>
        <w:spacing w:line="360" w:lineRule="auto"/>
        <w:ind w:firstLine="480" w:firstLineChars="200"/>
        <w:rPr>
          <w:color w:val="auto"/>
          <w:highlight w:val="none"/>
        </w:rPr>
      </w:pPr>
      <w:bookmarkStart w:id="179" w:name="_Toc217446098"/>
      <w:r>
        <w:rPr>
          <w:rFonts w:hint="eastAsia"/>
          <w:color w:val="auto"/>
          <w:highlight w:val="none"/>
        </w:rPr>
        <w:t>（一）熟悉和理解招标文件；</w:t>
      </w:r>
    </w:p>
    <w:p>
      <w:pPr>
        <w:snapToGrid w:val="0"/>
        <w:spacing w:line="360" w:lineRule="auto"/>
        <w:ind w:firstLine="480" w:firstLineChars="200"/>
        <w:rPr>
          <w:color w:val="auto"/>
          <w:highlight w:val="none"/>
        </w:rPr>
      </w:pPr>
      <w:r>
        <w:rPr>
          <w:rFonts w:hint="eastAsia"/>
          <w:color w:val="auto"/>
          <w:highlight w:val="none"/>
        </w:rPr>
        <w:t>（二）审查供应商投标文件等是否满足招标文件要求，并作出评价；</w:t>
      </w:r>
    </w:p>
    <w:p>
      <w:pPr>
        <w:snapToGrid w:val="0"/>
        <w:spacing w:line="360" w:lineRule="auto"/>
        <w:ind w:firstLine="480" w:firstLineChars="200"/>
        <w:rPr>
          <w:color w:val="auto"/>
          <w:highlight w:val="none"/>
        </w:rPr>
      </w:pPr>
      <w:r>
        <w:rPr>
          <w:rFonts w:hint="eastAsia"/>
          <w:color w:val="auto"/>
          <w:highlight w:val="none"/>
        </w:rPr>
        <w:t>（三）根据需要要求招标采购单位对招标文件作出解释；根据需要要求供应商对投标文件有关事项作出澄清、说明或者补正；</w:t>
      </w:r>
    </w:p>
    <w:p>
      <w:pPr>
        <w:snapToGrid w:val="0"/>
        <w:spacing w:line="360" w:lineRule="auto"/>
        <w:ind w:firstLine="480" w:firstLineChars="200"/>
        <w:rPr>
          <w:color w:val="auto"/>
          <w:highlight w:val="none"/>
        </w:rPr>
      </w:pPr>
      <w:r>
        <w:rPr>
          <w:rFonts w:hint="eastAsia"/>
          <w:color w:val="auto"/>
          <w:highlight w:val="none"/>
        </w:rPr>
        <w:t>（四）推荐中标候选供应商，或者受采购人委托确定中标供应商；</w:t>
      </w:r>
    </w:p>
    <w:p>
      <w:pPr>
        <w:snapToGrid w:val="0"/>
        <w:spacing w:line="360" w:lineRule="auto"/>
        <w:ind w:firstLine="480" w:firstLineChars="200"/>
        <w:rPr>
          <w:color w:val="auto"/>
          <w:highlight w:val="none"/>
        </w:rPr>
      </w:pPr>
      <w:r>
        <w:rPr>
          <w:rFonts w:hint="eastAsia"/>
          <w:color w:val="auto"/>
          <w:highlight w:val="none"/>
        </w:rPr>
        <w:t>（五）起草评标报告并进行签署；</w:t>
      </w:r>
    </w:p>
    <w:p>
      <w:pPr>
        <w:snapToGrid w:val="0"/>
        <w:spacing w:line="360" w:lineRule="auto"/>
        <w:ind w:firstLine="480" w:firstLineChars="200"/>
        <w:rPr>
          <w:color w:val="auto"/>
          <w:highlight w:val="none"/>
        </w:rPr>
      </w:pPr>
      <w:r>
        <w:rPr>
          <w:rFonts w:hint="eastAsia"/>
          <w:color w:val="auto"/>
          <w:highlight w:val="none"/>
        </w:rPr>
        <w:t>（六）向招标采购单位、财政部门或者其他监督部门报告非法干预评标工作的行为；</w:t>
      </w:r>
    </w:p>
    <w:p>
      <w:pPr>
        <w:snapToGrid w:val="0"/>
        <w:spacing w:line="360" w:lineRule="auto"/>
        <w:ind w:firstLine="480" w:firstLineChars="200"/>
        <w:rPr>
          <w:color w:val="auto"/>
          <w:highlight w:val="none"/>
        </w:rPr>
      </w:pPr>
      <w:r>
        <w:rPr>
          <w:rFonts w:hint="eastAsia"/>
          <w:color w:val="auto"/>
          <w:highlight w:val="none"/>
        </w:rPr>
        <w:t>（七）法律、法规和规章规定的其他职责。</w:t>
      </w:r>
    </w:p>
    <w:p>
      <w:pPr>
        <w:snapToGrid w:val="0"/>
        <w:spacing w:line="360" w:lineRule="auto"/>
        <w:ind w:firstLine="480" w:firstLineChars="200"/>
        <w:rPr>
          <w:color w:val="auto"/>
          <w:highlight w:val="none"/>
        </w:rPr>
      </w:pPr>
      <w:r>
        <w:rPr>
          <w:rFonts w:hint="eastAsia"/>
          <w:color w:val="auto"/>
          <w:highlight w:val="none"/>
        </w:rPr>
        <w:t>1.5 评标过程独立、保密。投标人非法干预评标过程的行为将导致其投标文件作为无效处理。</w:t>
      </w:r>
    </w:p>
    <w:p>
      <w:pPr>
        <w:snapToGrid w:val="0"/>
        <w:spacing w:line="360" w:lineRule="auto"/>
        <w:ind w:firstLine="480" w:firstLineChars="200"/>
        <w:rPr>
          <w:color w:val="auto"/>
          <w:highlight w:val="none"/>
        </w:rPr>
      </w:pPr>
      <w:r>
        <w:rPr>
          <w:rFonts w:hint="eastAsia"/>
          <w:color w:val="auto"/>
          <w:highlight w:val="none"/>
        </w:rPr>
        <w:t>1.6评标委员会评价投标文件的响应性，对于投标人而言，除评标委员会要求其澄清、说明或者补正而提供的资料外，仅依据投标文件本身的内容，不寻求其他外部证据。</w:t>
      </w:r>
    </w:p>
    <w:p>
      <w:pPr>
        <w:pStyle w:val="5"/>
        <w:spacing w:before="0" w:after="0" w:line="360" w:lineRule="auto"/>
        <w:ind w:firstLine="482"/>
        <w:rPr>
          <w:rFonts w:ascii="黑体" w:eastAsia="黑体"/>
          <w:color w:val="auto"/>
          <w:highlight w:val="none"/>
        </w:rPr>
      </w:pPr>
      <w:r>
        <w:rPr>
          <w:rFonts w:hint="eastAsia"/>
          <w:color w:val="auto"/>
          <w:highlight w:val="none"/>
        </w:rPr>
        <w:t>2、评标方法</w:t>
      </w:r>
    </w:p>
    <w:p>
      <w:pPr>
        <w:snapToGrid w:val="0"/>
        <w:spacing w:line="360" w:lineRule="auto"/>
        <w:ind w:firstLine="480" w:firstLineChars="200"/>
        <w:rPr>
          <w:rFonts w:ascii="黑体" w:eastAsia="黑体"/>
          <w:color w:val="auto"/>
          <w:highlight w:val="none"/>
        </w:rPr>
      </w:pPr>
      <w:r>
        <w:rPr>
          <w:rFonts w:hint="eastAsia"/>
          <w:color w:val="auto"/>
          <w:highlight w:val="none"/>
        </w:rPr>
        <w:t>本项目评标方法为：综合评分法。</w:t>
      </w:r>
    </w:p>
    <w:p>
      <w:pPr>
        <w:pStyle w:val="5"/>
        <w:spacing w:before="0" w:after="0" w:line="360" w:lineRule="auto"/>
        <w:ind w:firstLine="482"/>
        <w:rPr>
          <w:rFonts w:ascii="黑体" w:eastAsia="黑体"/>
          <w:b w:val="0"/>
          <w:color w:val="auto"/>
          <w:highlight w:val="none"/>
        </w:rPr>
      </w:pPr>
      <w:r>
        <w:rPr>
          <w:rFonts w:hint="eastAsia"/>
          <w:color w:val="auto"/>
          <w:highlight w:val="none"/>
        </w:rPr>
        <w:t>3、 评标程序</w:t>
      </w:r>
      <w:bookmarkEnd w:id="179"/>
    </w:p>
    <w:p>
      <w:pPr>
        <w:snapToGrid w:val="0"/>
        <w:spacing w:line="360" w:lineRule="auto"/>
        <w:ind w:firstLine="480" w:firstLineChars="200"/>
        <w:rPr>
          <w:color w:val="auto"/>
          <w:highlight w:val="none"/>
        </w:rPr>
      </w:pPr>
      <w:bookmarkStart w:id="180" w:name="_Toc217446103"/>
      <w:r>
        <w:rPr>
          <w:rFonts w:hint="eastAsia"/>
          <w:color w:val="auto"/>
          <w:highlight w:val="none"/>
        </w:rPr>
        <w:t>3.1熟悉和理解招标文件和停止评标。</w:t>
      </w:r>
    </w:p>
    <w:p>
      <w:pPr>
        <w:snapToGrid w:val="0"/>
        <w:spacing w:line="360" w:lineRule="auto"/>
        <w:ind w:firstLine="480" w:firstLineChars="200"/>
        <w:rPr>
          <w:color w:val="auto"/>
          <w:highlight w:val="none"/>
        </w:rPr>
      </w:pPr>
      <w:r>
        <w:rPr>
          <w:rFonts w:hint="eastAsia"/>
          <w:color w:val="auto"/>
          <w:highlight w:val="none"/>
        </w:rPr>
        <w:t>3.1.1评标委员会正式评标前，应当对招标文件进行熟悉和理解，内容主要包括招标文件中投标人的采购项目技术、服务和商务要求、评标方法和标准以及可能涉及签订政府采购合同的内容等。</w:t>
      </w:r>
    </w:p>
    <w:p>
      <w:pPr>
        <w:spacing w:line="360" w:lineRule="auto"/>
        <w:ind w:firstLine="480" w:firstLineChars="200"/>
        <w:rPr>
          <w:color w:val="auto"/>
          <w:highlight w:val="none"/>
        </w:rPr>
      </w:pPr>
      <w:r>
        <w:rPr>
          <w:rFonts w:hint="eastAsia"/>
          <w:color w:val="auto"/>
          <w:highlight w:val="none"/>
        </w:rPr>
        <w:t>3.1.2评标委员会熟悉和理解招标文件以及评标过程中，发现本招标文件有下列情形之一的，评标委员会应当停止评标：</w:t>
      </w:r>
    </w:p>
    <w:p>
      <w:pPr>
        <w:spacing w:line="360" w:lineRule="auto"/>
        <w:ind w:firstLine="480" w:firstLineChars="200"/>
        <w:rPr>
          <w:color w:val="auto"/>
          <w:highlight w:val="none"/>
        </w:rPr>
      </w:pPr>
      <w:r>
        <w:rPr>
          <w:rFonts w:hint="eastAsia"/>
          <w:color w:val="auto"/>
          <w:highlight w:val="none"/>
        </w:rPr>
        <w:t>（1）招标文件的规定存在歧义、重大缺陷的；</w:t>
      </w:r>
    </w:p>
    <w:p>
      <w:pPr>
        <w:spacing w:line="360" w:lineRule="auto"/>
        <w:ind w:firstLine="480" w:firstLineChars="200"/>
        <w:rPr>
          <w:color w:val="auto"/>
          <w:highlight w:val="none"/>
        </w:rPr>
      </w:pPr>
      <w:r>
        <w:rPr>
          <w:rFonts w:hint="eastAsia"/>
          <w:color w:val="auto"/>
          <w:highlight w:val="none"/>
        </w:rPr>
        <w:t>（2）招标文件明显以不合理条件对供应商实行差别待遇或者歧视待遇的；</w:t>
      </w:r>
    </w:p>
    <w:p>
      <w:pPr>
        <w:spacing w:line="360" w:lineRule="auto"/>
        <w:ind w:firstLine="480" w:firstLineChars="200"/>
        <w:rPr>
          <w:color w:val="auto"/>
          <w:highlight w:val="none"/>
        </w:rPr>
      </w:pPr>
      <w:r>
        <w:rPr>
          <w:rFonts w:hint="eastAsia"/>
          <w:color w:val="auto"/>
          <w:highlight w:val="none"/>
        </w:rPr>
        <w:t>（3）采购项目属于国家规定的优先、强制采购范围，但是招标文件未依法体现优先、强制采购相关规定的；</w:t>
      </w:r>
    </w:p>
    <w:p>
      <w:pPr>
        <w:spacing w:line="360" w:lineRule="auto"/>
        <w:ind w:firstLine="480" w:firstLineChars="200"/>
        <w:rPr>
          <w:color w:val="auto"/>
          <w:highlight w:val="none"/>
        </w:rPr>
      </w:pPr>
      <w:r>
        <w:rPr>
          <w:rFonts w:hint="eastAsia"/>
          <w:color w:val="auto"/>
          <w:highlight w:val="none"/>
        </w:rPr>
        <w:t>（4）采购项目属于政府采购促进中小企业发展的范围，但是招标文件未依法体现促进中小企业发展相关规定的；</w:t>
      </w:r>
    </w:p>
    <w:p>
      <w:pPr>
        <w:spacing w:line="360" w:lineRule="auto"/>
        <w:ind w:firstLine="480" w:firstLineChars="200"/>
        <w:rPr>
          <w:color w:val="auto"/>
          <w:highlight w:val="none"/>
        </w:rPr>
      </w:pPr>
      <w:r>
        <w:rPr>
          <w:rFonts w:hint="eastAsia"/>
          <w:color w:val="auto"/>
          <w:highlight w:val="none"/>
        </w:rPr>
        <w:t>（5）招标文件规定的评标方法是综合评分法、最低评标价法之外的评标方法，或者虽然名称为综合评分法、最低评标价法，但实际上不符合国家规定；</w:t>
      </w:r>
    </w:p>
    <w:p>
      <w:pPr>
        <w:spacing w:line="360" w:lineRule="auto"/>
        <w:ind w:firstLine="480" w:firstLineChars="200"/>
        <w:rPr>
          <w:color w:val="auto"/>
          <w:highlight w:val="none"/>
        </w:rPr>
      </w:pPr>
      <w:r>
        <w:rPr>
          <w:rFonts w:hint="eastAsia"/>
          <w:color w:val="auto"/>
          <w:highlight w:val="none"/>
        </w:rPr>
        <w:t>（6）招标文件将投标人的资格条件列为评分因素的；</w:t>
      </w:r>
    </w:p>
    <w:p>
      <w:pPr>
        <w:spacing w:line="360" w:lineRule="auto"/>
        <w:ind w:firstLine="480" w:firstLineChars="200"/>
        <w:rPr>
          <w:color w:val="auto"/>
          <w:highlight w:val="none"/>
        </w:rPr>
      </w:pPr>
      <w:r>
        <w:rPr>
          <w:rFonts w:hint="eastAsia"/>
          <w:color w:val="auto"/>
          <w:highlight w:val="none"/>
        </w:rPr>
        <w:t>（7）招标文件有违反国家其他有关强制性规定的情形。</w:t>
      </w:r>
    </w:p>
    <w:p>
      <w:pPr>
        <w:spacing w:line="360" w:lineRule="auto"/>
        <w:ind w:firstLine="480" w:firstLineChars="200"/>
        <w:rPr>
          <w:color w:val="auto"/>
          <w:highlight w:val="none"/>
        </w:rPr>
      </w:pPr>
      <w:r>
        <w:rPr>
          <w:rFonts w:hint="eastAsia"/>
          <w:color w:val="auto"/>
          <w:highlight w:val="none"/>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color w:val="auto"/>
          <w:highlight w:val="none"/>
        </w:rPr>
      </w:pPr>
      <w:r>
        <w:rPr>
          <w:rFonts w:hint="eastAsia"/>
          <w:color w:val="auto"/>
          <w:highlight w:val="none"/>
        </w:rPr>
        <w:t>3.2资格性检查。</w:t>
      </w:r>
    </w:p>
    <w:p>
      <w:pPr>
        <w:spacing w:line="360" w:lineRule="auto"/>
        <w:ind w:firstLine="480" w:firstLineChars="200"/>
        <w:rPr>
          <w:color w:val="auto"/>
          <w:highlight w:val="none"/>
        </w:rPr>
      </w:pPr>
      <w:r>
        <w:rPr>
          <w:rFonts w:hint="eastAsia"/>
          <w:color w:val="auto"/>
          <w:highlight w:val="none"/>
        </w:rPr>
        <w:t>采购人或者采购代理机构应依据法律法规和本招标文件的规定，对投标文件是否按照规定要求提供资格性证明材料、是否按照规定交纳投标保证金</w:t>
      </w:r>
      <w:r>
        <w:rPr>
          <w:rFonts w:hint="eastAsia" w:hAnsi="宋体" w:cs="宋体"/>
          <w:color w:val="auto"/>
          <w:highlight w:val="none"/>
        </w:rPr>
        <w:t>（如有）</w:t>
      </w:r>
      <w:r>
        <w:rPr>
          <w:rFonts w:hint="eastAsia"/>
          <w:color w:val="auto"/>
          <w:highlight w:val="none"/>
        </w:rPr>
        <w:t>、是否属于禁止参加投标的供应商等进行审查，以确定投标供应商是否具备投标资格。</w:t>
      </w:r>
    </w:p>
    <w:p>
      <w:pPr>
        <w:spacing w:line="360" w:lineRule="auto"/>
        <w:ind w:firstLine="480" w:firstLineChars="200"/>
        <w:rPr>
          <w:color w:val="auto"/>
          <w:highlight w:val="none"/>
        </w:rPr>
      </w:pPr>
      <w:r>
        <w:rPr>
          <w:rFonts w:hint="eastAsia"/>
          <w:color w:val="auto"/>
          <w:highlight w:val="none"/>
        </w:rPr>
        <w:t>3.3符合性检查。</w:t>
      </w:r>
    </w:p>
    <w:p>
      <w:pPr>
        <w:spacing w:line="360" w:lineRule="auto"/>
        <w:ind w:firstLine="480" w:firstLineChars="200"/>
        <w:rPr>
          <w:color w:val="auto"/>
          <w:highlight w:val="none"/>
        </w:rPr>
      </w:pPr>
      <w:r>
        <w:rPr>
          <w:rFonts w:hint="eastAsia"/>
          <w:color w:val="auto"/>
          <w:highlight w:val="none"/>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color w:val="auto"/>
          <w:highlight w:val="none"/>
        </w:rPr>
      </w:pPr>
      <w:r>
        <w:rPr>
          <w:rFonts w:hint="eastAsia"/>
          <w:color w:val="auto"/>
          <w:highlight w:val="none"/>
        </w:rPr>
        <w:t>3.3.2投标文件（包括单独递交的开标一览表）有下列情形的，本项目不作为实质性要求进行规定，即不作为符合性审查事项，不得作为无效投标处理：</w:t>
      </w:r>
    </w:p>
    <w:p>
      <w:pPr>
        <w:spacing w:line="360" w:lineRule="auto"/>
        <w:ind w:firstLine="480" w:firstLineChars="200"/>
        <w:rPr>
          <w:color w:val="auto"/>
          <w:highlight w:val="none"/>
        </w:rPr>
      </w:pPr>
      <w:r>
        <w:rPr>
          <w:rFonts w:hint="eastAsia"/>
          <w:color w:val="auto"/>
          <w:highlight w:val="none"/>
        </w:rPr>
        <w:t>（一）正副本数量齐全、密封完好，只是未按照招标文件要求进行分装或者统装的；</w:t>
      </w:r>
    </w:p>
    <w:p>
      <w:pPr>
        <w:spacing w:line="360" w:lineRule="auto"/>
        <w:ind w:firstLine="480" w:firstLineChars="200"/>
        <w:rPr>
          <w:color w:val="auto"/>
          <w:highlight w:val="none"/>
        </w:rPr>
      </w:pPr>
      <w:r>
        <w:rPr>
          <w:rFonts w:hint="eastAsia"/>
          <w:color w:val="auto"/>
          <w:highlight w:val="none"/>
        </w:rPr>
        <w:t>（二）存在个别地方（不超过2个）没有法定代表人签字，但有法定代表人的私人印章或者有效授权代理人签字的；</w:t>
      </w:r>
    </w:p>
    <w:p>
      <w:pPr>
        <w:spacing w:line="360" w:lineRule="auto"/>
        <w:ind w:firstLine="480" w:firstLineChars="200"/>
        <w:rPr>
          <w:color w:val="auto"/>
          <w:highlight w:val="none"/>
        </w:rPr>
      </w:pPr>
      <w:r>
        <w:rPr>
          <w:rFonts w:hint="eastAsia"/>
          <w:color w:val="auto"/>
          <w:highlight w:val="none"/>
        </w:rPr>
        <w:t>（三）除招标文件明确要求加盖单位(法人)公章的以外，其他地方以相关专用章加盖的；</w:t>
      </w:r>
    </w:p>
    <w:p>
      <w:pPr>
        <w:spacing w:line="360" w:lineRule="auto"/>
        <w:ind w:firstLine="480" w:firstLineChars="200"/>
        <w:rPr>
          <w:color w:val="auto"/>
          <w:highlight w:val="none"/>
        </w:rPr>
      </w:pPr>
      <w:r>
        <w:rPr>
          <w:rFonts w:hint="eastAsia"/>
          <w:color w:val="auto"/>
          <w:highlight w:val="none"/>
        </w:rPr>
        <w:t>（四）以骑缝章的形式代替投标文件内容逐页盖章的（但是骑缝章模糊不清，印章名称无法辨认的除外）；</w:t>
      </w:r>
    </w:p>
    <w:p>
      <w:pPr>
        <w:spacing w:line="360" w:lineRule="auto"/>
        <w:ind w:firstLine="480" w:firstLineChars="200"/>
        <w:rPr>
          <w:color w:val="auto"/>
          <w:highlight w:val="none"/>
        </w:rPr>
      </w:pPr>
      <w:r>
        <w:rPr>
          <w:rFonts w:hint="eastAsia"/>
          <w:color w:val="auto"/>
          <w:highlight w:val="none"/>
        </w:rPr>
        <w:t>（五）其他不影响采购项目实质性要求的情形。</w:t>
      </w:r>
    </w:p>
    <w:p>
      <w:pPr>
        <w:spacing w:line="360" w:lineRule="auto"/>
        <w:ind w:firstLine="480" w:firstLineChars="200"/>
        <w:rPr>
          <w:color w:val="auto"/>
          <w:highlight w:val="none"/>
        </w:rPr>
      </w:pPr>
      <w:r>
        <w:rPr>
          <w:rFonts w:hint="eastAsia"/>
          <w:color w:val="auto"/>
          <w:highlight w:val="none"/>
        </w:rPr>
        <w:t>3.3.3除政府采购法律制度规定的情形外，本项目投标人或者其投标文件有下列情形之一的，作为无效投标处理：</w:t>
      </w:r>
    </w:p>
    <w:p>
      <w:pPr>
        <w:spacing w:line="360" w:lineRule="auto"/>
        <w:ind w:firstLine="480" w:firstLineChars="200"/>
        <w:rPr>
          <w:color w:val="auto"/>
          <w:highlight w:val="none"/>
        </w:rPr>
      </w:pPr>
      <w:r>
        <w:rPr>
          <w:rFonts w:hint="eastAsia"/>
          <w:color w:val="auto"/>
          <w:highlight w:val="none"/>
        </w:rPr>
        <w:t>（一）投标文件正副本数量不足的或无单独递交的“开标一览表”的。</w:t>
      </w:r>
    </w:p>
    <w:p>
      <w:pPr>
        <w:spacing w:line="360" w:lineRule="auto"/>
        <w:ind w:firstLine="480" w:firstLineChars="200"/>
        <w:rPr>
          <w:color w:val="auto"/>
          <w:highlight w:val="none"/>
        </w:rPr>
      </w:pPr>
      <w:r>
        <w:rPr>
          <w:rFonts w:hint="eastAsia"/>
          <w:color w:val="auto"/>
          <w:highlight w:val="none"/>
        </w:rPr>
        <w:t>（二）投标文件组成明显不符合招标文件的规定要求，影响评标委员会评判的；</w:t>
      </w:r>
    </w:p>
    <w:p>
      <w:pPr>
        <w:spacing w:line="360" w:lineRule="auto"/>
        <w:ind w:firstLine="480" w:firstLineChars="200"/>
        <w:rPr>
          <w:color w:val="auto"/>
          <w:highlight w:val="none"/>
        </w:rPr>
      </w:pPr>
      <w:r>
        <w:rPr>
          <w:rFonts w:hint="eastAsia"/>
          <w:color w:val="auto"/>
          <w:highlight w:val="none"/>
        </w:rPr>
        <w:t>（三）投标文件的格式、语言、计量单位、报价货币、知识产权、投标有效期等不符合招标文件的规定，影响评标委员会评判的；</w:t>
      </w:r>
    </w:p>
    <w:p>
      <w:pPr>
        <w:spacing w:line="360" w:lineRule="auto"/>
        <w:ind w:firstLine="480" w:firstLineChars="200"/>
        <w:rPr>
          <w:color w:val="auto"/>
          <w:highlight w:val="none"/>
        </w:rPr>
      </w:pPr>
      <w:r>
        <w:rPr>
          <w:rFonts w:hint="eastAsia"/>
          <w:color w:val="auto"/>
          <w:highlight w:val="none"/>
        </w:rPr>
        <w:t>（四）投标报价不符合招标文件规定的价格标底和其他报价规定的；</w:t>
      </w:r>
    </w:p>
    <w:p>
      <w:pPr>
        <w:spacing w:line="360" w:lineRule="auto"/>
        <w:ind w:firstLine="480" w:firstLineChars="200"/>
        <w:rPr>
          <w:color w:val="auto"/>
          <w:highlight w:val="none"/>
        </w:rPr>
      </w:pPr>
      <w:r>
        <w:rPr>
          <w:rFonts w:hint="eastAsia"/>
          <w:color w:val="auto"/>
          <w:highlight w:val="none"/>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及服务项目的除外）；</w:t>
      </w:r>
    </w:p>
    <w:p>
      <w:pPr>
        <w:spacing w:line="360" w:lineRule="auto"/>
        <w:ind w:firstLine="480" w:firstLineChars="200"/>
        <w:rPr>
          <w:color w:val="auto"/>
          <w:highlight w:val="none"/>
        </w:rPr>
      </w:pPr>
      <w:r>
        <w:rPr>
          <w:rFonts w:hint="eastAsia"/>
          <w:color w:val="auto"/>
          <w:highlight w:val="none"/>
        </w:rPr>
        <w:t>（六）技术、服务应答内容没有完全响应招标文件的实质性要求的；</w:t>
      </w:r>
    </w:p>
    <w:p>
      <w:pPr>
        <w:spacing w:line="360" w:lineRule="auto"/>
        <w:ind w:firstLine="480" w:firstLineChars="200"/>
        <w:rPr>
          <w:color w:val="auto"/>
          <w:highlight w:val="none"/>
        </w:rPr>
      </w:pPr>
      <w:r>
        <w:rPr>
          <w:rFonts w:hint="eastAsia"/>
          <w:color w:val="auto"/>
          <w:highlight w:val="none"/>
        </w:rPr>
        <w:t>（七）招标文件有明确要求，但投标文件未载明或者载明的采购项目履约时间、方式、数量与招标文件要求不一致的。</w:t>
      </w:r>
    </w:p>
    <w:p>
      <w:pPr>
        <w:spacing w:line="360" w:lineRule="auto"/>
        <w:ind w:firstLine="480" w:firstLineChars="200"/>
        <w:rPr>
          <w:color w:val="auto"/>
          <w:highlight w:val="none"/>
        </w:rPr>
      </w:pPr>
      <w:r>
        <w:rPr>
          <w:rFonts w:hint="eastAsia"/>
          <w:color w:val="auto"/>
          <w:highlight w:val="none"/>
        </w:rPr>
        <w:t>3.4比较与评价。按招标文件中规定的评标方法和标准，对未作无效投标处理的投标文件进行技术、服务、商务等方面评估，综合比较与评价。</w:t>
      </w:r>
    </w:p>
    <w:p>
      <w:pPr>
        <w:spacing w:line="360" w:lineRule="auto"/>
        <w:ind w:firstLine="480" w:firstLineChars="200"/>
        <w:rPr>
          <w:color w:val="auto"/>
          <w:highlight w:val="none"/>
        </w:rPr>
      </w:pPr>
      <w:r>
        <w:rPr>
          <w:rFonts w:hint="eastAsia"/>
          <w:color w:val="auto"/>
          <w:highlight w:val="none"/>
        </w:rPr>
        <w:t>3.5复核。评分汇总结束后，评标委员会应当进行复核，特别要对拟推荐为中标候选供应商的、报价最低的、投标文件被认定为无效的进行重点复核。</w:t>
      </w:r>
    </w:p>
    <w:p>
      <w:pPr>
        <w:spacing w:line="360" w:lineRule="auto"/>
        <w:ind w:firstLine="480" w:firstLineChars="200"/>
        <w:rPr>
          <w:color w:val="auto"/>
          <w:highlight w:val="none"/>
        </w:rPr>
      </w:pPr>
      <w:r>
        <w:rPr>
          <w:rFonts w:hint="eastAsia"/>
          <w:color w:val="auto"/>
          <w:highlight w:val="none"/>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0" w:firstLineChars="200"/>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color w:val="auto"/>
          <w:highlight w:val="none"/>
        </w:rPr>
      </w:pPr>
      <w:r>
        <w:rPr>
          <w:rFonts w:hint="eastAsia"/>
          <w:color w:val="auto"/>
          <w:highlight w:val="none"/>
        </w:rPr>
        <w:t>3.7出具评标报告。评标委员会推荐中标候选供应商后，应当向招标采购单位出具评标报告。评标报告应当包括下列内容：</w:t>
      </w:r>
    </w:p>
    <w:p>
      <w:pPr>
        <w:spacing w:line="360" w:lineRule="auto"/>
        <w:ind w:firstLine="480" w:firstLineChars="200"/>
        <w:rPr>
          <w:color w:val="auto"/>
          <w:highlight w:val="none"/>
        </w:rPr>
      </w:pPr>
      <w:r>
        <w:rPr>
          <w:rFonts w:hint="eastAsia"/>
          <w:color w:val="auto"/>
          <w:highlight w:val="none"/>
        </w:rPr>
        <w:t>（一）招标公告刊登的媒体名称、开标日期和地点；</w:t>
      </w:r>
    </w:p>
    <w:p>
      <w:pPr>
        <w:spacing w:line="360" w:lineRule="auto"/>
        <w:ind w:firstLine="480" w:firstLineChars="200"/>
        <w:rPr>
          <w:color w:val="auto"/>
          <w:highlight w:val="none"/>
        </w:rPr>
      </w:pPr>
      <w:r>
        <w:rPr>
          <w:rFonts w:hint="eastAsia"/>
          <w:color w:val="auto"/>
          <w:highlight w:val="none"/>
        </w:rPr>
        <w:t>（二）获取招标文件的投标人名单和评标委员会成员名单；</w:t>
      </w:r>
    </w:p>
    <w:p>
      <w:pPr>
        <w:spacing w:line="360" w:lineRule="auto"/>
        <w:ind w:firstLine="480" w:firstLineChars="200"/>
        <w:rPr>
          <w:color w:val="auto"/>
          <w:highlight w:val="none"/>
        </w:rPr>
      </w:pPr>
      <w:r>
        <w:rPr>
          <w:rFonts w:hint="eastAsia"/>
          <w:color w:val="auto"/>
          <w:highlight w:val="none"/>
        </w:rPr>
        <w:t>（三）评标方法和标准；</w:t>
      </w:r>
    </w:p>
    <w:p>
      <w:pPr>
        <w:spacing w:line="360" w:lineRule="auto"/>
        <w:ind w:firstLine="480" w:firstLineChars="200"/>
        <w:rPr>
          <w:color w:val="auto"/>
          <w:highlight w:val="none"/>
        </w:rPr>
      </w:pPr>
      <w:r>
        <w:rPr>
          <w:rFonts w:hint="eastAsia"/>
          <w:color w:val="auto"/>
          <w:highlight w:val="none"/>
        </w:rPr>
        <w:t>（四）开标记录和评标情况及说明，包括无效投标人名单及原因；</w:t>
      </w:r>
    </w:p>
    <w:p>
      <w:pPr>
        <w:spacing w:line="360" w:lineRule="auto"/>
        <w:ind w:firstLine="480" w:firstLineChars="200"/>
        <w:rPr>
          <w:color w:val="auto"/>
          <w:highlight w:val="none"/>
        </w:rPr>
      </w:pPr>
      <w:r>
        <w:rPr>
          <w:rFonts w:hint="eastAsia"/>
          <w:color w:val="auto"/>
          <w:highlight w:val="none"/>
        </w:rPr>
        <w:t>（五）评标结果和中标候选供应商排序表；</w:t>
      </w:r>
    </w:p>
    <w:p>
      <w:pPr>
        <w:spacing w:line="360" w:lineRule="auto"/>
        <w:ind w:firstLine="480" w:firstLineChars="200"/>
        <w:rPr>
          <w:color w:val="auto"/>
          <w:highlight w:val="none"/>
        </w:rPr>
      </w:pPr>
      <w:r>
        <w:rPr>
          <w:rFonts w:hint="eastAsia"/>
          <w:color w:val="auto"/>
          <w:highlight w:val="none"/>
        </w:rPr>
        <w:t>（六）评标委员会授标建议；</w:t>
      </w:r>
    </w:p>
    <w:p>
      <w:pPr>
        <w:spacing w:line="360" w:lineRule="auto"/>
        <w:ind w:firstLine="480" w:firstLineChars="200"/>
        <w:rPr>
          <w:color w:val="auto"/>
          <w:highlight w:val="none"/>
        </w:rPr>
      </w:pPr>
      <w:r>
        <w:rPr>
          <w:rFonts w:hint="eastAsia"/>
          <w:color w:val="auto"/>
          <w:highlight w:val="none"/>
        </w:rPr>
        <w:t>（七）报价最高的投标人为中标候选人的，评标委员会应当对其报价的合理性予以特别说明。</w:t>
      </w:r>
    </w:p>
    <w:p>
      <w:pPr>
        <w:spacing w:line="360" w:lineRule="auto"/>
        <w:ind w:firstLine="480" w:firstLineChars="200"/>
        <w:rPr>
          <w:color w:val="auto"/>
          <w:highlight w:val="none"/>
        </w:rPr>
      </w:pPr>
      <w:r>
        <w:rPr>
          <w:rFonts w:hint="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color w:val="auto"/>
          <w:highlight w:val="none"/>
        </w:rPr>
      </w:pPr>
      <w:r>
        <w:rPr>
          <w:rFonts w:hint="eastAsia"/>
          <w:color w:val="auto"/>
          <w:highlight w:val="none"/>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color w:val="auto"/>
          <w:highlight w:val="none"/>
        </w:rPr>
      </w:pPr>
      <w:r>
        <w:rPr>
          <w:rFonts w:hint="eastAsia"/>
          <w:color w:val="auto"/>
          <w:highlight w:val="none"/>
        </w:rPr>
        <w:t>3.9供应商应当书面澄清、说明或者补正。</w:t>
      </w:r>
    </w:p>
    <w:p>
      <w:pPr>
        <w:shd w:val="clear" w:color="auto" w:fill="FFFFFF"/>
        <w:spacing w:line="360" w:lineRule="auto"/>
        <w:ind w:firstLine="480" w:firstLineChars="200"/>
        <w:rPr>
          <w:color w:val="auto"/>
          <w:highlight w:val="none"/>
        </w:rPr>
      </w:pPr>
      <w:r>
        <w:rPr>
          <w:rFonts w:hint="eastAsia"/>
          <w:color w:val="auto"/>
          <w:highlight w:val="none"/>
        </w:rPr>
        <w:t>3.9.1在评标过程中，对于投标文件中含义不明确、同类问题表述不一致或者有明显文字和计算错误的内容，评标委员会应当以书面形式要求投标人作出必要的澄清、说明或者补正。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color w:val="auto"/>
          <w:highlight w:val="none"/>
        </w:rPr>
      </w:pPr>
      <w:r>
        <w:rPr>
          <w:rFonts w:hint="eastAsia"/>
          <w:color w:val="auto"/>
          <w:highlight w:val="none"/>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color w:val="auto"/>
          <w:highlight w:val="none"/>
        </w:rPr>
      </w:pPr>
      <w:r>
        <w:rPr>
          <w:rFonts w:hint="eastAsia"/>
          <w:color w:val="auto"/>
          <w:highlight w:val="none"/>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color w:val="auto"/>
          <w:highlight w:val="none"/>
        </w:rPr>
      </w:pPr>
      <w:r>
        <w:rPr>
          <w:rFonts w:hint="eastAsia"/>
          <w:color w:val="auto"/>
          <w:highlight w:val="none"/>
        </w:rPr>
        <w:t>（一）按财政部规定应当在评标时不予承认的投标文件内容事项；</w:t>
      </w:r>
    </w:p>
    <w:p>
      <w:pPr>
        <w:spacing w:line="360" w:lineRule="auto"/>
        <w:ind w:firstLine="480" w:firstLineChars="200"/>
        <w:rPr>
          <w:color w:val="auto"/>
          <w:highlight w:val="none"/>
        </w:rPr>
      </w:pPr>
      <w:r>
        <w:rPr>
          <w:rFonts w:hint="eastAsia"/>
          <w:color w:val="auto"/>
          <w:highlight w:val="none"/>
        </w:rPr>
        <w:t>（二）投标文件中已经明确的内容事项；</w:t>
      </w:r>
    </w:p>
    <w:p>
      <w:pPr>
        <w:spacing w:line="360" w:lineRule="auto"/>
        <w:ind w:firstLine="480" w:firstLineChars="200"/>
        <w:rPr>
          <w:color w:val="auto"/>
          <w:highlight w:val="none"/>
        </w:rPr>
      </w:pPr>
      <w:r>
        <w:rPr>
          <w:rFonts w:hint="eastAsia"/>
          <w:color w:val="auto"/>
          <w:highlight w:val="none"/>
        </w:rPr>
        <w:t>（三）投标文件未提供的材料。</w:t>
      </w:r>
    </w:p>
    <w:p>
      <w:pPr>
        <w:spacing w:line="360" w:lineRule="auto"/>
        <w:ind w:firstLine="480" w:firstLineChars="200"/>
        <w:rPr>
          <w:color w:val="auto"/>
          <w:highlight w:val="none"/>
        </w:rPr>
      </w:pPr>
      <w:r>
        <w:rPr>
          <w:rFonts w:hint="eastAsia"/>
          <w:color w:val="auto"/>
          <w:highlight w:val="none"/>
        </w:rPr>
        <w:t>3.9.4 本项目采购过程中，投标文件出现下列情况的，不需要供应商澄清、说明或者补正，按照以下原则处理：</w:t>
      </w:r>
    </w:p>
    <w:p>
      <w:pPr>
        <w:spacing w:line="360" w:lineRule="auto"/>
        <w:ind w:firstLine="480" w:firstLineChars="200"/>
        <w:rPr>
          <w:color w:val="auto"/>
          <w:highlight w:val="none"/>
        </w:rPr>
      </w:pPr>
      <w:r>
        <w:rPr>
          <w:rFonts w:hint="eastAsia"/>
          <w:color w:val="auto"/>
          <w:highlight w:val="none"/>
        </w:rPr>
        <w:t>（一）投标文件的大写金额和小写金额不一致的，以大写金额为准，但大写金额出现文字错误，导致金额无法判断的除外；</w:t>
      </w:r>
    </w:p>
    <w:p>
      <w:pPr>
        <w:spacing w:line="360" w:lineRule="auto"/>
        <w:ind w:firstLine="480" w:firstLineChars="200"/>
        <w:rPr>
          <w:color w:val="auto"/>
          <w:highlight w:val="none"/>
        </w:rPr>
      </w:pPr>
      <w:r>
        <w:rPr>
          <w:rFonts w:hint="eastAsia"/>
          <w:color w:val="auto"/>
          <w:highlight w:val="none"/>
        </w:rPr>
        <w:t>（二）总价金额与按单价汇总金额不一致的，以单价汇总金额计算结果为准，但是单价金额出现计算错误、明显人为工作失误的除外；</w:t>
      </w:r>
    </w:p>
    <w:p>
      <w:pPr>
        <w:spacing w:line="360" w:lineRule="auto"/>
        <w:ind w:firstLine="480" w:firstLineChars="200"/>
        <w:rPr>
          <w:color w:val="auto"/>
          <w:highlight w:val="none"/>
        </w:rPr>
      </w:pPr>
      <w:r>
        <w:rPr>
          <w:rFonts w:hint="eastAsia"/>
          <w:color w:val="auto"/>
          <w:highlight w:val="none"/>
        </w:rPr>
        <w:t>（三）单价金额小数点有明显错位的，应以总价为准，并修改单价；</w:t>
      </w:r>
    </w:p>
    <w:p>
      <w:pPr>
        <w:spacing w:line="360" w:lineRule="auto"/>
        <w:ind w:firstLine="480" w:firstLineChars="200"/>
        <w:rPr>
          <w:color w:val="auto"/>
          <w:highlight w:val="none"/>
        </w:rPr>
      </w:pPr>
      <w:r>
        <w:rPr>
          <w:rFonts w:hint="eastAsia"/>
          <w:color w:val="auto"/>
          <w:highlight w:val="none"/>
        </w:rPr>
        <w:t>（四）对不同语言文本投标文件的解释发生异议的，以中文文本为准。</w:t>
      </w:r>
    </w:p>
    <w:p>
      <w:pPr>
        <w:spacing w:line="360" w:lineRule="auto"/>
        <w:ind w:firstLine="480" w:firstLineChars="200"/>
        <w:rPr>
          <w:color w:val="auto"/>
          <w:highlight w:val="none"/>
        </w:rPr>
      </w:pPr>
      <w:r>
        <w:rPr>
          <w:rFonts w:hint="eastAsia"/>
          <w:color w:val="auto"/>
          <w:highlight w:val="none"/>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b/>
          <w:color w:val="auto"/>
          <w:highlight w:val="none"/>
        </w:rPr>
      </w:pPr>
      <w:r>
        <w:rPr>
          <w:rFonts w:hint="eastAsia"/>
          <w:b/>
          <w:color w:val="auto"/>
          <w:highlight w:val="none"/>
        </w:rPr>
        <w:t>注：评标委员会当积极履行澄清、说明或者补正的职责，不得滥用权力。供应商的投标文件可以要求澄清、说明或者补正的，不得未经澄清、说明或者补正而直接作无效投标处理。</w:t>
      </w:r>
    </w:p>
    <w:p>
      <w:pPr>
        <w:pStyle w:val="98"/>
        <w:spacing w:line="360" w:lineRule="auto"/>
        <w:ind w:firstLine="480" w:firstLineChars="200"/>
        <w:jc w:val="both"/>
        <w:rPr>
          <w:color w:val="auto"/>
          <w:highlight w:val="none"/>
        </w:rPr>
      </w:pPr>
      <w:r>
        <w:rPr>
          <w:rFonts w:hint="eastAsia"/>
          <w:color w:val="auto"/>
          <w:highlight w:val="none"/>
        </w:rPr>
        <w:t>3.10低于成本价投标处理。在评标过程中，</w:t>
      </w:r>
      <w:r>
        <w:rPr>
          <w:rFonts w:hint="eastAsia"/>
          <w:color w:val="auto"/>
          <w:highlight w:val="none"/>
          <w:lang w:val="zh-CN"/>
        </w:rPr>
        <w:t>评标委员会认为投标人的报价明显低于其他通过符合性审查投标人的报价或</w:t>
      </w:r>
      <w:r>
        <w:rPr>
          <w:rFonts w:hint="eastAsia"/>
          <w:color w:val="auto"/>
          <w:szCs w:val="21"/>
          <w:highlight w:val="none"/>
          <w:lang w:val="zh-CN"/>
        </w:rPr>
        <w:t>评</w:t>
      </w:r>
      <w:r>
        <w:rPr>
          <w:rFonts w:hint="eastAsia"/>
          <w:color w:val="auto"/>
          <w:highlight w:val="none"/>
          <w:lang w:val="zh-CN"/>
        </w:rPr>
        <w:t>标</w:t>
      </w:r>
      <w:r>
        <w:rPr>
          <w:rFonts w:hint="eastAsia"/>
          <w:color w:val="auto"/>
          <w:szCs w:val="21"/>
          <w:highlight w:val="none"/>
          <w:lang w:val="zh-CN"/>
        </w:rPr>
        <w:t>委员认为投标人的报价明显低于成本价或投标人报价低于采购预算</w:t>
      </w:r>
      <w:r>
        <w:rPr>
          <w:color w:val="auto"/>
          <w:szCs w:val="21"/>
          <w:highlight w:val="none"/>
          <w:lang w:val="zh-CN"/>
        </w:rPr>
        <w:t>50%或者低于其他有效投标人报价算术平均价40%</w:t>
      </w:r>
      <w:r>
        <w:rPr>
          <w:rFonts w:hint="eastAsia"/>
          <w:color w:val="auto"/>
          <w:highlight w:val="none"/>
        </w:rPr>
        <w:t>，</w:t>
      </w:r>
      <w:r>
        <w:rPr>
          <w:rFonts w:hint="eastAsia"/>
          <w:color w:val="auto"/>
          <w:highlight w:val="none"/>
          <w:lang w:val="zh-CN"/>
        </w:rPr>
        <w:t>有可能影响产品质量或者不能诚信履约的</w:t>
      </w:r>
      <w:r>
        <w:rPr>
          <w:rFonts w:hint="eastAsia"/>
          <w:color w:val="auto"/>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98"/>
        <w:spacing w:line="360" w:lineRule="auto"/>
        <w:ind w:firstLine="480" w:firstLineChars="200"/>
        <w:jc w:val="both"/>
        <w:rPr>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98"/>
        <w:spacing w:line="360" w:lineRule="auto"/>
        <w:ind w:firstLine="480" w:firstLineChars="200"/>
        <w:jc w:val="both"/>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98"/>
        <w:spacing w:line="360" w:lineRule="auto"/>
        <w:ind w:firstLine="480" w:firstLineChars="200"/>
        <w:jc w:val="both"/>
        <w:rPr>
          <w:color w:val="auto"/>
          <w:highlight w:val="none"/>
        </w:rPr>
      </w:pPr>
      <w:r>
        <w:rPr>
          <w:rFonts w:hint="eastAsia"/>
          <w:color w:val="auto"/>
          <w:highlight w:val="none"/>
        </w:rPr>
        <w:t>3.11 招标采购单位现场复核评标结果。</w:t>
      </w:r>
    </w:p>
    <w:p>
      <w:pPr>
        <w:pStyle w:val="98"/>
        <w:spacing w:line="360" w:lineRule="auto"/>
        <w:ind w:firstLine="480" w:firstLineChars="200"/>
        <w:jc w:val="both"/>
        <w:rPr>
          <w:color w:val="auto"/>
          <w:highlight w:val="none"/>
        </w:rPr>
      </w:pPr>
      <w:r>
        <w:rPr>
          <w:rFonts w:hint="eastAsia"/>
          <w:color w:val="auto"/>
          <w:highlight w:val="none"/>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w:t>
      </w:r>
    </w:p>
    <w:p>
      <w:pPr>
        <w:pStyle w:val="98"/>
        <w:spacing w:line="360" w:lineRule="auto"/>
        <w:ind w:firstLine="480" w:firstLineChars="200"/>
        <w:rPr>
          <w:color w:val="auto"/>
          <w:highlight w:val="none"/>
        </w:rPr>
      </w:pPr>
      <w:r>
        <w:rPr>
          <w:rFonts w:hint="eastAsia"/>
          <w:color w:val="auto"/>
          <w:highlight w:val="none"/>
        </w:rPr>
        <w:t>　　（一）分值汇总计算错误的；</w:t>
      </w:r>
    </w:p>
    <w:p>
      <w:pPr>
        <w:pStyle w:val="98"/>
        <w:spacing w:line="360" w:lineRule="auto"/>
        <w:ind w:firstLine="480" w:firstLineChars="200"/>
        <w:rPr>
          <w:color w:val="auto"/>
          <w:highlight w:val="none"/>
        </w:rPr>
      </w:pPr>
      <w:r>
        <w:rPr>
          <w:rFonts w:hint="eastAsia"/>
          <w:color w:val="auto"/>
          <w:highlight w:val="none"/>
        </w:rPr>
        <w:t>　　（二）分项评分超出评分标准范围的；</w:t>
      </w:r>
    </w:p>
    <w:p>
      <w:pPr>
        <w:pStyle w:val="98"/>
        <w:spacing w:line="360" w:lineRule="auto"/>
        <w:ind w:firstLine="480" w:firstLineChars="200"/>
        <w:rPr>
          <w:color w:val="auto"/>
          <w:highlight w:val="none"/>
        </w:rPr>
      </w:pPr>
      <w:r>
        <w:rPr>
          <w:rFonts w:hint="eastAsia"/>
          <w:color w:val="auto"/>
          <w:highlight w:val="none"/>
        </w:rPr>
        <w:t>　　（三）评标委员会成员对客观评审因素评分不一致的；</w:t>
      </w:r>
    </w:p>
    <w:p>
      <w:pPr>
        <w:pStyle w:val="98"/>
        <w:spacing w:line="360" w:lineRule="auto"/>
        <w:ind w:firstLine="480" w:firstLineChars="200"/>
        <w:jc w:val="both"/>
        <w:rPr>
          <w:color w:val="auto"/>
          <w:highlight w:val="none"/>
        </w:rPr>
      </w:pPr>
      <w:r>
        <w:rPr>
          <w:rFonts w:hint="eastAsia"/>
          <w:color w:val="auto"/>
          <w:highlight w:val="none"/>
        </w:rPr>
        <w:t>　　（四）经评标委员会认定评分畸高、畸低的。</w:t>
      </w:r>
    </w:p>
    <w:p>
      <w:pPr>
        <w:pStyle w:val="98"/>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p>
    <w:p>
      <w:pPr>
        <w:pStyle w:val="98"/>
        <w:spacing w:line="360" w:lineRule="auto"/>
        <w:ind w:firstLine="480" w:firstLineChars="200"/>
        <w:jc w:val="both"/>
        <w:rPr>
          <w:color w:val="auto"/>
          <w:highlight w:val="none"/>
        </w:rPr>
      </w:pPr>
      <w:r>
        <w:rPr>
          <w:rFonts w:hint="eastAsia"/>
          <w:color w:val="auto"/>
          <w:highlight w:val="none"/>
        </w:rPr>
        <w:t>3.11.2有下列情形之一的，不得修改评标结果或者重新评标：</w:t>
      </w:r>
    </w:p>
    <w:p>
      <w:pPr>
        <w:pStyle w:val="98"/>
        <w:spacing w:line="360" w:lineRule="auto"/>
        <w:ind w:firstLine="480" w:firstLineChars="200"/>
        <w:jc w:val="both"/>
        <w:rPr>
          <w:color w:val="auto"/>
          <w:highlight w:val="none"/>
        </w:rPr>
      </w:pPr>
      <w:r>
        <w:rPr>
          <w:rFonts w:hint="eastAsia"/>
          <w:color w:val="auto"/>
          <w:highlight w:val="none"/>
        </w:rPr>
        <w:t>（一）评标委员会已经出具评标报告并且离开评标现场的；</w:t>
      </w:r>
    </w:p>
    <w:p>
      <w:pPr>
        <w:pStyle w:val="98"/>
        <w:spacing w:line="360" w:lineRule="auto"/>
        <w:ind w:firstLine="480" w:firstLineChars="200"/>
        <w:jc w:val="both"/>
        <w:rPr>
          <w:color w:val="auto"/>
          <w:highlight w:val="none"/>
        </w:rPr>
      </w:pPr>
      <w:r>
        <w:rPr>
          <w:rFonts w:hint="eastAsia"/>
          <w:color w:val="auto"/>
          <w:highlight w:val="none"/>
        </w:rPr>
        <w:t>（二）招标采购单位现场复核时，复核工作人员数量不足的；</w:t>
      </w:r>
    </w:p>
    <w:p>
      <w:pPr>
        <w:pStyle w:val="98"/>
        <w:spacing w:line="360" w:lineRule="auto"/>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98"/>
        <w:spacing w:line="360" w:lineRule="auto"/>
        <w:ind w:firstLine="480" w:firstLineChars="200"/>
        <w:jc w:val="both"/>
        <w:rPr>
          <w:color w:val="auto"/>
          <w:highlight w:val="none"/>
        </w:rPr>
      </w:pPr>
      <w:r>
        <w:rPr>
          <w:rFonts w:hint="eastAsia"/>
          <w:color w:val="auto"/>
          <w:highlight w:val="none"/>
        </w:rPr>
        <w:t>（四）招标采购单位现场复核内容超出规定范围的；</w:t>
      </w:r>
    </w:p>
    <w:p>
      <w:pPr>
        <w:pStyle w:val="98"/>
        <w:spacing w:line="360" w:lineRule="auto"/>
        <w:ind w:firstLine="480" w:firstLineChars="200"/>
        <w:jc w:val="both"/>
        <w:rPr>
          <w:color w:val="auto"/>
          <w:highlight w:val="none"/>
        </w:rPr>
      </w:pPr>
      <w:r>
        <w:rPr>
          <w:rFonts w:hint="eastAsia"/>
          <w:color w:val="auto"/>
          <w:highlight w:val="none"/>
        </w:rPr>
        <w:t>（五）招标采购单位未提供书面建议的。</w:t>
      </w:r>
    </w:p>
    <w:p>
      <w:pPr>
        <w:spacing w:line="360" w:lineRule="auto"/>
        <w:ind w:firstLine="480" w:firstLineChars="200"/>
        <w:rPr>
          <w:color w:val="auto"/>
          <w:highlight w:val="none"/>
        </w:rPr>
      </w:pPr>
      <w:r>
        <w:rPr>
          <w:rFonts w:hint="eastAsia"/>
          <w:color w:val="auto"/>
          <w:highlight w:val="none"/>
        </w:rPr>
        <w:t>4. 评标细则及标准</w:t>
      </w:r>
      <w:bookmarkEnd w:id="180"/>
    </w:p>
    <w:p>
      <w:pPr>
        <w:spacing w:line="360" w:lineRule="auto"/>
        <w:ind w:firstLine="480" w:firstLineChars="200"/>
        <w:rPr>
          <w:color w:val="auto"/>
          <w:highlight w:val="none"/>
        </w:rPr>
      </w:pPr>
      <w:r>
        <w:rPr>
          <w:rFonts w:hint="eastAsia"/>
          <w:color w:val="auto"/>
          <w:highlight w:val="none"/>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spacing w:line="360" w:lineRule="auto"/>
        <w:rPr>
          <w:color w:val="auto"/>
          <w:highlight w:val="none"/>
        </w:rPr>
      </w:pPr>
      <w:r>
        <w:rPr>
          <w:rFonts w:hint="eastAsia"/>
          <w:color w:val="auto"/>
          <w:highlight w:val="none"/>
        </w:rPr>
        <w:t>4.2</w:t>
      </w:r>
      <w:bookmarkStart w:id="181" w:name="_Toc217446060"/>
      <w:r>
        <w:rPr>
          <w:rFonts w:hint="eastAsia"/>
          <w:color w:val="auto"/>
          <w:highlight w:val="none"/>
        </w:rPr>
        <w:t>综合评分明细表：</w:t>
      </w:r>
    </w:p>
    <w:tbl>
      <w:tblPr>
        <w:tblStyle w:val="46"/>
        <w:tblW w:w="96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065"/>
        <w:gridCol w:w="825"/>
        <w:gridCol w:w="3891"/>
        <w:gridCol w:w="2676"/>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序号</w:t>
            </w:r>
          </w:p>
        </w:tc>
        <w:tc>
          <w:tcPr>
            <w:tcW w:w="1065"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评分因素</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权重（%）</w:t>
            </w:r>
          </w:p>
        </w:tc>
        <w:tc>
          <w:tcPr>
            <w:tcW w:w="3891"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评分标准</w:t>
            </w:r>
          </w:p>
        </w:tc>
        <w:tc>
          <w:tcPr>
            <w:tcW w:w="2676"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说明</w:t>
            </w:r>
          </w:p>
        </w:tc>
        <w:tc>
          <w:tcPr>
            <w:tcW w:w="567"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6"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1</w:t>
            </w:r>
          </w:p>
        </w:tc>
        <w:tc>
          <w:tcPr>
            <w:tcW w:w="1065"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 xml:space="preserve">报价 </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w:t>
            </w:r>
          </w:p>
        </w:tc>
        <w:tc>
          <w:tcPr>
            <w:tcW w:w="3891"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综合评分法中的价格分统一采用低价优先法计算，即满足</w:t>
            </w:r>
            <w:r>
              <w:rPr>
                <w:rFonts w:hint="eastAsia" w:hAnsi="宋体"/>
                <w:color w:val="auto"/>
                <w:highlight w:val="none"/>
                <w:lang w:eastAsia="zh-CN"/>
              </w:rPr>
              <w:t>招标文件</w:t>
            </w:r>
            <w:r>
              <w:rPr>
                <w:rFonts w:hint="eastAsia" w:hAnsi="宋体" w:eastAsia="宋体"/>
                <w:color w:val="auto"/>
                <w:highlight w:val="none"/>
              </w:rPr>
              <w:t>要求且投标价格最低的投标报价为评标基准价，其价格分为满分。其他投标人的价格分统一按照下列公式计算：</w:t>
            </w:r>
          </w:p>
          <w:p>
            <w:pPr>
              <w:rPr>
                <w:rFonts w:hAnsi="宋体"/>
                <w:color w:val="auto"/>
                <w:highlight w:val="none"/>
              </w:rPr>
            </w:pPr>
            <w:r>
              <w:rPr>
                <w:rFonts w:hint="eastAsia" w:hAnsi="宋体" w:eastAsia="宋体"/>
                <w:color w:val="auto"/>
                <w:highlight w:val="none"/>
              </w:rPr>
              <w:t>投标报价得分=(评标基准价／投标报价)×100×权重</w:t>
            </w:r>
          </w:p>
        </w:tc>
        <w:tc>
          <w:tcPr>
            <w:tcW w:w="2676"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1.小微企业（监狱企业、残疾人福利性单位视同小微企业）价格扣除等政策评分按照本</w:t>
            </w:r>
            <w:r>
              <w:rPr>
                <w:rFonts w:hint="eastAsia" w:hAnsi="宋体"/>
                <w:color w:val="auto"/>
                <w:highlight w:val="none"/>
                <w:lang w:eastAsia="zh-CN"/>
              </w:rPr>
              <w:t>招标文件</w:t>
            </w:r>
            <w:r>
              <w:rPr>
                <w:rFonts w:hint="eastAsia" w:hAnsi="宋体" w:eastAsia="宋体"/>
                <w:color w:val="auto"/>
                <w:highlight w:val="none"/>
              </w:rPr>
              <w:t>投标人须知前附表规定执行。</w:t>
            </w:r>
          </w:p>
          <w:p>
            <w:pPr>
              <w:rPr>
                <w:rFonts w:hAnsi="宋体"/>
                <w:color w:val="auto"/>
                <w:highlight w:val="none"/>
              </w:rPr>
            </w:pPr>
            <w:r>
              <w:rPr>
                <w:rFonts w:hint="eastAsia" w:hAnsi="宋体" w:eastAsia="宋体"/>
                <w:color w:val="auto"/>
                <w:highlight w:val="none"/>
              </w:rPr>
              <w:t>2.监狱企业应当提供由省级以上监狱管理局、戒毒管理局（含新疆生产建设兵团）出具的属于监狱企业的证明</w:t>
            </w:r>
            <w:r>
              <w:rPr>
                <w:rFonts w:hint="eastAsia" w:hAnsi="宋体"/>
                <w:color w:val="auto"/>
                <w:highlight w:val="none"/>
                <w:lang w:eastAsia="zh-CN"/>
              </w:rPr>
              <w:t>文件</w:t>
            </w:r>
            <w:r>
              <w:rPr>
                <w:rFonts w:hint="eastAsia" w:hAnsi="宋体" w:eastAsia="宋体"/>
                <w:color w:val="auto"/>
                <w:highlight w:val="none"/>
              </w:rPr>
              <w:t>（复印件）。</w:t>
            </w:r>
          </w:p>
          <w:p>
            <w:pPr>
              <w:rPr>
                <w:rFonts w:hAnsi="宋体"/>
                <w:color w:val="auto"/>
                <w:highlight w:val="none"/>
              </w:rPr>
            </w:pPr>
            <w:r>
              <w:rPr>
                <w:rFonts w:hint="eastAsia" w:hAnsi="宋体" w:eastAsia="宋体"/>
                <w:color w:val="auto"/>
                <w:highlight w:val="none"/>
              </w:rPr>
              <w:t>3.残疾人福利性单位应当提供《残疾人福利性单位声明函》原件</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价格类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8"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2</w:t>
            </w:r>
          </w:p>
        </w:tc>
        <w:tc>
          <w:tcPr>
            <w:tcW w:w="1065" w:type="dxa"/>
            <w:tcBorders>
              <w:top w:val="single" w:color="auto" w:sz="8" w:space="0"/>
              <w:left w:val="single" w:color="auto" w:sz="8" w:space="0"/>
              <w:bottom w:val="single" w:color="auto" w:sz="8"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技术、配置要求</w:t>
            </w:r>
          </w:p>
        </w:tc>
        <w:tc>
          <w:tcPr>
            <w:tcW w:w="825" w:type="dxa"/>
            <w:tcBorders>
              <w:top w:val="single" w:color="auto" w:sz="8" w:space="0"/>
              <w:left w:val="single" w:color="auto" w:sz="8" w:space="0"/>
              <w:bottom w:val="single" w:color="auto" w:sz="8" w:space="0"/>
              <w:right w:val="single" w:color="auto" w:sz="8" w:space="0"/>
            </w:tcBorders>
            <w:noWrap/>
            <w:vAlign w:val="center"/>
          </w:tcPr>
          <w:p>
            <w:pPr>
              <w:adjustRightIn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55.35</w:t>
            </w:r>
          </w:p>
        </w:tc>
        <w:tc>
          <w:tcPr>
            <w:tcW w:w="3891" w:type="dxa"/>
            <w:tcBorders>
              <w:top w:val="single" w:color="auto" w:sz="8" w:space="0"/>
              <w:left w:val="single" w:color="auto" w:sz="8" w:space="0"/>
              <w:bottom w:val="single" w:color="auto" w:sz="8" w:space="0"/>
              <w:right w:val="single" w:color="auto" w:sz="8" w:space="0"/>
            </w:tcBorders>
            <w:noWrap/>
            <w:vAlign w:val="center"/>
          </w:tcPr>
          <w:p>
            <w:pPr>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1.技术、配置要求及总体商务、服务要求及合同重要条款完全满足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要求没有负偏离的得满分</w:t>
            </w:r>
            <w:r>
              <w:rPr>
                <w:rFonts w:hint="eastAsia" w:ascii="宋体" w:hAnsi="宋体" w:cs="宋体"/>
                <w:color w:val="auto"/>
                <w:szCs w:val="21"/>
                <w:highlight w:val="none"/>
                <w:lang w:val="en-US" w:eastAsia="zh-CN"/>
              </w:rPr>
              <w:t>55.35</w:t>
            </w:r>
            <w:r>
              <w:rPr>
                <w:rFonts w:hint="eastAsia" w:ascii="宋体" w:hAnsi="宋体" w:eastAsia="宋体" w:cs="宋体"/>
                <w:color w:val="auto"/>
                <w:szCs w:val="21"/>
                <w:highlight w:val="none"/>
              </w:rPr>
              <w:t>分；</w:t>
            </w:r>
          </w:p>
          <w:p>
            <w:pPr>
              <w:spacing w:afterLines="50"/>
              <w:rPr>
                <w:rFonts w:ascii="宋体" w:hAnsi="宋体" w:eastAsia="宋体"/>
                <w:color w:val="auto"/>
                <w:szCs w:val="21"/>
                <w:highlight w:val="none"/>
              </w:rPr>
            </w:pPr>
            <w:r>
              <w:rPr>
                <w:rFonts w:hint="eastAsia" w:ascii="宋体" w:hAnsi="宋体" w:eastAsia="宋体" w:cs="宋体"/>
                <w:color w:val="auto"/>
                <w:szCs w:val="21"/>
                <w:highlight w:val="none"/>
              </w:rPr>
              <w:t>2、一般条款（共</w:t>
            </w:r>
            <w:r>
              <w:rPr>
                <w:rFonts w:hint="eastAsia" w:ascii="宋体" w:hAnsi="宋体" w:cs="宋体"/>
                <w:color w:val="auto"/>
                <w:szCs w:val="21"/>
                <w:highlight w:val="none"/>
                <w:lang w:val="en-US" w:eastAsia="zh-CN"/>
              </w:rPr>
              <w:t>102</w:t>
            </w:r>
            <w:r>
              <w:rPr>
                <w:rFonts w:hint="eastAsia" w:ascii="宋体" w:hAnsi="宋体" w:eastAsia="宋体" w:cs="宋体"/>
                <w:color w:val="auto"/>
                <w:szCs w:val="21"/>
                <w:highlight w:val="none"/>
              </w:rPr>
              <w:t>项）负偏离一项扣</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rPr>
              <w:t>分，共计</w:t>
            </w:r>
            <w:r>
              <w:rPr>
                <w:rFonts w:hint="eastAsia" w:ascii="宋体" w:hAnsi="宋体" w:cs="宋体"/>
                <w:color w:val="auto"/>
                <w:szCs w:val="21"/>
                <w:highlight w:val="none"/>
                <w:lang w:val="en-US" w:eastAsia="zh-CN"/>
              </w:rPr>
              <w:t>30.6</w:t>
            </w:r>
            <w:r>
              <w:rPr>
                <w:rFonts w:hint="eastAsia" w:ascii="宋体" w:hAnsi="宋体" w:eastAsia="宋体" w:cs="宋体"/>
                <w:color w:val="auto"/>
                <w:szCs w:val="21"/>
                <w:highlight w:val="none"/>
              </w:rPr>
              <w:t>分；带★号的重要条款（共</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项）负偏离一项扣</w:t>
            </w:r>
            <w:r>
              <w:rPr>
                <w:rFonts w:hint="eastAsia" w:ascii="宋体" w:hAnsi="宋体" w:cs="宋体"/>
                <w:color w:val="auto"/>
                <w:szCs w:val="21"/>
                <w:highlight w:val="none"/>
                <w:lang w:val="en-US" w:eastAsia="zh-CN"/>
              </w:rPr>
              <w:t>2.75</w:t>
            </w:r>
            <w:r>
              <w:rPr>
                <w:rFonts w:hint="eastAsia" w:ascii="宋体" w:hAnsi="宋体" w:eastAsia="宋体" w:cs="宋体"/>
                <w:color w:val="auto"/>
                <w:szCs w:val="21"/>
                <w:highlight w:val="none"/>
              </w:rPr>
              <w:t>分，共计</w:t>
            </w:r>
            <w:r>
              <w:rPr>
                <w:rFonts w:hint="eastAsia" w:ascii="宋体" w:hAnsi="宋体" w:cs="宋体"/>
                <w:color w:val="auto"/>
                <w:szCs w:val="21"/>
                <w:highlight w:val="none"/>
                <w:lang w:val="en-US" w:eastAsia="zh-CN"/>
              </w:rPr>
              <w:t>24.75</w:t>
            </w:r>
            <w:r>
              <w:rPr>
                <w:rFonts w:hint="eastAsia" w:ascii="宋体" w:hAnsi="宋体" w:eastAsia="宋体" w:cs="宋体"/>
                <w:color w:val="auto"/>
                <w:szCs w:val="21"/>
                <w:highlight w:val="none"/>
              </w:rPr>
              <w:t>分。</w:t>
            </w:r>
          </w:p>
          <w:p>
            <w:pPr>
              <w:pStyle w:val="2"/>
              <w:rPr>
                <w:color w:val="auto"/>
                <w:highlight w:val="none"/>
                <w:lang w:val="en-US" w:eastAsia="zh-CN"/>
              </w:rPr>
            </w:pPr>
          </w:p>
        </w:tc>
        <w:tc>
          <w:tcPr>
            <w:tcW w:w="2676" w:type="dxa"/>
            <w:tcBorders>
              <w:top w:val="single" w:color="auto" w:sz="8" w:space="0"/>
              <w:left w:val="single" w:color="auto" w:sz="8" w:space="0"/>
              <w:bottom w:val="single" w:color="auto" w:sz="8" w:space="0"/>
              <w:right w:val="single" w:color="auto" w:sz="8" w:space="0"/>
            </w:tcBorders>
            <w:noWrap/>
            <w:vAlign w:val="center"/>
          </w:tcPr>
          <w:p>
            <w:pPr>
              <w:adjustRightInd w:val="0"/>
              <w:rPr>
                <w:color w:val="auto"/>
                <w:highlight w:val="none"/>
                <w:lang w:val="en-US" w:eastAsia="zh-CN"/>
              </w:rPr>
            </w:pPr>
            <w:r>
              <w:rPr>
                <w:rFonts w:hint="eastAsia" w:eastAsia="宋体"/>
                <w:color w:val="auto"/>
                <w:highlight w:val="none"/>
              </w:rPr>
              <w:t>以投标</w:t>
            </w:r>
            <w:r>
              <w:rPr>
                <w:rFonts w:hint="eastAsia"/>
                <w:color w:val="auto"/>
                <w:highlight w:val="none"/>
                <w:lang w:eastAsia="zh-CN"/>
              </w:rPr>
              <w:t>文件</w:t>
            </w:r>
            <w:r>
              <w:rPr>
                <w:rFonts w:hint="eastAsia" w:eastAsia="宋体"/>
                <w:color w:val="auto"/>
                <w:highlight w:val="none"/>
              </w:rPr>
              <w:t>为准，重要参数应提供厂家彩页或白皮书等佐证材料（具体</w:t>
            </w:r>
            <w:r>
              <w:rPr>
                <w:rFonts w:hint="eastAsia" w:eastAsia="宋体"/>
                <w:color w:val="auto"/>
                <w:highlight w:val="none"/>
                <w:lang w:eastAsia="zh-CN"/>
              </w:rPr>
              <w:t>参数</w:t>
            </w:r>
            <w:r>
              <w:rPr>
                <w:rFonts w:hint="eastAsia" w:eastAsia="宋体"/>
                <w:color w:val="auto"/>
                <w:highlight w:val="none"/>
              </w:rPr>
              <w:t>里面有明确要求的证明材料的以具体要求为准），如无佐证材料的，将视为负偏离不得分。</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技</w:t>
            </w:r>
          </w:p>
          <w:p>
            <w:pPr>
              <w:rPr>
                <w:rFonts w:hAnsi="宋体" w:cs="宋体"/>
                <w:color w:val="auto"/>
                <w:highlight w:val="none"/>
              </w:rPr>
            </w:pPr>
            <w:r>
              <w:rPr>
                <w:rFonts w:hint="eastAsia" w:hAnsi="宋体" w:eastAsia="宋体" w:cs="宋体"/>
                <w:color w:val="auto"/>
                <w:highlight w:val="none"/>
              </w:rPr>
              <w:t>术</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2" w:hRule="atLeast"/>
          <w:jc w:val="center"/>
        </w:trPr>
        <w:tc>
          <w:tcPr>
            <w:tcW w:w="582" w:type="dxa"/>
            <w:tcBorders>
              <w:top w:val="single" w:color="auto" w:sz="8" w:space="0"/>
              <w:left w:val="single" w:color="auto" w:sz="8" w:space="0"/>
              <w:bottom w:val="single" w:color="auto" w:sz="4"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3</w:t>
            </w:r>
          </w:p>
        </w:tc>
        <w:tc>
          <w:tcPr>
            <w:tcW w:w="1065" w:type="dxa"/>
            <w:tcBorders>
              <w:top w:val="single" w:color="auto" w:sz="8" w:space="0"/>
              <w:left w:val="single" w:color="auto" w:sz="8" w:space="0"/>
              <w:bottom w:val="single" w:color="auto" w:sz="4" w:space="0"/>
              <w:right w:val="single" w:color="auto" w:sz="8" w:space="0"/>
            </w:tcBorders>
            <w:noWrap/>
            <w:vAlign w:val="center"/>
          </w:tcPr>
          <w:p>
            <w:pPr>
              <w:rPr>
                <w:rFonts w:hAnsi="宋体"/>
                <w:color w:val="auto"/>
                <w:highlight w:val="none"/>
              </w:rPr>
            </w:pPr>
            <w:r>
              <w:rPr>
                <w:rFonts w:hint="eastAsia" w:hAnsi="宋体" w:eastAsia="宋体"/>
                <w:color w:val="auto"/>
                <w:highlight w:val="none"/>
              </w:rPr>
              <w:t>有利于项目实施的承诺</w:t>
            </w:r>
          </w:p>
        </w:tc>
        <w:tc>
          <w:tcPr>
            <w:tcW w:w="825" w:type="dxa"/>
            <w:tcBorders>
              <w:top w:val="single" w:color="auto" w:sz="4" w:space="0"/>
              <w:left w:val="single" w:color="auto" w:sz="8" w:space="0"/>
              <w:bottom w:val="single" w:color="auto" w:sz="4" w:space="0"/>
              <w:right w:val="single" w:color="auto" w:sz="8" w:space="0"/>
            </w:tcBorders>
            <w:noWrap/>
            <w:vAlign w:val="center"/>
          </w:tcPr>
          <w:p>
            <w:pPr>
              <w:adjustRightIn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3891" w:type="dxa"/>
            <w:tcBorders>
              <w:top w:val="single" w:color="auto" w:sz="4" w:space="0"/>
              <w:left w:val="single" w:color="auto" w:sz="8" w:space="0"/>
              <w:bottom w:val="single" w:color="auto" w:sz="4" w:space="0"/>
              <w:right w:val="single" w:color="auto" w:sz="8" w:space="0"/>
            </w:tcBorders>
            <w:noWrap/>
            <w:vAlign w:val="center"/>
          </w:tcPr>
          <w:p>
            <w:pPr>
              <w:tabs>
                <w:tab w:val="left" w:pos="540"/>
              </w:tabs>
              <w:rPr>
                <w:rFonts w:hint="eastAsia" w:hAnsi="宋体" w:eastAsia="宋体"/>
                <w:color w:val="auto"/>
                <w:highlight w:val="none"/>
                <w:lang w:eastAsia="zh-CN"/>
              </w:rPr>
            </w:pPr>
            <w:r>
              <w:rPr>
                <w:rFonts w:hint="eastAsia" w:ascii="宋体" w:hAnsi="宋体" w:eastAsia="宋体" w:cs="宋体"/>
                <w:color w:val="auto"/>
                <w:szCs w:val="21"/>
                <w:highlight w:val="none"/>
              </w:rPr>
              <w:t>供应商在满足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质保期的前提下，承诺每延长2个月质保期加0.5分，最多加3分</w:t>
            </w:r>
            <w:r>
              <w:rPr>
                <w:rFonts w:hint="eastAsia"/>
                <w:color w:val="auto"/>
                <w:lang w:eastAsia="zh-CN"/>
              </w:rPr>
              <w:t>。</w:t>
            </w:r>
          </w:p>
        </w:tc>
        <w:tc>
          <w:tcPr>
            <w:tcW w:w="2676" w:type="dxa"/>
            <w:tcBorders>
              <w:top w:val="single" w:color="auto" w:sz="4" w:space="0"/>
              <w:left w:val="single" w:color="auto" w:sz="8" w:space="0"/>
              <w:bottom w:val="single" w:color="auto" w:sz="4"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以投标</w:t>
            </w:r>
            <w:r>
              <w:rPr>
                <w:rFonts w:hint="eastAsia" w:hAnsi="宋体"/>
                <w:color w:val="auto"/>
                <w:highlight w:val="none"/>
                <w:lang w:eastAsia="zh-CN"/>
              </w:rPr>
              <w:t>文件</w:t>
            </w:r>
            <w:r>
              <w:rPr>
                <w:rFonts w:hint="eastAsia" w:hAnsi="宋体" w:eastAsia="宋体"/>
                <w:color w:val="auto"/>
                <w:highlight w:val="none"/>
              </w:rPr>
              <w:t>为准</w:t>
            </w:r>
          </w:p>
        </w:tc>
        <w:tc>
          <w:tcPr>
            <w:tcW w:w="567" w:type="dxa"/>
            <w:tcBorders>
              <w:top w:val="single" w:color="auto" w:sz="8" w:space="0"/>
              <w:left w:val="single" w:color="auto" w:sz="8" w:space="0"/>
              <w:bottom w:val="single" w:color="auto" w:sz="4" w:space="0"/>
              <w:right w:val="single" w:color="auto" w:sz="8" w:space="0"/>
            </w:tcBorders>
            <w:noWrap/>
            <w:vAlign w:val="center"/>
          </w:tcPr>
          <w:p>
            <w:pPr>
              <w:rPr>
                <w:rFonts w:hAnsi="宋体" w:cs="宋体"/>
                <w:color w:val="auto"/>
                <w:highlight w:val="none"/>
              </w:rPr>
            </w:pPr>
          </w:p>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jc w:val="center"/>
        </w:trPr>
        <w:tc>
          <w:tcPr>
            <w:tcW w:w="582" w:type="dxa"/>
            <w:tcBorders>
              <w:top w:val="single" w:color="auto" w:sz="4"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Ansi="宋体" w:eastAsia="宋体" w:cs="宋体"/>
                <w:color w:val="auto"/>
                <w:highlight w:val="none"/>
              </w:rPr>
              <w:t>4</w:t>
            </w:r>
          </w:p>
        </w:tc>
        <w:tc>
          <w:tcPr>
            <w:tcW w:w="1065" w:type="dxa"/>
            <w:tcBorders>
              <w:top w:val="single" w:color="auto" w:sz="4" w:space="0"/>
              <w:left w:val="single" w:color="auto" w:sz="8" w:space="0"/>
              <w:bottom w:val="single" w:color="auto" w:sz="8" w:space="0"/>
              <w:right w:val="single" w:color="auto" w:sz="8" w:space="0"/>
            </w:tcBorders>
            <w:noWrap/>
            <w:vAlign w:val="center"/>
          </w:tcPr>
          <w:p>
            <w:pPr>
              <w:rPr>
                <w:rFonts w:ascii="微软雅黑" w:hAnsi="微软雅黑" w:cs="宋体"/>
                <w:color w:val="auto"/>
                <w:highlight w:val="none"/>
              </w:rPr>
            </w:pPr>
            <w:r>
              <w:rPr>
                <w:rFonts w:hint="eastAsia" w:ascii="微软雅黑" w:hAnsi="微软雅黑" w:eastAsia="宋体" w:cs="宋体"/>
                <w:color w:val="auto"/>
                <w:highlight w:val="none"/>
              </w:rPr>
              <w:t>交货履约能力及综合实力</w:t>
            </w:r>
          </w:p>
        </w:tc>
        <w:tc>
          <w:tcPr>
            <w:tcW w:w="825" w:type="dxa"/>
            <w:tcBorders>
              <w:top w:val="single" w:color="auto" w:sz="4" w:space="0"/>
              <w:left w:val="single" w:color="auto" w:sz="8" w:space="0"/>
              <w:bottom w:val="single" w:color="auto" w:sz="8" w:space="0"/>
              <w:right w:val="single" w:color="auto" w:sz="8" w:space="0"/>
            </w:tcBorders>
            <w:noWrap/>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3891" w:type="dxa"/>
            <w:tcBorders>
              <w:top w:val="single" w:color="auto" w:sz="4" w:space="0"/>
              <w:left w:val="single" w:color="auto" w:sz="8" w:space="0"/>
              <w:bottom w:val="single" w:color="auto" w:sz="8" w:space="0"/>
              <w:right w:val="single" w:color="auto" w:sz="8" w:space="0"/>
            </w:tcBorders>
            <w:noWrap/>
            <w:vAlign w:val="center"/>
          </w:tcPr>
          <w:p>
            <w:pPr>
              <w:tabs>
                <w:tab w:val="left" w:pos="540"/>
              </w:tabs>
              <w:spacing w:afterLine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1.同型号投标产品的业绩：有一份得0.5分，最多得3分。无业绩不得分</w:t>
            </w:r>
            <w:r>
              <w:rPr>
                <w:rFonts w:hint="eastAsia"/>
                <w:color w:val="auto"/>
                <w:lang w:eastAsia="zh-CN"/>
              </w:rPr>
              <w:t>。</w:t>
            </w:r>
          </w:p>
          <w:p>
            <w:pPr>
              <w:tabs>
                <w:tab w:val="left" w:pos="540"/>
              </w:tabs>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（需提供合同复印件或中标通知书复印件加盖投标人鲜章）</w:t>
            </w:r>
          </w:p>
          <w:p>
            <w:pPr>
              <w:tabs>
                <w:tab w:val="left" w:pos="540"/>
              </w:tabs>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2.投标人或生产厂家通过ISO9001质量管理体系认证或ISO13485体系认证证书或ISO14001认证证书的，一个得1分；最高得3分。</w:t>
            </w:r>
          </w:p>
          <w:p>
            <w:pPr>
              <w:adjustRightInd w:val="0"/>
              <w:rPr>
                <w:rFonts w:hAnsi="宋体"/>
                <w:color w:val="auto"/>
                <w:highlight w:val="none"/>
              </w:rPr>
            </w:pPr>
            <w:r>
              <w:rPr>
                <w:rFonts w:hint="eastAsia" w:ascii="宋体" w:hAnsi="宋体" w:eastAsia="宋体" w:cs="宋体"/>
                <w:color w:val="auto"/>
                <w:szCs w:val="21"/>
                <w:highlight w:val="none"/>
              </w:rPr>
              <w:t>（提供有效证书复印件加盖投标人鲜章）</w:t>
            </w:r>
          </w:p>
        </w:tc>
        <w:tc>
          <w:tcPr>
            <w:tcW w:w="2676" w:type="dxa"/>
            <w:tcBorders>
              <w:top w:val="single" w:color="auto" w:sz="4" w:space="0"/>
              <w:left w:val="single" w:color="auto" w:sz="8" w:space="0"/>
              <w:bottom w:val="single" w:color="auto" w:sz="8"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以投标</w:t>
            </w:r>
            <w:r>
              <w:rPr>
                <w:rFonts w:hint="eastAsia" w:hAnsi="宋体"/>
                <w:color w:val="auto"/>
                <w:highlight w:val="none"/>
                <w:lang w:eastAsia="zh-CN"/>
              </w:rPr>
              <w:t>文件</w:t>
            </w:r>
            <w:r>
              <w:rPr>
                <w:rFonts w:hint="eastAsia" w:hAnsi="宋体" w:eastAsia="宋体"/>
                <w:color w:val="auto"/>
                <w:highlight w:val="none"/>
              </w:rPr>
              <w:t>为准</w:t>
            </w:r>
          </w:p>
        </w:tc>
        <w:tc>
          <w:tcPr>
            <w:tcW w:w="567" w:type="dxa"/>
            <w:tcBorders>
              <w:top w:val="single" w:color="auto" w:sz="4"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5</w:t>
            </w:r>
          </w:p>
        </w:tc>
        <w:tc>
          <w:tcPr>
            <w:tcW w:w="1065"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节能、环境标志、无线局域网产品</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0.65</w:t>
            </w:r>
          </w:p>
        </w:tc>
        <w:tc>
          <w:tcPr>
            <w:tcW w:w="3891" w:type="dxa"/>
            <w:tcBorders>
              <w:top w:val="single" w:color="auto" w:sz="8" w:space="0"/>
              <w:left w:val="single" w:color="auto" w:sz="8" w:space="0"/>
              <w:bottom w:val="single" w:color="auto" w:sz="8" w:space="0"/>
              <w:right w:val="single" w:color="auto" w:sz="8" w:space="0"/>
            </w:tcBorders>
            <w:noWrap/>
            <w:vAlign w:val="center"/>
          </w:tcPr>
          <w:p>
            <w:pPr>
              <w:rPr>
                <w:rFonts w:ascii="宋体" w:hAnsi="宋体" w:cs="宋体"/>
                <w:color w:val="auto"/>
                <w:highlight w:val="none"/>
              </w:rPr>
            </w:pPr>
            <w:r>
              <w:rPr>
                <w:rFonts w:hint="eastAsia" w:ascii="宋体" w:hAnsi="宋体" w:eastAsia="宋体" w:cs="宋体"/>
                <w:color w:val="auto"/>
                <w:highlight w:val="none"/>
              </w:rPr>
              <w:t>国家强制采购产品除外，认定为政府采购节能产品或者政府采购环境标志产品或者无线局域网产品的得</w:t>
            </w:r>
            <w:r>
              <w:rPr>
                <w:rFonts w:hint="eastAsia" w:ascii="宋体" w:hAnsi="宋体" w:cs="宋体"/>
                <w:color w:val="auto"/>
                <w:highlight w:val="none"/>
                <w:lang w:val="en-US" w:eastAsia="zh-CN"/>
              </w:rPr>
              <w:t>0.65</w:t>
            </w:r>
            <w:r>
              <w:rPr>
                <w:rFonts w:hint="eastAsia" w:ascii="宋体" w:hAnsi="宋体" w:eastAsia="宋体" w:cs="宋体"/>
                <w:color w:val="auto"/>
                <w:highlight w:val="none"/>
              </w:rPr>
              <w:t>分。非政府采购节能、环境标志产品的、无线局域网产品的不得分。</w:t>
            </w:r>
          </w:p>
          <w:p>
            <w:pPr>
              <w:rPr>
                <w:rFonts w:hAnsi="宋体" w:cs="宋体"/>
                <w:color w:val="auto"/>
                <w:highlight w:val="none"/>
              </w:rPr>
            </w:pPr>
            <w:r>
              <w:rPr>
                <w:rFonts w:hint="eastAsia" w:ascii="宋体" w:hAnsi="宋体" w:eastAsia="宋体" w:cs="宋体"/>
                <w:color w:val="auto"/>
                <w:highlight w:val="none"/>
              </w:rPr>
              <w:t>注：以财政部会同国务院有关部门机构颁发的最新</w:t>
            </w:r>
            <w:r>
              <w:rPr>
                <w:rFonts w:hint="eastAsia" w:ascii="宋体" w:hAnsi="宋体" w:cs="宋体"/>
                <w:color w:val="auto"/>
                <w:highlight w:val="none"/>
                <w:lang w:eastAsia="zh-CN"/>
              </w:rPr>
              <w:t>文件</w:t>
            </w:r>
            <w:r>
              <w:rPr>
                <w:rFonts w:hint="eastAsia" w:ascii="宋体" w:hAnsi="宋体" w:eastAsia="宋体" w:cs="宋体"/>
                <w:color w:val="auto"/>
                <w:highlight w:val="none"/>
              </w:rPr>
              <w:t>为准。</w:t>
            </w:r>
          </w:p>
        </w:tc>
        <w:tc>
          <w:tcPr>
            <w:tcW w:w="2676" w:type="dxa"/>
            <w:tcBorders>
              <w:top w:val="single" w:color="auto" w:sz="8" w:space="0"/>
              <w:left w:val="single" w:color="auto" w:sz="8" w:space="0"/>
              <w:bottom w:val="single" w:color="auto" w:sz="8" w:space="0"/>
              <w:right w:val="single" w:color="auto" w:sz="8" w:space="0"/>
            </w:tcBorders>
            <w:noWrap/>
            <w:vAlign w:val="center"/>
          </w:tcPr>
          <w:p>
            <w:pPr>
              <w:rPr>
                <w:rFonts w:ascii="宋体" w:hAnsi="宋体" w:cs="宋体"/>
                <w:color w:val="auto"/>
                <w:highlight w:val="none"/>
              </w:rPr>
            </w:pPr>
            <w:r>
              <w:rPr>
                <w:rFonts w:hint="eastAsia" w:ascii="宋体" w:hAnsi="宋体" w:eastAsia="宋体" w:cs="宋体"/>
                <w:color w:val="auto"/>
                <w:highlight w:val="none"/>
              </w:rPr>
              <w:t>投标产品提供满足环境标志产品政府采购品目清单规定或节能产品政府采购品目清单规定的相关认证证明材料复印件或投标人提供所投产品在中国政府采购网“http://www.ccgp.gov.cn/jnhb/jnhbqd/”节能产品查询、环保标志产品查询中对应所投产品型号的查询截图，并加盖单位公章，属于无线局域网产品提供相关证明材料。</w:t>
            </w:r>
          </w:p>
          <w:p>
            <w:pPr>
              <w:rPr>
                <w:rFonts w:hAnsi="宋体" w:cs="宋体"/>
                <w:color w:val="auto"/>
                <w:highlight w:val="none"/>
              </w:rPr>
            </w:pPr>
            <w:r>
              <w:rPr>
                <w:rFonts w:hint="eastAsia" w:ascii="宋体" w:hAnsi="宋体" w:eastAsia="宋体" w:cs="宋体"/>
                <w:color w:val="auto"/>
                <w:highlight w:val="none"/>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bl>
    <w:p>
      <w:pPr>
        <w:spacing w:line="360" w:lineRule="auto"/>
        <w:ind w:firstLine="480" w:firstLineChars="200"/>
        <w:rPr>
          <w:color w:val="auto"/>
          <w:highlight w:val="none"/>
        </w:rPr>
      </w:pPr>
      <w:r>
        <w:rPr>
          <w:rFonts w:hint="eastAsia"/>
          <w:color w:val="auto"/>
          <w:highlight w:val="none"/>
        </w:rPr>
        <w:t>注：1.评标时，评标委员会各成员应当独立对每个投标人的投标文件进行评价，并汇总每个投标人的得分。</w:t>
      </w:r>
    </w:p>
    <w:p>
      <w:pPr>
        <w:spacing w:line="360" w:lineRule="auto"/>
        <w:ind w:firstLine="480" w:firstLineChars="200"/>
        <w:rPr>
          <w:color w:val="auto"/>
          <w:highlight w:val="none"/>
        </w:rPr>
      </w:pPr>
      <w:r>
        <w:rPr>
          <w:rFonts w:hint="eastAsia"/>
          <w:color w:val="auto"/>
          <w:highlight w:val="none"/>
        </w:rPr>
        <w:t xml:space="preserve">    2.评分的取值按四舍五入法，保留小数点后两位。</w:t>
      </w:r>
    </w:p>
    <w:p>
      <w:pPr>
        <w:pStyle w:val="5"/>
        <w:spacing w:line="360" w:lineRule="auto"/>
        <w:rPr>
          <w:color w:val="auto"/>
          <w:highlight w:val="none"/>
        </w:rPr>
      </w:pPr>
      <w:r>
        <w:rPr>
          <w:rFonts w:hint="eastAsia"/>
          <w:color w:val="auto"/>
          <w:highlight w:val="none"/>
        </w:rPr>
        <w:t>5、 废 标</w:t>
      </w:r>
    </w:p>
    <w:p>
      <w:pPr>
        <w:spacing w:line="360" w:lineRule="auto"/>
        <w:ind w:firstLine="480" w:firstLineChars="200"/>
        <w:rPr>
          <w:color w:val="auto"/>
          <w:highlight w:val="none"/>
        </w:rPr>
      </w:pPr>
      <w:r>
        <w:rPr>
          <w:rFonts w:hint="eastAsia"/>
          <w:color w:val="auto"/>
          <w:highlight w:val="none"/>
        </w:rPr>
        <w:t>5.1本次政府采购活动中，出现下列情形之一的，予以废标：</w:t>
      </w:r>
    </w:p>
    <w:p>
      <w:pPr>
        <w:spacing w:line="360" w:lineRule="auto"/>
        <w:ind w:firstLine="480" w:firstLineChars="200"/>
        <w:rPr>
          <w:color w:val="auto"/>
          <w:highlight w:val="none"/>
        </w:rPr>
      </w:pPr>
      <w:r>
        <w:rPr>
          <w:rFonts w:hint="eastAsia"/>
          <w:color w:val="auto"/>
          <w:highlight w:val="none"/>
        </w:rPr>
        <w:t>（1）符合专业条件的供应商或者对招标文件作实质响应的供应商不足三家的；</w:t>
      </w:r>
    </w:p>
    <w:p>
      <w:pPr>
        <w:spacing w:line="360" w:lineRule="auto"/>
        <w:ind w:firstLine="480" w:firstLineChars="200"/>
        <w:rPr>
          <w:color w:val="auto"/>
          <w:highlight w:val="none"/>
        </w:rPr>
      </w:pPr>
      <w:r>
        <w:rPr>
          <w:rFonts w:hint="eastAsia"/>
          <w:color w:val="auto"/>
          <w:highlight w:val="none"/>
        </w:rPr>
        <w:t>（2）出现影响采购公正的违法、违规行为的；</w:t>
      </w:r>
    </w:p>
    <w:p>
      <w:pPr>
        <w:spacing w:line="360" w:lineRule="auto"/>
        <w:ind w:firstLine="480" w:firstLineChars="200"/>
        <w:rPr>
          <w:color w:val="auto"/>
          <w:highlight w:val="none"/>
        </w:rPr>
      </w:pPr>
      <w:r>
        <w:rPr>
          <w:rFonts w:hint="eastAsia"/>
          <w:color w:val="auto"/>
          <w:highlight w:val="none"/>
        </w:rPr>
        <w:t>（3）投标人的报价均超过了采购预算，采购人不能支付的；</w:t>
      </w:r>
    </w:p>
    <w:p>
      <w:pPr>
        <w:spacing w:line="360" w:lineRule="auto"/>
        <w:ind w:firstLine="480" w:firstLineChars="200"/>
        <w:rPr>
          <w:color w:val="auto"/>
          <w:highlight w:val="none"/>
        </w:rPr>
      </w:pPr>
      <w:r>
        <w:rPr>
          <w:rFonts w:hint="eastAsia"/>
          <w:color w:val="auto"/>
          <w:highlight w:val="none"/>
        </w:rPr>
        <w:t>（4）因重大变故，采购任务取消的。</w:t>
      </w:r>
    </w:p>
    <w:p>
      <w:pPr>
        <w:spacing w:line="360" w:lineRule="auto"/>
        <w:ind w:firstLine="480" w:firstLineChars="200"/>
        <w:rPr>
          <w:color w:val="auto"/>
          <w:highlight w:val="none"/>
        </w:rPr>
      </w:pPr>
      <w:r>
        <w:rPr>
          <w:rFonts w:hint="eastAsia"/>
          <w:color w:val="auto"/>
          <w:highlight w:val="none"/>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color w:val="auto"/>
          <w:highlight w:val="none"/>
        </w:rPr>
      </w:pPr>
      <w:r>
        <w:rPr>
          <w:rFonts w:hint="eastAsia"/>
          <w:color w:val="auto"/>
          <w:highlight w:val="none"/>
        </w:rPr>
        <w:t>5.2对于评标过程中废标的采购项目，评标委员会应当对招标文件是否存在倾向性和歧视性、是否存在不合理条款进行论证，并出具书面论证意见。</w:t>
      </w:r>
    </w:p>
    <w:p>
      <w:pPr>
        <w:pStyle w:val="5"/>
        <w:spacing w:line="360" w:lineRule="auto"/>
        <w:rPr>
          <w:color w:val="auto"/>
          <w:highlight w:val="none"/>
        </w:rPr>
      </w:pPr>
      <w:r>
        <w:rPr>
          <w:rFonts w:hint="eastAsia"/>
          <w:color w:val="auto"/>
          <w:highlight w:val="none"/>
        </w:rPr>
        <w:t>6、定标</w:t>
      </w:r>
      <w:bookmarkEnd w:id="181"/>
      <w:bookmarkStart w:id="182" w:name="_Toc217446061"/>
    </w:p>
    <w:p>
      <w:pPr>
        <w:spacing w:line="360" w:lineRule="auto"/>
        <w:ind w:firstLine="480" w:firstLineChars="200"/>
        <w:rPr>
          <w:color w:val="auto"/>
          <w:highlight w:val="none"/>
        </w:rPr>
      </w:pPr>
      <w:r>
        <w:rPr>
          <w:rFonts w:hint="eastAsia"/>
          <w:color w:val="auto"/>
          <w:highlight w:val="none"/>
        </w:rPr>
        <w:t>6.1. 定标原则</w:t>
      </w:r>
      <w:bookmarkEnd w:id="182"/>
      <w:r>
        <w:rPr>
          <w:rFonts w:hint="eastAsia"/>
          <w:color w:val="auto"/>
          <w:highlight w:val="none"/>
        </w:rPr>
        <w:t>：本项目根据评标委员会推荐的中标候选供应商名单，按顺序确定中标供应商。</w:t>
      </w:r>
    </w:p>
    <w:p>
      <w:pPr>
        <w:spacing w:line="360" w:lineRule="auto"/>
        <w:ind w:firstLine="480" w:firstLineChars="200"/>
        <w:rPr>
          <w:color w:val="auto"/>
          <w:highlight w:val="none"/>
        </w:rPr>
      </w:pPr>
      <w:bookmarkStart w:id="183" w:name="_Toc217446062"/>
      <w:r>
        <w:rPr>
          <w:rFonts w:hint="eastAsia"/>
          <w:color w:val="auto"/>
          <w:highlight w:val="none"/>
        </w:rPr>
        <w:t>6.2. 定标程序</w:t>
      </w:r>
      <w:bookmarkEnd w:id="183"/>
    </w:p>
    <w:p>
      <w:pPr>
        <w:spacing w:line="360" w:lineRule="auto"/>
        <w:ind w:firstLine="480" w:firstLineChars="200"/>
        <w:rPr>
          <w:color w:val="auto"/>
          <w:highlight w:val="none"/>
        </w:rPr>
      </w:pPr>
      <w:r>
        <w:rPr>
          <w:rFonts w:hint="eastAsia"/>
          <w:color w:val="auto"/>
          <w:highlight w:val="none"/>
        </w:rPr>
        <w:t>6.2.1 评标委员会将评标情况写出书面报告，推荐中标候选供应商。</w:t>
      </w:r>
    </w:p>
    <w:p>
      <w:pPr>
        <w:spacing w:line="360" w:lineRule="auto"/>
        <w:ind w:firstLine="480" w:firstLineChars="200"/>
        <w:rPr>
          <w:color w:val="auto"/>
          <w:highlight w:val="none"/>
        </w:rPr>
      </w:pPr>
      <w:r>
        <w:rPr>
          <w:rFonts w:hint="eastAsia"/>
          <w:color w:val="auto"/>
          <w:highlight w:val="none"/>
        </w:rPr>
        <w:t>6.2.2 采购代理机构在评标结束之日起2个工作日内将评标报告送采购人。</w:t>
      </w:r>
    </w:p>
    <w:p>
      <w:pPr>
        <w:spacing w:line="360" w:lineRule="auto"/>
        <w:ind w:firstLine="480" w:firstLineChars="200"/>
        <w:rPr>
          <w:color w:val="auto"/>
          <w:highlight w:val="none"/>
        </w:rPr>
      </w:pPr>
      <w:r>
        <w:rPr>
          <w:rFonts w:hint="eastAsia"/>
          <w:color w:val="auto"/>
          <w:highlight w:val="none"/>
        </w:rPr>
        <w:t>6.2.3 采购人在收到评标报告之日起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2" w:firstLineChars="200"/>
        <w:rPr>
          <w:b/>
          <w:color w:val="auto"/>
          <w:highlight w:val="none"/>
        </w:rPr>
      </w:pPr>
      <w:r>
        <w:rPr>
          <w:rFonts w:hint="eastAsia"/>
          <w:b/>
          <w:color w:val="auto"/>
          <w:highlight w:val="none"/>
        </w:rPr>
        <w:t>6.2.4 中标公告期限为1个工作日。</w:t>
      </w:r>
    </w:p>
    <w:p>
      <w:pPr>
        <w:spacing w:line="360" w:lineRule="auto"/>
        <w:ind w:firstLine="480" w:firstLineChars="200"/>
        <w:rPr>
          <w:color w:val="auto"/>
          <w:highlight w:val="none"/>
        </w:rPr>
      </w:pPr>
      <w:r>
        <w:rPr>
          <w:rFonts w:hint="eastAsia"/>
          <w:color w:val="auto"/>
          <w:highlight w:val="none"/>
        </w:rPr>
        <w:t>6.2.5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color w:val="auto"/>
          <w:highlight w:val="none"/>
        </w:rPr>
      </w:pPr>
      <w:r>
        <w:rPr>
          <w:rFonts w:hint="eastAsia"/>
          <w:color w:val="auto"/>
          <w:highlight w:val="none"/>
        </w:rPr>
        <w:t>6.2.6 招标采购单位不退回投标人投标文件和其他投标资料。</w:t>
      </w:r>
    </w:p>
    <w:p>
      <w:pPr>
        <w:pStyle w:val="5"/>
        <w:spacing w:line="360" w:lineRule="auto"/>
        <w:rPr>
          <w:color w:val="auto"/>
          <w:highlight w:val="none"/>
        </w:rPr>
      </w:pPr>
      <w:bookmarkStart w:id="184" w:name="_Toc183582297"/>
      <w:bookmarkStart w:id="185" w:name="_Toc183682432"/>
      <w:bookmarkStart w:id="186" w:name="_Toc217446105"/>
      <w:bookmarkStart w:id="187" w:name="_Toc208849022"/>
      <w:r>
        <w:rPr>
          <w:rFonts w:hint="eastAsia"/>
          <w:color w:val="auto"/>
          <w:highlight w:val="none"/>
        </w:rPr>
        <w:t xml:space="preserve">7. </w:t>
      </w:r>
      <w:bookmarkEnd w:id="184"/>
      <w:bookmarkEnd w:id="185"/>
      <w:bookmarkEnd w:id="186"/>
      <w:bookmarkEnd w:id="187"/>
      <w:r>
        <w:rPr>
          <w:rFonts w:hint="eastAsia"/>
          <w:color w:val="auto"/>
          <w:highlight w:val="none"/>
        </w:rPr>
        <w:t>评标专家在政府采购活动中承担以下义务：</w:t>
      </w:r>
    </w:p>
    <w:p>
      <w:pPr>
        <w:spacing w:line="360" w:lineRule="auto"/>
        <w:ind w:firstLine="480" w:firstLineChars="200"/>
        <w:rPr>
          <w:color w:val="auto"/>
          <w:highlight w:val="none"/>
        </w:rPr>
      </w:pPr>
      <w:r>
        <w:rPr>
          <w:rFonts w:hint="eastAsia"/>
          <w:color w:val="auto"/>
          <w:highlight w:val="none"/>
        </w:rPr>
        <w:t xml:space="preserve">（一）遵守评审工作纪律； </w:t>
      </w:r>
    </w:p>
    <w:p>
      <w:pPr>
        <w:spacing w:line="360" w:lineRule="auto"/>
        <w:ind w:firstLine="480" w:firstLineChars="200"/>
        <w:rPr>
          <w:color w:val="auto"/>
          <w:highlight w:val="none"/>
        </w:rPr>
      </w:pPr>
      <w:r>
        <w:rPr>
          <w:rFonts w:hint="eastAsia"/>
          <w:color w:val="auto"/>
          <w:highlight w:val="none"/>
        </w:rPr>
        <w:t>（二）按照客观、公正、审慎的原则，根据采购文件规定的评审程序、评审方法和评审标准进行独立评审；</w:t>
      </w:r>
    </w:p>
    <w:p>
      <w:pPr>
        <w:spacing w:line="360" w:lineRule="auto"/>
        <w:ind w:firstLine="480" w:firstLineChars="200"/>
        <w:rPr>
          <w:color w:val="auto"/>
          <w:highlight w:val="none"/>
        </w:rPr>
      </w:pPr>
      <w:r>
        <w:rPr>
          <w:rFonts w:hint="eastAsia"/>
          <w:color w:val="auto"/>
          <w:highlight w:val="none"/>
        </w:rPr>
        <w:t>（三）不得泄露评审文件、评审情况和在评审过程中获悉的商业秘密；</w:t>
      </w:r>
    </w:p>
    <w:p>
      <w:pPr>
        <w:spacing w:line="360" w:lineRule="auto"/>
        <w:ind w:firstLine="480" w:firstLineChars="200"/>
        <w:rPr>
          <w:color w:val="auto"/>
          <w:highlight w:val="none"/>
        </w:rPr>
      </w:pPr>
      <w:r>
        <w:rPr>
          <w:rFonts w:hint="eastAsia"/>
          <w:color w:val="auto"/>
          <w:highlight w:val="none"/>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color w:val="auto"/>
          <w:highlight w:val="none"/>
        </w:rPr>
      </w:pPr>
      <w:r>
        <w:rPr>
          <w:rFonts w:hint="eastAsia"/>
          <w:color w:val="auto"/>
          <w:highlight w:val="none"/>
        </w:rPr>
        <w:t>（五）发现采购文件内容违反国家有关强制性规定或者存在歧义、重大缺陷导致评审工作无法进行时，停止评审并向采购组织单位书面说明情况；</w:t>
      </w:r>
    </w:p>
    <w:p>
      <w:pPr>
        <w:spacing w:line="360" w:lineRule="auto"/>
        <w:ind w:firstLine="480" w:firstLineChars="200"/>
        <w:rPr>
          <w:color w:val="auto"/>
          <w:highlight w:val="none"/>
        </w:rPr>
      </w:pPr>
      <w:r>
        <w:rPr>
          <w:rFonts w:hint="eastAsia"/>
          <w:color w:val="auto"/>
          <w:highlight w:val="none"/>
        </w:rPr>
        <w:t>（六）配合答复处理供应商的询问、质疑和投诉等事项；</w:t>
      </w:r>
    </w:p>
    <w:p>
      <w:pPr>
        <w:spacing w:line="360" w:lineRule="auto"/>
        <w:ind w:firstLine="480" w:firstLineChars="200"/>
        <w:rPr>
          <w:color w:val="auto"/>
          <w:highlight w:val="none"/>
        </w:rPr>
      </w:pPr>
      <w:r>
        <w:rPr>
          <w:rFonts w:hint="eastAsia"/>
          <w:color w:val="auto"/>
          <w:highlight w:val="none"/>
        </w:rPr>
        <w:t>（七）法律、法规和规章规定的其他义务。</w:t>
      </w:r>
    </w:p>
    <w:p>
      <w:pPr>
        <w:pStyle w:val="5"/>
        <w:spacing w:line="360" w:lineRule="auto"/>
        <w:rPr>
          <w:color w:val="auto"/>
          <w:highlight w:val="none"/>
        </w:rPr>
      </w:pPr>
      <w:r>
        <w:rPr>
          <w:rFonts w:hint="eastAsia"/>
          <w:color w:val="auto"/>
          <w:highlight w:val="none"/>
        </w:rPr>
        <w:t>8.评标专家在政府采购活动中应当遵守以下工作纪律：</w:t>
      </w:r>
    </w:p>
    <w:p>
      <w:pPr>
        <w:spacing w:line="360" w:lineRule="auto"/>
        <w:ind w:firstLine="480" w:firstLineChars="200"/>
        <w:rPr>
          <w:color w:val="auto"/>
          <w:highlight w:val="none"/>
        </w:rPr>
      </w:pPr>
      <w:r>
        <w:rPr>
          <w:rFonts w:hint="eastAsia"/>
          <w:color w:val="auto"/>
          <w:highlight w:val="none"/>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pPr>
        <w:spacing w:line="360" w:lineRule="auto"/>
        <w:ind w:firstLine="480" w:firstLineChars="200"/>
        <w:rPr>
          <w:color w:val="auto"/>
          <w:highlight w:val="none"/>
        </w:rPr>
      </w:pPr>
      <w:r>
        <w:rPr>
          <w:rFonts w:hint="eastAsia"/>
          <w:color w:val="auto"/>
          <w:highlight w:val="none"/>
        </w:rPr>
        <w:t>（二）评审前，应当将通讯工具或者相关电子设备交由采购组织单位统一保管。</w:t>
      </w:r>
    </w:p>
    <w:p>
      <w:pPr>
        <w:spacing w:line="360" w:lineRule="auto"/>
        <w:ind w:firstLine="480" w:firstLineChars="200"/>
        <w:rPr>
          <w:color w:val="auto"/>
          <w:highlight w:val="none"/>
        </w:rPr>
      </w:pPr>
      <w:r>
        <w:rPr>
          <w:rFonts w:hint="eastAsia"/>
          <w:color w:val="auto"/>
          <w:highlight w:val="none"/>
        </w:rPr>
        <w:t>（三）评审过程中，不得与外界联系，因发生不可预见情况，确实需要与外界联系的，应当在监督人员监督之下办理。</w:t>
      </w:r>
    </w:p>
    <w:p>
      <w:pPr>
        <w:spacing w:line="360" w:lineRule="auto"/>
        <w:ind w:firstLine="480" w:firstLineChars="200"/>
        <w:rPr>
          <w:color w:val="auto"/>
          <w:highlight w:val="none"/>
        </w:rPr>
      </w:pPr>
      <w:r>
        <w:rPr>
          <w:rFonts w:hint="eastAsia"/>
          <w:color w:val="auto"/>
          <w:highlight w:val="none"/>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spacing w:line="360" w:lineRule="auto"/>
        <w:ind w:firstLine="480" w:firstLineChars="200"/>
        <w:rPr>
          <w:color w:val="auto"/>
          <w:highlight w:val="none"/>
        </w:rPr>
      </w:pPr>
      <w:r>
        <w:rPr>
          <w:rFonts w:hint="eastAsia"/>
          <w:color w:val="auto"/>
          <w:highlight w:val="none"/>
        </w:rPr>
        <w:t>（五）在评审过程中和评审结束后，不得记录、复制或带走任何评审资料，除因规定的义务，不得向外界透露评审内容。</w:t>
      </w:r>
    </w:p>
    <w:p>
      <w:pPr>
        <w:spacing w:line="360" w:lineRule="auto"/>
        <w:ind w:firstLine="480" w:firstLineChars="200"/>
        <w:rPr>
          <w:color w:val="auto"/>
          <w:highlight w:val="none"/>
        </w:rPr>
      </w:pPr>
      <w:r>
        <w:rPr>
          <w:rFonts w:hint="eastAsia"/>
          <w:color w:val="auto"/>
          <w:highlight w:val="none"/>
        </w:rPr>
        <w:t>（六）服从评审现场采购组织单位的现场秩序管理，接受评审现场监督人员的合法监督。</w:t>
      </w:r>
    </w:p>
    <w:p>
      <w:pPr>
        <w:spacing w:line="360" w:lineRule="auto"/>
        <w:ind w:firstLine="480" w:firstLineChars="200"/>
        <w:rPr>
          <w:color w:val="auto"/>
          <w:highlight w:val="none"/>
        </w:rPr>
      </w:pPr>
      <w:r>
        <w:rPr>
          <w:rFonts w:hint="eastAsia"/>
          <w:color w:val="auto"/>
          <w:highlight w:val="none"/>
        </w:rPr>
        <w:t>（七）遵守有关廉洁自律规定，不得私下接触供应商，不得收受供应商及有关业务单位和个人的财物或好处，不得接受采购组织单位的请托。</w:t>
      </w:r>
    </w:p>
    <w:p>
      <w:pPr>
        <w:spacing w:line="360" w:lineRule="auto"/>
        <w:ind w:firstLine="480" w:firstLineChars="200"/>
        <w:rPr>
          <w:color w:val="auto"/>
          <w:highlight w:val="none"/>
        </w:rPr>
      </w:pPr>
      <w:r>
        <w:rPr>
          <w:rFonts w:hint="eastAsia"/>
          <w:color w:val="auto"/>
          <w:highlight w:val="none"/>
        </w:rPr>
        <w:t>（八）评标委员会成员应遵守有关法律法规，严守有关保密规定和评标纪律，并在评标前书面签署承诺书。</w:t>
      </w:r>
    </w:p>
    <w:p>
      <w:pPr>
        <w:spacing w:line="360" w:lineRule="auto"/>
        <w:ind w:firstLine="480" w:firstLineChars="200"/>
        <w:rPr>
          <w:color w:val="auto"/>
          <w:highlight w:val="none"/>
        </w:rPr>
      </w:pPr>
      <w:r>
        <w:rPr>
          <w:rFonts w:hint="eastAsia"/>
          <w:color w:val="auto"/>
          <w:highlight w:val="none"/>
        </w:rPr>
        <w:t>（九）评标委员会成员在评标过程中不得擅离职守。</w:t>
      </w:r>
    </w:p>
    <w:p>
      <w:pPr>
        <w:spacing w:line="360" w:lineRule="auto"/>
        <w:ind w:firstLine="480" w:firstLineChars="200"/>
        <w:rPr>
          <w:color w:val="auto"/>
          <w:highlight w:val="none"/>
        </w:rPr>
      </w:pPr>
      <w:r>
        <w:rPr>
          <w:rFonts w:hint="eastAsia"/>
          <w:color w:val="auto"/>
          <w:highlight w:val="none"/>
        </w:rPr>
        <w:t>（十）评标委员会成员按规定领取评审劳务报酬，并按国家相关规定完成所得税的申报缴纳。</w:t>
      </w:r>
    </w:p>
    <w:p>
      <w:pPr>
        <w:pStyle w:val="2"/>
        <w:rPr>
          <w:color w:val="auto"/>
          <w:highlight w:val="none"/>
        </w:rPr>
      </w:pPr>
    </w:p>
    <w:p>
      <w:pPr>
        <w:pStyle w:val="2"/>
        <w:rPr>
          <w:color w:val="auto"/>
          <w:highlight w:val="none"/>
        </w:rPr>
      </w:pPr>
    </w:p>
    <w:p>
      <w:pPr>
        <w:rPr>
          <w:color w:val="auto"/>
          <w:highlight w:val="none"/>
        </w:rPr>
      </w:pPr>
    </w:p>
    <w:p>
      <w:pPr>
        <w:tabs>
          <w:tab w:val="left" w:pos="7649"/>
        </w:tabs>
        <w:spacing w:line="360" w:lineRule="auto"/>
        <w:jc w:val="center"/>
        <w:rPr>
          <w:rStyle w:val="229"/>
          <w:color w:val="auto"/>
          <w:highlight w:val="none"/>
        </w:rPr>
      </w:pPr>
      <w:bookmarkStart w:id="188" w:name="_Toc19775"/>
      <w:bookmarkStart w:id="189" w:name="_Toc17147"/>
      <w:bookmarkStart w:id="190" w:name="_Toc5934"/>
      <w:r>
        <w:rPr>
          <w:rStyle w:val="229"/>
          <w:rFonts w:hint="eastAsia"/>
          <w:color w:val="auto"/>
          <w:highlight w:val="none"/>
        </w:rPr>
        <w:t xml:space="preserve">第八章 </w:t>
      </w:r>
      <w:bookmarkEnd w:id="188"/>
      <w:bookmarkEnd w:id="189"/>
      <w:bookmarkStart w:id="191" w:name="_Toc15803"/>
      <w:bookmarkStart w:id="192" w:name="_Toc30589"/>
      <w:r>
        <w:rPr>
          <w:rStyle w:val="229"/>
          <w:rFonts w:hint="eastAsia"/>
          <w:color w:val="auto"/>
          <w:highlight w:val="none"/>
        </w:rPr>
        <w:t>政府采购合同（草案）</w:t>
      </w:r>
    </w:p>
    <w:bookmarkEnd w:id="190"/>
    <w:p>
      <w:pPr>
        <w:spacing w:line="360" w:lineRule="auto"/>
        <w:ind w:firstLine="480" w:firstLineChars="200"/>
        <w:rPr>
          <w:rFonts w:hAnsi="宋体" w:cs="宋体"/>
          <w:color w:val="auto"/>
          <w:szCs w:val="21"/>
          <w:highlight w:val="none"/>
        </w:rPr>
      </w:pPr>
      <w:bookmarkStart w:id="193" w:name="_Toc24146"/>
      <w:bookmarkStart w:id="194" w:name="_Toc29801"/>
      <w:r>
        <w:rPr>
          <w:rFonts w:hint="eastAsia" w:hAnsi="宋体" w:cs="宋体"/>
          <w:color w:val="auto"/>
          <w:szCs w:val="21"/>
          <w:highlight w:val="none"/>
        </w:rPr>
        <w:t>合同编号：XXXX。（以中标通知书上的合同编号为准）</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签订地点：XXXX。</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签订时间：XXXX年XX月XX日。</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采购人（甲方）：</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投标人（乙方）：                                  </w:t>
      </w:r>
    </w:p>
    <w:p>
      <w:pPr>
        <w:spacing w:line="360" w:lineRule="auto"/>
        <w:rPr>
          <w:rFonts w:hAnsi="宋体" w:cs="宋体"/>
          <w:color w:val="auto"/>
          <w:szCs w:val="21"/>
          <w:highlight w:val="none"/>
        </w:rPr>
      </w:pPr>
    </w:p>
    <w:p>
      <w:pPr>
        <w:pStyle w:val="140"/>
        <w:spacing w:line="360" w:lineRule="auto"/>
        <w:ind w:firstLine="480"/>
        <w:rPr>
          <w:rFonts w:hAnsi="宋体"/>
          <w:color w:val="auto"/>
          <w:szCs w:val="21"/>
          <w:highlight w:val="none"/>
        </w:rPr>
      </w:pPr>
      <w:r>
        <w:rPr>
          <w:rFonts w:hint="eastAsia" w:hAnsi="宋体"/>
          <w:color w:val="auto"/>
          <w:szCs w:val="21"/>
          <w:highlight w:val="none"/>
        </w:rPr>
        <w:t>根据《中华人民共和国政府采购法》、《中华人民共和国民法典》及XXXXXXXXXXXXX（项目编号： XXXXXXXXX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spacing w:before="0" w:after="0"/>
        <w:ind w:firstLine="482"/>
        <w:rPr>
          <w:rFonts w:hAnsi="宋体" w:cs="宋体"/>
          <w:color w:val="auto"/>
          <w:szCs w:val="21"/>
          <w:highlight w:val="none"/>
        </w:rPr>
      </w:pPr>
      <w:bookmarkStart w:id="195" w:name="_Toc217446107"/>
      <w:r>
        <w:rPr>
          <w:rFonts w:hint="eastAsia" w:hAnsi="宋体" w:cs="宋体"/>
          <w:color w:val="auto"/>
          <w:szCs w:val="21"/>
          <w:highlight w:val="none"/>
        </w:rPr>
        <w:t>一、合同货物</w:t>
      </w:r>
      <w:bookmarkEnd w:id="195"/>
    </w:p>
    <w:tbl>
      <w:tblPr>
        <w:tblStyle w:val="46"/>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966"/>
        <w:gridCol w:w="1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Ansi="宋体" w:cs="宋体"/>
                <w:color w:val="auto"/>
                <w:szCs w:val="21"/>
                <w:highlight w:val="none"/>
              </w:rPr>
            </w:pPr>
            <w:r>
              <w:rPr>
                <w:rFonts w:hint="eastAsia" w:hAnsi="宋体" w:cs="宋体"/>
                <w:color w:val="auto"/>
                <w:szCs w:val="21"/>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规格</w:t>
            </w:r>
          </w:p>
          <w:p>
            <w:pPr>
              <w:jc w:val="center"/>
              <w:rPr>
                <w:rFonts w:hAnsi="宋体" w:cs="宋体"/>
                <w:color w:val="auto"/>
                <w:szCs w:val="21"/>
                <w:highlight w:val="none"/>
              </w:rPr>
            </w:pPr>
            <w:r>
              <w:rPr>
                <w:rFonts w:hint="eastAsia" w:hAnsi="宋体" w:cs="宋体"/>
                <w:color w:val="auto"/>
                <w:szCs w:val="21"/>
                <w:highlight w:val="none"/>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单价</w:t>
            </w:r>
          </w:p>
          <w:p>
            <w:pPr>
              <w:jc w:val="center"/>
              <w:rPr>
                <w:rFonts w:hAnsi="宋体" w:cs="宋体"/>
                <w:color w:val="auto"/>
                <w:szCs w:val="21"/>
                <w:highlight w:val="none"/>
              </w:rPr>
            </w:pPr>
            <w:r>
              <w:rPr>
                <w:rFonts w:hint="eastAsia" w:hAnsi="宋体" w:cs="宋体"/>
                <w:color w:val="auto"/>
                <w:szCs w:val="21"/>
                <w:highlight w:val="none"/>
              </w:rPr>
              <w:t>（万元）</w:t>
            </w:r>
          </w:p>
        </w:tc>
        <w:tc>
          <w:tcPr>
            <w:tcW w:w="1185"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Ansi="宋体" w:cs="宋体"/>
                <w:color w:val="auto"/>
                <w:szCs w:val="21"/>
                <w:highlight w:val="none"/>
              </w:rPr>
            </w:pPr>
            <w:r>
              <w:rPr>
                <w:rFonts w:hint="eastAsia" w:hAnsi="宋体" w:cs="宋体"/>
                <w:color w:val="auto"/>
                <w:szCs w:val="21"/>
                <w:highlight w:val="none"/>
              </w:rPr>
              <w:t>总价</w:t>
            </w:r>
          </w:p>
          <w:p>
            <w:pPr>
              <w:jc w:val="center"/>
              <w:rPr>
                <w:rFonts w:hAnsi="宋体" w:cs="宋体"/>
                <w:color w:val="auto"/>
                <w:szCs w:val="21"/>
                <w:highlight w:val="none"/>
              </w:rPr>
            </w:pPr>
            <w:r>
              <w:rPr>
                <w:rFonts w:hint="eastAsia" w:hAnsi="宋体" w:cs="宋体"/>
                <w:color w:val="auto"/>
                <w:szCs w:val="21"/>
                <w:highlight w:val="none"/>
              </w:rPr>
              <w:t>（万元）</w:t>
            </w:r>
          </w:p>
        </w:tc>
        <w:tc>
          <w:tcPr>
            <w:tcW w:w="966"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随机</w:t>
            </w:r>
          </w:p>
          <w:p>
            <w:pPr>
              <w:jc w:val="center"/>
              <w:rPr>
                <w:rFonts w:hAnsi="宋体" w:cs="宋体"/>
                <w:color w:val="auto"/>
                <w:szCs w:val="21"/>
                <w:highlight w:val="none"/>
              </w:rPr>
            </w:pPr>
            <w:r>
              <w:rPr>
                <w:rFonts w:hint="eastAsia" w:hAnsi="宋体" w:cs="宋体"/>
                <w:color w:val="auto"/>
                <w:szCs w:val="21"/>
                <w:highlight w:val="none"/>
              </w:rPr>
              <w:t>配件</w:t>
            </w:r>
          </w:p>
        </w:tc>
        <w:tc>
          <w:tcPr>
            <w:tcW w:w="1554"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55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p>
        </w:tc>
      </w:tr>
    </w:tbl>
    <w:p>
      <w:pPr>
        <w:pStyle w:val="5"/>
        <w:spacing w:before="0" w:after="0"/>
        <w:ind w:firstLine="482"/>
        <w:rPr>
          <w:rFonts w:hAnsi="宋体" w:cs="宋体"/>
          <w:color w:val="auto"/>
          <w:szCs w:val="21"/>
          <w:highlight w:val="none"/>
        </w:rPr>
      </w:pPr>
      <w:bookmarkStart w:id="196" w:name="_Toc217446108"/>
      <w:r>
        <w:rPr>
          <w:rFonts w:hint="eastAsia" w:hAnsi="宋体" w:cs="宋体"/>
          <w:color w:val="auto"/>
          <w:szCs w:val="21"/>
          <w:highlight w:val="none"/>
        </w:rPr>
        <w:t>二、合同总价</w:t>
      </w:r>
      <w:bookmarkEnd w:id="196"/>
    </w:p>
    <w:p>
      <w:pPr>
        <w:pStyle w:val="13"/>
        <w:spacing w:line="360" w:lineRule="auto"/>
        <w:ind w:firstLine="367" w:firstLineChars="175"/>
        <w:rPr>
          <w:rFonts w:hAnsi="宋体" w:cs="宋体"/>
          <w:color w:val="auto"/>
          <w:szCs w:val="21"/>
          <w:highlight w:val="none"/>
        </w:rPr>
      </w:pPr>
      <w:r>
        <w:rPr>
          <w:rFonts w:hint="eastAsia" w:hAnsi="宋体" w:cs="宋体"/>
          <w:color w:val="auto"/>
          <w:szCs w:val="21"/>
          <w:highlight w:val="none"/>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before="0" w:after="0"/>
        <w:ind w:firstLine="482"/>
        <w:rPr>
          <w:rFonts w:hAnsi="宋体" w:cs="宋体"/>
          <w:color w:val="auto"/>
          <w:szCs w:val="21"/>
          <w:highlight w:val="none"/>
        </w:rPr>
      </w:pPr>
      <w:bookmarkStart w:id="197" w:name="_Toc217446109"/>
      <w:r>
        <w:rPr>
          <w:rFonts w:hint="eastAsia" w:hAnsi="宋体" w:cs="宋体"/>
          <w:color w:val="auto"/>
          <w:szCs w:val="21"/>
          <w:highlight w:val="none"/>
        </w:rPr>
        <w:t>三、质量要求</w:t>
      </w:r>
      <w:bookmarkEnd w:id="197"/>
    </w:p>
    <w:p>
      <w:pPr>
        <w:pStyle w:val="140"/>
        <w:spacing w:line="360" w:lineRule="auto"/>
        <w:ind w:firstLine="480"/>
        <w:rPr>
          <w:rFonts w:hAnsi="宋体"/>
          <w:color w:val="auto"/>
          <w:szCs w:val="21"/>
          <w:highlight w:val="none"/>
        </w:rPr>
      </w:pPr>
      <w:r>
        <w:rPr>
          <w:rFonts w:hint="eastAsia" w:hAnsi="宋体"/>
          <w:color w:val="auto"/>
          <w:szCs w:val="21"/>
          <w:highlight w:val="none"/>
        </w:rPr>
        <w:t>1、乙方须提供全新的货物（含零部件、配件等），表面无划伤、无碰撞痕迹，且权属清楚，不得侵害他人的知识产权。</w:t>
      </w:r>
    </w:p>
    <w:p>
      <w:pPr>
        <w:pStyle w:val="140"/>
        <w:spacing w:line="360" w:lineRule="auto"/>
        <w:ind w:firstLine="480"/>
        <w:rPr>
          <w:rFonts w:hAnsi="宋体"/>
          <w:color w:val="auto"/>
          <w:szCs w:val="21"/>
          <w:highlight w:val="none"/>
        </w:rPr>
      </w:pPr>
      <w:r>
        <w:rPr>
          <w:rFonts w:hint="eastAsia" w:hAnsi="宋体"/>
          <w:color w:val="auto"/>
          <w:szCs w:val="21"/>
          <w:highlight w:val="none"/>
        </w:rPr>
        <w:t>2、货物必须符合或优于国家（行业）          标准，以及本项目招标文件的质量要求和技术指标与出厂标准。</w:t>
      </w:r>
    </w:p>
    <w:p>
      <w:pPr>
        <w:pStyle w:val="140"/>
        <w:spacing w:line="360" w:lineRule="auto"/>
        <w:ind w:firstLine="480"/>
        <w:rPr>
          <w:rFonts w:hAnsi="宋体"/>
          <w:color w:val="auto"/>
          <w:szCs w:val="21"/>
          <w:highlight w:val="none"/>
        </w:rPr>
      </w:pPr>
      <w:r>
        <w:rPr>
          <w:rFonts w:hint="eastAsia" w:hAnsi="宋体"/>
          <w:color w:val="auto"/>
          <w:szCs w:val="21"/>
          <w:highlight w:val="none"/>
        </w:rPr>
        <w:t>3、货物制造质量出现问题，乙方应负责三包（包修、包换、包退），费用由乙方负担，甲方有权到乙方生产场地检查货物质量和生产进度。</w:t>
      </w:r>
    </w:p>
    <w:p>
      <w:pPr>
        <w:pStyle w:val="140"/>
        <w:spacing w:line="360" w:lineRule="auto"/>
        <w:ind w:firstLine="480"/>
        <w:rPr>
          <w:rFonts w:hAnsi="宋体"/>
          <w:color w:val="auto"/>
          <w:szCs w:val="21"/>
          <w:highlight w:val="none"/>
        </w:rPr>
      </w:pPr>
      <w:r>
        <w:rPr>
          <w:rFonts w:hint="eastAsia" w:hAnsi="宋体"/>
          <w:color w:val="auto"/>
          <w:szCs w:val="21"/>
          <w:highlight w:val="none"/>
        </w:rPr>
        <w:t>4、货到现场后由于甲方保管不当造成的质量问题，乙方亦应负责修理，但费用由甲方负担。</w:t>
      </w:r>
    </w:p>
    <w:p>
      <w:pPr>
        <w:pStyle w:val="5"/>
        <w:spacing w:before="0" w:after="0"/>
        <w:ind w:firstLine="482"/>
        <w:rPr>
          <w:rFonts w:hAnsi="宋体" w:cs="宋体"/>
          <w:color w:val="auto"/>
          <w:szCs w:val="21"/>
          <w:highlight w:val="none"/>
        </w:rPr>
      </w:pPr>
      <w:bookmarkStart w:id="198" w:name="_Toc217446110"/>
      <w:r>
        <w:rPr>
          <w:rFonts w:hint="eastAsia" w:hAnsi="宋体" w:cs="宋体"/>
          <w:color w:val="auto"/>
          <w:szCs w:val="21"/>
          <w:highlight w:val="none"/>
        </w:rPr>
        <w:t>四、交货及验收</w:t>
      </w:r>
      <w:bookmarkEnd w:id="198"/>
    </w:p>
    <w:p>
      <w:pPr>
        <w:pStyle w:val="140"/>
        <w:spacing w:line="360" w:lineRule="auto"/>
        <w:ind w:firstLine="480"/>
        <w:rPr>
          <w:rFonts w:hAnsi="宋体"/>
          <w:color w:val="auto"/>
          <w:szCs w:val="21"/>
          <w:highlight w:val="none"/>
        </w:rPr>
      </w:pPr>
      <w:r>
        <w:rPr>
          <w:rFonts w:hint="eastAsia" w:hAnsi="宋体"/>
          <w:color w:val="auto"/>
          <w:szCs w:val="21"/>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40"/>
        <w:spacing w:line="360" w:lineRule="auto"/>
        <w:ind w:firstLine="480"/>
        <w:rPr>
          <w:rFonts w:hAnsi="宋体"/>
          <w:color w:val="auto"/>
          <w:szCs w:val="21"/>
          <w:highlight w:val="none"/>
        </w:rPr>
      </w:pPr>
      <w:r>
        <w:rPr>
          <w:rFonts w:hint="eastAsia" w:hAnsi="宋体"/>
          <w:color w:val="auto"/>
          <w:szCs w:val="21"/>
          <w:highlight w:val="none"/>
        </w:rPr>
        <w:t>2、验收由甲方组织，乙方配合进行：</w:t>
      </w:r>
    </w:p>
    <w:p>
      <w:pPr>
        <w:pStyle w:val="140"/>
        <w:spacing w:line="360" w:lineRule="auto"/>
        <w:ind w:firstLine="480"/>
        <w:rPr>
          <w:rFonts w:hAnsi="宋体"/>
          <w:color w:val="auto"/>
          <w:szCs w:val="21"/>
          <w:highlight w:val="none"/>
        </w:rPr>
      </w:pPr>
      <w:r>
        <w:rPr>
          <w:rFonts w:hint="eastAsia" w:hAnsi="宋体"/>
          <w:color w:val="auto"/>
          <w:szCs w:val="21"/>
          <w:highlight w:val="none"/>
        </w:rPr>
        <w:t>(1) 货物在乙方通知安装调试完毕后    日内初步验收。初步验收合格后，进入    试用期；试用期间发生重大质量问题，修复后试用相应顺延；试用期结束后    日内完成最终验收；</w:t>
      </w:r>
    </w:p>
    <w:p>
      <w:pPr>
        <w:pStyle w:val="140"/>
        <w:spacing w:line="360" w:lineRule="auto"/>
        <w:ind w:firstLine="480"/>
        <w:rPr>
          <w:rFonts w:hAnsi="宋体"/>
          <w:color w:val="auto"/>
          <w:szCs w:val="21"/>
          <w:highlight w:val="none"/>
        </w:rPr>
      </w:pPr>
      <w:r>
        <w:rPr>
          <w:rFonts w:hint="eastAsia" w:hAnsi="宋体"/>
          <w:color w:val="auto"/>
          <w:szCs w:val="21"/>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40"/>
        <w:spacing w:line="360" w:lineRule="auto"/>
        <w:ind w:firstLine="480"/>
        <w:rPr>
          <w:rFonts w:hAnsi="宋体"/>
          <w:color w:val="auto"/>
          <w:szCs w:val="21"/>
          <w:highlight w:val="none"/>
        </w:rPr>
      </w:pPr>
      <w:r>
        <w:rPr>
          <w:rFonts w:hint="eastAsia" w:hAnsi="宋体"/>
          <w:color w:val="auto"/>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40"/>
        <w:spacing w:line="360" w:lineRule="auto"/>
        <w:ind w:firstLine="480"/>
        <w:rPr>
          <w:rFonts w:hAnsi="宋体"/>
          <w:color w:val="auto"/>
          <w:szCs w:val="21"/>
          <w:highlight w:val="none"/>
        </w:rPr>
      </w:pPr>
      <w:r>
        <w:rPr>
          <w:rFonts w:hint="eastAsia" w:hAnsi="宋体"/>
          <w:color w:val="auto"/>
          <w:szCs w:val="21"/>
          <w:highlight w:val="none"/>
        </w:rPr>
        <w:t>(4) 如质量验收合格，双方签署质量验收报告，已签署的质量验收报告并不免除乙方的质量保证责任。</w:t>
      </w:r>
    </w:p>
    <w:p>
      <w:pPr>
        <w:pStyle w:val="140"/>
        <w:spacing w:line="360" w:lineRule="auto"/>
        <w:ind w:firstLine="480"/>
        <w:rPr>
          <w:rFonts w:hAnsi="宋体"/>
          <w:color w:val="auto"/>
          <w:szCs w:val="21"/>
          <w:highlight w:val="none"/>
        </w:rPr>
      </w:pPr>
      <w:r>
        <w:rPr>
          <w:rFonts w:hint="eastAsia" w:hAnsi="宋体"/>
          <w:color w:val="auto"/>
          <w:szCs w:val="21"/>
          <w:highlight w:val="none"/>
        </w:rPr>
        <w:t>3、货物安装完成后     日内，甲方无故不进行验收工作并已使用货物的，视同已安装调试完成并验收合格。</w:t>
      </w:r>
    </w:p>
    <w:p>
      <w:pPr>
        <w:pStyle w:val="140"/>
        <w:spacing w:line="360" w:lineRule="auto"/>
        <w:ind w:firstLine="480"/>
        <w:rPr>
          <w:rFonts w:hAnsi="宋体"/>
          <w:color w:val="auto"/>
          <w:szCs w:val="21"/>
          <w:highlight w:val="none"/>
        </w:rPr>
      </w:pPr>
      <w:r>
        <w:rPr>
          <w:rFonts w:hint="eastAsia" w:hAnsi="宋体"/>
          <w:color w:val="auto"/>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140"/>
        <w:spacing w:line="360" w:lineRule="auto"/>
        <w:ind w:firstLine="480"/>
        <w:rPr>
          <w:rFonts w:hAnsi="宋体"/>
          <w:color w:val="auto"/>
          <w:szCs w:val="21"/>
          <w:highlight w:val="none"/>
        </w:rPr>
      </w:pPr>
      <w:r>
        <w:rPr>
          <w:rFonts w:hint="eastAsia" w:hAnsi="宋体"/>
          <w:color w:val="auto"/>
          <w:szCs w:val="21"/>
          <w:highlight w:val="none"/>
        </w:rPr>
        <w:t>5、如货物经乙方   次维修仍不能达到合同约定的质量标准，甲方有权退货，并视作乙方不能交付货物而须支付违约赔偿金给甲方，甲方还可依法追究乙方的违约责任。 </w:t>
      </w:r>
    </w:p>
    <w:p>
      <w:pPr>
        <w:pStyle w:val="140"/>
        <w:spacing w:line="360" w:lineRule="auto"/>
        <w:ind w:firstLine="480"/>
        <w:rPr>
          <w:rFonts w:hAnsi="宋体"/>
          <w:color w:val="auto"/>
          <w:szCs w:val="21"/>
          <w:highlight w:val="none"/>
        </w:rPr>
      </w:pPr>
      <w:r>
        <w:rPr>
          <w:rFonts w:hint="eastAsia" w:hAnsi="宋体"/>
          <w:color w:val="auto"/>
          <w:szCs w:val="21"/>
          <w:highlight w:val="none"/>
        </w:rPr>
        <w:t>6、其他未尽事宜应</w:t>
      </w:r>
      <w:r>
        <w:rPr>
          <w:rFonts w:hint="eastAsia" w:ascii="宋体" w:hAnsi="宋体" w:cs="宋体"/>
          <w:color w:val="auto"/>
          <w:highlight w:val="none"/>
        </w:rPr>
        <w:t>将严格按照政府采购相关法律法规以及《财政部关于进一步加强政府采购需求和履约验收管理的指导意见》（财库〔2016〕205号），参照《四川省政府采购项目需求论证和履约验收管理办法》（川财采〔2015〕32号）的要求</w:t>
      </w:r>
      <w:r>
        <w:rPr>
          <w:rFonts w:hint="eastAsia" w:hAnsi="宋体"/>
          <w:color w:val="auto"/>
          <w:szCs w:val="21"/>
          <w:highlight w:val="none"/>
        </w:rPr>
        <w:t>进行。</w:t>
      </w:r>
    </w:p>
    <w:p>
      <w:pPr>
        <w:pStyle w:val="5"/>
        <w:spacing w:before="0" w:after="0"/>
        <w:ind w:firstLine="482"/>
        <w:rPr>
          <w:rFonts w:hAnsi="宋体" w:cs="宋体"/>
          <w:color w:val="auto"/>
          <w:szCs w:val="21"/>
          <w:highlight w:val="none"/>
        </w:rPr>
      </w:pPr>
      <w:bookmarkStart w:id="199" w:name="_Toc217446111"/>
      <w:r>
        <w:rPr>
          <w:rFonts w:hint="eastAsia" w:hAnsi="宋体" w:cs="宋体"/>
          <w:color w:val="auto"/>
          <w:szCs w:val="21"/>
          <w:highlight w:val="none"/>
        </w:rPr>
        <w:t>五、付款方式</w:t>
      </w:r>
      <w:bookmarkEnd w:id="199"/>
    </w:p>
    <w:p>
      <w:pPr>
        <w:pStyle w:val="140"/>
        <w:spacing w:line="360" w:lineRule="auto"/>
        <w:ind w:firstLine="480"/>
        <w:rPr>
          <w:rFonts w:hAnsi="宋体"/>
          <w:color w:val="auto"/>
          <w:szCs w:val="21"/>
          <w:highlight w:val="none"/>
        </w:rPr>
      </w:pPr>
      <w:r>
        <w:rPr>
          <w:rFonts w:hint="eastAsia" w:hAnsi="宋体"/>
          <w:color w:val="auto"/>
          <w:szCs w:val="21"/>
          <w:highlight w:val="none"/>
        </w:rPr>
        <w:t>1、甲方在本合同签订生效之日起接到乙方通知和票据凭证资料以及乙方交给甲方的合同履约保证金（按合同总价的百分之  计算款额￥             元，人民币大写：                            元整）后的    日内支付合同金额百分之     的价款；</w:t>
      </w:r>
    </w:p>
    <w:p>
      <w:pPr>
        <w:pStyle w:val="140"/>
        <w:spacing w:line="360" w:lineRule="auto"/>
        <w:ind w:firstLine="480"/>
        <w:rPr>
          <w:rFonts w:hAnsi="宋体"/>
          <w:color w:val="auto"/>
          <w:szCs w:val="21"/>
          <w:highlight w:val="none"/>
        </w:rPr>
      </w:pPr>
      <w:r>
        <w:rPr>
          <w:rFonts w:hint="eastAsia" w:hAnsi="宋体"/>
          <w:color w:val="auto"/>
          <w:szCs w:val="21"/>
          <w:highlight w:val="none"/>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pStyle w:val="140"/>
        <w:spacing w:line="360" w:lineRule="auto"/>
        <w:ind w:firstLine="480"/>
        <w:rPr>
          <w:rFonts w:hAnsi="宋体"/>
          <w:color w:val="auto"/>
          <w:szCs w:val="21"/>
          <w:highlight w:val="none"/>
        </w:rPr>
      </w:pPr>
      <w:r>
        <w:rPr>
          <w:rFonts w:hint="eastAsia" w:hAnsi="宋体"/>
          <w:color w:val="auto"/>
          <w:szCs w:val="21"/>
          <w:highlight w:val="none"/>
        </w:rPr>
        <w:t>3、合同履约保证金：在货物验收合格满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pStyle w:val="140"/>
        <w:spacing w:line="360" w:lineRule="auto"/>
        <w:ind w:firstLine="480"/>
        <w:rPr>
          <w:rFonts w:hAnsi="宋体"/>
          <w:color w:val="auto"/>
          <w:szCs w:val="21"/>
          <w:highlight w:val="none"/>
        </w:rPr>
      </w:pPr>
      <w:r>
        <w:rPr>
          <w:rFonts w:hint="eastAsia" w:hAnsi="宋体"/>
          <w:color w:val="auto"/>
          <w:szCs w:val="21"/>
          <w:highlight w:val="none"/>
        </w:rPr>
        <w:t>4、</w:t>
      </w:r>
      <w:r>
        <w:rPr>
          <w:rFonts w:hint="eastAsia" w:hAnsi="宋体"/>
          <w:color w:val="auto"/>
          <w:szCs w:val="21"/>
          <w:highlight w:val="none"/>
          <w:lang w:eastAsia="zh-CN"/>
        </w:rPr>
        <w:t>付款前，</w:t>
      </w:r>
      <w:r>
        <w:rPr>
          <w:rFonts w:hint="eastAsia" w:hAnsi="宋体"/>
          <w:color w:val="auto"/>
          <w:szCs w:val="21"/>
          <w:highlight w:val="none"/>
        </w:rPr>
        <w:t>乙方须向甲方出具合法有效完整的完税发票及凭证资料进行支付结算。</w:t>
      </w:r>
    </w:p>
    <w:p>
      <w:pPr>
        <w:pStyle w:val="5"/>
        <w:spacing w:before="0" w:after="0"/>
        <w:ind w:firstLine="482"/>
        <w:rPr>
          <w:rFonts w:hAnsi="宋体" w:cs="宋体"/>
          <w:color w:val="auto"/>
          <w:szCs w:val="21"/>
          <w:highlight w:val="none"/>
        </w:rPr>
      </w:pPr>
      <w:bookmarkStart w:id="200" w:name="_Toc217446112"/>
      <w:r>
        <w:rPr>
          <w:rFonts w:hint="eastAsia" w:hAnsi="宋体" w:cs="宋体"/>
          <w:color w:val="auto"/>
          <w:szCs w:val="21"/>
          <w:highlight w:val="none"/>
        </w:rPr>
        <w:t>六、售后服务</w:t>
      </w:r>
      <w:bookmarkEnd w:id="200"/>
    </w:p>
    <w:p>
      <w:pPr>
        <w:pStyle w:val="140"/>
        <w:spacing w:line="360" w:lineRule="auto"/>
        <w:ind w:firstLine="480"/>
        <w:rPr>
          <w:rFonts w:hAnsi="宋体"/>
          <w:color w:val="auto"/>
          <w:szCs w:val="21"/>
          <w:highlight w:val="none"/>
        </w:rPr>
      </w:pPr>
      <w:r>
        <w:rPr>
          <w:rFonts w:hint="eastAsia" w:hAnsi="宋体"/>
          <w:color w:val="auto"/>
          <w:szCs w:val="21"/>
          <w:highlight w:val="none"/>
        </w:rPr>
        <w:t>1、质保期为验收合格后    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Style w:val="140"/>
        <w:spacing w:line="360" w:lineRule="auto"/>
        <w:ind w:firstLine="480"/>
        <w:rPr>
          <w:rFonts w:hAnsi="宋体"/>
          <w:color w:val="auto"/>
          <w:szCs w:val="21"/>
          <w:highlight w:val="none"/>
        </w:rPr>
      </w:pPr>
      <w:r>
        <w:rPr>
          <w:rFonts w:hint="eastAsia" w:hAnsi="宋体"/>
          <w:color w:val="auto"/>
          <w:szCs w:val="21"/>
          <w:highlight w:val="none"/>
        </w:rPr>
        <w:t>2、乙方须指派专人负责与甲方联系售后服务事宜。 </w:t>
      </w:r>
    </w:p>
    <w:p>
      <w:pPr>
        <w:pStyle w:val="5"/>
        <w:spacing w:before="0" w:after="0"/>
        <w:ind w:firstLine="482"/>
        <w:rPr>
          <w:rFonts w:hAnsi="宋体" w:cs="宋体"/>
          <w:color w:val="auto"/>
          <w:szCs w:val="21"/>
          <w:highlight w:val="none"/>
        </w:rPr>
      </w:pPr>
      <w:bookmarkStart w:id="201" w:name="_Toc217446113"/>
      <w:r>
        <w:rPr>
          <w:rFonts w:hint="eastAsia" w:hAnsi="宋体" w:cs="宋体"/>
          <w:color w:val="auto"/>
          <w:szCs w:val="21"/>
          <w:highlight w:val="none"/>
        </w:rPr>
        <w:t>七、违约责任</w:t>
      </w:r>
      <w:bookmarkEnd w:id="201"/>
    </w:p>
    <w:p>
      <w:pPr>
        <w:pStyle w:val="140"/>
        <w:spacing w:line="360" w:lineRule="auto"/>
        <w:ind w:firstLine="480"/>
        <w:rPr>
          <w:rFonts w:hAnsi="宋体"/>
          <w:color w:val="auto"/>
          <w:szCs w:val="21"/>
          <w:highlight w:val="none"/>
        </w:rPr>
      </w:pPr>
      <w:r>
        <w:rPr>
          <w:rFonts w:hint="eastAsia" w:hAnsi="宋体"/>
          <w:color w:val="auto"/>
          <w:szCs w:val="21"/>
          <w:highlight w:val="none"/>
        </w:rPr>
        <w:t>1、甲方违约责任</w:t>
      </w:r>
    </w:p>
    <w:p>
      <w:pPr>
        <w:pStyle w:val="140"/>
        <w:spacing w:line="360" w:lineRule="auto"/>
        <w:ind w:firstLine="480"/>
        <w:rPr>
          <w:rFonts w:hAnsi="宋体"/>
          <w:color w:val="auto"/>
          <w:szCs w:val="21"/>
          <w:highlight w:val="none"/>
        </w:rPr>
      </w:pPr>
      <w:r>
        <w:rPr>
          <w:rFonts w:hint="eastAsia" w:hAnsi="宋体"/>
          <w:color w:val="auto"/>
          <w:szCs w:val="21"/>
          <w:highlight w:val="none"/>
        </w:rPr>
        <w:t>（1） 甲方无正当理由拒收货物的，甲方应偿付合同总价百分之  的违约金；</w:t>
      </w:r>
    </w:p>
    <w:p>
      <w:pPr>
        <w:pStyle w:val="140"/>
        <w:spacing w:line="360" w:lineRule="auto"/>
        <w:ind w:firstLine="480"/>
        <w:rPr>
          <w:rFonts w:hAnsi="宋体"/>
          <w:color w:val="auto"/>
          <w:szCs w:val="21"/>
          <w:highlight w:val="none"/>
        </w:rPr>
      </w:pPr>
      <w:r>
        <w:rPr>
          <w:rFonts w:hint="eastAsia" w:hAnsi="宋体"/>
          <w:color w:val="auto"/>
          <w:szCs w:val="21"/>
          <w:highlight w:val="none"/>
        </w:rPr>
        <w:t>（2） 甲方逾期支付货款的，除应及时付足货款外，应向乙方偿付欠款总额万分之   /天的违约金；逾期付款超过  天的，乙方有权终止合同；</w:t>
      </w:r>
    </w:p>
    <w:p>
      <w:pPr>
        <w:pStyle w:val="140"/>
        <w:spacing w:line="360" w:lineRule="auto"/>
        <w:ind w:firstLine="480"/>
        <w:rPr>
          <w:rFonts w:hAnsi="宋体"/>
          <w:color w:val="auto"/>
          <w:szCs w:val="21"/>
          <w:highlight w:val="none"/>
        </w:rPr>
      </w:pPr>
      <w:r>
        <w:rPr>
          <w:rFonts w:hint="eastAsia" w:hAnsi="宋体"/>
          <w:color w:val="auto"/>
          <w:szCs w:val="21"/>
          <w:highlight w:val="none"/>
        </w:rPr>
        <w:t>（3） 甲方偿付的违约金不足以弥补乙方损失的，还应按乙方损失尚未弥补的部分，支付赔偿金给乙方。</w:t>
      </w:r>
    </w:p>
    <w:p>
      <w:pPr>
        <w:pStyle w:val="140"/>
        <w:spacing w:line="360" w:lineRule="auto"/>
        <w:ind w:firstLine="480"/>
        <w:rPr>
          <w:rFonts w:hAnsi="宋体"/>
          <w:color w:val="auto"/>
          <w:szCs w:val="21"/>
          <w:highlight w:val="none"/>
        </w:rPr>
      </w:pPr>
      <w:r>
        <w:rPr>
          <w:rFonts w:hint="eastAsia" w:hAnsi="宋体"/>
          <w:color w:val="auto"/>
          <w:szCs w:val="21"/>
          <w:highlight w:val="none"/>
        </w:rPr>
        <w:t>2、乙方违约责任</w:t>
      </w:r>
    </w:p>
    <w:p>
      <w:pPr>
        <w:pStyle w:val="140"/>
        <w:spacing w:line="360" w:lineRule="auto"/>
        <w:ind w:firstLine="480"/>
        <w:rPr>
          <w:rFonts w:hAnsi="宋体"/>
          <w:color w:val="auto"/>
          <w:szCs w:val="21"/>
          <w:highlight w:val="none"/>
        </w:rPr>
      </w:pPr>
      <w:r>
        <w:rPr>
          <w:rFonts w:hint="eastAsia" w:hAnsi="宋体"/>
          <w:color w:val="auto"/>
          <w:szCs w:val="21"/>
          <w:highlight w:val="none"/>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Style w:val="140"/>
        <w:spacing w:line="360" w:lineRule="auto"/>
        <w:ind w:firstLine="480"/>
        <w:rPr>
          <w:rFonts w:hAnsi="宋体"/>
          <w:color w:val="auto"/>
          <w:szCs w:val="21"/>
          <w:highlight w:val="none"/>
        </w:rPr>
      </w:pPr>
      <w:r>
        <w:rPr>
          <w:rFonts w:hint="eastAsia" w:hAnsi="宋体"/>
          <w:color w:val="auto"/>
          <w:szCs w:val="21"/>
          <w:highlight w:val="none"/>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Style w:val="140"/>
        <w:spacing w:line="360" w:lineRule="auto"/>
        <w:ind w:firstLine="480"/>
        <w:rPr>
          <w:rFonts w:hAnsi="宋体"/>
          <w:color w:val="auto"/>
          <w:szCs w:val="21"/>
          <w:highlight w:val="none"/>
        </w:rPr>
      </w:pPr>
      <w:r>
        <w:rPr>
          <w:rFonts w:hint="eastAsia" w:hAnsi="宋体"/>
          <w:color w:val="auto"/>
          <w:szCs w:val="21"/>
          <w:highlight w:val="none"/>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Style w:val="140"/>
        <w:spacing w:line="360" w:lineRule="auto"/>
        <w:ind w:firstLine="480"/>
        <w:rPr>
          <w:rFonts w:hAnsi="宋体"/>
          <w:color w:val="auto"/>
          <w:szCs w:val="21"/>
          <w:highlight w:val="none"/>
        </w:rPr>
      </w:pPr>
      <w:r>
        <w:rPr>
          <w:rFonts w:hint="eastAsia" w:hAnsi="宋体"/>
          <w:color w:val="auto"/>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Style w:val="140"/>
        <w:spacing w:line="360" w:lineRule="auto"/>
        <w:ind w:firstLine="480"/>
        <w:rPr>
          <w:rFonts w:hAnsi="宋体"/>
          <w:color w:val="auto"/>
          <w:szCs w:val="21"/>
          <w:highlight w:val="none"/>
        </w:rPr>
      </w:pPr>
      <w:r>
        <w:rPr>
          <w:rFonts w:hint="eastAsia" w:hAnsi="宋体"/>
          <w:color w:val="auto"/>
          <w:szCs w:val="21"/>
          <w:highlight w:val="none"/>
        </w:rPr>
        <w:t>（5）乙方偿付的违约金不足以弥补甲方损失的，还应按甲方损失尚未弥补的部分，支付赔偿金给甲方。</w:t>
      </w:r>
    </w:p>
    <w:p>
      <w:pPr>
        <w:pStyle w:val="5"/>
        <w:spacing w:before="0" w:after="0"/>
        <w:ind w:firstLine="482"/>
        <w:rPr>
          <w:rFonts w:hAnsi="宋体" w:cs="宋体"/>
          <w:color w:val="auto"/>
          <w:szCs w:val="21"/>
          <w:highlight w:val="none"/>
        </w:rPr>
      </w:pPr>
      <w:bookmarkStart w:id="202" w:name="_Toc217446114"/>
      <w:r>
        <w:rPr>
          <w:rFonts w:hint="eastAsia" w:hAnsi="宋体" w:cs="宋体"/>
          <w:color w:val="auto"/>
          <w:szCs w:val="21"/>
          <w:highlight w:val="none"/>
        </w:rPr>
        <w:t>八、争议解决办法</w:t>
      </w:r>
      <w:bookmarkEnd w:id="202"/>
    </w:p>
    <w:p>
      <w:pPr>
        <w:pStyle w:val="140"/>
        <w:spacing w:line="360" w:lineRule="auto"/>
        <w:ind w:firstLine="480"/>
        <w:rPr>
          <w:rFonts w:hAnsi="宋体"/>
          <w:color w:val="auto"/>
          <w:szCs w:val="21"/>
          <w:highlight w:val="none"/>
        </w:rPr>
      </w:pPr>
      <w:r>
        <w:rPr>
          <w:rFonts w:hint="eastAsia" w:hAnsi="宋体"/>
          <w:color w:val="auto"/>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5"/>
        <w:spacing w:before="0" w:after="0" w:line="360" w:lineRule="auto"/>
        <w:ind w:firstLine="482"/>
        <w:rPr>
          <w:rFonts w:hint="eastAsia" w:ascii="Times New Roman" w:hAnsi="宋体" w:eastAsia="宋体" w:cs="宋体"/>
          <w:b w:val="0"/>
          <w:bCs w:val="0"/>
          <w:color w:val="auto"/>
          <w:sz w:val="24"/>
          <w:szCs w:val="21"/>
          <w:highlight w:val="none"/>
          <w:lang w:val="en-US" w:eastAsia="zh-CN" w:bidi="ar-SA"/>
        </w:rPr>
      </w:pPr>
      <w:bookmarkStart w:id="203" w:name="_Toc217446115"/>
      <w:r>
        <w:rPr>
          <w:rFonts w:hint="eastAsia" w:ascii="Times New Roman" w:hAnsi="宋体" w:eastAsia="宋体" w:cs="宋体"/>
          <w:b w:val="0"/>
          <w:bCs w:val="0"/>
          <w:color w:val="auto"/>
          <w:sz w:val="24"/>
          <w:szCs w:val="21"/>
          <w:highlight w:val="none"/>
          <w:lang w:val="en-US" w:eastAsia="zh-CN" w:bidi="ar-SA"/>
        </w:rPr>
        <w:t>2、合同履行期间,若双方发生争议，可协商或由有关部门调解解决，协商或调解不成的，由当事人依法向甲方所在地人民法院提起诉讼。维护其合法权益。</w:t>
      </w:r>
    </w:p>
    <w:p>
      <w:pPr>
        <w:pStyle w:val="5"/>
        <w:spacing w:before="0" w:after="0" w:line="360" w:lineRule="auto"/>
        <w:ind w:firstLine="482"/>
        <w:rPr>
          <w:rFonts w:hint="eastAsia" w:ascii="Times New Roman" w:hAnsi="宋体" w:eastAsia="宋体" w:cs="宋体"/>
          <w:b w:val="0"/>
          <w:bCs w:val="0"/>
          <w:color w:val="auto"/>
          <w:sz w:val="24"/>
          <w:szCs w:val="21"/>
          <w:highlight w:val="none"/>
          <w:lang w:val="en-US" w:eastAsia="zh-CN" w:bidi="ar-SA"/>
        </w:rPr>
      </w:pPr>
      <w:r>
        <w:rPr>
          <w:rFonts w:hint="eastAsia" w:ascii="Times New Roman" w:hAnsi="宋体" w:eastAsia="宋体" w:cs="宋体"/>
          <w:b w:val="0"/>
          <w:bCs w:val="0"/>
          <w:color w:val="auto"/>
          <w:sz w:val="24"/>
          <w:szCs w:val="21"/>
          <w:highlight w:val="none"/>
          <w:lang w:val="en-US" w:eastAsia="zh-CN" w:bidi="ar-SA"/>
        </w:rPr>
        <w:t>3、败诉方应当承担胜诉方实现债权权所支出的诉讼费、差旅费、律师费、鉴定费等相关费用。</w:t>
      </w:r>
    </w:p>
    <w:p>
      <w:pPr>
        <w:pStyle w:val="5"/>
        <w:spacing w:before="0" w:after="0" w:line="360" w:lineRule="auto"/>
        <w:ind w:firstLine="482"/>
        <w:rPr>
          <w:rFonts w:hint="eastAsia" w:ascii="Times New Roman" w:hAnsi="宋体" w:eastAsia="宋体" w:cs="宋体"/>
          <w:b w:val="0"/>
          <w:bCs w:val="0"/>
          <w:color w:val="auto"/>
          <w:sz w:val="24"/>
          <w:szCs w:val="21"/>
          <w:highlight w:val="none"/>
          <w:lang w:val="en-US" w:eastAsia="zh-CN" w:bidi="ar-SA"/>
        </w:rPr>
      </w:pPr>
      <w:r>
        <w:rPr>
          <w:rFonts w:hint="eastAsia" w:ascii="Times New Roman" w:hAnsi="宋体" w:eastAsia="宋体" w:cs="宋体"/>
          <w:b w:val="0"/>
          <w:bCs w:val="0"/>
          <w:color w:val="auto"/>
          <w:sz w:val="24"/>
          <w:szCs w:val="21"/>
          <w:highlight w:val="none"/>
          <w:lang w:val="en-US" w:eastAsia="zh-CN" w:bidi="ar-SA"/>
        </w:rPr>
        <w:t>4、通知：甲乙双方因本合同所发送的任何文书，包括但不限于通知、函件、法律文书等，寄送至签署页所载地址后视为送达，一方变更收件人信息应提前5天通知对方，否则向原地址送达的文书资料仍视为有效送达。若双方因履行本合同涉诉的，签署页地址作为法院文书的送达地址。</w:t>
      </w:r>
    </w:p>
    <w:p>
      <w:pPr>
        <w:pStyle w:val="5"/>
        <w:spacing w:before="0" w:after="0"/>
        <w:ind w:firstLine="482"/>
        <w:rPr>
          <w:rFonts w:hAnsi="宋体" w:cs="宋体"/>
          <w:color w:val="auto"/>
          <w:szCs w:val="21"/>
          <w:highlight w:val="none"/>
        </w:rPr>
      </w:pPr>
      <w:r>
        <w:rPr>
          <w:rFonts w:hint="eastAsia" w:hAnsi="宋体" w:cs="宋体"/>
          <w:color w:val="auto"/>
          <w:szCs w:val="21"/>
          <w:highlight w:val="none"/>
        </w:rPr>
        <w:t>九、其他</w:t>
      </w:r>
      <w:bookmarkEnd w:id="203"/>
    </w:p>
    <w:p>
      <w:pPr>
        <w:pStyle w:val="140"/>
        <w:spacing w:line="360" w:lineRule="auto"/>
        <w:ind w:firstLine="480"/>
        <w:rPr>
          <w:rFonts w:hAnsi="宋体"/>
          <w:color w:val="auto"/>
          <w:szCs w:val="21"/>
          <w:highlight w:val="none"/>
        </w:rPr>
      </w:pPr>
      <w:r>
        <w:rPr>
          <w:rFonts w:hint="eastAsia" w:hAnsi="宋体"/>
          <w:color w:val="auto"/>
          <w:szCs w:val="21"/>
          <w:highlight w:val="none"/>
        </w:rPr>
        <w:t>1、如有未尽事宜，由双方依法订立补充合同。</w:t>
      </w:r>
    </w:p>
    <w:p>
      <w:pPr>
        <w:pStyle w:val="140"/>
        <w:spacing w:line="360" w:lineRule="auto"/>
        <w:ind w:firstLine="480"/>
        <w:rPr>
          <w:rFonts w:hAnsi="宋体"/>
          <w:color w:val="auto"/>
          <w:szCs w:val="21"/>
          <w:highlight w:val="none"/>
        </w:rPr>
      </w:pPr>
      <w:r>
        <w:rPr>
          <w:rFonts w:hint="eastAsia" w:hAnsi="宋体"/>
          <w:color w:val="auto"/>
          <w:szCs w:val="21"/>
          <w:highlight w:val="none"/>
        </w:rPr>
        <w:t>2、本合同一式六份，自双方签章之日起生效。甲方三份，乙方、政府采购管理部门、采购代理机构各一份。</w:t>
      </w:r>
    </w:p>
    <w:p>
      <w:pPr>
        <w:spacing w:line="360" w:lineRule="auto"/>
        <w:rPr>
          <w:rFonts w:hAnsi="宋体" w:cs="宋体"/>
          <w:color w:val="auto"/>
          <w:szCs w:val="21"/>
          <w:highlight w:val="none"/>
        </w:rPr>
      </w:pPr>
    </w:p>
    <w:p>
      <w:pPr>
        <w:spacing w:line="360" w:lineRule="auto"/>
        <w:rPr>
          <w:rFonts w:hAnsi="宋体"/>
          <w:color w:val="auto"/>
          <w:highlight w:val="none"/>
        </w:rPr>
      </w:pPr>
    </w:p>
    <w:p>
      <w:pPr>
        <w:spacing w:line="360" w:lineRule="auto"/>
        <w:ind w:firstLine="480" w:firstLineChars="200"/>
        <w:rPr>
          <w:rFonts w:hAnsi="宋体"/>
          <w:color w:val="auto"/>
          <w:highlight w:val="none"/>
        </w:rPr>
      </w:pPr>
      <w:r>
        <w:rPr>
          <w:rFonts w:hint="eastAsia" w:hAnsi="宋体"/>
          <w:color w:val="auto"/>
          <w:highlight w:val="none"/>
        </w:rPr>
        <w:t xml:space="preserve">甲方：   （盖单位公章）   </w:t>
      </w:r>
      <w:r>
        <w:rPr>
          <w:rFonts w:hint="eastAsia" w:hAnsi="宋体"/>
          <w:color w:val="auto"/>
          <w:highlight w:val="none"/>
        </w:rPr>
        <w:tab/>
      </w:r>
      <w:r>
        <w:rPr>
          <w:rFonts w:hint="eastAsia" w:hAnsi="宋体"/>
          <w:color w:val="auto"/>
          <w:highlight w:val="none"/>
        </w:rPr>
        <w:tab/>
      </w:r>
      <w:r>
        <w:rPr>
          <w:rFonts w:hint="eastAsia" w:hAnsi="宋体"/>
          <w:color w:val="auto"/>
          <w:highlight w:val="none"/>
        </w:rPr>
        <w:tab/>
      </w:r>
      <w:r>
        <w:rPr>
          <w:rFonts w:hint="eastAsia" w:hAnsi="宋体"/>
          <w:color w:val="auto"/>
          <w:highlight w:val="none"/>
        </w:rPr>
        <w:t xml:space="preserve"> 乙方：   （盖单位公章）</w:t>
      </w:r>
    </w:p>
    <w:p>
      <w:pPr>
        <w:spacing w:line="360" w:lineRule="auto"/>
        <w:ind w:firstLine="480" w:firstLineChars="200"/>
        <w:rPr>
          <w:rFonts w:hAnsi="宋体"/>
          <w:color w:val="auto"/>
          <w:highlight w:val="none"/>
        </w:rPr>
      </w:pPr>
      <w:r>
        <w:rPr>
          <w:rFonts w:hint="eastAsia" w:hAnsi="宋体"/>
          <w:color w:val="auto"/>
          <w:highlight w:val="none"/>
        </w:rPr>
        <w:t>法定代表人（授权代表）：           法定代表人（授权代表）：</w:t>
      </w:r>
    </w:p>
    <w:p>
      <w:pPr>
        <w:spacing w:line="360" w:lineRule="auto"/>
        <w:ind w:firstLine="480" w:firstLineChars="200"/>
        <w:rPr>
          <w:rFonts w:hAnsi="宋体"/>
          <w:color w:val="auto"/>
          <w:highlight w:val="none"/>
        </w:rPr>
      </w:pPr>
      <w:r>
        <w:rPr>
          <w:rFonts w:hint="eastAsia" w:hAnsi="宋体"/>
          <w:color w:val="auto"/>
          <w:highlight w:val="none"/>
        </w:rPr>
        <w:t>地    址：                         地    址：</w:t>
      </w:r>
    </w:p>
    <w:p>
      <w:pPr>
        <w:spacing w:line="360" w:lineRule="auto"/>
        <w:ind w:firstLine="480" w:firstLineChars="200"/>
        <w:rPr>
          <w:rFonts w:hAnsi="宋体"/>
          <w:color w:val="auto"/>
          <w:highlight w:val="none"/>
        </w:rPr>
      </w:pPr>
      <w:r>
        <w:rPr>
          <w:rFonts w:hint="eastAsia" w:hAnsi="宋体"/>
          <w:color w:val="auto"/>
          <w:highlight w:val="none"/>
        </w:rPr>
        <w:t>开户银行：                         开户银行：</w:t>
      </w:r>
    </w:p>
    <w:p>
      <w:pPr>
        <w:spacing w:line="360" w:lineRule="auto"/>
        <w:ind w:firstLine="480" w:firstLineChars="200"/>
        <w:rPr>
          <w:rFonts w:hAnsi="宋体"/>
          <w:color w:val="auto"/>
          <w:highlight w:val="none"/>
        </w:rPr>
      </w:pPr>
      <w:r>
        <w:rPr>
          <w:rFonts w:hint="eastAsia" w:hAnsi="宋体"/>
          <w:color w:val="auto"/>
          <w:highlight w:val="none"/>
        </w:rPr>
        <w:t>账号：                             账号：</w:t>
      </w:r>
    </w:p>
    <w:p>
      <w:pPr>
        <w:spacing w:line="360" w:lineRule="auto"/>
        <w:ind w:firstLine="480" w:firstLineChars="200"/>
        <w:rPr>
          <w:rFonts w:hAnsi="宋体"/>
          <w:color w:val="auto"/>
          <w:highlight w:val="none"/>
        </w:rPr>
      </w:pPr>
      <w:r>
        <w:rPr>
          <w:rFonts w:hint="eastAsia" w:hAnsi="宋体"/>
          <w:color w:val="auto"/>
          <w:highlight w:val="none"/>
        </w:rPr>
        <w:t>电    话：                         电    话：</w:t>
      </w:r>
    </w:p>
    <w:p>
      <w:pPr>
        <w:spacing w:line="360" w:lineRule="auto"/>
        <w:ind w:firstLine="480" w:firstLineChars="200"/>
        <w:rPr>
          <w:rFonts w:hAnsi="宋体"/>
          <w:color w:val="auto"/>
          <w:highlight w:val="none"/>
        </w:rPr>
      </w:pPr>
      <w:r>
        <w:rPr>
          <w:rFonts w:hint="eastAsia" w:hAnsi="宋体"/>
          <w:color w:val="auto"/>
          <w:highlight w:val="none"/>
        </w:rPr>
        <w:t>传    真：                         传    真：</w:t>
      </w:r>
    </w:p>
    <w:p>
      <w:pPr>
        <w:spacing w:line="360" w:lineRule="auto"/>
        <w:ind w:firstLine="480" w:firstLineChars="200"/>
        <w:rPr>
          <w:rFonts w:hAnsi="宋体"/>
          <w:color w:val="auto"/>
          <w:highlight w:val="none"/>
        </w:rPr>
      </w:pPr>
      <w:r>
        <w:rPr>
          <w:rFonts w:hint="eastAsia" w:hAnsi="宋体"/>
          <w:color w:val="auto"/>
          <w:highlight w:val="none"/>
        </w:rPr>
        <w:t xml:space="preserve">签约日期：XX年XX月XX日 </w:t>
      </w:r>
      <w:r>
        <w:rPr>
          <w:rFonts w:hint="eastAsia" w:hAnsi="宋体"/>
          <w:color w:val="auto"/>
          <w:highlight w:val="none"/>
        </w:rPr>
        <w:tab/>
      </w:r>
      <w:r>
        <w:rPr>
          <w:rFonts w:hint="eastAsia" w:hAnsi="宋体"/>
          <w:color w:val="auto"/>
          <w:highlight w:val="none"/>
        </w:rPr>
        <w:tab/>
      </w:r>
      <w:r>
        <w:rPr>
          <w:rFonts w:hint="eastAsia" w:hAnsi="宋体"/>
          <w:color w:val="auto"/>
          <w:highlight w:val="none"/>
        </w:rPr>
        <w:tab/>
      </w:r>
      <w:r>
        <w:rPr>
          <w:rFonts w:hint="eastAsia" w:hAnsi="宋体"/>
          <w:color w:val="auto"/>
          <w:highlight w:val="none"/>
        </w:rPr>
        <w:t>签约日期：XX年XX月XX日</w:t>
      </w:r>
    </w:p>
    <w:p>
      <w:pPr>
        <w:spacing w:line="360" w:lineRule="auto"/>
        <w:jc w:val="center"/>
        <w:outlineLvl w:val="5"/>
        <w:rPr>
          <w:rFonts w:hAnsi="宋体" w:cs="宋体"/>
          <w:color w:val="auto"/>
          <w:szCs w:val="21"/>
          <w:highlight w:val="none"/>
        </w:rPr>
      </w:pPr>
    </w:p>
    <w:p>
      <w:pPr>
        <w:spacing w:line="360" w:lineRule="auto"/>
        <w:ind w:firstLine="482" w:firstLineChars="200"/>
        <w:rPr>
          <w:rFonts w:hAnsi="宋体"/>
          <w:color w:val="auto"/>
          <w:highlight w:val="none"/>
        </w:rPr>
      </w:pPr>
      <w:r>
        <w:rPr>
          <w:rFonts w:hint="eastAsia" w:hAnsi="宋体"/>
          <w:b/>
          <w:bCs/>
          <w:color w:val="auto"/>
          <w:highlight w:val="none"/>
        </w:rPr>
        <w:t>注：其他合同专用条款在合同签定时另行约定。</w:t>
      </w:r>
    </w:p>
    <w:p>
      <w:pPr>
        <w:spacing w:line="360" w:lineRule="auto"/>
        <w:rPr>
          <w:rFonts w:hAnsi="宋体"/>
          <w:color w:val="auto"/>
          <w:highlight w:val="none"/>
        </w:rPr>
      </w:pPr>
    </w:p>
    <w:p>
      <w:pPr>
        <w:pStyle w:val="3"/>
        <w:spacing w:line="360" w:lineRule="auto"/>
        <w:rPr>
          <w:color w:val="auto"/>
          <w:highlight w:val="none"/>
        </w:rPr>
      </w:pPr>
      <w:r>
        <w:rPr>
          <w:rFonts w:hint="eastAsia"/>
          <w:color w:val="auto"/>
          <w:highlight w:val="none"/>
        </w:rPr>
        <w:br w:type="page"/>
      </w:r>
      <w:r>
        <w:rPr>
          <w:rFonts w:hint="eastAsia"/>
          <w:color w:val="auto"/>
          <w:highlight w:val="none"/>
        </w:rPr>
        <w:t>医疗卫生机构医药产品廉洁购销合同</w:t>
      </w:r>
      <w:bookmarkEnd w:id="193"/>
      <w:bookmarkEnd w:id="194"/>
    </w:p>
    <w:p>
      <w:pPr>
        <w:spacing w:line="360" w:lineRule="auto"/>
        <w:jc w:val="center"/>
        <w:rPr>
          <w:rFonts w:hAnsi="宋体"/>
          <w:b/>
          <w:bCs/>
          <w:color w:val="auto"/>
          <w:highlight w:val="none"/>
        </w:rPr>
      </w:pPr>
    </w:p>
    <w:p>
      <w:pPr>
        <w:spacing w:line="360" w:lineRule="auto"/>
        <w:rPr>
          <w:rFonts w:hAnsi="宋体"/>
          <w:color w:val="auto"/>
          <w:highlight w:val="none"/>
        </w:rPr>
      </w:pPr>
      <w:r>
        <w:rPr>
          <w:rFonts w:hint="eastAsia" w:hAnsi="宋体"/>
          <w:color w:val="auto"/>
          <w:highlight w:val="none"/>
        </w:rPr>
        <w:t>甲方（医疗卫生机构）：成都市第五人民医院</w:t>
      </w:r>
    </w:p>
    <w:p>
      <w:pPr>
        <w:spacing w:line="360" w:lineRule="auto"/>
        <w:rPr>
          <w:rFonts w:hAnsi="宋体"/>
          <w:color w:val="auto"/>
          <w:highlight w:val="none"/>
          <w:shd w:val="clear" w:color="FFFFFF" w:fill="D9D9D9"/>
        </w:rPr>
      </w:pPr>
      <w:r>
        <w:rPr>
          <w:rFonts w:hint="eastAsia" w:hAnsi="宋体"/>
          <w:color w:val="auto"/>
          <w:highlight w:val="none"/>
        </w:rPr>
        <w:t>乙方（医药生产经营企业及其代理人）：</w:t>
      </w:r>
    </w:p>
    <w:p>
      <w:pPr>
        <w:spacing w:line="360" w:lineRule="auto"/>
        <w:ind w:firstLine="480" w:firstLineChars="200"/>
        <w:rPr>
          <w:rFonts w:hAnsi="宋体"/>
          <w:color w:val="auto"/>
          <w:highlight w:val="none"/>
        </w:rPr>
      </w:pPr>
      <w:r>
        <w:rPr>
          <w:rFonts w:hint="eastAsia" w:hAnsi="宋体"/>
          <w:color w:val="auto"/>
          <w:highlight w:val="none"/>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80" w:firstLineChars="200"/>
        <w:rPr>
          <w:rFonts w:hAnsi="宋体"/>
          <w:color w:val="auto"/>
          <w:highlight w:val="none"/>
        </w:rPr>
      </w:pPr>
      <w:r>
        <w:rPr>
          <w:rFonts w:hint="eastAsia" w:hAnsi="宋体"/>
          <w:color w:val="auto"/>
          <w:highlight w:val="none"/>
        </w:rPr>
        <w:t>一、甲乙双方按照《合同法》及医药产品购销合同约定购销药品、医用设备、医用耗材等医药产品。</w:t>
      </w:r>
    </w:p>
    <w:p>
      <w:pPr>
        <w:spacing w:line="360" w:lineRule="auto"/>
        <w:ind w:firstLine="480" w:firstLineChars="200"/>
        <w:rPr>
          <w:rFonts w:hAnsi="宋体"/>
          <w:color w:val="auto"/>
          <w:highlight w:val="none"/>
        </w:rPr>
      </w:pPr>
      <w:r>
        <w:rPr>
          <w:rFonts w:hint="eastAsia" w:hAnsi="宋体"/>
          <w:color w:val="auto"/>
          <w:highlight w:val="none"/>
        </w:rPr>
        <w:t>二、甲方应当严格执行医药产品购销合同验收、入库制度，对采购医药产品及发票进行查验，不得违反有关规定合同外采购、违价采购或从非规定渠道采购。</w:t>
      </w:r>
    </w:p>
    <w:p>
      <w:pPr>
        <w:spacing w:line="360" w:lineRule="auto"/>
        <w:ind w:firstLine="480" w:firstLineChars="200"/>
        <w:rPr>
          <w:rFonts w:hAnsi="宋体"/>
          <w:color w:val="auto"/>
          <w:highlight w:val="none"/>
        </w:rPr>
      </w:pPr>
      <w:r>
        <w:rPr>
          <w:rFonts w:hint="eastAsia" w:hAnsi="宋体"/>
          <w:color w:val="auto"/>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80" w:firstLineChars="200"/>
        <w:rPr>
          <w:rFonts w:hAnsi="宋体"/>
          <w:color w:val="auto"/>
          <w:highlight w:val="none"/>
        </w:rPr>
      </w:pPr>
      <w:r>
        <w:rPr>
          <w:rFonts w:hint="eastAsia" w:hAnsi="宋体"/>
          <w:color w:val="auto"/>
          <w:highlight w:val="none"/>
        </w:rPr>
        <w:t>四、严禁甲方工作人员利用任何途径和方式，为乙方统计医师个人及临床科室有关医药产品用量信息，或为乙方统计提供便利。</w:t>
      </w:r>
    </w:p>
    <w:p>
      <w:pPr>
        <w:spacing w:line="360" w:lineRule="auto"/>
        <w:ind w:firstLine="480" w:firstLineChars="200"/>
        <w:rPr>
          <w:rFonts w:hAnsi="宋体"/>
          <w:color w:val="auto"/>
          <w:highlight w:val="none"/>
        </w:rPr>
      </w:pPr>
      <w:r>
        <w:rPr>
          <w:rFonts w:hint="eastAsia" w:hAnsi="宋体"/>
          <w:color w:val="auto"/>
          <w:highlight w:val="none"/>
        </w:rPr>
        <w:t>五、乙方不得以回扣、宴请等方式影响甲方工作人员采购或使用医药产品的选择权，不得在学术活动中提供旅游、超标准支付食宿费用。</w:t>
      </w:r>
    </w:p>
    <w:p>
      <w:pPr>
        <w:spacing w:line="360" w:lineRule="auto"/>
        <w:ind w:firstLine="480" w:firstLineChars="200"/>
        <w:rPr>
          <w:rFonts w:hAnsi="宋体"/>
          <w:color w:val="auto"/>
          <w:highlight w:val="none"/>
        </w:rPr>
      </w:pPr>
      <w:r>
        <w:rPr>
          <w:rFonts w:hint="eastAsia" w:hAnsi="宋体"/>
          <w:color w:val="auto"/>
          <w:highlight w:val="none"/>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80" w:firstLineChars="200"/>
        <w:rPr>
          <w:rFonts w:hAnsi="宋体"/>
          <w:color w:val="auto"/>
          <w:highlight w:val="none"/>
        </w:rPr>
      </w:pPr>
      <w:r>
        <w:rPr>
          <w:rFonts w:hint="eastAsia" w:hAnsi="宋体"/>
          <w:color w:val="auto"/>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ind w:firstLine="480" w:firstLineChars="200"/>
        <w:rPr>
          <w:rFonts w:hAnsi="宋体"/>
          <w:color w:val="auto"/>
          <w:highlight w:val="none"/>
        </w:rPr>
      </w:pPr>
      <w:r>
        <w:rPr>
          <w:rFonts w:hint="eastAsia" w:hAnsi="宋体"/>
          <w:color w:val="auto"/>
          <w:highlight w:val="none"/>
        </w:rPr>
        <w:t>八、本合同作为医药产品购销合同的重要组成部分，与购销合同一并执行，具有同等的法律效力。</w:t>
      </w:r>
    </w:p>
    <w:p>
      <w:pPr>
        <w:spacing w:line="360" w:lineRule="auto"/>
        <w:ind w:firstLine="480" w:firstLineChars="200"/>
        <w:rPr>
          <w:rFonts w:hAnsi="宋体"/>
          <w:color w:val="auto"/>
          <w:highlight w:val="none"/>
        </w:rPr>
      </w:pPr>
      <w:r>
        <w:rPr>
          <w:rFonts w:hint="eastAsia" w:hAnsi="宋体"/>
          <w:color w:val="auto"/>
          <w:highlight w:val="none"/>
        </w:rPr>
        <w:t>九、本合同一式三份，甲、乙双方各执一份，甲方纪检监察部门（基层医疗卫生机构上报上级卫生计生行政部门）执一份，并从签订之日起生效。</w:t>
      </w:r>
    </w:p>
    <w:p>
      <w:pPr>
        <w:spacing w:line="360" w:lineRule="auto"/>
        <w:rPr>
          <w:rFonts w:hAnsi="宋体"/>
          <w:color w:val="auto"/>
          <w:highlight w:val="none"/>
        </w:rPr>
      </w:pPr>
    </w:p>
    <w:p>
      <w:pPr>
        <w:spacing w:line="360" w:lineRule="auto"/>
        <w:rPr>
          <w:rFonts w:hAnsi="宋体"/>
          <w:color w:val="auto"/>
          <w:highlight w:val="none"/>
        </w:rPr>
      </w:pPr>
      <w:r>
        <w:rPr>
          <w:rFonts w:hint="eastAsia" w:hAnsi="宋体"/>
          <w:color w:val="auto"/>
          <w:highlight w:val="none"/>
        </w:rPr>
        <w:t>甲方（盖章）:                乙方（盖章）:</w:t>
      </w:r>
    </w:p>
    <w:p>
      <w:pPr>
        <w:spacing w:line="360" w:lineRule="auto"/>
        <w:rPr>
          <w:rFonts w:hAnsi="宋体"/>
          <w:color w:val="auto"/>
          <w:highlight w:val="none"/>
        </w:rPr>
      </w:pPr>
      <w:r>
        <w:rPr>
          <w:rFonts w:hint="eastAsia" w:hAnsi="宋体"/>
          <w:color w:val="auto"/>
          <w:highlight w:val="none"/>
        </w:rPr>
        <w:t xml:space="preserve">成都市第五人民医院          </w:t>
      </w:r>
    </w:p>
    <w:p>
      <w:pPr>
        <w:spacing w:line="360" w:lineRule="auto"/>
        <w:rPr>
          <w:rFonts w:hAnsi="宋体"/>
          <w:color w:val="auto"/>
          <w:highlight w:val="none"/>
        </w:rPr>
      </w:pPr>
      <w:r>
        <w:rPr>
          <w:rFonts w:hint="eastAsia" w:hAnsi="宋体"/>
          <w:color w:val="auto"/>
          <w:highlight w:val="none"/>
        </w:rPr>
        <w:t>法定代表人（负责人）:        法定代表人（负责人）:</w:t>
      </w:r>
    </w:p>
    <w:p>
      <w:pPr>
        <w:spacing w:line="360" w:lineRule="auto"/>
        <w:rPr>
          <w:rFonts w:hAnsi="宋体"/>
          <w:color w:val="auto"/>
          <w:highlight w:val="none"/>
        </w:rPr>
      </w:pPr>
      <w:r>
        <w:rPr>
          <w:rFonts w:hint="eastAsia" w:hAnsi="宋体"/>
          <w:color w:val="auto"/>
          <w:highlight w:val="none"/>
        </w:rPr>
        <w:t>经办人签名：                 经办人签名：</w:t>
      </w:r>
    </w:p>
    <w:p>
      <w:pPr>
        <w:spacing w:line="360" w:lineRule="auto"/>
        <w:rPr>
          <w:rFonts w:hAnsi="宋体"/>
          <w:color w:val="auto"/>
          <w:highlight w:val="none"/>
        </w:rPr>
      </w:pPr>
      <w:r>
        <w:rPr>
          <w:rFonts w:hint="eastAsia" w:hAnsi="宋体"/>
          <w:color w:val="auto"/>
          <w:highlight w:val="none"/>
        </w:rPr>
        <w:t>2021年    月    日           2021年     月    日</w:t>
      </w:r>
    </w:p>
    <w:p>
      <w:pPr>
        <w:spacing w:line="360" w:lineRule="auto"/>
        <w:ind w:firstLine="482" w:firstLineChars="200"/>
        <w:rPr>
          <w:color w:val="auto"/>
          <w:highlight w:val="none"/>
        </w:rPr>
      </w:pPr>
      <w:r>
        <w:rPr>
          <w:rFonts w:hint="eastAsia" w:hAnsi="宋体"/>
          <w:b/>
          <w:bCs/>
          <w:color w:val="auto"/>
          <w:highlight w:val="none"/>
        </w:rPr>
        <w:t>注：其他合同专用条款在合同签定时另行约定。</w:t>
      </w: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bookmarkEnd w:id="191"/>
    <w:bookmarkEnd w:id="192"/>
    <w:p>
      <w:pPr>
        <w:tabs>
          <w:tab w:val="left" w:pos="6447"/>
        </w:tabs>
        <w:rPr>
          <w:rFonts w:hAnsi="宋体"/>
          <w:color w:val="auto"/>
          <w:highlight w:val="none"/>
        </w:rPr>
      </w:pPr>
      <w:r>
        <w:rPr>
          <w:rFonts w:hAnsi="宋体"/>
          <w:color w:val="auto"/>
          <w:highlight w:val="none"/>
        </w:rPr>
        <w:tab/>
      </w:r>
    </w:p>
    <w:sectPr>
      <w:headerReference r:id="rId15" w:type="first"/>
      <w:footerReference r:id="rId16" w:type="default"/>
      <w:headerReference r:id="rId14" w:type="even"/>
      <w:pgSz w:w="11907" w:h="16840"/>
      <w:pgMar w:top="1134" w:right="1134" w:bottom="1134" w:left="1701"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宋体-PUA">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9</w:t>
    </w:r>
    <w:r>
      <w:fldChar w:fldCharType="end"/>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KtMU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oq0xTICAABk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pict>
        <v:shape id="WordPictureWatermark108073830" o:spid="_x0000_s2060"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r>
      <w:rPr>
        <w:lang w:val="en-US" w:eastAsia="zh-CN"/>
      </w:rPr>
      <w:pict>
        <v:shape id="_x0000_i1025" o:spt="75" alt="IMG_0001" type="#_x0000_t75" style="height:15pt;width:450.75pt;" filled="f" o:preferrelative="t" stroked="f" coordsize="21600,21600">
          <v:path/>
          <v:fill on="f" focussize="0,0"/>
          <v:stroke on="f" joinstyle="miter"/>
          <v:imagedata r:id="rId2" o:title="IMG_0001"/>
          <o:lock v:ext="edit" aspectratio="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4" o:spid="_x0000_s2052"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3" o:spid="_x0000_s2051"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29" o:spid="_x0000_s2061"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28" o:spid="_x0000_s2059"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5" o:spid="_x0000_s2058"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4" o:spid="_x0000_s2057"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8" o:spid="_x0000_s2056"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7" o:spid="_x0000_s2055"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1" o:spid="_x0000_s2054"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0" o:spid="_x0000_s2053"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A0E86"/>
    <w:multiLevelType w:val="singleLevel"/>
    <w:tmpl w:val="EFCA0E86"/>
    <w:lvl w:ilvl="0" w:tentative="0">
      <w:start w:val="1"/>
      <w:numFmt w:val="chineseCounting"/>
      <w:suff w:val="nothing"/>
      <w:lvlText w:val="%1、"/>
      <w:lvlJc w:val="left"/>
      <w:rPr>
        <w:rFonts w:hint="eastAsia"/>
      </w:rPr>
    </w:lvl>
  </w:abstractNum>
  <w:abstractNum w:abstractNumId="1">
    <w:nsid w:val="147D4424"/>
    <w:multiLevelType w:val="multilevel"/>
    <w:tmpl w:val="147D4424"/>
    <w:lvl w:ilvl="0" w:tentative="0">
      <w:start w:val="2"/>
      <w:numFmt w:val="decimal"/>
      <w:lvlText w:val="%1."/>
      <w:lvlJc w:val="left"/>
      <w:pPr>
        <w:tabs>
          <w:tab w:val="left" w:pos="839"/>
        </w:tabs>
        <w:ind w:left="839" w:hanging="360"/>
      </w:pPr>
      <w:rPr>
        <w:rFonts w:hint="default" w:cs="Consolas"/>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cs="Consolas"/>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1A9EFE"/>
    <w:multiLevelType w:val="singleLevel"/>
    <w:tmpl w:val="551A9EFE"/>
    <w:lvl w:ilvl="0" w:tentative="0">
      <w:start w:val="1"/>
      <w:numFmt w:val="chineseCounting"/>
      <w:suff w:val="nothing"/>
      <w:lvlText w:val="%1、"/>
      <w:lvlJc w:val="left"/>
    </w:lvl>
  </w:abstractNum>
  <w:abstractNum w:abstractNumId="3">
    <w:nsid w:val="58C74690"/>
    <w:multiLevelType w:val="singleLevel"/>
    <w:tmpl w:val="58C74690"/>
    <w:lvl w:ilvl="0" w:tentative="0">
      <w:start w:val="6"/>
      <w:numFmt w:val="chineseCounting"/>
      <w:suff w:val="nothing"/>
      <w:lvlText w:val="%1、"/>
      <w:lvlJc w:val="left"/>
    </w:lvl>
  </w:abstractNum>
  <w:abstractNum w:abstractNumId="4">
    <w:nsid w:val="5B2785BD"/>
    <w:multiLevelType w:val="singleLevel"/>
    <w:tmpl w:val="5B2785BD"/>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56E"/>
    <w:rsid w:val="00000D2C"/>
    <w:rsid w:val="00001F17"/>
    <w:rsid w:val="00002382"/>
    <w:rsid w:val="000035DE"/>
    <w:rsid w:val="000035FE"/>
    <w:rsid w:val="00003754"/>
    <w:rsid w:val="000037A4"/>
    <w:rsid w:val="00003D88"/>
    <w:rsid w:val="000046B2"/>
    <w:rsid w:val="00005A35"/>
    <w:rsid w:val="0000625D"/>
    <w:rsid w:val="000068BC"/>
    <w:rsid w:val="000069C4"/>
    <w:rsid w:val="000070F7"/>
    <w:rsid w:val="00007710"/>
    <w:rsid w:val="00010265"/>
    <w:rsid w:val="000103CD"/>
    <w:rsid w:val="00010B3C"/>
    <w:rsid w:val="00011777"/>
    <w:rsid w:val="0001200B"/>
    <w:rsid w:val="000129E1"/>
    <w:rsid w:val="00012FEA"/>
    <w:rsid w:val="000148C6"/>
    <w:rsid w:val="00014AF6"/>
    <w:rsid w:val="00015676"/>
    <w:rsid w:val="00015872"/>
    <w:rsid w:val="00017096"/>
    <w:rsid w:val="00017A20"/>
    <w:rsid w:val="00017C1F"/>
    <w:rsid w:val="00017C3D"/>
    <w:rsid w:val="00017CA6"/>
    <w:rsid w:val="00017D59"/>
    <w:rsid w:val="00020234"/>
    <w:rsid w:val="0002053A"/>
    <w:rsid w:val="0002276B"/>
    <w:rsid w:val="0002281B"/>
    <w:rsid w:val="00022DCE"/>
    <w:rsid w:val="00023430"/>
    <w:rsid w:val="0002362B"/>
    <w:rsid w:val="000245B4"/>
    <w:rsid w:val="000247AD"/>
    <w:rsid w:val="00024B3A"/>
    <w:rsid w:val="000258DD"/>
    <w:rsid w:val="0002598C"/>
    <w:rsid w:val="00031A7B"/>
    <w:rsid w:val="00033D03"/>
    <w:rsid w:val="00034086"/>
    <w:rsid w:val="0003438A"/>
    <w:rsid w:val="00034504"/>
    <w:rsid w:val="000345BB"/>
    <w:rsid w:val="00034B7F"/>
    <w:rsid w:val="00034D05"/>
    <w:rsid w:val="00034F2B"/>
    <w:rsid w:val="000354B6"/>
    <w:rsid w:val="000357EF"/>
    <w:rsid w:val="000368C6"/>
    <w:rsid w:val="00037307"/>
    <w:rsid w:val="0004133E"/>
    <w:rsid w:val="00041B96"/>
    <w:rsid w:val="00041BE6"/>
    <w:rsid w:val="00041F08"/>
    <w:rsid w:val="0004279B"/>
    <w:rsid w:val="00043A31"/>
    <w:rsid w:val="00044244"/>
    <w:rsid w:val="00044610"/>
    <w:rsid w:val="00044C4E"/>
    <w:rsid w:val="00044DF4"/>
    <w:rsid w:val="000455C5"/>
    <w:rsid w:val="00045DA4"/>
    <w:rsid w:val="00045F7F"/>
    <w:rsid w:val="00046815"/>
    <w:rsid w:val="00046A23"/>
    <w:rsid w:val="00046A5A"/>
    <w:rsid w:val="00046F20"/>
    <w:rsid w:val="000474D6"/>
    <w:rsid w:val="0004769C"/>
    <w:rsid w:val="000476A0"/>
    <w:rsid w:val="00050009"/>
    <w:rsid w:val="00050737"/>
    <w:rsid w:val="00051178"/>
    <w:rsid w:val="00051693"/>
    <w:rsid w:val="00051F6E"/>
    <w:rsid w:val="000520A5"/>
    <w:rsid w:val="00052206"/>
    <w:rsid w:val="000524CF"/>
    <w:rsid w:val="0005286B"/>
    <w:rsid w:val="00052DC8"/>
    <w:rsid w:val="00053273"/>
    <w:rsid w:val="00053618"/>
    <w:rsid w:val="000536CA"/>
    <w:rsid w:val="00054197"/>
    <w:rsid w:val="000541EA"/>
    <w:rsid w:val="00054BE3"/>
    <w:rsid w:val="0005529E"/>
    <w:rsid w:val="000553A8"/>
    <w:rsid w:val="000555F4"/>
    <w:rsid w:val="00057945"/>
    <w:rsid w:val="00057C46"/>
    <w:rsid w:val="000604BA"/>
    <w:rsid w:val="00060881"/>
    <w:rsid w:val="00060CAA"/>
    <w:rsid w:val="00060DEC"/>
    <w:rsid w:val="00061B4C"/>
    <w:rsid w:val="000621B1"/>
    <w:rsid w:val="00063DEC"/>
    <w:rsid w:val="000645BC"/>
    <w:rsid w:val="000649E5"/>
    <w:rsid w:val="000675ED"/>
    <w:rsid w:val="0006771F"/>
    <w:rsid w:val="0006774F"/>
    <w:rsid w:val="000678C6"/>
    <w:rsid w:val="00067EA9"/>
    <w:rsid w:val="0007009C"/>
    <w:rsid w:val="00070281"/>
    <w:rsid w:val="000703B1"/>
    <w:rsid w:val="00070ABE"/>
    <w:rsid w:val="00071D2A"/>
    <w:rsid w:val="00072072"/>
    <w:rsid w:val="00072200"/>
    <w:rsid w:val="00072480"/>
    <w:rsid w:val="00073537"/>
    <w:rsid w:val="00073BE6"/>
    <w:rsid w:val="0007409D"/>
    <w:rsid w:val="0007415D"/>
    <w:rsid w:val="00074371"/>
    <w:rsid w:val="0007456C"/>
    <w:rsid w:val="00075714"/>
    <w:rsid w:val="00075991"/>
    <w:rsid w:val="00075B1B"/>
    <w:rsid w:val="00075C32"/>
    <w:rsid w:val="00076BA1"/>
    <w:rsid w:val="00076DAF"/>
    <w:rsid w:val="00077CCA"/>
    <w:rsid w:val="00080428"/>
    <w:rsid w:val="00080BBC"/>
    <w:rsid w:val="00080E2A"/>
    <w:rsid w:val="00080F48"/>
    <w:rsid w:val="00081C10"/>
    <w:rsid w:val="00081CB5"/>
    <w:rsid w:val="00082E41"/>
    <w:rsid w:val="0008419E"/>
    <w:rsid w:val="0008446C"/>
    <w:rsid w:val="00084532"/>
    <w:rsid w:val="00084566"/>
    <w:rsid w:val="000859FA"/>
    <w:rsid w:val="00085A1F"/>
    <w:rsid w:val="000862EA"/>
    <w:rsid w:val="00087265"/>
    <w:rsid w:val="000874CD"/>
    <w:rsid w:val="00087E38"/>
    <w:rsid w:val="000903A8"/>
    <w:rsid w:val="000908BB"/>
    <w:rsid w:val="00091395"/>
    <w:rsid w:val="00091F8C"/>
    <w:rsid w:val="000934BE"/>
    <w:rsid w:val="00093CCF"/>
    <w:rsid w:val="00094294"/>
    <w:rsid w:val="000950D4"/>
    <w:rsid w:val="0009597A"/>
    <w:rsid w:val="00097688"/>
    <w:rsid w:val="00097BDA"/>
    <w:rsid w:val="000A0785"/>
    <w:rsid w:val="000A14CF"/>
    <w:rsid w:val="000A19C3"/>
    <w:rsid w:val="000A25A7"/>
    <w:rsid w:val="000A27A7"/>
    <w:rsid w:val="000A2E16"/>
    <w:rsid w:val="000A3FBA"/>
    <w:rsid w:val="000A4197"/>
    <w:rsid w:val="000A4E50"/>
    <w:rsid w:val="000A4E57"/>
    <w:rsid w:val="000A543F"/>
    <w:rsid w:val="000A5DA8"/>
    <w:rsid w:val="000A5FBE"/>
    <w:rsid w:val="000A6593"/>
    <w:rsid w:val="000B095E"/>
    <w:rsid w:val="000B1E3C"/>
    <w:rsid w:val="000B1F19"/>
    <w:rsid w:val="000B348D"/>
    <w:rsid w:val="000B3ADE"/>
    <w:rsid w:val="000B5591"/>
    <w:rsid w:val="000B5D40"/>
    <w:rsid w:val="000B6CBE"/>
    <w:rsid w:val="000B7174"/>
    <w:rsid w:val="000B72EC"/>
    <w:rsid w:val="000C0547"/>
    <w:rsid w:val="000C0E9E"/>
    <w:rsid w:val="000C1AED"/>
    <w:rsid w:val="000C21AC"/>
    <w:rsid w:val="000C221F"/>
    <w:rsid w:val="000C2AAD"/>
    <w:rsid w:val="000C2B75"/>
    <w:rsid w:val="000C2F65"/>
    <w:rsid w:val="000C2FA3"/>
    <w:rsid w:val="000C3A99"/>
    <w:rsid w:val="000C5335"/>
    <w:rsid w:val="000C6948"/>
    <w:rsid w:val="000C6DC1"/>
    <w:rsid w:val="000C6F0A"/>
    <w:rsid w:val="000C7650"/>
    <w:rsid w:val="000D09F7"/>
    <w:rsid w:val="000D0AD5"/>
    <w:rsid w:val="000D1089"/>
    <w:rsid w:val="000D1B9E"/>
    <w:rsid w:val="000D1EBB"/>
    <w:rsid w:val="000D2086"/>
    <w:rsid w:val="000D2137"/>
    <w:rsid w:val="000D21A4"/>
    <w:rsid w:val="000D392E"/>
    <w:rsid w:val="000D4176"/>
    <w:rsid w:val="000D6225"/>
    <w:rsid w:val="000D624E"/>
    <w:rsid w:val="000D69E3"/>
    <w:rsid w:val="000D728C"/>
    <w:rsid w:val="000D7E6F"/>
    <w:rsid w:val="000E022A"/>
    <w:rsid w:val="000E064A"/>
    <w:rsid w:val="000E08A7"/>
    <w:rsid w:val="000E116A"/>
    <w:rsid w:val="000E18CE"/>
    <w:rsid w:val="000E2107"/>
    <w:rsid w:val="000E2388"/>
    <w:rsid w:val="000E23F8"/>
    <w:rsid w:val="000E26E2"/>
    <w:rsid w:val="000E3ED9"/>
    <w:rsid w:val="000E40F3"/>
    <w:rsid w:val="000E44E7"/>
    <w:rsid w:val="000E4F76"/>
    <w:rsid w:val="000E5081"/>
    <w:rsid w:val="000E5467"/>
    <w:rsid w:val="000E5636"/>
    <w:rsid w:val="000E56E6"/>
    <w:rsid w:val="000E602F"/>
    <w:rsid w:val="000E6103"/>
    <w:rsid w:val="000E7118"/>
    <w:rsid w:val="000F069C"/>
    <w:rsid w:val="000F0EDB"/>
    <w:rsid w:val="000F19B2"/>
    <w:rsid w:val="000F1F82"/>
    <w:rsid w:val="000F233B"/>
    <w:rsid w:val="000F3365"/>
    <w:rsid w:val="000F4066"/>
    <w:rsid w:val="000F447C"/>
    <w:rsid w:val="000F49AC"/>
    <w:rsid w:val="000F4BD7"/>
    <w:rsid w:val="000F4E77"/>
    <w:rsid w:val="000F4FE1"/>
    <w:rsid w:val="000F5025"/>
    <w:rsid w:val="000F62C9"/>
    <w:rsid w:val="000F657D"/>
    <w:rsid w:val="000F7FC3"/>
    <w:rsid w:val="001001E1"/>
    <w:rsid w:val="0010128D"/>
    <w:rsid w:val="001016CC"/>
    <w:rsid w:val="00101963"/>
    <w:rsid w:val="00101E27"/>
    <w:rsid w:val="00102520"/>
    <w:rsid w:val="00102906"/>
    <w:rsid w:val="00102D7F"/>
    <w:rsid w:val="00102FA5"/>
    <w:rsid w:val="00104033"/>
    <w:rsid w:val="0010436B"/>
    <w:rsid w:val="00105092"/>
    <w:rsid w:val="0010550B"/>
    <w:rsid w:val="001059DF"/>
    <w:rsid w:val="0010616E"/>
    <w:rsid w:val="00106C0A"/>
    <w:rsid w:val="001076B2"/>
    <w:rsid w:val="00107BEB"/>
    <w:rsid w:val="001103AB"/>
    <w:rsid w:val="00111235"/>
    <w:rsid w:val="0011123C"/>
    <w:rsid w:val="0011139D"/>
    <w:rsid w:val="00111AD9"/>
    <w:rsid w:val="0011214A"/>
    <w:rsid w:val="001128F6"/>
    <w:rsid w:val="0011467E"/>
    <w:rsid w:val="00114E57"/>
    <w:rsid w:val="0011534E"/>
    <w:rsid w:val="00115503"/>
    <w:rsid w:val="001155BB"/>
    <w:rsid w:val="001166F7"/>
    <w:rsid w:val="00116A0A"/>
    <w:rsid w:val="00116CC3"/>
    <w:rsid w:val="00116E2C"/>
    <w:rsid w:val="001178AA"/>
    <w:rsid w:val="00117E89"/>
    <w:rsid w:val="00117F02"/>
    <w:rsid w:val="0012033A"/>
    <w:rsid w:val="00120416"/>
    <w:rsid w:val="001214F9"/>
    <w:rsid w:val="00121AC4"/>
    <w:rsid w:val="00121ED2"/>
    <w:rsid w:val="00122A3D"/>
    <w:rsid w:val="00122CB3"/>
    <w:rsid w:val="001232DE"/>
    <w:rsid w:val="00124F89"/>
    <w:rsid w:val="001250A2"/>
    <w:rsid w:val="001275BF"/>
    <w:rsid w:val="001276AC"/>
    <w:rsid w:val="00127B79"/>
    <w:rsid w:val="001304A1"/>
    <w:rsid w:val="00130921"/>
    <w:rsid w:val="00130D24"/>
    <w:rsid w:val="00131117"/>
    <w:rsid w:val="001311BD"/>
    <w:rsid w:val="00131461"/>
    <w:rsid w:val="00131C40"/>
    <w:rsid w:val="001345B8"/>
    <w:rsid w:val="00134F92"/>
    <w:rsid w:val="001351EF"/>
    <w:rsid w:val="00135341"/>
    <w:rsid w:val="00135673"/>
    <w:rsid w:val="001363F6"/>
    <w:rsid w:val="00136FC0"/>
    <w:rsid w:val="0014086C"/>
    <w:rsid w:val="00140A5B"/>
    <w:rsid w:val="00140E21"/>
    <w:rsid w:val="001421EB"/>
    <w:rsid w:val="0014221C"/>
    <w:rsid w:val="001426FC"/>
    <w:rsid w:val="00144432"/>
    <w:rsid w:val="00145DFD"/>
    <w:rsid w:val="001462B1"/>
    <w:rsid w:val="00146667"/>
    <w:rsid w:val="001470A0"/>
    <w:rsid w:val="001479D6"/>
    <w:rsid w:val="00147E64"/>
    <w:rsid w:val="0015151D"/>
    <w:rsid w:val="00152BD9"/>
    <w:rsid w:val="00153527"/>
    <w:rsid w:val="00153CF4"/>
    <w:rsid w:val="001541EC"/>
    <w:rsid w:val="0015446D"/>
    <w:rsid w:val="00154ABB"/>
    <w:rsid w:val="00155268"/>
    <w:rsid w:val="001562B4"/>
    <w:rsid w:val="001566F2"/>
    <w:rsid w:val="001603DE"/>
    <w:rsid w:val="00161674"/>
    <w:rsid w:val="00162091"/>
    <w:rsid w:val="00162316"/>
    <w:rsid w:val="00162BDA"/>
    <w:rsid w:val="00163451"/>
    <w:rsid w:val="0016350C"/>
    <w:rsid w:val="0016356A"/>
    <w:rsid w:val="00163F8E"/>
    <w:rsid w:val="00164FFA"/>
    <w:rsid w:val="0016554F"/>
    <w:rsid w:val="00166274"/>
    <w:rsid w:val="00170487"/>
    <w:rsid w:val="00170C00"/>
    <w:rsid w:val="001717CF"/>
    <w:rsid w:val="0017278E"/>
    <w:rsid w:val="001727FC"/>
    <w:rsid w:val="00172A27"/>
    <w:rsid w:val="00173692"/>
    <w:rsid w:val="001744CF"/>
    <w:rsid w:val="001766BB"/>
    <w:rsid w:val="00177C38"/>
    <w:rsid w:val="001800FC"/>
    <w:rsid w:val="0018021E"/>
    <w:rsid w:val="001802F6"/>
    <w:rsid w:val="001815DC"/>
    <w:rsid w:val="00184284"/>
    <w:rsid w:val="00184CB8"/>
    <w:rsid w:val="001858BE"/>
    <w:rsid w:val="00185B78"/>
    <w:rsid w:val="00185BA6"/>
    <w:rsid w:val="00186148"/>
    <w:rsid w:val="00186411"/>
    <w:rsid w:val="0018641B"/>
    <w:rsid w:val="00186495"/>
    <w:rsid w:val="001868E7"/>
    <w:rsid w:val="00186A56"/>
    <w:rsid w:val="00187AC7"/>
    <w:rsid w:val="00190833"/>
    <w:rsid w:val="00191596"/>
    <w:rsid w:val="00191714"/>
    <w:rsid w:val="0019175F"/>
    <w:rsid w:val="00192244"/>
    <w:rsid w:val="001925B8"/>
    <w:rsid w:val="00192860"/>
    <w:rsid w:val="00192CC9"/>
    <w:rsid w:val="0019371E"/>
    <w:rsid w:val="00194C61"/>
    <w:rsid w:val="0019579D"/>
    <w:rsid w:val="001963FD"/>
    <w:rsid w:val="00197F55"/>
    <w:rsid w:val="001A060D"/>
    <w:rsid w:val="001A0E26"/>
    <w:rsid w:val="001A11AF"/>
    <w:rsid w:val="001A1905"/>
    <w:rsid w:val="001A1A69"/>
    <w:rsid w:val="001A1E66"/>
    <w:rsid w:val="001A2AB9"/>
    <w:rsid w:val="001A2E40"/>
    <w:rsid w:val="001A43A4"/>
    <w:rsid w:val="001A5ECC"/>
    <w:rsid w:val="001A79B0"/>
    <w:rsid w:val="001A7A26"/>
    <w:rsid w:val="001B0666"/>
    <w:rsid w:val="001B1702"/>
    <w:rsid w:val="001B20B3"/>
    <w:rsid w:val="001B2492"/>
    <w:rsid w:val="001B3B92"/>
    <w:rsid w:val="001B405C"/>
    <w:rsid w:val="001B4CC9"/>
    <w:rsid w:val="001B5201"/>
    <w:rsid w:val="001B5808"/>
    <w:rsid w:val="001B641F"/>
    <w:rsid w:val="001B6C11"/>
    <w:rsid w:val="001B6F53"/>
    <w:rsid w:val="001B7228"/>
    <w:rsid w:val="001B7F60"/>
    <w:rsid w:val="001C044B"/>
    <w:rsid w:val="001C0512"/>
    <w:rsid w:val="001C0680"/>
    <w:rsid w:val="001C08FD"/>
    <w:rsid w:val="001C0E3C"/>
    <w:rsid w:val="001C22C4"/>
    <w:rsid w:val="001C23C4"/>
    <w:rsid w:val="001C3B9D"/>
    <w:rsid w:val="001C4214"/>
    <w:rsid w:val="001C6726"/>
    <w:rsid w:val="001C688E"/>
    <w:rsid w:val="001C6981"/>
    <w:rsid w:val="001C6A63"/>
    <w:rsid w:val="001C6D47"/>
    <w:rsid w:val="001D1431"/>
    <w:rsid w:val="001D14EC"/>
    <w:rsid w:val="001D1B6F"/>
    <w:rsid w:val="001D2014"/>
    <w:rsid w:val="001D25D7"/>
    <w:rsid w:val="001D2FD0"/>
    <w:rsid w:val="001D35B6"/>
    <w:rsid w:val="001D3F47"/>
    <w:rsid w:val="001D44CA"/>
    <w:rsid w:val="001D4B32"/>
    <w:rsid w:val="001D4D5D"/>
    <w:rsid w:val="001D5B70"/>
    <w:rsid w:val="001D6389"/>
    <w:rsid w:val="001E26FD"/>
    <w:rsid w:val="001E3DA0"/>
    <w:rsid w:val="001E52E2"/>
    <w:rsid w:val="001E5E2E"/>
    <w:rsid w:val="001E616B"/>
    <w:rsid w:val="001E6F90"/>
    <w:rsid w:val="001E70CD"/>
    <w:rsid w:val="001E71F7"/>
    <w:rsid w:val="001E774B"/>
    <w:rsid w:val="001F073B"/>
    <w:rsid w:val="001F0996"/>
    <w:rsid w:val="001F0F44"/>
    <w:rsid w:val="001F1BCA"/>
    <w:rsid w:val="001F204C"/>
    <w:rsid w:val="001F23F4"/>
    <w:rsid w:val="001F2B01"/>
    <w:rsid w:val="001F2B2F"/>
    <w:rsid w:val="001F4012"/>
    <w:rsid w:val="001F4514"/>
    <w:rsid w:val="001F4E75"/>
    <w:rsid w:val="001F5134"/>
    <w:rsid w:val="001F7A9E"/>
    <w:rsid w:val="002005EA"/>
    <w:rsid w:val="00200E6C"/>
    <w:rsid w:val="002015DE"/>
    <w:rsid w:val="00201BFF"/>
    <w:rsid w:val="00202D8B"/>
    <w:rsid w:val="0020497B"/>
    <w:rsid w:val="00205DD7"/>
    <w:rsid w:val="002066AA"/>
    <w:rsid w:val="00206A31"/>
    <w:rsid w:val="00206DA7"/>
    <w:rsid w:val="00207056"/>
    <w:rsid w:val="002071C9"/>
    <w:rsid w:val="002079D8"/>
    <w:rsid w:val="002079E9"/>
    <w:rsid w:val="00211065"/>
    <w:rsid w:val="00211484"/>
    <w:rsid w:val="00212417"/>
    <w:rsid w:val="00212E87"/>
    <w:rsid w:val="00214449"/>
    <w:rsid w:val="00214831"/>
    <w:rsid w:val="00214860"/>
    <w:rsid w:val="002156EC"/>
    <w:rsid w:val="002166BA"/>
    <w:rsid w:val="00216739"/>
    <w:rsid w:val="00217411"/>
    <w:rsid w:val="00217B0D"/>
    <w:rsid w:val="00220069"/>
    <w:rsid w:val="00220DCA"/>
    <w:rsid w:val="00221542"/>
    <w:rsid w:val="00221B24"/>
    <w:rsid w:val="00221F82"/>
    <w:rsid w:val="002239F6"/>
    <w:rsid w:val="00223B0B"/>
    <w:rsid w:val="00223E3B"/>
    <w:rsid w:val="00225172"/>
    <w:rsid w:val="002251B8"/>
    <w:rsid w:val="00225B71"/>
    <w:rsid w:val="0022657C"/>
    <w:rsid w:val="00226B2B"/>
    <w:rsid w:val="00227632"/>
    <w:rsid w:val="00227C49"/>
    <w:rsid w:val="00230444"/>
    <w:rsid w:val="0023058A"/>
    <w:rsid w:val="00230E83"/>
    <w:rsid w:val="0023255D"/>
    <w:rsid w:val="00232D23"/>
    <w:rsid w:val="00233990"/>
    <w:rsid w:val="00233B4F"/>
    <w:rsid w:val="00233FF0"/>
    <w:rsid w:val="00234E8A"/>
    <w:rsid w:val="002357D5"/>
    <w:rsid w:val="00236331"/>
    <w:rsid w:val="002368AF"/>
    <w:rsid w:val="00237549"/>
    <w:rsid w:val="00240391"/>
    <w:rsid w:val="00240837"/>
    <w:rsid w:val="002409D5"/>
    <w:rsid w:val="00240B20"/>
    <w:rsid w:val="0024161E"/>
    <w:rsid w:val="00243446"/>
    <w:rsid w:val="00243CD8"/>
    <w:rsid w:val="00244EA2"/>
    <w:rsid w:val="00246285"/>
    <w:rsid w:val="00246922"/>
    <w:rsid w:val="0024754F"/>
    <w:rsid w:val="0024774E"/>
    <w:rsid w:val="00247929"/>
    <w:rsid w:val="00251010"/>
    <w:rsid w:val="00251D72"/>
    <w:rsid w:val="0025216D"/>
    <w:rsid w:val="002526A3"/>
    <w:rsid w:val="00253018"/>
    <w:rsid w:val="00253914"/>
    <w:rsid w:val="00253E91"/>
    <w:rsid w:val="00253FE0"/>
    <w:rsid w:val="00253FEF"/>
    <w:rsid w:val="00254927"/>
    <w:rsid w:val="00255427"/>
    <w:rsid w:val="00255BC7"/>
    <w:rsid w:val="00255D9B"/>
    <w:rsid w:val="00256A49"/>
    <w:rsid w:val="002617D2"/>
    <w:rsid w:val="0026198F"/>
    <w:rsid w:val="00262A04"/>
    <w:rsid w:val="00262E83"/>
    <w:rsid w:val="0026309B"/>
    <w:rsid w:val="002635AE"/>
    <w:rsid w:val="00266E48"/>
    <w:rsid w:val="00270004"/>
    <w:rsid w:val="00271A18"/>
    <w:rsid w:val="00272996"/>
    <w:rsid w:val="00272DBF"/>
    <w:rsid w:val="00273490"/>
    <w:rsid w:val="00275F0F"/>
    <w:rsid w:val="00276DF8"/>
    <w:rsid w:val="00276FF3"/>
    <w:rsid w:val="00277529"/>
    <w:rsid w:val="00277AFB"/>
    <w:rsid w:val="0028140F"/>
    <w:rsid w:val="00281D97"/>
    <w:rsid w:val="00283070"/>
    <w:rsid w:val="00283DB5"/>
    <w:rsid w:val="0028420C"/>
    <w:rsid w:val="00284239"/>
    <w:rsid w:val="002852EE"/>
    <w:rsid w:val="00285D78"/>
    <w:rsid w:val="002872A9"/>
    <w:rsid w:val="002927D5"/>
    <w:rsid w:val="00293805"/>
    <w:rsid w:val="00294614"/>
    <w:rsid w:val="0029478C"/>
    <w:rsid w:val="002948A2"/>
    <w:rsid w:val="00294BC5"/>
    <w:rsid w:val="00294F5B"/>
    <w:rsid w:val="002958ED"/>
    <w:rsid w:val="00296FE6"/>
    <w:rsid w:val="00297689"/>
    <w:rsid w:val="002977E4"/>
    <w:rsid w:val="00297B74"/>
    <w:rsid w:val="00297E5D"/>
    <w:rsid w:val="002A04CC"/>
    <w:rsid w:val="002A0920"/>
    <w:rsid w:val="002A1E42"/>
    <w:rsid w:val="002A3581"/>
    <w:rsid w:val="002A35FB"/>
    <w:rsid w:val="002A3BF7"/>
    <w:rsid w:val="002A3E47"/>
    <w:rsid w:val="002A3EA8"/>
    <w:rsid w:val="002A4E45"/>
    <w:rsid w:val="002A4EE0"/>
    <w:rsid w:val="002A58C1"/>
    <w:rsid w:val="002A59F3"/>
    <w:rsid w:val="002A5AF0"/>
    <w:rsid w:val="002A7237"/>
    <w:rsid w:val="002A790C"/>
    <w:rsid w:val="002B0370"/>
    <w:rsid w:val="002B061C"/>
    <w:rsid w:val="002B0623"/>
    <w:rsid w:val="002B0A9F"/>
    <w:rsid w:val="002B10DF"/>
    <w:rsid w:val="002B16D5"/>
    <w:rsid w:val="002B1CBF"/>
    <w:rsid w:val="002B1F1C"/>
    <w:rsid w:val="002B2CE4"/>
    <w:rsid w:val="002B2FB2"/>
    <w:rsid w:val="002B41E4"/>
    <w:rsid w:val="002B43E4"/>
    <w:rsid w:val="002B4DE8"/>
    <w:rsid w:val="002B5E9F"/>
    <w:rsid w:val="002B605D"/>
    <w:rsid w:val="002B6612"/>
    <w:rsid w:val="002B726A"/>
    <w:rsid w:val="002B73CD"/>
    <w:rsid w:val="002B7D2F"/>
    <w:rsid w:val="002B7F9B"/>
    <w:rsid w:val="002C000B"/>
    <w:rsid w:val="002C0204"/>
    <w:rsid w:val="002C0278"/>
    <w:rsid w:val="002C1219"/>
    <w:rsid w:val="002C2291"/>
    <w:rsid w:val="002C27B7"/>
    <w:rsid w:val="002C2E89"/>
    <w:rsid w:val="002C44F2"/>
    <w:rsid w:val="002C5001"/>
    <w:rsid w:val="002C5AE6"/>
    <w:rsid w:val="002C762A"/>
    <w:rsid w:val="002D0862"/>
    <w:rsid w:val="002D0ADB"/>
    <w:rsid w:val="002D15E0"/>
    <w:rsid w:val="002D162A"/>
    <w:rsid w:val="002D202E"/>
    <w:rsid w:val="002D22F8"/>
    <w:rsid w:val="002D37C4"/>
    <w:rsid w:val="002D41B1"/>
    <w:rsid w:val="002D52F6"/>
    <w:rsid w:val="002D5831"/>
    <w:rsid w:val="002D716C"/>
    <w:rsid w:val="002E192F"/>
    <w:rsid w:val="002E2D0E"/>
    <w:rsid w:val="002E36AD"/>
    <w:rsid w:val="002E64F6"/>
    <w:rsid w:val="002E7334"/>
    <w:rsid w:val="002F0ACF"/>
    <w:rsid w:val="002F0F13"/>
    <w:rsid w:val="002F0FE7"/>
    <w:rsid w:val="002F336B"/>
    <w:rsid w:val="002F35B6"/>
    <w:rsid w:val="002F36A1"/>
    <w:rsid w:val="002F3B1D"/>
    <w:rsid w:val="002F440D"/>
    <w:rsid w:val="002F6935"/>
    <w:rsid w:val="002F6C51"/>
    <w:rsid w:val="002F7178"/>
    <w:rsid w:val="00300CDC"/>
    <w:rsid w:val="00300EF5"/>
    <w:rsid w:val="00300FDF"/>
    <w:rsid w:val="003016F9"/>
    <w:rsid w:val="00301712"/>
    <w:rsid w:val="00302E9C"/>
    <w:rsid w:val="00303F9A"/>
    <w:rsid w:val="00304647"/>
    <w:rsid w:val="003053E6"/>
    <w:rsid w:val="00305D16"/>
    <w:rsid w:val="00305F6D"/>
    <w:rsid w:val="003071E1"/>
    <w:rsid w:val="00307675"/>
    <w:rsid w:val="00307BB7"/>
    <w:rsid w:val="00307F36"/>
    <w:rsid w:val="00310580"/>
    <w:rsid w:val="003122FB"/>
    <w:rsid w:val="0031245F"/>
    <w:rsid w:val="00312935"/>
    <w:rsid w:val="00312BB8"/>
    <w:rsid w:val="00312D9D"/>
    <w:rsid w:val="00312E6E"/>
    <w:rsid w:val="00312EE4"/>
    <w:rsid w:val="0031332D"/>
    <w:rsid w:val="00313988"/>
    <w:rsid w:val="00313B4E"/>
    <w:rsid w:val="00314044"/>
    <w:rsid w:val="003147C5"/>
    <w:rsid w:val="00314B7C"/>
    <w:rsid w:val="00314DDD"/>
    <w:rsid w:val="00314ED1"/>
    <w:rsid w:val="00314F43"/>
    <w:rsid w:val="00315087"/>
    <w:rsid w:val="003151A8"/>
    <w:rsid w:val="00316819"/>
    <w:rsid w:val="00317624"/>
    <w:rsid w:val="00317653"/>
    <w:rsid w:val="00321635"/>
    <w:rsid w:val="00321C56"/>
    <w:rsid w:val="00321DC2"/>
    <w:rsid w:val="00322176"/>
    <w:rsid w:val="00322268"/>
    <w:rsid w:val="00325CA6"/>
    <w:rsid w:val="00326B4F"/>
    <w:rsid w:val="00326D5D"/>
    <w:rsid w:val="0032746A"/>
    <w:rsid w:val="0032785A"/>
    <w:rsid w:val="00330E49"/>
    <w:rsid w:val="00330F85"/>
    <w:rsid w:val="00331090"/>
    <w:rsid w:val="00332340"/>
    <w:rsid w:val="00332FAD"/>
    <w:rsid w:val="00333772"/>
    <w:rsid w:val="00333C6F"/>
    <w:rsid w:val="00333F07"/>
    <w:rsid w:val="00333F9A"/>
    <w:rsid w:val="0033470D"/>
    <w:rsid w:val="00336699"/>
    <w:rsid w:val="00336A8A"/>
    <w:rsid w:val="00336FCD"/>
    <w:rsid w:val="003372CF"/>
    <w:rsid w:val="00337E6B"/>
    <w:rsid w:val="003406CD"/>
    <w:rsid w:val="00341B68"/>
    <w:rsid w:val="00342599"/>
    <w:rsid w:val="00342EE4"/>
    <w:rsid w:val="0034390E"/>
    <w:rsid w:val="00344AB3"/>
    <w:rsid w:val="00344FD1"/>
    <w:rsid w:val="00345A61"/>
    <w:rsid w:val="00345A7A"/>
    <w:rsid w:val="00345E5B"/>
    <w:rsid w:val="00346E60"/>
    <w:rsid w:val="00346E6A"/>
    <w:rsid w:val="0034790E"/>
    <w:rsid w:val="0035067B"/>
    <w:rsid w:val="00350995"/>
    <w:rsid w:val="00350B86"/>
    <w:rsid w:val="003513E8"/>
    <w:rsid w:val="00352950"/>
    <w:rsid w:val="00353BEB"/>
    <w:rsid w:val="003541EF"/>
    <w:rsid w:val="00354F29"/>
    <w:rsid w:val="00355653"/>
    <w:rsid w:val="00355E59"/>
    <w:rsid w:val="0035613F"/>
    <w:rsid w:val="00356418"/>
    <w:rsid w:val="003571CB"/>
    <w:rsid w:val="00362781"/>
    <w:rsid w:val="0036368C"/>
    <w:rsid w:val="00363828"/>
    <w:rsid w:val="003644F5"/>
    <w:rsid w:val="00364D05"/>
    <w:rsid w:val="003708EE"/>
    <w:rsid w:val="00370AB3"/>
    <w:rsid w:val="00370CF9"/>
    <w:rsid w:val="0037138B"/>
    <w:rsid w:val="00371650"/>
    <w:rsid w:val="00371BDC"/>
    <w:rsid w:val="00371DAD"/>
    <w:rsid w:val="00373B25"/>
    <w:rsid w:val="00373C19"/>
    <w:rsid w:val="00373C6B"/>
    <w:rsid w:val="00373E50"/>
    <w:rsid w:val="00373F20"/>
    <w:rsid w:val="00374566"/>
    <w:rsid w:val="00374B42"/>
    <w:rsid w:val="0037609F"/>
    <w:rsid w:val="003761F2"/>
    <w:rsid w:val="0037644D"/>
    <w:rsid w:val="0037674E"/>
    <w:rsid w:val="00376AC3"/>
    <w:rsid w:val="003770AB"/>
    <w:rsid w:val="00377519"/>
    <w:rsid w:val="00377CEF"/>
    <w:rsid w:val="0038073B"/>
    <w:rsid w:val="00380DB4"/>
    <w:rsid w:val="0038290E"/>
    <w:rsid w:val="00382D7E"/>
    <w:rsid w:val="00383135"/>
    <w:rsid w:val="00383881"/>
    <w:rsid w:val="00384791"/>
    <w:rsid w:val="00384D26"/>
    <w:rsid w:val="00385AFB"/>
    <w:rsid w:val="003864A8"/>
    <w:rsid w:val="00386BAD"/>
    <w:rsid w:val="00390041"/>
    <w:rsid w:val="00390AD5"/>
    <w:rsid w:val="00390F45"/>
    <w:rsid w:val="00391231"/>
    <w:rsid w:val="003916C3"/>
    <w:rsid w:val="00392987"/>
    <w:rsid w:val="00392D30"/>
    <w:rsid w:val="0039307D"/>
    <w:rsid w:val="00396DC8"/>
    <w:rsid w:val="0039716E"/>
    <w:rsid w:val="00397454"/>
    <w:rsid w:val="003A05CF"/>
    <w:rsid w:val="003A1223"/>
    <w:rsid w:val="003A15BF"/>
    <w:rsid w:val="003A2272"/>
    <w:rsid w:val="003A2420"/>
    <w:rsid w:val="003A3679"/>
    <w:rsid w:val="003A5FEE"/>
    <w:rsid w:val="003A6FCA"/>
    <w:rsid w:val="003A751E"/>
    <w:rsid w:val="003A77DC"/>
    <w:rsid w:val="003B056D"/>
    <w:rsid w:val="003B093D"/>
    <w:rsid w:val="003B186C"/>
    <w:rsid w:val="003B1F8A"/>
    <w:rsid w:val="003B21D7"/>
    <w:rsid w:val="003B2B0B"/>
    <w:rsid w:val="003B3F7E"/>
    <w:rsid w:val="003B4A48"/>
    <w:rsid w:val="003B5E53"/>
    <w:rsid w:val="003B7493"/>
    <w:rsid w:val="003B7896"/>
    <w:rsid w:val="003C0104"/>
    <w:rsid w:val="003C0599"/>
    <w:rsid w:val="003C07CE"/>
    <w:rsid w:val="003C0FEC"/>
    <w:rsid w:val="003C1065"/>
    <w:rsid w:val="003C265D"/>
    <w:rsid w:val="003C3494"/>
    <w:rsid w:val="003C3D0C"/>
    <w:rsid w:val="003C428F"/>
    <w:rsid w:val="003C4951"/>
    <w:rsid w:val="003C56BF"/>
    <w:rsid w:val="003C56ED"/>
    <w:rsid w:val="003C5DEC"/>
    <w:rsid w:val="003C60B0"/>
    <w:rsid w:val="003C6962"/>
    <w:rsid w:val="003C72DF"/>
    <w:rsid w:val="003D06A8"/>
    <w:rsid w:val="003D0BFA"/>
    <w:rsid w:val="003D16AA"/>
    <w:rsid w:val="003D185A"/>
    <w:rsid w:val="003D219A"/>
    <w:rsid w:val="003D220A"/>
    <w:rsid w:val="003D2778"/>
    <w:rsid w:val="003D2EAA"/>
    <w:rsid w:val="003D37BC"/>
    <w:rsid w:val="003D41B9"/>
    <w:rsid w:val="003D5727"/>
    <w:rsid w:val="003D57C2"/>
    <w:rsid w:val="003D7128"/>
    <w:rsid w:val="003E09EF"/>
    <w:rsid w:val="003E148B"/>
    <w:rsid w:val="003E3B6E"/>
    <w:rsid w:val="003E425C"/>
    <w:rsid w:val="003E4809"/>
    <w:rsid w:val="003E4833"/>
    <w:rsid w:val="003E4CE9"/>
    <w:rsid w:val="003E54EE"/>
    <w:rsid w:val="003E5538"/>
    <w:rsid w:val="003E5786"/>
    <w:rsid w:val="003E7346"/>
    <w:rsid w:val="003E7912"/>
    <w:rsid w:val="003F03FD"/>
    <w:rsid w:val="003F0ECA"/>
    <w:rsid w:val="003F1124"/>
    <w:rsid w:val="003F14B7"/>
    <w:rsid w:val="003F3B7C"/>
    <w:rsid w:val="003F4E58"/>
    <w:rsid w:val="003F5E37"/>
    <w:rsid w:val="003F7451"/>
    <w:rsid w:val="003F7469"/>
    <w:rsid w:val="003F797D"/>
    <w:rsid w:val="004008D0"/>
    <w:rsid w:val="00402057"/>
    <w:rsid w:val="00402472"/>
    <w:rsid w:val="004025B1"/>
    <w:rsid w:val="004046B4"/>
    <w:rsid w:val="004058F4"/>
    <w:rsid w:val="00405DBA"/>
    <w:rsid w:val="00406A73"/>
    <w:rsid w:val="00407D6C"/>
    <w:rsid w:val="00407E6E"/>
    <w:rsid w:val="0041178E"/>
    <w:rsid w:val="0041179F"/>
    <w:rsid w:val="00412831"/>
    <w:rsid w:val="00413874"/>
    <w:rsid w:val="00413C1D"/>
    <w:rsid w:val="00414ECE"/>
    <w:rsid w:val="00416A51"/>
    <w:rsid w:val="00417282"/>
    <w:rsid w:val="004173B2"/>
    <w:rsid w:val="00417838"/>
    <w:rsid w:val="00417E5D"/>
    <w:rsid w:val="0042072D"/>
    <w:rsid w:val="0042111E"/>
    <w:rsid w:val="00421127"/>
    <w:rsid w:val="004214A0"/>
    <w:rsid w:val="00421E2C"/>
    <w:rsid w:val="00422056"/>
    <w:rsid w:val="004222A2"/>
    <w:rsid w:val="00422F17"/>
    <w:rsid w:val="00423404"/>
    <w:rsid w:val="00423605"/>
    <w:rsid w:val="00423960"/>
    <w:rsid w:val="00424279"/>
    <w:rsid w:val="00424704"/>
    <w:rsid w:val="00424760"/>
    <w:rsid w:val="00424C38"/>
    <w:rsid w:val="00424D75"/>
    <w:rsid w:val="00425EAC"/>
    <w:rsid w:val="004262D7"/>
    <w:rsid w:val="00426B55"/>
    <w:rsid w:val="00426D4D"/>
    <w:rsid w:val="0042748C"/>
    <w:rsid w:val="00427F5F"/>
    <w:rsid w:val="0043135D"/>
    <w:rsid w:val="0043183B"/>
    <w:rsid w:val="00431AE2"/>
    <w:rsid w:val="00431AFA"/>
    <w:rsid w:val="00431B27"/>
    <w:rsid w:val="004327CF"/>
    <w:rsid w:val="0043374E"/>
    <w:rsid w:val="00433BD1"/>
    <w:rsid w:val="00436795"/>
    <w:rsid w:val="00437B11"/>
    <w:rsid w:val="004401D7"/>
    <w:rsid w:val="0044037B"/>
    <w:rsid w:val="00440F9D"/>
    <w:rsid w:val="004416AD"/>
    <w:rsid w:val="00441906"/>
    <w:rsid w:val="00441AD4"/>
    <w:rsid w:val="00441B31"/>
    <w:rsid w:val="00443624"/>
    <w:rsid w:val="00444511"/>
    <w:rsid w:val="00444B05"/>
    <w:rsid w:val="00444E2A"/>
    <w:rsid w:val="00444FC1"/>
    <w:rsid w:val="0044502D"/>
    <w:rsid w:val="004450B0"/>
    <w:rsid w:val="0044554B"/>
    <w:rsid w:val="0044674B"/>
    <w:rsid w:val="00446C38"/>
    <w:rsid w:val="00446E50"/>
    <w:rsid w:val="004470EA"/>
    <w:rsid w:val="004500BF"/>
    <w:rsid w:val="004500ED"/>
    <w:rsid w:val="00450AAD"/>
    <w:rsid w:val="00450B98"/>
    <w:rsid w:val="00450F6F"/>
    <w:rsid w:val="00451162"/>
    <w:rsid w:val="004517B0"/>
    <w:rsid w:val="004524BD"/>
    <w:rsid w:val="00452FAB"/>
    <w:rsid w:val="00453330"/>
    <w:rsid w:val="00453EAA"/>
    <w:rsid w:val="00454443"/>
    <w:rsid w:val="00455710"/>
    <w:rsid w:val="00455939"/>
    <w:rsid w:val="00457E79"/>
    <w:rsid w:val="0046197D"/>
    <w:rsid w:val="00461E32"/>
    <w:rsid w:val="004621AD"/>
    <w:rsid w:val="004623BB"/>
    <w:rsid w:val="004625F0"/>
    <w:rsid w:val="004631EC"/>
    <w:rsid w:val="004638B2"/>
    <w:rsid w:val="004642CC"/>
    <w:rsid w:val="00464548"/>
    <w:rsid w:val="004652E6"/>
    <w:rsid w:val="004653F2"/>
    <w:rsid w:val="0046604B"/>
    <w:rsid w:val="00466277"/>
    <w:rsid w:val="0046685F"/>
    <w:rsid w:val="00466C4F"/>
    <w:rsid w:val="00467313"/>
    <w:rsid w:val="00467B12"/>
    <w:rsid w:val="004705C7"/>
    <w:rsid w:val="0047102C"/>
    <w:rsid w:val="00471056"/>
    <w:rsid w:val="00472D96"/>
    <w:rsid w:val="00472EC5"/>
    <w:rsid w:val="00473FF5"/>
    <w:rsid w:val="0047530A"/>
    <w:rsid w:val="0047557D"/>
    <w:rsid w:val="004759FE"/>
    <w:rsid w:val="00475EE0"/>
    <w:rsid w:val="0047678C"/>
    <w:rsid w:val="00477DC8"/>
    <w:rsid w:val="0048081E"/>
    <w:rsid w:val="00480CF7"/>
    <w:rsid w:val="00481B84"/>
    <w:rsid w:val="004821B5"/>
    <w:rsid w:val="004826D4"/>
    <w:rsid w:val="00482C10"/>
    <w:rsid w:val="00485819"/>
    <w:rsid w:val="004860F5"/>
    <w:rsid w:val="00486B4A"/>
    <w:rsid w:val="00487665"/>
    <w:rsid w:val="00490178"/>
    <w:rsid w:val="00490464"/>
    <w:rsid w:val="0049117E"/>
    <w:rsid w:val="00491539"/>
    <w:rsid w:val="00491C8F"/>
    <w:rsid w:val="00492092"/>
    <w:rsid w:val="0049329D"/>
    <w:rsid w:val="004945DA"/>
    <w:rsid w:val="0049493B"/>
    <w:rsid w:val="00496E7B"/>
    <w:rsid w:val="00496ED5"/>
    <w:rsid w:val="004973ED"/>
    <w:rsid w:val="004A0320"/>
    <w:rsid w:val="004A0E37"/>
    <w:rsid w:val="004A221C"/>
    <w:rsid w:val="004A2F7D"/>
    <w:rsid w:val="004A367D"/>
    <w:rsid w:val="004A3D7C"/>
    <w:rsid w:val="004A43FD"/>
    <w:rsid w:val="004A4C0D"/>
    <w:rsid w:val="004A4C8A"/>
    <w:rsid w:val="004A55B0"/>
    <w:rsid w:val="004A64D3"/>
    <w:rsid w:val="004A6D87"/>
    <w:rsid w:val="004B032E"/>
    <w:rsid w:val="004B1B8C"/>
    <w:rsid w:val="004B1FC7"/>
    <w:rsid w:val="004B269E"/>
    <w:rsid w:val="004B26C3"/>
    <w:rsid w:val="004B2AF8"/>
    <w:rsid w:val="004B371C"/>
    <w:rsid w:val="004B4509"/>
    <w:rsid w:val="004B5123"/>
    <w:rsid w:val="004B5343"/>
    <w:rsid w:val="004B54AE"/>
    <w:rsid w:val="004B5567"/>
    <w:rsid w:val="004B603B"/>
    <w:rsid w:val="004B641F"/>
    <w:rsid w:val="004B649A"/>
    <w:rsid w:val="004B66B7"/>
    <w:rsid w:val="004B6C46"/>
    <w:rsid w:val="004B6CF8"/>
    <w:rsid w:val="004B6D29"/>
    <w:rsid w:val="004B79C2"/>
    <w:rsid w:val="004C0A47"/>
    <w:rsid w:val="004C0DD1"/>
    <w:rsid w:val="004C1E94"/>
    <w:rsid w:val="004C226F"/>
    <w:rsid w:val="004C2FB2"/>
    <w:rsid w:val="004C3C7A"/>
    <w:rsid w:val="004C3CF0"/>
    <w:rsid w:val="004C4F98"/>
    <w:rsid w:val="004C5F8E"/>
    <w:rsid w:val="004C66EC"/>
    <w:rsid w:val="004C6D6D"/>
    <w:rsid w:val="004C6DBF"/>
    <w:rsid w:val="004C7749"/>
    <w:rsid w:val="004C7A87"/>
    <w:rsid w:val="004C7FFC"/>
    <w:rsid w:val="004D062F"/>
    <w:rsid w:val="004D175B"/>
    <w:rsid w:val="004D246A"/>
    <w:rsid w:val="004D2E00"/>
    <w:rsid w:val="004D4CAA"/>
    <w:rsid w:val="004D4D7D"/>
    <w:rsid w:val="004D55B4"/>
    <w:rsid w:val="004D6E74"/>
    <w:rsid w:val="004D79B1"/>
    <w:rsid w:val="004D7B5C"/>
    <w:rsid w:val="004E2CD2"/>
    <w:rsid w:val="004E2CEE"/>
    <w:rsid w:val="004E2FC2"/>
    <w:rsid w:val="004E34F5"/>
    <w:rsid w:val="004E354B"/>
    <w:rsid w:val="004E4E07"/>
    <w:rsid w:val="004E508C"/>
    <w:rsid w:val="004E5697"/>
    <w:rsid w:val="004E6DFA"/>
    <w:rsid w:val="004E73A7"/>
    <w:rsid w:val="004F0948"/>
    <w:rsid w:val="004F0D42"/>
    <w:rsid w:val="004F0E8A"/>
    <w:rsid w:val="004F0E94"/>
    <w:rsid w:val="004F1151"/>
    <w:rsid w:val="004F123D"/>
    <w:rsid w:val="004F2775"/>
    <w:rsid w:val="004F2929"/>
    <w:rsid w:val="004F305C"/>
    <w:rsid w:val="004F331D"/>
    <w:rsid w:val="004F3541"/>
    <w:rsid w:val="004F3F7A"/>
    <w:rsid w:val="004F4970"/>
    <w:rsid w:val="004F4D56"/>
    <w:rsid w:val="004F4E0D"/>
    <w:rsid w:val="004F58C4"/>
    <w:rsid w:val="004F5A62"/>
    <w:rsid w:val="004F6000"/>
    <w:rsid w:val="004F7576"/>
    <w:rsid w:val="004F7CEB"/>
    <w:rsid w:val="004F7EC5"/>
    <w:rsid w:val="00500062"/>
    <w:rsid w:val="00500071"/>
    <w:rsid w:val="005008F8"/>
    <w:rsid w:val="0050091A"/>
    <w:rsid w:val="0050111E"/>
    <w:rsid w:val="005024E7"/>
    <w:rsid w:val="00502B42"/>
    <w:rsid w:val="0050322E"/>
    <w:rsid w:val="005032A4"/>
    <w:rsid w:val="00503B02"/>
    <w:rsid w:val="0050432B"/>
    <w:rsid w:val="005048F2"/>
    <w:rsid w:val="00504E65"/>
    <w:rsid w:val="00505378"/>
    <w:rsid w:val="00505AB8"/>
    <w:rsid w:val="00506ECB"/>
    <w:rsid w:val="00507108"/>
    <w:rsid w:val="005103D0"/>
    <w:rsid w:val="00510414"/>
    <w:rsid w:val="00510CD6"/>
    <w:rsid w:val="00511024"/>
    <w:rsid w:val="00511419"/>
    <w:rsid w:val="00511816"/>
    <w:rsid w:val="00511FDE"/>
    <w:rsid w:val="00512CF3"/>
    <w:rsid w:val="00513694"/>
    <w:rsid w:val="005149BA"/>
    <w:rsid w:val="00514E7D"/>
    <w:rsid w:val="00516DC8"/>
    <w:rsid w:val="00516F97"/>
    <w:rsid w:val="00521478"/>
    <w:rsid w:val="005218AF"/>
    <w:rsid w:val="00522181"/>
    <w:rsid w:val="00522D39"/>
    <w:rsid w:val="00523963"/>
    <w:rsid w:val="00523B62"/>
    <w:rsid w:val="00523D04"/>
    <w:rsid w:val="00523F38"/>
    <w:rsid w:val="0052434D"/>
    <w:rsid w:val="005243D6"/>
    <w:rsid w:val="00524D72"/>
    <w:rsid w:val="00524D81"/>
    <w:rsid w:val="00525ADE"/>
    <w:rsid w:val="00525C68"/>
    <w:rsid w:val="0052641A"/>
    <w:rsid w:val="00526A9C"/>
    <w:rsid w:val="00526ACC"/>
    <w:rsid w:val="00526D7C"/>
    <w:rsid w:val="00526E20"/>
    <w:rsid w:val="00530822"/>
    <w:rsid w:val="0053104D"/>
    <w:rsid w:val="00531E63"/>
    <w:rsid w:val="0053304A"/>
    <w:rsid w:val="0053547B"/>
    <w:rsid w:val="005367EA"/>
    <w:rsid w:val="00536A89"/>
    <w:rsid w:val="00536C51"/>
    <w:rsid w:val="00537945"/>
    <w:rsid w:val="00537DBA"/>
    <w:rsid w:val="005405A6"/>
    <w:rsid w:val="005418D0"/>
    <w:rsid w:val="00541F14"/>
    <w:rsid w:val="0054238A"/>
    <w:rsid w:val="00542436"/>
    <w:rsid w:val="00542D36"/>
    <w:rsid w:val="0054399E"/>
    <w:rsid w:val="00543EDC"/>
    <w:rsid w:val="00544A69"/>
    <w:rsid w:val="00545753"/>
    <w:rsid w:val="00545AB2"/>
    <w:rsid w:val="005463E8"/>
    <w:rsid w:val="005478BF"/>
    <w:rsid w:val="00551524"/>
    <w:rsid w:val="00552C03"/>
    <w:rsid w:val="00553A83"/>
    <w:rsid w:val="005545A8"/>
    <w:rsid w:val="0055460D"/>
    <w:rsid w:val="00555749"/>
    <w:rsid w:val="00555AC1"/>
    <w:rsid w:val="00556DC5"/>
    <w:rsid w:val="00556EBA"/>
    <w:rsid w:val="005573F5"/>
    <w:rsid w:val="005603B9"/>
    <w:rsid w:val="00560A7F"/>
    <w:rsid w:val="00561852"/>
    <w:rsid w:val="00561B98"/>
    <w:rsid w:val="00561D93"/>
    <w:rsid w:val="00561FC8"/>
    <w:rsid w:val="00562382"/>
    <w:rsid w:val="005638D7"/>
    <w:rsid w:val="00564758"/>
    <w:rsid w:val="005649A3"/>
    <w:rsid w:val="00564F52"/>
    <w:rsid w:val="00565AB0"/>
    <w:rsid w:val="00565FC7"/>
    <w:rsid w:val="0056664C"/>
    <w:rsid w:val="005669C5"/>
    <w:rsid w:val="00567268"/>
    <w:rsid w:val="0056769A"/>
    <w:rsid w:val="00567BC0"/>
    <w:rsid w:val="0057044D"/>
    <w:rsid w:val="00570A04"/>
    <w:rsid w:val="00570ADF"/>
    <w:rsid w:val="005710D7"/>
    <w:rsid w:val="00571C78"/>
    <w:rsid w:val="00572C01"/>
    <w:rsid w:val="00572FC4"/>
    <w:rsid w:val="005731EF"/>
    <w:rsid w:val="00573BAF"/>
    <w:rsid w:val="00574B25"/>
    <w:rsid w:val="00575481"/>
    <w:rsid w:val="005755C9"/>
    <w:rsid w:val="00575CA8"/>
    <w:rsid w:val="00577C3C"/>
    <w:rsid w:val="005800D9"/>
    <w:rsid w:val="005807EC"/>
    <w:rsid w:val="005810CA"/>
    <w:rsid w:val="0058188D"/>
    <w:rsid w:val="00582559"/>
    <w:rsid w:val="00582D74"/>
    <w:rsid w:val="00582DE0"/>
    <w:rsid w:val="00584B68"/>
    <w:rsid w:val="00586CE3"/>
    <w:rsid w:val="005875C8"/>
    <w:rsid w:val="005878BF"/>
    <w:rsid w:val="00587DB2"/>
    <w:rsid w:val="00592127"/>
    <w:rsid w:val="005924F1"/>
    <w:rsid w:val="0059309A"/>
    <w:rsid w:val="005943F5"/>
    <w:rsid w:val="005944CB"/>
    <w:rsid w:val="00594A6D"/>
    <w:rsid w:val="00595494"/>
    <w:rsid w:val="005956C4"/>
    <w:rsid w:val="005958EB"/>
    <w:rsid w:val="00596DCA"/>
    <w:rsid w:val="00596FE8"/>
    <w:rsid w:val="005975DC"/>
    <w:rsid w:val="005A03DE"/>
    <w:rsid w:val="005A0ECA"/>
    <w:rsid w:val="005A1063"/>
    <w:rsid w:val="005A12EE"/>
    <w:rsid w:val="005A16E7"/>
    <w:rsid w:val="005A16F7"/>
    <w:rsid w:val="005A2045"/>
    <w:rsid w:val="005A230A"/>
    <w:rsid w:val="005A2C86"/>
    <w:rsid w:val="005A2D96"/>
    <w:rsid w:val="005A4018"/>
    <w:rsid w:val="005A4895"/>
    <w:rsid w:val="005A5868"/>
    <w:rsid w:val="005A5B7F"/>
    <w:rsid w:val="005A7243"/>
    <w:rsid w:val="005A7437"/>
    <w:rsid w:val="005A7C92"/>
    <w:rsid w:val="005A7E60"/>
    <w:rsid w:val="005B0834"/>
    <w:rsid w:val="005B0D37"/>
    <w:rsid w:val="005B1EAF"/>
    <w:rsid w:val="005B26E7"/>
    <w:rsid w:val="005B4785"/>
    <w:rsid w:val="005B4EEF"/>
    <w:rsid w:val="005B5AED"/>
    <w:rsid w:val="005B769A"/>
    <w:rsid w:val="005B76EF"/>
    <w:rsid w:val="005B7CD2"/>
    <w:rsid w:val="005B7FC5"/>
    <w:rsid w:val="005C0A3F"/>
    <w:rsid w:val="005C0CE1"/>
    <w:rsid w:val="005C19B0"/>
    <w:rsid w:val="005C38A6"/>
    <w:rsid w:val="005C44C9"/>
    <w:rsid w:val="005C4C65"/>
    <w:rsid w:val="005C5AA1"/>
    <w:rsid w:val="005C5C44"/>
    <w:rsid w:val="005C603D"/>
    <w:rsid w:val="005C633C"/>
    <w:rsid w:val="005C63C7"/>
    <w:rsid w:val="005C70E0"/>
    <w:rsid w:val="005C73B0"/>
    <w:rsid w:val="005C7D80"/>
    <w:rsid w:val="005D0811"/>
    <w:rsid w:val="005D0C2D"/>
    <w:rsid w:val="005D167C"/>
    <w:rsid w:val="005D2568"/>
    <w:rsid w:val="005D3233"/>
    <w:rsid w:val="005D34C3"/>
    <w:rsid w:val="005D38FD"/>
    <w:rsid w:val="005D3F65"/>
    <w:rsid w:val="005D7592"/>
    <w:rsid w:val="005D7D11"/>
    <w:rsid w:val="005E061C"/>
    <w:rsid w:val="005E0790"/>
    <w:rsid w:val="005E162C"/>
    <w:rsid w:val="005E187F"/>
    <w:rsid w:val="005E1D44"/>
    <w:rsid w:val="005E29DD"/>
    <w:rsid w:val="005E2AC4"/>
    <w:rsid w:val="005E2F70"/>
    <w:rsid w:val="005E3015"/>
    <w:rsid w:val="005E35EA"/>
    <w:rsid w:val="005E3C5C"/>
    <w:rsid w:val="005E40EC"/>
    <w:rsid w:val="005E5B0E"/>
    <w:rsid w:val="005E6BC1"/>
    <w:rsid w:val="005E75E7"/>
    <w:rsid w:val="005E7E85"/>
    <w:rsid w:val="005F07DF"/>
    <w:rsid w:val="005F0DFF"/>
    <w:rsid w:val="005F11DA"/>
    <w:rsid w:val="005F125B"/>
    <w:rsid w:val="005F1531"/>
    <w:rsid w:val="005F18ED"/>
    <w:rsid w:val="005F1C24"/>
    <w:rsid w:val="005F2226"/>
    <w:rsid w:val="005F273D"/>
    <w:rsid w:val="005F3687"/>
    <w:rsid w:val="005F3B4C"/>
    <w:rsid w:val="005F3DD8"/>
    <w:rsid w:val="005F491F"/>
    <w:rsid w:val="005F4B4A"/>
    <w:rsid w:val="005F57A6"/>
    <w:rsid w:val="005F596E"/>
    <w:rsid w:val="005F5E11"/>
    <w:rsid w:val="005F5E90"/>
    <w:rsid w:val="005F77A2"/>
    <w:rsid w:val="005F77A6"/>
    <w:rsid w:val="005F7D95"/>
    <w:rsid w:val="0060032B"/>
    <w:rsid w:val="006006CB"/>
    <w:rsid w:val="00600AB5"/>
    <w:rsid w:val="006011DA"/>
    <w:rsid w:val="006015A4"/>
    <w:rsid w:val="00601A3F"/>
    <w:rsid w:val="00602752"/>
    <w:rsid w:val="00602A1C"/>
    <w:rsid w:val="00603C74"/>
    <w:rsid w:val="0060447C"/>
    <w:rsid w:val="006051D7"/>
    <w:rsid w:val="00605D82"/>
    <w:rsid w:val="0060649F"/>
    <w:rsid w:val="0060656F"/>
    <w:rsid w:val="0060675B"/>
    <w:rsid w:val="00606FE8"/>
    <w:rsid w:val="0060754E"/>
    <w:rsid w:val="00607BC3"/>
    <w:rsid w:val="00607D7C"/>
    <w:rsid w:val="00607ECD"/>
    <w:rsid w:val="00610D71"/>
    <w:rsid w:val="0061111C"/>
    <w:rsid w:val="00611BD7"/>
    <w:rsid w:val="00612621"/>
    <w:rsid w:val="00612DC2"/>
    <w:rsid w:val="0061327A"/>
    <w:rsid w:val="0061380B"/>
    <w:rsid w:val="0061418F"/>
    <w:rsid w:val="00614217"/>
    <w:rsid w:val="00614F8D"/>
    <w:rsid w:val="0061598D"/>
    <w:rsid w:val="00616195"/>
    <w:rsid w:val="00617D7E"/>
    <w:rsid w:val="0062060A"/>
    <w:rsid w:val="00621AE1"/>
    <w:rsid w:val="00621CB9"/>
    <w:rsid w:val="00622D19"/>
    <w:rsid w:val="006244C6"/>
    <w:rsid w:val="0062481E"/>
    <w:rsid w:val="00624A4E"/>
    <w:rsid w:val="00624B26"/>
    <w:rsid w:val="0062511A"/>
    <w:rsid w:val="00625765"/>
    <w:rsid w:val="0062589E"/>
    <w:rsid w:val="0062790A"/>
    <w:rsid w:val="00627F95"/>
    <w:rsid w:val="00630380"/>
    <w:rsid w:val="006306A5"/>
    <w:rsid w:val="006315C8"/>
    <w:rsid w:val="00632305"/>
    <w:rsid w:val="00632727"/>
    <w:rsid w:val="0063382F"/>
    <w:rsid w:val="00634316"/>
    <w:rsid w:val="00636890"/>
    <w:rsid w:val="006376A2"/>
    <w:rsid w:val="00637984"/>
    <w:rsid w:val="00637DB3"/>
    <w:rsid w:val="00640A19"/>
    <w:rsid w:val="00640E60"/>
    <w:rsid w:val="00640F86"/>
    <w:rsid w:val="00641CF3"/>
    <w:rsid w:val="00642261"/>
    <w:rsid w:val="00643125"/>
    <w:rsid w:val="00643146"/>
    <w:rsid w:val="006448A5"/>
    <w:rsid w:val="006453B0"/>
    <w:rsid w:val="006474A6"/>
    <w:rsid w:val="006509A7"/>
    <w:rsid w:val="00650C1B"/>
    <w:rsid w:val="00651902"/>
    <w:rsid w:val="006519EA"/>
    <w:rsid w:val="00651D2E"/>
    <w:rsid w:val="00652254"/>
    <w:rsid w:val="00652F2F"/>
    <w:rsid w:val="00653AFB"/>
    <w:rsid w:val="00653FE2"/>
    <w:rsid w:val="00654BAD"/>
    <w:rsid w:val="006552E8"/>
    <w:rsid w:val="006562C9"/>
    <w:rsid w:val="006562F2"/>
    <w:rsid w:val="006564F4"/>
    <w:rsid w:val="00656897"/>
    <w:rsid w:val="00656CCC"/>
    <w:rsid w:val="00656DE5"/>
    <w:rsid w:val="00656E19"/>
    <w:rsid w:val="00657825"/>
    <w:rsid w:val="00657B92"/>
    <w:rsid w:val="00657C84"/>
    <w:rsid w:val="00661592"/>
    <w:rsid w:val="0066168E"/>
    <w:rsid w:val="00662B1B"/>
    <w:rsid w:val="00663A75"/>
    <w:rsid w:val="00664276"/>
    <w:rsid w:val="006653EC"/>
    <w:rsid w:val="0066559F"/>
    <w:rsid w:val="00665D45"/>
    <w:rsid w:val="006674CB"/>
    <w:rsid w:val="006679CC"/>
    <w:rsid w:val="00667A5D"/>
    <w:rsid w:val="00667B4F"/>
    <w:rsid w:val="00671AFE"/>
    <w:rsid w:val="006725DF"/>
    <w:rsid w:val="00672B88"/>
    <w:rsid w:val="00673DE0"/>
    <w:rsid w:val="006744CD"/>
    <w:rsid w:val="0067497F"/>
    <w:rsid w:val="006749B3"/>
    <w:rsid w:val="00674E78"/>
    <w:rsid w:val="00675355"/>
    <w:rsid w:val="00677BB8"/>
    <w:rsid w:val="00677F2D"/>
    <w:rsid w:val="00680964"/>
    <w:rsid w:val="0068184E"/>
    <w:rsid w:val="00682497"/>
    <w:rsid w:val="00682562"/>
    <w:rsid w:val="00683C6A"/>
    <w:rsid w:val="00686E3C"/>
    <w:rsid w:val="00687DF8"/>
    <w:rsid w:val="00690518"/>
    <w:rsid w:val="00690753"/>
    <w:rsid w:val="00690C35"/>
    <w:rsid w:val="00692E9C"/>
    <w:rsid w:val="00692F0B"/>
    <w:rsid w:val="006939DF"/>
    <w:rsid w:val="0069683A"/>
    <w:rsid w:val="00697FCD"/>
    <w:rsid w:val="006A04C1"/>
    <w:rsid w:val="006A2630"/>
    <w:rsid w:val="006A276E"/>
    <w:rsid w:val="006A2AE3"/>
    <w:rsid w:val="006A367B"/>
    <w:rsid w:val="006A3C6A"/>
    <w:rsid w:val="006A465B"/>
    <w:rsid w:val="006A4E3F"/>
    <w:rsid w:val="006A5412"/>
    <w:rsid w:val="006B0A5B"/>
    <w:rsid w:val="006B1DE9"/>
    <w:rsid w:val="006B3984"/>
    <w:rsid w:val="006B471D"/>
    <w:rsid w:val="006B47F0"/>
    <w:rsid w:val="006B4D98"/>
    <w:rsid w:val="006B5165"/>
    <w:rsid w:val="006B558D"/>
    <w:rsid w:val="006B609E"/>
    <w:rsid w:val="006B7AA9"/>
    <w:rsid w:val="006C019F"/>
    <w:rsid w:val="006C0874"/>
    <w:rsid w:val="006C11C1"/>
    <w:rsid w:val="006C1543"/>
    <w:rsid w:val="006C17A1"/>
    <w:rsid w:val="006C2277"/>
    <w:rsid w:val="006C391E"/>
    <w:rsid w:val="006C394E"/>
    <w:rsid w:val="006C3B07"/>
    <w:rsid w:val="006C3D33"/>
    <w:rsid w:val="006C4599"/>
    <w:rsid w:val="006C4BE5"/>
    <w:rsid w:val="006C51E5"/>
    <w:rsid w:val="006C5416"/>
    <w:rsid w:val="006C5DC7"/>
    <w:rsid w:val="006C6096"/>
    <w:rsid w:val="006C6D86"/>
    <w:rsid w:val="006C757B"/>
    <w:rsid w:val="006C7EDF"/>
    <w:rsid w:val="006D06A6"/>
    <w:rsid w:val="006D08F0"/>
    <w:rsid w:val="006D1B1A"/>
    <w:rsid w:val="006D1DD8"/>
    <w:rsid w:val="006D1F53"/>
    <w:rsid w:val="006D2D9C"/>
    <w:rsid w:val="006D2E1B"/>
    <w:rsid w:val="006D3594"/>
    <w:rsid w:val="006D3807"/>
    <w:rsid w:val="006D3FFF"/>
    <w:rsid w:val="006D4A3F"/>
    <w:rsid w:val="006D7214"/>
    <w:rsid w:val="006D734B"/>
    <w:rsid w:val="006D7892"/>
    <w:rsid w:val="006E018C"/>
    <w:rsid w:val="006E036B"/>
    <w:rsid w:val="006E098B"/>
    <w:rsid w:val="006E0BA7"/>
    <w:rsid w:val="006E0C6E"/>
    <w:rsid w:val="006E1217"/>
    <w:rsid w:val="006E2E22"/>
    <w:rsid w:val="006E376C"/>
    <w:rsid w:val="006E4E32"/>
    <w:rsid w:val="006E5166"/>
    <w:rsid w:val="006E56F3"/>
    <w:rsid w:val="006E59B9"/>
    <w:rsid w:val="006E5A55"/>
    <w:rsid w:val="006E6EE1"/>
    <w:rsid w:val="006E7424"/>
    <w:rsid w:val="006E7621"/>
    <w:rsid w:val="006E7698"/>
    <w:rsid w:val="006F0107"/>
    <w:rsid w:val="006F172F"/>
    <w:rsid w:val="006F185D"/>
    <w:rsid w:val="006F2A2C"/>
    <w:rsid w:val="006F4AD0"/>
    <w:rsid w:val="006F55E3"/>
    <w:rsid w:val="006F5A13"/>
    <w:rsid w:val="006F619D"/>
    <w:rsid w:val="006F62A0"/>
    <w:rsid w:val="006F7971"/>
    <w:rsid w:val="00700209"/>
    <w:rsid w:val="0070063A"/>
    <w:rsid w:val="00700F6D"/>
    <w:rsid w:val="007029E2"/>
    <w:rsid w:val="007042DC"/>
    <w:rsid w:val="0070539C"/>
    <w:rsid w:val="0070585B"/>
    <w:rsid w:val="00706495"/>
    <w:rsid w:val="0070653E"/>
    <w:rsid w:val="00706AA2"/>
    <w:rsid w:val="00706C59"/>
    <w:rsid w:val="00707F98"/>
    <w:rsid w:val="007100C1"/>
    <w:rsid w:val="0071039A"/>
    <w:rsid w:val="00711923"/>
    <w:rsid w:val="00711986"/>
    <w:rsid w:val="00711BD2"/>
    <w:rsid w:val="00712427"/>
    <w:rsid w:val="00712482"/>
    <w:rsid w:val="00712C43"/>
    <w:rsid w:val="00714B33"/>
    <w:rsid w:val="007168E8"/>
    <w:rsid w:val="00716B28"/>
    <w:rsid w:val="00716FA2"/>
    <w:rsid w:val="0071713A"/>
    <w:rsid w:val="007208C3"/>
    <w:rsid w:val="00721C63"/>
    <w:rsid w:val="00721F95"/>
    <w:rsid w:val="007220EB"/>
    <w:rsid w:val="0072376E"/>
    <w:rsid w:val="007247F8"/>
    <w:rsid w:val="00724D7D"/>
    <w:rsid w:val="00726002"/>
    <w:rsid w:val="007268A9"/>
    <w:rsid w:val="00726A7E"/>
    <w:rsid w:val="00730911"/>
    <w:rsid w:val="00730967"/>
    <w:rsid w:val="0073187D"/>
    <w:rsid w:val="00732960"/>
    <w:rsid w:val="00732A79"/>
    <w:rsid w:val="00733593"/>
    <w:rsid w:val="007338A7"/>
    <w:rsid w:val="00733A49"/>
    <w:rsid w:val="00733B13"/>
    <w:rsid w:val="00733D07"/>
    <w:rsid w:val="00734FD4"/>
    <w:rsid w:val="00736B36"/>
    <w:rsid w:val="00736F9F"/>
    <w:rsid w:val="00737F55"/>
    <w:rsid w:val="00740329"/>
    <w:rsid w:val="00740514"/>
    <w:rsid w:val="007406BA"/>
    <w:rsid w:val="00740BE3"/>
    <w:rsid w:val="00741AB7"/>
    <w:rsid w:val="00742368"/>
    <w:rsid w:val="00742721"/>
    <w:rsid w:val="00742B82"/>
    <w:rsid w:val="00742C82"/>
    <w:rsid w:val="00743411"/>
    <w:rsid w:val="0074403F"/>
    <w:rsid w:val="00744E7C"/>
    <w:rsid w:val="00744FF3"/>
    <w:rsid w:val="00745072"/>
    <w:rsid w:val="00745939"/>
    <w:rsid w:val="007459B6"/>
    <w:rsid w:val="00746FBF"/>
    <w:rsid w:val="00747429"/>
    <w:rsid w:val="00747C66"/>
    <w:rsid w:val="0075007B"/>
    <w:rsid w:val="00750BC6"/>
    <w:rsid w:val="00751AD1"/>
    <w:rsid w:val="0075231A"/>
    <w:rsid w:val="00753152"/>
    <w:rsid w:val="007541B4"/>
    <w:rsid w:val="00754FEB"/>
    <w:rsid w:val="007557C3"/>
    <w:rsid w:val="007558D7"/>
    <w:rsid w:val="007563D7"/>
    <w:rsid w:val="00757104"/>
    <w:rsid w:val="00757A55"/>
    <w:rsid w:val="0076145B"/>
    <w:rsid w:val="00761636"/>
    <w:rsid w:val="00761BFA"/>
    <w:rsid w:val="0076207C"/>
    <w:rsid w:val="007648E9"/>
    <w:rsid w:val="007649D6"/>
    <w:rsid w:val="007651AA"/>
    <w:rsid w:val="0076577A"/>
    <w:rsid w:val="0076597D"/>
    <w:rsid w:val="00765EFD"/>
    <w:rsid w:val="00766E08"/>
    <w:rsid w:val="00767774"/>
    <w:rsid w:val="00767BDE"/>
    <w:rsid w:val="00770460"/>
    <w:rsid w:val="00770D35"/>
    <w:rsid w:val="007717A8"/>
    <w:rsid w:val="00771B8F"/>
    <w:rsid w:val="007722A5"/>
    <w:rsid w:val="007728DC"/>
    <w:rsid w:val="0077291E"/>
    <w:rsid w:val="0077442B"/>
    <w:rsid w:val="00774673"/>
    <w:rsid w:val="0077596F"/>
    <w:rsid w:val="00775A61"/>
    <w:rsid w:val="00776550"/>
    <w:rsid w:val="007768A0"/>
    <w:rsid w:val="007778C9"/>
    <w:rsid w:val="00780AA8"/>
    <w:rsid w:val="00781648"/>
    <w:rsid w:val="00781857"/>
    <w:rsid w:val="00782138"/>
    <w:rsid w:val="0078232F"/>
    <w:rsid w:val="00783407"/>
    <w:rsid w:val="0078378B"/>
    <w:rsid w:val="00784543"/>
    <w:rsid w:val="00784BD9"/>
    <w:rsid w:val="0078560C"/>
    <w:rsid w:val="00785AE7"/>
    <w:rsid w:val="00786199"/>
    <w:rsid w:val="007876B6"/>
    <w:rsid w:val="00787D4F"/>
    <w:rsid w:val="00787E3C"/>
    <w:rsid w:val="00790612"/>
    <w:rsid w:val="007907ED"/>
    <w:rsid w:val="00791C54"/>
    <w:rsid w:val="00791C87"/>
    <w:rsid w:val="0079212D"/>
    <w:rsid w:val="00794ACD"/>
    <w:rsid w:val="007953EC"/>
    <w:rsid w:val="00795536"/>
    <w:rsid w:val="0079687D"/>
    <w:rsid w:val="00797458"/>
    <w:rsid w:val="0079765A"/>
    <w:rsid w:val="00797D46"/>
    <w:rsid w:val="007A0751"/>
    <w:rsid w:val="007A0ACA"/>
    <w:rsid w:val="007A19C3"/>
    <w:rsid w:val="007A1A7C"/>
    <w:rsid w:val="007A1B26"/>
    <w:rsid w:val="007A1D48"/>
    <w:rsid w:val="007A2072"/>
    <w:rsid w:val="007A2217"/>
    <w:rsid w:val="007A2FA1"/>
    <w:rsid w:val="007A35D0"/>
    <w:rsid w:val="007A36CE"/>
    <w:rsid w:val="007A37FB"/>
    <w:rsid w:val="007A3959"/>
    <w:rsid w:val="007A4663"/>
    <w:rsid w:val="007A49F7"/>
    <w:rsid w:val="007A5092"/>
    <w:rsid w:val="007A538F"/>
    <w:rsid w:val="007A5658"/>
    <w:rsid w:val="007A571E"/>
    <w:rsid w:val="007A6659"/>
    <w:rsid w:val="007A7B71"/>
    <w:rsid w:val="007B13F3"/>
    <w:rsid w:val="007B1897"/>
    <w:rsid w:val="007B210D"/>
    <w:rsid w:val="007B224E"/>
    <w:rsid w:val="007B2B17"/>
    <w:rsid w:val="007B3D83"/>
    <w:rsid w:val="007B48DB"/>
    <w:rsid w:val="007B623A"/>
    <w:rsid w:val="007B6813"/>
    <w:rsid w:val="007B6B27"/>
    <w:rsid w:val="007B6D5A"/>
    <w:rsid w:val="007B70B2"/>
    <w:rsid w:val="007B7958"/>
    <w:rsid w:val="007C09DA"/>
    <w:rsid w:val="007C137E"/>
    <w:rsid w:val="007C2588"/>
    <w:rsid w:val="007C31F4"/>
    <w:rsid w:val="007C412D"/>
    <w:rsid w:val="007C42AF"/>
    <w:rsid w:val="007C4810"/>
    <w:rsid w:val="007C53A4"/>
    <w:rsid w:val="007C56BE"/>
    <w:rsid w:val="007C59D2"/>
    <w:rsid w:val="007C6BC6"/>
    <w:rsid w:val="007C6F00"/>
    <w:rsid w:val="007C749E"/>
    <w:rsid w:val="007C7EC1"/>
    <w:rsid w:val="007D0031"/>
    <w:rsid w:val="007D0119"/>
    <w:rsid w:val="007D0B39"/>
    <w:rsid w:val="007D16F6"/>
    <w:rsid w:val="007D2A54"/>
    <w:rsid w:val="007D2FB9"/>
    <w:rsid w:val="007D3565"/>
    <w:rsid w:val="007D4049"/>
    <w:rsid w:val="007D65C5"/>
    <w:rsid w:val="007D6A34"/>
    <w:rsid w:val="007D700A"/>
    <w:rsid w:val="007E0211"/>
    <w:rsid w:val="007E10F8"/>
    <w:rsid w:val="007E210D"/>
    <w:rsid w:val="007E2505"/>
    <w:rsid w:val="007E34D3"/>
    <w:rsid w:val="007E3A52"/>
    <w:rsid w:val="007E4A2B"/>
    <w:rsid w:val="007E4B81"/>
    <w:rsid w:val="007E631B"/>
    <w:rsid w:val="007E77C7"/>
    <w:rsid w:val="007E7B4C"/>
    <w:rsid w:val="007F03EA"/>
    <w:rsid w:val="007F14EE"/>
    <w:rsid w:val="007F1AE2"/>
    <w:rsid w:val="007F1DCC"/>
    <w:rsid w:val="007F1EB9"/>
    <w:rsid w:val="007F2F7F"/>
    <w:rsid w:val="007F52AB"/>
    <w:rsid w:val="007F60ED"/>
    <w:rsid w:val="007F70C3"/>
    <w:rsid w:val="007F74B2"/>
    <w:rsid w:val="00800AFF"/>
    <w:rsid w:val="00801F36"/>
    <w:rsid w:val="00802238"/>
    <w:rsid w:val="0080292E"/>
    <w:rsid w:val="00802B57"/>
    <w:rsid w:val="00803947"/>
    <w:rsid w:val="00803D11"/>
    <w:rsid w:val="00803D3A"/>
    <w:rsid w:val="008046FD"/>
    <w:rsid w:val="00804A5E"/>
    <w:rsid w:val="008078DE"/>
    <w:rsid w:val="00810360"/>
    <w:rsid w:val="0081036C"/>
    <w:rsid w:val="0081061A"/>
    <w:rsid w:val="008107E2"/>
    <w:rsid w:val="008111C3"/>
    <w:rsid w:val="0081121A"/>
    <w:rsid w:val="008113BF"/>
    <w:rsid w:val="0081151E"/>
    <w:rsid w:val="008115BA"/>
    <w:rsid w:val="008117C1"/>
    <w:rsid w:val="00812031"/>
    <w:rsid w:val="008125CA"/>
    <w:rsid w:val="00812609"/>
    <w:rsid w:val="00813435"/>
    <w:rsid w:val="00813E05"/>
    <w:rsid w:val="008156D3"/>
    <w:rsid w:val="008157BB"/>
    <w:rsid w:val="0081629E"/>
    <w:rsid w:val="0081718C"/>
    <w:rsid w:val="0081752B"/>
    <w:rsid w:val="00817F58"/>
    <w:rsid w:val="0082188F"/>
    <w:rsid w:val="00821B17"/>
    <w:rsid w:val="00821F52"/>
    <w:rsid w:val="0082227C"/>
    <w:rsid w:val="00822F36"/>
    <w:rsid w:val="00823DF0"/>
    <w:rsid w:val="008243D8"/>
    <w:rsid w:val="0082623F"/>
    <w:rsid w:val="008267D1"/>
    <w:rsid w:val="00826B52"/>
    <w:rsid w:val="00827120"/>
    <w:rsid w:val="00827231"/>
    <w:rsid w:val="00827409"/>
    <w:rsid w:val="0082795C"/>
    <w:rsid w:val="00827AF2"/>
    <w:rsid w:val="00827DF3"/>
    <w:rsid w:val="008316C7"/>
    <w:rsid w:val="00832330"/>
    <w:rsid w:val="008330E3"/>
    <w:rsid w:val="00833A35"/>
    <w:rsid w:val="00833E33"/>
    <w:rsid w:val="00834004"/>
    <w:rsid w:val="008343BA"/>
    <w:rsid w:val="0083441A"/>
    <w:rsid w:val="008348AE"/>
    <w:rsid w:val="008351BE"/>
    <w:rsid w:val="008359DC"/>
    <w:rsid w:val="00835B23"/>
    <w:rsid w:val="0083665B"/>
    <w:rsid w:val="00837D63"/>
    <w:rsid w:val="00841316"/>
    <w:rsid w:val="00842676"/>
    <w:rsid w:val="00842A00"/>
    <w:rsid w:val="00844AAD"/>
    <w:rsid w:val="00845124"/>
    <w:rsid w:val="00846C63"/>
    <w:rsid w:val="00846FAD"/>
    <w:rsid w:val="008473C0"/>
    <w:rsid w:val="0084772B"/>
    <w:rsid w:val="00847E44"/>
    <w:rsid w:val="00852099"/>
    <w:rsid w:val="008550AC"/>
    <w:rsid w:val="0085595C"/>
    <w:rsid w:val="00856F3E"/>
    <w:rsid w:val="00857134"/>
    <w:rsid w:val="008572BB"/>
    <w:rsid w:val="00857AB3"/>
    <w:rsid w:val="0086099B"/>
    <w:rsid w:val="00860D7A"/>
    <w:rsid w:val="0086114D"/>
    <w:rsid w:val="00861C63"/>
    <w:rsid w:val="00862076"/>
    <w:rsid w:val="0086279C"/>
    <w:rsid w:val="00863508"/>
    <w:rsid w:val="00863BCC"/>
    <w:rsid w:val="00864C5F"/>
    <w:rsid w:val="0086525E"/>
    <w:rsid w:val="00865BDB"/>
    <w:rsid w:val="00866702"/>
    <w:rsid w:val="008669B6"/>
    <w:rsid w:val="00867EF3"/>
    <w:rsid w:val="00870736"/>
    <w:rsid w:val="00870B11"/>
    <w:rsid w:val="00871118"/>
    <w:rsid w:val="00871462"/>
    <w:rsid w:val="00871E3A"/>
    <w:rsid w:val="0087253A"/>
    <w:rsid w:val="00872A37"/>
    <w:rsid w:val="00872AEF"/>
    <w:rsid w:val="00872AFD"/>
    <w:rsid w:val="00872BAE"/>
    <w:rsid w:val="00872E8B"/>
    <w:rsid w:val="008734CF"/>
    <w:rsid w:val="00873A4D"/>
    <w:rsid w:val="00874215"/>
    <w:rsid w:val="00875995"/>
    <w:rsid w:val="00875CA7"/>
    <w:rsid w:val="00877020"/>
    <w:rsid w:val="008808F9"/>
    <w:rsid w:val="008818A0"/>
    <w:rsid w:val="00882070"/>
    <w:rsid w:val="00884310"/>
    <w:rsid w:val="00885A0C"/>
    <w:rsid w:val="00885A19"/>
    <w:rsid w:val="00885C50"/>
    <w:rsid w:val="00885E84"/>
    <w:rsid w:val="0088705B"/>
    <w:rsid w:val="00887820"/>
    <w:rsid w:val="00887972"/>
    <w:rsid w:val="00887E74"/>
    <w:rsid w:val="00887F95"/>
    <w:rsid w:val="0089021F"/>
    <w:rsid w:val="008914B8"/>
    <w:rsid w:val="00891E44"/>
    <w:rsid w:val="0089215D"/>
    <w:rsid w:val="008922C5"/>
    <w:rsid w:val="00892DD7"/>
    <w:rsid w:val="00893538"/>
    <w:rsid w:val="00893824"/>
    <w:rsid w:val="00894633"/>
    <w:rsid w:val="00894865"/>
    <w:rsid w:val="00894965"/>
    <w:rsid w:val="00895A44"/>
    <w:rsid w:val="00896378"/>
    <w:rsid w:val="00896659"/>
    <w:rsid w:val="008969B1"/>
    <w:rsid w:val="008969D6"/>
    <w:rsid w:val="008978FC"/>
    <w:rsid w:val="00897BD4"/>
    <w:rsid w:val="008A0189"/>
    <w:rsid w:val="008A288A"/>
    <w:rsid w:val="008A3342"/>
    <w:rsid w:val="008A3CE6"/>
    <w:rsid w:val="008A3CE8"/>
    <w:rsid w:val="008A442F"/>
    <w:rsid w:val="008A4D3A"/>
    <w:rsid w:val="008A510C"/>
    <w:rsid w:val="008A51A6"/>
    <w:rsid w:val="008A5B97"/>
    <w:rsid w:val="008A5CAF"/>
    <w:rsid w:val="008A6E84"/>
    <w:rsid w:val="008A7689"/>
    <w:rsid w:val="008A780B"/>
    <w:rsid w:val="008A7B23"/>
    <w:rsid w:val="008B0B98"/>
    <w:rsid w:val="008B18C2"/>
    <w:rsid w:val="008B1F8B"/>
    <w:rsid w:val="008B334A"/>
    <w:rsid w:val="008B4CE8"/>
    <w:rsid w:val="008B4D9E"/>
    <w:rsid w:val="008B5305"/>
    <w:rsid w:val="008B55C6"/>
    <w:rsid w:val="008B5C3E"/>
    <w:rsid w:val="008B6FEB"/>
    <w:rsid w:val="008B7265"/>
    <w:rsid w:val="008C01C5"/>
    <w:rsid w:val="008C0517"/>
    <w:rsid w:val="008C0F0D"/>
    <w:rsid w:val="008C1336"/>
    <w:rsid w:val="008C1832"/>
    <w:rsid w:val="008C19C5"/>
    <w:rsid w:val="008C1C0F"/>
    <w:rsid w:val="008C1E1F"/>
    <w:rsid w:val="008C330E"/>
    <w:rsid w:val="008C3390"/>
    <w:rsid w:val="008C43A6"/>
    <w:rsid w:val="008C45A4"/>
    <w:rsid w:val="008C4B36"/>
    <w:rsid w:val="008C503F"/>
    <w:rsid w:val="008C5FC3"/>
    <w:rsid w:val="008C6873"/>
    <w:rsid w:val="008C7036"/>
    <w:rsid w:val="008C7393"/>
    <w:rsid w:val="008D0177"/>
    <w:rsid w:val="008D0563"/>
    <w:rsid w:val="008D0997"/>
    <w:rsid w:val="008D1606"/>
    <w:rsid w:val="008D1A10"/>
    <w:rsid w:val="008D28BF"/>
    <w:rsid w:val="008D2A4E"/>
    <w:rsid w:val="008D366C"/>
    <w:rsid w:val="008D3BA8"/>
    <w:rsid w:val="008D3D2A"/>
    <w:rsid w:val="008D4764"/>
    <w:rsid w:val="008D48A9"/>
    <w:rsid w:val="008D632F"/>
    <w:rsid w:val="008D6634"/>
    <w:rsid w:val="008D7416"/>
    <w:rsid w:val="008E02AA"/>
    <w:rsid w:val="008E0964"/>
    <w:rsid w:val="008E0B67"/>
    <w:rsid w:val="008E0D0C"/>
    <w:rsid w:val="008E11B3"/>
    <w:rsid w:val="008E1724"/>
    <w:rsid w:val="008E1CE2"/>
    <w:rsid w:val="008E2A86"/>
    <w:rsid w:val="008E2D08"/>
    <w:rsid w:val="008E343A"/>
    <w:rsid w:val="008E3972"/>
    <w:rsid w:val="008E3ABA"/>
    <w:rsid w:val="008E5031"/>
    <w:rsid w:val="008E5BC0"/>
    <w:rsid w:val="008E690A"/>
    <w:rsid w:val="008E713F"/>
    <w:rsid w:val="008E72BA"/>
    <w:rsid w:val="008E77CB"/>
    <w:rsid w:val="008E7BE8"/>
    <w:rsid w:val="008F1470"/>
    <w:rsid w:val="008F2237"/>
    <w:rsid w:val="008F2B16"/>
    <w:rsid w:val="008F3196"/>
    <w:rsid w:val="008F3CF4"/>
    <w:rsid w:val="008F3E9E"/>
    <w:rsid w:val="008F43C4"/>
    <w:rsid w:val="008F4B74"/>
    <w:rsid w:val="008F50D9"/>
    <w:rsid w:val="008F6C53"/>
    <w:rsid w:val="00900494"/>
    <w:rsid w:val="0090091B"/>
    <w:rsid w:val="0090162D"/>
    <w:rsid w:val="00901881"/>
    <w:rsid w:val="009018DC"/>
    <w:rsid w:val="009025FE"/>
    <w:rsid w:val="00902F82"/>
    <w:rsid w:val="0090301B"/>
    <w:rsid w:val="00903B2E"/>
    <w:rsid w:val="00903CCC"/>
    <w:rsid w:val="00903D0E"/>
    <w:rsid w:val="00904E79"/>
    <w:rsid w:val="00905397"/>
    <w:rsid w:val="00905BAE"/>
    <w:rsid w:val="00906999"/>
    <w:rsid w:val="0090720D"/>
    <w:rsid w:val="00910225"/>
    <w:rsid w:val="00911092"/>
    <w:rsid w:val="0091145A"/>
    <w:rsid w:val="009116D7"/>
    <w:rsid w:val="0091261E"/>
    <w:rsid w:val="00913B10"/>
    <w:rsid w:val="00913E22"/>
    <w:rsid w:val="009148C5"/>
    <w:rsid w:val="00914BDE"/>
    <w:rsid w:val="00914C7B"/>
    <w:rsid w:val="00914D89"/>
    <w:rsid w:val="009151B4"/>
    <w:rsid w:val="00915607"/>
    <w:rsid w:val="009176CA"/>
    <w:rsid w:val="00917BA5"/>
    <w:rsid w:val="00917E05"/>
    <w:rsid w:val="00920230"/>
    <w:rsid w:val="009208BB"/>
    <w:rsid w:val="00921398"/>
    <w:rsid w:val="009226EE"/>
    <w:rsid w:val="00922D17"/>
    <w:rsid w:val="009230FF"/>
    <w:rsid w:val="00924CF5"/>
    <w:rsid w:val="00925504"/>
    <w:rsid w:val="00926DC6"/>
    <w:rsid w:val="00927D43"/>
    <w:rsid w:val="009300A4"/>
    <w:rsid w:val="00930180"/>
    <w:rsid w:val="00932AC6"/>
    <w:rsid w:val="0093356C"/>
    <w:rsid w:val="009337DB"/>
    <w:rsid w:val="00934322"/>
    <w:rsid w:val="009344BE"/>
    <w:rsid w:val="00934F8A"/>
    <w:rsid w:val="00935D2B"/>
    <w:rsid w:val="00940891"/>
    <w:rsid w:val="00941009"/>
    <w:rsid w:val="0094131A"/>
    <w:rsid w:val="00941683"/>
    <w:rsid w:val="00941C4E"/>
    <w:rsid w:val="0094200F"/>
    <w:rsid w:val="00942B51"/>
    <w:rsid w:val="00943338"/>
    <w:rsid w:val="00944104"/>
    <w:rsid w:val="0094553E"/>
    <w:rsid w:val="00946C86"/>
    <w:rsid w:val="00947471"/>
    <w:rsid w:val="00947E9F"/>
    <w:rsid w:val="0095069E"/>
    <w:rsid w:val="00950D09"/>
    <w:rsid w:val="0095308D"/>
    <w:rsid w:val="009534FA"/>
    <w:rsid w:val="009540CC"/>
    <w:rsid w:val="00955F33"/>
    <w:rsid w:val="00956F3A"/>
    <w:rsid w:val="00960137"/>
    <w:rsid w:val="00961C61"/>
    <w:rsid w:val="009625ED"/>
    <w:rsid w:val="00962920"/>
    <w:rsid w:val="00963317"/>
    <w:rsid w:val="00963A01"/>
    <w:rsid w:val="00964767"/>
    <w:rsid w:val="0096484A"/>
    <w:rsid w:val="00964B0C"/>
    <w:rsid w:val="00965161"/>
    <w:rsid w:val="00965960"/>
    <w:rsid w:val="009659DC"/>
    <w:rsid w:val="00965C16"/>
    <w:rsid w:val="00966343"/>
    <w:rsid w:val="009668AE"/>
    <w:rsid w:val="009676CF"/>
    <w:rsid w:val="00967E60"/>
    <w:rsid w:val="009705BF"/>
    <w:rsid w:val="00971C15"/>
    <w:rsid w:val="00972177"/>
    <w:rsid w:val="009728A9"/>
    <w:rsid w:val="009729D9"/>
    <w:rsid w:val="00972D9F"/>
    <w:rsid w:val="0097453C"/>
    <w:rsid w:val="009757B1"/>
    <w:rsid w:val="00975E32"/>
    <w:rsid w:val="00976815"/>
    <w:rsid w:val="00976A4F"/>
    <w:rsid w:val="009774C3"/>
    <w:rsid w:val="00980859"/>
    <w:rsid w:val="009810F6"/>
    <w:rsid w:val="009811E7"/>
    <w:rsid w:val="0098129E"/>
    <w:rsid w:val="00981324"/>
    <w:rsid w:val="00981A1F"/>
    <w:rsid w:val="00982238"/>
    <w:rsid w:val="00983800"/>
    <w:rsid w:val="00983EE4"/>
    <w:rsid w:val="009852C7"/>
    <w:rsid w:val="00986B83"/>
    <w:rsid w:val="00986E01"/>
    <w:rsid w:val="0098748B"/>
    <w:rsid w:val="00987949"/>
    <w:rsid w:val="0099222B"/>
    <w:rsid w:val="009923FD"/>
    <w:rsid w:val="009924E5"/>
    <w:rsid w:val="00992D32"/>
    <w:rsid w:val="00993FCD"/>
    <w:rsid w:val="00994E36"/>
    <w:rsid w:val="00995AE7"/>
    <w:rsid w:val="009964F5"/>
    <w:rsid w:val="00996DA4"/>
    <w:rsid w:val="00997269"/>
    <w:rsid w:val="00997B41"/>
    <w:rsid w:val="009A0574"/>
    <w:rsid w:val="009A09E5"/>
    <w:rsid w:val="009A1200"/>
    <w:rsid w:val="009A2030"/>
    <w:rsid w:val="009A28FD"/>
    <w:rsid w:val="009A3E65"/>
    <w:rsid w:val="009A427A"/>
    <w:rsid w:val="009A44CF"/>
    <w:rsid w:val="009A4619"/>
    <w:rsid w:val="009A670F"/>
    <w:rsid w:val="009A6849"/>
    <w:rsid w:val="009A7207"/>
    <w:rsid w:val="009B07AB"/>
    <w:rsid w:val="009B0925"/>
    <w:rsid w:val="009B0F3A"/>
    <w:rsid w:val="009B1121"/>
    <w:rsid w:val="009B2E52"/>
    <w:rsid w:val="009B31D9"/>
    <w:rsid w:val="009B3916"/>
    <w:rsid w:val="009B3A30"/>
    <w:rsid w:val="009B4737"/>
    <w:rsid w:val="009B560E"/>
    <w:rsid w:val="009B56BD"/>
    <w:rsid w:val="009B6022"/>
    <w:rsid w:val="009B775E"/>
    <w:rsid w:val="009C0034"/>
    <w:rsid w:val="009C037F"/>
    <w:rsid w:val="009C088C"/>
    <w:rsid w:val="009C08CD"/>
    <w:rsid w:val="009C1CD2"/>
    <w:rsid w:val="009C2762"/>
    <w:rsid w:val="009C2E96"/>
    <w:rsid w:val="009C3F59"/>
    <w:rsid w:val="009C40CB"/>
    <w:rsid w:val="009C4147"/>
    <w:rsid w:val="009C42F8"/>
    <w:rsid w:val="009C455E"/>
    <w:rsid w:val="009C4BE8"/>
    <w:rsid w:val="009C4C76"/>
    <w:rsid w:val="009C532D"/>
    <w:rsid w:val="009C5E65"/>
    <w:rsid w:val="009C6418"/>
    <w:rsid w:val="009C7732"/>
    <w:rsid w:val="009D0688"/>
    <w:rsid w:val="009D0C67"/>
    <w:rsid w:val="009D12A5"/>
    <w:rsid w:val="009D250A"/>
    <w:rsid w:val="009D27DB"/>
    <w:rsid w:val="009D2D54"/>
    <w:rsid w:val="009D3C10"/>
    <w:rsid w:val="009D4490"/>
    <w:rsid w:val="009D581E"/>
    <w:rsid w:val="009D676A"/>
    <w:rsid w:val="009D7212"/>
    <w:rsid w:val="009E0619"/>
    <w:rsid w:val="009E06C9"/>
    <w:rsid w:val="009E08E8"/>
    <w:rsid w:val="009E1014"/>
    <w:rsid w:val="009E1258"/>
    <w:rsid w:val="009E1922"/>
    <w:rsid w:val="009E1AA5"/>
    <w:rsid w:val="009E1C06"/>
    <w:rsid w:val="009E221A"/>
    <w:rsid w:val="009E2341"/>
    <w:rsid w:val="009E39F6"/>
    <w:rsid w:val="009E4AD1"/>
    <w:rsid w:val="009E507A"/>
    <w:rsid w:val="009E54FC"/>
    <w:rsid w:val="009E5E03"/>
    <w:rsid w:val="009E659E"/>
    <w:rsid w:val="009E7422"/>
    <w:rsid w:val="009F0791"/>
    <w:rsid w:val="009F0BD8"/>
    <w:rsid w:val="009F1323"/>
    <w:rsid w:val="009F3F5C"/>
    <w:rsid w:val="009F44F5"/>
    <w:rsid w:val="009F4877"/>
    <w:rsid w:val="00A0178C"/>
    <w:rsid w:val="00A02605"/>
    <w:rsid w:val="00A02A33"/>
    <w:rsid w:val="00A0367E"/>
    <w:rsid w:val="00A03CE9"/>
    <w:rsid w:val="00A03D4D"/>
    <w:rsid w:val="00A0443A"/>
    <w:rsid w:val="00A048A3"/>
    <w:rsid w:val="00A04A99"/>
    <w:rsid w:val="00A04E45"/>
    <w:rsid w:val="00A05DEB"/>
    <w:rsid w:val="00A06672"/>
    <w:rsid w:val="00A0761A"/>
    <w:rsid w:val="00A07B99"/>
    <w:rsid w:val="00A10CD4"/>
    <w:rsid w:val="00A114C9"/>
    <w:rsid w:val="00A11B97"/>
    <w:rsid w:val="00A122C1"/>
    <w:rsid w:val="00A14379"/>
    <w:rsid w:val="00A14A73"/>
    <w:rsid w:val="00A14C5B"/>
    <w:rsid w:val="00A1568A"/>
    <w:rsid w:val="00A1745A"/>
    <w:rsid w:val="00A17FF3"/>
    <w:rsid w:val="00A21400"/>
    <w:rsid w:val="00A21E11"/>
    <w:rsid w:val="00A22195"/>
    <w:rsid w:val="00A223F7"/>
    <w:rsid w:val="00A22D5A"/>
    <w:rsid w:val="00A22E88"/>
    <w:rsid w:val="00A22EFC"/>
    <w:rsid w:val="00A23182"/>
    <w:rsid w:val="00A2415D"/>
    <w:rsid w:val="00A242B4"/>
    <w:rsid w:val="00A25FD4"/>
    <w:rsid w:val="00A26864"/>
    <w:rsid w:val="00A268CE"/>
    <w:rsid w:val="00A27293"/>
    <w:rsid w:val="00A3012B"/>
    <w:rsid w:val="00A30769"/>
    <w:rsid w:val="00A31C53"/>
    <w:rsid w:val="00A31E72"/>
    <w:rsid w:val="00A3250F"/>
    <w:rsid w:val="00A3271E"/>
    <w:rsid w:val="00A334D1"/>
    <w:rsid w:val="00A339DD"/>
    <w:rsid w:val="00A34359"/>
    <w:rsid w:val="00A3533B"/>
    <w:rsid w:val="00A3534E"/>
    <w:rsid w:val="00A3650D"/>
    <w:rsid w:val="00A372DC"/>
    <w:rsid w:val="00A377AF"/>
    <w:rsid w:val="00A37B4C"/>
    <w:rsid w:val="00A403CB"/>
    <w:rsid w:val="00A413A4"/>
    <w:rsid w:val="00A413BE"/>
    <w:rsid w:val="00A41494"/>
    <w:rsid w:val="00A41CC4"/>
    <w:rsid w:val="00A41DA7"/>
    <w:rsid w:val="00A4356A"/>
    <w:rsid w:val="00A43DFA"/>
    <w:rsid w:val="00A44495"/>
    <w:rsid w:val="00A44B13"/>
    <w:rsid w:val="00A46961"/>
    <w:rsid w:val="00A46A90"/>
    <w:rsid w:val="00A47456"/>
    <w:rsid w:val="00A47B91"/>
    <w:rsid w:val="00A50398"/>
    <w:rsid w:val="00A5065B"/>
    <w:rsid w:val="00A5140B"/>
    <w:rsid w:val="00A520B1"/>
    <w:rsid w:val="00A526E5"/>
    <w:rsid w:val="00A53BA7"/>
    <w:rsid w:val="00A53D74"/>
    <w:rsid w:val="00A559FD"/>
    <w:rsid w:val="00A56B77"/>
    <w:rsid w:val="00A5719D"/>
    <w:rsid w:val="00A578BD"/>
    <w:rsid w:val="00A57A77"/>
    <w:rsid w:val="00A57F42"/>
    <w:rsid w:val="00A60C78"/>
    <w:rsid w:val="00A6108D"/>
    <w:rsid w:val="00A61BF6"/>
    <w:rsid w:val="00A61F1B"/>
    <w:rsid w:val="00A62423"/>
    <w:rsid w:val="00A62EFD"/>
    <w:rsid w:val="00A64718"/>
    <w:rsid w:val="00A654AA"/>
    <w:rsid w:val="00A663B6"/>
    <w:rsid w:val="00A67343"/>
    <w:rsid w:val="00A67710"/>
    <w:rsid w:val="00A67BC4"/>
    <w:rsid w:val="00A709A1"/>
    <w:rsid w:val="00A7220B"/>
    <w:rsid w:val="00A7254E"/>
    <w:rsid w:val="00A7274D"/>
    <w:rsid w:val="00A72D8C"/>
    <w:rsid w:val="00A73515"/>
    <w:rsid w:val="00A73931"/>
    <w:rsid w:val="00A73F03"/>
    <w:rsid w:val="00A74231"/>
    <w:rsid w:val="00A7488F"/>
    <w:rsid w:val="00A74E16"/>
    <w:rsid w:val="00A75354"/>
    <w:rsid w:val="00A7638E"/>
    <w:rsid w:val="00A76494"/>
    <w:rsid w:val="00A76D39"/>
    <w:rsid w:val="00A770A6"/>
    <w:rsid w:val="00A770FE"/>
    <w:rsid w:val="00A77992"/>
    <w:rsid w:val="00A77995"/>
    <w:rsid w:val="00A77C95"/>
    <w:rsid w:val="00A8025D"/>
    <w:rsid w:val="00A806D4"/>
    <w:rsid w:val="00A80967"/>
    <w:rsid w:val="00A8109D"/>
    <w:rsid w:val="00A81174"/>
    <w:rsid w:val="00A8161F"/>
    <w:rsid w:val="00A82779"/>
    <w:rsid w:val="00A83141"/>
    <w:rsid w:val="00A8360F"/>
    <w:rsid w:val="00A83C9A"/>
    <w:rsid w:val="00A846E1"/>
    <w:rsid w:val="00A84835"/>
    <w:rsid w:val="00A850D7"/>
    <w:rsid w:val="00A8662D"/>
    <w:rsid w:val="00A868B8"/>
    <w:rsid w:val="00A8759D"/>
    <w:rsid w:val="00A87A7C"/>
    <w:rsid w:val="00A87F7D"/>
    <w:rsid w:val="00A87F9A"/>
    <w:rsid w:val="00A901BC"/>
    <w:rsid w:val="00A90C68"/>
    <w:rsid w:val="00A911D1"/>
    <w:rsid w:val="00A9168D"/>
    <w:rsid w:val="00A9190E"/>
    <w:rsid w:val="00A928F2"/>
    <w:rsid w:val="00A94E2F"/>
    <w:rsid w:val="00A95F95"/>
    <w:rsid w:val="00A961AB"/>
    <w:rsid w:val="00A968A6"/>
    <w:rsid w:val="00A97D6C"/>
    <w:rsid w:val="00AA240D"/>
    <w:rsid w:val="00AA2688"/>
    <w:rsid w:val="00AA2803"/>
    <w:rsid w:val="00AA4176"/>
    <w:rsid w:val="00AA4BDE"/>
    <w:rsid w:val="00AA549D"/>
    <w:rsid w:val="00AA5D8A"/>
    <w:rsid w:val="00AA5E2E"/>
    <w:rsid w:val="00AA7919"/>
    <w:rsid w:val="00AB1152"/>
    <w:rsid w:val="00AB1420"/>
    <w:rsid w:val="00AB20B4"/>
    <w:rsid w:val="00AB273F"/>
    <w:rsid w:val="00AB2B59"/>
    <w:rsid w:val="00AB2C5F"/>
    <w:rsid w:val="00AB30B0"/>
    <w:rsid w:val="00AB4370"/>
    <w:rsid w:val="00AB52B2"/>
    <w:rsid w:val="00AB5BAC"/>
    <w:rsid w:val="00AB625C"/>
    <w:rsid w:val="00AB6271"/>
    <w:rsid w:val="00AB71A1"/>
    <w:rsid w:val="00AB78A8"/>
    <w:rsid w:val="00AB7924"/>
    <w:rsid w:val="00AB7B57"/>
    <w:rsid w:val="00AB7B66"/>
    <w:rsid w:val="00AC045D"/>
    <w:rsid w:val="00AC16B9"/>
    <w:rsid w:val="00AC240A"/>
    <w:rsid w:val="00AC303C"/>
    <w:rsid w:val="00AC3E3B"/>
    <w:rsid w:val="00AC50B7"/>
    <w:rsid w:val="00AC709D"/>
    <w:rsid w:val="00AC7498"/>
    <w:rsid w:val="00AC765B"/>
    <w:rsid w:val="00AD0BFB"/>
    <w:rsid w:val="00AD0C47"/>
    <w:rsid w:val="00AD1489"/>
    <w:rsid w:val="00AD212E"/>
    <w:rsid w:val="00AD2919"/>
    <w:rsid w:val="00AD2DE7"/>
    <w:rsid w:val="00AD34BF"/>
    <w:rsid w:val="00AD3F0F"/>
    <w:rsid w:val="00AD41CF"/>
    <w:rsid w:val="00AD4591"/>
    <w:rsid w:val="00AD590B"/>
    <w:rsid w:val="00AD595D"/>
    <w:rsid w:val="00AD6FB6"/>
    <w:rsid w:val="00AE03F8"/>
    <w:rsid w:val="00AE0982"/>
    <w:rsid w:val="00AE0A92"/>
    <w:rsid w:val="00AE0C49"/>
    <w:rsid w:val="00AE0C62"/>
    <w:rsid w:val="00AE0E21"/>
    <w:rsid w:val="00AE15DB"/>
    <w:rsid w:val="00AE19C3"/>
    <w:rsid w:val="00AE2EF0"/>
    <w:rsid w:val="00AE2FA5"/>
    <w:rsid w:val="00AE4705"/>
    <w:rsid w:val="00AE47E8"/>
    <w:rsid w:val="00AE561F"/>
    <w:rsid w:val="00AE5DF5"/>
    <w:rsid w:val="00AE6058"/>
    <w:rsid w:val="00AE6078"/>
    <w:rsid w:val="00AE6133"/>
    <w:rsid w:val="00AE6BB8"/>
    <w:rsid w:val="00AE6D67"/>
    <w:rsid w:val="00AE712C"/>
    <w:rsid w:val="00AE7E16"/>
    <w:rsid w:val="00AF02E8"/>
    <w:rsid w:val="00AF273F"/>
    <w:rsid w:val="00AF276A"/>
    <w:rsid w:val="00AF3256"/>
    <w:rsid w:val="00AF3B5C"/>
    <w:rsid w:val="00AF42F4"/>
    <w:rsid w:val="00AF5DB9"/>
    <w:rsid w:val="00AF7072"/>
    <w:rsid w:val="00AF735E"/>
    <w:rsid w:val="00AF73E1"/>
    <w:rsid w:val="00B00390"/>
    <w:rsid w:val="00B01925"/>
    <w:rsid w:val="00B02E76"/>
    <w:rsid w:val="00B03320"/>
    <w:rsid w:val="00B03DA9"/>
    <w:rsid w:val="00B04387"/>
    <w:rsid w:val="00B04860"/>
    <w:rsid w:val="00B049FA"/>
    <w:rsid w:val="00B04B40"/>
    <w:rsid w:val="00B052DD"/>
    <w:rsid w:val="00B05772"/>
    <w:rsid w:val="00B05A80"/>
    <w:rsid w:val="00B05DB9"/>
    <w:rsid w:val="00B0607C"/>
    <w:rsid w:val="00B0693F"/>
    <w:rsid w:val="00B06ABF"/>
    <w:rsid w:val="00B07012"/>
    <w:rsid w:val="00B07067"/>
    <w:rsid w:val="00B074D7"/>
    <w:rsid w:val="00B0755B"/>
    <w:rsid w:val="00B076BF"/>
    <w:rsid w:val="00B1007E"/>
    <w:rsid w:val="00B10CE5"/>
    <w:rsid w:val="00B10F56"/>
    <w:rsid w:val="00B119A3"/>
    <w:rsid w:val="00B13900"/>
    <w:rsid w:val="00B13B6F"/>
    <w:rsid w:val="00B13CC5"/>
    <w:rsid w:val="00B1436D"/>
    <w:rsid w:val="00B15827"/>
    <w:rsid w:val="00B15FCF"/>
    <w:rsid w:val="00B16ADB"/>
    <w:rsid w:val="00B16F00"/>
    <w:rsid w:val="00B20AD4"/>
    <w:rsid w:val="00B218C0"/>
    <w:rsid w:val="00B21EFE"/>
    <w:rsid w:val="00B22167"/>
    <w:rsid w:val="00B227E6"/>
    <w:rsid w:val="00B22C44"/>
    <w:rsid w:val="00B231C5"/>
    <w:rsid w:val="00B23C77"/>
    <w:rsid w:val="00B2446E"/>
    <w:rsid w:val="00B24BAF"/>
    <w:rsid w:val="00B263B6"/>
    <w:rsid w:val="00B26A96"/>
    <w:rsid w:val="00B27614"/>
    <w:rsid w:val="00B27F14"/>
    <w:rsid w:val="00B27F5B"/>
    <w:rsid w:val="00B30316"/>
    <w:rsid w:val="00B30CCF"/>
    <w:rsid w:val="00B30CDD"/>
    <w:rsid w:val="00B30DB1"/>
    <w:rsid w:val="00B30ECE"/>
    <w:rsid w:val="00B30EEB"/>
    <w:rsid w:val="00B31791"/>
    <w:rsid w:val="00B317D2"/>
    <w:rsid w:val="00B334C3"/>
    <w:rsid w:val="00B33AC2"/>
    <w:rsid w:val="00B3489C"/>
    <w:rsid w:val="00B34DB4"/>
    <w:rsid w:val="00B35661"/>
    <w:rsid w:val="00B35A21"/>
    <w:rsid w:val="00B35ECE"/>
    <w:rsid w:val="00B3605C"/>
    <w:rsid w:val="00B36A75"/>
    <w:rsid w:val="00B36CF7"/>
    <w:rsid w:val="00B37435"/>
    <w:rsid w:val="00B374C2"/>
    <w:rsid w:val="00B40F87"/>
    <w:rsid w:val="00B4130C"/>
    <w:rsid w:val="00B41585"/>
    <w:rsid w:val="00B42C38"/>
    <w:rsid w:val="00B42F77"/>
    <w:rsid w:val="00B43EF5"/>
    <w:rsid w:val="00B441B1"/>
    <w:rsid w:val="00B44BEE"/>
    <w:rsid w:val="00B44F05"/>
    <w:rsid w:val="00B45045"/>
    <w:rsid w:val="00B451F9"/>
    <w:rsid w:val="00B455F2"/>
    <w:rsid w:val="00B45F7A"/>
    <w:rsid w:val="00B4607F"/>
    <w:rsid w:val="00B46290"/>
    <w:rsid w:val="00B47324"/>
    <w:rsid w:val="00B47650"/>
    <w:rsid w:val="00B47761"/>
    <w:rsid w:val="00B47920"/>
    <w:rsid w:val="00B47935"/>
    <w:rsid w:val="00B50316"/>
    <w:rsid w:val="00B51B61"/>
    <w:rsid w:val="00B5224F"/>
    <w:rsid w:val="00B526D1"/>
    <w:rsid w:val="00B528FC"/>
    <w:rsid w:val="00B52E83"/>
    <w:rsid w:val="00B52EA5"/>
    <w:rsid w:val="00B533DC"/>
    <w:rsid w:val="00B5372C"/>
    <w:rsid w:val="00B53ED6"/>
    <w:rsid w:val="00B545C7"/>
    <w:rsid w:val="00B54839"/>
    <w:rsid w:val="00B54B75"/>
    <w:rsid w:val="00B5502A"/>
    <w:rsid w:val="00B5547E"/>
    <w:rsid w:val="00B571A4"/>
    <w:rsid w:val="00B57523"/>
    <w:rsid w:val="00B60DB6"/>
    <w:rsid w:val="00B613FF"/>
    <w:rsid w:val="00B61679"/>
    <w:rsid w:val="00B630FE"/>
    <w:rsid w:val="00B632F9"/>
    <w:rsid w:val="00B6399E"/>
    <w:rsid w:val="00B65376"/>
    <w:rsid w:val="00B6541E"/>
    <w:rsid w:val="00B658C3"/>
    <w:rsid w:val="00B659E1"/>
    <w:rsid w:val="00B65A4F"/>
    <w:rsid w:val="00B66393"/>
    <w:rsid w:val="00B66C54"/>
    <w:rsid w:val="00B67254"/>
    <w:rsid w:val="00B67A16"/>
    <w:rsid w:val="00B70A01"/>
    <w:rsid w:val="00B7345D"/>
    <w:rsid w:val="00B74764"/>
    <w:rsid w:val="00B75D0B"/>
    <w:rsid w:val="00B763DF"/>
    <w:rsid w:val="00B76770"/>
    <w:rsid w:val="00B76F8A"/>
    <w:rsid w:val="00B77BFE"/>
    <w:rsid w:val="00B77F89"/>
    <w:rsid w:val="00B77FA6"/>
    <w:rsid w:val="00B80B49"/>
    <w:rsid w:val="00B8144B"/>
    <w:rsid w:val="00B815BD"/>
    <w:rsid w:val="00B83878"/>
    <w:rsid w:val="00B84576"/>
    <w:rsid w:val="00B85746"/>
    <w:rsid w:val="00B858B9"/>
    <w:rsid w:val="00B85EEE"/>
    <w:rsid w:val="00B869BC"/>
    <w:rsid w:val="00B8762E"/>
    <w:rsid w:val="00B8786F"/>
    <w:rsid w:val="00B87C79"/>
    <w:rsid w:val="00B87EBA"/>
    <w:rsid w:val="00B9082D"/>
    <w:rsid w:val="00B91603"/>
    <w:rsid w:val="00B9237D"/>
    <w:rsid w:val="00B93617"/>
    <w:rsid w:val="00B93CA9"/>
    <w:rsid w:val="00B93CFF"/>
    <w:rsid w:val="00B93EB0"/>
    <w:rsid w:val="00B93F7B"/>
    <w:rsid w:val="00B94476"/>
    <w:rsid w:val="00B95C84"/>
    <w:rsid w:val="00B966FB"/>
    <w:rsid w:val="00B96C0E"/>
    <w:rsid w:val="00B96D10"/>
    <w:rsid w:val="00B96DED"/>
    <w:rsid w:val="00B96F2B"/>
    <w:rsid w:val="00B97168"/>
    <w:rsid w:val="00B97228"/>
    <w:rsid w:val="00B974F0"/>
    <w:rsid w:val="00B97706"/>
    <w:rsid w:val="00B97B2B"/>
    <w:rsid w:val="00B97B5F"/>
    <w:rsid w:val="00BA00C5"/>
    <w:rsid w:val="00BA0AB5"/>
    <w:rsid w:val="00BA22E3"/>
    <w:rsid w:val="00BA350B"/>
    <w:rsid w:val="00BA44B9"/>
    <w:rsid w:val="00BA48F3"/>
    <w:rsid w:val="00BA514C"/>
    <w:rsid w:val="00BA52D7"/>
    <w:rsid w:val="00BA626F"/>
    <w:rsid w:val="00BA7875"/>
    <w:rsid w:val="00BA7934"/>
    <w:rsid w:val="00BA7D66"/>
    <w:rsid w:val="00BB080E"/>
    <w:rsid w:val="00BB0B6E"/>
    <w:rsid w:val="00BB12AC"/>
    <w:rsid w:val="00BB2215"/>
    <w:rsid w:val="00BB3147"/>
    <w:rsid w:val="00BB36F8"/>
    <w:rsid w:val="00BB3C1A"/>
    <w:rsid w:val="00BB4515"/>
    <w:rsid w:val="00BB5780"/>
    <w:rsid w:val="00BB648B"/>
    <w:rsid w:val="00BB690C"/>
    <w:rsid w:val="00BB745A"/>
    <w:rsid w:val="00BB775F"/>
    <w:rsid w:val="00BB7EE3"/>
    <w:rsid w:val="00BC07EC"/>
    <w:rsid w:val="00BC0883"/>
    <w:rsid w:val="00BC0DD0"/>
    <w:rsid w:val="00BC12E5"/>
    <w:rsid w:val="00BC2E81"/>
    <w:rsid w:val="00BC31F6"/>
    <w:rsid w:val="00BC3790"/>
    <w:rsid w:val="00BC39F7"/>
    <w:rsid w:val="00BC3EBC"/>
    <w:rsid w:val="00BC5DA8"/>
    <w:rsid w:val="00BC76A6"/>
    <w:rsid w:val="00BD03B7"/>
    <w:rsid w:val="00BD1234"/>
    <w:rsid w:val="00BD26E0"/>
    <w:rsid w:val="00BD28E4"/>
    <w:rsid w:val="00BD2993"/>
    <w:rsid w:val="00BD2D30"/>
    <w:rsid w:val="00BD3001"/>
    <w:rsid w:val="00BD3864"/>
    <w:rsid w:val="00BD3C94"/>
    <w:rsid w:val="00BD649B"/>
    <w:rsid w:val="00BD6DD2"/>
    <w:rsid w:val="00BD6F16"/>
    <w:rsid w:val="00BD7950"/>
    <w:rsid w:val="00BD7E6E"/>
    <w:rsid w:val="00BE0638"/>
    <w:rsid w:val="00BE1782"/>
    <w:rsid w:val="00BE2195"/>
    <w:rsid w:val="00BE21CE"/>
    <w:rsid w:val="00BE2911"/>
    <w:rsid w:val="00BE35B8"/>
    <w:rsid w:val="00BE3765"/>
    <w:rsid w:val="00BE37BC"/>
    <w:rsid w:val="00BE41F6"/>
    <w:rsid w:val="00BE44D1"/>
    <w:rsid w:val="00BE4574"/>
    <w:rsid w:val="00BE4CA3"/>
    <w:rsid w:val="00BE4D28"/>
    <w:rsid w:val="00BE5867"/>
    <w:rsid w:val="00BE5D98"/>
    <w:rsid w:val="00BE6279"/>
    <w:rsid w:val="00BE6D06"/>
    <w:rsid w:val="00BE70D0"/>
    <w:rsid w:val="00BE7123"/>
    <w:rsid w:val="00BE7789"/>
    <w:rsid w:val="00BF10A5"/>
    <w:rsid w:val="00BF1172"/>
    <w:rsid w:val="00BF11F4"/>
    <w:rsid w:val="00BF124E"/>
    <w:rsid w:val="00BF1C3C"/>
    <w:rsid w:val="00BF2841"/>
    <w:rsid w:val="00BF28D9"/>
    <w:rsid w:val="00BF62D3"/>
    <w:rsid w:val="00BF7446"/>
    <w:rsid w:val="00BF7CA9"/>
    <w:rsid w:val="00BF7EE9"/>
    <w:rsid w:val="00C001DA"/>
    <w:rsid w:val="00C004EF"/>
    <w:rsid w:val="00C00C9E"/>
    <w:rsid w:val="00C017AF"/>
    <w:rsid w:val="00C01928"/>
    <w:rsid w:val="00C022DF"/>
    <w:rsid w:val="00C02B6E"/>
    <w:rsid w:val="00C03348"/>
    <w:rsid w:val="00C045F9"/>
    <w:rsid w:val="00C04CF1"/>
    <w:rsid w:val="00C05AF3"/>
    <w:rsid w:val="00C05C0C"/>
    <w:rsid w:val="00C061BA"/>
    <w:rsid w:val="00C06637"/>
    <w:rsid w:val="00C06A20"/>
    <w:rsid w:val="00C07583"/>
    <w:rsid w:val="00C07E56"/>
    <w:rsid w:val="00C10259"/>
    <w:rsid w:val="00C10E48"/>
    <w:rsid w:val="00C11489"/>
    <w:rsid w:val="00C117F5"/>
    <w:rsid w:val="00C12034"/>
    <w:rsid w:val="00C121E6"/>
    <w:rsid w:val="00C124FF"/>
    <w:rsid w:val="00C1283D"/>
    <w:rsid w:val="00C12978"/>
    <w:rsid w:val="00C13B26"/>
    <w:rsid w:val="00C14C59"/>
    <w:rsid w:val="00C15D0A"/>
    <w:rsid w:val="00C16280"/>
    <w:rsid w:val="00C1643A"/>
    <w:rsid w:val="00C1698E"/>
    <w:rsid w:val="00C1716C"/>
    <w:rsid w:val="00C17E31"/>
    <w:rsid w:val="00C17EC4"/>
    <w:rsid w:val="00C20F1E"/>
    <w:rsid w:val="00C21419"/>
    <w:rsid w:val="00C221D4"/>
    <w:rsid w:val="00C2263C"/>
    <w:rsid w:val="00C22B97"/>
    <w:rsid w:val="00C2355E"/>
    <w:rsid w:val="00C2396E"/>
    <w:rsid w:val="00C240E4"/>
    <w:rsid w:val="00C24B76"/>
    <w:rsid w:val="00C25353"/>
    <w:rsid w:val="00C26A04"/>
    <w:rsid w:val="00C2752F"/>
    <w:rsid w:val="00C3044C"/>
    <w:rsid w:val="00C304B2"/>
    <w:rsid w:val="00C30BD7"/>
    <w:rsid w:val="00C30D8D"/>
    <w:rsid w:val="00C30EE1"/>
    <w:rsid w:val="00C3198B"/>
    <w:rsid w:val="00C325A8"/>
    <w:rsid w:val="00C32C9B"/>
    <w:rsid w:val="00C32D18"/>
    <w:rsid w:val="00C3366E"/>
    <w:rsid w:val="00C34A3A"/>
    <w:rsid w:val="00C352B8"/>
    <w:rsid w:val="00C35C08"/>
    <w:rsid w:val="00C374D0"/>
    <w:rsid w:val="00C37673"/>
    <w:rsid w:val="00C3796C"/>
    <w:rsid w:val="00C4094E"/>
    <w:rsid w:val="00C41194"/>
    <w:rsid w:val="00C41BCD"/>
    <w:rsid w:val="00C4218F"/>
    <w:rsid w:val="00C4270E"/>
    <w:rsid w:val="00C432B0"/>
    <w:rsid w:val="00C446EA"/>
    <w:rsid w:val="00C448DA"/>
    <w:rsid w:val="00C44ED7"/>
    <w:rsid w:val="00C44F6A"/>
    <w:rsid w:val="00C44F7C"/>
    <w:rsid w:val="00C46883"/>
    <w:rsid w:val="00C47009"/>
    <w:rsid w:val="00C5017C"/>
    <w:rsid w:val="00C50A06"/>
    <w:rsid w:val="00C50AD4"/>
    <w:rsid w:val="00C5162E"/>
    <w:rsid w:val="00C524CD"/>
    <w:rsid w:val="00C52943"/>
    <w:rsid w:val="00C53CC5"/>
    <w:rsid w:val="00C545E6"/>
    <w:rsid w:val="00C54958"/>
    <w:rsid w:val="00C552DB"/>
    <w:rsid w:val="00C5551D"/>
    <w:rsid w:val="00C560D5"/>
    <w:rsid w:val="00C603EE"/>
    <w:rsid w:val="00C6167A"/>
    <w:rsid w:val="00C638A5"/>
    <w:rsid w:val="00C6399E"/>
    <w:rsid w:val="00C665B1"/>
    <w:rsid w:val="00C666C7"/>
    <w:rsid w:val="00C6777E"/>
    <w:rsid w:val="00C6792F"/>
    <w:rsid w:val="00C67DEB"/>
    <w:rsid w:val="00C7335D"/>
    <w:rsid w:val="00C73D55"/>
    <w:rsid w:val="00C73E65"/>
    <w:rsid w:val="00C7426E"/>
    <w:rsid w:val="00C74A2A"/>
    <w:rsid w:val="00C75BDC"/>
    <w:rsid w:val="00C800C8"/>
    <w:rsid w:val="00C80C92"/>
    <w:rsid w:val="00C80D57"/>
    <w:rsid w:val="00C81714"/>
    <w:rsid w:val="00C8251D"/>
    <w:rsid w:val="00C830F0"/>
    <w:rsid w:val="00C83865"/>
    <w:rsid w:val="00C83AAE"/>
    <w:rsid w:val="00C8420C"/>
    <w:rsid w:val="00C847E7"/>
    <w:rsid w:val="00C84DB3"/>
    <w:rsid w:val="00C84E86"/>
    <w:rsid w:val="00C85208"/>
    <w:rsid w:val="00C8674E"/>
    <w:rsid w:val="00C86D46"/>
    <w:rsid w:val="00C9124F"/>
    <w:rsid w:val="00C91A8A"/>
    <w:rsid w:val="00C91B80"/>
    <w:rsid w:val="00C93B28"/>
    <w:rsid w:val="00C94698"/>
    <w:rsid w:val="00C94759"/>
    <w:rsid w:val="00C94E07"/>
    <w:rsid w:val="00C953ED"/>
    <w:rsid w:val="00C95865"/>
    <w:rsid w:val="00C95AE3"/>
    <w:rsid w:val="00C95CC7"/>
    <w:rsid w:val="00C962D5"/>
    <w:rsid w:val="00C96C01"/>
    <w:rsid w:val="00C97F13"/>
    <w:rsid w:val="00CA05EB"/>
    <w:rsid w:val="00CA07CA"/>
    <w:rsid w:val="00CA2DF9"/>
    <w:rsid w:val="00CA31AD"/>
    <w:rsid w:val="00CA4E6E"/>
    <w:rsid w:val="00CA5F24"/>
    <w:rsid w:val="00CA6866"/>
    <w:rsid w:val="00CA75AC"/>
    <w:rsid w:val="00CB04CB"/>
    <w:rsid w:val="00CB2016"/>
    <w:rsid w:val="00CB314C"/>
    <w:rsid w:val="00CB385D"/>
    <w:rsid w:val="00CB404D"/>
    <w:rsid w:val="00CB44CE"/>
    <w:rsid w:val="00CB483F"/>
    <w:rsid w:val="00CB4996"/>
    <w:rsid w:val="00CB5691"/>
    <w:rsid w:val="00CB5CC1"/>
    <w:rsid w:val="00CB61F1"/>
    <w:rsid w:val="00CB6416"/>
    <w:rsid w:val="00CB6617"/>
    <w:rsid w:val="00CB693A"/>
    <w:rsid w:val="00CB74FD"/>
    <w:rsid w:val="00CB7614"/>
    <w:rsid w:val="00CB76BA"/>
    <w:rsid w:val="00CB774D"/>
    <w:rsid w:val="00CC03B1"/>
    <w:rsid w:val="00CC0D6E"/>
    <w:rsid w:val="00CC1AE8"/>
    <w:rsid w:val="00CC3A8C"/>
    <w:rsid w:val="00CC3B9F"/>
    <w:rsid w:val="00CC3EE7"/>
    <w:rsid w:val="00CC4295"/>
    <w:rsid w:val="00CC616D"/>
    <w:rsid w:val="00CC65D6"/>
    <w:rsid w:val="00CC7B4D"/>
    <w:rsid w:val="00CC7F72"/>
    <w:rsid w:val="00CD0F22"/>
    <w:rsid w:val="00CD1CC7"/>
    <w:rsid w:val="00CD1F59"/>
    <w:rsid w:val="00CD2983"/>
    <w:rsid w:val="00CD3017"/>
    <w:rsid w:val="00CD387F"/>
    <w:rsid w:val="00CD485A"/>
    <w:rsid w:val="00CD4907"/>
    <w:rsid w:val="00CD4AED"/>
    <w:rsid w:val="00CD4E51"/>
    <w:rsid w:val="00CD52EA"/>
    <w:rsid w:val="00CD5B06"/>
    <w:rsid w:val="00CD5EBE"/>
    <w:rsid w:val="00CD7147"/>
    <w:rsid w:val="00CD74C5"/>
    <w:rsid w:val="00CD768D"/>
    <w:rsid w:val="00CD7935"/>
    <w:rsid w:val="00CE062B"/>
    <w:rsid w:val="00CE155C"/>
    <w:rsid w:val="00CE1790"/>
    <w:rsid w:val="00CE1977"/>
    <w:rsid w:val="00CE199C"/>
    <w:rsid w:val="00CE1C9B"/>
    <w:rsid w:val="00CE2608"/>
    <w:rsid w:val="00CE2BD9"/>
    <w:rsid w:val="00CE2C8C"/>
    <w:rsid w:val="00CE2ED4"/>
    <w:rsid w:val="00CE3023"/>
    <w:rsid w:val="00CE3C3B"/>
    <w:rsid w:val="00CE4791"/>
    <w:rsid w:val="00CE6117"/>
    <w:rsid w:val="00CE6975"/>
    <w:rsid w:val="00CE6ACA"/>
    <w:rsid w:val="00CE787E"/>
    <w:rsid w:val="00CE7F8E"/>
    <w:rsid w:val="00CF02D4"/>
    <w:rsid w:val="00CF083C"/>
    <w:rsid w:val="00CF0DA8"/>
    <w:rsid w:val="00CF1805"/>
    <w:rsid w:val="00CF1BF6"/>
    <w:rsid w:val="00CF1DEC"/>
    <w:rsid w:val="00CF1E91"/>
    <w:rsid w:val="00CF30AA"/>
    <w:rsid w:val="00CF3A52"/>
    <w:rsid w:val="00CF3BF5"/>
    <w:rsid w:val="00CF529C"/>
    <w:rsid w:val="00CF547D"/>
    <w:rsid w:val="00CF704D"/>
    <w:rsid w:val="00D002BA"/>
    <w:rsid w:val="00D00CD5"/>
    <w:rsid w:val="00D00E52"/>
    <w:rsid w:val="00D01D75"/>
    <w:rsid w:val="00D0262D"/>
    <w:rsid w:val="00D026CB"/>
    <w:rsid w:val="00D02AE5"/>
    <w:rsid w:val="00D02E1C"/>
    <w:rsid w:val="00D03F78"/>
    <w:rsid w:val="00D04071"/>
    <w:rsid w:val="00D041EA"/>
    <w:rsid w:val="00D043F9"/>
    <w:rsid w:val="00D04DC2"/>
    <w:rsid w:val="00D055E3"/>
    <w:rsid w:val="00D05907"/>
    <w:rsid w:val="00D06262"/>
    <w:rsid w:val="00D064F3"/>
    <w:rsid w:val="00D06C07"/>
    <w:rsid w:val="00D10960"/>
    <w:rsid w:val="00D118D3"/>
    <w:rsid w:val="00D11926"/>
    <w:rsid w:val="00D11EBD"/>
    <w:rsid w:val="00D1223C"/>
    <w:rsid w:val="00D123F1"/>
    <w:rsid w:val="00D13112"/>
    <w:rsid w:val="00D1433C"/>
    <w:rsid w:val="00D1472E"/>
    <w:rsid w:val="00D14BCC"/>
    <w:rsid w:val="00D14D3B"/>
    <w:rsid w:val="00D15571"/>
    <w:rsid w:val="00D15C71"/>
    <w:rsid w:val="00D15CA1"/>
    <w:rsid w:val="00D20992"/>
    <w:rsid w:val="00D209FD"/>
    <w:rsid w:val="00D20B44"/>
    <w:rsid w:val="00D20D7A"/>
    <w:rsid w:val="00D212C1"/>
    <w:rsid w:val="00D214B0"/>
    <w:rsid w:val="00D2155F"/>
    <w:rsid w:val="00D2189F"/>
    <w:rsid w:val="00D21CCF"/>
    <w:rsid w:val="00D2215E"/>
    <w:rsid w:val="00D22FEE"/>
    <w:rsid w:val="00D2359C"/>
    <w:rsid w:val="00D2378C"/>
    <w:rsid w:val="00D2389A"/>
    <w:rsid w:val="00D24030"/>
    <w:rsid w:val="00D243C5"/>
    <w:rsid w:val="00D24B8D"/>
    <w:rsid w:val="00D26F2E"/>
    <w:rsid w:val="00D3016C"/>
    <w:rsid w:val="00D3051B"/>
    <w:rsid w:val="00D30F96"/>
    <w:rsid w:val="00D31009"/>
    <w:rsid w:val="00D3196D"/>
    <w:rsid w:val="00D3263B"/>
    <w:rsid w:val="00D33D09"/>
    <w:rsid w:val="00D34343"/>
    <w:rsid w:val="00D3454D"/>
    <w:rsid w:val="00D36B26"/>
    <w:rsid w:val="00D3793C"/>
    <w:rsid w:val="00D40A58"/>
    <w:rsid w:val="00D41A70"/>
    <w:rsid w:val="00D41B88"/>
    <w:rsid w:val="00D41D9B"/>
    <w:rsid w:val="00D41F91"/>
    <w:rsid w:val="00D435EE"/>
    <w:rsid w:val="00D43DAB"/>
    <w:rsid w:val="00D444B7"/>
    <w:rsid w:val="00D445F1"/>
    <w:rsid w:val="00D44B25"/>
    <w:rsid w:val="00D45207"/>
    <w:rsid w:val="00D4543E"/>
    <w:rsid w:val="00D45B0C"/>
    <w:rsid w:val="00D45B22"/>
    <w:rsid w:val="00D45B94"/>
    <w:rsid w:val="00D4721B"/>
    <w:rsid w:val="00D47365"/>
    <w:rsid w:val="00D47D82"/>
    <w:rsid w:val="00D50AC9"/>
    <w:rsid w:val="00D5152C"/>
    <w:rsid w:val="00D51980"/>
    <w:rsid w:val="00D51B62"/>
    <w:rsid w:val="00D52064"/>
    <w:rsid w:val="00D52C35"/>
    <w:rsid w:val="00D52DB3"/>
    <w:rsid w:val="00D5315E"/>
    <w:rsid w:val="00D534D8"/>
    <w:rsid w:val="00D53950"/>
    <w:rsid w:val="00D544E0"/>
    <w:rsid w:val="00D54BC1"/>
    <w:rsid w:val="00D54C0F"/>
    <w:rsid w:val="00D54D8C"/>
    <w:rsid w:val="00D56A4D"/>
    <w:rsid w:val="00D5718E"/>
    <w:rsid w:val="00D60C65"/>
    <w:rsid w:val="00D61380"/>
    <w:rsid w:val="00D62F6D"/>
    <w:rsid w:val="00D62F89"/>
    <w:rsid w:val="00D63E89"/>
    <w:rsid w:val="00D64510"/>
    <w:rsid w:val="00D64A0F"/>
    <w:rsid w:val="00D64A60"/>
    <w:rsid w:val="00D64FF2"/>
    <w:rsid w:val="00D650AE"/>
    <w:rsid w:val="00D65614"/>
    <w:rsid w:val="00D65766"/>
    <w:rsid w:val="00D65CEF"/>
    <w:rsid w:val="00D65E0A"/>
    <w:rsid w:val="00D65E80"/>
    <w:rsid w:val="00D66040"/>
    <w:rsid w:val="00D677D0"/>
    <w:rsid w:val="00D704E7"/>
    <w:rsid w:val="00D7070B"/>
    <w:rsid w:val="00D71920"/>
    <w:rsid w:val="00D72B0D"/>
    <w:rsid w:val="00D7326A"/>
    <w:rsid w:val="00D73DB9"/>
    <w:rsid w:val="00D74C5A"/>
    <w:rsid w:val="00D75610"/>
    <w:rsid w:val="00D756C5"/>
    <w:rsid w:val="00D767E8"/>
    <w:rsid w:val="00D76DF8"/>
    <w:rsid w:val="00D77055"/>
    <w:rsid w:val="00D77073"/>
    <w:rsid w:val="00D7783F"/>
    <w:rsid w:val="00D7788E"/>
    <w:rsid w:val="00D77A9E"/>
    <w:rsid w:val="00D77CDB"/>
    <w:rsid w:val="00D81688"/>
    <w:rsid w:val="00D82771"/>
    <w:rsid w:val="00D82B48"/>
    <w:rsid w:val="00D83742"/>
    <w:rsid w:val="00D83D4B"/>
    <w:rsid w:val="00D84C7B"/>
    <w:rsid w:val="00D853C2"/>
    <w:rsid w:val="00D85AB9"/>
    <w:rsid w:val="00D868AD"/>
    <w:rsid w:val="00D87178"/>
    <w:rsid w:val="00D87A06"/>
    <w:rsid w:val="00D90025"/>
    <w:rsid w:val="00D903B2"/>
    <w:rsid w:val="00D90B4B"/>
    <w:rsid w:val="00D916E6"/>
    <w:rsid w:val="00D91C98"/>
    <w:rsid w:val="00D92AB7"/>
    <w:rsid w:val="00D92BD6"/>
    <w:rsid w:val="00D93BE4"/>
    <w:rsid w:val="00D940E6"/>
    <w:rsid w:val="00D94549"/>
    <w:rsid w:val="00D94704"/>
    <w:rsid w:val="00D94AC6"/>
    <w:rsid w:val="00D94BF7"/>
    <w:rsid w:val="00D94FD2"/>
    <w:rsid w:val="00D95C52"/>
    <w:rsid w:val="00D96905"/>
    <w:rsid w:val="00D96BA4"/>
    <w:rsid w:val="00D96F6A"/>
    <w:rsid w:val="00D97601"/>
    <w:rsid w:val="00D97B4D"/>
    <w:rsid w:val="00DA029C"/>
    <w:rsid w:val="00DA0439"/>
    <w:rsid w:val="00DA052C"/>
    <w:rsid w:val="00DA17DF"/>
    <w:rsid w:val="00DA1D5F"/>
    <w:rsid w:val="00DA1E47"/>
    <w:rsid w:val="00DA204B"/>
    <w:rsid w:val="00DA2773"/>
    <w:rsid w:val="00DA2ADC"/>
    <w:rsid w:val="00DA2B87"/>
    <w:rsid w:val="00DA2BCB"/>
    <w:rsid w:val="00DA41D1"/>
    <w:rsid w:val="00DA4A87"/>
    <w:rsid w:val="00DA4B46"/>
    <w:rsid w:val="00DA5CFA"/>
    <w:rsid w:val="00DA5D55"/>
    <w:rsid w:val="00DA6E98"/>
    <w:rsid w:val="00DA735D"/>
    <w:rsid w:val="00DA77DE"/>
    <w:rsid w:val="00DA7BD3"/>
    <w:rsid w:val="00DB07FC"/>
    <w:rsid w:val="00DB0C13"/>
    <w:rsid w:val="00DB0C92"/>
    <w:rsid w:val="00DB0EA8"/>
    <w:rsid w:val="00DB177D"/>
    <w:rsid w:val="00DB1A65"/>
    <w:rsid w:val="00DB1FB6"/>
    <w:rsid w:val="00DB20FE"/>
    <w:rsid w:val="00DB2BE7"/>
    <w:rsid w:val="00DB3E3E"/>
    <w:rsid w:val="00DB4EE1"/>
    <w:rsid w:val="00DB57D7"/>
    <w:rsid w:val="00DB5933"/>
    <w:rsid w:val="00DB61A2"/>
    <w:rsid w:val="00DB725D"/>
    <w:rsid w:val="00DC009D"/>
    <w:rsid w:val="00DC038B"/>
    <w:rsid w:val="00DC0468"/>
    <w:rsid w:val="00DC0582"/>
    <w:rsid w:val="00DC06D9"/>
    <w:rsid w:val="00DC0F96"/>
    <w:rsid w:val="00DC23B9"/>
    <w:rsid w:val="00DC32B7"/>
    <w:rsid w:val="00DC39BE"/>
    <w:rsid w:val="00DC3C92"/>
    <w:rsid w:val="00DC4B1B"/>
    <w:rsid w:val="00DC545D"/>
    <w:rsid w:val="00DC78E1"/>
    <w:rsid w:val="00DD0801"/>
    <w:rsid w:val="00DD0BFD"/>
    <w:rsid w:val="00DD2A14"/>
    <w:rsid w:val="00DD3882"/>
    <w:rsid w:val="00DD3DE2"/>
    <w:rsid w:val="00DD534E"/>
    <w:rsid w:val="00DD5994"/>
    <w:rsid w:val="00DD60A1"/>
    <w:rsid w:val="00DD7004"/>
    <w:rsid w:val="00DD7706"/>
    <w:rsid w:val="00DD7885"/>
    <w:rsid w:val="00DE01B1"/>
    <w:rsid w:val="00DE12AB"/>
    <w:rsid w:val="00DE16C7"/>
    <w:rsid w:val="00DE1886"/>
    <w:rsid w:val="00DE2462"/>
    <w:rsid w:val="00DE2B0B"/>
    <w:rsid w:val="00DE2CF8"/>
    <w:rsid w:val="00DE3F6B"/>
    <w:rsid w:val="00DE5207"/>
    <w:rsid w:val="00DE5AE1"/>
    <w:rsid w:val="00DE6772"/>
    <w:rsid w:val="00DE68A2"/>
    <w:rsid w:val="00DE784B"/>
    <w:rsid w:val="00DF1AD6"/>
    <w:rsid w:val="00DF27AF"/>
    <w:rsid w:val="00DF354C"/>
    <w:rsid w:val="00DF4B9B"/>
    <w:rsid w:val="00DF5156"/>
    <w:rsid w:val="00DF5D7C"/>
    <w:rsid w:val="00DF6448"/>
    <w:rsid w:val="00DF6823"/>
    <w:rsid w:val="00DF7216"/>
    <w:rsid w:val="00E007C2"/>
    <w:rsid w:val="00E02795"/>
    <w:rsid w:val="00E02CEC"/>
    <w:rsid w:val="00E034D4"/>
    <w:rsid w:val="00E034E1"/>
    <w:rsid w:val="00E0432D"/>
    <w:rsid w:val="00E05566"/>
    <w:rsid w:val="00E066D5"/>
    <w:rsid w:val="00E07AF3"/>
    <w:rsid w:val="00E105B0"/>
    <w:rsid w:val="00E11B42"/>
    <w:rsid w:val="00E12608"/>
    <w:rsid w:val="00E12E48"/>
    <w:rsid w:val="00E1427D"/>
    <w:rsid w:val="00E150ED"/>
    <w:rsid w:val="00E152B5"/>
    <w:rsid w:val="00E1585B"/>
    <w:rsid w:val="00E15AC1"/>
    <w:rsid w:val="00E16A17"/>
    <w:rsid w:val="00E16A1C"/>
    <w:rsid w:val="00E16C1F"/>
    <w:rsid w:val="00E16E37"/>
    <w:rsid w:val="00E20130"/>
    <w:rsid w:val="00E205E9"/>
    <w:rsid w:val="00E210DC"/>
    <w:rsid w:val="00E21649"/>
    <w:rsid w:val="00E22A3C"/>
    <w:rsid w:val="00E22ECA"/>
    <w:rsid w:val="00E23C52"/>
    <w:rsid w:val="00E23CBC"/>
    <w:rsid w:val="00E24A73"/>
    <w:rsid w:val="00E24ED8"/>
    <w:rsid w:val="00E25332"/>
    <w:rsid w:val="00E2618B"/>
    <w:rsid w:val="00E2620F"/>
    <w:rsid w:val="00E30A47"/>
    <w:rsid w:val="00E3150E"/>
    <w:rsid w:val="00E319F0"/>
    <w:rsid w:val="00E32CBF"/>
    <w:rsid w:val="00E336BD"/>
    <w:rsid w:val="00E33A61"/>
    <w:rsid w:val="00E33C1F"/>
    <w:rsid w:val="00E33FD4"/>
    <w:rsid w:val="00E3566A"/>
    <w:rsid w:val="00E35A09"/>
    <w:rsid w:val="00E35C31"/>
    <w:rsid w:val="00E36CD1"/>
    <w:rsid w:val="00E37122"/>
    <w:rsid w:val="00E37500"/>
    <w:rsid w:val="00E401F6"/>
    <w:rsid w:val="00E41A88"/>
    <w:rsid w:val="00E420F7"/>
    <w:rsid w:val="00E426A1"/>
    <w:rsid w:val="00E42715"/>
    <w:rsid w:val="00E4316E"/>
    <w:rsid w:val="00E43738"/>
    <w:rsid w:val="00E43B63"/>
    <w:rsid w:val="00E43F1B"/>
    <w:rsid w:val="00E447BB"/>
    <w:rsid w:val="00E4492C"/>
    <w:rsid w:val="00E45267"/>
    <w:rsid w:val="00E46567"/>
    <w:rsid w:val="00E46EAF"/>
    <w:rsid w:val="00E47D9B"/>
    <w:rsid w:val="00E5065F"/>
    <w:rsid w:val="00E5188D"/>
    <w:rsid w:val="00E51EAB"/>
    <w:rsid w:val="00E522B2"/>
    <w:rsid w:val="00E531FF"/>
    <w:rsid w:val="00E54AD6"/>
    <w:rsid w:val="00E54F62"/>
    <w:rsid w:val="00E565ED"/>
    <w:rsid w:val="00E56C02"/>
    <w:rsid w:val="00E57498"/>
    <w:rsid w:val="00E578CF"/>
    <w:rsid w:val="00E57CFF"/>
    <w:rsid w:val="00E60688"/>
    <w:rsid w:val="00E625DF"/>
    <w:rsid w:val="00E62BC2"/>
    <w:rsid w:val="00E62C8E"/>
    <w:rsid w:val="00E635F9"/>
    <w:rsid w:val="00E63656"/>
    <w:rsid w:val="00E64745"/>
    <w:rsid w:val="00E66201"/>
    <w:rsid w:val="00E666C1"/>
    <w:rsid w:val="00E67D20"/>
    <w:rsid w:val="00E701A1"/>
    <w:rsid w:val="00E7045A"/>
    <w:rsid w:val="00E709D7"/>
    <w:rsid w:val="00E721C8"/>
    <w:rsid w:val="00E72642"/>
    <w:rsid w:val="00E73BF3"/>
    <w:rsid w:val="00E75239"/>
    <w:rsid w:val="00E75CCE"/>
    <w:rsid w:val="00E75E45"/>
    <w:rsid w:val="00E76058"/>
    <w:rsid w:val="00E76D3C"/>
    <w:rsid w:val="00E76FC5"/>
    <w:rsid w:val="00E7706F"/>
    <w:rsid w:val="00E770EF"/>
    <w:rsid w:val="00E77778"/>
    <w:rsid w:val="00E77DB7"/>
    <w:rsid w:val="00E81628"/>
    <w:rsid w:val="00E8188D"/>
    <w:rsid w:val="00E822A3"/>
    <w:rsid w:val="00E82A60"/>
    <w:rsid w:val="00E8418F"/>
    <w:rsid w:val="00E8457F"/>
    <w:rsid w:val="00E86057"/>
    <w:rsid w:val="00E868F0"/>
    <w:rsid w:val="00E86F3C"/>
    <w:rsid w:val="00E90421"/>
    <w:rsid w:val="00E909F9"/>
    <w:rsid w:val="00E90BB9"/>
    <w:rsid w:val="00E91B67"/>
    <w:rsid w:val="00E91D25"/>
    <w:rsid w:val="00E91E17"/>
    <w:rsid w:val="00E91F00"/>
    <w:rsid w:val="00E9200A"/>
    <w:rsid w:val="00E92D78"/>
    <w:rsid w:val="00E934E3"/>
    <w:rsid w:val="00E93C0E"/>
    <w:rsid w:val="00E95058"/>
    <w:rsid w:val="00E95613"/>
    <w:rsid w:val="00E9562C"/>
    <w:rsid w:val="00E9622A"/>
    <w:rsid w:val="00E96CE0"/>
    <w:rsid w:val="00E97295"/>
    <w:rsid w:val="00E97DC0"/>
    <w:rsid w:val="00EA0767"/>
    <w:rsid w:val="00EA2224"/>
    <w:rsid w:val="00EA30C2"/>
    <w:rsid w:val="00EA45B1"/>
    <w:rsid w:val="00EA46ED"/>
    <w:rsid w:val="00EA53F5"/>
    <w:rsid w:val="00EA5C6E"/>
    <w:rsid w:val="00EA6096"/>
    <w:rsid w:val="00EA6614"/>
    <w:rsid w:val="00EA6639"/>
    <w:rsid w:val="00EA67C9"/>
    <w:rsid w:val="00EA730F"/>
    <w:rsid w:val="00EA7C4E"/>
    <w:rsid w:val="00EB07D0"/>
    <w:rsid w:val="00EB0E6A"/>
    <w:rsid w:val="00EB1582"/>
    <w:rsid w:val="00EB191D"/>
    <w:rsid w:val="00EB1C7B"/>
    <w:rsid w:val="00EB327F"/>
    <w:rsid w:val="00EB32B5"/>
    <w:rsid w:val="00EB38AE"/>
    <w:rsid w:val="00EB4312"/>
    <w:rsid w:val="00EB482E"/>
    <w:rsid w:val="00EB4FCA"/>
    <w:rsid w:val="00EB50CB"/>
    <w:rsid w:val="00EB5C95"/>
    <w:rsid w:val="00EB747D"/>
    <w:rsid w:val="00EB77F9"/>
    <w:rsid w:val="00EB788A"/>
    <w:rsid w:val="00EC0F92"/>
    <w:rsid w:val="00EC2C5C"/>
    <w:rsid w:val="00EC32A0"/>
    <w:rsid w:val="00EC4063"/>
    <w:rsid w:val="00EC4FD4"/>
    <w:rsid w:val="00EC52AF"/>
    <w:rsid w:val="00EC5A07"/>
    <w:rsid w:val="00EC63E3"/>
    <w:rsid w:val="00EC6CA8"/>
    <w:rsid w:val="00EC7A48"/>
    <w:rsid w:val="00EC7B5E"/>
    <w:rsid w:val="00ED0C1F"/>
    <w:rsid w:val="00ED0FE1"/>
    <w:rsid w:val="00ED120C"/>
    <w:rsid w:val="00ED166B"/>
    <w:rsid w:val="00ED1D41"/>
    <w:rsid w:val="00ED373C"/>
    <w:rsid w:val="00ED38DA"/>
    <w:rsid w:val="00ED4478"/>
    <w:rsid w:val="00ED694D"/>
    <w:rsid w:val="00ED6B1D"/>
    <w:rsid w:val="00ED7227"/>
    <w:rsid w:val="00ED72C1"/>
    <w:rsid w:val="00ED7AEC"/>
    <w:rsid w:val="00EE03A2"/>
    <w:rsid w:val="00EE0615"/>
    <w:rsid w:val="00EE0780"/>
    <w:rsid w:val="00EE1AC9"/>
    <w:rsid w:val="00EE264D"/>
    <w:rsid w:val="00EE2654"/>
    <w:rsid w:val="00EE2AC7"/>
    <w:rsid w:val="00EE2F83"/>
    <w:rsid w:val="00EE423D"/>
    <w:rsid w:val="00EE4E14"/>
    <w:rsid w:val="00EE6319"/>
    <w:rsid w:val="00EE716C"/>
    <w:rsid w:val="00EE754B"/>
    <w:rsid w:val="00EE7E40"/>
    <w:rsid w:val="00EE7FF9"/>
    <w:rsid w:val="00EF04C7"/>
    <w:rsid w:val="00EF0DCA"/>
    <w:rsid w:val="00EF14BC"/>
    <w:rsid w:val="00EF1FAE"/>
    <w:rsid w:val="00EF337D"/>
    <w:rsid w:val="00EF3ACD"/>
    <w:rsid w:val="00EF3F88"/>
    <w:rsid w:val="00EF41F8"/>
    <w:rsid w:val="00EF648C"/>
    <w:rsid w:val="00F00550"/>
    <w:rsid w:val="00F0215B"/>
    <w:rsid w:val="00F0277B"/>
    <w:rsid w:val="00F02815"/>
    <w:rsid w:val="00F03D1C"/>
    <w:rsid w:val="00F03F86"/>
    <w:rsid w:val="00F04BB9"/>
    <w:rsid w:val="00F0582D"/>
    <w:rsid w:val="00F05E58"/>
    <w:rsid w:val="00F06009"/>
    <w:rsid w:val="00F06FF2"/>
    <w:rsid w:val="00F07193"/>
    <w:rsid w:val="00F07330"/>
    <w:rsid w:val="00F07344"/>
    <w:rsid w:val="00F079EC"/>
    <w:rsid w:val="00F07CE8"/>
    <w:rsid w:val="00F107B1"/>
    <w:rsid w:val="00F11ECE"/>
    <w:rsid w:val="00F12965"/>
    <w:rsid w:val="00F12E59"/>
    <w:rsid w:val="00F13EFB"/>
    <w:rsid w:val="00F149F7"/>
    <w:rsid w:val="00F16566"/>
    <w:rsid w:val="00F172F9"/>
    <w:rsid w:val="00F17731"/>
    <w:rsid w:val="00F17A75"/>
    <w:rsid w:val="00F17E3C"/>
    <w:rsid w:val="00F20607"/>
    <w:rsid w:val="00F208C2"/>
    <w:rsid w:val="00F20B8D"/>
    <w:rsid w:val="00F2118D"/>
    <w:rsid w:val="00F21544"/>
    <w:rsid w:val="00F21C5D"/>
    <w:rsid w:val="00F2282A"/>
    <w:rsid w:val="00F241AE"/>
    <w:rsid w:val="00F25B0F"/>
    <w:rsid w:val="00F25DDF"/>
    <w:rsid w:val="00F26689"/>
    <w:rsid w:val="00F26D4C"/>
    <w:rsid w:val="00F27228"/>
    <w:rsid w:val="00F278B0"/>
    <w:rsid w:val="00F27AA5"/>
    <w:rsid w:val="00F30304"/>
    <w:rsid w:val="00F31106"/>
    <w:rsid w:val="00F31574"/>
    <w:rsid w:val="00F31ADE"/>
    <w:rsid w:val="00F31F4F"/>
    <w:rsid w:val="00F32F4B"/>
    <w:rsid w:val="00F34768"/>
    <w:rsid w:val="00F34A3C"/>
    <w:rsid w:val="00F34D3E"/>
    <w:rsid w:val="00F362EE"/>
    <w:rsid w:val="00F36647"/>
    <w:rsid w:val="00F36C19"/>
    <w:rsid w:val="00F37296"/>
    <w:rsid w:val="00F374CC"/>
    <w:rsid w:val="00F378C0"/>
    <w:rsid w:val="00F4053E"/>
    <w:rsid w:val="00F40562"/>
    <w:rsid w:val="00F40B5D"/>
    <w:rsid w:val="00F40F35"/>
    <w:rsid w:val="00F41562"/>
    <w:rsid w:val="00F415C4"/>
    <w:rsid w:val="00F420CB"/>
    <w:rsid w:val="00F4370B"/>
    <w:rsid w:val="00F454E9"/>
    <w:rsid w:val="00F45788"/>
    <w:rsid w:val="00F45A6F"/>
    <w:rsid w:val="00F45CA4"/>
    <w:rsid w:val="00F466E8"/>
    <w:rsid w:val="00F46BCB"/>
    <w:rsid w:val="00F504DC"/>
    <w:rsid w:val="00F50C71"/>
    <w:rsid w:val="00F50C97"/>
    <w:rsid w:val="00F50F67"/>
    <w:rsid w:val="00F50F7F"/>
    <w:rsid w:val="00F522AE"/>
    <w:rsid w:val="00F52740"/>
    <w:rsid w:val="00F53D3E"/>
    <w:rsid w:val="00F541BA"/>
    <w:rsid w:val="00F544DD"/>
    <w:rsid w:val="00F54832"/>
    <w:rsid w:val="00F54C5C"/>
    <w:rsid w:val="00F555E3"/>
    <w:rsid w:val="00F55EB9"/>
    <w:rsid w:val="00F55FDF"/>
    <w:rsid w:val="00F57211"/>
    <w:rsid w:val="00F60FB9"/>
    <w:rsid w:val="00F61699"/>
    <w:rsid w:val="00F61D16"/>
    <w:rsid w:val="00F61FFD"/>
    <w:rsid w:val="00F62906"/>
    <w:rsid w:val="00F62C39"/>
    <w:rsid w:val="00F62E79"/>
    <w:rsid w:val="00F634A7"/>
    <w:rsid w:val="00F635EA"/>
    <w:rsid w:val="00F63900"/>
    <w:rsid w:val="00F647D9"/>
    <w:rsid w:val="00F65C61"/>
    <w:rsid w:val="00F66891"/>
    <w:rsid w:val="00F67353"/>
    <w:rsid w:val="00F674B4"/>
    <w:rsid w:val="00F67BE6"/>
    <w:rsid w:val="00F70737"/>
    <w:rsid w:val="00F70CEB"/>
    <w:rsid w:val="00F70F8C"/>
    <w:rsid w:val="00F71AE4"/>
    <w:rsid w:val="00F722EF"/>
    <w:rsid w:val="00F72675"/>
    <w:rsid w:val="00F7267D"/>
    <w:rsid w:val="00F72EEB"/>
    <w:rsid w:val="00F73A0F"/>
    <w:rsid w:val="00F73C16"/>
    <w:rsid w:val="00F74FB3"/>
    <w:rsid w:val="00F74FC9"/>
    <w:rsid w:val="00F754FD"/>
    <w:rsid w:val="00F755D0"/>
    <w:rsid w:val="00F756EF"/>
    <w:rsid w:val="00F75C29"/>
    <w:rsid w:val="00F75CEE"/>
    <w:rsid w:val="00F77299"/>
    <w:rsid w:val="00F77715"/>
    <w:rsid w:val="00F77AA4"/>
    <w:rsid w:val="00F809A1"/>
    <w:rsid w:val="00F80DA4"/>
    <w:rsid w:val="00F81221"/>
    <w:rsid w:val="00F8162D"/>
    <w:rsid w:val="00F81EA8"/>
    <w:rsid w:val="00F8201A"/>
    <w:rsid w:val="00F82F1D"/>
    <w:rsid w:val="00F83DE4"/>
    <w:rsid w:val="00F83FD2"/>
    <w:rsid w:val="00F8415B"/>
    <w:rsid w:val="00F84802"/>
    <w:rsid w:val="00F867B2"/>
    <w:rsid w:val="00F87324"/>
    <w:rsid w:val="00F87344"/>
    <w:rsid w:val="00F87615"/>
    <w:rsid w:val="00F87FE6"/>
    <w:rsid w:val="00F90038"/>
    <w:rsid w:val="00F903B0"/>
    <w:rsid w:val="00F90E7A"/>
    <w:rsid w:val="00F9106F"/>
    <w:rsid w:val="00F91F24"/>
    <w:rsid w:val="00F922EE"/>
    <w:rsid w:val="00F9236B"/>
    <w:rsid w:val="00F94AC5"/>
    <w:rsid w:val="00F95174"/>
    <w:rsid w:val="00F97823"/>
    <w:rsid w:val="00FA05CE"/>
    <w:rsid w:val="00FA125C"/>
    <w:rsid w:val="00FA1872"/>
    <w:rsid w:val="00FA2989"/>
    <w:rsid w:val="00FA29F2"/>
    <w:rsid w:val="00FA2C10"/>
    <w:rsid w:val="00FA34B8"/>
    <w:rsid w:val="00FA3539"/>
    <w:rsid w:val="00FA3AFA"/>
    <w:rsid w:val="00FA407F"/>
    <w:rsid w:val="00FA432F"/>
    <w:rsid w:val="00FA4BD5"/>
    <w:rsid w:val="00FA5A4E"/>
    <w:rsid w:val="00FA689E"/>
    <w:rsid w:val="00FA7BC1"/>
    <w:rsid w:val="00FA7F25"/>
    <w:rsid w:val="00FB09BB"/>
    <w:rsid w:val="00FB14BD"/>
    <w:rsid w:val="00FB193F"/>
    <w:rsid w:val="00FB2048"/>
    <w:rsid w:val="00FB20A4"/>
    <w:rsid w:val="00FB3624"/>
    <w:rsid w:val="00FB4056"/>
    <w:rsid w:val="00FB44F9"/>
    <w:rsid w:val="00FB46DF"/>
    <w:rsid w:val="00FB471C"/>
    <w:rsid w:val="00FB52F0"/>
    <w:rsid w:val="00FB5663"/>
    <w:rsid w:val="00FB5B60"/>
    <w:rsid w:val="00FB5FA9"/>
    <w:rsid w:val="00FB6080"/>
    <w:rsid w:val="00FB60FA"/>
    <w:rsid w:val="00FB683B"/>
    <w:rsid w:val="00FB6D6F"/>
    <w:rsid w:val="00FB79F9"/>
    <w:rsid w:val="00FB7EAF"/>
    <w:rsid w:val="00FC0780"/>
    <w:rsid w:val="00FC1770"/>
    <w:rsid w:val="00FC1BEF"/>
    <w:rsid w:val="00FC225D"/>
    <w:rsid w:val="00FC2C74"/>
    <w:rsid w:val="00FC33DE"/>
    <w:rsid w:val="00FC3B0E"/>
    <w:rsid w:val="00FC41FA"/>
    <w:rsid w:val="00FC4AD9"/>
    <w:rsid w:val="00FC4FE8"/>
    <w:rsid w:val="00FC5A5D"/>
    <w:rsid w:val="00FC6C0B"/>
    <w:rsid w:val="00FC770B"/>
    <w:rsid w:val="00FC7BE8"/>
    <w:rsid w:val="00FD0521"/>
    <w:rsid w:val="00FD0ACD"/>
    <w:rsid w:val="00FD172F"/>
    <w:rsid w:val="00FD38BE"/>
    <w:rsid w:val="00FD46C7"/>
    <w:rsid w:val="00FD4EE3"/>
    <w:rsid w:val="00FD4F1D"/>
    <w:rsid w:val="00FD659B"/>
    <w:rsid w:val="00FD66E0"/>
    <w:rsid w:val="00FD7E6B"/>
    <w:rsid w:val="00FD7FE1"/>
    <w:rsid w:val="00FE09AD"/>
    <w:rsid w:val="00FE1419"/>
    <w:rsid w:val="00FE1A73"/>
    <w:rsid w:val="00FE1C6D"/>
    <w:rsid w:val="00FE1F56"/>
    <w:rsid w:val="00FE2210"/>
    <w:rsid w:val="00FE348B"/>
    <w:rsid w:val="00FE484A"/>
    <w:rsid w:val="00FE5560"/>
    <w:rsid w:val="00FE5987"/>
    <w:rsid w:val="00FE63CD"/>
    <w:rsid w:val="00FE68FF"/>
    <w:rsid w:val="00FE6C9B"/>
    <w:rsid w:val="00FE768D"/>
    <w:rsid w:val="00FE7CC2"/>
    <w:rsid w:val="00FE7D05"/>
    <w:rsid w:val="00FF0B0E"/>
    <w:rsid w:val="00FF1611"/>
    <w:rsid w:val="00FF1690"/>
    <w:rsid w:val="00FF2869"/>
    <w:rsid w:val="00FF2C7B"/>
    <w:rsid w:val="00FF3ED3"/>
    <w:rsid w:val="00FF429B"/>
    <w:rsid w:val="00FF4991"/>
    <w:rsid w:val="00FF4E3A"/>
    <w:rsid w:val="00FF53EB"/>
    <w:rsid w:val="00FF54B5"/>
    <w:rsid w:val="00FF5A1F"/>
    <w:rsid w:val="00FF7938"/>
    <w:rsid w:val="01022C19"/>
    <w:rsid w:val="01180AFD"/>
    <w:rsid w:val="014A66FF"/>
    <w:rsid w:val="017D286F"/>
    <w:rsid w:val="01887498"/>
    <w:rsid w:val="01B1590A"/>
    <w:rsid w:val="01B3017B"/>
    <w:rsid w:val="020E32DF"/>
    <w:rsid w:val="022C48CF"/>
    <w:rsid w:val="0231577B"/>
    <w:rsid w:val="026D5649"/>
    <w:rsid w:val="02793C75"/>
    <w:rsid w:val="02B42D86"/>
    <w:rsid w:val="02BB0406"/>
    <w:rsid w:val="02CD148B"/>
    <w:rsid w:val="02CF2ED4"/>
    <w:rsid w:val="0342583E"/>
    <w:rsid w:val="03FC7C18"/>
    <w:rsid w:val="03FE0FDA"/>
    <w:rsid w:val="04260E2B"/>
    <w:rsid w:val="04280C57"/>
    <w:rsid w:val="0429402C"/>
    <w:rsid w:val="045264A9"/>
    <w:rsid w:val="048A0066"/>
    <w:rsid w:val="04910DFD"/>
    <w:rsid w:val="04E07C49"/>
    <w:rsid w:val="05067FBF"/>
    <w:rsid w:val="051417B6"/>
    <w:rsid w:val="05332E42"/>
    <w:rsid w:val="055A6A50"/>
    <w:rsid w:val="055F4548"/>
    <w:rsid w:val="058770A7"/>
    <w:rsid w:val="05925B0F"/>
    <w:rsid w:val="05BF7FA8"/>
    <w:rsid w:val="0694457B"/>
    <w:rsid w:val="0695381E"/>
    <w:rsid w:val="06B60FFE"/>
    <w:rsid w:val="06D40FD9"/>
    <w:rsid w:val="06E67460"/>
    <w:rsid w:val="06E97058"/>
    <w:rsid w:val="072C1530"/>
    <w:rsid w:val="073C38DB"/>
    <w:rsid w:val="073F5E71"/>
    <w:rsid w:val="075A2C9E"/>
    <w:rsid w:val="0765191C"/>
    <w:rsid w:val="07CF22F6"/>
    <w:rsid w:val="07DC7346"/>
    <w:rsid w:val="07E22265"/>
    <w:rsid w:val="080D4830"/>
    <w:rsid w:val="08206FD4"/>
    <w:rsid w:val="08613DB7"/>
    <w:rsid w:val="08934B17"/>
    <w:rsid w:val="08AA723A"/>
    <w:rsid w:val="08DC023A"/>
    <w:rsid w:val="08E636EB"/>
    <w:rsid w:val="09493D9E"/>
    <w:rsid w:val="095803C2"/>
    <w:rsid w:val="09A87468"/>
    <w:rsid w:val="09DC6251"/>
    <w:rsid w:val="0A2770E1"/>
    <w:rsid w:val="0A5453D9"/>
    <w:rsid w:val="0ACF67AE"/>
    <w:rsid w:val="0AD228B8"/>
    <w:rsid w:val="0AD851DC"/>
    <w:rsid w:val="0ADD4A50"/>
    <w:rsid w:val="0B3A2A43"/>
    <w:rsid w:val="0B4104C1"/>
    <w:rsid w:val="0B492594"/>
    <w:rsid w:val="0BF5268F"/>
    <w:rsid w:val="0C423C33"/>
    <w:rsid w:val="0C6F243B"/>
    <w:rsid w:val="0C7F37E3"/>
    <w:rsid w:val="0C976E65"/>
    <w:rsid w:val="0CED3A0F"/>
    <w:rsid w:val="0D7265E9"/>
    <w:rsid w:val="0D7874BE"/>
    <w:rsid w:val="0D813C2B"/>
    <w:rsid w:val="0D8634F1"/>
    <w:rsid w:val="0D925592"/>
    <w:rsid w:val="0D934F3D"/>
    <w:rsid w:val="0DB52116"/>
    <w:rsid w:val="0DCE03F2"/>
    <w:rsid w:val="0DD52747"/>
    <w:rsid w:val="0DD5381B"/>
    <w:rsid w:val="0E156536"/>
    <w:rsid w:val="0E2A49D7"/>
    <w:rsid w:val="0E384AAD"/>
    <w:rsid w:val="0E3C1DD5"/>
    <w:rsid w:val="0E3C55D3"/>
    <w:rsid w:val="0E405D7D"/>
    <w:rsid w:val="0E692C39"/>
    <w:rsid w:val="0E7F325E"/>
    <w:rsid w:val="0E80627D"/>
    <w:rsid w:val="0EA7486B"/>
    <w:rsid w:val="0EA94074"/>
    <w:rsid w:val="0F0A60D9"/>
    <w:rsid w:val="0F2261A8"/>
    <w:rsid w:val="0F312776"/>
    <w:rsid w:val="0F5C67CB"/>
    <w:rsid w:val="0F6C300B"/>
    <w:rsid w:val="0F703E2A"/>
    <w:rsid w:val="0FA13193"/>
    <w:rsid w:val="0FC0211C"/>
    <w:rsid w:val="0FE173D0"/>
    <w:rsid w:val="102827BB"/>
    <w:rsid w:val="105301D7"/>
    <w:rsid w:val="10577429"/>
    <w:rsid w:val="10715386"/>
    <w:rsid w:val="107A5BE8"/>
    <w:rsid w:val="10BA45DE"/>
    <w:rsid w:val="10C75EEF"/>
    <w:rsid w:val="10C92AA1"/>
    <w:rsid w:val="10D300E2"/>
    <w:rsid w:val="10F53DA7"/>
    <w:rsid w:val="11103179"/>
    <w:rsid w:val="11387860"/>
    <w:rsid w:val="11DD6B92"/>
    <w:rsid w:val="11F35A50"/>
    <w:rsid w:val="124D7FFE"/>
    <w:rsid w:val="124E4DA1"/>
    <w:rsid w:val="12505336"/>
    <w:rsid w:val="12552659"/>
    <w:rsid w:val="125E0077"/>
    <w:rsid w:val="1269074A"/>
    <w:rsid w:val="12833940"/>
    <w:rsid w:val="128B1D7F"/>
    <w:rsid w:val="128E48CD"/>
    <w:rsid w:val="12CC4F0E"/>
    <w:rsid w:val="137C122A"/>
    <w:rsid w:val="137F004C"/>
    <w:rsid w:val="13B9335E"/>
    <w:rsid w:val="13DE6C67"/>
    <w:rsid w:val="13FD2FC8"/>
    <w:rsid w:val="14306C76"/>
    <w:rsid w:val="14681491"/>
    <w:rsid w:val="147017D1"/>
    <w:rsid w:val="14817476"/>
    <w:rsid w:val="148E5037"/>
    <w:rsid w:val="14A224E2"/>
    <w:rsid w:val="14E661D8"/>
    <w:rsid w:val="15123419"/>
    <w:rsid w:val="1533014C"/>
    <w:rsid w:val="15506835"/>
    <w:rsid w:val="15522158"/>
    <w:rsid w:val="15944FF0"/>
    <w:rsid w:val="15A60698"/>
    <w:rsid w:val="15B87179"/>
    <w:rsid w:val="15BE5902"/>
    <w:rsid w:val="15DB3241"/>
    <w:rsid w:val="162940C8"/>
    <w:rsid w:val="164D62AF"/>
    <w:rsid w:val="1652311B"/>
    <w:rsid w:val="165B0765"/>
    <w:rsid w:val="16793C89"/>
    <w:rsid w:val="16816987"/>
    <w:rsid w:val="169A648C"/>
    <w:rsid w:val="169D1CD1"/>
    <w:rsid w:val="16A379C5"/>
    <w:rsid w:val="16DC45D9"/>
    <w:rsid w:val="16E22CF2"/>
    <w:rsid w:val="16F83CFA"/>
    <w:rsid w:val="16FC152E"/>
    <w:rsid w:val="175D7A45"/>
    <w:rsid w:val="176530AF"/>
    <w:rsid w:val="17B45DCE"/>
    <w:rsid w:val="17BD31A6"/>
    <w:rsid w:val="17CE6DD4"/>
    <w:rsid w:val="17E7776F"/>
    <w:rsid w:val="17F31D53"/>
    <w:rsid w:val="18153373"/>
    <w:rsid w:val="186F400F"/>
    <w:rsid w:val="187A6623"/>
    <w:rsid w:val="1887096D"/>
    <w:rsid w:val="189C1593"/>
    <w:rsid w:val="18C00A60"/>
    <w:rsid w:val="18F40139"/>
    <w:rsid w:val="192D1ED6"/>
    <w:rsid w:val="1948749B"/>
    <w:rsid w:val="19904411"/>
    <w:rsid w:val="19A3434D"/>
    <w:rsid w:val="19B216E0"/>
    <w:rsid w:val="19C112CA"/>
    <w:rsid w:val="19D26C6D"/>
    <w:rsid w:val="19DA7BA8"/>
    <w:rsid w:val="1A262F0B"/>
    <w:rsid w:val="1A691BD3"/>
    <w:rsid w:val="1AA426DC"/>
    <w:rsid w:val="1ABA2799"/>
    <w:rsid w:val="1B25364A"/>
    <w:rsid w:val="1B2557ED"/>
    <w:rsid w:val="1BC17F90"/>
    <w:rsid w:val="1BC8798D"/>
    <w:rsid w:val="1BCD14CD"/>
    <w:rsid w:val="1BDC7797"/>
    <w:rsid w:val="1BDF74FC"/>
    <w:rsid w:val="1BEE7D5A"/>
    <w:rsid w:val="1C152FA0"/>
    <w:rsid w:val="1C180404"/>
    <w:rsid w:val="1C335A11"/>
    <w:rsid w:val="1C3A6418"/>
    <w:rsid w:val="1C3C1B07"/>
    <w:rsid w:val="1CC8656F"/>
    <w:rsid w:val="1CD423D9"/>
    <w:rsid w:val="1CDB7A52"/>
    <w:rsid w:val="1D211E2D"/>
    <w:rsid w:val="1D446095"/>
    <w:rsid w:val="1D503CF1"/>
    <w:rsid w:val="1D663D3F"/>
    <w:rsid w:val="1D777D57"/>
    <w:rsid w:val="1D974C38"/>
    <w:rsid w:val="1DB01D4A"/>
    <w:rsid w:val="1DED5A62"/>
    <w:rsid w:val="1DFE4E62"/>
    <w:rsid w:val="1E5D2655"/>
    <w:rsid w:val="1E66203E"/>
    <w:rsid w:val="1E8B04C1"/>
    <w:rsid w:val="1EB74C7A"/>
    <w:rsid w:val="1ECD699D"/>
    <w:rsid w:val="1EEA3073"/>
    <w:rsid w:val="1F284DB5"/>
    <w:rsid w:val="1F3A54E2"/>
    <w:rsid w:val="1F4E6BA3"/>
    <w:rsid w:val="1F583ED7"/>
    <w:rsid w:val="1FCF1364"/>
    <w:rsid w:val="1FEE28BA"/>
    <w:rsid w:val="1FFD2069"/>
    <w:rsid w:val="205A44AB"/>
    <w:rsid w:val="206B519C"/>
    <w:rsid w:val="20C41BEC"/>
    <w:rsid w:val="20DC288D"/>
    <w:rsid w:val="20F9029D"/>
    <w:rsid w:val="21446707"/>
    <w:rsid w:val="215608BA"/>
    <w:rsid w:val="21F257A8"/>
    <w:rsid w:val="221957BB"/>
    <w:rsid w:val="221A6761"/>
    <w:rsid w:val="222727CC"/>
    <w:rsid w:val="22584D88"/>
    <w:rsid w:val="225F1F9F"/>
    <w:rsid w:val="226B559C"/>
    <w:rsid w:val="22F211D0"/>
    <w:rsid w:val="23800662"/>
    <w:rsid w:val="238C7205"/>
    <w:rsid w:val="23E43DBA"/>
    <w:rsid w:val="24037CDE"/>
    <w:rsid w:val="244E2558"/>
    <w:rsid w:val="244F2115"/>
    <w:rsid w:val="249472C6"/>
    <w:rsid w:val="24C67032"/>
    <w:rsid w:val="24CE11BA"/>
    <w:rsid w:val="24D6506B"/>
    <w:rsid w:val="24E156D6"/>
    <w:rsid w:val="25047597"/>
    <w:rsid w:val="251511DF"/>
    <w:rsid w:val="254D1208"/>
    <w:rsid w:val="25AB02BE"/>
    <w:rsid w:val="25B1559C"/>
    <w:rsid w:val="25C406D4"/>
    <w:rsid w:val="25CD7D24"/>
    <w:rsid w:val="25F97178"/>
    <w:rsid w:val="266E4FA7"/>
    <w:rsid w:val="267C6B98"/>
    <w:rsid w:val="26A5730D"/>
    <w:rsid w:val="26B62640"/>
    <w:rsid w:val="26C847D3"/>
    <w:rsid w:val="26E16459"/>
    <w:rsid w:val="270E44F9"/>
    <w:rsid w:val="275124AB"/>
    <w:rsid w:val="277F21E8"/>
    <w:rsid w:val="278D5932"/>
    <w:rsid w:val="27B303DD"/>
    <w:rsid w:val="27CD6E39"/>
    <w:rsid w:val="27DE6524"/>
    <w:rsid w:val="28145AFD"/>
    <w:rsid w:val="28153A61"/>
    <w:rsid w:val="2861784B"/>
    <w:rsid w:val="28A018D5"/>
    <w:rsid w:val="28C10A26"/>
    <w:rsid w:val="28F64E03"/>
    <w:rsid w:val="291C2745"/>
    <w:rsid w:val="293314CE"/>
    <w:rsid w:val="29653370"/>
    <w:rsid w:val="296A26CE"/>
    <w:rsid w:val="297245E1"/>
    <w:rsid w:val="297C5B77"/>
    <w:rsid w:val="299D60B9"/>
    <w:rsid w:val="29AE3017"/>
    <w:rsid w:val="2A255E5E"/>
    <w:rsid w:val="2A357B28"/>
    <w:rsid w:val="2A4E5CED"/>
    <w:rsid w:val="2A6672CC"/>
    <w:rsid w:val="2A7D3827"/>
    <w:rsid w:val="2A9B4F10"/>
    <w:rsid w:val="2AB724A2"/>
    <w:rsid w:val="2ABA0AA5"/>
    <w:rsid w:val="2AD94ACA"/>
    <w:rsid w:val="2AE139AF"/>
    <w:rsid w:val="2B3E2193"/>
    <w:rsid w:val="2B4A6CBA"/>
    <w:rsid w:val="2B527B71"/>
    <w:rsid w:val="2BA33FD6"/>
    <w:rsid w:val="2BBE4B93"/>
    <w:rsid w:val="2BC50A4F"/>
    <w:rsid w:val="2BE0737D"/>
    <w:rsid w:val="2C611A87"/>
    <w:rsid w:val="2C9853BF"/>
    <w:rsid w:val="2CBB2E97"/>
    <w:rsid w:val="2D754023"/>
    <w:rsid w:val="2D9061C4"/>
    <w:rsid w:val="2DBD1C01"/>
    <w:rsid w:val="2DFA69C7"/>
    <w:rsid w:val="2E1E0F66"/>
    <w:rsid w:val="2E53520D"/>
    <w:rsid w:val="2E966251"/>
    <w:rsid w:val="2EA46C8E"/>
    <w:rsid w:val="2EBB759D"/>
    <w:rsid w:val="2EC1562C"/>
    <w:rsid w:val="2F0D6D48"/>
    <w:rsid w:val="2F200DEA"/>
    <w:rsid w:val="2F4C2370"/>
    <w:rsid w:val="2F6C1C91"/>
    <w:rsid w:val="2FA94AE9"/>
    <w:rsid w:val="2FE45FBE"/>
    <w:rsid w:val="2FF654B1"/>
    <w:rsid w:val="30052A0E"/>
    <w:rsid w:val="30204562"/>
    <w:rsid w:val="306D7261"/>
    <w:rsid w:val="30802CA9"/>
    <w:rsid w:val="308030EF"/>
    <w:rsid w:val="30CC4912"/>
    <w:rsid w:val="30D174E0"/>
    <w:rsid w:val="30DF0C73"/>
    <w:rsid w:val="310254D0"/>
    <w:rsid w:val="310D4DC1"/>
    <w:rsid w:val="31921242"/>
    <w:rsid w:val="31C970AE"/>
    <w:rsid w:val="31E34C93"/>
    <w:rsid w:val="326A3FCC"/>
    <w:rsid w:val="3280783B"/>
    <w:rsid w:val="328F7EA1"/>
    <w:rsid w:val="32E2377C"/>
    <w:rsid w:val="32E707F0"/>
    <w:rsid w:val="32F4718B"/>
    <w:rsid w:val="32FD2FB7"/>
    <w:rsid w:val="335D74F5"/>
    <w:rsid w:val="33610DBE"/>
    <w:rsid w:val="33840B84"/>
    <w:rsid w:val="339E389D"/>
    <w:rsid w:val="33EA042B"/>
    <w:rsid w:val="34083E74"/>
    <w:rsid w:val="341E0B9C"/>
    <w:rsid w:val="34632462"/>
    <w:rsid w:val="347B017E"/>
    <w:rsid w:val="34A645E3"/>
    <w:rsid w:val="34B16DAC"/>
    <w:rsid w:val="34C05BB6"/>
    <w:rsid w:val="34C45B53"/>
    <w:rsid w:val="351A5D6E"/>
    <w:rsid w:val="35250796"/>
    <w:rsid w:val="354A3DE6"/>
    <w:rsid w:val="35733491"/>
    <w:rsid w:val="357D05CC"/>
    <w:rsid w:val="357F40BA"/>
    <w:rsid w:val="359C2A96"/>
    <w:rsid w:val="35C45033"/>
    <w:rsid w:val="35D57CCA"/>
    <w:rsid w:val="35DE4A5D"/>
    <w:rsid w:val="35F218FE"/>
    <w:rsid w:val="364F38AE"/>
    <w:rsid w:val="365B6072"/>
    <w:rsid w:val="367A5128"/>
    <w:rsid w:val="36D9393E"/>
    <w:rsid w:val="36FF2818"/>
    <w:rsid w:val="370C789C"/>
    <w:rsid w:val="372C7BF0"/>
    <w:rsid w:val="37904834"/>
    <w:rsid w:val="37B367B8"/>
    <w:rsid w:val="37B45E42"/>
    <w:rsid w:val="38164BCF"/>
    <w:rsid w:val="384E3668"/>
    <w:rsid w:val="384F775C"/>
    <w:rsid w:val="38670CF0"/>
    <w:rsid w:val="38BD2427"/>
    <w:rsid w:val="39456792"/>
    <w:rsid w:val="395C2F87"/>
    <w:rsid w:val="39A055DF"/>
    <w:rsid w:val="39FB2745"/>
    <w:rsid w:val="3A056FCC"/>
    <w:rsid w:val="3A46345F"/>
    <w:rsid w:val="3A48333D"/>
    <w:rsid w:val="3A633AAD"/>
    <w:rsid w:val="3A91285A"/>
    <w:rsid w:val="3AA23849"/>
    <w:rsid w:val="3AC5403A"/>
    <w:rsid w:val="3B092270"/>
    <w:rsid w:val="3B11520A"/>
    <w:rsid w:val="3B1659C9"/>
    <w:rsid w:val="3B1E01F1"/>
    <w:rsid w:val="3B3A70B3"/>
    <w:rsid w:val="3B5F3E2E"/>
    <w:rsid w:val="3B893CDF"/>
    <w:rsid w:val="3B8A240C"/>
    <w:rsid w:val="3BDB554C"/>
    <w:rsid w:val="3BE409C9"/>
    <w:rsid w:val="3BEB36FA"/>
    <w:rsid w:val="3C084696"/>
    <w:rsid w:val="3C361FB4"/>
    <w:rsid w:val="3C445CF9"/>
    <w:rsid w:val="3C4D5AE2"/>
    <w:rsid w:val="3C5B54BA"/>
    <w:rsid w:val="3C620F45"/>
    <w:rsid w:val="3C7C5002"/>
    <w:rsid w:val="3C89489A"/>
    <w:rsid w:val="3C910222"/>
    <w:rsid w:val="3CCC4D6B"/>
    <w:rsid w:val="3CF91B43"/>
    <w:rsid w:val="3D32108B"/>
    <w:rsid w:val="3D9307B1"/>
    <w:rsid w:val="3DAC4CDE"/>
    <w:rsid w:val="3E1E215E"/>
    <w:rsid w:val="3E2C167C"/>
    <w:rsid w:val="3E6573F3"/>
    <w:rsid w:val="3E761ACE"/>
    <w:rsid w:val="3E762C45"/>
    <w:rsid w:val="3E842069"/>
    <w:rsid w:val="3EA00FEF"/>
    <w:rsid w:val="3EDA55DD"/>
    <w:rsid w:val="3EE1333D"/>
    <w:rsid w:val="3F0B06FD"/>
    <w:rsid w:val="3F187EB2"/>
    <w:rsid w:val="3F2744ED"/>
    <w:rsid w:val="3F29652B"/>
    <w:rsid w:val="3F4703E8"/>
    <w:rsid w:val="3F536DF3"/>
    <w:rsid w:val="3F602D42"/>
    <w:rsid w:val="3FA677CE"/>
    <w:rsid w:val="3FDA6AF3"/>
    <w:rsid w:val="3FF87944"/>
    <w:rsid w:val="40345AB3"/>
    <w:rsid w:val="40527B60"/>
    <w:rsid w:val="406803B9"/>
    <w:rsid w:val="40687F6E"/>
    <w:rsid w:val="4072582A"/>
    <w:rsid w:val="40AF6B36"/>
    <w:rsid w:val="40B728E8"/>
    <w:rsid w:val="40DF0BBE"/>
    <w:rsid w:val="415949AA"/>
    <w:rsid w:val="415967A0"/>
    <w:rsid w:val="41761332"/>
    <w:rsid w:val="41A76937"/>
    <w:rsid w:val="41BD06D3"/>
    <w:rsid w:val="41CD7F90"/>
    <w:rsid w:val="41E56E62"/>
    <w:rsid w:val="41F11528"/>
    <w:rsid w:val="42363FAF"/>
    <w:rsid w:val="42730896"/>
    <w:rsid w:val="42A34301"/>
    <w:rsid w:val="42CB664C"/>
    <w:rsid w:val="430F5D90"/>
    <w:rsid w:val="434356F9"/>
    <w:rsid w:val="4359124A"/>
    <w:rsid w:val="438C3927"/>
    <w:rsid w:val="44236086"/>
    <w:rsid w:val="44265545"/>
    <w:rsid w:val="44411B52"/>
    <w:rsid w:val="448C112F"/>
    <w:rsid w:val="44A80D5F"/>
    <w:rsid w:val="44DD45CA"/>
    <w:rsid w:val="44ED06DC"/>
    <w:rsid w:val="45077B57"/>
    <w:rsid w:val="4535251B"/>
    <w:rsid w:val="453C0CDF"/>
    <w:rsid w:val="454212E5"/>
    <w:rsid w:val="45BF7837"/>
    <w:rsid w:val="45D766CE"/>
    <w:rsid w:val="45E0795E"/>
    <w:rsid w:val="45F2564C"/>
    <w:rsid w:val="45FE71A3"/>
    <w:rsid w:val="46053D6C"/>
    <w:rsid w:val="460E34FF"/>
    <w:rsid w:val="461D70A2"/>
    <w:rsid w:val="4630349C"/>
    <w:rsid w:val="46334354"/>
    <w:rsid w:val="46921C7A"/>
    <w:rsid w:val="46C04935"/>
    <w:rsid w:val="46D01F2A"/>
    <w:rsid w:val="46E42628"/>
    <w:rsid w:val="470C03C3"/>
    <w:rsid w:val="470C712A"/>
    <w:rsid w:val="47182849"/>
    <w:rsid w:val="47717B38"/>
    <w:rsid w:val="478065CE"/>
    <w:rsid w:val="47887B72"/>
    <w:rsid w:val="478B22D9"/>
    <w:rsid w:val="47AC3C3E"/>
    <w:rsid w:val="47AC64AF"/>
    <w:rsid w:val="47CD0CDF"/>
    <w:rsid w:val="482E33E9"/>
    <w:rsid w:val="48373D54"/>
    <w:rsid w:val="4841553B"/>
    <w:rsid w:val="485C187E"/>
    <w:rsid w:val="485C3105"/>
    <w:rsid w:val="48625EFD"/>
    <w:rsid w:val="489C177A"/>
    <w:rsid w:val="48B706D5"/>
    <w:rsid w:val="48D07DD7"/>
    <w:rsid w:val="48D45E7A"/>
    <w:rsid w:val="48DB66C1"/>
    <w:rsid w:val="48E46558"/>
    <w:rsid w:val="49966A6D"/>
    <w:rsid w:val="49A77192"/>
    <w:rsid w:val="49B117DF"/>
    <w:rsid w:val="49DA6F1D"/>
    <w:rsid w:val="49E3294E"/>
    <w:rsid w:val="49E97557"/>
    <w:rsid w:val="4A3A6944"/>
    <w:rsid w:val="4A4824A0"/>
    <w:rsid w:val="4A501A83"/>
    <w:rsid w:val="4AC070E0"/>
    <w:rsid w:val="4B034374"/>
    <w:rsid w:val="4B8758F9"/>
    <w:rsid w:val="4B972D10"/>
    <w:rsid w:val="4BCD7ADE"/>
    <w:rsid w:val="4C024C30"/>
    <w:rsid w:val="4C2546E0"/>
    <w:rsid w:val="4C25516F"/>
    <w:rsid w:val="4C342F7B"/>
    <w:rsid w:val="4C3B2EDA"/>
    <w:rsid w:val="4C7A3B91"/>
    <w:rsid w:val="4C7F6070"/>
    <w:rsid w:val="4C8E2F28"/>
    <w:rsid w:val="4CD81F73"/>
    <w:rsid w:val="4D1B6B7B"/>
    <w:rsid w:val="4D63477C"/>
    <w:rsid w:val="4D95370E"/>
    <w:rsid w:val="4DF9667C"/>
    <w:rsid w:val="4E4121CB"/>
    <w:rsid w:val="4E5021EB"/>
    <w:rsid w:val="4E597D6B"/>
    <w:rsid w:val="4E830AE4"/>
    <w:rsid w:val="4E8A1AE4"/>
    <w:rsid w:val="4E9206E8"/>
    <w:rsid w:val="4E9D36CB"/>
    <w:rsid w:val="4ED04098"/>
    <w:rsid w:val="4ED449DE"/>
    <w:rsid w:val="4EE45BBF"/>
    <w:rsid w:val="4F233DD9"/>
    <w:rsid w:val="4F8E5E17"/>
    <w:rsid w:val="4F965B6C"/>
    <w:rsid w:val="4FA40BE2"/>
    <w:rsid w:val="4FB959CC"/>
    <w:rsid w:val="4FEB06BA"/>
    <w:rsid w:val="4FF60182"/>
    <w:rsid w:val="4FF6375B"/>
    <w:rsid w:val="505E0C68"/>
    <w:rsid w:val="508D63AE"/>
    <w:rsid w:val="509A126B"/>
    <w:rsid w:val="50E02613"/>
    <w:rsid w:val="50EB7D5F"/>
    <w:rsid w:val="50F72364"/>
    <w:rsid w:val="50FE0D8E"/>
    <w:rsid w:val="511B51A5"/>
    <w:rsid w:val="511F47BB"/>
    <w:rsid w:val="51345DF5"/>
    <w:rsid w:val="513F261A"/>
    <w:rsid w:val="51580D64"/>
    <w:rsid w:val="519A00E2"/>
    <w:rsid w:val="51BF0701"/>
    <w:rsid w:val="51BF6283"/>
    <w:rsid w:val="51E5495E"/>
    <w:rsid w:val="5215035A"/>
    <w:rsid w:val="525B6694"/>
    <w:rsid w:val="528962A1"/>
    <w:rsid w:val="52C053A1"/>
    <w:rsid w:val="52EE36BA"/>
    <w:rsid w:val="52F937F9"/>
    <w:rsid w:val="5312569D"/>
    <w:rsid w:val="53152489"/>
    <w:rsid w:val="531A48FD"/>
    <w:rsid w:val="53253BFD"/>
    <w:rsid w:val="533E7BB4"/>
    <w:rsid w:val="5342116E"/>
    <w:rsid w:val="53775DE2"/>
    <w:rsid w:val="53A13E74"/>
    <w:rsid w:val="53AE2337"/>
    <w:rsid w:val="53B813FB"/>
    <w:rsid w:val="53BA386E"/>
    <w:rsid w:val="53CA6D53"/>
    <w:rsid w:val="53F06F7A"/>
    <w:rsid w:val="54524FB0"/>
    <w:rsid w:val="546445EF"/>
    <w:rsid w:val="54665F7C"/>
    <w:rsid w:val="548F08DD"/>
    <w:rsid w:val="54B4010B"/>
    <w:rsid w:val="54BA09C5"/>
    <w:rsid w:val="54C00D80"/>
    <w:rsid w:val="54E35D82"/>
    <w:rsid w:val="54F02758"/>
    <w:rsid w:val="54F0739A"/>
    <w:rsid w:val="551266C5"/>
    <w:rsid w:val="55247274"/>
    <w:rsid w:val="552E4E47"/>
    <w:rsid w:val="553134C5"/>
    <w:rsid w:val="558B123F"/>
    <w:rsid w:val="55A91AF7"/>
    <w:rsid w:val="55C86CF9"/>
    <w:rsid w:val="55D9050B"/>
    <w:rsid w:val="55D90D01"/>
    <w:rsid w:val="55F65A3F"/>
    <w:rsid w:val="56094D32"/>
    <w:rsid w:val="562D55F0"/>
    <w:rsid w:val="562F2A1E"/>
    <w:rsid w:val="563F10A5"/>
    <w:rsid w:val="565F37EC"/>
    <w:rsid w:val="569326D0"/>
    <w:rsid w:val="56C85583"/>
    <w:rsid w:val="57063AC6"/>
    <w:rsid w:val="572333CB"/>
    <w:rsid w:val="572C3BF2"/>
    <w:rsid w:val="573D0987"/>
    <w:rsid w:val="575853A4"/>
    <w:rsid w:val="576B4A7B"/>
    <w:rsid w:val="576B602B"/>
    <w:rsid w:val="576E3136"/>
    <w:rsid w:val="577A6F26"/>
    <w:rsid w:val="57CD530A"/>
    <w:rsid w:val="57E15AEA"/>
    <w:rsid w:val="57E95AA3"/>
    <w:rsid w:val="57EE288A"/>
    <w:rsid w:val="580D34B7"/>
    <w:rsid w:val="58260600"/>
    <w:rsid w:val="58780D98"/>
    <w:rsid w:val="589539B6"/>
    <w:rsid w:val="589E20CC"/>
    <w:rsid w:val="58BA3D40"/>
    <w:rsid w:val="58BB1122"/>
    <w:rsid w:val="58D63389"/>
    <w:rsid w:val="58E67570"/>
    <w:rsid w:val="590254FF"/>
    <w:rsid w:val="5903259A"/>
    <w:rsid w:val="590B0CC6"/>
    <w:rsid w:val="59247993"/>
    <w:rsid w:val="595802E5"/>
    <w:rsid w:val="59672A07"/>
    <w:rsid w:val="598D419A"/>
    <w:rsid w:val="59C3707C"/>
    <w:rsid w:val="5A3265C5"/>
    <w:rsid w:val="5A70251E"/>
    <w:rsid w:val="5A774A9B"/>
    <w:rsid w:val="5A8D7011"/>
    <w:rsid w:val="5AA46C44"/>
    <w:rsid w:val="5AA92143"/>
    <w:rsid w:val="5AAF6713"/>
    <w:rsid w:val="5AB4110C"/>
    <w:rsid w:val="5AB50184"/>
    <w:rsid w:val="5AD32144"/>
    <w:rsid w:val="5AEF5E09"/>
    <w:rsid w:val="5B0C57C0"/>
    <w:rsid w:val="5B3146A5"/>
    <w:rsid w:val="5B493CA7"/>
    <w:rsid w:val="5B522515"/>
    <w:rsid w:val="5B682508"/>
    <w:rsid w:val="5B8C1B25"/>
    <w:rsid w:val="5BA94674"/>
    <w:rsid w:val="5BC97C5D"/>
    <w:rsid w:val="5BDA3036"/>
    <w:rsid w:val="5C785377"/>
    <w:rsid w:val="5C7A1569"/>
    <w:rsid w:val="5CBE0005"/>
    <w:rsid w:val="5D2304C1"/>
    <w:rsid w:val="5D285E42"/>
    <w:rsid w:val="5D452FC0"/>
    <w:rsid w:val="5D99473C"/>
    <w:rsid w:val="5DC50B01"/>
    <w:rsid w:val="5DC5671C"/>
    <w:rsid w:val="5DF72B09"/>
    <w:rsid w:val="5E1825EA"/>
    <w:rsid w:val="5E5162E3"/>
    <w:rsid w:val="5E5F21E3"/>
    <w:rsid w:val="5E650700"/>
    <w:rsid w:val="5E6B1A03"/>
    <w:rsid w:val="5E984FB3"/>
    <w:rsid w:val="5F1E5004"/>
    <w:rsid w:val="5F487759"/>
    <w:rsid w:val="5F5129E3"/>
    <w:rsid w:val="5F6140CD"/>
    <w:rsid w:val="5F6E3252"/>
    <w:rsid w:val="5F882526"/>
    <w:rsid w:val="5FD1465B"/>
    <w:rsid w:val="5FE12773"/>
    <w:rsid w:val="5FEB3AFA"/>
    <w:rsid w:val="5FEC0A13"/>
    <w:rsid w:val="5FFC2AFF"/>
    <w:rsid w:val="60074BE6"/>
    <w:rsid w:val="601D751C"/>
    <w:rsid w:val="60244342"/>
    <w:rsid w:val="60341857"/>
    <w:rsid w:val="60483F7F"/>
    <w:rsid w:val="609E3255"/>
    <w:rsid w:val="60A6532A"/>
    <w:rsid w:val="613E7D90"/>
    <w:rsid w:val="61451357"/>
    <w:rsid w:val="61596B44"/>
    <w:rsid w:val="616F5A57"/>
    <w:rsid w:val="61856561"/>
    <w:rsid w:val="61A22ED6"/>
    <w:rsid w:val="61C42185"/>
    <w:rsid w:val="62012F9F"/>
    <w:rsid w:val="62283808"/>
    <w:rsid w:val="623C37CB"/>
    <w:rsid w:val="62A933C2"/>
    <w:rsid w:val="62B96E5A"/>
    <w:rsid w:val="62D368AD"/>
    <w:rsid w:val="62E04DD3"/>
    <w:rsid w:val="62E60A76"/>
    <w:rsid w:val="63216B7E"/>
    <w:rsid w:val="63235A27"/>
    <w:rsid w:val="63623D81"/>
    <w:rsid w:val="636739CD"/>
    <w:rsid w:val="63762054"/>
    <w:rsid w:val="63853111"/>
    <w:rsid w:val="63CB3F1D"/>
    <w:rsid w:val="640B14C1"/>
    <w:rsid w:val="640C5F5B"/>
    <w:rsid w:val="640F0BE4"/>
    <w:rsid w:val="64185319"/>
    <w:rsid w:val="64441229"/>
    <w:rsid w:val="645401C3"/>
    <w:rsid w:val="64595280"/>
    <w:rsid w:val="648270B8"/>
    <w:rsid w:val="649F6788"/>
    <w:rsid w:val="64AF3EA5"/>
    <w:rsid w:val="64C12EF6"/>
    <w:rsid w:val="64CA7244"/>
    <w:rsid w:val="64CF2721"/>
    <w:rsid w:val="650B5D55"/>
    <w:rsid w:val="65473546"/>
    <w:rsid w:val="658B0E94"/>
    <w:rsid w:val="65BC1EE7"/>
    <w:rsid w:val="65C60AAE"/>
    <w:rsid w:val="65ED7A5E"/>
    <w:rsid w:val="661757AD"/>
    <w:rsid w:val="66540667"/>
    <w:rsid w:val="668546DF"/>
    <w:rsid w:val="66990DB6"/>
    <w:rsid w:val="669E2A3B"/>
    <w:rsid w:val="66AB11E1"/>
    <w:rsid w:val="67000CFE"/>
    <w:rsid w:val="6707152C"/>
    <w:rsid w:val="67397D9B"/>
    <w:rsid w:val="674E38EF"/>
    <w:rsid w:val="675764CB"/>
    <w:rsid w:val="67AA1026"/>
    <w:rsid w:val="67F44F40"/>
    <w:rsid w:val="68042812"/>
    <w:rsid w:val="680904C3"/>
    <w:rsid w:val="68246380"/>
    <w:rsid w:val="68282EEA"/>
    <w:rsid w:val="68862C85"/>
    <w:rsid w:val="688E2AB4"/>
    <w:rsid w:val="68A775BD"/>
    <w:rsid w:val="68D10BFD"/>
    <w:rsid w:val="68DB3A6B"/>
    <w:rsid w:val="68F417BA"/>
    <w:rsid w:val="69125DA7"/>
    <w:rsid w:val="691856FA"/>
    <w:rsid w:val="695A7FBA"/>
    <w:rsid w:val="697F0AC3"/>
    <w:rsid w:val="69803ECF"/>
    <w:rsid w:val="698B6900"/>
    <w:rsid w:val="699A4162"/>
    <w:rsid w:val="69A07D45"/>
    <w:rsid w:val="6A71436D"/>
    <w:rsid w:val="6A98685B"/>
    <w:rsid w:val="6AF45E1C"/>
    <w:rsid w:val="6AFE4238"/>
    <w:rsid w:val="6B00720D"/>
    <w:rsid w:val="6B4379BA"/>
    <w:rsid w:val="6B69727F"/>
    <w:rsid w:val="6B7F395C"/>
    <w:rsid w:val="6BA10600"/>
    <w:rsid w:val="6BF641FE"/>
    <w:rsid w:val="6BFD472D"/>
    <w:rsid w:val="6C4A73AA"/>
    <w:rsid w:val="6C5F56E6"/>
    <w:rsid w:val="6CAD72EA"/>
    <w:rsid w:val="6CB443E2"/>
    <w:rsid w:val="6CCB42A4"/>
    <w:rsid w:val="6CE63C04"/>
    <w:rsid w:val="6D0D4210"/>
    <w:rsid w:val="6D25254C"/>
    <w:rsid w:val="6D444ED7"/>
    <w:rsid w:val="6D565C40"/>
    <w:rsid w:val="6D6714EC"/>
    <w:rsid w:val="6D736D24"/>
    <w:rsid w:val="6DF747FD"/>
    <w:rsid w:val="6E2B50C1"/>
    <w:rsid w:val="6EA9429E"/>
    <w:rsid w:val="6ED12012"/>
    <w:rsid w:val="6EEC3EB3"/>
    <w:rsid w:val="6EFA2D11"/>
    <w:rsid w:val="6F1D77EC"/>
    <w:rsid w:val="6F5E6073"/>
    <w:rsid w:val="6F694B77"/>
    <w:rsid w:val="6F7867EC"/>
    <w:rsid w:val="6F962F74"/>
    <w:rsid w:val="6FAF590C"/>
    <w:rsid w:val="6FCE1F3D"/>
    <w:rsid w:val="6FDC25EA"/>
    <w:rsid w:val="6FDE45AE"/>
    <w:rsid w:val="6FE9000B"/>
    <w:rsid w:val="701252FD"/>
    <w:rsid w:val="70257102"/>
    <w:rsid w:val="70490FE3"/>
    <w:rsid w:val="704B4447"/>
    <w:rsid w:val="70E32650"/>
    <w:rsid w:val="710A6A97"/>
    <w:rsid w:val="717518B6"/>
    <w:rsid w:val="717629EC"/>
    <w:rsid w:val="718830CB"/>
    <w:rsid w:val="71BC78C8"/>
    <w:rsid w:val="7235491B"/>
    <w:rsid w:val="723C1852"/>
    <w:rsid w:val="72446A73"/>
    <w:rsid w:val="72814BB1"/>
    <w:rsid w:val="728317C6"/>
    <w:rsid w:val="72871C9A"/>
    <w:rsid w:val="729869BA"/>
    <w:rsid w:val="72C67A8E"/>
    <w:rsid w:val="72C80F4C"/>
    <w:rsid w:val="72DD2049"/>
    <w:rsid w:val="72EF3E23"/>
    <w:rsid w:val="730942AF"/>
    <w:rsid w:val="734748C6"/>
    <w:rsid w:val="73555CD0"/>
    <w:rsid w:val="73685547"/>
    <w:rsid w:val="73847654"/>
    <w:rsid w:val="73D2114A"/>
    <w:rsid w:val="73DB25D5"/>
    <w:rsid w:val="73E47DF4"/>
    <w:rsid w:val="73ED170E"/>
    <w:rsid w:val="74192B43"/>
    <w:rsid w:val="744328F6"/>
    <w:rsid w:val="74615C4F"/>
    <w:rsid w:val="7494424F"/>
    <w:rsid w:val="74EC16CB"/>
    <w:rsid w:val="74F0309B"/>
    <w:rsid w:val="74F37A40"/>
    <w:rsid w:val="751E5BD0"/>
    <w:rsid w:val="752F5ABC"/>
    <w:rsid w:val="75AA35FC"/>
    <w:rsid w:val="75AB284D"/>
    <w:rsid w:val="75AD32E9"/>
    <w:rsid w:val="75BC7CF0"/>
    <w:rsid w:val="75D36854"/>
    <w:rsid w:val="765143B7"/>
    <w:rsid w:val="767D3541"/>
    <w:rsid w:val="76AB1B8B"/>
    <w:rsid w:val="770A777B"/>
    <w:rsid w:val="770C2902"/>
    <w:rsid w:val="772F463A"/>
    <w:rsid w:val="77804670"/>
    <w:rsid w:val="778877C6"/>
    <w:rsid w:val="7789289C"/>
    <w:rsid w:val="778E7DD0"/>
    <w:rsid w:val="779527E5"/>
    <w:rsid w:val="77B55490"/>
    <w:rsid w:val="77B57D6A"/>
    <w:rsid w:val="77D640E0"/>
    <w:rsid w:val="77E22743"/>
    <w:rsid w:val="77EF7BE9"/>
    <w:rsid w:val="77F975CB"/>
    <w:rsid w:val="78076E2B"/>
    <w:rsid w:val="78095B79"/>
    <w:rsid w:val="781A5A23"/>
    <w:rsid w:val="782625D5"/>
    <w:rsid w:val="783B0876"/>
    <w:rsid w:val="78A31D23"/>
    <w:rsid w:val="78B41BC1"/>
    <w:rsid w:val="78F30C1C"/>
    <w:rsid w:val="790D7BDB"/>
    <w:rsid w:val="79274D2F"/>
    <w:rsid w:val="79301296"/>
    <w:rsid w:val="79437B01"/>
    <w:rsid w:val="79652883"/>
    <w:rsid w:val="79944A3F"/>
    <w:rsid w:val="79B65779"/>
    <w:rsid w:val="79BF6F7F"/>
    <w:rsid w:val="79CC3E79"/>
    <w:rsid w:val="79D338C4"/>
    <w:rsid w:val="79D7264F"/>
    <w:rsid w:val="79E87DCC"/>
    <w:rsid w:val="79F33231"/>
    <w:rsid w:val="79F71EFC"/>
    <w:rsid w:val="79FA118F"/>
    <w:rsid w:val="7A0407F4"/>
    <w:rsid w:val="7A2E49E6"/>
    <w:rsid w:val="7A7F20CC"/>
    <w:rsid w:val="7AB16F32"/>
    <w:rsid w:val="7ABD40F5"/>
    <w:rsid w:val="7AFB2BA6"/>
    <w:rsid w:val="7B6E6883"/>
    <w:rsid w:val="7B72790E"/>
    <w:rsid w:val="7BD5267D"/>
    <w:rsid w:val="7C0A585B"/>
    <w:rsid w:val="7C13121B"/>
    <w:rsid w:val="7C155F96"/>
    <w:rsid w:val="7C4700F4"/>
    <w:rsid w:val="7C505034"/>
    <w:rsid w:val="7C815DB4"/>
    <w:rsid w:val="7CA5646C"/>
    <w:rsid w:val="7CB047A3"/>
    <w:rsid w:val="7CB15A3C"/>
    <w:rsid w:val="7CC11378"/>
    <w:rsid w:val="7CC73C5F"/>
    <w:rsid w:val="7CE30783"/>
    <w:rsid w:val="7D015E78"/>
    <w:rsid w:val="7D031C58"/>
    <w:rsid w:val="7D374675"/>
    <w:rsid w:val="7D7D680A"/>
    <w:rsid w:val="7DD731CA"/>
    <w:rsid w:val="7DF17046"/>
    <w:rsid w:val="7E461E85"/>
    <w:rsid w:val="7E570A66"/>
    <w:rsid w:val="7E592739"/>
    <w:rsid w:val="7E5E35BA"/>
    <w:rsid w:val="7E932268"/>
    <w:rsid w:val="7E9B29FB"/>
    <w:rsid w:val="7EA30AD2"/>
    <w:rsid w:val="7EF86151"/>
    <w:rsid w:val="7F0F0952"/>
    <w:rsid w:val="7F0F14DD"/>
    <w:rsid w:val="7F1944EA"/>
    <w:rsid w:val="7F36724F"/>
    <w:rsid w:val="7F48311E"/>
    <w:rsid w:val="7F8340A1"/>
    <w:rsid w:val="7FC35E9B"/>
    <w:rsid w:val="7FD85988"/>
    <w:rsid w:val="7FDF3F4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229"/>
    <w:qFormat/>
    <w:uiPriority w:val="0"/>
    <w:pPr>
      <w:keepNext/>
      <w:spacing w:before="240" w:after="60"/>
      <w:jc w:val="center"/>
      <w:outlineLvl w:val="0"/>
    </w:pPr>
    <w:rPr>
      <w:rFonts w:ascii="Cambria" w:hAnsi="Cambria"/>
      <w:b/>
      <w:bCs/>
      <w:kern w:val="32"/>
      <w:sz w:val="32"/>
      <w:szCs w:val="32"/>
    </w:rPr>
  </w:style>
  <w:style w:type="paragraph" w:styleId="4">
    <w:name w:val="heading 2"/>
    <w:basedOn w:val="1"/>
    <w:next w:val="1"/>
    <w:link w:val="230"/>
    <w:qFormat/>
    <w:uiPriority w:val="9"/>
    <w:pPr>
      <w:keepNext/>
      <w:spacing w:before="240" w:after="60"/>
      <w:jc w:val="center"/>
      <w:outlineLvl w:val="1"/>
    </w:pPr>
    <w:rPr>
      <w:rFonts w:ascii="Cambria" w:hAnsi="Cambria"/>
      <w:b/>
      <w:bCs/>
      <w:iCs/>
      <w:sz w:val="28"/>
      <w:szCs w:val="28"/>
    </w:rPr>
  </w:style>
  <w:style w:type="paragraph" w:styleId="5">
    <w:name w:val="heading 3"/>
    <w:basedOn w:val="1"/>
    <w:next w:val="1"/>
    <w:link w:val="231"/>
    <w:qFormat/>
    <w:uiPriority w:val="9"/>
    <w:pPr>
      <w:keepNext/>
      <w:tabs>
        <w:tab w:val="left" w:pos="1680"/>
        <w:tab w:val="left" w:pos="2100"/>
      </w:tabs>
      <w:spacing w:before="240" w:after="60"/>
      <w:outlineLvl w:val="2"/>
    </w:pPr>
    <w:rPr>
      <w:rFonts w:ascii="Cambria" w:hAnsi="Cambria"/>
      <w:b/>
      <w:bCs/>
      <w:sz w:val="26"/>
      <w:szCs w:val="26"/>
    </w:rPr>
  </w:style>
  <w:style w:type="paragraph" w:styleId="6">
    <w:name w:val="heading 4"/>
    <w:basedOn w:val="1"/>
    <w:next w:val="1"/>
    <w:link w:val="228"/>
    <w:qFormat/>
    <w:uiPriority w:val="9"/>
    <w:pPr>
      <w:keepNext/>
      <w:spacing w:before="240" w:after="60"/>
      <w:jc w:val="center"/>
      <w:outlineLvl w:val="3"/>
    </w:pPr>
    <w:rPr>
      <w:b/>
      <w:bCs/>
      <w:sz w:val="28"/>
      <w:szCs w:val="28"/>
    </w:rPr>
  </w:style>
  <w:style w:type="paragraph" w:styleId="7">
    <w:name w:val="heading 5"/>
    <w:basedOn w:val="1"/>
    <w:next w:val="1"/>
    <w:link w:val="232"/>
    <w:qFormat/>
    <w:uiPriority w:val="9"/>
    <w:pPr>
      <w:spacing w:before="240" w:after="60"/>
      <w:outlineLvl w:val="4"/>
    </w:pPr>
    <w:rPr>
      <w:b/>
      <w:bCs/>
      <w:i/>
      <w:iCs/>
      <w:sz w:val="26"/>
      <w:szCs w:val="26"/>
    </w:rPr>
  </w:style>
  <w:style w:type="paragraph" w:styleId="8">
    <w:name w:val="heading 6"/>
    <w:basedOn w:val="1"/>
    <w:next w:val="1"/>
    <w:link w:val="233"/>
    <w:qFormat/>
    <w:uiPriority w:val="9"/>
    <w:pPr>
      <w:spacing w:before="240" w:after="60"/>
      <w:outlineLvl w:val="5"/>
    </w:pPr>
    <w:rPr>
      <w:b/>
      <w:bCs/>
      <w:sz w:val="20"/>
      <w:szCs w:val="20"/>
    </w:rPr>
  </w:style>
  <w:style w:type="paragraph" w:styleId="9">
    <w:name w:val="heading 7"/>
    <w:basedOn w:val="1"/>
    <w:next w:val="1"/>
    <w:link w:val="234"/>
    <w:qFormat/>
    <w:uiPriority w:val="9"/>
    <w:pPr>
      <w:spacing w:before="240" w:after="60"/>
      <w:outlineLvl w:val="6"/>
    </w:pPr>
  </w:style>
  <w:style w:type="paragraph" w:styleId="10">
    <w:name w:val="heading 8"/>
    <w:basedOn w:val="1"/>
    <w:next w:val="1"/>
    <w:link w:val="235"/>
    <w:qFormat/>
    <w:uiPriority w:val="9"/>
    <w:pPr>
      <w:spacing w:before="240" w:after="60"/>
      <w:outlineLvl w:val="7"/>
    </w:pPr>
    <w:rPr>
      <w:i/>
      <w:iCs/>
    </w:rPr>
  </w:style>
  <w:style w:type="paragraph" w:styleId="11">
    <w:name w:val="heading 9"/>
    <w:basedOn w:val="1"/>
    <w:next w:val="1"/>
    <w:link w:val="236"/>
    <w:qFormat/>
    <w:uiPriority w:val="9"/>
    <w:pPr>
      <w:spacing w:before="240" w:after="60"/>
      <w:outlineLvl w:val="8"/>
    </w:pPr>
    <w:rPr>
      <w:rFonts w:ascii="Cambria" w:hAnsi="Cambria"/>
      <w:sz w:val="2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1"/>
    <w:qFormat/>
    <w:uiPriority w:val="0"/>
    <w:pPr>
      <w:spacing w:after="120"/>
    </w:pPr>
    <w:rPr>
      <w:kern w:val="2"/>
      <w:sz w:val="21"/>
    </w:rPr>
  </w:style>
  <w:style w:type="paragraph" w:styleId="12">
    <w:name w:val="toc 7"/>
    <w:basedOn w:val="1"/>
    <w:next w:val="1"/>
    <w:qFormat/>
    <w:uiPriority w:val="0"/>
    <w:pPr>
      <w:ind w:left="2520" w:leftChars="1200"/>
    </w:pPr>
  </w:style>
  <w:style w:type="paragraph" w:styleId="13">
    <w:name w:val="Normal Indent"/>
    <w:basedOn w:val="1"/>
    <w:link w:val="237"/>
    <w:qFormat/>
    <w:uiPriority w:val="0"/>
    <w:pPr>
      <w:ind w:firstLine="420"/>
    </w:pPr>
    <w:rPr>
      <w:kern w:val="2"/>
      <w:sz w:val="21"/>
      <w:szCs w:val="20"/>
    </w:rPr>
  </w:style>
  <w:style w:type="paragraph" w:styleId="14">
    <w:name w:val="List Bullet"/>
    <w:basedOn w:val="1"/>
    <w:qFormat/>
    <w:uiPriority w:val="0"/>
  </w:style>
  <w:style w:type="paragraph" w:styleId="15">
    <w:name w:val="Document Map"/>
    <w:basedOn w:val="1"/>
    <w:link w:val="238"/>
    <w:qFormat/>
    <w:uiPriority w:val="0"/>
    <w:rPr>
      <w:rFonts w:ascii="宋体"/>
      <w:kern w:val="2"/>
      <w:sz w:val="18"/>
      <w:szCs w:val="18"/>
    </w:rPr>
  </w:style>
  <w:style w:type="paragraph" w:styleId="16">
    <w:name w:val="annotation text"/>
    <w:basedOn w:val="1"/>
    <w:link w:val="239"/>
    <w:qFormat/>
    <w:uiPriority w:val="99"/>
    <w:rPr>
      <w:kern w:val="2"/>
      <w:sz w:val="21"/>
    </w:rPr>
  </w:style>
  <w:style w:type="paragraph" w:styleId="17">
    <w:name w:val="Body Text 3"/>
    <w:basedOn w:val="1"/>
    <w:link w:val="240"/>
    <w:qFormat/>
    <w:uiPriority w:val="0"/>
    <w:pPr>
      <w:spacing w:line="500" w:lineRule="exact"/>
    </w:pPr>
    <w:rPr>
      <w:b/>
      <w:bCs/>
      <w:kern w:val="2"/>
    </w:rPr>
  </w:style>
  <w:style w:type="paragraph" w:styleId="18">
    <w:name w:val="List Bullet 3"/>
    <w:basedOn w:val="1"/>
    <w:qFormat/>
    <w:uiPriority w:val="0"/>
    <w:pPr>
      <w:tabs>
        <w:tab w:val="left" w:pos="1620"/>
      </w:tabs>
      <w:ind w:left="1620" w:hanging="360"/>
    </w:pPr>
  </w:style>
  <w:style w:type="paragraph" w:styleId="19">
    <w:name w:val="Body Text Indent"/>
    <w:basedOn w:val="1"/>
    <w:link w:val="243"/>
    <w:qFormat/>
    <w:uiPriority w:val="0"/>
    <w:pPr>
      <w:spacing w:after="120"/>
      <w:ind w:left="420" w:leftChars="200"/>
    </w:pPr>
    <w:rPr>
      <w:kern w:val="2"/>
      <w:sz w:val="21"/>
    </w:rPr>
  </w:style>
  <w:style w:type="paragraph" w:styleId="20">
    <w:name w:val="Block Text"/>
    <w:basedOn w:val="1"/>
    <w:qFormat/>
    <w:uiPriority w:val="0"/>
    <w:pPr>
      <w:spacing w:line="400" w:lineRule="exact"/>
      <w:ind w:left="-359" w:leftChars="-171" w:right="-687" w:rightChars="-327" w:firstLine="720"/>
    </w:pPr>
    <w:rPr>
      <w:rFonts w:ascii="宋体" w:hAnsi="宋体"/>
      <w:sz w:val="28"/>
    </w:rPr>
  </w:style>
  <w:style w:type="paragraph" w:styleId="21">
    <w:name w:val="List Bullet 2"/>
    <w:basedOn w:val="1"/>
    <w:qFormat/>
    <w:uiPriority w:val="0"/>
    <w:pPr>
      <w:tabs>
        <w:tab w:val="left" w:pos="1440"/>
      </w:tabs>
      <w:ind w:left="1440" w:hanging="960"/>
    </w:p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244"/>
    <w:qFormat/>
    <w:uiPriority w:val="0"/>
    <w:rPr>
      <w:rFonts w:ascii="宋体" w:hAnsi="Courier New"/>
      <w:kern w:val="2"/>
      <w:sz w:val="21"/>
      <w:szCs w:val="20"/>
    </w:rPr>
  </w:style>
  <w:style w:type="paragraph" w:styleId="25">
    <w:name w:val="toc 8"/>
    <w:basedOn w:val="1"/>
    <w:next w:val="1"/>
    <w:qFormat/>
    <w:uiPriority w:val="0"/>
    <w:pPr>
      <w:ind w:left="2940" w:leftChars="1400"/>
    </w:pPr>
  </w:style>
  <w:style w:type="paragraph" w:styleId="26">
    <w:name w:val="Date"/>
    <w:basedOn w:val="1"/>
    <w:next w:val="1"/>
    <w:link w:val="245"/>
    <w:qFormat/>
    <w:uiPriority w:val="0"/>
    <w:pPr>
      <w:ind w:left="100" w:leftChars="2500"/>
    </w:pPr>
    <w:rPr>
      <w:kern w:val="2"/>
      <w:sz w:val="21"/>
    </w:rPr>
  </w:style>
  <w:style w:type="paragraph" w:styleId="27">
    <w:name w:val="Body Text Indent 2"/>
    <w:basedOn w:val="1"/>
    <w:link w:val="246"/>
    <w:qFormat/>
    <w:uiPriority w:val="0"/>
    <w:pPr>
      <w:ind w:left="105" w:firstLine="690"/>
    </w:pPr>
    <w:rPr>
      <w:kern w:val="2"/>
      <w:sz w:val="32"/>
    </w:rPr>
  </w:style>
  <w:style w:type="paragraph" w:styleId="28">
    <w:name w:val="Balloon Text"/>
    <w:basedOn w:val="1"/>
    <w:link w:val="247"/>
    <w:qFormat/>
    <w:uiPriority w:val="99"/>
    <w:rPr>
      <w:kern w:val="2"/>
      <w:sz w:val="18"/>
      <w:szCs w:val="18"/>
    </w:rPr>
  </w:style>
  <w:style w:type="paragraph" w:styleId="29">
    <w:name w:val="footer"/>
    <w:basedOn w:val="1"/>
    <w:link w:val="248"/>
    <w:qFormat/>
    <w:uiPriority w:val="99"/>
    <w:pPr>
      <w:tabs>
        <w:tab w:val="center" w:pos="4153"/>
        <w:tab w:val="right" w:pos="8306"/>
      </w:tabs>
      <w:snapToGrid w:val="0"/>
    </w:pPr>
    <w:rPr>
      <w:kern w:val="2"/>
      <w:sz w:val="18"/>
      <w:szCs w:val="18"/>
    </w:rPr>
  </w:style>
  <w:style w:type="paragraph" w:styleId="30">
    <w:name w:val="header"/>
    <w:basedOn w:val="1"/>
    <w:link w:val="249"/>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line="360" w:lineRule="auto"/>
    </w:pPr>
    <w:rPr>
      <w:b/>
    </w:rPr>
  </w:style>
  <w:style w:type="paragraph" w:styleId="32">
    <w:name w:val="toc 4"/>
    <w:basedOn w:val="1"/>
    <w:next w:val="1"/>
    <w:qFormat/>
    <w:uiPriority w:val="0"/>
    <w:pPr>
      <w:ind w:left="1260" w:leftChars="600"/>
    </w:pPr>
  </w:style>
  <w:style w:type="paragraph" w:styleId="33">
    <w:name w:val="Subtitle"/>
    <w:basedOn w:val="1"/>
    <w:next w:val="1"/>
    <w:link w:val="242"/>
    <w:qFormat/>
    <w:uiPriority w:val="11"/>
    <w:pPr>
      <w:spacing w:after="60"/>
      <w:jc w:val="center"/>
      <w:outlineLvl w:val="1"/>
    </w:pPr>
    <w:rPr>
      <w:rFonts w:ascii="Cambria" w:hAnsi="Cambria"/>
    </w:rPr>
  </w:style>
  <w:style w:type="paragraph" w:styleId="34">
    <w:name w:val="footnote text"/>
    <w:basedOn w:val="1"/>
    <w:link w:val="250"/>
    <w:qFormat/>
    <w:uiPriority w:val="0"/>
    <w:pPr>
      <w:snapToGrid w:val="0"/>
    </w:pPr>
    <w:rPr>
      <w:kern w:val="2"/>
      <w:sz w:val="18"/>
      <w:szCs w:val="18"/>
    </w:rPr>
  </w:style>
  <w:style w:type="paragraph" w:styleId="35">
    <w:name w:val="toc 6"/>
    <w:basedOn w:val="1"/>
    <w:next w:val="1"/>
    <w:qFormat/>
    <w:uiPriority w:val="0"/>
    <w:pPr>
      <w:ind w:left="2100" w:leftChars="1000"/>
    </w:pPr>
  </w:style>
  <w:style w:type="paragraph" w:styleId="36">
    <w:name w:val="Body Text Indent 3"/>
    <w:basedOn w:val="1"/>
    <w:link w:val="251"/>
    <w:qFormat/>
    <w:uiPriority w:val="0"/>
    <w:pPr>
      <w:adjustRightInd w:val="0"/>
      <w:spacing w:line="360" w:lineRule="auto"/>
      <w:ind w:left="960"/>
      <w:textAlignment w:val="baseline"/>
    </w:pPr>
    <w:rPr>
      <w:rFonts w:eastAsia="楷体"/>
      <w:szCs w:val="20"/>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252"/>
    <w:qFormat/>
    <w:uiPriority w:val="0"/>
    <w:pPr>
      <w:spacing w:after="120" w:line="480" w:lineRule="auto"/>
    </w:pPr>
    <w:rPr>
      <w:rFonts w:ascii="Calibri" w:hAnsi="Calibri"/>
      <w:kern w:val="2"/>
      <w:sz w:val="21"/>
      <w:szCs w:val="22"/>
    </w:rPr>
  </w:style>
  <w:style w:type="paragraph" w:styleId="40">
    <w:name w:val="HTML Preformatted"/>
    <w:basedOn w:val="1"/>
    <w:link w:val="2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1"/>
    </w:rPr>
  </w:style>
  <w:style w:type="paragraph" w:styleId="41">
    <w:name w:val="Normal (Web)"/>
    <w:basedOn w:val="1"/>
    <w:qFormat/>
    <w:uiPriority w:val="99"/>
    <w:pPr>
      <w:spacing w:before="100" w:beforeAutospacing="1" w:after="100" w:afterAutospacing="1"/>
    </w:pPr>
    <w:rPr>
      <w:rFonts w:ascii="宋体" w:hAnsi="宋体"/>
    </w:rPr>
  </w:style>
  <w:style w:type="paragraph" w:styleId="42">
    <w:name w:val="index 1"/>
    <w:basedOn w:val="1"/>
    <w:next w:val="1"/>
    <w:unhideWhenUsed/>
    <w:qFormat/>
    <w:uiPriority w:val="0"/>
    <w:pPr>
      <w:jc w:val="center"/>
    </w:pPr>
    <w:rPr>
      <w:szCs w:val="20"/>
    </w:rPr>
  </w:style>
  <w:style w:type="paragraph" w:styleId="43">
    <w:name w:val="Title"/>
    <w:basedOn w:val="1"/>
    <w:next w:val="1"/>
    <w:link w:val="254"/>
    <w:qFormat/>
    <w:uiPriority w:val="10"/>
    <w:pPr>
      <w:spacing w:before="240" w:after="60"/>
      <w:jc w:val="center"/>
      <w:outlineLvl w:val="0"/>
    </w:pPr>
    <w:rPr>
      <w:rFonts w:ascii="Cambria" w:hAnsi="Cambria"/>
      <w:b/>
      <w:bCs/>
      <w:kern w:val="28"/>
      <w:sz w:val="32"/>
      <w:szCs w:val="32"/>
    </w:rPr>
  </w:style>
  <w:style w:type="paragraph" w:styleId="44">
    <w:name w:val="annotation subject"/>
    <w:basedOn w:val="16"/>
    <w:next w:val="16"/>
    <w:link w:val="255"/>
    <w:qFormat/>
    <w:uiPriority w:val="99"/>
  </w:style>
  <w:style w:type="paragraph" w:styleId="45">
    <w:name w:val="Body Text First Indent"/>
    <w:basedOn w:val="2"/>
    <w:link w:val="256"/>
    <w:qFormat/>
    <w:uiPriority w:val="0"/>
    <w:pPr>
      <w:spacing w:after="0"/>
      <w:ind w:firstLine="420" w:firstLineChars="100"/>
    </w:pPr>
    <w:rPr>
      <w:rFonts w:ascii="Arial" w:hAnsi="Arial"/>
      <w:color w:val="000000"/>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99"/>
    <w:rPr>
      <w:color w:val="3D3D3D"/>
      <w:u w:val="none"/>
    </w:rPr>
  </w:style>
  <w:style w:type="character" w:styleId="52">
    <w:name w:val="Emphasis"/>
    <w:qFormat/>
    <w:uiPriority w:val="20"/>
    <w:rPr>
      <w:rFonts w:ascii="Calibri" w:hAnsi="Calibri"/>
      <w:b/>
      <w:i/>
      <w:iCs/>
    </w:rPr>
  </w:style>
  <w:style w:type="character" w:styleId="53">
    <w:name w:val="HTML Definition"/>
    <w:qFormat/>
    <w:uiPriority w:val="0"/>
  </w:style>
  <w:style w:type="character" w:styleId="54">
    <w:name w:val="HTML Typewriter"/>
    <w:qFormat/>
    <w:uiPriority w:val="0"/>
    <w:rPr>
      <w:rFonts w:ascii="Consolas" w:hAnsi="Consolas"/>
      <w:sz w:val="20"/>
      <w:szCs w:val="20"/>
    </w:rPr>
  </w:style>
  <w:style w:type="character" w:styleId="55">
    <w:name w:val="HTML Variable"/>
    <w:qFormat/>
    <w:uiPriority w:val="0"/>
  </w:style>
  <w:style w:type="character" w:styleId="56">
    <w:name w:val="Hyperlink"/>
    <w:qFormat/>
    <w:uiPriority w:val="99"/>
    <w:rPr>
      <w:color w:val="3D3D3D"/>
      <w:u w:val="none"/>
    </w:rPr>
  </w:style>
  <w:style w:type="character" w:styleId="57">
    <w:name w:val="HTML Code"/>
    <w:qFormat/>
    <w:uiPriority w:val="0"/>
    <w:rPr>
      <w:rFonts w:ascii="Courier New" w:hAnsi="Courier New"/>
      <w:sz w:val="20"/>
    </w:rPr>
  </w:style>
  <w:style w:type="character" w:styleId="58">
    <w:name w:val="annotation reference"/>
    <w:qFormat/>
    <w:uiPriority w:val="99"/>
    <w:rPr>
      <w:sz w:val="21"/>
      <w:szCs w:val="21"/>
    </w:rPr>
  </w:style>
  <w:style w:type="character" w:styleId="59">
    <w:name w:val="HTML Cite"/>
    <w:qFormat/>
    <w:uiPriority w:val="0"/>
  </w:style>
  <w:style w:type="character" w:styleId="60">
    <w:name w:val="footnote reference"/>
    <w:qFormat/>
    <w:uiPriority w:val="0"/>
    <w:rPr>
      <w:vertAlign w:val="superscript"/>
    </w:rPr>
  </w:style>
  <w:style w:type="paragraph" w:customStyle="1" w:styleId="61">
    <w:name w:val="(符号)五标题1.1.1"/>
    <w:basedOn w:val="1"/>
    <w:link w:val="283"/>
    <w:qFormat/>
    <w:uiPriority w:val="99"/>
    <w:pPr>
      <w:tabs>
        <w:tab w:val="left" w:pos="1000"/>
      </w:tabs>
      <w:spacing w:line="500" w:lineRule="exact"/>
      <w:ind w:left="1000" w:hanging="1000"/>
    </w:pPr>
    <w:rPr>
      <w:rFonts w:ascii="宋体" w:hAnsi="宋体"/>
      <w:color w:val="000000"/>
      <w:kern w:val="2"/>
      <w:szCs w:val="20"/>
    </w:rPr>
  </w:style>
  <w:style w:type="paragraph" w:styleId="62">
    <w:name w:val="No Spacing"/>
    <w:basedOn w:val="1"/>
    <w:link w:val="320"/>
    <w:qFormat/>
    <w:uiPriority w:val="1"/>
    <w:rPr>
      <w:szCs w:val="32"/>
    </w:rPr>
  </w:style>
  <w:style w:type="paragraph" w:customStyle="1" w:styleId="63">
    <w:name w:val="段"/>
    <w:link w:val="339"/>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4">
    <w:name w:val="Quote"/>
    <w:basedOn w:val="1"/>
    <w:next w:val="1"/>
    <w:link w:val="385"/>
    <w:qFormat/>
    <w:uiPriority w:val="29"/>
    <w:rPr>
      <w:i/>
    </w:rPr>
  </w:style>
  <w:style w:type="paragraph" w:customStyle="1" w:styleId="65">
    <w:name w:val="（符号）三标题1.1"/>
    <w:basedOn w:val="1"/>
    <w:link w:val="412"/>
    <w:qFormat/>
    <w:uiPriority w:val="0"/>
    <w:pPr>
      <w:tabs>
        <w:tab w:val="left" w:pos="700"/>
        <w:tab w:val="left" w:pos="1365"/>
      </w:tabs>
      <w:spacing w:line="500" w:lineRule="exact"/>
      <w:ind w:left="840" w:hanging="420"/>
    </w:pPr>
    <w:rPr>
      <w:rFonts w:ascii="宋体" w:hAnsi="宋体"/>
      <w:kern w:val="2"/>
    </w:rPr>
  </w:style>
  <w:style w:type="paragraph" w:customStyle="1" w:styleId="66">
    <w:name w:val="_Style 14"/>
    <w:basedOn w:val="1"/>
    <w:link w:val="415"/>
    <w:qFormat/>
    <w:uiPriority w:val="0"/>
    <w:pPr>
      <w:spacing w:beforeLines="50" w:afterLines="50"/>
      <w:ind w:firstLine="420" w:firstLineChars="200"/>
    </w:pPr>
    <w:rPr>
      <w:rFonts w:ascii="Calibri" w:hAnsi="Calibri"/>
      <w:sz w:val="20"/>
      <w:szCs w:val="21"/>
    </w:rPr>
  </w:style>
  <w:style w:type="paragraph" w:styleId="67">
    <w:name w:val="Intense Quote"/>
    <w:basedOn w:val="1"/>
    <w:next w:val="1"/>
    <w:link w:val="422"/>
    <w:qFormat/>
    <w:uiPriority w:val="30"/>
    <w:pPr>
      <w:ind w:left="720" w:right="720"/>
    </w:pPr>
    <w:rPr>
      <w:b/>
      <w:i/>
      <w:szCs w:val="20"/>
    </w:rPr>
  </w:style>
  <w:style w:type="paragraph" w:customStyle="1" w:styleId="68">
    <w:name w:val="_Style 67"/>
    <w:basedOn w:val="1"/>
    <w:next w:val="1"/>
    <w:link w:val="462"/>
    <w:qFormat/>
    <w:uiPriority w:val="0"/>
    <w:pPr>
      <w:pBdr>
        <w:bottom w:val="single" w:color="auto" w:sz="6" w:space="1"/>
      </w:pBdr>
      <w:jc w:val="center"/>
    </w:pPr>
    <w:rPr>
      <w:rFonts w:ascii="Arial" w:hAnsi="Arial"/>
      <w:vanish/>
      <w:sz w:val="16"/>
      <w:szCs w:val="16"/>
    </w:rPr>
  </w:style>
  <w:style w:type="paragraph" w:customStyle="1" w:styleId="69">
    <w:name w:val="标题样式"/>
    <w:basedOn w:val="1"/>
    <w:link w:val="493"/>
    <w:qFormat/>
    <w:uiPriority w:val="0"/>
    <w:pPr>
      <w:jc w:val="center"/>
    </w:pPr>
    <w:rPr>
      <w:rFonts w:ascii="黑体" w:eastAsia="黑体"/>
      <w:b/>
      <w:kern w:val="2"/>
      <w:sz w:val="32"/>
      <w:szCs w:val="20"/>
    </w:rPr>
  </w:style>
  <w:style w:type="paragraph" w:customStyle="1" w:styleId="70">
    <w:name w:val="表格"/>
    <w:basedOn w:val="1"/>
    <w:link w:val="506"/>
    <w:qFormat/>
    <w:uiPriority w:val="0"/>
    <w:pPr>
      <w:spacing w:line="400" w:lineRule="exact"/>
    </w:pPr>
    <w:rPr>
      <w:kern w:val="2"/>
    </w:rPr>
  </w:style>
  <w:style w:type="paragraph" w:customStyle="1" w:styleId="71">
    <w:name w:val="_Style 70"/>
    <w:basedOn w:val="1"/>
    <w:next w:val="1"/>
    <w:link w:val="507"/>
    <w:qFormat/>
    <w:uiPriority w:val="0"/>
    <w:pPr>
      <w:pBdr>
        <w:top w:val="single" w:color="auto" w:sz="6" w:space="1"/>
      </w:pBdr>
      <w:jc w:val="center"/>
    </w:pPr>
    <w:rPr>
      <w:rFonts w:ascii="Arial" w:hAnsi="Arial"/>
      <w:vanish/>
      <w:sz w:val="16"/>
      <w:szCs w:val="16"/>
    </w:rPr>
  </w:style>
  <w:style w:type="paragraph" w:customStyle="1" w:styleId="72">
    <w:name w:val="样式1"/>
    <w:basedOn w:val="1"/>
    <w:link w:val="512"/>
    <w:qFormat/>
    <w:uiPriority w:val="99"/>
    <w:pPr>
      <w:spacing w:before="120" w:after="120" w:line="300" w:lineRule="auto"/>
    </w:pPr>
    <w:rPr>
      <w:rFonts w:ascii="宋体" w:hAnsi="宋体" w:eastAsia="黑体"/>
      <w:b/>
      <w:bCs/>
      <w:kern w:val="2"/>
      <w:szCs w:val="32"/>
    </w:rPr>
  </w:style>
  <w:style w:type="paragraph" w:customStyle="1" w:styleId="73">
    <w:name w:val="Table Paragraph"/>
    <w:basedOn w:val="1"/>
    <w:qFormat/>
    <w:uiPriority w:val="1"/>
    <w:pPr>
      <w:widowControl w:val="0"/>
      <w:jc w:val="both"/>
    </w:pPr>
    <w:rPr>
      <w:rFonts w:ascii="宋体" w:hAnsi="宋体" w:cs="宋体"/>
      <w:kern w:val="2"/>
      <w:sz w:val="21"/>
      <w:szCs w:val="22"/>
      <w:lang w:val="zh-CN" w:bidi="zh-CN"/>
    </w:rPr>
  </w:style>
  <w:style w:type="paragraph" w:customStyle="1" w:styleId="74">
    <w:name w:val="默认"/>
    <w:qFormat/>
    <w:uiPriority w:val="0"/>
    <w:rPr>
      <w:rFonts w:ascii="Helvetica Neue" w:hAnsi="Helvetica Neue" w:eastAsia="Arial Unicode MS" w:cs="Arial Unicode MS"/>
      <w:color w:val="000000"/>
      <w:sz w:val="22"/>
      <w:szCs w:val="22"/>
      <w:u w:color="000000"/>
      <w:lang w:val="en-US" w:eastAsia="zh-CN" w:bidi="ar-SA"/>
    </w:rPr>
  </w:style>
  <w:style w:type="paragraph" w:customStyle="1" w:styleId="75">
    <w:name w:val="纯文本1"/>
    <w:basedOn w:val="1"/>
    <w:qFormat/>
    <w:uiPriority w:val="0"/>
    <w:pPr>
      <w:adjustRightInd w:val="0"/>
      <w:textAlignment w:val="baseline"/>
    </w:pPr>
    <w:rPr>
      <w:rFonts w:ascii="宋体" w:hAnsi="Courier New"/>
      <w:szCs w:val="20"/>
    </w:rPr>
  </w:style>
  <w:style w:type="paragraph" w:customStyle="1" w:styleId="76">
    <w:name w:val="font1"/>
    <w:basedOn w:val="1"/>
    <w:qFormat/>
    <w:uiPriority w:val="0"/>
    <w:pPr>
      <w:spacing w:before="100" w:beforeAutospacing="1" w:after="100" w:afterAutospacing="1"/>
    </w:pPr>
    <w:rPr>
      <w:rFonts w:hint="eastAsia" w:ascii="宋体" w:hAnsi="宋体"/>
    </w:rPr>
  </w:style>
  <w:style w:type="paragraph" w:customStyle="1" w:styleId="77">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szCs w:val="20"/>
      <w:lang w:val="de-DE" w:eastAsia="de-DE"/>
    </w:rPr>
  </w:style>
  <w:style w:type="paragraph" w:customStyle="1" w:styleId="78">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sz w:val="20"/>
      <w:szCs w:val="20"/>
    </w:rPr>
  </w:style>
  <w:style w:type="paragraph" w:customStyle="1" w:styleId="79">
    <w:name w:val="Char1"/>
    <w:basedOn w:val="1"/>
    <w:qFormat/>
    <w:uiPriority w:val="0"/>
    <w:rPr>
      <w:szCs w:val="21"/>
    </w:rPr>
  </w:style>
  <w:style w:type="paragraph" w:customStyle="1" w:styleId="80">
    <w:name w:val="pa-0"/>
    <w:basedOn w:val="1"/>
    <w:qFormat/>
    <w:uiPriority w:val="0"/>
    <w:pPr>
      <w:spacing w:line="400" w:lineRule="atLeast"/>
      <w:jc w:val="center"/>
    </w:pPr>
    <w:rPr>
      <w:rFonts w:hAnsi="宋体"/>
      <w:szCs w:val="20"/>
    </w:rPr>
  </w:style>
  <w:style w:type="paragraph" w:customStyle="1" w:styleId="81">
    <w:name w:val="■立项"/>
    <w:basedOn w:val="1"/>
    <w:qFormat/>
    <w:uiPriority w:val="0"/>
    <w:pPr>
      <w:spacing w:beforeLines="30" w:afterLines="30" w:line="360" w:lineRule="auto"/>
    </w:pPr>
    <w:rPr>
      <w:rFonts w:ascii="仿宋_GB2312" w:hAnsi="宋体" w:eastAsia="仿宋_GB2312"/>
      <w:b/>
      <w:szCs w:val="21"/>
    </w:rPr>
  </w:style>
  <w:style w:type="paragraph" w:customStyle="1" w:styleId="82">
    <w:name w:val="正文 + 宋体"/>
    <w:basedOn w:val="1"/>
    <w:qFormat/>
    <w:uiPriority w:val="0"/>
    <w:pPr>
      <w:ind w:left="360" w:hanging="360"/>
    </w:pPr>
    <w:rPr>
      <w:rFonts w:ascii="宋体" w:hAnsi="宋体" w:cs="宋体"/>
      <w:b/>
      <w:bCs/>
      <w:color w:val="000000"/>
      <w:sz w:val="18"/>
      <w:szCs w:val="18"/>
    </w:rPr>
  </w:style>
  <w:style w:type="paragraph" w:customStyle="1" w:styleId="83">
    <w:name w:val="列出段落3"/>
    <w:basedOn w:val="1"/>
    <w:qFormat/>
    <w:uiPriority w:val="34"/>
    <w:pPr>
      <w:ind w:firstLine="420" w:firstLineChars="200"/>
    </w:pPr>
    <w:rPr>
      <w:rFonts w:ascii="Calibri" w:hAnsi="Calibri"/>
      <w:szCs w:val="22"/>
    </w:rPr>
  </w:style>
  <w:style w:type="paragraph" w:customStyle="1" w:styleId="84">
    <w:name w:val="xl35"/>
    <w:basedOn w:val="1"/>
    <w:qFormat/>
    <w:uiPriority w:val="0"/>
    <w:pPr>
      <w:spacing w:before="100" w:beforeAutospacing="1" w:after="100" w:afterAutospacing="1"/>
    </w:pPr>
    <w:rPr>
      <w:rFonts w:ascii="Arial Unicode MS" w:hAnsi="Arial Unicode MS" w:eastAsia="Arial Unicode MS" w:cs="Arial Unicode MS"/>
      <w:color w:val="000000"/>
      <w:sz w:val="20"/>
      <w:szCs w:val="20"/>
    </w:rPr>
  </w:style>
  <w:style w:type="paragraph" w:customStyle="1" w:styleId="85">
    <w:name w:val="菲页(卷)"/>
    <w:basedOn w:val="3"/>
    <w:next w:val="86"/>
    <w:qFormat/>
    <w:uiPriority w:val="0"/>
    <w:pPr>
      <w:tabs>
        <w:tab w:val="left" w:pos="420"/>
      </w:tabs>
      <w:spacing w:before="0" w:after="0"/>
      <w:ind w:left="430" w:hanging="430"/>
      <w:outlineLvl w:val="1"/>
    </w:pPr>
    <w:rPr>
      <w:rFonts w:ascii="黑体" w:eastAsia="黑体"/>
      <w:b w:val="0"/>
      <w:bCs w:val="0"/>
      <w:kern w:val="0"/>
      <w:sz w:val="52"/>
      <w:szCs w:val="20"/>
    </w:rPr>
  </w:style>
  <w:style w:type="paragraph" w:customStyle="1" w:styleId="8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7">
    <w:name w:val="xl6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Cs w:val="21"/>
    </w:rPr>
  </w:style>
  <w:style w:type="paragraph" w:customStyle="1" w:styleId="88">
    <w:name w:val="Char2 Char Char Char"/>
    <w:basedOn w:val="1"/>
    <w:qFormat/>
    <w:uiPriority w:val="0"/>
    <w:rPr>
      <w:rFonts w:ascii="仿宋_GB2312" w:eastAsia="仿宋_GB2312"/>
      <w:b/>
      <w:sz w:val="32"/>
      <w:szCs w:val="32"/>
    </w:rPr>
  </w:style>
  <w:style w:type="paragraph" w:customStyle="1" w:styleId="89">
    <w:name w:val="xl56"/>
    <w:basedOn w:val="1"/>
    <w:qFormat/>
    <w:uiPriority w:val="0"/>
    <w:pPr>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90">
    <w:name w:val="默认段落字体 Para Char"/>
    <w:basedOn w:val="1"/>
    <w:qFormat/>
    <w:uiPriority w:val="0"/>
    <w:rPr>
      <w:sz w:val="28"/>
      <w:szCs w:val="20"/>
    </w:rPr>
  </w:style>
  <w:style w:type="paragraph" w:customStyle="1" w:styleId="91">
    <w:name w:val="xl63"/>
    <w:basedOn w:val="1"/>
    <w:qFormat/>
    <w:uiPriority w:val="0"/>
    <w:pPr>
      <w:pBdr>
        <w:top w:val="single" w:color="auto" w:sz="8" w:space="0"/>
        <w:left w:val="single" w:color="auto" w:sz="4" w:space="0"/>
        <w:bottom w:val="single" w:color="000000" w:sz="4" w:space="0"/>
        <w:right w:val="single" w:color="auto" w:sz="4" w:space="0"/>
      </w:pBdr>
      <w:spacing w:before="100" w:beforeAutospacing="1" w:after="100" w:afterAutospacing="1"/>
      <w:jc w:val="right"/>
      <w:textAlignment w:val="center"/>
    </w:pPr>
    <w:rPr>
      <w:szCs w:val="21"/>
    </w:rPr>
  </w:style>
  <w:style w:type="paragraph" w:customStyle="1" w:styleId="92">
    <w:name w:val="xl5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szCs w:val="21"/>
    </w:rPr>
  </w:style>
  <w:style w:type="paragraph" w:customStyle="1" w:styleId="93">
    <w:name w:val="pa-2"/>
    <w:basedOn w:val="1"/>
    <w:qFormat/>
    <w:uiPriority w:val="0"/>
    <w:pPr>
      <w:spacing w:before="136" w:after="136"/>
    </w:pPr>
    <w:rPr>
      <w:rFonts w:ascii="宋体" w:hAnsi="宋体" w:cs="宋体"/>
    </w:rPr>
  </w:style>
  <w:style w:type="paragraph" w:customStyle="1" w:styleId="94">
    <w:name w:val="Char Char Char Char Char Char Char"/>
    <w:basedOn w:val="1"/>
    <w:qFormat/>
    <w:uiPriority w:val="0"/>
    <w:pPr>
      <w:tabs>
        <w:tab w:val="left" w:pos="432"/>
      </w:tabs>
      <w:ind w:left="432" w:hanging="432"/>
    </w:pPr>
    <w:rPr>
      <w:rFonts w:ascii="Tahoma" w:hAnsi="Tahoma"/>
      <w:szCs w:val="20"/>
    </w:rPr>
  </w:style>
  <w:style w:type="paragraph" w:customStyle="1" w:styleId="95">
    <w:name w:val="style6"/>
    <w:basedOn w:val="1"/>
    <w:qFormat/>
    <w:uiPriority w:val="0"/>
    <w:pPr>
      <w:spacing w:before="100" w:beforeAutospacing="1" w:after="100" w:afterAutospacing="1"/>
    </w:pPr>
    <w:rPr>
      <w:rFonts w:ascii="宋体" w:hAnsi="宋体" w:cs="宋体"/>
      <w:color w:val="CC3300"/>
    </w:rPr>
  </w:style>
  <w:style w:type="paragraph" w:customStyle="1" w:styleId="96">
    <w:name w:val="xl5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szCs w:val="21"/>
    </w:rPr>
  </w:style>
  <w:style w:type="paragraph" w:customStyle="1" w:styleId="9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100">
    <w:name w:val="标题4"/>
    <w:basedOn w:val="6"/>
    <w:qFormat/>
    <w:uiPriority w:val="0"/>
    <w:pPr>
      <w:spacing w:before="140" w:after="0"/>
    </w:pPr>
    <w:rPr>
      <w:rFonts w:ascii="黑体" w:hAnsi="宋体"/>
      <w:bCs w:val="0"/>
      <w:sz w:val="32"/>
      <w:szCs w:val="20"/>
    </w:rPr>
  </w:style>
  <w:style w:type="paragraph" w:customStyle="1" w:styleId="101">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02">
    <w:name w:val="列出段落4"/>
    <w:basedOn w:val="1"/>
    <w:qFormat/>
    <w:uiPriority w:val="0"/>
    <w:pPr>
      <w:ind w:firstLine="420" w:firstLineChars="200"/>
    </w:pPr>
  </w:style>
  <w:style w:type="paragraph" w:customStyle="1" w:styleId="10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2"/>
      <w:szCs w:val="22"/>
    </w:rPr>
  </w:style>
  <w:style w:type="paragraph" w:customStyle="1" w:styleId="104">
    <w:name w:val="_Style 2"/>
    <w:basedOn w:val="1"/>
    <w:qFormat/>
    <w:uiPriority w:val="0"/>
    <w:pPr>
      <w:ind w:firstLine="420" w:firstLineChars="200"/>
    </w:pPr>
    <w:rPr>
      <w:rFonts w:ascii="Calibri" w:hAnsi="Calibri"/>
      <w:szCs w:val="22"/>
    </w:rPr>
  </w:style>
  <w:style w:type="paragraph" w:customStyle="1" w:styleId="105">
    <w:name w:val="font10"/>
    <w:basedOn w:val="1"/>
    <w:qFormat/>
    <w:uiPriority w:val="0"/>
    <w:pPr>
      <w:spacing w:before="100" w:beforeAutospacing="1" w:after="100" w:afterAutospacing="1"/>
    </w:pPr>
    <w:rPr>
      <w:rFonts w:hint="eastAsia" w:ascii="宋体" w:hAnsi="宋体"/>
      <w:sz w:val="20"/>
      <w:szCs w:val="20"/>
    </w:rPr>
  </w:style>
  <w:style w:type="paragraph" w:customStyle="1" w:styleId="106">
    <w:name w:val="默认段落字体 Para Char Char Char Char Char Char Char Char Char1 Char Char Char Char"/>
    <w:basedOn w:val="1"/>
    <w:qFormat/>
    <w:uiPriority w:val="0"/>
    <w:rPr>
      <w:rFonts w:ascii="Tahoma" w:hAnsi="Tahoma"/>
      <w:szCs w:val="20"/>
    </w:rPr>
  </w:style>
  <w:style w:type="paragraph" w:customStyle="1" w:styleId="10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08">
    <w:name w:val="正文首行缩进两字符"/>
    <w:basedOn w:val="1"/>
    <w:qFormat/>
    <w:uiPriority w:val="0"/>
    <w:pPr>
      <w:spacing w:line="360" w:lineRule="auto"/>
      <w:ind w:firstLine="200" w:firstLineChars="200"/>
    </w:pPr>
  </w:style>
  <w:style w:type="paragraph" w:customStyle="1" w:styleId="109">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16"/>
      <w:szCs w:val="16"/>
    </w:rPr>
  </w:style>
  <w:style w:type="paragraph" w:customStyle="1" w:styleId="110">
    <w:name w:val="xl65"/>
    <w:basedOn w:val="1"/>
    <w:qFormat/>
    <w:uiPriority w:val="0"/>
    <w:pPr>
      <w:pBdr>
        <w:bottom w:val="single" w:color="000000" w:sz="4" w:space="0"/>
        <w:right w:val="single" w:color="auto" w:sz="8" w:space="0"/>
      </w:pBdr>
      <w:spacing w:before="100" w:beforeAutospacing="1" w:after="100" w:afterAutospacing="1"/>
      <w:textAlignment w:val="center"/>
    </w:pPr>
    <w:rPr>
      <w:color w:val="FFFFFF"/>
      <w:szCs w:val="21"/>
    </w:rPr>
  </w:style>
  <w:style w:type="paragraph" w:customStyle="1" w:styleId="111">
    <w:name w:val="三级条标题"/>
    <w:basedOn w:val="112"/>
    <w:next w:val="63"/>
    <w:qFormat/>
    <w:uiPriority w:val="0"/>
    <w:pPr>
      <w:tabs>
        <w:tab w:val="left" w:pos="1680"/>
        <w:tab w:val="left" w:pos="2100"/>
      </w:tabs>
      <w:ind w:left="2100" w:hanging="420"/>
      <w:outlineLvl w:val="4"/>
    </w:pPr>
  </w:style>
  <w:style w:type="paragraph" w:customStyle="1" w:styleId="112">
    <w:name w:val="二级条标题"/>
    <w:basedOn w:val="113"/>
    <w:next w:val="63"/>
    <w:qFormat/>
    <w:uiPriority w:val="0"/>
    <w:pPr>
      <w:tabs>
        <w:tab w:val="left" w:pos="1680"/>
      </w:tabs>
      <w:ind w:left="1984" w:hanging="1984"/>
      <w:outlineLvl w:val="3"/>
    </w:pPr>
  </w:style>
  <w:style w:type="paragraph" w:customStyle="1" w:styleId="113">
    <w:name w:val="一级条标题"/>
    <w:next w:val="63"/>
    <w:qFormat/>
    <w:uiPriority w:val="0"/>
    <w:pPr>
      <w:outlineLvl w:val="2"/>
    </w:pPr>
    <w:rPr>
      <w:rFonts w:ascii="Times New Roman" w:hAnsi="Times New Roman" w:eastAsia="黑体" w:cs="Times New Roman"/>
      <w:sz w:val="21"/>
      <w:lang w:val="en-US" w:eastAsia="zh-CN" w:bidi="ar-SA"/>
    </w:rPr>
  </w:style>
  <w:style w:type="paragraph" w:customStyle="1" w:styleId="114">
    <w:name w:val="reader-word-layer"/>
    <w:basedOn w:val="1"/>
    <w:qFormat/>
    <w:uiPriority w:val="0"/>
    <w:pPr>
      <w:spacing w:before="100" w:beforeAutospacing="1" w:after="100" w:afterAutospacing="1" w:line="540" w:lineRule="exact"/>
      <w:ind w:firstLine="193" w:firstLineChars="193"/>
    </w:pPr>
    <w:rPr>
      <w:rFonts w:ascii="宋体" w:hAnsi="宋体" w:cs="宋体"/>
    </w:rPr>
  </w:style>
  <w:style w:type="paragraph" w:customStyle="1" w:styleId="11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16">
    <w:name w:val="Char Char Char Char Char Char Char1"/>
    <w:basedOn w:val="15"/>
    <w:qFormat/>
    <w:uiPriority w:val="0"/>
    <w:pPr>
      <w:shd w:val="clear" w:color="auto" w:fill="000080"/>
    </w:pPr>
    <w:rPr>
      <w:rFonts w:ascii="Tahoma" w:hAnsi="Tahoma"/>
      <w:sz w:val="24"/>
      <w:szCs w:val="24"/>
    </w:rPr>
  </w:style>
  <w:style w:type="paragraph" w:customStyle="1" w:styleId="117">
    <w:name w:val="（符号）二标题总则"/>
    <w:basedOn w:val="1"/>
    <w:qFormat/>
    <w:uiPriority w:val="0"/>
    <w:pPr>
      <w:spacing w:beforeLines="100" w:afterLines="100" w:line="500" w:lineRule="exact"/>
      <w:jc w:val="center"/>
      <w:outlineLvl w:val="1"/>
    </w:pPr>
    <w:rPr>
      <w:rFonts w:ascii="宋体" w:hAnsi="宋体" w:cs="宋体"/>
      <w:b/>
      <w:bCs/>
      <w:sz w:val="32"/>
      <w:szCs w:val="32"/>
    </w:rPr>
  </w:style>
  <w:style w:type="paragraph" w:customStyle="1" w:styleId="118">
    <w:name w:val="font5"/>
    <w:basedOn w:val="1"/>
    <w:qFormat/>
    <w:uiPriority w:val="0"/>
    <w:pPr>
      <w:spacing w:before="100" w:beforeAutospacing="1" w:after="100" w:afterAutospacing="1"/>
    </w:pPr>
    <w:rPr>
      <w:rFonts w:ascii="宋体" w:hAnsi="宋体" w:cs="宋体"/>
      <w:sz w:val="18"/>
      <w:szCs w:val="18"/>
    </w:rPr>
  </w:style>
  <w:style w:type="paragraph" w:customStyle="1" w:styleId="119">
    <w:name w:val="Char2 Char Char Char1"/>
    <w:basedOn w:val="1"/>
    <w:qFormat/>
    <w:uiPriority w:val="0"/>
    <w:rPr>
      <w:rFonts w:ascii="仿宋_GB2312" w:eastAsia="仿宋_GB2312"/>
      <w:b/>
      <w:sz w:val="32"/>
      <w:szCs w:val="32"/>
    </w:rPr>
  </w:style>
  <w:style w:type="paragraph" w:customStyle="1" w:styleId="120">
    <w:name w:val="标题0"/>
    <w:basedOn w:val="3"/>
    <w:qFormat/>
    <w:uiPriority w:val="0"/>
    <w:pPr>
      <w:tabs>
        <w:tab w:val="left" w:pos="0"/>
        <w:tab w:val="left" w:pos="432"/>
      </w:tabs>
      <w:ind w:left="420" w:hanging="420"/>
    </w:pPr>
  </w:style>
  <w:style w:type="paragraph" w:customStyle="1" w:styleId="121">
    <w:name w:val="Char Char1 Char Char Char Char Char Char Char Char Char Char1"/>
    <w:basedOn w:val="1"/>
    <w:qFormat/>
    <w:uiPriority w:val="0"/>
    <w:pPr>
      <w:tabs>
        <w:tab w:val="left" w:pos="360"/>
      </w:tabs>
      <w:ind w:firstLine="420" w:firstLineChars="150"/>
    </w:pPr>
    <w:rPr>
      <w:rFonts w:ascii="Arial" w:hAnsi="Arial" w:cs="Arial"/>
      <w:sz w:val="20"/>
      <w:szCs w:val="20"/>
    </w:rPr>
  </w:style>
  <w:style w:type="paragraph" w:customStyle="1" w:styleId="122">
    <w:name w:val="p0"/>
    <w:basedOn w:val="1"/>
    <w:qFormat/>
    <w:uiPriority w:val="0"/>
    <w:rPr>
      <w:szCs w:val="21"/>
    </w:rPr>
  </w:style>
  <w:style w:type="paragraph" w:customStyle="1" w:styleId="123">
    <w:name w:val="表"/>
    <w:basedOn w:val="1"/>
    <w:qFormat/>
    <w:uiPriority w:val="0"/>
    <w:pPr>
      <w:spacing w:before="60" w:after="60" w:line="360" w:lineRule="auto"/>
    </w:pPr>
    <w:rPr>
      <w:sz w:val="20"/>
      <w:szCs w:val="72"/>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4"/>
    </w:rPr>
  </w:style>
  <w:style w:type="paragraph" w:customStyle="1" w:styleId="125">
    <w:name w:val="样式 标题 3 + (中文) 黑体 小四 非加粗 段前: 7.8 磅 段后: 0 磅 行距: 固定值 20 磅"/>
    <w:basedOn w:val="5"/>
    <w:next w:val="1"/>
    <w:qFormat/>
    <w:uiPriority w:val="0"/>
    <w:pPr>
      <w:tabs>
        <w:tab w:val="left" w:pos="720"/>
      </w:tabs>
      <w:spacing w:before="0" w:after="0" w:line="400" w:lineRule="exact"/>
    </w:pPr>
    <w:rPr>
      <w:rFonts w:eastAsia="黑体" w:cs="宋体"/>
      <w:b w:val="0"/>
      <w:bCs w:val="0"/>
      <w:sz w:val="24"/>
      <w:szCs w:val="24"/>
    </w:rPr>
  </w:style>
  <w:style w:type="paragraph" w:customStyle="1" w:styleId="126">
    <w:name w:val="Char Char Char Char Char Char1 Char"/>
    <w:basedOn w:val="15"/>
    <w:qFormat/>
    <w:uiPriority w:val="0"/>
    <w:pPr>
      <w:shd w:val="clear" w:color="auto" w:fill="000080"/>
    </w:pPr>
    <w:rPr>
      <w:rFonts w:ascii="Tahoma" w:hAnsi="Tahoma"/>
      <w:sz w:val="24"/>
      <w:szCs w:val="24"/>
    </w:rPr>
  </w:style>
  <w:style w:type="paragraph" w:styleId="127">
    <w:name w:val="List Paragraph"/>
    <w:basedOn w:val="1"/>
    <w:qFormat/>
    <w:uiPriority w:val="99"/>
    <w:pPr>
      <w:ind w:left="720"/>
      <w:contextualSpacing/>
    </w:pPr>
  </w:style>
  <w:style w:type="paragraph" w:customStyle="1" w:styleId="128">
    <w:name w:val="plaintext"/>
    <w:basedOn w:val="1"/>
    <w:qFormat/>
    <w:uiPriority w:val="0"/>
    <w:pPr>
      <w:spacing w:before="100" w:beforeAutospacing="1" w:after="100" w:afterAutospacing="1"/>
    </w:pPr>
    <w:rPr>
      <w:rFonts w:ascii="宋体" w:hAnsi="宋体"/>
    </w:rPr>
  </w:style>
  <w:style w:type="paragraph" w:customStyle="1" w:styleId="129">
    <w:name w:val="xl37"/>
    <w:basedOn w:val="1"/>
    <w:qFormat/>
    <w:uiPriority w:val="0"/>
    <w:pP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30">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31">
    <w:name w:val="tgt"/>
    <w:basedOn w:val="1"/>
    <w:qFormat/>
    <w:uiPriority w:val="0"/>
    <w:pPr>
      <w:spacing w:before="100" w:beforeAutospacing="1" w:after="100" w:afterAutospacing="1"/>
    </w:pPr>
    <w:rPr>
      <w:rFonts w:ascii="宋体" w:hAnsi="宋体" w:cs="宋体"/>
    </w:rPr>
  </w:style>
  <w:style w:type="paragraph" w:customStyle="1" w:styleId="132">
    <w:name w:val="Char"/>
    <w:basedOn w:val="1"/>
    <w:qFormat/>
    <w:uiPriority w:val="0"/>
    <w:pPr>
      <w:tabs>
        <w:tab w:val="left" w:pos="360"/>
      </w:tabs>
      <w:spacing w:line="360" w:lineRule="auto"/>
      <w:ind w:left="482" w:firstLine="200" w:firstLineChars="200"/>
    </w:pPr>
    <w:rPr>
      <w:rFonts w:ascii="宋体"/>
    </w:rPr>
  </w:style>
  <w:style w:type="paragraph" w:customStyle="1" w:styleId="133">
    <w:name w:val="xl6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color w:val="FFFFFF"/>
      <w:szCs w:val="21"/>
    </w:rPr>
  </w:style>
  <w:style w:type="paragraph" w:customStyle="1" w:styleId="134">
    <w:name w:val="font6"/>
    <w:basedOn w:val="1"/>
    <w:qFormat/>
    <w:uiPriority w:val="0"/>
    <w:pPr>
      <w:spacing w:before="100" w:beforeAutospacing="1" w:after="100" w:afterAutospacing="1"/>
    </w:pPr>
    <w:rPr>
      <w:rFonts w:ascii="宋体" w:hAnsi="宋体" w:cs="宋体"/>
      <w:sz w:val="20"/>
      <w:szCs w:val="20"/>
    </w:rPr>
  </w:style>
  <w:style w:type="paragraph" w:customStyle="1" w:styleId="135">
    <w:name w:val="LJT正文"/>
    <w:basedOn w:val="19"/>
    <w:qFormat/>
    <w:uiPriority w:val="0"/>
    <w:pPr>
      <w:spacing w:before="120" w:after="0"/>
      <w:ind w:left="0" w:leftChars="0" w:firstLine="425"/>
    </w:pPr>
    <w:rPr>
      <w:rFonts w:ascii="Arial" w:hAnsi="Arial"/>
      <w:sz w:val="24"/>
      <w:szCs w:val="20"/>
    </w:rPr>
  </w:style>
  <w:style w:type="paragraph" w:customStyle="1" w:styleId="136">
    <w:name w:val="Char Char Char Char"/>
    <w:basedOn w:val="1"/>
    <w:qFormat/>
    <w:uiPriority w:val="0"/>
    <w:pPr>
      <w:spacing w:before="100" w:beforeAutospacing="1" w:after="100" w:afterAutospacing="1" w:line="360" w:lineRule="auto"/>
    </w:pPr>
    <w:rPr>
      <w:rFonts w:ascii="Verdana" w:hAnsi="Verdana"/>
      <w:sz w:val="20"/>
      <w:szCs w:val="21"/>
      <w:lang w:eastAsia="en-US"/>
    </w:rPr>
  </w:style>
  <w:style w:type="paragraph" w:customStyle="1" w:styleId="13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138">
    <w:name w:val="附件正文"/>
    <w:basedOn w:val="1"/>
    <w:qFormat/>
    <w:uiPriority w:val="0"/>
    <w:pPr>
      <w:snapToGrid w:val="0"/>
      <w:spacing w:line="500" w:lineRule="exact"/>
      <w:ind w:firstLine="480" w:firstLineChars="200"/>
    </w:pPr>
  </w:style>
  <w:style w:type="paragraph" w:customStyle="1" w:styleId="139">
    <w:name w:val="font8"/>
    <w:basedOn w:val="1"/>
    <w:qFormat/>
    <w:uiPriority w:val="0"/>
    <w:pPr>
      <w:spacing w:before="100" w:beforeAutospacing="1" w:after="100" w:afterAutospacing="1"/>
    </w:pPr>
    <w:rPr>
      <w:sz w:val="36"/>
      <w:szCs w:val="36"/>
    </w:rPr>
  </w:style>
  <w:style w:type="paragraph" w:customStyle="1" w:styleId="140">
    <w:name w:val="样式 首行缩进:  2 字符"/>
    <w:basedOn w:val="1"/>
    <w:qFormat/>
    <w:uiPriority w:val="0"/>
    <w:pPr>
      <w:spacing w:line="400" w:lineRule="exact"/>
      <w:ind w:firstLine="200" w:firstLineChars="200"/>
    </w:pPr>
    <w:rPr>
      <w:rFonts w:cs="宋体"/>
    </w:rPr>
  </w:style>
  <w:style w:type="paragraph" w:customStyle="1" w:styleId="14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szCs w:val="20"/>
    </w:rPr>
  </w:style>
  <w:style w:type="paragraph" w:customStyle="1" w:styleId="142">
    <w:name w:val="正文文本缩进[858D7CFB-ED40-4347-BF05-701D383B685F][858D7CFB-ED40-4347-BF05-701D383B685F]"/>
    <w:basedOn w:val="1"/>
    <w:qFormat/>
    <w:uiPriority w:val="0"/>
    <w:pPr>
      <w:spacing w:line="312" w:lineRule="atLeast"/>
      <w:ind w:firstLine="630"/>
      <w:textAlignment w:val="baseline"/>
    </w:pPr>
    <w:rPr>
      <w:sz w:val="32"/>
      <w:szCs w:val="20"/>
    </w:rPr>
  </w:style>
  <w:style w:type="paragraph" w:customStyle="1" w:styleId="14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144">
    <w:name w:val="Char Char"/>
    <w:basedOn w:val="1"/>
    <w:qFormat/>
    <w:uiPriority w:val="0"/>
  </w:style>
  <w:style w:type="paragraph" w:customStyle="1" w:styleId="1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菲页1"/>
    <w:basedOn w:val="4"/>
    <w:qFormat/>
    <w:uiPriority w:val="0"/>
    <w:rPr>
      <w:rFonts w:ascii="黑体" w:hAnsi="宋体"/>
      <w:b w:val="0"/>
      <w:bCs w:val="0"/>
      <w:sz w:val="52"/>
      <w:szCs w:val="20"/>
    </w:rPr>
  </w:style>
  <w:style w:type="paragraph" w:customStyle="1" w:styleId="14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48">
    <w:name w:val="xl66"/>
    <w:basedOn w:val="1"/>
    <w:qFormat/>
    <w:uiPriority w:val="0"/>
    <w:pPr>
      <w:pBdr>
        <w:right w:val="single" w:color="000000" w:sz="4" w:space="0"/>
      </w:pBdr>
      <w:spacing w:before="100" w:beforeAutospacing="1" w:after="100" w:afterAutospacing="1"/>
      <w:jc w:val="right"/>
      <w:textAlignment w:val="center"/>
    </w:pPr>
    <w:rPr>
      <w:color w:val="FFFFFF"/>
      <w:szCs w:val="21"/>
    </w:rPr>
  </w:style>
  <w:style w:type="paragraph" w:customStyle="1" w:styleId="14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sz w:val="20"/>
      <w:szCs w:val="20"/>
    </w:rPr>
  </w:style>
  <w:style w:type="paragraph" w:customStyle="1" w:styleId="150">
    <w:name w:val="Char Char Char Char1"/>
    <w:basedOn w:val="1"/>
    <w:qFormat/>
    <w:uiPriority w:val="0"/>
    <w:pPr>
      <w:spacing w:before="100" w:beforeAutospacing="1" w:after="100" w:afterAutospacing="1" w:line="360" w:lineRule="auto"/>
    </w:pPr>
    <w:rPr>
      <w:rFonts w:ascii="Verdana" w:hAnsi="Verdana"/>
      <w:sz w:val="20"/>
      <w:szCs w:val="21"/>
      <w:lang w:eastAsia="en-US"/>
    </w:rPr>
  </w:style>
  <w:style w:type="paragraph" w:customStyle="1" w:styleId="151">
    <w:name w:val="Char Char Char"/>
    <w:basedOn w:val="1"/>
    <w:qFormat/>
    <w:uiPriority w:val="0"/>
    <w:pPr>
      <w:spacing w:after="160" w:line="240" w:lineRule="exact"/>
    </w:pPr>
    <w:rPr>
      <w:rFonts w:ascii="Verdana" w:hAnsi="Verdana"/>
      <w:sz w:val="20"/>
      <w:szCs w:val="20"/>
      <w:lang w:eastAsia="en-US"/>
    </w:rPr>
  </w:style>
  <w:style w:type="paragraph" w:customStyle="1" w:styleId="152">
    <w:name w:val="xl58"/>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szCs w:val="21"/>
    </w:rPr>
  </w:style>
  <w:style w:type="paragraph" w:customStyle="1" w:styleId="153">
    <w:name w:val="List Paragraph11"/>
    <w:basedOn w:val="1"/>
    <w:qFormat/>
    <w:uiPriority w:val="34"/>
    <w:pPr>
      <w:ind w:firstLine="420" w:firstLineChars="200"/>
    </w:pPr>
  </w:style>
  <w:style w:type="paragraph" w:customStyle="1" w:styleId="15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55">
    <w:name w:val="正文序号 1"/>
    <w:basedOn w:val="1"/>
    <w:qFormat/>
    <w:uiPriority w:val="0"/>
    <w:pPr>
      <w:spacing w:before="60"/>
    </w:pPr>
    <w:rPr>
      <w:szCs w:val="20"/>
    </w:rPr>
  </w:style>
  <w:style w:type="paragraph" w:customStyle="1" w:styleId="156">
    <w:name w:val="正文缩进1"/>
    <w:basedOn w:val="1"/>
    <w:next w:val="1"/>
    <w:qFormat/>
    <w:uiPriority w:val="0"/>
    <w:pPr>
      <w:ind w:firstLine="420"/>
    </w:pPr>
    <w:rPr>
      <w:color w:val="000000"/>
      <w:szCs w:val="20"/>
    </w:rPr>
  </w:style>
  <w:style w:type="paragraph" w:customStyle="1" w:styleId="157">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8">
    <w:name w:val="p5"/>
    <w:basedOn w:val="1"/>
    <w:qFormat/>
    <w:uiPriority w:val="0"/>
    <w:pPr>
      <w:tabs>
        <w:tab w:val="left" w:pos="720"/>
      </w:tabs>
      <w:spacing w:line="240" w:lineRule="atLeast"/>
    </w:pPr>
    <w:rPr>
      <w:snapToGrid w:val="0"/>
      <w:szCs w:val="20"/>
      <w:lang w:val="en-GB" w:eastAsia="de-DE"/>
    </w:rPr>
  </w:style>
  <w:style w:type="paragraph" w:customStyle="1" w:styleId="159">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160">
    <w:name w:val="文档正文"/>
    <w:basedOn w:val="1"/>
    <w:qFormat/>
    <w:uiPriority w:val="0"/>
    <w:pPr>
      <w:spacing w:line="440" w:lineRule="atLeast"/>
      <w:ind w:firstLine="567"/>
    </w:pPr>
    <w:rPr>
      <w:spacing w:val="4"/>
    </w:rPr>
  </w:style>
  <w:style w:type="paragraph" w:customStyle="1" w:styleId="161">
    <w:name w:val="10 f"/>
    <w:basedOn w:val="1"/>
    <w:qFormat/>
    <w:uiPriority w:val="0"/>
    <w:pPr>
      <w:tabs>
        <w:tab w:val="left" w:pos="2835"/>
        <w:tab w:val="left" w:pos="3119"/>
        <w:tab w:val="left" w:pos="3402"/>
        <w:tab w:val="left" w:pos="3686"/>
        <w:tab w:val="left" w:pos="3969"/>
        <w:tab w:val="left" w:pos="4253"/>
      </w:tabs>
      <w:spacing w:after="120"/>
      <w:ind w:left="2552"/>
    </w:pPr>
    <w:rPr>
      <w:rFonts w:ascii="Syntax" w:hAnsi="Syntax"/>
      <w:b/>
      <w:sz w:val="20"/>
      <w:szCs w:val="20"/>
      <w:lang w:val="de-DE" w:eastAsia="de-DE"/>
    </w:rPr>
  </w:style>
  <w:style w:type="paragraph" w:customStyle="1" w:styleId="162">
    <w:name w:val="xl64"/>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sz w:val="18"/>
      <w:szCs w:val="18"/>
    </w:rPr>
  </w:style>
  <w:style w:type="paragraph" w:customStyle="1" w:styleId="163">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6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szCs w:val="20"/>
    </w:rPr>
  </w:style>
  <w:style w:type="paragraph" w:customStyle="1" w:styleId="16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6">
    <w:name w:val="正文1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67">
    <w:name w:val="列出段落1"/>
    <w:basedOn w:val="1"/>
    <w:qFormat/>
    <w:uiPriority w:val="34"/>
    <w:pPr>
      <w:ind w:firstLine="420" w:firstLineChars="200"/>
    </w:pPr>
  </w:style>
  <w:style w:type="paragraph" w:customStyle="1" w:styleId="168">
    <w:name w:val="Char Char1"/>
    <w:basedOn w:val="1"/>
    <w:qFormat/>
    <w:uiPriority w:val="0"/>
  </w:style>
  <w:style w:type="paragraph" w:customStyle="1" w:styleId="169">
    <w:name w:val="Char Char Char Char Char Char1 Char1"/>
    <w:basedOn w:val="15"/>
    <w:qFormat/>
    <w:uiPriority w:val="0"/>
    <w:pPr>
      <w:shd w:val="clear" w:color="auto" w:fill="000080"/>
    </w:pPr>
    <w:rPr>
      <w:rFonts w:ascii="Tahoma" w:hAnsi="Tahoma"/>
      <w:sz w:val="24"/>
      <w:szCs w:val="24"/>
    </w:rPr>
  </w:style>
  <w:style w:type="paragraph" w:customStyle="1" w:styleId="170">
    <w:name w:val="_Style 5"/>
    <w:basedOn w:val="1"/>
    <w:qFormat/>
    <w:uiPriority w:val="0"/>
    <w:rPr>
      <w:szCs w:val="20"/>
    </w:rPr>
  </w:style>
  <w:style w:type="paragraph" w:customStyle="1" w:styleId="171">
    <w:name w:val="Char Char1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72">
    <w:name w:val="xl5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szCs w:val="21"/>
    </w:rPr>
  </w:style>
  <w:style w:type="paragraph" w:customStyle="1" w:styleId="173">
    <w:name w:val="_Style 172"/>
    <w:unhideWhenUsed/>
    <w:qFormat/>
    <w:uiPriority w:val="0"/>
    <w:rPr>
      <w:rFonts w:ascii="Times New Roman" w:hAnsi="Times New Roman" w:eastAsia="宋体" w:cs="Times New Roman"/>
      <w:kern w:val="2"/>
      <w:sz w:val="21"/>
      <w:szCs w:val="24"/>
      <w:lang w:val="en-US" w:eastAsia="zh-CN" w:bidi="ar-SA"/>
    </w:rPr>
  </w:style>
  <w:style w:type="paragraph" w:customStyle="1" w:styleId="17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7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76">
    <w:name w:val="样式2"/>
    <w:basedOn w:val="1"/>
    <w:qFormat/>
    <w:uiPriority w:val="0"/>
    <w:pPr>
      <w:adjustRightInd w:val="0"/>
      <w:spacing w:line="410" w:lineRule="atLeast"/>
      <w:textAlignment w:val="baseline"/>
    </w:pPr>
    <w:rPr>
      <w:szCs w:val="20"/>
    </w:rPr>
  </w:style>
  <w:style w:type="paragraph" w:customStyle="1" w:styleId="17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178">
    <w:name w:val="_Style 1"/>
    <w:basedOn w:val="1"/>
    <w:qFormat/>
    <w:uiPriority w:val="0"/>
    <w:pPr>
      <w:ind w:firstLine="420" w:firstLineChars="200"/>
    </w:pPr>
    <w:rPr>
      <w:rFonts w:ascii="Calibri" w:hAnsi="Calibri"/>
    </w:rPr>
  </w:style>
  <w:style w:type="paragraph" w:customStyle="1" w:styleId="179">
    <w:name w:val="font9"/>
    <w:basedOn w:val="1"/>
    <w:qFormat/>
    <w:uiPriority w:val="0"/>
    <w:pPr>
      <w:spacing w:before="100" w:beforeAutospacing="1" w:after="100" w:afterAutospacing="1"/>
    </w:pPr>
    <w:rPr>
      <w:rFonts w:hint="eastAsia" w:ascii="宋体" w:hAnsi="宋体" w:cs="Arial Unicode MS"/>
      <w:color w:val="000000"/>
      <w:sz w:val="20"/>
      <w:szCs w:val="20"/>
    </w:rPr>
  </w:style>
  <w:style w:type="paragraph" w:customStyle="1" w:styleId="180">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181">
    <w:name w:val="列出段落2"/>
    <w:basedOn w:val="1"/>
    <w:qFormat/>
    <w:uiPriority w:val="99"/>
    <w:pPr>
      <w:ind w:firstLine="420" w:firstLineChars="200"/>
    </w:pPr>
  </w:style>
  <w:style w:type="paragraph" w:customStyle="1" w:styleId="182">
    <w:name w:val="font7"/>
    <w:basedOn w:val="1"/>
    <w:qFormat/>
    <w:uiPriority w:val="0"/>
    <w:pPr>
      <w:spacing w:before="100" w:beforeAutospacing="1" w:after="100" w:afterAutospacing="1"/>
    </w:pPr>
    <w:rPr>
      <w:rFonts w:eastAsia="Arial Unicode MS"/>
      <w:b/>
      <w:bCs/>
      <w:color w:val="000000"/>
      <w:sz w:val="20"/>
      <w:szCs w:val="20"/>
    </w:rPr>
  </w:style>
  <w:style w:type="paragraph" w:customStyle="1" w:styleId="183">
    <w:name w:val="列出段落11"/>
    <w:basedOn w:val="1"/>
    <w:qFormat/>
    <w:uiPriority w:val="0"/>
    <w:pPr>
      <w:ind w:firstLine="420" w:firstLineChars="200"/>
    </w:pPr>
  </w:style>
  <w:style w:type="paragraph" w:customStyle="1" w:styleId="184">
    <w:name w:val="表格内文"/>
    <w:basedOn w:val="1"/>
    <w:qFormat/>
    <w:uiPriority w:val="0"/>
    <w:rPr>
      <w:rFonts w:cs="宋体"/>
      <w:szCs w:val="20"/>
    </w:rPr>
  </w:style>
  <w:style w:type="paragraph" w:customStyle="1" w:styleId="185">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8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6"/>
      <w:szCs w:val="16"/>
    </w:rPr>
  </w:style>
  <w:style w:type="paragraph" w:customStyle="1" w:styleId="1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rPr>
  </w:style>
  <w:style w:type="paragraph" w:customStyle="1" w:styleId="188">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89">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19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sz w:val="20"/>
      <w:szCs w:val="20"/>
    </w:rPr>
  </w:style>
  <w:style w:type="paragraph" w:customStyle="1" w:styleId="191">
    <w:name w:val="Char11"/>
    <w:basedOn w:val="1"/>
    <w:qFormat/>
    <w:uiPriority w:val="0"/>
    <w:rPr>
      <w:rFonts w:ascii="仿宋_GB2312" w:eastAsia="仿宋_GB2312"/>
      <w:b/>
      <w:sz w:val="32"/>
      <w:szCs w:val="32"/>
    </w:rPr>
  </w:style>
  <w:style w:type="paragraph" w:customStyle="1" w:styleId="192">
    <w:name w:val="Char2"/>
    <w:basedOn w:val="1"/>
    <w:qFormat/>
    <w:uiPriority w:val="0"/>
    <w:pPr>
      <w:adjustRightInd w:val="0"/>
      <w:spacing w:line="360" w:lineRule="auto"/>
    </w:pPr>
    <w:rPr>
      <w:szCs w:val="20"/>
    </w:rPr>
  </w:style>
  <w:style w:type="paragraph" w:customStyle="1" w:styleId="193">
    <w:name w:val="菲页2"/>
    <w:basedOn w:val="5"/>
    <w:qFormat/>
    <w:uiPriority w:val="0"/>
    <w:pPr>
      <w:tabs>
        <w:tab w:val="left" w:pos="1000"/>
      </w:tabs>
      <w:spacing w:before="120" w:after="120" w:line="360" w:lineRule="auto"/>
      <w:ind w:left="1000" w:hanging="1000"/>
      <w:jc w:val="center"/>
    </w:pPr>
    <w:rPr>
      <w:rFonts w:ascii="黑体" w:hAnsi="宋体" w:eastAsia="黑体"/>
      <w:b w:val="0"/>
      <w:bCs w:val="0"/>
      <w:sz w:val="44"/>
      <w:szCs w:val="20"/>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sz w:val="20"/>
      <w:szCs w:val="20"/>
    </w:rPr>
  </w:style>
  <w:style w:type="paragraph" w:customStyle="1" w:styleId="195">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196">
    <w:name w:val="Table Text"/>
    <w:basedOn w:val="1"/>
    <w:qFormat/>
    <w:uiPriority w:val="0"/>
    <w:pPr>
      <w:spacing w:before="60" w:after="60"/>
    </w:pPr>
  </w:style>
  <w:style w:type="paragraph" w:customStyle="1" w:styleId="197">
    <w:name w:val="table head"/>
    <w:basedOn w:val="1"/>
    <w:qFormat/>
    <w:uiPriority w:val="0"/>
    <w:pPr>
      <w:keepNext/>
      <w:keepLines/>
      <w:adjustRightInd w:val="0"/>
      <w:spacing w:line="312" w:lineRule="atLeast"/>
      <w:jc w:val="center"/>
      <w:textAlignment w:val="baseline"/>
    </w:pPr>
    <w:rPr>
      <w:b/>
      <w:szCs w:val="20"/>
    </w:rPr>
  </w:style>
  <w:style w:type="paragraph" w:customStyle="1" w:styleId="198">
    <w:name w:val="xl36"/>
    <w:basedOn w:val="1"/>
    <w:qFormat/>
    <w:uiPriority w:val="0"/>
    <w:pP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9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200">
    <w:name w:val="xl5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szCs w:val="21"/>
    </w:rPr>
  </w:style>
  <w:style w:type="paragraph" w:customStyle="1" w:styleId="201">
    <w:name w:val="List Paragraph1"/>
    <w:basedOn w:val="1"/>
    <w:qFormat/>
    <w:uiPriority w:val="0"/>
    <w:pPr>
      <w:ind w:firstLine="420" w:firstLineChars="200"/>
    </w:pPr>
    <w:rPr>
      <w:rFonts w:ascii="宋体" w:cs="宋体"/>
      <w:sz w:val="32"/>
      <w:szCs w:val="32"/>
    </w:rPr>
  </w:style>
  <w:style w:type="paragraph" w:customStyle="1" w:styleId="202">
    <w:name w:val="p15"/>
    <w:basedOn w:val="1"/>
    <w:qFormat/>
    <w:uiPriority w:val="0"/>
    <w:rPr>
      <w:rFonts w:ascii="Calibri" w:hAnsi="Calibri" w:cs="宋体"/>
      <w:szCs w:val="21"/>
    </w:rPr>
  </w:style>
  <w:style w:type="paragraph" w:customStyle="1" w:styleId="203">
    <w:name w:val="Char Char Char1"/>
    <w:basedOn w:val="1"/>
    <w:qFormat/>
    <w:uiPriority w:val="0"/>
    <w:pPr>
      <w:spacing w:after="160" w:line="240" w:lineRule="exact"/>
    </w:pPr>
    <w:rPr>
      <w:rFonts w:ascii="Verdana" w:hAnsi="Verdana"/>
      <w:sz w:val="20"/>
      <w:szCs w:val="20"/>
      <w:lang w:eastAsia="en-US"/>
    </w:rPr>
  </w:style>
  <w:style w:type="paragraph" w:customStyle="1" w:styleId="204">
    <w:name w:val="标题3"/>
    <w:basedOn w:val="5"/>
    <w:qFormat/>
    <w:uiPriority w:val="0"/>
    <w:pPr>
      <w:spacing w:line="413" w:lineRule="auto"/>
    </w:pPr>
    <w:rPr>
      <w:rFonts w:ascii="宋体" w:hAnsi="宋体"/>
      <w:sz w:val="28"/>
      <w:szCs w:val="28"/>
    </w:rPr>
  </w:style>
  <w:style w:type="paragraph" w:customStyle="1" w:styleId="205">
    <w:name w:val="Char1 Char Char Char Char Char Char"/>
    <w:basedOn w:val="1"/>
    <w:qFormat/>
    <w:uiPriority w:val="0"/>
    <w:rPr>
      <w:szCs w:val="20"/>
    </w:rPr>
  </w:style>
  <w:style w:type="paragraph" w:customStyle="1" w:styleId="206">
    <w:name w:val="目录标题"/>
    <w:basedOn w:val="3"/>
    <w:next w:val="1"/>
    <w:qFormat/>
    <w:uiPriority w:val="39"/>
    <w:pPr>
      <w:outlineLvl w:val="9"/>
    </w:pPr>
  </w:style>
  <w:style w:type="paragraph" w:customStyle="1" w:styleId="207">
    <w:name w:val="正文5"/>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9">
    <w:name w:val="_Style 6"/>
    <w:basedOn w:val="1"/>
    <w:qFormat/>
    <w:uiPriority w:val="34"/>
    <w:pPr>
      <w:ind w:firstLine="420" w:firstLineChars="200"/>
    </w:pPr>
    <w:rPr>
      <w:sz w:val="18"/>
      <w:szCs w:val="18"/>
    </w:rPr>
  </w:style>
  <w:style w:type="paragraph" w:customStyle="1" w:styleId="210">
    <w:name w:val="(符号)三标题1.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11">
    <w:name w:val="目录"/>
    <w:basedOn w:val="1"/>
    <w:qFormat/>
    <w:uiPriority w:val="0"/>
    <w:pPr>
      <w:jc w:val="center"/>
    </w:pPr>
    <w:rPr>
      <w:rFonts w:ascii="宋体"/>
      <w:b/>
      <w:sz w:val="36"/>
      <w:szCs w:val="20"/>
    </w:rPr>
  </w:style>
  <w:style w:type="paragraph" w:customStyle="1" w:styleId="212">
    <w:name w:val="Char Char1 Char Char Char Char Char Char1"/>
    <w:basedOn w:val="1"/>
    <w:qFormat/>
    <w:uiPriority w:val="0"/>
    <w:pPr>
      <w:spacing w:after="160" w:line="240" w:lineRule="exact"/>
    </w:pPr>
    <w:rPr>
      <w:rFonts w:ascii="Verdana" w:hAnsi="Verdana" w:eastAsia="仿宋_GB2312"/>
      <w:szCs w:val="20"/>
      <w:lang w:eastAsia="en-US"/>
    </w:rPr>
  </w:style>
  <w:style w:type="paragraph" w:customStyle="1" w:styleId="213">
    <w:name w:val="正文文本 21"/>
    <w:basedOn w:val="1"/>
    <w:qFormat/>
    <w:uiPriority w:val="0"/>
    <w:pPr>
      <w:adjustRightInd w:val="0"/>
      <w:spacing w:line="300" w:lineRule="auto"/>
      <w:jc w:val="center"/>
      <w:textAlignment w:val="baseline"/>
    </w:pPr>
    <w:rPr>
      <w:rFonts w:ascii="宋体" w:hAnsi="宋体"/>
      <w:szCs w:val="20"/>
    </w:rPr>
  </w:style>
  <w:style w:type="paragraph" w:customStyle="1" w:styleId="214">
    <w:name w:val="正文文本 22"/>
    <w:basedOn w:val="1"/>
    <w:qFormat/>
    <w:uiPriority w:val="0"/>
    <w:pPr>
      <w:adjustRightInd w:val="0"/>
      <w:spacing w:line="300" w:lineRule="auto"/>
      <w:jc w:val="center"/>
      <w:textAlignment w:val="baseline"/>
    </w:pPr>
    <w:rPr>
      <w:rFonts w:ascii="宋体" w:hAnsi="宋体"/>
      <w:szCs w:val="20"/>
    </w:rPr>
  </w:style>
  <w:style w:type="paragraph" w:customStyle="1" w:styleId="215">
    <w:name w:val="目录文字"/>
    <w:basedOn w:val="1"/>
    <w:qFormat/>
    <w:uiPriority w:val="0"/>
    <w:pPr>
      <w:spacing w:line="480" w:lineRule="auto"/>
    </w:pPr>
    <w:rPr>
      <w:rFonts w:ascii="宋体" w:hAnsi="宋体"/>
      <w:szCs w:val="20"/>
    </w:rPr>
  </w:style>
  <w:style w:type="paragraph" w:customStyle="1" w:styleId="216">
    <w:name w:val="默认段落字体 Para Char Char Char Char"/>
    <w:basedOn w:val="1"/>
    <w:qFormat/>
    <w:uiPriority w:val="0"/>
    <w:rPr>
      <w:szCs w:val="21"/>
    </w:rPr>
  </w:style>
  <w:style w:type="paragraph" w:customStyle="1" w:styleId="217">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rPr>
  </w:style>
  <w:style w:type="paragraph" w:customStyle="1" w:styleId="218">
    <w:name w:val="标题6"/>
    <w:basedOn w:val="8"/>
    <w:qFormat/>
    <w:uiPriority w:val="0"/>
    <w:pPr>
      <w:tabs>
        <w:tab w:val="right" w:leader="dot" w:pos="9061"/>
      </w:tabs>
      <w:spacing w:line="319" w:lineRule="auto"/>
      <w:jc w:val="center"/>
    </w:pPr>
    <w:rPr>
      <w:rFonts w:ascii="宋体" w:hAnsi="Arial"/>
      <w:bCs w:val="0"/>
      <w:sz w:val="21"/>
    </w:rPr>
  </w:style>
  <w:style w:type="paragraph" w:customStyle="1" w:styleId="219">
    <w:name w:val="无间隔1"/>
    <w:basedOn w:val="1"/>
    <w:qFormat/>
    <w:uiPriority w:val="0"/>
    <w:rPr>
      <w:rFonts w:ascii="Calibri" w:hAnsi="Calibri"/>
      <w:sz w:val="20"/>
      <w:szCs w:val="20"/>
    </w:rPr>
  </w:style>
  <w:style w:type="paragraph" w:customStyle="1" w:styleId="220">
    <w:name w:val="纯文本11"/>
    <w:basedOn w:val="1"/>
    <w:qFormat/>
    <w:uiPriority w:val="0"/>
    <w:pPr>
      <w:adjustRightInd w:val="0"/>
      <w:textAlignment w:val="baseline"/>
    </w:pPr>
    <w:rPr>
      <w:rFonts w:ascii="宋体" w:hAnsi="Courier New"/>
      <w:szCs w:val="20"/>
    </w:rPr>
  </w:style>
  <w:style w:type="paragraph" w:customStyle="1" w:styleId="221">
    <w:name w:val="xl61"/>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szCs w:val="21"/>
    </w:rPr>
  </w:style>
  <w:style w:type="paragraph" w:customStyle="1" w:styleId="222">
    <w:name w:val="Absatz2AL"/>
    <w:basedOn w:val="2"/>
    <w:next w:val="1"/>
    <w:qFormat/>
    <w:uiPriority w:val="0"/>
    <w:pPr>
      <w:overflowPunct w:val="0"/>
      <w:autoSpaceDE w:val="0"/>
      <w:autoSpaceDN w:val="0"/>
      <w:adjustRightInd w:val="0"/>
      <w:spacing w:after="0"/>
    </w:pPr>
    <w:rPr>
      <w:rFonts w:eastAsia="楷体_GB2312"/>
      <w:kern w:val="0"/>
      <w:sz w:val="24"/>
      <w:szCs w:val="20"/>
      <w:lang w:val="de-DE" w:eastAsia="de-DE"/>
    </w:rPr>
  </w:style>
  <w:style w:type="paragraph" w:customStyle="1" w:styleId="223">
    <w:name w:val="Char1 Char Char Char Char Char Char1"/>
    <w:basedOn w:val="1"/>
    <w:qFormat/>
    <w:uiPriority w:val="0"/>
    <w:rPr>
      <w:szCs w:val="20"/>
    </w:rPr>
  </w:style>
  <w:style w:type="paragraph" w:customStyle="1" w:styleId="22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25">
    <w:name w:val="Char Char1 Char Char Char Char Char Char Char Char Char Char Char Char Char Char1"/>
    <w:basedOn w:val="1"/>
    <w:qFormat/>
    <w:uiPriority w:val="0"/>
    <w:pPr>
      <w:spacing w:after="160" w:line="240" w:lineRule="exact"/>
    </w:pPr>
    <w:rPr>
      <w:rFonts w:ascii="Verdana" w:hAnsi="Verdana"/>
      <w:sz w:val="20"/>
      <w:szCs w:val="20"/>
      <w:lang w:eastAsia="en-US"/>
    </w:rPr>
  </w:style>
  <w:style w:type="paragraph" w:customStyle="1" w:styleId="226">
    <w:name w:val="xl60"/>
    <w:basedOn w:val="1"/>
    <w:qFormat/>
    <w:uiPriority w:val="0"/>
    <w:pPr>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22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sz w:val="20"/>
      <w:szCs w:val="20"/>
    </w:rPr>
  </w:style>
  <w:style w:type="character" w:customStyle="1" w:styleId="228">
    <w:name w:val="标题 4 Char"/>
    <w:link w:val="6"/>
    <w:qFormat/>
    <w:uiPriority w:val="9"/>
    <w:rPr>
      <w:b/>
      <w:bCs/>
      <w:sz w:val="28"/>
      <w:szCs w:val="28"/>
    </w:rPr>
  </w:style>
  <w:style w:type="character" w:customStyle="1" w:styleId="229">
    <w:name w:val="标题 1 Char"/>
    <w:link w:val="3"/>
    <w:qFormat/>
    <w:uiPriority w:val="0"/>
    <w:rPr>
      <w:rFonts w:ascii="Cambria" w:hAnsi="Cambria"/>
      <w:b/>
      <w:bCs/>
      <w:kern w:val="32"/>
      <w:sz w:val="32"/>
      <w:szCs w:val="32"/>
    </w:rPr>
  </w:style>
  <w:style w:type="character" w:customStyle="1" w:styleId="230">
    <w:name w:val="标题 2 Char"/>
    <w:link w:val="4"/>
    <w:qFormat/>
    <w:uiPriority w:val="9"/>
    <w:rPr>
      <w:rFonts w:ascii="Cambria" w:hAnsi="Cambria"/>
      <w:b/>
      <w:bCs/>
      <w:iCs/>
      <w:sz w:val="28"/>
      <w:szCs w:val="28"/>
    </w:rPr>
  </w:style>
  <w:style w:type="character" w:customStyle="1" w:styleId="231">
    <w:name w:val="标题 3 Char"/>
    <w:link w:val="5"/>
    <w:qFormat/>
    <w:uiPriority w:val="9"/>
    <w:rPr>
      <w:rFonts w:ascii="Cambria" w:hAnsi="Cambria" w:eastAsia="宋体"/>
      <w:b/>
      <w:bCs/>
      <w:sz w:val="26"/>
      <w:szCs w:val="26"/>
    </w:rPr>
  </w:style>
  <w:style w:type="character" w:customStyle="1" w:styleId="232">
    <w:name w:val="标题 5 Char"/>
    <w:link w:val="7"/>
    <w:qFormat/>
    <w:uiPriority w:val="9"/>
    <w:rPr>
      <w:b/>
      <w:bCs/>
      <w:i/>
      <w:iCs/>
      <w:sz w:val="26"/>
      <w:szCs w:val="26"/>
    </w:rPr>
  </w:style>
  <w:style w:type="character" w:customStyle="1" w:styleId="233">
    <w:name w:val="标题 6 Char"/>
    <w:link w:val="8"/>
    <w:qFormat/>
    <w:uiPriority w:val="9"/>
    <w:rPr>
      <w:b/>
      <w:bCs/>
    </w:rPr>
  </w:style>
  <w:style w:type="character" w:customStyle="1" w:styleId="234">
    <w:name w:val="标题 7 Char"/>
    <w:link w:val="9"/>
    <w:qFormat/>
    <w:uiPriority w:val="9"/>
    <w:rPr>
      <w:sz w:val="24"/>
      <w:szCs w:val="24"/>
    </w:rPr>
  </w:style>
  <w:style w:type="character" w:customStyle="1" w:styleId="235">
    <w:name w:val="标题 8 Char"/>
    <w:link w:val="10"/>
    <w:qFormat/>
    <w:uiPriority w:val="9"/>
    <w:rPr>
      <w:i/>
      <w:iCs/>
      <w:sz w:val="24"/>
      <w:szCs w:val="24"/>
    </w:rPr>
  </w:style>
  <w:style w:type="character" w:customStyle="1" w:styleId="236">
    <w:name w:val="标题 9 Char"/>
    <w:link w:val="11"/>
    <w:qFormat/>
    <w:uiPriority w:val="9"/>
    <w:rPr>
      <w:rFonts w:ascii="Cambria" w:hAnsi="Cambria" w:eastAsia="宋体"/>
    </w:rPr>
  </w:style>
  <w:style w:type="character" w:customStyle="1" w:styleId="237">
    <w:name w:val="正文缩进 Char"/>
    <w:link w:val="13"/>
    <w:qFormat/>
    <w:uiPriority w:val="0"/>
    <w:rPr>
      <w:kern w:val="2"/>
      <w:sz w:val="21"/>
    </w:rPr>
  </w:style>
  <w:style w:type="character" w:customStyle="1" w:styleId="238">
    <w:name w:val="文档结构图 Char"/>
    <w:link w:val="15"/>
    <w:qFormat/>
    <w:uiPriority w:val="0"/>
    <w:rPr>
      <w:rFonts w:ascii="宋体" w:eastAsia="宋体"/>
      <w:kern w:val="2"/>
      <w:sz w:val="18"/>
      <w:szCs w:val="18"/>
      <w:lang w:bidi="ar-SA"/>
    </w:rPr>
  </w:style>
  <w:style w:type="character" w:customStyle="1" w:styleId="239">
    <w:name w:val="批注文字 Char"/>
    <w:link w:val="16"/>
    <w:qFormat/>
    <w:uiPriority w:val="99"/>
    <w:rPr>
      <w:rFonts w:eastAsia="宋体"/>
      <w:kern w:val="2"/>
      <w:sz w:val="21"/>
      <w:szCs w:val="24"/>
      <w:lang w:val="en-US" w:eastAsia="zh-CN" w:bidi="ar-SA"/>
    </w:rPr>
  </w:style>
  <w:style w:type="character" w:customStyle="1" w:styleId="240">
    <w:name w:val="正文文本 3 Char"/>
    <w:link w:val="17"/>
    <w:qFormat/>
    <w:uiPriority w:val="0"/>
    <w:rPr>
      <w:rFonts w:eastAsia="宋体"/>
      <w:b/>
      <w:bCs/>
      <w:kern w:val="2"/>
      <w:sz w:val="24"/>
      <w:szCs w:val="24"/>
      <w:lang w:bidi="ar-SA"/>
    </w:rPr>
  </w:style>
  <w:style w:type="character" w:customStyle="1" w:styleId="241">
    <w:name w:val="正文文本 Char"/>
    <w:link w:val="2"/>
    <w:qFormat/>
    <w:uiPriority w:val="0"/>
    <w:rPr>
      <w:kern w:val="2"/>
      <w:sz w:val="21"/>
      <w:szCs w:val="24"/>
    </w:rPr>
  </w:style>
  <w:style w:type="character" w:customStyle="1" w:styleId="242">
    <w:name w:val="副标题 Char"/>
    <w:link w:val="33"/>
    <w:qFormat/>
    <w:uiPriority w:val="11"/>
    <w:rPr>
      <w:rFonts w:ascii="Cambria" w:hAnsi="Cambria" w:eastAsia="宋体"/>
      <w:sz w:val="24"/>
      <w:szCs w:val="24"/>
    </w:rPr>
  </w:style>
  <w:style w:type="character" w:customStyle="1" w:styleId="243">
    <w:name w:val="正文文本缩进 Char"/>
    <w:link w:val="19"/>
    <w:qFormat/>
    <w:uiPriority w:val="0"/>
    <w:rPr>
      <w:kern w:val="2"/>
      <w:sz w:val="21"/>
      <w:szCs w:val="24"/>
      <w:lang w:bidi="ar-SA"/>
    </w:rPr>
  </w:style>
  <w:style w:type="character" w:customStyle="1" w:styleId="244">
    <w:name w:val="纯文本 Char"/>
    <w:link w:val="24"/>
    <w:qFormat/>
    <w:uiPriority w:val="0"/>
    <w:rPr>
      <w:rFonts w:ascii="宋体" w:hAnsi="Courier New"/>
      <w:kern w:val="2"/>
      <w:sz w:val="21"/>
    </w:rPr>
  </w:style>
  <w:style w:type="character" w:customStyle="1" w:styleId="245">
    <w:name w:val="日期 Char"/>
    <w:link w:val="26"/>
    <w:qFormat/>
    <w:uiPriority w:val="0"/>
    <w:rPr>
      <w:kern w:val="2"/>
      <w:sz w:val="21"/>
      <w:szCs w:val="24"/>
    </w:rPr>
  </w:style>
  <w:style w:type="character" w:customStyle="1" w:styleId="246">
    <w:name w:val="正文文本缩进 2 Char"/>
    <w:link w:val="27"/>
    <w:qFormat/>
    <w:uiPriority w:val="0"/>
    <w:rPr>
      <w:kern w:val="2"/>
      <w:sz w:val="32"/>
      <w:szCs w:val="24"/>
    </w:rPr>
  </w:style>
  <w:style w:type="character" w:customStyle="1" w:styleId="247">
    <w:name w:val="批注框文本 Char"/>
    <w:link w:val="28"/>
    <w:qFormat/>
    <w:uiPriority w:val="99"/>
    <w:rPr>
      <w:kern w:val="2"/>
      <w:sz w:val="18"/>
      <w:szCs w:val="18"/>
      <w:lang w:bidi="ar-SA"/>
    </w:rPr>
  </w:style>
  <w:style w:type="character" w:customStyle="1" w:styleId="248">
    <w:name w:val="页脚 Char"/>
    <w:link w:val="29"/>
    <w:qFormat/>
    <w:uiPriority w:val="99"/>
    <w:rPr>
      <w:kern w:val="2"/>
      <w:sz w:val="18"/>
      <w:szCs w:val="18"/>
    </w:rPr>
  </w:style>
  <w:style w:type="character" w:customStyle="1" w:styleId="249">
    <w:name w:val="页眉 Char"/>
    <w:link w:val="30"/>
    <w:qFormat/>
    <w:uiPriority w:val="99"/>
    <w:rPr>
      <w:kern w:val="2"/>
      <w:sz w:val="18"/>
      <w:szCs w:val="18"/>
    </w:rPr>
  </w:style>
  <w:style w:type="character" w:customStyle="1" w:styleId="250">
    <w:name w:val="脚注文本 Char"/>
    <w:link w:val="34"/>
    <w:qFormat/>
    <w:uiPriority w:val="0"/>
    <w:rPr>
      <w:kern w:val="2"/>
      <w:sz w:val="18"/>
      <w:szCs w:val="18"/>
      <w:lang w:bidi="ar-SA"/>
    </w:rPr>
  </w:style>
  <w:style w:type="character" w:customStyle="1" w:styleId="251">
    <w:name w:val="正文文本缩进 3 Char"/>
    <w:link w:val="36"/>
    <w:qFormat/>
    <w:uiPriority w:val="0"/>
    <w:rPr>
      <w:rFonts w:eastAsia="楷体"/>
      <w:sz w:val="24"/>
      <w:lang w:bidi="ar-SA"/>
    </w:rPr>
  </w:style>
  <w:style w:type="character" w:customStyle="1" w:styleId="252">
    <w:name w:val="正文文本 2 Char"/>
    <w:link w:val="39"/>
    <w:qFormat/>
    <w:uiPriority w:val="0"/>
    <w:rPr>
      <w:rFonts w:ascii="Calibri" w:hAnsi="Calibri"/>
      <w:kern w:val="2"/>
      <w:sz w:val="21"/>
      <w:szCs w:val="22"/>
    </w:rPr>
  </w:style>
  <w:style w:type="character" w:customStyle="1" w:styleId="253">
    <w:name w:val="HTML 预设格式 Char"/>
    <w:link w:val="40"/>
    <w:qFormat/>
    <w:uiPriority w:val="0"/>
    <w:rPr>
      <w:rFonts w:ascii="Arial" w:hAnsi="Arial" w:cs="Arial"/>
      <w:sz w:val="21"/>
      <w:szCs w:val="24"/>
    </w:rPr>
  </w:style>
  <w:style w:type="character" w:customStyle="1" w:styleId="254">
    <w:name w:val="标题 Char"/>
    <w:link w:val="43"/>
    <w:qFormat/>
    <w:uiPriority w:val="10"/>
    <w:rPr>
      <w:rFonts w:ascii="Cambria" w:hAnsi="Cambria" w:eastAsia="宋体"/>
      <w:b/>
      <w:bCs/>
      <w:kern w:val="28"/>
      <w:sz w:val="32"/>
      <w:szCs w:val="32"/>
    </w:rPr>
  </w:style>
  <w:style w:type="character" w:customStyle="1" w:styleId="255">
    <w:name w:val="批注主题 Char"/>
    <w:basedOn w:val="239"/>
    <w:link w:val="44"/>
    <w:qFormat/>
    <w:uiPriority w:val="99"/>
  </w:style>
  <w:style w:type="character" w:customStyle="1" w:styleId="256">
    <w:name w:val="正文首行缩进 Char"/>
    <w:link w:val="45"/>
    <w:qFormat/>
    <w:uiPriority w:val="0"/>
    <w:rPr>
      <w:rFonts w:ascii="Arial" w:hAnsi="Arial"/>
      <w:color w:val="000000"/>
      <w:kern w:val="2"/>
      <w:sz w:val="21"/>
      <w:szCs w:val="24"/>
    </w:rPr>
  </w:style>
  <w:style w:type="character" w:customStyle="1" w:styleId="257">
    <w:name w:val="Char Char36"/>
    <w:basedOn w:val="48"/>
    <w:qFormat/>
    <w:uiPriority w:val="0"/>
  </w:style>
  <w:style w:type="character" w:customStyle="1" w:styleId="258">
    <w:name w:val="_Style 257"/>
    <w:qFormat/>
    <w:uiPriority w:val="19"/>
    <w:rPr>
      <w:i/>
      <w:color w:val="5A5A5A"/>
    </w:rPr>
  </w:style>
  <w:style w:type="character" w:customStyle="1" w:styleId="259">
    <w:name w:val="tabletextchar1"/>
    <w:basedOn w:val="48"/>
    <w:qFormat/>
    <w:uiPriority w:val="0"/>
  </w:style>
  <w:style w:type="character" w:customStyle="1" w:styleId="260">
    <w:name w:val="Char Char20"/>
    <w:qFormat/>
    <w:uiPriority w:val="0"/>
  </w:style>
  <w:style w:type="character" w:customStyle="1" w:styleId="261">
    <w:name w:val="apple-converted-space"/>
    <w:basedOn w:val="48"/>
    <w:qFormat/>
    <w:uiPriority w:val="0"/>
  </w:style>
  <w:style w:type="character" w:customStyle="1" w:styleId="262">
    <w:name w:val="apple-style-span"/>
    <w:basedOn w:val="48"/>
    <w:qFormat/>
    <w:uiPriority w:val="0"/>
  </w:style>
  <w:style w:type="character" w:customStyle="1" w:styleId="263">
    <w:name w:val="font61"/>
    <w:qFormat/>
    <w:uiPriority w:val="0"/>
    <w:rPr>
      <w:rFonts w:ascii="Arial" w:hAnsi="Arial" w:cs="Arial"/>
      <w:b/>
      <w:color w:val="000000"/>
      <w:sz w:val="28"/>
      <w:szCs w:val="28"/>
      <w:u w:val="none"/>
    </w:rPr>
  </w:style>
  <w:style w:type="character" w:customStyle="1" w:styleId="264">
    <w:name w:val="正文文本缩进 2 Char1"/>
    <w:semiHidden/>
    <w:qFormat/>
    <w:uiPriority w:val="99"/>
    <w:rPr>
      <w:rFonts w:ascii="Times New Roman" w:hAnsi="Times New Roman" w:eastAsia="宋体" w:cs="Times New Roman"/>
      <w:kern w:val="2"/>
      <w:sz w:val="21"/>
    </w:rPr>
  </w:style>
  <w:style w:type="character" w:customStyle="1" w:styleId="265">
    <w:name w:val="样式2 Char Char1"/>
    <w:basedOn w:val="48"/>
    <w:qFormat/>
    <w:uiPriority w:val="0"/>
  </w:style>
  <w:style w:type="character" w:customStyle="1" w:styleId="266">
    <w:name w:val="meuncn1"/>
    <w:basedOn w:val="48"/>
    <w:qFormat/>
    <w:uiPriority w:val="0"/>
  </w:style>
  <w:style w:type="character" w:customStyle="1" w:styleId="267">
    <w:name w:val="Table Text Char Char"/>
    <w:basedOn w:val="48"/>
    <w:qFormat/>
    <w:uiPriority w:val="0"/>
  </w:style>
  <w:style w:type="character" w:customStyle="1" w:styleId="268">
    <w:name w:val="Char Char14"/>
    <w:qFormat/>
    <w:uiPriority w:val="0"/>
  </w:style>
  <w:style w:type="character" w:customStyle="1" w:styleId="269">
    <w:name w:val="正文（小标题） Char Char"/>
    <w:basedOn w:val="48"/>
    <w:qFormat/>
    <w:uiPriority w:val="0"/>
  </w:style>
  <w:style w:type="character" w:customStyle="1" w:styleId="270">
    <w:name w:val="Char Char31"/>
    <w:qFormat/>
    <w:uiPriority w:val="0"/>
  </w:style>
  <w:style w:type="character" w:customStyle="1" w:styleId="271">
    <w:name w:val="Balloon Text Char"/>
    <w:semiHidden/>
    <w:qFormat/>
    <w:locked/>
    <w:uiPriority w:val="99"/>
    <w:rPr>
      <w:rFonts w:ascii="Calibri" w:hAnsi="Calibri" w:eastAsia="宋体" w:cs="Times New Roman"/>
      <w:sz w:val="18"/>
      <w:szCs w:val="18"/>
    </w:rPr>
  </w:style>
  <w:style w:type="character" w:customStyle="1" w:styleId="272">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73">
    <w:name w:val="正文文本缩进 Char Char"/>
    <w:basedOn w:val="48"/>
    <w:qFormat/>
    <w:uiPriority w:val="0"/>
  </w:style>
  <w:style w:type="character" w:customStyle="1" w:styleId="274">
    <w:name w:val="z-窗体底端 Char1"/>
    <w:semiHidden/>
    <w:qFormat/>
    <w:uiPriority w:val="99"/>
    <w:rPr>
      <w:rFonts w:ascii="Arial" w:hAnsi="Arial" w:eastAsia="宋体" w:cs="Arial"/>
      <w:vanish/>
      <w:kern w:val="2"/>
      <w:sz w:val="16"/>
      <w:szCs w:val="16"/>
    </w:rPr>
  </w:style>
  <w:style w:type="character" w:customStyle="1" w:styleId="275">
    <w:name w:val="Char Char10"/>
    <w:qFormat/>
    <w:uiPriority w:val="0"/>
  </w:style>
  <w:style w:type="character" w:customStyle="1" w:styleId="276">
    <w:name w:val="Char Char2"/>
    <w:qFormat/>
    <w:uiPriority w:val="0"/>
  </w:style>
  <w:style w:type="character" w:customStyle="1" w:styleId="277">
    <w:name w:val="_Style 276"/>
    <w:qFormat/>
    <w:uiPriority w:val="33"/>
    <w:rPr>
      <w:rFonts w:ascii="Cambria" w:hAnsi="Cambria" w:eastAsia="宋体"/>
      <w:b/>
      <w:i/>
      <w:sz w:val="24"/>
      <w:szCs w:val="24"/>
    </w:rPr>
  </w:style>
  <w:style w:type="character" w:customStyle="1" w:styleId="278">
    <w:name w:val="p14"/>
    <w:basedOn w:val="48"/>
    <w:qFormat/>
    <w:uiPriority w:val="0"/>
  </w:style>
  <w:style w:type="character" w:customStyle="1" w:styleId="279">
    <w:name w:val="正文格式 Char Char"/>
    <w:basedOn w:val="48"/>
    <w:qFormat/>
    <w:uiPriority w:val="0"/>
  </w:style>
  <w:style w:type="character" w:customStyle="1" w:styleId="280">
    <w:name w:val="font01"/>
    <w:qFormat/>
    <w:uiPriority w:val="0"/>
    <w:rPr>
      <w:rFonts w:hint="eastAsia" w:ascii="宋体" w:hAnsi="宋体" w:eastAsia="宋体" w:cs="宋体"/>
      <w:color w:val="000000"/>
      <w:sz w:val="22"/>
      <w:szCs w:val="22"/>
      <w:u w:val="none"/>
    </w:rPr>
  </w:style>
  <w:style w:type="character" w:customStyle="1" w:styleId="281">
    <w:name w:val="Char Char26"/>
    <w:qFormat/>
    <w:uiPriority w:val="0"/>
  </w:style>
  <w:style w:type="character" w:customStyle="1" w:styleId="282">
    <w:name w:val="标题 9 Char Char"/>
    <w:basedOn w:val="48"/>
    <w:qFormat/>
    <w:uiPriority w:val="0"/>
  </w:style>
  <w:style w:type="character" w:customStyle="1" w:styleId="283">
    <w:name w:val="(符号)五标题1.1.1 Char"/>
    <w:link w:val="61"/>
    <w:qFormat/>
    <w:locked/>
    <w:uiPriority w:val="99"/>
    <w:rPr>
      <w:rFonts w:ascii="宋体" w:hAnsi="宋体"/>
      <w:color w:val="000000"/>
      <w:kern w:val="2"/>
      <w:sz w:val="24"/>
      <w:lang w:bidi="ar-SA"/>
    </w:rPr>
  </w:style>
  <w:style w:type="character" w:customStyle="1" w:styleId="284">
    <w:name w:val="编号1 Char Char"/>
    <w:basedOn w:val="48"/>
    <w:qFormat/>
    <w:uiPriority w:val="0"/>
  </w:style>
  <w:style w:type="character" w:customStyle="1" w:styleId="285">
    <w:name w:val="Char Char37"/>
    <w:basedOn w:val="48"/>
    <w:qFormat/>
    <w:uiPriority w:val="0"/>
  </w:style>
  <w:style w:type="character" w:customStyle="1" w:styleId="286">
    <w:name w:val="Char Char32"/>
    <w:qFormat/>
    <w:uiPriority w:val="0"/>
  </w:style>
  <w:style w:type="character" w:customStyle="1" w:styleId="287">
    <w:name w:val="Char Char49"/>
    <w:basedOn w:val="48"/>
    <w:qFormat/>
    <w:uiPriority w:val="0"/>
  </w:style>
  <w:style w:type="character" w:customStyle="1" w:styleId="288">
    <w:name w:val="方框小标题 Char Char"/>
    <w:basedOn w:val="48"/>
    <w:qFormat/>
    <w:uiPriority w:val="0"/>
  </w:style>
  <w:style w:type="character" w:customStyle="1" w:styleId="289">
    <w:name w:val="Char Char4"/>
    <w:basedOn w:val="48"/>
    <w:qFormat/>
    <w:uiPriority w:val="0"/>
  </w:style>
  <w:style w:type="character" w:customStyle="1" w:styleId="290">
    <w:name w:val="标题 6 Char Char"/>
    <w:basedOn w:val="48"/>
    <w:qFormat/>
    <w:uiPriority w:val="0"/>
  </w:style>
  <w:style w:type="character" w:customStyle="1" w:styleId="291">
    <w:name w:val="Char Char44"/>
    <w:basedOn w:val="48"/>
    <w:qFormat/>
    <w:uiPriority w:val="0"/>
  </w:style>
  <w:style w:type="character" w:customStyle="1" w:styleId="292">
    <w:name w:val="ca-10"/>
    <w:basedOn w:val="48"/>
    <w:qFormat/>
    <w:uiPriority w:val="0"/>
  </w:style>
  <w:style w:type="character" w:customStyle="1" w:styleId="293">
    <w:name w:val="H1 Char"/>
    <w:basedOn w:val="48"/>
    <w:qFormat/>
    <w:uiPriority w:val="0"/>
  </w:style>
  <w:style w:type="character" w:customStyle="1" w:styleId="294">
    <w:name w:val="Char Char40"/>
    <w:qFormat/>
    <w:uiPriority w:val="0"/>
  </w:style>
  <w:style w:type="character" w:customStyle="1" w:styleId="295">
    <w:name w:val="Char Char441"/>
    <w:qFormat/>
    <w:uiPriority w:val="0"/>
  </w:style>
  <w:style w:type="character" w:customStyle="1" w:styleId="296">
    <w:name w:val="标题 2 Char Char"/>
    <w:basedOn w:val="48"/>
    <w:qFormat/>
    <w:uiPriority w:val="0"/>
  </w:style>
  <w:style w:type="character" w:customStyle="1" w:styleId="297">
    <w:name w:val="加点正文缩进 Char Char"/>
    <w:basedOn w:val="48"/>
    <w:qFormat/>
    <w:uiPriority w:val="0"/>
  </w:style>
  <w:style w:type="character" w:customStyle="1" w:styleId="298">
    <w:name w:val="font31"/>
    <w:qFormat/>
    <w:uiPriority w:val="0"/>
    <w:rPr>
      <w:rFonts w:hint="eastAsia" w:ascii="宋体" w:hAnsi="宋体" w:eastAsia="宋体" w:cs="宋体"/>
      <w:color w:val="000000"/>
      <w:sz w:val="22"/>
      <w:szCs w:val="22"/>
      <w:u w:val="none"/>
    </w:rPr>
  </w:style>
  <w:style w:type="character" w:customStyle="1" w:styleId="299">
    <w:name w:val="样式2 Char Char"/>
    <w:basedOn w:val="48"/>
    <w:qFormat/>
    <w:uiPriority w:val="0"/>
  </w:style>
  <w:style w:type="character" w:customStyle="1" w:styleId="300">
    <w:name w:val="img1"/>
    <w:basedOn w:val="48"/>
    <w:qFormat/>
    <w:uiPriority w:val="0"/>
  </w:style>
  <w:style w:type="character" w:customStyle="1" w:styleId="301">
    <w:name w:val="标题1"/>
    <w:qFormat/>
    <w:uiPriority w:val="0"/>
  </w:style>
  <w:style w:type="character" w:customStyle="1" w:styleId="302">
    <w:name w:val="Char Char Char Char Char Char Char Char Char Char Char"/>
    <w:qFormat/>
    <w:uiPriority w:val="0"/>
    <w:rPr>
      <w:rFonts w:ascii="宋体"/>
      <w:kern w:val="2"/>
      <w:sz w:val="18"/>
      <w:szCs w:val="18"/>
    </w:rPr>
  </w:style>
  <w:style w:type="character" w:customStyle="1" w:styleId="303">
    <w:name w:val="Char Char43"/>
    <w:qFormat/>
    <w:uiPriority w:val="0"/>
  </w:style>
  <w:style w:type="character" w:customStyle="1" w:styleId="304">
    <w:name w:val="正文缩进 Char Char Char"/>
    <w:basedOn w:val="48"/>
    <w:qFormat/>
    <w:uiPriority w:val="0"/>
  </w:style>
  <w:style w:type="character" w:customStyle="1" w:styleId="305">
    <w:name w:val="Char Char33"/>
    <w:qFormat/>
    <w:uiPriority w:val="0"/>
  </w:style>
  <w:style w:type="character" w:customStyle="1" w:styleId="306">
    <w:name w:val="Char Char35"/>
    <w:qFormat/>
    <w:uiPriority w:val="0"/>
  </w:style>
  <w:style w:type="character" w:customStyle="1" w:styleId="307">
    <w:name w:val="arc11"/>
    <w:basedOn w:val="48"/>
    <w:qFormat/>
    <w:uiPriority w:val="0"/>
  </w:style>
  <w:style w:type="character" w:customStyle="1" w:styleId="308">
    <w:name w:val="short_text"/>
    <w:basedOn w:val="48"/>
    <w:qFormat/>
    <w:uiPriority w:val="0"/>
  </w:style>
  <w:style w:type="character" w:customStyle="1" w:styleId="309">
    <w:name w:val="Char Char27"/>
    <w:qFormat/>
    <w:uiPriority w:val="0"/>
  </w:style>
  <w:style w:type="character" w:customStyle="1" w:styleId="310">
    <w:name w:val="正文（缩进） Char1"/>
    <w:basedOn w:val="48"/>
    <w:qFormat/>
    <w:uiPriority w:val="0"/>
  </w:style>
  <w:style w:type="character" w:customStyle="1" w:styleId="311">
    <w:name w:val="Char Char13"/>
    <w:basedOn w:val="268"/>
    <w:qFormat/>
    <w:uiPriority w:val="0"/>
  </w:style>
  <w:style w:type="character" w:customStyle="1" w:styleId="312">
    <w:name w:val="style261"/>
    <w:basedOn w:val="48"/>
    <w:qFormat/>
    <w:uiPriority w:val="0"/>
  </w:style>
  <w:style w:type="character" w:customStyle="1" w:styleId="313">
    <w:name w:val="ca-6"/>
    <w:basedOn w:val="48"/>
    <w:qFormat/>
    <w:uiPriority w:val="0"/>
  </w:style>
  <w:style w:type="character" w:customStyle="1" w:styleId="314">
    <w:name w:val="Char Char17"/>
    <w:qFormat/>
    <w:uiPriority w:val="0"/>
  </w:style>
  <w:style w:type="character" w:customStyle="1" w:styleId="315">
    <w:name w:val="Char Char15"/>
    <w:qFormat/>
    <w:uiPriority w:val="0"/>
  </w:style>
  <w:style w:type="character" w:customStyle="1" w:styleId="316">
    <w:name w:val="ca-8"/>
    <w:basedOn w:val="48"/>
    <w:qFormat/>
    <w:uiPriority w:val="0"/>
  </w:style>
  <w:style w:type="character" w:customStyle="1" w:styleId="317">
    <w:name w:val="图表正文 Char Char"/>
    <w:basedOn w:val="48"/>
    <w:qFormat/>
    <w:uiPriority w:val="0"/>
  </w:style>
  <w:style w:type="character" w:customStyle="1" w:styleId="318">
    <w:name w:val="_Style 317"/>
    <w:qFormat/>
    <w:uiPriority w:val="31"/>
    <w:rPr>
      <w:sz w:val="24"/>
      <w:szCs w:val="24"/>
      <w:u w:val="single"/>
    </w:rPr>
  </w:style>
  <w:style w:type="character" w:customStyle="1" w:styleId="319">
    <w:name w:val="Anrede1IhrZeichen"/>
    <w:basedOn w:val="48"/>
    <w:qFormat/>
    <w:uiPriority w:val="0"/>
  </w:style>
  <w:style w:type="character" w:customStyle="1" w:styleId="320">
    <w:name w:val="无间隔 Char"/>
    <w:link w:val="62"/>
    <w:qFormat/>
    <w:uiPriority w:val="1"/>
    <w:rPr>
      <w:sz w:val="24"/>
      <w:szCs w:val="32"/>
    </w:rPr>
  </w:style>
  <w:style w:type="character" w:customStyle="1" w:styleId="321">
    <w:name w:val="Char Char46"/>
    <w:qFormat/>
    <w:uiPriority w:val="0"/>
  </w:style>
  <w:style w:type="character" w:customStyle="1" w:styleId="322">
    <w:name w:val="首航缩进 Char Char"/>
    <w:basedOn w:val="48"/>
    <w:qFormat/>
    <w:uiPriority w:val="0"/>
  </w:style>
  <w:style w:type="character" w:customStyle="1" w:styleId="323">
    <w:name w:val="font_01"/>
    <w:basedOn w:val="48"/>
    <w:qFormat/>
    <w:uiPriority w:val="0"/>
  </w:style>
  <w:style w:type="character" w:customStyle="1" w:styleId="324">
    <w:name w:val="批注引用1"/>
    <w:basedOn w:val="48"/>
    <w:qFormat/>
    <w:uiPriority w:val="0"/>
  </w:style>
  <w:style w:type="character" w:customStyle="1" w:styleId="325">
    <w:name w:val="Char Char39"/>
    <w:qFormat/>
    <w:uiPriority w:val="0"/>
  </w:style>
  <w:style w:type="character" w:customStyle="1" w:styleId="326">
    <w:name w:val="font91"/>
    <w:qFormat/>
    <w:uiPriority w:val="0"/>
    <w:rPr>
      <w:rFonts w:hint="default" w:ascii="Arial" w:hAnsi="Arial" w:cs="Arial"/>
      <w:color w:val="000000"/>
      <w:sz w:val="22"/>
      <w:szCs w:val="22"/>
      <w:u w:val="none"/>
    </w:rPr>
  </w:style>
  <w:style w:type="character" w:customStyle="1" w:styleId="327">
    <w:name w:val="Char Char371"/>
    <w:qFormat/>
    <w:uiPriority w:val="0"/>
  </w:style>
  <w:style w:type="character" w:customStyle="1" w:styleId="328">
    <w:name w:val="bold1"/>
    <w:basedOn w:val="48"/>
    <w:qFormat/>
    <w:uiPriority w:val="0"/>
  </w:style>
  <w:style w:type="character" w:customStyle="1" w:styleId="329">
    <w:name w:val="ABC标题下的小点 Char Char"/>
    <w:basedOn w:val="48"/>
    <w:qFormat/>
    <w:uiPriority w:val="0"/>
  </w:style>
  <w:style w:type="character" w:customStyle="1" w:styleId="330">
    <w:name w:val="p141"/>
    <w:qFormat/>
    <w:uiPriority w:val="0"/>
  </w:style>
  <w:style w:type="character" w:customStyle="1" w:styleId="331">
    <w:name w:val="Char Char171"/>
    <w:qFormat/>
    <w:uiPriority w:val="0"/>
  </w:style>
  <w:style w:type="character" w:customStyle="1" w:styleId="332">
    <w:name w:val="正文文本 2 Char Char"/>
    <w:basedOn w:val="48"/>
    <w:qFormat/>
    <w:uiPriority w:val="0"/>
  </w:style>
  <w:style w:type="character" w:customStyle="1" w:styleId="333">
    <w:name w:val="t_tag"/>
    <w:basedOn w:val="48"/>
    <w:qFormat/>
    <w:uiPriority w:val="0"/>
  </w:style>
  <w:style w:type="character" w:customStyle="1" w:styleId="334">
    <w:name w:val="正文1 Char Char"/>
    <w:basedOn w:val="48"/>
    <w:qFormat/>
    <w:uiPriority w:val="0"/>
  </w:style>
  <w:style w:type="character" w:customStyle="1" w:styleId="335">
    <w:name w:val="Char Char Char Char Char Char Char Char Char"/>
    <w:qFormat/>
    <w:uiPriority w:val="0"/>
  </w:style>
  <w:style w:type="character" w:customStyle="1" w:styleId="336">
    <w:name w:val="（符号）三标题1.1 Char"/>
    <w:qFormat/>
    <w:uiPriority w:val="99"/>
    <w:rPr>
      <w:rFonts w:ascii="宋体" w:hAnsi="宋体"/>
      <w:kern w:val="2"/>
      <w:sz w:val="24"/>
      <w:szCs w:val="24"/>
    </w:rPr>
  </w:style>
  <w:style w:type="character" w:customStyle="1" w:styleId="337">
    <w:name w:val="img"/>
    <w:basedOn w:val="48"/>
    <w:qFormat/>
    <w:uiPriority w:val="0"/>
  </w:style>
  <w:style w:type="character" w:customStyle="1" w:styleId="338">
    <w:name w:val="正文文本缩进 Char1"/>
    <w:semiHidden/>
    <w:qFormat/>
    <w:uiPriority w:val="99"/>
    <w:rPr>
      <w:rFonts w:ascii="Times New Roman" w:hAnsi="Times New Roman" w:eastAsia="宋体" w:cs="Times New Roman"/>
      <w:kern w:val="2"/>
      <w:sz w:val="21"/>
    </w:rPr>
  </w:style>
  <w:style w:type="character" w:customStyle="1" w:styleId="339">
    <w:name w:val="段 Char Char"/>
    <w:link w:val="63"/>
    <w:qFormat/>
    <w:uiPriority w:val="0"/>
    <w:rPr>
      <w:rFonts w:ascii="宋体"/>
      <w:sz w:val="21"/>
      <w:szCs w:val="22"/>
      <w:lang w:val="en-US" w:eastAsia="zh-CN" w:bidi="ar-SA"/>
    </w:rPr>
  </w:style>
  <w:style w:type="character" w:customStyle="1" w:styleId="340">
    <w:name w:val="Char Char42"/>
    <w:qFormat/>
    <w:uiPriority w:val="0"/>
  </w:style>
  <w:style w:type="character" w:customStyle="1" w:styleId="341">
    <w:name w:val="正文文本 2 Char1"/>
    <w:semiHidden/>
    <w:qFormat/>
    <w:uiPriority w:val="99"/>
    <w:rPr>
      <w:rFonts w:ascii="Times New Roman" w:hAnsi="Times New Roman" w:eastAsia="宋体" w:cs="Times New Roman"/>
      <w:kern w:val="2"/>
      <w:sz w:val="21"/>
    </w:rPr>
  </w:style>
  <w:style w:type="character" w:customStyle="1" w:styleId="342">
    <w:name w:val="Char Char38"/>
    <w:qFormat/>
    <w:uiPriority w:val="0"/>
  </w:style>
  <w:style w:type="character" w:customStyle="1" w:styleId="343">
    <w:name w:val="3zw1"/>
    <w:basedOn w:val="48"/>
    <w:qFormat/>
    <w:uiPriority w:val="0"/>
  </w:style>
  <w:style w:type="character" w:customStyle="1" w:styleId="344">
    <w:name w:val="tt5"/>
    <w:basedOn w:val="48"/>
    <w:qFormat/>
    <w:uiPriority w:val="0"/>
  </w:style>
  <w:style w:type="character" w:customStyle="1" w:styleId="345">
    <w:name w:val="Char Char30"/>
    <w:qFormat/>
    <w:uiPriority w:val="0"/>
  </w:style>
  <w:style w:type="character" w:customStyle="1" w:styleId="346">
    <w:name w:val="图表题头 Char Char"/>
    <w:basedOn w:val="48"/>
    <w:qFormat/>
    <w:uiPriority w:val="0"/>
  </w:style>
  <w:style w:type="character" w:customStyle="1" w:styleId="347">
    <w:name w:val="Char Char11"/>
    <w:qFormat/>
    <w:uiPriority w:val="0"/>
  </w:style>
  <w:style w:type="character" w:customStyle="1" w:styleId="348">
    <w:name w:val="标题 Char1"/>
    <w:qFormat/>
    <w:uiPriority w:val="10"/>
    <w:rPr>
      <w:rFonts w:ascii="Cambria" w:hAnsi="Cambria" w:eastAsia="宋体" w:cs="Times New Roman"/>
      <w:b/>
      <w:bCs/>
      <w:kern w:val="2"/>
      <w:sz w:val="32"/>
      <w:szCs w:val="32"/>
    </w:rPr>
  </w:style>
  <w:style w:type="character" w:customStyle="1" w:styleId="349">
    <w:name w:val="font21"/>
    <w:qFormat/>
    <w:uiPriority w:val="0"/>
    <w:rPr>
      <w:rFonts w:ascii="宋体" w:eastAsia="宋体" w:cs="宋体"/>
      <w:color w:val="000000"/>
      <w:sz w:val="20"/>
      <w:szCs w:val="20"/>
      <w:u w:val="none"/>
      <w:lang w:bidi="ar-SA"/>
    </w:rPr>
  </w:style>
  <w:style w:type="character" w:customStyle="1" w:styleId="350">
    <w:name w:val="textnorm_chn1"/>
    <w:basedOn w:val="48"/>
    <w:qFormat/>
    <w:uiPriority w:val="0"/>
  </w:style>
  <w:style w:type="character" w:customStyle="1" w:styleId="351">
    <w:name w:val="ca-2"/>
    <w:basedOn w:val="48"/>
    <w:qFormat/>
    <w:uiPriority w:val="0"/>
  </w:style>
  <w:style w:type="character" w:customStyle="1" w:styleId="352">
    <w:name w:val="样式 标题 3Heading 3 - oldHeading 3H3l3CTBOD 03h33rd level...2 Char Char"/>
    <w:basedOn w:val="48"/>
    <w:qFormat/>
    <w:uiPriority w:val="0"/>
  </w:style>
  <w:style w:type="character" w:customStyle="1" w:styleId="353">
    <w:name w:val="font81"/>
    <w:qFormat/>
    <w:uiPriority w:val="0"/>
    <w:rPr>
      <w:rFonts w:hint="eastAsia" w:ascii="宋体" w:hAnsi="宋体" w:eastAsia="宋体" w:cs="宋体"/>
      <w:color w:val="000000"/>
      <w:sz w:val="22"/>
      <w:szCs w:val="22"/>
      <w:u w:val="none"/>
    </w:rPr>
  </w:style>
  <w:style w:type="character" w:customStyle="1" w:styleId="354">
    <w:name w:val="p121"/>
    <w:basedOn w:val="48"/>
    <w:qFormat/>
    <w:uiPriority w:val="0"/>
  </w:style>
  <w:style w:type="character" w:customStyle="1" w:styleId="355">
    <w:name w:val="small"/>
    <w:basedOn w:val="48"/>
    <w:qFormat/>
    <w:uiPriority w:val="0"/>
  </w:style>
  <w:style w:type="character" w:customStyle="1" w:styleId="356">
    <w:name w:val="正文文本缩进 3 Char1"/>
    <w:semiHidden/>
    <w:qFormat/>
    <w:uiPriority w:val="99"/>
    <w:rPr>
      <w:rFonts w:ascii="Times New Roman" w:hAnsi="Times New Roman" w:eastAsia="宋体" w:cs="Times New Roman"/>
      <w:kern w:val="2"/>
      <w:sz w:val="16"/>
      <w:szCs w:val="16"/>
    </w:rPr>
  </w:style>
  <w:style w:type="character" w:customStyle="1" w:styleId="357">
    <w:name w:val="Char Char48"/>
    <w:basedOn w:val="48"/>
    <w:qFormat/>
    <w:uiPriority w:val="0"/>
  </w:style>
  <w:style w:type="character" w:customStyle="1" w:styleId="358">
    <w:name w:val="正文文本 3 Char1"/>
    <w:semiHidden/>
    <w:qFormat/>
    <w:uiPriority w:val="99"/>
    <w:rPr>
      <w:rFonts w:ascii="Times New Roman" w:hAnsi="Times New Roman" w:eastAsia="宋体" w:cs="Times New Roman"/>
      <w:kern w:val="2"/>
      <w:sz w:val="16"/>
      <w:szCs w:val="16"/>
    </w:rPr>
  </w:style>
  <w:style w:type="character" w:customStyle="1" w:styleId="359">
    <w:name w:val="Footer Char"/>
    <w:semiHidden/>
    <w:qFormat/>
    <w:locked/>
    <w:uiPriority w:val="99"/>
    <w:rPr>
      <w:rFonts w:ascii="Calibri" w:hAnsi="Calibri" w:eastAsia="宋体" w:cs="Times New Roman"/>
      <w:sz w:val="18"/>
      <w:szCs w:val="18"/>
    </w:rPr>
  </w:style>
  <w:style w:type="character" w:customStyle="1" w:styleId="360">
    <w:name w:val="Char Char301"/>
    <w:qFormat/>
    <w:uiPriority w:val="0"/>
  </w:style>
  <w:style w:type="character" w:customStyle="1" w:styleId="361">
    <w:name w:val="正文文本 Char1"/>
    <w:qFormat/>
    <w:uiPriority w:val="0"/>
    <w:rPr>
      <w:rFonts w:ascii="Times New Roman" w:hAnsi="Times New Roman" w:eastAsia="宋体" w:cs="Times New Roman"/>
      <w:szCs w:val="20"/>
    </w:rPr>
  </w:style>
  <w:style w:type="character" w:customStyle="1" w:styleId="362">
    <w:name w:val="Char Char401"/>
    <w:qFormat/>
    <w:uiPriority w:val="0"/>
  </w:style>
  <w:style w:type="character" w:customStyle="1" w:styleId="363">
    <w:name w:val="maywed421"/>
    <w:basedOn w:val="48"/>
    <w:qFormat/>
    <w:uiPriority w:val="0"/>
  </w:style>
  <w:style w:type="character" w:customStyle="1" w:styleId="364">
    <w:name w:val="Para head"/>
    <w:basedOn w:val="48"/>
    <w:qFormat/>
    <w:uiPriority w:val="0"/>
  </w:style>
  <w:style w:type="character" w:customStyle="1" w:styleId="365">
    <w:name w:val="Heading 2 Hidden Char"/>
    <w:qFormat/>
    <w:uiPriority w:val="0"/>
  </w:style>
  <w:style w:type="character" w:customStyle="1" w:styleId="366">
    <w:name w:val="Char Char431"/>
    <w:basedOn w:val="48"/>
    <w:qFormat/>
    <w:uiPriority w:val="0"/>
  </w:style>
  <w:style w:type="character" w:customStyle="1" w:styleId="367">
    <w:name w:val="Heading 0 Char1"/>
    <w:basedOn w:val="48"/>
    <w:qFormat/>
    <w:uiPriority w:val="0"/>
  </w:style>
  <w:style w:type="character" w:customStyle="1" w:styleId="368">
    <w:name w:val="标准正文 Char Char"/>
    <w:basedOn w:val="48"/>
    <w:qFormat/>
    <w:uiPriority w:val="0"/>
  </w:style>
  <w:style w:type="character" w:customStyle="1" w:styleId="369">
    <w:name w:val="field15"/>
    <w:basedOn w:val="48"/>
    <w:qFormat/>
    <w:uiPriority w:val="0"/>
  </w:style>
  <w:style w:type="character" w:customStyle="1" w:styleId="370">
    <w:name w:val="Char Char141"/>
    <w:qFormat/>
    <w:uiPriority w:val="0"/>
  </w:style>
  <w:style w:type="character" w:customStyle="1" w:styleId="371">
    <w:name w:val="style181"/>
    <w:basedOn w:val="48"/>
    <w:qFormat/>
    <w:uiPriority w:val="0"/>
  </w:style>
  <w:style w:type="character" w:customStyle="1" w:styleId="372">
    <w:name w:val="ca-01"/>
    <w:qFormat/>
    <w:uiPriority w:val="0"/>
    <w:rPr>
      <w:rFonts w:hint="eastAsia" w:ascii="仿宋_GB2312" w:eastAsia="仿宋_GB2312"/>
      <w:b/>
      <w:bCs/>
      <w:spacing w:val="-20"/>
      <w:sz w:val="36"/>
      <w:szCs w:val="36"/>
    </w:rPr>
  </w:style>
  <w:style w:type="character" w:customStyle="1" w:styleId="373">
    <w:name w:val="yqlink"/>
    <w:basedOn w:val="48"/>
    <w:qFormat/>
    <w:uiPriority w:val="0"/>
  </w:style>
  <w:style w:type="character" w:customStyle="1" w:styleId="374">
    <w:name w:val="style71"/>
    <w:basedOn w:val="48"/>
    <w:qFormat/>
    <w:uiPriority w:val="0"/>
  </w:style>
  <w:style w:type="character" w:customStyle="1" w:styleId="375">
    <w:name w:val="Char Char50"/>
    <w:basedOn w:val="48"/>
    <w:qFormat/>
    <w:uiPriority w:val="0"/>
  </w:style>
  <w:style w:type="character" w:customStyle="1" w:styleId="376">
    <w:name w:val="Char Char34"/>
    <w:qFormat/>
    <w:uiPriority w:val="0"/>
  </w:style>
  <w:style w:type="character" w:customStyle="1" w:styleId="377">
    <w:name w:val="pt9-hui-line201"/>
    <w:basedOn w:val="48"/>
    <w:qFormat/>
    <w:uiPriority w:val="0"/>
  </w:style>
  <w:style w:type="character" w:customStyle="1" w:styleId="378">
    <w:name w:val="unnamed31"/>
    <w:basedOn w:val="48"/>
    <w:qFormat/>
    <w:uiPriority w:val="0"/>
  </w:style>
  <w:style w:type="character" w:customStyle="1" w:styleId="379">
    <w:name w:val="title1"/>
    <w:basedOn w:val="48"/>
    <w:qFormat/>
    <w:uiPriority w:val="0"/>
  </w:style>
  <w:style w:type="character" w:customStyle="1" w:styleId="380">
    <w:name w:val="Char Char28"/>
    <w:qFormat/>
    <w:uiPriority w:val="0"/>
  </w:style>
  <w:style w:type="character" w:customStyle="1" w:styleId="381">
    <w:name w:val="font121"/>
    <w:qFormat/>
    <w:uiPriority w:val="0"/>
    <w:rPr>
      <w:rFonts w:hint="eastAsia" w:ascii="宋体" w:hAnsi="宋体" w:eastAsia="宋体" w:cs="宋体"/>
      <w:b/>
      <w:color w:val="000000"/>
      <w:sz w:val="24"/>
      <w:szCs w:val="24"/>
      <w:u w:val="none"/>
    </w:rPr>
  </w:style>
  <w:style w:type="character" w:customStyle="1" w:styleId="382">
    <w:name w:val="txt11"/>
    <w:basedOn w:val="48"/>
    <w:qFormat/>
    <w:uiPriority w:val="0"/>
  </w:style>
  <w:style w:type="character" w:customStyle="1" w:styleId="383">
    <w:name w:val="日期 Char Char"/>
    <w:basedOn w:val="48"/>
    <w:qFormat/>
    <w:uiPriority w:val="0"/>
  </w:style>
  <w:style w:type="character" w:customStyle="1" w:styleId="384">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8"/>
    <w:qFormat/>
    <w:uiPriority w:val="0"/>
  </w:style>
  <w:style w:type="character" w:customStyle="1" w:styleId="385">
    <w:name w:val="引用 Char"/>
    <w:link w:val="64"/>
    <w:qFormat/>
    <w:uiPriority w:val="29"/>
    <w:rPr>
      <w:i/>
      <w:sz w:val="24"/>
      <w:szCs w:val="24"/>
    </w:rPr>
  </w:style>
  <w:style w:type="character" w:customStyle="1" w:styleId="386">
    <w:name w:val="Char Char24"/>
    <w:qFormat/>
    <w:uiPriority w:val="0"/>
  </w:style>
  <w:style w:type="character" w:customStyle="1" w:styleId="387">
    <w:name w:val="Char Char16"/>
    <w:qFormat/>
    <w:uiPriority w:val="0"/>
  </w:style>
  <w:style w:type="character" w:customStyle="1" w:styleId="388">
    <w:name w:val="纯文本 Char Char1"/>
    <w:qFormat/>
    <w:uiPriority w:val="0"/>
  </w:style>
  <w:style w:type="character" w:customStyle="1" w:styleId="389">
    <w:name w:val="正文首行缩进 Char1"/>
    <w:semiHidden/>
    <w:qFormat/>
    <w:uiPriority w:val="99"/>
    <w:rPr>
      <w:rFonts w:ascii="Times New Roman" w:hAnsi="Times New Roman" w:eastAsia="宋体" w:cs="Times New Roman"/>
      <w:kern w:val="2"/>
      <w:sz w:val="21"/>
      <w:szCs w:val="20"/>
    </w:rPr>
  </w:style>
  <w:style w:type="character" w:customStyle="1" w:styleId="390">
    <w:name w:val="Char Char Char Char Char Char Char Char Char Char"/>
    <w:basedOn w:val="48"/>
    <w:qFormat/>
    <w:uiPriority w:val="0"/>
  </w:style>
  <w:style w:type="character" w:customStyle="1" w:styleId="391">
    <w:name w:val="Char Char8"/>
    <w:qFormat/>
    <w:uiPriority w:val="0"/>
  </w:style>
  <w:style w:type="character" w:customStyle="1" w:styleId="392">
    <w:name w:val="Char Char341"/>
    <w:basedOn w:val="48"/>
    <w:qFormat/>
    <w:uiPriority w:val="0"/>
  </w:style>
  <w:style w:type="character" w:customStyle="1" w:styleId="393">
    <w:name w:val="样式 题注 + 宋体 小四 Char Char"/>
    <w:basedOn w:val="238"/>
    <w:qFormat/>
    <w:uiPriority w:val="0"/>
  </w:style>
  <w:style w:type="character" w:customStyle="1" w:styleId="394">
    <w:name w:val="标题 4 Char1"/>
    <w:qFormat/>
    <w:uiPriority w:val="9"/>
    <w:rPr>
      <w:rFonts w:ascii="Calibri" w:hAnsi="Calibri" w:eastAsia="黑体"/>
      <w:b/>
      <w:bCs/>
      <w:sz w:val="32"/>
      <w:szCs w:val="28"/>
    </w:rPr>
  </w:style>
  <w:style w:type="character" w:customStyle="1" w:styleId="395">
    <w:name w:val="hang1"/>
    <w:basedOn w:val="48"/>
    <w:qFormat/>
    <w:uiPriority w:val="0"/>
  </w:style>
  <w:style w:type="character" w:customStyle="1" w:styleId="396">
    <w:name w:val="正文文本缩进 3 Char Char"/>
    <w:basedOn w:val="48"/>
    <w:qFormat/>
    <w:uiPriority w:val="0"/>
  </w:style>
  <w:style w:type="character" w:customStyle="1" w:styleId="397">
    <w:name w:val="ca-12"/>
    <w:basedOn w:val="48"/>
    <w:qFormat/>
    <w:uiPriority w:val="0"/>
  </w:style>
  <w:style w:type="character" w:customStyle="1" w:styleId="398">
    <w:name w:val="Char Char18"/>
    <w:qFormat/>
    <w:uiPriority w:val="0"/>
  </w:style>
  <w:style w:type="character" w:customStyle="1" w:styleId="399">
    <w:name w:val="Char Char25"/>
    <w:qFormat/>
    <w:uiPriority w:val="0"/>
  </w:style>
  <w:style w:type="character" w:customStyle="1" w:styleId="400">
    <w:name w:val="表内文字 Char Char"/>
    <w:basedOn w:val="48"/>
    <w:qFormat/>
    <w:uiPriority w:val="0"/>
  </w:style>
  <w:style w:type="character" w:customStyle="1" w:styleId="401">
    <w:name w:val="Char Char29"/>
    <w:qFormat/>
    <w:uiPriority w:val="0"/>
  </w:style>
  <w:style w:type="character" w:customStyle="1" w:styleId="402">
    <w:name w:val="Char Char481"/>
    <w:qFormat/>
    <w:uiPriority w:val="0"/>
  </w:style>
  <w:style w:type="character" w:customStyle="1" w:styleId="403">
    <w:name w:val="Char Char81"/>
    <w:qFormat/>
    <w:uiPriority w:val="0"/>
  </w:style>
  <w:style w:type="character" w:customStyle="1" w:styleId="404">
    <w:name w:val="font11"/>
    <w:qFormat/>
    <w:uiPriority w:val="0"/>
    <w:rPr>
      <w:rFonts w:hint="default" w:ascii="Arial" w:hAnsi="Arial" w:cs="Arial"/>
      <w:color w:val="000000"/>
      <w:sz w:val="22"/>
      <w:szCs w:val="22"/>
      <w:u w:val="none"/>
    </w:rPr>
  </w:style>
  <w:style w:type="character" w:customStyle="1" w:styleId="405">
    <w:name w:val="Char Char461"/>
    <w:basedOn w:val="48"/>
    <w:qFormat/>
    <w:uiPriority w:val="0"/>
  </w:style>
  <w:style w:type="character" w:customStyle="1" w:styleId="406">
    <w:name w:val="Table Text Char1"/>
    <w:basedOn w:val="48"/>
    <w:qFormat/>
    <w:uiPriority w:val="0"/>
  </w:style>
  <w:style w:type="character" w:customStyle="1" w:styleId="407">
    <w:name w:val="ca-32"/>
    <w:qFormat/>
    <w:uiPriority w:val="0"/>
  </w:style>
  <w:style w:type="character" w:customStyle="1" w:styleId="408">
    <w:name w:val="页码1"/>
    <w:basedOn w:val="48"/>
    <w:qFormat/>
    <w:uiPriority w:val="0"/>
  </w:style>
  <w:style w:type="character" w:customStyle="1" w:styleId="409">
    <w:name w:val="Char Char47"/>
    <w:basedOn w:val="48"/>
    <w:qFormat/>
    <w:uiPriority w:val="0"/>
  </w:style>
  <w:style w:type="character" w:customStyle="1" w:styleId="410">
    <w:name w:val="题注 Char Char"/>
    <w:basedOn w:val="48"/>
    <w:qFormat/>
    <w:uiPriority w:val="0"/>
  </w:style>
  <w:style w:type="character" w:customStyle="1" w:styleId="411">
    <w:name w:val="_Style 410"/>
    <w:qFormat/>
    <w:uiPriority w:val="32"/>
    <w:rPr>
      <w:b/>
      <w:sz w:val="24"/>
      <w:u w:val="single"/>
    </w:rPr>
  </w:style>
  <w:style w:type="character" w:customStyle="1" w:styleId="412">
    <w:name w:val="（符号）三标题1.1 Char Char"/>
    <w:link w:val="65"/>
    <w:qFormat/>
    <w:locked/>
    <w:uiPriority w:val="0"/>
    <w:rPr>
      <w:rFonts w:ascii="宋体" w:hAnsi="宋体"/>
      <w:kern w:val="2"/>
      <w:sz w:val="24"/>
      <w:szCs w:val="24"/>
      <w:lang w:bidi="ar-SA"/>
    </w:rPr>
  </w:style>
  <w:style w:type="character" w:customStyle="1" w:styleId="413">
    <w:name w:val="正文（缩进） Char Char1"/>
    <w:basedOn w:val="48"/>
    <w:qFormat/>
    <w:uiPriority w:val="0"/>
  </w:style>
  <w:style w:type="character" w:customStyle="1" w:styleId="414">
    <w:name w:val="style91"/>
    <w:basedOn w:val="48"/>
    <w:qFormat/>
    <w:uiPriority w:val="0"/>
  </w:style>
  <w:style w:type="character" w:customStyle="1" w:styleId="415">
    <w:name w:val="列出段落 Char"/>
    <w:link w:val="66"/>
    <w:qFormat/>
    <w:uiPriority w:val="0"/>
    <w:rPr>
      <w:rFonts w:ascii="Calibri" w:hAnsi="Calibri"/>
      <w:szCs w:val="21"/>
      <w:lang w:bidi="ar-SA"/>
    </w:rPr>
  </w:style>
  <w:style w:type="character" w:customStyle="1" w:styleId="416">
    <w:name w:val="Char Char351"/>
    <w:basedOn w:val="48"/>
    <w:qFormat/>
    <w:uiPriority w:val="0"/>
  </w:style>
  <w:style w:type="character" w:customStyle="1" w:styleId="417">
    <w:name w:val="unnamed11"/>
    <w:basedOn w:val="48"/>
    <w:qFormat/>
    <w:uiPriority w:val="0"/>
  </w:style>
  <w:style w:type="character" w:customStyle="1" w:styleId="418">
    <w:name w:val="content"/>
    <w:basedOn w:val="48"/>
    <w:qFormat/>
    <w:uiPriority w:val="0"/>
  </w:style>
  <w:style w:type="character" w:customStyle="1" w:styleId="419">
    <w:name w:val="标题 4 Char Char"/>
    <w:basedOn w:val="48"/>
    <w:qFormat/>
    <w:uiPriority w:val="0"/>
  </w:style>
  <w:style w:type="character" w:customStyle="1" w:styleId="420">
    <w:name w:val="Char Char23"/>
    <w:qFormat/>
    <w:uiPriority w:val="0"/>
  </w:style>
  <w:style w:type="character" w:customStyle="1" w:styleId="421">
    <w:name w:val="正文首行缩进两字符 Char Char"/>
    <w:basedOn w:val="48"/>
    <w:qFormat/>
    <w:uiPriority w:val="0"/>
  </w:style>
  <w:style w:type="character" w:customStyle="1" w:styleId="422">
    <w:name w:val="明显引用 Char"/>
    <w:link w:val="67"/>
    <w:qFormat/>
    <w:uiPriority w:val="30"/>
    <w:rPr>
      <w:b/>
      <w:i/>
      <w:sz w:val="24"/>
    </w:rPr>
  </w:style>
  <w:style w:type="character" w:customStyle="1" w:styleId="423">
    <w:name w:val="正文小标题 Char Char"/>
    <w:basedOn w:val="48"/>
    <w:qFormat/>
    <w:uiPriority w:val="0"/>
  </w:style>
  <w:style w:type="character" w:customStyle="1" w:styleId="424">
    <w:name w:val="ca-7"/>
    <w:basedOn w:val="48"/>
    <w:qFormat/>
    <w:uiPriority w:val="0"/>
  </w:style>
  <w:style w:type="character" w:customStyle="1" w:styleId="425">
    <w:name w:val="Char Char5"/>
    <w:qFormat/>
    <w:uiPriority w:val="0"/>
  </w:style>
  <w:style w:type="character" w:customStyle="1" w:styleId="426">
    <w:name w:val="fo Char"/>
    <w:basedOn w:val="48"/>
    <w:qFormat/>
    <w:uiPriority w:val="0"/>
  </w:style>
  <w:style w:type="character" w:customStyle="1" w:styleId="427">
    <w:name w:val="Char Char12"/>
    <w:qFormat/>
    <w:uiPriority w:val="0"/>
  </w:style>
  <w:style w:type="character" w:customStyle="1" w:styleId="428">
    <w:name w:val="t11"/>
    <w:basedOn w:val="48"/>
    <w:qFormat/>
    <w:uiPriority w:val="0"/>
  </w:style>
  <w:style w:type="character" w:customStyle="1" w:styleId="429">
    <w:name w:val="l151"/>
    <w:basedOn w:val="48"/>
    <w:qFormat/>
    <w:uiPriority w:val="0"/>
  </w:style>
  <w:style w:type="character" w:customStyle="1" w:styleId="430">
    <w:name w:val="Footer1 Char Char"/>
    <w:basedOn w:val="48"/>
    <w:qFormat/>
    <w:uiPriority w:val="0"/>
  </w:style>
  <w:style w:type="character" w:customStyle="1" w:styleId="431">
    <w:name w:val="方框标题 Char Char"/>
    <w:basedOn w:val="48"/>
    <w:qFormat/>
    <w:uiPriority w:val="0"/>
  </w:style>
  <w:style w:type="character" w:customStyle="1" w:styleId="432">
    <w:name w:val="text1"/>
    <w:basedOn w:val="48"/>
    <w:qFormat/>
    <w:uiPriority w:val="0"/>
  </w:style>
  <w:style w:type="character" w:customStyle="1" w:styleId="433">
    <w:name w:val="Char Char45"/>
    <w:basedOn w:val="48"/>
    <w:qFormat/>
    <w:uiPriority w:val="0"/>
  </w:style>
  <w:style w:type="character" w:customStyle="1" w:styleId="434">
    <w:name w:val="小标题 Char Char"/>
    <w:basedOn w:val="48"/>
    <w:qFormat/>
    <w:uiPriority w:val="0"/>
  </w:style>
  <w:style w:type="character" w:customStyle="1" w:styleId="435">
    <w:name w:val="ca-1"/>
    <w:basedOn w:val="48"/>
    <w:qFormat/>
    <w:uiPriority w:val="0"/>
  </w:style>
  <w:style w:type="character" w:customStyle="1" w:styleId="436">
    <w:name w:val="Char Char201"/>
    <w:qFormat/>
    <w:uiPriority w:val="0"/>
  </w:style>
  <w:style w:type="character" w:customStyle="1" w:styleId="437">
    <w:name w:val="Char Char131"/>
    <w:qFormat/>
    <w:uiPriority w:val="0"/>
  </w:style>
  <w:style w:type="character" w:customStyle="1" w:styleId="438">
    <w:name w:val="Char Char471"/>
    <w:qFormat/>
    <w:uiPriority w:val="0"/>
  </w:style>
  <w:style w:type="character" w:customStyle="1" w:styleId="439">
    <w:name w:val="Char Char381"/>
    <w:qFormat/>
    <w:uiPriority w:val="0"/>
  </w:style>
  <w:style w:type="character" w:customStyle="1" w:styleId="440">
    <w:name w:val="b21"/>
    <w:basedOn w:val="48"/>
    <w:qFormat/>
    <w:uiPriority w:val="0"/>
  </w:style>
  <w:style w:type="character" w:customStyle="1" w:styleId="441">
    <w:name w:val="pediy"/>
    <w:basedOn w:val="48"/>
    <w:qFormat/>
    <w:uiPriority w:val="0"/>
  </w:style>
  <w:style w:type="character" w:customStyle="1" w:styleId="442">
    <w:name w:val="Highlighted Variable"/>
    <w:basedOn w:val="48"/>
    <w:qFormat/>
    <w:uiPriority w:val="0"/>
  </w:style>
  <w:style w:type="character" w:customStyle="1" w:styleId="443">
    <w:name w:val="页脚 Char Char"/>
    <w:basedOn w:val="48"/>
    <w:qFormat/>
    <w:uiPriority w:val="0"/>
  </w:style>
  <w:style w:type="character" w:customStyle="1" w:styleId="444">
    <w:name w:val="z-窗体顶端 Char1"/>
    <w:semiHidden/>
    <w:qFormat/>
    <w:uiPriority w:val="99"/>
    <w:rPr>
      <w:rFonts w:ascii="Arial" w:hAnsi="Arial" w:eastAsia="宋体" w:cs="Arial"/>
      <w:vanish/>
      <w:kern w:val="2"/>
      <w:sz w:val="16"/>
      <w:szCs w:val="16"/>
    </w:rPr>
  </w:style>
  <w:style w:type="character" w:customStyle="1" w:styleId="445">
    <w:name w:val="NormalCharacter"/>
    <w:qFormat/>
    <w:uiPriority w:val="0"/>
  </w:style>
  <w:style w:type="character" w:customStyle="1" w:styleId="446">
    <w:name w:val="abcde1"/>
    <w:basedOn w:val="48"/>
    <w:qFormat/>
    <w:uiPriority w:val="0"/>
  </w:style>
  <w:style w:type="character" w:customStyle="1" w:styleId="447">
    <w:name w:val="标题 3 Char Char"/>
    <w:basedOn w:val="48"/>
    <w:qFormat/>
    <w:uiPriority w:val="0"/>
  </w:style>
  <w:style w:type="character" w:customStyle="1" w:styleId="448">
    <w:name w:val="Char Char151"/>
    <w:qFormat/>
    <w:uiPriority w:val="0"/>
  </w:style>
  <w:style w:type="character" w:customStyle="1" w:styleId="449">
    <w:name w:val="Char Char121"/>
    <w:basedOn w:val="48"/>
    <w:qFormat/>
    <w:uiPriority w:val="0"/>
  </w:style>
  <w:style w:type="character" w:customStyle="1" w:styleId="450">
    <w:name w:val="para"/>
    <w:basedOn w:val="48"/>
    <w:qFormat/>
    <w:uiPriority w:val="0"/>
  </w:style>
  <w:style w:type="character" w:customStyle="1" w:styleId="451">
    <w:name w:val="Char Char Char Char Char Char Char Char Char1"/>
    <w:basedOn w:val="48"/>
    <w:qFormat/>
    <w:uiPriority w:val="0"/>
  </w:style>
  <w:style w:type="character" w:customStyle="1" w:styleId="452">
    <w:name w:val="px141"/>
    <w:basedOn w:val="48"/>
    <w:qFormat/>
    <w:uiPriority w:val="0"/>
  </w:style>
  <w:style w:type="character" w:customStyle="1" w:styleId="453">
    <w:name w:val="article1"/>
    <w:basedOn w:val="48"/>
    <w:qFormat/>
    <w:uiPriority w:val="0"/>
  </w:style>
  <w:style w:type="character" w:customStyle="1" w:styleId="454">
    <w:name w:val="Char Char161"/>
    <w:basedOn w:val="48"/>
    <w:qFormat/>
    <w:uiPriority w:val="0"/>
  </w:style>
  <w:style w:type="character" w:customStyle="1" w:styleId="455">
    <w:name w:val="文档结构图 Char1"/>
    <w:semiHidden/>
    <w:qFormat/>
    <w:uiPriority w:val="99"/>
    <w:rPr>
      <w:rFonts w:ascii="Microsoft YaHei UI" w:hAnsi="Times New Roman" w:eastAsia="Microsoft YaHei UI" w:cs="Times New Roman"/>
      <w:kern w:val="2"/>
      <w:sz w:val="18"/>
      <w:szCs w:val="18"/>
    </w:rPr>
  </w:style>
  <w:style w:type="character" w:customStyle="1" w:styleId="456">
    <w:name w:val="point_normal"/>
    <w:basedOn w:val="48"/>
    <w:qFormat/>
    <w:uiPriority w:val="0"/>
  </w:style>
  <w:style w:type="character" w:customStyle="1" w:styleId="457">
    <w:name w:val="Char Char181"/>
    <w:qFormat/>
    <w:uiPriority w:val="0"/>
  </w:style>
  <w:style w:type="character" w:customStyle="1" w:styleId="458">
    <w:name w:val="Char Char231"/>
    <w:qFormat/>
    <w:uiPriority w:val="0"/>
  </w:style>
  <w:style w:type="character" w:customStyle="1" w:styleId="459">
    <w:name w:val="Char Char451"/>
    <w:qFormat/>
    <w:uiPriority w:val="0"/>
  </w:style>
  <w:style w:type="character" w:customStyle="1" w:styleId="460">
    <w:name w:val="批注引用11"/>
    <w:qFormat/>
    <w:uiPriority w:val="0"/>
  </w:style>
  <w:style w:type="character" w:customStyle="1" w:styleId="461">
    <w:name w:val="Char Char271"/>
    <w:qFormat/>
    <w:uiPriority w:val="0"/>
  </w:style>
  <w:style w:type="character" w:customStyle="1" w:styleId="462">
    <w:name w:val="z-窗体顶端 Char"/>
    <w:link w:val="68"/>
    <w:qFormat/>
    <w:uiPriority w:val="0"/>
    <w:rPr>
      <w:rFonts w:ascii="Arial" w:hAnsi="Arial" w:eastAsia="宋体"/>
      <w:vanish/>
      <w:sz w:val="16"/>
      <w:szCs w:val="16"/>
      <w:lang w:bidi="ar-SA"/>
    </w:rPr>
  </w:style>
  <w:style w:type="character" w:customStyle="1" w:styleId="463">
    <w:name w:val="1 标题 Char Char"/>
    <w:basedOn w:val="48"/>
    <w:qFormat/>
    <w:uiPriority w:val="0"/>
  </w:style>
  <w:style w:type="character" w:customStyle="1" w:styleId="464">
    <w:name w:val="title"/>
    <w:basedOn w:val="48"/>
    <w:qFormat/>
    <w:uiPriority w:val="0"/>
  </w:style>
  <w:style w:type="character" w:customStyle="1" w:styleId="465">
    <w:name w:val="标题 1 Char Char"/>
    <w:basedOn w:val="48"/>
    <w:qFormat/>
    <w:uiPriority w:val="0"/>
  </w:style>
  <w:style w:type="character" w:customStyle="1" w:styleId="466">
    <w:name w:val="p12"/>
    <w:basedOn w:val="48"/>
    <w:qFormat/>
    <w:uiPriority w:val="0"/>
  </w:style>
  <w:style w:type="character" w:customStyle="1" w:styleId="467">
    <w:name w:val="Char Char281"/>
    <w:qFormat/>
    <w:uiPriority w:val="0"/>
  </w:style>
  <w:style w:type="character" w:customStyle="1" w:styleId="468">
    <w:name w:val="Char Char19"/>
    <w:basedOn w:val="48"/>
    <w:qFormat/>
    <w:uiPriority w:val="0"/>
  </w:style>
  <w:style w:type="character" w:customStyle="1" w:styleId="469">
    <w:name w:val="副标题 Char1"/>
    <w:qFormat/>
    <w:uiPriority w:val="11"/>
    <w:rPr>
      <w:rFonts w:ascii="Cambria" w:hAnsi="Cambria" w:cs="Times New Roman"/>
      <w:b/>
      <w:bCs/>
      <w:kern w:val="28"/>
      <w:sz w:val="32"/>
      <w:szCs w:val="32"/>
    </w:rPr>
  </w:style>
  <w:style w:type="character" w:customStyle="1" w:styleId="470">
    <w:name w:val="正文段落 Char Char"/>
    <w:basedOn w:val="48"/>
    <w:qFormat/>
    <w:uiPriority w:val="0"/>
  </w:style>
  <w:style w:type="character" w:customStyle="1" w:styleId="471">
    <w:name w:val="_Style 470"/>
    <w:qFormat/>
    <w:uiPriority w:val="21"/>
    <w:rPr>
      <w:b/>
      <w:i/>
      <w:sz w:val="24"/>
      <w:szCs w:val="24"/>
      <w:u w:val="single"/>
    </w:rPr>
  </w:style>
  <w:style w:type="character" w:customStyle="1" w:styleId="472">
    <w:name w:val="Char Char421"/>
    <w:basedOn w:val="48"/>
    <w:qFormat/>
    <w:uiPriority w:val="0"/>
  </w:style>
  <w:style w:type="character" w:customStyle="1" w:styleId="473">
    <w:name w:val="Char Char41"/>
    <w:basedOn w:val="48"/>
    <w:qFormat/>
    <w:uiPriority w:val="0"/>
  </w:style>
  <w:style w:type="character" w:customStyle="1" w:styleId="474">
    <w:name w:val="日期 Char1"/>
    <w:semiHidden/>
    <w:qFormat/>
    <w:uiPriority w:val="99"/>
    <w:rPr>
      <w:rFonts w:ascii="Times New Roman" w:hAnsi="Times New Roman" w:eastAsia="宋体" w:cs="Times New Roman"/>
      <w:kern w:val="2"/>
      <w:sz w:val="21"/>
    </w:rPr>
  </w:style>
  <w:style w:type="character" w:customStyle="1" w:styleId="475">
    <w:name w:val="脚注文本 Char1"/>
    <w:semiHidden/>
    <w:qFormat/>
    <w:uiPriority w:val="99"/>
    <w:rPr>
      <w:rFonts w:ascii="Times New Roman" w:hAnsi="Times New Roman" w:eastAsia="宋体" w:cs="Times New Roman"/>
      <w:kern w:val="2"/>
      <w:sz w:val="18"/>
      <w:szCs w:val="18"/>
    </w:rPr>
  </w:style>
  <w:style w:type="character" w:customStyle="1" w:styleId="476">
    <w:name w:val="Char Char491"/>
    <w:qFormat/>
    <w:uiPriority w:val="0"/>
  </w:style>
  <w:style w:type="character" w:customStyle="1" w:styleId="477">
    <w:name w:val="纯文本 Char1"/>
    <w:basedOn w:val="48"/>
    <w:qFormat/>
    <w:uiPriority w:val="0"/>
  </w:style>
  <w:style w:type="character" w:customStyle="1" w:styleId="478">
    <w:name w:val="Char Char251"/>
    <w:qFormat/>
    <w:uiPriority w:val="0"/>
  </w:style>
  <w:style w:type="character" w:customStyle="1" w:styleId="479">
    <w:name w:val="font41"/>
    <w:qFormat/>
    <w:uiPriority w:val="0"/>
    <w:rPr>
      <w:rFonts w:hint="default" w:ascii="Arial" w:hAnsi="Arial" w:cs="Arial"/>
      <w:color w:val="000000"/>
      <w:sz w:val="22"/>
      <w:szCs w:val="22"/>
      <w:u w:val="none"/>
    </w:rPr>
  </w:style>
  <w:style w:type="character" w:customStyle="1" w:styleId="480">
    <w:name w:val="Char Char9"/>
    <w:qFormat/>
    <w:uiPriority w:val="0"/>
  </w:style>
  <w:style w:type="character" w:customStyle="1" w:styleId="481">
    <w:name w:val="Char Char21"/>
    <w:basedOn w:val="48"/>
    <w:qFormat/>
    <w:uiPriority w:val="0"/>
  </w:style>
  <w:style w:type="character" w:customStyle="1" w:styleId="482">
    <w:name w:val="font111"/>
    <w:qFormat/>
    <w:uiPriority w:val="0"/>
    <w:rPr>
      <w:rFonts w:hint="eastAsia" w:ascii="楷体_GB2312" w:eastAsia="楷体_GB2312" w:cs="楷体_GB2312"/>
      <w:color w:val="000000"/>
      <w:sz w:val="20"/>
      <w:szCs w:val="20"/>
      <w:u w:val="none"/>
    </w:rPr>
  </w:style>
  <w:style w:type="character" w:customStyle="1" w:styleId="483">
    <w:name w:val="Char Char91"/>
    <w:basedOn w:val="48"/>
    <w:qFormat/>
    <w:uiPriority w:val="0"/>
  </w:style>
  <w:style w:type="character" w:customStyle="1" w:styleId="484">
    <w:name w:val="11-a-a"/>
    <w:basedOn w:val="48"/>
    <w:qFormat/>
    <w:uiPriority w:val="0"/>
  </w:style>
  <w:style w:type="character" w:customStyle="1" w:styleId="485">
    <w:name w:val="副标题 Char2"/>
    <w:qFormat/>
    <w:uiPriority w:val="11"/>
    <w:rPr>
      <w:rFonts w:ascii="Cambria" w:hAnsi="Cambria" w:eastAsia="宋体" w:cs="Times New Roman"/>
      <w:b/>
      <w:bCs/>
      <w:kern w:val="28"/>
      <w:sz w:val="32"/>
      <w:szCs w:val="32"/>
    </w:rPr>
  </w:style>
  <w:style w:type="character" w:customStyle="1" w:styleId="486">
    <w:name w:val="Table Text Char Char Char Char Char Char1 Char Char"/>
    <w:basedOn w:val="48"/>
    <w:qFormat/>
    <w:uiPriority w:val="0"/>
  </w:style>
  <w:style w:type="character" w:customStyle="1" w:styleId="487">
    <w:name w:val="列出段落 Char1"/>
    <w:basedOn w:val="48"/>
    <w:qFormat/>
    <w:uiPriority w:val="0"/>
  </w:style>
  <w:style w:type="character" w:customStyle="1" w:styleId="488">
    <w:name w:val="Char Char391"/>
    <w:qFormat/>
    <w:uiPriority w:val="0"/>
  </w:style>
  <w:style w:type="character" w:customStyle="1" w:styleId="489">
    <w:name w:val="ca-0"/>
    <w:basedOn w:val="48"/>
    <w:qFormat/>
    <w:uiPriority w:val="0"/>
  </w:style>
  <w:style w:type="character" w:customStyle="1" w:styleId="490">
    <w:name w:val="wctjfont1"/>
    <w:basedOn w:val="48"/>
    <w:qFormat/>
    <w:uiPriority w:val="0"/>
  </w:style>
  <w:style w:type="character" w:customStyle="1" w:styleId="491">
    <w:name w:val="Char Char291"/>
    <w:qFormat/>
    <w:uiPriority w:val="0"/>
  </w:style>
  <w:style w:type="character" w:customStyle="1" w:styleId="492">
    <w:name w:val="文字 Char Char"/>
    <w:basedOn w:val="48"/>
    <w:qFormat/>
    <w:uiPriority w:val="0"/>
  </w:style>
  <w:style w:type="character" w:customStyle="1" w:styleId="493">
    <w:name w:val="标题样式 Char"/>
    <w:link w:val="69"/>
    <w:qFormat/>
    <w:locked/>
    <w:uiPriority w:val="0"/>
    <w:rPr>
      <w:rFonts w:ascii="黑体" w:eastAsia="黑体"/>
      <w:b/>
      <w:kern w:val="2"/>
      <w:sz w:val="32"/>
      <w:lang w:bidi="ar-SA"/>
    </w:rPr>
  </w:style>
  <w:style w:type="character" w:customStyle="1" w:styleId="494">
    <w:name w:val="Char Char51"/>
    <w:basedOn w:val="48"/>
    <w:qFormat/>
    <w:uiPriority w:val="0"/>
  </w:style>
  <w:style w:type="character" w:customStyle="1" w:styleId="495">
    <w:name w:val="标题 3 Char Char Char"/>
    <w:basedOn w:val="48"/>
    <w:qFormat/>
    <w:uiPriority w:val="0"/>
  </w:style>
  <w:style w:type="character" w:customStyle="1" w:styleId="496">
    <w:name w:val="正文（标记） Char2"/>
    <w:basedOn w:val="48"/>
    <w:qFormat/>
    <w:uiPriority w:val="0"/>
  </w:style>
  <w:style w:type="character" w:customStyle="1" w:styleId="497">
    <w:name w:val="Char Char321"/>
    <w:qFormat/>
    <w:uiPriority w:val="0"/>
  </w:style>
  <w:style w:type="character" w:customStyle="1" w:styleId="498">
    <w:name w:val="Char Char331"/>
    <w:basedOn w:val="392"/>
    <w:qFormat/>
    <w:uiPriority w:val="0"/>
  </w:style>
  <w:style w:type="character" w:customStyle="1" w:styleId="499">
    <w:name w:val="text21"/>
    <w:basedOn w:val="48"/>
    <w:qFormat/>
    <w:uiPriority w:val="0"/>
  </w:style>
  <w:style w:type="character" w:customStyle="1" w:styleId="500">
    <w:name w:val="Char Char241"/>
    <w:qFormat/>
    <w:uiPriority w:val="0"/>
  </w:style>
  <w:style w:type="character" w:customStyle="1" w:styleId="501">
    <w:name w:val="font101"/>
    <w:qFormat/>
    <w:uiPriority w:val="0"/>
    <w:rPr>
      <w:rFonts w:ascii="楷体_GB2312" w:eastAsia="楷体_GB2312" w:cs="楷体_GB2312"/>
      <w:color w:val="000000"/>
      <w:sz w:val="20"/>
      <w:szCs w:val="20"/>
      <w:u w:val="none"/>
    </w:rPr>
  </w:style>
  <w:style w:type="character" w:customStyle="1" w:styleId="502">
    <w:name w:val="ca-4"/>
    <w:basedOn w:val="48"/>
    <w:qFormat/>
    <w:uiPriority w:val="0"/>
  </w:style>
  <w:style w:type="character" w:customStyle="1" w:styleId="503">
    <w:name w:val="Char Char501"/>
    <w:qFormat/>
    <w:uiPriority w:val="0"/>
  </w:style>
  <w:style w:type="character" w:customStyle="1" w:styleId="504">
    <w:name w:val="Char Char22"/>
    <w:qFormat/>
    <w:uiPriority w:val="0"/>
  </w:style>
  <w:style w:type="character" w:customStyle="1" w:styleId="505">
    <w:name w:val="Char Char261"/>
    <w:qFormat/>
    <w:uiPriority w:val="0"/>
  </w:style>
  <w:style w:type="character" w:customStyle="1" w:styleId="506">
    <w:name w:val="表格 Char Char"/>
    <w:link w:val="70"/>
    <w:qFormat/>
    <w:uiPriority w:val="0"/>
    <w:rPr>
      <w:rFonts w:eastAsia="宋体"/>
      <w:kern w:val="2"/>
      <w:sz w:val="24"/>
      <w:szCs w:val="24"/>
      <w:lang w:val="en-US" w:eastAsia="zh-CN" w:bidi="ar-SA"/>
    </w:rPr>
  </w:style>
  <w:style w:type="character" w:customStyle="1" w:styleId="507">
    <w:name w:val="z-窗体底端 Char"/>
    <w:link w:val="71"/>
    <w:qFormat/>
    <w:uiPriority w:val="0"/>
    <w:rPr>
      <w:rFonts w:ascii="Arial" w:hAnsi="Arial" w:eastAsia="宋体"/>
      <w:vanish/>
      <w:sz w:val="16"/>
      <w:szCs w:val="16"/>
      <w:lang w:bidi="ar-SA"/>
    </w:rPr>
  </w:style>
  <w:style w:type="character" w:customStyle="1" w:styleId="508">
    <w:name w:val="标题 5 Char Char"/>
    <w:basedOn w:val="48"/>
    <w:qFormat/>
    <w:uiPriority w:val="0"/>
  </w:style>
  <w:style w:type="character" w:customStyle="1" w:styleId="509">
    <w:name w:val="font71"/>
    <w:qFormat/>
    <w:uiPriority w:val="0"/>
    <w:rPr>
      <w:rFonts w:hint="default" w:ascii="Arial" w:hAnsi="Arial" w:cs="Arial"/>
      <w:b/>
      <w:color w:val="000000"/>
      <w:sz w:val="22"/>
      <w:szCs w:val="22"/>
      <w:u w:val="none"/>
    </w:rPr>
  </w:style>
  <w:style w:type="character" w:customStyle="1" w:styleId="510">
    <w:name w:val="Char Char410"/>
    <w:qFormat/>
    <w:uiPriority w:val="0"/>
  </w:style>
  <w:style w:type="character" w:customStyle="1" w:styleId="511">
    <w:name w:val="ca-5"/>
    <w:basedOn w:val="48"/>
    <w:qFormat/>
    <w:uiPriority w:val="0"/>
  </w:style>
  <w:style w:type="character" w:customStyle="1" w:styleId="512">
    <w:name w:val="样式1 Char"/>
    <w:link w:val="72"/>
    <w:qFormat/>
    <w:locked/>
    <w:uiPriority w:val="99"/>
    <w:rPr>
      <w:rFonts w:ascii="宋体" w:hAnsi="宋体" w:eastAsia="黑体"/>
      <w:b/>
      <w:bCs/>
      <w:kern w:val="2"/>
      <w:sz w:val="24"/>
      <w:szCs w:val="32"/>
      <w:lang w:val="en-US" w:eastAsia="zh-CN" w:bidi="ar-SA"/>
    </w:rPr>
  </w:style>
  <w:style w:type="character" w:customStyle="1" w:styleId="513">
    <w:name w:val="Char Char Char Char Char Char Char Char Char Char Char1"/>
    <w:qFormat/>
    <w:uiPriority w:val="0"/>
    <w:rPr>
      <w:rFonts w:ascii="宋体"/>
      <w:kern w:val="2"/>
      <w:sz w:val="18"/>
      <w:szCs w:val="18"/>
    </w:rPr>
  </w:style>
  <w:style w:type="character" w:customStyle="1" w:styleId="514">
    <w:name w:val="Char Char221"/>
    <w:qFormat/>
    <w:uiPriority w:val="0"/>
  </w:style>
  <w:style w:type="character" w:customStyle="1" w:styleId="515">
    <w:name w:val="a9"/>
    <w:basedOn w:val="48"/>
    <w:qFormat/>
    <w:uiPriority w:val="0"/>
  </w:style>
  <w:style w:type="character" w:customStyle="1" w:styleId="516">
    <w:name w:val="正文缩进2格 Char Char"/>
    <w:basedOn w:val="48"/>
    <w:qFormat/>
    <w:uiPriority w:val="0"/>
  </w:style>
  <w:style w:type="character" w:customStyle="1" w:styleId="517">
    <w:name w:val="ca-111"/>
    <w:basedOn w:val="48"/>
    <w:qFormat/>
    <w:uiPriority w:val="0"/>
  </w:style>
  <w:style w:type="character" w:customStyle="1" w:styleId="518">
    <w:name w:val="标题 7 Char Char"/>
    <w:basedOn w:val="48"/>
    <w:qFormat/>
    <w:uiPriority w:val="0"/>
  </w:style>
  <w:style w:type="character" w:customStyle="1" w:styleId="519">
    <w:name w:val="Char Char Char Char Char Char Char Char Char Char1"/>
    <w:qFormat/>
    <w:uiPriority w:val="0"/>
  </w:style>
  <w:style w:type="character" w:customStyle="1" w:styleId="520">
    <w:name w:val="Char Char311"/>
    <w:qFormat/>
    <w:uiPriority w:val="0"/>
  </w:style>
  <w:style w:type="character" w:customStyle="1" w:styleId="521">
    <w:name w:val="Char Char111"/>
    <w:qFormat/>
    <w:uiPriority w:val="0"/>
  </w:style>
  <w:style w:type="character" w:customStyle="1" w:styleId="522">
    <w:name w:val="text"/>
    <w:basedOn w:val="48"/>
    <w:qFormat/>
    <w:uiPriority w:val="0"/>
  </w:style>
  <w:style w:type="character" w:customStyle="1" w:styleId="523">
    <w:name w:val="方框下的123标题 Char Char"/>
    <w:basedOn w:val="48"/>
    <w:qFormat/>
    <w:uiPriority w:val="0"/>
  </w:style>
  <w:style w:type="character" w:customStyle="1" w:styleId="524">
    <w:name w:val="页码11"/>
    <w:qFormat/>
    <w:uiPriority w:val="0"/>
  </w:style>
  <w:style w:type="character" w:customStyle="1" w:styleId="525">
    <w:name w:val="Char Char411"/>
    <w:qFormat/>
    <w:uiPriority w:val="0"/>
  </w:style>
  <w:style w:type="character" w:customStyle="1" w:styleId="526">
    <w:name w:val="style171"/>
    <w:basedOn w:val="48"/>
    <w:qFormat/>
    <w:uiPriority w:val="0"/>
  </w:style>
  <w:style w:type="character" w:customStyle="1" w:styleId="527">
    <w:name w:val="ca-11"/>
    <w:basedOn w:val="48"/>
    <w:qFormat/>
    <w:uiPriority w:val="0"/>
  </w:style>
  <w:style w:type="character" w:customStyle="1" w:styleId="528">
    <w:name w:val="Char Char101"/>
    <w:qFormat/>
    <w:uiPriority w:val="0"/>
  </w:style>
  <w:style w:type="character" w:customStyle="1" w:styleId="529">
    <w:name w:val="Char Char361"/>
    <w:qFormat/>
    <w:uiPriority w:val="0"/>
  </w:style>
  <w:style w:type="character" w:customStyle="1" w:styleId="530">
    <w:name w:val="font-121"/>
    <w:basedOn w:val="48"/>
    <w:qFormat/>
    <w:uiPriority w:val="0"/>
  </w:style>
  <w:style w:type="character" w:customStyle="1" w:styleId="531">
    <w:name w:val="ca-9"/>
    <w:basedOn w:val="48"/>
    <w:qFormat/>
    <w:uiPriority w:val="0"/>
  </w:style>
  <w:style w:type="paragraph" w:customStyle="1" w:styleId="532">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0"/>
    <customShpInfo spid="_x0000_s2061"/>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7352</Words>
  <Characters>41911</Characters>
  <Lines>349</Lines>
  <Paragraphs>98</Paragraphs>
  <TotalTime>3</TotalTime>
  <ScaleCrop>false</ScaleCrop>
  <LinksUpToDate>false</LinksUpToDate>
  <CharactersWithSpaces>49165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2020-08-04T04:08:00Z</dcterms:created>
  <dc:creator>User</dc:creator>
  <cp:lastModifiedBy>A一</cp:lastModifiedBy>
  <cp:lastPrinted>2019-10-11T02:51:00Z</cp:lastPrinted>
  <dcterms:modified xsi:type="dcterms:W3CDTF">2021-08-27T06:13:22Z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DCC69511CBCF4F578DC79C2AEABF99B7</vt:lpwstr>
  </property>
</Properties>
</file>