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5"/>
        <w:rPr>
          <w:rFonts w:ascii="宋体" w:hAnsi="宋体" w:cs="宋体"/>
          <w:b/>
          <w:sz w:val="36"/>
        </w:rPr>
      </w:pPr>
      <w:bookmarkStart w:id="0" w:name="_Toc217446030"/>
      <w:bookmarkStart w:id="1" w:name="_Toc183682338"/>
    </w:p>
    <w:p>
      <w:pPr>
        <w:spacing w:line="360" w:lineRule="auto"/>
        <w:jc w:val="center"/>
        <w:outlineLvl w:val="5"/>
        <w:rPr>
          <w:rFonts w:ascii="宋体" w:hAnsi="宋体" w:cs="宋体"/>
          <w:b/>
          <w:sz w:val="36"/>
        </w:rPr>
      </w:pPr>
      <w:r>
        <w:rPr>
          <w:rFonts w:hint="eastAsia" w:ascii="宋体" w:hAnsi="宋体" w:cs="宋体"/>
          <w:b/>
          <w:sz w:val="36"/>
        </w:rPr>
        <w:drawing>
          <wp:anchor distT="0" distB="0" distL="114300" distR="114300" simplePos="0" relativeHeight="251659264" behindDoc="1" locked="0" layoutInCell="1" allowOverlap="1">
            <wp:simplePos x="0" y="0"/>
            <wp:positionH relativeFrom="column">
              <wp:posOffset>1019175</wp:posOffset>
            </wp:positionH>
            <wp:positionV relativeFrom="paragraph">
              <wp:posOffset>58420</wp:posOffset>
            </wp:positionV>
            <wp:extent cx="4142105" cy="1704340"/>
            <wp:effectExtent l="0" t="0" r="23495" b="22860"/>
            <wp:wrapThrough wrapText="bothSides">
              <wp:wrapPolygon>
                <wp:start x="21592" y="-2"/>
                <wp:lineTo x="0" y="0"/>
                <wp:lineTo x="0" y="21600"/>
                <wp:lineTo x="21592" y="21602"/>
                <wp:lineTo x="8" y="21602"/>
                <wp:lineTo x="21600" y="21600"/>
                <wp:lineTo x="21600" y="0"/>
                <wp:lineTo x="8" y="-2"/>
                <wp:lineTo x="21592" y="-2"/>
              </wp:wrapPolygon>
            </wp:wrapThrough>
            <wp:docPr id="1" name="Picture 5" descr="QQ图片2015072814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QQ图片20150728140840"/>
                    <pic:cNvPicPr>
                      <a:picLocks noChangeAspect="1"/>
                    </pic:cNvPicPr>
                  </pic:nvPicPr>
                  <pic:blipFill>
                    <a:blip r:embed="rId21"/>
                    <a:stretch>
                      <a:fillRect/>
                    </a:stretch>
                  </pic:blipFill>
                  <pic:spPr>
                    <a:xfrm>
                      <a:off x="0" y="0"/>
                      <a:ext cx="4142105" cy="1704340"/>
                    </a:xfrm>
                    <a:prstGeom prst="rect">
                      <a:avLst/>
                    </a:prstGeom>
                    <a:noFill/>
                    <a:ln w="9525">
                      <a:noFill/>
                    </a:ln>
                  </pic:spPr>
                </pic:pic>
              </a:graphicData>
            </a:graphic>
          </wp:anchor>
        </w:drawing>
      </w:r>
    </w:p>
    <w:p>
      <w:pPr>
        <w:spacing w:line="360" w:lineRule="auto"/>
        <w:jc w:val="center"/>
        <w:outlineLvl w:val="5"/>
        <w:rPr>
          <w:rFonts w:ascii="宋体" w:hAnsi="宋体" w:cs="宋体"/>
          <w:b/>
          <w:sz w:val="36"/>
        </w:rPr>
      </w:pPr>
    </w:p>
    <w:p>
      <w:pPr>
        <w:spacing w:line="360" w:lineRule="auto"/>
        <w:jc w:val="center"/>
        <w:outlineLvl w:val="5"/>
        <w:rPr>
          <w:rFonts w:ascii="宋体" w:hAnsi="宋体" w:cs="宋体"/>
          <w:b/>
          <w:sz w:val="36"/>
        </w:rPr>
      </w:pPr>
    </w:p>
    <w:p>
      <w:pPr>
        <w:spacing w:line="360" w:lineRule="auto"/>
        <w:ind w:firstLine="482" w:firstLineChars="100"/>
        <w:jc w:val="center"/>
        <w:rPr>
          <w:rFonts w:ascii="宋体" w:hAnsi="宋体" w:cs="宋体"/>
          <w:b/>
          <w:sz w:val="48"/>
          <w:szCs w:val="48"/>
        </w:rPr>
      </w:pPr>
    </w:p>
    <w:p>
      <w:pPr>
        <w:spacing w:line="360" w:lineRule="auto"/>
        <w:jc w:val="both"/>
        <w:rPr>
          <w:rFonts w:ascii="宋体" w:hAnsi="宋体" w:cs="宋体"/>
          <w:b/>
          <w:sz w:val="48"/>
          <w:szCs w:val="48"/>
        </w:rPr>
      </w:pPr>
      <w:r>
        <w:rPr>
          <w:rFonts w:hint="eastAsia" w:ascii="宋体" w:hAnsi="宋体" w:cs="宋体"/>
          <w:b/>
          <w:sz w:val="48"/>
          <w:szCs w:val="48"/>
        </w:rPr>
        <w:t>简阳市人民医院临床一体化诊疗平台采购项目</w:t>
      </w:r>
    </w:p>
    <w:p>
      <w:pPr>
        <w:spacing w:line="360" w:lineRule="auto"/>
        <w:ind w:firstLine="482" w:firstLineChars="100"/>
        <w:jc w:val="center"/>
        <w:rPr>
          <w:rFonts w:ascii="宋体" w:hAnsi="宋体" w:cs="宋体"/>
          <w:b/>
          <w:sz w:val="48"/>
          <w:szCs w:val="48"/>
        </w:rPr>
      </w:pPr>
    </w:p>
    <w:p>
      <w:pPr>
        <w:spacing w:line="360" w:lineRule="auto"/>
        <w:ind w:firstLine="321" w:firstLineChars="100"/>
        <w:jc w:val="center"/>
        <w:rPr>
          <w:rFonts w:ascii="宋体" w:hAnsi="宋体" w:cs="宋体"/>
          <w:b/>
          <w:sz w:val="48"/>
          <w:szCs w:val="48"/>
        </w:rPr>
      </w:pPr>
      <w:r>
        <w:rPr>
          <w:rFonts w:hint="eastAsia" w:ascii="宋体" w:hAnsi="宋体" w:cs="宋体"/>
          <w:b/>
          <w:bCs/>
          <w:sz w:val="32"/>
          <w:szCs w:val="32"/>
        </w:rPr>
        <w:t>招标编号：</w:t>
      </w:r>
      <w:r>
        <w:rPr>
          <w:rFonts w:hint="eastAsia" w:ascii="宋体" w:hAnsi="宋体" w:cs="宋体"/>
          <w:b/>
          <w:bCs/>
          <w:sz w:val="32"/>
          <w:szCs w:val="32"/>
          <w:lang w:eastAsia="zh-CN"/>
        </w:rPr>
        <w:t>510185202100105</w:t>
      </w:r>
      <w:r>
        <w:rPr>
          <w:rFonts w:hint="eastAsia" w:ascii="宋体" w:hAnsi="宋体" w:cs="宋体"/>
          <w:b/>
          <w:bCs/>
          <w:sz w:val="32"/>
          <w:szCs w:val="32"/>
        </w:rPr>
        <w:t xml:space="preserve"> </w:t>
      </w:r>
    </w:p>
    <w:p>
      <w:pPr>
        <w:spacing w:line="360" w:lineRule="auto"/>
        <w:jc w:val="center"/>
        <w:outlineLvl w:val="5"/>
        <w:rPr>
          <w:rFonts w:ascii="宋体" w:hAnsi="宋体" w:cs="宋体"/>
          <w:b/>
          <w:sz w:val="36"/>
        </w:rPr>
      </w:pPr>
    </w:p>
    <w:p>
      <w:pPr>
        <w:spacing w:line="360" w:lineRule="auto"/>
        <w:jc w:val="center"/>
        <w:outlineLvl w:val="5"/>
        <w:rPr>
          <w:rFonts w:ascii="宋体" w:hAnsi="宋体" w:cs="宋体"/>
          <w:b/>
          <w:sz w:val="36"/>
        </w:rPr>
      </w:pPr>
      <w:bookmarkStart w:id="371" w:name="_GoBack"/>
    </w:p>
    <w:bookmarkEnd w:id="371"/>
    <w:p>
      <w:pPr>
        <w:spacing w:line="360" w:lineRule="auto"/>
        <w:jc w:val="center"/>
        <w:outlineLvl w:val="5"/>
        <w:rPr>
          <w:rFonts w:ascii="宋体" w:hAnsi="宋体" w:cs="宋体"/>
          <w:b/>
          <w:sz w:val="84"/>
          <w:szCs w:val="84"/>
        </w:rPr>
      </w:pPr>
      <w:r>
        <w:rPr>
          <w:rFonts w:hint="eastAsia" w:ascii="宋体" w:hAnsi="宋体" w:cs="宋体"/>
          <w:b/>
          <w:sz w:val="84"/>
          <w:szCs w:val="84"/>
        </w:rPr>
        <w:t>招 标 文 件</w:t>
      </w:r>
    </w:p>
    <w:p>
      <w:pPr>
        <w:spacing w:line="360" w:lineRule="auto"/>
        <w:outlineLvl w:val="5"/>
        <w:rPr>
          <w:rFonts w:ascii="宋体" w:hAnsi="宋体" w:cs="宋体"/>
          <w:sz w:val="44"/>
          <w:szCs w:val="44"/>
        </w:rPr>
      </w:pPr>
    </w:p>
    <w:p>
      <w:pPr>
        <w:tabs>
          <w:tab w:val="left" w:pos="3360"/>
          <w:tab w:val="left" w:pos="3580"/>
          <w:tab w:val="left" w:pos="3780"/>
        </w:tabs>
        <w:spacing w:line="360" w:lineRule="auto"/>
        <w:ind w:firstLine="723" w:firstLineChars="200"/>
        <w:jc w:val="left"/>
        <w:outlineLvl w:val="5"/>
        <w:rPr>
          <w:rFonts w:ascii="宋体" w:hAnsi="宋体" w:cs="宋体"/>
          <w:b/>
          <w:sz w:val="36"/>
          <w:szCs w:val="36"/>
        </w:rPr>
      </w:pPr>
      <w:bookmarkStart w:id="2" w:name="_Hlt101233737"/>
      <w:bookmarkEnd w:id="2"/>
      <w:bookmarkStart w:id="3" w:name="_Hlt101843627"/>
      <w:bookmarkEnd w:id="3"/>
      <w:r>
        <w:rPr>
          <w:rFonts w:hint="eastAsia" w:ascii="宋体" w:hAnsi="宋体" w:cs="宋体"/>
          <w:b/>
          <w:sz w:val="36"/>
          <w:szCs w:val="36"/>
        </w:rPr>
        <w:t xml:space="preserve">    采  购  人：简阳市人民医院</w:t>
      </w:r>
    </w:p>
    <w:p>
      <w:pPr>
        <w:tabs>
          <w:tab w:val="left" w:pos="3360"/>
          <w:tab w:val="left" w:pos="3580"/>
          <w:tab w:val="left" w:pos="3780"/>
        </w:tabs>
        <w:spacing w:line="360" w:lineRule="auto"/>
        <w:ind w:left="3359" w:leftChars="400" w:hanging="2519" w:hangingChars="697"/>
        <w:jc w:val="left"/>
        <w:outlineLvl w:val="5"/>
        <w:rPr>
          <w:rFonts w:ascii="宋体" w:hAnsi="宋体" w:cs="宋体"/>
          <w:b/>
          <w:sz w:val="36"/>
          <w:szCs w:val="36"/>
        </w:rPr>
      </w:pPr>
      <w:r>
        <w:rPr>
          <w:rFonts w:hint="eastAsia" w:ascii="宋体" w:hAnsi="宋体" w:cs="宋体"/>
          <w:b/>
          <w:sz w:val="36"/>
          <w:szCs w:val="36"/>
        </w:rPr>
        <w:t>采购代理机构：四川五洲招标代理有限公司</w:t>
      </w:r>
    </w:p>
    <w:p>
      <w:pPr>
        <w:spacing w:line="360" w:lineRule="auto"/>
        <w:jc w:val="center"/>
        <w:outlineLvl w:val="5"/>
        <w:rPr>
          <w:rFonts w:ascii="宋体" w:hAnsi="宋体" w:cs="宋体"/>
          <w:b/>
          <w:sz w:val="36"/>
          <w:szCs w:val="36"/>
        </w:rPr>
      </w:pPr>
      <w:r>
        <w:rPr>
          <w:rFonts w:hint="eastAsia" w:ascii="宋体" w:hAnsi="宋体" w:cs="宋体"/>
          <w:b/>
          <w:sz w:val="36"/>
          <w:szCs w:val="36"/>
        </w:rPr>
        <w:t>2021年7月</w:t>
      </w:r>
    </w:p>
    <w:p>
      <w:pPr>
        <w:pStyle w:val="9"/>
        <w:spacing w:before="0" w:after="0" w:line="360" w:lineRule="auto"/>
        <w:jc w:val="center"/>
        <w:rPr>
          <w:rFonts w:ascii="宋体" w:hAnsi="宋体" w:eastAsia="宋体" w:cs="宋体"/>
          <w:bCs w:val="0"/>
          <w:sz w:val="36"/>
        </w:rPr>
        <w:sectPr>
          <w:headerReference r:id="rId3" w:type="default"/>
          <w:footerReference r:id="rId4" w:type="default"/>
          <w:pgSz w:w="11907" w:h="16840"/>
          <w:pgMar w:top="851" w:right="708" w:bottom="851" w:left="1418" w:header="471" w:footer="0" w:gutter="0"/>
          <w:pgNumType w:fmt="decimalFullWidth"/>
          <w:cols w:space="720" w:num="1"/>
          <w:docGrid w:linePitch="312" w:charSpace="0"/>
        </w:sectPr>
      </w:pPr>
    </w:p>
    <w:p>
      <w:pPr>
        <w:spacing w:line="360" w:lineRule="auto"/>
        <w:outlineLvl w:val="5"/>
        <w:rPr>
          <w:rFonts w:ascii="宋体" w:hAnsi="宋体" w:cs="宋体"/>
        </w:rPr>
      </w:pPr>
    </w:p>
    <w:p>
      <w:pPr>
        <w:pStyle w:val="9"/>
        <w:spacing w:before="0" w:after="0" w:line="360" w:lineRule="auto"/>
        <w:jc w:val="center"/>
        <w:rPr>
          <w:rFonts w:ascii="宋体" w:hAnsi="宋体" w:eastAsia="宋体" w:cs="宋体"/>
          <w:b w:val="0"/>
          <w:bCs w:val="0"/>
          <w:sz w:val="48"/>
          <w:szCs w:val="48"/>
        </w:rPr>
      </w:pPr>
      <w:bookmarkStart w:id="4" w:name="_Toc12069"/>
      <w:r>
        <w:rPr>
          <w:rFonts w:hint="eastAsia" w:ascii="宋体" w:hAnsi="宋体" w:eastAsia="宋体" w:cs="宋体"/>
          <w:bCs w:val="0"/>
          <w:sz w:val="48"/>
          <w:szCs w:val="48"/>
        </w:rPr>
        <w:t>目    录</w:t>
      </w:r>
      <w:bookmarkEnd w:id="4"/>
      <w:r>
        <w:rPr>
          <w:rFonts w:hint="eastAsia" w:ascii="宋体" w:hAnsi="宋体" w:eastAsia="宋体" w:cs="宋体"/>
          <w:b w:val="0"/>
          <w:bCs w:val="0"/>
          <w:sz w:val="48"/>
          <w:szCs w:val="48"/>
        </w:rPr>
        <w:t xml:space="preserve">    </w:t>
      </w:r>
    </w:p>
    <w:p>
      <w:pPr>
        <w:spacing w:line="360" w:lineRule="auto"/>
        <w:rPr>
          <w:rFonts w:ascii="宋体" w:hAnsi="宋体" w:cs="宋体"/>
        </w:rPr>
      </w:pPr>
    </w:p>
    <w:p>
      <w:pPr>
        <w:spacing w:line="360" w:lineRule="auto"/>
        <w:rPr>
          <w:rFonts w:ascii="宋体" w:hAnsi="宋体" w:cs="宋体"/>
        </w:rPr>
      </w:pPr>
    </w:p>
    <w:p>
      <w:pPr>
        <w:pStyle w:val="32"/>
        <w:tabs>
          <w:tab w:val="right" w:leader="dot" w:pos="9562"/>
        </w:tabs>
        <w:ind w:firstLine="420"/>
        <w:rPr>
          <w:rFonts w:ascii="宋体" w:hAnsi="宋体" w:cs="宋体"/>
        </w:rPr>
      </w:pPr>
      <w:r>
        <w:rPr>
          <w:rFonts w:hint="eastAsia" w:ascii="宋体" w:hAnsi="宋体" w:cs="宋体"/>
        </w:rPr>
        <w:fldChar w:fldCharType="begin"/>
      </w:r>
      <w:r>
        <w:rPr>
          <w:rFonts w:hint="eastAsia" w:ascii="宋体" w:hAnsi="宋体" w:cs="宋体"/>
        </w:rPr>
        <w:instrText xml:space="preserve">TOC \o "1-1" \h \u </w:instrText>
      </w:r>
      <w:r>
        <w:rPr>
          <w:rFonts w:hint="eastAsia" w:ascii="宋体" w:hAnsi="宋体" w:cs="宋体"/>
        </w:rPr>
        <w:fldChar w:fldCharType="separate"/>
      </w:r>
      <w:r>
        <w:fldChar w:fldCharType="begin"/>
      </w:r>
      <w:r>
        <w:instrText xml:space="preserve"> HYPERLINK \l "_Toc11981" </w:instrText>
      </w:r>
      <w:r>
        <w:fldChar w:fldCharType="separate"/>
      </w:r>
      <w:r>
        <w:rPr>
          <w:rFonts w:hint="eastAsia" w:ascii="宋体" w:hAnsi="宋体" w:cs="宋体"/>
        </w:rPr>
        <w:t>第一章  投标邀请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_Toc11981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32"/>
        <w:tabs>
          <w:tab w:val="right" w:leader="dot" w:pos="9562"/>
        </w:tabs>
        <w:ind w:firstLine="420"/>
        <w:rPr>
          <w:rFonts w:ascii="宋体" w:hAnsi="宋体" w:cs="宋体"/>
        </w:rPr>
      </w:pPr>
      <w:r>
        <w:fldChar w:fldCharType="begin"/>
      </w:r>
      <w:r>
        <w:instrText xml:space="preserve"> HYPERLINK \l "_Toc10914" </w:instrText>
      </w:r>
      <w:r>
        <w:fldChar w:fldCharType="separate"/>
      </w:r>
      <w:r>
        <w:rPr>
          <w:rFonts w:hint="eastAsia" w:ascii="宋体" w:hAnsi="宋体" w:cs="宋体"/>
        </w:rPr>
        <w:t>第二章  投标人须知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_Toc10914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pPr>
        <w:pStyle w:val="32"/>
        <w:tabs>
          <w:tab w:val="right" w:leader="dot" w:pos="9562"/>
        </w:tabs>
        <w:ind w:firstLine="420"/>
        <w:rPr>
          <w:rFonts w:ascii="宋体" w:hAnsi="宋体" w:cs="宋体"/>
        </w:rPr>
      </w:pPr>
      <w:r>
        <w:fldChar w:fldCharType="begin"/>
      </w:r>
      <w:r>
        <w:instrText xml:space="preserve"> HYPERLINK \l "_Toc24658" </w:instrText>
      </w:r>
      <w:r>
        <w:fldChar w:fldCharType="separate"/>
      </w:r>
      <w:r>
        <w:rPr>
          <w:rFonts w:hint="eastAsia" w:ascii="宋体" w:hAnsi="宋体" w:cs="宋体"/>
        </w:rPr>
        <w:t>第三章  投标文件</w:t>
      </w:r>
      <w:bookmarkStart w:id="5" w:name="_Hlt522022782"/>
      <w:bookmarkStart w:id="6" w:name="_Hlt522022781"/>
      <w:r>
        <w:rPr>
          <w:rFonts w:hint="eastAsia" w:ascii="宋体" w:hAnsi="宋体" w:cs="宋体"/>
        </w:rPr>
        <w:t>格</w:t>
      </w:r>
      <w:bookmarkEnd w:id="5"/>
      <w:bookmarkEnd w:id="6"/>
      <w:r>
        <w:rPr>
          <w:rFonts w:hint="eastAsia" w:ascii="宋体" w:hAnsi="宋体" w:cs="宋体"/>
        </w:rPr>
        <w:t>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_Toc24658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32"/>
        <w:tabs>
          <w:tab w:val="right" w:leader="dot" w:pos="9562"/>
        </w:tabs>
        <w:ind w:firstLine="420"/>
        <w:rPr>
          <w:rFonts w:ascii="宋体" w:hAnsi="宋体" w:cs="宋体"/>
        </w:rPr>
      </w:pPr>
      <w:r>
        <w:fldChar w:fldCharType="begin"/>
      </w:r>
      <w:r>
        <w:instrText xml:space="preserve"> HYPERLINK \l "_Toc21668" </w:instrText>
      </w:r>
      <w:r>
        <w:fldChar w:fldCharType="separate"/>
      </w:r>
      <w:r>
        <w:rPr>
          <w:rFonts w:hint="eastAsia" w:ascii="宋体" w:hAnsi="宋体" w:cs="宋体"/>
        </w:rPr>
        <w:t>第四章  投标</w:t>
      </w:r>
      <w:bookmarkStart w:id="7" w:name="_Hlt6420710"/>
      <w:bookmarkStart w:id="8" w:name="_Hlt6471859"/>
      <w:bookmarkStart w:id="9" w:name="_Hlt6471858"/>
      <w:bookmarkStart w:id="10" w:name="_Hlt498531488"/>
      <w:bookmarkStart w:id="11" w:name="_Hlt498531489"/>
      <w:bookmarkStart w:id="12" w:name="_Hlt6420711"/>
      <w:r>
        <w:rPr>
          <w:rFonts w:hint="eastAsia" w:ascii="宋体" w:hAnsi="宋体" w:cs="宋体"/>
        </w:rPr>
        <w:t>人</w:t>
      </w:r>
      <w:bookmarkEnd w:id="7"/>
      <w:bookmarkEnd w:id="8"/>
      <w:bookmarkEnd w:id="9"/>
      <w:bookmarkEnd w:id="10"/>
      <w:bookmarkEnd w:id="11"/>
      <w:bookmarkEnd w:id="12"/>
      <w:r>
        <w:rPr>
          <w:rFonts w:hint="eastAsia" w:ascii="宋体" w:hAnsi="宋体" w:cs="宋体"/>
        </w:rPr>
        <w:t>和投</w:t>
      </w:r>
      <w:bookmarkStart w:id="13" w:name="_Hlt6316701"/>
      <w:bookmarkStart w:id="14" w:name="_Hlt6316702"/>
      <w:r>
        <w:rPr>
          <w:rFonts w:hint="eastAsia" w:ascii="宋体" w:hAnsi="宋体" w:cs="宋体"/>
        </w:rPr>
        <w:t>标</w:t>
      </w:r>
      <w:bookmarkEnd w:id="13"/>
      <w:bookmarkEnd w:id="14"/>
      <w:r>
        <w:rPr>
          <w:rFonts w:hint="eastAsia" w:ascii="宋体" w:hAnsi="宋体" w:cs="宋体"/>
        </w:rPr>
        <w:t>产</w:t>
      </w:r>
      <w:bookmarkStart w:id="15" w:name="_Hlt511224853"/>
      <w:bookmarkStart w:id="16" w:name="_Hlt511224852"/>
      <w:r>
        <w:rPr>
          <w:rFonts w:hint="eastAsia" w:ascii="宋体" w:hAnsi="宋体" w:cs="宋体"/>
        </w:rPr>
        <w:t>品</w:t>
      </w:r>
      <w:bookmarkEnd w:id="15"/>
      <w:bookmarkEnd w:id="16"/>
      <w:r>
        <w:rPr>
          <w:rFonts w:hint="eastAsia" w:ascii="宋体" w:hAnsi="宋体" w:cs="宋体"/>
        </w:rPr>
        <w:t>的资格、资质性及其他类似效力要求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_Toc21668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pPr>
        <w:pStyle w:val="32"/>
        <w:tabs>
          <w:tab w:val="right" w:leader="dot" w:pos="9562"/>
        </w:tabs>
        <w:ind w:firstLine="420"/>
        <w:rPr>
          <w:rFonts w:ascii="宋体" w:hAnsi="宋体" w:cs="宋体"/>
        </w:rPr>
      </w:pPr>
      <w:r>
        <w:fldChar w:fldCharType="begin"/>
      </w:r>
      <w:r>
        <w:instrText xml:space="preserve"> HYPERLINK \l "_Toc17594" </w:instrText>
      </w:r>
      <w:r>
        <w:fldChar w:fldCharType="separate"/>
      </w:r>
      <w:r>
        <w:rPr>
          <w:rFonts w:hint="eastAsia" w:ascii="宋体" w:hAnsi="宋体" w:cs="宋体"/>
        </w:rPr>
        <w:t>第五章  投标人</w:t>
      </w:r>
      <w:bookmarkStart w:id="17" w:name="_Hlt6316910"/>
      <w:r>
        <w:rPr>
          <w:rFonts w:hint="eastAsia" w:ascii="宋体" w:hAnsi="宋体" w:cs="宋体"/>
        </w:rPr>
        <w:t>应</w:t>
      </w:r>
      <w:bookmarkEnd w:id="17"/>
      <w:r>
        <w:rPr>
          <w:rFonts w:hint="eastAsia" w:ascii="宋体" w:hAnsi="宋体" w:cs="宋体"/>
        </w:rPr>
        <w:t>当提供的资格、资质性及其他类似效力要求的相关证明材料</w:t>
      </w:r>
      <w:r>
        <w:rPr>
          <w:rFonts w:hint="eastAsia" w:ascii="宋体" w:hAnsi="宋体" w:cs="宋体"/>
        </w:rPr>
        <w:tab/>
      </w:r>
      <w:r>
        <w:rPr>
          <w:rFonts w:hint="eastAsia" w:ascii="宋体" w:hAnsi="宋体" w:cs="宋体"/>
        </w:rPr>
        <w:t>4</w:t>
      </w:r>
      <w:r>
        <w:rPr>
          <w:rFonts w:hint="eastAsia" w:ascii="宋体" w:hAnsi="宋体" w:cs="宋体"/>
        </w:rPr>
        <w:fldChar w:fldCharType="end"/>
      </w:r>
      <w:r>
        <w:rPr>
          <w:rFonts w:hint="eastAsia" w:ascii="宋体" w:hAnsi="宋体" w:cs="宋体"/>
        </w:rPr>
        <w:t>2</w:t>
      </w:r>
    </w:p>
    <w:p>
      <w:pPr>
        <w:pStyle w:val="32"/>
        <w:tabs>
          <w:tab w:val="right" w:leader="dot" w:pos="9562"/>
        </w:tabs>
        <w:ind w:firstLine="420"/>
        <w:rPr>
          <w:rFonts w:ascii="宋体" w:hAnsi="宋体" w:cs="宋体"/>
        </w:rPr>
      </w:pPr>
      <w:r>
        <w:fldChar w:fldCharType="begin"/>
      </w:r>
      <w:r>
        <w:instrText xml:space="preserve"> HYPERLINK \l "_Toc17594" </w:instrText>
      </w:r>
      <w:r>
        <w:fldChar w:fldCharType="separate"/>
      </w:r>
      <w:r>
        <w:rPr>
          <w:rFonts w:hint="eastAsia" w:ascii="宋体" w:hAnsi="宋体" w:cs="宋体"/>
        </w:rPr>
        <w:t>第六章  本项目技术、服务、政府采购履</w:t>
      </w:r>
      <w:bookmarkStart w:id="18" w:name="_Hlt517167624"/>
      <w:bookmarkStart w:id="19" w:name="_Hlt517167625"/>
      <w:r>
        <w:rPr>
          <w:rFonts w:hint="eastAsia" w:ascii="宋体" w:hAnsi="宋体" w:cs="宋体"/>
        </w:rPr>
        <w:t>约</w:t>
      </w:r>
      <w:bookmarkEnd w:id="18"/>
      <w:bookmarkEnd w:id="19"/>
      <w:r>
        <w:rPr>
          <w:rFonts w:hint="eastAsia" w:ascii="宋体" w:hAnsi="宋体" w:cs="宋体"/>
        </w:rPr>
        <w:t>主要条款及其他要求条款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_Toc17594 </w:instrText>
      </w:r>
      <w:r>
        <w:rPr>
          <w:rFonts w:hint="eastAsia" w:ascii="宋体" w:hAnsi="宋体" w:cs="宋体"/>
        </w:rPr>
        <w:fldChar w:fldCharType="separate"/>
      </w:r>
      <w:r>
        <w:rPr>
          <w:rFonts w:hint="eastAsia" w:ascii="宋体" w:hAnsi="宋体" w:cs="宋体"/>
        </w:rPr>
        <w:t>44</w:t>
      </w:r>
      <w:r>
        <w:rPr>
          <w:rFonts w:hint="eastAsia" w:ascii="宋体" w:hAnsi="宋体" w:cs="宋体"/>
        </w:rPr>
        <w:fldChar w:fldCharType="end"/>
      </w:r>
      <w:r>
        <w:rPr>
          <w:rFonts w:hint="eastAsia" w:ascii="宋体" w:hAnsi="宋体" w:cs="宋体"/>
        </w:rPr>
        <w:fldChar w:fldCharType="end"/>
      </w:r>
    </w:p>
    <w:p>
      <w:pPr>
        <w:pStyle w:val="32"/>
        <w:tabs>
          <w:tab w:val="right" w:leader="dot" w:pos="9562"/>
        </w:tabs>
        <w:ind w:firstLine="420"/>
        <w:rPr>
          <w:rFonts w:hint="default" w:ascii="宋体" w:hAnsi="宋体" w:eastAsia="宋体" w:cs="宋体"/>
          <w:lang w:val="en-US" w:eastAsia="zh-CN"/>
        </w:rPr>
      </w:pPr>
      <w:r>
        <w:fldChar w:fldCharType="begin"/>
      </w:r>
      <w:r>
        <w:instrText xml:space="preserve"> HYPERLINK \l "_Toc9669" </w:instrText>
      </w:r>
      <w:r>
        <w:fldChar w:fldCharType="separate"/>
      </w:r>
      <w:r>
        <w:rPr>
          <w:rFonts w:hint="eastAsia" w:ascii="宋体" w:hAnsi="宋体" w:cs="宋体"/>
        </w:rPr>
        <w:t>第七章  评标办</w:t>
      </w:r>
      <w:bookmarkStart w:id="20" w:name="_Hlt19097194"/>
      <w:bookmarkStart w:id="21" w:name="_Hlt19097195"/>
      <w:r>
        <w:rPr>
          <w:rFonts w:hint="eastAsia" w:ascii="宋体" w:hAnsi="宋体" w:cs="宋体"/>
        </w:rPr>
        <w:t>法</w:t>
      </w:r>
      <w:bookmarkEnd w:id="20"/>
      <w:bookmarkEnd w:id="21"/>
      <w:bookmarkStart w:id="22" w:name="_Hlt513888269"/>
      <w:bookmarkStart w:id="23" w:name="_Hlt513888268"/>
      <w:r>
        <w:rPr>
          <w:rFonts w:hint="eastAsia" w:ascii="宋体" w:hAnsi="宋体" w:cs="宋体"/>
        </w:rPr>
        <w:tab/>
      </w:r>
      <w:bookmarkEnd w:id="22"/>
      <w:bookmarkEnd w:id="23"/>
      <w:r>
        <w:rPr>
          <w:rFonts w:hint="eastAsia" w:ascii="宋体" w:hAnsi="宋体" w:cs="宋体"/>
          <w:lang w:val="en-US" w:eastAsia="zh-CN"/>
        </w:rPr>
        <w:t>1</w:t>
      </w:r>
      <w:r>
        <w:rPr>
          <w:rFonts w:hint="eastAsia" w:ascii="宋体" w:hAnsi="宋体" w:cs="宋体"/>
        </w:rPr>
        <w:fldChar w:fldCharType="end"/>
      </w:r>
      <w:r>
        <w:rPr>
          <w:rFonts w:hint="eastAsia" w:ascii="宋体" w:hAnsi="宋体" w:cs="宋体"/>
          <w:lang w:val="en-US" w:eastAsia="zh-CN"/>
        </w:rPr>
        <w:t>06</w:t>
      </w:r>
    </w:p>
    <w:p>
      <w:pPr>
        <w:pStyle w:val="32"/>
        <w:tabs>
          <w:tab w:val="right" w:leader="dot" w:pos="9562"/>
        </w:tabs>
        <w:ind w:firstLine="420"/>
        <w:rPr>
          <w:rFonts w:ascii="宋体" w:hAnsi="宋体" w:cs="宋体"/>
        </w:rPr>
      </w:pPr>
      <w:r>
        <w:fldChar w:fldCharType="begin"/>
      </w:r>
      <w:r>
        <w:instrText xml:space="preserve"> HYPERLINK \l "_Toc25962" </w:instrText>
      </w:r>
      <w:r>
        <w:fldChar w:fldCharType="separate"/>
      </w:r>
      <w:r>
        <w:rPr>
          <w:rFonts w:hint="eastAsia" w:ascii="宋体" w:hAnsi="宋体" w:cs="宋体"/>
        </w:rPr>
        <w:t>第八章  政府采购合同（草案）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_Toc25962 </w:instrText>
      </w:r>
      <w:r>
        <w:rPr>
          <w:rFonts w:hint="eastAsia" w:ascii="宋体" w:hAnsi="宋体" w:cs="宋体"/>
        </w:rPr>
        <w:fldChar w:fldCharType="separate"/>
      </w:r>
      <w:r>
        <w:rPr>
          <w:rFonts w:hint="eastAsia" w:ascii="宋体" w:hAnsi="宋体" w:cs="宋体"/>
        </w:rPr>
        <w:t>118</w:t>
      </w:r>
      <w:r>
        <w:rPr>
          <w:rFonts w:hint="eastAsia" w:ascii="宋体" w:hAnsi="宋体" w:cs="宋体"/>
        </w:rPr>
        <w:fldChar w:fldCharType="end"/>
      </w:r>
      <w:r>
        <w:rPr>
          <w:rFonts w:hint="eastAsia" w:ascii="宋体" w:hAnsi="宋体" w:cs="宋体"/>
        </w:rPr>
        <w:fldChar w:fldCharType="end"/>
      </w:r>
    </w:p>
    <w:p>
      <w:pPr>
        <w:ind w:firstLine="420"/>
        <w:outlineLvl w:val="0"/>
        <w:rPr>
          <w:rFonts w:ascii="宋体" w:hAnsi="宋体" w:cs="宋体"/>
        </w:rPr>
      </w:pPr>
      <w:r>
        <w:rPr>
          <w:rFonts w:hint="eastAsia" w:ascii="宋体" w:hAnsi="宋体" w:cs="宋体"/>
        </w:rPr>
        <w:fldChar w:fldCharType="end"/>
      </w:r>
    </w:p>
    <w:p>
      <w:pPr>
        <w:outlineLvl w:val="0"/>
        <w:rPr>
          <w:rFonts w:ascii="宋体" w:hAnsi="宋体" w:cs="宋体"/>
        </w:rPr>
      </w:pPr>
      <w:r>
        <w:rPr>
          <w:rFonts w:hint="eastAsia" w:ascii="宋体" w:hAnsi="宋体" w:cs="宋体"/>
        </w:rPr>
        <w:br w:type="page"/>
      </w:r>
    </w:p>
    <w:p>
      <w:pPr>
        <w:pStyle w:val="4"/>
        <w:jc w:val="center"/>
        <w:rPr>
          <w:rFonts w:ascii="宋体" w:hAnsi="宋体" w:cs="宋体"/>
          <w:b/>
          <w:bCs/>
        </w:rPr>
      </w:pPr>
      <w:bookmarkStart w:id="24" w:name="_Toc6743"/>
      <w:bookmarkStart w:id="25" w:name="_Toc11981"/>
      <w:bookmarkStart w:id="26" w:name="_Toc12289"/>
      <w:r>
        <w:rPr>
          <w:rFonts w:hint="eastAsia" w:ascii="宋体" w:hAnsi="宋体" w:cs="宋体"/>
          <w:b/>
          <w:bCs/>
        </w:rPr>
        <w:t xml:space="preserve">第一章  </w:t>
      </w:r>
      <w:bookmarkEnd w:id="0"/>
      <w:bookmarkEnd w:id="1"/>
      <w:r>
        <w:rPr>
          <w:rFonts w:hint="eastAsia" w:ascii="宋体" w:hAnsi="宋体" w:cs="宋体"/>
          <w:b/>
          <w:bCs/>
        </w:rPr>
        <w:t>投标邀请</w:t>
      </w:r>
      <w:bookmarkEnd w:id="24"/>
      <w:bookmarkEnd w:id="25"/>
      <w:bookmarkEnd w:id="26"/>
    </w:p>
    <w:p>
      <w:pPr>
        <w:spacing w:line="360" w:lineRule="auto"/>
        <w:ind w:firstLine="480" w:firstLineChars="200"/>
        <w:outlineLvl w:val="5"/>
        <w:rPr>
          <w:rFonts w:ascii="宋体" w:hAnsi="宋体" w:cs="宋体"/>
          <w:kern w:val="0"/>
          <w:sz w:val="24"/>
        </w:rPr>
      </w:pPr>
      <w:r>
        <w:rPr>
          <w:rFonts w:hint="eastAsia" w:ascii="宋体" w:hAnsi="宋体" w:cs="宋体"/>
          <w:bCs/>
          <w:sz w:val="24"/>
        </w:rPr>
        <w:t>四川五洲招标代理有限公司</w:t>
      </w:r>
      <w:r>
        <w:rPr>
          <w:rFonts w:hint="eastAsia" w:ascii="宋体" w:hAnsi="宋体" w:cs="宋体"/>
          <w:sz w:val="24"/>
        </w:rPr>
        <w:t>受简阳市人民医院委托，拟对“</w:t>
      </w:r>
      <w:r>
        <w:rPr>
          <w:rFonts w:hint="eastAsia" w:ascii="宋体" w:hAnsi="宋体" w:cs="宋体"/>
          <w:kern w:val="0"/>
          <w:sz w:val="24"/>
        </w:rPr>
        <w:t>简阳市人民医院临床一体化诊疗平台采购项目”</w:t>
      </w:r>
      <w:r>
        <w:rPr>
          <w:rFonts w:hint="eastAsia" w:ascii="宋体" w:hAnsi="宋体" w:cs="宋体"/>
          <w:sz w:val="24"/>
        </w:rPr>
        <w:t>进行国内公开招标，兹邀请符合本次招标要求的供应商参加投标。</w:t>
      </w:r>
    </w:p>
    <w:p>
      <w:pPr>
        <w:widowControl/>
        <w:spacing w:line="360" w:lineRule="auto"/>
        <w:outlineLvl w:val="5"/>
        <w:rPr>
          <w:rFonts w:hint="eastAsia" w:ascii="宋体" w:hAnsi="宋体" w:eastAsia="宋体" w:cs="宋体"/>
          <w:sz w:val="24"/>
          <w:lang w:eastAsia="zh-CN"/>
        </w:rPr>
      </w:pPr>
      <w:r>
        <w:rPr>
          <w:rFonts w:hint="eastAsia" w:ascii="宋体" w:hAnsi="宋体" w:cs="宋体"/>
          <w:b/>
          <w:sz w:val="24"/>
        </w:rPr>
        <w:t>一、招标编号：</w:t>
      </w:r>
      <w:r>
        <w:rPr>
          <w:rFonts w:hint="eastAsia" w:ascii="宋体" w:hAnsi="宋体" w:cs="宋体"/>
          <w:bCs/>
          <w:sz w:val="24"/>
          <w:lang w:eastAsia="zh-CN"/>
        </w:rPr>
        <w:t>510185202100105</w:t>
      </w:r>
    </w:p>
    <w:p>
      <w:pPr>
        <w:spacing w:line="360" w:lineRule="auto"/>
        <w:ind w:left="1619" w:hanging="1619" w:hangingChars="672"/>
        <w:outlineLvl w:val="5"/>
        <w:rPr>
          <w:rFonts w:ascii="宋体" w:hAnsi="宋体" w:cs="宋体"/>
          <w:sz w:val="24"/>
        </w:rPr>
      </w:pPr>
      <w:r>
        <w:rPr>
          <w:rFonts w:hint="eastAsia" w:ascii="宋体" w:hAnsi="宋体" w:cs="宋体"/>
          <w:b/>
          <w:sz w:val="24"/>
        </w:rPr>
        <w:t>二、招标项目</w:t>
      </w:r>
      <w:r>
        <w:rPr>
          <w:rFonts w:hint="eastAsia" w:ascii="宋体" w:hAnsi="宋体" w:cs="宋体"/>
          <w:sz w:val="24"/>
        </w:rPr>
        <w:t>：简阳市人民医院临床一体化诊疗平台采购项目</w:t>
      </w:r>
    </w:p>
    <w:p>
      <w:pPr>
        <w:widowControl/>
        <w:spacing w:line="360" w:lineRule="auto"/>
        <w:outlineLvl w:val="5"/>
        <w:rPr>
          <w:rFonts w:ascii="宋体" w:hAnsi="宋体" w:cs="宋体"/>
          <w:sz w:val="24"/>
        </w:rPr>
      </w:pPr>
      <w:r>
        <w:rPr>
          <w:rFonts w:hint="eastAsia" w:ascii="宋体" w:hAnsi="宋体" w:cs="宋体"/>
          <w:b/>
          <w:sz w:val="24"/>
        </w:rPr>
        <w:t>三、资金来源：</w:t>
      </w:r>
      <w:r>
        <w:rPr>
          <w:rFonts w:hint="eastAsia" w:ascii="宋体" w:hAnsi="宋体" w:cs="宋体"/>
          <w:sz w:val="24"/>
        </w:rPr>
        <w:t>财政性资金，已落实。</w:t>
      </w:r>
    </w:p>
    <w:p>
      <w:pPr>
        <w:widowControl/>
        <w:spacing w:line="360" w:lineRule="auto"/>
        <w:outlineLvl w:val="5"/>
        <w:rPr>
          <w:rFonts w:ascii="宋体" w:hAnsi="宋体" w:cs="宋体"/>
          <w:sz w:val="24"/>
        </w:rPr>
      </w:pPr>
      <w:r>
        <w:rPr>
          <w:rFonts w:hint="eastAsia" w:ascii="宋体" w:hAnsi="宋体" w:cs="宋体"/>
          <w:b/>
          <w:sz w:val="24"/>
        </w:rPr>
        <w:t>四、招标项目简介：</w:t>
      </w:r>
      <w:r>
        <w:rPr>
          <w:rFonts w:hint="eastAsia" w:ascii="宋体" w:hAnsi="宋体" w:cs="宋体"/>
          <w:sz w:val="24"/>
        </w:rPr>
        <w:t>本项目共1个包，采购内容：简阳市人民医院临床一体化诊疗平台采购项目（具体详见第六章“本项目技术、服务、政府采购履约主要条款及其他要求条款”）。</w:t>
      </w:r>
    </w:p>
    <w:p>
      <w:pPr>
        <w:widowControl/>
        <w:spacing w:line="360" w:lineRule="auto"/>
        <w:outlineLvl w:val="5"/>
        <w:rPr>
          <w:rFonts w:ascii="宋体" w:hAnsi="宋体" w:cs="宋体"/>
          <w:b/>
          <w:sz w:val="24"/>
        </w:rPr>
      </w:pPr>
      <w:r>
        <w:rPr>
          <w:rFonts w:hint="eastAsia" w:ascii="宋体" w:hAnsi="宋体" w:cs="宋体"/>
          <w:b/>
          <w:sz w:val="24"/>
        </w:rPr>
        <w:t>五、投标人参加本次政府采购活动，应当在提交投标文件前具备下列条件：</w:t>
      </w:r>
    </w:p>
    <w:p>
      <w:pPr>
        <w:spacing w:line="360" w:lineRule="auto"/>
        <w:ind w:firstLine="120" w:firstLineChars="50"/>
        <w:outlineLvl w:val="5"/>
        <w:rPr>
          <w:rFonts w:ascii="宋体" w:hAnsi="宋体" w:cs="宋体"/>
          <w:b/>
          <w:sz w:val="24"/>
        </w:rPr>
      </w:pPr>
      <w:r>
        <w:rPr>
          <w:rFonts w:hint="eastAsia" w:ascii="宋体" w:hAnsi="宋体" w:cs="宋体"/>
          <w:b/>
          <w:sz w:val="24"/>
        </w:rPr>
        <w:t>1.投标人应具备《中华人民共和国政府采购法》第二十二条规定的下列条件：</w:t>
      </w:r>
    </w:p>
    <w:p>
      <w:pPr>
        <w:shd w:val="clear" w:color="auto" w:fill="FFFFFF"/>
        <w:tabs>
          <w:tab w:val="left" w:pos="900"/>
          <w:tab w:val="left" w:pos="5366"/>
        </w:tabs>
        <w:snapToGrid w:val="0"/>
        <w:spacing w:line="360" w:lineRule="auto"/>
        <w:ind w:firstLine="360" w:firstLineChars="150"/>
        <w:outlineLvl w:val="5"/>
        <w:rPr>
          <w:rFonts w:ascii="宋体" w:hAnsi="宋体" w:cs="宋体"/>
          <w:sz w:val="24"/>
        </w:rPr>
      </w:pPr>
      <w:r>
        <w:rPr>
          <w:rFonts w:hint="eastAsia" w:ascii="宋体" w:hAnsi="宋体" w:cs="宋体"/>
          <w:sz w:val="24"/>
        </w:rPr>
        <w:t>1.1具有独立承担民事责任的能力；</w:t>
      </w:r>
    </w:p>
    <w:p>
      <w:pPr>
        <w:shd w:val="clear" w:color="auto" w:fill="FFFFFF"/>
        <w:tabs>
          <w:tab w:val="left" w:pos="900"/>
          <w:tab w:val="left" w:pos="5366"/>
        </w:tabs>
        <w:snapToGrid w:val="0"/>
        <w:spacing w:line="360" w:lineRule="auto"/>
        <w:ind w:firstLine="360" w:firstLineChars="150"/>
        <w:outlineLvl w:val="5"/>
        <w:rPr>
          <w:rFonts w:ascii="宋体" w:hAnsi="宋体" w:cs="宋体"/>
          <w:sz w:val="24"/>
        </w:rPr>
      </w:pPr>
      <w:r>
        <w:rPr>
          <w:rFonts w:hint="eastAsia" w:ascii="宋体" w:hAnsi="宋体" w:cs="宋体"/>
          <w:sz w:val="24"/>
        </w:rPr>
        <w:t>1.2具有良好的商业信誉和健全的财务会计制度；</w:t>
      </w:r>
    </w:p>
    <w:p>
      <w:pPr>
        <w:shd w:val="clear" w:color="auto" w:fill="FFFFFF"/>
        <w:tabs>
          <w:tab w:val="left" w:pos="900"/>
          <w:tab w:val="left" w:pos="5366"/>
        </w:tabs>
        <w:snapToGrid w:val="0"/>
        <w:spacing w:line="360" w:lineRule="auto"/>
        <w:ind w:firstLine="360" w:firstLineChars="150"/>
        <w:outlineLvl w:val="5"/>
        <w:rPr>
          <w:rFonts w:ascii="宋体" w:hAnsi="宋体" w:cs="宋体"/>
          <w:sz w:val="24"/>
        </w:rPr>
      </w:pPr>
      <w:r>
        <w:rPr>
          <w:rFonts w:hint="eastAsia" w:ascii="宋体" w:hAnsi="宋体" w:cs="宋体"/>
          <w:sz w:val="24"/>
        </w:rPr>
        <w:t>1.3具有履行合同所必需的设备和专业技术能力；</w:t>
      </w:r>
    </w:p>
    <w:p>
      <w:pPr>
        <w:shd w:val="clear" w:color="auto" w:fill="FFFFFF"/>
        <w:tabs>
          <w:tab w:val="left" w:pos="900"/>
          <w:tab w:val="left" w:pos="5366"/>
        </w:tabs>
        <w:snapToGrid w:val="0"/>
        <w:spacing w:line="360" w:lineRule="auto"/>
        <w:ind w:firstLine="360" w:firstLineChars="150"/>
        <w:outlineLvl w:val="5"/>
        <w:rPr>
          <w:rFonts w:ascii="宋体" w:hAnsi="宋体" w:cs="宋体"/>
          <w:sz w:val="24"/>
        </w:rPr>
      </w:pPr>
      <w:r>
        <w:rPr>
          <w:rFonts w:hint="eastAsia" w:ascii="宋体" w:hAnsi="宋体" w:cs="宋体"/>
          <w:sz w:val="24"/>
        </w:rPr>
        <w:t>1.4有依法缴纳税收和社会保障资金的良好记录；</w:t>
      </w:r>
    </w:p>
    <w:p>
      <w:pPr>
        <w:shd w:val="clear" w:color="auto" w:fill="FFFFFF"/>
        <w:tabs>
          <w:tab w:val="left" w:pos="900"/>
          <w:tab w:val="left" w:pos="5366"/>
        </w:tabs>
        <w:snapToGrid w:val="0"/>
        <w:spacing w:line="360" w:lineRule="auto"/>
        <w:ind w:firstLine="360" w:firstLineChars="150"/>
        <w:outlineLvl w:val="5"/>
        <w:rPr>
          <w:rFonts w:ascii="宋体" w:hAnsi="宋体" w:cs="宋体"/>
          <w:sz w:val="24"/>
        </w:rPr>
      </w:pPr>
      <w:r>
        <w:rPr>
          <w:rFonts w:hint="eastAsia" w:ascii="宋体" w:hAnsi="宋体" w:cs="宋体"/>
          <w:sz w:val="24"/>
        </w:rPr>
        <w:t>1.5参加政府采购活动前三年内，在经营活动中没有重大违法记录；</w:t>
      </w:r>
    </w:p>
    <w:p>
      <w:pPr>
        <w:shd w:val="clear" w:color="auto" w:fill="FFFFFF"/>
        <w:tabs>
          <w:tab w:val="left" w:pos="900"/>
          <w:tab w:val="left" w:pos="5366"/>
        </w:tabs>
        <w:snapToGrid w:val="0"/>
        <w:spacing w:line="360" w:lineRule="auto"/>
        <w:ind w:firstLine="360" w:firstLineChars="150"/>
        <w:outlineLvl w:val="5"/>
        <w:rPr>
          <w:rFonts w:ascii="宋体" w:hAnsi="宋体" w:cs="宋体"/>
          <w:sz w:val="24"/>
        </w:rPr>
      </w:pPr>
      <w:r>
        <w:rPr>
          <w:rFonts w:hint="eastAsia" w:ascii="宋体" w:hAnsi="宋体" w:cs="宋体"/>
          <w:sz w:val="24"/>
        </w:rPr>
        <w:t>1.6法律、行政法规规定的其他条件。</w:t>
      </w:r>
    </w:p>
    <w:p>
      <w:pPr>
        <w:pStyle w:val="184"/>
        <w:ind w:firstLine="0" w:firstLineChars="0"/>
        <w:rPr>
          <w:rFonts w:ascii="宋体" w:hAnsi="宋体" w:cs="宋体"/>
          <w:b/>
          <w:sz w:val="24"/>
        </w:rPr>
      </w:pPr>
      <w:r>
        <w:rPr>
          <w:rFonts w:hint="eastAsia" w:ascii="宋体" w:hAnsi="宋体" w:cs="宋体"/>
          <w:b/>
          <w:sz w:val="24"/>
        </w:rPr>
        <w:t>2.根据采购项目提出的特殊条件：</w:t>
      </w:r>
    </w:p>
    <w:p>
      <w:pPr>
        <w:shd w:val="clear" w:color="auto" w:fill="FFFFFF"/>
        <w:tabs>
          <w:tab w:val="left" w:pos="900"/>
          <w:tab w:val="left" w:pos="5366"/>
        </w:tabs>
        <w:snapToGrid w:val="0"/>
        <w:spacing w:line="360" w:lineRule="auto"/>
        <w:ind w:firstLine="360" w:firstLineChars="150"/>
        <w:outlineLvl w:val="5"/>
        <w:rPr>
          <w:rFonts w:ascii="宋体" w:hAnsi="宋体" w:cs="宋体"/>
          <w:sz w:val="24"/>
        </w:rPr>
      </w:pPr>
      <w:r>
        <w:rPr>
          <w:rFonts w:hint="eastAsia" w:ascii="宋体" w:hAnsi="宋体" w:cs="宋体"/>
          <w:sz w:val="24"/>
        </w:rPr>
        <w:t>2.1本项目参加政府采购活动的投标人在前三年内不得具有行贿犯罪记录。</w:t>
      </w:r>
    </w:p>
    <w:p>
      <w:pPr>
        <w:pStyle w:val="2"/>
        <w:spacing w:line="360" w:lineRule="auto"/>
        <w:ind w:firstLine="360" w:firstLineChars="150"/>
        <w:rPr>
          <w:rFonts w:ascii="宋体" w:hAnsi="宋体" w:cs="宋体"/>
          <w:sz w:val="24"/>
        </w:rPr>
      </w:pPr>
      <w:r>
        <w:rPr>
          <w:rFonts w:hint="eastAsia" w:ascii="宋体" w:hAnsi="宋体" w:cs="宋体"/>
          <w:sz w:val="24"/>
        </w:rPr>
        <w:t>2.2本项目不接受联合体投标。</w:t>
      </w:r>
    </w:p>
    <w:p>
      <w:pPr>
        <w:widowControl/>
        <w:numPr>
          <w:ilvl w:val="0"/>
          <w:numId w:val="1"/>
        </w:numPr>
        <w:spacing w:line="360" w:lineRule="auto"/>
        <w:outlineLvl w:val="5"/>
        <w:rPr>
          <w:rFonts w:ascii="宋体" w:hAnsi="宋体" w:cs="宋体"/>
          <w:b/>
          <w:sz w:val="24"/>
        </w:rPr>
      </w:pPr>
      <w:r>
        <w:rPr>
          <w:rFonts w:hint="eastAsia" w:ascii="宋体" w:hAnsi="宋体" w:cs="宋体"/>
          <w:b/>
          <w:sz w:val="24"/>
        </w:rPr>
        <w:t>招标文件获取时间期限、地点、方式及售价：</w:t>
      </w:r>
    </w:p>
    <w:p>
      <w:pPr>
        <w:spacing w:line="360" w:lineRule="auto"/>
        <w:ind w:firstLine="480" w:firstLineChars="200"/>
        <w:rPr>
          <w:rFonts w:ascii="宋体" w:hAnsi="宋体" w:cs="宋体"/>
          <w:sz w:val="24"/>
        </w:rPr>
      </w:pPr>
      <w:r>
        <w:rPr>
          <w:rFonts w:hint="eastAsia" w:ascii="宋体" w:hAnsi="宋体" w:cs="宋体"/>
          <w:sz w:val="24"/>
        </w:rPr>
        <w:t>1.招标文件获取时间期限：自2021年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日至2021年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日每天上午9:00至12:00,下午14:00至17:00(北京时间，法定节假日除外)</w:t>
      </w:r>
    </w:p>
    <w:p>
      <w:pPr>
        <w:spacing w:line="360" w:lineRule="auto"/>
        <w:ind w:firstLine="480" w:firstLineChars="200"/>
        <w:rPr>
          <w:rFonts w:ascii="宋体" w:hAnsi="宋体" w:cs="宋体"/>
          <w:sz w:val="24"/>
        </w:rPr>
      </w:pPr>
      <w:r>
        <w:rPr>
          <w:rFonts w:hint="eastAsia" w:ascii="宋体" w:hAnsi="宋体" w:cs="宋体"/>
          <w:sz w:val="24"/>
        </w:rPr>
        <w:t>2.发售方式及地址：凡有意参加本项目者，在本项目采购文件获取时间期限内，请登录网址：http://www.scwzzbdl.com 进行注册后报名，网上注册及报名咨询联系电话：028-85446608/028-85445511转8858）。注册成功后进入项目采购公告点击报名，具体流程详见“报名操作指南”。报名成功即可在该网站下载项目的采购文件。</w:t>
      </w:r>
    </w:p>
    <w:p>
      <w:pPr>
        <w:spacing w:line="360" w:lineRule="auto"/>
        <w:ind w:firstLine="480" w:firstLineChars="200"/>
        <w:rPr>
          <w:rFonts w:ascii="宋体" w:hAnsi="宋体" w:cs="宋体"/>
          <w:sz w:val="24"/>
        </w:rPr>
      </w:pPr>
      <w:r>
        <w:rPr>
          <w:rFonts w:hint="eastAsia" w:ascii="宋体" w:hAnsi="宋体" w:cs="宋体"/>
          <w:sz w:val="24"/>
        </w:rPr>
        <w:t>3.</w:t>
      </w:r>
      <w:r>
        <w:rPr>
          <w:rFonts w:hint="eastAsia" w:hAnsi="宋体" w:cs="宋体"/>
          <w:color w:val="000000"/>
          <w:sz w:val="24"/>
        </w:rPr>
        <w:t>本项目不收取</w:t>
      </w:r>
      <w:r>
        <w:rPr>
          <w:rFonts w:hint="eastAsia" w:hAnsi="宋体" w:cs="宋体"/>
          <w:color w:val="000000"/>
          <w:sz w:val="24"/>
          <w:lang w:bidi="ar"/>
        </w:rPr>
        <w:t>招标文件技术服务费</w:t>
      </w:r>
      <w:r>
        <w:rPr>
          <w:rFonts w:hint="eastAsia" w:hAnsi="宋体" w:cs="宋体"/>
          <w:color w:val="000000"/>
          <w:sz w:val="24"/>
        </w:rPr>
        <w:t>（报名资格不能转让)</w:t>
      </w:r>
      <w:r>
        <w:rPr>
          <w:rFonts w:hint="eastAsia" w:ascii="宋体" w:hAnsi="宋体" w:cs="宋体"/>
          <w:sz w:val="24"/>
        </w:rPr>
        <w:t xml:space="preserve">。 </w:t>
      </w:r>
    </w:p>
    <w:p>
      <w:pPr>
        <w:widowControl/>
        <w:spacing w:line="360" w:lineRule="auto"/>
        <w:outlineLvl w:val="5"/>
        <w:rPr>
          <w:rFonts w:ascii="宋体" w:hAnsi="宋体" w:cs="宋体"/>
          <w:b/>
          <w:sz w:val="24"/>
        </w:rPr>
      </w:pPr>
      <w:r>
        <w:rPr>
          <w:rFonts w:hint="eastAsia" w:ascii="宋体" w:hAnsi="宋体" w:cs="宋体"/>
          <w:b/>
          <w:sz w:val="24"/>
        </w:rPr>
        <w:t>七、投标截止时间和开标时间：2021年</w:t>
      </w:r>
      <w:r>
        <w:rPr>
          <w:rFonts w:hint="eastAsia" w:ascii="宋体" w:hAnsi="宋体" w:cs="宋体"/>
          <w:b/>
          <w:sz w:val="24"/>
          <w:lang w:val="en-US" w:eastAsia="zh-CN"/>
        </w:rPr>
        <w:t>8</w:t>
      </w:r>
      <w:r>
        <w:rPr>
          <w:rFonts w:hint="eastAsia" w:ascii="宋体" w:hAnsi="宋体" w:cs="宋体"/>
          <w:b/>
          <w:sz w:val="24"/>
        </w:rPr>
        <w:t>月</w:t>
      </w:r>
      <w:r>
        <w:rPr>
          <w:rFonts w:hint="eastAsia" w:ascii="宋体" w:hAnsi="宋体" w:cs="宋体"/>
          <w:b/>
          <w:sz w:val="24"/>
          <w:lang w:val="en-US" w:eastAsia="zh-CN"/>
        </w:rPr>
        <w:t>12</w:t>
      </w:r>
      <w:r>
        <w:rPr>
          <w:rFonts w:hint="eastAsia" w:ascii="宋体" w:hAnsi="宋体" w:cs="宋体"/>
          <w:b/>
          <w:sz w:val="24"/>
        </w:rPr>
        <w:t>日1</w:t>
      </w:r>
      <w:r>
        <w:rPr>
          <w:rFonts w:hint="eastAsia" w:ascii="宋体" w:hAnsi="宋体" w:cs="宋体"/>
          <w:b/>
          <w:bCs w:val="0"/>
          <w:sz w:val="24"/>
        </w:rPr>
        <w:t>1</w:t>
      </w:r>
      <w:r>
        <w:rPr>
          <w:rFonts w:hint="eastAsia" w:hAnsi="宋体" w:cs="宋体"/>
          <w:b/>
          <w:bCs w:val="0"/>
          <w:sz w:val="24"/>
        </w:rPr>
        <w:t>时</w:t>
      </w:r>
      <w:r>
        <w:rPr>
          <w:rFonts w:hint="eastAsia" w:ascii="宋体" w:hAnsi="宋体" w:cs="宋体"/>
          <w:b/>
          <w:bCs w:val="0"/>
          <w:sz w:val="24"/>
          <w:lang w:val="en-US" w:eastAsia="zh-CN"/>
        </w:rPr>
        <w:t>30</w:t>
      </w:r>
      <w:r>
        <w:rPr>
          <w:rFonts w:hint="eastAsia" w:ascii="宋体" w:hAnsi="宋体" w:cs="宋体"/>
          <w:b/>
          <w:sz w:val="24"/>
        </w:rPr>
        <w:t>分（北京时间）。</w:t>
      </w:r>
    </w:p>
    <w:p>
      <w:pPr>
        <w:widowControl/>
        <w:spacing w:line="360" w:lineRule="auto"/>
        <w:outlineLvl w:val="5"/>
        <w:rPr>
          <w:rFonts w:ascii="宋体" w:hAnsi="宋体" w:cs="宋体"/>
          <w:sz w:val="24"/>
        </w:rPr>
      </w:pPr>
      <w:r>
        <w:rPr>
          <w:rFonts w:hint="eastAsia" w:ascii="宋体" w:hAnsi="宋体" w:cs="宋体"/>
          <w:sz w:val="24"/>
        </w:rPr>
        <w:t xml:space="preserve">    投标文件必须在投标截止时间前送达开标地点。逾期送达或者未按照招标文件要求密封的投标文件恕不接受。本次招标不接受邮寄的投标文件。</w:t>
      </w:r>
    </w:p>
    <w:p>
      <w:pPr>
        <w:widowControl/>
        <w:spacing w:line="360" w:lineRule="auto"/>
        <w:outlineLvl w:val="5"/>
        <w:rPr>
          <w:rFonts w:ascii="宋体" w:hAnsi="宋体" w:cs="宋体"/>
          <w:sz w:val="24"/>
        </w:rPr>
      </w:pPr>
      <w:r>
        <w:rPr>
          <w:rFonts w:hint="eastAsia" w:ascii="宋体" w:hAnsi="宋体" w:cs="宋体"/>
          <w:b/>
          <w:sz w:val="24"/>
        </w:rPr>
        <w:t>八、开标地点：成都市武侯区星狮路511号大合仓C区415房（成都市三环路川藏立交西内侧）四川五洲招标代理有限公司开标厅。</w:t>
      </w:r>
    </w:p>
    <w:p>
      <w:pPr>
        <w:widowControl/>
        <w:spacing w:line="360" w:lineRule="auto"/>
        <w:outlineLvl w:val="5"/>
        <w:rPr>
          <w:rFonts w:ascii="宋体" w:hAnsi="宋体" w:cs="宋体"/>
          <w:b/>
          <w:sz w:val="24"/>
        </w:rPr>
      </w:pPr>
      <w:r>
        <w:rPr>
          <w:rFonts w:hint="eastAsia" w:ascii="宋体" w:hAnsi="宋体" w:cs="宋体"/>
          <w:b/>
          <w:sz w:val="24"/>
        </w:rPr>
        <w:t>九、本投标邀请在“四川政府采购网（http://www.ccgp-sichuan.gov.cn）”上以公告形式发布。</w:t>
      </w:r>
    </w:p>
    <w:p>
      <w:pPr>
        <w:widowControl/>
        <w:spacing w:line="360" w:lineRule="auto"/>
        <w:outlineLvl w:val="5"/>
        <w:rPr>
          <w:rFonts w:ascii="宋体" w:hAnsi="宋体" w:cs="宋体"/>
          <w:b/>
          <w:sz w:val="24"/>
        </w:rPr>
      </w:pPr>
      <w:r>
        <w:rPr>
          <w:rFonts w:hint="eastAsia" w:ascii="宋体" w:hAnsi="宋体" w:cs="宋体"/>
          <w:b/>
          <w:sz w:val="24"/>
        </w:rPr>
        <w:t>十、联系方式：</w:t>
      </w:r>
    </w:p>
    <w:p>
      <w:pPr>
        <w:widowControl/>
        <w:spacing w:line="360" w:lineRule="auto"/>
        <w:outlineLvl w:val="5"/>
        <w:rPr>
          <w:rFonts w:ascii="宋体" w:hAnsi="宋体" w:cs="宋体"/>
          <w:b/>
          <w:sz w:val="24"/>
        </w:rPr>
      </w:pPr>
      <w:r>
        <w:rPr>
          <w:rFonts w:hint="eastAsia" w:ascii="宋体" w:hAnsi="宋体" w:cs="宋体"/>
          <w:b/>
          <w:sz w:val="24"/>
        </w:rPr>
        <w:t>采购人：简阳市人民医院</w:t>
      </w:r>
    </w:p>
    <w:p>
      <w:pPr>
        <w:widowControl/>
        <w:spacing w:line="360" w:lineRule="auto"/>
        <w:outlineLvl w:val="5"/>
        <w:rPr>
          <w:rFonts w:ascii="宋体" w:hAnsi="宋体" w:cs="宋体"/>
          <w:sz w:val="24"/>
        </w:rPr>
      </w:pPr>
      <w:r>
        <w:rPr>
          <w:rFonts w:hint="eastAsia" w:ascii="宋体" w:hAnsi="宋体" w:cs="宋体"/>
          <w:sz w:val="24"/>
        </w:rPr>
        <w:t>地址：简阳市简城镇医院路180号；</w:t>
      </w:r>
    </w:p>
    <w:p>
      <w:pPr>
        <w:widowControl/>
        <w:spacing w:line="360" w:lineRule="auto"/>
        <w:outlineLvl w:val="5"/>
        <w:rPr>
          <w:rFonts w:ascii="宋体" w:hAnsi="宋体" w:cs="宋体"/>
          <w:sz w:val="24"/>
        </w:rPr>
      </w:pPr>
      <w:r>
        <w:rPr>
          <w:rFonts w:hint="eastAsia" w:ascii="宋体" w:hAnsi="宋体" w:cs="宋体"/>
          <w:sz w:val="24"/>
        </w:rPr>
        <w:t>联系人：</w:t>
      </w:r>
      <w:r>
        <w:rPr>
          <w:rFonts w:hint="eastAsia" w:ascii="宋体" w:hAnsi="宋体" w:cs="宋体"/>
          <w:bCs/>
          <w:sz w:val="24"/>
        </w:rPr>
        <w:t>徐女士；</w:t>
      </w:r>
    </w:p>
    <w:p>
      <w:pPr>
        <w:widowControl/>
        <w:tabs>
          <w:tab w:val="center" w:pos="5141"/>
        </w:tabs>
        <w:spacing w:line="360" w:lineRule="auto"/>
        <w:outlineLvl w:val="5"/>
        <w:rPr>
          <w:rFonts w:ascii="宋体" w:hAnsi="宋体" w:cs="宋体"/>
          <w:sz w:val="24"/>
        </w:rPr>
      </w:pPr>
      <w:r>
        <w:rPr>
          <w:rFonts w:hint="eastAsia" w:ascii="宋体" w:hAnsi="宋体" w:cs="宋体"/>
          <w:sz w:val="24"/>
        </w:rPr>
        <w:t>联系电话：028-27238026。</w:t>
      </w:r>
      <w:r>
        <w:rPr>
          <w:rFonts w:hint="eastAsia" w:ascii="宋体" w:hAnsi="宋体" w:cs="宋体"/>
          <w:bCs/>
          <w:sz w:val="24"/>
        </w:rPr>
        <w:tab/>
      </w:r>
    </w:p>
    <w:p>
      <w:pPr>
        <w:widowControl/>
        <w:spacing w:line="360" w:lineRule="auto"/>
        <w:outlineLvl w:val="5"/>
        <w:rPr>
          <w:rFonts w:ascii="宋体" w:hAnsi="宋体" w:cs="宋体"/>
          <w:sz w:val="24"/>
        </w:rPr>
      </w:pPr>
      <w:r>
        <w:rPr>
          <w:rFonts w:hint="eastAsia" w:ascii="宋体" w:hAnsi="宋体" w:cs="宋体"/>
          <w:b/>
          <w:bCs/>
          <w:sz w:val="24"/>
        </w:rPr>
        <w:t>采购代理机构： 四川五洲招标代理有限公司</w:t>
      </w:r>
    </w:p>
    <w:p>
      <w:pPr>
        <w:widowControl/>
        <w:spacing w:line="360" w:lineRule="auto"/>
        <w:outlineLvl w:val="5"/>
        <w:rPr>
          <w:rFonts w:ascii="宋体" w:hAnsi="宋体" w:cs="宋体"/>
          <w:sz w:val="24"/>
        </w:rPr>
      </w:pPr>
      <w:r>
        <w:rPr>
          <w:rFonts w:hint="eastAsia" w:ascii="宋体" w:hAnsi="宋体" w:cs="宋体"/>
          <w:sz w:val="24"/>
        </w:rPr>
        <w:t>地    址：成都市武侯区星狮路511号大合仓C区415房；</w:t>
      </w:r>
    </w:p>
    <w:p>
      <w:pPr>
        <w:widowControl/>
        <w:spacing w:line="360" w:lineRule="auto"/>
        <w:outlineLvl w:val="5"/>
        <w:rPr>
          <w:rFonts w:hint="eastAsia" w:ascii="宋体" w:hAnsi="宋体" w:eastAsia="宋体" w:cs="宋体"/>
          <w:sz w:val="24"/>
          <w:lang w:eastAsia="zh-CN"/>
        </w:rPr>
      </w:pPr>
      <w:r>
        <w:rPr>
          <w:rFonts w:hint="eastAsia" w:ascii="宋体" w:hAnsi="宋体" w:cs="宋体"/>
          <w:sz w:val="24"/>
        </w:rPr>
        <w:t>联 系 人：李先生、</w:t>
      </w:r>
      <w:r>
        <w:rPr>
          <w:rFonts w:hint="eastAsia" w:ascii="宋体" w:hAnsi="宋体" w:cs="宋体"/>
          <w:sz w:val="24"/>
          <w:lang w:val="en-US" w:eastAsia="zh-CN"/>
        </w:rPr>
        <w:t>徐女士</w:t>
      </w:r>
    </w:p>
    <w:p>
      <w:pPr>
        <w:widowControl/>
        <w:spacing w:line="360" w:lineRule="auto"/>
        <w:outlineLvl w:val="5"/>
        <w:rPr>
          <w:rFonts w:hint="default" w:ascii="宋体" w:hAnsi="宋体" w:eastAsia="宋体" w:cs="宋体"/>
          <w:sz w:val="24"/>
          <w:lang w:val="en-US" w:eastAsia="zh-CN"/>
        </w:rPr>
      </w:pPr>
      <w:r>
        <w:rPr>
          <w:rFonts w:hint="eastAsia" w:ascii="宋体" w:hAnsi="宋体" w:cs="宋体"/>
          <w:sz w:val="24"/>
        </w:rPr>
        <w:t>联系电话：028-85446608、85445511、85045522-8868、</w:t>
      </w:r>
      <w:r>
        <w:rPr>
          <w:rFonts w:hint="eastAsia" w:ascii="宋体" w:hAnsi="宋体" w:cs="宋体"/>
          <w:sz w:val="24"/>
          <w:lang w:val="en-US" w:eastAsia="zh-CN"/>
        </w:rPr>
        <w:t>8835</w:t>
      </w:r>
    </w:p>
    <w:p>
      <w:pPr>
        <w:spacing w:line="360" w:lineRule="auto"/>
        <w:ind w:firstLine="5301" w:firstLineChars="2200"/>
        <w:outlineLvl w:val="5"/>
        <w:rPr>
          <w:rFonts w:ascii="宋体" w:hAnsi="宋体" w:cs="宋体"/>
          <w:b/>
          <w:sz w:val="24"/>
        </w:rPr>
      </w:pPr>
    </w:p>
    <w:p>
      <w:pPr>
        <w:spacing w:line="360" w:lineRule="auto"/>
        <w:ind w:firstLine="5301" w:firstLineChars="2200"/>
        <w:outlineLvl w:val="5"/>
        <w:rPr>
          <w:rFonts w:ascii="宋体" w:hAnsi="宋体" w:cs="宋体"/>
          <w:b/>
          <w:sz w:val="24"/>
        </w:rPr>
      </w:pPr>
    </w:p>
    <w:p>
      <w:pPr>
        <w:spacing w:line="360" w:lineRule="auto"/>
        <w:ind w:firstLine="5301" w:firstLineChars="2200"/>
        <w:outlineLvl w:val="5"/>
        <w:rPr>
          <w:rFonts w:ascii="宋体" w:hAnsi="宋体" w:cs="宋体"/>
          <w:b/>
          <w:sz w:val="24"/>
        </w:rPr>
      </w:pPr>
    </w:p>
    <w:p>
      <w:pPr>
        <w:spacing w:line="360" w:lineRule="auto"/>
        <w:ind w:firstLine="5301" w:firstLineChars="2200"/>
        <w:outlineLvl w:val="5"/>
        <w:rPr>
          <w:rFonts w:ascii="宋体" w:hAnsi="宋体" w:cs="宋体"/>
          <w:b/>
          <w:sz w:val="24"/>
        </w:rPr>
      </w:pPr>
    </w:p>
    <w:p>
      <w:pPr>
        <w:spacing w:line="360" w:lineRule="auto"/>
        <w:ind w:firstLine="5301" w:firstLineChars="2200"/>
        <w:outlineLvl w:val="5"/>
        <w:rPr>
          <w:rFonts w:ascii="宋体" w:hAnsi="宋体" w:cs="宋体"/>
          <w:b/>
          <w:sz w:val="24"/>
        </w:rPr>
        <w:sectPr>
          <w:headerReference r:id="rId7" w:type="first"/>
          <w:headerReference r:id="rId5" w:type="default"/>
          <w:footerReference r:id="rId8" w:type="default"/>
          <w:headerReference r:id="rId6" w:type="even"/>
          <w:pgSz w:w="11907" w:h="16840"/>
          <w:pgMar w:top="851" w:right="927" w:bottom="851" w:left="1418" w:header="471" w:footer="992" w:gutter="0"/>
          <w:pgNumType w:start="1"/>
          <w:cols w:space="720" w:num="1"/>
          <w:docGrid w:linePitch="312" w:charSpace="0"/>
        </w:sectPr>
      </w:pPr>
    </w:p>
    <w:p>
      <w:pPr>
        <w:pStyle w:val="4"/>
        <w:jc w:val="center"/>
        <w:rPr>
          <w:rFonts w:ascii="宋体" w:hAnsi="宋体" w:cs="宋体"/>
          <w:b/>
          <w:bCs/>
        </w:rPr>
      </w:pPr>
      <w:bookmarkStart w:id="27" w:name="_Toc213396759"/>
      <w:bookmarkStart w:id="28" w:name="_Toc213397009"/>
      <w:bookmarkStart w:id="29" w:name="_Toc10914"/>
      <w:bookmarkStart w:id="30" w:name="_Toc7915"/>
      <w:bookmarkStart w:id="31" w:name="_Toc213496267"/>
      <w:bookmarkStart w:id="32" w:name="_Toc217446031"/>
      <w:bookmarkStart w:id="33" w:name="_Toc20736"/>
      <w:bookmarkStart w:id="34" w:name="_Toc213396945"/>
      <w:bookmarkStart w:id="35" w:name="_Toc183582202"/>
      <w:bookmarkStart w:id="36" w:name="_Toc89075871"/>
      <w:bookmarkStart w:id="37" w:name="_Toc77400776"/>
      <w:bookmarkStart w:id="38" w:name="_Toc183682339"/>
      <w:r>
        <w:rPr>
          <w:rFonts w:hint="eastAsia" w:ascii="宋体" w:hAnsi="宋体" w:cs="宋体"/>
          <w:b/>
          <w:bCs/>
        </w:rPr>
        <w:t>第二章  投标人须知</w:t>
      </w:r>
      <w:bookmarkEnd w:id="27"/>
      <w:bookmarkEnd w:id="28"/>
      <w:bookmarkEnd w:id="29"/>
      <w:bookmarkEnd w:id="30"/>
      <w:bookmarkEnd w:id="31"/>
      <w:bookmarkEnd w:id="32"/>
      <w:bookmarkEnd w:id="33"/>
      <w:bookmarkEnd w:id="34"/>
      <w:bookmarkStart w:id="39" w:name="_Toc184283909"/>
      <w:bookmarkStart w:id="40" w:name="_Toc184274915"/>
    </w:p>
    <w:p>
      <w:pPr>
        <w:pStyle w:val="5"/>
        <w:rPr>
          <w:rFonts w:ascii="宋体" w:hAnsi="宋体" w:eastAsia="宋体" w:cs="宋体"/>
        </w:rPr>
      </w:pPr>
      <w:bookmarkStart w:id="41" w:name="_Toc213396760"/>
      <w:bookmarkStart w:id="42" w:name="_Toc189727030"/>
      <w:bookmarkStart w:id="43" w:name="_Toc213496268"/>
      <w:bookmarkStart w:id="44" w:name="_Toc213396946"/>
      <w:bookmarkStart w:id="45" w:name="_Toc3389"/>
      <w:bookmarkStart w:id="46" w:name="_Toc217446032"/>
      <w:bookmarkStart w:id="47" w:name="_Toc213397010"/>
      <w:bookmarkStart w:id="48" w:name="_Toc15899"/>
      <w:r>
        <w:rPr>
          <w:rFonts w:hint="eastAsia" w:ascii="宋体" w:hAnsi="宋体" w:eastAsia="宋体" w:cs="宋体"/>
        </w:rPr>
        <w:t>一、投标人须知附表</w:t>
      </w:r>
      <w:bookmarkEnd w:id="39"/>
      <w:bookmarkEnd w:id="40"/>
      <w:bookmarkEnd w:id="41"/>
      <w:bookmarkEnd w:id="42"/>
      <w:bookmarkEnd w:id="43"/>
      <w:bookmarkEnd w:id="44"/>
      <w:bookmarkEnd w:id="45"/>
      <w:bookmarkEnd w:id="46"/>
      <w:bookmarkEnd w:id="47"/>
      <w:bookmarkEnd w:id="48"/>
    </w:p>
    <w:tbl>
      <w:tblPr>
        <w:tblStyle w:val="45"/>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465"/>
        <w:gridCol w:w="2308"/>
        <w:gridCol w:w="662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0" w:hRule="exact"/>
          <w:tblHeader/>
          <w:jc w:val="center"/>
        </w:trPr>
        <w:tc>
          <w:tcPr>
            <w:tcW w:w="465" w:type="dxa"/>
            <w:vAlign w:val="center"/>
          </w:tcPr>
          <w:p>
            <w:pPr>
              <w:spacing w:line="360" w:lineRule="auto"/>
              <w:jc w:val="center"/>
              <w:outlineLvl w:val="5"/>
              <w:rPr>
                <w:rFonts w:ascii="宋体" w:hAnsi="宋体" w:cs="宋体"/>
                <w:b/>
                <w:szCs w:val="21"/>
                <w:lang w:val="zh-CN"/>
              </w:rPr>
            </w:pPr>
            <w:r>
              <w:rPr>
                <w:rFonts w:hint="eastAsia" w:ascii="宋体" w:hAnsi="宋体" w:cs="宋体"/>
                <w:b/>
                <w:szCs w:val="21"/>
                <w:lang w:val="zh-CN"/>
              </w:rPr>
              <w:t xml:space="preserve">序号 </w:t>
            </w:r>
          </w:p>
        </w:tc>
        <w:tc>
          <w:tcPr>
            <w:tcW w:w="2308" w:type="dxa"/>
            <w:vAlign w:val="center"/>
          </w:tcPr>
          <w:p>
            <w:pPr>
              <w:spacing w:line="360" w:lineRule="auto"/>
              <w:jc w:val="center"/>
              <w:outlineLvl w:val="5"/>
              <w:rPr>
                <w:rFonts w:ascii="宋体" w:hAnsi="宋体" w:cs="宋体"/>
                <w:b/>
                <w:szCs w:val="21"/>
                <w:lang w:val="zh-CN"/>
              </w:rPr>
            </w:pPr>
            <w:r>
              <w:rPr>
                <w:rFonts w:hint="eastAsia" w:ascii="宋体" w:hAnsi="宋体" w:cs="宋体"/>
                <w:b/>
                <w:szCs w:val="21"/>
                <w:lang w:val="zh-CN"/>
              </w:rPr>
              <w:t>条款名称</w:t>
            </w:r>
          </w:p>
        </w:tc>
        <w:tc>
          <w:tcPr>
            <w:tcW w:w="6626" w:type="dxa"/>
            <w:vAlign w:val="center"/>
          </w:tcPr>
          <w:p>
            <w:pPr>
              <w:spacing w:line="360" w:lineRule="auto"/>
              <w:jc w:val="center"/>
              <w:outlineLvl w:val="5"/>
              <w:rPr>
                <w:rFonts w:ascii="宋体" w:hAnsi="宋体" w:cs="宋体"/>
                <w:b/>
                <w:szCs w:val="21"/>
                <w:lang w:val="zh-CN"/>
              </w:rPr>
            </w:pPr>
            <w:r>
              <w:rPr>
                <w:rFonts w:hint="eastAsia" w:ascii="宋体" w:hAnsi="宋体" w:cs="宋体"/>
                <w:b/>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465"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1</w:t>
            </w:r>
          </w:p>
        </w:tc>
        <w:tc>
          <w:tcPr>
            <w:tcW w:w="2308"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采购人</w:t>
            </w:r>
          </w:p>
        </w:tc>
        <w:tc>
          <w:tcPr>
            <w:tcW w:w="6626" w:type="dxa"/>
            <w:vAlign w:val="center"/>
          </w:tcPr>
          <w:p>
            <w:pPr>
              <w:spacing w:line="300" w:lineRule="auto"/>
              <w:ind w:left="420" w:leftChars="100" w:hanging="210" w:hangingChars="100"/>
              <w:jc w:val="left"/>
              <w:outlineLvl w:val="5"/>
              <w:rPr>
                <w:rFonts w:ascii="宋体" w:hAnsi="宋体" w:cs="宋体"/>
                <w:szCs w:val="21"/>
                <w:lang w:val="zh-CN"/>
              </w:rPr>
            </w:pPr>
            <w:r>
              <w:rPr>
                <w:rFonts w:hint="eastAsia" w:ascii="宋体" w:hAnsi="宋体" w:cs="宋体"/>
                <w:szCs w:val="21"/>
              </w:rPr>
              <w:t>简阳市人民医院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3" w:hRule="atLeast"/>
          <w:jc w:val="center"/>
        </w:trPr>
        <w:tc>
          <w:tcPr>
            <w:tcW w:w="465"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2</w:t>
            </w:r>
          </w:p>
        </w:tc>
        <w:tc>
          <w:tcPr>
            <w:tcW w:w="2308" w:type="dxa"/>
            <w:vAlign w:val="center"/>
          </w:tcPr>
          <w:p>
            <w:pPr>
              <w:spacing w:line="360" w:lineRule="auto"/>
              <w:ind w:right="178" w:rightChars="85"/>
              <w:jc w:val="center"/>
              <w:outlineLvl w:val="5"/>
              <w:rPr>
                <w:rFonts w:ascii="宋体" w:hAnsi="宋体" w:cs="宋体"/>
                <w:szCs w:val="21"/>
                <w:lang w:val="zh-CN"/>
              </w:rPr>
            </w:pPr>
            <w:r>
              <w:rPr>
                <w:rFonts w:hint="eastAsia" w:ascii="宋体" w:hAnsi="宋体" w:cs="宋体"/>
                <w:szCs w:val="21"/>
                <w:lang w:val="zh-CN"/>
              </w:rPr>
              <w:t>招标代理机构</w:t>
            </w:r>
          </w:p>
        </w:tc>
        <w:tc>
          <w:tcPr>
            <w:tcW w:w="6626" w:type="dxa"/>
            <w:vAlign w:val="center"/>
          </w:tcPr>
          <w:p>
            <w:pPr>
              <w:spacing w:line="300" w:lineRule="auto"/>
              <w:ind w:left="420" w:leftChars="100" w:hanging="210" w:hangingChars="100"/>
              <w:outlineLvl w:val="5"/>
              <w:rPr>
                <w:rFonts w:ascii="宋体" w:hAnsi="宋体" w:cs="宋体"/>
                <w:szCs w:val="21"/>
                <w:lang w:val="zh-CN"/>
              </w:rPr>
            </w:pPr>
            <w:r>
              <w:rPr>
                <w:rFonts w:hint="eastAsia" w:ascii="宋体" w:hAnsi="宋体" w:cs="宋体"/>
                <w:szCs w:val="21"/>
              </w:rPr>
              <w:t>四川五洲招标代理有限公司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465"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3</w:t>
            </w:r>
          </w:p>
        </w:tc>
        <w:tc>
          <w:tcPr>
            <w:tcW w:w="2308"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采购项目名称</w:t>
            </w:r>
          </w:p>
        </w:tc>
        <w:tc>
          <w:tcPr>
            <w:tcW w:w="6626" w:type="dxa"/>
            <w:vAlign w:val="center"/>
          </w:tcPr>
          <w:p>
            <w:pPr>
              <w:spacing w:line="300" w:lineRule="auto"/>
              <w:ind w:firstLine="210" w:firstLineChars="100"/>
              <w:jc w:val="left"/>
              <w:outlineLvl w:val="5"/>
              <w:rPr>
                <w:rFonts w:ascii="宋体" w:hAnsi="宋体" w:cs="宋体"/>
                <w:szCs w:val="21"/>
              </w:rPr>
            </w:pPr>
            <w:r>
              <w:rPr>
                <w:rFonts w:hint="eastAsia" w:ascii="宋体" w:hAnsi="宋体" w:cs="宋体"/>
                <w:szCs w:val="21"/>
              </w:rPr>
              <w:t>简阳市人民医院临床一体化诊疗平台采购项目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465"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4</w:t>
            </w:r>
          </w:p>
        </w:tc>
        <w:tc>
          <w:tcPr>
            <w:tcW w:w="2308"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招标文件编号</w:t>
            </w:r>
          </w:p>
        </w:tc>
        <w:tc>
          <w:tcPr>
            <w:tcW w:w="6626" w:type="dxa"/>
            <w:vAlign w:val="center"/>
          </w:tcPr>
          <w:p>
            <w:pPr>
              <w:spacing w:line="300" w:lineRule="auto"/>
              <w:ind w:firstLine="210" w:firstLineChars="100"/>
              <w:outlineLvl w:val="5"/>
              <w:rPr>
                <w:rFonts w:hint="eastAsia" w:ascii="宋体" w:hAnsi="宋体" w:eastAsia="宋体" w:cs="宋体"/>
                <w:szCs w:val="21"/>
                <w:lang w:eastAsia="zh-CN"/>
              </w:rPr>
            </w:pPr>
            <w:r>
              <w:rPr>
                <w:rFonts w:hint="eastAsia" w:ascii="宋体" w:hAnsi="宋体" w:cs="宋体"/>
                <w:szCs w:val="21"/>
                <w:lang w:eastAsia="zh-CN"/>
              </w:rPr>
              <w:t>510185202100105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465"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5</w:t>
            </w:r>
          </w:p>
        </w:tc>
        <w:tc>
          <w:tcPr>
            <w:tcW w:w="2308"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招标文件编制</w:t>
            </w:r>
          </w:p>
        </w:tc>
        <w:tc>
          <w:tcPr>
            <w:tcW w:w="6626" w:type="dxa"/>
            <w:vAlign w:val="center"/>
          </w:tcPr>
          <w:p>
            <w:pPr>
              <w:spacing w:line="300" w:lineRule="auto"/>
              <w:ind w:firstLine="210" w:firstLineChars="100"/>
              <w:outlineLvl w:val="5"/>
              <w:rPr>
                <w:rFonts w:ascii="宋体" w:hAnsi="宋体" w:cs="宋体"/>
                <w:szCs w:val="21"/>
              </w:rPr>
            </w:pPr>
            <w:r>
              <w:rPr>
                <w:rFonts w:hint="eastAsia" w:ascii="宋体" w:hAnsi="宋体" w:cs="宋体"/>
                <w:szCs w:val="21"/>
              </w:rPr>
              <w:t>由简阳市人民医院和四川五洲招标代理有限公司共同编制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465"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6</w:t>
            </w:r>
          </w:p>
        </w:tc>
        <w:tc>
          <w:tcPr>
            <w:tcW w:w="2308"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资金来源</w:t>
            </w:r>
          </w:p>
        </w:tc>
        <w:tc>
          <w:tcPr>
            <w:tcW w:w="6626" w:type="dxa"/>
            <w:vAlign w:val="center"/>
          </w:tcPr>
          <w:p>
            <w:pPr>
              <w:spacing w:line="300" w:lineRule="auto"/>
              <w:ind w:firstLine="210" w:firstLineChars="100"/>
              <w:outlineLvl w:val="5"/>
              <w:rPr>
                <w:rFonts w:ascii="宋体" w:hAnsi="宋体" w:cs="宋体"/>
                <w:szCs w:val="21"/>
                <w:lang w:val="zh-CN"/>
              </w:rPr>
            </w:pPr>
            <w:r>
              <w:rPr>
                <w:rFonts w:hint="eastAsia" w:ascii="宋体" w:hAnsi="宋体" w:cs="宋体"/>
                <w:szCs w:val="21"/>
              </w:rPr>
              <w:t>财政性资金，已落实。</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jc w:val="center"/>
        </w:trPr>
        <w:tc>
          <w:tcPr>
            <w:tcW w:w="465" w:type="dxa"/>
            <w:vMerge w:val="restart"/>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7</w:t>
            </w:r>
          </w:p>
        </w:tc>
        <w:tc>
          <w:tcPr>
            <w:tcW w:w="2308" w:type="dxa"/>
            <w:tcBorders>
              <w:bottom w:val="single" w:color="auto" w:sz="4" w:space="0"/>
            </w:tcBorders>
            <w:vAlign w:val="center"/>
          </w:tcPr>
          <w:p>
            <w:pPr>
              <w:spacing w:line="360" w:lineRule="auto"/>
              <w:jc w:val="center"/>
              <w:outlineLvl w:val="5"/>
              <w:rPr>
                <w:rFonts w:ascii="宋体" w:hAnsi="宋体" w:cs="宋体"/>
                <w:lang w:val="zh-CN"/>
              </w:rPr>
            </w:pPr>
            <w:r>
              <w:rPr>
                <w:rFonts w:hint="eastAsia" w:ascii="宋体" w:hAnsi="宋体" w:cs="宋体"/>
                <w:lang w:val="zh-CN"/>
              </w:rPr>
              <w:t>采购预算</w:t>
            </w:r>
          </w:p>
          <w:p>
            <w:pPr>
              <w:pStyle w:val="2"/>
              <w:jc w:val="center"/>
              <w:rPr>
                <w:rFonts w:ascii="宋体" w:hAnsi="宋体" w:cs="宋体"/>
                <w:lang w:val="zh-CN"/>
              </w:rPr>
            </w:pPr>
            <w:r>
              <w:rPr>
                <w:rFonts w:hint="eastAsia" w:ascii="宋体" w:hAnsi="宋体" w:cs="宋体"/>
                <w:b/>
                <w:bCs/>
                <w:szCs w:val="21"/>
                <w:lang w:val="zh-CN"/>
              </w:rPr>
              <w:t>（</w:t>
            </w:r>
            <w:r>
              <w:rPr>
                <w:rFonts w:hint="eastAsia" w:ascii="宋体" w:hAnsi="宋体" w:cs="宋体"/>
                <w:b/>
                <w:bCs/>
                <w:szCs w:val="21"/>
              </w:rPr>
              <w:t>实质性要求</w:t>
            </w:r>
            <w:r>
              <w:rPr>
                <w:rFonts w:hint="eastAsia" w:ascii="宋体" w:hAnsi="宋体" w:cs="宋体"/>
                <w:b/>
                <w:bCs/>
                <w:szCs w:val="21"/>
                <w:lang w:val="zh-CN"/>
              </w:rPr>
              <w:t>）</w:t>
            </w:r>
          </w:p>
        </w:tc>
        <w:tc>
          <w:tcPr>
            <w:tcW w:w="6626" w:type="dxa"/>
            <w:tcBorders>
              <w:bottom w:val="single" w:color="auto" w:sz="4" w:space="0"/>
            </w:tcBorders>
            <w:vAlign w:val="center"/>
          </w:tcPr>
          <w:p>
            <w:pPr>
              <w:spacing w:line="300" w:lineRule="auto"/>
              <w:ind w:firstLine="210" w:firstLineChars="100"/>
              <w:jc w:val="left"/>
              <w:outlineLvl w:val="5"/>
              <w:rPr>
                <w:rFonts w:ascii="宋体" w:hAnsi="宋体" w:cs="宋体"/>
                <w:szCs w:val="21"/>
              </w:rPr>
            </w:pPr>
            <w:r>
              <w:rPr>
                <w:rFonts w:hint="eastAsia" w:ascii="宋体" w:hAnsi="宋体" w:cs="宋体"/>
                <w:szCs w:val="21"/>
              </w:rPr>
              <w:t>本项目采购总预算：560万元。</w:t>
            </w:r>
          </w:p>
          <w:p>
            <w:pPr>
              <w:spacing w:line="300" w:lineRule="auto"/>
              <w:ind w:firstLine="210" w:firstLineChars="100"/>
              <w:jc w:val="left"/>
              <w:outlineLvl w:val="5"/>
              <w:rPr>
                <w:rFonts w:ascii="宋体" w:hAnsi="宋体" w:cs="宋体"/>
                <w:szCs w:val="21"/>
                <w:lang w:val="zh-CN"/>
              </w:rPr>
            </w:pPr>
            <w:r>
              <w:rPr>
                <w:rFonts w:hint="eastAsia" w:ascii="宋体" w:hAnsi="宋体" w:cs="宋体"/>
                <w:szCs w:val="21"/>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465" w:type="dxa"/>
            <w:vMerge w:val="continue"/>
            <w:vAlign w:val="center"/>
          </w:tcPr>
          <w:p>
            <w:pPr>
              <w:spacing w:line="360" w:lineRule="auto"/>
              <w:jc w:val="center"/>
              <w:outlineLvl w:val="5"/>
              <w:rPr>
                <w:rFonts w:ascii="宋体" w:hAnsi="宋体" w:cs="宋体"/>
                <w:szCs w:val="21"/>
                <w:lang w:val="zh-CN"/>
              </w:rPr>
            </w:pPr>
          </w:p>
        </w:tc>
        <w:tc>
          <w:tcPr>
            <w:tcW w:w="2308" w:type="dxa"/>
            <w:tcBorders>
              <w:top w:val="single" w:color="auto" w:sz="4" w:space="0"/>
            </w:tcBorders>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最高限价</w:t>
            </w:r>
          </w:p>
          <w:p>
            <w:pPr>
              <w:spacing w:line="360" w:lineRule="auto"/>
              <w:jc w:val="center"/>
              <w:outlineLvl w:val="5"/>
              <w:rPr>
                <w:rFonts w:ascii="宋体" w:hAnsi="宋体" w:cs="宋体"/>
                <w:szCs w:val="21"/>
                <w:lang w:val="zh-CN"/>
              </w:rPr>
            </w:pPr>
            <w:r>
              <w:rPr>
                <w:rFonts w:hint="eastAsia" w:ascii="宋体" w:hAnsi="宋体" w:cs="宋体"/>
                <w:b/>
                <w:bCs/>
                <w:szCs w:val="21"/>
                <w:lang w:val="zh-CN"/>
              </w:rPr>
              <w:t>（</w:t>
            </w:r>
            <w:r>
              <w:rPr>
                <w:rFonts w:hint="eastAsia" w:ascii="宋体" w:hAnsi="宋体" w:cs="宋体"/>
                <w:b/>
                <w:bCs/>
                <w:szCs w:val="21"/>
              </w:rPr>
              <w:t>实质性要求</w:t>
            </w:r>
            <w:r>
              <w:rPr>
                <w:rFonts w:hint="eastAsia" w:ascii="宋体" w:hAnsi="宋体" w:cs="宋体"/>
                <w:b/>
                <w:bCs/>
                <w:szCs w:val="21"/>
                <w:lang w:val="zh-CN"/>
              </w:rPr>
              <w:t>）</w:t>
            </w:r>
          </w:p>
        </w:tc>
        <w:tc>
          <w:tcPr>
            <w:tcW w:w="6626" w:type="dxa"/>
            <w:tcBorders>
              <w:top w:val="single" w:color="auto" w:sz="4" w:space="0"/>
            </w:tcBorders>
          </w:tcPr>
          <w:p>
            <w:pPr>
              <w:spacing w:line="300" w:lineRule="auto"/>
              <w:ind w:firstLine="210" w:firstLineChars="100"/>
              <w:jc w:val="left"/>
              <w:outlineLvl w:val="5"/>
              <w:rPr>
                <w:rFonts w:hint="eastAsia" w:ascii="宋体" w:hAnsi="宋体" w:cs="宋体"/>
                <w:szCs w:val="21"/>
                <w:lang w:val="zh-CN"/>
              </w:rPr>
            </w:pPr>
            <w:r>
              <w:rPr>
                <w:rFonts w:hint="eastAsia" w:ascii="宋体" w:hAnsi="宋体" w:cs="宋体"/>
                <w:szCs w:val="21"/>
                <w:lang w:val="zh-CN"/>
              </w:rPr>
              <w:t>最高限价：</w:t>
            </w:r>
            <w:r>
              <w:rPr>
                <w:rFonts w:hint="eastAsia" w:ascii="宋体" w:hAnsi="宋体" w:cs="宋体"/>
                <w:szCs w:val="21"/>
              </w:rPr>
              <w:t>560万元</w:t>
            </w:r>
            <w:r>
              <w:rPr>
                <w:rFonts w:hint="eastAsia" w:ascii="宋体" w:hAnsi="宋体" w:cs="宋体"/>
                <w:szCs w:val="21"/>
                <w:lang w:val="zh-CN"/>
              </w:rPr>
              <w:t>。</w:t>
            </w:r>
          </w:p>
          <w:p>
            <w:pPr>
              <w:spacing w:line="300" w:lineRule="auto"/>
              <w:ind w:firstLine="210" w:firstLineChars="100"/>
              <w:jc w:val="left"/>
              <w:outlineLvl w:val="5"/>
              <w:rPr>
                <w:rFonts w:ascii="宋体" w:hAnsi="宋体" w:cs="宋体"/>
                <w:szCs w:val="21"/>
                <w:lang w:val="zh-CN"/>
              </w:rPr>
            </w:pPr>
            <w:r>
              <w:rPr>
                <w:rFonts w:hint="eastAsia" w:ascii="宋体" w:hAnsi="宋体" w:cs="宋体"/>
                <w:szCs w:val="21"/>
                <w:lang w:val="zh-CN"/>
              </w:rPr>
              <w:t>超过最高限价的报价为无效投标。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465"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8</w:t>
            </w:r>
          </w:p>
        </w:tc>
        <w:tc>
          <w:tcPr>
            <w:tcW w:w="2308"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低于成本价不正当</w:t>
            </w:r>
          </w:p>
          <w:p>
            <w:pPr>
              <w:spacing w:line="360" w:lineRule="auto"/>
              <w:jc w:val="center"/>
              <w:outlineLvl w:val="5"/>
              <w:rPr>
                <w:rFonts w:ascii="宋体" w:hAnsi="宋体" w:cs="宋体"/>
                <w:szCs w:val="21"/>
                <w:lang w:val="zh-CN"/>
              </w:rPr>
            </w:pPr>
            <w:r>
              <w:rPr>
                <w:rFonts w:hint="eastAsia" w:ascii="宋体" w:hAnsi="宋体" w:cs="宋体"/>
                <w:szCs w:val="21"/>
                <w:lang w:val="zh-CN"/>
              </w:rPr>
              <w:t>竞争预防措施</w:t>
            </w:r>
          </w:p>
          <w:p>
            <w:pPr>
              <w:spacing w:line="360" w:lineRule="auto"/>
              <w:jc w:val="center"/>
              <w:outlineLvl w:val="5"/>
              <w:rPr>
                <w:rFonts w:ascii="宋体" w:hAnsi="宋体" w:cs="宋体"/>
                <w:b/>
                <w:szCs w:val="21"/>
                <w:lang w:val="zh-CN"/>
              </w:rPr>
            </w:pPr>
            <w:r>
              <w:rPr>
                <w:rFonts w:hint="eastAsia" w:ascii="宋体" w:hAnsi="宋体" w:cs="宋体"/>
                <w:b/>
                <w:szCs w:val="21"/>
                <w:lang w:val="zh-CN"/>
              </w:rPr>
              <w:t>（实质性要求）</w:t>
            </w:r>
          </w:p>
        </w:tc>
        <w:tc>
          <w:tcPr>
            <w:tcW w:w="6626" w:type="dxa"/>
            <w:vAlign w:val="center"/>
          </w:tcPr>
          <w:p>
            <w:pPr>
              <w:spacing w:line="300" w:lineRule="auto"/>
              <w:ind w:firstLine="210" w:firstLineChars="100"/>
              <w:jc w:val="left"/>
              <w:outlineLvl w:val="5"/>
              <w:rPr>
                <w:rFonts w:ascii="宋体" w:hAnsi="宋体" w:cs="宋体"/>
                <w:szCs w:val="21"/>
                <w:lang w:val="zh-CN"/>
              </w:rPr>
            </w:pPr>
            <w:r>
              <w:rPr>
                <w:rFonts w:hint="eastAsia" w:ascii="宋体" w:hAnsi="宋体" w:cs="宋体"/>
                <w:szCs w:val="21"/>
                <w:lang w:val="zh-CN"/>
              </w:rPr>
              <w:t>在评标过程中，评标委员会认为投标人的报价明显低于其他通过符合性审查投标人的报价，有可能影响产品质量或者不能诚信履约的，应当要求其在评标现场合理的时间内提供书面说明，必要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00" w:lineRule="auto"/>
              <w:ind w:firstLine="210" w:firstLineChars="100"/>
              <w:jc w:val="left"/>
              <w:outlineLvl w:val="5"/>
              <w:rPr>
                <w:rFonts w:ascii="宋体" w:hAnsi="宋体" w:cs="宋体"/>
                <w:szCs w:val="21"/>
                <w:lang w:val="zh-CN"/>
              </w:rPr>
            </w:pPr>
            <w:r>
              <w:rPr>
                <w:rFonts w:hint="eastAsia" w:ascii="宋体" w:hAnsi="宋体" w:cs="宋体"/>
                <w:szCs w:val="21"/>
                <w:lang w:val="zh-CN"/>
              </w:rPr>
              <w:t>供应商书面说明应当签字确认或者加盖公章，否则无效。书面说明的签字确认，由其法定代表人/主要负责人/本人或者其授权代表签字确认。</w:t>
            </w:r>
          </w:p>
          <w:p>
            <w:pPr>
              <w:spacing w:line="300" w:lineRule="auto"/>
              <w:ind w:firstLine="210" w:firstLineChars="100"/>
              <w:jc w:val="left"/>
              <w:outlineLvl w:val="5"/>
              <w:rPr>
                <w:rFonts w:ascii="宋体" w:hAnsi="宋体" w:cs="宋体"/>
                <w:szCs w:val="21"/>
              </w:rPr>
            </w:pPr>
            <w:r>
              <w:rPr>
                <w:rFonts w:hint="eastAsia" w:ascii="宋体" w:hAnsi="宋体" w:cs="宋体"/>
                <w:szCs w:val="21"/>
                <w:lang w:val="zh-CN"/>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465"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9</w:t>
            </w:r>
          </w:p>
        </w:tc>
        <w:tc>
          <w:tcPr>
            <w:tcW w:w="2308"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采购方式</w:t>
            </w:r>
          </w:p>
        </w:tc>
        <w:tc>
          <w:tcPr>
            <w:tcW w:w="6626" w:type="dxa"/>
            <w:vAlign w:val="center"/>
          </w:tcPr>
          <w:p>
            <w:pPr>
              <w:spacing w:line="300" w:lineRule="auto"/>
              <w:outlineLvl w:val="5"/>
              <w:rPr>
                <w:rFonts w:ascii="宋体" w:hAnsi="宋体" w:cs="宋体"/>
                <w:szCs w:val="21"/>
                <w:lang w:val="zh-CN"/>
              </w:rPr>
            </w:pPr>
            <w:r>
              <w:rPr>
                <w:rFonts w:hint="eastAsia" w:ascii="宋体" w:hAnsi="宋体" w:cs="宋体"/>
                <w:szCs w:val="21"/>
                <w:lang w:val="zh-CN"/>
              </w:rPr>
              <w:t xml:space="preserve">  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465" w:type="dxa"/>
            <w:tcBorders>
              <w:bottom w:val="single" w:color="auto" w:sz="4" w:space="0"/>
            </w:tcBorders>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10</w:t>
            </w:r>
          </w:p>
        </w:tc>
        <w:tc>
          <w:tcPr>
            <w:tcW w:w="2308" w:type="dxa"/>
            <w:tcBorders>
              <w:bottom w:val="single" w:color="auto" w:sz="4" w:space="0"/>
            </w:tcBorders>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评标方法</w:t>
            </w:r>
          </w:p>
        </w:tc>
        <w:tc>
          <w:tcPr>
            <w:tcW w:w="6626" w:type="dxa"/>
            <w:tcBorders>
              <w:bottom w:val="single" w:color="auto" w:sz="4" w:space="0"/>
            </w:tcBorders>
            <w:vAlign w:val="center"/>
          </w:tcPr>
          <w:p>
            <w:pPr>
              <w:spacing w:line="300" w:lineRule="auto"/>
              <w:ind w:left="420" w:leftChars="100" w:hanging="210" w:hangingChars="100"/>
              <w:outlineLvl w:val="5"/>
              <w:rPr>
                <w:rFonts w:ascii="宋体" w:hAnsi="宋体" w:cs="宋体"/>
                <w:szCs w:val="21"/>
                <w:lang w:val="zh-CN"/>
              </w:rPr>
            </w:pPr>
            <w:r>
              <w:rPr>
                <w:rFonts w:hint="eastAsia" w:ascii="宋体" w:hAnsi="宋体" w:cs="宋体"/>
                <w:szCs w:val="21"/>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67" w:hRule="atLeast"/>
          <w:jc w:val="center"/>
        </w:trPr>
        <w:tc>
          <w:tcPr>
            <w:tcW w:w="465" w:type="dxa"/>
            <w:tcBorders>
              <w:top w:val="single" w:color="auto" w:sz="4" w:space="0"/>
              <w:bottom w:val="single" w:color="auto" w:sz="4" w:space="0"/>
            </w:tcBorders>
            <w:vAlign w:val="center"/>
          </w:tcPr>
          <w:p>
            <w:pPr>
              <w:spacing w:line="360" w:lineRule="auto"/>
              <w:jc w:val="center"/>
              <w:outlineLvl w:val="5"/>
              <w:rPr>
                <w:rFonts w:ascii="宋体" w:hAnsi="宋体" w:cs="宋体"/>
                <w:kern w:val="0"/>
                <w:szCs w:val="21"/>
              </w:rPr>
            </w:pPr>
            <w:r>
              <w:rPr>
                <w:rFonts w:hint="eastAsia" w:ascii="宋体" w:hAnsi="宋体" w:cs="宋体"/>
                <w:kern w:val="0"/>
                <w:szCs w:val="21"/>
              </w:rPr>
              <w:t>11</w:t>
            </w:r>
          </w:p>
        </w:tc>
        <w:tc>
          <w:tcPr>
            <w:tcW w:w="2308" w:type="dxa"/>
            <w:tcBorders>
              <w:top w:val="single" w:color="auto" w:sz="4" w:space="0"/>
              <w:bottom w:val="single" w:color="auto" w:sz="4" w:space="0"/>
            </w:tcBorders>
            <w:vAlign w:val="center"/>
          </w:tcPr>
          <w:p>
            <w:pPr>
              <w:pStyle w:val="194"/>
              <w:spacing w:line="360" w:lineRule="auto"/>
              <w:jc w:val="center"/>
              <w:rPr>
                <w:sz w:val="21"/>
                <w:szCs w:val="21"/>
                <w:lang w:val="zh-CN"/>
              </w:rPr>
            </w:pPr>
            <w:r>
              <w:rPr>
                <w:rFonts w:hint="eastAsia"/>
                <w:sz w:val="21"/>
                <w:szCs w:val="21"/>
                <w:lang w:val="zh-CN"/>
              </w:rPr>
              <w:t>小微企业（监狱企业、残疾人福利性单位视同小微企业）价格扣除</w:t>
            </w:r>
          </w:p>
          <w:p>
            <w:pPr>
              <w:pStyle w:val="194"/>
              <w:spacing w:line="360" w:lineRule="auto"/>
              <w:jc w:val="center"/>
              <w:rPr>
                <w:sz w:val="21"/>
                <w:szCs w:val="21"/>
              </w:rPr>
            </w:pPr>
            <w:r>
              <w:rPr>
                <w:rFonts w:hint="eastAsia"/>
                <w:b/>
                <w:bCs/>
                <w:sz w:val="21"/>
                <w:szCs w:val="21"/>
                <w:lang w:val="zh-CN"/>
              </w:rPr>
              <w:t>（实质性要求）</w:t>
            </w:r>
          </w:p>
        </w:tc>
        <w:tc>
          <w:tcPr>
            <w:tcW w:w="6626" w:type="dxa"/>
            <w:tcBorders>
              <w:top w:val="single" w:color="auto" w:sz="4" w:space="0"/>
              <w:bottom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一、小微企业（监狱企业、残疾人福利性单位视同小微企业）价格扣除</w:t>
            </w:r>
          </w:p>
          <w:p>
            <w:pPr>
              <w:widowControl/>
              <w:jc w:val="left"/>
              <w:rPr>
                <w:rFonts w:ascii="宋体" w:hAnsi="宋体" w:cs="宋体"/>
                <w:kern w:val="0"/>
                <w:szCs w:val="21"/>
              </w:rPr>
            </w:pPr>
            <w:r>
              <w:rPr>
                <w:rFonts w:hint="eastAsia" w:ascii="宋体" w:hAnsi="宋体" w:cs="宋体"/>
                <w:kern w:val="0"/>
                <w:szCs w:val="21"/>
              </w:rPr>
              <w:t>1、根据《政府采购促进中小企业发展管理办法》（财库〔2020〕46号）的规定，对小型和微型企业报价给予10%的价格扣除，用扣除后的价格参与评标。</w:t>
            </w:r>
          </w:p>
          <w:p>
            <w:pPr>
              <w:widowControl/>
              <w:jc w:val="left"/>
              <w:rPr>
                <w:rFonts w:ascii="宋体" w:hAnsi="宋体" w:cs="宋体"/>
                <w:kern w:val="0"/>
                <w:szCs w:val="21"/>
              </w:rPr>
            </w:pPr>
            <w:r>
              <w:rPr>
                <w:rFonts w:hint="eastAsia" w:ascii="宋体" w:hAnsi="宋体" w:cs="宋体"/>
                <w:kern w:val="0"/>
                <w:szCs w:val="21"/>
              </w:rPr>
              <w:t>2、参加政府采购活动的中小微企业应当提供《中小企业声明函》原件。若为监狱企业应当提供《监狱企业证明》。若为残疾人福利性单位应当提供《残疾人福利性单位声明函》。</w:t>
            </w:r>
          </w:p>
          <w:p>
            <w:pPr>
              <w:widowControl/>
              <w:spacing w:line="360" w:lineRule="auto"/>
              <w:jc w:val="left"/>
              <w:rPr>
                <w:rFonts w:ascii="宋体" w:hAnsi="宋体" w:cs="宋体"/>
                <w:kern w:val="0"/>
                <w:szCs w:val="21"/>
              </w:rPr>
            </w:pPr>
            <w:r>
              <w:rPr>
                <w:rFonts w:hint="eastAsia" w:ascii="宋体" w:hAnsi="宋体" w:cs="宋体"/>
                <w:kern w:val="0"/>
                <w:szCs w:val="21"/>
              </w:rPr>
              <w:t>3、本项目采购内容对应的中小企业划分标准所属行业为</w:t>
            </w:r>
            <w:r>
              <w:rPr>
                <w:rFonts w:hint="eastAsia" w:ascii="宋体" w:hAnsi="宋体" w:cs="宋体"/>
                <w:kern w:val="0"/>
                <w:szCs w:val="21"/>
                <w:u w:val="single"/>
              </w:rPr>
              <w:t>软件和信息技术服务业</w:t>
            </w:r>
            <w:r>
              <w:rPr>
                <w:rFonts w:hint="eastAsia" w:ascii="宋体" w:hAnsi="宋体" w:cs="宋体"/>
                <w:kern w:val="0"/>
                <w:szCs w:val="21"/>
              </w:rPr>
              <w:t>。</w:t>
            </w:r>
          </w:p>
          <w:p>
            <w:pPr>
              <w:widowControl/>
              <w:jc w:val="left"/>
              <w:rPr>
                <w:rFonts w:ascii="宋体" w:hAnsi="宋体" w:cs="宋体"/>
                <w:kern w:val="0"/>
                <w:szCs w:val="21"/>
              </w:rPr>
            </w:pPr>
            <w:r>
              <w:rPr>
                <w:rFonts w:hint="eastAsia" w:ascii="宋体" w:hAnsi="宋体" w:cs="宋体"/>
                <w:kern w:val="0"/>
                <w:szCs w:val="21"/>
              </w:rPr>
              <w:t>注：提供服务的企业在中华人民共和国境内依法设立，符合《工业和信息化部、国家统计局、国家发展和改革委员会、财政部关于印发中小企业划型标准规定的通知》（工信部联企业〔2011〕300号）规定的划分标准为小微企业，但与大企业的负责人为同一人，或者与大企业存在直接控股、管理关系的除外适用。符合中小企业划分标准的个体工商户，在政府采购活动中视同中小企业。按照财库[2014]68号文的规定监狱企业视同为小微企业。 按照财库〔2017〕141号文的规定残疾人福利性单位视同为小微企业。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6" w:hRule="atLeast"/>
          <w:jc w:val="center"/>
        </w:trPr>
        <w:tc>
          <w:tcPr>
            <w:tcW w:w="465" w:type="dxa"/>
            <w:tcBorders>
              <w:top w:val="single" w:color="auto" w:sz="4" w:space="0"/>
            </w:tcBorders>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12</w:t>
            </w:r>
          </w:p>
        </w:tc>
        <w:tc>
          <w:tcPr>
            <w:tcW w:w="2308" w:type="dxa"/>
            <w:tcBorders>
              <w:top w:val="single" w:color="auto" w:sz="4" w:space="0"/>
            </w:tcBorders>
            <w:vAlign w:val="center"/>
          </w:tcPr>
          <w:p>
            <w:pPr>
              <w:spacing w:line="340" w:lineRule="exact"/>
              <w:ind w:left="105" w:leftChars="50" w:right="105" w:rightChars="50"/>
              <w:jc w:val="center"/>
              <w:rPr>
                <w:rFonts w:ascii="宋体" w:hAnsi="宋体" w:cs="宋体"/>
                <w:szCs w:val="21"/>
              </w:rPr>
            </w:pPr>
            <w:r>
              <w:rPr>
                <w:rFonts w:hint="eastAsia" w:ascii="宋体" w:hAnsi="宋体" w:cs="宋体"/>
                <w:kern w:val="0"/>
                <w:szCs w:val="21"/>
              </w:rPr>
              <w:t>评标情况公告</w:t>
            </w:r>
          </w:p>
        </w:tc>
        <w:tc>
          <w:tcPr>
            <w:tcW w:w="6626" w:type="dxa"/>
            <w:tcBorders>
              <w:top w:val="single" w:color="auto" w:sz="4" w:space="0"/>
            </w:tcBorders>
            <w:vAlign w:val="center"/>
          </w:tcPr>
          <w:p>
            <w:pPr>
              <w:widowControl/>
              <w:spacing w:line="300" w:lineRule="auto"/>
              <w:jc w:val="left"/>
              <w:rPr>
                <w:rFonts w:ascii="宋体" w:hAnsi="宋体" w:cs="宋体"/>
                <w:szCs w:val="21"/>
              </w:rPr>
            </w:pPr>
            <w:r>
              <w:rPr>
                <w:rFonts w:hint="eastAsia" w:ascii="宋体" w:hAnsi="宋体" w:cs="宋体"/>
                <w:kern w:val="0"/>
                <w:szCs w:val="21"/>
              </w:rPr>
              <w:t>所有供应商投标文件资格性、符合性检查情况、采用综合评分法时的总得分和分项汇总得分情况、评标结果等将在“四川政府采购网”上采购结果公告栏中予以公告。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 w:hRule="atLeast"/>
          <w:jc w:val="center"/>
        </w:trPr>
        <w:tc>
          <w:tcPr>
            <w:tcW w:w="465" w:type="dxa"/>
            <w:vAlign w:val="center"/>
          </w:tcPr>
          <w:p>
            <w:pPr>
              <w:spacing w:line="360" w:lineRule="auto"/>
              <w:jc w:val="center"/>
              <w:outlineLvl w:val="5"/>
              <w:rPr>
                <w:rFonts w:ascii="宋体" w:hAnsi="宋体" w:cs="宋体"/>
                <w:szCs w:val="21"/>
              </w:rPr>
            </w:pPr>
            <w:r>
              <w:rPr>
                <w:rFonts w:hint="eastAsia" w:ascii="宋体" w:hAnsi="宋体" w:cs="宋体"/>
                <w:szCs w:val="21"/>
              </w:rPr>
              <w:t>13</w:t>
            </w:r>
          </w:p>
        </w:tc>
        <w:tc>
          <w:tcPr>
            <w:tcW w:w="2308"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考察现场、标前答疑会</w:t>
            </w:r>
          </w:p>
        </w:tc>
        <w:tc>
          <w:tcPr>
            <w:tcW w:w="6626" w:type="dxa"/>
            <w:vAlign w:val="center"/>
          </w:tcPr>
          <w:p>
            <w:pPr>
              <w:spacing w:line="300" w:lineRule="auto"/>
              <w:outlineLvl w:val="5"/>
              <w:rPr>
                <w:rFonts w:ascii="宋体" w:hAnsi="宋体" w:cs="宋体"/>
                <w:szCs w:val="21"/>
                <w:lang w:val="zh-CN"/>
              </w:rPr>
            </w:pPr>
            <w:r>
              <w:rPr>
                <w:rFonts w:hint="eastAsia" w:ascii="宋体" w:hAnsi="宋体" w:cs="宋体"/>
                <w:szCs w:val="21"/>
                <w:lang w:val="zh-CN"/>
              </w:rPr>
              <w:t>招标采购单位认为有必要，另行书面通知。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2" w:hRule="atLeast"/>
          <w:jc w:val="center"/>
        </w:trPr>
        <w:tc>
          <w:tcPr>
            <w:tcW w:w="465" w:type="dxa"/>
            <w:vAlign w:val="center"/>
          </w:tcPr>
          <w:p>
            <w:pPr>
              <w:spacing w:line="360" w:lineRule="auto"/>
              <w:jc w:val="center"/>
              <w:outlineLvl w:val="5"/>
              <w:rPr>
                <w:rFonts w:ascii="宋体" w:hAnsi="宋体" w:cs="宋体"/>
                <w:szCs w:val="21"/>
              </w:rPr>
            </w:pPr>
            <w:r>
              <w:rPr>
                <w:rFonts w:hint="eastAsia" w:ascii="宋体" w:hAnsi="宋体" w:cs="宋体"/>
                <w:szCs w:val="21"/>
              </w:rPr>
              <w:t>14</w:t>
            </w:r>
          </w:p>
        </w:tc>
        <w:tc>
          <w:tcPr>
            <w:tcW w:w="2308" w:type="dxa"/>
            <w:vAlign w:val="bottom"/>
          </w:tcPr>
          <w:p>
            <w:pPr>
              <w:spacing w:line="360" w:lineRule="auto"/>
              <w:ind w:left="735" w:leftChars="50" w:hanging="630" w:hangingChars="300"/>
              <w:jc w:val="center"/>
              <w:outlineLvl w:val="5"/>
              <w:rPr>
                <w:rFonts w:ascii="宋体" w:hAnsi="宋体" w:cs="宋体"/>
                <w:szCs w:val="21"/>
                <w:lang w:val="zh-CN"/>
              </w:rPr>
            </w:pPr>
            <w:r>
              <w:rPr>
                <w:rFonts w:hint="eastAsia" w:ascii="宋体" w:hAnsi="宋体" w:cs="宋体"/>
                <w:szCs w:val="21"/>
                <w:lang w:val="zh-CN"/>
              </w:rPr>
              <w:t>投标人对招标文件提出</w:t>
            </w:r>
          </w:p>
          <w:p>
            <w:pPr>
              <w:spacing w:line="360" w:lineRule="auto"/>
              <w:ind w:left="735" w:leftChars="50" w:hanging="630" w:hangingChars="300"/>
              <w:jc w:val="center"/>
              <w:outlineLvl w:val="5"/>
              <w:rPr>
                <w:rFonts w:ascii="宋体" w:hAnsi="宋体" w:cs="宋体"/>
                <w:szCs w:val="21"/>
                <w:lang w:val="zh-CN"/>
              </w:rPr>
            </w:pPr>
            <w:r>
              <w:rPr>
                <w:rFonts w:hint="eastAsia" w:ascii="宋体" w:hAnsi="宋体" w:cs="宋体"/>
                <w:szCs w:val="21"/>
                <w:lang w:val="zh-CN"/>
              </w:rPr>
              <w:t>质疑的时间</w:t>
            </w:r>
          </w:p>
        </w:tc>
        <w:tc>
          <w:tcPr>
            <w:tcW w:w="6626" w:type="dxa"/>
            <w:vAlign w:val="center"/>
          </w:tcPr>
          <w:p>
            <w:pPr>
              <w:spacing w:line="300" w:lineRule="auto"/>
              <w:outlineLvl w:val="5"/>
              <w:rPr>
                <w:rFonts w:ascii="宋体" w:hAnsi="宋体" w:cs="宋体"/>
                <w:szCs w:val="21"/>
              </w:rPr>
            </w:pPr>
            <w:r>
              <w:rPr>
                <w:rFonts w:hint="eastAsia" w:ascii="宋体" w:hAnsi="宋体" w:cs="宋体"/>
                <w:szCs w:val="21"/>
              </w:rPr>
              <w:t>严格按中华人民共和国财政部令第94号《政府采购质疑和投诉办法》规定执行。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8" w:hRule="exact"/>
          <w:jc w:val="center"/>
        </w:trPr>
        <w:tc>
          <w:tcPr>
            <w:tcW w:w="465" w:type="dxa"/>
            <w:vAlign w:val="center"/>
          </w:tcPr>
          <w:p>
            <w:pPr>
              <w:spacing w:line="360" w:lineRule="auto"/>
              <w:jc w:val="center"/>
              <w:outlineLvl w:val="5"/>
              <w:rPr>
                <w:rFonts w:ascii="宋体" w:hAnsi="宋体" w:cs="宋体"/>
                <w:szCs w:val="21"/>
              </w:rPr>
            </w:pPr>
            <w:r>
              <w:rPr>
                <w:rFonts w:hint="eastAsia" w:ascii="宋体" w:hAnsi="宋体" w:cs="宋体"/>
                <w:szCs w:val="21"/>
              </w:rPr>
              <w:t>15</w:t>
            </w:r>
          </w:p>
        </w:tc>
        <w:tc>
          <w:tcPr>
            <w:tcW w:w="2308"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构成招标文件的其他文件</w:t>
            </w:r>
          </w:p>
        </w:tc>
        <w:tc>
          <w:tcPr>
            <w:tcW w:w="6626" w:type="dxa"/>
            <w:vAlign w:val="center"/>
          </w:tcPr>
          <w:p>
            <w:pPr>
              <w:spacing w:line="300" w:lineRule="auto"/>
              <w:ind w:left="210" w:hanging="210" w:hangingChars="100"/>
              <w:outlineLvl w:val="5"/>
              <w:rPr>
                <w:rFonts w:ascii="宋体" w:hAnsi="宋体" w:cs="宋体"/>
                <w:szCs w:val="21"/>
              </w:rPr>
            </w:pPr>
            <w:r>
              <w:rPr>
                <w:rFonts w:hint="eastAsia" w:ascii="宋体" w:hAnsi="宋体" w:cs="宋体"/>
                <w:szCs w:val="21"/>
                <w:lang w:val="zh-CN"/>
              </w:rPr>
              <w:t xml:space="preserve"> 招标文件的澄清</w:t>
            </w:r>
            <w:r>
              <w:rPr>
                <w:rFonts w:hint="eastAsia" w:ascii="宋体" w:hAnsi="宋体" w:cs="宋体"/>
                <w:szCs w:val="21"/>
              </w:rPr>
              <w:t>、修改书及有关补充通知为招标文件的有效组成部分。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8" w:hRule="exact"/>
          <w:jc w:val="center"/>
        </w:trPr>
        <w:tc>
          <w:tcPr>
            <w:tcW w:w="465" w:type="dxa"/>
            <w:vAlign w:val="center"/>
          </w:tcPr>
          <w:p>
            <w:pPr>
              <w:spacing w:line="360" w:lineRule="auto"/>
              <w:jc w:val="center"/>
              <w:outlineLvl w:val="5"/>
              <w:rPr>
                <w:rFonts w:ascii="宋体" w:hAnsi="宋体" w:cs="宋体"/>
                <w:szCs w:val="21"/>
              </w:rPr>
            </w:pPr>
            <w:r>
              <w:rPr>
                <w:rFonts w:hint="eastAsia" w:ascii="宋体" w:hAnsi="宋体" w:cs="宋体"/>
                <w:szCs w:val="21"/>
              </w:rPr>
              <w:t>16</w:t>
            </w:r>
          </w:p>
        </w:tc>
        <w:tc>
          <w:tcPr>
            <w:tcW w:w="2308" w:type="dxa"/>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投标有效期</w:t>
            </w:r>
          </w:p>
        </w:tc>
        <w:tc>
          <w:tcPr>
            <w:tcW w:w="6626" w:type="dxa"/>
            <w:vAlign w:val="center"/>
          </w:tcPr>
          <w:p>
            <w:pPr>
              <w:spacing w:line="300" w:lineRule="auto"/>
              <w:jc w:val="left"/>
              <w:outlineLvl w:val="5"/>
              <w:rPr>
                <w:rFonts w:ascii="宋体" w:hAnsi="宋体" w:cs="宋体"/>
                <w:szCs w:val="21"/>
              </w:rPr>
            </w:pPr>
            <w:r>
              <w:rPr>
                <w:rFonts w:hint="eastAsia" w:ascii="宋体" w:hAnsi="宋体" w:cs="宋体"/>
                <w:szCs w:val="21"/>
              </w:rPr>
              <w:t>递交投标文件截止之日起90天。</w:t>
            </w:r>
          </w:p>
          <w:p>
            <w:pPr>
              <w:spacing w:line="300" w:lineRule="auto"/>
              <w:ind w:firstLine="210" w:firstLineChars="100"/>
              <w:jc w:val="center"/>
              <w:outlineLvl w:val="5"/>
              <w:rPr>
                <w:rFonts w:ascii="宋体" w:hAnsi="宋体" w:cs="宋体"/>
                <w:szCs w:val="21"/>
              </w:rPr>
            </w:pPr>
          </w:p>
          <w:p>
            <w:pPr>
              <w:spacing w:line="300" w:lineRule="auto"/>
              <w:ind w:firstLine="210" w:firstLineChars="100"/>
              <w:jc w:val="center"/>
              <w:outlineLvl w:val="5"/>
              <w:rPr>
                <w:rFonts w:ascii="宋体" w:hAnsi="宋体" w:cs="宋体"/>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3" w:hRule="atLeast"/>
          <w:jc w:val="center"/>
        </w:trPr>
        <w:tc>
          <w:tcPr>
            <w:tcW w:w="465" w:type="dxa"/>
            <w:tcBorders>
              <w:bottom w:val="single" w:color="auto" w:sz="4" w:space="0"/>
            </w:tcBorders>
            <w:vAlign w:val="center"/>
          </w:tcPr>
          <w:p>
            <w:pPr>
              <w:spacing w:line="360" w:lineRule="auto"/>
              <w:jc w:val="center"/>
              <w:outlineLvl w:val="5"/>
              <w:rPr>
                <w:rFonts w:ascii="宋体" w:hAnsi="宋体" w:cs="宋体"/>
                <w:szCs w:val="21"/>
              </w:rPr>
            </w:pPr>
            <w:r>
              <w:rPr>
                <w:rFonts w:hint="eastAsia" w:ascii="宋体" w:hAnsi="宋体" w:cs="宋体"/>
                <w:szCs w:val="21"/>
              </w:rPr>
              <w:t>17</w:t>
            </w:r>
          </w:p>
        </w:tc>
        <w:tc>
          <w:tcPr>
            <w:tcW w:w="2308" w:type="dxa"/>
            <w:tcBorders>
              <w:bottom w:val="single" w:color="auto" w:sz="4" w:space="0"/>
            </w:tcBorders>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投标保证金</w:t>
            </w:r>
          </w:p>
        </w:tc>
        <w:tc>
          <w:tcPr>
            <w:tcW w:w="6626" w:type="dxa"/>
            <w:tcBorders>
              <w:bottom w:val="single" w:color="auto" w:sz="4" w:space="0"/>
            </w:tcBorders>
            <w:vAlign w:val="center"/>
          </w:tcPr>
          <w:p>
            <w:pPr>
              <w:spacing w:line="360" w:lineRule="auto"/>
              <w:outlineLvl w:val="5"/>
              <w:rPr>
                <w:rFonts w:ascii="宋体" w:hAnsi="宋体" w:cs="宋体"/>
                <w:lang w:val="zh-CN"/>
              </w:rPr>
            </w:pPr>
            <w:r>
              <w:rPr>
                <w:rFonts w:hint="eastAsia" w:ascii="宋体" w:hAnsi="宋体" w:cs="宋体"/>
                <w:szCs w:val="21"/>
              </w:rPr>
              <w:t xml:space="preserve"> </w:t>
            </w:r>
            <w:r>
              <w:rPr>
                <w:rFonts w:hint="eastAsia" w:ascii="宋体" w:hAnsi="宋体" w:cs="宋体"/>
                <w:szCs w:val="21"/>
                <w:lang w:val="zh-CN"/>
              </w:rPr>
              <w:t>为响应四川省财政厅关于进一步做好疫情防控期间政府采购工作有关事项的通知（川财采〔2020〕28号），本项目不交纳投标保证金。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 w:hRule="atLeast"/>
          <w:jc w:val="center"/>
        </w:trPr>
        <w:tc>
          <w:tcPr>
            <w:tcW w:w="465" w:type="dxa"/>
            <w:tcBorders>
              <w:top w:val="single" w:color="auto" w:sz="4" w:space="0"/>
              <w:bottom w:val="single" w:color="auto" w:sz="4" w:space="0"/>
            </w:tcBorders>
            <w:vAlign w:val="center"/>
          </w:tcPr>
          <w:p>
            <w:pPr>
              <w:spacing w:line="360" w:lineRule="auto"/>
              <w:jc w:val="center"/>
              <w:outlineLvl w:val="5"/>
              <w:rPr>
                <w:rFonts w:ascii="宋体" w:hAnsi="宋体" w:cs="宋体"/>
                <w:szCs w:val="21"/>
              </w:rPr>
            </w:pPr>
            <w:r>
              <w:rPr>
                <w:rFonts w:hint="eastAsia" w:ascii="宋体" w:hAnsi="宋体" w:cs="宋体"/>
                <w:szCs w:val="21"/>
              </w:rPr>
              <w:t>18</w:t>
            </w:r>
          </w:p>
        </w:tc>
        <w:tc>
          <w:tcPr>
            <w:tcW w:w="2308" w:type="dxa"/>
            <w:tcBorders>
              <w:top w:val="single" w:color="auto" w:sz="4" w:space="0"/>
              <w:bottom w:val="single" w:color="auto" w:sz="4" w:space="0"/>
            </w:tcBorders>
            <w:vAlign w:val="center"/>
          </w:tcPr>
          <w:p>
            <w:pPr>
              <w:pStyle w:val="2"/>
              <w:jc w:val="center"/>
              <w:rPr>
                <w:rFonts w:ascii="宋体" w:hAnsi="宋体" w:cs="宋体"/>
                <w:lang w:val="zh-CN"/>
              </w:rPr>
            </w:pPr>
            <w:r>
              <w:rPr>
                <w:rFonts w:hint="eastAsia" w:ascii="宋体" w:hAnsi="宋体" w:cs="宋体"/>
                <w:lang w:val="zh-CN"/>
              </w:rPr>
              <w:t>履约保证金</w:t>
            </w:r>
          </w:p>
        </w:tc>
        <w:tc>
          <w:tcPr>
            <w:tcW w:w="6626" w:type="dxa"/>
            <w:tcBorders>
              <w:top w:val="single" w:color="auto" w:sz="4" w:space="0"/>
              <w:bottom w:val="single" w:color="auto" w:sz="4" w:space="0"/>
            </w:tcBorders>
            <w:vAlign w:val="center"/>
          </w:tcPr>
          <w:p>
            <w:pPr>
              <w:pStyle w:val="2"/>
              <w:rPr>
                <w:rFonts w:ascii="宋体" w:hAnsi="宋体" w:cs="宋体"/>
                <w:lang w:val="zh-CN"/>
              </w:rPr>
            </w:pPr>
            <w:r>
              <w:rPr>
                <w:rFonts w:hint="eastAsia" w:ascii="宋体" w:hAnsi="宋体" w:cs="宋体"/>
                <w:lang w:val="zh-CN"/>
              </w:rPr>
              <w:t>履约保证金为合同金额的3%，中标人在签订合同时以支票、汇票、本票或者投标人开户银行出具的保函等非现金形式提交（保函收益人为：简阳市人民医院），履约保证金在验收合格后退还</w:t>
            </w:r>
            <w:r>
              <w:rPr>
                <w:rFonts w:hint="eastAsia" w:ascii="宋体" w:hAnsi="宋体" w:cs="宋体"/>
              </w:rPr>
              <w:t>。</w:t>
            </w:r>
            <w:r>
              <w:rPr>
                <w:rFonts w:hint="eastAsia"/>
              </w:rPr>
              <w:t>逾期退还的，将依法承担法律责任，并赔偿供应商损失。</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0" w:hRule="atLeast"/>
          <w:jc w:val="center"/>
        </w:trPr>
        <w:tc>
          <w:tcPr>
            <w:tcW w:w="465" w:type="dxa"/>
            <w:tcBorders>
              <w:top w:val="single" w:color="auto" w:sz="4" w:space="0"/>
              <w:bottom w:val="single" w:color="auto" w:sz="4" w:space="0"/>
            </w:tcBorders>
            <w:vAlign w:val="center"/>
          </w:tcPr>
          <w:p>
            <w:pPr>
              <w:spacing w:line="360" w:lineRule="auto"/>
              <w:jc w:val="center"/>
              <w:outlineLvl w:val="5"/>
              <w:rPr>
                <w:rFonts w:ascii="宋体" w:hAnsi="宋体" w:cs="宋体"/>
                <w:szCs w:val="21"/>
              </w:rPr>
            </w:pPr>
            <w:r>
              <w:rPr>
                <w:rFonts w:hint="eastAsia" w:ascii="宋体" w:hAnsi="宋体" w:cs="宋体"/>
                <w:szCs w:val="21"/>
              </w:rPr>
              <w:t>19</w:t>
            </w:r>
          </w:p>
        </w:tc>
        <w:tc>
          <w:tcPr>
            <w:tcW w:w="2308" w:type="dxa"/>
            <w:tcBorders>
              <w:top w:val="single" w:color="auto" w:sz="4" w:space="0"/>
              <w:bottom w:val="single" w:color="auto" w:sz="4" w:space="0"/>
            </w:tcBorders>
            <w:vAlign w:val="center"/>
          </w:tcPr>
          <w:p>
            <w:pPr>
              <w:pStyle w:val="194"/>
              <w:jc w:val="center"/>
              <w:rPr>
                <w:kern w:val="2"/>
                <w:sz w:val="21"/>
                <w:szCs w:val="21"/>
              </w:rPr>
            </w:pPr>
            <w:r>
              <w:rPr>
                <w:rFonts w:hint="eastAsia"/>
                <w:kern w:val="2"/>
                <w:sz w:val="21"/>
                <w:szCs w:val="21"/>
              </w:rPr>
              <w:t>招标文件、开评标工作咨询</w:t>
            </w:r>
          </w:p>
        </w:tc>
        <w:tc>
          <w:tcPr>
            <w:tcW w:w="6626" w:type="dxa"/>
            <w:tcBorders>
              <w:top w:val="single" w:color="auto" w:sz="4" w:space="0"/>
              <w:bottom w:val="single" w:color="auto" w:sz="4" w:space="0"/>
            </w:tcBorders>
          </w:tcPr>
          <w:p>
            <w:pPr>
              <w:spacing w:line="300" w:lineRule="auto"/>
              <w:ind w:right="105" w:rightChars="50"/>
              <w:rPr>
                <w:rFonts w:ascii="宋体" w:hAnsi="宋体" w:cs="宋体"/>
                <w:szCs w:val="21"/>
              </w:rPr>
            </w:pPr>
            <w:r>
              <w:rPr>
                <w:rFonts w:hint="eastAsia" w:ascii="宋体" w:hAnsi="宋体" w:cs="宋体"/>
                <w:szCs w:val="21"/>
              </w:rPr>
              <w:t>联 系 人：李先生</w:t>
            </w:r>
          </w:p>
          <w:p>
            <w:pPr>
              <w:spacing w:line="300" w:lineRule="auto"/>
              <w:ind w:right="105" w:rightChars="50"/>
              <w:rPr>
                <w:rFonts w:ascii="宋体" w:hAnsi="宋体" w:cs="宋体"/>
                <w:szCs w:val="21"/>
              </w:rPr>
            </w:pPr>
            <w:r>
              <w:rPr>
                <w:rFonts w:hint="eastAsia" w:ascii="宋体" w:hAnsi="宋体" w:cs="宋体"/>
                <w:szCs w:val="21"/>
              </w:rPr>
              <w:t>联系电话：028-85446608、85445511、85045522-8868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5" w:hRule="atLeast"/>
          <w:jc w:val="center"/>
        </w:trPr>
        <w:tc>
          <w:tcPr>
            <w:tcW w:w="465" w:type="dxa"/>
            <w:tcBorders>
              <w:top w:val="single" w:color="auto" w:sz="4" w:space="0"/>
              <w:bottom w:val="single" w:color="auto" w:sz="4" w:space="0"/>
            </w:tcBorders>
            <w:vAlign w:val="center"/>
          </w:tcPr>
          <w:p>
            <w:pPr>
              <w:spacing w:line="360" w:lineRule="auto"/>
              <w:jc w:val="center"/>
              <w:outlineLvl w:val="5"/>
              <w:rPr>
                <w:rFonts w:ascii="宋体" w:hAnsi="宋体" w:cs="宋体"/>
                <w:szCs w:val="21"/>
              </w:rPr>
            </w:pPr>
            <w:r>
              <w:rPr>
                <w:rFonts w:hint="eastAsia" w:ascii="宋体" w:hAnsi="宋体" w:cs="宋体"/>
                <w:szCs w:val="21"/>
              </w:rPr>
              <w:t>20</w:t>
            </w:r>
          </w:p>
        </w:tc>
        <w:tc>
          <w:tcPr>
            <w:tcW w:w="2308" w:type="dxa"/>
            <w:tcBorders>
              <w:top w:val="single" w:color="auto" w:sz="4" w:space="0"/>
              <w:bottom w:val="single" w:color="auto" w:sz="4" w:space="0"/>
            </w:tcBorders>
            <w:vAlign w:val="center"/>
          </w:tcPr>
          <w:p>
            <w:pPr>
              <w:spacing w:line="340" w:lineRule="exact"/>
              <w:ind w:left="105" w:leftChars="50" w:right="105" w:rightChars="50"/>
              <w:jc w:val="center"/>
              <w:rPr>
                <w:rFonts w:ascii="宋体" w:hAnsi="宋体" w:cs="宋体"/>
                <w:szCs w:val="21"/>
              </w:rPr>
            </w:pPr>
            <w:r>
              <w:rPr>
                <w:rFonts w:hint="eastAsia" w:ascii="宋体" w:hAnsi="宋体" w:cs="宋体"/>
                <w:szCs w:val="21"/>
              </w:rPr>
              <w:t>中标通知书领取</w:t>
            </w:r>
          </w:p>
        </w:tc>
        <w:tc>
          <w:tcPr>
            <w:tcW w:w="6626" w:type="dxa"/>
            <w:tcBorders>
              <w:top w:val="single" w:color="auto" w:sz="4" w:space="0"/>
              <w:bottom w:val="single" w:color="auto" w:sz="4" w:space="0"/>
            </w:tcBorders>
            <w:vAlign w:val="center"/>
          </w:tcPr>
          <w:p>
            <w:pPr>
              <w:tabs>
                <w:tab w:val="left" w:pos="7665"/>
              </w:tabs>
              <w:spacing w:line="300" w:lineRule="auto"/>
              <w:rPr>
                <w:rFonts w:ascii="宋体" w:hAnsi="宋体" w:cs="宋体"/>
                <w:b/>
                <w:i/>
                <w:szCs w:val="21"/>
              </w:rPr>
            </w:pPr>
            <w:r>
              <w:rPr>
                <w:rFonts w:hint="eastAsia" w:ascii="宋体" w:hAnsi="宋体" w:cs="宋体"/>
                <w:szCs w:val="21"/>
              </w:rPr>
              <w:t>中标公告在“四川政府采购网”上公告后，中标人凭有效身份证明证件（单位介绍信和个人身份证）到采购代理机构处领取中标通知书</w:t>
            </w:r>
            <w:r>
              <w:rPr>
                <w:rFonts w:hint="eastAsia" w:ascii="宋体" w:hAnsi="宋体" w:cs="宋体"/>
                <w:b/>
                <w:i/>
                <w:szCs w:val="21"/>
              </w:rPr>
              <w:t>。</w:t>
            </w:r>
          </w:p>
          <w:p>
            <w:pPr>
              <w:spacing w:line="300" w:lineRule="auto"/>
              <w:rPr>
                <w:rFonts w:ascii="宋体" w:hAnsi="宋体" w:cs="宋体"/>
                <w:szCs w:val="21"/>
                <w:lang w:val="zh-CN"/>
              </w:rPr>
            </w:pPr>
            <w:r>
              <w:rPr>
                <w:rFonts w:hint="eastAsia" w:ascii="宋体" w:hAnsi="宋体" w:cs="宋体"/>
                <w:szCs w:val="21"/>
                <w:lang w:val="zh-CN"/>
              </w:rPr>
              <w:t>联系人：</w:t>
            </w:r>
            <w:r>
              <w:rPr>
                <w:rFonts w:hint="eastAsia" w:ascii="宋体" w:hAnsi="宋体" w:cs="宋体"/>
                <w:szCs w:val="21"/>
              </w:rPr>
              <w:t>徐</w:t>
            </w:r>
            <w:r>
              <w:rPr>
                <w:rFonts w:hint="eastAsia" w:ascii="宋体" w:hAnsi="宋体" w:cs="宋体"/>
                <w:szCs w:val="21"/>
                <w:lang w:val="zh-CN"/>
              </w:rPr>
              <w:t>女士。</w:t>
            </w:r>
          </w:p>
          <w:p>
            <w:pPr>
              <w:spacing w:line="300" w:lineRule="auto"/>
              <w:rPr>
                <w:rFonts w:ascii="宋体" w:hAnsi="宋体" w:cs="宋体"/>
                <w:szCs w:val="21"/>
              </w:rPr>
            </w:pPr>
            <w:r>
              <w:rPr>
                <w:rFonts w:hint="eastAsia" w:ascii="宋体" w:hAnsi="宋体" w:cs="宋体"/>
                <w:szCs w:val="21"/>
                <w:lang w:val="zh-CN"/>
              </w:rPr>
              <w:t>联系电话：028-85045522-</w:t>
            </w:r>
            <w:r>
              <w:rPr>
                <w:rFonts w:hint="eastAsia" w:ascii="宋体" w:hAnsi="宋体" w:cs="宋体"/>
                <w:szCs w:val="21"/>
              </w:rPr>
              <w:t>8858</w:t>
            </w:r>
          </w:p>
          <w:p>
            <w:pPr>
              <w:spacing w:line="300" w:lineRule="auto"/>
              <w:rPr>
                <w:rFonts w:ascii="宋体" w:hAnsi="宋体" w:cs="宋体"/>
                <w:szCs w:val="21"/>
                <w:lang w:val="zh-CN"/>
              </w:rPr>
            </w:pPr>
            <w:r>
              <w:rPr>
                <w:rFonts w:hint="eastAsia" w:ascii="宋体" w:hAnsi="宋体" w:cs="宋体"/>
                <w:szCs w:val="21"/>
              </w:rPr>
              <w:t>地址：四川五洲招标代理有限公司（成都市武侯区星狮路511号大合仓C区415房）。</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8" w:hRule="atLeast"/>
          <w:jc w:val="center"/>
        </w:trPr>
        <w:tc>
          <w:tcPr>
            <w:tcW w:w="465" w:type="dxa"/>
            <w:tcBorders>
              <w:top w:val="single" w:color="auto" w:sz="4" w:space="0"/>
              <w:bottom w:val="single" w:color="auto" w:sz="4" w:space="0"/>
            </w:tcBorders>
            <w:vAlign w:val="center"/>
          </w:tcPr>
          <w:p>
            <w:pPr>
              <w:spacing w:line="360" w:lineRule="auto"/>
              <w:jc w:val="center"/>
              <w:outlineLvl w:val="5"/>
              <w:rPr>
                <w:rFonts w:ascii="宋体" w:hAnsi="宋体" w:cs="宋体"/>
                <w:szCs w:val="21"/>
              </w:rPr>
            </w:pPr>
            <w:r>
              <w:rPr>
                <w:rFonts w:hint="eastAsia" w:ascii="宋体" w:hAnsi="宋体" w:cs="宋体"/>
                <w:szCs w:val="21"/>
              </w:rPr>
              <w:t>21</w:t>
            </w:r>
          </w:p>
        </w:tc>
        <w:tc>
          <w:tcPr>
            <w:tcW w:w="2308" w:type="dxa"/>
            <w:tcBorders>
              <w:top w:val="single" w:color="auto" w:sz="4" w:space="0"/>
              <w:bottom w:val="single" w:color="auto" w:sz="4" w:space="0"/>
            </w:tcBorders>
            <w:vAlign w:val="center"/>
          </w:tcPr>
          <w:p>
            <w:pPr>
              <w:pStyle w:val="194"/>
              <w:jc w:val="center"/>
              <w:rPr>
                <w:kern w:val="2"/>
                <w:sz w:val="21"/>
                <w:szCs w:val="21"/>
              </w:rPr>
            </w:pPr>
            <w:r>
              <w:rPr>
                <w:rFonts w:hint="eastAsia"/>
                <w:kern w:val="2"/>
                <w:sz w:val="21"/>
                <w:szCs w:val="21"/>
              </w:rPr>
              <w:t>供应商询问、质疑</w:t>
            </w:r>
          </w:p>
        </w:tc>
        <w:tc>
          <w:tcPr>
            <w:tcW w:w="6626" w:type="dxa"/>
            <w:tcBorders>
              <w:top w:val="single" w:color="auto" w:sz="4" w:space="0"/>
              <w:bottom w:val="single" w:color="auto" w:sz="4" w:space="0"/>
            </w:tcBorders>
          </w:tcPr>
          <w:p>
            <w:pPr>
              <w:spacing w:line="300" w:lineRule="auto"/>
              <w:rPr>
                <w:rFonts w:ascii="宋体" w:hAnsi="宋体" w:cs="宋体"/>
                <w:szCs w:val="21"/>
              </w:rPr>
            </w:pPr>
            <w:r>
              <w:rPr>
                <w:rFonts w:hint="eastAsia" w:ascii="宋体" w:hAnsi="宋体" w:cs="宋体"/>
                <w:szCs w:val="21"/>
              </w:rPr>
              <w:t>供应商询问、质疑由四川五洲招标代理有限公司负责答复。</w:t>
            </w:r>
          </w:p>
          <w:p>
            <w:pPr>
              <w:spacing w:line="300" w:lineRule="auto"/>
              <w:rPr>
                <w:rFonts w:ascii="宋体" w:hAnsi="宋体" w:cs="宋体"/>
                <w:szCs w:val="21"/>
              </w:rPr>
            </w:pPr>
            <w:r>
              <w:rPr>
                <w:rFonts w:hint="eastAsia" w:ascii="宋体" w:hAnsi="宋体" w:cs="宋体"/>
                <w:szCs w:val="21"/>
              </w:rPr>
              <w:t>联 系 人：李先生</w:t>
            </w:r>
          </w:p>
          <w:p>
            <w:pPr>
              <w:spacing w:line="300" w:lineRule="auto"/>
              <w:rPr>
                <w:rFonts w:ascii="宋体" w:hAnsi="宋体" w:cs="宋体"/>
                <w:szCs w:val="21"/>
              </w:rPr>
            </w:pPr>
            <w:r>
              <w:rPr>
                <w:rFonts w:hint="eastAsia" w:ascii="宋体" w:hAnsi="宋体" w:cs="宋体"/>
                <w:szCs w:val="21"/>
              </w:rPr>
              <w:t>联系电话：028-85446608、85445511、85045522-8868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0" w:hRule="atLeast"/>
          <w:jc w:val="center"/>
        </w:trPr>
        <w:tc>
          <w:tcPr>
            <w:tcW w:w="465" w:type="dxa"/>
            <w:tcBorders>
              <w:top w:val="single" w:color="auto" w:sz="4" w:space="0"/>
              <w:bottom w:val="single" w:color="auto" w:sz="4" w:space="0"/>
            </w:tcBorders>
            <w:vAlign w:val="center"/>
          </w:tcPr>
          <w:p>
            <w:pPr>
              <w:spacing w:line="360" w:lineRule="auto"/>
              <w:jc w:val="center"/>
              <w:outlineLvl w:val="5"/>
              <w:rPr>
                <w:rFonts w:ascii="宋体" w:hAnsi="宋体" w:cs="宋体"/>
                <w:szCs w:val="21"/>
              </w:rPr>
            </w:pPr>
            <w:r>
              <w:rPr>
                <w:rFonts w:hint="eastAsia" w:ascii="宋体" w:hAnsi="宋体" w:cs="宋体"/>
                <w:szCs w:val="21"/>
              </w:rPr>
              <w:t>22</w:t>
            </w:r>
          </w:p>
        </w:tc>
        <w:tc>
          <w:tcPr>
            <w:tcW w:w="2308" w:type="dxa"/>
            <w:tcBorders>
              <w:top w:val="single" w:color="auto" w:sz="4" w:space="0"/>
              <w:bottom w:val="single" w:color="auto" w:sz="4" w:space="0"/>
            </w:tcBorders>
            <w:vAlign w:val="center"/>
          </w:tcPr>
          <w:p>
            <w:pPr>
              <w:pStyle w:val="194"/>
              <w:jc w:val="center"/>
              <w:rPr>
                <w:kern w:val="2"/>
                <w:sz w:val="21"/>
                <w:szCs w:val="21"/>
              </w:rPr>
            </w:pPr>
            <w:r>
              <w:rPr>
                <w:rFonts w:hint="eastAsia"/>
                <w:kern w:val="2"/>
                <w:sz w:val="21"/>
                <w:szCs w:val="21"/>
              </w:rPr>
              <w:t>供应商投诉</w:t>
            </w:r>
          </w:p>
        </w:tc>
        <w:tc>
          <w:tcPr>
            <w:tcW w:w="6626" w:type="dxa"/>
            <w:tcBorders>
              <w:top w:val="single" w:color="auto" w:sz="4" w:space="0"/>
              <w:bottom w:val="single" w:color="auto" w:sz="4" w:space="0"/>
            </w:tcBorders>
            <w:vAlign w:val="center"/>
          </w:tcPr>
          <w:p>
            <w:pPr>
              <w:spacing w:line="300" w:lineRule="auto"/>
              <w:ind w:right="105" w:rightChars="50"/>
              <w:jc w:val="left"/>
              <w:rPr>
                <w:rFonts w:ascii="宋体" w:hAnsi="宋体" w:cs="宋体"/>
                <w:szCs w:val="21"/>
              </w:rPr>
            </w:pPr>
            <w:r>
              <w:rPr>
                <w:rFonts w:hint="eastAsia" w:ascii="宋体" w:hAnsi="宋体" w:cs="宋体"/>
                <w:szCs w:val="21"/>
              </w:rPr>
              <w:t xml:space="preserve">投诉受理单位：简阳市财政局；监督电话：028-27224330。 </w:t>
            </w:r>
          </w:p>
          <w:p>
            <w:pPr>
              <w:spacing w:line="300" w:lineRule="auto"/>
              <w:ind w:right="105" w:rightChars="50"/>
              <w:jc w:val="left"/>
              <w:rPr>
                <w:rFonts w:ascii="宋体" w:hAnsi="宋体" w:cs="宋体"/>
                <w:szCs w:val="21"/>
              </w:rPr>
            </w:pPr>
            <w:r>
              <w:rPr>
                <w:rFonts w:hint="eastAsia" w:ascii="宋体" w:hAnsi="宋体" w:cs="宋体"/>
                <w:szCs w:val="21"/>
              </w:rPr>
              <w:t>注：根据《中华人民共和国政府采购法实施条例》及中华人民共和国财政部令第94号《政府采购质疑和投诉办法》等的规定，供应商投诉事项不得超出已质疑事项的范围。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2" w:hRule="atLeast"/>
          <w:jc w:val="center"/>
        </w:trPr>
        <w:tc>
          <w:tcPr>
            <w:tcW w:w="465" w:type="dxa"/>
            <w:tcBorders>
              <w:top w:val="single" w:color="auto" w:sz="4" w:space="0"/>
            </w:tcBorders>
            <w:vAlign w:val="center"/>
          </w:tcPr>
          <w:p>
            <w:pPr>
              <w:spacing w:line="360" w:lineRule="auto"/>
              <w:jc w:val="center"/>
              <w:outlineLvl w:val="5"/>
              <w:rPr>
                <w:rFonts w:ascii="宋体" w:hAnsi="宋体" w:cs="宋体"/>
                <w:szCs w:val="21"/>
              </w:rPr>
            </w:pPr>
            <w:r>
              <w:rPr>
                <w:rFonts w:hint="eastAsia" w:ascii="宋体" w:hAnsi="宋体" w:cs="宋体"/>
                <w:szCs w:val="21"/>
              </w:rPr>
              <w:t>23</w:t>
            </w:r>
          </w:p>
        </w:tc>
        <w:tc>
          <w:tcPr>
            <w:tcW w:w="2308" w:type="dxa"/>
            <w:tcBorders>
              <w:top w:val="single" w:color="auto" w:sz="4" w:space="0"/>
            </w:tcBorders>
            <w:vAlign w:val="center"/>
          </w:tcPr>
          <w:p>
            <w:pPr>
              <w:pStyle w:val="194"/>
              <w:jc w:val="center"/>
              <w:rPr>
                <w:kern w:val="2"/>
                <w:sz w:val="21"/>
                <w:szCs w:val="21"/>
              </w:rPr>
            </w:pPr>
            <w:r>
              <w:rPr>
                <w:rFonts w:hint="eastAsia"/>
                <w:kern w:val="2"/>
                <w:sz w:val="21"/>
                <w:szCs w:val="21"/>
              </w:rPr>
              <w:t>政府采购合同公告备案</w:t>
            </w:r>
          </w:p>
        </w:tc>
        <w:tc>
          <w:tcPr>
            <w:tcW w:w="6626" w:type="dxa"/>
            <w:tcBorders>
              <w:top w:val="single" w:color="auto" w:sz="4" w:space="0"/>
            </w:tcBorders>
            <w:vAlign w:val="center"/>
          </w:tcPr>
          <w:p>
            <w:pPr>
              <w:pStyle w:val="194"/>
              <w:spacing w:line="300" w:lineRule="auto"/>
              <w:jc w:val="both"/>
              <w:rPr>
                <w:kern w:val="2"/>
                <w:sz w:val="21"/>
                <w:szCs w:val="21"/>
              </w:rPr>
            </w:pPr>
            <w:r>
              <w:rPr>
                <w:rFonts w:hint="eastAsia"/>
                <w:kern w:val="2"/>
                <w:sz w:val="21"/>
                <w:szCs w:val="21"/>
              </w:rPr>
              <w:t>政府采购合同签订之日起2个工作日内，政府采购合同将在“四川政府采购网”公告；政府采购合同签订之日起七个工作日内，政府采购合同将向本采购项目同级财政部门备案。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1" w:hRule="atLeast"/>
          <w:jc w:val="center"/>
        </w:trPr>
        <w:tc>
          <w:tcPr>
            <w:tcW w:w="465" w:type="dxa"/>
            <w:tcBorders>
              <w:bottom w:val="single" w:color="auto" w:sz="4" w:space="0"/>
            </w:tcBorders>
            <w:vAlign w:val="center"/>
          </w:tcPr>
          <w:p>
            <w:pPr>
              <w:spacing w:line="360" w:lineRule="auto"/>
              <w:jc w:val="center"/>
              <w:outlineLvl w:val="5"/>
              <w:rPr>
                <w:rFonts w:ascii="宋体" w:hAnsi="宋体" w:cs="宋体"/>
                <w:szCs w:val="21"/>
              </w:rPr>
            </w:pPr>
            <w:r>
              <w:rPr>
                <w:rFonts w:hint="eastAsia" w:ascii="宋体" w:hAnsi="宋体" w:cs="宋体"/>
                <w:szCs w:val="21"/>
              </w:rPr>
              <w:t>24</w:t>
            </w:r>
          </w:p>
        </w:tc>
        <w:tc>
          <w:tcPr>
            <w:tcW w:w="2308" w:type="dxa"/>
            <w:tcBorders>
              <w:bottom w:val="single" w:color="auto" w:sz="4" w:space="0"/>
            </w:tcBorders>
            <w:vAlign w:val="center"/>
          </w:tcPr>
          <w:p>
            <w:pPr>
              <w:spacing w:line="360" w:lineRule="auto"/>
              <w:jc w:val="center"/>
              <w:outlineLvl w:val="5"/>
              <w:rPr>
                <w:rFonts w:ascii="宋体" w:hAnsi="宋体" w:cs="宋体"/>
                <w:szCs w:val="21"/>
                <w:lang w:val="zh-CN"/>
              </w:rPr>
            </w:pPr>
            <w:r>
              <w:rPr>
                <w:rFonts w:hint="eastAsia" w:ascii="宋体" w:hAnsi="宋体" w:cs="宋体"/>
                <w:szCs w:val="21"/>
                <w:lang w:val="zh-CN"/>
              </w:rPr>
              <w:t>备选投标方案和报价</w:t>
            </w:r>
          </w:p>
        </w:tc>
        <w:tc>
          <w:tcPr>
            <w:tcW w:w="6626" w:type="dxa"/>
            <w:tcBorders>
              <w:bottom w:val="single" w:color="auto" w:sz="4" w:space="0"/>
            </w:tcBorders>
            <w:vAlign w:val="center"/>
          </w:tcPr>
          <w:p>
            <w:pPr>
              <w:spacing w:line="300" w:lineRule="auto"/>
              <w:jc w:val="left"/>
              <w:outlineLvl w:val="5"/>
              <w:rPr>
                <w:rFonts w:ascii="宋体" w:hAnsi="宋体" w:cs="宋体"/>
                <w:szCs w:val="21"/>
                <w:lang w:val="zh-CN"/>
              </w:rPr>
            </w:pPr>
            <w:r>
              <w:rPr>
                <w:rFonts w:hint="eastAsia" w:ascii="宋体" w:hAnsi="宋体" w:cs="宋体"/>
                <w:szCs w:val="21"/>
                <w:lang w:val="zh-CN"/>
              </w:rPr>
              <w:t>本次采购不接受备选投标方案和多个报价。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4" w:hRule="atLeast"/>
          <w:jc w:val="center"/>
        </w:trPr>
        <w:tc>
          <w:tcPr>
            <w:tcW w:w="465" w:type="dxa"/>
            <w:tcBorders>
              <w:top w:val="single" w:color="auto" w:sz="4" w:space="0"/>
            </w:tcBorders>
            <w:vAlign w:val="center"/>
          </w:tcPr>
          <w:p>
            <w:pPr>
              <w:spacing w:line="360" w:lineRule="auto"/>
              <w:jc w:val="center"/>
              <w:outlineLvl w:val="5"/>
              <w:rPr>
                <w:rFonts w:ascii="宋体" w:hAnsi="宋体" w:cs="宋体"/>
                <w:szCs w:val="21"/>
              </w:rPr>
            </w:pPr>
            <w:r>
              <w:rPr>
                <w:rFonts w:hint="eastAsia" w:ascii="宋体" w:hAnsi="宋体" w:cs="宋体"/>
                <w:szCs w:val="21"/>
              </w:rPr>
              <w:t>25</w:t>
            </w:r>
          </w:p>
        </w:tc>
        <w:tc>
          <w:tcPr>
            <w:tcW w:w="2308" w:type="dxa"/>
            <w:tcBorders>
              <w:top w:val="single" w:color="auto" w:sz="4" w:space="0"/>
            </w:tcBorders>
            <w:vAlign w:val="center"/>
          </w:tcPr>
          <w:p>
            <w:pPr>
              <w:shd w:val="clear" w:color="auto" w:fill="FFFFFF"/>
              <w:tabs>
                <w:tab w:val="left" w:pos="900"/>
                <w:tab w:val="left" w:pos="5366"/>
              </w:tabs>
              <w:snapToGrid w:val="0"/>
              <w:spacing w:line="360" w:lineRule="auto"/>
              <w:ind w:firstLine="315" w:firstLineChars="150"/>
              <w:outlineLvl w:val="5"/>
              <w:rPr>
                <w:rFonts w:ascii="宋体" w:hAnsi="宋体" w:cs="宋体"/>
                <w:kern w:val="0"/>
                <w:szCs w:val="21"/>
                <w:lang w:val="zh-CN"/>
              </w:rPr>
            </w:pPr>
            <w:r>
              <w:rPr>
                <w:rFonts w:hint="eastAsia" w:ascii="宋体" w:hAnsi="宋体" w:cs="宋体"/>
                <w:kern w:val="0"/>
                <w:szCs w:val="21"/>
                <w:lang w:val="zh-CN"/>
              </w:rPr>
              <w:t>政府采购信用融资</w:t>
            </w:r>
          </w:p>
        </w:tc>
        <w:tc>
          <w:tcPr>
            <w:tcW w:w="6626" w:type="dxa"/>
            <w:tcBorders>
              <w:top w:val="single" w:color="auto" w:sz="4" w:space="0"/>
            </w:tcBorders>
            <w:vAlign w:val="center"/>
          </w:tcPr>
          <w:p>
            <w:pPr>
              <w:shd w:val="clear" w:color="auto" w:fill="FFFFFF"/>
              <w:tabs>
                <w:tab w:val="left" w:pos="900"/>
                <w:tab w:val="left" w:pos="5366"/>
              </w:tabs>
              <w:snapToGrid w:val="0"/>
              <w:spacing w:line="360" w:lineRule="auto"/>
              <w:outlineLvl w:val="5"/>
              <w:rPr>
                <w:rFonts w:ascii="宋体" w:hAnsi="宋体" w:cs="宋体"/>
                <w:kern w:val="0"/>
                <w:szCs w:val="21"/>
                <w:lang w:val="zh-CN"/>
              </w:rPr>
            </w:pPr>
            <w:r>
              <w:rPr>
                <w:rFonts w:hint="eastAsia" w:ascii="宋体" w:hAnsi="宋体" w:cs="宋体"/>
                <w:kern w:val="0"/>
                <w:szCs w:val="21"/>
                <w:lang w:val="zh-CN"/>
              </w:rPr>
              <w:t>本项目可开展政府采购信用融资。</w:t>
            </w:r>
          </w:p>
          <w:p>
            <w:pPr>
              <w:shd w:val="clear" w:color="auto" w:fill="FFFFFF"/>
              <w:tabs>
                <w:tab w:val="left" w:pos="900"/>
                <w:tab w:val="left" w:pos="5366"/>
              </w:tabs>
              <w:snapToGrid w:val="0"/>
              <w:spacing w:line="360" w:lineRule="auto"/>
              <w:outlineLvl w:val="5"/>
              <w:rPr>
                <w:rFonts w:ascii="宋体" w:hAnsi="宋体" w:cs="宋体"/>
                <w:kern w:val="0"/>
                <w:szCs w:val="21"/>
                <w:lang w:val="zh-CN"/>
              </w:rPr>
            </w:pPr>
            <w:r>
              <w:rPr>
                <w:rFonts w:hint="eastAsia" w:ascii="宋体" w:hAnsi="宋体" w:cs="宋体"/>
                <w:kern w:val="0"/>
                <w:szCs w:val="21"/>
                <w:lang w:val="zh-CN"/>
              </w:rPr>
              <w:t>1、根据《四川省财政厅关于推进四川省政府采购供应商信用融资工作的通知》（川财采〔2018〕123 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w:t>
            </w:r>
          </w:p>
          <w:p>
            <w:pPr>
              <w:shd w:val="clear" w:color="auto" w:fill="FFFFFF"/>
              <w:tabs>
                <w:tab w:val="left" w:pos="900"/>
                <w:tab w:val="left" w:pos="5366"/>
              </w:tabs>
              <w:snapToGrid w:val="0"/>
              <w:spacing w:line="360" w:lineRule="auto"/>
              <w:jc w:val="left"/>
              <w:outlineLvl w:val="5"/>
              <w:rPr>
                <w:rFonts w:ascii="宋体" w:hAnsi="宋体" w:cs="宋体"/>
                <w:kern w:val="0"/>
                <w:szCs w:val="21"/>
                <w:lang w:val="zh-CN"/>
              </w:rPr>
            </w:pPr>
            <w:r>
              <w:rPr>
                <w:rFonts w:hint="eastAsia" w:ascii="宋体" w:hAnsi="宋体" w:cs="宋体"/>
                <w:kern w:val="0"/>
                <w:szCs w:val="21"/>
                <w:lang w:val="zh-CN"/>
              </w:rPr>
              <w:t>申请政采贷具体相关流程请查看http://202.61.88.41:9009/static/login/login.html。</w:t>
            </w:r>
          </w:p>
          <w:p>
            <w:pPr>
              <w:shd w:val="clear" w:color="auto" w:fill="FFFFFF"/>
              <w:tabs>
                <w:tab w:val="left" w:pos="900"/>
                <w:tab w:val="left" w:pos="5366"/>
              </w:tabs>
              <w:snapToGrid w:val="0"/>
              <w:spacing w:line="360" w:lineRule="auto"/>
              <w:outlineLvl w:val="5"/>
              <w:rPr>
                <w:rFonts w:ascii="宋体" w:hAnsi="宋体" w:cs="宋体"/>
                <w:kern w:val="0"/>
                <w:szCs w:val="21"/>
                <w:lang w:val="zh-CN"/>
              </w:rPr>
            </w:pPr>
            <w:r>
              <w:rPr>
                <w:rFonts w:hint="eastAsia" w:ascii="宋体" w:hAnsi="宋体" w:cs="宋体"/>
                <w:kern w:val="0"/>
                <w:szCs w:val="21"/>
                <w:lang w:val="zh-CN"/>
              </w:rPr>
              <w:t>2、为有效缓解中小企业融资难、融资贵问题，根据成都市财政局中国人民银行成都分行营业管理部 关于印发《成都市中小企业政府采购信用融资暂行办法》和《成都市级支持中小企业政府采购信用融资实施方案》的通知（成财采〔2019〕17号），成都市范围内政府采购项目中标（成交）供应商为中小微企业的，可依据政府采购合同申请政府采购信用融资。</w:t>
            </w:r>
          </w:p>
          <w:p>
            <w:pPr>
              <w:shd w:val="clear" w:color="auto" w:fill="FFFFFF"/>
              <w:tabs>
                <w:tab w:val="left" w:pos="900"/>
                <w:tab w:val="left" w:pos="5366"/>
              </w:tabs>
              <w:snapToGrid w:val="0"/>
              <w:spacing w:line="360" w:lineRule="auto"/>
              <w:jc w:val="left"/>
              <w:outlineLvl w:val="5"/>
              <w:rPr>
                <w:rFonts w:ascii="宋体" w:hAnsi="宋体" w:cs="宋体"/>
                <w:kern w:val="0"/>
                <w:szCs w:val="21"/>
                <w:lang w:val="zh-CN"/>
              </w:rPr>
            </w:pPr>
            <w:r>
              <w:rPr>
                <w:rFonts w:hint="eastAsia" w:ascii="宋体" w:hAnsi="宋体" w:cs="宋体"/>
                <w:kern w:val="0"/>
                <w:szCs w:val="21"/>
                <w:lang w:val="zh-CN"/>
              </w:rPr>
              <w:t>申请蓉采贷具体相关流程请查看http://cdcz.chengdu.gov.cn/zfcg/gpLoan。</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05" w:hRule="exact"/>
          <w:jc w:val="center"/>
        </w:trPr>
        <w:tc>
          <w:tcPr>
            <w:tcW w:w="465" w:type="dxa"/>
            <w:vAlign w:val="center"/>
          </w:tcPr>
          <w:p>
            <w:pPr>
              <w:spacing w:line="360" w:lineRule="auto"/>
              <w:jc w:val="center"/>
              <w:outlineLvl w:val="5"/>
              <w:rPr>
                <w:rFonts w:ascii="宋体" w:hAnsi="宋体" w:cs="宋体"/>
                <w:szCs w:val="21"/>
              </w:rPr>
            </w:pPr>
            <w:r>
              <w:rPr>
                <w:rFonts w:hint="eastAsia" w:ascii="宋体" w:hAnsi="宋体" w:cs="宋体"/>
                <w:szCs w:val="21"/>
              </w:rPr>
              <w:t>27</w:t>
            </w:r>
          </w:p>
        </w:tc>
        <w:tc>
          <w:tcPr>
            <w:tcW w:w="2308" w:type="dxa"/>
            <w:vAlign w:val="center"/>
          </w:tcPr>
          <w:p>
            <w:pPr>
              <w:shd w:val="clear" w:color="auto" w:fill="FFFFFF"/>
              <w:tabs>
                <w:tab w:val="left" w:pos="900"/>
                <w:tab w:val="left" w:pos="5366"/>
              </w:tabs>
              <w:snapToGrid w:val="0"/>
              <w:spacing w:line="360" w:lineRule="auto"/>
              <w:ind w:firstLine="315" w:firstLineChars="150"/>
              <w:outlineLvl w:val="5"/>
              <w:rPr>
                <w:rFonts w:ascii="宋体" w:hAnsi="宋体" w:cs="宋体"/>
                <w:kern w:val="0"/>
                <w:szCs w:val="21"/>
                <w:lang w:val="zh-CN"/>
              </w:rPr>
            </w:pPr>
            <w:r>
              <w:rPr>
                <w:rFonts w:hint="eastAsia" w:ascii="宋体" w:hAnsi="宋体" w:cs="宋体"/>
                <w:kern w:val="0"/>
                <w:szCs w:val="21"/>
                <w:lang w:val="zh-CN"/>
              </w:rPr>
              <w:t>招标代理服务费</w:t>
            </w:r>
          </w:p>
        </w:tc>
        <w:tc>
          <w:tcPr>
            <w:tcW w:w="6626" w:type="dxa"/>
            <w:vAlign w:val="center"/>
          </w:tcPr>
          <w:p>
            <w:pPr>
              <w:pStyle w:val="2"/>
              <w:rPr>
                <w:rFonts w:ascii="宋体" w:hAnsi="宋体" w:cs="宋体"/>
                <w:kern w:val="0"/>
                <w:szCs w:val="21"/>
                <w:lang w:val="zh-CN"/>
              </w:rPr>
            </w:pPr>
            <w:r>
              <w:rPr>
                <w:rFonts w:hint="eastAsia" w:ascii="宋体" w:hAnsi="宋体" w:cs="宋体"/>
                <w:kern w:val="0"/>
                <w:szCs w:val="21"/>
                <w:lang w:val="zh-CN"/>
              </w:rPr>
              <w:t>参照《招标代理服务收费管理暂行办法》（计价格〔2002〕1980 号）及 《国家发展改革委办公厅关于招标代理服务收费有关问题的通知》（发改办价格〔2003〕857 号）的规定标准下浮20%收费（按差额定率累进法计算，100万以下收费1.5%，</w:t>
            </w:r>
            <w:r>
              <w:rPr>
                <w:rFonts w:hint="eastAsia" w:ascii="宋体" w:hAnsi="宋体" w:cs="宋体"/>
                <w:kern w:val="0"/>
                <w:szCs w:val="21"/>
              </w:rPr>
              <w:t>100万-500万收费0.8%</w:t>
            </w:r>
            <w:r>
              <w:rPr>
                <w:rFonts w:hint="eastAsia" w:ascii="宋体" w:hAnsi="宋体" w:cs="宋体"/>
                <w:kern w:val="0"/>
                <w:szCs w:val="21"/>
                <w:lang w:eastAsia="zh-CN"/>
              </w:rPr>
              <w:t>；</w:t>
            </w:r>
            <w:r>
              <w:rPr>
                <w:rFonts w:hint="eastAsia" w:ascii="宋体" w:hAnsi="宋体" w:cs="宋体"/>
                <w:kern w:val="0"/>
                <w:szCs w:val="21"/>
              </w:rPr>
              <w:t>500</w:t>
            </w:r>
            <w:r>
              <w:rPr>
                <w:rFonts w:hint="eastAsia" w:ascii="宋体" w:hAnsi="宋体" w:cs="宋体"/>
                <w:kern w:val="0"/>
                <w:szCs w:val="21"/>
                <w:lang w:val="en-US" w:eastAsia="zh-CN"/>
              </w:rPr>
              <w:t>万-1000万收费0.45%</w:t>
            </w:r>
            <w:r>
              <w:rPr>
                <w:rFonts w:hint="eastAsia" w:ascii="宋体" w:hAnsi="宋体" w:cs="宋体"/>
                <w:kern w:val="0"/>
                <w:szCs w:val="21"/>
                <w:lang w:val="zh-CN"/>
              </w:rPr>
              <w:t>），由中标人在领取中标通知书前向招标代理机构交纳招标代理服务费。</w:t>
            </w:r>
          </w:p>
          <w:p>
            <w:pPr>
              <w:pStyle w:val="2"/>
              <w:rPr>
                <w:rFonts w:ascii="宋体" w:hAnsi="宋体" w:cs="宋体"/>
                <w:b/>
                <w:sz w:val="24"/>
                <w:lang w:val="zh-CN"/>
              </w:rPr>
            </w:pPr>
            <w:r>
              <w:rPr>
                <w:rFonts w:hint="eastAsia" w:ascii="宋体" w:hAnsi="宋体" w:cs="宋体"/>
                <w:b/>
                <w:sz w:val="24"/>
                <w:lang w:val="zh-CN"/>
              </w:rPr>
              <w:t>收款单位：四川五洲招标代理有限公司</w:t>
            </w:r>
          </w:p>
          <w:p>
            <w:pPr>
              <w:pStyle w:val="2"/>
              <w:rPr>
                <w:rFonts w:ascii="宋体" w:hAnsi="宋体" w:cs="宋体"/>
                <w:b/>
                <w:sz w:val="24"/>
                <w:lang w:val="zh-CN"/>
              </w:rPr>
            </w:pPr>
            <w:r>
              <w:rPr>
                <w:rFonts w:hint="eastAsia" w:ascii="宋体" w:hAnsi="宋体" w:cs="宋体"/>
                <w:b/>
                <w:sz w:val="24"/>
                <w:lang w:val="zh-CN"/>
              </w:rPr>
              <w:t>银行帐号：320 220 102 200 057 000 16</w:t>
            </w:r>
          </w:p>
          <w:p>
            <w:pPr>
              <w:shd w:val="clear" w:color="auto" w:fill="FFFFFF"/>
              <w:tabs>
                <w:tab w:val="left" w:pos="900"/>
                <w:tab w:val="left" w:pos="5366"/>
              </w:tabs>
              <w:snapToGrid w:val="0"/>
              <w:spacing w:line="360" w:lineRule="auto"/>
              <w:outlineLvl w:val="5"/>
              <w:rPr>
                <w:rFonts w:ascii="宋体" w:hAnsi="宋体" w:cs="宋体"/>
                <w:kern w:val="0"/>
                <w:szCs w:val="21"/>
                <w:lang w:val="zh-CN"/>
              </w:rPr>
            </w:pPr>
            <w:r>
              <w:rPr>
                <w:rFonts w:hint="eastAsia" w:ascii="宋体" w:hAnsi="宋体" w:cs="宋体"/>
                <w:b/>
                <w:sz w:val="24"/>
                <w:lang w:val="zh-CN"/>
              </w:rPr>
              <w:t>开户银行：成都银行金府路支行</w:t>
            </w:r>
          </w:p>
        </w:tc>
      </w:tr>
      <w:bookmarkEnd w:id="35"/>
      <w:bookmarkEnd w:id="36"/>
      <w:bookmarkEnd w:id="37"/>
      <w:bookmarkEnd w:id="38"/>
    </w:tbl>
    <w:p>
      <w:pPr>
        <w:pStyle w:val="5"/>
        <w:rPr>
          <w:rFonts w:ascii="宋体" w:hAnsi="宋体" w:eastAsia="宋体" w:cs="宋体"/>
        </w:rPr>
      </w:pPr>
      <w:bookmarkStart w:id="49" w:name="_Toc7438"/>
      <w:bookmarkStart w:id="50" w:name="_Toc183582204"/>
      <w:bookmarkStart w:id="51" w:name="_Toc77400778"/>
      <w:bookmarkStart w:id="52" w:name="_Toc25712"/>
      <w:bookmarkStart w:id="53" w:name="_Toc183682341"/>
      <w:bookmarkStart w:id="54" w:name="_Toc89075873"/>
      <w:bookmarkStart w:id="55" w:name="_Toc217446033"/>
      <w:r>
        <w:rPr>
          <w:rFonts w:hint="eastAsia" w:ascii="宋体" w:hAnsi="宋体" w:eastAsia="宋体" w:cs="宋体"/>
        </w:rPr>
        <w:br w:type="page"/>
      </w:r>
      <w:r>
        <w:rPr>
          <w:rFonts w:hint="eastAsia" w:ascii="宋体" w:hAnsi="宋体" w:eastAsia="宋体" w:cs="宋体"/>
        </w:rPr>
        <w:t>二、总  则</w:t>
      </w:r>
      <w:bookmarkEnd w:id="49"/>
      <w:bookmarkEnd w:id="50"/>
      <w:bookmarkEnd w:id="51"/>
      <w:bookmarkEnd w:id="52"/>
      <w:bookmarkEnd w:id="53"/>
      <w:bookmarkEnd w:id="54"/>
      <w:bookmarkEnd w:id="55"/>
    </w:p>
    <w:p>
      <w:pPr>
        <w:pStyle w:val="6"/>
        <w:ind w:firstLine="480"/>
        <w:rPr>
          <w:rFonts w:ascii="宋体" w:hAnsi="宋体" w:cs="宋体"/>
        </w:rPr>
      </w:pPr>
      <w:bookmarkStart w:id="56" w:name="_Toc183582205"/>
      <w:bookmarkStart w:id="57" w:name="_Toc183682342"/>
      <w:bookmarkStart w:id="58" w:name="_Toc217446034"/>
      <w:r>
        <w:rPr>
          <w:rFonts w:hint="eastAsia" w:ascii="宋体" w:hAnsi="宋体" w:cs="宋体"/>
        </w:rPr>
        <w:t>1.</w:t>
      </w:r>
      <w:bookmarkEnd w:id="56"/>
      <w:bookmarkEnd w:id="57"/>
      <w:r>
        <w:rPr>
          <w:rFonts w:hint="eastAsia" w:ascii="宋体" w:hAnsi="宋体" w:cs="宋体"/>
        </w:rPr>
        <w:t xml:space="preserve"> 适用范围</w:t>
      </w:r>
      <w:bookmarkEnd w:id="58"/>
    </w:p>
    <w:p>
      <w:pPr>
        <w:tabs>
          <w:tab w:val="left" w:pos="7665"/>
        </w:tabs>
        <w:spacing w:line="360" w:lineRule="auto"/>
        <w:ind w:firstLine="480" w:firstLineChars="200"/>
        <w:outlineLvl w:val="5"/>
        <w:rPr>
          <w:rFonts w:ascii="宋体" w:hAnsi="宋体" w:cs="宋体"/>
          <w:sz w:val="24"/>
        </w:rPr>
      </w:pPr>
      <w:r>
        <w:rPr>
          <w:rFonts w:hint="eastAsia" w:ascii="宋体" w:hAnsi="宋体" w:cs="宋体"/>
          <w:sz w:val="24"/>
        </w:rPr>
        <w:t>本招标文件仅适用于本次公开招标采购项目。</w:t>
      </w:r>
    </w:p>
    <w:p>
      <w:pPr>
        <w:pStyle w:val="6"/>
        <w:ind w:firstLine="480"/>
        <w:rPr>
          <w:rFonts w:ascii="宋体" w:hAnsi="宋体" w:cs="宋体"/>
        </w:rPr>
      </w:pPr>
      <w:bookmarkStart w:id="59" w:name="_Toc183582206"/>
      <w:bookmarkStart w:id="60" w:name="_Toc183682343"/>
      <w:bookmarkStart w:id="61" w:name="_Toc217446035"/>
      <w:r>
        <w:rPr>
          <w:rFonts w:hint="eastAsia" w:ascii="宋体" w:hAnsi="宋体" w:cs="宋体"/>
        </w:rPr>
        <w:t xml:space="preserve">2. </w:t>
      </w:r>
      <w:bookmarkEnd w:id="59"/>
      <w:bookmarkEnd w:id="60"/>
      <w:r>
        <w:rPr>
          <w:rFonts w:hint="eastAsia" w:ascii="宋体" w:hAnsi="宋体" w:cs="宋体"/>
        </w:rPr>
        <w:t>有关定义</w:t>
      </w:r>
      <w:bookmarkEnd w:id="61"/>
    </w:p>
    <w:p>
      <w:pPr>
        <w:tabs>
          <w:tab w:val="left" w:pos="7665"/>
        </w:tabs>
        <w:spacing w:line="360" w:lineRule="auto"/>
        <w:ind w:firstLine="480" w:firstLineChars="200"/>
        <w:outlineLvl w:val="5"/>
        <w:rPr>
          <w:rFonts w:ascii="宋体" w:hAnsi="宋体" w:cs="宋体"/>
          <w:sz w:val="24"/>
        </w:rPr>
      </w:pPr>
      <w:r>
        <w:rPr>
          <w:rFonts w:hint="eastAsia" w:ascii="宋体" w:hAnsi="宋体" w:cs="宋体"/>
          <w:sz w:val="24"/>
        </w:rPr>
        <w:t>2.1 “采购人”系指依法进行政府采购的国家机关、事业单位、团体组织。本次招标的采购人是</w:t>
      </w:r>
      <w:r>
        <w:rPr>
          <w:rFonts w:hint="eastAsia" w:ascii="宋体" w:hAnsi="宋体" w:cs="宋体"/>
          <w:sz w:val="24"/>
          <w:u w:val="single"/>
        </w:rPr>
        <w:t>简阳市人民医院</w:t>
      </w:r>
      <w:r>
        <w:rPr>
          <w:rFonts w:hint="eastAsia" w:ascii="宋体" w:hAnsi="宋体" w:cs="宋体"/>
          <w:sz w:val="24"/>
        </w:rPr>
        <w:t>。</w:t>
      </w:r>
    </w:p>
    <w:p>
      <w:pPr>
        <w:tabs>
          <w:tab w:val="left" w:pos="7665"/>
        </w:tabs>
        <w:spacing w:line="360" w:lineRule="auto"/>
        <w:ind w:firstLine="480" w:firstLineChars="200"/>
        <w:outlineLvl w:val="5"/>
        <w:rPr>
          <w:rFonts w:ascii="宋体" w:hAnsi="宋体" w:cs="宋体"/>
          <w:sz w:val="24"/>
        </w:rPr>
      </w:pPr>
      <w:r>
        <w:rPr>
          <w:rFonts w:hint="eastAsia" w:ascii="宋体" w:hAnsi="宋体" w:cs="宋体"/>
          <w:sz w:val="24"/>
        </w:rPr>
        <w:t>2.2 “采购代理机构” 系指根据采购人的委托依法办理招标事宜的采购机构。本次招标的采购代理机构是</w:t>
      </w:r>
      <w:r>
        <w:rPr>
          <w:rFonts w:hint="eastAsia" w:ascii="宋体" w:hAnsi="宋体" w:cs="宋体"/>
          <w:sz w:val="24"/>
          <w:u w:val="single"/>
        </w:rPr>
        <w:t>四川五洲招标代理有限公司</w:t>
      </w:r>
      <w:r>
        <w:rPr>
          <w:rFonts w:hint="eastAsia" w:ascii="宋体" w:hAnsi="宋体" w:cs="宋体"/>
          <w:sz w:val="24"/>
        </w:rPr>
        <w:t>。</w:t>
      </w:r>
    </w:p>
    <w:p>
      <w:pPr>
        <w:tabs>
          <w:tab w:val="left" w:pos="7665"/>
        </w:tabs>
        <w:spacing w:line="360" w:lineRule="auto"/>
        <w:ind w:firstLine="480" w:firstLineChars="200"/>
        <w:outlineLvl w:val="5"/>
        <w:rPr>
          <w:rFonts w:ascii="宋体" w:hAnsi="宋体" w:cs="宋体"/>
          <w:sz w:val="24"/>
        </w:rPr>
      </w:pPr>
      <w:r>
        <w:rPr>
          <w:rFonts w:hint="eastAsia" w:ascii="宋体" w:hAnsi="宋体" w:cs="宋体"/>
          <w:sz w:val="24"/>
        </w:rPr>
        <w:t>2.3 “招标采购单位”系指“采购人”和“采购代理机构”的统称。</w:t>
      </w:r>
    </w:p>
    <w:p>
      <w:pPr>
        <w:tabs>
          <w:tab w:val="left" w:pos="7665"/>
        </w:tabs>
        <w:spacing w:line="360" w:lineRule="auto"/>
        <w:ind w:firstLine="480" w:firstLineChars="200"/>
        <w:outlineLvl w:val="5"/>
        <w:rPr>
          <w:rFonts w:ascii="宋体" w:hAnsi="宋体" w:cs="宋体"/>
          <w:sz w:val="24"/>
        </w:rPr>
      </w:pPr>
      <w:r>
        <w:rPr>
          <w:rFonts w:hint="eastAsia" w:ascii="宋体" w:hAnsi="宋体" w:cs="宋体"/>
          <w:sz w:val="24"/>
        </w:rPr>
        <w:t>2.4 “投标人”系指购买了招标文件拟参加投标和向采购人提供货物及相应服务的供应商。</w:t>
      </w:r>
      <w:bookmarkStart w:id="62" w:name="_Toc217446036"/>
      <w:bookmarkStart w:id="63" w:name="_Toc183682344"/>
      <w:bookmarkStart w:id="64" w:name="_Toc217390843"/>
      <w:bookmarkStart w:id="65" w:name="_Toc183582207"/>
    </w:p>
    <w:p>
      <w:pPr>
        <w:pStyle w:val="6"/>
        <w:ind w:firstLine="480"/>
        <w:rPr>
          <w:rFonts w:ascii="宋体" w:hAnsi="宋体" w:cs="宋体"/>
        </w:rPr>
      </w:pPr>
      <w:r>
        <w:rPr>
          <w:rFonts w:hint="eastAsia" w:ascii="宋体" w:hAnsi="宋体" w:cs="宋体"/>
        </w:rPr>
        <w:t>3. 合格的投标人</w:t>
      </w:r>
      <w:bookmarkEnd w:id="62"/>
      <w:bookmarkEnd w:id="63"/>
      <w:bookmarkEnd w:id="64"/>
      <w:bookmarkEnd w:id="65"/>
      <w:r>
        <w:rPr>
          <w:rFonts w:hint="eastAsia" w:ascii="宋体" w:hAnsi="宋体" w:cs="宋体"/>
        </w:rPr>
        <w:t>（实质性要求）</w:t>
      </w:r>
    </w:p>
    <w:p>
      <w:pPr>
        <w:tabs>
          <w:tab w:val="left" w:pos="7665"/>
        </w:tabs>
        <w:snapToGrid w:val="0"/>
        <w:spacing w:line="360" w:lineRule="auto"/>
        <w:ind w:left="420" w:leftChars="200"/>
        <w:outlineLvl w:val="5"/>
        <w:rPr>
          <w:rFonts w:ascii="宋体" w:hAnsi="宋体" w:cs="宋体"/>
          <w:sz w:val="24"/>
        </w:rPr>
      </w:pPr>
      <w:bookmarkStart w:id="66" w:name="_Toc183582208"/>
      <w:bookmarkStart w:id="67" w:name="_Toc217446037"/>
      <w:bookmarkStart w:id="68" w:name="_Toc183682345"/>
      <w:r>
        <w:rPr>
          <w:rFonts w:hint="eastAsia" w:ascii="宋体" w:hAnsi="宋体" w:cs="宋体"/>
          <w:sz w:val="24"/>
        </w:rPr>
        <w:t>合格的投标人应具备以下条件：</w:t>
      </w:r>
    </w:p>
    <w:p>
      <w:pPr>
        <w:tabs>
          <w:tab w:val="left" w:pos="7665"/>
        </w:tabs>
        <w:snapToGrid w:val="0"/>
        <w:spacing w:line="360" w:lineRule="auto"/>
        <w:ind w:left="420" w:leftChars="200"/>
        <w:outlineLvl w:val="5"/>
        <w:rPr>
          <w:rFonts w:ascii="宋体" w:hAnsi="宋体" w:cs="宋体"/>
          <w:sz w:val="24"/>
        </w:rPr>
      </w:pPr>
      <w:r>
        <w:rPr>
          <w:rFonts w:hint="eastAsia" w:ascii="宋体" w:hAnsi="宋体" w:cs="宋体"/>
          <w:sz w:val="24"/>
        </w:rPr>
        <w:t>（1）本招标文件规定的供应商资格条件；</w:t>
      </w:r>
    </w:p>
    <w:p>
      <w:pPr>
        <w:tabs>
          <w:tab w:val="left" w:pos="7665"/>
        </w:tabs>
        <w:snapToGrid w:val="0"/>
        <w:spacing w:line="360" w:lineRule="auto"/>
        <w:ind w:left="420" w:leftChars="200"/>
        <w:outlineLvl w:val="5"/>
        <w:rPr>
          <w:rFonts w:ascii="宋体" w:hAnsi="宋体" w:cs="宋体"/>
          <w:sz w:val="24"/>
        </w:rPr>
      </w:pPr>
      <w:r>
        <w:rPr>
          <w:rFonts w:hint="eastAsia" w:ascii="宋体" w:hAnsi="宋体" w:cs="宋体"/>
          <w:sz w:val="24"/>
        </w:rPr>
        <w:t>（2）向采购代理机构购买了招标文件并登记备案；</w:t>
      </w:r>
    </w:p>
    <w:p>
      <w:pPr>
        <w:tabs>
          <w:tab w:val="left" w:pos="7665"/>
        </w:tabs>
        <w:snapToGrid w:val="0"/>
        <w:spacing w:line="360" w:lineRule="auto"/>
        <w:ind w:left="420" w:leftChars="200"/>
        <w:outlineLvl w:val="5"/>
        <w:rPr>
          <w:rFonts w:ascii="宋体" w:hAnsi="宋体" w:cs="宋体"/>
          <w:sz w:val="24"/>
        </w:rPr>
      </w:pPr>
      <w:r>
        <w:rPr>
          <w:rFonts w:hint="eastAsia" w:ascii="宋体" w:hAnsi="宋体" w:cs="宋体"/>
          <w:sz w:val="24"/>
        </w:rPr>
        <w:t>（3）遵守国家有关的法律、法规、规章和其他政策制度；</w:t>
      </w:r>
    </w:p>
    <w:p>
      <w:pPr>
        <w:tabs>
          <w:tab w:val="left" w:pos="7665"/>
        </w:tabs>
        <w:snapToGrid w:val="0"/>
        <w:spacing w:line="360" w:lineRule="auto"/>
        <w:ind w:left="420" w:leftChars="200"/>
        <w:outlineLvl w:val="5"/>
        <w:rPr>
          <w:rFonts w:ascii="宋体" w:hAnsi="宋体" w:cs="宋体"/>
          <w:sz w:val="24"/>
        </w:rPr>
      </w:pPr>
      <w:r>
        <w:rPr>
          <w:rFonts w:hint="eastAsia" w:ascii="宋体" w:hAnsi="宋体" w:cs="宋体"/>
          <w:sz w:val="24"/>
        </w:rPr>
        <w:t>（4）不属于禁止参加本项目采购活动的供应商；</w:t>
      </w:r>
    </w:p>
    <w:p>
      <w:pPr>
        <w:tabs>
          <w:tab w:val="left" w:pos="7665"/>
        </w:tabs>
        <w:snapToGrid w:val="0"/>
        <w:spacing w:line="360" w:lineRule="auto"/>
        <w:ind w:left="420" w:leftChars="200"/>
        <w:outlineLvl w:val="5"/>
        <w:rPr>
          <w:rFonts w:ascii="宋体" w:hAnsi="宋体" w:cs="宋体"/>
          <w:sz w:val="24"/>
        </w:rPr>
      </w:pPr>
      <w:r>
        <w:rPr>
          <w:rFonts w:hint="eastAsia" w:ascii="宋体" w:hAnsi="宋体" w:cs="宋体"/>
          <w:sz w:val="24"/>
        </w:rPr>
        <w:t>（5）投标人在参加政府采购活动前，未被纳入法院、工商行政管理部门、税务部门、银行认定的失信名单且在有效期内，或者在前三年政府采购合同履约过程中及其他经营活动履约过程中未依法履约被有关部门处罚（处理）。</w:t>
      </w:r>
    </w:p>
    <w:p>
      <w:pPr>
        <w:tabs>
          <w:tab w:val="left" w:pos="7665"/>
        </w:tabs>
        <w:snapToGrid w:val="0"/>
        <w:spacing w:line="360" w:lineRule="auto"/>
        <w:ind w:left="420" w:leftChars="200"/>
        <w:outlineLvl w:val="5"/>
        <w:rPr>
          <w:rFonts w:ascii="宋体" w:hAnsi="宋体" w:cs="宋体"/>
          <w:sz w:val="24"/>
        </w:rPr>
      </w:pPr>
      <w:r>
        <w:rPr>
          <w:rFonts w:hint="eastAsia" w:ascii="宋体" w:hAnsi="宋体" w:cs="宋体"/>
          <w:sz w:val="24"/>
        </w:rPr>
        <w:t>（6）根据《关于在政府采购活动中查询及使用信用记录有关问题的通知》（财库〔2016〕125号）的要求，采购人/采购代理机构将通过“信用中国”网站（ www.creditchina.gov.cn）、“中国政府采购网”网站（ 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pStyle w:val="67"/>
        <w:snapToGrid w:val="0"/>
        <w:spacing w:line="360" w:lineRule="auto"/>
        <w:ind w:left="1" w:firstLine="480" w:firstLineChars="200"/>
        <w:rPr>
          <w:rFonts w:hAnsi="宋体" w:cs="宋体"/>
          <w:sz w:val="24"/>
        </w:rPr>
      </w:pPr>
      <w:r>
        <w:rPr>
          <w:rFonts w:hint="eastAsia" w:hAnsi="宋体" w:cs="宋体"/>
          <w:sz w:val="24"/>
        </w:rPr>
        <w:t>（7）有下列情形之一的，视为供应商串通投标，其报价无效：</w:t>
      </w:r>
    </w:p>
    <w:p>
      <w:pPr>
        <w:tabs>
          <w:tab w:val="left" w:pos="7665"/>
        </w:tabs>
        <w:snapToGrid w:val="0"/>
        <w:spacing w:line="360" w:lineRule="auto"/>
        <w:ind w:left="420" w:leftChars="200" w:firstLine="480" w:firstLineChars="200"/>
        <w:outlineLvl w:val="5"/>
        <w:rPr>
          <w:rFonts w:ascii="宋体" w:hAnsi="宋体" w:cs="宋体"/>
          <w:kern w:val="0"/>
          <w:sz w:val="24"/>
          <w:szCs w:val="22"/>
        </w:rPr>
      </w:pPr>
      <w:r>
        <w:rPr>
          <w:rFonts w:hint="eastAsia" w:ascii="宋体" w:hAnsi="宋体" w:cs="宋体"/>
          <w:kern w:val="0"/>
          <w:sz w:val="24"/>
          <w:szCs w:val="22"/>
        </w:rPr>
        <w:t>（一）不同投标人的投标文件由同一单位或者个人编制；</w:t>
      </w:r>
    </w:p>
    <w:p>
      <w:pPr>
        <w:tabs>
          <w:tab w:val="left" w:pos="7665"/>
        </w:tabs>
        <w:snapToGrid w:val="0"/>
        <w:spacing w:line="360" w:lineRule="auto"/>
        <w:ind w:left="420" w:leftChars="200"/>
        <w:outlineLvl w:val="5"/>
        <w:rPr>
          <w:rFonts w:ascii="宋体" w:hAnsi="宋体" w:cs="宋体"/>
          <w:kern w:val="0"/>
          <w:sz w:val="24"/>
          <w:szCs w:val="22"/>
        </w:rPr>
      </w:pPr>
      <w:r>
        <w:rPr>
          <w:rFonts w:hint="eastAsia" w:ascii="宋体" w:hAnsi="宋体" w:cs="宋体"/>
          <w:kern w:val="0"/>
          <w:sz w:val="24"/>
          <w:szCs w:val="22"/>
        </w:rPr>
        <w:t>　　（二）不同投标人委托同一单位或者个人办理投标事宜；</w:t>
      </w:r>
    </w:p>
    <w:p>
      <w:pPr>
        <w:tabs>
          <w:tab w:val="left" w:pos="7665"/>
        </w:tabs>
        <w:snapToGrid w:val="0"/>
        <w:spacing w:line="360" w:lineRule="auto"/>
        <w:ind w:left="420" w:leftChars="200"/>
        <w:outlineLvl w:val="5"/>
        <w:rPr>
          <w:rFonts w:ascii="宋体" w:hAnsi="宋体" w:cs="宋体"/>
          <w:kern w:val="0"/>
          <w:sz w:val="24"/>
          <w:szCs w:val="22"/>
        </w:rPr>
      </w:pPr>
      <w:r>
        <w:rPr>
          <w:rFonts w:hint="eastAsia" w:ascii="宋体" w:hAnsi="宋体" w:cs="宋体"/>
          <w:kern w:val="0"/>
          <w:sz w:val="24"/>
          <w:szCs w:val="22"/>
        </w:rPr>
        <w:t>　　（三）不同投标人的投标文件载明的项目管理成员或者联系人员为同一人（项目管理成员系指投标文件里供应商提供的法定代表人、被授权人及在投标文件里明确为本项目实施服务的具体人员）；</w:t>
      </w:r>
    </w:p>
    <w:p>
      <w:pPr>
        <w:tabs>
          <w:tab w:val="left" w:pos="7665"/>
        </w:tabs>
        <w:snapToGrid w:val="0"/>
        <w:spacing w:line="360" w:lineRule="auto"/>
        <w:ind w:left="420" w:leftChars="200"/>
        <w:outlineLvl w:val="5"/>
        <w:rPr>
          <w:rFonts w:ascii="宋体" w:hAnsi="宋体" w:cs="宋体"/>
          <w:kern w:val="0"/>
          <w:sz w:val="24"/>
          <w:szCs w:val="22"/>
        </w:rPr>
      </w:pPr>
      <w:r>
        <w:rPr>
          <w:rFonts w:hint="eastAsia" w:ascii="宋体" w:hAnsi="宋体" w:cs="宋体"/>
          <w:kern w:val="0"/>
          <w:sz w:val="24"/>
          <w:szCs w:val="22"/>
        </w:rPr>
        <w:t>　　（四）不同投标人的投标文件异常一致或者投标报价呈规律性差异；</w:t>
      </w:r>
    </w:p>
    <w:p>
      <w:pPr>
        <w:tabs>
          <w:tab w:val="left" w:pos="7665"/>
        </w:tabs>
        <w:snapToGrid w:val="0"/>
        <w:spacing w:line="360" w:lineRule="auto"/>
        <w:ind w:left="420" w:leftChars="200"/>
        <w:outlineLvl w:val="5"/>
        <w:rPr>
          <w:rFonts w:ascii="宋体" w:hAnsi="宋体" w:cs="宋体"/>
          <w:kern w:val="0"/>
          <w:sz w:val="24"/>
          <w:szCs w:val="22"/>
        </w:rPr>
      </w:pPr>
      <w:r>
        <w:rPr>
          <w:rFonts w:hint="eastAsia" w:ascii="宋体" w:hAnsi="宋体" w:cs="宋体"/>
          <w:kern w:val="0"/>
          <w:sz w:val="24"/>
          <w:szCs w:val="22"/>
        </w:rPr>
        <w:t>　　（五）不同投标人的投标文件相互混装；</w:t>
      </w:r>
    </w:p>
    <w:p>
      <w:pPr>
        <w:tabs>
          <w:tab w:val="left" w:pos="7665"/>
        </w:tabs>
        <w:snapToGrid w:val="0"/>
        <w:spacing w:line="360" w:lineRule="auto"/>
        <w:ind w:left="420" w:leftChars="200"/>
        <w:outlineLvl w:val="5"/>
        <w:rPr>
          <w:rFonts w:ascii="宋体" w:hAnsi="宋体" w:cs="宋体"/>
          <w:sz w:val="24"/>
        </w:rPr>
      </w:pPr>
      <w:r>
        <w:rPr>
          <w:rFonts w:hint="eastAsia" w:ascii="宋体" w:hAnsi="宋体" w:cs="宋体"/>
          <w:kern w:val="0"/>
          <w:sz w:val="24"/>
          <w:szCs w:val="22"/>
        </w:rPr>
        <w:t>　　（六）不同投标人的投标保证金从同一单位或者个人的账户转出。</w:t>
      </w:r>
    </w:p>
    <w:p>
      <w:pPr>
        <w:pStyle w:val="6"/>
        <w:ind w:firstLine="480"/>
        <w:rPr>
          <w:rFonts w:ascii="宋体" w:hAnsi="宋体" w:cs="宋体"/>
        </w:rPr>
      </w:pPr>
      <w:r>
        <w:rPr>
          <w:rFonts w:hint="eastAsia" w:ascii="宋体" w:hAnsi="宋体" w:cs="宋体"/>
        </w:rPr>
        <w:t>4. 投标费用</w:t>
      </w:r>
      <w:bookmarkEnd w:id="66"/>
      <w:bookmarkEnd w:id="67"/>
      <w:bookmarkEnd w:id="68"/>
      <w:r>
        <w:rPr>
          <w:rFonts w:hint="eastAsia" w:ascii="宋体" w:hAnsi="宋体" w:cs="宋体"/>
        </w:rPr>
        <w:t>（实质性要求）</w:t>
      </w:r>
    </w:p>
    <w:p>
      <w:pPr>
        <w:tabs>
          <w:tab w:val="left" w:pos="7665"/>
        </w:tabs>
        <w:snapToGrid w:val="0"/>
        <w:spacing w:line="360" w:lineRule="auto"/>
        <w:outlineLvl w:val="5"/>
        <w:rPr>
          <w:rFonts w:ascii="宋体" w:hAnsi="宋体" w:cs="宋体"/>
          <w:b/>
          <w:sz w:val="24"/>
        </w:rPr>
      </w:pPr>
      <w:r>
        <w:rPr>
          <w:rFonts w:hint="eastAsia" w:ascii="宋体" w:hAnsi="宋体" w:cs="宋体"/>
          <w:sz w:val="24"/>
        </w:rPr>
        <w:t xml:space="preserve">    投标人参加投标的有关费用由投标人自行承担。</w:t>
      </w:r>
    </w:p>
    <w:p>
      <w:pPr>
        <w:pStyle w:val="6"/>
        <w:ind w:firstLine="480"/>
        <w:rPr>
          <w:rFonts w:ascii="宋体" w:hAnsi="宋体" w:cs="宋体"/>
        </w:rPr>
      </w:pPr>
      <w:bookmarkStart w:id="69" w:name="_Toc77400779"/>
      <w:bookmarkStart w:id="70" w:name="_Toc89075875"/>
      <w:bookmarkStart w:id="71" w:name="_Toc183582209"/>
      <w:bookmarkStart w:id="72" w:name="_Toc20146"/>
      <w:bookmarkStart w:id="73" w:name="_Toc183682346"/>
      <w:bookmarkStart w:id="74" w:name="_Toc217446038"/>
      <w:bookmarkStart w:id="75" w:name="_Toc12399"/>
      <w:r>
        <w:rPr>
          <w:rFonts w:hint="eastAsia" w:ascii="宋体" w:hAnsi="宋体" w:cs="宋体"/>
        </w:rPr>
        <w:t xml:space="preserve">5、充分、公平竞争保障措施（实质性要求） </w:t>
      </w:r>
    </w:p>
    <w:p>
      <w:pPr>
        <w:pStyle w:val="67"/>
        <w:snapToGrid w:val="0"/>
        <w:spacing w:line="360" w:lineRule="auto"/>
        <w:ind w:left="1" w:firstLine="480" w:firstLineChars="200"/>
        <w:rPr>
          <w:rFonts w:hAnsi="宋体" w:cs="宋体"/>
          <w:sz w:val="24"/>
        </w:rPr>
      </w:pPr>
      <w:r>
        <w:rPr>
          <w:rFonts w:hint="eastAsia" w:hAnsi="宋体" w:cs="宋体"/>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67"/>
        <w:snapToGrid w:val="0"/>
        <w:spacing w:line="360" w:lineRule="auto"/>
        <w:ind w:left="1" w:firstLine="480" w:firstLineChars="200"/>
        <w:rPr>
          <w:rFonts w:hAnsi="宋体" w:cs="宋体"/>
          <w:sz w:val="24"/>
        </w:rPr>
      </w:pPr>
      <w:r>
        <w:rPr>
          <w:rFonts w:hint="eastAsia" w:hAnsi="宋体" w:cs="宋体"/>
          <w:sz w:val="24"/>
        </w:rPr>
        <w:t>5.2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67"/>
        <w:snapToGrid w:val="0"/>
        <w:spacing w:line="360" w:lineRule="auto"/>
        <w:ind w:left="1" w:firstLine="480" w:firstLineChars="200"/>
        <w:rPr>
          <w:rFonts w:hAnsi="宋体" w:cs="宋体"/>
          <w:sz w:val="24"/>
        </w:rPr>
      </w:pPr>
      <w:r>
        <w:rPr>
          <w:rFonts w:hint="eastAsia" w:hAnsi="宋体" w:cs="宋体"/>
          <w:sz w:val="24"/>
        </w:rPr>
        <w:t>5.3利害关系代理人处理。2家以上的供应商不得在同一合同项下的采购项目中，同时委托同一个自然人、同一家庭的人员、同一单位的人员作为其代理人，否则，其投标文件作为无效处理。</w:t>
      </w:r>
    </w:p>
    <w:p>
      <w:pPr>
        <w:pStyle w:val="5"/>
        <w:rPr>
          <w:rFonts w:ascii="宋体" w:hAnsi="宋体" w:eastAsia="宋体" w:cs="宋体"/>
        </w:rPr>
      </w:pPr>
      <w:r>
        <w:rPr>
          <w:rFonts w:hint="eastAsia" w:ascii="宋体" w:hAnsi="宋体" w:eastAsia="宋体" w:cs="宋体"/>
        </w:rPr>
        <w:t>三、招标文件</w:t>
      </w:r>
      <w:bookmarkEnd w:id="69"/>
      <w:bookmarkEnd w:id="70"/>
      <w:bookmarkEnd w:id="71"/>
      <w:bookmarkEnd w:id="72"/>
      <w:bookmarkEnd w:id="73"/>
      <w:bookmarkEnd w:id="74"/>
      <w:bookmarkEnd w:id="75"/>
    </w:p>
    <w:p>
      <w:pPr>
        <w:pStyle w:val="6"/>
        <w:ind w:firstLine="480"/>
        <w:rPr>
          <w:rFonts w:ascii="宋体" w:hAnsi="宋体" w:cs="宋体"/>
        </w:rPr>
      </w:pPr>
      <w:bookmarkStart w:id="76" w:name="_Toc183682347"/>
      <w:bookmarkStart w:id="77" w:name="_Toc217446039"/>
      <w:bookmarkStart w:id="78" w:name="_Toc183582210"/>
      <w:r>
        <w:rPr>
          <w:rFonts w:hint="eastAsia" w:ascii="宋体" w:hAnsi="宋体" w:cs="宋体"/>
        </w:rPr>
        <w:t>6．招标文件的构成</w:t>
      </w:r>
      <w:bookmarkEnd w:id="76"/>
      <w:bookmarkEnd w:id="77"/>
      <w:bookmarkEnd w:id="78"/>
    </w:p>
    <w:p>
      <w:pPr>
        <w:tabs>
          <w:tab w:val="left" w:pos="7665"/>
        </w:tabs>
        <w:snapToGrid w:val="0"/>
        <w:spacing w:line="360" w:lineRule="auto"/>
        <w:outlineLvl w:val="5"/>
        <w:rPr>
          <w:rFonts w:ascii="宋体" w:hAnsi="宋体" w:cs="宋体"/>
          <w:sz w:val="24"/>
        </w:rPr>
      </w:pPr>
      <w:r>
        <w:rPr>
          <w:rFonts w:hint="eastAsia" w:ascii="宋体" w:hAnsi="宋体" w:cs="宋体"/>
          <w:sz w:val="24"/>
        </w:rPr>
        <w:t xml:space="preserve">    6</w:t>
      </w:r>
      <w:r>
        <w:rPr>
          <w:rFonts w:hint="eastAsia" w:ascii="宋体" w:hAnsi="宋体" w:cs="宋体"/>
          <w:b/>
          <w:bCs/>
          <w:sz w:val="24"/>
        </w:rPr>
        <w:t>.</w:t>
      </w:r>
      <w:r>
        <w:rPr>
          <w:rFonts w:hint="eastAsia" w:ascii="宋体" w:hAnsi="宋体" w:cs="宋体"/>
          <w:sz w:val="24"/>
        </w:rPr>
        <w:t>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20"/>
        </w:tabs>
        <w:snapToGrid w:val="0"/>
        <w:spacing w:line="360" w:lineRule="auto"/>
        <w:ind w:firstLine="480" w:firstLineChars="200"/>
        <w:outlineLvl w:val="5"/>
        <w:rPr>
          <w:rFonts w:ascii="宋体" w:hAnsi="宋体" w:cs="宋体"/>
          <w:sz w:val="24"/>
        </w:rPr>
      </w:pPr>
      <w:r>
        <w:rPr>
          <w:rFonts w:hint="eastAsia" w:ascii="宋体" w:hAnsi="宋体" w:cs="宋体"/>
          <w:sz w:val="24"/>
        </w:rPr>
        <w:t>（一）投标邀请；</w:t>
      </w:r>
    </w:p>
    <w:p>
      <w:pPr>
        <w:tabs>
          <w:tab w:val="left" w:pos="720"/>
        </w:tabs>
        <w:snapToGrid w:val="0"/>
        <w:spacing w:line="360" w:lineRule="auto"/>
        <w:ind w:firstLine="480" w:firstLineChars="200"/>
        <w:outlineLvl w:val="5"/>
        <w:rPr>
          <w:rFonts w:ascii="宋体" w:hAnsi="宋体" w:cs="宋体"/>
          <w:sz w:val="24"/>
        </w:rPr>
      </w:pPr>
      <w:r>
        <w:rPr>
          <w:rFonts w:hint="eastAsia" w:ascii="宋体" w:hAnsi="宋体" w:cs="宋体"/>
          <w:sz w:val="24"/>
        </w:rPr>
        <w:t>（二）投标人须知；</w:t>
      </w:r>
    </w:p>
    <w:p>
      <w:pPr>
        <w:tabs>
          <w:tab w:val="left" w:pos="720"/>
        </w:tabs>
        <w:snapToGrid w:val="0"/>
        <w:spacing w:line="360" w:lineRule="auto"/>
        <w:ind w:firstLine="480" w:firstLineChars="200"/>
        <w:outlineLvl w:val="5"/>
        <w:rPr>
          <w:rFonts w:ascii="宋体" w:hAnsi="宋体" w:cs="宋体"/>
          <w:sz w:val="24"/>
        </w:rPr>
      </w:pPr>
      <w:r>
        <w:rPr>
          <w:rFonts w:hint="eastAsia" w:ascii="宋体" w:hAnsi="宋体" w:cs="宋体"/>
          <w:sz w:val="24"/>
        </w:rPr>
        <w:t>（三）投标文件格式；</w:t>
      </w:r>
    </w:p>
    <w:p>
      <w:pPr>
        <w:tabs>
          <w:tab w:val="left" w:pos="720"/>
        </w:tabs>
        <w:snapToGrid w:val="0"/>
        <w:spacing w:line="360" w:lineRule="auto"/>
        <w:ind w:firstLine="480" w:firstLineChars="200"/>
        <w:outlineLvl w:val="5"/>
        <w:rPr>
          <w:rFonts w:ascii="宋体" w:hAnsi="宋体" w:cs="宋体"/>
          <w:sz w:val="24"/>
        </w:rPr>
      </w:pPr>
      <w:r>
        <w:rPr>
          <w:rFonts w:hint="eastAsia" w:ascii="宋体" w:hAnsi="宋体" w:cs="宋体"/>
          <w:sz w:val="24"/>
        </w:rPr>
        <w:t>（四）投标人和投标产品的资格、资质性及其他类似效力要求；</w:t>
      </w:r>
    </w:p>
    <w:p>
      <w:pPr>
        <w:tabs>
          <w:tab w:val="left" w:pos="720"/>
        </w:tabs>
        <w:snapToGrid w:val="0"/>
        <w:spacing w:line="360" w:lineRule="auto"/>
        <w:ind w:firstLine="480" w:firstLineChars="200"/>
        <w:outlineLvl w:val="5"/>
        <w:rPr>
          <w:rFonts w:ascii="宋体" w:hAnsi="宋体" w:cs="宋体"/>
          <w:sz w:val="24"/>
        </w:rPr>
      </w:pPr>
      <w:r>
        <w:rPr>
          <w:rFonts w:hint="eastAsia" w:ascii="宋体" w:hAnsi="宋体" w:cs="宋体"/>
          <w:sz w:val="24"/>
        </w:rPr>
        <w:t>（五）投标人应当提供的资格、资质性及其他类似效力要求的相关证明材料；</w:t>
      </w:r>
    </w:p>
    <w:p>
      <w:pPr>
        <w:tabs>
          <w:tab w:val="left" w:pos="720"/>
        </w:tabs>
        <w:snapToGrid w:val="0"/>
        <w:spacing w:line="360" w:lineRule="auto"/>
        <w:ind w:firstLine="480" w:firstLineChars="200"/>
        <w:outlineLvl w:val="5"/>
        <w:rPr>
          <w:rFonts w:ascii="宋体" w:hAnsi="宋体" w:cs="宋体"/>
          <w:sz w:val="24"/>
        </w:rPr>
      </w:pPr>
      <w:r>
        <w:rPr>
          <w:rFonts w:hint="eastAsia" w:ascii="宋体" w:hAnsi="宋体" w:cs="宋体"/>
          <w:sz w:val="24"/>
        </w:rPr>
        <w:t>（六）本项目技术、服务、政府采购履约主要条款及其他要求条款；</w:t>
      </w:r>
    </w:p>
    <w:p>
      <w:pPr>
        <w:tabs>
          <w:tab w:val="left" w:pos="720"/>
        </w:tabs>
        <w:snapToGrid w:val="0"/>
        <w:spacing w:line="360" w:lineRule="auto"/>
        <w:ind w:firstLine="480" w:firstLineChars="200"/>
        <w:outlineLvl w:val="5"/>
        <w:rPr>
          <w:rFonts w:ascii="宋体" w:hAnsi="宋体" w:cs="宋体"/>
          <w:sz w:val="24"/>
        </w:rPr>
      </w:pPr>
      <w:r>
        <w:rPr>
          <w:rFonts w:hint="eastAsia" w:ascii="宋体" w:hAnsi="宋体" w:cs="宋体"/>
          <w:sz w:val="24"/>
        </w:rPr>
        <w:t>（七）评标办法；</w:t>
      </w:r>
      <w:r>
        <w:rPr>
          <w:rFonts w:hint="eastAsia" w:ascii="宋体" w:hAnsi="宋体" w:cs="宋体"/>
          <w:sz w:val="24"/>
        </w:rPr>
        <w:tab/>
      </w:r>
    </w:p>
    <w:p>
      <w:pPr>
        <w:tabs>
          <w:tab w:val="left" w:pos="720"/>
        </w:tabs>
        <w:snapToGrid w:val="0"/>
        <w:spacing w:line="360" w:lineRule="auto"/>
        <w:ind w:firstLine="480" w:firstLineChars="200"/>
        <w:outlineLvl w:val="5"/>
        <w:rPr>
          <w:rFonts w:ascii="宋体" w:hAnsi="宋体" w:cs="宋体"/>
          <w:sz w:val="24"/>
        </w:rPr>
      </w:pPr>
      <w:r>
        <w:rPr>
          <w:rFonts w:hint="eastAsia" w:ascii="宋体" w:hAnsi="宋体" w:cs="宋体"/>
          <w:sz w:val="24"/>
        </w:rPr>
        <w:t>（八）政府采购合同（草案）。</w:t>
      </w:r>
    </w:p>
    <w:p>
      <w:pPr>
        <w:tabs>
          <w:tab w:val="left" w:pos="7665"/>
        </w:tabs>
        <w:snapToGrid w:val="0"/>
        <w:spacing w:line="360" w:lineRule="auto"/>
        <w:ind w:firstLine="480" w:firstLineChars="200"/>
        <w:outlineLvl w:val="5"/>
        <w:rPr>
          <w:rFonts w:ascii="宋体" w:hAnsi="宋体" w:cs="宋体"/>
          <w:sz w:val="24"/>
        </w:rPr>
      </w:pPr>
      <w:r>
        <w:rPr>
          <w:rFonts w:hint="eastAsia" w:ascii="宋体" w:hAnsi="宋体" w:cs="宋体"/>
          <w:sz w:val="24"/>
        </w:rPr>
        <w:t>6</w:t>
      </w:r>
      <w:r>
        <w:rPr>
          <w:rFonts w:hint="eastAsia" w:ascii="宋体" w:hAnsi="宋体" w:cs="宋体"/>
          <w:b/>
          <w:bCs/>
          <w:sz w:val="24"/>
        </w:rPr>
        <w:t>.</w:t>
      </w:r>
      <w:r>
        <w:rPr>
          <w:rFonts w:hint="eastAsia" w:ascii="宋体" w:hAnsi="宋体" w:cs="宋体"/>
          <w:sz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ind w:firstLine="480"/>
        <w:rPr>
          <w:rFonts w:ascii="宋体" w:hAnsi="宋体" w:cs="宋体"/>
        </w:rPr>
      </w:pPr>
      <w:bookmarkStart w:id="79" w:name="_Toc183682348"/>
      <w:bookmarkStart w:id="80" w:name="_Toc183582211"/>
      <w:bookmarkStart w:id="81" w:name="_Toc217446040"/>
      <w:r>
        <w:rPr>
          <w:rFonts w:hint="eastAsia" w:ascii="宋体" w:hAnsi="宋体" w:cs="宋体"/>
        </w:rPr>
        <w:t>7. 招标文件的澄清</w:t>
      </w:r>
      <w:bookmarkEnd w:id="79"/>
      <w:bookmarkEnd w:id="80"/>
      <w:r>
        <w:rPr>
          <w:rFonts w:hint="eastAsia" w:ascii="宋体" w:hAnsi="宋体" w:cs="宋体"/>
        </w:rPr>
        <w:t>和修改</w:t>
      </w:r>
      <w:bookmarkEnd w:id="81"/>
    </w:p>
    <w:p>
      <w:pPr>
        <w:tabs>
          <w:tab w:val="left" w:pos="720"/>
        </w:tabs>
        <w:snapToGrid w:val="0"/>
        <w:spacing w:line="360" w:lineRule="auto"/>
        <w:ind w:firstLine="480" w:firstLineChars="200"/>
        <w:outlineLvl w:val="5"/>
        <w:rPr>
          <w:rFonts w:ascii="宋体" w:hAnsi="宋体" w:cs="宋体"/>
          <w:sz w:val="24"/>
        </w:rPr>
      </w:pPr>
      <w:r>
        <w:rPr>
          <w:rFonts w:hint="eastAsia" w:ascii="宋体" w:hAnsi="宋体" w:cs="宋体"/>
          <w:sz w:val="24"/>
        </w:rPr>
        <w:t>7.1招标采购单位可以依法对招标文件进行澄清或者修改。</w:t>
      </w:r>
    </w:p>
    <w:p>
      <w:pPr>
        <w:snapToGrid w:val="0"/>
        <w:spacing w:line="360" w:lineRule="auto"/>
        <w:ind w:firstLine="480" w:firstLineChars="200"/>
        <w:outlineLvl w:val="5"/>
        <w:rPr>
          <w:rFonts w:ascii="宋体" w:hAnsi="宋体" w:cs="宋体"/>
          <w:sz w:val="24"/>
        </w:rPr>
      </w:pPr>
      <w:r>
        <w:rPr>
          <w:rFonts w:hint="eastAsia" w:ascii="宋体" w:hAnsi="宋体" w:cs="宋体"/>
          <w:sz w:val="24"/>
        </w:rPr>
        <w:t>7.2招标采购单位对已发出的招标文件进行澄清或者修改，应当以书面形式将澄清或者修改的内容通知所有购买了招标文件的供应商，同时在“四川政府采购网”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3日前；不足上述时间的，应当顺延提交投标文件、资格预审申请文件的截止时间。</w:t>
      </w:r>
    </w:p>
    <w:p>
      <w:pPr>
        <w:snapToGrid w:val="0"/>
        <w:spacing w:line="360" w:lineRule="auto"/>
        <w:ind w:firstLine="480" w:firstLineChars="200"/>
        <w:outlineLvl w:val="5"/>
        <w:rPr>
          <w:rFonts w:ascii="宋体" w:hAnsi="宋体" w:cs="宋体"/>
          <w:sz w:val="24"/>
        </w:rPr>
      </w:pPr>
      <w:r>
        <w:rPr>
          <w:rFonts w:hint="eastAsia" w:ascii="宋体" w:hAnsi="宋体" w:cs="宋体"/>
          <w:sz w:val="24"/>
        </w:rPr>
        <w:t>7</w:t>
      </w:r>
      <w:r>
        <w:rPr>
          <w:rFonts w:hint="eastAsia" w:ascii="宋体" w:hAnsi="宋体" w:cs="宋体"/>
          <w:b/>
          <w:bCs/>
          <w:sz w:val="24"/>
        </w:rPr>
        <w:t>.</w:t>
      </w:r>
      <w:r>
        <w:rPr>
          <w:rFonts w:hint="eastAsia" w:ascii="宋体" w:hAnsi="宋体" w:cs="宋体"/>
          <w:sz w:val="24"/>
        </w:rPr>
        <w:t>3 投标人认为需要对招标文件进行澄清或者修改的，可以以书面形式向招标采购单位提出申请，但招标采购单位可以决定是否采纳投标人的申请事项。</w:t>
      </w:r>
    </w:p>
    <w:p>
      <w:pPr>
        <w:pStyle w:val="6"/>
        <w:ind w:firstLine="480"/>
        <w:rPr>
          <w:rFonts w:ascii="宋体" w:hAnsi="宋体" w:cs="宋体"/>
        </w:rPr>
      </w:pPr>
      <w:bookmarkStart w:id="82" w:name="_Toc208848971"/>
      <w:bookmarkStart w:id="83" w:name="_Toc217446041"/>
      <w:r>
        <w:rPr>
          <w:rFonts w:hint="eastAsia" w:ascii="宋体" w:hAnsi="宋体" w:cs="宋体"/>
        </w:rPr>
        <w:t>8. 答疑会和现场考察</w:t>
      </w:r>
      <w:bookmarkEnd w:id="82"/>
      <w:bookmarkEnd w:id="83"/>
    </w:p>
    <w:p>
      <w:pPr>
        <w:snapToGrid w:val="0"/>
        <w:spacing w:line="360" w:lineRule="auto"/>
        <w:ind w:firstLine="480" w:firstLineChars="200"/>
        <w:outlineLvl w:val="5"/>
        <w:rPr>
          <w:rFonts w:ascii="宋体" w:hAnsi="宋体" w:cs="宋体"/>
          <w:sz w:val="24"/>
        </w:rPr>
      </w:pPr>
      <w:r>
        <w:rPr>
          <w:rFonts w:hint="eastAsia" w:ascii="宋体" w:hAnsi="宋体" w:cs="宋体"/>
          <w:sz w:val="24"/>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pPr>
        <w:adjustRightInd w:val="0"/>
        <w:snapToGrid w:val="0"/>
        <w:spacing w:line="360" w:lineRule="auto"/>
        <w:ind w:firstLine="420" w:firstLineChars="175"/>
        <w:outlineLvl w:val="5"/>
        <w:rPr>
          <w:rFonts w:ascii="宋体" w:hAnsi="宋体" w:cs="宋体"/>
          <w:sz w:val="24"/>
        </w:rPr>
      </w:pPr>
      <w:r>
        <w:rPr>
          <w:rFonts w:hint="eastAsia" w:ascii="宋体" w:hAnsi="宋体" w:cs="宋体"/>
          <w:sz w:val="24"/>
        </w:rPr>
        <w:t>8.2 供应商考察现场所发生的一切费用由供应商自己承担。</w:t>
      </w:r>
    </w:p>
    <w:p>
      <w:pPr>
        <w:pStyle w:val="5"/>
        <w:rPr>
          <w:rFonts w:ascii="宋体" w:hAnsi="宋体" w:eastAsia="宋体" w:cs="宋体"/>
        </w:rPr>
      </w:pPr>
      <w:bookmarkStart w:id="84" w:name="_Toc15488"/>
      <w:bookmarkStart w:id="85" w:name="_Toc183682351"/>
      <w:bookmarkStart w:id="86" w:name="_Toc32092"/>
      <w:bookmarkStart w:id="87" w:name="_Toc183582214"/>
      <w:bookmarkStart w:id="88" w:name="_Toc89075876"/>
      <w:bookmarkStart w:id="89" w:name="_Toc77400780"/>
      <w:bookmarkStart w:id="90" w:name="_Toc217446042"/>
      <w:r>
        <w:rPr>
          <w:rFonts w:hint="eastAsia" w:ascii="宋体" w:hAnsi="宋体" w:eastAsia="宋体" w:cs="宋体"/>
        </w:rPr>
        <w:t>四、投标文件</w:t>
      </w:r>
      <w:bookmarkEnd w:id="84"/>
      <w:bookmarkEnd w:id="85"/>
      <w:bookmarkEnd w:id="86"/>
      <w:bookmarkEnd w:id="87"/>
      <w:bookmarkEnd w:id="88"/>
      <w:bookmarkEnd w:id="89"/>
      <w:bookmarkEnd w:id="90"/>
    </w:p>
    <w:p>
      <w:pPr>
        <w:pStyle w:val="6"/>
        <w:ind w:firstLine="480"/>
        <w:rPr>
          <w:rFonts w:ascii="宋体" w:hAnsi="宋体" w:cs="宋体"/>
        </w:rPr>
      </w:pPr>
      <w:bookmarkStart w:id="91" w:name="_Toc183582215"/>
      <w:bookmarkStart w:id="92" w:name="_Toc217446043"/>
      <w:bookmarkStart w:id="93" w:name="_Toc183682352"/>
      <w:r>
        <w:rPr>
          <w:rFonts w:hint="eastAsia" w:ascii="宋体" w:hAnsi="宋体" w:cs="宋体"/>
        </w:rPr>
        <w:t>9．投标文件的语言</w:t>
      </w:r>
      <w:bookmarkEnd w:id="91"/>
      <w:bookmarkEnd w:id="92"/>
      <w:bookmarkEnd w:id="93"/>
    </w:p>
    <w:p>
      <w:pPr>
        <w:spacing w:line="360" w:lineRule="auto"/>
        <w:ind w:firstLine="480" w:firstLineChars="200"/>
        <w:outlineLvl w:val="5"/>
        <w:rPr>
          <w:rFonts w:ascii="宋体" w:hAnsi="宋体" w:cs="宋体"/>
          <w:sz w:val="24"/>
        </w:rPr>
      </w:pPr>
      <w:r>
        <w:rPr>
          <w:rFonts w:hint="eastAsia" w:ascii="宋体" w:hAnsi="宋体" w:cs="宋体"/>
          <w:sz w:val="24"/>
        </w:rPr>
        <w:t>9.1 投标人提交的投标文件以及投标人与招标采购单位就有关投标的所有来往书面文件均须使用中文</w:t>
      </w:r>
      <w:r>
        <w:rPr>
          <w:rFonts w:hint="eastAsia" w:ascii="宋体" w:hAnsi="宋体" w:cs="宋体"/>
          <w:b/>
          <w:sz w:val="24"/>
        </w:rPr>
        <w:t>（实质性要求）</w:t>
      </w:r>
      <w:r>
        <w:rPr>
          <w:rFonts w:hint="eastAsia" w:ascii="宋体" w:hAnsi="宋体" w:cs="宋体"/>
          <w:sz w:val="24"/>
        </w:rPr>
        <w:t>。投标文件中如附有外文资料，应对应翻译成中文并加盖投标人公章后附在相关外文资料后面。（说明：供应商的法定代表人为外籍人士的，法定代表人的签字和护照除外。）</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9.2 翻译的中文资料与外文资料如果出现差异和矛盾时，以中文为准。</w:t>
      </w:r>
      <w:bookmarkStart w:id="94" w:name="_Toc183682353"/>
      <w:bookmarkStart w:id="95" w:name="_Toc183582216"/>
      <w:bookmarkStart w:id="96" w:name="_Toc217446044"/>
      <w:r>
        <w:rPr>
          <w:rFonts w:hint="eastAsia" w:ascii="宋体" w:hAnsi="宋体" w:cs="宋体"/>
          <w:sz w:val="24"/>
        </w:rPr>
        <w:t>涉嫌虚假响应的按照相关法律法规处理。</w:t>
      </w:r>
    </w:p>
    <w:p>
      <w:pPr>
        <w:pStyle w:val="6"/>
        <w:ind w:firstLine="482"/>
        <w:rPr>
          <w:rFonts w:ascii="宋体" w:hAnsi="宋体" w:cs="宋体"/>
          <w:b/>
          <w:bCs/>
        </w:rPr>
      </w:pPr>
      <w:r>
        <w:rPr>
          <w:rFonts w:hint="eastAsia" w:ascii="宋体" w:hAnsi="宋体" w:cs="宋体"/>
          <w:b/>
          <w:bCs/>
        </w:rPr>
        <w:t>10．计量单位</w:t>
      </w:r>
      <w:bookmarkEnd w:id="94"/>
      <w:bookmarkEnd w:id="95"/>
      <w:bookmarkEnd w:id="96"/>
      <w:r>
        <w:rPr>
          <w:rFonts w:hint="eastAsia" w:ascii="宋体" w:hAnsi="宋体" w:cs="宋体"/>
          <w:b/>
          <w:bCs/>
        </w:rPr>
        <w:t>（实质性要求）</w:t>
      </w:r>
    </w:p>
    <w:p>
      <w:pPr>
        <w:spacing w:line="360" w:lineRule="auto"/>
        <w:ind w:firstLine="470" w:firstLineChars="196"/>
        <w:outlineLvl w:val="5"/>
        <w:rPr>
          <w:rFonts w:ascii="宋体" w:hAnsi="宋体" w:cs="宋体"/>
          <w:sz w:val="24"/>
        </w:rPr>
      </w:pPr>
      <w:r>
        <w:rPr>
          <w:rFonts w:hint="eastAsia" w:ascii="宋体" w:hAnsi="宋体" w:cs="宋体"/>
          <w:sz w:val="24"/>
        </w:rPr>
        <w:t>除招标文件中另有规定外，本次采购项目所有合同项下的投标均采用国家法定的计量单位。</w:t>
      </w:r>
    </w:p>
    <w:p>
      <w:pPr>
        <w:pStyle w:val="9"/>
        <w:spacing w:before="0" w:after="0" w:line="360" w:lineRule="auto"/>
        <w:ind w:left="564" w:hanging="564" w:hangingChars="235"/>
        <w:rPr>
          <w:rStyle w:val="264"/>
          <w:rFonts w:ascii="宋体" w:hAnsi="宋体" w:cs="宋体"/>
          <w:b/>
          <w:bCs/>
        </w:rPr>
      </w:pPr>
      <w:r>
        <w:rPr>
          <w:rFonts w:hint="eastAsia" w:ascii="宋体" w:hAnsi="宋体" w:eastAsia="宋体" w:cs="宋体"/>
          <w:b w:val="0"/>
        </w:rPr>
        <w:t xml:space="preserve"> </w:t>
      </w:r>
      <w:bookmarkStart w:id="97" w:name="_Toc217446045"/>
      <w:bookmarkStart w:id="98" w:name="_Toc217446046"/>
      <w:r>
        <w:rPr>
          <w:rFonts w:hint="eastAsia" w:ascii="宋体" w:hAnsi="宋体" w:eastAsia="宋体" w:cs="宋体"/>
          <w:b w:val="0"/>
        </w:rPr>
        <w:t xml:space="preserve">  </w:t>
      </w:r>
      <w:r>
        <w:rPr>
          <w:rStyle w:val="264"/>
          <w:rFonts w:hint="eastAsia" w:ascii="宋体" w:hAnsi="宋体" w:cs="宋体"/>
          <w:b/>
          <w:bCs/>
        </w:rPr>
        <w:t xml:space="preserve"> 11. 投标货币</w:t>
      </w:r>
      <w:bookmarkEnd w:id="97"/>
      <w:r>
        <w:rPr>
          <w:rStyle w:val="264"/>
          <w:rFonts w:hint="eastAsia" w:ascii="宋体" w:hAnsi="宋体" w:cs="宋体"/>
          <w:b/>
          <w:bCs/>
        </w:rPr>
        <w:t>（实质性要求）</w:t>
      </w:r>
    </w:p>
    <w:p>
      <w:pPr>
        <w:tabs>
          <w:tab w:val="left" w:pos="7665"/>
        </w:tabs>
        <w:spacing w:line="360" w:lineRule="auto"/>
        <w:ind w:hanging="118"/>
        <w:outlineLvl w:val="5"/>
        <w:rPr>
          <w:rFonts w:ascii="宋体" w:hAnsi="宋体" w:cs="宋体"/>
          <w:sz w:val="24"/>
        </w:rPr>
      </w:pPr>
      <w:r>
        <w:rPr>
          <w:rFonts w:hint="eastAsia" w:ascii="宋体" w:hAnsi="宋体" w:cs="宋体"/>
          <w:sz w:val="24"/>
        </w:rPr>
        <w:t xml:space="preserve">     本次招标项目的投标均以人民币报价。</w:t>
      </w:r>
    </w:p>
    <w:p>
      <w:pPr>
        <w:pStyle w:val="9"/>
        <w:spacing w:before="0" w:after="0" w:line="360" w:lineRule="auto"/>
        <w:ind w:left="504" w:leftChars="200" w:hanging="84" w:hangingChars="35"/>
        <w:rPr>
          <w:rFonts w:ascii="宋体" w:hAnsi="宋体" w:eastAsia="宋体" w:cs="宋体"/>
          <w:szCs w:val="32"/>
        </w:rPr>
      </w:pPr>
      <w:r>
        <w:rPr>
          <w:rFonts w:hint="eastAsia" w:ascii="宋体" w:hAnsi="宋体" w:eastAsia="宋体" w:cs="宋体"/>
          <w:szCs w:val="32"/>
        </w:rPr>
        <w:t>12. 联合体投标</w:t>
      </w:r>
      <w:bookmarkEnd w:id="98"/>
    </w:p>
    <w:p>
      <w:pPr>
        <w:spacing w:line="360" w:lineRule="auto"/>
        <w:ind w:firstLine="470" w:firstLineChars="196"/>
        <w:rPr>
          <w:rFonts w:ascii="宋体" w:hAnsi="宋体" w:cs="宋体"/>
          <w:sz w:val="24"/>
        </w:rPr>
      </w:pPr>
      <w:bookmarkStart w:id="99" w:name="_Toc217446047"/>
      <w:r>
        <w:rPr>
          <w:rFonts w:hint="eastAsia" w:ascii="宋体" w:hAnsi="宋体" w:cs="宋体"/>
          <w:sz w:val="24"/>
        </w:rPr>
        <w:t>本项目不接受联合体投标。</w:t>
      </w:r>
    </w:p>
    <w:p>
      <w:pPr>
        <w:pStyle w:val="6"/>
        <w:ind w:firstLine="482"/>
        <w:rPr>
          <w:rFonts w:ascii="宋体" w:hAnsi="宋体" w:cs="宋体"/>
          <w:b/>
          <w:bCs/>
        </w:rPr>
      </w:pPr>
      <w:r>
        <w:rPr>
          <w:rFonts w:hint="eastAsia" w:ascii="宋体" w:hAnsi="宋体" w:cs="宋体"/>
          <w:b/>
          <w:bCs/>
        </w:rPr>
        <w:t>13. 知识产权</w:t>
      </w:r>
      <w:bookmarkEnd w:id="99"/>
      <w:r>
        <w:rPr>
          <w:rFonts w:hint="eastAsia" w:ascii="宋体" w:hAnsi="宋体" w:cs="宋体"/>
          <w:b/>
          <w:bCs/>
        </w:rPr>
        <w:t>（实质性要求）</w:t>
      </w:r>
    </w:p>
    <w:p>
      <w:pPr>
        <w:spacing w:line="360" w:lineRule="auto"/>
        <w:ind w:firstLine="460" w:firstLineChars="192"/>
        <w:outlineLvl w:val="5"/>
        <w:rPr>
          <w:rFonts w:ascii="宋体" w:hAnsi="宋体" w:cs="宋体"/>
          <w:sz w:val="24"/>
        </w:rPr>
      </w:pPr>
      <w:r>
        <w:rPr>
          <w:rFonts w:hint="eastAsia" w:ascii="宋体" w:hAnsi="宋体" w:cs="宋体"/>
          <w:sz w:val="24"/>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360" w:lineRule="auto"/>
        <w:ind w:firstLine="460" w:firstLineChars="192"/>
        <w:outlineLvl w:val="5"/>
        <w:rPr>
          <w:rFonts w:ascii="宋体" w:hAnsi="宋体" w:cs="宋体"/>
          <w:sz w:val="24"/>
        </w:rPr>
      </w:pPr>
      <w:r>
        <w:rPr>
          <w:rFonts w:hint="eastAsia" w:ascii="宋体" w:hAnsi="宋体" w:cs="宋体"/>
          <w:sz w:val="24"/>
        </w:rPr>
        <w:t>13.2 采购人享有本项目实施过程中产生的知识成果及知识产权。</w:t>
      </w:r>
    </w:p>
    <w:p>
      <w:pPr>
        <w:spacing w:line="360" w:lineRule="auto"/>
        <w:ind w:firstLine="460" w:firstLineChars="192"/>
        <w:outlineLvl w:val="5"/>
        <w:rPr>
          <w:rFonts w:ascii="宋体" w:hAnsi="宋体" w:cs="宋体"/>
          <w:sz w:val="24"/>
        </w:rPr>
      </w:pPr>
      <w:r>
        <w:rPr>
          <w:rFonts w:hint="eastAsia" w:ascii="宋体" w:hAnsi="宋体" w:cs="宋体"/>
          <w:sz w:val="24"/>
        </w:rPr>
        <w:t>13.3 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360" w:lineRule="auto"/>
        <w:ind w:firstLine="460" w:firstLineChars="192"/>
        <w:outlineLvl w:val="5"/>
        <w:rPr>
          <w:rFonts w:ascii="宋体" w:hAnsi="宋体" w:cs="宋体"/>
          <w:sz w:val="24"/>
        </w:rPr>
      </w:pPr>
      <w:r>
        <w:rPr>
          <w:rFonts w:hint="eastAsia" w:ascii="宋体" w:hAnsi="宋体" w:cs="宋体"/>
          <w:sz w:val="24"/>
        </w:rPr>
        <w:t xml:space="preserve">13.4 如采用投标人所不拥有的知识产权，则在投标报价中必须包括合法获取该知识产权的相关费用。  </w:t>
      </w:r>
      <w:bookmarkStart w:id="100" w:name="_Toc183682354"/>
      <w:bookmarkStart w:id="101" w:name="_Toc217446048"/>
      <w:bookmarkStart w:id="102" w:name="_Toc183582217"/>
    </w:p>
    <w:p>
      <w:pPr>
        <w:pStyle w:val="6"/>
        <w:ind w:firstLine="480"/>
        <w:rPr>
          <w:rFonts w:ascii="宋体" w:hAnsi="宋体" w:cs="宋体"/>
        </w:rPr>
      </w:pPr>
      <w:r>
        <w:rPr>
          <w:rFonts w:hint="eastAsia" w:ascii="宋体" w:hAnsi="宋体" w:cs="宋体"/>
        </w:rPr>
        <w:t>14．投标文件的组成</w:t>
      </w:r>
      <w:bookmarkEnd w:id="100"/>
      <w:bookmarkEnd w:id="101"/>
      <w:bookmarkEnd w:id="102"/>
    </w:p>
    <w:p>
      <w:pPr>
        <w:adjustRightInd w:val="0"/>
        <w:snapToGrid w:val="0"/>
        <w:spacing w:line="360" w:lineRule="auto"/>
        <w:ind w:firstLine="470" w:firstLineChars="196"/>
        <w:outlineLvl w:val="5"/>
        <w:rPr>
          <w:rFonts w:ascii="宋体" w:hAnsi="宋体" w:cs="宋体"/>
          <w:sz w:val="24"/>
        </w:rPr>
      </w:pPr>
      <w:r>
        <w:rPr>
          <w:rFonts w:hint="eastAsia" w:ascii="宋体" w:hAnsi="宋体" w:cs="宋体"/>
          <w:sz w:val="24"/>
        </w:rPr>
        <w:t>投标人应按照招标文件的规定和要求编制投标文件。投标人拟在中标后将中标项目的非主体、非关键性工作交由他人完成的，应当在投标文件中载明。投标人编写的投标文件应包括下列部分：</w:t>
      </w:r>
    </w:p>
    <w:p>
      <w:pPr>
        <w:adjustRightInd w:val="0"/>
        <w:snapToGrid w:val="0"/>
        <w:spacing w:line="360" w:lineRule="auto"/>
        <w:ind w:firstLine="472" w:firstLineChars="196"/>
        <w:outlineLvl w:val="5"/>
        <w:rPr>
          <w:rFonts w:ascii="宋体" w:hAnsi="宋体" w:cs="宋体"/>
          <w:sz w:val="24"/>
        </w:rPr>
      </w:pPr>
      <w:r>
        <w:rPr>
          <w:rFonts w:hint="eastAsia" w:ascii="宋体" w:hAnsi="宋体" w:cs="宋体"/>
          <w:b/>
          <w:sz w:val="24"/>
        </w:rPr>
        <w:t>14.1 报价部分。</w:t>
      </w:r>
      <w:r>
        <w:rPr>
          <w:rFonts w:hint="eastAsia" w:ascii="宋体" w:hAnsi="宋体" w:cs="宋体"/>
          <w:bCs/>
          <w:sz w:val="24"/>
        </w:rPr>
        <w:t>投标人</w:t>
      </w:r>
      <w:r>
        <w:rPr>
          <w:rFonts w:hint="eastAsia" w:ascii="宋体" w:hAnsi="宋体" w:cs="宋体"/>
          <w:sz w:val="24"/>
        </w:rPr>
        <w:t>按照招标文件要求填写的“开标一览表”及“报价明细表”。 本次招标报价要求：</w:t>
      </w:r>
    </w:p>
    <w:p>
      <w:pPr>
        <w:adjustRightInd w:val="0"/>
        <w:snapToGrid w:val="0"/>
        <w:spacing w:line="360" w:lineRule="auto"/>
        <w:ind w:firstLine="470" w:firstLineChars="196"/>
        <w:outlineLvl w:val="5"/>
        <w:rPr>
          <w:rFonts w:ascii="宋体" w:hAnsi="宋体" w:cs="宋体"/>
          <w:sz w:val="24"/>
        </w:rPr>
      </w:pPr>
      <w:r>
        <w:rPr>
          <w:rFonts w:hint="eastAsia" w:ascii="宋体" w:hAnsi="宋体" w:cs="宋体"/>
          <w:sz w:val="24"/>
        </w:rPr>
        <w:t>（1）投标人的报价是投标人响应招标项目要求的全部工作内容的价格体现，包括投标人完成本项目所需的一切费用。（实质性要求）</w:t>
      </w:r>
    </w:p>
    <w:p>
      <w:pPr>
        <w:adjustRightInd w:val="0"/>
        <w:snapToGrid w:val="0"/>
        <w:spacing w:line="360" w:lineRule="auto"/>
        <w:ind w:firstLine="470" w:firstLineChars="196"/>
        <w:outlineLvl w:val="5"/>
        <w:rPr>
          <w:rFonts w:ascii="宋体" w:hAnsi="宋体" w:cs="宋体"/>
          <w:sz w:val="24"/>
        </w:rPr>
      </w:pPr>
      <w:r>
        <w:rPr>
          <w:rFonts w:hint="eastAsia" w:ascii="宋体" w:hAnsi="宋体" w:cs="宋体"/>
          <w:sz w:val="24"/>
        </w:rPr>
        <w:t>（2）投标人每种货物只允许有一个报价，并且在合同履行过程中是固定不变的，任何有选择或可调整的报价将不予接受，并按无效投标处理。（实质性要求）</w:t>
      </w:r>
    </w:p>
    <w:p>
      <w:pPr>
        <w:spacing w:line="360" w:lineRule="auto"/>
        <w:ind w:firstLine="455" w:firstLineChars="189"/>
        <w:rPr>
          <w:rFonts w:ascii="宋体" w:hAnsi="宋体" w:cs="宋体"/>
          <w:sz w:val="24"/>
        </w:rPr>
      </w:pPr>
      <w:bookmarkStart w:id="103" w:name="_Toc217446081"/>
      <w:r>
        <w:rPr>
          <w:rFonts w:hint="eastAsia" w:ascii="宋体" w:hAnsi="宋体" w:cs="宋体"/>
          <w:b/>
          <w:sz w:val="24"/>
        </w:rPr>
        <w:t>14.2技术、商务、服务部分</w:t>
      </w:r>
      <w:r>
        <w:rPr>
          <w:rFonts w:hint="eastAsia" w:ascii="宋体" w:hAnsi="宋体" w:cs="宋体"/>
          <w:sz w:val="24"/>
        </w:rPr>
        <w:t>：</w:t>
      </w:r>
      <w:r>
        <w:rPr>
          <w:rFonts w:hint="eastAsia" w:ascii="宋体" w:hAnsi="宋体" w:cs="宋体"/>
          <w:bCs/>
          <w:sz w:val="24"/>
        </w:rPr>
        <w:t>投标人</w:t>
      </w:r>
      <w:r>
        <w:rPr>
          <w:rFonts w:hint="eastAsia" w:ascii="宋体" w:hAnsi="宋体" w:cs="宋体"/>
          <w:sz w:val="24"/>
        </w:rPr>
        <w:t>按照招标文件要求做出的应答，主要是针对招标项目的技术、商务、服务要求做出的响应和满足。投标人的应答应包括下列内容：</w:t>
      </w:r>
    </w:p>
    <w:p>
      <w:pPr>
        <w:spacing w:line="360" w:lineRule="auto"/>
        <w:ind w:firstLine="424" w:firstLineChars="177"/>
        <w:rPr>
          <w:rFonts w:ascii="宋体" w:hAnsi="宋体" w:cs="宋体"/>
          <w:sz w:val="24"/>
        </w:rPr>
      </w:pPr>
      <w:r>
        <w:rPr>
          <w:rFonts w:hint="eastAsia" w:ascii="宋体" w:hAnsi="宋体" w:cs="宋体"/>
          <w:sz w:val="24"/>
        </w:rPr>
        <w:t>（1）投标函；</w:t>
      </w:r>
    </w:p>
    <w:p>
      <w:pPr>
        <w:spacing w:line="360" w:lineRule="auto"/>
        <w:ind w:firstLine="424" w:firstLineChars="177"/>
        <w:rPr>
          <w:rFonts w:ascii="宋体" w:hAnsi="宋体" w:cs="宋体"/>
          <w:sz w:val="24"/>
        </w:rPr>
      </w:pPr>
      <w:r>
        <w:rPr>
          <w:rFonts w:hint="eastAsia" w:ascii="宋体" w:hAnsi="宋体" w:cs="宋体"/>
          <w:sz w:val="24"/>
        </w:rPr>
        <w:t>（2）法定代表人授权书（法定代表人本人参与投标的提供法定代表人身份证明）；</w:t>
      </w:r>
    </w:p>
    <w:p>
      <w:pPr>
        <w:tabs>
          <w:tab w:val="left" w:pos="1134"/>
        </w:tabs>
        <w:spacing w:line="360" w:lineRule="auto"/>
        <w:ind w:left="426"/>
        <w:rPr>
          <w:rFonts w:ascii="宋体" w:hAnsi="宋体" w:cs="宋体"/>
          <w:sz w:val="24"/>
        </w:rPr>
      </w:pPr>
      <w:r>
        <w:rPr>
          <w:rFonts w:hint="eastAsia" w:ascii="宋体" w:hAnsi="宋体" w:cs="宋体"/>
          <w:sz w:val="24"/>
        </w:rPr>
        <w:t>（3）承诺函；</w:t>
      </w:r>
    </w:p>
    <w:p>
      <w:pPr>
        <w:tabs>
          <w:tab w:val="left" w:pos="1134"/>
        </w:tabs>
        <w:spacing w:line="360" w:lineRule="auto"/>
        <w:ind w:left="426"/>
        <w:rPr>
          <w:rFonts w:ascii="宋体" w:hAnsi="宋体" w:cs="宋体"/>
          <w:sz w:val="24"/>
        </w:rPr>
      </w:pPr>
      <w:r>
        <w:rPr>
          <w:rFonts w:hint="eastAsia" w:ascii="宋体" w:hAnsi="宋体" w:cs="宋体"/>
          <w:sz w:val="24"/>
        </w:rPr>
        <w:t>（4）开标一览表；</w:t>
      </w:r>
    </w:p>
    <w:p>
      <w:pPr>
        <w:tabs>
          <w:tab w:val="left" w:pos="1134"/>
        </w:tabs>
        <w:spacing w:line="360" w:lineRule="auto"/>
        <w:ind w:left="426"/>
        <w:rPr>
          <w:rFonts w:ascii="宋体" w:hAnsi="宋体" w:cs="宋体"/>
          <w:sz w:val="24"/>
        </w:rPr>
      </w:pPr>
      <w:r>
        <w:rPr>
          <w:rFonts w:hint="eastAsia" w:ascii="宋体" w:hAnsi="宋体" w:cs="宋体"/>
          <w:sz w:val="24"/>
        </w:rPr>
        <w:t>（5）投标人基本情况表；</w:t>
      </w:r>
    </w:p>
    <w:p>
      <w:pPr>
        <w:tabs>
          <w:tab w:val="left" w:pos="1134"/>
        </w:tabs>
        <w:spacing w:line="360" w:lineRule="auto"/>
        <w:ind w:left="426"/>
        <w:rPr>
          <w:rFonts w:ascii="宋体" w:hAnsi="宋体" w:cs="宋体"/>
          <w:sz w:val="24"/>
        </w:rPr>
      </w:pPr>
      <w:r>
        <w:rPr>
          <w:rFonts w:hint="eastAsia" w:ascii="宋体" w:hAnsi="宋体" w:cs="宋体"/>
          <w:sz w:val="24"/>
        </w:rPr>
        <w:t>（6）投标人类似项目业绩一览表；</w:t>
      </w:r>
    </w:p>
    <w:p>
      <w:pPr>
        <w:tabs>
          <w:tab w:val="left" w:pos="1134"/>
        </w:tabs>
        <w:spacing w:line="360" w:lineRule="auto"/>
        <w:ind w:left="426"/>
        <w:rPr>
          <w:rFonts w:ascii="宋体" w:hAnsi="宋体" w:cs="宋体"/>
          <w:sz w:val="24"/>
        </w:rPr>
      </w:pPr>
      <w:r>
        <w:rPr>
          <w:rFonts w:hint="eastAsia" w:ascii="宋体" w:hAnsi="宋体" w:cs="宋体"/>
          <w:sz w:val="24"/>
        </w:rPr>
        <w:t>（7）技术（服务）要求、总体商务要求及政府采购履约主要条款响应偏离表；</w:t>
      </w:r>
    </w:p>
    <w:p>
      <w:pPr>
        <w:tabs>
          <w:tab w:val="left" w:pos="1134"/>
        </w:tabs>
        <w:spacing w:line="360" w:lineRule="auto"/>
        <w:ind w:left="426"/>
        <w:rPr>
          <w:rFonts w:ascii="宋体" w:hAnsi="宋体" w:cs="宋体"/>
          <w:sz w:val="24"/>
        </w:rPr>
      </w:pPr>
      <w:r>
        <w:rPr>
          <w:rFonts w:hint="eastAsia" w:ascii="宋体" w:hAnsi="宋体" w:cs="宋体"/>
          <w:sz w:val="24"/>
        </w:rPr>
        <w:t>（8）中小企业声明函；</w:t>
      </w:r>
    </w:p>
    <w:p>
      <w:pPr>
        <w:tabs>
          <w:tab w:val="left" w:pos="1134"/>
        </w:tabs>
        <w:spacing w:line="360" w:lineRule="auto"/>
        <w:ind w:firstLine="424" w:firstLineChars="177"/>
        <w:rPr>
          <w:rFonts w:ascii="宋体" w:hAnsi="宋体" w:cs="宋体"/>
          <w:sz w:val="24"/>
        </w:rPr>
      </w:pPr>
      <w:r>
        <w:rPr>
          <w:rFonts w:hint="eastAsia" w:ascii="宋体" w:hAnsi="宋体" w:cs="宋体"/>
          <w:sz w:val="24"/>
        </w:rPr>
        <w:t>（9）投标人应当提供的资格、资质性及其他类似效力要求的相关证明材料【详见招标文件第五章】；</w:t>
      </w:r>
    </w:p>
    <w:p>
      <w:pPr>
        <w:tabs>
          <w:tab w:val="left" w:pos="1134"/>
        </w:tabs>
        <w:spacing w:line="360" w:lineRule="auto"/>
        <w:ind w:firstLine="424" w:firstLineChars="177"/>
        <w:rPr>
          <w:rFonts w:ascii="宋体" w:hAnsi="宋体" w:cs="宋体"/>
          <w:sz w:val="24"/>
        </w:rPr>
      </w:pPr>
      <w:r>
        <w:rPr>
          <w:rFonts w:hint="eastAsia" w:ascii="宋体" w:hAnsi="宋体" w:cs="宋体"/>
          <w:sz w:val="24"/>
        </w:rPr>
        <w:t>（10）投标人针对本项目制定的实施服务、售后服务方案；</w:t>
      </w:r>
    </w:p>
    <w:p>
      <w:pPr>
        <w:tabs>
          <w:tab w:val="left" w:pos="1134"/>
        </w:tabs>
        <w:spacing w:line="360" w:lineRule="auto"/>
        <w:ind w:firstLine="480" w:firstLineChars="200"/>
        <w:rPr>
          <w:rFonts w:ascii="宋体" w:hAnsi="宋体" w:cs="宋体"/>
          <w:sz w:val="24"/>
        </w:rPr>
      </w:pPr>
      <w:r>
        <w:rPr>
          <w:rFonts w:hint="eastAsia" w:ascii="宋体" w:hAnsi="宋体" w:cs="宋体"/>
          <w:sz w:val="24"/>
        </w:rPr>
        <w:t>（11）投标人承诺给予招标采购单位的各种优惠条件（优惠条件事项不能包括采购项</w:t>
      </w:r>
    </w:p>
    <w:p>
      <w:pPr>
        <w:tabs>
          <w:tab w:val="left" w:pos="1134"/>
        </w:tabs>
        <w:spacing w:line="360" w:lineRule="auto"/>
        <w:rPr>
          <w:rFonts w:ascii="宋体" w:hAnsi="宋体" w:cs="宋体"/>
          <w:sz w:val="24"/>
        </w:rPr>
      </w:pPr>
      <w:r>
        <w:rPr>
          <w:rFonts w:hint="eastAsia" w:ascii="宋体" w:hAnsi="宋体" w:cs="宋体"/>
          <w:sz w:val="24"/>
        </w:rPr>
        <w:t>目本身所包含的采购事项。投标人不能以“赠送、赠予”等任何名义提供货物和服务以规避招标文件的约束。否则，投标人提供的投标文件将作为无效投标处理，即使中标也将取消中标资格）（实质性要求）；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 投标人认为对其投标有利的其他证明材料。</w:t>
      </w:r>
    </w:p>
    <w:p>
      <w:pPr>
        <w:pStyle w:val="6"/>
        <w:adjustRightInd w:val="0"/>
        <w:snapToGrid w:val="0"/>
        <w:spacing w:line="360" w:lineRule="auto"/>
        <w:ind w:firstLine="480"/>
        <w:rPr>
          <w:rFonts w:ascii="宋体" w:hAnsi="宋体" w:cs="宋体"/>
          <w:bCs/>
        </w:rPr>
      </w:pPr>
      <w:r>
        <w:rPr>
          <w:rFonts w:hint="eastAsia" w:ascii="宋体" w:hAnsi="宋体" w:cs="宋体"/>
          <w:bCs/>
        </w:rPr>
        <w:t>14.3其他部分：</w:t>
      </w:r>
      <w:r>
        <w:rPr>
          <w:rFonts w:hint="eastAsia" w:ascii="宋体" w:hAnsi="宋体" w:cs="宋体"/>
          <w:b/>
          <w:bCs/>
        </w:rPr>
        <w:t>投标人按照招标文件要求作出的其他应答或承诺或响应。</w:t>
      </w:r>
    </w:p>
    <w:p>
      <w:pPr>
        <w:pStyle w:val="6"/>
        <w:ind w:firstLine="480"/>
        <w:rPr>
          <w:rFonts w:ascii="宋体" w:hAnsi="宋体" w:cs="宋体"/>
        </w:rPr>
      </w:pPr>
      <w:bookmarkStart w:id="104" w:name="_Toc217446049"/>
      <w:bookmarkStart w:id="105" w:name="_Toc183582218"/>
      <w:bookmarkStart w:id="106" w:name="_Toc183682355"/>
      <w:r>
        <w:rPr>
          <w:rFonts w:hint="eastAsia" w:ascii="宋体" w:hAnsi="宋体" w:cs="宋体"/>
        </w:rPr>
        <w:t>15．投标文件格式</w:t>
      </w:r>
      <w:bookmarkEnd w:id="104"/>
      <w:bookmarkEnd w:id="105"/>
      <w:bookmarkEnd w:id="106"/>
    </w:p>
    <w:p>
      <w:pPr>
        <w:tabs>
          <w:tab w:val="left" w:pos="7665"/>
        </w:tabs>
        <w:spacing w:line="360" w:lineRule="auto"/>
        <w:ind w:left="13" w:leftChars="6" w:firstLine="480" w:firstLineChars="200"/>
        <w:rPr>
          <w:rFonts w:ascii="宋体" w:hAnsi="宋体" w:cs="宋体"/>
          <w:sz w:val="24"/>
        </w:rPr>
      </w:pPr>
      <w:bookmarkStart w:id="107" w:name="_Toc183682360"/>
      <w:bookmarkStart w:id="108" w:name="_Toc183582223"/>
      <w:bookmarkStart w:id="109" w:name="_Toc217446050"/>
      <w:r>
        <w:rPr>
          <w:rFonts w:hint="eastAsia" w:ascii="宋体" w:hAnsi="宋体" w:cs="宋体"/>
          <w:sz w:val="24"/>
        </w:rPr>
        <w:t>15.1 投标人应执行招标文件第三章的规定要求。</w:t>
      </w:r>
    </w:p>
    <w:p>
      <w:pPr>
        <w:tabs>
          <w:tab w:val="left" w:pos="7665"/>
        </w:tabs>
        <w:spacing w:line="360" w:lineRule="auto"/>
        <w:ind w:left="13" w:leftChars="6" w:firstLine="480" w:firstLineChars="200"/>
        <w:rPr>
          <w:rFonts w:ascii="宋体" w:hAnsi="宋体" w:cs="宋体"/>
          <w:sz w:val="24"/>
        </w:rPr>
      </w:pPr>
      <w:r>
        <w:rPr>
          <w:rFonts w:hint="eastAsia" w:ascii="宋体" w:hAnsi="宋体" w:cs="宋体"/>
          <w:sz w:val="24"/>
        </w:rPr>
        <w:t>15.2 对于没有格式要求的投标文件由投标人自行编写。</w:t>
      </w:r>
    </w:p>
    <w:p>
      <w:pPr>
        <w:pStyle w:val="6"/>
        <w:ind w:firstLine="480"/>
        <w:rPr>
          <w:rFonts w:ascii="宋体" w:hAnsi="宋体" w:cs="宋体"/>
          <w:bCs/>
        </w:rPr>
      </w:pPr>
      <w:r>
        <w:rPr>
          <w:rFonts w:hint="eastAsia" w:ascii="宋体" w:hAnsi="宋体" w:cs="宋体"/>
        </w:rPr>
        <w:t>16．投标保证金</w:t>
      </w:r>
      <w:bookmarkEnd w:id="107"/>
      <w:bookmarkEnd w:id="108"/>
      <w:bookmarkEnd w:id="109"/>
      <w:r>
        <w:rPr>
          <w:rFonts w:hint="eastAsia" w:ascii="宋体" w:hAnsi="宋体" w:cs="宋体"/>
        </w:rPr>
        <w:t>（实质性要求，如适用）</w:t>
      </w:r>
    </w:p>
    <w:p>
      <w:pPr>
        <w:spacing w:line="360" w:lineRule="auto"/>
        <w:ind w:firstLine="470" w:firstLineChars="196"/>
        <w:outlineLvl w:val="5"/>
        <w:rPr>
          <w:rFonts w:ascii="宋体" w:hAnsi="宋体" w:cs="宋体"/>
          <w:sz w:val="24"/>
        </w:rPr>
      </w:pPr>
      <w:r>
        <w:rPr>
          <w:rFonts w:hint="eastAsia" w:ascii="宋体" w:hAnsi="宋体" w:cs="宋体"/>
          <w:sz w:val="24"/>
        </w:rPr>
        <w:t>16.1 投标人投标时，必须以人民币提交招标文件规定数额的投标保证金，并作为其投标的一部分。</w:t>
      </w:r>
    </w:p>
    <w:p>
      <w:pPr>
        <w:spacing w:line="360" w:lineRule="auto"/>
        <w:ind w:firstLine="480" w:firstLineChars="200"/>
        <w:outlineLvl w:val="5"/>
        <w:rPr>
          <w:rFonts w:ascii="宋体" w:hAnsi="宋体" w:cs="宋体"/>
          <w:sz w:val="24"/>
        </w:rPr>
      </w:pPr>
      <w:r>
        <w:rPr>
          <w:rFonts w:hint="eastAsia" w:ascii="宋体" w:hAnsi="宋体" w:cs="宋体"/>
          <w:sz w:val="24"/>
        </w:rPr>
        <w:t>16.2投标保证金交款方式：详见投标人须知附表。</w:t>
      </w:r>
    </w:p>
    <w:p>
      <w:pPr>
        <w:spacing w:line="360" w:lineRule="auto"/>
        <w:ind w:firstLine="470" w:firstLineChars="196"/>
        <w:outlineLvl w:val="5"/>
        <w:rPr>
          <w:rFonts w:ascii="宋体" w:hAnsi="宋体" w:cs="宋体"/>
          <w:sz w:val="24"/>
        </w:rPr>
      </w:pPr>
      <w:r>
        <w:rPr>
          <w:rFonts w:hint="eastAsia" w:ascii="宋体" w:hAnsi="宋体" w:cs="宋体"/>
          <w:sz w:val="24"/>
        </w:rPr>
        <w:t>16.3未按招标文件要求、未在规定时间前交纳规定数额投标保证金的，投标文件将被拒绝。</w:t>
      </w:r>
    </w:p>
    <w:p>
      <w:pPr>
        <w:spacing w:line="360" w:lineRule="auto"/>
        <w:ind w:firstLine="470" w:firstLineChars="196"/>
        <w:outlineLvl w:val="5"/>
        <w:rPr>
          <w:rFonts w:ascii="宋体" w:hAnsi="宋体" w:cs="宋体"/>
          <w:sz w:val="24"/>
        </w:rPr>
      </w:pPr>
      <w:r>
        <w:rPr>
          <w:rFonts w:hint="eastAsia" w:ascii="宋体" w:hAnsi="宋体" w:cs="宋体"/>
          <w:sz w:val="24"/>
        </w:rPr>
        <w:t>16.4未中标人的投标保证金，将在中标通知书发出后五个工作日内全额退还。中标人的投标保证金，在合同签订生效并递交至采购代理机构，五个工作日内全额退还。</w:t>
      </w:r>
      <w:r>
        <w:rPr>
          <w:rFonts w:hint="eastAsia" w:ascii="宋体" w:hAnsi="宋体" w:cs="宋体"/>
          <w:b/>
          <w:bCs/>
          <w:sz w:val="24"/>
        </w:rPr>
        <w:t>（①因投标人自身原因造成的保证金延迟退还的除外；</w:t>
      </w:r>
      <w:r>
        <w:rPr>
          <w:rFonts w:hint="eastAsia" w:ascii="宋体" w:hAnsi="宋体" w:cs="宋体"/>
          <w:b/>
          <w:bCs/>
          <w:sz w:val="24"/>
        </w:rPr>
        <w:fldChar w:fldCharType="begin"/>
      </w:r>
      <w:r>
        <w:rPr>
          <w:rFonts w:hint="eastAsia" w:ascii="宋体" w:hAnsi="宋体" w:cs="宋体"/>
          <w:b/>
          <w:bCs/>
          <w:sz w:val="24"/>
        </w:rPr>
        <w:instrText xml:space="preserve"> = 2 \* GB3 \* MERGEFORMAT </w:instrText>
      </w:r>
      <w:r>
        <w:rPr>
          <w:rFonts w:hint="eastAsia" w:ascii="宋体" w:hAnsi="宋体" w:cs="宋体"/>
          <w:b/>
          <w:bCs/>
          <w:sz w:val="24"/>
        </w:rPr>
        <w:fldChar w:fldCharType="separate"/>
      </w:r>
      <w:r>
        <w:rPr>
          <w:rFonts w:hint="eastAsia" w:ascii="宋体" w:hAnsi="宋体" w:cs="宋体"/>
          <w:b/>
          <w:bCs/>
          <w:sz w:val="24"/>
        </w:rPr>
        <w:t>②</w:t>
      </w:r>
      <w:r>
        <w:rPr>
          <w:rFonts w:hint="eastAsia" w:ascii="宋体" w:hAnsi="宋体" w:cs="宋体"/>
          <w:b/>
          <w:bCs/>
          <w:sz w:val="24"/>
        </w:rPr>
        <w:fldChar w:fldCharType="end"/>
      </w:r>
      <w:r>
        <w:rPr>
          <w:rFonts w:hint="eastAsia" w:ascii="宋体" w:hAnsi="宋体" w:cs="宋体"/>
          <w:b/>
          <w:bCs/>
          <w:sz w:val="24"/>
        </w:rPr>
        <w:t>投标人因涉嫌违法违规，按照规定应当不予退还保证金的，有关部门处理认定违法违规行为期间不计入退还保证金时限之内。）</w:t>
      </w:r>
    </w:p>
    <w:p>
      <w:pPr>
        <w:spacing w:line="360" w:lineRule="auto"/>
        <w:ind w:firstLine="470" w:firstLineChars="196"/>
        <w:outlineLvl w:val="5"/>
        <w:rPr>
          <w:rFonts w:ascii="宋体" w:hAnsi="宋体" w:cs="宋体"/>
          <w:sz w:val="24"/>
        </w:rPr>
      </w:pPr>
      <w:bookmarkStart w:id="110" w:name="_Toc183582224"/>
      <w:bookmarkStart w:id="111" w:name="_Toc183682361"/>
      <w:bookmarkStart w:id="112" w:name="_Toc217446051"/>
      <w:r>
        <w:rPr>
          <w:rFonts w:hint="eastAsia" w:ascii="宋体" w:hAnsi="宋体" w:cs="宋体"/>
          <w:sz w:val="24"/>
        </w:rPr>
        <w:t>16.5发生下列情形之一的，采购代理机构将不予退还投标人交纳的投标保证金：</w:t>
      </w:r>
    </w:p>
    <w:p>
      <w:pPr>
        <w:spacing w:line="360" w:lineRule="auto"/>
        <w:ind w:firstLine="470" w:firstLineChars="196"/>
        <w:outlineLvl w:val="5"/>
        <w:rPr>
          <w:rFonts w:ascii="宋体" w:hAnsi="宋体" w:cs="宋体"/>
          <w:sz w:val="24"/>
        </w:rPr>
      </w:pPr>
      <w:r>
        <w:rPr>
          <w:rFonts w:hint="eastAsia" w:ascii="宋体" w:hAnsi="宋体" w:cs="宋体"/>
          <w:sz w:val="24"/>
        </w:rPr>
        <w:t>（1）在招标文件规定的投标截止时间后撤回投标的；</w:t>
      </w:r>
    </w:p>
    <w:p>
      <w:pPr>
        <w:spacing w:line="360" w:lineRule="auto"/>
        <w:ind w:firstLine="470" w:firstLineChars="196"/>
        <w:outlineLvl w:val="5"/>
        <w:rPr>
          <w:rFonts w:ascii="宋体" w:hAnsi="宋体" w:cs="宋体"/>
          <w:sz w:val="24"/>
        </w:rPr>
      </w:pPr>
      <w:r>
        <w:rPr>
          <w:rFonts w:hint="eastAsia" w:ascii="宋体" w:hAnsi="宋体" w:cs="宋体"/>
          <w:sz w:val="24"/>
        </w:rPr>
        <w:t>（2）在采购人确定中标人以前放弃中标候选资格的；</w:t>
      </w:r>
    </w:p>
    <w:p>
      <w:pPr>
        <w:spacing w:line="360" w:lineRule="auto"/>
        <w:ind w:firstLine="470" w:firstLineChars="196"/>
        <w:outlineLvl w:val="5"/>
        <w:rPr>
          <w:rFonts w:ascii="宋体" w:hAnsi="宋体" w:cs="宋体"/>
          <w:sz w:val="24"/>
        </w:rPr>
      </w:pPr>
      <w:r>
        <w:rPr>
          <w:rFonts w:hint="eastAsia" w:ascii="宋体" w:hAnsi="宋体" w:cs="宋体"/>
          <w:sz w:val="24"/>
        </w:rPr>
        <w:t>（3）无正当理由中标后放弃中标、不领取或者不接收中标通知书的；</w:t>
      </w:r>
    </w:p>
    <w:p>
      <w:pPr>
        <w:spacing w:line="360" w:lineRule="auto"/>
        <w:ind w:firstLine="470" w:firstLineChars="196"/>
        <w:outlineLvl w:val="5"/>
        <w:rPr>
          <w:rFonts w:ascii="宋体" w:hAnsi="宋体" w:cs="宋体"/>
          <w:sz w:val="24"/>
        </w:rPr>
      </w:pPr>
      <w:r>
        <w:rPr>
          <w:rFonts w:hint="eastAsia" w:ascii="宋体" w:hAnsi="宋体" w:cs="宋体"/>
          <w:sz w:val="24"/>
        </w:rPr>
        <w:t>（4）由于中标人的原因未能按照招标文件的规定与采购人签订合同的；</w:t>
      </w:r>
    </w:p>
    <w:p>
      <w:pPr>
        <w:spacing w:line="360" w:lineRule="auto"/>
        <w:ind w:firstLine="470" w:firstLineChars="196"/>
        <w:outlineLvl w:val="5"/>
        <w:rPr>
          <w:rFonts w:ascii="宋体" w:hAnsi="宋体" w:cs="宋体"/>
          <w:sz w:val="24"/>
        </w:rPr>
      </w:pPr>
      <w:r>
        <w:rPr>
          <w:rFonts w:hint="eastAsia" w:ascii="宋体" w:hAnsi="宋体" w:cs="宋体"/>
          <w:sz w:val="24"/>
        </w:rPr>
        <w:t>（5）由于中标人的原因未能按照招标文件的规定交纳履约保证金的；</w:t>
      </w:r>
    </w:p>
    <w:p>
      <w:pPr>
        <w:spacing w:line="360" w:lineRule="auto"/>
        <w:ind w:firstLine="470" w:firstLineChars="196"/>
        <w:outlineLvl w:val="5"/>
        <w:rPr>
          <w:rFonts w:ascii="宋体" w:hAnsi="宋体" w:cs="宋体"/>
          <w:sz w:val="24"/>
        </w:rPr>
      </w:pPr>
      <w:r>
        <w:rPr>
          <w:rFonts w:hint="eastAsia" w:ascii="宋体" w:hAnsi="宋体" w:cs="宋体"/>
          <w:sz w:val="24"/>
        </w:rPr>
        <w:t>（6）投标人提供虚假资料的；</w:t>
      </w:r>
    </w:p>
    <w:p>
      <w:pPr>
        <w:spacing w:line="360" w:lineRule="auto"/>
        <w:ind w:firstLine="470" w:firstLineChars="196"/>
        <w:outlineLvl w:val="5"/>
        <w:rPr>
          <w:rFonts w:ascii="宋体" w:hAnsi="宋体" w:cs="宋体"/>
          <w:sz w:val="24"/>
        </w:rPr>
      </w:pPr>
      <w:r>
        <w:rPr>
          <w:rFonts w:hint="eastAsia" w:ascii="宋体" w:hAnsi="宋体" w:cs="宋体"/>
          <w:sz w:val="24"/>
        </w:rPr>
        <w:t>（7）投标有效期内，投标人在政府采购活动中有违法、违规、违纪行为。</w:t>
      </w:r>
    </w:p>
    <w:p>
      <w:pPr>
        <w:pStyle w:val="6"/>
        <w:ind w:firstLine="480"/>
        <w:rPr>
          <w:rFonts w:ascii="宋体" w:hAnsi="宋体" w:cs="宋体"/>
        </w:rPr>
      </w:pPr>
      <w:r>
        <w:rPr>
          <w:rFonts w:hint="eastAsia" w:ascii="宋体" w:hAnsi="宋体" w:cs="宋体"/>
        </w:rPr>
        <w:t>17．投标有效期</w:t>
      </w:r>
      <w:bookmarkEnd w:id="110"/>
      <w:bookmarkEnd w:id="111"/>
      <w:bookmarkEnd w:id="112"/>
      <w:r>
        <w:rPr>
          <w:rFonts w:hint="eastAsia" w:ascii="宋体" w:hAnsi="宋体" w:cs="宋体"/>
        </w:rPr>
        <w:t>（实质性要求）</w:t>
      </w:r>
    </w:p>
    <w:p>
      <w:pPr>
        <w:tabs>
          <w:tab w:val="left" w:pos="7665"/>
        </w:tabs>
        <w:spacing w:line="360" w:lineRule="auto"/>
        <w:ind w:firstLine="480" w:firstLineChars="200"/>
        <w:outlineLvl w:val="5"/>
        <w:rPr>
          <w:rFonts w:ascii="宋体" w:hAnsi="宋体" w:cs="宋体"/>
          <w:sz w:val="24"/>
        </w:rPr>
      </w:pPr>
      <w:r>
        <w:rPr>
          <w:rFonts w:hint="eastAsia" w:ascii="宋体" w:hAnsi="宋体" w:cs="宋体"/>
          <w:sz w:val="24"/>
        </w:rPr>
        <w:t>17.1投标有效期见投标人须知前附表。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360" w:lineRule="auto"/>
        <w:ind w:firstLine="480" w:firstLineChars="200"/>
        <w:outlineLvl w:val="5"/>
        <w:rPr>
          <w:rFonts w:ascii="宋体" w:hAnsi="宋体" w:cs="宋体"/>
          <w:sz w:val="24"/>
        </w:rPr>
      </w:pPr>
      <w:r>
        <w:rPr>
          <w:rFonts w:hint="eastAsia" w:ascii="宋体" w:hAnsi="宋体" w:cs="宋体"/>
          <w:sz w:val="24"/>
        </w:rPr>
        <w:t xml:space="preserve"> 17.2 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pPr>
        <w:tabs>
          <w:tab w:val="left" w:pos="7665"/>
        </w:tabs>
        <w:spacing w:line="360" w:lineRule="auto"/>
        <w:ind w:firstLine="480" w:firstLineChars="200"/>
        <w:outlineLvl w:val="5"/>
        <w:rPr>
          <w:rFonts w:ascii="宋体" w:hAnsi="宋体" w:cs="宋体"/>
          <w:sz w:val="24"/>
        </w:rPr>
      </w:pPr>
      <w:r>
        <w:rPr>
          <w:rFonts w:hint="eastAsia" w:ascii="宋体" w:hAnsi="宋体" w:cs="宋体"/>
          <w:sz w:val="24"/>
        </w:rPr>
        <w:t>17.3 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2"/>
        <w:ind w:firstLine="482" w:firstLineChars="200"/>
        <w:rPr>
          <w:rFonts w:ascii="宋体" w:hAnsi="宋体" w:cs="宋体"/>
          <w:b/>
          <w:bCs/>
          <w:sz w:val="24"/>
        </w:rPr>
      </w:pPr>
      <w:bookmarkStart w:id="113" w:name="_Toc183682362"/>
      <w:bookmarkStart w:id="114" w:name="_Toc217446052"/>
      <w:bookmarkStart w:id="115" w:name="_Toc183582225"/>
      <w:r>
        <w:rPr>
          <w:rFonts w:hint="eastAsia" w:ascii="宋体" w:hAnsi="宋体" w:cs="宋体"/>
          <w:b/>
          <w:bCs/>
          <w:sz w:val="24"/>
        </w:rPr>
        <w:t>18．投标文件的印制和签署</w:t>
      </w:r>
      <w:bookmarkEnd w:id="113"/>
      <w:bookmarkEnd w:id="114"/>
      <w:bookmarkEnd w:id="115"/>
    </w:p>
    <w:p>
      <w:pPr>
        <w:tabs>
          <w:tab w:val="left" w:pos="1080"/>
        </w:tabs>
        <w:spacing w:line="360" w:lineRule="auto"/>
        <w:ind w:firstLine="460" w:firstLineChars="192"/>
        <w:outlineLvl w:val="5"/>
        <w:rPr>
          <w:rFonts w:ascii="宋体" w:hAnsi="宋体" w:cs="宋体"/>
          <w:sz w:val="24"/>
        </w:rPr>
      </w:pPr>
      <w:r>
        <w:rPr>
          <w:rFonts w:hint="eastAsia" w:ascii="宋体" w:hAnsi="宋体" w:cs="宋体"/>
          <w:sz w:val="24"/>
        </w:rPr>
        <w:t>18.1 投标人应当准备投标文件正本1份、副本2份和电子文档（U盘或光盘）1份，以及用于开标唱标单独提交的“开标一览表”（1份）。投标文件电子档制作参考：将已按照招标文件要求完成制作、盖章、签署、逐页编码后的投标文件正本，从封面开始逐页扫描后形成的PDF完整版本。投标文件的正本和副本应在其封面右上角清楚地标明“正本”或“副本”字样。若正本和副本有不一致的内容，以正本书面投标文件为准。</w:t>
      </w:r>
    </w:p>
    <w:p>
      <w:pPr>
        <w:tabs>
          <w:tab w:val="left" w:pos="1095"/>
        </w:tabs>
        <w:spacing w:line="360" w:lineRule="auto"/>
        <w:ind w:firstLine="460" w:firstLineChars="192"/>
        <w:outlineLvl w:val="5"/>
        <w:rPr>
          <w:rFonts w:ascii="宋体" w:hAnsi="宋体" w:cs="宋体"/>
          <w:sz w:val="24"/>
        </w:rPr>
      </w:pPr>
      <w:r>
        <w:rPr>
          <w:rFonts w:hint="eastAsia" w:ascii="宋体" w:hAnsi="宋体" w:cs="宋体"/>
          <w:sz w:val="24"/>
        </w:rPr>
        <w:t>18.2 投标文件的正本和副本均需打印或用不褪色、不变质的墨水书写，并由投标人的法定代表人或其授权代表在规定签章处签字或盖章。投标文件副本可采用正本的复印件。用于开标唱标单独提交的“开标一览表”应为原件。</w:t>
      </w:r>
    </w:p>
    <w:p>
      <w:pPr>
        <w:tabs>
          <w:tab w:val="left" w:pos="1095"/>
        </w:tabs>
        <w:spacing w:line="360" w:lineRule="auto"/>
        <w:ind w:firstLine="460" w:firstLineChars="192"/>
        <w:outlineLvl w:val="5"/>
        <w:rPr>
          <w:rFonts w:ascii="宋体" w:hAnsi="宋体" w:cs="宋体"/>
          <w:sz w:val="24"/>
        </w:rPr>
      </w:pPr>
      <w:r>
        <w:rPr>
          <w:rFonts w:hint="eastAsia" w:ascii="宋体" w:hAnsi="宋体" w:cs="宋体"/>
          <w:sz w:val="24"/>
        </w:rPr>
        <w:t>18.3 投标文件的打印和书写应清楚工整，任何行间插字、涂改或增删，必须由投标人的法定代表人或其授权代表签字或盖个人印鉴。</w:t>
      </w:r>
    </w:p>
    <w:p>
      <w:pPr>
        <w:tabs>
          <w:tab w:val="left" w:pos="1080"/>
        </w:tabs>
        <w:spacing w:line="360" w:lineRule="auto"/>
        <w:ind w:firstLine="460" w:firstLineChars="192"/>
        <w:outlineLvl w:val="5"/>
        <w:rPr>
          <w:rFonts w:ascii="宋体" w:hAnsi="宋体" w:cs="宋体"/>
          <w:sz w:val="24"/>
        </w:rPr>
      </w:pPr>
      <w:r>
        <w:rPr>
          <w:rFonts w:hint="eastAsia" w:ascii="宋体" w:hAnsi="宋体" w:cs="宋体"/>
          <w:sz w:val="24"/>
        </w:rPr>
        <w:t>18.4投标文件正本和副本应当采取胶装方式装订成册，不得散装或者合页装订</w:t>
      </w:r>
      <w:r>
        <w:rPr>
          <w:rFonts w:hint="eastAsia" w:ascii="宋体" w:hAnsi="宋体" w:cs="宋体"/>
          <w:b/>
          <w:sz w:val="24"/>
        </w:rPr>
        <w:t>。</w:t>
      </w:r>
    </w:p>
    <w:p>
      <w:pPr>
        <w:tabs>
          <w:tab w:val="left" w:pos="1080"/>
        </w:tabs>
        <w:spacing w:line="360" w:lineRule="auto"/>
        <w:ind w:firstLine="460" w:firstLineChars="192"/>
        <w:outlineLvl w:val="5"/>
        <w:rPr>
          <w:rFonts w:ascii="宋体" w:hAnsi="宋体" w:cs="宋体"/>
          <w:sz w:val="24"/>
        </w:rPr>
      </w:pPr>
      <w:r>
        <w:rPr>
          <w:rFonts w:hint="eastAsia" w:ascii="宋体" w:hAnsi="宋体" w:cs="宋体"/>
          <w:sz w:val="24"/>
        </w:rPr>
        <w:t>18.5 投标文件应根据招标文件的要求签署、盖章和内容应完整。</w:t>
      </w:r>
      <w:r>
        <w:rPr>
          <w:rFonts w:hint="eastAsia" w:ascii="宋体" w:hAnsi="宋体" w:cs="宋体"/>
          <w:b/>
          <w:bCs/>
          <w:sz w:val="24"/>
        </w:rPr>
        <w:t>（实质性要求）</w:t>
      </w:r>
    </w:p>
    <w:p>
      <w:pPr>
        <w:tabs>
          <w:tab w:val="left" w:pos="1080"/>
        </w:tabs>
        <w:spacing w:line="360" w:lineRule="auto"/>
        <w:ind w:firstLine="460" w:firstLineChars="192"/>
        <w:outlineLvl w:val="5"/>
        <w:rPr>
          <w:rFonts w:ascii="宋体" w:hAnsi="宋体" w:cs="宋体"/>
          <w:sz w:val="24"/>
        </w:rPr>
      </w:pPr>
      <w:r>
        <w:rPr>
          <w:rFonts w:hint="eastAsia" w:ascii="宋体" w:hAnsi="宋体" w:cs="宋体"/>
          <w:sz w:val="24"/>
        </w:rPr>
        <w:t>18.6 投标文件统一用A4幅面纸印制。（生产厂家的白皮书、宣传资料、彩页资料等除外）</w:t>
      </w:r>
    </w:p>
    <w:p>
      <w:pPr>
        <w:pStyle w:val="6"/>
        <w:ind w:firstLine="0" w:firstLineChars="0"/>
        <w:rPr>
          <w:rFonts w:ascii="宋体" w:hAnsi="宋体" w:cs="宋体"/>
        </w:rPr>
      </w:pPr>
      <w:bookmarkStart w:id="116" w:name="_Toc183682363"/>
      <w:bookmarkStart w:id="117" w:name="_Toc183582226"/>
      <w:bookmarkStart w:id="118" w:name="_Toc77400781"/>
      <w:bookmarkStart w:id="119" w:name="_Toc89075877"/>
      <w:bookmarkStart w:id="120" w:name="_Toc217446053"/>
      <w:r>
        <w:rPr>
          <w:rFonts w:hint="eastAsia" w:ascii="宋体" w:hAnsi="宋体" w:cs="宋体"/>
        </w:rPr>
        <w:t xml:space="preserve">    19. 投标文件的密封和标</w:t>
      </w:r>
      <w:bookmarkEnd w:id="116"/>
      <w:bookmarkEnd w:id="117"/>
      <w:bookmarkEnd w:id="118"/>
      <w:bookmarkEnd w:id="119"/>
      <w:r>
        <w:rPr>
          <w:rFonts w:hint="eastAsia" w:ascii="宋体" w:hAnsi="宋体" w:cs="宋体"/>
        </w:rPr>
        <w:t>注</w:t>
      </w:r>
      <w:bookmarkEnd w:id="120"/>
    </w:p>
    <w:p>
      <w:pPr>
        <w:tabs>
          <w:tab w:val="left" w:pos="1080"/>
        </w:tabs>
        <w:spacing w:line="360" w:lineRule="auto"/>
        <w:outlineLvl w:val="5"/>
        <w:rPr>
          <w:rFonts w:ascii="宋体" w:hAnsi="宋体" w:cs="宋体"/>
          <w:sz w:val="24"/>
        </w:rPr>
      </w:pPr>
      <w:r>
        <w:rPr>
          <w:rFonts w:hint="eastAsia" w:ascii="宋体" w:hAnsi="宋体" w:cs="宋体"/>
          <w:b/>
          <w:sz w:val="28"/>
          <w:szCs w:val="28"/>
        </w:rPr>
        <w:t xml:space="preserve">  </w:t>
      </w:r>
      <w:r>
        <w:rPr>
          <w:rFonts w:hint="eastAsia" w:ascii="宋体" w:hAnsi="宋体" w:cs="宋体"/>
          <w:b/>
          <w:sz w:val="24"/>
        </w:rPr>
        <w:t xml:space="preserve"> </w:t>
      </w:r>
      <w:r>
        <w:rPr>
          <w:rFonts w:hint="eastAsia" w:ascii="宋体" w:hAnsi="宋体" w:cs="宋体"/>
          <w:sz w:val="24"/>
        </w:rPr>
        <w:t>19.1 投标人应在投标文件正本和所有副本的封面上注明投标人名称、招标编号、项目名称。</w:t>
      </w:r>
    </w:p>
    <w:p>
      <w:pPr>
        <w:tabs>
          <w:tab w:val="left" w:pos="1080"/>
        </w:tabs>
        <w:spacing w:line="360" w:lineRule="auto"/>
        <w:ind w:firstLine="460" w:firstLineChars="192"/>
        <w:rPr>
          <w:rFonts w:ascii="宋体" w:hAnsi="宋体" w:cs="宋体"/>
          <w:sz w:val="24"/>
        </w:rPr>
      </w:pPr>
      <w:r>
        <w:rPr>
          <w:rFonts w:hint="eastAsia" w:ascii="宋体" w:hAnsi="宋体" w:cs="宋体"/>
          <w:sz w:val="24"/>
        </w:rPr>
        <w:t>19.2 投标文件包括正本、副本和用于开标唱标单独提交的“开标一览表”。投标文件应当密封，其中，“开标一览表”单独密封。密封袋上应分别标上“正本”、“副本”、“开标一览表”、字样，并注明投标人名称、招标编号、项目名称。</w:t>
      </w:r>
    </w:p>
    <w:p>
      <w:pPr>
        <w:pStyle w:val="6"/>
        <w:ind w:firstLine="480"/>
        <w:rPr>
          <w:rFonts w:ascii="宋体" w:hAnsi="宋体" w:cs="宋体"/>
        </w:rPr>
      </w:pPr>
      <w:bookmarkStart w:id="121" w:name="_Toc183582227"/>
      <w:bookmarkStart w:id="122" w:name="_Toc183682364"/>
      <w:bookmarkStart w:id="123" w:name="_Toc217446054"/>
      <w:r>
        <w:rPr>
          <w:rFonts w:hint="eastAsia" w:ascii="宋体" w:hAnsi="宋体" w:cs="宋体"/>
        </w:rPr>
        <w:t>20．投标文件的</w:t>
      </w:r>
      <w:bookmarkEnd w:id="121"/>
      <w:bookmarkEnd w:id="122"/>
      <w:r>
        <w:rPr>
          <w:rFonts w:hint="eastAsia" w:ascii="宋体" w:hAnsi="宋体" w:cs="宋体"/>
        </w:rPr>
        <w:t>递交</w:t>
      </w:r>
      <w:bookmarkEnd w:id="123"/>
    </w:p>
    <w:p>
      <w:pPr>
        <w:tabs>
          <w:tab w:val="left" w:pos="1095"/>
        </w:tabs>
        <w:spacing w:line="360" w:lineRule="auto"/>
        <w:ind w:firstLine="460" w:firstLineChars="192"/>
        <w:rPr>
          <w:rFonts w:ascii="宋体" w:hAnsi="宋体" w:cs="宋体"/>
          <w:sz w:val="24"/>
        </w:rPr>
      </w:pPr>
      <w:r>
        <w:rPr>
          <w:rFonts w:hint="eastAsia" w:ascii="宋体" w:hAnsi="宋体" w:cs="宋体"/>
          <w:sz w:val="24"/>
        </w:rPr>
        <w:t>20.1 投标人应在招标文件规定的投标截止时间前，将投标文件按招标文件的规定密封后送达开标地点。投标截止时间以后送达的投标文件将不予接收。</w:t>
      </w:r>
    </w:p>
    <w:p>
      <w:pPr>
        <w:tabs>
          <w:tab w:val="left" w:pos="1095"/>
        </w:tabs>
        <w:spacing w:line="360" w:lineRule="auto"/>
        <w:ind w:firstLine="460" w:firstLineChars="192"/>
        <w:rPr>
          <w:rFonts w:ascii="宋体" w:hAnsi="宋体" w:cs="宋体"/>
          <w:sz w:val="24"/>
        </w:rPr>
      </w:pPr>
      <w:r>
        <w:rPr>
          <w:rFonts w:hint="eastAsia" w:ascii="宋体" w:hAnsi="宋体" w:cs="宋体"/>
          <w:sz w:val="24"/>
        </w:rPr>
        <w:t>20.2递交投标文件时，报名供应商名称和招标文件的文号应当与投标供应商名称和招标文件的文号一致。但是，投标文件实质内容报名供应商名称和招标文件的编号一致，只是封面文字错误的，可以在评标过程中当面予以澄清，以有效的澄清材料作为认定投标文件是否有效的依据。</w:t>
      </w:r>
    </w:p>
    <w:p>
      <w:pPr>
        <w:tabs>
          <w:tab w:val="left" w:pos="1095"/>
        </w:tabs>
        <w:spacing w:line="360" w:lineRule="auto"/>
        <w:ind w:firstLine="460" w:firstLineChars="192"/>
        <w:rPr>
          <w:rFonts w:ascii="宋体" w:hAnsi="宋体" w:cs="宋体"/>
          <w:sz w:val="24"/>
        </w:rPr>
      </w:pPr>
      <w:r>
        <w:rPr>
          <w:rFonts w:hint="eastAsia" w:ascii="宋体" w:hAnsi="宋体" w:cs="宋体"/>
          <w:sz w:val="24"/>
        </w:rPr>
        <w:t>20.3本次招标不接收邮寄的投标文件。</w:t>
      </w:r>
    </w:p>
    <w:p>
      <w:pPr>
        <w:pStyle w:val="6"/>
        <w:ind w:firstLine="480"/>
        <w:rPr>
          <w:rFonts w:ascii="宋体" w:hAnsi="宋体" w:cs="宋体"/>
        </w:rPr>
      </w:pPr>
      <w:bookmarkStart w:id="124" w:name="_Toc183682365"/>
      <w:bookmarkStart w:id="125" w:name="_Toc183582228"/>
      <w:bookmarkStart w:id="126" w:name="_Toc217446055"/>
      <w:r>
        <w:rPr>
          <w:rFonts w:hint="eastAsia" w:ascii="宋体" w:hAnsi="宋体" w:cs="宋体"/>
        </w:rPr>
        <w:t>21．投标文件的修改和撤</w:t>
      </w:r>
      <w:bookmarkEnd w:id="124"/>
      <w:bookmarkEnd w:id="125"/>
      <w:r>
        <w:rPr>
          <w:rFonts w:hint="eastAsia" w:ascii="宋体" w:hAnsi="宋体" w:cs="宋体"/>
        </w:rPr>
        <w:t>回</w:t>
      </w:r>
      <w:bookmarkEnd w:id="126"/>
    </w:p>
    <w:p>
      <w:pPr>
        <w:spacing w:line="360" w:lineRule="auto"/>
        <w:ind w:firstLine="470" w:firstLineChars="196"/>
        <w:rPr>
          <w:rFonts w:ascii="宋体" w:hAnsi="宋体" w:cs="宋体"/>
          <w:sz w:val="24"/>
        </w:rPr>
      </w:pPr>
      <w:bookmarkStart w:id="127" w:name="_Toc22945"/>
      <w:bookmarkStart w:id="128" w:name="_Toc22907"/>
      <w:bookmarkStart w:id="129" w:name="_Toc217446065"/>
      <w:bookmarkStart w:id="130" w:name="_Toc183682377"/>
      <w:bookmarkStart w:id="131" w:name="_Toc183582240"/>
      <w:r>
        <w:rPr>
          <w:rFonts w:hint="eastAsia" w:ascii="宋体" w:hAnsi="宋体" w:cs="宋体"/>
          <w:sz w:val="24"/>
        </w:rPr>
        <w:t>21.1 投标人在递交了投标文件后，可以修改或撤回其投标文件，但必须在规定的投标截止时间前，以书面形式通知采购代理机构。</w:t>
      </w:r>
    </w:p>
    <w:p>
      <w:pPr>
        <w:spacing w:line="360" w:lineRule="auto"/>
        <w:ind w:firstLine="470" w:firstLineChars="196"/>
        <w:rPr>
          <w:rFonts w:ascii="宋体" w:hAnsi="宋体" w:cs="宋体"/>
          <w:sz w:val="24"/>
        </w:rPr>
      </w:pPr>
      <w:r>
        <w:rPr>
          <w:rFonts w:hint="eastAsia" w:ascii="宋体" w:hAnsi="宋体" w:cs="宋体"/>
          <w:sz w:val="24"/>
        </w:rPr>
        <w:t>21.2 投标人的修改书或撤回通知书，应由其法定代表人或授权代表签署并盖单位印章。修改书应按投标须知第19条规定进行密封和标注，并在密封袋上标注“修改”字样。</w:t>
      </w:r>
    </w:p>
    <w:p>
      <w:pPr>
        <w:spacing w:line="360" w:lineRule="auto"/>
        <w:ind w:firstLine="480"/>
        <w:rPr>
          <w:rFonts w:ascii="宋体" w:hAnsi="宋体" w:cs="宋体"/>
          <w:sz w:val="24"/>
        </w:rPr>
      </w:pPr>
      <w:r>
        <w:rPr>
          <w:rFonts w:hint="eastAsia" w:ascii="宋体" w:hAnsi="宋体" w:cs="宋体"/>
          <w:sz w:val="24"/>
        </w:rPr>
        <w:t>21.3 在投标截止时间之后，投标人不得对其递交的投标文件做任何修改，撤回投标的，将按照有关规定进行相应处理。</w:t>
      </w:r>
    </w:p>
    <w:p>
      <w:pPr>
        <w:pStyle w:val="5"/>
        <w:rPr>
          <w:rFonts w:ascii="宋体" w:hAnsi="宋体" w:eastAsia="宋体" w:cs="宋体"/>
        </w:rPr>
      </w:pPr>
      <w:r>
        <w:rPr>
          <w:rFonts w:hint="eastAsia" w:ascii="宋体" w:hAnsi="宋体" w:eastAsia="宋体" w:cs="宋体"/>
        </w:rPr>
        <w:t>五、开标和中标</w:t>
      </w:r>
      <w:bookmarkEnd w:id="127"/>
      <w:bookmarkEnd w:id="128"/>
    </w:p>
    <w:p>
      <w:pPr>
        <w:pStyle w:val="6"/>
        <w:ind w:firstLine="480"/>
        <w:rPr>
          <w:rFonts w:ascii="宋体" w:hAnsi="宋体" w:cs="宋体"/>
        </w:rPr>
      </w:pPr>
      <w:bookmarkStart w:id="132" w:name="_Toc217446057"/>
      <w:bookmarkStart w:id="133" w:name="_Toc183682369"/>
      <w:bookmarkStart w:id="134" w:name="_Toc183582232"/>
      <w:r>
        <w:rPr>
          <w:rFonts w:hint="eastAsia" w:ascii="宋体" w:hAnsi="宋体" w:cs="宋体"/>
        </w:rPr>
        <w:t>22．开标</w:t>
      </w:r>
      <w:bookmarkEnd w:id="132"/>
      <w:bookmarkEnd w:id="133"/>
      <w:bookmarkEnd w:id="134"/>
    </w:p>
    <w:p>
      <w:pPr>
        <w:spacing w:before="120" w:line="360" w:lineRule="auto"/>
        <w:ind w:firstLine="480" w:firstLineChars="200"/>
        <w:rPr>
          <w:rFonts w:ascii="宋体" w:hAnsi="宋体" w:cs="宋体"/>
          <w:sz w:val="24"/>
        </w:rPr>
      </w:pPr>
      <w:bookmarkStart w:id="135" w:name="_Toc217446058"/>
      <w:r>
        <w:rPr>
          <w:rFonts w:hint="eastAsia" w:ascii="宋体" w:hAnsi="宋体" w:cs="宋体"/>
          <w:sz w:val="24"/>
        </w:rPr>
        <w:t>22.1 开标在招标文件规定的时间和地点公开进行，采购人、投标人须派代表参加并签到以证明其出席。开标由采购代理机构主持，采购人、投标人代表参加。评标专家不参加开标活动。</w:t>
      </w:r>
    </w:p>
    <w:p>
      <w:pPr>
        <w:spacing w:line="360" w:lineRule="auto"/>
        <w:ind w:firstLine="480" w:firstLineChars="200"/>
        <w:rPr>
          <w:rFonts w:ascii="宋体" w:hAnsi="宋体" w:cs="宋体"/>
          <w:sz w:val="24"/>
        </w:rPr>
      </w:pPr>
      <w:r>
        <w:rPr>
          <w:rFonts w:hint="eastAsia" w:ascii="宋体" w:hAnsi="宋体" w:cs="宋体"/>
          <w:sz w:val="24"/>
        </w:rPr>
        <w:t>22.2 开标时，可能根据具体情况邀请有关监督管理部门对开标活动进行现场监督。</w:t>
      </w:r>
    </w:p>
    <w:p>
      <w:pPr>
        <w:spacing w:line="360" w:lineRule="auto"/>
        <w:ind w:firstLine="480" w:firstLineChars="200"/>
        <w:rPr>
          <w:rFonts w:ascii="宋体" w:hAnsi="宋体" w:cs="宋体"/>
          <w:sz w:val="24"/>
        </w:rPr>
      </w:pPr>
      <w:r>
        <w:rPr>
          <w:rFonts w:hint="eastAsia" w:ascii="宋体" w:hAnsi="宋体" w:cs="宋体"/>
          <w:sz w:val="24"/>
        </w:rPr>
        <w:t>22.3 开标时，由投标人或者其推选的代表先检查其自己递交的投标文件的密封情况，经确认无误后，由招标工作人员将投标人单独递交的“开标一览表”当众拆封，并由唱标人员按照招标文件规定的内容进行宣读。</w:t>
      </w:r>
    </w:p>
    <w:p>
      <w:pPr>
        <w:snapToGrid w:val="0"/>
        <w:spacing w:line="360" w:lineRule="auto"/>
        <w:ind w:firstLine="480" w:firstLineChars="200"/>
        <w:rPr>
          <w:rFonts w:ascii="宋体" w:hAnsi="宋体" w:cs="宋体"/>
          <w:sz w:val="24"/>
        </w:rPr>
      </w:pPr>
      <w:r>
        <w:rPr>
          <w:rFonts w:hint="eastAsia" w:ascii="宋体" w:hAnsi="宋体" w:cs="宋体"/>
          <w:sz w:val="24"/>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pPr>
        <w:snapToGrid w:val="0"/>
        <w:spacing w:line="360" w:lineRule="auto"/>
        <w:ind w:firstLine="480" w:firstLineChars="200"/>
        <w:rPr>
          <w:rFonts w:ascii="宋体" w:hAnsi="宋体" w:cs="宋体"/>
          <w:sz w:val="24"/>
        </w:rPr>
      </w:pPr>
      <w:r>
        <w:rPr>
          <w:rFonts w:hint="eastAsia" w:ascii="宋体" w:hAnsi="宋体" w:cs="宋体"/>
          <w:sz w:val="24"/>
        </w:rPr>
        <w:t>22.4 开标时，“开标一览表”中的大写金额与小写金额不一致的，以大写金额为准；总价金额与按单价计算的汇总金额不一致的，以单价计算的汇总金额为准；单价金额有明显小数点错误的，以总价为准，并修改单价。</w:t>
      </w:r>
    </w:p>
    <w:p>
      <w:pPr>
        <w:snapToGrid w:val="0"/>
        <w:spacing w:line="360" w:lineRule="auto"/>
        <w:ind w:firstLine="480" w:firstLineChars="200"/>
        <w:rPr>
          <w:rFonts w:ascii="宋体" w:hAnsi="宋体" w:cs="宋体"/>
          <w:sz w:val="24"/>
        </w:rPr>
      </w:pPr>
      <w:r>
        <w:rPr>
          <w:rFonts w:hint="eastAsia" w:ascii="宋体" w:hAnsi="宋体" w:cs="宋体"/>
          <w:sz w:val="24"/>
        </w:rPr>
        <w:t>22.5 投标文件中有关明细表内容与“开标一览表”不一致的，以“开标一览表”为准。对不同文字文本投标文件的解释发生异议的，以中文文本为准。</w:t>
      </w:r>
    </w:p>
    <w:p>
      <w:pPr>
        <w:snapToGrid w:val="0"/>
        <w:spacing w:line="360" w:lineRule="auto"/>
        <w:ind w:firstLine="480" w:firstLineChars="200"/>
        <w:rPr>
          <w:rFonts w:ascii="宋体" w:hAnsi="宋体" w:cs="宋体"/>
          <w:sz w:val="24"/>
        </w:rPr>
      </w:pPr>
      <w:r>
        <w:rPr>
          <w:rFonts w:hint="eastAsia" w:ascii="宋体" w:hAnsi="宋体" w:cs="宋体"/>
          <w:sz w:val="24"/>
        </w:rPr>
        <w:t>22.6 所有投标唱标完毕，如投标人代表对宣读的“开标一览表”上的内容有异议的，应在获得开标会主持人同意后当场提出。如确实属于唱标人员宣读错了的，经现场监督人员核实后，当场予以更正。</w:t>
      </w:r>
    </w:p>
    <w:p>
      <w:pPr>
        <w:snapToGrid w:val="0"/>
        <w:spacing w:line="360" w:lineRule="auto"/>
        <w:ind w:firstLine="480" w:firstLineChars="200"/>
        <w:rPr>
          <w:rFonts w:ascii="宋体" w:hAnsi="宋体" w:cs="宋体"/>
          <w:sz w:val="24"/>
        </w:rPr>
      </w:pPr>
      <w:r>
        <w:rPr>
          <w:rFonts w:hint="eastAsia" w:ascii="宋体" w:hAnsi="宋体" w:cs="宋体"/>
          <w:sz w:val="24"/>
        </w:rPr>
        <w:t>22.7 开标时属于下列情况之一的，将作为无效投标处理:</w:t>
      </w:r>
    </w:p>
    <w:p>
      <w:pPr>
        <w:snapToGrid w:val="0"/>
        <w:spacing w:line="360" w:lineRule="auto"/>
        <w:ind w:firstLine="482" w:firstLineChars="200"/>
        <w:rPr>
          <w:rFonts w:ascii="宋体" w:hAnsi="宋体" w:cs="宋体"/>
          <w:b/>
          <w:sz w:val="24"/>
        </w:rPr>
      </w:pPr>
      <w:r>
        <w:rPr>
          <w:rFonts w:hint="eastAsia" w:ascii="宋体" w:hAnsi="宋体" w:cs="宋体"/>
          <w:b/>
          <w:sz w:val="24"/>
        </w:rPr>
        <w:t>（1）除本招标文件规定的情形以外，单独提交的“开标一览表”未按要求签字、盖章；</w:t>
      </w:r>
    </w:p>
    <w:p>
      <w:pPr>
        <w:snapToGrid w:val="0"/>
        <w:spacing w:line="360" w:lineRule="auto"/>
        <w:rPr>
          <w:rFonts w:ascii="宋体" w:hAnsi="宋体" w:cs="宋体"/>
          <w:b/>
          <w:sz w:val="24"/>
        </w:rPr>
      </w:pPr>
      <w:r>
        <w:rPr>
          <w:rFonts w:hint="eastAsia" w:ascii="宋体" w:hAnsi="宋体" w:cs="宋体"/>
          <w:b/>
          <w:sz w:val="24"/>
        </w:rPr>
        <w:t xml:space="preserve">    （2）没有提供单独递交用于开标的“开标一览表”的。</w:t>
      </w:r>
    </w:p>
    <w:p>
      <w:pPr>
        <w:pStyle w:val="6"/>
        <w:ind w:firstLine="480"/>
        <w:rPr>
          <w:rFonts w:ascii="宋体" w:hAnsi="宋体" w:cs="宋体"/>
        </w:rPr>
      </w:pPr>
      <w:r>
        <w:rPr>
          <w:rFonts w:hint="eastAsia" w:ascii="宋体" w:hAnsi="宋体" w:cs="宋体"/>
        </w:rPr>
        <w:t>23. 开标程序</w:t>
      </w:r>
      <w:bookmarkEnd w:id="135"/>
    </w:p>
    <w:p>
      <w:pPr>
        <w:spacing w:line="360" w:lineRule="auto"/>
        <w:ind w:firstLine="480" w:firstLineChars="200"/>
        <w:outlineLvl w:val="5"/>
        <w:rPr>
          <w:rFonts w:ascii="宋体" w:hAnsi="宋体" w:cs="宋体"/>
          <w:sz w:val="24"/>
        </w:rPr>
      </w:pPr>
      <w:r>
        <w:rPr>
          <w:rFonts w:hint="eastAsia" w:ascii="宋体" w:hAnsi="宋体" w:cs="宋体"/>
          <w:sz w:val="24"/>
        </w:rPr>
        <w:t>开标会主持人按照招标文件规定的开标时间宣布开标，按照规定要求主持开标会。开标将按以下程序进行：</w:t>
      </w:r>
    </w:p>
    <w:p>
      <w:pPr>
        <w:spacing w:line="360" w:lineRule="auto"/>
        <w:ind w:firstLine="480" w:firstLineChars="200"/>
        <w:rPr>
          <w:rFonts w:ascii="宋体" w:hAnsi="宋体" w:cs="宋体"/>
          <w:sz w:val="24"/>
        </w:rPr>
      </w:pPr>
      <w:r>
        <w:rPr>
          <w:rFonts w:hint="eastAsia" w:ascii="宋体" w:hAnsi="宋体" w:cs="宋体"/>
          <w:sz w:val="24"/>
        </w:rPr>
        <w:t>（1）宣布开标会开始，开标由采购代理机构主持，邀请投标人参加。根据“供应商签到表”宣布参加投标的供应商名单。</w:t>
      </w:r>
    </w:p>
    <w:p>
      <w:pPr>
        <w:spacing w:line="360" w:lineRule="auto"/>
        <w:ind w:firstLine="480" w:firstLineChars="200"/>
        <w:outlineLvl w:val="5"/>
        <w:rPr>
          <w:rFonts w:ascii="宋体" w:hAnsi="宋体" w:cs="宋体"/>
          <w:sz w:val="24"/>
        </w:rPr>
      </w:pPr>
      <w:r>
        <w:rPr>
          <w:rFonts w:hint="eastAsia" w:ascii="宋体" w:hAnsi="宋体" w:cs="宋体"/>
          <w:sz w:val="24"/>
        </w:rPr>
        <w:t>（2）宣布会场纪律和有关注意事项。</w:t>
      </w:r>
    </w:p>
    <w:p>
      <w:pPr>
        <w:spacing w:line="360" w:lineRule="auto"/>
        <w:ind w:firstLine="480" w:firstLineChars="200"/>
        <w:outlineLvl w:val="5"/>
        <w:rPr>
          <w:rFonts w:ascii="宋体" w:hAnsi="宋体" w:cs="宋体"/>
          <w:sz w:val="24"/>
        </w:rPr>
      </w:pPr>
      <w:r>
        <w:rPr>
          <w:rFonts w:hint="eastAsia" w:ascii="宋体" w:hAnsi="宋体" w:cs="宋体"/>
          <w:sz w:val="24"/>
        </w:rPr>
        <w:t>（3）根据投标人或者其推选的代表对投标文件密封的检查结果，当众宣布投标文件的密封情况。</w:t>
      </w:r>
    </w:p>
    <w:p>
      <w:pPr>
        <w:spacing w:line="360" w:lineRule="auto"/>
        <w:ind w:firstLine="460" w:firstLineChars="192"/>
        <w:outlineLvl w:val="5"/>
        <w:rPr>
          <w:rFonts w:ascii="宋体" w:hAnsi="宋体" w:cs="宋体"/>
          <w:sz w:val="24"/>
        </w:rPr>
      </w:pPr>
      <w:r>
        <w:rPr>
          <w:rFonts w:hint="eastAsia" w:ascii="宋体" w:hAnsi="宋体" w:cs="宋体"/>
          <w:sz w:val="24"/>
        </w:rPr>
        <w:t>（4）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spacing w:line="360" w:lineRule="auto"/>
        <w:ind w:firstLine="480" w:firstLineChars="200"/>
        <w:rPr>
          <w:rFonts w:ascii="宋体" w:hAnsi="宋体" w:cs="宋体"/>
          <w:sz w:val="24"/>
        </w:rPr>
      </w:pPr>
      <w:r>
        <w:rPr>
          <w:rFonts w:hint="eastAsia" w:ascii="宋体" w:hAnsi="宋体" w:cs="宋体"/>
          <w:sz w:val="24"/>
        </w:rPr>
        <w:t>（5）投标人代表对开标过程和开标记录有疑义，以及认为采购人、采购代理机构相关工作人员有需要回避的情形的，应当场提出询问或者回避申请。采购人、采购代理机构对投标人代表提出的询问或者回避申请应当及时处理。开标过程中未提出疑义或回避申请，事后提出的质疑将不予受理。</w:t>
      </w:r>
    </w:p>
    <w:p>
      <w:pPr>
        <w:spacing w:line="360" w:lineRule="auto"/>
        <w:ind w:firstLine="480" w:firstLineChars="200"/>
        <w:rPr>
          <w:rFonts w:ascii="宋体" w:hAnsi="宋体" w:cs="宋体"/>
          <w:sz w:val="24"/>
        </w:rPr>
      </w:pPr>
      <w:r>
        <w:rPr>
          <w:rFonts w:hint="eastAsia" w:ascii="宋体" w:hAnsi="宋体" w:cs="宋体"/>
          <w:sz w:val="24"/>
        </w:rPr>
        <w:t>（6）宣布开标会结束。主持人宣布开标会结束。所有投标人代表应立即退场（招标文件要求有演示、介绍等的除外）。同时所有投标人应保持通讯设备的畅通，以方便在评标过程中评标委员会要求投标人对投标文件的必要澄清。评标结果投标人在“四川政府采购网”上查询。</w:t>
      </w:r>
    </w:p>
    <w:p>
      <w:pPr>
        <w:spacing w:line="360" w:lineRule="auto"/>
        <w:ind w:firstLine="480" w:firstLineChars="200"/>
        <w:rPr>
          <w:rFonts w:ascii="宋体" w:hAnsi="宋体" w:cs="宋体"/>
          <w:sz w:val="24"/>
        </w:rPr>
      </w:pPr>
      <w:r>
        <w:rPr>
          <w:rFonts w:hint="eastAsia" w:ascii="宋体" w:hAnsi="宋体" w:cs="宋体"/>
          <w:sz w:val="24"/>
        </w:rPr>
        <w:t>投标人未参加开标的，视同认可开标结果。</w:t>
      </w:r>
      <w:bookmarkEnd w:id="129"/>
      <w:bookmarkEnd w:id="130"/>
      <w:bookmarkEnd w:id="131"/>
    </w:p>
    <w:p>
      <w:pPr>
        <w:pStyle w:val="6"/>
        <w:ind w:firstLine="420" w:firstLineChars="0"/>
        <w:rPr>
          <w:rFonts w:ascii="宋体" w:hAnsi="宋体" w:cs="宋体"/>
        </w:rPr>
      </w:pPr>
      <w:bookmarkStart w:id="136" w:name="_Toc183682375"/>
      <w:bookmarkStart w:id="137" w:name="_Toc183582238"/>
      <w:bookmarkStart w:id="138" w:name="_Toc217446063"/>
      <w:r>
        <w:rPr>
          <w:rFonts w:hint="eastAsia" w:ascii="宋体" w:hAnsi="宋体" w:cs="宋体"/>
        </w:rPr>
        <w:t>24. 开评标过程存档</w:t>
      </w:r>
    </w:p>
    <w:p>
      <w:pPr>
        <w:spacing w:before="120" w:beforeLines="50" w:line="360" w:lineRule="auto"/>
        <w:ind w:firstLine="480" w:firstLineChars="200"/>
        <w:rPr>
          <w:rFonts w:ascii="宋体" w:hAnsi="宋体" w:cs="宋体"/>
          <w:sz w:val="24"/>
        </w:rPr>
      </w:pPr>
      <w:r>
        <w:rPr>
          <w:rFonts w:hint="eastAsia" w:ascii="宋体" w:hAnsi="宋体" w:cs="宋体"/>
          <w:sz w:val="24"/>
        </w:rPr>
        <w:t>开标和评标过程进行全过程电子监控，并将电子监控资料存储介质留存归档。</w:t>
      </w:r>
    </w:p>
    <w:p>
      <w:pPr>
        <w:pStyle w:val="6"/>
        <w:ind w:firstLine="480"/>
        <w:rPr>
          <w:rFonts w:ascii="宋体" w:hAnsi="宋体" w:cs="宋体"/>
        </w:rPr>
      </w:pPr>
      <w:r>
        <w:rPr>
          <w:rFonts w:hint="eastAsia" w:ascii="宋体" w:hAnsi="宋体" w:cs="宋体"/>
        </w:rPr>
        <w:t>25. 评标情况公告</w:t>
      </w:r>
    </w:p>
    <w:p>
      <w:pPr>
        <w:spacing w:before="120" w:beforeLines="50" w:line="360" w:lineRule="auto"/>
        <w:ind w:firstLine="480" w:firstLineChars="200"/>
        <w:rPr>
          <w:rFonts w:ascii="宋体" w:hAnsi="宋体" w:cs="宋体"/>
          <w:sz w:val="24"/>
        </w:rPr>
      </w:pPr>
      <w:r>
        <w:rPr>
          <w:rFonts w:hint="eastAsia" w:ascii="宋体" w:hAnsi="宋体" w:cs="宋体"/>
          <w:sz w:val="24"/>
        </w:rPr>
        <w:t>所有供应商投标文件资格性、符合性检查情况、采用综合评分法时的总得分和分项汇总得分情况、评标结果等将在“四川政府采购网”上采购结果公告栏中予以公告。</w:t>
      </w:r>
    </w:p>
    <w:p>
      <w:pPr>
        <w:pStyle w:val="6"/>
        <w:ind w:firstLine="480"/>
        <w:rPr>
          <w:rFonts w:ascii="宋体" w:hAnsi="宋体" w:cs="宋体"/>
        </w:rPr>
      </w:pPr>
      <w:r>
        <w:rPr>
          <w:rFonts w:hint="eastAsia" w:ascii="宋体" w:hAnsi="宋体" w:cs="宋体"/>
        </w:rPr>
        <w:t>26. 中标通知</w:t>
      </w:r>
      <w:bookmarkEnd w:id="136"/>
      <w:bookmarkEnd w:id="137"/>
      <w:r>
        <w:rPr>
          <w:rFonts w:hint="eastAsia" w:ascii="宋体" w:hAnsi="宋体" w:cs="宋体"/>
        </w:rPr>
        <w:t>书</w:t>
      </w:r>
      <w:bookmarkEnd w:id="138"/>
    </w:p>
    <w:p>
      <w:pPr>
        <w:tabs>
          <w:tab w:val="left" w:pos="7665"/>
        </w:tabs>
        <w:adjustRightInd w:val="0"/>
        <w:snapToGrid w:val="0"/>
        <w:spacing w:line="360" w:lineRule="auto"/>
        <w:ind w:firstLine="480" w:firstLineChars="200"/>
        <w:rPr>
          <w:rFonts w:ascii="宋体" w:hAnsi="宋体" w:cs="宋体"/>
          <w:sz w:val="24"/>
        </w:rPr>
      </w:pPr>
      <w:r>
        <w:rPr>
          <w:rFonts w:hint="eastAsia" w:ascii="宋体" w:hAnsi="宋体" w:cs="宋体"/>
          <w:sz w:val="24"/>
        </w:rPr>
        <w:t>26</w:t>
      </w:r>
      <w:r>
        <w:rPr>
          <w:rFonts w:hint="eastAsia" w:ascii="宋体" w:hAnsi="宋体" w:cs="宋体"/>
          <w:bCs/>
          <w:sz w:val="24"/>
        </w:rPr>
        <w:t>.</w:t>
      </w:r>
      <w:r>
        <w:rPr>
          <w:rFonts w:hint="eastAsia" w:ascii="宋体" w:hAnsi="宋体" w:cs="宋体"/>
          <w:sz w:val="24"/>
        </w:rPr>
        <w:t>1 中标通知书为签订政府采购合同的依据之一，是合同的有效组成部分。</w:t>
      </w:r>
    </w:p>
    <w:p>
      <w:pPr>
        <w:tabs>
          <w:tab w:val="left" w:pos="7665"/>
        </w:tabs>
        <w:adjustRightInd w:val="0"/>
        <w:snapToGrid w:val="0"/>
        <w:spacing w:line="360" w:lineRule="auto"/>
        <w:ind w:firstLine="480"/>
        <w:rPr>
          <w:rFonts w:ascii="宋体" w:hAnsi="宋体" w:cs="宋体"/>
          <w:sz w:val="24"/>
        </w:rPr>
      </w:pPr>
      <w:r>
        <w:rPr>
          <w:rFonts w:hint="eastAsia" w:ascii="宋体" w:hAnsi="宋体" w:cs="宋体"/>
          <w:sz w:val="24"/>
        </w:rPr>
        <w:t>26.2 中标通知书对采购人和中标人均具有法律效力。中标通知书发出后，采购人改变中标结果，或者中标人无正当理由放弃中标的，应当承担相应的法律责任。</w:t>
      </w:r>
    </w:p>
    <w:p>
      <w:pPr>
        <w:tabs>
          <w:tab w:val="left" w:pos="7665"/>
        </w:tabs>
        <w:adjustRightInd w:val="0"/>
        <w:snapToGrid w:val="0"/>
        <w:spacing w:line="360" w:lineRule="auto"/>
        <w:ind w:firstLine="480"/>
        <w:rPr>
          <w:rFonts w:ascii="宋体" w:hAnsi="宋体" w:cs="宋体"/>
          <w:sz w:val="24"/>
        </w:rPr>
      </w:pPr>
      <w:r>
        <w:rPr>
          <w:rFonts w:hint="eastAsia" w:ascii="宋体" w:hAnsi="宋体" w:cs="宋体"/>
          <w:sz w:val="24"/>
        </w:rPr>
        <w:t>26.3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adjustRightInd w:val="0"/>
        <w:snapToGrid w:val="0"/>
        <w:spacing w:line="360" w:lineRule="auto"/>
        <w:ind w:firstLine="480"/>
        <w:rPr>
          <w:rFonts w:ascii="宋体" w:hAnsi="宋体" w:cs="宋体"/>
          <w:sz w:val="24"/>
        </w:rPr>
      </w:pPr>
      <w:r>
        <w:rPr>
          <w:rFonts w:hint="eastAsia" w:ascii="宋体" w:hAnsi="宋体" w:cs="宋体"/>
          <w:sz w:val="24"/>
        </w:rPr>
        <w:t>26.4中标公告发出后，中标供应商自行领取中标通知书的，可凭有效身份证明证件（单位介绍信和个人身份证）到采购代理机构处领取中标通知书。</w:t>
      </w:r>
    </w:p>
    <w:p>
      <w:pPr>
        <w:pStyle w:val="5"/>
        <w:rPr>
          <w:rFonts w:ascii="宋体" w:hAnsi="宋体" w:eastAsia="宋体" w:cs="宋体"/>
        </w:rPr>
      </w:pPr>
      <w:r>
        <w:rPr>
          <w:rFonts w:hint="eastAsia" w:ascii="宋体" w:hAnsi="宋体" w:eastAsia="宋体" w:cs="宋体"/>
        </w:rPr>
        <w:t>六、签订及履行合同和验收</w:t>
      </w:r>
    </w:p>
    <w:p>
      <w:pPr>
        <w:pStyle w:val="6"/>
        <w:ind w:firstLine="480"/>
        <w:rPr>
          <w:rFonts w:ascii="宋体" w:hAnsi="宋体" w:cs="宋体"/>
        </w:rPr>
      </w:pPr>
      <w:r>
        <w:rPr>
          <w:rFonts w:hint="eastAsia" w:ascii="宋体" w:hAnsi="宋体" w:cs="宋体"/>
        </w:rPr>
        <w:t>27. 签订合同</w:t>
      </w:r>
    </w:p>
    <w:p>
      <w:pPr>
        <w:spacing w:line="360" w:lineRule="auto"/>
        <w:ind w:firstLine="480" w:firstLineChars="200"/>
        <w:rPr>
          <w:rFonts w:ascii="宋体" w:hAnsi="宋体" w:cs="宋体"/>
          <w:sz w:val="24"/>
        </w:rPr>
      </w:pPr>
      <w:r>
        <w:rPr>
          <w:rFonts w:hint="eastAsia" w:ascii="宋体" w:hAnsi="宋体" w:cs="宋体"/>
          <w:sz w:val="24"/>
        </w:rPr>
        <w:t>27.1 中标人应在中标通知书发出之日起三十日内与采购人签订采购合同。由于中标人的原因逾期未与采购人签订采购合同的，将视为放弃中标，取消其中标资格并将按相关规定进行处理。</w:t>
      </w:r>
    </w:p>
    <w:p>
      <w:pPr>
        <w:spacing w:line="360" w:lineRule="auto"/>
        <w:ind w:firstLine="420" w:firstLineChars="175"/>
        <w:rPr>
          <w:rFonts w:ascii="宋体" w:hAnsi="宋体" w:cs="宋体"/>
          <w:sz w:val="24"/>
        </w:rPr>
      </w:pPr>
      <w:r>
        <w:rPr>
          <w:rFonts w:hint="eastAsia" w:ascii="宋体" w:hAnsi="宋体" w:cs="宋体"/>
          <w:sz w:val="24"/>
        </w:rPr>
        <w:t>27.2 采购人不得向中标人提出任何不合理的要求，作为签订合同的条件，不得与中标人私下订立背离合同实质性内容的任何协议，所签订的合同不得对招标文件和中标人投标文件确定的事项进行修改。</w:t>
      </w:r>
    </w:p>
    <w:p>
      <w:pPr>
        <w:pStyle w:val="40"/>
        <w:widowControl w:val="0"/>
        <w:shd w:val="clear" w:color="auto" w:fill="FFFFFF"/>
        <w:spacing w:before="0" w:beforeAutospacing="0" w:after="0" w:afterAutospacing="0" w:line="360" w:lineRule="auto"/>
        <w:ind w:firstLine="480" w:firstLineChars="200"/>
        <w:jc w:val="both"/>
        <w:textAlignment w:val="center"/>
        <w:rPr>
          <w:rFonts w:cs="宋体"/>
        </w:rPr>
      </w:pPr>
      <w:r>
        <w:rPr>
          <w:rFonts w:hint="eastAsia" w:cs="宋体"/>
        </w:rPr>
        <w:t>27.3中标人拒绝或因不可抗力原因不能履行采购合同或放弃中标的，采购人可以按照评标报告推荐的中标候选人名单排序，确定下一候选人为中标人，以此类推。也可以重新开展政府采购活动。</w:t>
      </w:r>
    </w:p>
    <w:p>
      <w:pPr>
        <w:spacing w:line="360" w:lineRule="auto"/>
        <w:ind w:firstLine="420" w:firstLineChars="175"/>
        <w:rPr>
          <w:rFonts w:ascii="宋体" w:hAnsi="宋体" w:cs="宋体"/>
          <w:sz w:val="24"/>
        </w:rPr>
      </w:pPr>
      <w:r>
        <w:rPr>
          <w:rFonts w:hint="eastAsia" w:ascii="宋体" w:hAnsi="宋体" w:cs="宋体"/>
          <w:sz w:val="24"/>
        </w:rPr>
        <w:t>27.4 中标人在合同签订之后三个工作日内，将签订的合同（一份）送采购代理机构财务科室。签订的合同编号按照本项目中标通知书上的编号执行。</w:t>
      </w:r>
    </w:p>
    <w:p>
      <w:pPr>
        <w:spacing w:line="360" w:lineRule="auto"/>
        <w:ind w:firstLine="420" w:firstLineChars="175"/>
        <w:rPr>
          <w:rFonts w:ascii="宋体" w:hAnsi="宋体" w:cs="宋体"/>
          <w:sz w:val="24"/>
        </w:rPr>
      </w:pPr>
      <w:r>
        <w:rPr>
          <w:rFonts w:hint="eastAsia" w:ascii="宋体" w:hAnsi="宋体" w:cs="宋体"/>
          <w:sz w:val="24"/>
        </w:rPr>
        <w:t>27.5中标人在合同履行验收后三个工作日内，将采购人出具的验收书（一份）送采购代理机构财务科室。</w:t>
      </w:r>
    </w:p>
    <w:p>
      <w:pPr>
        <w:pStyle w:val="6"/>
        <w:ind w:firstLine="480"/>
        <w:rPr>
          <w:rFonts w:ascii="宋体" w:hAnsi="宋体" w:cs="宋体"/>
        </w:rPr>
      </w:pPr>
      <w:bookmarkStart w:id="139" w:name="_Toc217446066"/>
      <w:r>
        <w:rPr>
          <w:rFonts w:hint="eastAsia" w:ascii="宋体" w:hAnsi="宋体" w:cs="宋体"/>
        </w:rPr>
        <w:t>28. 合同分包</w:t>
      </w:r>
      <w:bookmarkEnd w:id="139"/>
      <w:r>
        <w:rPr>
          <w:rFonts w:hint="eastAsia" w:ascii="宋体" w:hAnsi="宋体" w:cs="宋体"/>
        </w:rPr>
        <w:t>（实质性要求）</w:t>
      </w:r>
    </w:p>
    <w:p>
      <w:pPr>
        <w:adjustRightInd w:val="0"/>
        <w:snapToGrid w:val="0"/>
        <w:spacing w:line="360" w:lineRule="auto"/>
        <w:ind w:firstLine="540" w:firstLineChars="225"/>
        <w:rPr>
          <w:rFonts w:ascii="宋体" w:hAnsi="宋体" w:cs="宋体"/>
          <w:sz w:val="24"/>
        </w:rPr>
      </w:pPr>
      <w:bookmarkStart w:id="140" w:name="_Toc217446067"/>
      <w:r>
        <w:rPr>
          <w:rFonts w:hint="eastAsia" w:ascii="宋体" w:hAnsi="宋体" w:cs="宋体"/>
          <w:sz w:val="24"/>
        </w:rPr>
        <w:t>28.1 经采购人同意，中标人可以依法采取分包方式履行合同。这种要求应当在合同签订之前征得采购人同意，并且分包供应商履行的分包项目的品牌、规格型号及技术要求等，必须与中标的一致。</w:t>
      </w:r>
    </w:p>
    <w:p>
      <w:pPr>
        <w:adjustRightInd w:val="0"/>
        <w:snapToGrid w:val="0"/>
        <w:spacing w:line="360" w:lineRule="auto"/>
        <w:ind w:firstLine="540" w:firstLineChars="225"/>
        <w:rPr>
          <w:rFonts w:ascii="宋体" w:hAnsi="宋体" w:cs="宋体"/>
          <w:sz w:val="24"/>
        </w:rPr>
      </w:pPr>
      <w:r>
        <w:rPr>
          <w:rFonts w:hint="eastAsia" w:ascii="宋体" w:hAnsi="宋体" w:cs="宋体"/>
          <w:sz w:val="24"/>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360" w:lineRule="auto"/>
        <w:ind w:firstLine="540" w:firstLineChars="225"/>
        <w:rPr>
          <w:rFonts w:ascii="宋体" w:hAnsi="宋体" w:cs="宋体"/>
          <w:sz w:val="24"/>
        </w:rPr>
      </w:pPr>
      <w:r>
        <w:rPr>
          <w:rFonts w:hint="eastAsia" w:ascii="宋体" w:hAnsi="宋体" w:cs="宋体"/>
          <w:sz w:val="24"/>
        </w:rPr>
        <w:t>28.2 采购合同实行分包履行的，中标人就采购项目和分包项目向采购人负责，分包供应商就分包项目承担责任。</w:t>
      </w:r>
    </w:p>
    <w:p>
      <w:pPr>
        <w:adjustRightInd w:val="0"/>
        <w:snapToGrid w:val="0"/>
        <w:spacing w:line="360" w:lineRule="auto"/>
        <w:ind w:firstLine="540" w:firstLineChars="225"/>
        <w:rPr>
          <w:rFonts w:ascii="宋体" w:hAnsi="宋体" w:cs="宋体"/>
          <w:sz w:val="24"/>
        </w:rPr>
      </w:pPr>
      <w:r>
        <w:rPr>
          <w:rFonts w:hint="eastAsia" w:ascii="宋体" w:hAnsi="宋体" w:cs="宋体"/>
          <w:sz w:val="24"/>
        </w:rPr>
        <w:t>28.3 中小企业根据《政府采购促进中小企业发展管理办法》（财库〔2020〕46号）的规定依据本办法规定享受扶持政策获得政府采购合同的，小微企业不得将合同分包给大中型企业，中型企业不得将合同分包给大型企业。</w:t>
      </w:r>
      <w:bookmarkEnd w:id="140"/>
    </w:p>
    <w:p>
      <w:pPr>
        <w:pStyle w:val="6"/>
        <w:ind w:firstLine="480"/>
        <w:rPr>
          <w:rFonts w:ascii="宋体" w:hAnsi="宋体" w:cs="宋体"/>
        </w:rPr>
      </w:pPr>
      <w:bookmarkStart w:id="141" w:name="_Toc217446069"/>
      <w:r>
        <w:rPr>
          <w:rFonts w:hint="eastAsia" w:ascii="宋体" w:hAnsi="宋体" w:cs="宋体"/>
        </w:rPr>
        <w:t>29.合同转包（实质性要求）</w:t>
      </w:r>
    </w:p>
    <w:p>
      <w:pPr>
        <w:adjustRightInd w:val="0"/>
        <w:snapToGrid w:val="0"/>
        <w:spacing w:line="360" w:lineRule="auto"/>
        <w:ind w:firstLine="540" w:firstLineChars="225"/>
        <w:rPr>
          <w:rFonts w:ascii="宋体" w:hAnsi="宋体" w:cs="宋体"/>
          <w:sz w:val="24"/>
        </w:rPr>
      </w:pPr>
      <w:r>
        <w:rPr>
          <w:rFonts w:hint="eastAsia" w:ascii="宋体" w:hAnsi="宋体" w:cs="宋体"/>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adjustRightInd w:val="0"/>
        <w:snapToGrid w:val="0"/>
        <w:spacing w:line="360" w:lineRule="auto"/>
        <w:ind w:firstLine="540" w:firstLineChars="225"/>
        <w:rPr>
          <w:rFonts w:ascii="宋体" w:hAnsi="宋体" w:cs="宋体"/>
          <w:sz w:val="24"/>
        </w:rPr>
      </w:pPr>
      <w:r>
        <w:rPr>
          <w:rFonts w:hint="eastAsia" w:ascii="宋体" w:hAnsi="宋体" w:cs="宋体"/>
          <w:sz w:val="24"/>
        </w:rPr>
        <w:t>中标人转包的，视同拒绝履行政府采购合同义务，将依法追究法律责任。</w:t>
      </w:r>
    </w:p>
    <w:p>
      <w:pPr>
        <w:pStyle w:val="6"/>
        <w:ind w:firstLine="480"/>
        <w:rPr>
          <w:rFonts w:ascii="宋体" w:hAnsi="宋体" w:cs="宋体"/>
        </w:rPr>
      </w:pPr>
      <w:r>
        <w:rPr>
          <w:rFonts w:hint="eastAsia" w:ascii="宋体" w:hAnsi="宋体" w:cs="宋体"/>
        </w:rPr>
        <w:t>30. 补充合同</w:t>
      </w:r>
    </w:p>
    <w:p>
      <w:pPr>
        <w:adjustRightInd w:val="0"/>
        <w:snapToGrid w:val="0"/>
        <w:spacing w:line="360" w:lineRule="auto"/>
        <w:ind w:firstLine="540" w:firstLineChars="225"/>
        <w:rPr>
          <w:rFonts w:ascii="宋体" w:hAnsi="宋体" w:cs="宋体"/>
          <w:sz w:val="24"/>
        </w:rPr>
      </w:pPr>
      <w:r>
        <w:rPr>
          <w:rFonts w:hint="eastAsia" w:ascii="宋体" w:hAnsi="宋体" w:cs="宋体"/>
          <w:sz w:val="24"/>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
        <w:ind w:firstLine="480"/>
        <w:rPr>
          <w:rFonts w:ascii="宋体" w:hAnsi="宋体" w:cs="宋体"/>
        </w:rPr>
      </w:pPr>
      <w:bookmarkStart w:id="142" w:name="_Toc308164812"/>
      <w:r>
        <w:rPr>
          <w:rFonts w:hint="eastAsia" w:ascii="宋体" w:hAnsi="宋体" w:cs="宋体"/>
        </w:rPr>
        <w:t>31. 履约保证金</w:t>
      </w:r>
      <w:bookmarkEnd w:id="142"/>
      <w:r>
        <w:rPr>
          <w:rFonts w:hint="eastAsia" w:ascii="宋体" w:hAnsi="宋体" w:cs="宋体"/>
        </w:rPr>
        <w:t>（实质性要求）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31.1 中标人应在合同签订之前交纳招标文件规定数额的履约保证金。</w:t>
      </w:r>
    </w:p>
    <w:p>
      <w:pPr>
        <w:spacing w:line="360" w:lineRule="auto"/>
        <w:ind w:firstLine="480" w:firstLineChars="200"/>
        <w:rPr>
          <w:rFonts w:ascii="宋体" w:hAnsi="宋体" w:cs="宋体"/>
          <w:sz w:val="24"/>
          <w:lang w:val="zh-CN"/>
        </w:rPr>
      </w:pPr>
      <w:r>
        <w:rPr>
          <w:rFonts w:hint="eastAsia" w:ascii="宋体" w:hAnsi="宋体" w:cs="宋体"/>
          <w:sz w:val="24"/>
        </w:rPr>
        <w:t>31.2 如果中标人在规定的合同签订时间内，没有按照招标文件的规定交纳履约保证金，且又无正当理由的，将视为放弃中标</w:t>
      </w:r>
      <w:r>
        <w:rPr>
          <w:rFonts w:hint="eastAsia" w:ascii="宋体" w:hAnsi="宋体" w:cs="宋体"/>
          <w:sz w:val="24"/>
          <w:lang w:val="zh-CN"/>
        </w:rPr>
        <w:t>。</w:t>
      </w:r>
    </w:p>
    <w:p>
      <w:pPr>
        <w:pStyle w:val="6"/>
        <w:ind w:firstLine="480"/>
        <w:rPr>
          <w:rFonts w:ascii="宋体" w:hAnsi="宋体" w:cs="宋体"/>
        </w:rPr>
      </w:pPr>
      <w:r>
        <w:rPr>
          <w:rFonts w:hint="eastAsia" w:ascii="宋体" w:hAnsi="宋体" w:cs="宋体"/>
        </w:rPr>
        <w:t>32.合同公告</w:t>
      </w:r>
    </w:p>
    <w:p>
      <w:pPr>
        <w:spacing w:line="360" w:lineRule="auto"/>
        <w:ind w:firstLine="480" w:firstLineChars="200"/>
        <w:rPr>
          <w:rFonts w:ascii="宋体" w:hAnsi="宋体" w:cs="宋体"/>
          <w:sz w:val="24"/>
        </w:rPr>
      </w:pPr>
      <w:r>
        <w:rPr>
          <w:rFonts w:hint="eastAsia" w:ascii="宋体" w:hAnsi="宋体" w:cs="宋体"/>
          <w:sz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pPr>
        <w:pStyle w:val="6"/>
        <w:ind w:firstLine="480"/>
        <w:rPr>
          <w:rFonts w:ascii="宋体" w:hAnsi="宋体" w:cs="宋体"/>
        </w:rPr>
      </w:pPr>
      <w:r>
        <w:rPr>
          <w:rFonts w:hint="eastAsia" w:ascii="宋体" w:hAnsi="宋体" w:cs="宋体"/>
        </w:rPr>
        <w:t>33.合同备案</w:t>
      </w:r>
    </w:p>
    <w:p>
      <w:pPr>
        <w:spacing w:line="360" w:lineRule="auto"/>
        <w:ind w:firstLine="480" w:firstLineChars="200"/>
        <w:rPr>
          <w:rFonts w:ascii="宋体" w:hAnsi="宋体" w:cs="宋体"/>
          <w:sz w:val="24"/>
        </w:rPr>
      </w:pPr>
      <w:r>
        <w:rPr>
          <w:rFonts w:hint="eastAsia" w:ascii="宋体" w:hAnsi="宋体" w:cs="宋体"/>
          <w:sz w:val="24"/>
        </w:rPr>
        <w:t>采购人应当将政府采购合同副本自签订（双方当事人均已签字盖章）之日起七个工作日内通过“四川政府采购网”报同级财政部门备案。</w:t>
      </w:r>
    </w:p>
    <w:p>
      <w:pPr>
        <w:pStyle w:val="6"/>
        <w:ind w:firstLine="480"/>
        <w:rPr>
          <w:rFonts w:ascii="宋体" w:hAnsi="宋体" w:cs="宋体"/>
        </w:rPr>
      </w:pPr>
      <w:r>
        <w:rPr>
          <w:rFonts w:hint="eastAsia" w:ascii="宋体" w:hAnsi="宋体" w:cs="宋体"/>
        </w:rPr>
        <w:t>34. 履行合同</w:t>
      </w:r>
    </w:p>
    <w:p>
      <w:pPr>
        <w:spacing w:line="360" w:lineRule="auto"/>
        <w:rPr>
          <w:rFonts w:ascii="宋体" w:hAnsi="宋体" w:cs="宋体"/>
          <w:sz w:val="24"/>
        </w:rPr>
      </w:pPr>
      <w:r>
        <w:rPr>
          <w:rFonts w:hint="eastAsia" w:ascii="宋体" w:hAnsi="宋体" w:cs="宋体"/>
          <w:sz w:val="24"/>
        </w:rPr>
        <w:t xml:space="preserve">    34.1 中标人与采购人签订合同后，合同双方应严格执行合同条款，履行合同规定的义务，保证合同的顺利完成。</w:t>
      </w:r>
    </w:p>
    <w:p>
      <w:pPr>
        <w:spacing w:line="360" w:lineRule="auto"/>
        <w:ind w:firstLine="480"/>
        <w:rPr>
          <w:rFonts w:ascii="宋体" w:hAnsi="宋体" w:cs="宋体"/>
          <w:sz w:val="24"/>
        </w:rPr>
      </w:pPr>
      <w:r>
        <w:rPr>
          <w:rFonts w:hint="eastAsia" w:ascii="宋体" w:hAnsi="宋体" w:cs="宋体"/>
          <w:sz w:val="24"/>
        </w:rPr>
        <w:t>34.2 在合同履行过程中，如发生合同纠纷，合同双方应按照《中华人民共和国民法典》的有关规定进行处理。</w:t>
      </w:r>
    </w:p>
    <w:p>
      <w:pPr>
        <w:spacing w:line="360" w:lineRule="auto"/>
        <w:ind w:firstLine="480"/>
        <w:rPr>
          <w:rFonts w:ascii="宋体" w:hAnsi="宋体" w:cs="宋体"/>
          <w:sz w:val="24"/>
        </w:rPr>
      </w:pPr>
      <w:r>
        <w:rPr>
          <w:rFonts w:hint="eastAsia" w:ascii="宋体" w:hAnsi="宋体" w:cs="宋体"/>
          <w:sz w:val="24"/>
        </w:rPr>
        <w:t>34.3政府采购货物、工程和服务项目中涉及商品包装和快递包装的，要参考《商品包装政府采购需求标准（试行）》《快递包装政府采购需求标准（试行）》包装需求标准执行。</w:t>
      </w:r>
    </w:p>
    <w:p>
      <w:pPr>
        <w:pStyle w:val="6"/>
        <w:ind w:firstLine="480"/>
        <w:rPr>
          <w:rFonts w:ascii="宋体" w:hAnsi="宋体" w:cs="宋体"/>
        </w:rPr>
      </w:pPr>
      <w:bookmarkStart w:id="143" w:name="_Toc308164814"/>
      <w:r>
        <w:rPr>
          <w:rFonts w:hint="eastAsia" w:ascii="宋体" w:hAnsi="宋体" w:cs="宋体"/>
        </w:rPr>
        <w:t>35. 验收</w:t>
      </w:r>
      <w:bookmarkEnd w:id="143"/>
    </w:p>
    <w:p>
      <w:pPr>
        <w:adjustRightInd w:val="0"/>
        <w:snapToGrid w:val="0"/>
        <w:spacing w:line="360" w:lineRule="auto"/>
        <w:ind w:firstLine="480" w:firstLineChars="200"/>
        <w:rPr>
          <w:rFonts w:ascii="宋体" w:hAnsi="宋体" w:cs="宋体"/>
          <w:sz w:val="24"/>
        </w:rPr>
      </w:pPr>
      <w:r>
        <w:rPr>
          <w:rFonts w:hint="eastAsia" w:ascii="宋体" w:hAnsi="宋体" w:cs="宋体"/>
          <w:sz w:val="24"/>
        </w:rPr>
        <w:t>35.1本项目采购人将严格按照《关于进一步加强政府采购需求和履约验收管理的指导意见》(财库〔2016〕205号)等政府采购相关法律法规执行，参考《四川省政府采购项目需求论证和履约验收管理办法》（川财采〔2015〕32号）的要求进行验收。验收时间：供应商提交验收申请，采购人在收到验收申请30日内组织验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35.2 </w:t>
      </w:r>
      <w:r>
        <w:rPr>
          <w:rFonts w:hint="eastAsia" w:hAnsi="宋体"/>
          <w:color w:val="000000"/>
          <w:sz w:val="24"/>
        </w:rPr>
        <w:t>验收结果合格的，中标人凭“验收结果”办理履约保证金的退付手续；验收结果不合格的，履约保证金将不予退还，也将不予支付采购资金，还可能会报本项目同级财政部门按照政府采购法律法规及</w:t>
      </w:r>
      <w:r>
        <w:rPr>
          <w:rFonts w:hAnsi="宋体" w:cs="宋体"/>
          <w:color w:val="000000"/>
          <w:sz w:val="24"/>
        </w:rPr>
        <w:t>《四川省公共资源交易领域严重失信联合惩戒实施办法》（川发改信用规〔2019〕405号）、《关于对政府采购领域严重违法失信主体开展联合惩戒的合作备忘录》（发改财金〔2018〕1614号）</w:t>
      </w:r>
      <w:r>
        <w:rPr>
          <w:rFonts w:hint="eastAsia" w:hAnsi="宋体"/>
          <w:color w:val="000000"/>
          <w:sz w:val="24"/>
        </w:rPr>
        <w:t>等有关规定给予行政处罚或者以失信行为记入诚信档案</w:t>
      </w:r>
      <w:r>
        <w:rPr>
          <w:rFonts w:hint="eastAsia" w:ascii="宋体" w:hAnsi="宋体" w:cs="宋体"/>
          <w:sz w:val="24"/>
        </w:rPr>
        <w:t>。</w:t>
      </w:r>
      <w:bookmarkEnd w:id="141"/>
      <w:bookmarkStart w:id="144" w:name="_Toc217446074"/>
      <w:bookmarkStart w:id="145" w:name="_Toc183682380"/>
      <w:bookmarkStart w:id="146" w:name="_Toc183582243"/>
    </w:p>
    <w:p>
      <w:pPr>
        <w:pStyle w:val="5"/>
        <w:rPr>
          <w:rFonts w:ascii="宋体" w:hAnsi="宋体" w:eastAsia="宋体" w:cs="宋体"/>
        </w:rPr>
      </w:pPr>
      <w:r>
        <w:rPr>
          <w:rFonts w:hint="eastAsia" w:ascii="宋体" w:hAnsi="宋体" w:eastAsia="宋体" w:cs="宋体"/>
        </w:rPr>
        <w:t>七、投标纪律要求</w:t>
      </w:r>
      <w:bookmarkEnd w:id="144"/>
    </w:p>
    <w:p>
      <w:pPr>
        <w:pStyle w:val="6"/>
        <w:ind w:firstLine="480"/>
        <w:rPr>
          <w:rFonts w:ascii="宋体" w:hAnsi="宋体" w:cs="宋体"/>
        </w:rPr>
      </w:pPr>
      <w:bookmarkStart w:id="147" w:name="_Toc217446075"/>
      <w:r>
        <w:rPr>
          <w:rFonts w:hint="eastAsia" w:ascii="宋体" w:hAnsi="宋体" w:cs="宋体"/>
        </w:rPr>
        <w:t>36. 投标人不得具有的情形</w:t>
      </w:r>
      <w:bookmarkEnd w:id="147"/>
    </w:p>
    <w:p>
      <w:pPr>
        <w:pStyle w:val="14"/>
        <w:spacing w:line="360" w:lineRule="auto"/>
        <w:ind w:firstLine="480"/>
        <w:rPr>
          <w:rFonts w:ascii="宋体" w:hAnsi="宋体" w:cs="宋体"/>
          <w:sz w:val="24"/>
        </w:rPr>
      </w:pPr>
      <w:bookmarkStart w:id="148" w:name="_Toc217446076"/>
      <w:r>
        <w:rPr>
          <w:rFonts w:hint="eastAsia" w:ascii="宋体" w:hAnsi="宋体" w:cs="宋体"/>
          <w:sz w:val="24"/>
        </w:rPr>
        <w:t>投标人参加本项目投标不得有下列情形：</w:t>
      </w:r>
    </w:p>
    <w:p>
      <w:pPr>
        <w:spacing w:line="360" w:lineRule="auto"/>
        <w:ind w:firstLine="460" w:firstLineChars="192"/>
        <w:rPr>
          <w:rFonts w:ascii="宋体" w:hAnsi="宋体" w:cs="宋体"/>
          <w:sz w:val="24"/>
        </w:rPr>
      </w:pPr>
      <w:r>
        <w:rPr>
          <w:rFonts w:hint="eastAsia" w:ascii="宋体" w:hAnsi="宋体" w:cs="宋体"/>
          <w:sz w:val="24"/>
        </w:rPr>
        <w:t>（1）提供虚假材料、承诺谋取中标；</w:t>
      </w:r>
    </w:p>
    <w:p>
      <w:pPr>
        <w:spacing w:line="360" w:lineRule="auto"/>
        <w:ind w:firstLine="460" w:firstLineChars="192"/>
        <w:rPr>
          <w:rFonts w:ascii="宋体" w:hAnsi="宋体" w:cs="宋体"/>
          <w:sz w:val="24"/>
        </w:rPr>
      </w:pPr>
      <w:r>
        <w:rPr>
          <w:rFonts w:hint="eastAsia" w:ascii="宋体" w:hAnsi="宋体" w:cs="宋体"/>
          <w:sz w:val="24"/>
        </w:rPr>
        <w:t>（2）采取不正当手段诋毁、排挤其他投标人；</w:t>
      </w:r>
    </w:p>
    <w:p>
      <w:pPr>
        <w:spacing w:line="360" w:lineRule="auto"/>
        <w:ind w:firstLine="480" w:firstLineChars="200"/>
        <w:rPr>
          <w:rFonts w:ascii="宋体" w:hAnsi="宋体" w:cs="宋体"/>
          <w:sz w:val="24"/>
        </w:rPr>
      </w:pPr>
      <w:r>
        <w:rPr>
          <w:rFonts w:hint="eastAsia" w:ascii="宋体" w:hAnsi="宋体" w:cs="宋体"/>
          <w:sz w:val="24"/>
        </w:rPr>
        <w:t>（3）与招标采购单位、其他投标人恶意串通；</w:t>
      </w:r>
    </w:p>
    <w:p>
      <w:pPr>
        <w:spacing w:line="360" w:lineRule="auto"/>
        <w:ind w:left="489" w:leftChars="233"/>
        <w:rPr>
          <w:rFonts w:ascii="宋体" w:hAnsi="宋体" w:cs="宋体"/>
          <w:sz w:val="24"/>
        </w:rPr>
      </w:pPr>
      <w:r>
        <w:rPr>
          <w:rFonts w:hint="eastAsia" w:ascii="宋体" w:hAnsi="宋体" w:cs="宋体"/>
          <w:sz w:val="24"/>
        </w:rPr>
        <w:t>（4）向招标采购单位、评标委员会成员行贿或者提供其他不正当利益；</w:t>
      </w:r>
    </w:p>
    <w:p>
      <w:pPr>
        <w:spacing w:line="360" w:lineRule="auto"/>
        <w:ind w:firstLine="460" w:firstLineChars="192"/>
        <w:rPr>
          <w:rFonts w:ascii="宋体" w:hAnsi="宋体" w:cs="宋体"/>
          <w:sz w:val="24"/>
        </w:rPr>
      </w:pPr>
      <w:r>
        <w:rPr>
          <w:rFonts w:hint="eastAsia" w:ascii="宋体" w:hAnsi="宋体" w:cs="宋体"/>
          <w:sz w:val="24"/>
        </w:rPr>
        <w:t>（5）在招标过程中与招标采购单位进行协商谈判；</w:t>
      </w:r>
    </w:p>
    <w:p>
      <w:pPr>
        <w:spacing w:line="360" w:lineRule="auto"/>
        <w:ind w:firstLine="460" w:firstLineChars="192"/>
        <w:rPr>
          <w:rFonts w:ascii="宋体" w:hAnsi="宋体" w:cs="宋体"/>
          <w:sz w:val="24"/>
        </w:rPr>
      </w:pPr>
      <w:r>
        <w:rPr>
          <w:rFonts w:hint="eastAsia" w:ascii="宋体" w:hAnsi="宋体" w:cs="宋体"/>
          <w:sz w:val="24"/>
        </w:rPr>
        <w:t>（6）中标或者成交后无正当理由拒不与采购人签订政府采购合同；</w:t>
      </w:r>
    </w:p>
    <w:p>
      <w:pPr>
        <w:spacing w:line="360" w:lineRule="auto"/>
        <w:ind w:firstLine="480" w:firstLineChars="200"/>
        <w:rPr>
          <w:rFonts w:ascii="宋体" w:hAnsi="宋体" w:cs="宋体"/>
          <w:sz w:val="24"/>
        </w:rPr>
      </w:pPr>
      <w:r>
        <w:rPr>
          <w:rFonts w:hint="eastAsia" w:ascii="宋体" w:hAnsi="宋体" w:cs="宋体"/>
          <w:sz w:val="24"/>
        </w:rPr>
        <w:t>（7）未按照招标（采购）文件确定的事项签订政府采购合同；</w:t>
      </w:r>
    </w:p>
    <w:p>
      <w:pPr>
        <w:spacing w:line="360" w:lineRule="auto"/>
        <w:ind w:firstLine="480" w:firstLineChars="200"/>
        <w:rPr>
          <w:rFonts w:ascii="宋体" w:hAnsi="宋体" w:cs="宋体"/>
          <w:sz w:val="24"/>
        </w:rPr>
      </w:pPr>
      <w:r>
        <w:rPr>
          <w:rFonts w:hint="eastAsia" w:ascii="宋体" w:hAnsi="宋体" w:cs="宋体"/>
          <w:sz w:val="24"/>
        </w:rPr>
        <w:t>（8）将政府采购合同转包或者违规分包；</w:t>
      </w:r>
    </w:p>
    <w:p>
      <w:pPr>
        <w:spacing w:line="360" w:lineRule="auto"/>
        <w:ind w:firstLine="480" w:firstLineChars="200"/>
        <w:rPr>
          <w:rFonts w:ascii="宋体" w:hAnsi="宋体" w:cs="宋体"/>
          <w:sz w:val="24"/>
        </w:rPr>
      </w:pPr>
      <w:r>
        <w:rPr>
          <w:rFonts w:hint="eastAsia" w:ascii="宋体" w:hAnsi="宋体" w:cs="宋体"/>
          <w:sz w:val="24"/>
        </w:rPr>
        <w:t>（9）提供假冒伪劣产品；</w:t>
      </w:r>
    </w:p>
    <w:p>
      <w:pPr>
        <w:spacing w:line="360" w:lineRule="auto"/>
        <w:ind w:firstLine="480" w:firstLineChars="200"/>
        <w:rPr>
          <w:rFonts w:ascii="宋体" w:hAnsi="宋体" w:cs="宋体"/>
          <w:sz w:val="24"/>
        </w:rPr>
      </w:pPr>
      <w:r>
        <w:rPr>
          <w:rFonts w:hint="eastAsia" w:ascii="宋体" w:hAnsi="宋体" w:cs="宋体"/>
          <w:sz w:val="24"/>
        </w:rPr>
        <w:t>（10）擅自变更、中止或者终止政府采购合同；</w:t>
      </w:r>
    </w:p>
    <w:p>
      <w:pPr>
        <w:spacing w:line="360" w:lineRule="auto"/>
        <w:ind w:firstLine="460" w:firstLineChars="192"/>
        <w:rPr>
          <w:rFonts w:ascii="宋体" w:hAnsi="宋体" w:cs="宋体"/>
          <w:sz w:val="24"/>
        </w:rPr>
      </w:pPr>
      <w:r>
        <w:rPr>
          <w:rFonts w:hint="eastAsia" w:ascii="宋体" w:hAnsi="宋体" w:cs="宋体"/>
          <w:sz w:val="24"/>
        </w:rPr>
        <w:t>（11）拒绝有关部门的监督检查或者向监督检查部门提供虚假情况；</w:t>
      </w:r>
    </w:p>
    <w:p>
      <w:pPr>
        <w:spacing w:line="360" w:lineRule="auto"/>
        <w:ind w:firstLine="480" w:firstLineChars="200"/>
        <w:rPr>
          <w:rFonts w:ascii="宋体" w:hAnsi="宋体" w:cs="宋体"/>
          <w:sz w:val="24"/>
        </w:rPr>
      </w:pPr>
      <w:r>
        <w:rPr>
          <w:rFonts w:hint="eastAsia" w:ascii="宋体" w:hAnsi="宋体" w:cs="宋体"/>
          <w:sz w:val="24"/>
        </w:rPr>
        <w:t>（12）法律法规规定的其他情形。</w:t>
      </w:r>
    </w:p>
    <w:p>
      <w:pPr>
        <w:spacing w:line="360" w:lineRule="auto"/>
        <w:ind w:firstLine="480" w:firstLineChars="200"/>
        <w:rPr>
          <w:rFonts w:ascii="宋体" w:hAnsi="宋体" w:cs="宋体"/>
          <w:szCs w:val="28"/>
        </w:rPr>
      </w:pPr>
      <w:r>
        <w:rPr>
          <w:rFonts w:hint="eastAsia" w:ascii="宋体" w:hAnsi="宋体" w:cs="宋体"/>
          <w:sz w:val="24"/>
        </w:rPr>
        <w:t>投标人有上述情形的，按照规定追究法律责任，具备（1）-（12）条情形之一的，同时将取消中标资格或者认定中标无效。</w:t>
      </w:r>
      <w:bookmarkEnd w:id="148"/>
      <w:bookmarkStart w:id="149" w:name="_Toc217446077"/>
    </w:p>
    <w:p>
      <w:pPr>
        <w:pStyle w:val="5"/>
        <w:rPr>
          <w:rFonts w:ascii="宋体" w:hAnsi="宋体" w:eastAsia="宋体" w:cs="宋体"/>
        </w:rPr>
      </w:pPr>
      <w:r>
        <w:rPr>
          <w:rFonts w:hint="eastAsia" w:ascii="宋体" w:hAnsi="宋体" w:eastAsia="宋体" w:cs="宋体"/>
        </w:rPr>
        <w:t>八、质疑和投诉</w:t>
      </w:r>
      <w:bookmarkEnd w:id="145"/>
      <w:bookmarkEnd w:id="146"/>
      <w:bookmarkEnd w:id="149"/>
    </w:p>
    <w:p>
      <w:pPr>
        <w:pStyle w:val="28"/>
        <w:spacing w:line="360" w:lineRule="auto"/>
        <w:ind w:left="0" w:firstLine="495"/>
        <w:rPr>
          <w:rFonts w:ascii="宋体" w:hAnsi="宋体" w:cs="宋体"/>
          <w:sz w:val="24"/>
        </w:rPr>
      </w:pPr>
      <w:r>
        <w:rPr>
          <w:rFonts w:hint="eastAsia" w:ascii="宋体" w:hAnsi="宋体" w:cs="宋体"/>
          <w:bCs/>
          <w:sz w:val="24"/>
        </w:rPr>
        <w:t>37．</w:t>
      </w:r>
      <w:r>
        <w:rPr>
          <w:rFonts w:hint="eastAsia" w:ascii="宋体" w:hAnsi="宋体" w:cs="宋体"/>
          <w:sz w:val="24"/>
        </w:rPr>
        <w:t>询问、质疑、投诉的接收和处理严格按照《中华人民共和国政府采购法》《中华人民共和国政府采购法实施条例》《政府采购质疑和投诉办法》的规定办理。本项目要求供应商在法定质疑期内一次性提出针对同一采购程序环节的质疑。</w:t>
      </w:r>
    </w:p>
    <w:p>
      <w:pPr>
        <w:pStyle w:val="5"/>
        <w:rPr>
          <w:rFonts w:ascii="宋体" w:hAnsi="宋体" w:eastAsia="宋体" w:cs="宋体"/>
        </w:rPr>
      </w:pPr>
      <w:r>
        <w:rPr>
          <w:rFonts w:hint="eastAsia" w:ascii="宋体" w:hAnsi="宋体" w:eastAsia="宋体" w:cs="宋体"/>
        </w:rPr>
        <w:t>九、其他</w:t>
      </w:r>
    </w:p>
    <w:p>
      <w:pPr>
        <w:widowControl/>
        <w:spacing w:line="360" w:lineRule="auto"/>
        <w:ind w:firstLine="480"/>
        <w:jc w:val="left"/>
        <w:outlineLvl w:val="1"/>
        <w:rPr>
          <w:rFonts w:ascii="宋体" w:hAnsi="宋体" w:cs="宋体"/>
          <w:sz w:val="24"/>
        </w:rPr>
      </w:pPr>
      <w:bookmarkStart w:id="150" w:name="_Toc18552"/>
      <w:bookmarkStart w:id="151" w:name="_Toc18996"/>
      <w:bookmarkStart w:id="152" w:name="_Toc24658"/>
      <w:r>
        <w:rPr>
          <w:rFonts w:hint="eastAsia" w:ascii="宋体" w:hAnsi="宋体" w:cs="宋体"/>
          <w:bCs/>
          <w:sz w:val="24"/>
        </w:rPr>
        <w:t xml:space="preserve">38. </w:t>
      </w:r>
      <w:r>
        <w:rPr>
          <w:rFonts w:hint="eastAsia" w:ascii="宋体" w:hAnsi="宋体" w:cs="宋体"/>
          <w:sz w:val="24"/>
        </w:rPr>
        <w:t>本招标文件中所引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做调整。</w:t>
      </w:r>
    </w:p>
    <w:p>
      <w:pPr>
        <w:widowControl/>
        <w:spacing w:line="360" w:lineRule="auto"/>
        <w:ind w:firstLine="480"/>
        <w:jc w:val="left"/>
        <w:outlineLvl w:val="1"/>
        <w:rPr>
          <w:rFonts w:ascii="宋体" w:hAnsi="宋体" w:cs="宋体"/>
          <w:sz w:val="24"/>
        </w:rPr>
      </w:pPr>
      <w:r>
        <w:rPr>
          <w:rFonts w:hint="eastAsia" w:ascii="宋体" w:hAnsi="宋体" w:cs="宋体"/>
          <w:bCs/>
          <w:sz w:val="24"/>
        </w:rPr>
        <w:t>39.</w:t>
      </w:r>
      <w:r>
        <w:rPr>
          <w:rFonts w:hint="eastAsia" w:hAnsi="宋体"/>
          <w:b/>
          <w:bCs/>
          <w:color w:val="000000"/>
          <w:kern w:val="0"/>
          <w:sz w:val="24"/>
          <w:szCs w:val="22"/>
        </w:rPr>
        <w:t>（实质性要求）</w:t>
      </w:r>
      <w:r>
        <w:rPr>
          <w:rFonts w:hint="eastAsia" w:hAnsi="宋体"/>
          <w:color w:val="000000"/>
          <w:kern w:val="0"/>
          <w:sz w:val="24"/>
          <w:szCs w:val="22"/>
        </w:rPr>
        <w:t>国家或行业主管部门对采购产品的技术标准、质量标准和资格资质条件等有强制性规定的，必须符合其要求。</w:t>
      </w:r>
    </w:p>
    <w:p>
      <w:pPr>
        <w:pStyle w:val="2"/>
      </w:pPr>
    </w:p>
    <w:p>
      <w:pPr>
        <w:pStyle w:val="4"/>
        <w:jc w:val="center"/>
        <w:rPr>
          <w:rFonts w:ascii="宋体" w:hAnsi="宋体" w:cs="宋体"/>
          <w:b/>
          <w:bCs/>
        </w:rPr>
      </w:pPr>
      <w:r>
        <w:rPr>
          <w:rFonts w:hint="eastAsia" w:ascii="宋体" w:hAnsi="宋体" w:cs="宋体"/>
        </w:rPr>
        <w:br w:type="page"/>
      </w:r>
      <w:r>
        <w:rPr>
          <w:rFonts w:hint="eastAsia" w:ascii="宋体" w:hAnsi="宋体" w:cs="宋体"/>
          <w:b/>
          <w:bCs/>
        </w:rPr>
        <w:t>第三章  投标文件格式</w:t>
      </w:r>
      <w:bookmarkEnd w:id="103"/>
      <w:bookmarkEnd w:id="150"/>
      <w:bookmarkEnd w:id="151"/>
      <w:bookmarkEnd w:id="152"/>
    </w:p>
    <w:p>
      <w:pPr>
        <w:widowControl/>
        <w:spacing w:line="360" w:lineRule="auto"/>
        <w:outlineLvl w:val="1"/>
        <w:rPr>
          <w:rFonts w:ascii="宋体" w:hAnsi="宋体" w:cs="宋体"/>
          <w:sz w:val="24"/>
        </w:rPr>
      </w:pPr>
    </w:p>
    <w:p>
      <w:pPr>
        <w:widowControl/>
        <w:spacing w:line="360" w:lineRule="auto"/>
        <w:ind w:firstLine="470" w:firstLineChars="196"/>
        <w:outlineLvl w:val="1"/>
        <w:rPr>
          <w:rFonts w:ascii="宋体" w:hAnsi="宋体" w:cs="宋体"/>
          <w:sz w:val="24"/>
        </w:rPr>
      </w:pPr>
      <w:r>
        <w:rPr>
          <w:rFonts w:hint="eastAsia" w:ascii="宋体" w:hAnsi="宋体" w:cs="宋体"/>
          <w:sz w:val="24"/>
        </w:rPr>
        <w:t>一、本章所制投标文件格式，除格式中明确将该格式作为实质性要求的，一律不具有强制性。</w:t>
      </w:r>
    </w:p>
    <w:p>
      <w:pPr>
        <w:widowControl/>
        <w:spacing w:line="360" w:lineRule="auto"/>
        <w:ind w:firstLine="470" w:firstLineChars="196"/>
        <w:outlineLvl w:val="1"/>
        <w:rPr>
          <w:rFonts w:ascii="宋体" w:hAnsi="宋体" w:cs="宋体"/>
          <w:sz w:val="24"/>
        </w:rPr>
      </w:pPr>
      <w:r>
        <w:rPr>
          <w:rFonts w:hint="eastAsia" w:ascii="宋体" w:hAnsi="宋体" w:cs="宋体"/>
          <w:sz w:val="24"/>
        </w:rPr>
        <w:t>二、本章所制投标文件格式有关表格中的备注栏，由投标人根据自身投标情况作解释性说明，不作为必填项。（如果投标人投标文件中已经去掉备注而无其他解释性说明，则视为完全理解并同意备注中的要求。）</w:t>
      </w:r>
    </w:p>
    <w:p>
      <w:pPr>
        <w:widowControl/>
        <w:spacing w:line="360" w:lineRule="auto"/>
        <w:ind w:firstLine="470" w:firstLineChars="196"/>
        <w:outlineLvl w:val="1"/>
        <w:rPr>
          <w:rFonts w:ascii="宋体" w:hAnsi="宋体" w:cs="宋体"/>
          <w:sz w:val="24"/>
        </w:rPr>
      </w:pPr>
      <w:r>
        <w:rPr>
          <w:rFonts w:hint="eastAsia" w:ascii="宋体" w:hAnsi="宋体" w:cs="宋体"/>
          <w:sz w:val="24"/>
        </w:rPr>
        <w:t>三、本章所制投标文件格式中需要填写的相关内容事项，可能会与本采购项目无关，在不改变投标文件原义、不影响本项目采购需求的情况下，投标人可以不予填写，但应当注明。</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7"/>
        <w:rPr>
          <w:rFonts w:ascii="宋体" w:hAnsi="宋体" w:eastAsia="宋体" w:cs="宋体"/>
        </w:rPr>
      </w:pPr>
      <w:bookmarkStart w:id="153" w:name="_Toc217446082"/>
      <w:r>
        <w:rPr>
          <w:rFonts w:hint="eastAsia" w:ascii="宋体" w:hAnsi="宋体" w:eastAsia="宋体" w:cs="宋体"/>
        </w:rPr>
        <w:br w:type="page"/>
      </w:r>
      <w:r>
        <w:rPr>
          <w:rFonts w:hint="eastAsia" w:ascii="宋体" w:hAnsi="宋体" w:eastAsia="宋体" w:cs="宋体"/>
        </w:rPr>
        <w:t>一、投 标 函</w:t>
      </w:r>
      <w:bookmarkEnd w:id="153"/>
    </w:p>
    <w:p>
      <w:pPr>
        <w:spacing w:line="360" w:lineRule="auto"/>
        <w:outlineLvl w:val="5"/>
        <w:rPr>
          <w:rFonts w:ascii="宋体" w:hAnsi="宋体" w:cs="宋体"/>
          <w:bCs/>
          <w:sz w:val="24"/>
        </w:rPr>
      </w:pPr>
      <w:r>
        <w:rPr>
          <w:rFonts w:hint="eastAsia" w:ascii="宋体" w:hAnsi="宋体" w:cs="宋体"/>
          <w:bCs/>
          <w:sz w:val="24"/>
        </w:rPr>
        <w:t>__________________（采购代理机构名称）：</w:t>
      </w:r>
    </w:p>
    <w:p>
      <w:pPr>
        <w:spacing w:line="360" w:lineRule="auto"/>
        <w:ind w:firstLine="480" w:firstLineChars="200"/>
        <w:outlineLvl w:val="5"/>
        <w:rPr>
          <w:rFonts w:ascii="宋体" w:hAnsi="宋体" w:cs="宋体"/>
          <w:bCs/>
          <w:sz w:val="24"/>
        </w:rPr>
      </w:pPr>
      <w:r>
        <w:rPr>
          <w:rFonts w:hint="eastAsia" w:ascii="宋体" w:hAnsi="宋体" w:cs="宋体"/>
          <w:bCs/>
          <w:sz w:val="24"/>
        </w:rPr>
        <w:t>我方全面研究了 “</w:t>
      </w:r>
      <w:r>
        <w:rPr>
          <w:rFonts w:hint="eastAsia" w:ascii="宋体" w:hAnsi="宋体" w:cs="宋体"/>
          <w:bCs/>
          <w:sz w:val="24"/>
          <w:u w:val="single"/>
        </w:rPr>
        <w:t xml:space="preserve">      </w:t>
      </w:r>
      <w:r>
        <w:rPr>
          <w:rFonts w:hint="eastAsia" w:ascii="宋体" w:hAnsi="宋体" w:cs="宋体"/>
          <w:bCs/>
          <w:sz w:val="24"/>
        </w:rPr>
        <w:t>”项目【招标编号</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bCs/>
          <w:sz w:val="24"/>
        </w:rPr>
        <w:t xml:space="preserve">】招标文件；决定参加贵单位组织的本项目投标。我方授权 </w:t>
      </w:r>
      <w:r>
        <w:rPr>
          <w:rFonts w:hint="eastAsia" w:ascii="宋体" w:hAnsi="宋体" w:cs="宋体"/>
          <w:bCs/>
          <w:sz w:val="24"/>
          <w:u w:val="single"/>
        </w:rPr>
        <w:t xml:space="preserve">        </w:t>
      </w:r>
      <w:r>
        <w:rPr>
          <w:rFonts w:hint="eastAsia" w:ascii="宋体" w:hAnsi="宋体" w:cs="宋体"/>
          <w:bCs/>
          <w:sz w:val="24"/>
        </w:rPr>
        <w:t>（姓名、职务）代表我方</w:t>
      </w:r>
      <w:r>
        <w:rPr>
          <w:rFonts w:hint="eastAsia" w:ascii="宋体" w:hAnsi="宋体" w:cs="宋体"/>
          <w:bCs/>
          <w:sz w:val="24"/>
          <w:u w:val="single"/>
        </w:rPr>
        <w:t xml:space="preserve">                        （投标单位的名称）</w:t>
      </w:r>
      <w:r>
        <w:rPr>
          <w:rFonts w:hint="eastAsia" w:ascii="宋体" w:hAnsi="宋体" w:cs="宋体"/>
          <w:bCs/>
          <w:sz w:val="24"/>
        </w:rPr>
        <w:t>全权处理本项目投标的有关事宜。</w:t>
      </w:r>
    </w:p>
    <w:p>
      <w:pPr>
        <w:spacing w:line="360" w:lineRule="auto"/>
        <w:ind w:firstLine="480" w:firstLineChars="200"/>
        <w:outlineLvl w:val="5"/>
        <w:rPr>
          <w:rFonts w:ascii="宋体" w:hAnsi="宋体" w:cs="宋体"/>
          <w:bCs/>
          <w:sz w:val="24"/>
        </w:rPr>
      </w:pPr>
      <w:r>
        <w:rPr>
          <w:rFonts w:hint="eastAsia" w:ascii="宋体" w:hAnsi="宋体" w:cs="宋体"/>
          <w:bCs/>
          <w:sz w:val="24"/>
        </w:rPr>
        <w:t>1、我方自愿按照招标文件规定的各项要求向采购人提供所需货物/服务，投标报价为人民币</w:t>
      </w:r>
      <w:r>
        <w:rPr>
          <w:rFonts w:hint="eastAsia" w:ascii="宋体" w:hAnsi="宋体" w:cs="宋体"/>
          <w:bCs/>
          <w:sz w:val="24"/>
          <w:u w:val="single"/>
        </w:rPr>
        <w:t xml:space="preserve">            </w:t>
      </w:r>
      <w:r>
        <w:rPr>
          <w:rFonts w:hint="eastAsia" w:ascii="宋体" w:hAnsi="宋体" w:cs="宋体"/>
          <w:bCs/>
          <w:sz w:val="24"/>
        </w:rPr>
        <w:t>万元（大写：</w:t>
      </w:r>
      <w:r>
        <w:rPr>
          <w:rFonts w:hint="eastAsia" w:ascii="宋体" w:hAnsi="宋体" w:cs="宋体"/>
          <w:bCs/>
          <w:sz w:val="24"/>
          <w:u w:val="single"/>
        </w:rPr>
        <w:t xml:space="preserve">       </w:t>
      </w:r>
      <w:r>
        <w:rPr>
          <w:rFonts w:hint="eastAsia" w:ascii="宋体" w:hAnsi="宋体" w:cs="宋体"/>
          <w:bCs/>
          <w:sz w:val="24"/>
        </w:rPr>
        <w:t>）。</w:t>
      </w:r>
    </w:p>
    <w:p>
      <w:pPr>
        <w:spacing w:line="360" w:lineRule="exact"/>
        <w:ind w:firstLine="480" w:firstLineChars="200"/>
        <w:outlineLvl w:val="5"/>
        <w:rPr>
          <w:rFonts w:ascii="宋体" w:hAnsi="宋体" w:cs="宋体"/>
          <w:bCs/>
          <w:sz w:val="24"/>
        </w:rPr>
      </w:pPr>
      <w:r>
        <w:rPr>
          <w:rFonts w:hint="eastAsia" w:ascii="宋体" w:hAnsi="宋体" w:cs="宋体"/>
          <w:bCs/>
          <w:sz w:val="24"/>
        </w:rPr>
        <w:t>2、一旦我方中标，我方将严格履行政府采购合同规定的责任和义务。</w:t>
      </w:r>
    </w:p>
    <w:p>
      <w:pPr>
        <w:spacing w:line="360" w:lineRule="exact"/>
        <w:ind w:firstLine="480" w:firstLineChars="200"/>
        <w:outlineLvl w:val="5"/>
        <w:rPr>
          <w:rFonts w:ascii="宋体" w:hAnsi="宋体" w:cs="宋体"/>
          <w:bCs/>
          <w:sz w:val="24"/>
        </w:rPr>
      </w:pPr>
      <w:r>
        <w:rPr>
          <w:rFonts w:hint="eastAsia" w:ascii="宋体" w:hAnsi="宋体" w:cs="宋体"/>
          <w:bCs/>
          <w:sz w:val="24"/>
        </w:rPr>
        <w:t>3、我们已详细阅读全部招标文件，包括文件修改书(如果有的话)，参考资料及有关附件，我们完全理解并放弃提出含糊不清或误解的问题的权利。</w:t>
      </w:r>
    </w:p>
    <w:p>
      <w:pPr>
        <w:spacing w:line="360" w:lineRule="exact"/>
        <w:ind w:firstLine="480" w:firstLineChars="200"/>
        <w:outlineLvl w:val="5"/>
        <w:rPr>
          <w:rFonts w:ascii="宋体" w:hAnsi="宋体" w:cs="宋体"/>
          <w:bCs/>
          <w:sz w:val="24"/>
        </w:rPr>
      </w:pPr>
      <w:r>
        <w:rPr>
          <w:rFonts w:hint="eastAsia" w:ascii="宋体" w:hAnsi="宋体" w:cs="宋体"/>
          <w:bCs/>
          <w:sz w:val="24"/>
        </w:rPr>
        <w:t>4、我方为本项目提交的投标文件正本1份，副本2份，电子文档一份（U盘或光盘），用于开标唱标的“开标一览表”1份，投标有效期为递交投标文件截止之日起90天。</w:t>
      </w:r>
    </w:p>
    <w:p>
      <w:pPr>
        <w:spacing w:line="360" w:lineRule="exact"/>
        <w:ind w:firstLine="480" w:firstLineChars="200"/>
        <w:outlineLvl w:val="5"/>
        <w:rPr>
          <w:rFonts w:ascii="宋体" w:hAnsi="宋体" w:cs="宋体"/>
          <w:bCs/>
          <w:sz w:val="24"/>
        </w:rPr>
      </w:pPr>
      <w:r>
        <w:rPr>
          <w:rFonts w:hint="eastAsia" w:ascii="宋体" w:hAnsi="宋体" w:cs="宋体"/>
          <w:bCs/>
          <w:sz w:val="24"/>
        </w:rPr>
        <w:t>5、我方完全理解采购人</w:t>
      </w:r>
      <w:r>
        <w:rPr>
          <w:rFonts w:hint="eastAsia" w:ascii="宋体" w:hAnsi="宋体" w:cs="宋体"/>
          <w:sz w:val="24"/>
        </w:rPr>
        <w:t>不一定接受最低报价的投标或收到的任何投标</w:t>
      </w:r>
      <w:r>
        <w:rPr>
          <w:rFonts w:hint="eastAsia" w:ascii="宋体" w:hAnsi="宋体" w:cs="宋体"/>
          <w:bCs/>
          <w:sz w:val="24"/>
        </w:rPr>
        <w:t>。</w:t>
      </w:r>
    </w:p>
    <w:p>
      <w:pPr>
        <w:widowControl/>
        <w:spacing w:line="360" w:lineRule="exact"/>
        <w:ind w:firstLine="470" w:firstLineChars="196"/>
        <w:jc w:val="left"/>
        <w:outlineLvl w:val="1"/>
        <w:rPr>
          <w:rFonts w:ascii="宋体" w:hAnsi="宋体" w:cs="宋体"/>
          <w:sz w:val="24"/>
        </w:rPr>
      </w:pPr>
      <w:r>
        <w:rPr>
          <w:rFonts w:hint="eastAsia" w:ascii="宋体" w:hAnsi="宋体" w:cs="宋体"/>
          <w:bCs/>
          <w:sz w:val="24"/>
        </w:rPr>
        <w:t>6、我方同意本招标文件依据《四川省公共资源交易领域严重失信联合惩戒实施办法》（川发改信用规〔2019〕405号）、《关于对政府采购领域严重违法失信主体开展联合惩戒的合作备忘录》（发改财金〔2018〕1614号）对我方可能存在的失信行为进行的惩戒</w:t>
      </w:r>
      <w:r>
        <w:rPr>
          <w:rFonts w:hint="eastAsia" w:ascii="宋体" w:hAnsi="宋体" w:cs="宋体"/>
          <w:sz w:val="24"/>
        </w:rPr>
        <w:t>。</w:t>
      </w:r>
    </w:p>
    <w:p>
      <w:pPr>
        <w:spacing w:line="360" w:lineRule="exact"/>
        <w:ind w:firstLine="480" w:firstLineChars="200"/>
        <w:outlineLvl w:val="5"/>
        <w:rPr>
          <w:rFonts w:ascii="宋体" w:hAnsi="宋体" w:cs="宋体"/>
          <w:bCs/>
          <w:sz w:val="24"/>
        </w:rPr>
      </w:pPr>
      <w:r>
        <w:rPr>
          <w:rFonts w:hint="eastAsia" w:ascii="宋体" w:hAnsi="宋体" w:cs="宋体"/>
          <w:bCs/>
          <w:sz w:val="24"/>
        </w:rPr>
        <w:t>7.如果我方中标，我方保证按照招标文件的规定向贵方交纳中标服务费。</w:t>
      </w:r>
    </w:p>
    <w:p>
      <w:pPr>
        <w:widowControl/>
        <w:spacing w:line="360" w:lineRule="exact"/>
        <w:ind w:firstLine="470" w:firstLineChars="196"/>
        <w:jc w:val="left"/>
        <w:outlineLvl w:val="1"/>
        <w:rPr>
          <w:rFonts w:ascii="宋体" w:hAnsi="宋体" w:cs="宋体"/>
          <w:bCs/>
          <w:sz w:val="24"/>
        </w:rPr>
      </w:pPr>
      <w:r>
        <w:rPr>
          <w:rFonts w:hint="eastAsia" w:ascii="宋体" w:hAnsi="宋体" w:cs="宋体"/>
          <w:bCs/>
          <w:sz w:val="24"/>
        </w:rPr>
        <w:t>8、我方愿意提供贵方可能另外要求的，与投标有关的文件资料，并保证我方已提供和将要提供的文件资料是真实、准确的。</w:t>
      </w:r>
    </w:p>
    <w:p>
      <w:pPr>
        <w:widowControl/>
        <w:spacing w:line="360" w:lineRule="auto"/>
        <w:jc w:val="left"/>
        <w:outlineLvl w:val="1"/>
        <w:rPr>
          <w:rFonts w:ascii="宋体" w:hAnsi="宋体" w:cs="宋体"/>
          <w:sz w:val="24"/>
        </w:rPr>
      </w:pPr>
    </w:p>
    <w:p>
      <w:pPr>
        <w:spacing w:line="360" w:lineRule="auto"/>
        <w:ind w:firstLine="480" w:firstLineChars="200"/>
        <w:outlineLvl w:val="5"/>
        <w:rPr>
          <w:rFonts w:ascii="宋体" w:hAnsi="宋体" w:cs="宋体"/>
          <w:sz w:val="24"/>
        </w:rPr>
      </w:pPr>
      <w:r>
        <w:rPr>
          <w:rFonts w:hint="eastAsia" w:ascii="宋体" w:hAnsi="宋体" w:cs="宋体"/>
          <w:sz w:val="24"/>
        </w:rPr>
        <w:t xml:space="preserve">投标人名称（单位公章）：        </w:t>
      </w:r>
    </w:p>
    <w:p>
      <w:pPr>
        <w:spacing w:line="360" w:lineRule="auto"/>
        <w:ind w:firstLine="480" w:firstLineChars="200"/>
        <w:outlineLvl w:val="5"/>
        <w:rPr>
          <w:rFonts w:ascii="宋体" w:hAnsi="宋体" w:cs="宋体"/>
          <w:sz w:val="24"/>
        </w:rPr>
      </w:pPr>
      <w:r>
        <w:rPr>
          <w:rFonts w:hint="eastAsia" w:ascii="宋体" w:hAnsi="宋体" w:cs="宋体"/>
          <w:sz w:val="24"/>
        </w:rPr>
        <w:t>法定代表人或授权代表（签字）：</w:t>
      </w:r>
    </w:p>
    <w:p>
      <w:pPr>
        <w:spacing w:line="360" w:lineRule="auto"/>
        <w:ind w:firstLine="480" w:firstLineChars="200"/>
        <w:outlineLvl w:val="5"/>
        <w:rPr>
          <w:rFonts w:ascii="宋体" w:hAnsi="宋体" w:cs="宋体"/>
          <w:sz w:val="24"/>
        </w:rPr>
      </w:pPr>
      <w:r>
        <w:rPr>
          <w:rFonts w:hint="eastAsia" w:ascii="宋体" w:hAnsi="宋体" w:cs="宋体"/>
          <w:sz w:val="24"/>
        </w:rPr>
        <w:t xml:space="preserve">联系电话：                        </w:t>
      </w:r>
    </w:p>
    <w:p>
      <w:pPr>
        <w:spacing w:line="360" w:lineRule="auto"/>
        <w:ind w:firstLine="480" w:firstLineChars="200"/>
        <w:outlineLvl w:val="5"/>
        <w:rPr>
          <w:rFonts w:ascii="宋体" w:hAnsi="宋体" w:cs="宋体"/>
          <w:sz w:val="24"/>
        </w:rPr>
      </w:pPr>
      <w:r>
        <w:rPr>
          <w:rFonts w:hint="eastAsia" w:ascii="宋体" w:hAnsi="宋体" w:cs="宋体"/>
          <w:sz w:val="24"/>
        </w:rPr>
        <w:t>传    真：</w:t>
      </w:r>
    </w:p>
    <w:p>
      <w:pPr>
        <w:spacing w:line="360" w:lineRule="auto"/>
        <w:ind w:firstLine="480" w:firstLineChars="200"/>
        <w:outlineLvl w:val="5"/>
        <w:rPr>
          <w:rFonts w:ascii="宋体" w:hAnsi="宋体" w:cs="宋体"/>
          <w:sz w:val="24"/>
        </w:rPr>
      </w:pPr>
      <w:r>
        <w:rPr>
          <w:rFonts w:hint="eastAsia" w:ascii="宋体" w:hAnsi="宋体" w:cs="宋体"/>
          <w:sz w:val="24"/>
        </w:rPr>
        <w:t xml:space="preserve">通讯地址：                        </w:t>
      </w:r>
    </w:p>
    <w:p>
      <w:pPr>
        <w:spacing w:line="360" w:lineRule="auto"/>
        <w:ind w:firstLine="480" w:firstLineChars="200"/>
        <w:outlineLvl w:val="5"/>
        <w:rPr>
          <w:rFonts w:ascii="宋体" w:hAnsi="宋体" w:cs="宋体"/>
          <w:sz w:val="24"/>
        </w:rPr>
      </w:pPr>
      <w:r>
        <w:rPr>
          <w:rFonts w:hint="eastAsia" w:ascii="宋体" w:hAnsi="宋体" w:cs="宋体"/>
          <w:sz w:val="24"/>
        </w:rPr>
        <w:t xml:space="preserve">邮政编码：             </w:t>
      </w:r>
    </w:p>
    <w:p>
      <w:pPr>
        <w:spacing w:line="360" w:lineRule="auto"/>
        <w:ind w:firstLine="480" w:firstLineChars="200"/>
        <w:outlineLvl w:val="5"/>
        <w:rPr>
          <w:rFonts w:ascii="宋体" w:hAnsi="宋体" w:cs="宋体"/>
          <w:sz w:val="24"/>
        </w:rPr>
      </w:pPr>
      <w:r>
        <w:rPr>
          <w:rFonts w:hint="eastAsia" w:ascii="宋体" w:hAnsi="宋体" w:cs="宋体"/>
          <w:sz w:val="24"/>
        </w:rPr>
        <w:t>日    期：</w:t>
      </w:r>
    </w:p>
    <w:p>
      <w:pPr>
        <w:spacing w:line="360" w:lineRule="auto"/>
        <w:outlineLvl w:val="5"/>
        <w:rPr>
          <w:rFonts w:ascii="宋体" w:hAnsi="宋体" w:cs="宋体"/>
          <w:sz w:val="24"/>
        </w:rPr>
      </w:pPr>
    </w:p>
    <w:p>
      <w:pPr>
        <w:pStyle w:val="7"/>
        <w:spacing w:line="240" w:lineRule="auto"/>
        <w:rPr>
          <w:rFonts w:ascii="宋体" w:hAnsi="宋体" w:eastAsia="宋体" w:cs="宋体"/>
        </w:rPr>
      </w:pPr>
      <w:r>
        <w:rPr>
          <w:rFonts w:hint="eastAsia" w:ascii="宋体" w:hAnsi="宋体" w:eastAsia="宋体" w:cs="宋体"/>
        </w:rPr>
        <w:br w:type="page"/>
      </w:r>
      <w:r>
        <w:rPr>
          <w:rFonts w:hint="eastAsia" w:ascii="宋体" w:hAnsi="宋体" w:eastAsia="宋体" w:cs="宋体"/>
        </w:rPr>
        <w:t xml:space="preserve">二、承诺函 </w:t>
      </w:r>
    </w:p>
    <w:p>
      <w:pPr>
        <w:spacing w:line="360" w:lineRule="auto"/>
        <w:outlineLvl w:val="5"/>
        <w:rPr>
          <w:rFonts w:ascii="宋体" w:hAnsi="宋体" w:cs="宋体"/>
          <w:szCs w:val="21"/>
        </w:rPr>
      </w:pPr>
      <w:r>
        <w:rPr>
          <w:rFonts w:hint="eastAsia" w:ascii="宋体" w:hAnsi="宋体" w:cs="宋体"/>
          <w:szCs w:val="21"/>
        </w:rPr>
        <w:t>致：四川五洲招标代理有限公司</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本单位作为本次采购项目的投标人，根据招标文件要求，现郑重承诺如下：</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一、具备《中华人民共和国政府采购法》第二十二条第一款和本项目规定的条件：</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 xml:space="preserve">（1）具有独立承担民事责任的能力； </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 xml:space="preserve">（2）具有良好的商业信誉和健全的财务会计制度； </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 xml:space="preserve">（3）具有履行合同所必需的设备和专业技术能力； </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 xml:space="preserve">（4）有依法缴纳税收和社会保障资金的良好记录； </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（5）参加政府采购活动前三年内，在经营活动中没有重大违法记录；</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（6）法律、行政法规规定的其他条件；</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（7）根据采购项目提出的特殊条件。</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三、参加本次招标采购活动，不存在与单位负责人为同一人或者存在直接控股、管理关系的其他供应商参与同一合同项下的政府采购活动的行为。我方未参与本采购项目前期咨询论证，不属于禁止参加本项目投标的供应商。</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四、参加本次招标采购活动，不存在和其他供应商在同一合同项下的采购项目中，同时委托同一个自然人、同一家庭的人员、同一单位的人员作为代理人的行为。</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五、本单位未被对列入按财库[2016]125号规定的失信被执行人、重大税收违法案件当事人名单、政府采购严重违法失信行为记录名单及其他不符合《中华人民共和国政府采购法》第二十二条规定条件的供应商。</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六、如果有《四川省公共资源交易领域严重失信联合惩戒实施办法》（川发改信用规〔2019〕405号）、《关于对政府采购领域严重违法失信主体开展联合惩戒的合作备忘录》（发改财金〔2018〕1614号）规定的记入诚信档案的失信行为，将在投标文件中全面如实反映。</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七、投标文件中提供的能够给予我公司带来优惠、好处的任何材料资料和技术、服务、商务等响应承诺情况都是真实的、有效的、合法的。</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八、我司完全同意招标文件中关于知识产权的说明，承诺由此造成的纠纷由本单位全权负责。</w:t>
      </w:r>
    </w:p>
    <w:p>
      <w:pPr>
        <w:widowControl/>
        <w:spacing w:line="360" w:lineRule="auto"/>
        <w:ind w:firstLine="420" w:firstLineChars="200"/>
        <w:jc w:val="left"/>
        <w:outlineLvl w:val="1"/>
        <w:rPr>
          <w:rFonts w:ascii="宋体" w:hAnsi="宋体" w:cs="宋体"/>
          <w:szCs w:val="21"/>
        </w:rPr>
      </w:pPr>
      <w:r>
        <w:rPr>
          <w:rFonts w:hint="eastAsia" w:ascii="宋体" w:hAnsi="宋体" w:cs="宋体"/>
          <w:szCs w:val="21"/>
        </w:rPr>
        <w:t>九、国家或行业主管部门对采购产品的技术标准、质量标准和资格资质条件等有强制性规定的，我方承诺符合其要求。</w:t>
      </w:r>
    </w:p>
    <w:p>
      <w:pPr>
        <w:adjustRightInd w:val="0"/>
        <w:spacing w:line="276" w:lineRule="auto"/>
        <w:jc w:val="left"/>
        <w:outlineLvl w:val="5"/>
        <w:rPr>
          <w:rFonts w:ascii="宋体" w:hAnsi="宋体" w:cs="宋体"/>
          <w:bCs/>
          <w:sz w:val="22"/>
          <w:szCs w:val="22"/>
        </w:rPr>
      </w:pPr>
    </w:p>
    <w:p>
      <w:pPr>
        <w:adjustRightInd w:val="0"/>
        <w:spacing w:line="276" w:lineRule="auto"/>
        <w:jc w:val="left"/>
        <w:outlineLvl w:val="5"/>
        <w:rPr>
          <w:rFonts w:ascii="宋体" w:hAnsi="宋体" w:cs="宋体"/>
          <w:bCs/>
          <w:sz w:val="22"/>
          <w:szCs w:val="22"/>
        </w:rPr>
      </w:pPr>
      <w:r>
        <w:rPr>
          <w:rFonts w:hint="eastAsia" w:ascii="宋体" w:hAnsi="宋体" w:cs="宋体"/>
          <w:bCs/>
          <w:sz w:val="22"/>
          <w:szCs w:val="22"/>
        </w:rPr>
        <w:t>投标人名称：        （盖单位公章）</w:t>
      </w:r>
    </w:p>
    <w:p>
      <w:pPr>
        <w:adjustRightInd w:val="0"/>
        <w:spacing w:line="276" w:lineRule="auto"/>
        <w:jc w:val="left"/>
        <w:outlineLvl w:val="5"/>
        <w:rPr>
          <w:rFonts w:ascii="宋体" w:hAnsi="宋体" w:cs="宋体"/>
          <w:bCs/>
          <w:sz w:val="22"/>
          <w:szCs w:val="22"/>
        </w:rPr>
      </w:pPr>
      <w:r>
        <w:rPr>
          <w:rFonts w:hint="eastAsia" w:ascii="宋体" w:hAnsi="宋体" w:cs="宋体"/>
          <w:bCs/>
          <w:sz w:val="22"/>
          <w:szCs w:val="22"/>
        </w:rPr>
        <w:t>法定代表人或授权代表（签字）：</w:t>
      </w:r>
    </w:p>
    <w:p>
      <w:pPr>
        <w:spacing w:line="276" w:lineRule="auto"/>
        <w:outlineLvl w:val="5"/>
        <w:rPr>
          <w:rFonts w:ascii="宋体" w:hAnsi="宋体" w:cs="宋体"/>
        </w:rPr>
      </w:pPr>
      <w:r>
        <w:rPr>
          <w:rFonts w:hint="eastAsia" w:ascii="宋体" w:hAnsi="宋体" w:cs="宋体"/>
          <w:bCs/>
          <w:sz w:val="22"/>
          <w:szCs w:val="22"/>
        </w:rPr>
        <w:t>日期：</w:t>
      </w:r>
    </w:p>
    <w:p>
      <w:pPr>
        <w:pStyle w:val="7"/>
        <w:rPr>
          <w:rFonts w:ascii="宋体" w:hAnsi="宋体" w:eastAsia="宋体" w:cs="宋体"/>
        </w:rPr>
      </w:pPr>
      <w:r>
        <w:rPr>
          <w:rFonts w:hint="eastAsia" w:ascii="宋体" w:hAnsi="宋体" w:eastAsia="宋体" w:cs="宋体"/>
        </w:rPr>
        <w:t>三、法定代表人授权书</w:t>
      </w:r>
    </w:p>
    <w:p>
      <w:pPr>
        <w:spacing w:line="360" w:lineRule="auto"/>
        <w:outlineLvl w:val="5"/>
        <w:rPr>
          <w:rFonts w:ascii="宋体" w:hAnsi="宋体" w:cs="宋体"/>
          <w:b/>
          <w:sz w:val="44"/>
        </w:rPr>
      </w:pPr>
    </w:p>
    <w:p>
      <w:pPr>
        <w:spacing w:line="360" w:lineRule="auto"/>
        <w:outlineLvl w:val="5"/>
        <w:rPr>
          <w:rFonts w:ascii="宋体" w:hAnsi="宋体" w:cs="宋体"/>
          <w:sz w:val="24"/>
        </w:rPr>
      </w:pPr>
      <w:r>
        <w:rPr>
          <w:rFonts w:hint="eastAsia" w:ascii="宋体" w:hAnsi="宋体" w:cs="宋体"/>
          <w:sz w:val="24"/>
        </w:rPr>
        <w:t>__________________（采购代理机构名称）：</w:t>
      </w:r>
    </w:p>
    <w:p>
      <w:pPr>
        <w:spacing w:line="360" w:lineRule="auto"/>
        <w:ind w:firstLine="480" w:firstLineChars="200"/>
        <w:outlineLvl w:val="5"/>
        <w:rPr>
          <w:rFonts w:ascii="宋体" w:hAnsi="宋体" w:cs="宋体"/>
          <w:sz w:val="24"/>
        </w:rPr>
      </w:pPr>
      <w:r>
        <w:rPr>
          <w:rFonts w:hint="eastAsia" w:ascii="宋体" w:hAnsi="宋体" w:cs="宋体"/>
          <w:sz w:val="24"/>
        </w:rPr>
        <w:t>本授权声明：</w:t>
      </w:r>
      <w:r>
        <w:rPr>
          <w:rFonts w:hint="eastAsia" w:ascii="宋体" w:hAnsi="宋体" w:cs="宋体"/>
          <w:sz w:val="24"/>
          <w:u w:val="single"/>
        </w:rPr>
        <w:t xml:space="preserve">                     </w:t>
      </w: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（法定代表人姓名、职务）授权</w:t>
      </w:r>
      <w:r>
        <w:rPr>
          <w:rFonts w:hint="eastAsia" w:ascii="宋体" w:hAnsi="宋体" w:cs="宋体"/>
          <w:sz w:val="24"/>
          <w:u w:val="single"/>
        </w:rPr>
        <w:t xml:space="preserve">                        </w:t>
      </w:r>
      <w:r>
        <w:rPr>
          <w:rFonts w:hint="eastAsia" w:ascii="宋体" w:hAnsi="宋体" w:cs="宋体"/>
          <w:sz w:val="24"/>
        </w:rPr>
        <w:t>（被授权人姓名、职务）为我方 “</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）；投标活动的合法代表，以我方名义全权处理该项目有关投标、签订合同以及执行合同等一切事宜。</w:t>
      </w:r>
    </w:p>
    <w:p>
      <w:pPr>
        <w:spacing w:line="360" w:lineRule="auto"/>
        <w:ind w:firstLine="480" w:firstLineChars="200"/>
        <w:outlineLvl w:val="5"/>
        <w:rPr>
          <w:rFonts w:ascii="宋体" w:hAnsi="宋体" w:cs="宋体"/>
          <w:sz w:val="24"/>
        </w:rPr>
      </w:pPr>
      <w:r>
        <w:rPr>
          <w:rFonts w:hint="eastAsia" w:ascii="宋体" w:hAnsi="宋体" w:cs="宋体"/>
          <w:sz w:val="24"/>
        </w:rPr>
        <w:t>特此声明。</w:t>
      </w:r>
    </w:p>
    <w:p>
      <w:pPr>
        <w:spacing w:line="360" w:lineRule="auto"/>
        <w:ind w:firstLine="480" w:firstLineChars="200"/>
        <w:outlineLvl w:val="5"/>
        <w:rPr>
          <w:rFonts w:ascii="宋体" w:hAnsi="宋体" w:cs="宋体"/>
          <w:sz w:val="24"/>
        </w:rPr>
      </w:pPr>
    </w:p>
    <w:p>
      <w:pPr>
        <w:spacing w:line="360" w:lineRule="auto"/>
        <w:ind w:firstLine="480" w:firstLineChars="200"/>
        <w:outlineLvl w:val="5"/>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法定代表人签字或盖法定代表人名章：</w:t>
      </w:r>
    </w:p>
    <w:p>
      <w:pPr>
        <w:spacing w:line="360" w:lineRule="auto"/>
        <w:ind w:firstLine="480" w:firstLineChars="200"/>
        <w:outlineLvl w:val="5"/>
        <w:rPr>
          <w:rFonts w:ascii="宋体" w:hAnsi="宋体" w:cs="宋体"/>
          <w:sz w:val="24"/>
        </w:rPr>
      </w:pPr>
      <w:r>
        <w:rPr>
          <w:rFonts w:hint="eastAsia" w:ascii="宋体" w:hAnsi="宋体" w:cs="宋体"/>
          <w:sz w:val="24"/>
        </w:rPr>
        <w:t>授权代表人（签字）：</w:t>
      </w:r>
    </w:p>
    <w:p>
      <w:pPr>
        <w:spacing w:line="360" w:lineRule="auto"/>
        <w:ind w:firstLine="480" w:firstLineChars="200"/>
        <w:outlineLvl w:val="5"/>
        <w:rPr>
          <w:rFonts w:ascii="宋体" w:hAnsi="宋体" w:cs="宋体"/>
          <w:sz w:val="24"/>
        </w:rPr>
      </w:pPr>
      <w:r>
        <w:rPr>
          <w:rFonts w:hint="eastAsia" w:ascii="宋体" w:hAnsi="宋体" w:cs="宋体"/>
          <w:sz w:val="24"/>
        </w:rPr>
        <w:t>投标人名称：         （盖单位公章）</w:t>
      </w:r>
    </w:p>
    <w:p>
      <w:pPr>
        <w:spacing w:line="360" w:lineRule="auto"/>
        <w:ind w:firstLine="480" w:firstLineChars="200"/>
        <w:outlineLvl w:val="5"/>
        <w:rPr>
          <w:rFonts w:ascii="宋体" w:hAnsi="宋体" w:cs="宋体"/>
          <w:sz w:val="24"/>
        </w:rPr>
      </w:pPr>
      <w:r>
        <w:rPr>
          <w:rFonts w:hint="eastAsia" w:ascii="宋体" w:hAnsi="宋体" w:cs="宋体"/>
          <w:sz w:val="24"/>
        </w:rPr>
        <w:t>日    期：</w:t>
      </w:r>
    </w:p>
    <w:p>
      <w:pPr>
        <w:spacing w:line="360" w:lineRule="auto"/>
        <w:outlineLvl w:val="5"/>
        <w:rPr>
          <w:rFonts w:ascii="宋体" w:hAnsi="宋体" w:cs="宋体"/>
          <w:sz w:val="24"/>
        </w:rPr>
      </w:pPr>
    </w:p>
    <w:p>
      <w:pPr>
        <w:spacing w:line="360" w:lineRule="auto"/>
        <w:outlineLvl w:val="5"/>
        <w:rPr>
          <w:rFonts w:ascii="宋体" w:hAnsi="宋体" w:cs="宋体"/>
          <w:b/>
          <w:sz w:val="28"/>
          <w:szCs w:val="28"/>
        </w:rPr>
      </w:pPr>
      <w:r>
        <w:rPr>
          <w:rFonts w:hint="eastAsia" w:ascii="宋体" w:hAnsi="宋体" w:cs="宋体"/>
          <w:sz w:val="32"/>
        </w:rPr>
        <w:t xml:space="preserve">         </w:t>
      </w:r>
      <w:r>
        <w:rPr>
          <w:rFonts w:hint="eastAsia" w:ascii="宋体" w:hAnsi="宋体" w:cs="宋体"/>
          <w:b/>
          <w:sz w:val="28"/>
          <w:szCs w:val="28"/>
        </w:rPr>
        <w:t xml:space="preserve">      </w:t>
      </w:r>
    </w:p>
    <w:p>
      <w:pPr>
        <w:spacing w:line="360" w:lineRule="auto"/>
        <w:outlineLvl w:val="5"/>
        <w:rPr>
          <w:rFonts w:ascii="宋体" w:hAnsi="宋体" w:cs="宋体"/>
          <w:b/>
          <w:sz w:val="28"/>
          <w:szCs w:val="28"/>
        </w:rPr>
      </w:pPr>
    </w:p>
    <w:p>
      <w:pPr>
        <w:spacing w:line="360" w:lineRule="auto"/>
        <w:outlineLvl w:val="5"/>
        <w:rPr>
          <w:rFonts w:ascii="宋体" w:hAnsi="宋体" w:cs="宋体"/>
          <w:b/>
          <w:sz w:val="28"/>
          <w:szCs w:val="28"/>
        </w:rPr>
      </w:pPr>
    </w:p>
    <w:p>
      <w:pPr>
        <w:spacing w:line="360" w:lineRule="auto"/>
        <w:outlineLvl w:val="5"/>
        <w:rPr>
          <w:rFonts w:ascii="宋体" w:hAnsi="宋体" w:cs="宋体"/>
          <w:b/>
          <w:bCs/>
          <w:sz w:val="24"/>
        </w:rPr>
      </w:pPr>
      <w:r>
        <w:rPr>
          <w:rFonts w:hint="eastAsia" w:ascii="宋体" w:hAnsi="宋体" w:cs="宋体"/>
          <w:b/>
          <w:bCs/>
          <w:sz w:val="24"/>
        </w:rPr>
        <w:t>注：（1）法定代表人不参与投标而委托代理人投标适用。</w:t>
      </w:r>
    </w:p>
    <w:p>
      <w:pPr>
        <w:spacing w:line="360" w:lineRule="auto"/>
        <w:ind w:firstLine="361" w:firstLineChars="150"/>
        <w:outlineLvl w:val="5"/>
        <w:rPr>
          <w:rFonts w:ascii="宋体" w:hAnsi="宋体" w:cs="宋体"/>
          <w:b/>
          <w:bCs/>
          <w:sz w:val="28"/>
          <w:szCs w:val="28"/>
        </w:rPr>
      </w:pPr>
      <w:r>
        <w:rPr>
          <w:rFonts w:hint="eastAsia" w:ascii="宋体" w:hAnsi="宋体" w:cs="宋体"/>
          <w:b/>
          <w:bCs/>
          <w:sz w:val="24"/>
        </w:rPr>
        <w:t>（2）附法定代表人、授权代表身份证复印件。</w:t>
      </w:r>
    </w:p>
    <w:p>
      <w:pPr>
        <w:spacing w:line="360" w:lineRule="auto"/>
        <w:outlineLvl w:val="5"/>
        <w:rPr>
          <w:rFonts w:ascii="宋体" w:hAnsi="宋体" w:cs="宋体"/>
          <w:b/>
          <w:sz w:val="28"/>
          <w:szCs w:val="28"/>
        </w:rPr>
      </w:pPr>
    </w:p>
    <w:p>
      <w:pPr>
        <w:spacing w:line="360" w:lineRule="auto"/>
        <w:outlineLvl w:val="5"/>
        <w:rPr>
          <w:rFonts w:ascii="宋体" w:hAnsi="宋体" w:cs="宋体"/>
          <w:b/>
          <w:sz w:val="28"/>
          <w:szCs w:val="28"/>
        </w:rPr>
      </w:pPr>
    </w:p>
    <w:p>
      <w:pPr>
        <w:spacing w:line="360" w:lineRule="auto"/>
        <w:outlineLvl w:val="5"/>
        <w:rPr>
          <w:rFonts w:ascii="宋体" w:hAnsi="宋体" w:cs="宋体"/>
          <w:b/>
          <w:sz w:val="28"/>
          <w:szCs w:val="28"/>
        </w:rPr>
      </w:pPr>
    </w:p>
    <w:p>
      <w:pPr>
        <w:spacing w:line="360" w:lineRule="auto"/>
        <w:outlineLvl w:val="5"/>
        <w:rPr>
          <w:rFonts w:ascii="宋体" w:hAnsi="宋体" w:cs="宋体"/>
          <w:b/>
          <w:sz w:val="28"/>
          <w:szCs w:val="28"/>
        </w:rPr>
      </w:pPr>
    </w:p>
    <w:p>
      <w:pPr>
        <w:spacing w:line="360" w:lineRule="auto"/>
        <w:outlineLvl w:val="5"/>
        <w:rPr>
          <w:rFonts w:ascii="宋体" w:hAnsi="宋体" w:cs="宋体"/>
          <w:b/>
          <w:sz w:val="28"/>
          <w:szCs w:val="28"/>
        </w:rPr>
      </w:pPr>
    </w:p>
    <w:p>
      <w:pPr>
        <w:pStyle w:val="7"/>
        <w:rPr>
          <w:rFonts w:ascii="宋体" w:hAnsi="宋体" w:eastAsia="宋体" w:cs="宋体"/>
        </w:rPr>
      </w:pPr>
      <w:r>
        <w:rPr>
          <w:rFonts w:hint="eastAsia" w:ascii="宋体" w:hAnsi="宋体" w:eastAsia="宋体" w:cs="宋体"/>
        </w:rPr>
        <w:t>四、法定代表人身份证明</w:t>
      </w:r>
    </w:p>
    <w:p>
      <w:pPr>
        <w:autoSpaceDE w:val="0"/>
        <w:autoSpaceDN w:val="0"/>
        <w:adjustRightInd w:val="0"/>
        <w:spacing w:line="360" w:lineRule="auto"/>
        <w:jc w:val="left"/>
        <w:outlineLvl w:val="5"/>
        <w:rPr>
          <w:rFonts w:ascii="宋体" w:hAnsi="宋体" w:cs="宋体"/>
          <w:kern w:val="0"/>
          <w:sz w:val="20"/>
        </w:rPr>
      </w:pPr>
    </w:p>
    <w:p>
      <w:pPr>
        <w:autoSpaceDE w:val="0"/>
        <w:autoSpaceDN w:val="0"/>
        <w:adjustRightInd w:val="0"/>
        <w:spacing w:before="1" w:line="360" w:lineRule="auto"/>
        <w:jc w:val="left"/>
        <w:outlineLvl w:val="5"/>
        <w:rPr>
          <w:rFonts w:ascii="宋体" w:hAnsi="宋体" w:cs="宋体"/>
          <w:kern w:val="0"/>
          <w:sz w:val="24"/>
        </w:rPr>
      </w:pPr>
    </w:p>
    <w:p>
      <w:pPr>
        <w:tabs>
          <w:tab w:val="left" w:pos="5420"/>
        </w:tabs>
        <w:autoSpaceDE w:val="0"/>
        <w:autoSpaceDN w:val="0"/>
        <w:adjustRightInd w:val="0"/>
        <w:spacing w:line="360" w:lineRule="auto"/>
        <w:ind w:left="120" w:right="-20"/>
        <w:jc w:val="left"/>
        <w:outlineLvl w:val="5"/>
        <w:rPr>
          <w:rFonts w:ascii="宋体" w:hAnsi="宋体" w:cs="宋体"/>
          <w:kern w:val="0"/>
          <w:sz w:val="24"/>
        </w:rPr>
      </w:pPr>
      <w:r>
        <w:rPr>
          <w:rFonts w:hint="eastAsia" w:ascii="宋体" w:hAnsi="宋体" w:cs="宋体"/>
          <w:kern w:val="0"/>
          <w:sz w:val="24"/>
        </w:rPr>
        <w:t>投标人</w:t>
      </w:r>
      <w:r>
        <w:rPr>
          <w:rFonts w:hint="eastAsia" w:ascii="宋体" w:hAnsi="宋体" w:cs="宋体"/>
          <w:spacing w:val="5"/>
          <w:kern w:val="0"/>
          <w:sz w:val="24"/>
        </w:rPr>
        <w:t>名</w:t>
      </w:r>
      <w:r>
        <w:rPr>
          <w:rFonts w:hint="eastAsia" w:ascii="宋体" w:hAnsi="宋体" w:cs="宋体"/>
          <w:kern w:val="0"/>
          <w:sz w:val="24"/>
        </w:rPr>
        <w:t>称：</w:t>
      </w:r>
      <w:r>
        <w:rPr>
          <w:rFonts w:hint="eastAsia" w:ascii="宋体" w:hAnsi="宋体" w:cs="宋体"/>
          <w:kern w:val="0"/>
          <w:sz w:val="24"/>
          <w:u w:val="single"/>
        </w:rPr>
        <w:t xml:space="preserve"> </w:t>
      </w:r>
      <w:r>
        <w:rPr>
          <w:rFonts w:hint="eastAsia" w:ascii="宋体" w:hAnsi="宋体" w:cs="宋体"/>
          <w:kern w:val="0"/>
          <w:sz w:val="24"/>
          <w:u w:val="single"/>
        </w:rPr>
        <w:tab/>
      </w:r>
    </w:p>
    <w:p>
      <w:pPr>
        <w:tabs>
          <w:tab w:val="left" w:pos="5420"/>
        </w:tabs>
        <w:autoSpaceDE w:val="0"/>
        <w:autoSpaceDN w:val="0"/>
        <w:adjustRightInd w:val="0"/>
        <w:spacing w:before="6" w:line="360" w:lineRule="auto"/>
        <w:ind w:left="120" w:right="-20"/>
        <w:jc w:val="left"/>
        <w:outlineLvl w:val="5"/>
        <w:rPr>
          <w:rFonts w:ascii="宋体" w:hAnsi="宋体" w:cs="宋体"/>
          <w:kern w:val="0"/>
          <w:sz w:val="24"/>
        </w:rPr>
      </w:pPr>
      <w:r>
        <w:rPr>
          <w:rFonts w:hint="eastAsia" w:ascii="宋体" w:hAnsi="宋体" w:cs="宋体"/>
          <w:kern w:val="0"/>
          <w:sz w:val="24"/>
        </w:rPr>
        <w:t>单位性</w:t>
      </w:r>
      <w:r>
        <w:rPr>
          <w:rFonts w:hint="eastAsia" w:ascii="宋体" w:hAnsi="宋体" w:cs="宋体"/>
          <w:spacing w:val="5"/>
          <w:kern w:val="0"/>
          <w:sz w:val="24"/>
        </w:rPr>
        <w:t>质</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u w:val="single"/>
        </w:rPr>
        <w:tab/>
      </w:r>
    </w:p>
    <w:p>
      <w:pPr>
        <w:tabs>
          <w:tab w:val="left" w:pos="5420"/>
        </w:tabs>
        <w:autoSpaceDE w:val="0"/>
        <w:autoSpaceDN w:val="0"/>
        <w:adjustRightInd w:val="0"/>
        <w:spacing w:before="6" w:line="360" w:lineRule="auto"/>
        <w:ind w:left="120" w:right="-20"/>
        <w:jc w:val="left"/>
        <w:outlineLvl w:val="5"/>
        <w:rPr>
          <w:rFonts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u w:val="single"/>
        </w:rPr>
        <w:tab/>
      </w:r>
    </w:p>
    <w:p>
      <w:pPr>
        <w:tabs>
          <w:tab w:val="left" w:pos="2340"/>
          <w:tab w:val="left" w:pos="3600"/>
          <w:tab w:val="left" w:pos="4720"/>
        </w:tabs>
        <w:autoSpaceDE w:val="0"/>
        <w:autoSpaceDN w:val="0"/>
        <w:adjustRightInd w:val="0"/>
        <w:spacing w:before="6" w:line="360" w:lineRule="auto"/>
        <w:ind w:left="120" w:right="-20"/>
        <w:jc w:val="left"/>
        <w:outlineLvl w:val="5"/>
        <w:rPr>
          <w:rFonts w:ascii="宋体" w:hAnsi="宋体" w:cs="宋体"/>
          <w:kern w:val="0"/>
          <w:sz w:val="24"/>
        </w:rPr>
      </w:pPr>
      <w:r>
        <w:rPr>
          <w:rFonts w:hint="eastAsia" w:ascii="宋体" w:hAnsi="宋体" w:cs="宋体"/>
          <w:kern w:val="0"/>
          <w:sz w:val="24"/>
        </w:rPr>
        <w:t>成立时</w:t>
      </w:r>
      <w:r>
        <w:rPr>
          <w:rFonts w:hint="eastAsia" w:ascii="宋体" w:hAnsi="宋体" w:cs="宋体"/>
          <w:spacing w:val="5"/>
          <w:kern w:val="0"/>
          <w:sz w:val="24"/>
        </w:rPr>
        <w:t>间</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u w:val="single"/>
        </w:rPr>
        <w:tab/>
      </w:r>
      <w:r>
        <w:rPr>
          <w:rFonts w:hint="eastAsia" w:ascii="宋体" w:hAnsi="宋体" w:cs="宋体"/>
          <w:kern w:val="0"/>
          <w:sz w:val="24"/>
        </w:rPr>
        <w:t xml:space="preserve"> 年</w:t>
      </w:r>
      <w:r>
        <w:rPr>
          <w:rFonts w:hint="eastAsia" w:ascii="宋体" w:hAnsi="宋体" w:cs="宋体"/>
          <w:kern w:val="0"/>
          <w:sz w:val="24"/>
          <w:u w:val="single"/>
        </w:rPr>
        <w:t xml:space="preserve"> </w:t>
      </w:r>
      <w:r>
        <w:rPr>
          <w:rFonts w:hint="eastAsia" w:ascii="宋体" w:hAnsi="宋体" w:cs="宋体"/>
          <w:kern w:val="0"/>
          <w:sz w:val="24"/>
          <w:u w:val="single"/>
        </w:rPr>
        <w:tab/>
      </w:r>
      <w:r>
        <w:rPr>
          <w:rFonts w:hint="eastAsia" w:ascii="宋体" w:hAnsi="宋体" w:cs="宋体"/>
          <w:spacing w:val="5"/>
          <w:kern w:val="0"/>
          <w:sz w:val="24"/>
        </w:rPr>
        <w:t>月</w:t>
      </w:r>
      <w:r>
        <w:rPr>
          <w:rFonts w:hint="eastAsia" w:ascii="宋体" w:hAnsi="宋体" w:cs="宋体"/>
          <w:kern w:val="0"/>
          <w:sz w:val="24"/>
          <w:u w:val="single"/>
        </w:rPr>
        <w:t xml:space="preserve"> </w:t>
      </w:r>
      <w:r>
        <w:rPr>
          <w:rFonts w:hint="eastAsia" w:ascii="宋体" w:hAnsi="宋体" w:cs="宋体"/>
          <w:kern w:val="0"/>
          <w:sz w:val="24"/>
          <w:u w:val="single"/>
        </w:rPr>
        <w:tab/>
      </w:r>
      <w:r>
        <w:rPr>
          <w:rFonts w:hint="eastAsia" w:ascii="宋体" w:hAnsi="宋体" w:cs="宋体"/>
          <w:kern w:val="0"/>
          <w:sz w:val="24"/>
        </w:rPr>
        <w:t>日</w:t>
      </w:r>
    </w:p>
    <w:p>
      <w:pPr>
        <w:tabs>
          <w:tab w:val="left" w:pos="2340"/>
        </w:tabs>
        <w:autoSpaceDE w:val="0"/>
        <w:autoSpaceDN w:val="0"/>
        <w:adjustRightInd w:val="0"/>
        <w:spacing w:line="360" w:lineRule="auto"/>
        <w:ind w:left="120" w:right="-20"/>
        <w:jc w:val="left"/>
        <w:outlineLvl w:val="5"/>
        <w:rPr>
          <w:rFonts w:ascii="宋体" w:hAnsi="宋体" w:cs="宋体"/>
          <w:kern w:val="0"/>
          <w:sz w:val="24"/>
          <w:u w:val="single"/>
        </w:rPr>
      </w:pPr>
      <w:r>
        <w:rPr>
          <w:rFonts w:hint="eastAsia" w:ascii="宋体" w:hAnsi="宋体" w:cs="宋体"/>
          <w:kern w:val="0"/>
          <w:sz w:val="24"/>
        </w:rPr>
        <w:t>经营期</w:t>
      </w:r>
      <w:r>
        <w:rPr>
          <w:rFonts w:hint="eastAsia" w:ascii="宋体" w:hAnsi="宋体" w:cs="宋体"/>
          <w:spacing w:val="5"/>
          <w:kern w:val="0"/>
          <w:sz w:val="24"/>
        </w:rPr>
        <w:t>限</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u w:val="single"/>
        </w:rPr>
        <w:tab/>
      </w:r>
    </w:p>
    <w:p>
      <w:pPr>
        <w:tabs>
          <w:tab w:val="left" w:pos="2340"/>
        </w:tabs>
        <w:autoSpaceDE w:val="0"/>
        <w:autoSpaceDN w:val="0"/>
        <w:adjustRightInd w:val="0"/>
        <w:spacing w:line="360" w:lineRule="auto"/>
        <w:ind w:left="120" w:right="-20"/>
        <w:jc w:val="left"/>
        <w:outlineLvl w:val="5"/>
        <w:rPr>
          <w:rFonts w:ascii="宋体" w:hAnsi="宋体" w:cs="宋体"/>
          <w:kern w:val="0"/>
          <w:sz w:val="24"/>
          <w:u w:val="single"/>
        </w:rPr>
      </w:pPr>
    </w:p>
    <w:p>
      <w:pPr>
        <w:autoSpaceDE w:val="0"/>
        <w:autoSpaceDN w:val="0"/>
        <w:adjustRightInd w:val="0"/>
        <w:spacing w:line="360" w:lineRule="auto"/>
        <w:jc w:val="left"/>
        <w:outlineLvl w:val="5"/>
        <w:rPr>
          <w:rFonts w:ascii="宋体" w:hAnsi="宋体" w:cs="宋体"/>
          <w:kern w:val="0"/>
          <w:sz w:val="24"/>
        </w:rPr>
      </w:pPr>
    </w:p>
    <w:p>
      <w:pPr>
        <w:tabs>
          <w:tab w:val="left" w:pos="2640"/>
          <w:tab w:val="left" w:pos="4440"/>
          <w:tab w:val="left" w:pos="6600"/>
          <w:tab w:val="left" w:pos="7940"/>
        </w:tabs>
        <w:autoSpaceDE w:val="0"/>
        <w:autoSpaceDN w:val="0"/>
        <w:adjustRightInd w:val="0"/>
        <w:spacing w:before="6" w:line="360" w:lineRule="auto"/>
        <w:ind w:left="120" w:right="-199"/>
        <w:jc w:val="left"/>
        <w:outlineLvl w:val="5"/>
        <w:rPr>
          <w:rFonts w:ascii="宋体" w:hAnsi="宋体" w:cs="宋体"/>
          <w:kern w:val="0"/>
          <w:sz w:val="24"/>
        </w:rPr>
      </w:pPr>
      <w:r>
        <w:rPr>
          <w:rFonts w:hint="eastAsia" w:ascii="宋体" w:hAnsi="宋体" w:cs="宋体"/>
          <w:kern w:val="0"/>
          <w:sz w:val="24"/>
        </w:rPr>
        <w:t>姓名</w:t>
      </w:r>
      <w:r>
        <w:rPr>
          <w:rFonts w:hint="eastAsia" w:ascii="宋体" w:hAnsi="宋体" w:cs="宋体"/>
          <w:spacing w:val="-115"/>
          <w:kern w:val="0"/>
          <w:sz w:val="24"/>
        </w:rPr>
        <w:t>：</w:t>
      </w:r>
      <w:r>
        <w:rPr>
          <w:rFonts w:hint="eastAsia" w:ascii="宋体" w:hAnsi="宋体" w:cs="宋体"/>
          <w:kern w:val="0"/>
          <w:sz w:val="24"/>
          <w:u w:val="single"/>
        </w:rPr>
        <w:t xml:space="preserve"> </w:t>
      </w:r>
      <w:r>
        <w:rPr>
          <w:rFonts w:hint="eastAsia" w:ascii="宋体" w:hAnsi="宋体" w:cs="宋体"/>
          <w:kern w:val="0"/>
          <w:sz w:val="24"/>
          <w:u w:val="single"/>
        </w:rPr>
        <w:tab/>
      </w: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kern w:val="0"/>
          <w:sz w:val="24"/>
          <w:u w:val="single"/>
        </w:rPr>
        <w:tab/>
      </w:r>
      <w:r>
        <w:rPr>
          <w:rFonts w:hint="eastAsia" w:ascii="宋体" w:hAnsi="宋体" w:cs="宋体"/>
          <w:kern w:val="0"/>
          <w:sz w:val="24"/>
          <w:u w:val="single"/>
        </w:rPr>
        <w:tab/>
      </w:r>
      <w:r>
        <w:rPr>
          <w:rFonts w:hint="eastAsia" w:ascii="宋体" w:hAnsi="宋体" w:cs="宋体"/>
          <w:kern w:val="0"/>
          <w:sz w:val="24"/>
          <w:u w:val="single"/>
        </w:rPr>
        <w:t>（</w:t>
      </w:r>
      <w:r>
        <w:rPr>
          <w:rFonts w:hint="eastAsia" w:ascii="宋体" w:hAnsi="宋体" w:cs="宋体"/>
          <w:spacing w:val="5"/>
          <w:kern w:val="0"/>
          <w:sz w:val="24"/>
        </w:rPr>
        <w:t>投</w:t>
      </w:r>
      <w:r>
        <w:rPr>
          <w:rFonts w:hint="eastAsia" w:ascii="宋体" w:hAnsi="宋体" w:cs="宋体"/>
          <w:kern w:val="0"/>
          <w:sz w:val="24"/>
        </w:rPr>
        <w:t>标人</w:t>
      </w:r>
      <w:r>
        <w:rPr>
          <w:rFonts w:hint="eastAsia" w:ascii="宋体" w:hAnsi="宋体" w:cs="宋体"/>
          <w:spacing w:val="5"/>
          <w:kern w:val="0"/>
          <w:sz w:val="24"/>
        </w:rPr>
        <w:t>名</w:t>
      </w:r>
      <w:r>
        <w:rPr>
          <w:rFonts w:hint="eastAsia" w:ascii="宋体" w:hAnsi="宋体" w:cs="宋体"/>
          <w:kern w:val="0"/>
          <w:sz w:val="24"/>
        </w:rPr>
        <w:t>称</w:t>
      </w:r>
      <w:r>
        <w:rPr>
          <w:rFonts w:hint="eastAsia" w:ascii="宋体" w:hAnsi="宋体" w:cs="宋体"/>
          <w:spacing w:val="5"/>
          <w:kern w:val="0"/>
          <w:sz w:val="24"/>
        </w:rPr>
        <w:t xml:space="preserve">） </w:t>
      </w:r>
      <w:r>
        <w:rPr>
          <w:rFonts w:hint="eastAsia" w:ascii="宋体" w:hAnsi="宋体" w:cs="宋体"/>
          <w:kern w:val="0"/>
          <w:sz w:val="24"/>
        </w:rPr>
        <w:t>的法定</w:t>
      </w:r>
      <w:r>
        <w:rPr>
          <w:rFonts w:hint="eastAsia" w:ascii="宋体" w:hAnsi="宋体" w:cs="宋体"/>
          <w:spacing w:val="5"/>
          <w:kern w:val="0"/>
          <w:sz w:val="24"/>
        </w:rPr>
        <w:t>代</w:t>
      </w:r>
      <w:r>
        <w:rPr>
          <w:rFonts w:hint="eastAsia" w:ascii="宋体" w:hAnsi="宋体" w:cs="宋体"/>
          <w:kern w:val="0"/>
          <w:sz w:val="24"/>
        </w:rPr>
        <w:t>表人</w:t>
      </w:r>
      <w:r>
        <w:rPr>
          <w:rFonts w:hint="eastAsia" w:ascii="宋体" w:hAnsi="宋体" w:cs="宋体"/>
          <w:spacing w:val="5"/>
          <w:kern w:val="0"/>
          <w:sz w:val="24"/>
        </w:rPr>
        <w:t>（</w:t>
      </w:r>
      <w:r>
        <w:rPr>
          <w:rFonts w:hint="eastAsia" w:ascii="宋体" w:hAnsi="宋体" w:cs="宋体"/>
          <w:kern w:val="0"/>
          <w:sz w:val="24"/>
        </w:rPr>
        <w:t>职务：</w:t>
      </w:r>
      <w:r>
        <w:rPr>
          <w:rFonts w:hint="eastAsia" w:ascii="宋体" w:hAnsi="宋体" w:cs="宋体"/>
          <w:kern w:val="0"/>
          <w:sz w:val="24"/>
          <w:u w:val="single"/>
        </w:rPr>
        <w:t xml:space="preserve"> </w:t>
      </w:r>
      <w:r>
        <w:rPr>
          <w:rFonts w:hint="eastAsia" w:ascii="宋体" w:hAnsi="宋体" w:cs="宋体"/>
          <w:kern w:val="0"/>
          <w:sz w:val="24"/>
          <w:u w:val="single"/>
        </w:rPr>
        <w:tab/>
      </w:r>
      <w:r>
        <w:rPr>
          <w:rFonts w:hint="eastAsia" w:ascii="宋体" w:hAnsi="宋体" w:cs="宋体"/>
          <w:kern w:val="0"/>
          <w:sz w:val="24"/>
        </w:rPr>
        <w:t xml:space="preserve"> </w:t>
      </w:r>
      <w:r>
        <w:rPr>
          <w:rFonts w:hint="eastAsia" w:ascii="宋体" w:hAnsi="宋体" w:cs="宋体"/>
          <w:spacing w:val="5"/>
          <w:kern w:val="0"/>
          <w:sz w:val="24"/>
        </w:rPr>
        <w:t>电</w:t>
      </w:r>
      <w:r>
        <w:rPr>
          <w:rFonts w:hint="eastAsia" w:ascii="宋体" w:hAnsi="宋体" w:cs="宋体"/>
          <w:kern w:val="0"/>
          <w:sz w:val="24"/>
        </w:rPr>
        <w:t>话：</w:t>
      </w:r>
      <w:r>
        <w:rPr>
          <w:rFonts w:hint="eastAsia" w:ascii="宋体" w:hAnsi="宋体" w:cs="宋体"/>
          <w:kern w:val="0"/>
          <w:sz w:val="24"/>
          <w:u w:val="single"/>
        </w:rPr>
        <w:t xml:space="preserve"> </w:t>
      </w:r>
      <w:r>
        <w:rPr>
          <w:rFonts w:hint="eastAsia" w:ascii="宋体" w:hAnsi="宋体" w:cs="宋体"/>
          <w:kern w:val="0"/>
          <w:sz w:val="24"/>
          <w:u w:val="single"/>
        </w:rPr>
        <w:tab/>
      </w:r>
      <w:r>
        <w:rPr>
          <w:rFonts w:hint="eastAsia" w:ascii="宋体" w:hAnsi="宋体" w:cs="宋体"/>
          <w:kern w:val="0"/>
          <w:sz w:val="24"/>
          <w:u w:val="single"/>
        </w:rPr>
        <w:tab/>
      </w:r>
      <w:r>
        <w:rPr>
          <w:rFonts w:hint="eastAsia" w:ascii="宋体" w:hAnsi="宋体" w:cs="宋体"/>
          <w:spacing w:val="5"/>
          <w:kern w:val="0"/>
          <w:sz w:val="24"/>
        </w:rPr>
        <w:t>）。</w:t>
      </w:r>
    </w:p>
    <w:p>
      <w:pPr>
        <w:autoSpaceDE w:val="0"/>
        <w:autoSpaceDN w:val="0"/>
        <w:adjustRightInd w:val="0"/>
        <w:spacing w:line="360" w:lineRule="auto"/>
        <w:jc w:val="left"/>
        <w:outlineLvl w:val="5"/>
        <w:rPr>
          <w:rFonts w:ascii="宋体" w:hAnsi="宋体" w:cs="宋体"/>
          <w:kern w:val="0"/>
          <w:sz w:val="24"/>
        </w:rPr>
      </w:pPr>
    </w:p>
    <w:p>
      <w:pPr>
        <w:autoSpaceDE w:val="0"/>
        <w:autoSpaceDN w:val="0"/>
        <w:adjustRightInd w:val="0"/>
        <w:spacing w:before="4" w:line="360" w:lineRule="auto"/>
        <w:jc w:val="left"/>
        <w:outlineLvl w:val="5"/>
        <w:rPr>
          <w:rFonts w:ascii="宋体" w:hAnsi="宋体" w:cs="宋体"/>
          <w:kern w:val="0"/>
          <w:sz w:val="24"/>
        </w:rPr>
      </w:pPr>
    </w:p>
    <w:p>
      <w:pPr>
        <w:autoSpaceDE w:val="0"/>
        <w:autoSpaceDN w:val="0"/>
        <w:adjustRightInd w:val="0"/>
        <w:spacing w:line="360" w:lineRule="auto"/>
        <w:ind w:left="677" w:right="-20"/>
        <w:jc w:val="left"/>
        <w:outlineLvl w:val="5"/>
        <w:rPr>
          <w:rFonts w:ascii="宋体" w:hAnsi="宋体" w:cs="宋体"/>
          <w:kern w:val="0"/>
          <w:sz w:val="24"/>
        </w:rPr>
      </w:pPr>
      <w:r>
        <w:rPr>
          <w:rFonts w:hint="eastAsia" w:ascii="宋体" w:hAnsi="宋体" w:cs="宋体"/>
          <w:kern w:val="0"/>
          <w:sz w:val="24"/>
        </w:rPr>
        <w:t>特</w:t>
      </w:r>
      <w:r>
        <w:rPr>
          <w:rFonts w:hint="eastAsia" w:ascii="宋体" w:hAnsi="宋体" w:cs="宋体"/>
          <w:spacing w:val="5"/>
          <w:kern w:val="0"/>
          <w:sz w:val="24"/>
        </w:rPr>
        <w:t>此</w:t>
      </w:r>
      <w:r>
        <w:rPr>
          <w:rFonts w:hint="eastAsia" w:ascii="宋体" w:hAnsi="宋体" w:cs="宋体"/>
          <w:kern w:val="0"/>
          <w:sz w:val="24"/>
        </w:rPr>
        <w:t>证明。</w:t>
      </w:r>
    </w:p>
    <w:p>
      <w:pPr>
        <w:autoSpaceDE w:val="0"/>
        <w:autoSpaceDN w:val="0"/>
        <w:adjustRightInd w:val="0"/>
        <w:spacing w:line="360" w:lineRule="auto"/>
        <w:jc w:val="left"/>
        <w:outlineLvl w:val="5"/>
        <w:rPr>
          <w:rFonts w:ascii="宋体" w:hAnsi="宋体" w:cs="宋体"/>
          <w:kern w:val="0"/>
          <w:sz w:val="24"/>
        </w:rPr>
      </w:pPr>
    </w:p>
    <w:p>
      <w:pPr>
        <w:autoSpaceDE w:val="0"/>
        <w:autoSpaceDN w:val="0"/>
        <w:adjustRightInd w:val="0"/>
        <w:spacing w:line="360" w:lineRule="auto"/>
        <w:ind w:left="677" w:right="-20"/>
        <w:jc w:val="left"/>
        <w:outlineLvl w:val="5"/>
        <w:rPr>
          <w:rFonts w:ascii="宋体" w:hAnsi="宋体" w:cs="宋体"/>
          <w:kern w:val="0"/>
          <w:sz w:val="24"/>
        </w:rPr>
      </w:pPr>
      <w:r>
        <w:rPr>
          <w:rFonts w:hint="eastAsia" w:ascii="宋体" w:hAnsi="宋体" w:cs="宋体"/>
          <w:kern w:val="0"/>
          <w:sz w:val="24"/>
        </w:rPr>
        <w:t>附</w:t>
      </w:r>
      <w:r>
        <w:rPr>
          <w:rFonts w:hint="eastAsia" w:ascii="宋体" w:hAnsi="宋体" w:cs="宋体"/>
          <w:spacing w:val="5"/>
          <w:kern w:val="0"/>
          <w:sz w:val="24"/>
        </w:rPr>
        <w:t>：</w:t>
      </w:r>
      <w:r>
        <w:rPr>
          <w:rFonts w:hint="eastAsia" w:ascii="宋体" w:hAnsi="宋体" w:cs="宋体"/>
          <w:kern w:val="0"/>
          <w:sz w:val="24"/>
        </w:rPr>
        <w:t>法定</w:t>
      </w:r>
      <w:r>
        <w:rPr>
          <w:rFonts w:hint="eastAsia" w:ascii="宋体" w:hAnsi="宋体" w:cs="宋体"/>
          <w:spacing w:val="5"/>
          <w:kern w:val="0"/>
          <w:sz w:val="24"/>
        </w:rPr>
        <w:t>代</w:t>
      </w:r>
      <w:r>
        <w:rPr>
          <w:rFonts w:hint="eastAsia" w:ascii="宋体" w:hAnsi="宋体" w:cs="宋体"/>
          <w:kern w:val="0"/>
          <w:sz w:val="24"/>
        </w:rPr>
        <w:t>表人</w:t>
      </w:r>
      <w:r>
        <w:rPr>
          <w:rFonts w:hint="eastAsia" w:ascii="宋体" w:hAnsi="宋体" w:cs="宋体"/>
          <w:spacing w:val="5"/>
          <w:kern w:val="0"/>
          <w:sz w:val="24"/>
        </w:rPr>
        <w:t>身</w:t>
      </w:r>
      <w:r>
        <w:rPr>
          <w:rFonts w:hint="eastAsia" w:ascii="宋体" w:hAnsi="宋体" w:cs="宋体"/>
          <w:kern w:val="0"/>
          <w:sz w:val="24"/>
        </w:rPr>
        <w:t>份证</w:t>
      </w:r>
      <w:r>
        <w:rPr>
          <w:rFonts w:hint="eastAsia" w:ascii="宋体" w:hAnsi="宋体" w:cs="宋体"/>
          <w:spacing w:val="5"/>
          <w:kern w:val="0"/>
          <w:sz w:val="24"/>
        </w:rPr>
        <w:t>复</w:t>
      </w:r>
      <w:r>
        <w:rPr>
          <w:rFonts w:hint="eastAsia" w:ascii="宋体" w:hAnsi="宋体" w:cs="宋体"/>
          <w:kern w:val="0"/>
          <w:sz w:val="24"/>
        </w:rPr>
        <w:t>印</w:t>
      </w:r>
      <w:r>
        <w:rPr>
          <w:rFonts w:hint="eastAsia" w:ascii="宋体" w:hAnsi="宋体" w:cs="宋体"/>
          <w:spacing w:val="5"/>
          <w:kern w:val="0"/>
          <w:sz w:val="24"/>
        </w:rPr>
        <w:t>件</w:t>
      </w:r>
    </w:p>
    <w:p>
      <w:pPr>
        <w:autoSpaceDE w:val="0"/>
        <w:autoSpaceDN w:val="0"/>
        <w:adjustRightInd w:val="0"/>
        <w:spacing w:before="11" w:line="360" w:lineRule="auto"/>
        <w:jc w:val="left"/>
        <w:outlineLvl w:val="5"/>
        <w:rPr>
          <w:rFonts w:ascii="宋体" w:hAnsi="宋体" w:cs="宋体"/>
          <w:kern w:val="0"/>
          <w:sz w:val="24"/>
        </w:rPr>
      </w:pPr>
    </w:p>
    <w:p>
      <w:pPr>
        <w:autoSpaceDE w:val="0"/>
        <w:autoSpaceDN w:val="0"/>
        <w:adjustRightInd w:val="0"/>
        <w:spacing w:line="360" w:lineRule="auto"/>
        <w:jc w:val="left"/>
        <w:outlineLvl w:val="5"/>
        <w:rPr>
          <w:rFonts w:ascii="宋体" w:hAnsi="宋体" w:cs="宋体"/>
          <w:kern w:val="0"/>
          <w:sz w:val="24"/>
        </w:rPr>
      </w:pPr>
    </w:p>
    <w:p>
      <w:pPr>
        <w:tabs>
          <w:tab w:val="left" w:pos="5840"/>
        </w:tabs>
        <w:autoSpaceDE w:val="0"/>
        <w:autoSpaceDN w:val="0"/>
        <w:adjustRightInd w:val="0"/>
        <w:spacing w:line="360" w:lineRule="auto"/>
        <w:ind w:right="-20"/>
        <w:jc w:val="left"/>
        <w:outlineLvl w:val="5"/>
        <w:rPr>
          <w:rFonts w:ascii="宋体" w:hAnsi="宋体" w:cs="宋体"/>
          <w:kern w:val="0"/>
          <w:sz w:val="24"/>
        </w:rPr>
      </w:pPr>
      <w:r>
        <w:rPr>
          <w:rFonts w:hint="eastAsia" w:ascii="宋体" w:hAnsi="宋体" w:cs="宋体"/>
          <w:spacing w:val="5"/>
          <w:kern w:val="0"/>
          <w:sz w:val="24"/>
        </w:rPr>
        <w:t>投</w:t>
      </w:r>
      <w:r>
        <w:rPr>
          <w:rFonts w:hint="eastAsia" w:ascii="宋体" w:hAnsi="宋体" w:cs="宋体"/>
          <w:kern w:val="0"/>
          <w:sz w:val="24"/>
        </w:rPr>
        <w:t>标人</w:t>
      </w:r>
      <w:r>
        <w:rPr>
          <w:rFonts w:hint="eastAsia" w:ascii="宋体" w:hAnsi="宋体" w:cs="宋体"/>
          <w:spacing w:val="5"/>
          <w:kern w:val="0"/>
          <w:sz w:val="24"/>
        </w:rPr>
        <w:t>：</w:t>
      </w:r>
      <w:r>
        <w:rPr>
          <w:rFonts w:hint="eastAsia" w:ascii="宋体" w:hAnsi="宋体" w:cs="宋体"/>
          <w:kern w:val="0"/>
          <w:sz w:val="24"/>
          <w:u w:val="single"/>
        </w:rPr>
        <w:t xml:space="preserve"> </w:t>
      </w:r>
      <w:r>
        <w:rPr>
          <w:rFonts w:hint="eastAsia" w:ascii="宋体" w:hAnsi="宋体" w:cs="宋体"/>
          <w:kern w:val="0"/>
          <w:sz w:val="24"/>
          <w:u w:val="single"/>
        </w:rPr>
        <w:tab/>
      </w:r>
      <w:r>
        <w:rPr>
          <w:rFonts w:hint="eastAsia" w:ascii="宋体" w:hAnsi="宋体" w:cs="宋体"/>
          <w:kern w:val="0"/>
          <w:sz w:val="24"/>
        </w:rPr>
        <w:t xml:space="preserve"> （盖单位公章）</w:t>
      </w:r>
    </w:p>
    <w:p>
      <w:pPr>
        <w:tabs>
          <w:tab w:val="left" w:pos="5840"/>
        </w:tabs>
        <w:autoSpaceDE w:val="0"/>
        <w:autoSpaceDN w:val="0"/>
        <w:adjustRightInd w:val="0"/>
        <w:spacing w:line="360" w:lineRule="auto"/>
        <w:ind w:right="-20"/>
        <w:jc w:val="left"/>
        <w:outlineLvl w:val="5"/>
        <w:rPr>
          <w:rFonts w:ascii="宋体" w:hAnsi="宋体" w:cs="宋体"/>
          <w:kern w:val="0"/>
          <w:sz w:val="24"/>
        </w:rPr>
      </w:pPr>
      <w:r>
        <w:rPr>
          <w:rFonts w:hint="eastAsia" w:ascii="宋体" w:hAnsi="宋体" w:cs="宋体"/>
          <w:kern w:val="0"/>
          <w:sz w:val="24"/>
        </w:rPr>
        <w:t>法定代表人签字或者加盖法定代表人名章：</w:t>
      </w:r>
      <w:r>
        <w:rPr>
          <w:rFonts w:hint="eastAsia" w:ascii="宋体" w:hAnsi="宋体" w:cs="宋体"/>
          <w:kern w:val="0"/>
          <w:sz w:val="24"/>
          <w:u w:val="single"/>
        </w:rPr>
        <w:tab/>
      </w:r>
      <w:r>
        <w:rPr>
          <w:rFonts w:hint="eastAsia" w:ascii="宋体" w:hAnsi="宋体" w:cs="宋体"/>
          <w:kern w:val="0"/>
          <w:sz w:val="24"/>
        </w:rPr>
        <w:t>。</w:t>
      </w:r>
    </w:p>
    <w:p>
      <w:pPr>
        <w:autoSpaceDE w:val="0"/>
        <w:autoSpaceDN w:val="0"/>
        <w:adjustRightInd w:val="0"/>
        <w:spacing w:before="5" w:line="360" w:lineRule="auto"/>
        <w:jc w:val="left"/>
        <w:outlineLvl w:val="5"/>
        <w:rPr>
          <w:rFonts w:ascii="宋体" w:hAnsi="宋体" w:cs="宋体"/>
          <w:kern w:val="0"/>
          <w:sz w:val="24"/>
        </w:rPr>
      </w:pPr>
    </w:p>
    <w:p>
      <w:pPr>
        <w:tabs>
          <w:tab w:val="left" w:pos="4300"/>
          <w:tab w:val="left" w:pos="5560"/>
          <w:tab w:val="left" w:pos="6820"/>
        </w:tabs>
        <w:autoSpaceDE w:val="0"/>
        <w:autoSpaceDN w:val="0"/>
        <w:adjustRightInd w:val="0"/>
        <w:spacing w:before="6" w:line="360" w:lineRule="auto"/>
        <w:ind w:right="-20"/>
        <w:jc w:val="left"/>
        <w:outlineLvl w:val="5"/>
        <w:rPr>
          <w:rFonts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 xml:space="preserve"> </w:t>
      </w:r>
      <w:r>
        <w:rPr>
          <w:rFonts w:hint="eastAsia" w:ascii="宋体" w:hAnsi="宋体" w:cs="宋体"/>
          <w:spacing w:val="5"/>
          <w:kern w:val="0"/>
          <w:sz w:val="24"/>
        </w:rPr>
        <w:t>年</w:t>
      </w:r>
      <w:r>
        <w:rPr>
          <w:rFonts w:hint="eastAsia" w:ascii="宋体" w:hAnsi="宋体" w:cs="宋体"/>
          <w:kern w:val="0"/>
          <w:sz w:val="24"/>
          <w:u w:val="single"/>
        </w:rPr>
        <w:t xml:space="preserve">     </w:t>
      </w:r>
      <w:r>
        <w:rPr>
          <w:rFonts w:hint="eastAsia" w:ascii="宋体" w:hAnsi="宋体" w:cs="宋体"/>
          <w:kern w:val="0"/>
          <w:sz w:val="24"/>
        </w:rPr>
        <w:t xml:space="preserve"> 月</w:t>
      </w:r>
      <w:r>
        <w:rPr>
          <w:rFonts w:hint="eastAsia" w:ascii="宋体" w:hAnsi="宋体" w:cs="宋体"/>
          <w:kern w:val="0"/>
          <w:sz w:val="24"/>
          <w:u w:val="single"/>
        </w:rPr>
        <w:t xml:space="preserve">    </w:t>
      </w:r>
      <w:r>
        <w:rPr>
          <w:rFonts w:hint="eastAsia" w:ascii="宋体" w:hAnsi="宋体" w:cs="宋体"/>
          <w:kern w:val="0"/>
          <w:sz w:val="24"/>
        </w:rPr>
        <w:t xml:space="preserve"> 日</w:t>
      </w:r>
    </w:p>
    <w:p>
      <w:pPr>
        <w:tabs>
          <w:tab w:val="left" w:pos="4300"/>
          <w:tab w:val="left" w:pos="5560"/>
          <w:tab w:val="left" w:pos="6820"/>
        </w:tabs>
        <w:autoSpaceDE w:val="0"/>
        <w:autoSpaceDN w:val="0"/>
        <w:adjustRightInd w:val="0"/>
        <w:spacing w:before="6" w:line="360" w:lineRule="auto"/>
        <w:ind w:left="3475" w:right="-20"/>
        <w:jc w:val="left"/>
        <w:outlineLvl w:val="5"/>
        <w:rPr>
          <w:rFonts w:ascii="宋体" w:hAnsi="宋体" w:cs="宋体"/>
          <w:kern w:val="0"/>
          <w:sz w:val="24"/>
        </w:rPr>
      </w:pPr>
    </w:p>
    <w:p>
      <w:pPr>
        <w:tabs>
          <w:tab w:val="left" w:pos="4300"/>
          <w:tab w:val="left" w:pos="5560"/>
          <w:tab w:val="left" w:pos="6820"/>
        </w:tabs>
        <w:autoSpaceDE w:val="0"/>
        <w:autoSpaceDN w:val="0"/>
        <w:adjustRightInd w:val="0"/>
        <w:spacing w:before="6" w:line="360" w:lineRule="auto"/>
        <w:ind w:left="3475" w:right="-20"/>
        <w:jc w:val="left"/>
        <w:outlineLvl w:val="5"/>
        <w:rPr>
          <w:rFonts w:ascii="宋体" w:hAnsi="宋体" w:cs="宋体"/>
          <w:kern w:val="0"/>
          <w:sz w:val="24"/>
        </w:rPr>
      </w:pPr>
    </w:p>
    <w:p>
      <w:pPr>
        <w:tabs>
          <w:tab w:val="left" w:pos="4300"/>
          <w:tab w:val="left" w:pos="5560"/>
          <w:tab w:val="left" w:pos="6820"/>
        </w:tabs>
        <w:autoSpaceDE w:val="0"/>
        <w:autoSpaceDN w:val="0"/>
        <w:adjustRightInd w:val="0"/>
        <w:spacing w:before="6" w:line="360" w:lineRule="auto"/>
        <w:ind w:left="3475" w:right="-20"/>
        <w:jc w:val="left"/>
        <w:outlineLvl w:val="5"/>
        <w:rPr>
          <w:rFonts w:ascii="宋体" w:hAnsi="宋体" w:cs="宋体"/>
          <w:kern w:val="0"/>
          <w:sz w:val="10"/>
        </w:rPr>
      </w:pPr>
    </w:p>
    <w:p>
      <w:pPr>
        <w:spacing w:line="360" w:lineRule="auto"/>
        <w:outlineLvl w:val="5"/>
        <w:rPr>
          <w:rFonts w:ascii="宋体" w:hAnsi="宋体" w:cs="宋体"/>
          <w:sz w:val="32"/>
          <w:szCs w:val="32"/>
        </w:rPr>
        <w:sectPr>
          <w:headerReference r:id="rId11" w:type="first"/>
          <w:headerReference r:id="rId9" w:type="default"/>
          <w:headerReference r:id="rId10" w:type="even"/>
          <w:pgSz w:w="11907" w:h="16840"/>
          <w:pgMar w:top="1134" w:right="1134" w:bottom="851" w:left="1418" w:header="851" w:footer="992" w:gutter="0"/>
          <w:cols w:space="720" w:num="1"/>
          <w:docGrid w:linePitch="312" w:charSpace="0"/>
        </w:sectPr>
      </w:pPr>
      <w:r>
        <w:rPr>
          <w:rFonts w:hint="eastAsia" w:ascii="宋体" w:hAnsi="宋体" w:cs="宋体"/>
          <w:b/>
          <w:kern w:val="0"/>
          <w:sz w:val="24"/>
        </w:rPr>
        <w:t>注</w:t>
      </w:r>
      <w:r>
        <w:rPr>
          <w:rFonts w:hint="eastAsia" w:ascii="宋体" w:hAnsi="宋体" w:cs="宋体"/>
          <w:b/>
          <w:spacing w:val="-139"/>
          <w:kern w:val="0"/>
          <w:sz w:val="24"/>
        </w:rPr>
        <w:t>：</w:t>
      </w:r>
      <w:r>
        <w:rPr>
          <w:rFonts w:hint="eastAsia" w:ascii="宋体" w:hAnsi="宋体" w:cs="宋体"/>
          <w:b/>
          <w:kern w:val="0"/>
          <w:sz w:val="24"/>
        </w:rPr>
        <w:t>：</w:t>
      </w:r>
      <w:r>
        <w:rPr>
          <w:rFonts w:hint="eastAsia" w:ascii="宋体" w:hAnsi="宋体" w:cs="宋体"/>
          <w:b/>
          <w:spacing w:val="5"/>
          <w:kern w:val="0"/>
          <w:sz w:val="24"/>
        </w:rPr>
        <w:t>法</w:t>
      </w:r>
      <w:r>
        <w:rPr>
          <w:rFonts w:hint="eastAsia" w:ascii="宋体" w:hAnsi="宋体" w:cs="宋体"/>
          <w:b/>
          <w:kern w:val="0"/>
          <w:sz w:val="24"/>
        </w:rPr>
        <w:t>定代</w:t>
      </w:r>
      <w:r>
        <w:rPr>
          <w:rFonts w:hint="eastAsia" w:ascii="宋体" w:hAnsi="宋体" w:cs="宋体"/>
          <w:b/>
          <w:spacing w:val="5"/>
          <w:kern w:val="0"/>
          <w:sz w:val="24"/>
        </w:rPr>
        <w:t>表</w:t>
      </w:r>
      <w:r>
        <w:rPr>
          <w:rFonts w:hint="eastAsia" w:ascii="宋体" w:hAnsi="宋体" w:cs="宋体"/>
          <w:b/>
          <w:kern w:val="0"/>
          <w:sz w:val="24"/>
        </w:rPr>
        <w:t>人投标</w:t>
      </w:r>
      <w:r>
        <w:rPr>
          <w:rFonts w:hint="eastAsia" w:ascii="宋体" w:hAnsi="宋体" w:cs="宋体"/>
          <w:b/>
          <w:spacing w:val="5"/>
          <w:kern w:val="0"/>
          <w:sz w:val="24"/>
        </w:rPr>
        <w:t>而非</w:t>
      </w:r>
      <w:r>
        <w:rPr>
          <w:rFonts w:hint="eastAsia" w:ascii="宋体" w:hAnsi="宋体" w:cs="宋体"/>
          <w:b/>
          <w:kern w:val="0"/>
          <w:sz w:val="24"/>
        </w:rPr>
        <w:t>委托代</w:t>
      </w:r>
      <w:r>
        <w:rPr>
          <w:rFonts w:hint="eastAsia" w:ascii="宋体" w:hAnsi="宋体" w:cs="宋体"/>
          <w:b/>
          <w:spacing w:val="5"/>
          <w:kern w:val="0"/>
          <w:sz w:val="24"/>
        </w:rPr>
        <w:t>理</w:t>
      </w:r>
      <w:r>
        <w:rPr>
          <w:rFonts w:hint="eastAsia" w:ascii="宋体" w:hAnsi="宋体" w:cs="宋体"/>
          <w:b/>
          <w:kern w:val="0"/>
          <w:sz w:val="24"/>
        </w:rPr>
        <w:t>人投</w:t>
      </w:r>
      <w:r>
        <w:rPr>
          <w:rFonts w:hint="eastAsia" w:ascii="宋体" w:hAnsi="宋体" w:cs="宋体"/>
          <w:b/>
          <w:spacing w:val="5"/>
          <w:kern w:val="0"/>
          <w:sz w:val="24"/>
        </w:rPr>
        <w:t>标</w:t>
      </w:r>
      <w:r>
        <w:rPr>
          <w:rFonts w:hint="eastAsia" w:ascii="宋体" w:hAnsi="宋体" w:cs="宋体"/>
          <w:b/>
          <w:kern w:val="0"/>
          <w:sz w:val="24"/>
        </w:rPr>
        <w:t>适用。</w:t>
      </w:r>
      <w:bookmarkStart w:id="154" w:name="_Toc217446086"/>
    </w:p>
    <w:p>
      <w:pPr>
        <w:pStyle w:val="7"/>
        <w:rPr>
          <w:rFonts w:ascii="宋体" w:hAnsi="宋体" w:eastAsia="宋体" w:cs="宋体"/>
        </w:rPr>
      </w:pPr>
      <w:r>
        <w:rPr>
          <w:rFonts w:hint="eastAsia" w:ascii="宋体" w:hAnsi="宋体" w:eastAsia="宋体" w:cs="宋体"/>
        </w:rPr>
        <w:t>五、开标一览表</w:t>
      </w:r>
    </w:p>
    <w:p>
      <w:pPr>
        <w:spacing w:line="360" w:lineRule="auto"/>
        <w:rPr>
          <w:rFonts w:ascii="宋体" w:hAnsi="宋体" w:cs="宋体"/>
          <w:b/>
          <w:bCs/>
          <w:sz w:val="24"/>
        </w:rPr>
      </w:pPr>
      <w:r>
        <w:rPr>
          <w:rFonts w:hint="eastAsia" w:ascii="宋体" w:hAnsi="宋体" w:cs="宋体"/>
          <w:b/>
          <w:sz w:val="24"/>
        </w:rPr>
        <w:t xml:space="preserve">项目名称：                                      招标编号：                                                 </w:t>
      </w:r>
    </w:p>
    <w:tbl>
      <w:tblPr>
        <w:tblStyle w:val="45"/>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054"/>
        <w:gridCol w:w="3088"/>
        <w:gridCol w:w="2568"/>
        <w:gridCol w:w="2203"/>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4054" w:type="dxa"/>
            <w:vAlign w:val="center"/>
          </w:tcPr>
          <w:p>
            <w:pPr>
              <w:spacing w:line="360" w:lineRule="auto"/>
              <w:jc w:val="center"/>
              <w:rPr>
                <w:rFonts w:ascii="宋体" w:hAnsi="宋体" w:cs="宋体"/>
                <w:b/>
                <w:szCs w:val="21"/>
              </w:rPr>
            </w:pPr>
            <w:r>
              <w:rPr>
                <w:rFonts w:hint="eastAsia" w:ascii="宋体" w:hAnsi="宋体" w:cs="宋体"/>
                <w:b/>
                <w:szCs w:val="21"/>
              </w:rPr>
              <w:t>服务内容</w:t>
            </w:r>
          </w:p>
        </w:tc>
        <w:tc>
          <w:tcPr>
            <w:tcW w:w="3088" w:type="dxa"/>
            <w:vAlign w:val="center"/>
          </w:tcPr>
          <w:p>
            <w:pPr>
              <w:spacing w:line="360" w:lineRule="auto"/>
              <w:jc w:val="center"/>
              <w:rPr>
                <w:rFonts w:ascii="宋体" w:hAnsi="宋体" w:cs="宋体"/>
                <w:b/>
                <w:szCs w:val="21"/>
              </w:rPr>
            </w:pPr>
            <w:r>
              <w:rPr>
                <w:rFonts w:hint="eastAsia" w:ascii="宋体" w:hAnsi="宋体" w:cs="宋体"/>
                <w:b/>
                <w:szCs w:val="21"/>
              </w:rPr>
              <w:t>投标总价</w:t>
            </w:r>
          </w:p>
          <w:p>
            <w:pPr>
              <w:spacing w:line="360" w:lineRule="auto"/>
              <w:jc w:val="center"/>
              <w:rPr>
                <w:rFonts w:ascii="宋体" w:hAnsi="宋体" w:cs="宋体"/>
                <w:b/>
                <w:szCs w:val="21"/>
              </w:rPr>
            </w:pPr>
            <w:r>
              <w:rPr>
                <w:rFonts w:hint="eastAsia" w:ascii="宋体" w:hAnsi="宋体" w:cs="宋体"/>
                <w:b/>
                <w:szCs w:val="21"/>
              </w:rPr>
              <w:t>（万元）</w:t>
            </w:r>
          </w:p>
        </w:tc>
        <w:tc>
          <w:tcPr>
            <w:tcW w:w="2568" w:type="dxa"/>
            <w:vAlign w:val="center"/>
          </w:tcPr>
          <w:p>
            <w:pPr>
              <w:spacing w:line="360" w:lineRule="auto"/>
              <w:jc w:val="center"/>
              <w:rPr>
                <w:rFonts w:ascii="宋体" w:hAnsi="宋体" w:cs="宋体"/>
                <w:b/>
                <w:szCs w:val="21"/>
              </w:rPr>
            </w:pPr>
            <w:r>
              <w:rPr>
                <w:rFonts w:hint="eastAsia" w:ascii="宋体" w:hAnsi="宋体" w:cs="宋体"/>
                <w:b/>
                <w:szCs w:val="21"/>
              </w:rPr>
              <w:t>建设周期</w:t>
            </w:r>
            <w:r>
              <w:rPr>
                <w:rFonts w:hint="eastAsia" w:ascii="宋体" w:hAnsi="宋体" w:cs="宋体"/>
                <w:b/>
                <w:szCs w:val="21"/>
              </w:rPr>
              <w:br w:type="textWrapping"/>
            </w:r>
            <w:r>
              <w:rPr>
                <w:rFonts w:hint="eastAsia" w:ascii="宋体" w:hAnsi="宋体" w:cs="宋体"/>
                <w:b/>
                <w:szCs w:val="21"/>
              </w:rPr>
              <w:t>（完工期）</w:t>
            </w:r>
          </w:p>
        </w:tc>
        <w:tc>
          <w:tcPr>
            <w:tcW w:w="2203" w:type="dxa"/>
            <w:vAlign w:val="center"/>
          </w:tcPr>
          <w:p>
            <w:pPr>
              <w:spacing w:line="360" w:lineRule="auto"/>
              <w:jc w:val="center"/>
              <w:rPr>
                <w:rFonts w:ascii="宋体" w:hAnsi="宋体" w:cs="宋体"/>
                <w:b/>
                <w:szCs w:val="21"/>
              </w:rPr>
            </w:pPr>
            <w:r>
              <w:rPr>
                <w:rFonts w:hint="eastAsia" w:ascii="宋体" w:hAnsi="宋体" w:cs="宋体"/>
                <w:b/>
                <w:szCs w:val="21"/>
              </w:rPr>
              <w:t>建设地点</w:t>
            </w:r>
          </w:p>
        </w:tc>
        <w:tc>
          <w:tcPr>
            <w:tcW w:w="1914" w:type="dxa"/>
            <w:vAlign w:val="center"/>
          </w:tcPr>
          <w:p>
            <w:pPr>
              <w:spacing w:line="360" w:lineRule="auto"/>
              <w:ind w:left="312" w:hanging="312" w:hangingChars="148"/>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tabs>
                <w:tab w:val="left" w:pos="690"/>
              </w:tabs>
              <w:spacing w:line="360" w:lineRule="auto"/>
              <w:jc w:val="center"/>
              <w:rPr>
                <w:rFonts w:ascii="宋体" w:hAnsi="宋体" w:cs="宋体"/>
              </w:rPr>
            </w:pPr>
            <w:r>
              <w:rPr>
                <w:rFonts w:hint="eastAsia" w:ascii="宋体" w:hAnsi="宋体" w:cs="宋体"/>
              </w:rPr>
              <w:t>1</w:t>
            </w:r>
          </w:p>
        </w:tc>
        <w:tc>
          <w:tcPr>
            <w:tcW w:w="4054" w:type="dxa"/>
            <w:vAlign w:val="center"/>
          </w:tcPr>
          <w:p>
            <w:pPr>
              <w:spacing w:line="360" w:lineRule="auto"/>
              <w:jc w:val="center"/>
              <w:rPr>
                <w:rFonts w:ascii="宋体" w:hAnsi="宋体" w:cs="宋体"/>
              </w:rPr>
            </w:pPr>
          </w:p>
        </w:tc>
        <w:tc>
          <w:tcPr>
            <w:tcW w:w="3088" w:type="dxa"/>
            <w:vAlign w:val="center"/>
          </w:tcPr>
          <w:p>
            <w:pPr>
              <w:spacing w:line="360" w:lineRule="auto"/>
              <w:jc w:val="center"/>
              <w:rPr>
                <w:rFonts w:ascii="宋体" w:hAnsi="宋体" w:cs="宋体"/>
                <w:b/>
                <w:szCs w:val="21"/>
              </w:rPr>
            </w:pPr>
            <w:r>
              <w:rPr>
                <w:rFonts w:hint="eastAsia" w:ascii="宋体" w:hAnsi="宋体" w:cs="宋体"/>
                <w:b/>
                <w:szCs w:val="21"/>
              </w:rPr>
              <w:t xml:space="preserve"> </w:t>
            </w:r>
          </w:p>
          <w:p>
            <w:pPr>
              <w:spacing w:line="360" w:lineRule="auto"/>
              <w:jc w:val="center"/>
              <w:rPr>
                <w:rFonts w:ascii="宋体" w:hAnsi="宋体" w:cs="宋体"/>
                <w:b/>
                <w:szCs w:val="21"/>
              </w:rPr>
            </w:pPr>
            <w:r>
              <w:rPr>
                <w:rFonts w:hint="eastAsia" w:ascii="宋体" w:hAnsi="宋体" w:cs="宋体"/>
                <w:b/>
                <w:szCs w:val="21"/>
              </w:rPr>
              <w:t xml:space="preserve"> </w:t>
            </w:r>
          </w:p>
        </w:tc>
        <w:tc>
          <w:tcPr>
            <w:tcW w:w="2568" w:type="dxa"/>
            <w:vAlign w:val="center"/>
          </w:tcPr>
          <w:p>
            <w:pPr>
              <w:spacing w:line="360" w:lineRule="auto"/>
              <w:jc w:val="center"/>
              <w:rPr>
                <w:rFonts w:ascii="宋体" w:hAnsi="宋体" w:cs="宋体"/>
              </w:rPr>
            </w:pPr>
          </w:p>
        </w:tc>
        <w:tc>
          <w:tcPr>
            <w:tcW w:w="2203" w:type="dxa"/>
            <w:vAlign w:val="center"/>
          </w:tcPr>
          <w:p>
            <w:pPr>
              <w:spacing w:line="360" w:lineRule="auto"/>
              <w:jc w:val="center"/>
              <w:rPr>
                <w:rFonts w:ascii="宋体" w:hAnsi="宋体" w:cs="宋体"/>
              </w:rPr>
            </w:pPr>
          </w:p>
        </w:tc>
        <w:tc>
          <w:tcPr>
            <w:tcW w:w="1914" w:type="dxa"/>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4786" w:type="dxa"/>
            <w:gridSpan w:val="6"/>
            <w:vAlign w:val="center"/>
          </w:tcPr>
          <w:p>
            <w:pPr>
              <w:spacing w:line="360" w:lineRule="auto"/>
              <w:jc w:val="left"/>
              <w:rPr>
                <w:rFonts w:ascii="宋体" w:hAnsi="宋体" w:cs="宋体"/>
                <w:szCs w:val="21"/>
              </w:rPr>
            </w:pPr>
            <w:r>
              <w:rPr>
                <w:rFonts w:hint="eastAsia" w:ascii="宋体" w:hAnsi="宋体" w:cs="宋体"/>
                <w:szCs w:val="21"/>
              </w:rPr>
              <w:t xml:space="preserve">合计金额：小写：            ；（大写）：         </w:t>
            </w:r>
          </w:p>
        </w:tc>
      </w:tr>
    </w:tbl>
    <w:p>
      <w:pPr>
        <w:adjustRightInd w:val="0"/>
        <w:snapToGrid w:val="0"/>
        <w:spacing w:line="360" w:lineRule="auto"/>
        <w:outlineLvl w:val="2"/>
        <w:rPr>
          <w:rFonts w:ascii="宋体" w:hAnsi="宋体" w:cs="宋体"/>
          <w:sz w:val="24"/>
        </w:rPr>
      </w:pPr>
    </w:p>
    <w:p>
      <w:pPr>
        <w:adjustRightInd w:val="0"/>
        <w:snapToGrid w:val="0"/>
        <w:spacing w:line="360" w:lineRule="auto"/>
        <w:outlineLvl w:val="2"/>
        <w:rPr>
          <w:rFonts w:ascii="宋体" w:hAnsi="宋体" w:cs="宋体"/>
          <w:sz w:val="24"/>
        </w:rPr>
      </w:pPr>
      <w:r>
        <w:rPr>
          <w:rFonts w:hint="eastAsia" w:ascii="宋体" w:hAnsi="宋体" w:cs="宋体"/>
          <w:sz w:val="24"/>
        </w:rPr>
        <w:t>注：1. 报价应是最终用户验收合格后的总价，包括运输、保险、代理、安装调试、培训、税费、完成本项目须的全部费用和招标文件规定的其它费用。</w:t>
      </w:r>
    </w:p>
    <w:p>
      <w:pPr>
        <w:adjustRightInd w:val="0"/>
        <w:snapToGrid w:val="0"/>
        <w:spacing w:line="360" w:lineRule="auto"/>
        <w:outlineLvl w:val="2"/>
        <w:rPr>
          <w:rFonts w:ascii="宋体" w:hAnsi="宋体" w:cs="宋体"/>
          <w:sz w:val="24"/>
        </w:rPr>
      </w:pPr>
      <w:r>
        <w:rPr>
          <w:rFonts w:hint="eastAsia" w:ascii="宋体" w:hAnsi="宋体" w:cs="宋体"/>
          <w:sz w:val="24"/>
        </w:rPr>
        <w:t xml:space="preserve">    2.“开标一览表”为多页的，每页均需由法定代表人或授权代表签字并盖投标人印章。</w:t>
      </w:r>
    </w:p>
    <w:p>
      <w:pPr>
        <w:adjustRightInd w:val="0"/>
        <w:snapToGrid w:val="0"/>
        <w:spacing w:line="360" w:lineRule="auto"/>
        <w:outlineLvl w:val="2"/>
        <w:rPr>
          <w:rFonts w:ascii="宋体" w:hAnsi="宋体" w:cs="宋体"/>
          <w:sz w:val="24"/>
        </w:rPr>
      </w:pPr>
    </w:p>
    <w:p>
      <w:pPr>
        <w:pStyle w:val="2"/>
        <w:rPr>
          <w:rFonts w:ascii="宋体" w:hAnsi="宋体" w:cs="宋体"/>
        </w:rPr>
      </w:pPr>
    </w:p>
    <w:p>
      <w:pPr>
        <w:adjustRightInd w:val="0"/>
        <w:snapToGrid w:val="0"/>
        <w:spacing w:line="360" w:lineRule="auto"/>
        <w:outlineLvl w:val="2"/>
        <w:rPr>
          <w:rFonts w:ascii="宋体" w:hAnsi="宋体" w:cs="宋体"/>
          <w:b/>
          <w:sz w:val="24"/>
        </w:rPr>
      </w:pPr>
      <w:r>
        <w:rPr>
          <w:rFonts w:hint="eastAsia" w:ascii="宋体" w:hAnsi="宋体" w:cs="宋体"/>
          <w:b/>
          <w:sz w:val="24"/>
        </w:rPr>
        <w:t xml:space="preserve">投标人名称：        </w:t>
      </w:r>
      <w:r>
        <w:rPr>
          <w:rFonts w:hint="eastAsia" w:ascii="宋体" w:hAnsi="宋体" w:cs="宋体"/>
          <w:sz w:val="24"/>
        </w:rPr>
        <w:t>（盖单位公章）</w:t>
      </w:r>
    </w:p>
    <w:p>
      <w:pPr>
        <w:adjustRightInd w:val="0"/>
        <w:spacing w:line="360" w:lineRule="auto"/>
        <w:jc w:val="left"/>
        <w:outlineLvl w:val="2"/>
        <w:rPr>
          <w:rFonts w:ascii="宋体" w:hAnsi="宋体" w:cs="宋体"/>
          <w:b/>
          <w:sz w:val="24"/>
        </w:rPr>
      </w:pPr>
      <w:r>
        <w:rPr>
          <w:rFonts w:hint="eastAsia" w:ascii="宋体" w:hAnsi="宋体" w:cs="宋体"/>
          <w:b/>
          <w:sz w:val="24"/>
        </w:rPr>
        <w:t>法定代表人或授权代表（签字）：</w:t>
      </w:r>
    </w:p>
    <w:p>
      <w:pPr>
        <w:spacing w:line="360" w:lineRule="auto"/>
        <w:jc w:val="left"/>
        <w:rPr>
          <w:rFonts w:ascii="宋体" w:hAnsi="宋体" w:cs="宋体"/>
          <w:b/>
          <w:sz w:val="28"/>
          <w:szCs w:val="28"/>
        </w:rPr>
      </w:pPr>
      <w:r>
        <w:rPr>
          <w:rFonts w:hint="eastAsia" w:ascii="宋体" w:hAnsi="宋体" w:cs="宋体"/>
          <w:b/>
          <w:sz w:val="24"/>
        </w:rPr>
        <w:t>日期：</w:t>
      </w:r>
      <w:bookmarkEnd w:id="154"/>
    </w:p>
    <w:p>
      <w:pPr>
        <w:adjustRightInd w:val="0"/>
        <w:spacing w:line="360" w:lineRule="auto"/>
        <w:jc w:val="left"/>
        <w:outlineLvl w:val="5"/>
        <w:rPr>
          <w:rFonts w:ascii="宋体" w:hAnsi="宋体" w:cs="宋体"/>
          <w:b/>
          <w:bCs/>
          <w:sz w:val="24"/>
        </w:rPr>
        <w:sectPr>
          <w:headerReference r:id="rId14" w:type="first"/>
          <w:headerReference r:id="rId12" w:type="default"/>
          <w:headerReference r:id="rId13" w:type="even"/>
          <w:pgSz w:w="16840" w:h="11907" w:orient="landscape"/>
          <w:pgMar w:top="1418" w:right="1134" w:bottom="1134" w:left="851" w:header="851" w:footer="992" w:gutter="0"/>
          <w:cols w:space="720" w:num="1"/>
          <w:docGrid w:linePitch="312" w:charSpace="0"/>
        </w:sectPr>
      </w:pPr>
    </w:p>
    <w:p>
      <w:pPr>
        <w:pStyle w:val="7"/>
        <w:spacing w:line="360" w:lineRule="auto"/>
        <w:rPr>
          <w:rFonts w:ascii="宋体" w:hAnsi="宋体" w:eastAsia="宋体" w:cs="宋体"/>
        </w:rPr>
      </w:pPr>
      <w:bookmarkStart w:id="155" w:name="_Toc217446088"/>
      <w:r>
        <w:rPr>
          <w:rStyle w:val="227"/>
          <w:rFonts w:hint="eastAsia" w:ascii="宋体" w:hAnsi="宋体" w:eastAsia="宋体" w:cs="宋体"/>
          <w:b/>
          <w:bCs/>
        </w:rPr>
        <w:t>六、</w:t>
      </w:r>
      <w:r>
        <w:rPr>
          <w:rFonts w:hint="eastAsia" w:ascii="宋体" w:hAnsi="宋体" w:eastAsia="宋体" w:cs="宋体"/>
        </w:rPr>
        <w:t>分项报价明细表</w:t>
      </w:r>
    </w:p>
    <w:p>
      <w:pPr>
        <w:spacing w:line="360" w:lineRule="auto"/>
        <w:outlineLvl w:val="5"/>
        <w:rPr>
          <w:rFonts w:ascii="宋体" w:hAnsi="宋体" w:cs="宋体"/>
          <w:b/>
          <w:sz w:val="24"/>
        </w:rPr>
      </w:pPr>
    </w:p>
    <w:p>
      <w:pPr>
        <w:spacing w:line="360" w:lineRule="auto"/>
        <w:outlineLvl w:val="5"/>
        <w:rPr>
          <w:rFonts w:ascii="宋体" w:hAnsi="宋体" w:cs="宋体"/>
          <w:b/>
          <w:bCs/>
          <w:sz w:val="32"/>
          <w:szCs w:val="32"/>
        </w:rPr>
      </w:pPr>
      <w:r>
        <w:rPr>
          <w:rFonts w:hint="eastAsia" w:ascii="宋体" w:hAnsi="宋体" w:cs="宋体"/>
          <w:b/>
          <w:sz w:val="24"/>
        </w:rPr>
        <w:t>项目名称：</w:t>
      </w:r>
      <w:r>
        <w:rPr>
          <w:rFonts w:hint="eastAsia" w:ascii="宋体" w:hAnsi="宋体" w:cs="宋体"/>
          <w:b/>
          <w:sz w:val="24"/>
          <w:u w:val="single"/>
        </w:rPr>
        <w:t xml:space="preserve">                </w:t>
      </w:r>
      <w:r>
        <w:rPr>
          <w:rFonts w:hint="eastAsia" w:ascii="宋体" w:hAnsi="宋体" w:cs="宋体"/>
          <w:b/>
          <w:sz w:val="24"/>
        </w:rPr>
        <w:t xml:space="preserve">   招标编号：</w:t>
      </w:r>
      <w:r>
        <w:rPr>
          <w:rFonts w:hint="eastAsia" w:ascii="宋体" w:hAnsi="宋体" w:cs="宋体"/>
          <w:b/>
          <w:sz w:val="24"/>
          <w:u w:val="single"/>
        </w:rPr>
        <w:t xml:space="preserve">              </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 xml:space="preserve">                                        </w:t>
      </w:r>
    </w:p>
    <w:p>
      <w:pPr>
        <w:widowControl/>
        <w:spacing w:line="360" w:lineRule="auto"/>
        <w:jc w:val="center"/>
        <w:outlineLvl w:val="1"/>
        <w:rPr>
          <w:rFonts w:ascii="宋体" w:hAnsi="宋体" w:cs="宋体"/>
          <w:sz w:val="24"/>
        </w:rPr>
      </w:pPr>
      <w:r>
        <w:rPr>
          <w:rFonts w:hint="eastAsia" w:ascii="宋体" w:hAnsi="宋体" w:cs="宋体"/>
          <w:sz w:val="24"/>
        </w:rPr>
        <w:t>（格式自拟）</w:t>
      </w:r>
    </w:p>
    <w:p>
      <w:pPr>
        <w:widowControl/>
        <w:snapToGrid w:val="0"/>
        <w:spacing w:line="360" w:lineRule="auto"/>
        <w:ind w:firstLine="470" w:firstLineChars="196"/>
        <w:jc w:val="left"/>
        <w:outlineLvl w:val="1"/>
        <w:rPr>
          <w:rFonts w:ascii="宋体" w:hAnsi="宋体" w:cs="宋体"/>
          <w:sz w:val="24"/>
        </w:rPr>
      </w:pPr>
    </w:p>
    <w:p>
      <w:pPr>
        <w:widowControl/>
        <w:snapToGrid w:val="0"/>
        <w:spacing w:line="360" w:lineRule="auto"/>
        <w:ind w:firstLine="470" w:firstLineChars="196"/>
        <w:jc w:val="left"/>
        <w:outlineLvl w:val="1"/>
        <w:rPr>
          <w:rFonts w:ascii="宋体" w:hAnsi="宋体" w:cs="宋体"/>
          <w:sz w:val="24"/>
        </w:rPr>
      </w:pPr>
    </w:p>
    <w:p>
      <w:pPr>
        <w:widowControl/>
        <w:snapToGrid w:val="0"/>
        <w:spacing w:line="360" w:lineRule="auto"/>
        <w:ind w:firstLine="470" w:firstLineChars="196"/>
        <w:jc w:val="left"/>
        <w:outlineLvl w:val="1"/>
        <w:rPr>
          <w:rFonts w:ascii="宋体" w:hAnsi="宋体" w:cs="宋体"/>
          <w:sz w:val="24"/>
        </w:rPr>
      </w:pPr>
    </w:p>
    <w:p>
      <w:pPr>
        <w:widowControl/>
        <w:snapToGrid w:val="0"/>
        <w:spacing w:line="360" w:lineRule="auto"/>
        <w:ind w:firstLine="470" w:firstLineChars="196"/>
        <w:jc w:val="left"/>
        <w:outlineLvl w:val="1"/>
        <w:rPr>
          <w:rFonts w:ascii="宋体" w:hAnsi="宋体" w:cs="宋体"/>
          <w:sz w:val="24"/>
        </w:rPr>
      </w:pPr>
      <w:r>
        <w:rPr>
          <w:rFonts w:hint="eastAsia" w:ascii="宋体" w:hAnsi="宋体" w:cs="宋体"/>
          <w:sz w:val="24"/>
        </w:rPr>
        <w:t>注：“分项报价明细表”各分项报价合计应当与“开标一览表”报价合计相等。</w:t>
      </w:r>
    </w:p>
    <w:p>
      <w:pPr>
        <w:spacing w:line="360" w:lineRule="auto"/>
        <w:jc w:val="left"/>
        <w:outlineLvl w:val="5"/>
        <w:rPr>
          <w:rFonts w:ascii="宋体" w:hAnsi="宋体" w:cs="宋体"/>
          <w:sz w:val="28"/>
        </w:rPr>
      </w:pPr>
      <w:r>
        <w:rPr>
          <w:rFonts w:hint="eastAsia" w:ascii="宋体" w:hAnsi="宋体" w:cs="宋体"/>
          <w:bCs/>
          <w:szCs w:val="21"/>
        </w:rPr>
        <w:t xml:space="preserve"> </w:t>
      </w:r>
    </w:p>
    <w:p>
      <w:pPr>
        <w:adjustRightInd w:val="0"/>
        <w:spacing w:line="360" w:lineRule="auto"/>
        <w:jc w:val="left"/>
        <w:outlineLvl w:val="5"/>
        <w:rPr>
          <w:rFonts w:ascii="宋体" w:hAnsi="宋体" w:cs="宋体"/>
          <w:sz w:val="24"/>
        </w:rPr>
      </w:pPr>
      <w:r>
        <w:rPr>
          <w:rFonts w:hint="eastAsia" w:ascii="宋体" w:hAnsi="宋体" w:cs="宋体"/>
          <w:sz w:val="24"/>
        </w:rPr>
        <w:t>投标人名称 （盖单位公章）：</w:t>
      </w:r>
    </w:p>
    <w:p>
      <w:pPr>
        <w:adjustRightInd w:val="0"/>
        <w:spacing w:line="360" w:lineRule="auto"/>
        <w:jc w:val="left"/>
        <w:outlineLvl w:val="5"/>
        <w:rPr>
          <w:rFonts w:ascii="宋体" w:hAnsi="宋体" w:cs="宋体"/>
          <w:sz w:val="24"/>
        </w:rPr>
      </w:pPr>
      <w:r>
        <w:rPr>
          <w:rFonts w:hint="eastAsia" w:ascii="宋体" w:hAnsi="宋体" w:cs="宋体"/>
          <w:sz w:val="24"/>
        </w:rPr>
        <w:t>法定代表人或授权代表（签字）：</w:t>
      </w:r>
    </w:p>
    <w:p>
      <w:pPr>
        <w:adjustRightInd w:val="0"/>
        <w:spacing w:line="360" w:lineRule="auto"/>
        <w:jc w:val="left"/>
        <w:outlineLvl w:val="5"/>
        <w:rPr>
          <w:rFonts w:ascii="宋体" w:hAnsi="宋体" w:cs="宋体"/>
          <w:sz w:val="24"/>
        </w:rPr>
      </w:pPr>
      <w:r>
        <w:rPr>
          <w:rFonts w:hint="eastAsia" w:ascii="宋体" w:hAnsi="宋体" w:cs="宋体"/>
          <w:sz w:val="24"/>
        </w:rPr>
        <w:t>日期：</w:t>
      </w:r>
    </w:p>
    <w:p>
      <w:pPr>
        <w:pStyle w:val="9"/>
        <w:spacing w:before="0" w:after="0" w:line="360" w:lineRule="auto"/>
        <w:jc w:val="center"/>
        <w:rPr>
          <w:rFonts w:ascii="宋体" w:hAnsi="宋体" w:eastAsia="宋体" w:cs="宋体"/>
        </w:rPr>
      </w:pPr>
      <w:r>
        <w:rPr>
          <w:rStyle w:val="227"/>
          <w:rFonts w:hint="eastAsia" w:ascii="宋体" w:hAnsi="宋体" w:eastAsia="宋体" w:cs="宋体"/>
          <w:b/>
          <w:bCs/>
        </w:rPr>
        <w:br w:type="page"/>
      </w:r>
      <w:r>
        <w:rPr>
          <w:rStyle w:val="227"/>
          <w:rFonts w:hint="eastAsia" w:ascii="宋体" w:hAnsi="宋体" w:eastAsia="宋体" w:cs="宋体"/>
          <w:b/>
          <w:bCs/>
        </w:rPr>
        <w:t>七、投标人基本情况表</w:t>
      </w:r>
      <w:bookmarkEnd w:id="155"/>
    </w:p>
    <w:p>
      <w:pPr>
        <w:spacing w:line="360" w:lineRule="auto"/>
        <w:rPr>
          <w:rFonts w:ascii="宋体" w:hAnsi="宋体" w:cs="宋体"/>
        </w:rPr>
      </w:pPr>
    </w:p>
    <w:p>
      <w:pPr>
        <w:spacing w:line="360" w:lineRule="auto"/>
        <w:rPr>
          <w:rFonts w:ascii="宋体" w:hAnsi="宋体" w:cs="宋体"/>
          <w:b/>
          <w:sz w:val="24"/>
          <w:u w:val="single"/>
        </w:rPr>
      </w:pPr>
      <w:r>
        <w:rPr>
          <w:rFonts w:hint="eastAsia" w:ascii="宋体" w:hAnsi="宋体" w:cs="宋体"/>
          <w:b/>
          <w:sz w:val="24"/>
        </w:rPr>
        <w:t>项目名称：</w:t>
      </w:r>
      <w:r>
        <w:rPr>
          <w:rFonts w:hint="eastAsia" w:ascii="宋体" w:hAnsi="宋体" w:cs="宋体"/>
          <w:b/>
          <w:sz w:val="24"/>
          <w:u w:val="single"/>
        </w:rPr>
        <w:t xml:space="preserve">                </w:t>
      </w:r>
      <w:r>
        <w:rPr>
          <w:rFonts w:hint="eastAsia" w:ascii="宋体" w:hAnsi="宋体" w:cs="宋体"/>
          <w:b/>
          <w:sz w:val="24"/>
        </w:rPr>
        <w:t xml:space="preserve">   招标编号：</w:t>
      </w:r>
      <w:r>
        <w:rPr>
          <w:rFonts w:hint="eastAsia" w:ascii="宋体" w:hAnsi="宋体" w:cs="宋体"/>
          <w:b/>
          <w:sz w:val="24"/>
          <w:u w:val="single"/>
        </w:rPr>
        <w:t xml:space="preserve">              </w:t>
      </w:r>
      <w:r>
        <w:rPr>
          <w:rFonts w:hint="eastAsia" w:ascii="宋体" w:hAnsi="宋体" w:cs="宋体"/>
          <w:b/>
          <w:sz w:val="24"/>
        </w:rPr>
        <w:t xml:space="preserve">      </w:t>
      </w:r>
      <w:r>
        <w:rPr>
          <w:rFonts w:hint="eastAsia" w:ascii="宋体" w:hAnsi="宋体" w:cs="宋体"/>
          <w:b/>
          <w:bCs/>
          <w:sz w:val="24"/>
        </w:rPr>
        <w:t xml:space="preserve"> </w:t>
      </w:r>
    </w:p>
    <w:tbl>
      <w:tblPr>
        <w:tblStyle w:val="45"/>
        <w:tblW w:w="957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92"/>
        <w:gridCol w:w="1087"/>
        <w:gridCol w:w="1365"/>
        <w:gridCol w:w="1405"/>
        <w:gridCol w:w="8"/>
        <w:gridCol w:w="1485"/>
        <w:gridCol w:w="1317"/>
        <w:gridCol w:w="121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投标人名称</w:t>
            </w:r>
          </w:p>
        </w:tc>
        <w:tc>
          <w:tcPr>
            <w:tcW w:w="7879" w:type="dxa"/>
            <w:gridSpan w:val="7"/>
            <w:vAlign w:val="center"/>
          </w:tcPr>
          <w:p>
            <w:pPr>
              <w:autoSpaceDE w:val="0"/>
              <w:autoSpaceDN w:val="0"/>
              <w:adjustRightInd w:val="0"/>
              <w:spacing w:line="360" w:lineRule="auto"/>
              <w:jc w:val="center"/>
              <w:outlineLvl w:val="5"/>
              <w:rPr>
                <w:rFonts w:ascii="宋体" w:hAnsi="宋体" w:cs="宋体"/>
                <w:kern w:val="0"/>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注册地址</w:t>
            </w:r>
          </w:p>
        </w:tc>
        <w:tc>
          <w:tcPr>
            <w:tcW w:w="3865" w:type="dxa"/>
            <w:gridSpan w:val="4"/>
            <w:vAlign w:val="center"/>
          </w:tcPr>
          <w:p>
            <w:pPr>
              <w:autoSpaceDE w:val="0"/>
              <w:autoSpaceDN w:val="0"/>
              <w:adjustRightInd w:val="0"/>
              <w:spacing w:line="360" w:lineRule="auto"/>
              <w:jc w:val="center"/>
              <w:outlineLvl w:val="5"/>
              <w:rPr>
                <w:rFonts w:ascii="宋体" w:hAnsi="宋体" w:cs="宋体"/>
                <w:kern w:val="0"/>
                <w:sz w:val="22"/>
                <w:szCs w:val="22"/>
              </w:rPr>
            </w:pPr>
          </w:p>
        </w:tc>
        <w:tc>
          <w:tcPr>
            <w:tcW w:w="1485"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邮政编码</w:t>
            </w:r>
          </w:p>
        </w:tc>
        <w:tc>
          <w:tcPr>
            <w:tcW w:w="2529" w:type="dxa"/>
            <w:gridSpan w:val="2"/>
            <w:vAlign w:val="center"/>
          </w:tcPr>
          <w:p>
            <w:pPr>
              <w:autoSpaceDE w:val="0"/>
              <w:autoSpaceDN w:val="0"/>
              <w:adjustRightInd w:val="0"/>
              <w:spacing w:line="360" w:lineRule="auto"/>
              <w:jc w:val="center"/>
              <w:outlineLvl w:val="5"/>
              <w:rPr>
                <w:rFonts w:ascii="宋体" w:hAnsi="宋体" w:cs="宋体"/>
                <w:kern w:val="0"/>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Merge w:val="restart"/>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联系方式</w:t>
            </w:r>
          </w:p>
        </w:tc>
        <w:tc>
          <w:tcPr>
            <w:tcW w:w="1087"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联系人</w:t>
            </w:r>
          </w:p>
        </w:tc>
        <w:tc>
          <w:tcPr>
            <w:tcW w:w="2770" w:type="dxa"/>
            <w:gridSpan w:val="2"/>
            <w:vAlign w:val="center"/>
          </w:tcPr>
          <w:p>
            <w:pPr>
              <w:autoSpaceDE w:val="0"/>
              <w:autoSpaceDN w:val="0"/>
              <w:adjustRightInd w:val="0"/>
              <w:spacing w:line="360" w:lineRule="auto"/>
              <w:jc w:val="center"/>
              <w:outlineLvl w:val="5"/>
              <w:rPr>
                <w:rFonts w:ascii="宋体" w:hAnsi="宋体" w:cs="宋体"/>
                <w:kern w:val="0"/>
                <w:sz w:val="22"/>
                <w:szCs w:val="22"/>
              </w:rPr>
            </w:pPr>
          </w:p>
        </w:tc>
        <w:tc>
          <w:tcPr>
            <w:tcW w:w="1493" w:type="dxa"/>
            <w:gridSpan w:val="2"/>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电话</w:t>
            </w:r>
          </w:p>
        </w:tc>
        <w:tc>
          <w:tcPr>
            <w:tcW w:w="2529" w:type="dxa"/>
            <w:gridSpan w:val="2"/>
            <w:vAlign w:val="center"/>
          </w:tcPr>
          <w:p>
            <w:pPr>
              <w:autoSpaceDE w:val="0"/>
              <w:autoSpaceDN w:val="0"/>
              <w:adjustRightInd w:val="0"/>
              <w:spacing w:line="360" w:lineRule="auto"/>
              <w:jc w:val="center"/>
              <w:outlineLvl w:val="5"/>
              <w:rPr>
                <w:rFonts w:ascii="宋体" w:hAnsi="宋体" w:cs="宋体"/>
                <w:kern w:val="0"/>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692" w:type="dxa"/>
            <w:vMerge w:val="continue"/>
            <w:vAlign w:val="center"/>
          </w:tcPr>
          <w:p>
            <w:pPr>
              <w:autoSpaceDE w:val="0"/>
              <w:autoSpaceDN w:val="0"/>
              <w:adjustRightInd w:val="0"/>
              <w:spacing w:line="360" w:lineRule="auto"/>
              <w:jc w:val="center"/>
              <w:outlineLvl w:val="5"/>
              <w:rPr>
                <w:rFonts w:ascii="宋体" w:hAnsi="宋体" w:cs="宋体"/>
                <w:kern w:val="0"/>
                <w:sz w:val="22"/>
                <w:szCs w:val="22"/>
              </w:rPr>
            </w:pPr>
          </w:p>
        </w:tc>
        <w:tc>
          <w:tcPr>
            <w:tcW w:w="1087"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传真</w:t>
            </w:r>
          </w:p>
        </w:tc>
        <w:tc>
          <w:tcPr>
            <w:tcW w:w="2770" w:type="dxa"/>
            <w:gridSpan w:val="2"/>
            <w:vAlign w:val="center"/>
          </w:tcPr>
          <w:p>
            <w:pPr>
              <w:autoSpaceDE w:val="0"/>
              <w:autoSpaceDN w:val="0"/>
              <w:adjustRightInd w:val="0"/>
              <w:spacing w:line="360" w:lineRule="auto"/>
              <w:jc w:val="center"/>
              <w:outlineLvl w:val="5"/>
              <w:rPr>
                <w:rFonts w:ascii="宋体" w:hAnsi="宋体" w:cs="宋体"/>
                <w:kern w:val="0"/>
                <w:sz w:val="22"/>
                <w:szCs w:val="22"/>
              </w:rPr>
            </w:pPr>
          </w:p>
        </w:tc>
        <w:tc>
          <w:tcPr>
            <w:tcW w:w="1493" w:type="dxa"/>
            <w:gridSpan w:val="2"/>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网址</w:t>
            </w:r>
          </w:p>
        </w:tc>
        <w:tc>
          <w:tcPr>
            <w:tcW w:w="2529" w:type="dxa"/>
            <w:gridSpan w:val="2"/>
            <w:vAlign w:val="center"/>
          </w:tcPr>
          <w:p>
            <w:pPr>
              <w:autoSpaceDE w:val="0"/>
              <w:autoSpaceDN w:val="0"/>
              <w:adjustRightInd w:val="0"/>
              <w:spacing w:line="360" w:lineRule="auto"/>
              <w:jc w:val="center"/>
              <w:outlineLvl w:val="5"/>
              <w:rPr>
                <w:rFonts w:ascii="宋体" w:hAnsi="宋体" w:cs="宋体"/>
                <w:kern w:val="0"/>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组织结构</w:t>
            </w:r>
          </w:p>
        </w:tc>
        <w:tc>
          <w:tcPr>
            <w:tcW w:w="7879" w:type="dxa"/>
            <w:gridSpan w:val="7"/>
            <w:vAlign w:val="center"/>
          </w:tcPr>
          <w:p>
            <w:pPr>
              <w:autoSpaceDE w:val="0"/>
              <w:autoSpaceDN w:val="0"/>
              <w:adjustRightInd w:val="0"/>
              <w:spacing w:line="360" w:lineRule="auto"/>
              <w:jc w:val="center"/>
              <w:outlineLvl w:val="5"/>
              <w:rPr>
                <w:rFonts w:ascii="宋体" w:hAnsi="宋体" w:cs="宋体"/>
                <w:kern w:val="0"/>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692"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法定代表人</w:t>
            </w:r>
          </w:p>
        </w:tc>
        <w:tc>
          <w:tcPr>
            <w:tcW w:w="1087"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姓名</w:t>
            </w:r>
          </w:p>
        </w:tc>
        <w:tc>
          <w:tcPr>
            <w:tcW w:w="1365" w:type="dxa"/>
            <w:vAlign w:val="center"/>
          </w:tcPr>
          <w:p>
            <w:pPr>
              <w:autoSpaceDE w:val="0"/>
              <w:autoSpaceDN w:val="0"/>
              <w:adjustRightInd w:val="0"/>
              <w:spacing w:line="360" w:lineRule="auto"/>
              <w:jc w:val="center"/>
              <w:outlineLvl w:val="5"/>
              <w:rPr>
                <w:rFonts w:ascii="宋体" w:hAnsi="宋体" w:cs="宋体"/>
                <w:kern w:val="0"/>
                <w:sz w:val="22"/>
                <w:szCs w:val="22"/>
              </w:rPr>
            </w:pPr>
          </w:p>
        </w:tc>
        <w:tc>
          <w:tcPr>
            <w:tcW w:w="1405"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技术职称</w:t>
            </w:r>
          </w:p>
        </w:tc>
        <w:tc>
          <w:tcPr>
            <w:tcW w:w="1493" w:type="dxa"/>
            <w:gridSpan w:val="2"/>
            <w:vAlign w:val="center"/>
          </w:tcPr>
          <w:p>
            <w:pPr>
              <w:autoSpaceDE w:val="0"/>
              <w:autoSpaceDN w:val="0"/>
              <w:adjustRightInd w:val="0"/>
              <w:spacing w:line="360" w:lineRule="auto"/>
              <w:jc w:val="center"/>
              <w:outlineLvl w:val="5"/>
              <w:rPr>
                <w:rFonts w:ascii="宋体" w:hAnsi="宋体" w:cs="宋体"/>
                <w:kern w:val="0"/>
                <w:sz w:val="22"/>
                <w:szCs w:val="22"/>
              </w:rPr>
            </w:pPr>
          </w:p>
        </w:tc>
        <w:tc>
          <w:tcPr>
            <w:tcW w:w="1317"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电话</w:t>
            </w:r>
          </w:p>
        </w:tc>
        <w:tc>
          <w:tcPr>
            <w:tcW w:w="1212" w:type="dxa"/>
            <w:vAlign w:val="center"/>
          </w:tcPr>
          <w:p>
            <w:pPr>
              <w:autoSpaceDE w:val="0"/>
              <w:autoSpaceDN w:val="0"/>
              <w:adjustRightInd w:val="0"/>
              <w:spacing w:line="360" w:lineRule="auto"/>
              <w:jc w:val="center"/>
              <w:outlineLvl w:val="5"/>
              <w:rPr>
                <w:rFonts w:ascii="宋体" w:hAnsi="宋体" w:cs="宋体"/>
                <w:b/>
                <w:bCs/>
                <w:kern w:val="0"/>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692"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技术负责人</w:t>
            </w:r>
          </w:p>
        </w:tc>
        <w:tc>
          <w:tcPr>
            <w:tcW w:w="1087"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姓名</w:t>
            </w:r>
          </w:p>
        </w:tc>
        <w:tc>
          <w:tcPr>
            <w:tcW w:w="1365" w:type="dxa"/>
            <w:vAlign w:val="center"/>
          </w:tcPr>
          <w:p>
            <w:pPr>
              <w:autoSpaceDE w:val="0"/>
              <w:autoSpaceDN w:val="0"/>
              <w:adjustRightInd w:val="0"/>
              <w:spacing w:line="360" w:lineRule="auto"/>
              <w:jc w:val="center"/>
              <w:outlineLvl w:val="5"/>
              <w:rPr>
                <w:rFonts w:ascii="宋体" w:hAnsi="宋体" w:cs="宋体"/>
                <w:kern w:val="0"/>
                <w:sz w:val="22"/>
                <w:szCs w:val="22"/>
              </w:rPr>
            </w:pPr>
          </w:p>
        </w:tc>
        <w:tc>
          <w:tcPr>
            <w:tcW w:w="1405"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技术职称</w:t>
            </w:r>
          </w:p>
        </w:tc>
        <w:tc>
          <w:tcPr>
            <w:tcW w:w="1493" w:type="dxa"/>
            <w:gridSpan w:val="2"/>
            <w:vAlign w:val="center"/>
          </w:tcPr>
          <w:p>
            <w:pPr>
              <w:autoSpaceDE w:val="0"/>
              <w:autoSpaceDN w:val="0"/>
              <w:adjustRightInd w:val="0"/>
              <w:spacing w:line="360" w:lineRule="auto"/>
              <w:jc w:val="center"/>
              <w:outlineLvl w:val="5"/>
              <w:rPr>
                <w:rFonts w:ascii="宋体" w:hAnsi="宋体" w:cs="宋体"/>
                <w:kern w:val="0"/>
                <w:sz w:val="22"/>
                <w:szCs w:val="22"/>
              </w:rPr>
            </w:pPr>
          </w:p>
        </w:tc>
        <w:tc>
          <w:tcPr>
            <w:tcW w:w="1317"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电话</w:t>
            </w:r>
          </w:p>
        </w:tc>
        <w:tc>
          <w:tcPr>
            <w:tcW w:w="1212" w:type="dxa"/>
            <w:vAlign w:val="center"/>
          </w:tcPr>
          <w:p>
            <w:pPr>
              <w:autoSpaceDE w:val="0"/>
              <w:autoSpaceDN w:val="0"/>
              <w:adjustRightInd w:val="0"/>
              <w:spacing w:line="360" w:lineRule="auto"/>
              <w:jc w:val="center"/>
              <w:outlineLvl w:val="5"/>
              <w:rPr>
                <w:rFonts w:ascii="宋体" w:hAnsi="宋体" w:cs="宋体"/>
                <w:b/>
                <w:bCs/>
                <w:kern w:val="0"/>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成立时间</w:t>
            </w:r>
          </w:p>
        </w:tc>
        <w:tc>
          <w:tcPr>
            <w:tcW w:w="2452" w:type="dxa"/>
            <w:gridSpan w:val="2"/>
            <w:vAlign w:val="center"/>
          </w:tcPr>
          <w:p>
            <w:pPr>
              <w:autoSpaceDE w:val="0"/>
              <w:autoSpaceDN w:val="0"/>
              <w:adjustRightInd w:val="0"/>
              <w:spacing w:line="360" w:lineRule="auto"/>
              <w:jc w:val="center"/>
              <w:outlineLvl w:val="5"/>
              <w:rPr>
                <w:rFonts w:ascii="宋体" w:hAnsi="宋体" w:cs="宋体"/>
                <w:kern w:val="0"/>
                <w:sz w:val="22"/>
                <w:szCs w:val="22"/>
              </w:rPr>
            </w:pPr>
          </w:p>
        </w:tc>
        <w:tc>
          <w:tcPr>
            <w:tcW w:w="5427" w:type="dxa"/>
            <w:gridSpan w:val="5"/>
            <w:vAlign w:val="center"/>
          </w:tcPr>
          <w:p>
            <w:pPr>
              <w:autoSpaceDE w:val="0"/>
              <w:autoSpaceDN w:val="0"/>
              <w:adjustRightInd w:val="0"/>
              <w:spacing w:line="360" w:lineRule="auto"/>
              <w:ind w:firstLine="1540" w:firstLineChars="700"/>
              <w:outlineLvl w:val="5"/>
              <w:rPr>
                <w:rFonts w:ascii="宋体" w:hAnsi="宋体" w:cs="宋体"/>
                <w:kern w:val="0"/>
                <w:sz w:val="22"/>
                <w:szCs w:val="22"/>
              </w:rPr>
            </w:pPr>
            <w:r>
              <w:rPr>
                <w:rFonts w:hint="eastAsia" w:ascii="宋体" w:hAnsi="宋体" w:cs="宋体"/>
                <w:kern w:val="0"/>
                <w:sz w:val="22"/>
                <w:szCs w:val="22"/>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企业资质等级</w:t>
            </w:r>
          </w:p>
        </w:tc>
        <w:tc>
          <w:tcPr>
            <w:tcW w:w="7879" w:type="dxa"/>
            <w:gridSpan w:val="7"/>
            <w:tcBorders>
              <w:bottom w:val="single" w:color="auto" w:sz="4" w:space="0"/>
            </w:tcBorders>
            <w:vAlign w:val="center"/>
          </w:tcPr>
          <w:p>
            <w:pPr>
              <w:autoSpaceDE w:val="0"/>
              <w:autoSpaceDN w:val="0"/>
              <w:adjustRightInd w:val="0"/>
              <w:spacing w:line="360" w:lineRule="auto"/>
              <w:jc w:val="center"/>
              <w:outlineLvl w:val="5"/>
              <w:rPr>
                <w:rFonts w:ascii="宋体" w:hAnsi="宋体" w:cs="宋体"/>
                <w:b/>
                <w:bCs/>
                <w:kern w:val="0"/>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营业执照号</w:t>
            </w:r>
          </w:p>
        </w:tc>
        <w:tc>
          <w:tcPr>
            <w:tcW w:w="7879" w:type="dxa"/>
            <w:gridSpan w:val="7"/>
            <w:tcBorders>
              <w:top w:val="single" w:color="auto" w:sz="4" w:space="0"/>
              <w:bottom w:val="single" w:color="auto" w:sz="4" w:space="0"/>
            </w:tcBorders>
            <w:vAlign w:val="center"/>
          </w:tcPr>
          <w:p>
            <w:pPr>
              <w:autoSpaceDE w:val="0"/>
              <w:autoSpaceDN w:val="0"/>
              <w:adjustRightInd w:val="0"/>
              <w:spacing w:line="360" w:lineRule="auto"/>
              <w:jc w:val="center"/>
              <w:outlineLvl w:val="5"/>
              <w:rPr>
                <w:rFonts w:ascii="宋体" w:hAnsi="宋体" w:cs="宋体"/>
                <w:b/>
                <w:bCs/>
                <w:kern w:val="0"/>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注册资金</w:t>
            </w:r>
          </w:p>
        </w:tc>
        <w:tc>
          <w:tcPr>
            <w:tcW w:w="7879" w:type="dxa"/>
            <w:gridSpan w:val="7"/>
            <w:tcBorders>
              <w:top w:val="single" w:color="auto" w:sz="4" w:space="0"/>
              <w:bottom w:val="single" w:color="auto" w:sz="4" w:space="0"/>
            </w:tcBorders>
            <w:vAlign w:val="center"/>
          </w:tcPr>
          <w:p>
            <w:pPr>
              <w:autoSpaceDE w:val="0"/>
              <w:autoSpaceDN w:val="0"/>
              <w:adjustRightInd w:val="0"/>
              <w:spacing w:line="360" w:lineRule="auto"/>
              <w:jc w:val="center"/>
              <w:outlineLvl w:val="5"/>
              <w:rPr>
                <w:rFonts w:ascii="宋体" w:hAnsi="宋体" w:cs="宋体"/>
                <w:b/>
                <w:bCs/>
                <w:kern w:val="0"/>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692"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开户银行</w:t>
            </w:r>
          </w:p>
        </w:tc>
        <w:tc>
          <w:tcPr>
            <w:tcW w:w="7879" w:type="dxa"/>
            <w:gridSpan w:val="7"/>
            <w:tcBorders>
              <w:top w:val="single" w:color="auto" w:sz="4" w:space="0"/>
              <w:bottom w:val="single" w:color="auto" w:sz="4" w:space="0"/>
            </w:tcBorders>
            <w:vAlign w:val="center"/>
          </w:tcPr>
          <w:p>
            <w:pPr>
              <w:autoSpaceDE w:val="0"/>
              <w:autoSpaceDN w:val="0"/>
              <w:adjustRightInd w:val="0"/>
              <w:spacing w:line="360" w:lineRule="auto"/>
              <w:jc w:val="center"/>
              <w:outlineLvl w:val="5"/>
              <w:rPr>
                <w:rFonts w:ascii="宋体" w:hAnsi="宋体" w:cs="宋体"/>
                <w:b/>
                <w:bCs/>
                <w:kern w:val="0"/>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692"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账号</w:t>
            </w:r>
          </w:p>
        </w:tc>
        <w:tc>
          <w:tcPr>
            <w:tcW w:w="7879" w:type="dxa"/>
            <w:gridSpan w:val="7"/>
            <w:tcBorders>
              <w:top w:val="single" w:color="auto" w:sz="4" w:space="0"/>
            </w:tcBorders>
            <w:vAlign w:val="center"/>
          </w:tcPr>
          <w:p>
            <w:pPr>
              <w:autoSpaceDE w:val="0"/>
              <w:autoSpaceDN w:val="0"/>
              <w:adjustRightInd w:val="0"/>
              <w:spacing w:line="360" w:lineRule="auto"/>
              <w:jc w:val="center"/>
              <w:outlineLvl w:val="5"/>
              <w:rPr>
                <w:rFonts w:ascii="宋体" w:hAnsi="宋体" w:cs="宋体"/>
                <w:b/>
                <w:bCs/>
                <w:kern w:val="0"/>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692"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经营范围</w:t>
            </w:r>
          </w:p>
        </w:tc>
        <w:tc>
          <w:tcPr>
            <w:tcW w:w="7879" w:type="dxa"/>
            <w:gridSpan w:val="7"/>
            <w:vAlign w:val="center"/>
          </w:tcPr>
          <w:p>
            <w:pPr>
              <w:autoSpaceDE w:val="0"/>
              <w:autoSpaceDN w:val="0"/>
              <w:adjustRightInd w:val="0"/>
              <w:spacing w:line="360" w:lineRule="auto"/>
              <w:outlineLvl w:val="5"/>
              <w:rPr>
                <w:rFonts w:ascii="宋体" w:hAnsi="宋体" w:cs="宋体"/>
                <w:b/>
                <w:bCs/>
                <w:kern w:val="0"/>
                <w:sz w:val="22"/>
                <w:szCs w:val="22"/>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692" w:type="dxa"/>
            <w:vAlign w:val="center"/>
          </w:tcPr>
          <w:p>
            <w:pPr>
              <w:autoSpaceDE w:val="0"/>
              <w:autoSpaceDN w:val="0"/>
              <w:adjustRightInd w:val="0"/>
              <w:spacing w:line="360" w:lineRule="auto"/>
              <w:jc w:val="center"/>
              <w:outlineLvl w:val="5"/>
              <w:rPr>
                <w:rFonts w:ascii="宋体" w:hAnsi="宋体" w:cs="宋体"/>
                <w:kern w:val="0"/>
                <w:sz w:val="22"/>
                <w:szCs w:val="22"/>
              </w:rPr>
            </w:pPr>
            <w:r>
              <w:rPr>
                <w:rFonts w:hint="eastAsia" w:ascii="宋体" w:hAnsi="宋体" w:cs="宋体"/>
                <w:kern w:val="0"/>
                <w:sz w:val="22"/>
                <w:szCs w:val="22"/>
              </w:rPr>
              <w:t>备注</w:t>
            </w:r>
          </w:p>
        </w:tc>
        <w:tc>
          <w:tcPr>
            <w:tcW w:w="7879" w:type="dxa"/>
            <w:gridSpan w:val="7"/>
          </w:tcPr>
          <w:p>
            <w:pPr>
              <w:autoSpaceDE w:val="0"/>
              <w:autoSpaceDN w:val="0"/>
              <w:adjustRightInd w:val="0"/>
              <w:spacing w:line="360" w:lineRule="auto"/>
              <w:jc w:val="left"/>
              <w:outlineLvl w:val="5"/>
              <w:rPr>
                <w:rFonts w:ascii="宋体" w:hAnsi="宋体" w:cs="宋体"/>
                <w:kern w:val="0"/>
                <w:sz w:val="22"/>
                <w:szCs w:val="22"/>
              </w:rPr>
            </w:pPr>
          </w:p>
        </w:tc>
      </w:tr>
    </w:tbl>
    <w:p>
      <w:pPr>
        <w:adjustRightInd w:val="0"/>
        <w:spacing w:line="360" w:lineRule="auto"/>
        <w:jc w:val="left"/>
        <w:outlineLvl w:val="5"/>
        <w:rPr>
          <w:rFonts w:ascii="宋体" w:hAnsi="宋体" w:cs="宋体"/>
          <w:b/>
          <w:sz w:val="24"/>
        </w:rPr>
      </w:pPr>
    </w:p>
    <w:p>
      <w:pPr>
        <w:adjustRightInd w:val="0"/>
        <w:spacing w:line="360" w:lineRule="auto"/>
        <w:jc w:val="left"/>
        <w:outlineLvl w:val="5"/>
        <w:rPr>
          <w:rFonts w:ascii="宋体" w:hAnsi="宋体" w:cs="宋体"/>
          <w:bCs/>
          <w:sz w:val="24"/>
        </w:rPr>
      </w:pPr>
      <w:r>
        <w:rPr>
          <w:rFonts w:hint="eastAsia" w:ascii="宋体" w:hAnsi="宋体" w:cs="宋体"/>
          <w:bCs/>
          <w:sz w:val="24"/>
        </w:rPr>
        <w:t>投标人名称：        （盖单位公章）</w:t>
      </w:r>
    </w:p>
    <w:p>
      <w:pPr>
        <w:adjustRightInd w:val="0"/>
        <w:spacing w:line="360" w:lineRule="auto"/>
        <w:jc w:val="left"/>
        <w:outlineLvl w:val="5"/>
        <w:rPr>
          <w:rFonts w:ascii="宋体" w:hAnsi="宋体" w:cs="宋体"/>
          <w:bCs/>
          <w:sz w:val="24"/>
        </w:rPr>
      </w:pPr>
      <w:r>
        <w:rPr>
          <w:rFonts w:hint="eastAsia" w:ascii="宋体" w:hAnsi="宋体" w:cs="宋体"/>
          <w:bCs/>
          <w:sz w:val="24"/>
        </w:rPr>
        <w:t>法定代表人或授权代表（签字）：</w:t>
      </w:r>
    </w:p>
    <w:p>
      <w:pPr>
        <w:spacing w:line="360" w:lineRule="auto"/>
        <w:outlineLvl w:val="5"/>
        <w:rPr>
          <w:rFonts w:ascii="宋体" w:hAnsi="宋体" w:cs="宋体"/>
          <w:bCs/>
          <w:sz w:val="24"/>
        </w:rPr>
      </w:pPr>
      <w:r>
        <w:rPr>
          <w:rFonts w:hint="eastAsia" w:ascii="宋体" w:hAnsi="宋体" w:cs="宋体"/>
          <w:bCs/>
          <w:sz w:val="24"/>
        </w:rPr>
        <w:t>日期:</w:t>
      </w:r>
    </w:p>
    <w:p>
      <w:pPr>
        <w:pStyle w:val="9"/>
        <w:spacing w:before="0" w:after="0" w:line="360" w:lineRule="auto"/>
        <w:jc w:val="center"/>
        <w:rPr>
          <w:rFonts w:ascii="宋体" w:hAnsi="宋体" w:eastAsia="宋体" w:cs="宋体"/>
        </w:rPr>
      </w:pPr>
      <w:bookmarkStart w:id="156" w:name="_Toc217446089"/>
      <w:r>
        <w:rPr>
          <w:rFonts w:hint="eastAsia" w:ascii="宋体" w:hAnsi="宋体" w:eastAsia="宋体" w:cs="宋体"/>
        </w:rPr>
        <w:br w:type="page"/>
      </w:r>
      <w:r>
        <w:rPr>
          <w:rStyle w:val="227"/>
          <w:rFonts w:hint="eastAsia" w:ascii="宋体" w:hAnsi="宋体" w:eastAsia="宋体" w:cs="宋体"/>
          <w:b/>
          <w:bCs/>
        </w:rPr>
        <w:t>八、类似项目业绩一览表</w:t>
      </w:r>
      <w:bookmarkEnd w:id="156"/>
    </w:p>
    <w:p>
      <w:pPr>
        <w:spacing w:line="360" w:lineRule="auto"/>
        <w:rPr>
          <w:rFonts w:ascii="宋体" w:hAnsi="宋体" w:cs="宋体"/>
        </w:rPr>
      </w:pPr>
    </w:p>
    <w:p>
      <w:pPr>
        <w:spacing w:line="360" w:lineRule="auto"/>
        <w:rPr>
          <w:rFonts w:ascii="宋体" w:hAnsi="宋体" w:cs="宋体"/>
          <w:b/>
          <w:sz w:val="24"/>
          <w:u w:val="single"/>
        </w:rPr>
      </w:pPr>
      <w:r>
        <w:rPr>
          <w:rFonts w:hint="eastAsia" w:ascii="宋体" w:hAnsi="宋体" w:cs="宋体"/>
          <w:b/>
          <w:sz w:val="24"/>
        </w:rPr>
        <w:t>项目名称：</w:t>
      </w:r>
      <w:r>
        <w:rPr>
          <w:rFonts w:hint="eastAsia" w:ascii="宋体" w:hAnsi="宋体" w:cs="宋体"/>
          <w:b/>
          <w:sz w:val="24"/>
          <w:u w:val="single"/>
        </w:rPr>
        <w:t xml:space="preserve">                </w:t>
      </w:r>
      <w:r>
        <w:rPr>
          <w:rFonts w:hint="eastAsia" w:ascii="宋体" w:hAnsi="宋体" w:cs="宋体"/>
          <w:b/>
          <w:sz w:val="24"/>
        </w:rPr>
        <w:t xml:space="preserve">   招标编号：</w:t>
      </w:r>
      <w:r>
        <w:rPr>
          <w:rFonts w:hint="eastAsia" w:ascii="宋体" w:hAnsi="宋体" w:cs="宋体"/>
          <w:b/>
          <w:sz w:val="24"/>
          <w:u w:val="single"/>
        </w:rPr>
        <w:t xml:space="preserve">              </w:t>
      </w:r>
      <w:r>
        <w:rPr>
          <w:rFonts w:hint="eastAsia" w:ascii="宋体" w:hAnsi="宋体" w:cs="宋体"/>
          <w:b/>
          <w:sz w:val="24"/>
        </w:rPr>
        <w:t xml:space="preserve">      </w:t>
      </w:r>
      <w:r>
        <w:rPr>
          <w:rFonts w:hint="eastAsia" w:ascii="宋体" w:hAnsi="宋体" w:cs="宋体"/>
          <w:b/>
          <w:bCs/>
          <w:sz w:val="24"/>
        </w:rPr>
        <w:t xml:space="preserve"> </w:t>
      </w:r>
    </w:p>
    <w:tbl>
      <w:tblPr>
        <w:tblStyle w:val="45"/>
        <w:tblW w:w="946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20"/>
        <w:gridCol w:w="2391"/>
        <w:gridCol w:w="2753"/>
        <w:gridCol w:w="1794"/>
        <w:gridCol w:w="17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tcBorders>
              <w:top w:val="single" w:color="auto" w:sz="4" w:space="0"/>
            </w:tcBorders>
            <w:vAlign w:val="center"/>
          </w:tcPr>
          <w:p>
            <w:pPr>
              <w:spacing w:line="360" w:lineRule="auto"/>
              <w:ind w:firstLine="120" w:firstLineChars="50"/>
              <w:outlineLvl w:val="5"/>
              <w:rPr>
                <w:rFonts w:ascii="宋体" w:hAnsi="宋体" w:cs="宋体"/>
                <w:b/>
                <w:sz w:val="24"/>
              </w:rPr>
            </w:pPr>
            <w:r>
              <w:rPr>
                <w:rFonts w:hint="eastAsia" w:ascii="宋体" w:hAnsi="宋体" w:cs="宋体"/>
                <w:b/>
                <w:sz w:val="24"/>
              </w:rPr>
              <w:t>年份</w:t>
            </w:r>
          </w:p>
        </w:tc>
        <w:tc>
          <w:tcPr>
            <w:tcW w:w="2391" w:type="dxa"/>
            <w:vAlign w:val="center"/>
          </w:tcPr>
          <w:p>
            <w:pPr>
              <w:spacing w:line="360" w:lineRule="auto"/>
              <w:jc w:val="center"/>
              <w:outlineLvl w:val="5"/>
              <w:rPr>
                <w:rFonts w:ascii="宋体" w:hAnsi="宋体" w:cs="宋体"/>
                <w:b/>
                <w:sz w:val="24"/>
              </w:rPr>
            </w:pPr>
            <w:r>
              <w:rPr>
                <w:rFonts w:hint="eastAsia" w:ascii="宋体" w:hAnsi="宋体" w:cs="宋体"/>
                <w:b/>
                <w:sz w:val="24"/>
              </w:rPr>
              <w:t>采购人名称</w:t>
            </w:r>
          </w:p>
        </w:tc>
        <w:tc>
          <w:tcPr>
            <w:tcW w:w="2753" w:type="dxa"/>
            <w:vAlign w:val="center"/>
          </w:tcPr>
          <w:p>
            <w:pPr>
              <w:spacing w:line="360" w:lineRule="auto"/>
              <w:jc w:val="center"/>
              <w:outlineLvl w:val="5"/>
              <w:rPr>
                <w:rFonts w:ascii="宋体" w:hAnsi="宋体" w:cs="宋体"/>
                <w:b/>
                <w:sz w:val="24"/>
              </w:rPr>
            </w:pPr>
            <w:r>
              <w:rPr>
                <w:rFonts w:hint="eastAsia" w:ascii="宋体" w:hAnsi="宋体" w:cs="宋体"/>
                <w:b/>
                <w:sz w:val="24"/>
              </w:rPr>
              <w:t>项目名称</w:t>
            </w:r>
          </w:p>
        </w:tc>
        <w:tc>
          <w:tcPr>
            <w:tcW w:w="1794" w:type="dxa"/>
            <w:vAlign w:val="center"/>
          </w:tcPr>
          <w:p>
            <w:pPr>
              <w:spacing w:line="360" w:lineRule="auto"/>
              <w:jc w:val="center"/>
              <w:outlineLvl w:val="5"/>
              <w:rPr>
                <w:rFonts w:ascii="宋体" w:hAnsi="宋体" w:cs="宋体"/>
                <w:b/>
                <w:sz w:val="24"/>
              </w:rPr>
            </w:pPr>
            <w:r>
              <w:rPr>
                <w:rFonts w:hint="eastAsia" w:ascii="宋体" w:hAnsi="宋体" w:cs="宋体"/>
                <w:b/>
                <w:sz w:val="24"/>
              </w:rPr>
              <w:t>合同金额</w:t>
            </w:r>
          </w:p>
        </w:tc>
        <w:tc>
          <w:tcPr>
            <w:tcW w:w="1705" w:type="dxa"/>
            <w:tcBorders>
              <w:left w:val="single" w:color="auto" w:sz="4" w:space="0"/>
            </w:tcBorders>
            <w:vAlign w:val="center"/>
          </w:tcPr>
          <w:p>
            <w:pPr>
              <w:spacing w:line="360" w:lineRule="auto"/>
              <w:outlineLvl w:val="5"/>
              <w:rPr>
                <w:rFonts w:ascii="宋体" w:hAnsi="宋体" w:cs="宋体"/>
                <w:b/>
                <w:sz w:val="24"/>
              </w:rPr>
            </w:pPr>
            <w:r>
              <w:rPr>
                <w:rFonts w:hint="eastAsia" w:ascii="宋体" w:hAnsi="宋体" w:cs="宋体"/>
                <w:b/>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line="360" w:lineRule="auto"/>
              <w:jc w:val="center"/>
              <w:outlineLvl w:val="5"/>
              <w:rPr>
                <w:rFonts w:ascii="宋体" w:hAnsi="宋体" w:cs="宋体"/>
                <w:sz w:val="24"/>
              </w:rPr>
            </w:pPr>
          </w:p>
        </w:tc>
        <w:tc>
          <w:tcPr>
            <w:tcW w:w="2391" w:type="dxa"/>
            <w:vAlign w:val="center"/>
          </w:tcPr>
          <w:p>
            <w:pPr>
              <w:spacing w:line="360" w:lineRule="auto"/>
              <w:jc w:val="center"/>
              <w:outlineLvl w:val="5"/>
              <w:rPr>
                <w:rFonts w:ascii="宋体" w:hAnsi="宋体" w:cs="宋体"/>
                <w:sz w:val="24"/>
              </w:rPr>
            </w:pPr>
          </w:p>
        </w:tc>
        <w:tc>
          <w:tcPr>
            <w:tcW w:w="2753" w:type="dxa"/>
            <w:vAlign w:val="center"/>
          </w:tcPr>
          <w:p>
            <w:pPr>
              <w:spacing w:line="360" w:lineRule="auto"/>
              <w:jc w:val="center"/>
              <w:outlineLvl w:val="5"/>
              <w:rPr>
                <w:rFonts w:ascii="宋体" w:hAnsi="宋体" w:cs="宋体"/>
                <w:sz w:val="24"/>
              </w:rPr>
            </w:pPr>
          </w:p>
        </w:tc>
        <w:tc>
          <w:tcPr>
            <w:tcW w:w="1794" w:type="dxa"/>
            <w:vAlign w:val="center"/>
          </w:tcPr>
          <w:p>
            <w:pPr>
              <w:spacing w:line="360" w:lineRule="auto"/>
              <w:jc w:val="center"/>
              <w:outlineLvl w:val="5"/>
              <w:rPr>
                <w:rFonts w:ascii="宋体" w:hAnsi="宋体" w:cs="宋体"/>
                <w:sz w:val="24"/>
              </w:rPr>
            </w:pPr>
          </w:p>
        </w:tc>
        <w:tc>
          <w:tcPr>
            <w:tcW w:w="1705" w:type="dxa"/>
            <w:tcBorders>
              <w:left w:val="single" w:color="auto" w:sz="4" w:space="0"/>
            </w:tcBorders>
            <w:vAlign w:val="center"/>
          </w:tcPr>
          <w:p>
            <w:pPr>
              <w:spacing w:line="360" w:lineRule="auto"/>
              <w:jc w:val="center"/>
              <w:outlineLvl w:val="5"/>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line="360" w:lineRule="auto"/>
              <w:jc w:val="center"/>
              <w:outlineLvl w:val="5"/>
              <w:rPr>
                <w:rFonts w:ascii="宋体" w:hAnsi="宋体" w:cs="宋体"/>
                <w:sz w:val="24"/>
              </w:rPr>
            </w:pPr>
          </w:p>
        </w:tc>
        <w:tc>
          <w:tcPr>
            <w:tcW w:w="2391" w:type="dxa"/>
            <w:vAlign w:val="center"/>
          </w:tcPr>
          <w:p>
            <w:pPr>
              <w:spacing w:line="360" w:lineRule="auto"/>
              <w:jc w:val="center"/>
              <w:outlineLvl w:val="5"/>
              <w:rPr>
                <w:rFonts w:ascii="宋体" w:hAnsi="宋体" w:cs="宋体"/>
                <w:sz w:val="24"/>
              </w:rPr>
            </w:pPr>
          </w:p>
        </w:tc>
        <w:tc>
          <w:tcPr>
            <w:tcW w:w="2753" w:type="dxa"/>
            <w:vAlign w:val="center"/>
          </w:tcPr>
          <w:p>
            <w:pPr>
              <w:spacing w:line="360" w:lineRule="auto"/>
              <w:jc w:val="center"/>
              <w:outlineLvl w:val="5"/>
              <w:rPr>
                <w:rFonts w:ascii="宋体" w:hAnsi="宋体" w:cs="宋体"/>
                <w:sz w:val="24"/>
              </w:rPr>
            </w:pPr>
          </w:p>
        </w:tc>
        <w:tc>
          <w:tcPr>
            <w:tcW w:w="1794" w:type="dxa"/>
            <w:vAlign w:val="center"/>
          </w:tcPr>
          <w:p>
            <w:pPr>
              <w:spacing w:line="360" w:lineRule="auto"/>
              <w:jc w:val="center"/>
              <w:outlineLvl w:val="5"/>
              <w:rPr>
                <w:rFonts w:ascii="宋体" w:hAnsi="宋体" w:cs="宋体"/>
                <w:sz w:val="24"/>
              </w:rPr>
            </w:pPr>
          </w:p>
        </w:tc>
        <w:tc>
          <w:tcPr>
            <w:tcW w:w="1705" w:type="dxa"/>
            <w:tcBorders>
              <w:left w:val="single" w:color="auto" w:sz="4" w:space="0"/>
            </w:tcBorders>
            <w:vAlign w:val="center"/>
          </w:tcPr>
          <w:p>
            <w:pPr>
              <w:spacing w:line="360" w:lineRule="auto"/>
              <w:jc w:val="center"/>
              <w:outlineLvl w:val="5"/>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line="360" w:lineRule="auto"/>
              <w:jc w:val="center"/>
              <w:outlineLvl w:val="5"/>
              <w:rPr>
                <w:rFonts w:ascii="宋体" w:hAnsi="宋体" w:cs="宋体"/>
                <w:sz w:val="24"/>
              </w:rPr>
            </w:pPr>
          </w:p>
        </w:tc>
        <w:tc>
          <w:tcPr>
            <w:tcW w:w="2391" w:type="dxa"/>
            <w:vAlign w:val="center"/>
          </w:tcPr>
          <w:p>
            <w:pPr>
              <w:spacing w:line="360" w:lineRule="auto"/>
              <w:jc w:val="center"/>
              <w:outlineLvl w:val="5"/>
              <w:rPr>
                <w:rFonts w:ascii="宋体" w:hAnsi="宋体" w:cs="宋体"/>
                <w:sz w:val="24"/>
              </w:rPr>
            </w:pPr>
          </w:p>
        </w:tc>
        <w:tc>
          <w:tcPr>
            <w:tcW w:w="2753" w:type="dxa"/>
            <w:vAlign w:val="center"/>
          </w:tcPr>
          <w:p>
            <w:pPr>
              <w:spacing w:line="360" w:lineRule="auto"/>
              <w:jc w:val="center"/>
              <w:outlineLvl w:val="5"/>
              <w:rPr>
                <w:rFonts w:ascii="宋体" w:hAnsi="宋体" w:cs="宋体"/>
                <w:sz w:val="24"/>
              </w:rPr>
            </w:pPr>
          </w:p>
        </w:tc>
        <w:tc>
          <w:tcPr>
            <w:tcW w:w="1794" w:type="dxa"/>
            <w:vAlign w:val="center"/>
          </w:tcPr>
          <w:p>
            <w:pPr>
              <w:spacing w:line="360" w:lineRule="auto"/>
              <w:jc w:val="center"/>
              <w:outlineLvl w:val="5"/>
              <w:rPr>
                <w:rFonts w:ascii="宋体" w:hAnsi="宋体" w:cs="宋体"/>
                <w:sz w:val="24"/>
              </w:rPr>
            </w:pPr>
          </w:p>
        </w:tc>
        <w:tc>
          <w:tcPr>
            <w:tcW w:w="1705" w:type="dxa"/>
            <w:tcBorders>
              <w:left w:val="single" w:color="auto" w:sz="4" w:space="0"/>
            </w:tcBorders>
            <w:vAlign w:val="center"/>
          </w:tcPr>
          <w:p>
            <w:pPr>
              <w:spacing w:line="360" w:lineRule="auto"/>
              <w:jc w:val="center"/>
              <w:outlineLvl w:val="5"/>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line="360" w:lineRule="auto"/>
              <w:jc w:val="center"/>
              <w:outlineLvl w:val="5"/>
              <w:rPr>
                <w:rFonts w:ascii="宋体" w:hAnsi="宋体" w:cs="宋体"/>
                <w:sz w:val="24"/>
              </w:rPr>
            </w:pPr>
          </w:p>
        </w:tc>
        <w:tc>
          <w:tcPr>
            <w:tcW w:w="2391" w:type="dxa"/>
            <w:tcBorders>
              <w:right w:val="single" w:color="auto" w:sz="4" w:space="0"/>
            </w:tcBorders>
            <w:vAlign w:val="center"/>
          </w:tcPr>
          <w:p>
            <w:pPr>
              <w:spacing w:line="360" w:lineRule="auto"/>
              <w:jc w:val="center"/>
              <w:outlineLvl w:val="5"/>
              <w:rPr>
                <w:rFonts w:ascii="宋体" w:hAnsi="宋体" w:cs="宋体"/>
                <w:sz w:val="24"/>
              </w:rPr>
            </w:pPr>
          </w:p>
        </w:tc>
        <w:tc>
          <w:tcPr>
            <w:tcW w:w="2753" w:type="dxa"/>
            <w:tcBorders>
              <w:left w:val="single" w:color="auto" w:sz="4" w:space="0"/>
            </w:tcBorders>
            <w:vAlign w:val="center"/>
          </w:tcPr>
          <w:p>
            <w:pPr>
              <w:spacing w:line="360" w:lineRule="auto"/>
              <w:jc w:val="center"/>
              <w:outlineLvl w:val="5"/>
              <w:rPr>
                <w:rFonts w:ascii="宋体" w:hAnsi="宋体" w:cs="宋体"/>
                <w:sz w:val="24"/>
              </w:rPr>
            </w:pPr>
          </w:p>
        </w:tc>
        <w:tc>
          <w:tcPr>
            <w:tcW w:w="1794" w:type="dxa"/>
            <w:vAlign w:val="center"/>
          </w:tcPr>
          <w:p>
            <w:pPr>
              <w:spacing w:line="360" w:lineRule="auto"/>
              <w:jc w:val="center"/>
              <w:outlineLvl w:val="5"/>
              <w:rPr>
                <w:rFonts w:ascii="宋体" w:hAnsi="宋体" w:cs="宋体"/>
                <w:sz w:val="24"/>
              </w:rPr>
            </w:pPr>
          </w:p>
        </w:tc>
        <w:tc>
          <w:tcPr>
            <w:tcW w:w="1705" w:type="dxa"/>
            <w:tcBorders>
              <w:left w:val="single" w:color="auto" w:sz="4" w:space="0"/>
            </w:tcBorders>
            <w:vAlign w:val="center"/>
          </w:tcPr>
          <w:p>
            <w:pPr>
              <w:spacing w:line="360" w:lineRule="auto"/>
              <w:jc w:val="center"/>
              <w:outlineLvl w:val="5"/>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tcBorders>
              <w:right w:val="single" w:color="auto" w:sz="4" w:space="0"/>
            </w:tcBorders>
            <w:vAlign w:val="center"/>
          </w:tcPr>
          <w:p>
            <w:pPr>
              <w:spacing w:line="360" w:lineRule="auto"/>
              <w:outlineLvl w:val="5"/>
              <w:rPr>
                <w:rFonts w:ascii="宋体" w:hAnsi="宋体" w:cs="宋体"/>
                <w:sz w:val="24"/>
              </w:rPr>
            </w:pPr>
          </w:p>
        </w:tc>
        <w:tc>
          <w:tcPr>
            <w:tcW w:w="2391" w:type="dxa"/>
            <w:tcBorders>
              <w:left w:val="single" w:color="auto" w:sz="4" w:space="0"/>
              <w:right w:val="single" w:color="auto" w:sz="4" w:space="0"/>
            </w:tcBorders>
            <w:vAlign w:val="center"/>
          </w:tcPr>
          <w:p>
            <w:pPr>
              <w:spacing w:line="360" w:lineRule="auto"/>
              <w:outlineLvl w:val="5"/>
              <w:rPr>
                <w:rFonts w:ascii="宋体" w:hAnsi="宋体" w:cs="宋体"/>
                <w:sz w:val="24"/>
              </w:rPr>
            </w:pPr>
          </w:p>
        </w:tc>
        <w:tc>
          <w:tcPr>
            <w:tcW w:w="2753" w:type="dxa"/>
            <w:tcBorders>
              <w:left w:val="single" w:color="auto" w:sz="4" w:space="0"/>
              <w:right w:val="single" w:color="auto" w:sz="4" w:space="0"/>
            </w:tcBorders>
            <w:vAlign w:val="center"/>
          </w:tcPr>
          <w:p>
            <w:pPr>
              <w:spacing w:line="360" w:lineRule="auto"/>
              <w:outlineLvl w:val="5"/>
              <w:rPr>
                <w:rFonts w:ascii="宋体" w:hAnsi="宋体" w:cs="宋体"/>
                <w:sz w:val="24"/>
              </w:rPr>
            </w:pPr>
          </w:p>
        </w:tc>
        <w:tc>
          <w:tcPr>
            <w:tcW w:w="1794" w:type="dxa"/>
            <w:tcBorders>
              <w:left w:val="single" w:color="auto" w:sz="4" w:space="0"/>
              <w:right w:val="single" w:color="auto" w:sz="4" w:space="0"/>
            </w:tcBorders>
            <w:vAlign w:val="center"/>
          </w:tcPr>
          <w:p>
            <w:pPr>
              <w:spacing w:line="360" w:lineRule="auto"/>
              <w:outlineLvl w:val="5"/>
              <w:rPr>
                <w:rFonts w:ascii="宋体" w:hAnsi="宋体" w:cs="宋体"/>
                <w:sz w:val="24"/>
              </w:rPr>
            </w:pPr>
          </w:p>
        </w:tc>
        <w:tc>
          <w:tcPr>
            <w:tcW w:w="1705" w:type="dxa"/>
            <w:tcBorders>
              <w:left w:val="single" w:color="auto" w:sz="4" w:space="0"/>
            </w:tcBorders>
            <w:vAlign w:val="center"/>
          </w:tcPr>
          <w:p>
            <w:pPr>
              <w:spacing w:line="360" w:lineRule="auto"/>
              <w:outlineLvl w:val="5"/>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line="360" w:lineRule="auto"/>
              <w:outlineLvl w:val="5"/>
              <w:rPr>
                <w:rFonts w:ascii="宋体" w:hAnsi="宋体" w:cs="宋体"/>
                <w:sz w:val="24"/>
              </w:rPr>
            </w:pPr>
          </w:p>
        </w:tc>
        <w:tc>
          <w:tcPr>
            <w:tcW w:w="2391" w:type="dxa"/>
            <w:vAlign w:val="center"/>
          </w:tcPr>
          <w:p>
            <w:pPr>
              <w:spacing w:line="360" w:lineRule="auto"/>
              <w:outlineLvl w:val="5"/>
              <w:rPr>
                <w:rFonts w:ascii="宋体" w:hAnsi="宋体" w:cs="宋体"/>
                <w:sz w:val="24"/>
              </w:rPr>
            </w:pPr>
          </w:p>
        </w:tc>
        <w:tc>
          <w:tcPr>
            <w:tcW w:w="2753" w:type="dxa"/>
            <w:vAlign w:val="center"/>
          </w:tcPr>
          <w:p>
            <w:pPr>
              <w:spacing w:line="360" w:lineRule="auto"/>
              <w:outlineLvl w:val="5"/>
              <w:rPr>
                <w:rFonts w:ascii="宋体" w:hAnsi="宋体" w:cs="宋体"/>
                <w:sz w:val="24"/>
              </w:rPr>
            </w:pPr>
          </w:p>
        </w:tc>
        <w:tc>
          <w:tcPr>
            <w:tcW w:w="1794" w:type="dxa"/>
            <w:vAlign w:val="center"/>
          </w:tcPr>
          <w:p>
            <w:pPr>
              <w:spacing w:line="360" w:lineRule="auto"/>
              <w:outlineLvl w:val="5"/>
              <w:rPr>
                <w:rFonts w:ascii="宋体" w:hAnsi="宋体" w:cs="宋体"/>
                <w:sz w:val="24"/>
              </w:rPr>
            </w:pPr>
          </w:p>
        </w:tc>
        <w:tc>
          <w:tcPr>
            <w:tcW w:w="1705" w:type="dxa"/>
            <w:tcBorders>
              <w:left w:val="single" w:color="auto" w:sz="4" w:space="0"/>
            </w:tcBorders>
            <w:vAlign w:val="center"/>
          </w:tcPr>
          <w:p>
            <w:pPr>
              <w:spacing w:line="360" w:lineRule="auto"/>
              <w:outlineLvl w:val="5"/>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line="360" w:lineRule="auto"/>
              <w:jc w:val="center"/>
              <w:outlineLvl w:val="5"/>
              <w:rPr>
                <w:rFonts w:ascii="宋体" w:hAnsi="宋体" w:cs="宋体"/>
                <w:sz w:val="24"/>
              </w:rPr>
            </w:pPr>
          </w:p>
        </w:tc>
        <w:tc>
          <w:tcPr>
            <w:tcW w:w="2391" w:type="dxa"/>
            <w:vAlign w:val="center"/>
          </w:tcPr>
          <w:p>
            <w:pPr>
              <w:spacing w:line="360" w:lineRule="auto"/>
              <w:jc w:val="center"/>
              <w:outlineLvl w:val="5"/>
              <w:rPr>
                <w:rFonts w:ascii="宋体" w:hAnsi="宋体" w:cs="宋体"/>
                <w:sz w:val="24"/>
              </w:rPr>
            </w:pPr>
          </w:p>
        </w:tc>
        <w:tc>
          <w:tcPr>
            <w:tcW w:w="2753" w:type="dxa"/>
            <w:vAlign w:val="center"/>
          </w:tcPr>
          <w:p>
            <w:pPr>
              <w:spacing w:line="360" w:lineRule="auto"/>
              <w:jc w:val="center"/>
              <w:outlineLvl w:val="5"/>
              <w:rPr>
                <w:rFonts w:ascii="宋体" w:hAnsi="宋体" w:cs="宋体"/>
                <w:sz w:val="24"/>
              </w:rPr>
            </w:pPr>
          </w:p>
        </w:tc>
        <w:tc>
          <w:tcPr>
            <w:tcW w:w="1794" w:type="dxa"/>
            <w:vAlign w:val="center"/>
          </w:tcPr>
          <w:p>
            <w:pPr>
              <w:spacing w:line="360" w:lineRule="auto"/>
              <w:jc w:val="center"/>
              <w:outlineLvl w:val="5"/>
              <w:rPr>
                <w:rFonts w:ascii="宋体" w:hAnsi="宋体" w:cs="宋体"/>
                <w:sz w:val="24"/>
              </w:rPr>
            </w:pPr>
          </w:p>
        </w:tc>
        <w:tc>
          <w:tcPr>
            <w:tcW w:w="1705" w:type="dxa"/>
            <w:tcBorders>
              <w:left w:val="single" w:color="auto" w:sz="4" w:space="0"/>
            </w:tcBorders>
            <w:vAlign w:val="center"/>
          </w:tcPr>
          <w:p>
            <w:pPr>
              <w:spacing w:line="360" w:lineRule="auto"/>
              <w:jc w:val="center"/>
              <w:outlineLvl w:val="5"/>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20" w:type="dxa"/>
            <w:vAlign w:val="center"/>
          </w:tcPr>
          <w:p>
            <w:pPr>
              <w:spacing w:line="360" w:lineRule="auto"/>
              <w:jc w:val="center"/>
              <w:outlineLvl w:val="5"/>
              <w:rPr>
                <w:rFonts w:ascii="宋体" w:hAnsi="宋体" w:cs="宋体"/>
                <w:sz w:val="24"/>
              </w:rPr>
            </w:pPr>
          </w:p>
        </w:tc>
        <w:tc>
          <w:tcPr>
            <w:tcW w:w="2391" w:type="dxa"/>
            <w:vAlign w:val="center"/>
          </w:tcPr>
          <w:p>
            <w:pPr>
              <w:spacing w:line="360" w:lineRule="auto"/>
              <w:jc w:val="center"/>
              <w:outlineLvl w:val="5"/>
              <w:rPr>
                <w:rFonts w:ascii="宋体" w:hAnsi="宋体" w:cs="宋体"/>
                <w:sz w:val="24"/>
              </w:rPr>
            </w:pPr>
          </w:p>
        </w:tc>
        <w:tc>
          <w:tcPr>
            <w:tcW w:w="2753" w:type="dxa"/>
            <w:vAlign w:val="center"/>
          </w:tcPr>
          <w:p>
            <w:pPr>
              <w:spacing w:line="360" w:lineRule="auto"/>
              <w:jc w:val="center"/>
              <w:outlineLvl w:val="5"/>
              <w:rPr>
                <w:rFonts w:ascii="宋体" w:hAnsi="宋体" w:cs="宋体"/>
                <w:sz w:val="24"/>
              </w:rPr>
            </w:pPr>
          </w:p>
        </w:tc>
        <w:tc>
          <w:tcPr>
            <w:tcW w:w="1794" w:type="dxa"/>
            <w:vAlign w:val="center"/>
          </w:tcPr>
          <w:p>
            <w:pPr>
              <w:spacing w:line="360" w:lineRule="auto"/>
              <w:jc w:val="center"/>
              <w:outlineLvl w:val="5"/>
              <w:rPr>
                <w:rFonts w:ascii="宋体" w:hAnsi="宋体" w:cs="宋体"/>
                <w:sz w:val="24"/>
              </w:rPr>
            </w:pPr>
          </w:p>
        </w:tc>
        <w:tc>
          <w:tcPr>
            <w:tcW w:w="1705" w:type="dxa"/>
            <w:tcBorders>
              <w:left w:val="single" w:color="auto" w:sz="4" w:space="0"/>
            </w:tcBorders>
            <w:vAlign w:val="center"/>
          </w:tcPr>
          <w:p>
            <w:pPr>
              <w:spacing w:line="360" w:lineRule="auto"/>
              <w:jc w:val="center"/>
              <w:outlineLvl w:val="5"/>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20" w:type="dxa"/>
            <w:tcBorders>
              <w:bottom w:val="single" w:color="auto" w:sz="4" w:space="0"/>
            </w:tcBorders>
            <w:vAlign w:val="center"/>
          </w:tcPr>
          <w:p>
            <w:pPr>
              <w:spacing w:line="360" w:lineRule="auto"/>
              <w:jc w:val="center"/>
              <w:outlineLvl w:val="5"/>
              <w:rPr>
                <w:rFonts w:ascii="宋体" w:hAnsi="宋体" w:cs="宋体"/>
                <w:sz w:val="24"/>
              </w:rPr>
            </w:pPr>
          </w:p>
        </w:tc>
        <w:tc>
          <w:tcPr>
            <w:tcW w:w="2391" w:type="dxa"/>
            <w:tcBorders>
              <w:bottom w:val="single" w:color="auto" w:sz="4" w:space="0"/>
            </w:tcBorders>
            <w:vAlign w:val="center"/>
          </w:tcPr>
          <w:p>
            <w:pPr>
              <w:spacing w:line="360" w:lineRule="auto"/>
              <w:jc w:val="center"/>
              <w:outlineLvl w:val="5"/>
              <w:rPr>
                <w:rFonts w:ascii="宋体" w:hAnsi="宋体" w:cs="宋体"/>
                <w:sz w:val="24"/>
              </w:rPr>
            </w:pPr>
          </w:p>
        </w:tc>
        <w:tc>
          <w:tcPr>
            <w:tcW w:w="2753" w:type="dxa"/>
            <w:tcBorders>
              <w:bottom w:val="single" w:color="auto" w:sz="4" w:space="0"/>
            </w:tcBorders>
            <w:vAlign w:val="center"/>
          </w:tcPr>
          <w:p>
            <w:pPr>
              <w:spacing w:line="360" w:lineRule="auto"/>
              <w:jc w:val="center"/>
              <w:outlineLvl w:val="5"/>
              <w:rPr>
                <w:rFonts w:ascii="宋体" w:hAnsi="宋体" w:cs="宋体"/>
                <w:sz w:val="24"/>
              </w:rPr>
            </w:pPr>
          </w:p>
        </w:tc>
        <w:tc>
          <w:tcPr>
            <w:tcW w:w="1794" w:type="dxa"/>
            <w:tcBorders>
              <w:bottom w:val="single" w:color="auto" w:sz="4" w:space="0"/>
            </w:tcBorders>
            <w:vAlign w:val="center"/>
          </w:tcPr>
          <w:p>
            <w:pPr>
              <w:spacing w:line="360" w:lineRule="auto"/>
              <w:jc w:val="center"/>
              <w:outlineLvl w:val="5"/>
              <w:rPr>
                <w:rFonts w:ascii="宋体" w:hAnsi="宋体" w:cs="宋体"/>
                <w:sz w:val="24"/>
              </w:rPr>
            </w:pPr>
          </w:p>
        </w:tc>
        <w:tc>
          <w:tcPr>
            <w:tcW w:w="1705" w:type="dxa"/>
            <w:tcBorders>
              <w:left w:val="single" w:color="auto" w:sz="4" w:space="0"/>
              <w:bottom w:val="single" w:color="auto" w:sz="4" w:space="0"/>
            </w:tcBorders>
            <w:vAlign w:val="center"/>
          </w:tcPr>
          <w:p>
            <w:pPr>
              <w:spacing w:line="360" w:lineRule="auto"/>
              <w:jc w:val="center"/>
              <w:outlineLvl w:val="5"/>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20" w:type="dxa"/>
            <w:tcBorders>
              <w:top w:val="single" w:color="auto" w:sz="4" w:space="0"/>
              <w:bottom w:val="single" w:color="auto" w:sz="4" w:space="0"/>
            </w:tcBorders>
            <w:vAlign w:val="center"/>
          </w:tcPr>
          <w:p>
            <w:pPr>
              <w:spacing w:line="360" w:lineRule="auto"/>
              <w:jc w:val="center"/>
              <w:outlineLvl w:val="5"/>
              <w:rPr>
                <w:rFonts w:ascii="宋体" w:hAnsi="宋体" w:cs="宋体"/>
                <w:sz w:val="24"/>
              </w:rPr>
            </w:pPr>
          </w:p>
        </w:tc>
        <w:tc>
          <w:tcPr>
            <w:tcW w:w="2391" w:type="dxa"/>
            <w:tcBorders>
              <w:top w:val="single" w:color="auto" w:sz="4" w:space="0"/>
              <w:bottom w:val="single" w:color="auto" w:sz="4" w:space="0"/>
            </w:tcBorders>
            <w:vAlign w:val="center"/>
          </w:tcPr>
          <w:p>
            <w:pPr>
              <w:spacing w:line="360" w:lineRule="auto"/>
              <w:jc w:val="center"/>
              <w:outlineLvl w:val="5"/>
              <w:rPr>
                <w:rFonts w:ascii="宋体" w:hAnsi="宋体" w:cs="宋体"/>
                <w:sz w:val="24"/>
              </w:rPr>
            </w:pPr>
          </w:p>
        </w:tc>
        <w:tc>
          <w:tcPr>
            <w:tcW w:w="2753" w:type="dxa"/>
            <w:tcBorders>
              <w:top w:val="single" w:color="auto" w:sz="4" w:space="0"/>
              <w:bottom w:val="single" w:color="auto" w:sz="4" w:space="0"/>
            </w:tcBorders>
            <w:vAlign w:val="center"/>
          </w:tcPr>
          <w:p>
            <w:pPr>
              <w:spacing w:line="360" w:lineRule="auto"/>
              <w:jc w:val="center"/>
              <w:outlineLvl w:val="5"/>
              <w:rPr>
                <w:rFonts w:ascii="宋体" w:hAnsi="宋体" w:cs="宋体"/>
                <w:sz w:val="24"/>
              </w:rPr>
            </w:pPr>
          </w:p>
        </w:tc>
        <w:tc>
          <w:tcPr>
            <w:tcW w:w="1794" w:type="dxa"/>
            <w:tcBorders>
              <w:top w:val="single" w:color="auto" w:sz="4" w:space="0"/>
              <w:bottom w:val="single" w:color="auto" w:sz="4" w:space="0"/>
            </w:tcBorders>
            <w:vAlign w:val="center"/>
          </w:tcPr>
          <w:p>
            <w:pPr>
              <w:spacing w:line="360" w:lineRule="auto"/>
              <w:jc w:val="center"/>
              <w:outlineLvl w:val="5"/>
              <w:rPr>
                <w:rFonts w:ascii="宋体" w:hAnsi="宋体" w:cs="宋体"/>
                <w:sz w:val="24"/>
              </w:rPr>
            </w:pPr>
          </w:p>
        </w:tc>
        <w:tc>
          <w:tcPr>
            <w:tcW w:w="1705" w:type="dxa"/>
            <w:tcBorders>
              <w:top w:val="single" w:color="auto" w:sz="4" w:space="0"/>
              <w:left w:val="single" w:color="auto" w:sz="4" w:space="0"/>
              <w:bottom w:val="single" w:color="auto" w:sz="4" w:space="0"/>
            </w:tcBorders>
            <w:vAlign w:val="center"/>
          </w:tcPr>
          <w:p>
            <w:pPr>
              <w:spacing w:line="360" w:lineRule="auto"/>
              <w:jc w:val="center"/>
              <w:outlineLvl w:val="5"/>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20" w:type="dxa"/>
            <w:tcBorders>
              <w:top w:val="single" w:color="auto" w:sz="4" w:space="0"/>
              <w:bottom w:val="single" w:color="auto" w:sz="4" w:space="0"/>
            </w:tcBorders>
            <w:vAlign w:val="center"/>
          </w:tcPr>
          <w:p>
            <w:pPr>
              <w:spacing w:line="360" w:lineRule="auto"/>
              <w:jc w:val="center"/>
              <w:outlineLvl w:val="5"/>
              <w:rPr>
                <w:rFonts w:ascii="宋体" w:hAnsi="宋体" w:cs="宋体"/>
                <w:sz w:val="24"/>
              </w:rPr>
            </w:pPr>
          </w:p>
        </w:tc>
        <w:tc>
          <w:tcPr>
            <w:tcW w:w="2391" w:type="dxa"/>
            <w:tcBorders>
              <w:top w:val="single" w:color="auto" w:sz="4" w:space="0"/>
              <w:bottom w:val="single" w:color="auto" w:sz="4" w:space="0"/>
            </w:tcBorders>
            <w:vAlign w:val="center"/>
          </w:tcPr>
          <w:p>
            <w:pPr>
              <w:spacing w:line="360" w:lineRule="auto"/>
              <w:jc w:val="center"/>
              <w:outlineLvl w:val="5"/>
              <w:rPr>
                <w:rFonts w:ascii="宋体" w:hAnsi="宋体" w:cs="宋体"/>
                <w:sz w:val="24"/>
              </w:rPr>
            </w:pPr>
          </w:p>
        </w:tc>
        <w:tc>
          <w:tcPr>
            <w:tcW w:w="2753" w:type="dxa"/>
            <w:tcBorders>
              <w:top w:val="single" w:color="auto" w:sz="4" w:space="0"/>
              <w:bottom w:val="single" w:color="auto" w:sz="4" w:space="0"/>
            </w:tcBorders>
            <w:vAlign w:val="center"/>
          </w:tcPr>
          <w:p>
            <w:pPr>
              <w:spacing w:line="360" w:lineRule="auto"/>
              <w:jc w:val="center"/>
              <w:outlineLvl w:val="5"/>
              <w:rPr>
                <w:rFonts w:ascii="宋体" w:hAnsi="宋体" w:cs="宋体"/>
                <w:sz w:val="24"/>
              </w:rPr>
            </w:pPr>
          </w:p>
        </w:tc>
        <w:tc>
          <w:tcPr>
            <w:tcW w:w="1794" w:type="dxa"/>
            <w:tcBorders>
              <w:top w:val="single" w:color="auto" w:sz="4" w:space="0"/>
              <w:bottom w:val="single" w:color="auto" w:sz="4" w:space="0"/>
            </w:tcBorders>
            <w:vAlign w:val="center"/>
          </w:tcPr>
          <w:p>
            <w:pPr>
              <w:spacing w:line="360" w:lineRule="auto"/>
              <w:jc w:val="center"/>
              <w:outlineLvl w:val="5"/>
              <w:rPr>
                <w:rFonts w:ascii="宋体" w:hAnsi="宋体" w:cs="宋体"/>
                <w:sz w:val="24"/>
              </w:rPr>
            </w:pPr>
          </w:p>
        </w:tc>
        <w:tc>
          <w:tcPr>
            <w:tcW w:w="1705" w:type="dxa"/>
            <w:tcBorders>
              <w:top w:val="single" w:color="auto" w:sz="4" w:space="0"/>
              <w:left w:val="single" w:color="auto" w:sz="4" w:space="0"/>
              <w:bottom w:val="single" w:color="auto" w:sz="4" w:space="0"/>
            </w:tcBorders>
            <w:vAlign w:val="center"/>
          </w:tcPr>
          <w:p>
            <w:pPr>
              <w:spacing w:line="360" w:lineRule="auto"/>
              <w:jc w:val="center"/>
              <w:outlineLvl w:val="5"/>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20" w:type="dxa"/>
            <w:tcBorders>
              <w:top w:val="single" w:color="auto" w:sz="4" w:space="0"/>
              <w:bottom w:val="single" w:color="auto" w:sz="4" w:space="0"/>
            </w:tcBorders>
            <w:vAlign w:val="center"/>
          </w:tcPr>
          <w:p>
            <w:pPr>
              <w:spacing w:line="360" w:lineRule="auto"/>
              <w:jc w:val="center"/>
              <w:outlineLvl w:val="5"/>
              <w:rPr>
                <w:rFonts w:ascii="宋体" w:hAnsi="宋体" w:cs="宋体"/>
                <w:sz w:val="24"/>
              </w:rPr>
            </w:pPr>
          </w:p>
        </w:tc>
        <w:tc>
          <w:tcPr>
            <w:tcW w:w="2391" w:type="dxa"/>
            <w:tcBorders>
              <w:top w:val="single" w:color="auto" w:sz="4" w:space="0"/>
              <w:bottom w:val="single" w:color="auto" w:sz="4" w:space="0"/>
            </w:tcBorders>
            <w:vAlign w:val="center"/>
          </w:tcPr>
          <w:p>
            <w:pPr>
              <w:spacing w:line="360" w:lineRule="auto"/>
              <w:jc w:val="center"/>
              <w:outlineLvl w:val="5"/>
              <w:rPr>
                <w:rFonts w:ascii="宋体" w:hAnsi="宋体" w:cs="宋体"/>
                <w:sz w:val="24"/>
              </w:rPr>
            </w:pPr>
          </w:p>
        </w:tc>
        <w:tc>
          <w:tcPr>
            <w:tcW w:w="2753" w:type="dxa"/>
            <w:tcBorders>
              <w:top w:val="single" w:color="auto" w:sz="4" w:space="0"/>
              <w:bottom w:val="single" w:color="auto" w:sz="4" w:space="0"/>
            </w:tcBorders>
            <w:vAlign w:val="center"/>
          </w:tcPr>
          <w:p>
            <w:pPr>
              <w:spacing w:line="360" w:lineRule="auto"/>
              <w:jc w:val="center"/>
              <w:outlineLvl w:val="5"/>
              <w:rPr>
                <w:rFonts w:ascii="宋体" w:hAnsi="宋体" w:cs="宋体"/>
                <w:sz w:val="24"/>
              </w:rPr>
            </w:pPr>
          </w:p>
        </w:tc>
        <w:tc>
          <w:tcPr>
            <w:tcW w:w="1794" w:type="dxa"/>
            <w:tcBorders>
              <w:top w:val="single" w:color="auto" w:sz="4" w:space="0"/>
              <w:bottom w:val="single" w:color="auto" w:sz="4" w:space="0"/>
            </w:tcBorders>
            <w:vAlign w:val="center"/>
          </w:tcPr>
          <w:p>
            <w:pPr>
              <w:spacing w:line="360" w:lineRule="auto"/>
              <w:jc w:val="center"/>
              <w:outlineLvl w:val="5"/>
              <w:rPr>
                <w:rFonts w:ascii="宋体" w:hAnsi="宋体" w:cs="宋体"/>
                <w:sz w:val="24"/>
              </w:rPr>
            </w:pPr>
          </w:p>
        </w:tc>
        <w:tc>
          <w:tcPr>
            <w:tcW w:w="1705" w:type="dxa"/>
            <w:tcBorders>
              <w:top w:val="single" w:color="auto" w:sz="4" w:space="0"/>
              <w:left w:val="single" w:color="auto" w:sz="4" w:space="0"/>
              <w:bottom w:val="single" w:color="auto" w:sz="4" w:space="0"/>
            </w:tcBorders>
            <w:vAlign w:val="center"/>
          </w:tcPr>
          <w:p>
            <w:pPr>
              <w:spacing w:line="360" w:lineRule="auto"/>
              <w:jc w:val="center"/>
              <w:outlineLvl w:val="5"/>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20" w:type="dxa"/>
            <w:tcBorders>
              <w:top w:val="single" w:color="auto" w:sz="4" w:space="0"/>
              <w:bottom w:val="single" w:color="auto" w:sz="4" w:space="0"/>
            </w:tcBorders>
            <w:vAlign w:val="center"/>
          </w:tcPr>
          <w:p>
            <w:pPr>
              <w:spacing w:line="360" w:lineRule="auto"/>
              <w:jc w:val="center"/>
              <w:outlineLvl w:val="5"/>
              <w:rPr>
                <w:rFonts w:ascii="宋体" w:hAnsi="宋体" w:cs="宋体"/>
                <w:sz w:val="24"/>
              </w:rPr>
            </w:pPr>
          </w:p>
        </w:tc>
        <w:tc>
          <w:tcPr>
            <w:tcW w:w="2391" w:type="dxa"/>
            <w:tcBorders>
              <w:top w:val="single" w:color="auto" w:sz="4" w:space="0"/>
              <w:bottom w:val="single" w:color="auto" w:sz="4" w:space="0"/>
            </w:tcBorders>
            <w:vAlign w:val="center"/>
          </w:tcPr>
          <w:p>
            <w:pPr>
              <w:spacing w:line="360" w:lineRule="auto"/>
              <w:jc w:val="center"/>
              <w:outlineLvl w:val="5"/>
              <w:rPr>
                <w:rFonts w:ascii="宋体" w:hAnsi="宋体" w:cs="宋体"/>
                <w:sz w:val="24"/>
              </w:rPr>
            </w:pPr>
          </w:p>
        </w:tc>
        <w:tc>
          <w:tcPr>
            <w:tcW w:w="2753" w:type="dxa"/>
            <w:tcBorders>
              <w:top w:val="single" w:color="auto" w:sz="4" w:space="0"/>
              <w:bottom w:val="single" w:color="auto" w:sz="4" w:space="0"/>
            </w:tcBorders>
            <w:vAlign w:val="center"/>
          </w:tcPr>
          <w:p>
            <w:pPr>
              <w:spacing w:line="360" w:lineRule="auto"/>
              <w:jc w:val="center"/>
              <w:outlineLvl w:val="5"/>
              <w:rPr>
                <w:rFonts w:ascii="宋体" w:hAnsi="宋体" w:cs="宋体"/>
                <w:sz w:val="24"/>
              </w:rPr>
            </w:pPr>
          </w:p>
        </w:tc>
        <w:tc>
          <w:tcPr>
            <w:tcW w:w="1794" w:type="dxa"/>
            <w:tcBorders>
              <w:top w:val="single" w:color="auto" w:sz="4" w:space="0"/>
              <w:bottom w:val="single" w:color="auto" w:sz="4" w:space="0"/>
            </w:tcBorders>
            <w:vAlign w:val="center"/>
          </w:tcPr>
          <w:p>
            <w:pPr>
              <w:spacing w:line="360" w:lineRule="auto"/>
              <w:jc w:val="center"/>
              <w:outlineLvl w:val="5"/>
              <w:rPr>
                <w:rFonts w:ascii="宋体" w:hAnsi="宋体" w:cs="宋体"/>
                <w:sz w:val="24"/>
              </w:rPr>
            </w:pPr>
          </w:p>
        </w:tc>
        <w:tc>
          <w:tcPr>
            <w:tcW w:w="1705" w:type="dxa"/>
            <w:tcBorders>
              <w:top w:val="single" w:color="auto" w:sz="4" w:space="0"/>
              <w:left w:val="single" w:color="auto" w:sz="4" w:space="0"/>
              <w:bottom w:val="single" w:color="auto" w:sz="4" w:space="0"/>
            </w:tcBorders>
            <w:vAlign w:val="center"/>
          </w:tcPr>
          <w:p>
            <w:pPr>
              <w:spacing w:line="360" w:lineRule="auto"/>
              <w:jc w:val="center"/>
              <w:outlineLvl w:val="5"/>
              <w:rPr>
                <w:rFonts w:ascii="宋体" w:hAnsi="宋体" w:cs="宋体"/>
                <w:sz w:val="24"/>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outlineLvl w:val="5"/>
        <w:rPr>
          <w:rFonts w:ascii="宋体" w:hAnsi="宋体" w:cs="宋体"/>
          <w:szCs w:val="21"/>
        </w:rPr>
      </w:pPr>
      <w:r>
        <w:rPr>
          <w:rFonts w:hint="eastAsia" w:ascii="宋体" w:hAnsi="宋体" w:cs="宋体"/>
          <w:szCs w:val="21"/>
        </w:rPr>
        <w:t>注：以上业绩需提供有关书面证明材料，否则将不予认定。</w:t>
      </w:r>
    </w:p>
    <w:p>
      <w:pPr>
        <w:spacing w:line="360" w:lineRule="auto"/>
        <w:jc w:val="center"/>
        <w:outlineLvl w:val="5"/>
        <w:rPr>
          <w:rFonts w:ascii="宋体" w:hAnsi="宋体" w:cs="宋体"/>
          <w:sz w:val="24"/>
        </w:rPr>
      </w:pPr>
    </w:p>
    <w:p>
      <w:pPr>
        <w:spacing w:line="360" w:lineRule="auto"/>
        <w:jc w:val="center"/>
        <w:outlineLvl w:val="5"/>
        <w:rPr>
          <w:rFonts w:ascii="宋体" w:hAnsi="宋体" w:cs="宋体"/>
        </w:rPr>
      </w:pPr>
    </w:p>
    <w:p>
      <w:pPr>
        <w:adjustRightInd w:val="0"/>
        <w:spacing w:line="360" w:lineRule="auto"/>
        <w:jc w:val="left"/>
        <w:outlineLvl w:val="5"/>
        <w:rPr>
          <w:rFonts w:ascii="宋体" w:hAnsi="宋体" w:cs="宋体"/>
          <w:sz w:val="24"/>
        </w:rPr>
      </w:pPr>
      <w:r>
        <w:rPr>
          <w:rFonts w:hint="eastAsia" w:ascii="宋体" w:hAnsi="宋体" w:cs="宋体"/>
          <w:sz w:val="24"/>
        </w:rPr>
        <w:t>投标人名称：         （盖单位公章）</w:t>
      </w:r>
    </w:p>
    <w:p>
      <w:pPr>
        <w:adjustRightInd w:val="0"/>
        <w:spacing w:line="360" w:lineRule="auto"/>
        <w:jc w:val="left"/>
        <w:outlineLvl w:val="5"/>
        <w:rPr>
          <w:rFonts w:ascii="宋体" w:hAnsi="宋体" w:cs="宋体"/>
          <w:sz w:val="24"/>
        </w:rPr>
      </w:pPr>
      <w:r>
        <w:rPr>
          <w:rFonts w:hint="eastAsia" w:ascii="宋体" w:hAnsi="宋体" w:cs="宋体"/>
          <w:sz w:val="24"/>
        </w:rPr>
        <w:t>法定代表人或授权代表（签字）：</w:t>
      </w:r>
    </w:p>
    <w:p>
      <w:pPr>
        <w:spacing w:line="360" w:lineRule="auto"/>
        <w:outlineLvl w:val="5"/>
        <w:rPr>
          <w:rFonts w:ascii="宋体" w:hAnsi="宋体" w:cs="宋体"/>
          <w:sz w:val="24"/>
        </w:rPr>
      </w:pPr>
      <w:r>
        <w:rPr>
          <w:rFonts w:hint="eastAsia" w:ascii="宋体" w:hAnsi="宋体" w:cs="宋体"/>
          <w:sz w:val="24"/>
        </w:rPr>
        <w:t>日期:</w:t>
      </w:r>
      <w:bookmarkStart w:id="157" w:name="_Toc217446090"/>
    </w:p>
    <w:p>
      <w:pPr>
        <w:spacing w:line="360" w:lineRule="auto"/>
        <w:outlineLvl w:val="5"/>
        <w:rPr>
          <w:rFonts w:ascii="宋体" w:hAnsi="宋体" w:cs="宋体"/>
          <w:sz w:val="24"/>
        </w:rPr>
      </w:pPr>
    </w:p>
    <w:p>
      <w:pPr>
        <w:pStyle w:val="7"/>
        <w:rPr>
          <w:rFonts w:ascii="宋体" w:hAnsi="宋体" w:eastAsia="宋体" w:cs="宋体"/>
        </w:rPr>
      </w:pPr>
      <w:r>
        <w:rPr>
          <w:rFonts w:hint="eastAsia" w:ascii="宋体" w:hAnsi="宋体" w:eastAsia="宋体" w:cs="宋体"/>
        </w:rPr>
        <w:t>九、技术（服务）要求、总体商务要求及政府采购履约主要条款响应偏离表</w:t>
      </w:r>
    </w:p>
    <w:p>
      <w:pPr>
        <w:spacing w:line="360" w:lineRule="auto"/>
        <w:ind w:firstLine="241" w:firstLineChars="100"/>
        <w:rPr>
          <w:rFonts w:ascii="宋体" w:hAnsi="宋体" w:cs="宋体"/>
          <w:sz w:val="24"/>
        </w:rPr>
      </w:pPr>
      <w:r>
        <w:rPr>
          <w:rFonts w:hint="eastAsia" w:ascii="宋体" w:hAnsi="宋体" w:cs="宋体"/>
          <w:b/>
          <w:sz w:val="24"/>
        </w:rPr>
        <w:t>项目名称：</w:t>
      </w:r>
      <w:r>
        <w:rPr>
          <w:rFonts w:hint="eastAsia" w:ascii="宋体" w:hAnsi="宋体" w:cs="宋体"/>
          <w:b/>
          <w:sz w:val="24"/>
          <w:u w:val="single"/>
        </w:rPr>
        <w:t xml:space="preserve">                </w:t>
      </w:r>
      <w:r>
        <w:rPr>
          <w:rFonts w:hint="eastAsia" w:ascii="宋体" w:hAnsi="宋体" w:cs="宋体"/>
          <w:b/>
          <w:sz w:val="24"/>
        </w:rPr>
        <w:t xml:space="preserve">   招标编号：</w:t>
      </w:r>
      <w:r>
        <w:rPr>
          <w:rFonts w:hint="eastAsia" w:ascii="宋体" w:hAnsi="宋体" w:cs="宋体"/>
          <w:b/>
          <w:sz w:val="24"/>
          <w:u w:val="single"/>
        </w:rPr>
        <w:t xml:space="preserve">              </w:t>
      </w:r>
      <w:r>
        <w:rPr>
          <w:rFonts w:hint="eastAsia" w:ascii="宋体" w:hAnsi="宋体" w:cs="宋体"/>
          <w:b/>
          <w:sz w:val="24"/>
        </w:rPr>
        <w:t xml:space="preserve">    </w:t>
      </w:r>
      <w:r>
        <w:rPr>
          <w:rFonts w:hint="eastAsia" w:ascii="宋体" w:hAnsi="宋体" w:cs="宋体"/>
          <w:b/>
          <w:bCs/>
          <w:sz w:val="24"/>
        </w:rPr>
        <w:t xml:space="preserve">    </w:t>
      </w:r>
    </w:p>
    <w:tbl>
      <w:tblPr>
        <w:tblStyle w:val="4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111"/>
        <w:gridCol w:w="382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vAlign w:val="center"/>
          </w:tcPr>
          <w:p>
            <w:pPr>
              <w:pStyle w:val="168"/>
              <w:spacing w:line="360" w:lineRule="auto"/>
              <w:jc w:val="center"/>
              <w:rPr>
                <w:rFonts w:ascii="宋体" w:hAnsi="宋体" w:cs="宋体"/>
                <w:b/>
                <w:sz w:val="22"/>
                <w:szCs w:val="22"/>
              </w:rPr>
            </w:pPr>
            <w:r>
              <w:rPr>
                <w:rFonts w:hint="eastAsia" w:ascii="宋体" w:hAnsi="宋体" w:cs="宋体"/>
                <w:b/>
                <w:sz w:val="22"/>
                <w:szCs w:val="22"/>
              </w:rPr>
              <w:t>序号</w:t>
            </w:r>
          </w:p>
        </w:tc>
        <w:tc>
          <w:tcPr>
            <w:tcW w:w="3111" w:type="dxa"/>
            <w:vAlign w:val="center"/>
          </w:tcPr>
          <w:p>
            <w:pPr>
              <w:pStyle w:val="168"/>
              <w:spacing w:line="360" w:lineRule="auto"/>
              <w:ind w:firstLine="442" w:firstLineChars="200"/>
              <w:jc w:val="center"/>
              <w:rPr>
                <w:rFonts w:ascii="宋体" w:hAnsi="宋体" w:cs="宋体"/>
                <w:b/>
                <w:sz w:val="22"/>
                <w:szCs w:val="22"/>
              </w:rPr>
            </w:pPr>
            <w:r>
              <w:rPr>
                <w:rFonts w:hint="eastAsia" w:ascii="宋体" w:hAnsi="宋体" w:cs="宋体"/>
                <w:b/>
                <w:sz w:val="22"/>
                <w:szCs w:val="22"/>
              </w:rPr>
              <w:t>招标文件要求</w:t>
            </w:r>
          </w:p>
        </w:tc>
        <w:tc>
          <w:tcPr>
            <w:tcW w:w="3827" w:type="dxa"/>
            <w:vAlign w:val="center"/>
          </w:tcPr>
          <w:p>
            <w:pPr>
              <w:pStyle w:val="168"/>
              <w:spacing w:line="360" w:lineRule="auto"/>
              <w:ind w:firstLine="221" w:firstLineChars="100"/>
              <w:jc w:val="center"/>
              <w:rPr>
                <w:rFonts w:ascii="宋体" w:hAnsi="宋体" w:cs="宋体"/>
                <w:b/>
                <w:sz w:val="22"/>
                <w:szCs w:val="22"/>
              </w:rPr>
            </w:pPr>
            <w:r>
              <w:rPr>
                <w:rFonts w:hint="eastAsia" w:ascii="宋体" w:hAnsi="宋体" w:cs="宋体"/>
                <w:b/>
                <w:sz w:val="22"/>
                <w:szCs w:val="22"/>
              </w:rPr>
              <w:t>投标文件响应</w:t>
            </w:r>
          </w:p>
        </w:tc>
        <w:tc>
          <w:tcPr>
            <w:tcW w:w="1985" w:type="dxa"/>
            <w:vAlign w:val="center"/>
          </w:tcPr>
          <w:p>
            <w:pPr>
              <w:pStyle w:val="168"/>
              <w:spacing w:line="360" w:lineRule="auto"/>
              <w:jc w:val="center"/>
              <w:rPr>
                <w:rFonts w:ascii="宋体" w:hAnsi="宋体" w:cs="宋体"/>
                <w:b/>
                <w:sz w:val="22"/>
                <w:szCs w:val="22"/>
              </w:rPr>
            </w:pPr>
            <w:r>
              <w:rPr>
                <w:rFonts w:hint="eastAsia" w:ascii="宋体" w:hAnsi="宋体" w:cs="宋体"/>
                <w:b/>
                <w:sz w:val="22"/>
                <w:szCs w:val="2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tcPr>
          <w:p>
            <w:pPr>
              <w:pStyle w:val="168"/>
              <w:spacing w:line="360" w:lineRule="auto"/>
              <w:rPr>
                <w:rFonts w:ascii="宋体" w:hAnsi="宋体" w:cs="宋体"/>
                <w:sz w:val="22"/>
                <w:szCs w:val="22"/>
              </w:rPr>
            </w:pPr>
          </w:p>
        </w:tc>
        <w:tc>
          <w:tcPr>
            <w:tcW w:w="3111" w:type="dxa"/>
          </w:tcPr>
          <w:p>
            <w:pPr>
              <w:pStyle w:val="168"/>
              <w:spacing w:line="360" w:lineRule="auto"/>
              <w:rPr>
                <w:rFonts w:ascii="宋体" w:hAnsi="宋体" w:cs="宋体"/>
                <w:sz w:val="22"/>
                <w:szCs w:val="22"/>
              </w:rPr>
            </w:pPr>
          </w:p>
        </w:tc>
        <w:tc>
          <w:tcPr>
            <w:tcW w:w="3827" w:type="dxa"/>
          </w:tcPr>
          <w:p>
            <w:pPr>
              <w:pStyle w:val="168"/>
              <w:spacing w:line="360" w:lineRule="auto"/>
              <w:jc w:val="center"/>
              <w:rPr>
                <w:rFonts w:ascii="宋体" w:hAnsi="宋体" w:cs="宋体"/>
                <w:sz w:val="22"/>
                <w:szCs w:val="22"/>
              </w:rPr>
            </w:pPr>
          </w:p>
        </w:tc>
        <w:tc>
          <w:tcPr>
            <w:tcW w:w="1985" w:type="dxa"/>
          </w:tcPr>
          <w:p>
            <w:pPr>
              <w:pStyle w:val="168"/>
              <w:spacing w:line="36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tcPr>
          <w:p>
            <w:pPr>
              <w:pStyle w:val="168"/>
              <w:spacing w:line="360" w:lineRule="auto"/>
              <w:rPr>
                <w:rFonts w:ascii="宋体" w:hAnsi="宋体" w:cs="宋体"/>
                <w:sz w:val="22"/>
                <w:szCs w:val="22"/>
              </w:rPr>
            </w:pPr>
          </w:p>
        </w:tc>
        <w:tc>
          <w:tcPr>
            <w:tcW w:w="3111" w:type="dxa"/>
          </w:tcPr>
          <w:p>
            <w:pPr>
              <w:pStyle w:val="168"/>
              <w:spacing w:line="360" w:lineRule="auto"/>
              <w:rPr>
                <w:rFonts w:ascii="宋体" w:hAnsi="宋体" w:cs="宋体"/>
                <w:sz w:val="22"/>
                <w:szCs w:val="22"/>
              </w:rPr>
            </w:pPr>
          </w:p>
        </w:tc>
        <w:tc>
          <w:tcPr>
            <w:tcW w:w="3827" w:type="dxa"/>
          </w:tcPr>
          <w:p>
            <w:pPr>
              <w:pStyle w:val="168"/>
              <w:spacing w:line="360" w:lineRule="auto"/>
              <w:rPr>
                <w:rFonts w:ascii="宋体" w:hAnsi="宋体" w:cs="宋体"/>
                <w:sz w:val="22"/>
                <w:szCs w:val="22"/>
              </w:rPr>
            </w:pPr>
          </w:p>
        </w:tc>
        <w:tc>
          <w:tcPr>
            <w:tcW w:w="1985" w:type="dxa"/>
          </w:tcPr>
          <w:p>
            <w:pPr>
              <w:pStyle w:val="168"/>
              <w:spacing w:line="36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tcPr>
          <w:p>
            <w:pPr>
              <w:pStyle w:val="168"/>
              <w:spacing w:line="360" w:lineRule="auto"/>
              <w:rPr>
                <w:rFonts w:ascii="宋体" w:hAnsi="宋体" w:cs="宋体"/>
                <w:sz w:val="22"/>
                <w:szCs w:val="22"/>
              </w:rPr>
            </w:pPr>
          </w:p>
        </w:tc>
        <w:tc>
          <w:tcPr>
            <w:tcW w:w="3111" w:type="dxa"/>
          </w:tcPr>
          <w:p>
            <w:pPr>
              <w:pStyle w:val="168"/>
              <w:spacing w:line="360" w:lineRule="auto"/>
              <w:rPr>
                <w:rFonts w:ascii="宋体" w:hAnsi="宋体" w:cs="宋体"/>
                <w:sz w:val="22"/>
                <w:szCs w:val="22"/>
              </w:rPr>
            </w:pPr>
          </w:p>
        </w:tc>
        <w:tc>
          <w:tcPr>
            <w:tcW w:w="3827" w:type="dxa"/>
          </w:tcPr>
          <w:p>
            <w:pPr>
              <w:pStyle w:val="168"/>
              <w:spacing w:line="360" w:lineRule="auto"/>
              <w:rPr>
                <w:rFonts w:ascii="宋体" w:hAnsi="宋体" w:cs="宋体"/>
                <w:sz w:val="22"/>
                <w:szCs w:val="22"/>
              </w:rPr>
            </w:pPr>
          </w:p>
        </w:tc>
        <w:tc>
          <w:tcPr>
            <w:tcW w:w="1985" w:type="dxa"/>
          </w:tcPr>
          <w:p>
            <w:pPr>
              <w:pStyle w:val="168"/>
              <w:spacing w:line="36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tcPr>
          <w:p>
            <w:pPr>
              <w:pStyle w:val="168"/>
              <w:spacing w:line="360" w:lineRule="auto"/>
              <w:rPr>
                <w:rFonts w:ascii="宋体" w:hAnsi="宋体" w:cs="宋体"/>
                <w:sz w:val="22"/>
                <w:szCs w:val="22"/>
              </w:rPr>
            </w:pPr>
          </w:p>
        </w:tc>
        <w:tc>
          <w:tcPr>
            <w:tcW w:w="3111" w:type="dxa"/>
          </w:tcPr>
          <w:p>
            <w:pPr>
              <w:pStyle w:val="168"/>
              <w:spacing w:line="360" w:lineRule="auto"/>
              <w:rPr>
                <w:rFonts w:ascii="宋体" w:hAnsi="宋体" w:cs="宋体"/>
                <w:sz w:val="22"/>
                <w:szCs w:val="22"/>
              </w:rPr>
            </w:pPr>
          </w:p>
        </w:tc>
        <w:tc>
          <w:tcPr>
            <w:tcW w:w="3827" w:type="dxa"/>
          </w:tcPr>
          <w:p>
            <w:pPr>
              <w:pStyle w:val="168"/>
              <w:spacing w:line="360" w:lineRule="auto"/>
              <w:rPr>
                <w:rFonts w:ascii="宋体" w:hAnsi="宋体" w:cs="宋体"/>
                <w:sz w:val="22"/>
                <w:szCs w:val="22"/>
              </w:rPr>
            </w:pPr>
          </w:p>
        </w:tc>
        <w:tc>
          <w:tcPr>
            <w:tcW w:w="1985" w:type="dxa"/>
          </w:tcPr>
          <w:p>
            <w:pPr>
              <w:pStyle w:val="168"/>
              <w:spacing w:line="36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tcPr>
          <w:p>
            <w:pPr>
              <w:pStyle w:val="168"/>
              <w:spacing w:line="360" w:lineRule="auto"/>
              <w:rPr>
                <w:rFonts w:ascii="宋体" w:hAnsi="宋体" w:cs="宋体"/>
                <w:sz w:val="22"/>
                <w:szCs w:val="22"/>
              </w:rPr>
            </w:pPr>
          </w:p>
        </w:tc>
        <w:tc>
          <w:tcPr>
            <w:tcW w:w="3111" w:type="dxa"/>
          </w:tcPr>
          <w:p>
            <w:pPr>
              <w:pStyle w:val="168"/>
              <w:spacing w:line="360" w:lineRule="auto"/>
              <w:rPr>
                <w:rFonts w:ascii="宋体" w:hAnsi="宋体" w:cs="宋体"/>
                <w:sz w:val="22"/>
                <w:szCs w:val="22"/>
              </w:rPr>
            </w:pPr>
          </w:p>
        </w:tc>
        <w:tc>
          <w:tcPr>
            <w:tcW w:w="3827" w:type="dxa"/>
          </w:tcPr>
          <w:p>
            <w:pPr>
              <w:pStyle w:val="168"/>
              <w:spacing w:line="360" w:lineRule="auto"/>
              <w:rPr>
                <w:rFonts w:ascii="宋体" w:hAnsi="宋体" w:cs="宋体"/>
                <w:sz w:val="22"/>
                <w:szCs w:val="22"/>
              </w:rPr>
            </w:pPr>
          </w:p>
        </w:tc>
        <w:tc>
          <w:tcPr>
            <w:tcW w:w="1985" w:type="dxa"/>
          </w:tcPr>
          <w:p>
            <w:pPr>
              <w:pStyle w:val="168"/>
              <w:spacing w:line="36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tcPr>
          <w:p>
            <w:pPr>
              <w:pStyle w:val="168"/>
              <w:spacing w:line="360" w:lineRule="auto"/>
              <w:rPr>
                <w:rFonts w:ascii="宋体" w:hAnsi="宋体" w:cs="宋体"/>
                <w:sz w:val="22"/>
                <w:szCs w:val="22"/>
              </w:rPr>
            </w:pPr>
          </w:p>
        </w:tc>
        <w:tc>
          <w:tcPr>
            <w:tcW w:w="3111" w:type="dxa"/>
          </w:tcPr>
          <w:p>
            <w:pPr>
              <w:pStyle w:val="168"/>
              <w:spacing w:line="360" w:lineRule="auto"/>
              <w:rPr>
                <w:rFonts w:ascii="宋体" w:hAnsi="宋体" w:cs="宋体"/>
                <w:sz w:val="22"/>
                <w:szCs w:val="22"/>
              </w:rPr>
            </w:pPr>
          </w:p>
        </w:tc>
        <w:tc>
          <w:tcPr>
            <w:tcW w:w="3827" w:type="dxa"/>
          </w:tcPr>
          <w:p>
            <w:pPr>
              <w:pStyle w:val="168"/>
              <w:spacing w:line="360" w:lineRule="auto"/>
              <w:rPr>
                <w:rFonts w:ascii="宋体" w:hAnsi="宋体" w:cs="宋体"/>
                <w:sz w:val="22"/>
                <w:szCs w:val="22"/>
              </w:rPr>
            </w:pPr>
          </w:p>
        </w:tc>
        <w:tc>
          <w:tcPr>
            <w:tcW w:w="1985" w:type="dxa"/>
          </w:tcPr>
          <w:p>
            <w:pPr>
              <w:pStyle w:val="168"/>
              <w:spacing w:line="36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tcPr>
          <w:p>
            <w:pPr>
              <w:pStyle w:val="168"/>
              <w:spacing w:line="360" w:lineRule="auto"/>
              <w:rPr>
                <w:rFonts w:ascii="宋体" w:hAnsi="宋体" w:cs="宋体"/>
                <w:sz w:val="22"/>
                <w:szCs w:val="22"/>
              </w:rPr>
            </w:pPr>
          </w:p>
        </w:tc>
        <w:tc>
          <w:tcPr>
            <w:tcW w:w="3111" w:type="dxa"/>
          </w:tcPr>
          <w:p>
            <w:pPr>
              <w:pStyle w:val="168"/>
              <w:spacing w:line="360" w:lineRule="auto"/>
              <w:rPr>
                <w:rFonts w:ascii="宋体" w:hAnsi="宋体" w:cs="宋体"/>
                <w:sz w:val="22"/>
                <w:szCs w:val="22"/>
              </w:rPr>
            </w:pPr>
          </w:p>
        </w:tc>
        <w:tc>
          <w:tcPr>
            <w:tcW w:w="3827" w:type="dxa"/>
          </w:tcPr>
          <w:p>
            <w:pPr>
              <w:pStyle w:val="168"/>
              <w:spacing w:line="360" w:lineRule="auto"/>
              <w:rPr>
                <w:rFonts w:ascii="宋体" w:hAnsi="宋体" w:cs="宋体"/>
                <w:sz w:val="22"/>
                <w:szCs w:val="22"/>
              </w:rPr>
            </w:pPr>
          </w:p>
        </w:tc>
        <w:tc>
          <w:tcPr>
            <w:tcW w:w="1985" w:type="dxa"/>
          </w:tcPr>
          <w:p>
            <w:pPr>
              <w:pStyle w:val="168"/>
              <w:spacing w:line="36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tcPr>
          <w:p>
            <w:pPr>
              <w:pStyle w:val="168"/>
              <w:spacing w:line="360" w:lineRule="auto"/>
              <w:rPr>
                <w:rFonts w:ascii="宋体" w:hAnsi="宋体" w:cs="宋体"/>
                <w:sz w:val="22"/>
                <w:szCs w:val="22"/>
              </w:rPr>
            </w:pPr>
          </w:p>
        </w:tc>
        <w:tc>
          <w:tcPr>
            <w:tcW w:w="3111" w:type="dxa"/>
          </w:tcPr>
          <w:p>
            <w:pPr>
              <w:pStyle w:val="168"/>
              <w:spacing w:line="360" w:lineRule="auto"/>
              <w:rPr>
                <w:rFonts w:ascii="宋体" w:hAnsi="宋体" w:cs="宋体"/>
                <w:sz w:val="22"/>
                <w:szCs w:val="22"/>
              </w:rPr>
            </w:pPr>
          </w:p>
        </w:tc>
        <w:tc>
          <w:tcPr>
            <w:tcW w:w="3827" w:type="dxa"/>
          </w:tcPr>
          <w:p>
            <w:pPr>
              <w:pStyle w:val="168"/>
              <w:spacing w:line="360" w:lineRule="auto"/>
              <w:rPr>
                <w:rFonts w:ascii="宋体" w:hAnsi="宋体" w:cs="宋体"/>
                <w:sz w:val="22"/>
                <w:szCs w:val="22"/>
              </w:rPr>
            </w:pPr>
          </w:p>
        </w:tc>
        <w:tc>
          <w:tcPr>
            <w:tcW w:w="1985" w:type="dxa"/>
          </w:tcPr>
          <w:p>
            <w:pPr>
              <w:pStyle w:val="168"/>
              <w:spacing w:line="36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tcPr>
          <w:p>
            <w:pPr>
              <w:pStyle w:val="168"/>
              <w:spacing w:line="360" w:lineRule="auto"/>
              <w:rPr>
                <w:rFonts w:ascii="宋体" w:hAnsi="宋体" w:cs="宋体"/>
                <w:sz w:val="22"/>
                <w:szCs w:val="22"/>
              </w:rPr>
            </w:pPr>
          </w:p>
        </w:tc>
        <w:tc>
          <w:tcPr>
            <w:tcW w:w="3111" w:type="dxa"/>
          </w:tcPr>
          <w:p>
            <w:pPr>
              <w:pStyle w:val="168"/>
              <w:spacing w:line="360" w:lineRule="auto"/>
              <w:rPr>
                <w:rFonts w:ascii="宋体" w:hAnsi="宋体" w:cs="宋体"/>
                <w:sz w:val="22"/>
                <w:szCs w:val="22"/>
              </w:rPr>
            </w:pPr>
          </w:p>
        </w:tc>
        <w:tc>
          <w:tcPr>
            <w:tcW w:w="3827" w:type="dxa"/>
          </w:tcPr>
          <w:p>
            <w:pPr>
              <w:pStyle w:val="168"/>
              <w:spacing w:line="360" w:lineRule="auto"/>
              <w:rPr>
                <w:rFonts w:ascii="宋体" w:hAnsi="宋体" w:cs="宋体"/>
                <w:sz w:val="22"/>
                <w:szCs w:val="22"/>
              </w:rPr>
            </w:pPr>
          </w:p>
        </w:tc>
        <w:tc>
          <w:tcPr>
            <w:tcW w:w="1985" w:type="dxa"/>
          </w:tcPr>
          <w:p>
            <w:pPr>
              <w:pStyle w:val="168"/>
              <w:spacing w:line="36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tcPr>
          <w:p>
            <w:pPr>
              <w:pStyle w:val="168"/>
              <w:spacing w:line="360" w:lineRule="auto"/>
              <w:rPr>
                <w:rFonts w:ascii="宋体" w:hAnsi="宋体" w:cs="宋体"/>
                <w:sz w:val="22"/>
                <w:szCs w:val="22"/>
              </w:rPr>
            </w:pPr>
          </w:p>
        </w:tc>
        <w:tc>
          <w:tcPr>
            <w:tcW w:w="3111" w:type="dxa"/>
          </w:tcPr>
          <w:p>
            <w:pPr>
              <w:pStyle w:val="168"/>
              <w:spacing w:line="360" w:lineRule="auto"/>
              <w:rPr>
                <w:rFonts w:ascii="宋体" w:hAnsi="宋体" w:cs="宋体"/>
                <w:sz w:val="22"/>
                <w:szCs w:val="22"/>
              </w:rPr>
            </w:pPr>
          </w:p>
        </w:tc>
        <w:tc>
          <w:tcPr>
            <w:tcW w:w="3827" w:type="dxa"/>
          </w:tcPr>
          <w:p>
            <w:pPr>
              <w:pStyle w:val="168"/>
              <w:spacing w:line="360" w:lineRule="auto"/>
              <w:rPr>
                <w:rFonts w:ascii="宋体" w:hAnsi="宋体" w:cs="宋体"/>
                <w:sz w:val="22"/>
                <w:szCs w:val="22"/>
              </w:rPr>
            </w:pPr>
          </w:p>
        </w:tc>
        <w:tc>
          <w:tcPr>
            <w:tcW w:w="1985" w:type="dxa"/>
          </w:tcPr>
          <w:p>
            <w:pPr>
              <w:pStyle w:val="168"/>
              <w:spacing w:line="36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tcPr>
          <w:p>
            <w:pPr>
              <w:pStyle w:val="168"/>
              <w:spacing w:line="360" w:lineRule="auto"/>
              <w:rPr>
                <w:rFonts w:ascii="宋体" w:hAnsi="宋体" w:cs="宋体"/>
                <w:sz w:val="22"/>
                <w:szCs w:val="22"/>
              </w:rPr>
            </w:pPr>
          </w:p>
        </w:tc>
        <w:tc>
          <w:tcPr>
            <w:tcW w:w="3111" w:type="dxa"/>
          </w:tcPr>
          <w:p>
            <w:pPr>
              <w:pStyle w:val="168"/>
              <w:spacing w:line="360" w:lineRule="auto"/>
              <w:rPr>
                <w:rFonts w:ascii="宋体" w:hAnsi="宋体" w:cs="宋体"/>
                <w:sz w:val="22"/>
                <w:szCs w:val="22"/>
              </w:rPr>
            </w:pPr>
          </w:p>
        </w:tc>
        <w:tc>
          <w:tcPr>
            <w:tcW w:w="3827" w:type="dxa"/>
          </w:tcPr>
          <w:p>
            <w:pPr>
              <w:pStyle w:val="168"/>
              <w:spacing w:line="360" w:lineRule="auto"/>
              <w:rPr>
                <w:rFonts w:ascii="宋体" w:hAnsi="宋体" w:cs="宋体"/>
                <w:sz w:val="22"/>
                <w:szCs w:val="22"/>
              </w:rPr>
            </w:pPr>
          </w:p>
        </w:tc>
        <w:tc>
          <w:tcPr>
            <w:tcW w:w="1985" w:type="dxa"/>
          </w:tcPr>
          <w:p>
            <w:pPr>
              <w:pStyle w:val="168"/>
              <w:spacing w:line="360" w:lineRule="auto"/>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3" w:type="dxa"/>
          </w:tcPr>
          <w:p>
            <w:pPr>
              <w:pStyle w:val="168"/>
              <w:spacing w:line="360" w:lineRule="auto"/>
              <w:rPr>
                <w:rFonts w:ascii="宋体" w:hAnsi="宋体" w:cs="宋体"/>
                <w:sz w:val="22"/>
                <w:szCs w:val="22"/>
              </w:rPr>
            </w:pPr>
          </w:p>
        </w:tc>
        <w:tc>
          <w:tcPr>
            <w:tcW w:w="3111" w:type="dxa"/>
          </w:tcPr>
          <w:p>
            <w:pPr>
              <w:pStyle w:val="168"/>
              <w:spacing w:line="360" w:lineRule="auto"/>
              <w:rPr>
                <w:rFonts w:ascii="宋体" w:hAnsi="宋体" w:cs="宋体"/>
                <w:sz w:val="22"/>
                <w:szCs w:val="22"/>
              </w:rPr>
            </w:pPr>
          </w:p>
        </w:tc>
        <w:tc>
          <w:tcPr>
            <w:tcW w:w="3827" w:type="dxa"/>
          </w:tcPr>
          <w:p>
            <w:pPr>
              <w:pStyle w:val="168"/>
              <w:spacing w:line="360" w:lineRule="auto"/>
              <w:rPr>
                <w:rFonts w:ascii="宋体" w:hAnsi="宋体" w:cs="宋体"/>
                <w:sz w:val="22"/>
                <w:szCs w:val="22"/>
              </w:rPr>
            </w:pPr>
          </w:p>
        </w:tc>
        <w:tc>
          <w:tcPr>
            <w:tcW w:w="1985" w:type="dxa"/>
          </w:tcPr>
          <w:p>
            <w:pPr>
              <w:pStyle w:val="168"/>
              <w:spacing w:line="360" w:lineRule="auto"/>
              <w:rPr>
                <w:rFonts w:ascii="宋体" w:hAnsi="宋体" w:cs="宋体"/>
                <w:sz w:val="22"/>
                <w:szCs w:val="22"/>
              </w:rPr>
            </w:pPr>
          </w:p>
        </w:tc>
      </w:tr>
    </w:tbl>
    <w:p>
      <w:pPr>
        <w:spacing w:line="360" w:lineRule="auto"/>
        <w:ind w:left="600" w:leftChars="171" w:hanging="241" w:hangingChars="100"/>
        <w:rPr>
          <w:rFonts w:ascii="宋体" w:hAnsi="宋体" w:cs="宋体"/>
          <w:b/>
          <w:sz w:val="24"/>
        </w:rPr>
      </w:pPr>
      <w:r>
        <w:rPr>
          <w:rFonts w:hint="eastAsia" w:ascii="宋体" w:hAnsi="宋体" w:cs="宋体"/>
          <w:b/>
          <w:sz w:val="24"/>
        </w:rPr>
        <w:t>注：</w:t>
      </w:r>
    </w:p>
    <w:p>
      <w:pPr>
        <w:spacing w:line="360" w:lineRule="auto"/>
        <w:ind w:left="599" w:leftChars="171" w:hanging="240" w:hangingChars="100"/>
        <w:rPr>
          <w:rFonts w:ascii="宋体" w:hAnsi="宋体" w:cs="宋体"/>
          <w:b/>
          <w:sz w:val="24"/>
        </w:rPr>
      </w:pPr>
      <w:r>
        <w:rPr>
          <w:rFonts w:hint="eastAsia" w:ascii="宋体" w:hAnsi="宋体" w:cs="宋体"/>
          <w:bCs/>
          <w:sz w:val="24"/>
        </w:rPr>
        <w:t>1.本表</w:t>
      </w:r>
      <w:r>
        <w:rPr>
          <w:rFonts w:hint="eastAsia" w:ascii="宋体" w:hAnsi="宋体" w:cs="宋体"/>
          <w:bCs/>
          <w:sz w:val="24"/>
          <w:lang w:val="en-US" w:eastAsia="zh-CN"/>
        </w:rPr>
        <w:t>要求将</w:t>
      </w:r>
      <w:r>
        <w:rPr>
          <w:rFonts w:hint="eastAsia" w:ascii="宋体" w:hAnsi="宋体" w:cs="宋体"/>
          <w:bCs/>
          <w:sz w:val="24"/>
        </w:rPr>
        <w:t>招标文件第六章本项目技术、服务、政府采购履约主要条款</w:t>
      </w:r>
      <w:r>
        <w:rPr>
          <w:rFonts w:hint="eastAsia" w:ascii="宋体" w:hAnsi="宋体" w:cs="宋体"/>
          <w:sz w:val="24"/>
        </w:rPr>
        <w:t>及其他要求条款中</w:t>
      </w:r>
      <w:r>
        <w:rPr>
          <w:rFonts w:hint="eastAsia" w:ascii="宋体" w:hAnsi="宋体" w:cs="宋体"/>
          <w:sz w:val="24"/>
          <w:lang w:val="en-US" w:eastAsia="zh-CN"/>
        </w:rPr>
        <w:t>全部</w:t>
      </w:r>
      <w:r>
        <w:rPr>
          <w:rFonts w:hint="eastAsia" w:ascii="宋体" w:hAnsi="宋体" w:cs="宋体"/>
          <w:sz w:val="24"/>
        </w:rPr>
        <w:t>内容逐条列出</w:t>
      </w:r>
      <w:r>
        <w:rPr>
          <w:rFonts w:hint="eastAsia" w:ascii="宋体" w:hAnsi="宋体" w:cs="宋体"/>
          <w:b/>
          <w:sz w:val="24"/>
        </w:rPr>
        <w:t>。</w:t>
      </w:r>
    </w:p>
    <w:p>
      <w:pPr>
        <w:spacing w:line="360" w:lineRule="auto"/>
        <w:ind w:left="599" w:leftChars="171" w:hanging="240" w:hangingChars="100"/>
        <w:rPr>
          <w:rFonts w:ascii="宋体" w:hAnsi="宋体" w:cs="宋体"/>
          <w:bCs/>
          <w:szCs w:val="21"/>
        </w:rPr>
      </w:pPr>
      <w:r>
        <w:rPr>
          <w:rFonts w:hint="eastAsia" w:ascii="宋体" w:hAnsi="宋体" w:cs="宋体"/>
          <w:bCs/>
          <w:sz w:val="24"/>
        </w:rPr>
        <w:t>2．投标人必须据实填写，不得虚假响应，其投标文件无效并按规定追究其相关责任。</w:t>
      </w:r>
    </w:p>
    <w:p>
      <w:pPr>
        <w:adjustRightInd w:val="0"/>
        <w:spacing w:line="360" w:lineRule="auto"/>
        <w:jc w:val="left"/>
        <w:rPr>
          <w:rFonts w:ascii="宋体" w:hAnsi="宋体" w:cs="宋体"/>
          <w:sz w:val="24"/>
        </w:rPr>
      </w:pPr>
      <w:r>
        <w:rPr>
          <w:rFonts w:hint="eastAsia" w:ascii="宋体" w:hAnsi="宋体" w:cs="宋体"/>
          <w:sz w:val="24"/>
        </w:rPr>
        <w:t>投标人名称：        （盖单位公章）</w:t>
      </w:r>
    </w:p>
    <w:p>
      <w:pPr>
        <w:adjustRightInd w:val="0"/>
        <w:spacing w:line="360" w:lineRule="auto"/>
        <w:jc w:val="left"/>
        <w:rPr>
          <w:rFonts w:ascii="宋体" w:hAnsi="宋体" w:cs="宋体"/>
          <w:sz w:val="24"/>
        </w:rPr>
      </w:pPr>
      <w:r>
        <w:rPr>
          <w:rFonts w:hint="eastAsia" w:ascii="宋体" w:hAnsi="宋体" w:cs="宋体"/>
          <w:sz w:val="24"/>
        </w:rPr>
        <w:t>法定代表人或授权代表（签字）：</w:t>
      </w:r>
    </w:p>
    <w:p>
      <w:pPr>
        <w:spacing w:line="360" w:lineRule="auto"/>
        <w:rPr>
          <w:rFonts w:ascii="宋体" w:hAnsi="宋体" w:cs="宋体"/>
          <w:sz w:val="24"/>
        </w:rPr>
      </w:pPr>
      <w:r>
        <w:rPr>
          <w:rFonts w:hint="eastAsia" w:ascii="宋体" w:hAnsi="宋体" w:cs="宋体"/>
          <w:sz w:val="24"/>
        </w:rPr>
        <w:t>日期:</w:t>
      </w:r>
      <w:bookmarkEnd w:id="157"/>
      <w:bookmarkStart w:id="158" w:name="_Toc217446091"/>
      <w:bookmarkStart w:id="159" w:name="_Toc217446092"/>
    </w:p>
    <w:p>
      <w:pPr>
        <w:pStyle w:val="7"/>
        <w:rPr>
          <w:rFonts w:ascii="宋体" w:hAnsi="宋体" w:eastAsia="宋体" w:cs="宋体"/>
        </w:rPr>
      </w:pPr>
      <w:r>
        <w:rPr>
          <w:rFonts w:hint="eastAsia" w:ascii="宋体" w:hAnsi="宋体" w:eastAsia="宋体" w:cs="宋体"/>
        </w:rPr>
        <w:t>十、本项目管理、技术、服务人员情况表</w:t>
      </w:r>
      <w:bookmarkEnd w:id="158"/>
    </w:p>
    <w:p>
      <w:pPr>
        <w:spacing w:line="360" w:lineRule="auto"/>
        <w:ind w:firstLine="413" w:firstLineChars="147"/>
        <w:jc w:val="center"/>
        <w:outlineLvl w:val="5"/>
        <w:rPr>
          <w:rFonts w:ascii="宋体" w:hAnsi="宋体" w:cs="宋体"/>
          <w:b/>
          <w:bCs/>
          <w:sz w:val="28"/>
          <w:szCs w:val="28"/>
        </w:rPr>
      </w:pPr>
    </w:p>
    <w:p>
      <w:pPr>
        <w:spacing w:line="360" w:lineRule="auto"/>
        <w:rPr>
          <w:rFonts w:ascii="宋体" w:hAnsi="宋体" w:cs="宋体"/>
          <w:b/>
          <w:sz w:val="24"/>
          <w:u w:val="single"/>
        </w:rPr>
      </w:pPr>
      <w:r>
        <w:rPr>
          <w:rFonts w:hint="eastAsia" w:ascii="宋体" w:hAnsi="宋体" w:cs="宋体"/>
          <w:b/>
          <w:sz w:val="24"/>
        </w:rPr>
        <w:t>项目名称：</w:t>
      </w:r>
      <w:r>
        <w:rPr>
          <w:rFonts w:hint="eastAsia" w:ascii="宋体" w:hAnsi="宋体" w:cs="宋体"/>
          <w:b/>
          <w:sz w:val="24"/>
          <w:u w:val="single"/>
        </w:rPr>
        <w:t xml:space="preserve">                </w:t>
      </w:r>
      <w:r>
        <w:rPr>
          <w:rFonts w:hint="eastAsia" w:ascii="宋体" w:hAnsi="宋体" w:cs="宋体"/>
          <w:b/>
          <w:sz w:val="24"/>
        </w:rPr>
        <w:t xml:space="preserve">   招标编号：</w:t>
      </w:r>
      <w:r>
        <w:rPr>
          <w:rFonts w:hint="eastAsia" w:ascii="宋体" w:hAnsi="宋体" w:cs="宋体"/>
          <w:b/>
          <w:sz w:val="24"/>
          <w:u w:val="single"/>
        </w:rPr>
        <w:t xml:space="preserve">              </w:t>
      </w:r>
      <w:r>
        <w:rPr>
          <w:rFonts w:hint="eastAsia" w:ascii="宋体" w:hAnsi="宋体" w:cs="宋体"/>
          <w:b/>
          <w:sz w:val="24"/>
        </w:rPr>
        <w:t xml:space="preserve">    </w:t>
      </w:r>
      <w:r>
        <w:rPr>
          <w:rFonts w:hint="eastAsia" w:ascii="宋体" w:hAnsi="宋体" w:cs="宋体"/>
          <w:b/>
          <w:bCs/>
          <w:sz w:val="24"/>
        </w:rPr>
        <w:t xml:space="preserve"> </w:t>
      </w:r>
    </w:p>
    <w:tbl>
      <w:tblPr>
        <w:tblStyle w:val="45"/>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045"/>
        <w:gridCol w:w="1045"/>
        <w:gridCol w:w="1045"/>
        <w:gridCol w:w="1045"/>
        <w:gridCol w:w="1371"/>
        <w:gridCol w:w="955"/>
        <w:gridCol w:w="109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restart"/>
            <w:vAlign w:val="center"/>
          </w:tcPr>
          <w:p>
            <w:pPr>
              <w:spacing w:line="360" w:lineRule="auto"/>
              <w:jc w:val="center"/>
              <w:outlineLvl w:val="5"/>
              <w:rPr>
                <w:rFonts w:ascii="宋体" w:hAnsi="宋体" w:cs="宋体"/>
                <w:b/>
                <w:szCs w:val="21"/>
              </w:rPr>
            </w:pPr>
            <w:r>
              <w:rPr>
                <w:rFonts w:hint="eastAsia" w:ascii="宋体" w:hAnsi="宋体" w:cs="宋体"/>
                <w:b/>
                <w:szCs w:val="21"/>
              </w:rPr>
              <w:t>类别</w:t>
            </w:r>
          </w:p>
        </w:tc>
        <w:tc>
          <w:tcPr>
            <w:tcW w:w="1045" w:type="dxa"/>
            <w:vMerge w:val="restart"/>
            <w:vAlign w:val="center"/>
          </w:tcPr>
          <w:p>
            <w:pPr>
              <w:spacing w:line="360" w:lineRule="auto"/>
              <w:jc w:val="center"/>
              <w:outlineLvl w:val="5"/>
              <w:rPr>
                <w:rFonts w:ascii="宋体" w:hAnsi="宋体" w:cs="宋体"/>
                <w:b/>
                <w:szCs w:val="21"/>
              </w:rPr>
            </w:pPr>
            <w:r>
              <w:rPr>
                <w:rFonts w:hint="eastAsia" w:ascii="宋体" w:hAnsi="宋体" w:cs="宋体"/>
                <w:b/>
                <w:szCs w:val="21"/>
              </w:rPr>
              <w:t>职务</w:t>
            </w:r>
          </w:p>
        </w:tc>
        <w:tc>
          <w:tcPr>
            <w:tcW w:w="1045" w:type="dxa"/>
            <w:vMerge w:val="restart"/>
            <w:vAlign w:val="center"/>
          </w:tcPr>
          <w:p>
            <w:pPr>
              <w:spacing w:line="360" w:lineRule="auto"/>
              <w:jc w:val="center"/>
              <w:outlineLvl w:val="5"/>
              <w:rPr>
                <w:rFonts w:ascii="宋体" w:hAnsi="宋体" w:cs="宋体"/>
                <w:b/>
                <w:szCs w:val="21"/>
              </w:rPr>
            </w:pPr>
            <w:r>
              <w:rPr>
                <w:rFonts w:hint="eastAsia" w:ascii="宋体" w:hAnsi="宋体" w:cs="宋体"/>
                <w:b/>
                <w:szCs w:val="21"/>
              </w:rPr>
              <w:t>姓名</w:t>
            </w:r>
          </w:p>
        </w:tc>
        <w:tc>
          <w:tcPr>
            <w:tcW w:w="1045" w:type="dxa"/>
            <w:vMerge w:val="restart"/>
            <w:vAlign w:val="center"/>
          </w:tcPr>
          <w:p>
            <w:pPr>
              <w:spacing w:line="360" w:lineRule="auto"/>
              <w:jc w:val="center"/>
              <w:outlineLvl w:val="5"/>
              <w:rPr>
                <w:rFonts w:ascii="宋体" w:hAnsi="宋体" w:cs="宋体"/>
                <w:b/>
                <w:szCs w:val="21"/>
              </w:rPr>
            </w:pPr>
            <w:r>
              <w:rPr>
                <w:rFonts w:hint="eastAsia" w:ascii="宋体" w:hAnsi="宋体" w:cs="宋体"/>
                <w:b/>
                <w:szCs w:val="21"/>
              </w:rPr>
              <w:t>职称</w:t>
            </w:r>
          </w:p>
        </w:tc>
        <w:tc>
          <w:tcPr>
            <w:tcW w:w="1045" w:type="dxa"/>
            <w:vMerge w:val="restart"/>
            <w:vAlign w:val="center"/>
          </w:tcPr>
          <w:p>
            <w:pPr>
              <w:spacing w:line="360" w:lineRule="auto"/>
              <w:jc w:val="center"/>
              <w:outlineLvl w:val="5"/>
              <w:rPr>
                <w:rFonts w:ascii="宋体" w:hAnsi="宋体" w:cs="宋体"/>
                <w:b/>
                <w:szCs w:val="21"/>
              </w:rPr>
            </w:pPr>
            <w:r>
              <w:rPr>
                <w:rFonts w:hint="eastAsia" w:ascii="宋体" w:hAnsi="宋体" w:cs="宋体"/>
                <w:b/>
                <w:szCs w:val="21"/>
              </w:rPr>
              <w:t>常住地</w:t>
            </w:r>
          </w:p>
        </w:tc>
        <w:tc>
          <w:tcPr>
            <w:tcW w:w="4369" w:type="dxa"/>
            <w:gridSpan w:val="4"/>
            <w:vAlign w:val="center"/>
          </w:tcPr>
          <w:p>
            <w:pPr>
              <w:spacing w:line="360" w:lineRule="auto"/>
              <w:jc w:val="center"/>
              <w:outlineLvl w:val="5"/>
              <w:rPr>
                <w:rFonts w:ascii="宋体" w:hAnsi="宋体" w:cs="宋体"/>
                <w:b/>
                <w:szCs w:val="21"/>
              </w:rPr>
            </w:pPr>
            <w:r>
              <w:rPr>
                <w:rFonts w:hint="eastAsia" w:ascii="宋体" w:hAnsi="宋体" w:cs="宋体"/>
                <w:b/>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vAlign w:val="center"/>
          </w:tcPr>
          <w:p>
            <w:pPr>
              <w:spacing w:line="360" w:lineRule="auto"/>
              <w:jc w:val="center"/>
              <w:outlineLvl w:val="5"/>
              <w:rPr>
                <w:rFonts w:ascii="宋体" w:hAnsi="宋体" w:cs="宋体"/>
                <w:b/>
                <w:szCs w:val="21"/>
              </w:rPr>
            </w:pPr>
          </w:p>
        </w:tc>
        <w:tc>
          <w:tcPr>
            <w:tcW w:w="1045" w:type="dxa"/>
            <w:vMerge w:val="continue"/>
            <w:vAlign w:val="center"/>
          </w:tcPr>
          <w:p>
            <w:pPr>
              <w:spacing w:line="360" w:lineRule="auto"/>
              <w:jc w:val="center"/>
              <w:outlineLvl w:val="5"/>
              <w:rPr>
                <w:rFonts w:ascii="宋体" w:hAnsi="宋体" w:cs="宋体"/>
                <w:b/>
                <w:szCs w:val="21"/>
              </w:rPr>
            </w:pPr>
          </w:p>
        </w:tc>
        <w:tc>
          <w:tcPr>
            <w:tcW w:w="1045" w:type="dxa"/>
            <w:vMerge w:val="continue"/>
            <w:vAlign w:val="center"/>
          </w:tcPr>
          <w:p>
            <w:pPr>
              <w:spacing w:line="360" w:lineRule="auto"/>
              <w:jc w:val="center"/>
              <w:outlineLvl w:val="5"/>
              <w:rPr>
                <w:rFonts w:ascii="宋体" w:hAnsi="宋体" w:cs="宋体"/>
                <w:b/>
                <w:szCs w:val="21"/>
              </w:rPr>
            </w:pPr>
          </w:p>
        </w:tc>
        <w:tc>
          <w:tcPr>
            <w:tcW w:w="1045" w:type="dxa"/>
            <w:vMerge w:val="continue"/>
            <w:vAlign w:val="center"/>
          </w:tcPr>
          <w:p>
            <w:pPr>
              <w:spacing w:line="360" w:lineRule="auto"/>
              <w:jc w:val="center"/>
              <w:outlineLvl w:val="5"/>
              <w:rPr>
                <w:rFonts w:ascii="宋体" w:hAnsi="宋体" w:cs="宋体"/>
                <w:b/>
                <w:szCs w:val="21"/>
              </w:rPr>
            </w:pPr>
          </w:p>
        </w:tc>
        <w:tc>
          <w:tcPr>
            <w:tcW w:w="1045" w:type="dxa"/>
            <w:vMerge w:val="continue"/>
            <w:vAlign w:val="center"/>
          </w:tcPr>
          <w:p>
            <w:pPr>
              <w:spacing w:line="360" w:lineRule="auto"/>
              <w:jc w:val="center"/>
              <w:outlineLvl w:val="5"/>
              <w:rPr>
                <w:rFonts w:ascii="宋体" w:hAnsi="宋体" w:cs="宋体"/>
                <w:b/>
                <w:szCs w:val="21"/>
              </w:rPr>
            </w:pPr>
          </w:p>
        </w:tc>
        <w:tc>
          <w:tcPr>
            <w:tcW w:w="1371" w:type="dxa"/>
            <w:vAlign w:val="center"/>
          </w:tcPr>
          <w:p>
            <w:pPr>
              <w:spacing w:line="360" w:lineRule="auto"/>
              <w:jc w:val="center"/>
              <w:outlineLvl w:val="5"/>
              <w:rPr>
                <w:rFonts w:ascii="宋体" w:hAnsi="宋体" w:cs="宋体"/>
                <w:b/>
                <w:szCs w:val="21"/>
              </w:rPr>
            </w:pPr>
            <w:r>
              <w:rPr>
                <w:rFonts w:hint="eastAsia" w:ascii="宋体" w:hAnsi="宋体" w:cs="宋体"/>
                <w:b/>
                <w:szCs w:val="21"/>
              </w:rPr>
              <w:t>证书名称</w:t>
            </w:r>
          </w:p>
        </w:tc>
        <w:tc>
          <w:tcPr>
            <w:tcW w:w="955" w:type="dxa"/>
            <w:vAlign w:val="center"/>
          </w:tcPr>
          <w:p>
            <w:pPr>
              <w:spacing w:line="360" w:lineRule="auto"/>
              <w:jc w:val="center"/>
              <w:outlineLvl w:val="5"/>
              <w:rPr>
                <w:rFonts w:ascii="宋体" w:hAnsi="宋体" w:cs="宋体"/>
                <w:b/>
                <w:szCs w:val="21"/>
              </w:rPr>
            </w:pPr>
            <w:r>
              <w:rPr>
                <w:rFonts w:hint="eastAsia" w:ascii="宋体" w:hAnsi="宋体" w:cs="宋体"/>
                <w:b/>
                <w:szCs w:val="21"/>
              </w:rPr>
              <w:t>级别</w:t>
            </w:r>
          </w:p>
        </w:tc>
        <w:tc>
          <w:tcPr>
            <w:tcW w:w="1092" w:type="dxa"/>
            <w:vAlign w:val="center"/>
          </w:tcPr>
          <w:p>
            <w:pPr>
              <w:spacing w:line="360" w:lineRule="auto"/>
              <w:jc w:val="center"/>
              <w:outlineLvl w:val="5"/>
              <w:rPr>
                <w:rFonts w:ascii="宋体" w:hAnsi="宋体" w:cs="宋体"/>
                <w:b/>
                <w:szCs w:val="21"/>
              </w:rPr>
            </w:pPr>
            <w:r>
              <w:rPr>
                <w:rFonts w:hint="eastAsia" w:ascii="宋体" w:hAnsi="宋体" w:cs="宋体"/>
                <w:b/>
                <w:szCs w:val="21"/>
              </w:rPr>
              <w:t>证号</w:t>
            </w:r>
          </w:p>
        </w:tc>
        <w:tc>
          <w:tcPr>
            <w:tcW w:w="951" w:type="dxa"/>
            <w:vAlign w:val="center"/>
          </w:tcPr>
          <w:p>
            <w:pPr>
              <w:spacing w:line="360" w:lineRule="auto"/>
              <w:jc w:val="center"/>
              <w:outlineLvl w:val="5"/>
              <w:rPr>
                <w:rFonts w:ascii="宋体" w:hAnsi="宋体" w:cs="宋体"/>
                <w:b/>
                <w:szCs w:val="21"/>
              </w:rPr>
            </w:pPr>
            <w:r>
              <w:rPr>
                <w:rFonts w:hint="eastAsia" w:ascii="宋体" w:hAnsi="宋体" w:cs="宋体"/>
                <w:b/>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restart"/>
            <w:vAlign w:val="center"/>
          </w:tcPr>
          <w:p>
            <w:pPr>
              <w:spacing w:line="360" w:lineRule="auto"/>
              <w:jc w:val="center"/>
              <w:outlineLvl w:val="5"/>
              <w:rPr>
                <w:rFonts w:ascii="宋体" w:hAnsi="宋体" w:cs="宋体"/>
                <w:b/>
                <w:szCs w:val="21"/>
              </w:rPr>
            </w:pPr>
            <w:r>
              <w:rPr>
                <w:rFonts w:hint="eastAsia" w:ascii="宋体" w:hAnsi="宋体" w:cs="宋体"/>
                <w:b/>
                <w:szCs w:val="21"/>
              </w:rPr>
              <w:t>管</w:t>
            </w:r>
          </w:p>
          <w:p>
            <w:pPr>
              <w:spacing w:line="360" w:lineRule="auto"/>
              <w:jc w:val="center"/>
              <w:outlineLvl w:val="5"/>
              <w:rPr>
                <w:rFonts w:ascii="宋体" w:hAnsi="宋体" w:cs="宋体"/>
                <w:b/>
                <w:szCs w:val="21"/>
              </w:rPr>
            </w:pPr>
            <w:r>
              <w:rPr>
                <w:rFonts w:hint="eastAsia" w:ascii="宋体" w:hAnsi="宋体" w:cs="宋体"/>
                <w:b/>
                <w:szCs w:val="21"/>
              </w:rPr>
              <w:t>理</w:t>
            </w:r>
          </w:p>
          <w:p>
            <w:pPr>
              <w:spacing w:line="360" w:lineRule="auto"/>
              <w:jc w:val="center"/>
              <w:outlineLvl w:val="5"/>
              <w:rPr>
                <w:rFonts w:ascii="宋体" w:hAnsi="宋体" w:cs="宋体"/>
                <w:b/>
                <w:szCs w:val="21"/>
              </w:rPr>
            </w:pPr>
            <w:r>
              <w:rPr>
                <w:rFonts w:hint="eastAsia" w:ascii="宋体" w:hAnsi="宋体" w:cs="宋体"/>
                <w:b/>
                <w:szCs w:val="21"/>
              </w:rPr>
              <w:t>人</w:t>
            </w:r>
          </w:p>
          <w:p>
            <w:pPr>
              <w:spacing w:line="360" w:lineRule="auto"/>
              <w:jc w:val="center"/>
              <w:outlineLvl w:val="5"/>
              <w:rPr>
                <w:rFonts w:ascii="宋体" w:hAnsi="宋体" w:cs="宋体"/>
                <w:b/>
                <w:szCs w:val="21"/>
              </w:rPr>
            </w:pPr>
            <w:r>
              <w:rPr>
                <w:rFonts w:hint="eastAsia" w:ascii="宋体" w:hAnsi="宋体" w:cs="宋体"/>
                <w:b/>
                <w:szCs w:val="21"/>
              </w:rPr>
              <w:t>员</w:t>
            </w: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371" w:type="dxa"/>
          </w:tcPr>
          <w:p>
            <w:pPr>
              <w:spacing w:line="360" w:lineRule="auto"/>
              <w:jc w:val="center"/>
              <w:outlineLvl w:val="5"/>
              <w:rPr>
                <w:rFonts w:ascii="宋体" w:hAnsi="宋体" w:cs="宋体"/>
                <w:b/>
                <w:szCs w:val="21"/>
              </w:rPr>
            </w:pPr>
          </w:p>
        </w:tc>
        <w:tc>
          <w:tcPr>
            <w:tcW w:w="955" w:type="dxa"/>
          </w:tcPr>
          <w:p>
            <w:pPr>
              <w:spacing w:line="360" w:lineRule="auto"/>
              <w:jc w:val="center"/>
              <w:outlineLvl w:val="5"/>
              <w:rPr>
                <w:rFonts w:ascii="宋体" w:hAnsi="宋体" w:cs="宋体"/>
                <w:b/>
                <w:szCs w:val="21"/>
              </w:rPr>
            </w:pPr>
          </w:p>
        </w:tc>
        <w:tc>
          <w:tcPr>
            <w:tcW w:w="1092" w:type="dxa"/>
          </w:tcPr>
          <w:p>
            <w:pPr>
              <w:spacing w:line="360" w:lineRule="auto"/>
              <w:jc w:val="center"/>
              <w:outlineLvl w:val="5"/>
              <w:rPr>
                <w:rFonts w:ascii="宋体" w:hAnsi="宋体" w:cs="宋体"/>
                <w:b/>
                <w:szCs w:val="21"/>
              </w:rPr>
            </w:pPr>
          </w:p>
        </w:tc>
        <w:tc>
          <w:tcPr>
            <w:tcW w:w="951" w:type="dxa"/>
          </w:tcPr>
          <w:p>
            <w:pPr>
              <w:spacing w:line="360" w:lineRule="auto"/>
              <w:jc w:val="center"/>
              <w:outlineLvl w:val="5"/>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vAlign w:val="center"/>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371" w:type="dxa"/>
          </w:tcPr>
          <w:p>
            <w:pPr>
              <w:spacing w:line="360" w:lineRule="auto"/>
              <w:jc w:val="center"/>
              <w:outlineLvl w:val="5"/>
              <w:rPr>
                <w:rFonts w:ascii="宋体" w:hAnsi="宋体" w:cs="宋体"/>
                <w:b/>
                <w:szCs w:val="21"/>
              </w:rPr>
            </w:pPr>
          </w:p>
        </w:tc>
        <w:tc>
          <w:tcPr>
            <w:tcW w:w="955" w:type="dxa"/>
          </w:tcPr>
          <w:p>
            <w:pPr>
              <w:spacing w:line="360" w:lineRule="auto"/>
              <w:jc w:val="center"/>
              <w:outlineLvl w:val="5"/>
              <w:rPr>
                <w:rFonts w:ascii="宋体" w:hAnsi="宋体" w:cs="宋体"/>
                <w:b/>
                <w:szCs w:val="21"/>
              </w:rPr>
            </w:pPr>
          </w:p>
        </w:tc>
        <w:tc>
          <w:tcPr>
            <w:tcW w:w="1092" w:type="dxa"/>
          </w:tcPr>
          <w:p>
            <w:pPr>
              <w:spacing w:line="360" w:lineRule="auto"/>
              <w:jc w:val="center"/>
              <w:outlineLvl w:val="5"/>
              <w:rPr>
                <w:rFonts w:ascii="宋体" w:hAnsi="宋体" w:cs="宋体"/>
                <w:b/>
                <w:szCs w:val="21"/>
              </w:rPr>
            </w:pPr>
          </w:p>
        </w:tc>
        <w:tc>
          <w:tcPr>
            <w:tcW w:w="951" w:type="dxa"/>
          </w:tcPr>
          <w:p>
            <w:pPr>
              <w:spacing w:line="360" w:lineRule="auto"/>
              <w:jc w:val="center"/>
              <w:outlineLvl w:val="5"/>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continue"/>
            <w:vAlign w:val="center"/>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371" w:type="dxa"/>
          </w:tcPr>
          <w:p>
            <w:pPr>
              <w:spacing w:line="360" w:lineRule="auto"/>
              <w:jc w:val="center"/>
              <w:outlineLvl w:val="5"/>
              <w:rPr>
                <w:rFonts w:ascii="宋体" w:hAnsi="宋体" w:cs="宋体"/>
                <w:b/>
                <w:szCs w:val="21"/>
              </w:rPr>
            </w:pPr>
          </w:p>
        </w:tc>
        <w:tc>
          <w:tcPr>
            <w:tcW w:w="955" w:type="dxa"/>
          </w:tcPr>
          <w:p>
            <w:pPr>
              <w:spacing w:line="360" w:lineRule="auto"/>
              <w:jc w:val="center"/>
              <w:outlineLvl w:val="5"/>
              <w:rPr>
                <w:rFonts w:ascii="宋体" w:hAnsi="宋体" w:cs="宋体"/>
                <w:b/>
                <w:szCs w:val="21"/>
              </w:rPr>
            </w:pPr>
          </w:p>
        </w:tc>
        <w:tc>
          <w:tcPr>
            <w:tcW w:w="1092" w:type="dxa"/>
          </w:tcPr>
          <w:p>
            <w:pPr>
              <w:spacing w:line="360" w:lineRule="auto"/>
              <w:jc w:val="center"/>
              <w:outlineLvl w:val="5"/>
              <w:rPr>
                <w:rFonts w:ascii="宋体" w:hAnsi="宋体" w:cs="宋体"/>
                <w:b/>
                <w:szCs w:val="21"/>
              </w:rPr>
            </w:pPr>
          </w:p>
        </w:tc>
        <w:tc>
          <w:tcPr>
            <w:tcW w:w="951" w:type="dxa"/>
          </w:tcPr>
          <w:p>
            <w:pPr>
              <w:spacing w:line="360" w:lineRule="auto"/>
              <w:jc w:val="center"/>
              <w:outlineLvl w:val="5"/>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restart"/>
            <w:vAlign w:val="center"/>
          </w:tcPr>
          <w:p>
            <w:pPr>
              <w:spacing w:line="360" w:lineRule="auto"/>
              <w:jc w:val="center"/>
              <w:outlineLvl w:val="5"/>
              <w:rPr>
                <w:rFonts w:ascii="宋体" w:hAnsi="宋体" w:cs="宋体"/>
                <w:b/>
                <w:szCs w:val="21"/>
              </w:rPr>
            </w:pPr>
            <w:r>
              <w:rPr>
                <w:rFonts w:hint="eastAsia" w:ascii="宋体" w:hAnsi="宋体" w:cs="宋体"/>
                <w:b/>
                <w:szCs w:val="21"/>
              </w:rPr>
              <w:t>技</w:t>
            </w:r>
          </w:p>
          <w:p>
            <w:pPr>
              <w:spacing w:line="360" w:lineRule="auto"/>
              <w:jc w:val="center"/>
              <w:outlineLvl w:val="5"/>
              <w:rPr>
                <w:rFonts w:ascii="宋体" w:hAnsi="宋体" w:cs="宋体"/>
                <w:b/>
                <w:szCs w:val="21"/>
              </w:rPr>
            </w:pPr>
            <w:r>
              <w:rPr>
                <w:rFonts w:hint="eastAsia" w:ascii="宋体" w:hAnsi="宋体" w:cs="宋体"/>
                <w:b/>
                <w:szCs w:val="21"/>
              </w:rPr>
              <w:t>术</w:t>
            </w:r>
          </w:p>
          <w:p>
            <w:pPr>
              <w:spacing w:line="360" w:lineRule="auto"/>
              <w:jc w:val="center"/>
              <w:outlineLvl w:val="5"/>
              <w:rPr>
                <w:rFonts w:ascii="宋体" w:hAnsi="宋体" w:cs="宋体"/>
                <w:b/>
                <w:szCs w:val="21"/>
              </w:rPr>
            </w:pPr>
            <w:r>
              <w:rPr>
                <w:rFonts w:hint="eastAsia" w:ascii="宋体" w:hAnsi="宋体" w:cs="宋体"/>
                <w:b/>
                <w:szCs w:val="21"/>
              </w:rPr>
              <w:t>人</w:t>
            </w:r>
          </w:p>
          <w:p>
            <w:pPr>
              <w:spacing w:line="360" w:lineRule="auto"/>
              <w:jc w:val="center"/>
              <w:outlineLvl w:val="5"/>
              <w:rPr>
                <w:rFonts w:ascii="宋体" w:hAnsi="宋体" w:cs="宋体"/>
                <w:b/>
                <w:szCs w:val="21"/>
              </w:rPr>
            </w:pPr>
            <w:r>
              <w:rPr>
                <w:rFonts w:hint="eastAsia" w:ascii="宋体" w:hAnsi="宋体" w:cs="宋体"/>
                <w:b/>
                <w:szCs w:val="21"/>
              </w:rPr>
              <w:t>员</w:t>
            </w: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371" w:type="dxa"/>
          </w:tcPr>
          <w:p>
            <w:pPr>
              <w:spacing w:line="360" w:lineRule="auto"/>
              <w:jc w:val="center"/>
              <w:outlineLvl w:val="5"/>
              <w:rPr>
                <w:rFonts w:ascii="宋体" w:hAnsi="宋体" w:cs="宋体"/>
                <w:b/>
                <w:szCs w:val="21"/>
              </w:rPr>
            </w:pPr>
          </w:p>
        </w:tc>
        <w:tc>
          <w:tcPr>
            <w:tcW w:w="955" w:type="dxa"/>
          </w:tcPr>
          <w:p>
            <w:pPr>
              <w:spacing w:line="360" w:lineRule="auto"/>
              <w:jc w:val="center"/>
              <w:outlineLvl w:val="5"/>
              <w:rPr>
                <w:rFonts w:ascii="宋体" w:hAnsi="宋体" w:cs="宋体"/>
                <w:b/>
                <w:szCs w:val="21"/>
              </w:rPr>
            </w:pPr>
          </w:p>
        </w:tc>
        <w:tc>
          <w:tcPr>
            <w:tcW w:w="1092" w:type="dxa"/>
          </w:tcPr>
          <w:p>
            <w:pPr>
              <w:spacing w:line="360" w:lineRule="auto"/>
              <w:jc w:val="center"/>
              <w:outlineLvl w:val="5"/>
              <w:rPr>
                <w:rFonts w:ascii="宋体" w:hAnsi="宋体" w:cs="宋体"/>
                <w:b/>
                <w:szCs w:val="21"/>
              </w:rPr>
            </w:pPr>
          </w:p>
        </w:tc>
        <w:tc>
          <w:tcPr>
            <w:tcW w:w="951" w:type="dxa"/>
          </w:tcPr>
          <w:p>
            <w:pPr>
              <w:spacing w:line="360" w:lineRule="auto"/>
              <w:jc w:val="center"/>
              <w:outlineLvl w:val="5"/>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continue"/>
            <w:vAlign w:val="center"/>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371" w:type="dxa"/>
          </w:tcPr>
          <w:p>
            <w:pPr>
              <w:spacing w:line="360" w:lineRule="auto"/>
              <w:jc w:val="center"/>
              <w:outlineLvl w:val="5"/>
              <w:rPr>
                <w:rFonts w:ascii="宋体" w:hAnsi="宋体" w:cs="宋体"/>
                <w:b/>
                <w:szCs w:val="21"/>
              </w:rPr>
            </w:pPr>
          </w:p>
        </w:tc>
        <w:tc>
          <w:tcPr>
            <w:tcW w:w="955" w:type="dxa"/>
          </w:tcPr>
          <w:p>
            <w:pPr>
              <w:spacing w:line="360" w:lineRule="auto"/>
              <w:jc w:val="center"/>
              <w:outlineLvl w:val="5"/>
              <w:rPr>
                <w:rFonts w:ascii="宋体" w:hAnsi="宋体" w:cs="宋体"/>
                <w:b/>
                <w:szCs w:val="21"/>
              </w:rPr>
            </w:pPr>
          </w:p>
        </w:tc>
        <w:tc>
          <w:tcPr>
            <w:tcW w:w="1092" w:type="dxa"/>
          </w:tcPr>
          <w:p>
            <w:pPr>
              <w:spacing w:line="360" w:lineRule="auto"/>
              <w:jc w:val="center"/>
              <w:outlineLvl w:val="5"/>
              <w:rPr>
                <w:rFonts w:ascii="宋体" w:hAnsi="宋体" w:cs="宋体"/>
                <w:b/>
                <w:szCs w:val="21"/>
              </w:rPr>
            </w:pPr>
          </w:p>
        </w:tc>
        <w:tc>
          <w:tcPr>
            <w:tcW w:w="951" w:type="dxa"/>
          </w:tcPr>
          <w:p>
            <w:pPr>
              <w:spacing w:line="360" w:lineRule="auto"/>
              <w:jc w:val="center"/>
              <w:outlineLvl w:val="5"/>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vAlign w:val="center"/>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371" w:type="dxa"/>
          </w:tcPr>
          <w:p>
            <w:pPr>
              <w:spacing w:line="360" w:lineRule="auto"/>
              <w:jc w:val="center"/>
              <w:outlineLvl w:val="5"/>
              <w:rPr>
                <w:rFonts w:ascii="宋体" w:hAnsi="宋体" w:cs="宋体"/>
                <w:b/>
                <w:szCs w:val="21"/>
              </w:rPr>
            </w:pPr>
          </w:p>
        </w:tc>
        <w:tc>
          <w:tcPr>
            <w:tcW w:w="955" w:type="dxa"/>
          </w:tcPr>
          <w:p>
            <w:pPr>
              <w:spacing w:line="360" w:lineRule="auto"/>
              <w:jc w:val="center"/>
              <w:outlineLvl w:val="5"/>
              <w:rPr>
                <w:rFonts w:ascii="宋体" w:hAnsi="宋体" w:cs="宋体"/>
                <w:b/>
                <w:szCs w:val="21"/>
              </w:rPr>
            </w:pPr>
          </w:p>
        </w:tc>
        <w:tc>
          <w:tcPr>
            <w:tcW w:w="1092" w:type="dxa"/>
          </w:tcPr>
          <w:p>
            <w:pPr>
              <w:spacing w:line="360" w:lineRule="auto"/>
              <w:jc w:val="center"/>
              <w:outlineLvl w:val="5"/>
              <w:rPr>
                <w:rFonts w:ascii="宋体" w:hAnsi="宋体" w:cs="宋体"/>
                <w:b/>
                <w:szCs w:val="21"/>
              </w:rPr>
            </w:pPr>
          </w:p>
        </w:tc>
        <w:tc>
          <w:tcPr>
            <w:tcW w:w="951" w:type="dxa"/>
          </w:tcPr>
          <w:p>
            <w:pPr>
              <w:spacing w:line="360" w:lineRule="auto"/>
              <w:jc w:val="center"/>
              <w:outlineLvl w:val="5"/>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restart"/>
            <w:vAlign w:val="center"/>
          </w:tcPr>
          <w:p>
            <w:pPr>
              <w:spacing w:line="360" w:lineRule="auto"/>
              <w:jc w:val="center"/>
              <w:outlineLvl w:val="5"/>
              <w:rPr>
                <w:rFonts w:ascii="宋体" w:hAnsi="宋体" w:cs="宋体"/>
                <w:b/>
                <w:szCs w:val="21"/>
              </w:rPr>
            </w:pPr>
            <w:r>
              <w:rPr>
                <w:rFonts w:hint="eastAsia" w:ascii="宋体" w:hAnsi="宋体" w:cs="宋体"/>
                <w:b/>
                <w:szCs w:val="21"/>
              </w:rPr>
              <w:t>售后</w:t>
            </w:r>
          </w:p>
          <w:p>
            <w:pPr>
              <w:spacing w:line="360" w:lineRule="auto"/>
              <w:jc w:val="center"/>
              <w:outlineLvl w:val="5"/>
              <w:rPr>
                <w:rFonts w:ascii="宋体" w:hAnsi="宋体" w:cs="宋体"/>
                <w:b/>
                <w:szCs w:val="21"/>
              </w:rPr>
            </w:pPr>
            <w:r>
              <w:rPr>
                <w:rFonts w:hint="eastAsia" w:ascii="宋体" w:hAnsi="宋体" w:cs="宋体"/>
                <w:b/>
                <w:szCs w:val="21"/>
              </w:rPr>
              <w:t>服务</w:t>
            </w:r>
          </w:p>
          <w:p>
            <w:pPr>
              <w:spacing w:line="360" w:lineRule="auto"/>
              <w:jc w:val="center"/>
              <w:outlineLvl w:val="5"/>
              <w:rPr>
                <w:rFonts w:ascii="宋体" w:hAnsi="宋体" w:cs="宋体"/>
                <w:b/>
                <w:szCs w:val="21"/>
              </w:rPr>
            </w:pPr>
            <w:r>
              <w:rPr>
                <w:rFonts w:hint="eastAsia" w:ascii="宋体" w:hAnsi="宋体" w:cs="宋体"/>
                <w:b/>
                <w:szCs w:val="21"/>
              </w:rPr>
              <w:t>人员</w:t>
            </w: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371" w:type="dxa"/>
          </w:tcPr>
          <w:p>
            <w:pPr>
              <w:spacing w:line="360" w:lineRule="auto"/>
              <w:jc w:val="center"/>
              <w:outlineLvl w:val="5"/>
              <w:rPr>
                <w:rFonts w:ascii="宋体" w:hAnsi="宋体" w:cs="宋体"/>
                <w:b/>
                <w:szCs w:val="21"/>
              </w:rPr>
            </w:pPr>
          </w:p>
        </w:tc>
        <w:tc>
          <w:tcPr>
            <w:tcW w:w="955" w:type="dxa"/>
          </w:tcPr>
          <w:p>
            <w:pPr>
              <w:spacing w:line="360" w:lineRule="auto"/>
              <w:jc w:val="center"/>
              <w:outlineLvl w:val="5"/>
              <w:rPr>
                <w:rFonts w:ascii="宋体" w:hAnsi="宋体" w:cs="宋体"/>
                <w:b/>
                <w:szCs w:val="21"/>
              </w:rPr>
            </w:pPr>
          </w:p>
        </w:tc>
        <w:tc>
          <w:tcPr>
            <w:tcW w:w="1092" w:type="dxa"/>
          </w:tcPr>
          <w:p>
            <w:pPr>
              <w:spacing w:line="360" w:lineRule="auto"/>
              <w:jc w:val="center"/>
              <w:outlineLvl w:val="5"/>
              <w:rPr>
                <w:rFonts w:ascii="宋体" w:hAnsi="宋体" w:cs="宋体"/>
                <w:b/>
                <w:szCs w:val="21"/>
              </w:rPr>
            </w:pPr>
          </w:p>
        </w:tc>
        <w:tc>
          <w:tcPr>
            <w:tcW w:w="951" w:type="dxa"/>
          </w:tcPr>
          <w:p>
            <w:pPr>
              <w:spacing w:line="360" w:lineRule="auto"/>
              <w:jc w:val="center"/>
              <w:outlineLvl w:val="5"/>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1217" w:type="dxa"/>
            <w:vMerge w:val="continue"/>
            <w:vAlign w:val="center"/>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bCs/>
                <w:szCs w:val="21"/>
              </w:rPr>
            </w:pPr>
          </w:p>
        </w:tc>
        <w:tc>
          <w:tcPr>
            <w:tcW w:w="1045" w:type="dxa"/>
          </w:tcPr>
          <w:p>
            <w:pPr>
              <w:spacing w:line="360" w:lineRule="auto"/>
              <w:jc w:val="center"/>
              <w:outlineLvl w:val="5"/>
              <w:rPr>
                <w:rFonts w:ascii="宋体" w:hAnsi="宋体" w:cs="宋体"/>
                <w:b/>
                <w:bCs/>
                <w:szCs w:val="21"/>
              </w:rPr>
            </w:pPr>
          </w:p>
        </w:tc>
        <w:tc>
          <w:tcPr>
            <w:tcW w:w="1045" w:type="dxa"/>
          </w:tcPr>
          <w:p>
            <w:pPr>
              <w:spacing w:line="360" w:lineRule="auto"/>
              <w:jc w:val="center"/>
              <w:outlineLvl w:val="5"/>
              <w:rPr>
                <w:rFonts w:ascii="宋体" w:hAnsi="宋体" w:cs="宋体"/>
                <w:b/>
                <w:bCs/>
                <w:szCs w:val="21"/>
              </w:rPr>
            </w:pPr>
          </w:p>
        </w:tc>
        <w:tc>
          <w:tcPr>
            <w:tcW w:w="1371" w:type="dxa"/>
          </w:tcPr>
          <w:p>
            <w:pPr>
              <w:spacing w:line="360" w:lineRule="auto"/>
              <w:jc w:val="center"/>
              <w:outlineLvl w:val="5"/>
              <w:rPr>
                <w:rFonts w:ascii="宋体" w:hAnsi="宋体" w:cs="宋体"/>
                <w:b/>
                <w:bCs/>
                <w:szCs w:val="21"/>
              </w:rPr>
            </w:pPr>
          </w:p>
        </w:tc>
        <w:tc>
          <w:tcPr>
            <w:tcW w:w="955" w:type="dxa"/>
          </w:tcPr>
          <w:p>
            <w:pPr>
              <w:spacing w:line="360" w:lineRule="auto"/>
              <w:jc w:val="center"/>
              <w:outlineLvl w:val="5"/>
              <w:rPr>
                <w:rFonts w:ascii="宋体" w:hAnsi="宋体" w:cs="宋体"/>
                <w:b/>
                <w:bCs/>
                <w:szCs w:val="21"/>
              </w:rPr>
            </w:pPr>
          </w:p>
        </w:tc>
        <w:tc>
          <w:tcPr>
            <w:tcW w:w="1092" w:type="dxa"/>
          </w:tcPr>
          <w:p>
            <w:pPr>
              <w:spacing w:line="360" w:lineRule="auto"/>
              <w:jc w:val="center"/>
              <w:outlineLvl w:val="5"/>
              <w:rPr>
                <w:rFonts w:ascii="宋体" w:hAnsi="宋体" w:cs="宋体"/>
                <w:b/>
                <w:bCs/>
                <w:szCs w:val="21"/>
              </w:rPr>
            </w:pPr>
          </w:p>
        </w:tc>
        <w:tc>
          <w:tcPr>
            <w:tcW w:w="951" w:type="dxa"/>
          </w:tcPr>
          <w:p>
            <w:pPr>
              <w:spacing w:line="360" w:lineRule="auto"/>
              <w:jc w:val="center"/>
              <w:outlineLvl w:val="5"/>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1217" w:type="dxa"/>
            <w:vMerge w:val="continue"/>
            <w:vAlign w:val="center"/>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szCs w:val="21"/>
              </w:rPr>
            </w:pPr>
          </w:p>
        </w:tc>
        <w:tc>
          <w:tcPr>
            <w:tcW w:w="1045" w:type="dxa"/>
          </w:tcPr>
          <w:p>
            <w:pPr>
              <w:spacing w:line="360" w:lineRule="auto"/>
              <w:jc w:val="center"/>
              <w:outlineLvl w:val="5"/>
              <w:rPr>
                <w:rFonts w:ascii="宋体" w:hAnsi="宋体" w:cs="宋体"/>
                <w:b/>
                <w:bCs/>
                <w:szCs w:val="21"/>
              </w:rPr>
            </w:pPr>
          </w:p>
        </w:tc>
        <w:tc>
          <w:tcPr>
            <w:tcW w:w="1045" w:type="dxa"/>
          </w:tcPr>
          <w:p>
            <w:pPr>
              <w:spacing w:line="360" w:lineRule="auto"/>
              <w:jc w:val="center"/>
              <w:outlineLvl w:val="5"/>
              <w:rPr>
                <w:rFonts w:ascii="宋体" w:hAnsi="宋体" w:cs="宋体"/>
                <w:b/>
                <w:bCs/>
                <w:szCs w:val="21"/>
              </w:rPr>
            </w:pPr>
          </w:p>
        </w:tc>
        <w:tc>
          <w:tcPr>
            <w:tcW w:w="1045" w:type="dxa"/>
          </w:tcPr>
          <w:p>
            <w:pPr>
              <w:spacing w:line="360" w:lineRule="auto"/>
              <w:jc w:val="center"/>
              <w:outlineLvl w:val="5"/>
              <w:rPr>
                <w:rFonts w:ascii="宋体" w:hAnsi="宋体" w:cs="宋体"/>
                <w:b/>
                <w:bCs/>
                <w:szCs w:val="21"/>
              </w:rPr>
            </w:pPr>
          </w:p>
        </w:tc>
        <w:tc>
          <w:tcPr>
            <w:tcW w:w="1371" w:type="dxa"/>
          </w:tcPr>
          <w:p>
            <w:pPr>
              <w:spacing w:line="360" w:lineRule="auto"/>
              <w:jc w:val="center"/>
              <w:outlineLvl w:val="5"/>
              <w:rPr>
                <w:rFonts w:ascii="宋体" w:hAnsi="宋体" w:cs="宋体"/>
                <w:b/>
                <w:bCs/>
                <w:szCs w:val="21"/>
              </w:rPr>
            </w:pPr>
          </w:p>
        </w:tc>
        <w:tc>
          <w:tcPr>
            <w:tcW w:w="955" w:type="dxa"/>
          </w:tcPr>
          <w:p>
            <w:pPr>
              <w:spacing w:line="360" w:lineRule="auto"/>
              <w:jc w:val="center"/>
              <w:outlineLvl w:val="5"/>
              <w:rPr>
                <w:rFonts w:ascii="宋体" w:hAnsi="宋体" w:cs="宋体"/>
                <w:b/>
                <w:bCs/>
                <w:szCs w:val="21"/>
              </w:rPr>
            </w:pPr>
          </w:p>
        </w:tc>
        <w:tc>
          <w:tcPr>
            <w:tcW w:w="1092" w:type="dxa"/>
          </w:tcPr>
          <w:p>
            <w:pPr>
              <w:spacing w:line="360" w:lineRule="auto"/>
              <w:jc w:val="center"/>
              <w:outlineLvl w:val="5"/>
              <w:rPr>
                <w:rFonts w:ascii="宋体" w:hAnsi="宋体" w:cs="宋体"/>
                <w:b/>
                <w:bCs/>
                <w:szCs w:val="21"/>
              </w:rPr>
            </w:pPr>
          </w:p>
        </w:tc>
        <w:tc>
          <w:tcPr>
            <w:tcW w:w="951" w:type="dxa"/>
          </w:tcPr>
          <w:p>
            <w:pPr>
              <w:spacing w:line="360" w:lineRule="auto"/>
              <w:jc w:val="center"/>
              <w:outlineLvl w:val="5"/>
              <w:rPr>
                <w:rFonts w:ascii="宋体" w:hAnsi="宋体" w:cs="宋体"/>
                <w:b/>
                <w:bCs/>
                <w:szCs w:val="21"/>
              </w:rPr>
            </w:pPr>
          </w:p>
        </w:tc>
      </w:tr>
    </w:tbl>
    <w:p>
      <w:pPr>
        <w:spacing w:line="360" w:lineRule="auto"/>
        <w:jc w:val="center"/>
        <w:outlineLvl w:val="5"/>
        <w:rPr>
          <w:rFonts w:ascii="宋体" w:hAnsi="宋体" w:cs="宋体"/>
          <w:b/>
          <w:bCs/>
          <w:sz w:val="28"/>
        </w:rPr>
      </w:pPr>
    </w:p>
    <w:p>
      <w:pPr>
        <w:adjustRightInd w:val="0"/>
        <w:spacing w:line="360" w:lineRule="auto"/>
        <w:jc w:val="left"/>
        <w:outlineLvl w:val="5"/>
        <w:rPr>
          <w:rFonts w:ascii="宋体" w:hAnsi="宋体" w:cs="宋体"/>
          <w:b/>
          <w:sz w:val="24"/>
        </w:rPr>
      </w:pPr>
    </w:p>
    <w:p>
      <w:pPr>
        <w:adjustRightInd w:val="0"/>
        <w:spacing w:line="360" w:lineRule="auto"/>
        <w:jc w:val="left"/>
        <w:outlineLvl w:val="5"/>
        <w:rPr>
          <w:rFonts w:ascii="宋体" w:hAnsi="宋体" w:cs="宋体"/>
          <w:bCs/>
          <w:sz w:val="24"/>
        </w:rPr>
      </w:pPr>
      <w:r>
        <w:rPr>
          <w:rFonts w:hint="eastAsia" w:ascii="宋体" w:hAnsi="宋体" w:cs="宋体"/>
          <w:bCs/>
          <w:sz w:val="24"/>
        </w:rPr>
        <w:t>投标人名称：        （盖单位公章）</w:t>
      </w:r>
    </w:p>
    <w:p>
      <w:pPr>
        <w:adjustRightInd w:val="0"/>
        <w:spacing w:line="360" w:lineRule="auto"/>
        <w:jc w:val="left"/>
        <w:outlineLvl w:val="5"/>
        <w:rPr>
          <w:rFonts w:ascii="宋体" w:hAnsi="宋体" w:cs="宋体"/>
          <w:bCs/>
          <w:sz w:val="24"/>
        </w:rPr>
      </w:pPr>
      <w:r>
        <w:rPr>
          <w:rFonts w:hint="eastAsia" w:ascii="宋体" w:hAnsi="宋体" w:cs="宋体"/>
          <w:bCs/>
          <w:sz w:val="24"/>
        </w:rPr>
        <w:t>法定代表人或授权代表（签字）：</w:t>
      </w:r>
    </w:p>
    <w:p>
      <w:pPr>
        <w:adjustRightInd w:val="0"/>
        <w:spacing w:line="360" w:lineRule="auto"/>
        <w:jc w:val="left"/>
        <w:outlineLvl w:val="5"/>
        <w:rPr>
          <w:rFonts w:ascii="宋体" w:hAnsi="宋体" w:cs="宋体"/>
          <w:bCs/>
          <w:sz w:val="24"/>
        </w:rPr>
      </w:pPr>
      <w:r>
        <w:rPr>
          <w:rFonts w:hint="eastAsia" w:ascii="宋体" w:hAnsi="宋体" w:cs="宋体"/>
          <w:bCs/>
          <w:sz w:val="24"/>
        </w:rPr>
        <w:t>日期：</w:t>
      </w:r>
    </w:p>
    <w:p>
      <w:pPr>
        <w:spacing w:line="360" w:lineRule="auto"/>
        <w:outlineLvl w:val="5"/>
        <w:rPr>
          <w:rFonts w:ascii="宋体" w:hAnsi="宋体" w:cs="宋体"/>
          <w:bCs/>
          <w:sz w:val="24"/>
        </w:rPr>
      </w:pPr>
    </w:p>
    <w:p>
      <w:pPr>
        <w:pStyle w:val="7"/>
        <w:rPr>
          <w:rFonts w:ascii="宋体" w:hAnsi="宋体" w:eastAsia="宋体" w:cs="宋体"/>
        </w:rPr>
      </w:pPr>
      <w:r>
        <w:rPr>
          <w:rFonts w:hint="eastAsia" w:ascii="宋体" w:hAnsi="宋体" w:eastAsia="宋体" w:cs="宋体"/>
        </w:rPr>
        <w:t>十一、中小企业声明函</w:t>
      </w:r>
    </w:p>
    <w:p>
      <w:pPr>
        <w:spacing w:line="360" w:lineRule="auto"/>
        <w:ind w:firstLine="480" w:firstLineChars="200"/>
        <w:rPr>
          <w:rFonts w:ascii="宋体" w:hAnsi="宋体" w:cs="宋体"/>
          <w:sz w:val="24"/>
        </w:rPr>
      </w:pPr>
      <w:r>
        <w:rPr>
          <w:rFonts w:hint="eastAsia" w:ascii="宋体" w:hAnsi="宋体" w:cs="宋体"/>
          <w:sz w:val="24"/>
        </w:rPr>
        <w:t>本公司郑重声明，根据《政府采购促进中小企业发展管理办法》（财库﹝2020﹞46号）的规定，本公参加（单位名称）的（项目名称）采购活动，服务全部由符合政策要求的中小企业承接。相关企业的具体情况如下：</w:t>
      </w:r>
    </w:p>
    <w:p>
      <w:pPr>
        <w:spacing w:line="360" w:lineRule="auto"/>
        <w:ind w:firstLine="480" w:firstLineChars="200"/>
        <w:rPr>
          <w:rFonts w:ascii="宋体" w:hAnsi="宋体" w:cs="宋体"/>
          <w:sz w:val="24"/>
        </w:rPr>
      </w:pPr>
      <w:r>
        <w:rPr>
          <w:rFonts w:hint="eastAsia" w:ascii="宋体" w:hAnsi="宋体" w:cs="宋体"/>
          <w:sz w:val="24"/>
          <w:u w:val="single"/>
        </w:rPr>
        <w:t xml:space="preserve">（标的名称）    </w:t>
      </w:r>
      <w:r>
        <w:rPr>
          <w:rFonts w:hint="eastAsia" w:ascii="宋体" w:hAnsi="宋体" w:cs="宋体"/>
          <w:sz w:val="24"/>
        </w:rPr>
        <w:t>，属于</w:t>
      </w:r>
      <w:r>
        <w:rPr>
          <w:rFonts w:hint="eastAsia" w:ascii="宋体" w:hAnsi="宋体" w:cs="宋体"/>
          <w:sz w:val="24"/>
          <w:u w:val="single"/>
        </w:rPr>
        <w:t xml:space="preserve">（招标文件中明确的所属行业）     </w:t>
      </w:r>
      <w:r>
        <w:rPr>
          <w:rFonts w:hint="eastAsia" w:ascii="宋体" w:hAnsi="宋体" w:cs="宋体"/>
          <w:sz w:val="24"/>
        </w:rPr>
        <w:t>；承接企业为</w:t>
      </w:r>
      <w:r>
        <w:rPr>
          <w:rFonts w:hint="eastAsia" w:ascii="宋体" w:hAnsi="宋体" w:cs="宋体"/>
          <w:sz w:val="24"/>
          <w:u w:val="single"/>
        </w:rPr>
        <w:t>（企业名称）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sz w:val="24"/>
          <w:vertAlign w:val="superscript"/>
        </w:rPr>
        <w:t>1</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rPr>
        <w:t>（中型企业、小型企业、微型企业）。</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以上企业，不属于大企业的分支机构，不存在控股股东为大企业的情形，也不存在与大企业的负责人为同一人的情形。  </w:t>
      </w:r>
    </w:p>
    <w:p>
      <w:pPr>
        <w:spacing w:line="360" w:lineRule="auto"/>
        <w:ind w:firstLine="480" w:firstLineChars="200"/>
        <w:rPr>
          <w:rFonts w:ascii="宋体" w:hAnsi="宋体" w:cs="宋体"/>
          <w:sz w:val="24"/>
        </w:rPr>
      </w:pPr>
      <w:r>
        <w:rPr>
          <w:rFonts w:hint="eastAsia" w:ascii="宋体" w:hAnsi="宋体" w:cs="宋体"/>
          <w:sz w:val="24"/>
        </w:rPr>
        <w:t xml:space="preserve">本企业对上述声明内容的真实性负责。如有虚假，将依法承担相应责任。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企业名称（盖章）： </w:t>
      </w:r>
    </w:p>
    <w:p>
      <w:pPr>
        <w:spacing w:line="360" w:lineRule="auto"/>
        <w:ind w:firstLine="480" w:firstLineChars="200"/>
        <w:rPr>
          <w:rFonts w:ascii="宋体" w:hAnsi="宋体" w:cs="宋体"/>
          <w:sz w:val="24"/>
        </w:rPr>
      </w:pPr>
      <w:r>
        <w:rPr>
          <w:rFonts w:hint="eastAsia" w:ascii="宋体" w:hAnsi="宋体" w:cs="宋体"/>
          <w:sz w:val="24"/>
        </w:rPr>
        <w:t>日 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Cs w:val="22"/>
        </w:rPr>
      </w:pPr>
      <w:r>
        <w:rPr>
          <w:rFonts w:hint="eastAsia" w:ascii="宋体" w:hAnsi="宋体" w:cs="宋体"/>
          <w:sz w:val="24"/>
        </w:rPr>
        <w:t>注：1.从业人员、营业收入、资产总额填报上一年度数据，无上一年度数据的新成立企业可不填报。</w:t>
      </w:r>
      <w:r>
        <w:rPr>
          <w:rFonts w:hint="eastAsia" w:ascii="宋体" w:hAnsi="宋体" w:cs="宋体"/>
          <w:szCs w:val="22"/>
        </w:rPr>
        <w:t>　</w:t>
      </w:r>
    </w:p>
    <w:p>
      <w:pPr>
        <w:spacing w:line="360" w:lineRule="auto"/>
        <w:ind w:left="413" w:hanging="413" w:hangingChars="196"/>
        <w:outlineLvl w:val="5"/>
        <w:rPr>
          <w:rFonts w:ascii="宋体" w:hAnsi="宋体" w:cs="宋体"/>
          <w:b/>
          <w:szCs w:val="21"/>
        </w:rPr>
      </w:pPr>
    </w:p>
    <w:p>
      <w:pPr>
        <w:pStyle w:val="7"/>
        <w:rPr>
          <w:rFonts w:ascii="宋体" w:hAnsi="宋体" w:eastAsia="宋体" w:cs="宋体"/>
        </w:rPr>
      </w:pPr>
      <w:r>
        <w:rPr>
          <w:rFonts w:hint="eastAsia" w:ascii="宋体" w:hAnsi="宋体" w:eastAsia="宋体" w:cs="宋体"/>
        </w:rPr>
        <w:t>十二、残疾人福利性单位声明函</w:t>
      </w:r>
    </w:p>
    <w:p>
      <w:pPr>
        <w:pStyle w:val="7"/>
        <w:rPr>
          <w:rFonts w:ascii="宋体" w:hAnsi="宋体" w:eastAsia="宋体" w:cs="宋体"/>
          <w:b w:val="0"/>
          <w:bCs w:val="0"/>
          <w:kern w:val="2"/>
          <w:sz w:val="24"/>
          <w:szCs w:val="24"/>
        </w:rPr>
      </w:pPr>
    </w:p>
    <w:p>
      <w:pPr>
        <w:pStyle w:val="7"/>
        <w:jc w:val="left"/>
        <w:rPr>
          <w:rFonts w:ascii="宋体" w:hAnsi="宋体" w:eastAsia="宋体" w:cs="宋体"/>
          <w:b w:val="0"/>
          <w:bCs w:val="0"/>
          <w:kern w:val="2"/>
          <w:sz w:val="24"/>
          <w:szCs w:val="24"/>
        </w:rPr>
      </w:pPr>
      <w:r>
        <w:rPr>
          <w:rFonts w:hint="eastAsia" w:ascii="宋体" w:hAnsi="宋体" w:eastAsia="宋体" w:cs="宋体"/>
          <w:b w:val="0"/>
          <w:bCs w:val="0"/>
          <w:kern w:val="2"/>
          <w:sz w:val="24"/>
          <w:szCs w:val="24"/>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firstLineChars="200"/>
        <w:rPr>
          <w:rFonts w:ascii="宋体" w:hAnsi="宋体" w:cs="宋体"/>
          <w:sz w:val="24"/>
        </w:rPr>
      </w:pPr>
      <w:r>
        <w:rPr>
          <w:rFonts w:hint="eastAsia" w:ascii="宋体" w:hAnsi="宋体" w:cs="宋体"/>
          <w:sz w:val="24"/>
        </w:rPr>
        <w:t>本单位对上述声明内容事项真实性负责。如经查实上述声明的内容事项存在虚假，本单位愿意接受以提供虚假材料谋取中标追究法律责任。</w:t>
      </w: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 xml:space="preserve">              </w:t>
      </w:r>
    </w:p>
    <w:p>
      <w:pPr>
        <w:rPr>
          <w:rFonts w:ascii="宋体" w:hAnsi="宋体" w:cs="宋体"/>
          <w:sz w:val="24"/>
        </w:rPr>
      </w:pPr>
      <w:r>
        <w:rPr>
          <w:rFonts w:hint="eastAsia" w:ascii="宋体" w:hAnsi="宋体" w:cs="宋体"/>
          <w:sz w:val="24"/>
        </w:rPr>
        <w:t>投标人名称：        （盖单位公章）</w:t>
      </w:r>
    </w:p>
    <w:p>
      <w:pPr>
        <w:rPr>
          <w:rFonts w:ascii="宋体" w:hAnsi="宋体" w:cs="宋体"/>
          <w:sz w:val="24"/>
        </w:rPr>
      </w:pPr>
      <w:r>
        <w:rPr>
          <w:rFonts w:hint="eastAsia" w:ascii="宋体" w:hAnsi="宋体" w:cs="宋体"/>
          <w:sz w:val="24"/>
        </w:rPr>
        <w:t>法定代表人或授权代表（签字）：</w:t>
      </w:r>
    </w:p>
    <w:p>
      <w:pPr>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注：非残疾人福利性单位不用提供以上声明函。</w:t>
      </w:r>
    </w:p>
    <w:p>
      <w:pPr>
        <w:rPr>
          <w:rFonts w:ascii="宋体" w:hAnsi="宋体" w:cs="宋体"/>
        </w:rPr>
      </w:pPr>
      <w:r>
        <w:rPr>
          <w:rFonts w:hint="eastAsia" w:ascii="宋体" w:hAnsi="宋体" w:cs="宋体"/>
        </w:rPr>
        <w:br w:type="page"/>
      </w:r>
    </w:p>
    <w:p>
      <w:pPr>
        <w:spacing w:line="360" w:lineRule="auto"/>
        <w:jc w:val="center"/>
        <w:rPr>
          <w:rFonts w:ascii="宋体" w:hAnsi="宋体" w:cs="宋体"/>
          <w:b/>
          <w:sz w:val="30"/>
          <w:szCs w:val="30"/>
        </w:rPr>
      </w:pPr>
      <w:r>
        <w:rPr>
          <w:rFonts w:hint="eastAsia" w:ascii="宋体" w:hAnsi="宋体" w:cs="宋体"/>
          <w:b/>
          <w:bCs/>
          <w:kern w:val="0"/>
          <w:sz w:val="32"/>
          <w:szCs w:val="28"/>
        </w:rPr>
        <w:t>十三、具有良好的商业信誉、具有履行合同所必需的设备和专业技术能力、具有依法缴纳税收和社会保障资金的良好记录承诺函</w:t>
      </w:r>
    </w:p>
    <w:p>
      <w:pPr>
        <w:spacing w:after="60" w:line="360" w:lineRule="auto"/>
        <w:rPr>
          <w:rFonts w:ascii="宋体" w:hAnsi="宋体" w:cs="宋体"/>
          <w:sz w:val="24"/>
        </w:rPr>
      </w:pPr>
    </w:p>
    <w:p>
      <w:pPr>
        <w:spacing w:after="60" w:line="360" w:lineRule="auto"/>
        <w:rPr>
          <w:rFonts w:ascii="宋体" w:hAnsi="宋体" w:cs="宋体"/>
          <w:sz w:val="24"/>
        </w:rPr>
      </w:pPr>
    </w:p>
    <w:p>
      <w:pPr>
        <w:spacing w:after="60" w:line="360" w:lineRule="auto"/>
        <w:rPr>
          <w:rFonts w:ascii="宋体" w:hAnsi="宋体" w:cs="宋体"/>
          <w:snapToGrid w:val="0"/>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招标编号：</w:t>
      </w:r>
      <w:r>
        <w:rPr>
          <w:rFonts w:hint="eastAsia" w:ascii="宋体" w:hAnsi="宋体" w:cs="宋体"/>
          <w:sz w:val="24"/>
          <w:u w:val="single"/>
        </w:rPr>
        <w:t xml:space="preserve">                  </w:t>
      </w:r>
      <w:r>
        <w:rPr>
          <w:rFonts w:hint="eastAsia" w:ascii="宋体" w:hAnsi="宋体" w:cs="宋体"/>
          <w:sz w:val="24"/>
        </w:rPr>
        <w:t xml:space="preserve">  </w:t>
      </w:r>
    </w:p>
    <w:p>
      <w:pPr>
        <w:snapToGrid w:val="0"/>
        <w:spacing w:line="360" w:lineRule="auto"/>
        <w:rPr>
          <w:rFonts w:ascii="宋体" w:hAnsi="宋体" w:cs="宋体"/>
          <w:snapToGrid w:val="0"/>
          <w:sz w:val="24"/>
        </w:rPr>
      </w:pPr>
    </w:p>
    <w:p>
      <w:pPr>
        <w:spacing w:after="60" w:line="360" w:lineRule="auto"/>
        <w:ind w:firstLine="554" w:firstLineChars="198"/>
        <w:jc w:val="center"/>
        <w:rPr>
          <w:rFonts w:ascii="宋体" w:hAnsi="宋体" w:cs="宋体"/>
          <w:sz w:val="28"/>
          <w:szCs w:val="28"/>
        </w:rPr>
      </w:pPr>
      <w:r>
        <w:rPr>
          <w:rFonts w:hint="eastAsia" w:ascii="宋体" w:hAnsi="宋体" w:cs="宋体"/>
          <w:sz w:val="28"/>
          <w:szCs w:val="28"/>
        </w:rPr>
        <w:t>（格式自拟）</w:t>
      </w:r>
    </w:p>
    <w:p>
      <w:pPr>
        <w:spacing w:after="60" w:line="360" w:lineRule="auto"/>
        <w:ind w:firstLine="477" w:firstLineChars="198"/>
        <w:rPr>
          <w:rFonts w:ascii="宋体" w:hAnsi="宋体" w:cs="宋体"/>
          <w:b/>
          <w:sz w:val="24"/>
        </w:rPr>
      </w:pPr>
    </w:p>
    <w:p>
      <w:pPr>
        <w:spacing w:after="60" w:line="360" w:lineRule="auto"/>
        <w:ind w:firstLine="477" w:firstLineChars="198"/>
        <w:rPr>
          <w:rFonts w:ascii="宋体" w:hAnsi="宋体" w:cs="宋体"/>
          <w:b/>
          <w:sz w:val="24"/>
        </w:rPr>
      </w:pPr>
    </w:p>
    <w:p>
      <w:pPr>
        <w:spacing w:after="60" w:line="360" w:lineRule="auto"/>
        <w:rPr>
          <w:rFonts w:ascii="宋体" w:hAnsi="宋体" w:cs="宋体"/>
          <w:b/>
          <w:sz w:val="24"/>
        </w:rPr>
      </w:pPr>
    </w:p>
    <w:p>
      <w:pPr>
        <w:spacing w:after="60" w:line="360" w:lineRule="auto"/>
        <w:rPr>
          <w:rFonts w:ascii="宋体" w:hAnsi="宋体" w:cs="宋体"/>
          <w:b/>
          <w:sz w:val="24"/>
        </w:rPr>
      </w:pPr>
    </w:p>
    <w:p>
      <w:pPr>
        <w:spacing w:after="60" w:line="360" w:lineRule="auto"/>
        <w:rPr>
          <w:rFonts w:ascii="宋体" w:hAnsi="宋体" w:cs="宋体"/>
          <w:b/>
          <w:sz w:val="24"/>
        </w:rPr>
      </w:pPr>
    </w:p>
    <w:p>
      <w:pPr>
        <w:adjustRightInd w:val="0"/>
        <w:spacing w:line="360" w:lineRule="auto"/>
        <w:jc w:val="left"/>
        <w:rPr>
          <w:rFonts w:ascii="宋体" w:hAnsi="宋体" w:cs="宋体"/>
          <w:b/>
          <w:sz w:val="24"/>
        </w:rPr>
      </w:pPr>
      <w:r>
        <w:rPr>
          <w:rFonts w:hint="eastAsia" w:ascii="宋体" w:hAnsi="宋体" w:cs="宋体"/>
          <w:b/>
          <w:sz w:val="24"/>
        </w:rPr>
        <w:t>投标人名称：        （盖章）</w:t>
      </w:r>
    </w:p>
    <w:p>
      <w:pPr>
        <w:adjustRightInd w:val="0"/>
        <w:spacing w:line="360" w:lineRule="auto"/>
        <w:jc w:val="left"/>
        <w:rPr>
          <w:rFonts w:ascii="宋体" w:hAnsi="宋体" w:cs="宋体"/>
          <w:b/>
          <w:sz w:val="24"/>
        </w:rPr>
      </w:pPr>
    </w:p>
    <w:p>
      <w:pPr>
        <w:adjustRightInd w:val="0"/>
        <w:spacing w:line="360" w:lineRule="auto"/>
        <w:jc w:val="left"/>
        <w:rPr>
          <w:rFonts w:ascii="宋体" w:hAnsi="宋体" w:cs="宋体"/>
          <w:b/>
          <w:sz w:val="24"/>
        </w:rPr>
      </w:pPr>
      <w:r>
        <w:rPr>
          <w:rFonts w:hint="eastAsia" w:ascii="宋体" w:hAnsi="宋体" w:cs="宋体"/>
          <w:b/>
          <w:sz w:val="24"/>
        </w:rPr>
        <w:t>法定代表人或授权代表（签字或盖章）：</w:t>
      </w:r>
    </w:p>
    <w:p>
      <w:pPr>
        <w:adjustRightInd w:val="0"/>
        <w:spacing w:line="360" w:lineRule="auto"/>
        <w:jc w:val="left"/>
        <w:rPr>
          <w:rFonts w:ascii="宋体" w:hAnsi="宋体" w:cs="宋体"/>
          <w:b/>
          <w:sz w:val="24"/>
        </w:rPr>
      </w:pPr>
    </w:p>
    <w:p>
      <w:pPr>
        <w:adjustRightInd w:val="0"/>
        <w:spacing w:line="360" w:lineRule="auto"/>
        <w:jc w:val="left"/>
        <w:rPr>
          <w:rFonts w:ascii="宋体" w:hAnsi="宋体" w:cs="宋体"/>
        </w:rPr>
      </w:pPr>
      <w:r>
        <w:rPr>
          <w:rFonts w:hint="eastAsia" w:ascii="宋体" w:hAnsi="宋体" w:cs="宋体"/>
          <w:b/>
          <w:sz w:val="24"/>
        </w:rPr>
        <w:t>日期：</w:t>
      </w:r>
    </w:p>
    <w:p>
      <w:pPr>
        <w:pStyle w:val="7"/>
        <w:jc w:val="both"/>
        <w:rPr>
          <w:rFonts w:ascii="宋体" w:hAnsi="宋体" w:eastAsia="宋体" w:cs="宋体"/>
        </w:rPr>
      </w:pPr>
    </w:p>
    <w:p>
      <w:pPr>
        <w:pStyle w:val="7"/>
        <w:rPr>
          <w:rFonts w:ascii="宋体" w:hAnsi="宋体" w:eastAsia="宋体" w:cs="宋体"/>
        </w:rPr>
      </w:pPr>
      <w:r>
        <w:rPr>
          <w:rFonts w:hint="eastAsia" w:ascii="宋体" w:hAnsi="宋体" w:eastAsia="宋体" w:cs="宋体"/>
        </w:rPr>
        <w:br w:type="page"/>
      </w:r>
      <w:r>
        <w:rPr>
          <w:rFonts w:hint="eastAsia" w:ascii="宋体" w:hAnsi="宋体" w:eastAsia="宋体" w:cs="宋体"/>
        </w:rPr>
        <w:t>十四、本项目参加政府采购活动的投标人在前三年内不得具有行贿犯罪记录的承诺</w:t>
      </w:r>
    </w:p>
    <w:p>
      <w:pPr>
        <w:rPr>
          <w:rFonts w:ascii="宋体" w:hAnsi="宋体" w:cs="宋体"/>
        </w:rPr>
      </w:pPr>
    </w:p>
    <w:p>
      <w:pPr>
        <w:spacing w:line="440" w:lineRule="exact"/>
        <w:outlineLvl w:val="5"/>
        <w:rPr>
          <w:rFonts w:ascii="宋体" w:hAnsi="宋体" w:cs="宋体"/>
          <w:sz w:val="24"/>
        </w:rPr>
      </w:pPr>
      <w:r>
        <w:rPr>
          <w:rFonts w:hint="eastAsia" w:ascii="宋体" w:hAnsi="宋体" w:cs="宋体"/>
          <w:sz w:val="24"/>
        </w:rPr>
        <w:t>致：四川五洲招标代理有限公司</w:t>
      </w:r>
    </w:p>
    <w:p>
      <w:pPr>
        <w:pStyle w:val="6"/>
        <w:adjustRightInd w:val="0"/>
        <w:snapToGrid w:val="0"/>
        <w:spacing w:line="360" w:lineRule="auto"/>
        <w:ind w:firstLine="470" w:firstLineChars="196"/>
        <w:rPr>
          <w:rFonts w:ascii="宋体" w:hAnsi="宋体" w:cs="宋体"/>
        </w:rPr>
      </w:pPr>
    </w:p>
    <w:p>
      <w:pPr>
        <w:adjustRightInd w:val="0"/>
        <w:snapToGrid w:val="0"/>
        <w:spacing w:line="360" w:lineRule="auto"/>
        <w:ind w:firstLine="482" w:firstLineChars="200"/>
        <w:jc w:val="left"/>
        <w:outlineLvl w:val="2"/>
        <w:rPr>
          <w:rFonts w:ascii="宋体" w:hAnsi="宋体" w:cs="宋体"/>
          <w:b/>
          <w:bCs/>
          <w:sz w:val="24"/>
          <w:szCs w:val="32"/>
        </w:rPr>
      </w:pPr>
      <w:r>
        <w:rPr>
          <w:rFonts w:hint="eastAsia" w:ascii="宋体" w:hAnsi="宋体" w:cs="宋体"/>
          <w:b/>
          <w:bCs/>
          <w:sz w:val="24"/>
          <w:szCs w:val="32"/>
        </w:rPr>
        <w:t>依据《关于在政府采购活动中全面开展行贿犯罪档案查询的通知》（川检会〔2016〕5号）的规定，本单位承诺在参加本项目政府采购活动前三年中本单位及其现任法定代表人、主要负责人不具有行贿犯罪记录。</w:t>
      </w:r>
    </w:p>
    <w:p>
      <w:pPr>
        <w:adjustRightInd w:val="0"/>
        <w:snapToGrid w:val="0"/>
        <w:spacing w:line="360" w:lineRule="auto"/>
        <w:ind w:firstLine="482" w:firstLineChars="200"/>
        <w:jc w:val="left"/>
        <w:outlineLvl w:val="2"/>
        <w:rPr>
          <w:rFonts w:ascii="宋体" w:hAnsi="宋体" w:cs="宋体"/>
          <w:b/>
          <w:bCs/>
          <w:sz w:val="24"/>
          <w:szCs w:val="32"/>
        </w:rPr>
      </w:pPr>
      <w:r>
        <w:rPr>
          <w:rFonts w:hint="eastAsia" w:ascii="宋体" w:hAnsi="宋体" w:cs="宋体"/>
          <w:b/>
          <w:bCs/>
          <w:sz w:val="24"/>
          <w:szCs w:val="32"/>
        </w:rPr>
        <w:t>本公司对上述承诺内容事项真实性负责。如经查实上述承诺的内容事项存在虚假，我公司愿意接受以提供虚假材料谋取中标追究法律责任。</w:t>
      </w:r>
    </w:p>
    <w:p>
      <w:pPr>
        <w:adjustRightInd w:val="0"/>
        <w:snapToGrid w:val="0"/>
        <w:spacing w:line="360" w:lineRule="auto"/>
        <w:ind w:firstLine="482" w:firstLineChars="200"/>
        <w:jc w:val="left"/>
        <w:outlineLvl w:val="2"/>
        <w:rPr>
          <w:rFonts w:ascii="宋体" w:hAnsi="宋体" w:cs="宋体"/>
          <w:sz w:val="24"/>
        </w:rPr>
      </w:pPr>
      <w:r>
        <w:rPr>
          <w:rFonts w:hint="eastAsia" w:ascii="宋体" w:hAnsi="宋体" w:cs="宋体"/>
          <w:b/>
          <w:bCs/>
          <w:sz w:val="24"/>
          <w:szCs w:val="32"/>
        </w:rPr>
        <w:t>且同时承诺如本单位中标，如果虚假承诺，作无效投标、中标处理。</w:t>
      </w:r>
    </w:p>
    <w:p>
      <w:pPr>
        <w:adjustRightInd w:val="0"/>
        <w:spacing w:line="360" w:lineRule="auto"/>
        <w:jc w:val="left"/>
        <w:outlineLvl w:val="2"/>
        <w:rPr>
          <w:rFonts w:ascii="宋体" w:hAnsi="宋体" w:cs="宋体"/>
          <w:b/>
          <w:sz w:val="24"/>
        </w:rPr>
      </w:pPr>
    </w:p>
    <w:p>
      <w:pPr>
        <w:adjustRightInd w:val="0"/>
        <w:spacing w:line="360" w:lineRule="auto"/>
        <w:jc w:val="left"/>
        <w:outlineLvl w:val="2"/>
        <w:rPr>
          <w:rFonts w:ascii="宋体" w:hAnsi="宋体" w:cs="宋体"/>
          <w:b/>
          <w:sz w:val="24"/>
        </w:rPr>
      </w:pPr>
    </w:p>
    <w:p>
      <w:pPr>
        <w:adjustRightInd w:val="0"/>
        <w:spacing w:line="360" w:lineRule="auto"/>
        <w:jc w:val="left"/>
        <w:outlineLvl w:val="2"/>
        <w:rPr>
          <w:rFonts w:ascii="宋体" w:hAnsi="宋体" w:cs="宋体"/>
          <w:b/>
          <w:sz w:val="24"/>
        </w:rPr>
      </w:pPr>
    </w:p>
    <w:p>
      <w:pPr>
        <w:adjustRightInd w:val="0"/>
        <w:spacing w:line="360" w:lineRule="auto"/>
        <w:jc w:val="left"/>
        <w:outlineLvl w:val="2"/>
        <w:rPr>
          <w:rFonts w:ascii="宋体" w:hAnsi="宋体" w:cs="宋体"/>
          <w:b/>
          <w:sz w:val="24"/>
        </w:rPr>
      </w:pPr>
    </w:p>
    <w:p>
      <w:pPr>
        <w:adjustRightInd w:val="0"/>
        <w:spacing w:line="360" w:lineRule="auto"/>
        <w:jc w:val="left"/>
        <w:outlineLvl w:val="2"/>
        <w:rPr>
          <w:rFonts w:ascii="宋体" w:hAnsi="宋体" w:cs="宋体"/>
          <w:bCs/>
          <w:sz w:val="24"/>
        </w:rPr>
      </w:pPr>
      <w:r>
        <w:rPr>
          <w:rFonts w:hint="eastAsia" w:ascii="宋体" w:hAnsi="宋体" w:cs="宋体"/>
          <w:bCs/>
          <w:sz w:val="24"/>
        </w:rPr>
        <w:t>投标人名称：        （盖单位公章）</w:t>
      </w:r>
    </w:p>
    <w:p>
      <w:pPr>
        <w:adjustRightInd w:val="0"/>
        <w:spacing w:line="360" w:lineRule="auto"/>
        <w:jc w:val="left"/>
        <w:outlineLvl w:val="2"/>
        <w:rPr>
          <w:rFonts w:ascii="宋体" w:hAnsi="宋体" w:cs="宋体"/>
          <w:bCs/>
          <w:sz w:val="24"/>
        </w:rPr>
      </w:pPr>
      <w:r>
        <w:rPr>
          <w:rFonts w:hint="eastAsia" w:ascii="宋体" w:hAnsi="宋体" w:cs="宋体"/>
          <w:bCs/>
          <w:sz w:val="24"/>
        </w:rPr>
        <w:t>法定代表人或授权代表（签字）：</w:t>
      </w:r>
    </w:p>
    <w:p>
      <w:pPr>
        <w:adjustRightInd w:val="0"/>
        <w:spacing w:line="360" w:lineRule="auto"/>
        <w:jc w:val="left"/>
        <w:outlineLvl w:val="2"/>
        <w:rPr>
          <w:rFonts w:ascii="宋体" w:hAnsi="宋体" w:cs="宋体"/>
          <w:bCs/>
          <w:sz w:val="24"/>
        </w:rPr>
      </w:pPr>
      <w:r>
        <w:rPr>
          <w:rFonts w:hint="eastAsia" w:ascii="宋体" w:hAnsi="宋体" w:cs="宋体"/>
          <w:bCs/>
          <w:sz w:val="24"/>
        </w:rPr>
        <w:t>日期：</w:t>
      </w:r>
    </w:p>
    <w:p>
      <w:pPr>
        <w:pStyle w:val="6"/>
        <w:spacing w:line="360" w:lineRule="auto"/>
        <w:ind w:firstLine="480"/>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360" w:lineRule="auto"/>
        <w:jc w:val="center"/>
        <w:rPr>
          <w:rFonts w:ascii="宋体" w:hAnsi="宋体" w:cs="宋体"/>
        </w:rPr>
      </w:pPr>
      <w:r>
        <w:rPr>
          <w:rFonts w:hint="eastAsia" w:ascii="宋体" w:hAnsi="宋体" w:cs="宋体"/>
          <w:b/>
          <w:bCs/>
          <w:kern w:val="0"/>
          <w:sz w:val="32"/>
          <w:szCs w:val="28"/>
        </w:rPr>
        <w:br w:type="page"/>
      </w:r>
      <w:r>
        <w:rPr>
          <w:rFonts w:hint="eastAsia" w:ascii="宋体" w:hAnsi="宋体" w:cs="宋体"/>
          <w:b/>
          <w:bCs/>
          <w:kern w:val="0"/>
          <w:sz w:val="32"/>
          <w:szCs w:val="28"/>
        </w:rPr>
        <w:t>十五、近三年在经营活动中没有重大违法记录的书面声明</w:t>
      </w:r>
    </w:p>
    <w:p>
      <w:pPr>
        <w:spacing w:line="360" w:lineRule="auto"/>
        <w:rPr>
          <w:rFonts w:ascii="宋体" w:hAnsi="宋体" w:cs="宋体"/>
        </w:rPr>
      </w:pPr>
    </w:p>
    <w:p>
      <w:pPr>
        <w:adjustRightInd w:val="0"/>
        <w:snapToGrid w:val="0"/>
        <w:spacing w:line="360" w:lineRule="auto"/>
        <w:ind w:left="480" w:hanging="480" w:hangingChars="200"/>
        <w:rPr>
          <w:rFonts w:ascii="宋体" w:hAnsi="宋体" w:cs="宋体"/>
          <w:sz w:val="24"/>
        </w:rPr>
      </w:pPr>
      <w:r>
        <w:rPr>
          <w:rFonts w:hint="eastAsia" w:ascii="宋体" w:hAnsi="宋体" w:cs="宋体"/>
          <w:sz w:val="24"/>
        </w:rPr>
        <w:t xml:space="preserve">致：四川五洲招标代理有限公司          </w:t>
      </w:r>
    </w:p>
    <w:p>
      <w:pPr>
        <w:adjustRightInd w:val="0"/>
        <w:snapToGrid w:val="0"/>
        <w:spacing w:line="360" w:lineRule="auto"/>
        <w:ind w:left="480" w:hanging="480" w:hangingChars="200"/>
        <w:rPr>
          <w:rFonts w:ascii="宋体" w:hAnsi="宋体" w:cs="宋体"/>
          <w:sz w:val="24"/>
        </w:rPr>
      </w:pPr>
      <w:r>
        <w:rPr>
          <w:rFonts w:hint="eastAsia" w:ascii="宋体" w:hAnsi="宋体" w:cs="宋体"/>
          <w:sz w:val="24"/>
        </w:rPr>
        <w:t xml:space="preserve">      </w:t>
      </w:r>
    </w:p>
    <w:p>
      <w:pPr>
        <w:snapToGrid w:val="0"/>
        <w:spacing w:line="360" w:lineRule="auto"/>
        <w:ind w:firstLine="482" w:firstLineChars="200"/>
        <w:rPr>
          <w:rFonts w:ascii="宋体" w:hAnsi="宋体" w:cs="宋体"/>
          <w:b/>
          <w:bCs/>
          <w:sz w:val="24"/>
        </w:rPr>
      </w:pPr>
      <w:r>
        <w:rPr>
          <w:rFonts w:hint="eastAsia" w:ascii="宋体" w:hAnsi="宋体" w:cs="宋体"/>
          <w:b/>
          <w:sz w:val="24"/>
        </w:rPr>
        <w:t>本单位</w:t>
      </w:r>
      <w:r>
        <w:rPr>
          <w:rFonts w:hint="eastAsia" w:ascii="宋体" w:hAnsi="宋体" w:cs="宋体"/>
          <w:b/>
          <w:bCs/>
          <w:sz w:val="24"/>
          <w:u w:val="single"/>
        </w:rPr>
        <w:t xml:space="preserve">                     </w:t>
      </w:r>
      <w:r>
        <w:rPr>
          <w:rFonts w:hint="eastAsia" w:ascii="宋体" w:hAnsi="宋体" w:cs="宋体"/>
          <w:b/>
          <w:bCs/>
          <w:sz w:val="24"/>
        </w:rPr>
        <w:t>（公司名称）参加</w:t>
      </w:r>
      <w:r>
        <w:rPr>
          <w:rFonts w:hint="eastAsia" w:ascii="宋体" w:hAnsi="宋体" w:cs="宋体"/>
          <w:b/>
          <w:bCs/>
          <w:sz w:val="24"/>
          <w:u w:val="single"/>
        </w:rPr>
        <w:t xml:space="preserve">                  </w:t>
      </w:r>
      <w:r>
        <w:rPr>
          <w:rFonts w:hint="eastAsia" w:ascii="宋体" w:hAnsi="宋体" w:cs="宋体"/>
          <w:b/>
          <w:bCs/>
          <w:sz w:val="24"/>
        </w:rPr>
        <w:t>（项目名称）的投标活动，现承诺本单位在参加政府采购活动前三年内，在经营活动中没有重大违法记录。</w:t>
      </w:r>
    </w:p>
    <w:p>
      <w:pPr>
        <w:snapToGrid w:val="0"/>
        <w:spacing w:line="360" w:lineRule="auto"/>
        <w:rPr>
          <w:rFonts w:ascii="宋体" w:hAnsi="宋体" w:cs="宋体"/>
        </w:rPr>
      </w:pPr>
      <w:r>
        <w:rPr>
          <w:rFonts w:hint="eastAsia" w:ascii="宋体" w:hAnsi="宋体" w:cs="宋体"/>
          <w:b/>
          <w:bCs/>
          <w:sz w:val="24"/>
        </w:rPr>
        <w:t xml:space="preserve">   </w:t>
      </w:r>
      <w:r>
        <w:rPr>
          <w:rFonts w:hint="eastAsia" w:ascii="宋体" w:hAnsi="宋体" w:cs="宋体"/>
          <w:sz w:val="24"/>
        </w:rPr>
        <w:t>本单位对上述承诺内容事项真实性负责。如经查实上述承诺的内容事项存在虚假，本单位愿意接受以提供虚假材料谋取中标追究法律责任。</w:t>
      </w:r>
    </w:p>
    <w:p>
      <w:pPr>
        <w:spacing w:line="360" w:lineRule="auto"/>
        <w:rPr>
          <w:rFonts w:ascii="宋体" w:hAnsi="宋体" w:cs="宋体"/>
        </w:rPr>
      </w:pPr>
    </w:p>
    <w:p>
      <w:pPr>
        <w:spacing w:line="360" w:lineRule="auto"/>
        <w:rPr>
          <w:rFonts w:ascii="宋体" w:hAnsi="宋体" w:cs="宋体"/>
        </w:rPr>
      </w:pPr>
    </w:p>
    <w:p>
      <w:pPr>
        <w:spacing w:line="360" w:lineRule="auto"/>
        <w:ind w:firstLine="420" w:firstLineChars="200"/>
        <w:rPr>
          <w:rFonts w:ascii="宋体" w:hAnsi="宋体" w:cs="宋体"/>
          <w:szCs w:val="21"/>
        </w:rPr>
      </w:pPr>
      <w:r>
        <w:rPr>
          <w:rFonts w:hint="eastAsia" w:ascii="宋体" w:hAnsi="宋体" w:cs="宋体"/>
          <w:szCs w:val="21"/>
        </w:rPr>
        <w:t xml:space="preserve">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 </w:t>
      </w:r>
    </w:p>
    <w:p>
      <w:pPr>
        <w:spacing w:line="360" w:lineRule="auto"/>
        <w:rPr>
          <w:rFonts w:ascii="宋体" w:hAnsi="宋体" w:cs="宋体"/>
        </w:rPr>
      </w:pPr>
    </w:p>
    <w:p>
      <w:pPr>
        <w:spacing w:line="360" w:lineRule="auto"/>
        <w:rPr>
          <w:rFonts w:ascii="宋体" w:hAnsi="宋体" w:cs="宋体"/>
        </w:rPr>
      </w:pPr>
    </w:p>
    <w:p>
      <w:pPr>
        <w:adjustRightInd w:val="0"/>
        <w:snapToGrid w:val="0"/>
        <w:spacing w:line="360" w:lineRule="auto"/>
        <w:rPr>
          <w:rFonts w:ascii="宋体" w:hAnsi="宋体" w:cs="宋体"/>
          <w:sz w:val="24"/>
        </w:rPr>
      </w:pPr>
      <w:r>
        <w:rPr>
          <w:rFonts w:hint="eastAsia" w:ascii="宋体" w:hAnsi="宋体" w:cs="宋体"/>
          <w:sz w:val="24"/>
        </w:rPr>
        <w:t>投标人名称：        （盖章）</w:t>
      </w:r>
    </w:p>
    <w:p>
      <w:pPr>
        <w:adjustRightInd w:val="0"/>
        <w:snapToGrid w:val="0"/>
        <w:spacing w:line="360" w:lineRule="auto"/>
        <w:rPr>
          <w:rFonts w:ascii="宋体" w:hAnsi="宋体" w:cs="宋体"/>
          <w:sz w:val="24"/>
        </w:rPr>
      </w:pPr>
      <w:r>
        <w:rPr>
          <w:rFonts w:hint="eastAsia" w:ascii="宋体" w:hAnsi="宋体" w:cs="宋体"/>
          <w:sz w:val="24"/>
        </w:rPr>
        <w:t>法定代表人或授权代表（签字）：</w:t>
      </w:r>
    </w:p>
    <w:p>
      <w:pPr>
        <w:adjustRightInd w:val="0"/>
        <w:snapToGrid w:val="0"/>
        <w:spacing w:line="360" w:lineRule="auto"/>
        <w:rPr>
          <w:rFonts w:ascii="宋体" w:hAnsi="宋体" w:cs="宋体"/>
          <w:sz w:val="24"/>
        </w:rPr>
      </w:pPr>
      <w:r>
        <w:rPr>
          <w:rFonts w:hint="eastAsia" w:ascii="宋体" w:hAnsi="宋体" w:cs="宋体"/>
          <w:sz w:val="24"/>
        </w:rPr>
        <w:t>日期：</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7"/>
        <w:tabs>
          <w:tab w:val="left" w:pos="3400"/>
        </w:tabs>
        <w:spacing w:line="360" w:lineRule="auto"/>
        <w:rPr>
          <w:rFonts w:ascii="宋体" w:hAnsi="宋体" w:eastAsia="宋体" w:cs="宋体"/>
        </w:rPr>
      </w:pPr>
      <w:r>
        <w:rPr>
          <w:rFonts w:hint="eastAsia" w:ascii="宋体" w:hAnsi="宋体" w:eastAsia="宋体" w:cs="宋体"/>
        </w:rPr>
        <w:t>十六、知识产权声明函</w:t>
      </w:r>
    </w:p>
    <w:p>
      <w:pPr>
        <w:rPr>
          <w:rFonts w:ascii="宋体" w:hAnsi="宋体" w:cs="宋体"/>
          <w:sz w:val="24"/>
        </w:rPr>
      </w:pPr>
      <w:r>
        <w:rPr>
          <w:rFonts w:hint="eastAsia" w:ascii="宋体" w:hAnsi="宋体" w:cs="宋体"/>
          <w:sz w:val="24"/>
        </w:rPr>
        <w:t xml:space="preserve">致：四川五洲招标代理有限公司  </w:t>
      </w:r>
    </w:p>
    <w:p>
      <w:pPr>
        <w:pStyle w:val="2"/>
        <w:rPr>
          <w:rFonts w:ascii="宋体" w:hAnsi="宋体" w:cs="宋体"/>
        </w:rPr>
      </w:pPr>
    </w:p>
    <w:p>
      <w:pPr>
        <w:pStyle w:val="2"/>
        <w:ind w:firstLine="482" w:firstLineChars="200"/>
        <w:rPr>
          <w:rFonts w:ascii="宋体" w:hAnsi="宋体" w:cs="宋体"/>
          <w:b/>
          <w:bCs/>
          <w:sz w:val="24"/>
        </w:rPr>
      </w:pPr>
      <w:r>
        <w:rPr>
          <w:rFonts w:hint="eastAsia" w:ascii="宋体" w:hAnsi="宋体" w:cs="宋体"/>
          <w:b/>
          <w:bCs/>
          <w:sz w:val="24"/>
        </w:rPr>
        <w:t>本单位</w:t>
      </w:r>
      <w:r>
        <w:rPr>
          <w:rFonts w:hint="eastAsia" w:ascii="宋体" w:hAnsi="宋体" w:cs="宋体"/>
          <w:b/>
          <w:bCs/>
          <w:sz w:val="24"/>
          <w:u w:val="single"/>
        </w:rPr>
        <w:t xml:space="preserve">                     </w:t>
      </w:r>
      <w:r>
        <w:rPr>
          <w:rFonts w:hint="eastAsia" w:ascii="宋体" w:hAnsi="宋体" w:cs="宋体"/>
          <w:b/>
          <w:bCs/>
          <w:sz w:val="24"/>
        </w:rPr>
        <w:t>（公司名称）参加</w:t>
      </w:r>
      <w:r>
        <w:rPr>
          <w:rFonts w:hint="eastAsia" w:ascii="宋体" w:hAnsi="宋体" w:cs="宋体"/>
          <w:b/>
          <w:bCs/>
          <w:sz w:val="24"/>
          <w:u w:val="single"/>
        </w:rPr>
        <w:t xml:space="preserve">                  </w:t>
      </w:r>
      <w:r>
        <w:rPr>
          <w:rFonts w:hint="eastAsia" w:ascii="宋体" w:hAnsi="宋体" w:cs="宋体"/>
          <w:b/>
          <w:bCs/>
          <w:sz w:val="24"/>
        </w:rPr>
        <w:t>（项目名称）的投标活动，现承诺声明：</w:t>
      </w:r>
    </w:p>
    <w:p>
      <w:pPr>
        <w:pStyle w:val="2"/>
        <w:ind w:firstLine="480" w:firstLineChars="200"/>
        <w:rPr>
          <w:rFonts w:ascii="宋体" w:hAnsi="宋体" w:cs="宋体"/>
          <w:bCs/>
          <w:sz w:val="24"/>
        </w:rPr>
      </w:pPr>
      <w:r>
        <w:rPr>
          <w:rFonts w:hint="eastAsia" w:ascii="宋体" w:hAnsi="宋体" w:cs="宋体"/>
          <w:bCs/>
          <w:sz w:val="24"/>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2"/>
        <w:ind w:firstLine="480" w:firstLineChars="200"/>
        <w:rPr>
          <w:rFonts w:ascii="宋体" w:hAnsi="宋体" w:cs="宋体"/>
          <w:bCs/>
          <w:sz w:val="24"/>
        </w:rPr>
      </w:pPr>
      <w:r>
        <w:rPr>
          <w:rFonts w:hint="eastAsia" w:ascii="宋体" w:hAnsi="宋体" w:cs="宋体"/>
          <w:bCs/>
          <w:sz w:val="24"/>
        </w:rPr>
        <w:t>2.采购人享有本项目实施过程中产生的知识成果及知识产权。</w:t>
      </w:r>
    </w:p>
    <w:p>
      <w:pPr>
        <w:pStyle w:val="2"/>
        <w:ind w:firstLine="480" w:firstLineChars="200"/>
        <w:rPr>
          <w:rFonts w:ascii="宋体" w:hAnsi="宋体" w:cs="宋体"/>
          <w:bCs/>
          <w:sz w:val="24"/>
        </w:rPr>
      </w:pPr>
      <w:r>
        <w:rPr>
          <w:rFonts w:hint="eastAsia" w:ascii="宋体" w:hAnsi="宋体" w:cs="宋体"/>
          <w:bCs/>
          <w:sz w:val="24"/>
        </w:rPr>
        <w:t>3.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2"/>
        <w:ind w:firstLine="480" w:firstLineChars="200"/>
        <w:rPr>
          <w:rFonts w:ascii="宋体" w:hAnsi="宋体" w:cs="宋体"/>
        </w:rPr>
      </w:pPr>
      <w:r>
        <w:rPr>
          <w:rFonts w:hint="eastAsia" w:ascii="宋体" w:hAnsi="宋体" w:cs="宋体"/>
          <w:bCs/>
          <w:sz w:val="24"/>
        </w:rPr>
        <w:t xml:space="preserve">4.如采用本单位所不拥有的知识产权，本单位承诺在本项目投标报价中已经包括合法获取该知识产权的相关费用。 </w:t>
      </w:r>
      <w:r>
        <w:rPr>
          <w:rFonts w:hint="eastAsia" w:ascii="宋体" w:hAnsi="宋体" w:cs="宋体"/>
        </w:rPr>
        <w:t xml:space="preserve"> </w:t>
      </w:r>
    </w:p>
    <w:p>
      <w:pPr>
        <w:pStyle w:val="2"/>
        <w:ind w:firstLine="482" w:firstLineChars="200"/>
        <w:rPr>
          <w:rFonts w:ascii="宋体" w:hAnsi="宋体" w:cs="宋体"/>
          <w:b/>
          <w:bCs/>
          <w:sz w:val="24"/>
        </w:rPr>
      </w:pPr>
    </w:p>
    <w:p>
      <w:pPr>
        <w:pStyle w:val="2"/>
        <w:ind w:firstLine="482" w:firstLineChars="200"/>
        <w:rPr>
          <w:rFonts w:ascii="宋体" w:hAnsi="宋体" w:cs="宋体"/>
          <w:b/>
          <w:bCs/>
          <w:sz w:val="24"/>
        </w:rPr>
      </w:pPr>
      <w:r>
        <w:rPr>
          <w:rFonts w:hint="eastAsia" w:ascii="宋体" w:hAnsi="宋体" w:cs="宋体"/>
          <w:b/>
          <w:bCs/>
          <w:sz w:val="24"/>
        </w:rPr>
        <w:t>本单位对上述承诺声明内容事项真实性负责。如经查实上述承诺声明的内容事项存在虚假或未履行，本单位愿意接受以提供虚假材料谋取中标追究法律责任。</w:t>
      </w:r>
    </w:p>
    <w:p>
      <w:pPr>
        <w:pStyle w:val="2"/>
        <w:ind w:firstLine="482" w:firstLineChars="200"/>
        <w:rPr>
          <w:rFonts w:ascii="宋体" w:hAnsi="宋体" w:cs="宋体"/>
          <w:b/>
          <w:bCs/>
          <w:sz w:val="24"/>
        </w:rPr>
      </w:pPr>
    </w:p>
    <w:p>
      <w:pPr>
        <w:pStyle w:val="2"/>
        <w:ind w:firstLine="482" w:firstLineChars="200"/>
        <w:rPr>
          <w:rFonts w:ascii="宋体" w:hAnsi="宋体" w:cs="宋体"/>
          <w:b/>
          <w:bCs/>
          <w:sz w:val="24"/>
        </w:rPr>
      </w:pPr>
    </w:p>
    <w:p>
      <w:pPr>
        <w:adjustRightInd w:val="0"/>
        <w:snapToGrid w:val="0"/>
        <w:spacing w:line="360" w:lineRule="auto"/>
        <w:rPr>
          <w:rFonts w:ascii="宋体" w:hAnsi="宋体" w:cs="宋体"/>
          <w:sz w:val="24"/>
        </w:rPr>
      </w:pPr>
      <w:r>
        <w:rPr>
          <w:rFonts w:hint="eastAsia" w:ascii="宋体" w:hAnsi="宋体" w:cs="宋体"/>
          <w:sz w:val="24"/>
        </w:rPr>
        <w:t>投标人名称：        （盖章）</w:t>
      </w:r>
    </w:p>
    <w:p>
      <w:pPr>
        <w:tabs>
          <w:tab w:val="left" w:pos="5550"/>
        </w:tabs>
        <w:adjustRightInd w:val="0"/>
        <w:snapToGrid w:val="0"/>
        <w:spacing w:line="360" w:lineRule="auto"/>
        <w:rPr>
          <w:rFonts w:ascii="宋体" w:hAnsi="宋体" w:cs="宋体"/>
          <w:sz w:val="24"/>
        </w:rPr>
      </w:pPr>
      <w:r>
        <w:rPr>
          <w:rFonts w:hint="eastAsia" w:ascii="宋体" w:hAnsi="宋体" w:cs="宋体"/>
          <w:sz w:val="24"/>
        </w:rPr>
        <w:t>法定代表人或授权代表（签字）：</w:t>
      </w:r>
      <w:r>
        <w:rPr>
          <w:rFonts w:hint="eastAsia" w:ascii="宋体" w:hAnsi="宋体" w:cs="宋体"/>
          <w:sz w:val="24"/>
        </w:rPr>
        <w:tab/>
      </w:r>
    </w:p>
    <w:p>
      <w:pPr>
        <w:rPr>
          <w:rFonts w:ascii="宋体" w:hAnsi="宋体" w:cs="宋体"/>
        </w:rPr>
      </w:pPr>
      <w:r>
        <w:rPr>
          <w:rFonts w:hint="eastAsia" w:ascii="宋体" w:hAnsi="宋体" w:cs="宋体"/>
          <w:sz w:val="24"/>
        </w:rPr>
        <w:t>日期：</w:t>
      </w:r>
    </w:p>
    <w:p>
      <w:pPr>
        <w:pStyle w:val="2"/>
        <w:rPr>
          <w:rFonts w:ascii="宋体" w:hAnsi="宋体" w:cs="宋体"/>
        </w:rPr>
      </w:pPr>
    </w:p>
    <w:p>
      <w:pPr>
        <w:pStyle w:val="2"/>
        <w:rPr>
          <w:rFonts w:ascii="宋体" w:hAnsi="宋体" w:cs="宋体"/>
        </w:rPr>
      </w:pPr>
    </w:p>
    <w:p>
      <w:pPr>
        <w:pStyle w:val="7"/>
        <w:tabs>
          <w:tab w:val="left" w:pos="3400"/>
        </w:tabs>
        <w:spacing w:line="360" w:lineRule="auto"/>
        <w:jc w:val="both"/>
        <w:rPr>
          <w:rFonts w:ascii="宋体" w:hAnsi="宋体" w:eastAsia="宋体" w:cs="宋体"/>
        </w:rPr>
      </w:pPr>
    </w:p>
    <w:p>
      <w:pPr>
        <w:rPr>
          <w:rFonts w:ascii="宋体" w:hAnsi="宋体" w:cs="宋体"/>
        </w:rPr>
      </w:pPr>
    </w:p>
    <w:p>
      <w:pPr>
        <w:pStyle w:val="67"/>
        <w:snapToGrid w:val="0"/>
        <w:spacing w:line="360" w:lineRule="auto"/>
        <w:ind w:left="1" w:firstLine="680" w:firstLineChars="200"/>
        <w:rPr>
          <w:rFonts w:hAnsi="宋体" w:cs="宋体"/>
        </w:rPr>
      </w:pPr>
    </w:p>
    <w:p>
      <w:pPr>
        <w:pStyle w:val="67"/>
        <w:snapToGrid w:val="0"/>
        <w:spacing w:line="360" w:lineRule="auto"/>
        <w:ind w:left="1" w:firstLine="680" w:firstLineChars="200"/>
        <w:rPr>
          <w:rFonts w:hAnsi="宋体" w:cs="宋体"/>
        </w:rPr>
      </w:pPr>
    </w:p>
    <w:p>
      <w:pPr>
        <w:pStyle w:val="7"/>
        <w:tabs>
          <w:tab w:val="left" w:pos="3400"/>
        </w:tabs>
        <w:spacing w:line="360" w:lineRule="auto"/>
        <w:rPr>
          <w:rFonts w:ascii="宋体" w:hAnsi="宋体" w:eastAsia="宋体" w:cs="宋体"/>
        </w:rPr>
      </w:pPr>
      <w:r>
        <w:rPr>
          <w:rFonts w:hint="eastAsia" w:ascii="宋体" w:hAnsi="宋体" w:eastAsia="宋体" w:cs="宋体"/>
        </w:rPr>
        <w:t>十七、关于投标人控股关系声明函</w:t>
      </w:r>
    </w:p>
    <w:p>
      <w:pPr>
        <w:rPr>
          <w:rFonts w:ascii="宋体" w:hAnsi="宋体" w:cs="宋体"/>
          <w:sz w:val="24"/>
        </w:rPr>
      </w:pPr>
      <w:r>
        <w:rPr>
          <w:rFonts w:hint="eastAsia" w:ascii="宋体" w:hAnsi="宋体" w:cs="宋体"/>
          <w:sz w:val="24"/>
        </w:rPr>
        <w:t xml:space="preserve">四川五洲招标代理有限公司  </w:t>
      </w:r>
    </w:p>
    <w:p>
      <w:pPr>
        <w:pStyle w:val="2"/>
        <w:ind w:firstLine="482" w:firstLineChars="200"/>
        <w:rPr>
          <w:rFonts w:ascii="宋体" w:hAnsi="宋体" w:cs="宋体"/>
          <w:b/>
          <w:bCs/>
          <w:sz w:val="24"/>
        </w:rPr>
      </w:pPr>
    </w:p>
    <w:p>
      <w:pPr>
        <w:pStyle w:val="2"/>
        <w:ind w:firstLine="482" w:firstLineChars="200"/>
        <w:rPr>
          <w:rFonts w:ascii="宋体" w:hAnsi="宋体" w:cs="宋体"/>
          <w:b/>
          <w:bCs/>
          <w:sz w:val="24"/>
        </w:rPr>
      </w:pPr>
      <w:r>
        <w:rPr>
          <w:rFonts w:hint="eastAsia" w:ascii="宋体" w:hAnsi="宋体" w:cs="宋体"/>
          <w:b/>
          <w:bCs/>
          <w:sz w:val="24"/>
        </w:rPr>
        <w:t>本单位</w:t>
      </w:r>
      <w:r>
        <w:rPr>
          <w:rFonts w:hint="eastAsia" w:ascii="宋体" w:hAnsi="宋体" w:cs="宋体"/>
          <w:b/>
          <w:bCs/>
          <w:sz w:val="24"/>
          <w:u w:val="single"/>
        </w:rPr>
        <w:t xml:space="preserve">                     </w:t>
      </w:r>
      <w:r>
        <w:rPr>
          <w:rFonts w:hint="eastAsia" w:ascii="宋体" w:hAnsi="宋体" w:cs="宋体"/>
          <w:b/>
          <w:bCs/>
          <w:sz w:val="24"/>
        </w:rPr>
        <w:t>（公司名称）参加</w:t>
      </w:r>
      <w:r>
        <w:rPr>
          <w:rFonts w:hint="eastAsia" w:ascii="宋体" w:hAnsi="宋体" w:cs="宋体"/>
          <w:b/>
          <w:bCs/>
          <w:sz w:val="24"/>
          <w:u w:val="single"/>
        </w:rPr>
        <w:t xml:space="preserve">                  </w:t>
      </w:r>
      <w:r>
        <w:rPr>
          <w:rFonts w:hint="eastAsia" w:ascii="宋体" w:hAnsi="宋体" w:cs="宋体"/>
          <w:b/>
          <w:bCs/>
          <w:sz w:val="24"/>
        </w:rPr>
        <w:t>（项目名称）的投标活动，现声明：</w:t>
      </w:r>
    </w:p>
    <w:p>
      <w:pPr>
        <w:pStyle w:val="122"/>
        <w:snapToGrid w:val="0"/>
        <w:spacing w:line="360" w:lineRule="auto"/>
        <w:ind w:left="1" w:firstLine="480" w:firstLineChars="200"/>
        <w:rPr>
          <w:rFonts w:hAnsi="宋体" w:cs="宋体"/>
          <w:sz w:val="24"/>
        </w:rPr>
      </w:pPr>
    </w:p>
    <w:p>
      <w:pPr>
        <w:pStyle w:val="2"/>
        <w:ind w:firstLine="480" w:firstLineChars="200"/>
        <w:rPr>
          <w:rFonts w:ascii="宋体" w:hAnsi="宋体" w:cs="宋体"/>
          <w:sz w:val="24"/>
        </w:rPr>
      </w:pPr>
      <w:r>
        <w:rPr>
          <w:rFonts w:hint="eastAsia" w:ascii="宋体" w:hAnsi="宋体" w:cs="宋体"/>
          <w:sz w:val="24"/>
        </w:rPr>
        <w:t>除本单位外，本单位负责人为同一人或者存在直接控股、管理关系的其他供应商均未参加本项目同一合同项下的政府采购活动。与本单位存在直接控股、管理关系的其他供应商均未参加本项目同一合同项下的政府采购活动（仅参加资格预审例外）。</w:t>
      </w:r>
    </w:p>
    <w:p>
      <w:pPr>
        <w:pStyle w:val="2"/>
        <w:ind w:firstLine="482" w:firstLineChars="200"/>
        <w:rPr>
          <w:rFonts w:ascii="宋体" w:hAnsi="宋体" w:cs="宋体"/>
          <w:b/>
          <w:bCs/>
          <w:sz w:val="24"/>
        </w:rPr>
      </w:pPr>
    </w:p>
    <w:p>
      <w:pPr>
        <w:pStyle w:val="2"/>
        <w:ind w:firstLine="482" w:firstLineChars="200"/>
        <w:rPr>
          <w:rFonts w:ascii="宋体" w:hAnsi="宋体" w:cs="宋体"/>
          <w:b/>
          <w:bCs/>
          <w:sz w:val="24"/>
        </w:rPr>
      </w:pPr>
      <w:r>
        <w:rPr>
          <w:rFonts w:hint="eastAsia" w:ascii="宋体" w:hAnsi="宋体" w:cs="宋体"/>
          <w:b/>
          <w:bCs/>
          <w:sz w:val="24"/>
        </w:rPr>
        <w:t>本单位对上述声明内容事项真实性负责。如经查实上述承诺声明的内容事项存在虚假或未履行，本单位愿意接受相关处罚并追究法律责任。</w:t>
      </w:r>
    </w:p>
    <w:p>
      <w:pPr>
        <w:pStyle w:val="2"/>
        <w:ind w:firstLine="482" w:firstLineChars="200"/>
        <w:rPr>
          <w:rFonts w:ascii="宋体" w:hAnsi="宋体" w:cs="宋体"/>
          <w:b/>
          <w:bCs/>
          <w:sz w:val="24"/>
        </w:rPr>
      </w:pPr>
    </w:p>
    <w:p>
      <w:pPr>
        <w:pStyle w:val="2"/>
        <w:ind w:firstLine="482" w:firstLineChars="200"/>
        <w:rPr>
          <w:rFonts w:ascii="宋体" w:hAnsi="宋体" w:cs="宋体"/>
          <w:b/>
          <w:bCs/>
          <w:sz w:val="24"/>
        </w:rPr>
      </w:pPr>
    </w:p>
    <w:p>
      <w:pPr>
        <w:pStyle w:val="2"/>
        <w:ind w:firstLine="482" w:firstLineChars="200"/>
        <w:rPr>
          <w:rFonts w:ascii="宋体" w:hAnsi="宋体" w:cs="宋体"/>
          <w:b/>
          <w:bCs/>
          <w:sz w:val="24"/>
        </w:rPr>
      </w:pPr>
    </w:p>
    <w:p>
      <w:pPr>
        <w:pStyle w:val="2"/>
        <w:ind w:firstLine="482" w:firstLineChars="200"/>
        <w:rPr>
          <w:rFonts w:ascii="宋体" w:hAnsi="宋体" w:cs="宋体"/>
          <w:b/>
          <w:bCs/>
          <w:sz w:val="24"/>
        </w:rPr>
      </w:pPr>
    </w:p>
    <w:p>
      <w:pPr>
        <w:pStyle w:val="2"/>
        <w:ind w:firstLine="482" w:firstLineChars="200"/>
        <w:rPr>
          <w:rFonts w:ascii="宋体" w:hAnsi="宋体" w:cs="宋体"/>
          <w:b/>
          <w:bCs/>
          <w:sz w:val="24"/>
        </w:rPr>
      </w:pPr>
    </w:p>
    <w:p>
      <w:pPr>
        <w:adjustRightInd w:val="0"/>
        <w:spacing w:line="360" w:lineRule="auto"/>
        <w:jc w:val="left"/>
        <w:outlineLvl w:val="2"/>
        <w:rPr>
          <w:rFonts w:ascii="宋体" w:hAnsi="宋体" w:cs="宋体"/>
          <w:bCs/>
          <w:sz w:val="24"/>
        </w:rPr>
      </w:pPr>
      <w:r>
        <w:rPr>
          <w:rFonts w:hint="eastAsia" w:ascii="宋体" w:hAnsi="宋体" w:cs="宋体"/>
          <w:bCs/>
          <w:sz w:val="24"/>
        </w:rPr>
        <w:t>投标人名称：        （盖单位公章）</w:t>
      </w:r>
    </w:p>
    <w:p>
      <w:pPr>
        <w:adjustRightInd w:val="0"/>
        <w:spacing w:line="360" w:lineRule="auto"/>
        <w:jc w:val="left"/>
        <w:outlineLvl w:val="2"/>
        <w:rPr>
          <w:rFonts w:ascii="宋体" w:hAnsi="宋体" w:cs="宋体"/>
          <w:bCs/>
          <w:sz w:val="24"/>
        </w:rPr>
      </w:pPr>
      <w:r>
        <w:rPr>
          <w:rFonts w:hint="eastAsia" w:ascii="宋体" w:hAnsi="宋体" w:cs="宋体"/>
          <w:bCs/>
          <w:sz w:val="24"/>
        </w:rPr>
        <w:t>法定代表人或授权代表（签字或盖章）：</w:t>
      </w:r>
    </w:p>
    <w:p>
      <w:pPr>
        <w:pStyle w:val="2"/>
        <w:rPr>
          <w:rFonts w:ascii="宋体" w:hAnsi="宋体" w:cs="宋体"/>
          <w:b/>
          <w:bCs/>
          <w:sz w:val="24"/>
        </w:rPr>
      </w:pPr>
      <w:r>
        <w:rPr>
          <w:rFonts w:hint="eastAsia" w:ascii="宋体" w:hAnsi="宋体" w:cs="宋体"/>
          <w:bCs/>
          <w:sz w:val="24"/>
        </w:rPr>
        <w:t>日期：</w:t>
      </w:r>
    </w:p>
    <w:p>
      <w:pPr>
        <w:pStyle w:val="7"/>
        <w:tabs>
          <w:tab w:val="left" w:pos="1251"/>
          <w:tab w:val="left" w:pos="3400"/>
        </w:tabs>
        <w:spacing w:line="360" w:lineRule="auto"/>
        <w:jc w:val="left"/>
        <w:rPr>
          <w:rFonts w:ascii="宋体" w:hAnsi="宋体" w:eastAsia="宋体" w:cs="宋体"/>
        </w:rPr>
      </w:pPr>
      <w:r>
        <w:rPr>
          <w:rFonts w:hint="eastAsia" w:ascii="宋体" w:hAnsi="宋体" w:eastAsia="宋体" w:cs="宋体"/>
          <w:sz w:val="24"/>
          <w:szCs w:val="24"/>
        </w:rPr>
        <w:t>注：供应商应该列明其存在直接控股、管理关系的相关供应商名单作为附件（如未提供名单将在投标文件的规范性扣分处理）</w:t>
      </w:r>
    </w:p>
    <w:p>
      <w:pPr>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7"/>
        <w:rPr>
          <w:rFonts w:ascii="宋体" w:hAnsi="宋体" w:eastAsia="宋体" w:cs="宋体"/>
        </w:rPr>
      </w:pPr>
      <w:r>
        <w:rPr>
          <w:rFonts w:hint="eastAsia" w:ascii="宋体" w:hAnsi="宋体" w:eastAsia="宋体" w:cs="宋体"/>
        </w:rPr>
        <w:br w:type="page"/>
      </w:r>
      <w:r>
        <w:rPr>
          <w:rFonts w:hint="eastAsia" w:ascii="宋体" w:hAnsi="宋体" w:eastAsia="宋体" w:cs="宋体"/>
        </w:rPr>
        <w:t>十八、实施服务、售后服务方案</w:t>
      </w:r>
    </w:p>
    <w:p>
      <w:pPr>
        <w:spacing w:line="360" w:lineRule="auto"/>
        <w:jc w:val="left"/>
        <w:outlineLvl w:val="2"/>
        <w:rPr>
          <w:rFonts w:ascii="宋体" w:hAnsi="宋体" w:cs="宋体"/>
          <w:b/>
          <w:sz w:val="24"/>
        </w:rPr>
      </w:pPr>
    </w:p>
    <w:p>
      <w:pPr>
        <w:spacing w:line="360" w:lineRule="auto"/>
        <w:jc w:val="left"/>
        <w:outlineLvl w:val="2"/>
        <w:rPr>
          <w:rFonts w:ascii="宋体" w:hAnsi="宋体" w:cs="宋体"/>
          <w:b/>
          <w:sz w:val="24"/>
        </w:rPr>
      </w:pPr>
    </w:p>
    <w:p>
      <w:pPr>
        <w:spacing w:line="360" w:lineRule="auto"/>
        <w:jc w:val="left"/>
        <w:outlineLvl w:val="2"/>
        <w:rPr>
          <w:rFonts w:ascii="宋体" w:hAnsi="宋体" w:cs="宋体"/>
          <w:b/>
          <w:sz w:val="32"/>
          <w:szCs w:val="32"/>
        </w:rPr>
      </w:pPr>
      <w:r>
        <w:rPr>
          <w:rFonts w:hint="eastAsia" w:ascii="宋体" w:hAnsi="宋体" w:cs="宋体"/>
          <w:b/>
          <w:sz w:val="24"/>
        </w:rPr>
        <w:t>项目名称：</w:t>
      </w:r>
      <w:r>
        <w:rPr>
          <w:rFonts w:hint="eastAsia" w:ascii="宋体" w:hAnsi="宋体" w:cs="宋体"/>
          <w:b/>
          <w:sz w:val="24"/>
          <w:u w:val="single"/>
        </w:rPr>
        <w:t xml:space="preserve">                </w:t>
      </w:r>
      <w:r>
        <w:rPr>
          <w:rFonts w:hint="eastAsia" w:ascii="宋体" w:hAnsi="宋体" w:cs="宋体"/>
          <w:b/>
          <w:sz w:val="24"/>
        </w:rPr>
        <w:t xml:space="preserve">   招标编号：</w:t>
      </w:r>
      <w:r>
        <w:rPr>
          <w:rFonts w:hint="eastAsia" w:ascii="宋体" w:hAnsi="宋体" w:cs="宋体"/>
          <w:b/>
          <w:sz w:val="24"/>
          <w:u w:val="single"/>
        </w:rPr>
        <w:t xml:space="preserve">              </w:t>
      </w:r>
      <w:r>
        <w:rPr>
          <w:rFonts w:hint="eastAsia" w:ascii="宋体" w:hAnsi="宋体" w:cs="宋体"/>
          <w:b/>
          <w:sz w:val="24"/>
        </w:rPr>
        <w:t xml:space="preserve"> </w:t>
      </w:r>
      <w:r>
        <w:rPr>
          <w:rFonts w:hint="eastAsia" w:ascii="宋体" w:hAnsi="宋体" w:cs="宋体"/>
          <w:sz w:val="24"/>
        </w:rPr>
        <w:t xml:space="preserve">   </w:t>
      </w:r>
    </w:p>
    <w:p>
      <w:pPr>
        <w:spacing w:line="360" w:lineRule="auto"/>
        <w:ind w:firstLine="630" w:firstLineChars="196"/>
        <w:jc w:val="center"/>
        <w:outlineLvl w:val="2"/>
        <w:rPr>
          <w:rFonts w:ascii="宋体" w:hAnsi="宋体" w:cs="宋体"/>
          <w:b/>
          <w:sz w:val="32"/>
          <w:szCs w:val="32"/>
        </w:rPr>
      </w:pPr>
    </w:p>
    <w:p>
      <w:pPr>
        <w:spacing w:line="360" w:lineRule="auto"/>
        <w:ind w:firstLine="630" w:firstLineChars="196"/>
        <w:jc w:val="center"/>
        <w:outlineLvl w:val="2"/>
        <w:rPr>
          <w:rFonts w:ascii="宋体" w:hAnsi="宋体" w:cs="宋体"/>
          <w:b/>
          <w:sz w:val="32"/>
          <w:szCs w:val="32"/>
        </w:rPr>
      </w:pPr>
    </w:p>
    <w:p>
      <w:pPr>
        <w:spacing w:line="360" w:lineRule="auto"/>
        <w:ind w:firstLine="630" w:firstLineChars="196"/>
        <w:jc w:val="center"/>
        <w:outlineLvl w:val="2"/>
        <w:rPr>
          <w:rFonts w:ascii="宋体" w:hAnsi="宋体" w:cs="宋体"/>
          <w:b/>
          <w:sz w:val="32"/>
          <w:szCs w:val="32"/>
        </w:rPr>
      </w:pPr>
      <w:r>
        <w:rPr>
          <w:rFonts w:hint="eastAsia" w:ascii="宋体" w:hAnsi="宋体" w:cs="宋体"/>
          <w:b/>
          <w:sz w:val="32"/>
          <w:szCs w:val="32"/>
        </w:rPr>
        <w:t>（格式自拟）</w:t>
      </w:r>
    </w:p>
    <w:p>
      <w:pPr>
        <w:spacing w:line="360" w:lineRule="auto"/>
        <w:ind w:firstLine="630" w:firstLineChars="196"/>
        <w:jc w:val="center"/>
        <w:outlineLvl w:val="2"/>
        <w:rPr>
          <w:rFonts w:ascii="宋体" w:hAnsi="宋体" w:cs="宋体"/>
          <w:b/>
          <w:sz w:val="32"/>
          <w:szCs w:val="32"/>
        </w:rPr>
      </w:pPr>
    </w:p>
    <w:p>
      <w:pPr>
        <w:spacing w:line="360" w:lineRule="auto"/>
        <w:jc w:val="center"/>
        <w:outlineLvl w:val="2"/>
        <w:rPr>
          <w:rFonts w:ascii="宋体" w:hAnsi="宋体" w:cs="宋体"/>
          <w:b/>
          <w:sz w:val="32"/>
          <w:szCs w:val="32"/>
        </w:rPr>
      </w:pPr>
    </w:p>
    <w:p>
      <w:pPr>
        <w:spacing w:line="360" w:lineRule="auto"/>
        <w:jc w:val="center"/>
        <w:outlineLvl w:val="2"/>
        <w:rPr>
          <w:rFonts w:ascii="宋体" w:hAnsi="宋体" w:cs="宋体"/>
          <w:b/>
          <w:sz w:val="32"/>
          <w:szCs w:val="32"/>
        </w:rPr>
      </w:pPr>
    </w:p>
    <w:p>
      <w:pPr>
        <w:spacing w:line="360" w:lineRule="auto"/>
        <w:jc w:val="center"/>
        <w:outlineLvl w:val="2"/>
        <w:rPr>
          <w:rFonts w:ascii="宋体" w:hAnsi="宋体" w:cs="宋体"/>
          <w:b/>
          <w:sz w:val="32"/>
          <w:szCs w:val="32"/>
        </w:rPr>
      </w:pPr>
    </w:p>
    <w:p>
      <w:pPr>
        <w:adjustRightInd w:val="0"/>
        <w:spacing w:line="360" w:lineRule="auto"/>
        <w:jc w:val="left"/>
        <w:outlineLvl w:val="2"/>
        <w:rPr>
          <w:rFonts w:ascii="宋体" w:hAnsi="宋体" w:cs="宋体"/>
          <w:bCs/>
          <w:sz w:val="24"/>
        </w:rPr>
      </w:pPr>
      <w:r>
        <w:rPr>
          <w:rFonts w:hint="eastAsia" w:ascii="宋体" w:hAnsi="宋体" w:cs="宋体"/>
          <w:bCs/>
          <w:sz w:val="24"/>
        </w:rPr>
        <w:t>投标人名称：        （盖单位公章）</w:t>
      </w:r>
    </w:p>
    <w:p>
      <w:pPr>
        <w:adjustRightInd w:val="0"/>
        <w:spacing w:line="360" w:lineRule="auto"/>
        <w:jc w:val="left"/>
        <w:outlineLvl w:val="2"/>
        <w:rPr>
          <w:rFonts w:ascii="宋体" w:hAnsi="宋体" w:cs="宋体"/>
          <w:bCs/>
          <w:sz w:val="24"/>
        </w:rPr>
      </w:pPr>
      <w:r>
        <w:rPr>
          <w:rFonts w:hint="eastAsia" w:ascii="宋体" w:hAnsi="宋体" w:cs="宋体"/>
          <w:bCs/>
          <w:sz w:val="24"/>
        </w:rPr>
        <w:t>法定代表人或授权代表（签字或盖章）：</w:t>
      </w:r>
    </w:p>
    <w:p>
      <w:pPr>
        <w:adjustRightInd w:val="0"/>
        <w:spacing w:line="360" w:lineRule="auto"/>
        <w:jc w:val="left"/>
        <w:outlineLvl w:val="2"/>
        <w:rPr>
          <w:rFonts w:ascii="宋体" w:hAnsi="宋体" w:cs="宋体"/>
          <w:bCs/>
          <w:sz w:val="24"/>
        </w:rPr>
      </w:pPr>
      <w:r>
        <w:rPr>
          <w:rFonts w:hint="eastAsia" w:ascii="宋体" w:hAnsi="宋体" w:cs="宋体"/>
          <w:bCs/>
          <w:sz w:val="24"/>
        </w:rPr>
        <w:t>日期：</w:t>
      </w:r>
    </w:p>
    <w:p>
      <w:pPr>
        <w:spacing w:line="360" w:lineRule="auto"/>
        <w:rPr>
          <w:rFonts w:ascii="宋体" w:hAnsi="宋体" w:cs="宋体"/>
          <w:szCs w:val="21"/>
        </w:rPr>
        <w:sectPr>
          <w:headerReference r:id="rId17" w:type="first"/>
          <w:headerReference r:id="rId15" w:type="default"/>
          <w:headerReference r:id="rId16" w:type="even"/>
          <w:pgSz w:w="11906" w:h="16838"/>
          <w:pgMar w:top="1418" w:right="1134" w:bottom="1418" w:left="1134" w:header="851" w:footer="992" w:gutter="0"/>
          <w:cols w:space="720" w:num="1"/>
          <w:docGrid w:type="lines" w:linePitch="312" w:charSpace="0"/>
        </w:sectPr>
      </w:pPr>
    </w:p>
    <w:p>
      <w:pPr>
        <w:pStyle w:val="7"/>
        <w:rPr>
          <w:rFonts w:ascii="宋体" w:hAnsi="宋体" w:eastAsia="宋体" w:cs="宋体"/>
        </w:rPr>
      </w:pPr>
      <w:r>
        <w:rPr>
          <w:rFonts w:hint="eastAsia" w:ascii="宋体" w:hAnsi="宋体" w:eastAsia="宋体" w:cs="宋体"/>
        </w:rPr>
        <w:t>十九、其他材料（格式自拟）</w:t>
      </w:r>
    </w:p>
    <w:p>
      <w:pPr>
        <w:snapToGrid w:val="0"/>
        <w:spacing w:line="360" w:lineRule="auto"/>
        <w:ind w:firstLine="480" w:firstLineChars="200"/>
        <w:textAlignment w:val="bottom"/>
        <w:rPr>
          <w:rFonts w:ascii="宋体" w:hAnsi="宋体" w:cs="宋体"/>
          <w:sz w:val="24"/>
        </w:rPr>
      </w:pPr>
    </w:p>
    <w:p>
      <w:pPr>
        <w:snapToGrid w:val="0"/>
        <w:spacing w:line="360" w:lineRule="auto"/>
        <w:rPr>
          <w:rFonts w:ascii="宋体" w:hAnsi="宋体" w:cs="宋体"/>
          <w:b/>
          <w:sz w:val="24"/>
        </w:rPr>
      </w:pPr>
    </w:p>
    <w:p>
      <w:pPr>
        <w:snapToGrid w:val="0"/>
        <w:spacing w:line="360" w:lineRule="auto"/>
        <w:rPr>
          <w:rFonts w:ascii="宋体" w:hAnsi="宋体" w:cs="宋体"/>
          <w:b/>
          <w:sz w:val="24"/>
        </w:rPr>
      </w:pPr>
      <w:r>
        <w:rPr>
          <w:rFonts w:hint="eastAsia" w:ascii="宋体" w:hAnsi="宋体" w:cs="宋体"/>
          <w:b/>
          <w:sz w:val="24"/>
        </w:rPr>
        <w:t>项目名称：</w:t>
      </w:r>
      <w:r>
        <w:rPr>
          <w:rFonts w:hint="eastAsia" w:ascii="宋体" w:hAnsi="宋体" w:cs="宋体"/>
          <w:b/>
          <w:sz w:val="24"/>
          <w:u w:val="single"/>
        </w:rPr>
        <w:t xml:space="preserve">                </w:t>
      </w:r>
      <w:r>
        <w:rPr>
          <w:rFonts w:hint="eastAsia" w:ascii="宋体" w:hAnsi="宋体" w:cs="宋体"/>
          <w:b/>
          <w:sz w:val="24"/>
        </w:rPr>
        <w:t xml:space="preserve">   招标编号：</w:t>
      </w:r>
      <w:r>
        <w:rPr>
          <w:rFonts w:hint="eastAsia" w:ascii="宋体" w:hAnsi="宋体" w:cs="宋体"/>
          <w:b/>
          <w:sz w:val="24"/>
          <w:u w:val="single"/>
        </w:rPr>
        <w:t xml:space="preserve">              </w:t>
      </w:r>
      <w:r>
        <w:rPr>
          <w:rFonts w:hint="eastAsia" w:ascii="宋体" w:hAnsi="宋体" w:cs="宋体"/>
          <w:b/>
          <w:sz w:val="24"/>
        </w:rPr>
        <w:t xml:space="preserve">  </w:t>
      </w:r>
    </w:p>
    <w:p>
      <w:pPr>
        <w:spacing w:after="60" w:line="360" w:lineRule="auto"/>
        <w:ind w:firstLine="557" w:firstLineChars="198"/>
        <w:jc w:val="center"/>
        <w:rPr>
          <w:rFonts w:ascii="宋体" w:hAnsi="宋体" w:cs="宋体"/>
          <w:b/>
          <w:sz w:val="28"/>
          <w:szCs w:val="28"/>
        </w:rPr>
      </w:pPr>
    </w:p>
    <w:p>
      <w:pPr>
        <w:spacing w:after="60" w:line="360" w:lineRule="auto"/>
        <w:ind w:firstLine="557" w:firstLineChars="198"/>
        <w:jc w:val="center"/>
        <w:rPr>
          <w:rFonts w:ascii="宋体" w:hAnsi="宋体" w:cs="宋体"/>
          <w:b/>
          <w:sz w:val="28"/>
          <w:szCs w:val="28"/>
        </w:rPr>
      </w:pPr>
    </w:p>
    <w:p>
      <w:pPr>
        <w:spacing w:after="60" w:line="360" w:lineRule="auto"/>
        <w:ind w:firstLine="557" w:firstLineChars="198"/>
        <w:jc w:val="center"/>
        <w:rPr>
          <w:rFonts w:ascii="宋体" w:hAnsi="宋体" w:cs="宋体"/>
          <w:b/>
          <w:sz w:val="28"/>
          <w:szCs w:val="28"/>
        </w:rPr>
      </w:pPr>
    </w:p>
    <w:p>
      <w:pPr>
        <w:spacing w:after="60" w:line="360" w:lineRule="auto"/>
        <w:ind w:firstLine="557" w:firstLineChars="198"/>
        <w:jc w:val="center"/>
        <w:rPr>
          <w:rFonts w:ascii="宋体" w:hAnsi="宋体" w:cs="宋体"/>
          <w:b/>
          <w:sz w:val="28"/>
          <w:szCs w:val="28"/>
        </w:rPr>
      </w:pPr>
    </w:p>
    <w:p>
      <w:pPr>
        <w:spacing w:after="60" w:line="360" w:lineRule="auto"/>
        <w:rPr>
          <w:rFonts w:ascii="宋体" w:hAnsi="宋体" w:cs="宋体"/>
          <w:b/>
          <w:sz w:val="32"/>
          <w:szCs w:val="32"/>
        </w:rPr>
      </w:pPr>
      <w:r>
        <w:rPr>
          <w:rFonts w:hint="eastAsia" w:ascii="宋体" w:hAnsi="宋体" w:cs="宋体"/>
          <w:b/>
          <w:sz w:val="32"/>
          <w:szCs w:val="32"/>
        </w:rPr>
        <w:t xml:space="preserve">                    （格式自拟）</w:t>
      </w:r>
    </w:p>
    <w:p>
      <w:pPr>
        <w:snapToGrid w:val="0"/>
        <w:spacing w:line="360" w:lineRule="auto"/>
        <w:ind w:firstLine="480" w:firstLineChars="200"/>
        <w:rPr>
          <w:rFonts w:ascii="宋体" w:hAnsi="宋体" w:cs="宋体"/>
          <w:snapToGrid w:val="0"/>
          <w:sz w:val="24"/>
        </w:rPr>
      </w:pPr>
    </w:p>
    <w:p>
      <w:pPr>
        <w:snapToGrid w:val="0"/>
        <w:spacing w:line="360" w:lineRule="auto"/>
        <w:ind w:firstLine="480" w:firstLineChars="200"/>
        <w:rPr>
          <w:rFonts w:ascii="宋体" w:hAnsi="宋体" w:cs="宋体"/>
          <w:snapToGrid w:val="0"/>
          <w:sz w:val="24"/>
        </w:rPr>
      </w:pPr>
    </w:p>
    <w:p>
      <w:pPr>
        <w:spacing w:line="360" w:lineRule="auto"/>
        <w:ind w:firstLine="480"/>
        <w:jc w:val="left"/>
        <w:rPr>
          <w:rFonts w:ascii="宋体" w:hAnsi="宋体" w:cs="宋体"/>
          <w:sz w:val="24"/>
        </w:rPr>
      </w:pPr>
    </w:p>
    <w:p>
      <w:pPr>
        <w:spacing w:line="360" w:lineRule="auto"/>
        <w:ind w:firstLine="480"/>
        <w:jc w:val="left"/>
        <w:rPr>
          <w:rFonts w:ascii="宋体" w:hAnsi="宋体" w:cs="宋体"/>
          <w:sz w:val="24"/>
        </w:rPr>
      </w:pPr>
    </w:p>
    <w:p>
      <w:pPr>
        <w:spacing w:line="360" w:lineRule="auto"/>
        <w:ind w:firstLine="480"/>
        <w:jc w:val="left"/>
        <w:rPr>
          <w:rFonts w:ascii="宋体" w:hAnsi="宋体" w:cs="宋体"/>
          <w:sz w:val="24"/>
        </w:rPr>
      </w:pPr>
    </w:p>
    <w:p>
      <w:pPr>
        <w:spacing w:line="360" w:lineRule="auto"/>
        <w:ind w:firstLine="480"/>
        <w:jc w:val="left"/>
        <w:rPr>
          <w:rFonts w:ascii="宋体" w:hAnsi="宋体" w:cs="宋体"/>
          <w:sz w:val="24"/>
        </w:rPr>
      </w:pPr>
    </w:p>
    <w:p>
      <w:pPr>
        <w:adjustRightInd w:val="0"/>
        <w:spacing w:line="360" w:lineRule="auto"/>
        <w:jc w:val="left"/>
        <w:rPr>
          <w:rFonts w:ascii="宋体" w:hAnsi="宋体" w:cs="宋体"/>
          <w:bCs/>
          <w:sz w:val="24"/>
        </w:rPr>
      </w:pPr>
      <w:r>
        <w:rPr>
          <w:rFonts w:hint="eastAsia" w:ascii="宋体" w:hAnsi="宋体" w:cs="宋体"/>
          <w:bCs/>
          <w:sz w:val="24"/>
        </w:rPr>
        <w:t>投标人名称：        （盖单位公章）</w:t>
      </w:r>
    </w:p>
    <w:p>
      <w:pPr>
        <w:adjustRightInd w:val="0"/>
        <w:spacing w:line="360" w:lineRule="auto"/>
        <w:jc w:val="left"/>
        <w:rPr>
          <w:rFonts w:ascii="宋体" w:hAnsi="宋体" w:cs="宋体"/>
          <w:bCs/>
          <w:sz w:val="24"/>
        </w:rPr>
      </w:pPr>
      <w:r>
        <w:rPr>
          <w:rFonts w:hint="eastAsia" w:ascii="宋体" w:hAnsi="宋体" w:cs="宋体"/>
          <w:sz w:val="24"/>
        </w:rPr>
        <w:t>法定代表人或授权代表（签字）</w:t>
      </w:r>
      <w:r>
        <w:rPr>
          <w:rFonts w:hint="eastAsia" w:ascii="宋体" w:hAnsi="宋体" w:cs="宋体"/>
          <w:bCs/>
          <w:sz w:val="24"/>
        </w:rPr>
        <w:t>：</w:t>
      </w:r>
    </w:p>
    <w:p>
      <w:pPr>
        <w:adjustRightInd w:val="0"/>
        <w:spacing w:line="360" w:lineRule="auto"/>
        <w:jc w:val="left"/>
        <w:rPr>
          <w:rFonts w:ascii="宋体" w:hAnsi="宋体" w:cs="宋体"/>
          <w:bCs/>
          <w:sz w:val="24"/>
        </w:rPr>
      </w:pPr>
      <w:r>
        <w:rPr>
          <w:rFonts w:hint="eastAsia" w:ascii="宋体" w:hAnsi="宋体" w:cs="宋体"/>
          <w:bCs/>
          <w:sz w:val="24"/>
        </w:rPr>
        <w:t>投标日期：</w:t>
      </w:r>
    </w:p>
    <w:p>
      <w:pPr>
        <w:spacing w:line="360" w:lineRule="auto"/>
        <w:outlineLvl w:val="5"/>
        <w:rPr>
          <w:rFonts w:ascii="宋体" w:hAnsi="宋体" w:cs="宋体"/>
          <w:b/>
          <w:sz w:val="32"/>
          <w:szCs w:val="32"/>
        </w:rPr>
      </w:pPr>
    </w:p>
    <w:p>
      <w:pPr>
        <w:spacing w:line="360" w:lineRule="auto"/>
        <w:ind w:left="4035"/>
        <w:outlineLvl w:val="0"/>
        <w:rPr>
          <w:rFonts w:ascii="宋体" w:hAnsi="宋体" w:cs="宋体"/>
          <w:b/>
          <w:bCs/>
          <w:sz w:val="30"/>
          <w:szCs w:val="30"/>
        </w:rPr>
      </w:pPr>
    </w:p>
    <w:p>
      <w:pPr>
        <w:spacing w:line="360" w:lineRule="auto"/>
        <w:jc w:val="center"/>
        <w:outlineLvl w:val="0"/>
        <w:rPr>
          <w:rStyle w:val="375"/>
          <w:rFonts w:ascii="宋体" w:hAnsi="宋体" w:cs="宋体"/>
        </w:rPr>
      </w:pPr>
      <w:r>
        <w:rPr>
          <w:rFonts w:hint="eastAsia" w:ascii="宋体" w:hAnsi="宋体" w:cs="宋体"/>
        </w:rPr>
        <w:br w:type="page"/>
      </w:r>
      <w:bookmarkEnd w:id="159"/>
      <w:bookmarkStart w:id="160" w:name="_Toc10194"/>
      <w:bookmarkStart w:id="161" w:name="_Toc21668"/>
      <w:bookmarkStart w:id="162" w:name="_Toc1392"/>
      <w:r>
        <w:rPr>
          <w:rStyle w:val="375"/>
          <w:rFonts w:hint="eastAsia" w:ascii="宋体" w:hAnsi="宋体" w:cs="宋体"/>
        </w:rPr>
        <w:t>第四章  投标人和投标产品的资格、资质性及其他类似效力要求</w:t>
      </w:r>
      <w:bookmarkEnd w:id="160"/>
      <w:bookmarkEnd w:id="161"/>
      <w:bookmarkEnd w:id="162"/>
    </w:p>
    <w:p>
      <w:pPr>
        <w:pStyle w:val="9"/>
        <w:numPr>
          <w:ilvl w:val="0"/>
          <w:numId w:val="2"/>
        </w:numPr>
        <w:adjustRightInd w:val="0"/>
        <w:snapToGrid w:val="0"/>
        <w:spacing w:before="0" w:after="0" w:line="360" w:lineRule="auto"/>
        <w:rPr>
          <w:rFonts w:ascii="宋体" w:hAnsi="宋体" w:eastAsia="宋体" w:cs="宋体"/>
        </w:rPr>
      </w:pPr>
      <w:r>
        <w:rPr>
          <w:rFonts w:hint="eastAsia" w:ascii="宋体" w:hAnsi="宋体" w:eastAsia="宋体" w:cs="宋体"/>
        </w:rPr>
        <w:t>投标人资格、资质性及其他类似效力要求</w:t>
      </w:r>
    </w:p>
    <w:p>
      <w:pPr>
        <w:adjustRightInd w:val="0"/>
        <w:snapToGrid w:val="0"/>
        <w:spacing w:line="360" w:lineRule="auto"/>
        <w:ind w:firstLine="120" w:firstLineChars="50"/>
        <w:outlineLvl w:val="5"/>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1.投标人应具备《中华人民共和国政府采购法》第二十二条规定的下列条件：</w:t>
      </w:r>
    </w:p>
    <w:p>
      <w:pPr>
        <w:numPr>
          <w:ilvl w:val="3"/>
          <w:numId w:val="3"/>
        </w:numPr>
        <w:shd w:val="clear" w:color="auto" w:fill="FFFFFF"/>
        <w:tabs>
          <w:tab w:val="left" w:pos="900"/>
        </w:tabs>
        <w:adjustRightInd w:val="0"/>
        <w:snapToGrid w:val="0"/>
        <w:spacing w:line="360" w:lineRule="auto"/>
        <w:ind w:hanging="1140"/>
        <w:outlineLvl w:val="5"/>
        <w:rPr>
          <w:rFonts w:ascii="宋体" w:hAnsi="宋体" w:cs="宋体"/>
          <w:sz w:val="24"/>
        </w:rPr>
      </w:pPr>
      <w:r>
        <w:rPr>
          <w:rFonts w:hint="eastAsia" w:ascii="宋体" w:hAnsi="宋体" w:cs="宋体"/>
          <w:sz w:val="24"/>
        </w:rPr>
        <w:t>具有独立承担民事责任的能力；</w:t>
      </w:r>
    </w:p>
    <w:p>
      <w:pPr>
        <w:numPr>
          <w:ilvl w:val="3"/>
          <w:numId w:val="3"/>
        </w:numPr>
        <w:shd w:val="clear" w:color="auto" w:fill="FFFFFF"/>
        <w:tabs>
          <w:tab w:val="left" w:pos="900"/>
        </w:tabs>
        <w:adjustRightInd w:val="0"/>
        <w:snapToGrid w:val="0"/>
        <w:spacing w:line="360" w:lineRule="auto"/>
        <w:ind w:hanging="1140"/>
        <w:outlineLvl w:val="5"/>
        <w:rPr>
          <w:rFonts w:ascii="宋体" w:hAnsi="宋体" w:cs="宋体"/>
          <w:sz w:val="24"/>
        </w:rPr>
      </w:pPr>
      <w:r>
        <w:rPr>
          <w:rFonts w:hint="eastAsia" w:ascii="宋体" w:hAnsi="宋体" w:cs="宋体"/>
          <w:sz w:val="24"/>
        </w:rPr>
        <w:t>具有良好的商业信誉和健全的财务会计制度；</w:t>
      </w:r>
    </w:p>
    <w:p>
      <w:pPr>
        <w:numPr>
          <w:ilvl w:val="3"/>
          <w:numId w:val="3"/>
        </w:numPr>
        <w:shd w:val="clear" w:color="auto" w:fill="FFFFFF"/>
        <w:tabs>
          <w:tab w:val="left" w:pos="900"/>
        </w:tabs>
        <w:adjustRightInd w:val="0"/>
        <w:snapToGrid w:val="0"/>
        <w:spacing w:line="360" w:lineRule="auto"/>
        <w:ind w:hanging="1140"/>
        <w:outlineLvl w:val="5"/>
        <w:rPr>
          <w:rFonts w:ascii="宋体" w:hAnsi="宋体" w:cs="宋体"/>
          <w:sz w:val="24"/>
        </w:rPr>
      </w:pPr>
      <w:r>
        <w:rPr>
          <w:rFonts w:hint="eastAsia" w:ascii="宋体" w:hAnsi="宋体" w:cs="宋体"/>
          <w:sz w:val="24"/>
        </w:rPr>
        <w:t>具有履行合同所必需的设备和专业技术能力；</w:t>
      </w:r>
    </w:p>
    <w:p>
      <w:pPr>
        <w:numPr>
          <w:ilvl w:val="3"/>
          <w:numId w:val="3"/>
        </w:numPr>
        <w:shd w:val="clear" w:color="auto" w:fill="FFFFFF"/>
        <w:tabs>
          <w:tab w:val="left" w:pos="900"/>
        </w:tabs>
        <w:adjustRightInd w:val="0"/>
        <w:snapToGrid w:val="0"/>
        <w:spacing w:line="360" w:lineRule="auto"/>
        <w:ind w:hanging="1140"/>
        <w:outlineLvl w:val="5"/>
        <w:rPr>
          <w:rFonts w:ascii="宋体" w:hAnsi="宋体" w:cs="宋体"/>
          <w:sz w:val="24"/>
        </w:rPr>
      </w:pPr>
      <w:r>
        <w:rPr>
          <w:rFonts w:hint="eastAsia" w:ascii="宋体" w:hAnsi="宋体" w:cs="宋体"/>
          <w:sz w:val="24"/>
        </w:rPr>
        <w:t>有依法缴纳税收和社会保障资金的良好记录；</w:t>
      </w:r>
    </w:p>
    <w:p>
      <w:pPr>
        <w:numPr>
          <w:ilvl w:val="3"/>
          <w:numId w:val="3"/>
        </w:numPr>
        <w:shd w:val="clear" w:color="auto" w:fill="FFFFFF"/>
        <w:tabs>
          <w:tab w:val="left" w:pos="900"/>
        </w:tabs>
        <w:adjustRightInd w:val="0"/>
        <w:snapToGrid w:val="0"/>
        <w:spacing w:line="360" w:lineRule="auto"/>
        <w:ind w:left="840" w:hanging="300"/>
        <w:outlineLvl w:val="5"/>
        <w:rPr>
          <w:rFonts w:ascii="宋体" w:hAnsi="宋体" w:cs="宋体"/>
          <w:sz w:val="24"/>
        </w:rPr>
      </w:pPr>
      <w:r>
        <w:rPr>
          <w:rFonts w:hint="eastAsia" w:ascii="宋体" w:hAnsi="宋体" w:cs="宋体"/>
          <w:sz w:val="24"/>
        </w:rPr>
        <w:t>参加政府采购活动前三年内，在经营活动中没有重大违法记录</w:t>
      </w:r>
      <w:r>
        <w:rPr>
          <w:rFonts w:hint="eastAsia" w:ascii="宋体" w:hAnsi="宋体" w:cs="宋体"/>
          <w:bCs/>
          <w:sz w:val="24"/>
        </w:rPr>
        <w:t>；</w:t>
      </w:r>
    </w:p>
    <w:p>
      <w:pPr>
        <w:numPr>
          <w:ilvl w:val="3"/>
          <w:numId w:val="3"/>
        </w:numPr>
        <w:shd w:val="clear" w:color="auto" w:fill="FFFFFF"/>
        <w:tabs>
          <w:tab w:val="left" w:pos="900"/>
        </w:tabs>
        <w:adjustRightInd w:val="0"/>
        <w:snapToGrid w:val="0"/>
        <w:spacing w:line="360" w:lineRule="auto"/>
        <w:ind w:hanging="1140"/>
        <w:outlineLvl w:val="5"/>
        <w:rPr>
          <w:rFonts w:ascii="宋体" w:hAnsi="宋体" w:cs="宋体"/>
          <w:sz w:val="24"/>
        </w:rPr>
      </w:pPr>
      <w:r>
        <w:rPr>
          <w:rFonts w:hint="eastAsia" w:ascii="宋体" w:hAnsi="宋体" w:cs="宋体"/>
          <w:sz w:val="24"/>
        </w:rPr>
        <w:t>法律、行政法规规定的其他条件。</w:t>
      </w:r>
    </w:p>
    <w:p>
      <w:pPr>
        <w:pStyle w:val="184"/>
        <w:ind w:firstLine="0" w:firstLineChars="0"/>
        <w:rPr>
          <w:rFonts w:ascii="宋体" w:hAnsi="宋体" w:cs="宋体"/>
          <w:b/>
          <w:sz w:val="24"/>
        </w:rPr>
      </w:pPr>
      <w:r>
        <w:rPr>
          <w:rFonts w:hint="eastAsia" w:ascii="宋体" w:hAnsi="宋体" w:cs="宋体"/>
          <w:b/>
          <w:bCs/>
          <w:sz w:val="24"/>
        </w:rPr>
        <w:t>2.</w:t>
      </w:r>
      <w:r>
        <w:rPr>
          <w:rFonts w:hint="eastAsia" w:ascii="宋体" w:hAnsi="宋体" w:cs="宋体"/>
          <w:b/>
          <w:sz w:val="24"/>
        </w:rPr>
        <w:t xml:space="preserve"> 根据采购项目提出的特殊条件：</w:t>
      </w:r>
    </w:p>
    <w:p>
      <w:pPr>
        <w:shd w:val="clear" w:color="auto" w:fill="FFFFFF"/>
        <w:tabs>
          <w:tab w:val="left" w:pos="900"/>
          <w:tab w:val="left" w:pos="5366"/>
        </w:tabs>
        <w:snapToGrid w:val="0"/>
        <w:spacing w:line="360" w:lineRule="auto"/>
        <w:ind w:firstLine="360" w:firstLineChars="150"/>
        <w:outlineLvl w:val="5"/>
        <w:rPr>
          <w:rFonts w:ascii="宋体" w:hAnsi="宋体" w:cs="宋体"/>
          <w:sz w:val="24"/>
        </w:rPr>
      </w:pPr>
      <w:r>
        <w:rPr>
          <w:rFonts w:hint="eastAsia" w:ascii="宋体" w:hAnsi="宋体" w:cs="宋体"/>
          <w:sz w:val="24"/>
        </w:rPr>
        <w:t>1.本项目参加政府采购活动的投标人在前三年内不得具有行贿犯罪记录。</w:t>
      </w:r>
    </w:p>
    <w:p>
      <w:pPr>
        <w:pStyle w:val="2"/>
        <w:spacing w:line="360" w:lineRule="auto"/>
        <w:ind w:firstLine="360" w:firstLineChars="150"/>
        <w:rPr>
          <w:rFonts w:ascii="宋体" w:hAnsi="宋体" w:cs="宋体"/>
        </w:rPr>
      </w:pPr>
      <w:r>
        <w:rPr>
          <w:rFonts w:hint="eastAsia" w:ascii="宋体" w:hAnsi="宋体" w:cs="宋体"/>
          <w:sz w:val="24"/>
        </w:rPr>
        <w:t>2.本项目不接受联合体投标。</w:t>
      </w:r>
    </w:p>
    <w:p>
      <w:pPr>
        <w:adjustRightInd w:val="0"/>
        <w:snapToGrid w:val="0"/>
        <w:spacing w:line="360" w:lineRule="auto"/>
        <w:ind w:left="-263" w:leftChars="-125"/>
        <w:rPr>
          <w:rFonts w:ascii="宋体" w:hAnsi="宋体" w:cs="宋体"/>
          <w:sz w:val="24"/>
        </w:rPr>
      </w:pPr>
      <w:r>
        <w:rPr>
          <w:rFonts w:hint="eastAsia" w:ascii="宋体" w:hAnsi="宋体" w:cs="宋体"/>
          <w:b/>
          <w:bCs/>
          <w:sz w:val="24"/>
        </w:rPr>
        <w:t xml:space="preserve">  3.其他类似效力要求：</w:t>
      </w:r>
      <w:r>
        <w:rPr>
          <w:rFonts w:hint="eastAsia" w:ascii="宋体" w:hAnsi="宋体" w:cs="宋体"/>
          <w:sz w:val="24"/>
        </w:rPr>
        <w:t>投标供应商法定代表人授权参加本次投标活动的合法代表（非独立法人机构提供具有独立承担民事责任的能力的负责人授权参加本次投标活动的合法代表）。</w:t>
      </w:r>
    </w:p>
    <w:p>
      <w:pPr>
        <w:adjustRightInd w:val="0"/>
        <w:snapToGrid w:val="0"/>
        <w:spacing w:line="360" w:lineRule="auto"/>
        <w:rPr>
          <w:rFonts w:ascii="宋体" w:hAnsi="宋体" w:cs="宋体"/>
          <w:b/>
          <w:bCs/>
          <w:sz w:val="24"/>
        </w:rPr>
      </w:pPr>
    </w:p>
    <w:p>
      <w:pPr>
        <w:adjustRightInd w:val="0"/>
        <w:snapToGrid w:val="0"/>
        <w:spacing w:line="360" w:lineRule="auto"/>
        <w:rPr>
          <w:rFonts w:ascii="宋体" w:hAnsi="宋体" w:cs="宋体"/>
          <w:b/>
          <w:sz w:val="24"/>
        </w:rPr>
      </w:pPr>
      <w:r>
        <w:rPr>
          <w:rFonts w:hint="eastAsia" w:ascii="宋体" w:hAnsi="宋体" w:cs="宋体"/>
          <w:b/>
          <w:sz w:val="24"/>
        </w:rPr>
        <w:t>注：</w:t>
      </w:r>
    </w:p>
    <w:p>
      <w:pPr>
        <w:spacing w:line="360" w:lineRule="auto"/>
        <w:rPr>
          <w:rFonts w:ascii="宋体" w:hAnsi="宋体" w:cs="宋体"/>
          <w:b/>
          <w:bCs/>
          <w:szCs w:val="21"/>
        </w:rPr>
      </w:pPr>
      <w:r>
        <w:rPr>
          <w:rFonts w:hint="eastAsia" w:ascii="宋体" w:hAnsi="宋体" w:cs="宋体"/>
          <w:b/>
          <w:bCs/>
          <w:szCs w:val="21"/>
        </w:rPr>
        <w:t>1、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本项目确定供应商经营活动中重大违法记录中较大数额罚款的金额标准为：5万元。</w:t>
      </w:r>
    </w:p>
    <w:p>
      <w:pPr>
        <w:spacing w:line="360" w:lineRule="auto"/>
        <w:rPr>
          <w:rFonts w:ascii="宋体" w:hAnsi="宋体" w:cs="宋体"/>
          <w:b/>
          <w:bCs/>
          <w:szCs w:val="21"/>
        </w:rPr>
      </w:pPr>
      <w:r>
        <w:rPr>
          <w:rFonts w:hint="eastAsia" w:ascii="宋体" w:hAnsi="宋体" w:cs="宋体"/>
          <w:b/>
          <w:bCs/>
          <w:szCs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jc w:val="center"/>
        <w:rPr>
          <w:rFonts w:ascii="宋体" w:hAnsi="宋体" w:cs="宋体"/>
        </w:rPr>
      </w:pPr>
      <w:r>
        <w:rPr>
          <w:rFonts w:hint="eastAsia" w:ascii="宋体" w:hAnsi="宋体" w:cs="宋体"/>
        </w:rPr>
        <w:br w:type="page"/>
      </w:r>
      <w:bookmarkStart w:id="163" w:name="_Toc21378"/>
      <w:bookmarkStart w:id="164" w:name="_Toc12281"/>
      <w:r>
        <w:rPr>
          <w:rStyle w:val="375"/>
          <w:rFonts w:hint="eastAsia" w:ascii="宋体" w:hAnsi="宋体" w:cs="宋体"/>
        </w:rPr>
        <w:t>第五章 投标人应当提供的资格、资质性及其他类似效力要求的相关证明材料</w:t>
      </w:r>
      <w:bookmarkEnd w:id="163"/>
      <w:bookmarkEnd w:id="164"/>
    </w:p>
    <w:p>
      <w:pPr>
        <w:pStyle w:val="25"/>
        <w:spacing w:line="360" w:lineRule="auto"/>
        <w:outlineLvl w:val="5"/>
        <w:rPr>
          <w:rFonts w:hAnsi="宋体" w:cs="宋体"/>
          <w:b/>
          <w:sz w:val="24"/>
        </w:rPr>
      </w:pPr>
    </w:p>
    <w:p>
      <w:pPr>
        <w:pStyle w:val="25"/>
        <w:spacing w:line="360" w:lineRule="auto"/>
        <w:outlineLvl w:val="5"/>
        <w:rPr>
          <w:rFonts w:hAnsi="宋体" w:cs="宋体"/>
          <w:b/>
          <w:sz w:val="24"/>
        </w:rPr>
      </w:pPr>
      <w:r>
        <w:rPr>
          <w:rFonts w:hint="eastAsia" w:hAnsi="宋体" w:cs="宋体"/>
          <w:b/>
          <w:sz w:val="24"/>
        </w:rPr>
        <w:t>一、投标人应当提供的资格、资质性文件及其他类似效力的要求的相关证明材料</w:t>
      </w:r>
    </w:p>
    <w:p>
      <w:pPr>
        <w:pStyle w:val="25"/>
        <w:spacing w:line="360" w:lineRule="auto"/>
        <w:outlineLvl w:val="5"/>
        <w:rPr>
          <w:rFonts w:hAnsi="宋体" w:cs="宋体"/>
          <w:b/>
          <w:sz w:val="24"/>
        </w:rPr>
      </w:pPr>
      <w:r>
        <w:rPr>
          <w:rFonts w:hint="eastAsia" w:hAnsi="宋体" w:cs="宋体"/>
          <w:b/>
          <w:sz w:val="24"/>
        </w:rPr>
        <w:t>（一）</w:t>
      </w:r>
      <w:r>
        <w:rPr>
          <w:rFonts w:hint="eastAsia" w:hAnsi="宋体" w:cs="宋体"/>
          <w:b/>
          <w:bCs/>
          <w:sz w:val="24"/>
        </w:rPr>
        <w:t>投标人应具备《中华人民共和国政府采购法》第二十二条规定的下列条件：</w:t>
      </w:r>
    </w:p>
    <w:p>
      <w:pPr>
        <w:shd w:val="clear" w:color="auto" w:fill="FFFFFF"/>
        <w:tabs>
          <w:tab w:val="left" w:pos="900"/>
        </w:tabs>
        <w:snapToGrid w:val="0"/>
        <w:spacing w:line="360" w:lineRule="auto"/>
        <w:outlineLvl w:val="5"/>
        <w:rPr>
          <w:rFonts w:ascii="宋体" w:hAnsi="宋体" w:cs="宋体"/>
          <w:sz w:val="24"/>
        </w:rPr>
      </w:pPr>
      <w:bookmarkStart w:id="165" w:name="_Toc320624214"/>
      <w:bookmarkEnd w:id="165"/>
      <w:bookmarkStart w:id="166" w:name="_Toc320624217"/>
      <w:bookmarkEnd w:id="166"/>
      <w:bookmarkStart w:id="167" w:name="_Toc320624212"/>
      <w:bookmarkEnd w:id="167"/>
      <w:bookmarkStart w:id="168" w:name="_Toc320624224"/>
      <w:bookmarkEnd w:id="168"/>
      <w:bookmarkStart w:id="169" w:name="_Toc320624221"/>
      <w:bookmarkEnd w:id="169"/>
      <w:bookmarkStart w:id="170" w:name="_Toc320624216"/>
      <w:bookmarkEnd w:id="170"/>
      <w:bookmarkStart w:id="171" w:name="_Toc320624220"/>
      <w:bookmarkEnd w:id="171"/>
      <w:bookmarkStart w:id="172" w:name="_Toc320624215"/>
      <w:bookmarkEnd w:id="172"/>
      <w:bookmarkStart w:id="173" w:name="_Toc320624222"/>
      <w:bookmarkEnd w:id="173"/>
      <w:bookmarkStart w:id="174" w:name="_Toc320624218"/>
      <w:bookmarkEnd w:id="174"/>
      <w:bookmarkStart w:id="175" w:name="_Toc320624219"/>
      <w:bookmarkEnd w:id="175"/>
      <w:bookmarkStart w:id="176" w:name="_Toc320624223"/>
      <w:bookmarkEnd w:id="176"/>
      <w:bookmarkStart w:id="177" w:name="_Toc320624213"/>
      <w:bookmarkEnd w:id="177"/>
      <w:r>
        <w:rPr>
          <w:rFonts w:hint="eastAsia" w:ascii="宋体" w:hAnsi="宋体" w:cs="宋体"/>
          <w:b/>
          <w:sz w:val="24"/>
        </w:rPr>
        <w:t xml:space="preserve">   1.具有独立承担民事责任的能力提供以下证明材料：</w:t>
      </w:r>
    </w:p>
    <w:p>
      <w:pPr>
        <w:tabs>
          <w:tab w:val="left" w:pos="1134"/>
        </w:tabs>
        <w:spacing w:line="360" w:lineRule="auto"/>
        <w:ind w:left="850" w:leftChars="229" w:hanging="369" w:hangingChars="154"/>
        <w:outlineLvl w:val="5"/>
        <w:rPr>
          <w:rFonts w:ascii="宋体" w:hAnsi="宋体" w:cs="宋体"/>
          <w:sz w:val="24"/>
        </w:rPr>
      </w:pPr>
      <w:r>
        <w:rPr>
          <w:rFonts w:hint="eastAsia" w:ascii="宋体" w:hAnsi="宋体" w:cs="宋体"/>
          <w:sz w:val="24"/>
        </w:rPr>
        <w:t>（1）独立法人机构提供下述证明材料：</w:t>
      </w:r>
    </w:p>
    <w:p>
      <w:pPr>
        <w:tabs>
          <w:tab w:val="left" w:pos="1134"/>
        </w:tabs>
        <w:spacing w:line="360" w:lineRule="auto"/>
        <w:outlineLvl w:val="5"/>
        <w:rPr>
          <w:rFonts w:ascii="宋体" w:hAnsi="宋体" w:cs="宋体"/>
          <w:sz w:val="24"/>
        </w:rPr>
      </w:pPr>
      <w:r>
        <w:rPr>
          <w:rFonts w:hint="eastAsia" w:ascii="宋体" w:hAnsi="宋体" w:cs="宋体"/>
          <w:sz w:val="24"/>
        </w:rPr>
        <w:t xml:space="preserve">    营业执照副本复印件（注：①在有效期内；②具有独立法人资格；）、组织机构代码证副本复印件（注：①在有效期内）】或</w:t>
      </w:r>
      <w:r>
        <w:rPr>
          <w:rFonts w:hint="eastAsia" w:ascii="宋体" w:hAnsi="宋体" w:cs="宋体"/>
          <w:sz w:val="24"/>
          <w:shd w:val="clear" w:color="auto" w:fill="FFFFFF"/>
        </w:rPr>
        <w:t>工商部门新颁发的营业执照复印件（有效期内）</w:t>
      </w:r>
      <w:r>
        <w:rPr>
          <w:rFonts w:hint="eastAsia" w:ascii="宋体" w:hAnsi="宋体" w:cs="宋体"/>
          <w:sz w:val="24"/>
        </w:rPr>
        <w:t>。</w:t>
      </w:r>
    </w:p>
    <w:p>
      <w:pPr>
        <w:tabs>
          <w:tab w:val="left" w:pos="1134"/>
          <w:tab w:val="right" w:pos="9440"/>
        </w:tabs>
        <w:spacing w:line="360" w:lineRule="auto"/>
        <w:jc w:val="left"/>
        <w:rPr>
          <w:rFonts w:ascii="宋体" w:hAnsi="宋体" w:cs="宋体"/>
          <w:sz w:val="24"/>
        </w:rPr>
      </w:pPr>
      <w:r>
        <w:rPr>
          <w:rFonts w:hint="eastAsia" w:ascii="宋体" w:hAnsi="宋体" w:cs="宋体"/>
          <w:sz w:val="24"/>
        </w:rPr>
        <w:t xml:space="preserve">    （2）其他组织或自然人提供具有承担民事责任的能力的证明材料复印件。</w:t>
      </w:r>
    </w:p>
    <w:p>
      <w:pPr>
        <w:tabs>
          <w:tab w:val="left" w:pos="1134"/>
        </w:tabs>
        <w:spacing w:line="360" w:lineRule="auto"/>
        <w:outlineLvl w:val="5"/>
        <w:rPr>
          <w:rFonts w:ascii="宋体" w:hAnsi="宋体" w:cs="宋体"/>
          <w:b/>
          <w:sz w:val="24"/>
        </w:rPr>
      </w:pPr>
      <w:r>
        <w:rPr>
          <w:rFonts w:hint="eastAsia" w:ascii="宋体" w:hAnsi="宋体" w:cs="宋体"/>
          <w:b/>
          <w:sz w:val="24"/>
        </w:rPr>
        <w:t xml:space="preserve">   2.具有良好的商业信誉和健全的财务会计制度提供以下证明材料：</w:t>
      </w:r>
    </w:p>
    <w:p>
      <w:pPr>
        <w:widowControl/>
        <w:tabs>
          <w:tab w:val="left" w:pos="1134"/>
        </w:tabs>
        <w:spacing w:line="360" w:lineRule="auto"/>
        <w:ind w:left="370" w:leftChars="176"/>
        <w:jc w:val="left"/>
        <w:outlineLvl w:val="5"/>
        <w:rPr>
          <w:rFonts w:ascii="宋体" w:hAnsi="宋体" w:cs="宋体"/>
          <w:sz w:val="24"/>
        </w:rPr>
      </w:pPr>
      <w:r>
        <w:rPr>
          <w:rFonts w:hint="eastAsia" w:ascii="宋体" w:hAnsi="宋体" w:cs="宋体"/>
          <w:sz w:val="24"/>
        </w:rPr>
        <w:t>（1）具有健全的财务会计制度（2019或2020年度财务状况（投标人可根据自身实际情况任选其一提供以下证明材料））：</w:t>
      </w:r>
    </w:p>
    <w:p>
      <w:pPr>
        <w:widowControl/>
        <w:tabs>
          <w:tab w:val="left" w:pos="1134"/>
        </w:tabs>
        <w:spacing w:line="360" w:lineRule="auto"/>
        <w:ind w:left="840" w:leftChars="400"/>
        <w:jc w:val="left"/>
        <w:outlineLvl w:val="5"/>
        <w:rPr>
          <w:rFonts w:ascii="宋体" w:hAnsi="宋体" w:cs="宋体"/>
          <w:b/>
          <w:sz w:val="24"/>
        </w:rPr>
      </w:pPr>
      <w:r>
        <w:rPr>
          <w:rFonts w:hint="eastAsia" w:ascii="宋体" w:hAnsi="宋体" w:cs="宋体"/>
          <w:b/>
          <w:sz w:val="24"/>
        </w:rPr>
        <w:t>①投标人内部出具（至少具有资产负债表）或第三方机构出具的财务状况报告（复印件）；</w:t>
      </w:r>
    </w:p>
    <w:p>
      <w:pPr>
        <w:widowControl/>
        <w:tabs>
          <w:tab w:val="left" w:pos="1134"/>
        </w:tabs>
        <w:spacing w:line="360" w:lineRule="auto"/>
        <w:ind w:left="840" w:leftChars="400"/>
        <w:jc w:val="left"/>
        <w:outlineLvl w:val="5"/>
        <w:rPr>
          <w:rFonts w:ascii="宋体" w:hAnsi="宋体" w:cs="宋体"/>
          <w:b/>
          <w:sz w:val="24"/>
          <w:u w:val="single"/>
        </w:rPr>
      </w:pPr>
      <w:r>
        <w:rPr>
          <w:rFonts w:hint="eastAsia" w:ascii="宋体" w:hAnsi="宋体" w:cs="宋体"/>
          <w:b/>
          <w:sz w:val="24"/>
        </w:rPr>
        <w:fldChar w:fldCharType="begin"/>
      </w:r>
      <w:r>
        <w:rPr>
          <w:rFonts w:hint="eastAsia" w:ascii="宋体" w:hAnsi="宋体" w:cs="宋体"/>
          <w:b/>
          <w:sz w:val="24"/>
        </w:rPr>
        <w:instrText xml:space="preserve"> = 2 \* GB3 </w:instrText>
      </w:r>
      <w:r>
        <w:rPr>
          <w:rFonts w:hint="eastAsia" w:ascii="宋体" w:hAnsi="宋体" w:cs="宋体"/>
          <w:b/>
          <w:sz w:val="24"/>
        </w:rPr>
        <w:fldChar w:fldCharType="separate"/>
      </w:r>
      <w:r>
        <w:rPr>
          <w:rFonts w:hint="eastAsia" w:ascii="宋体" w:hAnsi="宋体" w:cs="宋体"/>
          <w:b/>
          <w:sz w:val="24"/>
        </w:rPr>
        <w:t>②</w:t>
      </w:r>
      <w:r>
        <w:rPr>
          <w:rFonts w:hint="eastAsia" w:ascii="宋体" w:hAnsi="宋体" w:cs="宋体"/>
          <w:b/>
          <w:sz w:val="24"/>
        </w:rPr>
        <w:fldChar w:fldCharType="end"/>
      </w:r>
      <w:r>
        <w:rPr>
          <w:rFonts w:hint="eastAsia" w:ascii="宋体" w:hAnsi="宋体" w:cs="宋体"/>
          <w:b/>
          <w:sz w:val="24"/>
        </w:rPr>
        <w:t>也可提供截至投标文件递交截止日一年内银行出具的资信证明（复印件）。</w:t>
      </w:r>
    </w:p>
    <w:p>
      <w:pPr>
        <w:widowControl/>
        <w:tabs>
          <w:tab w:val="left" w:pos="1134"/>
        </w:tabs>
        <w:spacing w:line="360" w:lineRule="auto"/>
        <w:ind w:firstLine="849" w:firstLineChars="354"/>
        <w:jc w:val="left"/>
        <w:outlineLvl w:val="5"/>
        <w:rPr>
          <w:rFonts w:ascii="宋体" w:hAnsi="宋体" w:cs="宋体"/>
          <w:b/>
          <w:sz w:val="24"/>
          <w:u w:val="single"/>
        </w:rPr>
      </w:pPr>
      <w:r>
        <w:rPr>
          <w:rFonts w:hint="eastAsia" w:ascii="宋体" w:hAnsi="宋体" w:cs="宋体"/>
          <w:sz w:val="24"/>
          <w:lang w:val="zh-CN"/>
        </w:rPr>
        <w:t>③新成立公司（</w:t>
      </w:r>
      <w:r>
        <w:rPr>
          <w:rFonts w:hint="eastAsia" w:ascii="宋体" w:hAnsi="宋体" w:cs="宋体"/>
          <w:sz w:val="24"/>
        </w:rPr>
        <w:t>本项目文件递交截止时间前1年内注册的公司，以营业执照注册时间为准）可</w:t>
      </w:r>
      <w:r>
        <w:rPr>
          <w:rFonts w:hint="eastAsia" w:ascii="宋体" w:hAnsi="宋体" w:cs="宋体"/>
          <w:sz w:val="24"/>
          <w:lang w:val="zh-CN"/>
        </w:rPr>
        <w:t>提供在工商备案的公司章程</w:t>
      </w:r>
      <w:r>
        <w:rPr>
          <w:rFonts w:hint="eastAsia" w:ascii="宋体" w:hAnsi="宋体" w:cs="宋体"/>
          <w:sz w:val="24"/>
        </w:rPr>
        <w:t>复印件。</w:t>
      </w:r>
    </w:p>
    <w:p>
      <w:pPr>
        <w:tabs>
          <w:tab w:val="left" w:pos="1134"/>
        </w:tabs>
        <w:spacing w:line="360" w:lineRule="auto"/>
        <w:outlineLvl w:val="5"/>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（2）具有良好的商业信誉可提供承诺函【格式自拟】。</w:t>
      </w:r>
    </w:p>
    <w:p>
      <w:pPr>
        <w:tabs>
          <w:tab w:val="left" w:pos="1134"/>
        </w:tabs>
        <w:spacing w:line="360" w:lineRule="auto"/>
        <w:outlineLvl w:val="5"/>
        <w:rPr>
          <w:rFonts w:ascii="宋体" w:hAnsi="宋体" w:cs="宋体"/>
          <w:b/>
          <w:sz w:val="24"/>
        </w:rPr>
      </w:pPr>
      <w:r>
        <w:rPr>
          <w:rFonts w:hint="eastAsia" w:ascii="宋体" w:hAnsi="宋体" w:cs="宋体"/>
          <w:b/>
          <w:sz w:val="24"/>
        </w:rPr>
        <w:t xml:space="preserve">   3.具有履行合同所必需的设备和专业技术能力的证明材料：</w:t>
      </w:r>
    </w:p>
    <w:p>
      <w:pPr>
        <w:spacing w:line="360" w:lineRule="auto"/>
        <w:rPr>
          <w:rFonts w:ascii="宋体" w:hAnsi="宋体" w:cs="宋体"/>
          <w:sz w:val="24"/>
        </w:rPr>
      </w:pPr>
      <w:r>
        <w:rPr>
          <w:rFonts w:hint="eastAsia" w:ascii="宋体" w:hAnsi="宋体" w:cs="宋体"/>
          <w:sz w:val="24"/>
        </w:rPr>
        <w:t xml:space="preserve">    （1）投标人自行提供或提供承诺函</w:t>
      </w:r>
      <w:r>
        <w:rPr>
          <w:rFonts w:hint="eastAsia" w:ascii="宋体" w:hAnsi="宋体" w:cs="宋体"/>
          <w:sz w:val="24"/>
          <w:lang w:val="zh-CN"/>
        </w:rPr>
        <w:t>【格式自拟】</w:t>
      </w:r>
      <w:r>
        <w:rPr>
          <w:rFonts w:hint="eastAsia" w:ascii="宋体" w:hAnsi="宋体" w:cs="宋体"/>
          <w:sz w:val="24"/>
        </w:rPr>
        <w:t>。</w:t>
      </w:r>
    </w:p>
    <w:p>
      <w:pPr>
        <w:spacing w:line="360" w:lineRule="auto"/>
        <w:rPr>
          <w:rFonts w:ascii="宋体" w:hAnsi="宋体" w:cs="宋体"/>
          <w:b/>
          <w:sz w:val="24"/>
        </w:rPr>
      </w:pPr>
      <w:r>
        <w:rPr>
          <w:rFonts w:hint="eastAsia" w:ascii="宋体" w:hAnsi="宋体" w:cs="宋体"/>
          <w:b/>
          <w:sz w:val="24"/>
        </w:rPr>
        <w:t xml:space="preserve">   4.有依法缴纳税收和社会保障资金的良好记录：</w:t>
      </w:r>
    </w:p>
    <w:p>
      <w:pPr>
        <w:tabs>
          <w:tab w:val="left" w:pos="1134"/>
        </w:tabs>
        <w:spacing w:line="360" w:lineRule="auto"/>
        <w:rPr>
          <w:rFonts w:ascii="宋体" w:hAnsi="宋体" w:cs="宋体"/>
          <w:sz w:val="24"/>
        </w:rPr>
      </w:pPr>
      <w:r>
        <w:rPr>
          <w:rFonts w:hint="eastAsia" w:ascii="宋体" w:hAnsi="宋体" w:cs="宋体"/>
          <w:sz w:val="24"/>
        </w:rPr>
        <w:t xml:space="preserve">    （1）缴纳税收证明材料（投标人可提供以下证明材料）：</w:t>
      </w:r>
    </w:p>
    <w:p>
      <w:pPr>
        <w:tabs>
          <w:tab w:val="left" w:pos="1134"/>
        </w:tabs>
        <w:spacing w:line="360" w:lineRule="auto"/>
        <w:ind w:left="850" w:leftChars="229" w:hanging="369" w:hangingChars="154"/>
        <w:rPr>
          <w:rFonts w:ascii="宋体" w:hAnsi="宋体" w:cs="宋体"/>
          <w:sz w:val="24"/>
          <w:shd w:val="clear" w:color="auto" w:fill="FFFFFF"/>
        </w:rPr>
      </w:pPr>
      <w:r>
        <w:rPr>
          <w:rFonts w:hint="eastAsia" w:ascii="宋体" w:hAnsi="宋体" w:cs="宋体"/>
          <w:sz w:val="24"/>
        </w:rPr>
        <w:t xml:space="preserve"> ①税务登记证副本复印件（注：在有效期内）或</w:t>
      </w:r>
      <w:r>
        <w:rPr>
          <w:rFonts w:hint="eastAsia" w:ascii="宋体" w:hAnsi="宋体" w:cs="宋体"/>
          <w:sz w:val="24"/>
          <w:shd w:val="clear" w:color="auto" w:fill="FFFFFF"/>
        </w:rPr>
        <w:t>工商部门新颁发的营业执照复印件（有效期内）</w:t>
      </w:r>
      <w:r>
        <w:rPr>
          <w:rFonts w:hint="eastAsia" w:ascii="宋体" w:hAnsi="宋体" w:cs="宋体"/>
          <w:sz w:val="24"/>
        </w:rPr>
        <w:t>。</w:t>
      </w:r>
    </w:p>
    <w:p>
      <w:pPr>
        <w:tabs>
          <w:tab w:val="left" w:pos="1134"/>
        </w:tabs>
        <w:spacing w:line="360" w:lineRule="auto"/>
        <w:ind w:left="850" w:leftChars="229" w:hanging="369" w:hangingChars="154"/>
        <w:rPr>
          <w:rFonts w:ascii="宋体" w:hAnsi="宋体" w:cs="宋体"/>
          <w:sz w:val="24"/>
        </w:rPr>
      </w:pPr>
      <w:r>
        <w:rPr>
          <w:rFonts w:hint="eastAsia" w:ascii="宋体" w:hAnsi="宋体" w:cs="宋体"/>
          <w:sz w:val="24"/>
        </w:rPr>
        <w:t xml:space="preserve"> ②投标人提供2021年1月1日以后任意一月的缴纳税收的银行电子回单或者税务</w:t>
      </w:r>
    </w:p>
    <w:p>
      <w:pPr>
        <w:tabs>
          <w:tab w:val="left" w:pos="1134"/>
        </w:tabs>
        <w:spacing w:line="360" w:lineRule="auto"/>
        <w:rPr>
          <w:rFonts w:ascii="宋体" w:hAnsi="宋体" w:cs="宋体"/>
          <w:sz w:val="24"/>
        </w:rPr>
      </w:pPr>
      <w:r>
        <w:rPr>
          <w:rFonts w:hint="eastAsia" w:ascii="宋体" w:hAnsi="宋体" w:cs="宋体"/>
          <w:sz w:val="24"/>
        </w:rPr>
        <w:t>部门出具的纳税证明或完税证明（注：原件或复印件或扫描件）或承诺书原件</w:t>
      </w:r>
      <w:r>
        <w:rPr>
          <w:rFonts w:hint="eastAsia" w:ascii="宋体" w:hAnsi="宋体" w:cs="宋体"/>
          <w:sz w:val="24"/>
          <w:lang w:val="zh-CN"/>
        </w:rPr>
        <w:t>【格式可自拟】</w:t>
      </w:r>
      <w:r>
        <w:rPr>
          <w:rFonts w:hint="eastAsia" w:ascii="宋体" w:hAnsi="宋体" w:cs="宋体"/>
          <w:sz w:val="24"/>
        </w:rPr>
        <w:t>（注：承诺若不属实，将视为虚假响应，并按政府采购相关规定予以惩罚）。</w:t>
      </w:r>
    </w:p>
    <w:p>
      <w:pPr>
        <w:tabs>
          <w:tab w:val="left" w:pos="1134"/>
        </w:tabs>
        <w:spacing w:line="360" w:lineRule="auto"/>
        <w:ind w:firstLine="480" w:firstLineChars="200"/>
        <w:rPr>
          <w:rFonts w:ascii="宋体" w:hAnsi="宋体" w:cs="宋体"/>
          <w:sz w:val="24"/>
        </w:rPr>
      </w:pPr>
      <w:r>
        <w:rPr>
          <w:rFonts w:hint="eastAsia" w:ascii="宋体" w:hAnsi="宋体" w:cs="宋体"/>
          <w:sz w:val="24"/>
        </w:rPr>
        <w:t>（2）缴纳社会保障资金（投标人可提供以下证明材料）：</w:t>
      </w:r>
    </w:p>
    <w:p>
      <w:pPr>
        <w:tabs>
          <w:tab w:val="left" w:pos="1134"/>
        </w:tabs>
        <w:spacing w:line="360" w:lineRule="auto"/>
        <w:ind w:left="990" w:leftChars="228" w:hanging="511" w:hangingChars="213"/>
        <w:rPr>
          <w:rFonts w:ascii="宋体" w:hAnsi="宋体" w:cs="宋体"/>
          <w:sz w:val="24"/>
        </w:rPr>
      </w:pPr>
      <w:r>
        <w:rPr>
          <w:rFonts w:hint="eastAsia" w:ascii="宋体" w:hAnsi="宋体" w:cs="宋体"/>
          <w:sz w:val="24"/>
        </w:rPr>
        <w:t>①投标人提供2021年1月1日以后任意一月社保缴纳的证明材料（注：1.缴纳的</w:t>
      </w:r>
    </w:p>
    <w:p>
      <w:pPr>
        <w:tabs>
          <w:tab w:val="left" w:pos="1134"/>
        </w:tabs>
        <w:spacing w:line="360" w:lineRule="auto"/>
        <w:rPr>
          <w:rFonts w:ascii="宋体" w:hAnsi="宋体" w:cs="宋体"/>
          <w:sz w:val="24"/>
        </w:rPr>
      </w:pPr>
      <w:r>
        <w:rPr>
          <w:rFonts w:hint="eastAsia" w:ascii="宋体" w:hAnsi="宋体" w:cs="宋体"/>
          <w:sz w:val="24"/>
        </w:rPr>
        <w:t>银行电子回单或以社保部门出具的为准（注：原件或复印件或扫描件）或承诺书</w:t>
      </w:r>
      <w:r>
        <w:rPr>
          <w:rFonts w:hint="eastAsia" w:ascii="宋体" w:hAnsi="宋体" w:cs="宋体"/>
          <w:sz w:val="24"/>
          <w:lang w:val="zh-CN"/>
        </w:rPr>
        <w:t>【格式可自拟】</w:t>
      </w:r>
      <w:r>
        <w:rPr>
          <w:rFonts w:hint="eastAsia" w:ascii="宋体" w:hAnsi="宋体" w:cs="宋体"/>
          <w:sz w:val="24"/>
        </w:rPr>
        <w:t>（注：原件）。（注：承诺若不属实，将视为虚假响应，并按政府采购相关规定予以惩罚）。</w:t>
      </w:r>
    </w:p>
    <w:p>
      <w:pPr>
        <w:tabs>
          <w:tab w:val="left" w:pos="1134"/>
        </w:tabs>
        <w:spacing w:line="360" w:lineRule="auto"/>
        <w:outlineLvl w:val="5"/>
        <w:rPr>
          <w:rFonts w:ascii="宋体" w:hAnsi="宋体" w:cs="宋体"/>
          <w:b/>
          <w:spacing w:val="-20"/>
          <w:sz w:val="24"/>
        </w:rPr>
      </w:pPr>
      <w:r>
        <w:rPr>
          <w:rFonts w:hint="eastAsia" w:ascii="宋体" w:hAnsi="宋体" w:cs="宋体"/>
          <w:b/>
          <w:sz w:val="24"/>
        </w:rPr>
        <w:t xml:space="preserve">   5.参加政府采购活动前三年内，在经营活动中没有重大违法记录提供以</w:t>
      </w:r>
      <w:r>
        <w:rPr>
          <w:rFonts w:hint="eastAsia" w:ascii="宋体" w:hAnsi="宋体" w:cs="宋体"/>
          <w:b/>
          <w:spacing w:val="-20"/>
          <w:sz w:val="24"/>
        </w:rPr>
        <w:t>下证明材料：</w:t>
      </w:r>
    </w:p>
    <w:p>
      <w:pPr>
        <w:tabs>
          <w:tab w:val="left" w:pos="1080"/>
        </w:tabs>
        <w:spacing w:line="360" w:lineRule="auto"/>
        <w:ind w:left="1014" w:leftChars="201" w:hanging="592" w:hangingChars="247"/>
        <w:rPr>
          <w:rFonts w:ascii="宋体" w:hAnsi="宋体" w:cs="宋体"/>
          <w:sz w:val="24"/>
        </w:rPr>
      </w:pPr>
      <w:r>
        <w:rPr>
          <w:rFonts w:hint="eastAsia" w:ascii="宋体" w:hAnsi="宋体" w:cs="宋体"/>
          <w:sz w:val="24"/>
        </w:rPr>
        <w:t>（1）投标人参加政府采购活动前三年内，在经营活动中没有重大违法记录的书面声明原件。</w:t>
      </w:r>
    </w:p>
    <w:p>
      <w:pPr>
        <w:widowControl/>
        <w:spacing w:line="360" w:lineRule="auto"/>
        <w:outlineLvl w:val="5"/>
        <w:rPr>
          <w:rFonts w:ascii="宋体" w:hAnsi="宋体" w:cs="宋体"/>
          <w:b/>
          <w:sz w:val="24"/>
        </w:rPr>
      </w:pPr>
      <w:r>
        <w:rPr>
          <w:rFonts w:hint="eastAsia" w:ascii="宋体" w:hAnsi="宋体" w:cs="宋体"/>
          <w:b/>
          <w:sz w:val="24"/>
        </w:rPr>
        <w:t>（二）其他根据采购项目提出的特殊条件：</w:t>
      </w:r>
    </w:p>
    <w:p>
      <w:pPr>
        <w:widowControl/>
        <w:spacing w:line="360" w:lineRule="auto"/>
        <w:outlineLvl w:val="5"/>
        <w:rPr>
          <w:rFonts w:ascii="宋体" w:hAnsi="宋体" w:cs="宋体"/>
          <w:bCs/>
          <w:sz w:val="24"/>
        </w:rPr>
      </w:pPr>
      <w:r>
        <w:rPr>
          <w:rFonts w:hint="eastAsia" w:ascii="宋体" w:hAnsi="宋体" w:cs="宋体"/>
          <w:bCs/>
          <w:sz w:val="24"/>
        </w:rPr>
        <w:t>1.本项目参加政府采购活动的投标人在前三年内不得具有行贿犯罪记录：</w:t>
      </w:r>
    </w:p>
    <w:p>
      <w:pPr>
        <w:widowControl/>
        <w:spacing w:line="360" w:lineRule="auto"/>
        <w:outlineLvl w:val="5"/>
        <w:rPr>
          <w:rFonts w:ascii="宋体" w:hAnsi="宋体" w:cs="宋体"/>
          <w:sz w:val="24"/>
        </w:rPr>
      </w:pPr>
      <w:r>
        <w:rPr>
          <w:rFonts w:hint="eastAsia" w:ascii="宋体" w:hAnsi="宋体" w:cs="宋体"/>
          <w:sz w:val="24"/>
        </w:rPr>
        <w:t xml:space="preserve">     提供本项目参加政府采购活动的供应商及其现任法定代表人、主要负责人在前三年内不得具有行贿犯罪记录证明材料</w:t>
      </w:r>
      <w:r>
        <w:rPr>
          <w:rFonts w:hint="eastAsia" w:ascii="宋体" w:hAnsi="宋体" w:cs="宋体"/>
          <w:b/>
          <w:sz w:val="24"/>
        </w:rPr>
        <w:t>（在投标文件中进行承诺，如果虚假承诺，作无效投标、中标处理）</w:t>
      </w:r>
      <w:r>
        <w:rPr>
          <w:rFonts w:hint="eastAsia" w:ascii="宋体" w:hAnsi="宋体" w:cs="宋体"/>
          <w:sz w:val="24"/>
        </w:rPr>
        <w:t>。</w:t>
      </w:r>
    </w:p>
    <w:p>
      <w:pPr>
        <w:tabs>
          <w:tab w:val="left" w:pos="720"/>
        </w:tabs>
        <w:spacing w:line="360" w:lineRule="auto"/>
        <w:rPr>
          <w:rFonts w:ascii="宋体" w:hAnsi="宋体" w:cs="宋体"/>
          <w:b/>
          <w:sz w:val="24"/>
        </w:rPr>
      </w:pPr>
      <w:r>
        <w:rPr>
          <w:rFonts w:hint="eastAsia" w:ascii="宋体" w:hAnsi="宋体" w:cs="宋体"/>
          <w:b/>
          <w:sz w:val="24"/>
        </w:rPr>
        <w:t>（三）其他类似效力要求相关证明材料：</w:t>
      </w:r>
    </w:p>
    <w:p>
      <w:pPr>
        <w:tabs>
          <w:tab w:val="left" w:pos="1134"/>
        </w:tabs>
        <w:spacing w:line="360" w:lineRule="auto"/>
        <w:ind w:left="1133" w:leftChars="229" w:hanging="652" w:hangingChars="272"/>
        <w:rPr>
          <w:rFonts w:ascii="宋体" w:hAnsi="宋体" w:cs="宋体"/>
          <w:bCs/>
          <w:sz w:val="24"/>
        </w:rPr>
      </w:pPr>
      <w:r>
        <w:rPr>
          <w:rFonts w:hint="eastAsia" w:ascii="宋体" w:hAnsi="宋体" w:cs="宋体"/>
          <w:bCs/>
          <w:sz w:val="24"/>
        </w:rPr>
        <w:t>1.法定代表人身份证复印件或护照复印件［注：①法定代表人身份证复印件（在有</w:t>
      </w:r>
    </w:p>
    <w:p>
      <w:pPr>
        <w:tabs>
          <w:tab w:val="left" w:pos="1134"/>
        </w:tabs>
        <w:spacing w:line="360" w:lineRule="auto"/>
        <w:rPr>
          <w:rFonts w:ascii="宋体" w:hAnsi="宋体" w:cs="宋体"/>
          <w:bCs/>
          <w:sz w:val="24"/>
        </w:rPr>
      </w:pPr>
      <w:r>
        <w:rPr>
          <w:rFonts w:hint="eastAsia" w:ascii="宋体" w:hAnsi="宋体" w:cs="宋体"/>
          <w:bCs/>
          <w:sz w:val="24"/>
        </w:rPr>
        <w:t>效期内、两面均应复印）或护照复印件（法定代表人为外籍人士的，按此提供）；</w:t>
      </w:r>
    </w:p>
    <w:p>
      <w:pPr>
        <w:numPr>
          <w:ilvl w:val="0"/>
          <w:numId w:val="4"/>
        </w:numPr>
        <w:tabs>
          <w:tab w:val="left" w:pos="1134"/>
        </w:tabs>
        <w:spacing w:line="360" w:lineRule="auto"/>
        <w:ind w:left="1133" w:leftChars="229" w:hanging="652" w:hangingChars="272"/>
        <w:rPr>
          <w:rFonts w:ascii="宋体" w:hAnsi="宋体" w:cs="宋体"/>
          <w:bCs/>
          <w:sz w:val="24"/>
        </w:rPr>
      </w:pPr>
      <w:r>
        <w:rPr>
          <w:rFonts w:hint="eastAsia" w:ascii="宋体" w:hAnsi="宋体" w:cs="宋体"/>
          <w:bCs/>
          <w:sz w:val="24"/>
        </w:rPr>
        <w:t>代理人身份证复印件（身份证两面均应复印）（注：①在有效期内；②由投标人</w:t>
      </w:r>
    </w:p>
    <w:p>
      <w:pPr>
        <w:tabs>
          <w:tab w:val="left" w:pos="1134"/>
        </w:tabs>
        <w:spacing w:line="360" w:lineRule="auto"/>
        <w:rPr>
          <w:rFonts w:ascii="宋体" w:hAnsi="宋体" w:cs="宋体"/>
          <w:bCs/>
          <w:sz w:val="24"/>
        </w:rPr>
      </w:pPr>
      <w:r>
        <w:rPr>
          <w:rFonts w:hint="eastAsia" w:ascii="宋体" w:hAnsi="宋体" w:cs="宋体"/>
          <w:bCs/>
          <w:sz w:val="24"/>
        </w:rPr>
        <w:t>法定代表人签署所有投标文件并参加投标的，则可不提供）。</w:t>
      </w:r>
    </w:p>
    <w:p>
      <w:pPr>
        <w:tabs>
          <w:tab w:val="left" w:pos="1134"/>
        </w:tabs>
        <w:spacing w:line="360" w:lineRule="auto"/>
        <w:ind w:firstLine="480" w:firstLineChars="200"/>
        <w:rPr>
          <w:rFonts w:ascii="宋体" w:hAnsi="宋体" w:cs="宋体"/>
          <w:bCs/>
          <w:sz w:val="24"/>
        </w:rPr>
      </w:pPr>
      <w:r>
        <w:rPr>
          <w:rFonts w:hint="eastAsia" w:ascii="宋体" w:hAnsi="宋体" w:cs="宋体"/>
          <w:bCs/>
          <w:sz w:val="24"/>
        </w:rPr>
        <w:t>3.法人授权书原件（注：①非法定代表人签署所有投标文件并参加投标的适用；②非独立法人机构提供相应的有授权资格的负责人授权书原件；③其签字或加盖法定代表人私人印章须与其相对应的身份证明文件[身份证复印件或护照复印件（外籍人士适用）]上姓名一致。）</w:t>
      </w:r>
    </w:p>
    <w:p>
      <w:pPr>
        <w:spacing w:line="360" w:lineRule="auto"/>
        <w:rPr>
          <w:rFonts w:ascii="宋体" w:hAnsi="宋体" w:cs="宋体"/>
          <w:b/>
          <w:sz w:val="22"/>
          <w:szCs w:val="22"/>
        </w:rPr>
      </w:pPr>
      <w:r>
        <w:rPr>
          <w:rFonts w:hint="eastAsia" w:ascii="宋体" w:hAnsi="宋体" w:cs="宋体"/>
          <w:b/>
          <w:sz w:val="22"/>
          <w:szCs w:val="22"/>
        </w:rPr>
        <w:t xml:space="preserve">   说明：1、本章要求提供的相关证明材料应当与第四章的规定要求对应，除投标人自愿以外，不能要求投标人提供额外的证明材料。如果要求提供额外的证明材料，投标人有权不予提供，且不影响投标文件的有效性和完整性。</w:t>
      </w:r>
    </w:p>
    <w:p>
      <w:pPr>
        <w:spacing w:line="360" w:lineRule="auto"/>
        <w:rPr>
          <w:rFonts w:ascii="宋体" w:hAnsi="宋体" w:cs="宋体"/>
          <w:b/>
          <w:sz w:val="22"/>
          <w:szCs w:val="22"/>
        </w:rPr>
      </w:pPr>
    </w:p>
    <w:p>
      <w:pPr>
        <w:pStyle w:val="4"/>
        <w:jc w:val="center"/>
        <w:rPr>
          <w:rFonts w:ascii="宋体" w:hAnsi="宋体" w:cs="宋体"/>
        </w:rPr>
      </w:pPr>
      <w:bookmarkStart w:id="178" w:name="_Toc17594"/>
      <w:bookmarkStart w:id="179" w:name="_Toc217446093"/>
      <w:bookmarkStart w:id="180" w:name="_Toc20583"/>
      <w:bookmarkStart w:id="181" w:name="_Toc7890"/>
      <w:r>
        <w:rPr>
          <w:rFonts w:hint="eastAsia" w:ascii="宋体" w:hAnsi="宋体" w:cs="宋体"/>
        </w:rPr>
        <w:br w:type="page"/>
      </w:r>
      <w:r>
        <w:rPr>
          <w:rFonts w:hint="eastAsia" w:ascii="宋体" w:hAnsi="宋体" w:cs="宋体"/>
          <w:b/>
          <w:bCs/>
        </w:rPr>
        <w:t xml:space="preserve">第六章  </w:t>
      </w:r>
      <w:bookmarkEnd w:id="178"/>
      <w:bookmarkEnd w:id="179"/>
      <w:bookmarkEnd w:id="180"/>
      <w:bookmarkEnd w:id="181"/>
      <w:bookmarkStart w:id="182" w:name="_Toc217446094"/>
      <w:r>
        <w:rPr>
          <w:rFonts w:hint="eastAsia" w:ascii="宋体" w:hAnsi="宋体" w:cs="宋体"/>
          <w:b/>
          <w:bCs/>
        </w:rPr>
        <w:t>本项目技术、服务、政府采购履约主要条款及其他要求条款</w:t>
      </w:r>
      <w:bookmarkEnd w:id="182"/>
    </w:p>
    <w:p>
      <w:pPr>
        <w:pStyle w:val="102"/>
        <w:tabs>
          <w:tab w:val="left" w:pos="2730"/>
        </w:tabs>
        <w:spacing w:line="360" w:lineRule="auto"/>
        <w:ind w:firstLine="0" w:firstLineChars="0"/>
        <w:rPr>
          <w:rFonts w:ascii="宋体" w:hAnsi="宋体" w:cs="宋体"/>
          <w:b/>
          <w:bCs/>
          <w:sz w:val="28"/>
          <w:szCs w:val="28"/>
        </w:rPr>
      </w:pPr>
      <w:bookmarkStart w:id="183" w:name="_Toc9669"/>
      <w:bookmarkStart w:id="184" w:name="_Toc217446096"/>
      <w:bookmarkStart w:id="185" w:name="_Toc10567"/>
      <w:bookmarkStart w:id="186" w:name="_Toc572"/>
      <w:r>
        <w:rPr>
          <w:rFonts w:hint="eastAsia" w:ascii="宋体" w:hAnsi="宋体" w:cs="宋体"/>
          <w:b/>
          <w:bCs/>
          <w:sz w:val="28"/>
          <w:szCs w:val="28"/>
        </w:rPr>
        <w:t xml:space="preserve"> 第一部分：项目背景</w:t>
      </w:r>
    </w:p>
    <w:p>
      <w:pPr>
        <w:pStyle w:val="5"/>
        <w:spacing w:before="0" w:after="0"/>
        <w:jc w:val="left"/>
        <w:rPr>
          <w:rFonts w:ascii="宋体" w:hAnsi="宋体" w:eastAsia="宋体" w:cs="宋体"/>
          <w:color w:val="000000" w:themeColor="text1"/>
          <w:sz w:val="24"/>
          <w:szCs w:val="24"/>
          <w14:textFill>
            <w14:solidFill>
              <w14:schemeClr w14:val="tx1"/>
            </w14:solidFill>
          </w14:textFill>
        </w:rPr>
      </w:pPr>
      <w:bookmarkStart w:id="187" w:name="_Toc71663187"/>
      <w:bookmarkStart w:id="188" w:name="_Toc41897241"/>
      <w:r>
        <w:rPr>
          <w:rFonts w:hint="eastAsia" w:ascii="宋体" w:hAnsi="宋体" w:eastAsia="宋体" w:cs="宋体"/>
          <w:color w:val="000000" w:themeColor="text1"/>
          <w:sz w:val="24"/>
          <w:szCs w:val="24"/>
          <w14:textFill>
            <w14:solidFill>
              <w14:schemeClr w14:val="tx1"/>
            </w14:solidFill>
          </w14:textFill>
        </w:rPr>
        <w:t>一、建设背景</w:t>
      </w:r>
      <w:bookmarkEnd w:id="187"/>
      <w:bookmarkEnd w:id="188"/>
    </w:p>
    <w:p>
      <w:pPr>
        <w:pStyle w:val="192"/>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简阳市人民医院始建于1939年，是一所集医疗、教学、科研、急救、预防保健、康复于一体的三级甲等综合医院。是国家级住院医师规范化培训基地医院；是西南医科大学和成都医学院非直属附属医院；是四川省护理职业学院、雅安职业技术学院、甘孜州卫生学校、内江医科学校实习基地；是国家卫健委首批达到县级医院综合服务能力推荐标准的县级医院。先后获得全国卫生系统先进集体、全国百佳医院、全国院务公开示范点、全国医院文化建设先进单位、全国精神文明建设工作先进单位、全国文明单位等荣誉称号。2019年在第三方机构排名中居全国县级医院第19位，连续十年保持西部第一。</w:t>
      </w:r>
    </w:p>
    <w:p>
      <w:pPr>
        <w:pStyle w:val="192"/>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截止目前，医院占地3.39万平方米，建筑面积14.7万平方米，总资产14亿元，编制床位1600张，设职能部门27个、临床科室40个、医技科室9个，建有党支部28个，党员530名。在岗职工2400余人，高级职称280人，硕士生导师1人，博士11人，硕士160人；有享受国务院特殊津贴专家1人,四川省名中医1人，四川省有突出贡献优秀专家1人、四川省卫健委有突出贡献中青年专家2人、四川省卫健委学术技术带头人3人。有成都市院士（专家）创新工作站1个，四川省甲级重点专科4个（心外科、肾内科、肿瘤科、消化内科），成都市重点专科7个；立项建设成都市重点学科1个、重点专科1个；有国家级住院医师规范化培训专业基地24个，是四川省护士规范化培训基地。2019年，门急诊人次142.1万，出院人次8.04万，手术台次2.58万。</w:t>
      </w:r>
    </w:p>
    <w:p>
      <w:pPr>
        <w:pStyle w:val="192"/>
        <w:spacing w:line="360" w:lineRule="auto"/>
        <w:ind w:firstLine="48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2010年国家在全国范围内启动了电子病历为核心的医院信息化建设试点工作，2018年国家卫生健康委组织制定了《电子病历系统应用水平分级评价管理办法（试行）》和《电子病历系统应用水平分级评价标准（试行）》，用电子病历评估标准规划电子病历发展，运用电子病历系统助推医院信息化发展。为提升医疗服务水平，提高医护人员的工作效率，提高医疗质量，降低医疗差错，同时满足医院业务和管理的需要，为进一步提升我院信息化建设水平，参照电子病历应用水平评级、互联互通成熟度测评、智慧化医院评审要求，“以评促建”“以评促改”，通过电子病历评级和互联互通成熟度测评充分指导医院更好的建设和完善自身的医疗信息系统，帮助医院建立健全机制、流程、系统，升华以患者为中心的医疗服务和管理水平。</w:t>
      </w:r>
    </w:p>
    <w:p>
      <w:pPr>
        <w:pStyle w:val="5"/>
        <w:spacing w:before="0" w:after="0"/>
        <w:jc w:val="left"/>
        <w:rPr>
          <w:rFonts w:ascii="宋体" w:hAnsi="宋体" w:eastAsia="宋体" w:cs="宋体"/>
          <w:color w:val="000000" w:themeColor="text1"/>
          <w:sz w:val="24"/>
          <w:szCs w:val="24"/>
          <w14:textFill>
            <w14:solidFill>
              <w14:schemeClr w14:val="tx1"/>
            </w14:solidFill>
          </w14:textFill>
        </w:rPr>
      </w:pPr>
      <w:bookmarkStart w:id="189" w:name="_Toc71663188"/>
      <w:bookmarkStart w:id="190" w:name="_Toc41897242"/>
      <w:r>
        <w:rPr>
          <w:rFonts w:hint="eastAsia" w:ascii="宋体" w:hAnsi="宋体" w:eastAsia="宋体" w:cs="宋体"/>
          <w:color w:val="000000" w:themeColor="text1"/>
          <w:sz w:val="24"/>
          <w:szCs w:val="24"/>
          <w14:textFill>
            <w14:solidFill>
              <w14:schemeClr w14:val="tx1"/>
            </w14:solidFill>
          </w14:textFill>
        </w:rPr>
        <w:t>二、建设目标</w:t>
      </w:r>
      <w:bookmarkEnd w:id="189"/>
      <w:bookmarkEnd w:id="190"/>
    </w:p>
    <w:p>
      <w:pPr>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本次项目建设，将以临床路径为切入点，以电子病历为核心构建全覆盖的临床一体化诊疗平台应用体系，把提升医院医疗质量管理水平为重点目标，对医院信息化进行全面梳理规划，在尽可能保护医院现有投资的基础上，全面升级改造临床医护系统，满足国家、四川省等卫健部门对医院信息化建设的相关政策和评审要求；</w:t>
      </w:r>
    </w:p>
    <w:p>
      <w:pPr>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通过重构电子医嘱、门诊电子病历、临床路径的应用，为DRGs按病种“打包付费”提供信息化支撑，通过临床路径和DRGs的应用和互补，实现医疗质量管理和医疗控费双管齐下，杜绝DRGs付费中医疗质量下降的安全隐患。</w:t>
      </w:r>
    </w:p>
    <w:p>
      <w:pPr>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通过强化临床一体化诊疗平台系统功能，完善患者服务、临床诊疗周边应用体系，拓展管理应用体系，建立贯穿门诊-住院一体、诊疗-护理一体、临床-诊疗辅助科室一体、临床-管理一体、病历-医嘱-临床路径一体的业务流程规划与信息整合，实现患者诊疗流程的全面覆盖，数据全面可及、连续和共享，提升工作效率，实现管理数据分析科学准确，提升医院运营水平，为医院更进一步的精细化管理提供准确、科学、多维度的数据分析支持。</w:t>
      </w:r>
    </w:p>
    <w:p>
      <w:pPr>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通过日间手术系统的建设，覆盖门诊、日间手术管理中心、手术室及病房的全流程管控，形成以日间手术病种为指引，以患者医疗行为跟踪为核心的闭环管理。系统通过与医院电子病历系统、手术麻醉系统进行整合，构建出符合日间手术统一（或分散）的收治与管理模式。</w:t>
      </w:r>
    </w:p>
    <w:p>
      <w:pPr>
        <w:pStyle w:val="102"/>
        <w:tabs>
          <w:tab w:val="left" w:pos="2730"/>
        </w:tabs>
        <w:spacing w:line="360" w:lineRule="auto"/>
        <w:ind w:firstLine="0" w:firstLineChars="0"/>
        <w:jc w:val="left"/>
        <w:rPr>
          <w:rFonts w:ascii="宋体" w:hAnsi="宋体" w:cs="宋体"/>
          <w:b/>
          <w:bCs/>
          <w:sz w:val="24"/>
        </w:rPr>
      </w:pPr>
      <w:r>
        <w:rPr>
          <w:rFonts w:hint="eastAsia" w:ascii="宋体" w:hAnsi="宋体" w:cs="宋体"/>
          <w:color w:val="000000" w:themeColor="text1"/>
          <w:kern w:val="0"/>
          <w:sz w:val="24"/>
          <w14:textFill>
            <w14:solidFill>
              <w14:schemeClr w14:val="tx1"/>
            </w14:solidFill>
          </w14:textFill>
        </w:rPr>
        <w:t>5.通过本次项目建设，以评促建，协助医院构建充分共享的临床信息和数据共享应用，实现医院管理的精细化、闭环化、规范化和智能化，为医院后期电子病历评级、互联互通评级以及智慧医院建设提供有力的支撑和保障。</w:t>
      </w:r>
    </w:p>
    <w:p>
      <w:pPr>
        <w:pStyle w:val="102"/>
        <w:tabs>
          <w:tab w:val="left" w:pos="2730"/>
        </w:tabs>
        <w:spacing w:line="360" w:lineRule="auto"/>
        <w:ind w:firstLine="0" w:firstLineChars="0"/>
        <w:rPr>
          <w:rFonts w:ascii="宋体" w:hAnsi="宋体" w:cs="宋体"/>
          <w:b/>
          <w:bCs/>
          <w:sz w:val="24"/>
        </w:rPr>
      </w:pPr>
    </w:p>
    <w:p>
      <w:pPr>
        <w:pStyle w:val="102"/>
        <w:tabs>
          <w:tab w:val="left" w:pos="2730"/>
        </w:tabs>
        <w:spacing w:line="360" w:lineRule="auto"/>
        <w:ind w:firstLine="0" w:firstLineChars="0"/>
        <w:rPr>
          <w:rFonts w:ascii="宋体" w:hAnsi="宋体" w:cs="宋体"/>
          <w:sz w:val="28"/>
          <w:szCs w:val="28"/>
        </w:rPr>
      </w:pPr>
      <w:r>
        <w:rPr>
          <w:rFonts w:hint="eastAsia" w:ascii="宋体" w:hAnsi="宋体" w:cs="宋体"/>
          <w:b/>
          <w:bCs/>
          <w:sz w:val="28"/>
          <w:szCs w:val="28"/>
        </w:rPr>
        <w:t>第二部分：服务内容及相关要求</w:t>
      </w:r>
    </w:p>
    <w:p>
      <w:pPr>
        <w:pStyle w:val="5"/>
        <w:jc w:val="both"/>
        <w:rPr>
          <w:rFonts w:ascii="宋体" w:hAnsi="宋体" w:eastAsia="宋体" w:cs="宋体"/>
          <w:color w:val="000000" w:themeColor="text1"/>
          <w:sz w:val="24"/>
          <w:szCs w:val="24"/>
          <w14:textFill>
            <w14:solidFill>
              <w14:schemeClr w14:val="tx1"/>
            </w14:solidFill>
          </w14:textFill>
        </w:rPr>
      </w:pPr>
      <w:bookmarkStart w:id="191" w:name="_Toc41897243"/>
      <w:bookmarkStart w:id="192" w:name="_Toc71663189"/>
      <w:r>
        <w:rPr>
          <w:rFonts w:hint="eastAsia" w:ascii="宋体" w:hAnsi="宋体" w:eastAsia="宋体" w:cs="宋体"/>
          <w:color w:val="000000" w:themeColor="text1"/>
          <w:sz w:val="24"/>
          <w:szCs w:val="24"/>
          <w14:textFill>
            <w14:solidFill>
              <w14:schemeClr w14:val="tx1"/>
            </w14:solidFill>
          </w14:textFill>
        </w:rPr>
        <w:t>一、建设内容</w:t>
      </w:r>
      <w:bookmarkEnd w:id="191"/>
      <w:bookmarkEnd w:id="192"/>
    </w:p>
    <w:tbl>
      <w:tblPr>
        <w:tblStyle w:val="45"/>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271"/>
        <w:gridCol w:w="2585"/>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1" w:type="dxa"/>
            <w:vAlign w:val="center"/>
          </w:tcPr>
          <w:p>
            <w:pPr>
              <w:spacing w:line="360" w:lineRule="auto"/>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序号</w:t>
            </w:r>
          </w:p>
        </w:tc>
        <w:tc>
          <w:tcPr>
            <w:tcW w:w="2271" w:type="dxa"/>
            <w:vAlign w:val="center"/>
          </w:tcPr>
          <w:p>
            <w:pPr>
              <w:spacing w:line="360" w:lineRule="auto"/>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建设大类</w:t>
            </w:r>
          </w:p>
        </w:tc>
        <w:tc>
          <w:tcPr>
            <w:tcW w:w="2585" w:type="dxa"/>
            <w:vAlign w:val="center"/>
          </w:tcPr>
          <w:p>
            <w:pPr>
              <w:spacing w:line="360" w:lineRule="auto"/>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建设应用</w:t>
            </w:r>
          </w:p>
        </w:tc>
        <w:tc>
          <w:tcPr>
            <w:tcW w:w="3697" w:type="dxa"/>
            <w:vAlign w:val="center"/>
          </w:tcPr>
          <w:p>
            <w:pPr>
              <w:spacing w:line="360" w:lineRule="auto"/>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restart"/>
            <w:vAlign w:val="center"/>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restart"/>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门诊一体化诊疗平台</w:t>
            </w:r>
          </w:p>
        </w:tc>
        <w:tc>
          <w:tcPr>
            <w:tcW w:w="2585" w:type="dxa"/>
            <w:vMerge w:val="restart"/>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门诊电子病历系统</w:t>
            </w: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门诊医生工作站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31" w:type="dxa"/>
            <w:vMerge w:val="continue"/>
            <w:vAlign w:val="center"/>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门诊管理工作站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restart"/>
            <w:vAlign w:val="center"/>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restart"/>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住院一体化诊疗平台</w:t>
            </w:r>
          </w:p>
        </w:tc>
        <w:tc>
          <w:tcPr>
            <w:tcW w:w="2585" w:type="dxa"/>
            <w:vMerge w:val="restart"/>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住院电子病历系统</w:t>
            </w: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基础工具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vAlign w:val="center"/>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住院医生电子病历系统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tcPr>
          <w:p>
            <w:pPr>
              <w:spacing w:line="360" w:lineRule="auto"/>
              <w:rPr>
                <w:rFonts w:ascii="宋体" w:hAnsi="宋体" w:cs="宋体"/>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住院护士电子病历系统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31" w:type="dxa"/>
            <w:vMerge w:val="continue"/>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tcPr>
          <w:p>
            <w:pPr>
              <w:spacing w:line="360" w:lineRule="auto"/>
              <w:rPr>
                <w:rFonts w:ascii="宋体" w:hAnsi="宋体" w:cs="宋体"/>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病历质控管理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tcPr>
          <w:p>
            <w:pPr>
              <w:spacing w:line="360" w:lineRule="auto"/>
              <w:rPr>
                <w:rFonts w:ascii="宋体" w:hAnsi="宋体" w:cs="宋体"/>
                <w:color w:val="000000" w:themeColor="text1"/>
                <w:kern w:val="0"/>
                <w:sz w:val="24"/>
                <w14:textFill>
                  <w14:solidFill>
                    <w14:schemeClr w14:val="tx1"/>
                  </w14:solidFill>
                </w14:textFill>
              </w:rPr>
            </w:pPr>
          </w:p>
        </w:tc>
        <w:tc>
          <w:tcPr>
            <w:tcW w:w="2585" w:type="dxa"/>
            <w:vMerge w:val="restart"/>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住院电子医嘱系统</w:t>
            </w: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住院医生电子医嘱（含电子申请）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1" w:type="dxa"/>
            <w:vMerge w:val="continue"/>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tcPr>
          <w:p>
            <w:pPr>
              <w:spacing w:line="360" w:lineRule="auto"/>
              <w:rPr>
                <w:rFonts w:ascii="宋体" w:hAnsi="宋体" w:cs="宋体"/>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住院护士电子医嘱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31" w:type="dxa"/>
            <w:vMerge w:val="continue"/>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tcPr>
          <w:p>
            <w:pPr>
              <w:spacing w:line="360" w:lineRule="auto"/>
              <w:rPr>
                <w:rFonts w:ascii="宋体" w:hAnsi="宋体" w:cs="宋体"/>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医嘱管理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tcPr>
          <w:p>
            <w:pPr>
              <w:spacing w:line="360" w:lineRule="auto"/>
              <w:rPr>
                <w:rFonts w:ascii="宋体" w:hAnsi="宋体" w:cs="宋体"/>
                <w:color w:val="000000" w:themeColor="text1"/>
                <w:kern w:val="0"/>
                <w:sz w:val="24"/>
                <w14:textFill>
                  <w14:solidFill>
                    <w14:schemeClr w14:val="tx1"/>
                  </w14:solidFill>
                </w14:textFill>
              </w:rPr>
            </w:pPr>
          </w:p>
        </w:tc>
        <w:tc>
          <w:tcPr>
            <w:tcW w:w="2585" w:type="dxa"/>
            <w:vMerge w:val="restart"/>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临床路径管理系统</w:t>
            </w: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路径定义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tcPr>
          <w:p>
            <w:pPr>
              <w:spacing w:line="360" w:lineRule="auto"/>
              <w:rPr>
                <w:rFonts w:ascii="宋体" w:hAnsi="宋体" w:cs="宋体"/>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加入路径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tcPr>
          <w:p>
            <w:pPr>
              <w:spacing w:line="360" w:lineRule="auto"/>
              <w:rPr>
                <w:rFonts w:ascii="宋体" w:hAnsi="宋体" w:cs="宋体"/>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tcPr>
          <w:p>
            <w:pPr>
              <w:spacing w:line="360" w:lineRule="auto"/>
              <w:rPr>
                <w:rFonts w:ascii="宋体" w:hAnsi="宋体" w:cs="宋体"/>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路径跳转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tcPr>
          <w:p>
            <w:pPr>
              <w:spacing w:line="360" w:lineRule="auto"/>
              <w:rPr>
                <w:rFonts w:ascii="宋体" w:hAnsi="宋体" w:cs="宋体"/>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变异原因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tcPr>
          <w:p>
            <w:pPr>
              <w:spacing w:line="360" w:lineRule="auto"/>
              <w:rPr>
                <w:rFonts w:ascii="宋体" w:hAnsi="宋体" w:cs="宋体"/>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退出路径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tcPr>
          <w:p>
            <w:pPr>
              <w:spacing w:line="360" w:lineRule="auto"/>
              <w:rPr>
                <w:rFonts w:ascii="宋体" w:hAnsi="宋体" w:cs="宋体"/>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路径报表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tcPr>
          <w:p>
            <w:pPr>
              <w:spacing w:line="360" w:lineRule="auto"/>
              <w:rPr>
                <w:rFonts w:ascii="宋体" w:hAnsi="宋体" w:cs="宋体"/>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路径管理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vAlign w:val="center"/>
          </w:tcPr>
          <w:p>
            <w:pPr>
              <w:spacing w:line="360" w:lineRule="auto"/>
              <w:jc w:val="center"/>
              <w:rPr>
                <w:rFonts w:ascii="宋体" w:hAnsi="宋体" w:cs="宋体"/>
                <w:b/>
                <w:bCs/>
                <w:color w:val="000000" w:themeColor="text1"/>
                <w:kern w:val="0"/>
                <w:sz w:val="24"/>
                <w14:textFill>
                  <w14:solidFill>
                    <w14:schemeClr w14:val="tx1"/>
                  </w14:solidFill>
                </w14:textFill>
              </w:rPr>
            </w:pPr>
          </w:p>
        </w:tc>
        <w:tc>
          <w:tcPr>
            <w:tcW w:w="2585" w:type="dxa"/>
            <w:vMerge w:val="restart"/>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日间手术管理系统</w:t>
            </w: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预约、资源调度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vAlign w:val="center"/>
          </w:tcPr>
          <w:p>
            <w:pPr>
              <w:spacing w:line="360" w:lineRule="auto"/>
              <w:jc w:val="center"/>
              <w:rPr>
                <w:rFonts w:ascii="宋体" w:hAnsi="宋体" w:cs="宋体"/>
                <w:b/>
                <w:bCs/>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Pr>
          <w:p>
            <w:pPr>
              <w:pStyle w:val="431"/>
              <w:numPr>
                <w:ilvl w:val="0"/>
                <w:numId w:val="5"/>
              </w:numPr>
              <w:spacing w:line="360" w:lineRule="auto"/>
              <w:ind w:firstLineChars="0"/>
              <w:jc w:val="center"/>
              <w:rPr>
                <w:rFonts w:ascii="宋体" w:hAnsi="宋体" w:cs="宋体"/>
                <w:color w:val="000000" w:themeColor="text1"/>
                <w:kern w:val="0"/>
                <w:sz w:val="24"/>
                <w14:textFill>
                  <w14:solidFill>
                    <w14:schemeClr w14:val="tx1"/>
                  </w14:solidFill>
                </w14:textFill>
              </w:rPr>
            </w:pPr>
          </w:p>
        </w:tc>
        <w:tc>
          <w:tcPr>
            <w:tcW w:w="2271" w:type="dxa"/>
            <w:vMerge w:val="continue"/>
            <w:vAlign w:val="center"/>
          </w:tcPr>
          <w:p>
            <w:pPr>
              <w:spacing w:line="360" w:lineRule="auto"/>
              <w:jc w:val="center"/>
              <w:rPr>
                <w:rFonts w:ascii="宋体" w:hAnsi="宋体" w:cs="宋体"/>
                <w:b/>
                <w:bCs/>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医保结算管理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Pr>
          <w:p>
            <w:pPr>
              <w:pStyle w:val="431"/>
              <w:spacing w:line="360" w:lineRule="auto"/>
              <w:ind w:firstLineChars="0"/>
              <w:rPr>
                <w:rFonts w:ascii="宋体" w:hAnsi="宋体" w:cs="宋体"/>
                <w:color w:val="000000" w:themeColor="text1"/>
                <w:kern w:val="0"/>
                <w:sz w:val="24"/>
                <w14:textFill>
                  <w14:solidFill>
                    <w14:schemeClr w14:val="tx1"/>
                  </w14:solidFill>
                </w14:textFill>
              </w:rPr>
            </w:pPr>
          </w:p>
        </w:tc>
        <w:tc>
          <w:tcPr>
            <w:tcW w:w="2271" w:type="dxa"/>
            <w:vMerge w:val="continue"/>
            <w:vAlign w:val="center"/>
          </w:tcPr>
          <w:p>
            <w:pPr>
              <w:spacing w:line="360" w:lineRule="auto"/>
              <w:jc w:val="center"/>
              <w:rPr>
                <w:rFonts w:ascii="宋体" w:hAnsi="宋体" w:cs="宋体"/>
                <w:b/>
                <w:bCs/>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指标统计管理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Pr>
          <w:p>
            <w:pPr>
              <w:pStyle w:val="431"/>
              <w:spacing w:line="360" w:lineRule="auto"/>
              <w:ind w:firstLineChars="0"/>
              <w:rPr>
                <w:rFonts w:ascii="宋体" w:hAnsi="宋体" w:cs="宋体"/>
                <w:color w:val="000000" w:themeColor="text1"/>
                <w:kern w:val="0"/>
                <w:sz w:val="24"/>
                <w14:textFill>
                  <w14:solidFill>
                    <w14:schemeClr w14:val="tx1"/>
                  </w14:solidFill>
                </w14:textFill>
              </w:rPr>
            </w:pPr>
          </w:p>
        </w:tc>
        <w:tc>
          <w:tcPr>
            <w:tcW w:w="2271" w:type="dxa"/>
            <w:vMerge w:val="continue"/>
            <w:vAlign w:val="center"/>
          </w:tcPr>
          <w:p>
            <w:pPr>
              <w:spacing w:line="360" w:lineRule="auto"/>
              <w:jc w:val="center"/>
              <w:rPr>
                <w:rFonts w:ascii="宋体" w:hAnsi="宋体" w:cs="宋体"/>
                <w:b/>
                <w:bCs/>
                <w:color w:val="000000" w:themeColor="text1"/>
                <w:kern w:val="0"/>
                <w:sz w:val="24"/>
                <w14:textFill>
                  <w14:solidFill>
                    <w14:schemeClr w14:val="tx1"/>
                  </w14:solidFill>
                </w14:textFill>
              </w:rPr>
            </w:pPr>
          </w:p>
        </w:tc>
        <w:tc>
          <w:tcPr>
            <w:tcW w:w="2585" w:type="dxa"/>
            <w:vMerge w:val="restart"/>
            <w:vAlign w:val="center"/>
          </w:tcPr>
          <w:p>
            <w:pPr>
              <w:spacing w:line="360" w:lineRule="auto"/>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护理管理系统</w:t>
            </w: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护理事务管理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Merge w:val="continue"/>
          </w:tcPr>
          <w:p>
            <w:pPr>
              <w:pStyle w:val="431"/>
              <w:spacing w:line="360" w:lineRule="auto"/>
              <w:ind w:firstLineChars="0"/>
              <w:rPr>
                <w:rFonts w:ascii="宋体" w:hAnsi="宋体" w:cs="宋体"/>
                <w:color w:val="000000" w:themeColor="text1"/>
                <w:kern w:val="0"/>
                <w:sz w:val="24"/>
                <w14:textFill>
                  <w14:solidFill>
                    <w14:schemeClr w14:val="tx1"/>
                  </w14:solidFill>
                </w14:textFill>
              </w:rPr>
            </w:pPr>
          </w:p>
        </w:tc>
        <w:tc>
          <w:tcPr>
            <w:tcW w:w="2271" w:type="dxa"/>
            <w:vMerge w:val="continue"/>
            <w:vAlign w:val="center"/>
          </w:tcPr>
          <w:p>
            <w:pPr>
              <w:spacing w:line="360" w:lineRule="auto"/>
              <w:jc w:val="center"/>
              <w:rPr>
                <w:rFonts w:ascii="宋体" w:hAnsi="宋体" w:cs="宋体"/>
                <w:b/>
                <w:bCs/>
                <w:color w:val="000000" w:themeColor="text1"/>
                <w:kern w:val="0"/>
                <w:sz w:val="24"/>
                <w14:textFill>
                  <w14:solidFill>
                    <w14:schemeClr w14:val="tx1"/>
                  </w14:solidFill>
                </w14:textFill>
              </w:rPr>
            </w:pPr>
          </w:p>
        </w:tc>
        <w:tc>
          <w:tcPr>
            <w:tcW w:w="2585" w:type="dxa"/>
            <w:vMerge w:val="continue"/>
            <w:vAlign w:val="center"/>
          </w:tcPr>
          <w:p>
            <w:pPr>
              <w:spacing w:line="360" w:lineRule="auto"/>
              <w:jc w:val="center"/>
              <w:rPr>
                <w:rFonts w:ascii="宋体" w:hAnsi="宋体" w:cs="宋体"/>
                <w:color w:val="000000" w:themeColor="text1"/>
                <w:kern w:val="0"/>
                <w:sz w:val="24"/>
                <w14:textFill>
                  <w14:solidFill>
                    <w14:schemeClr w14:val="tx1"/>
                  </w14:solidFill>
                </w14:textFill>
              </w:rPr>
            </w:pPr>
          </w:p>
        </w:tc>
        <w:tc>
          <w:tcPr>
            <w:tcW w:w="3697" w:type="dxa"/>
            <w:vAlign w:val="center"/>
          </w:tcPr>
          <w:p>
            <w:pPr>
              <w:pStyle w:val="431"/>
              <w:spacing w:line="360" w:lineRule="auto"/>
              <w:ind w:firstLine="0" w:firstLineChars="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护理质量管理</w:t>
            </w:r>
          </w:p>
        </w:tc>
      </w:tr>
    </w:tbl>
    <w:p>
      <w:pPr>
        <w:pStyle w:val="2"/>
        <w:spacing w:line="360" w:lineRule="auto"/>
        <w:rPr>
          <w:rFonts w:ascii="宋体" w:hAnsi="宋体" w:cs="宋体"/>
          <w:sz w:val="24"/>
        </w:rPr>
      </w:pPr>
    </w:p>
    <w:p>
      <w:pPr>
        <w:pStyle w:val="3"/>
        <w:rPr>
          <w:rFonts w:ascii="宋体" w:hAnsi="宋体" w:cs="宋体"/>
          <w:sz w:val="24"/>
        </w:rPr>
      </w:pPr>
      <w:r>
        <w:rPr>
          <w:rFonts w:hint="eastAsia" w:ascii="宋体" w:hAnsi="宋体" w:cs="宋体"/>
          <w:sz w:val="24"/>
        </w:rPr>
        <w:t>二、</w:t>
      </w:r>
      <w:bookmarkStart w:id="193" w:name="_Toc71663190"/>
      <w:bookmarkStart w:id="194" w:name="_Toc41897244"/>
      <w:bookmarkStart w:id="195" w:name="_Toc39942819"/>
      <w:r>
        <w:rPr>
          <w:rFonts w:hint="eastAsia" w:ascii="宋体" w:hAnsi="宋体" w:cs="宋体"/>
          <w:sz w:val="24"/>
        </w:rPr>
        <w:t>总体建设目标要求</w:t>
      </w:r>
      <w:bookmarkEnd w:id="193"/>
      <w:bookmarkEnd w:id="194"/>
      <w:bookmarkEnd w:id="195"/>
    </w:p>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所投电子病历系统须采用面向对象的B/S架构体系，支持分布式应用发布和负载均衡，增强系统的拓展性、稳定性，降低维护的复杂性；</w:t>
      </w:r>
    </w:p>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系统的数据库系统需采用主流数据库，电子病历系统要求采用实时在线数据库的存储方式，不能单独以文件形式存储，能够满足病历海量存储的需要，病历数据要求永久在线（可分为二级存储），用户可以无障碍地随时调阅病历；支持跨平台应用，可以在WINDOWS、LINUX、AIX操作系统上平滑移植；</w:t>
      </w:r>
    </w:p>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电子病历系统需提供专门的升级工具或技术，可由用户基于工具在不直接拷贝程序文件的情况下进行产品的升级处理；电子病历系统需提供专门的升级工具或技术，可由用户基于工具在不直接拷贝程序文件的情况下进行产品的升级处理；</w:t>
      </w:r>
    </w:p>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提供元素定义工具，可以根据结构化模板自定义各种元素数据，实现数据标准化管理；</w:t>
      </w:r>
    </w:p>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系统需提供多维可配置数据展示方式，支持仪表盘、柱状图、饼状图、折线图数据输出；</w:t>
      </w:r>
    </w:p>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所投系统必须满足国家卫健委颁布的《电子病历应用管理规范（试行）》、</w:t>
      </w:r>
      <w:bookmarkStart w:id="196" w:name="_Hlk40771991"/>
      <w:r>
        <w:rPr>
          <w:rFonts w:hint="eastAsia" w:ascii="宋体" w:hAnsi="宋体" w:cs="宋体"/>
          <w:color w:val="000000" w:themeColor="text1"/>
          <w:sz w:val="24"/>
          <w14:textFill>
            <w14:solidFill>
              <w14:schemeClr w14:val="tx1"/>
            </w14:solidFill>
          </w14:textFill>
        </w:rPr>
        <w:t>《病历书写基本规范》、</w:t>
      </w:r>
      <w:bookmarkEnd w:id="196"/>
      <w:r>
        <w:rPr>
          <w:rFonts w:hint="eastAsia" w:ascii="宋体" w:hAnsi="宋体" w:cs="宋体"/>
          <w:color w:val="000000" w:themeColor="text1"/>
          <w:sz w:val="24"/>
          <w14:textFill>
            <w14:solidFill>
              <w14:schemeClr w14:val="tx1"/>
            </w14:solidFill>
          </w14:textFill>
        </w:rPr>
        <w:t>《中医病历书写基本规范》、《电子病历系统功能规范（试行）》、《电子病历基本架构与数据标准（试行）》、《电子病历基本数据集》等相关规范和标准要求；满足国家电子病历应用水平评级条款中，其中涉及电子病历部分条款不低于5级要求；满足《三级医院评审标准(2020年版)》对门诊、住院系统的相关评审要求。</w:t>
      </w:r>
    </w:p>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所投系统必须满足国家《三级公立医院绩效考核指标》中涉及电子病历相关指标的自动抓取及统计；</w:t>
      </w:r>
    </w:p>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所投系统建设必须符合业界的统一标准，遵循HL7 RIM CDA, HL7数据交换、ICD-9、ICD-10、SNOMED、IHE等规范和标准，以及与信息相关的国家标准和规范；</w:t>
      </w:r>
    </w:p>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系统必须满足国家网络安全等级保护测评三级要求，提供国家认可的第三方机构出具的源代码安全审查报告；或证明软件安全性测试证明（非源码审核）,须提供相关证明材料。上线前必须开展相关安全性功能测试，包括但不限于：必须满足必须有完善的权限管理和安全控制机制。必须在设计上保护用户身份的安全，实现功能权限和数据权限控制以及数据的加密，保证客户端与服务器以及服务器之间的数据传输安全、关键数据的存储安全。系统能够动态地根据时间和空间的变化，改变不同医生的授权；能够提供临时授权机制，满足会诊和紧急事件处理需要；可设置多种操作权限，并可将权限分配给不同的角色和用户，支持特殊人群的病历锁定和加密功能（或权限设置）；数据备份及恢复应有完善的方案，用户密码必须强制位数&gt;8、包含数字、字符并区分大小写。</w:t>
      </w:r>
    </w:p>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所投系统所有的屏蔽、约束、校验等均应具备系统参数设置的功能。提供系统参数设置工具</w:t>
      </w:r>
      <w:bookmarkStart w:id="197" w:name="_Toc330307126"/>
      <w:r>
        <w:rPr>
          <w:rFonts w:hint="eastAsia" w:ascii="宋体" w:hAnsi="宋体" w:cs="宋体"/>
          <w:color w:val="000000" w:themeColor="text1"/>
          <w:sz w:val="24"/>
          <w14:textFill>
            <w14:solidFill>
              <w14:schemeClr w14:val="tx1"/>
            </w14:solidFill>
          </w14:textFill>
        </w:rPr>
        <w:t>，维护部门可以通过参数配置来维护、配置系统功能权限、功能流程等；</w:t>
      </w:r>
    </w:p>
    <w:bookmarkEnd w:id="197"/>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电子病历系统需提供病历评分表配置功能，能够跟电子病历系统中任务记录进行串连配置，并实现基于任务的自动扣分功能；</w:t>
      </w:r>
    </w:p>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病历系统需提供前提（准入）条件配置功能；可以对病历书写和医嘱下达等诊疗操作事情的前提条件和后继关联任务进行配置；在电子病历系统中进行指定操作时自动判断准入条件是否满足，对于不满足条件的给出明确的提醒或拒绝处理；</w:t>
      </w:r>
    </w:p>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电子病历系统需提供病历关键字配置功能，并实现根据指定关键字在医生书写电子病历时自动识别并提醒医生注意事项； </w:t>
      </w:r>
    </w:p>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电子病历系统需提供消息配置功能，可以实现电子病历系统中进行特定操作下的消息提醒功能；</w:t>
      </w:r>
    </w:p>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电子病历系统需提供诊断与疾病报卡关联的配置功能，基于配置的关联性，实现电子病历系统中下达指定诊断的自动提醒。</w:t>
      </w:r>
    </w:p>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病历系统的模块化程度要高，对不同业务流程和管理方式的适应能力要强，软件维护方便。支持诊疗事件的关联性检查，并允许进行灵活配置定义；提供配套的流程工具，允许对一些临床管理流程进行灵活定义；</w:t>
      </w:r>
    </w:p>
    <w:p>
      <w:pPr>
        <w:pStyle w:val="432"/>
        <w:widowControl/>
        <w:numPr>
          <w:ilvl w:val="0"/>
          <w:numId w:val="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通过本次项目建设，实现以电子病历为核心，完善临床一体化诊疗应用体系，实现医院临床诊疗和质量管理水平的逐步提升：</w:t>
      </w:r>
    </w:p>
    <w:p>
      <w:pPr>
        <w:pStyle w:val="432"/>
        <w:widowControl/>
        <w:numPr>
          <w:ilvl w:val="0"/>
          <w:numId w:val="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以临床路径为切入点，实现路径、医嘱、电子病历的一体化联动机制；</w:t>
      </w:r>
    </w:p>
    <w:p>
      <w:pPr>
        <w:pStyle w:val="432"/>
        <w:widowControl/>
        <w:numPr>
          <w:ilvl w:val="0"/>
          <w:numId w:val="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以患者为中心，构建门诊住院一体化诊疗应用，实现诊疗服务环节全覆盖，诊疗数据的全面共享；</w:t>
      </w:r>
    </w:p>
    <w:p>
      <w:pPr>
        <w:pStyle w:val="432"/>
        <w:widowControl/>
        <w:numPr>
          <w:ilvl w:val="0"/>
          <w:numId w:val="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以电子病历为核心，实现病历医嘱的一体化整合，实现病历医嘱的高效联动；</w:t>
      </w:r>
    </w:p>
    <w:p>
      <w:pPr>
        <w:pStyle w:val="432"/>
        <w:widowControl/>
        <w:numPr>
          <w:ilvl w:val="0"/>
          <w:numId w:val="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通过电子病历系统的建设，实现医护之间功能联动和数据实时共享应用；</w:t>
      </w:r>
    </w:p>
    <w:p>
      <w:pPr>
        <w:pStyle w:val="432"/>
        <w:widowControl/>
        <w:numPr>
          <w:ilvl w:val="0"/>
          <w:numId w:val="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通过日间手术系统的建设，建立覆盖门诊、日间手术管理中心、手术室及病房的全过程管控，形成以日间手术病种为指引，以患者行为跟踪为核心的闭环管理。</w:t>
      </w:r>
    </w:p>
    <w:p>
      <w:pPr>
        <w:numPr>
          <w:ilvl w:val="0"/>
          <w:numId w:val="6"/>
        </w:numPr>
        <w:spacing w:line="360" w:lineRule="auto"/>
        <w:ind w:left="0" w:firstLine="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住院电子病历系统、电子医嘱系统、临床路径系统、门诊电子病历系统的建设，构建院内临床一体化诊疗操作平台，实现临床医生在一套系统中完成对患者的病历书写、医嘱下达、临床路径处理操作；同时实现护理人员在一套系统中完成对患者的护理文书书写、医嘱处理、耗材计费操作；</w:t>
      </w:r>
    </w:p>
    <w:p>
      <w:pPr>
        <w:numPr>
          <w:ilvl w:val="0"/>
          <w:numId w:val="6"/>
        </w:numPr>
        <w:spacing w:line="360" w:lineRule="auto"/>
        <w:ind w:left="0" w:firstLine="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通过临床一体化诊疗平台的构建，实现以医嘱驱动相应病历文书的书写，如下达“xxx治疗”医嘱时，系统产生“xxx治疗知情同意书”的病历书写任务；</w:t>
      </w:r>
    </w:p>
    <w:p>
      <w:pPr>
        <w:numPr>
          <w:ilvl w:val="0"/>
          <w:numId w:val="6"/>
        </w:numPr>
        <w:spacing w:line="360" w:lineRule="auto"/>
        <w:ind w:left="0" w:firstLine="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临床一体化诊疗平台的构建，实现电子病历、医嘱和临床路径的一体化应用。实现诊断下达时校验临床路径符合性；同时可基于病历文书内容自动匹配临床路径项目；再者，医生可通过临床路径项目进行医嘱下达；</w:t>
      </w:r>
    </w:p>
    <w:p>
      <w:pPr>
        <w:numPr>
          <w:ilvl w:val="0"/>
          <w:numId w:val="6"/>
        </w:numPr>
        <w:spacing w:line="360" w:lineRule="auto"/>
        <w:ind w:left="0" w:firstLine="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★投标人必须承诺，所投系统必须实现门诊、住院患者信息、诊疗数据的串联和流程串联，实现以下功能（投标人须提供承诺函原件）：</w:t>
      </w:r>
    </w:p>
    <w:p>
      <w:pPr>
        <w:numPr>
          <w:ilvl w:val="0"/>
          <w:numId w:val="8"/>
        </w:numPr>
        <w:spacing w:line="360" w:lineRule="auto"/>
        <w:ind w:left="0" w:firstLine="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医生可在一套系统中查阅患者的所有门诊住院病历；医生可在门诊系统中邀请住院医生会诊；或在住院系统中邀请门诊医生会诊。</w:t>
      </w:r>
    </w:p>
    <w:p>
      <w:pPr>
        <w:numPr>
          <w:ilvl w:val="0"/>
          <w:numId w:val="8"/>
        </w:numPr>
        <w:spacing w:line="360" w:lineRule="auto"/>
        <w:ind w:left="0" w:firstLine="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门诊、住院患者诊疗数据的集成及展示，包括但不限于：与急诊急救系统、Lis系统、PACS系统、手术麻醉及重症管理系统、病理系统、输血系统等医疗业务系统的数据（含历史数据）共享集成及展示引用。</w:t>
      </w:r>
    </w:p>
    <w:p>
      <w:pPr>
        <w:numPr>
          <w:ilvl w:val="0"/>
          <w:numId w:val="6"/>
        </w:numPr>
        <w:spacing w:line="360" w:lineRule="auto"/>
        <w:ind w:left="0" w:firstLine="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临床一体化诊疗平台提供诊断合理性校验功能，能够结合患者基本信息自动判断并提示，从而提高医生诊疗过程中的诊断质量，具体包括：</w:t>
      </w:r>
    </w:p>
    <w:p>
      <w:pPr>
        <w:numPr>
          <w:ilvl w:val="0"/>
          <w:numId w:val="9"/>
        </w:numPr>
        <w:spacing w:line="360" w:lineRule="auto"/>
        <w:ind w:left="0" w:firstLine="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支持在临床医师下达诊断时结合患者性别进行判断，如男性患者出现孕产诊断，则系统会自动发出提示，不允许下达该诊断；</w:t>
      </w:r>
    </w:p>
    <w:p>
      <w:pPr>
        <w:numPr>
          <w:ilvl w:val="0"/>
          <w:numId w:val="9"/>
        </w:numPr>
        <w:spacing w:line="360" w:lineRule="auto"/>
        <w:ind w:left="0" w:firstLine="0"/>
        <w:rPr>
          <w:rFonts w:ascii="宋体" w:hAnsi="宋体" w:cs="宋体"/>
          <w:sz w:val="24"/>
        </w:rPr>
      </w:pPr>
      <w:r>
        <w:rPr>
          <w:rFonts w:hint="eastAsia" w:ascii="宋体" w:hAnsi="宋体" w:cs="宋体"/>
          <w:color w:val="000000" w:themeColor="text1"/>
          <w:sz w:val="24"/>
          <w14:textFill>
            <w14:solidFill>
              <w14:schemeClr w14:val="tx1"/>
            </w14:solidFill>
          </w14:textFill>
        </w:rPr>
        <w:t>支持在临床医师下达诊断时结合患者年龄进行判断，如老年患者出现新生儿败血症诊断，则系统会自动发出提示，不允许下达该诊断；</w:t>
      </w:r>
    </w:p>
    <w:p>
      <w:pPr>
        <w:spacing w:line="360" w:lineRule="auto"/>
        <w:rPr>
          <w:rFonts w:ascii="宋体" w:hAnsi="宋体" w:cs="宋体"/>
          <w:sz w:val="24"/>
        </w:rPr>
      </w:pPr>
      <w:r>
        <w:rPr>
          <w:rFonts w:hint="eastAsia" w:ascii="宋体" w:hAnsi="宋体" w:cs="宋体"/>
          <w:color w:val="000000" w:themeColor="text1"/>
          <w:sz w:val="24"/>
          <w14:textFill>
            <w14:solidFill>
              <w14:schemeClr w14:val="tx1"/>
            </w14:solidFill>
          </w14:textFill>
        </w:rPr>
        <w:t>23.通过临床一体化诊疗平台的建设，建立涵盖事前、事中、事后全过程的病历质量保障体系，满足管理部门质量管控需求。一体化平台具相应诊疗辅助知识库，实现临床辅助诊疗应用，包括但不限于：系统可通过预先的设定，让系统按照医疗事件的业务规则来完成对系统业务运行和诊疗活动的检查和校验，在病历书写、诊断下达、医嘱下达和路径执行过程中，系统能够在运行过程中提供诊疗辅助功能；系统还需在智能提醒方面得到体现，通过规则定义，在业务运行过程中，系统可按照设定的规则向临床医护人员发出智能提醒，代替人工完成病历书写以及业务流程开展的监督和检查。主要应用如：病历质控缺陷和完整性校验、病历与医嘱关联合理性质控校验、与合理用药的用药合理性校验。本次项目建设，还需支持与第三方辅助决策和知识库进行对接，满足医院未来高级别临床决策支持的业务需求。</w:t>
      </w:r>
    </w:p>
    <w:p>
      <w:pPr>
        <w:rPr>
          <w:rFonts w:ascii="宋体" w:hAnsi="宋体" w:cs="宋体"/>
          <w:sz w:val="24"/>
        </w:rPr>
      </w:pPr>
    </w:p>
    <w:p>
      <w:pPr>
        <w:pStyle w:val="4"/>
        <w:spacing w:line="360" w:lineRule="auto"/>
        <w:jc w:val="left"/>
        <w:rPr>
          <w:rFonts w:ascii="宋体" w:hAnsi="宋体" w:cs="宋体"/>
          <w:b/>
          <w:bCs/>
          <w:color w:val="000000" w:themeColor="text1"/>
          <w:sz w:val="24"/>
          <w:szCs w:val="24"/>
          <w14:textFill>
            <w14:solidFill>
              <w14:schemeClr w14:val="tx1"/>
            </w14:solidFill>
          </w14:textFill>
        </w:rPr>
      </w:pPr>
      <w:bookmarkStart w:id="198" w:name="_Toc71663191"/>
      <w:r>
        <w:rPr>
          <w:rFonts w:hint="eastAsia" w:ascii="宋体" w:hAnsi="宋体" w:cs="宋体"/>
          <w:b/>
          <w:bCs/>
          <w:color w:val="000000" w:themeColor="text1"/>
          <w:sz w:val="24"/>
          <w:szCs w:val="24"/>
          <w14:textFill>
            <w14:solidFill>
              <w14:schemeClr w14:val="tx1"/>
            </w14:solidFill>
          </w14:textFill>
        </w:rPr>
        <w:t>门诊一体化诊疗平台</w:t>
      </w:r>
      <w:bookmarkEnd w:id="198"/>
    </w:p>
    <w:p>
      <w:pPr>
        <w:pStyle w:val="5"/>
        <w:jc w:val="left"/>
        <w:rPr>
          <w:rFonts w:ascii="宋体" w:hAnsi="宋体" w:eastAsia="宋体" w:cs="宋体"/>
          <w:color w:val="000000" w:themeColor="text1"/>
          <w:sz w:val="24"/>
          <w:szCs w:val="24"/>
          <w14:textFill>
            <w14:solidFill>
              <w14:schemeClr w14:val="tx1"/>
            </w14:solidFill>
          </w14:textFill>
        </w:rPr>
      </w:pPr>
      <w:bookmarkStart w:id="199" w:name="_Toc71663192"/>
      <w:r>
        <w:rPr>
          <w:rFonts w:hint="eastAsia" w:ascii="宋体" w:hAnsi="宋体" w:eastAsia="宋体" w:cs="宋体"/>
          <w:color w:val="000000" w:themeColor="text1"/>
          <w:sz w:val="24"/>
          <w:szCs w:val="24"/>
          <w14:textFill>
            <w14:solidFill>
              <w14:schemeClr w14:val="tx1"/>
            </w14:solidFill>
          </w14:textFill>
        </w:rPr>
        <w:t>基本要求</w:t>
      </w:r>
      <w:bookmarkEnd w:id="199"/>
    </w:p>
    <w:p>
      <w:pPr>
        <w:pStyle w:val="432"/>
        <w:widowControl/>
        <w:numPr>
          <w:ilvl w:val="0"/>
          <w:numId w:val="10"/>
        </w:numPr>
        <w:adjustRightInd w:val="0"/>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▲支持门诊和住院的检验检查系统的报告相互调阅，并且支持检验检查报告内容相互导入，如门诊化验结果导入到住院中的病程记录等相关文书中，支持可以直接将门诊检验结果导入病程记录等</w:t>
      </w:r>
      <w:r>
        <w:rPr>
          <w:rFonts w:hint="eastAsia" w:ascii="宋体" w:hAnsi="宋体" w:cs="宋体"/>
          <w:bCs/>
          <w:color w:val="000000" w:themeColor="text1"/>
          <w:sz w:val="24"/>
          <w14:textFill>
            <w14:solidFill>
              <w14:schemeClr w14:val="tx1"/>
            </w14:solidFill>
          </w14:textFill>
        </w:rPr>
        <w:t>（投标人须提供系统的功能截图并详细说明）</w:t>
      </w:r>
      <w:r>
        <w:rPr>
          <w:rFonts w:hint="eastAsia" w:ascii="宋体" w:hAnsi="宋体" w:cs="宋体"/>
          <w:color w:val="000000" w:themeColor="text1"/>
          <w:sz w:val="24"/>
          <w14:textFill>
            <w14:solidFill>
              <w14:schemeClr w14:val="tx1"/>
            </w14:solidFill>
          </w14:textFill>
        </w:rPr>
        <w:t>；</w:t>
      </w:r>
    </w:p>
    <w:p>
      <w:pPr>
        <w:pStyle w:val="432"/>
        <w:widowControl/>
        <w:numPr>
          <w:ilvl w:val="0"/>
          <w:numId w:val="10"/>
        </w:numPr>
        <w:adjustRightInd w:val="0"/>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以门诊病历为核心的操作模式，能够在病历界面进行医嘱下达、检查检验申请开具（同时支持打包开单和分项开单，满足相关医保政策要求）。进行医嘱以及检验检查申请编辑并保存后，系统能够自动返回病历书写界面。</w:t>
      </w:r>
    </w:p>
    <w:p>
      <w:pPr>
        <w:pStyle w:val="432"/>
        <w:widowControl/>
        <w:numPr>
          <w:ilvl w:val="0"/>
          <w:numId w:val="10"/>
        </w:numPr>
        <w:adjustRightInd w:val="0"/>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与院内LIS系统、PACS系统个、病理系统、手麻系统等理疗业务系统以及收费系统、排队叫号系统等患者门诊HIS系统的对接。支持根据当地医保及行政管理管理政策定制开发相关系统、流程。支持与院内HRP系统对接，实现统一的人员、物资管理及联动。</w:t>
      </w:r>
    </w:p>
    <w:p>
      <w:pPr>
        <w:pStyle w:val="432"/>
        <w:widowControl/>
        <w:spacing w:line="360" w:lineRule="auto"/>
        <w:ind w:left="720" w:right="57" w:rightChars="27" w:firstLine="0" w:firstLineChars="0"/>
        <w:jc w:val="left"/>
        <w:rPr>
          <w:rFonts w:ascii="宋体" w:hAnsi="宋体" w:cs="宋体"/>
          <w:color w:val="000000" w:themeColor="text1"/>
          <w:sz w:val="24"/>
          <w14:textFill>
            <w14:solidFill>
              <w14:schemeClr w14:val="tx1"/>
            </w14:solidFill>
          </w14:textFill>
        </w:rPr>
      </w:pPr>
    </w:p>
    <w:p>
      <w:pPr>
        <w:pStyle w:val="5"/>
        <w:jc w:val="left"/>
        <w:rPr>
          <w:rFonts w:ascii="宋体" w:hAnsi="宋体" w:eastAsia="宋体" w:cs="宋体"/>
          <w:color w:val="000000" w:themeColor="text1"/>
          <w:sz w:val="24"/>
          <w:szCs w:val="24"/>
          <w14:textFill>
            <w14:solidFill>
              <w14:schemeClr w14:val="tx1"/>
            </w14:solidFill>
          </w14:textFill>
        </w:rPr>
      </w:pPr>
      <w:bookmarkStart w:id="200" w:name="_Toc71663193"/>
      <w:bookmarkStart w:id="201" w:name="_Toc16108"/>
      <w:r>
        <w:rPr>
          <w:rFonts w:hint="eastAsia" w:ascii="宋体" w:hAnsi="宋体" w:eastAsia="宋体" w:cs="宋体"/>
          <w:color w:val="000000" w:themeColor="text1"/>
          <w:sz w:val="24"/>
          <w:szCs w:val="24"/>
          <w14:textFill>
            <w14:solidFill>
              <w14:schemeClr w14:val="tx1"/>
            </w14:solidFill>
          </w14:textFill>
        </w:rPr>
        <w:t>门诊医生工作站</w:t>
      </w:r>
      <w:bookmarkEnd w:id="200"/>
      <w:bookmarkEnd w:id="201"/>
    </w:p>
    <w:p>
      <w:pPr>
        <w:pStyle w:val="6"/>
        <w:spacing w:line="360" w:lineRule="auto"/>
        <w:ind w:firstLine="0" w:firstLineChars="0"/>
        <w:rPr>
          <w:rFonts w:ascii="宋体" w:hAnsi="宋体" w:cs="宋体"/>
          <w:b/>
          <w:bCs/>
          <w:color w:val="000000" w:themeColor="text1"/>
          <w14:textFill>
            <w14:solidFill>
              <w14:schemeClr w14:val="tx1"/>
            </w14:solidFill>
          </w14:textFill>
        </w:rPr>
      </w:pPr>
      <w:bookmarkStart w:id="202" w:name="_Toc3997"/>
      <w:bookmarkStart w:id="203" w:name="_Toc71663194"/>
      <w:r>
        <w:rPr>
          <w:rFonts w:hint="eastAsia" w:ascii="宋体" w:hAnsi="宋体" w:cs="宋体"/>
          <w:b/>
          <w:bCs/>
          <w:color w:val="000000" w:themeColor="text1"/>
          <w14:textFill>
            <w14:solidFill>
              <w14:schemeClr w14:val="tx1"/>
            </w14:solidFill>
          </w14:textFill>
        </w:rPr>
        <w:t>病人列表</w:t>
      </w:r>
      <w:bookmarkEnd w:id="202"/>
      <w:bookmarkEnd w:id="203"/>
    </w:p>
    <w:p>
      <w:pPr>
        <w:pStyle w:val="432"/>
        <w:numPr>
          <w:ilvl w:val="0"/>
          <w:numId w:val="11"/>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提供病人信息总览功能，可分2个模块：本人、本科室；每个模块下可分别查看待就诊、就诊中、已就诊下的病人；</w:t>
      </w:r>
    </w:p>
    <w:p>
      <w:pPr>
        <w:pStyle w:val="432"/>
        <w:numPr>
          <w:ilvl w:val="0"/>
          <w:numId w:val="11"/>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支持多标签形式，分别展示本人列表、本科室列表以及会诊列表；</w:t>
      </w:r>
    </w:p>
    <w:p>
      <w:pPr>
        <w:pStyle w:val="432"/>
        <w:numPr>
          <w:ilvl w:val="0"/>
          <w:numId w:val="11"/>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会诊列表支持门诊、住院各科室发送的会诊病人统一展示，实现会诊的一体化管理；</w:t>
      </w:r>
    </w:p>
    <w:p>
      <w:pPr>
        <w:pStyle w:val="432"/>
        <w:numPr>
          <w:ilvl w:val="0"/>
          <w:numId w:val="11"/>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支持通过筛选条件快速选择并定位门诊病人，如：病人序号、卡号、姓名、挂号日期；</w:t>
      </w:r>
    </w:p>
    <w:p>
      <w:pPr>
        <w:pStyle w:val="432"/>
        <w:numPr>
          <w:ilvl w:val="0"/>
          <w:numId w:val="11"/>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支持按照挂号日期查询特定时间的门诊病人，查询的日期范围可根据医院的要求进行自定义设置。</w:t>
      </w:r>
    </w:p>
    <w:p>
      <w:pPr>
        <w:pStyle w:val="432"/>
        <w:numPr>
          <w:ilvl w:val="0"/>
          <w:numId w:val="11"/>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支持与医院现有叫号系统对接，门诊医生在系统中可直接进行叫号操作；</w:t>
      </w:r>
    </w:p>
    <w:p>
      <w:pPr>
        <w:pStyle w:val="6"/>
        <w:spacing w:line="360" w:lineRule="auto"/>
        <w:ind w:firstLine="0" w:firstLineChars="0"/>
        <w:rPr>
          <w:rFonts w:ascii="宋体" w:hAnsi="宋体" w:cs="宋体"/>
          <w:b/>
          <w:bCs/>
          <w:color w:val="000000" w:themeColor="text1"/>
          <w14:textFill>
            <w14:solidFill>
              <w14:schemeClr w14:val="tx1"/>
            </w14:solidFill>
          </w14:textFill>
        </w:rPr>
      </w:pPr>
      <w:bookmarkStart w:id="204" w:name="_Toc71663195"/>
      <w:bookmarkStart w:id="205" w:name="_Toc16152"/>
      <w:r>
        <w:rPr>
          <w:rFonts w:hint="eastAsia" w:ascii="宋体" w:hAnsi="宋体" w:cs="宋体"/>
          <w:b/>
          <w:bCs/>
          <w:color w:val="000000" w:themeColor="text1"/>
          <w14:textFill>
            <w14:solidFill>
              <w14:schemeClr w14:val="tx1"/>
            </w14:solidFill>
          </w14:textFill>
        </w:rPr>
        <w:t>门诊病历</w:t>
      </w:r>
      <w:bookmarkEnd w:id="204"/>
      <w:bookmarkEnd w:id="205"/>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06" w:name="_Toc9712"/>
      <w:r>
        <w:rPr>
          <w:rFonts w:hint="eastAsia" w:ascii="宋体" w:hAnsi="宋体" w:eastAsia="宋体" w:cs="宋体"/>
          <w:color w:val="000000" w:themeColor="text1"/>
          <w:sz w:val="24"/>
          <w:szCs w:val="24"/>
          <w14:textFill>
            <w14:solidFill>
              <w14:schemeClr w14:val="tx1"/>
            </w14:solidFill>
          </w14:textFill>
        </w:rPr>
        <w:t>门诊病历书写</w:t>
      </w:r>
      <w:bookmarkEnd w:id="206"/>
    </w:p>
    <w:p>
      <w:pPr>
        <w:pStyle w:val="432"/>
        <w:numPr>
          <w:ilvl w:val="0"/>
          <w:numId w:val="1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提供病历模板工具，允许维护各专科专病结构化门诊病历模板；</w:t>
      </w:r>
    </w:p>
    <w:p>
      <w:pPr>
        <w:pStyle w:val="432"/>
        <w:numPr>
          <w:ilvl w:val="0"/>
          <w:numId w:val="1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支持初诊、复诊的病历书写，支持设置不同样式的初诊、复诊模板供医生自由选择；</w:t>
      </w:r>
    </w:p>
    <w:p>
      <w:pPr>
        <w:pStyle w:val="432"/>
        <w:numPr>
          <w:ilvl w:val="0"/>
          <w:numId w:val="1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门诊病历模板可根据病人性别、年龄自动加载；</w:t>
      </w:r>
    </w:p>
    <w:p>
      <w:pPr>
        <w:pStyle w:val="432"/>
        <w:numPr>
          <w:ilvl w:val="0"/>
          <w:numId w:val="1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支持配置多个门诊病历模板供医生选择使用；</w:t>
      </w:r>
    </w:p>
    <w:p>
      <w:pPr>
        <w:pStyle w:val="432"/>
        <w:numPr>
          <w:ilvl w:val="0"/>
          <w:numId w:val="12"/>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支持多种门诊病历书写方式，如引用结构化病历模板、节点模板、整体模板、文本模板</w:t>
      </w:r>
      <w:r>
        <w:rPr>
          <w:rFonts w:hint="eastAsia" w:ascii="宋体" w:hAnsi="宋体" w:cs="宋体"/>
          <w:bCs/>
          <w:color w:val="000000" w:themeColor="text1"/>
          <w:sz w:val="24"/>
          <w14:textFill>
            <w14:solidFill>
              <w14:schemeClr w14:val="tx1"/>
            </w14:solidFill>
          </w14:textFill>
        </w:rPr>
        <w:t>（投标人须提供系统的功能截图并详细说明）</w:t>
      </w:r>
      <w:r>
        <w:rPr>
          <w:rFonts w:hint="eastAsia" w:ascii="宋体" w:hAnsi="宋体" w:cs="宋体"/>
          <w:color w:val="000000" w:themeColor="text1"/>
          <w:sz w:val="24"/>
          <w14:textFill>
            <w14:solidFill>
              <w14:schemeClr w14:val="tx1"/>
            </w14:solidFill>
          </w14:textFill>
        </w:rPr>
        <w:t>：</w:t>
      </w:r>
    </w:p>
    <w:p>
      <w:pPr>
        <w:numPr>
          <w:ilvl w:val="0"/>
          <w:numId w:val="1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支持结构化病历模板快捷引用功能，能够在病历书写时通过拼音首字母检索模板库中的结构化模板，并可一键导入到书写界面；</w:t>
      </w:r>
    </w:p>
    <w:p>
      <w:pPr>
        <w:numPr>
          <w:ilvl w:val="0"/>
          <w:numId w:val="1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支持文本模板快捷引用功能，医生可在病历书写时引入个人或者科室文本模板至病历书写界面；</w:t>
      </w:r>
    </w:p>
    <w:p>
      <w:pPr>
        <w:numPr>
          <w:ilvl w:val="0"/>
          <w:numId w:val="1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支持节点模板快捷引用功能，医生可在病历书写时引入个人或者科室节点模板至病历书写界面；</w:t>
      </w:r>
    </w:p>
    <w:p>
      <w:pPr>
        <w:numPr>
          <w:ilvl w:val="0"/>
          <w:numId w:val="1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文本模板支持覆盖导入、追加导入或光标导入功能；</w:t>
      </w:r>
    </w:p>
    <w:p>
      <w:pPr>
        <w:numPr>
          <w:ilvl w:val="0"/>
          <w:numId w:val="1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支持整体模板功能，能够一键按照病历格式将各个模块的病历模板内容分别导入病历书写界面，如主诉、现病史等。</w:t>
      </w:r>
    </w:p>
    <w:p>
      <w:pPr>
        <w:pStyle w:val="432"/>
        <w:numPr>
          <w:ilvl w:val="0"/>
          <w:numId w:val="1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提供特殊字符、表格、图片、上下标，分数，医学公式，单位换算；</w:t>
      </w:r>
    </w:p>
    <w:p>
      <w:pPr>
        <w:numPr>
          <w:ilvl w:val="0"/>
          <w:numId w:val="14"/>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支持将特殊字符一键引入至病历书写界面；</w:t>
      </w:r>
    </w:p>
    <w:p>
      <w:pPr>
        <w:numPr>
          <w:ilvl w:val="0"/>
          <w:numId w:val="14"/>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支持在病历书写界面插入表格功能，能够在插入后进行表格的编辑，如合并单元格、插入、删除行；</w:t>
      </w:r>
    </w:p>
    <w:p>
      <w:pPr>
        <w:numPr>
          <w:ilvl w:val="0"/>
          <w:numId w:val="14"/>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支持在病历书写界面插入本地或者服务器中的图片功能；</w:t>
      </w:r>
    </w:p>
    <w:p>
      <w:pPr>
        <w:numPr>
          <w:ilvl w:val="0"/>
          <w:numId w:val="14"/>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支持在病历书写界面进行患者体表面积公式计算功能，系统可自动根据体重、身高计算体表面积，并可将计算结果引入到病历中；</w:t>
      </w:r>
    </w:p>
    <w:p>
      <w:pPr>
        <w:numPr>
          <w:ilvl w:val="0"/>
          <w:numId w:val="14"/>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支持在病历书写过程中对病历内容设置文字提醒色。</w:t>
      </w:r>
    </w:p>
    <w:p>
      <w:pPr>
        <w:pStyle w:val="432"/>
        <w:numPr>
          <w:ilvl w:val="0"/>
          <w:numId w:val="12"/>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支持在门诊病历书写过程中，同屏查看和引用检验报告内容，支持检验报告内容在电子病历系统中的结构化存储和展示，并且能够一键式引入检验异常项目到病历中； </w:t>
      </w:r>
    </w:p>
    <w:p>
      <w:pPr>
        <w:pStyle w:val="432"/>
        <w:numPr>
          <w:ilvl w:val="0"/>
          <w:numId w:val="12"/>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支持在门诊病历书写过程中，同屏查看和引用检查报告内容，并且能够一键式引入检查项目及结果到病历中； </w:t>
      </w:r>
    </w:p>
    <w:p>
      <w:pPr>
        <w:pStyle w:val="432"/>
        <w:numPr>
          <w:ilvl w:val="0"/>
          <w:numId w:val="1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支持在门诊病历书写过程中，同屏查看门诊病历模板，并可一键引用到当前病历中；</w:t>
      </w:r>
    </w:p>
    <w:p>
      <w:pPr>
        <w:pStyle w:val="432"/>
        <w:numPr>
          <w:ilvl w:val="0"/>
          <w:numId w:val="12"/>
        </w:numPr>
        <w:spacing w:line="360" w:lineRule="auto"/>
        <w:ind w:left="0" w:firstLine="0" w:firstLineChars="0"/>
        <w:jc w:val="left"/>
        <w:rPr>
          <w:rFonts w:ascii="宋体" w:hAnsi="宋体" w:cs="宋体"/>
          <w:color w:val="000000" w:themeColor="text1"/>
          <w:sz w:val="24"/>
          <w14:textFill>
            <w14:solidFill>
              <w14:schemeClr w14:val="tx1"/>
            </w14:solidFill>
          </w14:textFill>
        </w:rPr>
      </w:pPr>
      <w:bookmarkStart w:id="207" w:name="_Hlk34917259"/>
      <w:r>
        <w:rPr>
          <w:rFonts w:hint="eastAsia" w:ascii="宋体" w:hAnsi="宋体" w:cs="宋体"/>
          <w:color w:val="000000" w:themeColor="text1"/>
          <w:sz w:val="24"/>
          <w14:textFill>
            <w14:solidFill>
              <w14:schemeClr w14:val="tx1"/>
            </w14:solidFill>
          </w14:textFill>
        </w:rPr>
        <w:t>支持在门诊病历书写过程中，同屏查看和一键引用门诊历史病历到当前病历中：</w:t>
      </w:r>
    </w:p>
    <w:p>
      <w:pPr>
        <w:numPr>
          <w:ilvl w:val="0"/>
          <w:numId w:val="15"/>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门诊历史病历包括本科室和其他科室的就诊病历；</w:t>
      </w:r>
    </w:p>
    <w:p>
      <w:pPr>
        <w:numPr>
          <w:ilvl w:val="0"/>
          <w:numId w:val="15"/>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门诊历史病历支持按照就诊日期进行排序，可默认展示最近的一次的门诊历史病历；</w:t>
      </w:r>
    </w:p>
    <w:p>
      <w:pPr>
        <w:pStyle w:val="432"/>
        <w:numPr>
          <w:ilvl w:val="0"/>
          <w:numId w:val="12"/>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支持在门诊病历书写过程中，查阅病人历史住院病历；</w:t>
      </w:r>
    </w:p>
    <w:bookmarkEnd w:id="207"/>
    <w:p>
      <w:pPr>
        <w:pStyle w:val="432"/>
        <w:numPr>
          <w:ilvl w:val="0"/>
          <w:numId w:val="12"/>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支持病人过敏信息管理功能</w:t>
      </w:r>
      <w:r>
        <w:rPr>
          <w:rFonts w:hint="eastAsia" w:ascii="宋体" w:hAnsi="宋体" w:cs="宋体"/>
          <w:bCs/>
          <w:color w:val="000000" w:themeColor="text1"/>
          <w:sz w:val="24"/>
          <w14:textFill>
            <w14:solidFill>
              <w14:schemeClr w14:val="tx1"/>
            </w14:solidFill>
          </w14:textFill>
        </w:rPr>
        <w:t>（投标人须提供系统的功能截图并详细说明）</w:t>
      </w:r>
      <w:r>
        <w:rPr>
          <w:rFonts w:hint="eastAsia" w:ascii="宋体" w:hAnsi="宋体" w:cs="宋体"/>
          <w:color w:val="000000" w:themeColor="text1"/>
          <w:sz w:val="24"/>
          <w14:textFill>
            <w14:solidFill>
              <w14:schemeClr w14:val="tx1"/>
            </w14:solidFill>
          </w14:textFill>
        </w:rPr>
        <w:t>：</w:t>
      </w:r>
    </w:p>
    <w:p>
      <w:pPr>
        <w:numPr>
          <w:ilvl w:val="0"/>
          <w:numId w:val="1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支持病人过敏史录入、作废功能；</w:t>
      </w:r>
    </w:p>
    <w:p>
      <w:pPr>
        <w:numPr>
          <w:ilvl w:val="0"/>
          <w:numId w:val="1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录入过敏信息过程中，支持录入过敏药品、过敏药品大类以及其他过敏信息；</w:t>
      </w:r>
    </w:p>
    <w:p>
      <w:pPr>
        <w:numPr>
          <w:ilvl w:val="0"/>
          <w:numId w:val="1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支持过敏信息的特殊颜色提醒功能；</w:t>
      </w:r>
    </w:p>
    <w:p>
      <w:pPr>
        <w:numPr>
          <w:ilvl w:val="0"/>
          <w:numId w:val="1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支持查阅病人历次过敏信息功能；</w:t>
      </w:r>
    </w:p>
    <w:p>
      <w:pPr>
        <w:numPr>
          <w:ilvl w:val="0"/>
          <w:numId w:val="1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支持门诊病历自动带出病人的过敏信息，避免医生重复录入操作；</w:t>
      </w:r>
    </w:p>
    <w:p>
      <w:pPr>
        <w:pStyle w:val="432"/>
        <w:numPr>
          <w:ilvl w:val="0"/>
          <w:numId w:val="1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支持病历留痕，对于已书写的病历能自动记录、保存病历记录所有修改的痕迹；</w:t>
      </w:r>
    </w:p>
    <w:p>
      <w:pPr>
        <w:pStyle w:val="432"/>
        <w:numPr>
          <w:ilvl w:val="0"/>
          <w:numId w:val="1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提供病历修改权限控制功能，针对非当天的门诊病历，不允许医生进行修改；</w:t>
      </w:r>
    </w:p>
    <w:p>
      <w:pPr>
        <w:pStyle w:val="432"/>
        <w:numPr>
          <w:ilvl w:val="0"/>
          <w:numId w:val="1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支持门诊病历自动同步病人的诊断、医嘱/处方信息；</w:t>
      </w:r>
    </w:p>
    <w:p>
      <w:pPr>
        <w:pStyle w:val="432"/>
        <w:numPr>
          <w:ilvl w:val="0"/>
          <w:numId w:val="1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支持与 CA 整合，实现门诊病历电子签名。</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08" w:name="_Toc4352"/>
      <w:bookmarkStart w:id="209" w:name="_Toc7336"/>
      <w:r>
        <w:rPr>
          <w:rFonts w:hint="eastAsia" w:ascii="宋体" w:hAnsi="宋体" w:eastAsia="宋体" w:cs="宋体"/>
          <w:color w:val="000000" w:themeColor="text1"/>
          <w:sz w:val="24"/>
          <w:szCs w:val="24"/>
          <w14:textFill>
            <w14:solidFill>
              <w14:schemeClr w14:val="tx1"/>
            </w14:solidFill>
          </w14:textFill>
        </w:rPr>
        <w:t>门诊诊断</w:t>
      </w:r>
      <w:bookmarkEnd w:id="208"/>
    </w:p>
    <w:p>
      <w:pPr>
        <w:pStyle w:val="432"/>
        <w:numPr>
          <w:ilvl w:val="0"/>
          <w:numId w:val="17"/>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提供个人诊断库分类维护及个人诊断库维护功能；</w:t>
      </w:r>
    </w:p>
    <w:p>
      <w:pPr>
        <w:pStyle w:val="432"/>
        <w:numPr>
          <w:ilvl w:val="0"/>
          <w:numId w:val="17"/>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提供西医ICD10诊断、中医疾病症候诊断及院自备诊断；</w:t>
      </w:r>
    </w:p>
    <w:p>
      <w:pPr>
        <w:pStyle w:val="432"/>
        <w:numPr>
          <w:ilvl w:val="0"/>
          <w:numId w:val="17"/>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支持门诊诊断的前、后备注填写功能，满足临床诊断要求；</w:t>
      </w:r>
    </w:p>
    <w:p>
      <w:pPr>
        <w:pStyle w:val="432"/>
        <w:numPr>
          <w:ilvl w:val="0"/>
          <w:numId w:val="17"/>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支持门诊诊断的确诊和疑诊标记功能；</w:t>
      </w:r>
    </w:p>
    <w:p>
      <w:pPr>
        <w:pStyle w:val="432"/>
        <w:numPr>
          <w:ilvl w:val="0"/>
          <w:numId w:val="17"/>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支持门诊诊断的初诊与复诊标记功能；</w:t>
      </w:r>
    </w:p>
    <w:p>
      <w:pPr>
        <w:pStyle w:val="432"/>
        <w:numPr>
          <w:ilvl w:val="0"/>
          <w:numId w:val="1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支持在诊断页面同屏按科室使用频次高低展示诊断，并可一键引用到当前诊断</w:t>
      </w:r>
      <w:r>
        <w:rPr>
          <w:rFonts w:hint="eastAsia" w:ascii="宋体" w:hAnsi="宋体" w:cs="宋体"/>
          <w:bCs/>
          <w:color w:val="000000" w:themeColor="text1"/>
          <w:sz w:val="24"/>
          <w14:textFill>
            <w14:solidFill>
              <w14:schemeClr w14:val="tx1"/>
            </w14:solidFill>
          </w14:textFill>
        </w:rPr>
        <w:t>（投标人须提供系统的功能截图并详细说明）</w:t>
      </w:r>
      <w:r>
        <w:rPr>
          <w:rFonts w:hint="eastAsia" w:ascii="宋体" w:hAnsi="宋体" w:cs="宋体"/>
          <w:color w:val="000000" w:themeColor="text1"/>
          <w:sz w:val="24"/>
          <w14:textFill>
            <w14:solidFill>
              <w14:schemeClr w14:val="tx1"/>
            </w14:solidFill>
          </w14:textFill>
        </w:rPr>
        <w:t>；</w:t>
      </w:r>
    </w:p>
    <w:p>
      <w:pPr>
        <w:pStyle w:val="432"/>
        <w:numPr>
          <w:ilvl w:val="0"/>
          <w:numId w:val="1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支持在诊断页面同屏展示常用诊断，支持常用诊断一键引用到当前诊断；支持常用诊断按个人、科室进行诊断模板维护；</w:t>
      </w:r>
    </w:p>
    <w:p>
      <w:pPr>
        <w:pStyle w:val="432"/>
        <w:numPr>
          <w:ilvl w:val="0"/>
          <w:numId w:val="1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提供历史诊断时间轴，支持以时间为纵轴，展示患者历次就诊的诊断合集；同时支持门诊历史诊断的同屏快速引用功能</w:t>
      </w:r>
      <w:r>
        <w:rPr>
          <w:rFonts w:hint="eastAsia" w:ascii="宋体" w:hAnsi="宋体" w:cs="宋体"/>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pStyle w:val="432"/>
        <w:numPr>
          <w:ilvl w:val="0"/>
          <w:numId w:val="1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提供传染病诊断管理</w:t>
      </w:r>
      <w:r>
        <w:rPr>
          <w:rFonts w:hint="eastAsia" w:ascii="宋体" w:hAnsi="宋体" w:cs="宋体"/>
          <w:bCs/>
          <w:color w:val="000000" w:themeColor="text1"/>
          <w:sz w:val="24"/>
          <w14:textFill>
            <w14:solidFill>
              <w14:schemeClr w14:val="tx1"/>
            </w14:solidFill>
          </w14:textFill>
        </w:rPr>
        <w:t>（投标人须提供系统的功能截图并详细说明）</w:t>
      </w:r>
      <w:r>
        <w:rPr>
          <w:rFonts w:hint="eastAsia" w:ascii="宋体" w:hAnsi="宋体" w:cs="宋体"/>
          <w:color w:val="000000" w:themeColor="text1"/>
          <w:sz w:val="24"/>
          <w14:textFill>
            <w14:solidFill>
              <w14:schemeClr w14:val="tx1"/>
            </w14:solidFill>
          </w14:textFill>
        </w:rPr>
        <w:t>：</w:t>
      </w:r>
    </w:p>
    <w:p>
      <w:pPr>
        <w:numPr>
          <w:ilvl w:val="0"/>
          <w:numId w:val="1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支持门诊诊断与传染病上报的关联，在医生下达传染病相关诊断后，自动提醒医生进行传染病上报；</w:t>
      </w:r>
    </w:p>
    <w:p>
      <w:pPr>
        <w:numPr>
          <w:ilvl w:val="0"/>
          <w:numId w:val="1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支持传染病重复上报提醒功能，针对已经上报过的传染病，系统给出明确提醒，如“该疾病已上报过，无需重复上报”。</w:t>
      </w:r>
    </w:p>
    <w:p>
      <w:pPr>
        <w:pStyle w:val="432"/>
        <w:numPr>
          <w:ilvl w:val="0"/>
          <w:numId w:val="1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支持门诊诊断与肿瘤上报的关联，在医生下达肿瘤相关诊断后，自动提醒医生进行肿瘤上报；</w:t>
      </w:r>
    </w:p>
    <w:p>
      <w:pPr>
        <w:pStyle w:val="432"/>
        <w:numPr>
          <w:ilvl w:val="0"/>
          <w:numId w:val="1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支持诊断下达时与性别的合理性辅助决策判断。</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门诊会诊</w:t>
      </w:r>
      <w:bookmarkEnd w:id="209"/>
    </w:p>
    <w:p>
      <w:pPr>
        <w:pStyle w:val="432"/>
        <w:numPr>
          <w:ilvl w:val="0"/>
          <w:numId w:val="1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提供门诊会诊申请功能，支持门诊各科室间、非临床科室（如药学部、营养科）的会诊申请；</w:t>
      </w:r>
    </w:p>
    <w:p>
      <w:pPr>
        <w:pStyle w:val="432"/>
        <w:numPr>
          <w:ilvl w:val="0"/>
          <w:numId w:val="1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提供门诊会诊记录的编辑、提交功能；</w:t>
      </w:r>
    </w:p>
    <w:p>
      <w:pPr>
        <w:pStyle w:val="432"/>
        <w:numPr>
          <w:ilvl w:val="0"/>
          <w:numId w:val="1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支持全院会诊业务的闭环流程管理，比如通过门诊系统可向住院科室发出会诊申请，住院科室也可向门诊科室发出会诊申请，实现全院会诊业务的互联互通。</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门诊手术</w:t>
      </w:r>
    </w:p>
    <w:p>
      <w:pPr>
        <w:pStyle w:val="432"/>
        <w:numPr>
          <w:ilvl w:val="0"/>
          <w:numId w:val="2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提供门诊手术索引功能，支持ICD-9标准手术编码名称对照，支持将门诊相关的病历文书以索引的方式实现关联；</w:t>
      </w:r>
    </w:p>
    <w:p>
      <w:pPr>
        <w:pStyle w:val="432"/>
        <w:numPr>
          <w:ilvl w:val="0"/>
          <w:numId w:val="2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系统支持对门诊手术室应用系统实现对接服务，获取门诊手术预约与排班反馈；系统支持门诊手术文书的流程管控，比如手术申请必须先完成手术知情同意书。</w:t>
      </w:r>
    </w:p>
    <w:p>
      <w:pPr>
        <w:pStyle w:val="432"/>
        <w:numPr>
          <w:ilvl w:val="0"/>
          <w:numId w:val="2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支持基于门诊手术名称、手术级别、麻醉方式、手术科室、手术医生、麻醉医师等多维度查询统计功能。</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10" w:name="_Toc16017"/>
      <w:r>
        <w:rPr>
          <w:rFonts w:hint="eastAsia" w:ascii="宋体" w:hAnsi="宋体" w:eastAsia="宋体" w:cs="宋体"/>
          <w:color w:val="000000" w:themeColor="text1"/>
          <w:sz w:val="24"/>
          <w:szCs w:val="24"/>
          <w14:textFill>
            <w14:solidFill>
              <w14:schemeClr w14:val="tx1"/>
            </w14:solidFill>
          </w14:textFill>
        </w:rPr>
        <w:t>疾病诊断证明</w:t>
      </w:r>
      <w:bookmarkEnd w:id="210"/>
    </w:p>
    <w:p>
      <w:pPr>
        <w:pStyle w:val="432"/>
        <w:numPr>
          <w:ilvl w:val="0"/>
          <w:numId w:val="21"/>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提供门诊疾病诊断证明的编辑和打印功能；</w:t>
      </w:r>
    </w:p>
    <w:p>
      <w:pPr>
        <w:pStyle w:val="432"/>
        <w:numPr>
          <w:ilvl w:val="0"/>
          <w:numId w:val="21"/>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支持患者基本信息和诊断内容自动带入到疾病诊断证明中。并根据医院实际流程，支持诊断证明流程电子审批功能。</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11" w:name="_Toc18427"/>
      <w:r>
        <w:rPr>
          <w:rFonts w:hint="eastAsia" w:ascii="宋体" w:hAnsi="宋体" w:eastAsia="宋体" w:cs="宋体"/>
          <w:color w:val="000000" w:themeColor="text1"/>
          <w:sz w:val="24"/>
          <w:szCs w:val="24"/>
          <w14:textFill>
            <w14:solidFill>
              <w14:schemeClr w14:val="tx1"/>
            </w14:solidFill>
          </w14:textFill>
        </w:rPr>
        <w:t>门诊疾病上报</w:t>
      </w:r>
      <w:bookmarkEnd w:id="211"/>
    </w:p>
    <w:p>
      <w:pPr>
        <w:pStyle w:val="432"/>
        <w:numPr>
          <w:ilvl w:val="0"/>
          <w:numId w:val="2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提供门诊传染病上报的功能；</w:t>
      </w:r>
    </w:p>
    <w:p>
      <w:pPr>
        <w:pStyle w:val="432"/>
        <w:numPr>
          <w:ilvl w:val="0"/>
          <w:numId w:val="2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提供门诊肿瘤上报的功能；</w:t>
      </w:r>
    </w:p>
    <w:p>
      <w:pPr>
        <w:pStyle w:val="432"/>
        <w:numPr>
          <w:ilvl w:val="0"/>
          <w:numId w:val="2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提供门诊特殊疾病上报的功能；</w:t>
      </w:r>
    </w:p>
    <w:p>
      <w:pPr>
        <w:pStyle w:val="432"/>
        <w:numPr>
          <w:ilvl w:val="0"/>
          <w:numId w:val="2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提供一体化模板工具，支持疾病报卡的自定义功能；</w:t>
      </w:r>
    </w:p>
    <w:p>
      <w:pPr>
        <w:pStyle w:val="432"/>
        <w:numPr>
          <w:ilvl w:val="0"/>
          <w:numId w:val="2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提供诊断控制信息维护功能</w:t>
      </w:r>
      <w:r>
        <w:rPr>
          <w:rFonts w:hint="eastAsia" w:ascii="宋体" w:hAnsi="宋体" w:cs="宋体"/>
          <w:color w:val="000000" w:themeColor="text1"/>
          <w:sz w:val="24"/>
          <w:lang w:eastAsia="zh-CN"/>
          <w14:textFill>
            <w14:solidFill>
              <w14:schemeClr w14:val="tx1"/>
            </w14:solidFill>
          </w14:textFill>
        </w:rPr>
        <w:t>：</w:t>
      </w:r>
    </w:p>
    <w:p>
      <w:pPr>
        <w:numPr>
          <w:ilvl w:val="0"/>
          <w:numId w:val="2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支持配置与传染病诊断关联的传染病报卡；</w:t>
      </w:r>
    </w:p>
    <w:p>
      <w:pPr>
        <w:numPr>
          <w:ilvl w:val="0"/>
          <w:numId w:val="2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支持配置与肿瘤诊断关联的肿瘤报卡；</w:t>
      </w:r>
    </w:p>
    <w:p>
      <w:pPr>
        <w:numPr>
          <w:ilvl w:val="0"/>
          <w:numId w:val="2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支持配置与特殊诊断关联的相关疾病上报卡，如严重精神障碍相关诊断；</w:t>
      </w:r>
    </w:p>
    <w:p>
      <w:pPr>
        <w:numPr>
          <w:ilvl w:val="0"/>
          <w:numId w:val="2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支持多种类型的疾病上报控制级别维护功能，包括可选、仅提示、必须上报，可按照医院的管控要求设置是否要求医生强制上报；</w:t>
      </w:r>
    </w:p>
    <w:p>
      <w:pPr>
        <w:pStyle w:val="432"/>
        <w:numPr>
          <w:ilvl w:val="0"/>
          <w:numId w:val="2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提供门诊疾病上报补报功能；</w:t>
      </w:r>
    </w:p>
    <w:p>
      <w:pPr>
        <w:pStyle w:val="432"/>
        <w:numPr>
          <w:ilvl w:val="0"/>
          <w:numId w:val="22"/>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支持门诊疾病报卡必填项校验功能，若医生存在未完成的必填项，则系统须自动提醒医生完善必填项才能进行上报操作；</w:t>
      </w:r>
    </w:p>
    <w:p>
      <w:pPr>
        <w:pStyle w:val="432"/>
        <w:numPr>
          <w:ilvl w:val="0"/>
          <w:numId w:val="2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支持根据诊断是否确诊（或是否使用指定药品）来控制医生是否需要进行疾病上报；</w:t>
      </w:r>
    </w:p>
    <w:p>
      <w:pPr>
        <w:pStyle w:val="432"/>
        <w:numPr>
          <w:ilvl w:val="0"/>
          <w:numId w:val="22"/>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支持与院内传染病管理系统的对接，提供科室传染病上报查询功能：</w:t>
      </w:r>
    </w:p>
    <w:p>
      <w:pPr>
        <w:numPr>
          <w:ilvl w:val="0"/>
          <w:numId w:val="2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可根据病人姓名、病人门诊号、以及疾病上报日期进行查询；</w:t>
      </w:r>
    </w:p>
    <w:p>
      <w:pPr>
        <w:numPr>
          <w:ilvl w:val="0"/>
          <w:numId w:val="2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支持将查询结果导出到Excel；</w:t>
      </w:r>
    </w:p>
    <w:p>
      <w:pPr>
        <w:numPr>
          <w:ilvl w:val="0"/>
          <w:numId w:val="2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查询页面支持打印传染病报卡。</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12" w:name="_Toc17347"/>
      <w:bookmarkStart w:id="213" w:name="_Toc33620838"/>
      <w:bookmarkStart w:id="214" w:name="_Toc16250"/>
      <w:r>
        <w:rPr>
          <w:rFonts w:hint="eastAsia" w:ascii="宋体" w:hAnsi="宋体" w:eastAsia="宋体" w:cs="宋体"/>
          <w:color w:val="000000" w:themeColor="text1"/>
          <w:sz w:val="24"/>
          <w:szCs w:val="24"/>
          <w14:textFill>
            <w14:solidFill>
              <w14:schemeClr w14:val="tx1"/>
            </w14:solidFill>
          </w14:textFill>
        </w:rPr>
        <w:t>医疗文书书写</w:t>
      </w:r>
      <w:bookmarkEnd w:id="212"/>
    </w:p>
    <w:p>
      <w:pPr>
        <w:pStyle w:val="432"/>
        <w:numPr>
          <w:ilvl w:val="0"/>
          <w:numId w:val="25"/>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提供病历模板配置工具，允许维护各种结构化医疗文书模板；</w:t>
      </w:r>
    </w:p>
    <w:p>
      <w:pPr>
        <w:pStyle w:val="432"/>
        <w:numPr>
          <w:ilvl w:val="0"/>
          <w:numId w:val="25"/>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支持医疗文书模板配置时关联不同的科室，按照科室区分使用权限；</w:t>
      </w:r>
    </w:p>
    <w:p>
      <w:pPr>
        <w:pStyle w:val="432"/>
        <w:numPr>
          <w:ilvl w:val="0"/>
          <w:numId w:val="25"/>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支持医疗文书分类，支持医疗文书的拼音检索功能；</w:t>
      </w:r>
    </w:p>
    <w:p>
      <w:pPr>
        <w:pStyle w:val="432"/>
        <w:numPr>
          <w:ilvl w:val="0"/>
          <w:numId w:val="25"/>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支持医疗文书自动同步病人的基本信息和诊断信息；</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门诊病历打印</w:t>
      </w:r>
      <w:bookmarkEnd w:id="213"/>
      <w:bookmarkEnd w:id="214"/>
    </w:p>
    <w:p>
      <w:pPr>
        <w:pStyle w:val="432"/>
        <w:numPr>
          <w:ilvl w:val="0"/>
          <w:numId w:val="26"/>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支持门诊病历的诊间打印模式；</w:t>
      </w:r>
    </w:p>
    <w:p>
      <w:pPr>
        <w:pStyle w:val="432"/>
        <w:numPr>
          <w:ilvl w:val="0"/>
          <w:numId w:val="26"/>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提供整体打印功能，支持选择需要打印的病历资料类型；</w:t>
      </w:r>
    </w:p>
    <w:p>
      <w:pPr>
        <w:pStyle w:val="432"/>
        <w:numPr>
          <w:ilvl w:val="0"/>
          <w:numId w:val="26"/>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整体打印时支持打印预览或直接打印；</w:t>
      </w:r>
    </w:p>
    <w:p>
      <w:pPr>
        <w:pStyle w:val="432"/>
        <w:numPr>
          <w:ilvl w:val="0"/>
          <w:numId w:val="26"/>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支持门诊病历的集中打印模式：</w:t>
      </w:r>
    </w:p>
    <w:p>
      <w:pPr>
        <w:numPr>
          <w:ilvl w:val="0"/>
          <w:numId w:val="2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支持根据科室、病人姓名、卡号、就诊日期查询病人的门诊病历；</w:t>
      </w:r>
    </w:p>
    <w:p>
      <w:pPr>
        <w:numPr>
          <w:ilvl w:val="0"/>
          <w:numId w:val="2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提供单据补打功能，可补打病人的病历文书；</w:t>
      </w:r>
    </w:p>
    <w:p>
      <w:pPr>
        <w:pStyle w:val="432"/>
        <w:numPr>
          <w:ilvl w:val="0"/>
          <w:numId w:val="26"/>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支持与医院自助设备整合，提供门诊病历的自助打印；</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15" w:name="_Toc14903"/>
      <w:r>
        <w:rPr>
          <w:rFonts w:hint="eastAsia" w:ascii="宋体" w:hAnsi="宋体" w:eastAsia="宋体" w:cs="宋体"/>
          <w:color w:val="000000" w:themeColor="text1"/>
          <w:sz w:val="24"/>
          <w:szCs w:val="24"/>
          <w14:textFill>
            <w14:solidFill>
              <w14:schemeClr w14:val="tx1"/>
            </w14:solidFill>
          </w14:textFill>
        </w:rPr>
        <w:t>病历模板维护</w:t>
      </w:r>
      <w:bookmarkEnd w:id="215"/>
    </w:p>
    <w:p>
      <w:pPr>
        <w:pStyle w:val="432"/>
        <w:numPr>
          <w:ilvl w:val="0"/>
          <w:numId w:val="2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提供个人、科室整体模板、节点模板、文本模板维护功能；</w:t>
      </w:r>
    </w:p>
    <w:p>
      <w:pPr>
        <w:pStyle w:val="432"/>
        <w:numPr>
          <w:ilvl w:val="0"/>
          <w:numId w:val="2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支持在系统中查询及引入模板库中维护好的结构化模板，进行整体模板、节点模板样式维护；</w:t>
      </w:r>
    </w:p>
    <w:p>
      <w:pPr>
        <w:pStyle w:val="432"/>
        <w:numPr>
          <w:ilvl w:val="0"/>
          <w:numId w:val="2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支持在系统中进行整体模板、节点模板内容维护，模板引入时能够选择覆盖当前，或者光标处引入功能，支持按照病历各个模块自动导入维护好的模板内容；</w:t>
      </w:r>
    </w:p>
    <w:p>
      <w:pPr>
        <w:pStyle w:val="432"/>
        <w:numPr>
          <w:ilvl w:val="0"/>
          <w:numId w:val="2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支持在门诊病历书写过程中，选择当前任意病历内容保存成文本模板，如将主诉的描述保存成主诉文本模板。</w:t>
      </w:r>
    </w:p>
    <w:p>
      <w:pPr>
        <w:rPr>
          <w:b/>
          <w:bCs/>
          <w:sz w:val="28"/>
          <w:szCs w:val="28"/>
        </w:rPr>
      </w:pPr>
      <w:bookmarkStart w:id="216" w:name="_Toc14232"/>
      <w:bookmarkStart w:id="217" w:name="_Toc71663196"/>
      <w:r>
        <w:rPr>
          <w:rFonts w:hint="eastAsia"/>
          <w:b/>
          <w:bCs/>
          <w:sz w:val="28"/>
          <w:szCs w:val="28"/>
        </w:rPr>
        <w:t>门诊医嘱</w:t>
      </w:r>
      <w:bookmarkEnd w:id="216"/>
      <w:bookmarkEnd w:id="217"/>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18" w:name="_Toc808"/>
      <w:r>
        <w:rPr>
          <w:rFonts w:hint="eastAsia" w:ascii="宋体" w:hAnsi="宋体" w:eastAsia="宋体" w:cs="宋体"/>
          <w:color w:val="000000" w:themeColor="text1"/>
          <w:sz w:val="24"/>
          <w:szCs w:val="24"/>
          <w14:textFill>
            <w14:solidFill>
              <w14:schemeClr w14:val="tx1"/>
            </w14:solidFill>
          </w14:textFill>
        </w:rPr>
        <w:t>医嘱下达</w:t>
      </w:r>
      <w:bookmarkEnd w:id="218"/>
    </w:p>
    <w:p>
      <w:pPr>
        <w:pStyle w:val="432"/>
        <w:widowControl/>
        <w:numPr>
          <w:ilvl w:val="0"/>
          <w:numId w:val="29"/>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支持门诊多种类型医嘱的下达，包括西药、中成药、草药、处置/治疗、嘱托类医嘱内容； </w:t>
      </w:r>
    </w:p>
    <w:p>
      <w:pPr>
        <w:pStyle w:val="432"/>
        <w:widowControl/>
        <w:numPr>
          <w:ilvl w:val="0"/>
          <w:numId w:val="29"/>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支持草药医嘱的特殊下达模式；</w:t>
      </w:r>
    </w:p>
    <w:p>
      <w:pPr>
        <w:pStyle w:val="432"/>
        <w:widowControl/>
        <w:numPr>
          <w:ilvl w:val="0"/>
          <w:numId w:val="29"/>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支持病人过敏信息录入；</w:t>
      </w:r>
    </w:p>
    <w:p>
      <w:pPr>
        <w:pStyle w:val="432"/>
        <w:widowControl/>
        <w:numPr>
          <w:ilvl w:val="0"/>
          <w:numId w:val="29"/>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支持下达医嘱时对病人过敏史的校验，对有过敏记录的药品进行自动提醒；</w:t>
      </w:r>
    </w:p>
    <w:p>
      <w:pPr>
        <w:pStyle w:val="432"/>
        <w:widowControl/>
        <w:numPr>
          <w:ilvl w:val="0"/>
          <w:numId w:val="29"/>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支持医嘱的成组或解除组功能；</w:t>
      </w:r>
    </w:p>
    <w:p>
      <w:pPr>
        <w:pStyle w:val="432"/>
        <w:widowControl/>
        <w:numPr>
          <w:ilvl w:val="0"/>
          <w:numId w:val="29"/>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支持抗菌药、毒麻药、贵重药的权限设置，医生权限不足时给予拦截提醒；</w:t>
      </w:r>
    </w:p>
    <w:p>
      <w:pPr>
        <w:pStyle w:val="432"/>
        <w:widowControl/>
        <w:numPr>
          <w:ilvl w:val="0"/>
          <w:numId w:val="29"/>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医嘱下达时提供医嘱整体套餐的快捷引用功能；</w:t>
      </w:r>
    </w:p>
    <w:p>
      <w:pPr>
        <w:pStyle w:val="432"/>
        <w:widowControl/>
        <w:numPr>
          <w:ilvl w:val="0"/>
          <w:numId w:val="29"/>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医嘱下达时提供历史医嘱的查询和引用功能；</w:t>
      </w:r>
    </w:p>
    <w:p>
      <w:pPr>
        <w:pStyle w:val="432"/>
        <w:widowControl/>
        <w:numPr>
          <w:ilvl w:val="0"/>
          <w:numId w:val="29"/>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支持与我院合理用药系统的整合，在下达医嘱进行用药合理性校验。</w:t>
      </w:r>
    </w:p>
    <w:p>
      <w:pPr>
        <w:pStyle w:val="432"/>
        <w:widowControl/>
        <w:numPr>
          <w:ilvl w:val="0"/>
          <w:numId w:val="29"/>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支持门诊治疗单下达操作：</w:t>
      </w:r>
    </w:p>
    <w:p>
      <w:pPr>
        <w:pStyle w:val="432"/>
        <w:widowControl/>
        <w:numPr>
          <w:ilvl w:val="0"/>
          <w:numId w:val="30"/>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能给检索治疗单进行治疗单下达；</w:t>
      </w:r>
    </w:p>
    <w:p>
      <w:pPr>
        <w:pStyle w:val="432"/>
        <w:widowControl/>
        <w:numPr>
          <w:ilvl w:val="0"/>
          <w:numId w:val="30"/>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支持在进行治疗单下达时自动带入门诊病历信息；</w:t>
      </w:r>
    </w:p>
    <w:p>
      <w:pPr>
        <w:pStyle w:val="432"/>
        <w:widowControl/>
        <w:numPr>
          <w:ilvl w:val="0"/>
          <w:numId w:val="30"/>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支持医生下达治疗单时编辑医生说明信息。</w:t>
      </w:r>
    </w:p>
    <w:p>
      <w:pPr>
        <w:pStyle w:val="432"/>
        <w:widowControl/>
        <w:numPr>
          <w:ilvl w:val="0"/>
          <w:numId w:val="29"/>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支持草药保密方功能；</w:t>
      </w:r>
    </w:p>
    <w:p>
      <w:pPr>
        <w:pStyle w:val="432"/>
        <w:widowControl/>
        <w:numPr>
          <w:ilvl w:val="0"/>
          <w:numId w:val="29"/>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支持门诊药品皮试流程管理功能；</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19" w:name="_Toc25053"/>
      <w:r>
        <w:rPr>
          <w:rFonts w:hint="eastAsia" w:ascii="宋体" w:hAnsi="宋体" w:eastAsia="宋体" w:cs="宋体"/>
          <w:color w:val="000000" w:themeColor="text1"/>
          <w:sz w:val="24"/>
          <w:szCs w:val="24"/>
          <w14:textFill>
            <w14:solidFill>
              <w14:schemeClr w14:val="tx1"/>
            </w14:solidFill>
          </w14:textFill>
        </w:rPr>
        <w:t>常用医嘱</w:t>
      </w:r>
      <w:bookmarkEnd w:id="219"/>
    </w:p>
    <w:p>
      <w:pPr>
        <w:pStyle w:val="432"/>
        <w:widowControl/>
        <w:numPr>
          <w:ilvl w:val="0"/>
          <w:numId w:val="31"/>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支持门诊常用医嘱功能，能够在不切换页面的情况下，一键导入常用医嘱内容。</w:t>
      </w:r>
    </w:p>
    <w:p>
      <w:pPr>
        <w:pStyle w:val="432"/>
        <w:widowControl/>
        <w:numPr>
          <w:ilvl w:val="0"/>
          <w:numId w:val="31"/>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支持选择不同常用医嘱目录列表下的医嘱进行医嘱内容的交叉引入。</w:t>
      </w:r>
    </w:p>
    <w:p>
      <w:pPr>
        <w:pStyle w:val="432"/>
        <w:widowControl/>
        <w:numPr>
          <w:ilvl w:val="0"/>
          <w:numId w:val="31"/>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支持维护常用医嘱类别，包括药品、检验、检查、处置、治疗内容。能够从系统中进行拼音首字母的检索进行详细医嘱项目的维护。</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20" w:name="_Toc17216"/>
      <w:r>
        <w:rPr>
          <w:rFonts w:hint="eastAsia" w:ascii="宋体" w:hAnsi="宋体" w:eastAsia="宋体" w:cs="宋体"/>
          <w:color w:val="000000" w:themeColor="text1"/>
          <w:sz w:val="24"/>
          <w:szCs w:val="24"/>
          <w14:textFill>
            <w14:solidFill>
              <w14:schemeClr w14:val="tx1"/>
            </w14:solidFill>
          </w14:textFill>
        </w:rPr>
        <w:t>门诊电子处方</w:t>
      </w:r>
      <w:bookmarkEnd w:id="220"/>
    </w:p>
    <w:p>
      <w:pPr>
        <w:pStyle w:val="432"/>
        <w:widowControl/>
        <w:numPr>
          <w:ilvl w:val="0"/>
          <w:numId w:val="32"/>
        </w:numPr>
        <w:adjustRightInd w:val="0"/>
        <w:snapToGrid w:val="0"/>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支持电子医嘱自动生成处方；</w:t>
      </w:r>
    </w:p>
    <w:p>
      <w:pPr>
        <w:pStyle w:val="432"/>
        <w:widowControl/>
        <w:numPr>
          <w:ilvl w:val="0"/>
          <w:numId w:val="32"/>
        </w:numPr>
        <w:adjustRightInd w:val="0"/>
        <w:snapToGrid w:val="0"/>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提供可配置化的自动拆分处方规则，实现门诊处方自动拆分；</w:t>
      </w:r>
    </w:p>
    <w:p>
      <w:pPr>
        <w:pStyle w:val="432"/>
        <w:widowControl/>
        <w:numPr>
          <w:ilvl w:val="0"/>
          <w:numId w:val="32"/>
        </w:numPr>
        <w:adjustRightInd w:val="0"/>
        <w:snapToGrid w:val="0"/>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支持处方的手动拆方，满足医生灵活的处方划分；</w:t>
      </w:r>
    </w:p>
    <w:p>
      <w:pPr>
        <w:pStyle w:val="432"/>
        <w:widowControl/>
        <w:numPr>
          <w:ilvl w:val="0"/>
          <w:numId w:val="32"/>
        </w:numPr>
        <w:adjustRightInd w:val="0"/>
        <w:snapToGrid w:val="0"/>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支持手动创建处方列表，同时支持对单个处方列表进行自动分方和手动分方；</w:t>
      </w:r>
    </w:p>
    <w:p>
      <w:pPr>
        <w:pStyle w:val="432"/>
        <w:widowControl/>
        <w:numPr>
          <w:ilvl w:val="0"/>
          <w:numId w:val="32"/>
        </w:numPr>
        <w:adjustRightInd w:val="0"/>
        <w:snapToGrid w:val="0"/>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支持处方与诊断的关联，支持门诊处方的审核控制。</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21" w:name="_Toc8578"/>
      <w:r>
        <w:rPr>
          <w:rFonts w:hint="eastAsia" w:ascii="宋体" w:hAnsi="宋体" w:eastAsia="宋体" w:cs="宋体"/>
          <w:color w:val="000000" w:themeColor="text1"/>
          <w:sz w:val="24"/>
          <w:szCs w:val="24"/>
          <w14:textFill>
            <w14:solidFill>
              <w14:schemeClr w14:val="tx1"/>
            </w14:solidFill>
          </w14:textFill>
        </w:rPr>
        <w:t>电子申请</w:t>
      </w:r>
      <w:bookmarkEnd w:id="221"/>
    </w:p>
    <w:p>
      <w:pPr>
        <w:pStyle w:val="432"/>
        <w:widowControl/>
        <w:numPr>
          <w:ilvl w:val="0"/>
          <w:numId w:val="33"/>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支持检验申请单的下达，可实现门诊检验申请项目和标本相互对应并默认标本，申请单可自动生成检验医嘱；</w:t>
      </w:r>
    </w:p>
    <w:p>
      <w:pPr>
        <w:pStyle w:val="432"/>
        <w:numPr>
          <w:ilvl w:val="0"/>
          <w:numId w:val="33"/>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支持检查申请单的下达，病历文书内容（包括诊断，病史信息）自动带入检查申请单，并自动生成检查医嘱；</w:t>
      </w:r>
    </w:p>
    <w:p>
      <w:pPr>
        <w:pStyle w:val="432"/>
        <w:widowControl/>
        <w:numPr>
          <w:ilvl w:val="0"/>
          <w:numId w:val="33"/>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支持检验检查申请单下达时一键引用常用检验、检查模板的功能；</w:t>
      </w:r>
    </w:p>
    <w:p>
      <w:pPr>
        <w:pStyle w:val="432"/>
        <w:widowControl/>
        <w:numPr>
          <w:ilvl w:val="0"/>
          <w:numId w:val="33"/>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支持下达检验、检查申请时查看患者门诊病历资料，支持检查、检验开单时选择执行科室。</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22" w:name="_Toc20141"/>
      <w:r>
        <w:rPr>
          <w:rFonts w:hint="eastAsia" w:ascii="宋体" w:hAnsi="宋体" w:eastAsia="宋体" w:cs="宋体"/>
          <w:color w:val="000000" w:themeColor="text1"/>
          <w:sz w:val="24"/>
          <w:szCs w:val="24"/>
          <w14:textFill>
            <w14:solidFill>
              <w14:schemeClr w14:val="tx1"/>
            </w14:solidFill>
          </w14:textFill>
        </w:rPr>
        <w:t>政策校验</w:t>
      </w:r>
      <w:bookmarkEnd w:id="222"/>
    </w:p>
    <w:p>
      <w:pPr>
        <w:pStyle w:val="432"/>
        <w:widowControl/>
        <w:numPr>
          <w:ilvl w:val="0"/>
          <w:numId w:val="34"/>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支持单个医嘱下达时进行本地医保用药政策校验；</w:t>
      </w:r>
    </w:p>
    <w:p>
      <w:pPr>
        <w:pStyle w:val="432"/>
        <w:widowControl/>
        <w:numPr>
          <w:ilvl w:val="0"/>
          <w:numId w:val="34"/>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在通过常用医嘱、整体医嘱模板下达医嘱时，支持医保用药政策校验；</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23" w:name="_Toc16838"/>
      <w:r>
        <w:rPr>
          <w:rFonts w:hint="eastAsia" w:ascii="宋体" w:hAnsi="宋体" w:eastAsia="宋体" w:cs="宋体"/>
          <w:color w:val="000000" w:themeColor="text1"/>
          <w:sz w:val="24"/>
          <w:szCs w:val="24"/>
          <w14:textFill>
            <w14:solidFill>
              <w14:schemeClr w14:val="tx1"/>
            </w14:solidFill>
          </w14:textFill>
        </w:rPr>
        <w:t>医嘱模板维护</w:t>
      </w:r>
      <w:bookmarkEnd w:id="223"/>
    </w:p>
    <w:p>
      <w:pPr>
        <w:pStyle w:val="432"/>
        <w:widowControl/>
        <w:numPr>
          <w:ilvl w:val="0"/>
          <w:numId w:val="35"/>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提供用户个人检验、检查模板的维护功能；</w:t>
      </w:r>
    </w:p>
    <w:p>
      <w:pPr>
        <w:pStyle w:val="432"/>
        <w:widowControl/>
        <w:numPr>
          <w:ilvl w:val="0"/>
          <w:numId w:val="35"/>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提供用户个人草药模板的维护功能；</w:t>
      </w:r>
    </w:p>
    <w:p>
      <w:pPr>
        <w:pStyle w:val="432"/>
        <w:widowControl/>
        <w:numPr>
          <w:ilvl w:val="0"/>
          <w:numId w:val="35"/>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提供科室级常用模板的维护功能，包括常用药品、常用检验、常用检查、常用草药；</w:t>
      </w:r>
    </w:p>
    <w:p>
      <w:pPr>
        <w:pStyle w:val="432"/>
        <w:widowControl/>
        <w:numPr>
          <w:ilvl w:val="0"/>
          <w:numId w:val="35"/>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提供科室级整体医嘱模板的维护；</w:t>
      </w:r>
    </w:p>
    <w:p>
      <w:pPr>
        <w:pStyle w:val="432"/>
        <w:widowControl/>
        <w:numPr>
          <w:ilvl w:val="0"/>
          <w:numId w:val="35"/>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提供科室级整体草药模板的维护；</w:t>
      </w:r>
    </w:p>
    <w:p>
      <w:pPr>
        <w:pStyle w:val="432"/>
        <w:widowControl/>
        <w:numPr>
          <w:ilvl w:val="0"/>
          <w:numId w:val="35"/>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提供特病患者医嘱模板的维护，与医院医保部门特病管理系统联动，满足当地医保管理要求。</w:t>
      </w:r>
    </w:p>
    <w:p>
      <w:pPr>
        <w:pStyle w:val="6"/>
        <w:spacing w:line="360" w:lineRule="auto"/>
        <w:ind w:firstLine="482"/>
        <w:rPr>
          <w:rFonts w:ascii="宋体" w:hAnsi="宋体" w:cs="宋体"/>
          <w:b/>
          <w:bCs/>
          <w:color w:val="000000" w:themeColor="text1"/>
          <w:kern w:val="0"/>
          <w14:textFill>
            <w14:solidFill>
              <w14:schemeClr w14:val="tx1"/>
            </w14:solidFill>
          </w14:textFill>
        </w:rPr>
      </w:pPr>
      <w:bookmarkStart w:id="224" w:name="_Toc16732"/>
      <w:bookmarkStart w:id="225" w:name="_Toc71663197"/>
      <w:r>
        <w:rPr>
          <w:rFonts w:hint="eastAsia" w:ascii="宋体" w:hAnsi="宋体" w:cs="宋体"/>
          <w:b/>
          <w:bCs/>
          <w:color w:val="000000" w:themeColor="text1"/>
          <w:kern w:val="0"/>
          <w14:textFill>
            <w14:solidFill>
              <w14:schemeClr w14:val="tx1"/>
            </w14:solidFill>
          </w14:textFill>
        </w:rPr>
        <w:t>检验检查报告</w:t>
      </w:r>
      <w:bookmarkEnd w:id="224"/>
      <w:bookmarkEnd w:id="225"/>
    </w:p>
    <w:p>
      <w:pPr>
        <w:pStyle w:val="432"/>
        <w:widowControl/>
        <w:numPr>
          <w:ilvl w:val="0"/>
          <w:numId w:val="3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提供门诊检验报告查阅功能，对多次报告的可生成趋势图；</w:t>
      </w:r>
    </w:p>
    <w:p>
      <w:pPr>
        <w:pStyle w:val="432"/>
        <w:widowControl/>
        <w:numPr>
          <w:ilvl w:val="0"/>
          <w:numId w:val="3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提供门诊检查报告查阅功能，支持检查报告图片的调阅功能；</w:t>
      </w:r>
    </w:p>
    <w:p>
      <w:pPr>
        <w:pStyle w:val="432"/>
        <w:widowControl/>
        <w:numPr>
          <w:ilvl w:val="0"/>
          <w:numId w:val="3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提供检验报告、检查报告危急值的提醒功能，能够接收医技系统推送的危急值消息，支持以弹出框的方式进行提醒，需门诊医师确认并处理；记录危急值处置过程，实现危急值闭环管理；</w:t>
      </w:r>
    </w:p>
    <w:p>
      <w:pPr>
        <w:pStyle w:val="432"/>
        <w:widowControl/>
        <w:numPr>
          <w:ilvl w:val="0"/>
          <w:numId w:val="3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支持针对危急值的具体项目进行患者处置；</w:t>
      </w:r>
    </w:p>
    <w:p>
      <w:pPr>
        <w:pStyle w:val="432"/>
        <w:widowControl/>
        <w:numPr>
          <w:ilvl w:val="0"/>
          <w:numId w:val="3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提供按时间轴的方式展示就诊病人历次所有检验检查报告的功能。</w:t>
      </w:r>
    </w:p>
    <w:p>
      <w:pPr>
        <w:pStyle w:val="6"/>
        <w:spacing w:line="360" w:lineRule="auto"/>
        <w:ind w:firstLine="482"/>
        <w:rPr>
          <w:rFonts w:ascii="宋体" w:hAnsi="宋体" w:cs="宋体"/>
          <w:b/>
          <w:bCs/>
          <w:color w:val="000000" w:themeColor="text1"/>
          <w14:textFill>
            <w14:solidFill>
              <w14:schemeClr w14:val="tx1"/>
            </w14:solidFill>
          </w14:textFill>
        </w:rPr>
      </w:pPr>
      <w:bookmarkStart w:id="226" w:name="_Toc71663198"/>
      <w:bookmarkStart w:id="227" w:name="_Toc7656"/>
      <w:r>
        <w:rPr>
          <w:rFonts w:hint="eastAsia" w:ascii="宋体" w:hAnsi="宋体" w:cs="宋体"/>
          <w:b/>
          <w:bCs/>
          <w:color w:val="000000" w:themeColor="text1"/>
          <w14:textFill>
            <w14:solidFill>
              <w14:schemeClr w14:val="tx1"/>
            </w14:solidFill>
          </w14:textFill>
        </w:rPr>
        <w:t>个性化配置</w:t>
      </w:r>
      <w:bookmarkEnd w:id="226"/>
      <w:bookmarkEnd w:id="227"/>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提供个人个性化配置功能，用户可自定义设置病人选择、门诊病历、诊断页面的展示内容；</w:t>
      </w:r>
    </w:p>
    <w:p>
      <w:pPr>
        <w:pStyle w:val="6"/>
        <w:spacing w:line="360" w:lineRule="auto"/>
        <w:ind w:firstLine="482"/>
        <w:rPr>
          <w:rFonts w:ascii="宋体" w:hAnsi="宋体" w:cs="宋体"/>
          <w:b/>
          <w:bCs/>
          <w:color w:val="000000" w:themeColor="text1"/>
          <w14:textFill>
            <w14:solidFill>
              <w14:schemeClr w14:val="tx1"/>
            </w14:solidFill>
          </w14:textFill>
        </w:rPr>
      </w:pPr>
      <w:bookmarkStart w:id="228" w:name="_Toc71663199"/>
      <w:bookmarkStart w:id="229" w:name="_Toc1163"/>
      <w:r>
        <w:rPr>
          <w:rFonts w:hint="eastAsia" w:ascii="宋体" w:hAnsi="宋体" w:cs="宋体"/>
          <w:b/>
          <w:bCs/>
          <w:color w:val="000000" w:themeColor="text1"/>
          <w14:textFill>
            <w14:solidFill>
              <w14:schemeClr w14:val="tx1"/>
            </w14:solidFill>
          </w14:textFill>
        </w:rPr>
        <w:t>门诊转住院</w:t>
      </w:r>
      <w:bookmarkEnd w:id="228"/>
      <w:bookmarkEnd w:id="229"/>
    </w:p>
    <w:p>
      <w:pPr>
        <w:pStyle w:val="432"/>
        <w:numPr>
          <w:ilvl w:val="0"/>
          <w:numId w:val="3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提供门诊病人转住院功能，与住院预约系统对接，提供患者入院申请，并同步患者入院情况等信息；</w:t>
      </w:r>
    </w:p>
    <w:p>
      <w:pPr>
        <w:pStyle w:val="432"/>
        <w:numPr>
          <w:ilvl w:val="0"/>
          <w:numId w:val="3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提供门诊电子入院证的编辑和打印功能，住院申请单样式可根据医院要求进行设计。</w:t>
      </w:r>
    </w:p>
    <w:p>
      <w:pPr>
        <w:pStyle w:val="6"/>
        <w:spacing w:line="360" w:lineRule="auto"/>
        <w:ind w:firstLine="482"/>
        <w:rPr>
          <w:rFonts w:ascii="宋体" w:hAnsi="宋体" w:cs="宋体"/>
          <w:b/>
          <w:bCs/>
          <w:color w:val="000000" w:themeColor="text1"/>
          <w14:textFill>
            <w14:solidFill>
              <w14:schemeClr w14:val="tx1"/>
            </w14:solidFill>
          </w14:textFill>
        </w:rPr>
      </w:pPr>
      <w:bookmarkStart w:id="230" w:name="_Toc28990"/>
      <w:bookmarkStart w:id="231" w:name="_Toc71663200"/>
      <w:r>
        <w:rPr>
          <w:rFonts w:hint="eastAsia" w:ascii="宋体" w:hAnsi="宋体" w:cs="宋体"/>
          <w:b/>
          <w:bCs/>
          <w:color w:val="000000" w:themeColor="text1"/>
          <w14:textFill>
            <w14:solidFill>
              <w14:schemeClr w14:val="tx1"/>
            </w14:solidFill>
          </w14:textFill>
        </w:rPr>
        <w:t>诊间预约</w:t>
      </w:r>
      <w:bookmarkEnd w:id="230"/>
      <w:bookmarkEnd w:id="231"/>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支持与HIS系统进行对接，在门诊医生工作站中展示诊间预约按钮，实现诊间预约功能；支持与院内检查预约系统对接，在下达检查后能够选择预约时段，实现检查预约功能；</w:t>
      </w:r>
    </w:p>
    <w:p>
      <w:pPr>
        <w:pStyle w:val="5"/>
        <w:jc w:val="left"/>
        <w:rPr>
          <w:rFonts w:ascii="宋体" w:hAnsi="宋体" w:eastAsia="宋体" w:cs="宋体"/>
          <w:color w:val="000000" w:themeColor="text1"/>
          <w:sz w:val="24"/>
          <w:szCs w:val="24"/>
          <w14:textFill>
            <w14:solidFill>
              <w14:schemeClr w14:val="tx1"/>
            </w14:solidFill>
          </w14:textFill>
        </w:rPr>
      </w:pPr>
      <w:bookmarkStart w:id="232" w:name="_Toc71663201"/>
      <w:bookmarkStart w:id="233" w:name="_Toc3912"/>
      <w:r>
        <w:rPr>
          <w:rFonts w:hint="eastAsia" w:ascii="宋体" w:hAnsi="宋体" w:eastAsia="宋体" w:cs="宋体"/>
          <w:color w:val="000000" w:themeColor="text1"/>
          <w:sz w:val="24"/>
          <w:szCs w:val="24"/>
          <w14:textFill>
            <w14:solidFill>
              <w14:schemeClr w14:val="tx1"/>
            </w14:solidFill>
          </w14:textFill>
        </w:rPr>
        <w:t>门诊管理工作站</w:t>
      </w:r>
      <w:bookmarkEnd w:id="232"/>
      <w:bookmarkEnd w:id="233"/>
    </w:p>
    <w:p>
      <w:pPr>
        <w:pStyle w:val="6"/>
        <w:spacing w:line="360" w:lineRule="auto"/>
        <w:ind w:firstLine="482"/>
        <w:rPr>
          <w:rFonts w:ascii="宋体" w:hAnsi="宋体" w:cs="宋体"/>
          <w:b/>
          <w:bCs/>
          <w:color w:val="000000" w:themeColor="text1"/>
          <w14:textFill>
            <w14:solidFill>
              <w14:schemeClr w14:val="tx1"/>
            </w14:solidFill>
          </w14:textFill>
        </w:rPr>
      </w:pPr>
      <w:bookmarkStart w:id="234" w:name="_Toc71663202"/>
      <w:bookmarkStart w:id="235" w:name="_Toc28977"/>
      <w:r>
        <w:rPr>
          <w:rFonts w:hint="eastAsia" w:ascii="宋体" w:hAnsi="宋体" w:cs="宋体"/>
          <w:b/>
          <w:bCs/>
          <w:color w:val="000000" w:themeColor="text1"/>
          <w14:textFill>
            <w14:solidFill>
              <w14:schemeClr w14:val="tx1"/>
            </w14:solidFill>
          </w14:textFill>
        </w:rPr>
        <w:t>门诊质控</w:t>
      </w:r>
      <w:bookmarkEnd w:id="234"/>
      <w:bookmarkEnd w:id="235"/>
    </w:p>
    <w:p>
      <w:pPr>
        <w:pStyle w:val="432"/>
        <w:numPr>
          <w:ilvl w:val="0"/>
          <w:numId w:val="3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支持对门诊的流程进行控制，如必须先下达诊断再下达电子医嘱；</w:t>
      </w:r>
    </w:p>
    <w:p>
      <w:pPr>
        <w:pStyle w:val="432"/>
        <w:numPr>
          <w:ilvl w:val="0"/>
          <w:numId w:val="3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系统的病历自查功能支持对病历文档的完整性进行检查，填写不完整的病历不允许保存或进行下一步操作，系统会提醒医生继续完成填写；</w:t>
      </w:r>
    </w:p>
    <w:p>
      <w:pPr>
        <w:pStyle w:val="432"/>
        <w:numPr>
          <w:ilvl w:val="0"/>
          <w:numId w:val="3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支持通过设定，填写不完整的病历不允许进行打印；</w:t>
      </w:r>
    </w:p>
    <w:p>
      <w:pPr>
        <w:pStyle w:val="432"/>
        <w:numPr>
          <w:ilvl w:val="0"/>
          <w:numId w:val="3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提供针对门诊主诉、现病史、既往史、体格检查等节点的控制，如主诉少于4个字或者病史/现病史少于6个字则进行提醒并不允许保存；</w:t>
      </w:r>
    </w:p>
    <w:p>
      <w:pPr>
        <w:pStyle w:val="432"/>
        <w:numPr>
          <w:ilvl w:val="0"/>
          <w:numId w:val="38"/>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提供针对空白病历不允许保存的功能；</w:t>
      </w:r>
    </w:p>
    <w:p>
      <w:pPr>
        <w:pStyle w:val="432"/>
        <w:numPr>
          <w:ilvl w:val="0"/>
          <w:numId w:val="38"/>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提供主诉、现病史专项检查缺陷统计报表；</w:t>
      </w:r>
    </w:p>
    <w:p>
      <w:pPr>
        <w:pStyle w:val="432"/>
        <w:numPr>
          <w:ilvl w:val="0"/>
          <w:numId w:val="38"/>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支持诊断控制信息维护及控制级别维护。</w:t>
      </w:r>
    </w:p>
    <w:p>
      <w:pPr>
        <w:pStyle w:val="6"/>
        <w:spacing w:line="360" w:lineRule="auto"/>
        <w:ind w:firstLine="482"/>
        <w:rPr>
          <w:rFonts w:ascii="宋体" w:hAnsi="宋体" w:cs="宋体"/>
          <w:b/>
          <w:bCs/>
          <w:color w:val="000000" w:themeColor="text1"/>
          <w14:textFill>
            <w14:solidFill>
              <w14:schemeClr w14:val="tx1"/>
            </w14:solidFill>
          </w14:textFill>
        </w:rPr>
      </w:pPr>
      <w:bookmarkStart w:id="236" w:name="_Toc71663203"/>
      <w:bookmarkStart w:id="237" w:name="_Toc27003"/>
      <w:r>
        <w:rPr>
          <w:rFonts w:hint="eastAsia" w:ascii="宋体" w:hAnsi="宋体" w:cs="宋体"/>
          <w:b/>
          <w:bCs/>
          <w:color w:val="000000" w:themeColor="text1"/>
          <w14:textFill>
            <w14:solidFill>
              <w14:schemeClr w14:val="tx1"/>
            </w14:solidFill>
          </w14:textFill>
        </w:rPr>
        <w:t>门诊审核</w:t>
      </w:r>
      <w:bookmarkEnd w:id="236"/>
      <w:bookmarkEnd w:id="237"/>
    </w:p>
    <w:p>
      <w:pPr>
        <w:pStyle w:val="432"/>
        <w:numPr>
          <w:ilvl w:val="0"/>
          <w:numId w:val="3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提供科室上报疾病的审核功能；</w:t>
      </w:r>
    </w:p>
    <w:p>
      <w:pPr>
        <w:pStyle w:val="432"/>
        <w:numPr>
          <w:ilvl w:val="0"/>
          <w:numId w:val="3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提供科室上报疾病的查询统计功能。</w:t>
      </w:r>
    </w:p>
    <w:p>
      <w:pPr>
        <w:pStyle w:val="6"/>
        <w:spacing w:line="360" w:lineRule="auto"/>
        <w:ind w:firstLine="482"/>
        <w:rPr>
          <w:rFonts w:ascii="宋体" w:hAnsi="宋体" w:cs="宋体"/>
          <w:b/>
          <w:bCs/>
          <w:color w:val="000000" w:themeColor="text1"/>
          <w14:textFill>
            <w14:solidFill>
              <w14:schemeClr w14:val="tx1"/>
            </w14:solidFill>
          </w14:textFill>
        </w:rPr>
      </w:pPr>
      <w:bookmarkStart w:id="238" w:name="_Toc20464"/>
      <w:bookmarkStart w:id="239" w:name="_Toc71663204"/>
      <w:r>
        <w:rPr>
          <w:rFonts w:hint="eastAsia" w:ascii="宋体" w:hAnsi="宋体" w:cs="宋体"/>
          <w:b/>
          <w:bCs/>
          <w:color w:val="000000" w:themeColor="text1"/>
          <w14:textFill>
            <w14:solidFill>
              <w14:schemeClr w14:val="tx1"/>
            </w14:solidFill>
          </w14:textFill>
        </w:rPr>
        <w:t>药品控制信息</w:t>
      </w:r>
      <w:bookmarkEnd w:id="238"/>
      <w:bookmarkEnd w:id="239"/>
    </w:p>
    <w:p>
      <w:pPr>
        <w:pStyle w:val="432"/>
        <w:numPr>
          <w:ilvl w:val="0"/>
          <w:numId w:val="4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提供药品控制信息维护功能，支持对药品的控制类型进行维护，包括：一天限量、控制天数、控制总量、单处方限量、单位限用；</w:t>
      </w:r>
    </w:p>
    <w:p>
      <w:pPr>
        <w:pStyle w:val="432"/>
        <w:numPr>
          <w:ilvl w:val="0"/>
          <w:numId w:val="4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支持根据药品类型分类维护，分西药、中成药、草药；</w:t>
      </w:r>
    </w:p>
    <w:p>
      <w:pPr>
        <w:pStyle w:val="432"/>
        <w:numPr>
          <w:ilvl w:val="0"/>
          <w:numId w:val="4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支持区分医保类型对药品进行控制。</w:t>
      </w:r>
    </w:p>
    <w:p>
      <w:pPr>
        <w:pStyle w:val="6"/>
        <w:spacing w:line="360" w:lineRule="auto"/>
        <w:ind w:firstLine="482"/>
        <w:rPr>
          <w:rFonts w:ascii="宋体" w:hAnsi="宋体" w:cs="宋体"/>
          <w:b/>
          <w:bCs/>
          <w:color w:val="000000" w:themeColor="text1"/>
          <w14:textFill>
            <w14:solidFill>
              <w14:schemeClr w14:val="tx1"/>
            </w14:solidFill>
          </w14:textFill>
        </w:rPr>
      </w:pPr>
      <w:bookmarkStart w:id="240" w:name="_Toc9232"/>
      <w:bookmarkStart w:id="241" w:name="_Toc71663205"/>
      <w:r>
        <w:rPr>
          <w:rFonts w:hint="eastAsia" w:ascii="宋体" w:hAnsi="宋体" w:cs="宋体"/>
          <w:b/>
          <w:bCs/>
          <w:color w:val="000000" w:themeColor="text1"/>
          <w14:textFill>
            <w14:solidFill>
              <w14:schemeClr w14:val="tx1"/>
            </w14:solidFill>
          </w14:textFill>
        </w:rPr>
        <w:t>统计查询</w:t>
      </w:r>
      <w:bookmarkEnd w:id="240"/>
      <w:bookmarkEnd w:id="241"/>
    </w:p>
    <w:p>
      <w:pPr>
        <w:pStyle w:val="432"/>
        <w:numPr>
          <w:ilvl w:val="0"/>
          <w:numId w:val="41"/>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提供主诉、现病史等专项检查缺陷统计报表；</w:t>
      </w:r>
    </w:p>
    <w:p>
      <w:pPr>
        <w:pStyle w:val="432"/>
        <w:numPr>
          <w:ilvl w:val="0"/>
          <w:numId w:val="41"/>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提供门诊科室工作量查询功能，包括就诊人数统计、就诊总量统计；</w:t>
      </w:r>
    </w:p>
    <w:p>
      <w:pPr>
        <w:pStyle w:val="432"/>
        <w:numPr>
          <w:ilvl w:val="0"/>
          <w:numId w:val="41"/>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提供门诊打印工作量统计查询功能，可按照日、月或年查询打印的次数以及总量。</w:t>
      </w:r>
    </w:p>
    <w:p>
      <w:pPr>
        <w:pStyle w:val="432"/>
        <w:numPr>
          <w:ilvl w:val="0"/>
          <w:numId w:val="41"/>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提供门诊病历书写情况统计功能，可查询门诊医生总书写病历数量以及打印份数；</w:t>
      </w:r>
    </w:p>
    <w:p>
      <w:pPr>
        <w:pStyle w:val="432"/>
        <w:numPr>
          <w:ilvl w:val="0"/>
          <w:numId w:val="41"/>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提供门诊医生考勤统计查询功能，可按照日期查询各科室所有医生的开诊时间；</w:t>
      </w:r>
    </w:p>
    <w:p>
      <w:pPr>
        <w:pStyle w:val="432"/>
        <w:numPr>
          <w:ilvl w:val="0"/>
          <w:numId w:val="41"/>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提供门诊实时概况查询功能，可按照日、月或年查询各科室医生的挂号人数、未就诊人数、就诊中人数、已结束就诊人数、退号人数；</w:t>
      </w:r>
    </w:p>
    <w:p>
      <w:pPr>
        <w:pStyle w:val="432"/>
        <w:numPr>
          <w:ilvl w:val="0"/>
          <w:numId w:val="41"/>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提供门诊办统计报表功能，可查询全院所有科室的挂号人数、完成挂号人数、就诊百分比、病历完成数、病历完成百分比、转诊就诊数；</w:t>
      </w:r>
    </w:p>
    <w:p>
      <w:pPr>
        <w:pStyle w:val="432"/>
        <w:numPr>
          <w:ilvl w:val="0"/>
          <w:numId w:val="41"/>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提供科室上报疾病的查询统计功能。</w:t>
      </w:r>
    </w:p>
    <w:p>
      <w:pPr>
        <w:numPr>
          <w:ilvl w:val="0"/>
          <w:numId w:val="4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提供门诊检验检查危急值统计查询功能。</w:t>
      </w:r>
    </w:p>
    <w:p>
      <w:pPr>
        <w:numPr>
          <w:ilvl w:val="0"/>
          <w:numId w:val="4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提供门诊总量统计功能，支持同比、环比分析；</w:t>
      </w:r>
    </w:p>
    <w:p>
      <w:pPr>
        <w:numPr>
          <w:ilvl w:val="0"/>
          <w:numId w:val="4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提供平均门诊量统计功能，支持同比、环比分析；</w:t>
      </w:r>
    </w:p>
    <w:p>
      <w:pPr>
        <w:numPr>
          <w:ilvl w:val="0"/>
          <w:numId w:val="4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提供门诊收入统计功能，支持同比、环比分析；</w:t>
      </w:r>
    </w:p>
    <w:p>
      <w:pPr>
        <w:numPr>
          <w:ilvl w:val="0"/>
          <w:numId w:val="41"/>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提供科室门诊量统计功能，支持展示门诊量前10位、后10位、环比增长科室、环比下降科室；</w:t>
      </w:r>
    </w:p>
    <w:p>
      <w:pPr>
        <w:numPr>
          <w:ilvl w:val="0"/>
          <w:numId w:val="4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提供医生门诊量TOP5统计功能；</w:t>
      </w:r>
    </w:p>
    <w:p>
      <w:pPr>
        <w:numPr>
          <w:ilvl w:val="0"/>
          <w:numId w:val="4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提供诊断TOP5统计功能；</w:t>
      </w:r>
    </w:p>
    <w:p>
      <w:pPr>
        <w:pStyle w:val="4"/>
        <w:spacing w:line="360" w:lineRule="auto"/>
        <w:jc w:val="left"/>
        <w:rPr>
          <w:rFonts w:ascii="宋体" w:hAnsi="宋体" w:cs="宋体"/>
          <w:b/>
          <w:bCs/>
          <w:color w:val="000000" w:themeColor="text1"/>
          <w:sz w:val="24"/>
          <w:szCs w:val="24"/>
          <w14:textFill>
            <w14:solidFill>
              <w14:schemeClr w14:val="tx1"/>
            </w14:solidFill>
          </w14:textFill>
        </w:rPr>
      </w:pPr>
      <w:bookmarkStart w:id="242" w:name="_Toc71663206"/>
      <w:r>
        <w:rPr>
          <w:rFonts w:hint="eastAsia" w:ascii="宋体" w:hAnsi="宋体" w:cs="宋体"/>
          <w:b/>
          <w:bCs/>
          <w:color w:val="000000" w:themeColor="text1"/>
          <w:sz w:val="24"/>
          <w:szCs w:val="24"/>
          <w14:textFill>
            <w14:solidFill>
              <w14:schemeClr w14:val="tx1"/>
            </w14:solidFill>
          </w14:textFill>
        </w:rPr>
        <w:t>住院一体化诊疗平台</w:t>
      </w:r>
      <w:bookmarkEnd w:id="242"/>
    </w:p>
    <w:p>
      <w:pPr>
        <w:pStyle w:val="5"/>
        <w:jc w:val="left"/>
        <w:rPr>
          <w:rFonts w:ascii="宋体" w:hAnsi="宋体" w:eastAsia="宋体" w:cs="宋体"/>
          <w:color w:val="000000" w:themeColor="text1"/>
          <w:sz w:val="24"/>
          <w:szCs w:val="24"/>
          <w14:textFill>
            <w14:solidFill>
              <w14:schemeClr w14:val="tx1"/>
            </w14:solidFill>
          </w14:textFill>
        </w:rPr>
      </w:pPr>
      <w:bookmarkStart w:id="243" w:name="_Toc71663207"/>
      <w:r>
        <w:rPr>
          <w:rFonts w:hint="eastAsia" w:ascii="宋体" w:hAnsi="宋体" w:eastAsia="宋体" w:cs="宋体"/>
          <w:color w:val="000000" w:themeColor="text1"/>
          <w:sz w:val="24"/>
          <w:szCs w:val="24"/>
          <w14:textFill>
            <w14:solidFill>
              <w14:schemeClr w14:val="tx1"/>
            </w14:solidFill>
          </w14:textFill>
        </w:rPr>
        <w:t>住院电子病历系统</w:t>
      </w:r>
      <w:bookmarkEnd w:id="243"/>
    </w:p>
    <w:p>
      <w:pPr>
        <w:pStyle w:val="6"/>
        <w:spacing w:line="360" w:lineRule="auto"/>
        <w:ind w:firstLine="0" w:firstLineChars="0"/>
        <w:rPr>
          <w:rFonts w:ascii="宋体" w:hAnsi="宋体" w:cs="宋体"/>
          <w:b/>
          <w:bCs/>
          <w:color w:val="000000" w:themeColor="text1"/>
          <w14:textFill>
            <w14:solidFill>
              <w14:schemeClr w14:val="tx1"/>
            </w14:solidFill>
          </w14:textFill>
        </w:rPr>
      </w:pPr>
      <w:bookmarkStart w:id="244" w:name="_Toc71663208"/>
      <w:r>
        <w:rPr>
          <w:rFonts w:hint="eastAsia" w:ascii="宋体" w:hAnsi="宋体" w:cs="宋体"/>
          <w:b/>
          <w:bCs/>
          <w:color w:val="000000" w:themeColor="text1"/>
          <w14:textFill>
            <w14:solidFill>
              <w14:schemeClr w14:val="tx1"/>
            </w14:solidFill>
          </w14:textFill>
        </w:rPr>
        <w:t>建立门诊、住院一体化联动机制</w:t>
      </w:r>
      <w:bookmarkEnd w:id="244"/>
    </w:p>
    <w:p>
      <w:pPr>
        <w:pStyle w:val="432"/>
        <w:numPr>
          <w:ilvl w:val="0"/>
          <w:numId w:val="42"/>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通过住院电子病历的建设，和门诊系统重构，实现住院、门诊诊疗业务共库。</w:t>
      </w:r>
    </w:p>
    <w:p>
      <w:pPr>
        <w:pStyle w:val="432"/>
        <w:numPr>
          <w:ilvl w:val="0"/>
          <w:numId w:val="42"/>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实现门诊、住院电子病历系统的基础字典、科室字典、人员字典等统一管理。</w:t>
      </w:r>
    </w:p>
    <w:p>
      <w:pPr>
        <w:pStyle w:val="432"/>
        <w:numPr>
          <w:ilvl w:val="0"/>
          <w:numId w:val="42"/>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打通门诊和住院之间的诊疗业务，建立一体化的诊疗业务流程，实现患者诊疗的的可及性和连续性。</w:t>
      </w:r>
    </w:p>
    <w:p>
      <w:pPr>
        <w:pStyle w:val="432"/>
        <w:numPr>
          <w:ilvl w:val="0"/>
          <w:numId w:val="42"/>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支持住院和门诊相互发送会诊申请和会诊报告，住院科室医生可发送会诊申请到门诊科室，然后对应门诊科室医生登陆门诊系统进行会诊并将会诊报告提交到住院系统供住院医师查看。</w:t>
      </w:r>
    </w:p>
    <w:p>
      <w:pPr>
        <w:pStyle w:val="432"/>
        <w:numPr>
          <w:ilvl w:val="0"/>
          <w:numId w:val="42"/>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支持住院和门诊之间患者病历资料的相互调阅和导入功能应用。</w:t>
      </w:r>
    </w:p>
    <w:p>
      <w:pPr>
        <w:pStyle w:val="432"/>
        <w:numPr>
          <w:ilvl w:val="0"/>
          <w:numId w:val="42"/>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支持住院和门诊的检验检查报告相互调阅和导入功能应用。</w:t>
      </w:r>
    </w:p>
    <w:p>
      <w:pPr>
        <w:pStyle w:val="6"/>
        <w:spacing w:line="360" w:lineRule="auto"/>
        <w:ind w:firstLine="0" w:firstLineChars="0"/>
        <w:rPr>
          <w:rFonts w:ascii="宋体" w:hAnsi="宋体" w:cs="宋体"/>
          <w:b/>
          <w:bCs/>
          <w:color w:val="000000" w:themeColor="text1"/>
          <w14:textFill>
            <w14:solidFill>
              <w14:schemeClr w14:val="tx1"/>
            </w14:solidFill>
          </w14:textFill>
        </w:rPr>
      </w:pPr>
      <w:bookmarkStart w:id="245" w:name="_Toc71663209"/>
      <w:r>
        <w:rPr>
          <w:rFonts w:hint="eastAsia" w:ascii="宋体" w:hAnsi="宋体" w:cs="宋体"/>
          <w:b/>
          <w:bCs/>
          <w:color w:val="000000" w:themeColor="text1"/>
          <w14:textFill>
            <w14:solidFill>
              <w14:schemeClr w14:val="tx1"/>
            </w14:solidFill>
          </w14:textFill>
        </w:rPr>
        <w:t>建立病历、医嘱一体化联动机制</w:t>
      </w:r>
      <w:bookmarkEnd w:id="245"/>
    </w:p>
    <w:p>
      <w:pPr>
        <w:pStyle w:val="432"/>
        <w:numPr>
          <w:ilvl w:val="0"/>
          <w:numId w:val="43"/>
        </w:numPr>
        <w:snapToGrid w:val="0"/>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需通过住院电子病历的建设，和电子医嘱系统重构，实现病历医嘱一体化联动。</w:t>
      </w:r>
    </w:p>
    <w:p>
      <w:pPr>
        <w:pStyle w:val="432"/>
        <w:numPr>
          <w:ilvl w:val="0"/>
          <w:numId w:val="43"/>
        </w:numPr>
        <w:snapToGrid w:val="0"/>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医生下达医嘱时，系统能够参考病人的过敏史、诊断等信息，对医生的用药作出提示。</w:t>
      </w:r>
    </w:p>
    <w:p>
      <w:pPr>
        <w:pStyle w:val="432"/>
        <w:numPr>
          <w:ilvl w:val="0"/>
          <w:numId w:val="43"/>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医生书写病历时，能够同屏查看患者已下达的医嘱，并能够实现一键引用。同时，医生在下达医嘱时，能够同屏查看患者病历资料。</w:t>
      </w:r>
    </w:p>
    <w:p>
      <w:pPr>
        <w:pStyle w:val="432"/>
        <w:numPr>
          <w:ilvl w:val="0"/>
          <w:numId w:val="43"/>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提供病历和医嘱联动的功能应用，支持根据医生提交的电子申请，系统自动生成相应的电子医嘱功能</w:t>
      </w:r>
      <w:r>
        <w:rPr>
          <w:rFonts w:hint="eastAsia" w:ascii="宋体" w:hAnsi="宋体" w:cs="宋体"/>
          <w:bCs/>
          <w:color w:val="000000" w:themeColor="text1"/>
          <w:sz w:val="24"/>
          <w14:textFill>
            <w14:solidFill>
              <w14:schemeClr w14:val="tx1"/>
            </w14:solidFill>
          </w14:textFill>
        </w:rPr>
        <w:t>（投标人须提供系统的功能截图并详细说明）</w:t>
      </w:r>
      <w:r>
        <w:rPr>
          <w:rFonts w:hint="eastAsia" w:ascii="宋体" w:hAnsi="宋体" w:cs="宋体"/>
          <w:color w:val="000000" w:themeColor="text1"/>
          <w:sz w:val="24"/>
          <w14:textFill>
            <w14:solidFill>
              <w14:schemeClr w14:val="tx1"/>
            </w14:solidFill>
          </w14:textFill>
        </w:rPr>
        <w:t>：</w:t>
      </w:r>
    </w:p>
    <w:p>
      <w:pPr>
        <w:pStyle w:val="432"/>
        <w:numPr>
          <w:ilvl w:val="0"/>
          <w:numId w:val="44"/>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医生提交会诊申请后，系统能够自动生成会诊医嘱。</w:t>
      </w:r>
    </w:p>
    <w:p>
      <w:pPr>
        <w:pStyle w:val="432"/>
        <w:numPr>
          <w:ilvl w:val="0"/>
          <w:numId w:val="44"/>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医生提交手术申请后，系统能够自动生成手术医嘱。</w:t>
      </w:r>
    </w:p>
    <w:p>
      <w:pPr>
        <w:pStyle w:val="432"/>
        <w:numPr>
          <w:ilvl w:val="0"/>
          <w:numId w:val="44"/>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医生提交输血申请后，系统能够自动生成输血医嘱。</w:t>
      </w:r>
    </w:p>
    <w:p>
      <w:pPr>
        <w:pStyle w:val="432"/>
        <w:numPr>
          <w:ilvl w:val="0"/>
          <w:numId w:val="43"/>
        </w:numPr>
        <w:snapToGrid w:val="0"/>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支持检查申请单填写时自动同步病人书写过的病历及诊断内容；</w:t>
      </w:r>
    </w:p>
    <w:p>
      <w:pPr>
        <w:pStyle w:val="432"/>
        <w:numPr>
          <w:ilvl w:val="0"/>
          <w:numId w:val="43"/>
        </w:numPr>
        <w:snapToGrid w:val="0"/>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支持医生医嘱下达后自动同步到医生的诊疗计划页面中；</w:t>
      </w:r>
    </w:p>
    <w:p>
      <w:pPr>
        <w:pStyle w:val="432"/>
        <w:numPr>
          <w:ilvl w:val="0"/>
          <w:numId w:val="43"/>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提供医嘱驱动任务的配置工具，支持不同的医嘱下达时对应不同的病历书写任务生成。</w:t>
      </w:r>
    </w:p>
    <w:p>
      <w:pPr>
        <w:pStyle w:val="432"/>
        <w:numPr>
          <w:ilvl w:val="0"/>
          <w:numId w:val="43"/>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医嘱驱动诊疗任务功能，支持医嘱下达时关联治疗、输血等病历流程质控功能，支持配置各种诊疗事件或病历书写事件间的关联关系，并自动驱动关联诊疗事件的任务，如下达特定医嘱和相关病历书写之间的关系。</w:t>
      </w:r>
    </w:p>
    <w:p>
      <w:pPr>
        <w:pStyle w:val="432"/>
        <w:numPr>
          <w:ilvl w:val="0"/>
          <w:numId w:val="43"/>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提供病历驱动医嘱功能，支持在进行特定治疗申请文书编写时，自动检查驱动完成相关联医嘱，能够实现如提交输血申请时，驱动医生完成输血前的检验项目。</w:t>
      </w:r>
    </w:p>
    <w:p>
      <w:pPr>
        <w:pStyle w:val="432"/>
        <w:numPr>
          <w:ilvl w:val="0"/>
          <w:numId w:val="43"/>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支持将入院诊断设置为入院医嘱的前置条件，没有入院诊断的患者不允许下达入院医嘱；</w:t>
      </w:r>
    </w:p>
    <w:p>
      <w:pPr>
        <w:pStyle w:val="432"/>
        <w:numPr>
          <w:ilvl w:val="0"/>
          <w:numId w:val="43"/>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支持将出院诊断设置为出院医嘱的前置条件，没有出院诊断的患者不允许下达出院医嘱；</w:t>
      </w:r>
    </w:p>
    <w:p>
      <w:pPr>
        <w:pStyle w:val="432"/>
        <w:numPr>
          <w:ilvl w:val="0"/>
          <w:numId w:val="43"/>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支持将死亡诊断设置为死亡医嘱的前置条件，没有死亡诊断的患者不允许下达死亡医嘱；</w:t>
      </w:r>
    </w:p>
    <w:p>
      <w:pPr>
        <w:pStyle w:val="432"/>
        <w:numPr>
          <w:ilvl w:val="0"/>
          <w:numId w:val="43"/>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支持在下达检查医嘱时，对检查申请单的内容完整性、合理性、逻辑性进行自动审核效验，并给出提示信息；支持执行医嘱费用绑定，实现护理执行医嘱时自动计费或者自动滚动计费。</w:t>
      </w:r>
    </w:p>
    <w:p>
      <w:pPr>
        <w:pStyle w:val="5"/>
        <w:jc w:val="left"/>
        <w:rPr>
          <w:rFonts w:ascii="宋体" w:hAnsi="宋体" w:eastAsia="宋体" w:cs="宋体"/>
          <w:color w:val="000000" w:themeColor="text1"/>
          <w:sz w:val="24"/>
          <w:szCs w:val="24"/>
          <w14:textFill>
            <w14:solidFill>
              <w14:schemeClr w14:val="tx1"/>
            </w14:solidFill>
          </w14:textFill>
        </w:rPr>
      </w:pPr>
      <w:bookmarkStart w:id="246" w:name="_Toc71663210"/>
      <w:r>
        <w:rPr>
          <w:rFonts w:hint="eastAsia" w:ascii="宋体" w:hAnsi="宋体" w:eastAsia="宋体" w:cs="宋体"/>
          <w:color w:val="000000" w:themeColor="text1"/>
          <w:sz w:val="24"/>
          <w:szCs w:val="24"/>
          <w14:textFill>
            <w14:solidFill>
              <w14:schemeClr w14:val="tx1"/>
            </w14:solidFill>
          </w14:textFill>
        </w:rPr>
        <w:t>建立病历、医嘱、临床路径一体化联动机制</w:t>
      </w:r>
      <w:bookmarkEnd w:id="246"/>
    </w:p>
    <w:p>
      <w:pPr>
        <w:pStyle w:val="432"/>
        <w:numPr>
          <w:ilvl w:val="0"/>
          <w:numId w:val="45"/>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通过住院电子病历系统的建设，实现与电子医嘱系统及临床路径系统的无缝整合，实现主要诊疗工作、长期/临时医嘱的统一查看。</w:t>
      </w:r>
    </w:p>
    <w:p>
      <w:pPr>
        <w:pStyle w:val="432"/>
        <w:numPr>
          <w:ilvl w:val="0"/>
          <w:numId w:val="45"/>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支持将诊疗工作纳入到临床路径的阶段内容中，进行阶段内容配置。</w:t>
      </w:r>
    </w:p>
    <w:p>
      <w:pPr>
        <w:pStyle w:val="432"/>
        <w:numPr>
          <w:ilvl w:val="0"/>
          <w:numId w:val="45"/>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医生在给病人下达完诊断后，系统将其中第一条诊断的ICD编码，与现有系统中所有路径的入组诊断编码进行对照，有满足的时候，提示医生，现有某某路径（可以是多个）满足病人的诊断，是否将病人加入路径。</w:t>
      </w:r>
    </w:p>
    <w:p>
      <w:pPr>
        <w:pStyle w:val="432"/>
        <w:numPr>
          <w:ilvl w:val="0"/>
          <w:numId w:val="45"/>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支持病历文书和临床路径执行项目进行关联，以实现路径执行时根据已完成的病历文书自动打钩。</w:t>
      </w:r>
    </w:p>
    <w:p>
      <w:pPr>
        <w:pStyle w:val="432"/>
        <w:numPr>
          <w:ilvl w:val="0"/>
          <w:numId w:val="45"/>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支持定义好的路径将在电子病历系统中进行展示，可查看路径对应角色下维护的阶段项目执行情况。</w:t>
      </w:r>
    </w:p>
    <w:p>
      <w:pPr>
        <w:pStyle w:val="6"/>
        <w:spacing w:line="360" w:lineRule="auto"/>
        <w:ind w:firstLine="0" w:firstLineChars="0"/>
        <w:rPr>
          <w:rFonts w:ascii="宋体" w:hAnsi="宋体" w:cs="宋体"/>
          <w:b/>
          <w:bCs/>
          <w:color w:val="000000" w:themeColor="text1"/>
          <w14:textFill>
            <w14:solidFill>
              <w14:schemeClr w14:val="tx1"/>
            </w14:solidFill>
          </w14:textFill>
        </w:rPr>
      </w:pPr>
      <w:bookmarkStart w:id="247" w:name="_Toc71663211"/>
      <w:bookmarkStart w:id="248" w:name="_Toc55765276"/>
      <w:r>
        <w:rPr>
          <w:rFonts w:hint="eastAsia" w:ascii="宋体" w:hAnsi="宋体" w:cs="宋体"/>
          <w:b/>
          <w:bCs/>
          <w:color w:val="000000" w:themeColor="text1"/>
          <w14:textFill>
            <w14:solidFill>
              <w14:schemeClr w14:val="tx1"/>
            </w14:solidFill>
          </w14:textFill>
        </w:rPr>
        <w:t>基础工具要求</w:t>
      </w:r>
      <w:bookmarkEnd w:id="247"/>
      <w:bookmarkEnd w:id="248"/>
    </w:p>
    <w:p>
      <w:pPr>
        <w:pStyle w:val="7"/>
        <w:tabs>
          <w:tab w:val="left" w:pos="0"/>
        </w:tabs>
        <w:spacing w:line="360" w:lineRule="auto"/>
        <w:ind w:left="851" w:hanging="851"/>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一体化模板工具</w:t>
      </w:r>
    </w:p>
    <w:p>
      <w:pPr>
        <w:numPr>
          <w:ilvl w:val="0"/>
          <w:numId w:val="4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支持提供所见即所得的结构化病历模板编辑界面，要求界面友好，方便操作；</w:t>
      </w:r>
    </w:p>
    <w:p>
      <w:pPr>
        <w:numPr>
          <w:ilvl w:val="0"/>
          <w:numId w:val="4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支持病历模板的导入导出功能，方便备份及引用，其中单份模板不仅支持导出xml格式也支持导出word格式及pdf格式；</w:t>
      </w:r>
    </w:p>
    <w:p>
      <w:pPr>
        <w:numPr>
          <w:ilvl w:val="0"/>
          <w:numId w:val="4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支持对用户分配权限进行模板工具的访问，实现模板库的统一管理；</w:t>
      </w:r>
    </w:p>
    <w:p>
      <w:pPr>
        <w:numPr>
          <w:ilvl w:val="0"/>
          <w:numId w:val="4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支持通过拼音或汉字在模板工具中模糊检索查询所需模板；</w:t>
      </w:r>
    </w:p>
    <w:p>
      <w:pPr>
        <w:numPr>
          <w:ilvl w:val="0"/>
          <w:numId w:val="4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已经制作完成的模板提供设计模式和编辑模式进行查阅，不同的模式下可对模板进行不同的操作；</w:t>
      </w:r>
    </w:p>
    <w:p>
      <w:pPr>
        <w:numPr>
          <w:ilvl w:val="0"/>
          <w:numId w:val="4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提供对公用模板的加载功能，使得全院模板能公用页眉等基础模板，以便于模板修改时省时省力；</w:t>
      </w:r>
    </w:p>
    <w:p>
      <w:pPr>
        <w:numPr>
          <w:ilvl w:val="0"/>
          <w:numId w:val="4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通过结构化病历模板应用，支持根据用户选择的结构化内容自动展示出对应的需要继续描述的内容；</w:t>
      </w:r>
    </w:p>
    <w:p>
      <w:pPr>
        <w:numPr>
          <w:ilvl w:val="0"/>
          <w:numId w:val="4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支持病历模板中自动带出病人基本信息，且实现模板的“一处录入，多处共享”功能；</w:t>
      </w:r>
    </w:p>
    <w:p>
      <w:pPr>
        <w:numPr>
          <w:ilvl w:val="0"/>
          <w:numId w:val="4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提供脚本编辑功能，支持模板中特殊算法的处理，如总分自动计算；</w:t>
      </w:r>
    </w:p>
    <w:p>
      <w:pPr>
        <w:numPr>
          <w:ilvl w:val="0"/>
          <w:numId w:val="46"/>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提供病种模板制作功能，支持临床病种模板引用操作；</w:t>
      </w:r>
    </w:p>
    <w:p>
      <w:pPr>
        <w:numPr>
          <w:ilvl w:val="0"/>
          <w:numId w:val="46"/>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提供结构化模板的必填设置操作；</w:t>
      </w:r>
    </w:p>
    <w:p>
      <w:pPr>
        <w:pStyle w:val="7"/>
        <w:tabs>
          <w:tab w:val="left" w:pos="0"/>
        </w:tabs>
        <w:spacing w:line="360" w:lineRule="auto"/>
        <w:ind w:left="851" w:hanging="851"/>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打印工具</w:t>
      </w:r>
    </w:p>
    <w:p>
      <w:pPr>
        <w:numPr>
          <w:ilvl w:val="0"/>
          <w:numId w:val="4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支持体温单、医嘱单、处方单、一般护理记录单、特殊护理记录单等单独的制作，方便修改与配置；</w:t>
      </w:r>
    </w:p>
    <w:p>
      <w:pPr>
        <w:numPr>
          <w:ilvl w:val="0"/>
          <w:numId w:val="47"/>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支持病人腕带的特殊制作，实现在腕带中自动生成二维码或条形码；</w:t>
      </w:r>
    </w:p>
    <w:p>
      <w:pPr>
        <w:numPr>
          <w:ilvl w:val="0"/>
          <w:numId w:val="47"/>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支持医嘱瓶签的特殊制作，支持在瓶签上自动生成患者医嘱条形码或二维码；</w:t>
      </w:r>
    </w:p>
    <w:p>
      <w:pPr>
        <w:numPr>
          <w:ilvl w:val="0"/>
          <w:numId w:val="47"/>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支持对用户分配权限进行模板工具的访问，实现模板库的统一管理；</w:t>
      </w:r>
    </w:p>
    <w:p>
      <w:pPr>
        <w:numPr>
          <w:ilvl w:val="0"/>
          <w:numId w:val="47"/>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提供脚本编辑功能，支持模板控件对特殊算法的智能处理；</w:t>
      </w:r>
    </w:p>
    <w:p>
      <w:pPr>
        <w:numPr>
          <w:ilvl w:val="0"/>
          <w:numId w:val="47"/>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支持在病历科室一栏中实现对患者转科前和转科后的科室名称记录；</w:t>
      </w:r>
    </w:p>
    <w:p>
      <w:pPr>
        <w:numPr>
          <w:ilvl w:val="0"/>
          <w:numId w:val="47"/>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可以根据特殊医嘱类型，如转科医嘱，自动在模板中进行特殊标识；</w:t>
      </w:r>
    </w:p>
    <w:p>
      <w:pPr>
        <w:numPr>
          <w:ilvl w:val="0"/>
          <w:numId w:val="47"/>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提供根据相同信息内容控制是否需重复显示功能，如姓名、床号；</w:t>
      </w:r>
    </w:p>
    <w:p>
      <w:pPr>
        <w:numPr>
          <w:ilvl w:val="0"/>
          <w:numId w:val="47"/>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支持根据相同信息内容控制是否在同一页显示；</w:t>
      </w:r>
    </w:p>
    <w:p>
      <w:pPr>
        <w:numPr>
          <w:ilvl w:val="0"/>
          <w:numId w:val="4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支持提供快捷方式对模板内容进行排版，支持模板内容修改后不影响系统已经填写好的数据；</w:t>
      </w:r>
    </w:p>
    <w:p>
      <w:pPr>
        <w:numPr>
          <w:ilvl w:val="0"/>
          <w:numId w:val="47"/>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支持对模板中控件的数据源的自由定义，支持各种SQL语句查询并转换；</w:t>
      </w:r>
    </w:p>
    <w:p>
      <w:pPr>
        <w:numPr>
          <w:ilvl w:val="0"/>
          <w:numId w:val="47"/>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支持整体打印、续打及套打功能；</w:t>
      </w:r>
    </w:p>
    <w:p>
      <w:pPr>
        <w:pStyle w:val="7"/>
        <w:tabs>
          <w:tab w:val="left" w:pos="0"/>
        </w:tabs>
        <w:spacing w:line="360" w:lineRule="auto"/>
        <w:ind w:left="851" w:hanging="851"/>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报表工具</w:t>
      </w:r>
    </w:p>
    <w:p>
      <w:pPr>
        <w:numPr>
          <w:ilvl w:val="0"/>
          <w:numId w:val="4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提供报表设计工具功能，能够在线制作系统中统计报表格式；</w:t>
      </w:r>
    </w:p>
    <w:p>
      <w:pPr>
        <w:numPr>
          <w:ilvl w:val="0"/>
          <w:numId w:val="4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具备数据库连接功能，能够将所需的数据库导入在数据模板列表中；</w:t>
      </w:r>
    </w:p>
    <w:p>
      <w:pPr>
        <w:numPr>
          <w:ilvl w:val="0"/>
          <w:numId w:val="4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支持报表模板库功能，能够显示当前报表模板库中所有的报表模板，可设置当前编辑的报表为模板；</w:t>
      </w:r>
    </w:p>
    <w:p>
      <w:pPr>
        <w:numPr>
          <w:ilvl w:val="0"/>
          <w:numId w:val="4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提供报表查询条件设置功能，进行添加条件操作时，能够进行标签，组合框、时间框、文本框、复选框、查询按钮的选择。提供标签与组合框，标签与时间框、标签与文本框、标签与复选框等多种组合形式；</w:t>
      </w:r>
    </w:p>
    <w:p>
      <w:pPr>
        <w:numPr>
          <w:ilvl w:val="0"/>
          <w:numId w:val="4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提供运行时数据查看功能，设置查询条件后可以在运行时数据这一页面中查看数据库中符合条件为的相关数据信息；</w:t>
      </w:r>
    </w:p>
    <w:p>
      <w:pPr>
        <w:numPr>
          <w:ilvl w:val="0"/>
          <w:numId w:val="4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提供运行时日志功能，能够显示报表运行过程中的SQL语句、报错信息、及一些需要重点关注的信息。</w:t>
      </w:r>
    </w:p>
    <w:p>
      <w:pPr>
        <w:pStyle w:val="6"/>
        <w:spacing w:line="360" w:lineRule="auto"/>
        <w:ind w:firstLine="0" w:firstLineChars="0"/>
        <w:rPr>
          <w:rFonts w:ascii="宋体" w:hAnsi="宋体" w:cs="宋体"/>
          <w:b/>
          <w:bCs/>
          <w:color w:val="000000" w:themeColor="text1"/>
          <w14:textFill>
            <w14:solidFill>
              <w14:schemeClr w14:val="tx1"/>
            </w14:solidFill>
          </w14:textFill>
        </w:rPr>
      </w:pPr>
      <w:bookmarkStart w:id="249" w:name="_Toc71663212"/>
      <w:bookmarkStart w:id="250" w:name="_Toc55765277"/>
      <w:r>
        <w:rPr>
          <w:rFonts w:hint="eastAsia" w:ascii="宋体" w:hAnsi="宋体" w:cs="宋体"/>
          <w:b/>
          <w:bCs/>
          <w:color w:val="000000" w:themeColor="text1"/>
          <w14:textFill>
            <w14:solidFill>
              <w14:schemeClr w14:val="tx1"/>
            </w14:solidFill>
          </w14:textFill>
        </w:rPr>
        <w:t>住院电子病历系统建设</w:t>
      </w:r>
      <w:bookmarkEnd w:id="249"/>
      <w:bookmarkEnd w:id="250"/>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电子病历基础功能要求</w:t>
      </w:r>
    </w:p>
    <w:p>
      <w:pPr>
        <w:pStyle w:val="432"/>
        <w:widowControl/>
        <w:numPr>
          <w:ilvl w:val="0"/>
          <w:numId w:val="4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电子病历编辑功能，提供各种临床病历文档的录入、修改、删除、保存及查阅处理；</w:t>
      </w:r>
    </w:p>
    <w:p>
      <w:pPr>
        <w:pStyle w:val="432"/>
        <w:widowControl/>
        <w:numPr>
          <w:ilvl w:val="0"/>
          <w:numId w:val="4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支持对病历文本的字体、段落、行间距、字体颜色进行设置；</w:t>
      </w:r>
    </w:p>
    <w:p>
      <w:pPr>
        <w:pStyle w:val="432"/>
        <w:widowControl/>
        <w:numPr>
          <w:ilvl w:val="0"/>
          <w:numId w:val="4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支持图形、文本、表格数据的插入和编辑处理；</w:t>
      </w:r>
    </w:p>
    <w:p>
      <w:pPr>
        <w:pStyle w:val="432"/>
        <w:widowControl/>
        <w:numPr>
          <w:ilvl w:val="0"/>
          <w:numId w:val="4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提供表格式的电子病历书写功能；</w:t>
      </w:r>
    </w:p>
    <w:p>
      <w:pPr>
        <w:pStyle w:val="432"/>
        <w:widowControl/>
        <w:numPr>
          <w:ilvl w:val="0"/>
          <w:numId w:val="4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支持特殊符号的插入以及医学公式计算处理；</w:t>
      </w:r>
    </w:p>
    <w:p>
      <w:pPr>
        <w:pStyle w:val="432"/>
        <w:widowControl/>
        <w:numPr>
          <w:ilvl w:val="0"/>
          <w:numId w:val="4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支持常用词输入处理，并允许医生自行定义个人常用词；</w:t>
      </w:r>
    </w:p>
    <w:p>
      <w:pPr>
        <w:pStyle w:val="432"/>
        <w:widowControl/>
        <w:numPr>
          <w:ilvl w:val="0"/>
          <w:numId w:val="4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支持按照症状、病种等模式引入结构化模板，并在此基础上通过选择及增删等处理快速完成病历；</w:t>
      </w:r>
    </w:p>
    <w:p>
      <w:pPr>
        <w:pStyle w:val="432"/>
        <w:widowControl/>
        <w:numPr>
          <w:ilvl w:val="0"/>
          <w:numId w:val="4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支持诊断、诊疗名词、药品等标准术语的快速引入；</w:t>
      </w:r>
    </w:p>
    <w:p>
      <w:pPr>
        <w:pStyle w:val="432"/>
        <w:widowControl/>
        <w:numPr>
          <w:ilvl w:val="0"/>
          <w:numId w:val="4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支持在一个页面上（不弹出新页面）实现病人检验检查报告信息的有选择引入；</w:t>
      </w:r>
    </w:p>
    <w:p>
      <w:pPr>
        <w:pStyle w:val="432"/>
        <w:widowControl/>
        <w:numPr>
          <w:ilvl w:val="0"/>
          <w:numId w:val="4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病历样式可以按照医院统一要求进行定制设置；</w:t>
      </w:r>
    </w:p>
    <w:p>
      <w:pPr>
        <w:pStyle w:val="432"/>
        <w:widowControl/>
        <w:numPr>
          <w:ilvl w:val="0"/>
          <w:numId w:val="4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支持全文打印、分页打印、续打、图文打印等功能；</w:t>
      </w:r>
    </w:p>
    <w:p>
      <w:pPr>
        <w:pStyle w:val="432"/>
        <w:widowControl/>
        <w:numPr>
          <w:ilvl w:val="0"/>
          <w:numId w:val="4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支持病人入科、出院，转科转床等各种实际情况处理；</w:t>
      </w:r>
    </w:p>
    <w:p>
      <w:pPr>
        <w:pStyle w:val="432"/>
        <w:widowControl/>
        <w:numPr>
          <w:ilvl w:val="0"/>
          <w:numId w:val="4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电子病历系统的使用者必须经过规范的用户认证，支持用户名/密码、数字证书的多登录方式；</w:t>
      </w:r>
    </w:p>
    <w:p>
      <w:pPr>
        <w:pStyle w:val="432"/>
        <w:widowControl/>
        <w:numPr>
          <w:ilvl w:val="0"/>
          <w:numId w:val="4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用户登录电子病历系统、访问系统时，自动生成、保存使用日志，并提供按用户追踪查看其所有操作的功能。</w:t>
      </w:r>
    </w:p>
    <w:p>
      <w:pPr>
        <w:pStyle w:val="432"/>
        <w:widowControl/>
        <w:numPr>
          <w:ilvl w:val="0"/>
          <w:numId w:val="4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对电子病历数据的创建、修改、删除等任何操作自动生成、保存审计日志，并提供按审计项目追踪查看其所有操作者、按操作者追踪查看其所有操作等功能；</w:t>
      </w:r>
    </w:p>
    <w:p>
      <w:pPr>
        <w:pStyle w:val="432"/>
        <w:widowControl/>
        <w:numPr>
          <w:ilvl w:val="0"/>
          <w:numId w:val="4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可通过参数设置屏蔽不同病人病历复制，但允许同一患者资料的内部复制。</w:t>
      </w:r>
    </w:p>
    <w:p>
      <w:pPr>
        <w:pStyle w:val="432"/>
        <w:widowControl/>
        <w:numPr>
          <w:ilvl w:val="0"/>
          <w:numId w:val="4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电子病历设置保密等级的功能，对操作人员的权限实行分级管理，用户根据权限访问相应保密等级的电子病历资料；授权用户访问电子病历时，自动隐藏保密等级高于用户权限的电子病历资料；当医务人员因工作需要查看非直接相关患者的电子病历资料时，警示使用者要依照规定使用患者电子病历资料；</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住院医生电子病历</w:t>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基本要求</w:t>
      </w:r>
    </w:p>
    <w:p>
      <w:pPr>
        <w:pStyle w:val="432"/>
        <w:widowControl/>
        <w:numPr>
          <w:ilvl w:val="0"/>
          <w:numId w:val="5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提供全科室病人的当日待完成任务及特殊事件提醒功能。并实现病人能够按医生组进行分组管理；</w:t>
      </w:r>
    </w:p>
    <w:p>
      <w:pPr>
        <w:pStyle w:val="432"/>
        <w:widowControl/>
        <w:numPr>
          <w:ilvl w:val="0"/>
          <w:numId w:val="5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支持临床任务周期管理，支持多种方式的临床任务驱动</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具体要求：</w:t>
      </w:r>
    </w:p>
    <w:p>
      <w:pPr>
        <w:numPr>
          <w:ilvl w:val="0"/>
          <w:numId w:val="51"/>
        </w:numPr>
        <w:adjustRightInd w:val="0"/>
        <w:snapToGrid w:val="0"/>
        <w:spacing w:line="360" w:lineRule="auto"/>
        <w:ind w:left="0" w:firstLine="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可以根据病历书写规范、诊疗及护理操作规范等要求，提供任务定义或配置功能，可以将各种诊疗和病历书写工作定义为任务，能够明确定义描述任务内容、类型、时间要求、任何操作角色等项目； </w:t>
      </w:r>
    </w:p>
    <w:p>
      <w:pPr>
        <w:numPr>
          <w:ilvl w:val="0"/>
          <w:numId w:val="51"/>
        </w:numPr>
        <w:adjustRightInd w:val="0"/>
        <w:snapToGrid w:val="0"/>
        <w:spacing w:line="360" w:lineRule="auto"/>
        <w:ind w:left="0" w:firstLine="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可以根据临床工作规范、流程及管理要求，驱动生成针对病人的各种任务事项，明确责任人和时间；可以根据定义的任务项在病人列表和医生工作页面进行明确提示；</w:t>
      </w:r>
    </w:p>
    <w:p>
      <w:pPr>
        <w:numPr>
          <w:ilvl w:val="0"/>
          <w:numId w:val="51"/>
        </w:numPr>
        <w:adjustRightInd w:val="0"/>
        <w:snapToGrid w:val="0"/>
        <w:spacing w:line="360" w:lineRule="auto"/>
        <w:ind w:left="0" w:firstLine="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可以在线监控各种临床任务的执行进展，给出明确的提醒；</w:t>
      </w:r>
    </w:p>
    <w:p>
      <w:pPr>
        <w:pStyle w:val="432"/>
        <w:widowControl/>
        <w:numPr>
          <w:ilvl w:val="0"/>
          <w:numId w:val="5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▲提供诊疗计划表，能够采用基于时间轴方式的数据集成，方便医生查看患者的诊疗数据，并满足以下要求</w:t>
      </w:r>
      <w:r>
        <w:rPr>
          <w:rFonts w:hint="eastAsia" w:ascii="宋体" w:hAnsi="宋体" w:cs="宋体"/>
          <w:bCs/>
          <w:color w:val="000000" w:themeColor="text1"/>
          <w:sz w:val="24"/>
          <w14:textFill>
            <w14:solidFill>
              <w14:schemeClr w14:val="tx1"/>
            </w14:solidFill>
          </w14:textFill>
        </w:rPr>
        <w:t>（投标人须提供系统的功能截图并详细说明）</w:t>
      </w:r>
      <w:r>
        <w:rPr>
          <w:rFonts w:hint="eastAsia" w:ascii="宋体" w:hAnsi="宋体" w:cs="宋体"/>
          <w:color w:val="000000" w:themeColor="text1"/>
          <w:sz w:val="24"/>
          <w14:textFill>
            <w14:solidFill>
              <w14:schemeClr w14:val="tx1"/>
            </w14:solidFill>
          </w14:textFill>
        </w:rPr>
        <w:t>：</w:t>
      </w:r>
    </w:p>
    <w:p>
      <w:pPr>
        <w:numPr>
          <w:ilvl w:val="0"/>
          <w:numId w:val="52"/>
        </w:numPr>
        <w:adjustRightInd w:val="0"/>
        <w:snapToGrid w:val="0"/>
        <w:spacing w:line="360" w:lineRule="auto"/>
        <w:ind w:left="0" w:firstLine="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按照时间轴的方式，对病人诊疗过程进行动态展示，显示患者住院日、手术日和和相关诊疗工作的对应时间，包括患者的体征、病历、病程、治疗、手术、用药、检验检查等信息；</w:t>
      </w:r>
      <w:r>
        <w:rPr>
          <w:rFonts w:hint="eastAsia" w:ascii="宋体" w:hAnsi="宋体" w:cs="宋体"/>
          <w:b/>
          <w:color w:val="000000" w:themeColor="text1"/>
          <w:sz w:val="24"/>
          <w14:textFill>
            <w14:solidFill>
              <w14:schemeClr w14:val="tx1"/>
            </w14:solidFill>
          </w14:textFill>
        </w:rPr>
        <w:t xml:space="preserve"> </w:t>
      </w:r>
    </w:p>
    <w:p>
      <w:pPr>
        <w:numPr>
          <w:ilvl w:val="0"/>
          <w:numId w:val="52"/>
        </w:numPr>
        <w:adjustRightInd w:val="0"/>
        <w:snapToGrid w:val="0"/>
        <w:spacing w:line="360" w:lineRule="auto"/>
        <w:ind w:left="0" w:firstLine="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对患者各项诊疗数据的异常情况能够及时醒目的进行提示、预警；</w:t>
      </w:r>
    </w:p>
    <w:p>
      <w:pPr>
        <w:numPr>
          <w:ilvl w:val="0"/>
          <w:numId w:val="52"/>
        </w:numPr>
        <w:adjustRightInd w:val="0"/>
        <w:snapToGrid w:val="0"/>
        <w:spacing w:line="360" w:lineRule="auto"/>
        <w:ind w:left="0" w:firstLine="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根据病临床管理规范要求，提示病人每日需要完成的临床工作，系统可以自动将各种驱动源产生的临床任务直观地在计划中展示出来，临床任务的完成状态及完成质量也可以直观地显示出来；</w:t>
      </w:r>
    </w:p>
    <w:p>
      <w:pPr>
        <w:numPr>
          <w:ilvl w:val="0"/>
          <w:numId w:val="52"/>
        </w:numPr>
        <w:adjustRightInd w:val="0"/>
        <w:snapToGrid w:val="0"/>
        <w:spacing w:line="360" w:lineRule="auto"/>
        <w:ind w:left="0" w:firstLine="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对未完成的工作进行提醒并标识颜色，医生也可以直接在诊疗计划表根据提醒进入到相应的诊疗操作处理，实现诊疗引导；</w:t>
      </w:r>
    </w:p>
    <w:p>
      <w:pPr>
        <w:pStyle w:val="432"/>
        <w:widowControl/>
        <w:numPr>
          <w:ilvl w:val="0"/>
          <w:numId w:val="50"/>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提供病历模板配置工具，允许维护各种结构化病历模板；</w:t>
      </w:r>
    </w:p>
    <w:p>
      <w:pPr>
        <w:pStyle w:val="432"/>
        <w:widowControl/>
        <w:numPr>
          <w:ilvl w:val="0"/>
          <w:numId w:val="50"/>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支持各种结构化病历模板配置时关联不同的病区，按照病区区分使用权限；</w:t>
      </w:r>
    </w:p>
    <w:p>
      <w:pPr>
        <w:pStyle w:val="432"/>
        <w:widowControl/>
        <w:numPr>
          <w:ilvl w:val="0"/>
          <w:numId w:val="50"/>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支持将现有病历内容保存为病历模板功能；</w:t>
      </w:r>
    </w:p>
    <w:p>
      <w:pPr>
        <w:pStyle w:val="432"/>
        <w:widowControl/>
        <w:numPr>
          <w:ilvl w:val="0"/>
          <w:numId w:val="50"/>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支持对已保存的病历模板进行再次使用操作，可以拖拽也可以直接引用；</w:t>
      </w:r>
    </w:p>
    <w:p>
      <w:pPr>
        <w:pStyle w:val="432"/>
        <w:widowControl/>
        <w:numPr>
          <w:ilvl w:val="0"/>
          <w:numId w:val="5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支持病历输入过程中缺陷提醒及标识功能，提供缺陷标识提醒，可以让用户快速定位到缺陷处；</w:t>
      </w:r>
    </w:p>
    <w:p>
      <w:pPr>
        <w:pStyle w:val="432"/>
        <w:widowControl/>
        <w:numPr>
          <w:ilvl w:val="0"/>
          <w:numId w:val="50"/>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支持对有缺陷病历的归档否决处理；</w:t>
      </w:r>
    </w:p>
    <w:p>
      <w:pPr>
        <w:pStyle w:val="432"/>
        <w:widowControl/>
        <w:numPr>
          <w:ilvl w:val="0"/>
          <w:numId w:val="50"/>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提供病人既往史、手术史、过敏史等信息的采集、存储、查阅功能；</w:t>
      </w:r>
    </w:p>
    <w:p>
      <w:pPr>
        <w:pStyle w:val="432"/>
        <w:widowControl/>
        <w:numPr>
          <w:ilvl w:val="0"/>
          <w:numId w:val="5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实现临床数据的“一处输入，全程共享”，能够采用自动导入和选择导入相结合的方式，实现各病历项间数据的充分共享；</w:t>
      </w:r>
    </w:p>
    <w:p>
      <w:pPr>
        <w:pStyle w:val="432"/>
        <w:widowControl/>
        <w:numPr>
          <w:ilvl w:val="0"/>
          <w:numId w:val="50"/>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提供医护之间结构化病历数据共享功能；</w:t>
      </w:r>
    </w:p>
    <w:p>
      <w:pPr>
        <w:pStyle w:val="432"/>
        <w:widowControl/>
        <w:numPr>
          <w:ilvl w:val="0"/>
          <w:numId w:val="50"/>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提供病历质量的自动提醒、医生自查功能，便于医生及时发现病历缺陷并予以修改；</w:t>
      </w:r>
    </w:p>
    <w:p>
      <w:pPr>
        <w:pStyle w:val="432"/>
        <w:widowControl/>
        <w:numPr>
          <w:ilvl w:val="0"/>
          <w:numId w:val="5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提供多种方式的人机对话功能，根据系统对文档分类、段落定义、数据组等定义时自动提醒各病人的相关事务（检验、检查报告等）；</w:t>
      </w:r>
    </w:p>
    <w:p>
      <w:pPr>
        <w:pStyle w:val="432"/>
        <w:widowControl/>
        <w:numPr>
          <w:ilvl w:val="0"/>
          <w:numId w:val="50"/>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可以在线查看监管科室发起工作任务，提醒医生执行任务并进行反馈；</w:t>
      </w:r>
    </w:p>
    <w:p>
      <w:pPr>
        <w:pStyle w:val="432"/>
        <w:widowControl/>
        <w:numPr>
          <w:ilvl w:val="0"/>
          <w:numId w:val="5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支持西医ICD-10标准诊断和中医诊断《中医病症分类与代码》国家标准，同时能够满足临床描述的准确性要求，并支持自定义扩展诊断编码（投标人须提供系统的功能截图并详细说明）；</w:t>
      </w:r>
    </w:p>
    <w:p>
      <w:pPr>
        <w:pStyle w:val="432"/>
        <w:widowControl/>
        <w:numPr>
          <w:ilvl w:val="0"/>
          <w:numId w:val="5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提供危急值提醒功能。例如在下达抗菌药物，体温大于39度及检验存在危急值情况时，给出病历书写相应内容提醒；</w:t>
      </w:r>
    </w:p>
    <w:p>
      <w:pPr>
        <w:pStyle w:val="432"/>
        <w:widowControl/>
        <w:numPr>
          <w:ilvl w:val="0"/>
          <w:numId w:val="5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提供知识库联想输入模式，能够通过拼音首字母快速检索临床医学症状词汇，并自动关联相关症状描述的词汇，实现病历快速录入；</w:t>
      </w:r>
    </w:p>
    <w:p>
      <w:pPr>
        <w:pStyle w:val="432"/>
        <w:widowControl/>
        <w:numPr>
          <w:ilvl w:val="0"/>
          <w:numId w:val="5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支持同屏查看和引用检验、检查报告内容，支持检验报告内容在电子病历系统中的结构化存储和展示，并且能够一键式导入检验异常项目到病历中；</w:t>
      </w:r>
    </w:p>
    <w:p>
      <w:pPr>
        <w:pStyle w:val="432"/>
        <w:widowControl/>
        <w:numPr>
          <w:ilvl w:val="0"/>
          <w:numId w:val="5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病历输入内容缺陷实时提醒，并且对于有缺陷病历可以控制不予出院处理。</w:t>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病人选择</w:t>
      </w:r>
    </w:p>
    <w:p>
      <w:pPr>
        <w:pStyle w:val="432"/>
        <w:widowControl/>
        <w:numPr>
          <w:ilvl w:val="0"/>
          <w:numId w:val="53"/>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提供病人信息总览功能，可按条件对病人进行筛选，筛选条件包括在院状态、姓名、号码类型、病情等；每选定筛选条件后能统计当前病人数；</w:t>
      </w:r>
    </w:p>
    <w:p>
      <w:pPr>
        <w:numPr>
          <w:ilvl w:val="0"/>
          <w:numId w:val="5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病人选择页面展示内容能够包含过敏信息、床号、院感、临床路径、病人姓名、性别、年龄、入院时间、病案号、主要诊断、多种耐药、病情、未读检查报告、未读检验报告、管床医生、今日未完成任务数、特殊事件、已完成临床路径项目数、待完成临床路径项目数；</w:t>
      </w:r>
    </w:p>
    <w:p>
      <w:pPr>
        <w:pStyle w:val="432"/>
        <w:widowControl/>
        <w:numPr>
          <w:ilvl w:val="0"/>
          <w:numId w:val="53"/>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支持根据用户需要查询本人、本诊疗组、本科室病人信息；</w:t>
      </w:r>
    </w:p>
    <w:p>
      <w:pPr>
        <w:pStyle w:val="432"/>
        <w:widowControl/>
        <w:numPr>
          <w:ilvl w:val="0"/>
          <w:numId w:val="53"/>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支持对会诊病人、跨科处置病人的查询操作；</w:t>
      </w:r>
    </w:p>
    <w:p>
      <w:pPr>
        <w:pStyle w:val="432"/>
        <w:widowControl/>
        <w:numPr>
          <w:ilvl w:val="0"/>
          <w:numId w:val="53"/>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支持根据用户选择自定义设置列表默认查询样式；</w:t>
      </w:r>
    </w:p>
    <w:p>
      <w:pPr>
        <w:pStyle w:val="432"/>
        <w:widowControl/>
        <w:numPr>
          <w:ilvl w:val="0"/>
          <w:numId w:val="53"/>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病人信息可以有多种方式显示，包括列表和标签；</w:t>
      </w:r>
    </w:p>
    <w:p>
      <w:pPr>
        <w:pStyle w:val="432"/>
        <w:widowControl/>
        <w:numPr>
          <w:ilvl w:val="0"/>
          <w:numId w:val="53"/>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支持根据患者的病情不同在标签上展示不同的颜色给予提醒；</w:t>
      </w:r>
    </w:p>
    <w:p>
      <w:pPr>
        <w:pStyle w:val="432"/>
        <w:widowControl/>
        <w:numPr>
          <w:ilvl w:val="0"/>
          <w:numId w:val="53"/>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其中病人信息展示区域可以按床号排序，也可以按入院时间排序；</w:t>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病历书写</w:t>
      </w:r>
    </w:p>
    <w:p>
      <w:pPr>
        <w:pStyle w:val="432"/>
        <w:widowControl/>
        <w:numPr>
          <w:ilvl w:val="0"/>
          <w:numId w:val="5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提供患者基本信息、住院信息、病人档案的完善功能；</w:t>
      </w:r>
    </w:p>
    <w:p>
      <w:pPr>
        <w:pStyle w:val="432"/>
        <w:widowControl/>
        <w:numPr>
          <w:ilvl w:val="0"/>
          <w:numId w:val="5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提供入院记录填写功能，可根据医院提供的样式进行入院记录模板的制作；</w:t>
      </w:r>
    </w:p>
    <w:p>
      <w:pPr>
        <w:pStyle w:val="432"/>
        <w:widowControl/>
        <w:numPr>
          <w:ilvl w:val="0"/>
          <w:numId w:val="5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入院记录功能里提供不同诊断的下达，如：初步诊断、入院诊断、修正诊断、补充诊断、确定诊断；</w:t>
      </w:r>
    </w:p>
    <w:p>
      <w:pPr>
        <w:pStyle w:val="432"/>
        <w:widowControl/>
        <w:numPr>
          <w:ilvl w:val="0"/>
          <w:numId w:val="5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支持诊断的前、后备注填写功能，满足临床诊断要求；</w:t>
      </w:r>
    </w:p>
    <w:p>
      <w:pPr>
        <w:pStyle w:val="432"/>
        <w:widowControl/>
        <w:numPr>
          <w:ilvl w:val="0"/>
          <w:numId w:val="5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入院记录可根据病人性别及年龄进行自动加载；可同时配置多个模板供医生选择使用；</w:t>
      </w:r>
    </w:p>
    <w:p>
      <w:pPr>
        <w:pStyle w:val="432"/>
        <w:widowControl/>
        <w:numPr>
          <w:ilvl w:val="0"/>
          <w:numId w:val="5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入院记录提供多种书写方式：直接文字书写、使用文本模板、病种库、症状库、引用病历资料、导入历史病历、病人档案等；</w:t>
      </w:r>
    </w:p>
    <w:p>
      <w:pPr>
        <w:pStyle w:val="432"/>
        <w:widowControl/>
        <w:numPr>
          <w:ilvl w:val="0"/>
          <w:numId w:val="54"/>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入院记录书写时提供工具栏的支持；</w:t>
      </w:r>
    </w:p>
    <w:p>
      <w:pPr>
        <w:pStyle w:val="432"/>
        <w:widowControl/>
        <w:numPr>
          <w:ilvl w:val="0"/>
          <w:numId w:val="54"/>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提供医学计算公式功能；</w:t>
      </w:r>
    </w:p>
    <w:p>
      <w:pPr>
        <w:pStyle w:val="432"/>
        <w:widowControl/>
        <w:numPr>
          <w:ilvl w:val="0"/>
          <w:numId w:val="5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入院记录支持权限管理，可控制下级医师不能修改上级医师所完成的病历，最高由科主任修改本科室所有病历；</w:t>
      </w:r>
    </w:p>
    <w:p>
      <w:pPr>
        <w:pStyle w:val="432"/>
        <w:widowControl/>
        <w:numPr>
          <w:ilvl w:val="0"/>
          <w:numId w:val="54"/>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诊断按钮的名称可自定义配置并且选择性使用；</w:t>
      </w:r>
    </w:p>
    <w:p>
      <w:pPr>
        <w:pStyle w:val="432"/>
        <w:widowControl/>
        <w:numPr>
          <w:ilvl w:val="0"/>
          <w:numId w:val="54"/>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支持历史入院记录的一键导入功能；</w:t>
      </w:r>
    </w:p>
    <w:p>
      <w:pPr>
        <w:pStyle w:val="432"/>
        <w:widowControl/>
        <w:numPr>
          <w:ilvl w:val="0"/>
          <w:numId w:val="54"/>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支持在填写入院记录时，同屏查看患者的其他历史病历资料，并方便医生使用；</w:t>
      </w:r>
    </w:p>
    <w:p>
      <w:pPr>
        <w:pStyle w:val="432"/>
        <w:widowControl/>
        <w:numPr>
          <w:ilvl w:val="0"/>
          <w:numId w:val="54"/>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提供入院记录的留痕查看功能；</w:t>
      </w:r>
    </w:p>
    <w:p>
      <w:pPr>
        <w:pStyle w:val="432"/>
        <w:widowControl/>
        <w:numPr>
          <w:ilvl w:val="0"/>
          <w:numId w:val="54"/>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系统提供病情摘要功能，病情摘要维护后可在系统多处病历中自动带出；</w:t>
      </w:r>
    </w:p>
    <w:p>
      <w:pPr>
        <w:pStyle w:val="432"/>
        <w:widowControl/>
        <w:numPr>
          <w:ilvl w:val="0"/>
          <w:numId w:val="54"/>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支持多种病程记录类型的选择功能；</w:t>
      </w:r>
    </w:p>
    <w:p>
      <w:pPr>
        <w:pStyle w:val="432"/>
        <w:widowControl/>
        <w:numPr>
          <w:ilvl w:val="0"/>
          <w:numId w:val="54"/>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可以按照科室权限展示不同的病程记录类型；</w:t>
      </w:r>
    </w:p>
    <w:p>
      <w:pPr>
        <w:pStyle w:val="432"/>
        <w:widowControl/>
        <w:numPr>
          <w:ilvl w:val="0"/>
          <w:numId w:val="5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病程记录可与操作记录关联，在病程记录下可新增操作记录，保存后会在病程记录下和操作记录下各生成一条记录；</w:t>
      </w:r>
    </w:p>
    <w:p>
      <w:pPr>
        <w:pStyle w:val="432"/>
        <w:widowControl/>
        <w:numPr>
          <w:ilvl w:val="0"/>
          <w:numId w:val="5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提供病程记录上级医师签名功能；</w:t>
      </w:r>
    </w:p>
    <w:p>
      <w:pPr>
        <w:pStyle w:val="432"/>
        <w:widowControl/>
        <w:numPr>
          <w:ilvl w:val="0"/>
          <w:numId w:val="5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提供谈话记录增、删、改、查及批量打印功能；</w:t>
      </w:r>
    </w:p>
    <w:p>
      <w:pPr>
        <w:pStyle w:val="432"/>
        <w:widowControl/>
        <w:numPr>
          <w:ilvl w:val="0"/>
          <w:numId w:val="5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支持对谈话记录内容的操作权限进行控制；</w:t>
      </w:r>
    </w:p>
    <w:p>
      <w:pPr>
        <w:pStyle w:val="432"/>
        <w:widowControl/>
        <w:numPr>
          <w:ilvl w:val="0"/>
          <w:numId w:val="5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提供普通会诊、全院大会诊、急会诊等院内会诊申请功能； </w:t>
      </w:r>
    </w:p>
    <w:p>
      <w:pPr>
        <w:pStyle w:val="432"/>
        <w:widowControl/>
        <w:numPr>
          <w:ilvl w:val="0"/>
          <w:numId w:val="5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支持门诊、住院之间的会诊申请互通；提供接收门诊发送的会诊申请功能，能够在线填写会诊报告；</w:t>
      </w:r>
    </w:p>
    <w:p>
      <w:pPr>
        <w:pStyle w:val="432"/>
        <w:widowControl/>
        <w:numPr>
          <w:ilvl w:val="0"/>
          <w:numId w:val="5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提供会诊消息提醒功能；</w:t>
      </w:r>
    </w:p>
    <w:p>
      <w:pPr>
        <w:pStyle w:val="432"/>
        <w:widowControl/>
        <w:numPr>
          <w:ilvl w:val="0"/>
          <w:numId w:val="5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提供会诊意见记录模板的填写功能；</w:t>
      </w:r>
    </w:p>
    <w:p>
      <w:pPr>
        <w:pStyle w:val="432"/>
        <w:widowControl/>
        <w:numPr>
          <w:ilvl w:val="0"/>
          <w:numId w:val="5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提供手术资料相关单据（术前谈话、术前小结、手术记录、手术安全核查等）的增、删、改、查及打印功能，提供手术申请及相关流程的提交功能；</w:t>
      </w:r>
    </w:p>
    <w:p>
      <w:pPr>
        <w:pStyle w:val="432"/>
        <w:widowControl/>
        <w:numPr>
          <w:ilvl w:val="0"/>
          <w:numId w:val="54"/>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支持手术申请和手术医嘱的自动关联，可以根据手术申请自动生成手术医嘱；</w:t>
      </w:r>
    </w:p>
    <w:p>
      <w:pPr>
        <w:pStyle w:val="432"/>
        <w:widowControl/>
        <w:numPr>
          <w:ilvl w:val="0"/>
          <w:numId w:val="54"/>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提供输血申请单模板填写功能，支持将患者检验报告一键导入到输血申请单中；</w:t>
      </w:r>
    </w:p>
    <w:p>
      <w:pPr>
        <w:pStyle w:val="432"/>
        <w:widowControl/>
        <w:numPr>
          <w:ilvl w:val="0"/>
          <w:numId w:val="54"/>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提供操作记录增、删、改、查及打印功能；</w:t>
      </w:r>
    </w:p>
    <w:p>
      <w:pPr>
        <w:pStyle w:val="432"/>
        <w:widowControl/>
        <w:numPr>
          <w:ilvl w:val="0"/>
          <w:numId w:val="54"/>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提供跨科处置申请操作；</w:t>
      </w:r>
    </w:p>
    <w:p>
      <w:pPr>
        <w:pStyle w:val="432"/>
        <w:widowControl/>
        <w:numPr>
          <w:ilvl w:val="0"/>
          <w:numId w:val="54"/>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提供跨科处置记录的填写功能；</w:t>
      </w:r>
    </w:p>
    <w:p>
      <w:pPr>
        <w:pStyle w:val="432"/>
        <w:widowControl/>
        <w:numPr>
          <w:ilvl w:val="0"/>
          <w:numId w:val="54"/>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提供文件上传功能并支持本地下载；</w:t>
      </w:r>
    </w:p>
    <w:p>
      <w:pPr>
        <w:pStyle w:val="432"/>
        <w:widowControl/>
        <w:numPr>
          <w:ilvl w:val="0"/>
          <w:numId w:val="54"/>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提供APACHEⅡ评分表的填写及打印功能。</w:t>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病例上报</w:t>
      </w:r>
    </w:p>
    <w:p>
      <w:pPr>
        <w:pStyle w:val="432"/>
        <w:widowControl/>
        <w:numPr>
          <w:ilvl w:val="0"/>
          <w:numId w:val="55"/>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提供院感申报模板的填写操作，支持对院感申报模板的必填设置，及时给予医生提醒；</w:t>
      </w:r>
    </w:p>
    <w:p>
      <w:pPr>
        <w:pStyle w:val="432"/>
        <w:widowControl/>
        <w:numPr>
          <w:ilvl w:val="0"/>
          <w:numId w:val="55"/>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对于院感申报模板，提供管理部门审核功能；</w:t>
      </w:r>
    </w:p>
    <w:p>
      <w:pPr>
        <w:pStyle w:val="432"/>
        <w:widowControl/>
        <w:numPr>
          <w:ilvl w:val="0"/>
          <w:numId w:val="55"/>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支持病人药物不良反应上报功能，提供药物不良反应上报模板的结构化制作；</w:t>
      </w:r>
    </w:p>
    <w:p>
      <w:pPr>
        <w:pStyle w:val="432"/>
        <w:widowControl/>
        <w:numPr>
          <w:ilvl w:val="0"/>
          <w:numId w:val="55"/>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对于上报的药物不良反应，提供管理部门审核功能；</w:t>
      </w:r>
    </w:p>
    <w:p>
      <w:pPr>
        <w:pStyle w:val="432"/>
        <w:widowControl/>
        <w:numPr>
          <w:ilvl w:val="0"/>
          <w:numId w:val="55"/>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提供重点病人申报功能，支持重点病人申报数据的查阅、审核功能；</w:t>
      </w:r>
    </w:p>
    <w:p>
      <w:pPr>
        <w:pStyle w:val="432"/>
        <w:widowControl/>
        <w:numPr>
          <w:ilvl w:val="0"/>
          <w:numId w:val="55"/>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提供其他各种可配置化的单据上报功能；</w:t>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医生病历管理</w:t>
      </w:r>
    </w:p>
    <w:p>
      <w:pPr>
        <w:pStyle w:val="432"/>
        <w:widowControl/>
        <w:numPr>
          <w:ilvl w:val="0"/>
          <w:numId w:val="56"/>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提供病历召回申请功能；</w:t>
      </w:r>
    </w:p>
    <w:p>
      <w:pPr>
        <w:pStyle w:val="432"/>
        <w:widowControl/>
        <w:numPr>
          <w:ilvl w:val="0"/>
          <w:numId w:val="56"/>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提供“运行病历评分”、“终末病历评分”功能，实现一级质控；</w:t>
      </w:r>
    </w:p>
    <w:p>
      <w:pPr>
        <w:pStyle w:val="432"/>
        <w:widowControl/>
        <w:numPr>
          <w:ilvl w:val="0"/>
          <w:numId w:val="56"/>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提供自查表功能，实现医生对病历的自查；</w:t>
      </w:r>
    </w:p>
    <w:p>
      <w:pPr>
        <w:pStyle w:val="432"/>
        <w:widowControl/>
        <w:numPr>
          <w:ilvl w:val="0"/>
          <w:numId w:val="56"/>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提供科室病历查询功能，可以根据一定的查询条件进行数据查询操作；</w:t>
      </w:r>
    </w:p>
    <w:p>
      <w:pPr>
        <w:pStyle w:val="432"/>
        <w:widowControl/>
        <w:numPr>
          <w:ilvl w:val="0"/>
          <w:numId w:val="56"/>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提供转科病人病历查询功能；</w:t>
      </w:r>
    </w:p>
    <w:p>
      <w:pPr>
        <w:pStyle w:val="432"/>
        <w:widowControl/>
        <w:numPr>
          <w:ilvl w:val="0"/>
          <w:numId w:val="56"/>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提供“运行病历质控检查反馈记录查询”、“终末病历质控检查反馈记录查询”功能；</w:t>
      </w:r>
    </w:p>
    <w:p>
      <w:pPr>
        <w:pStyle w:val="432"/>
        <w:widowControl/>
        <w:numPr>
          <w:ilvl w:val="0"/>
          <w:numId w:val="56"/>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提供集中打印功能，在一处实现整份病历的打印；</w:t>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日夜交班</w:t>
      </w:r>
    </w:p>
    <w:p>
      <w:pPr>
        <w:pStyle w:val="432"/>
        <w:widowControl/>
        <w:numPr>
          <w:ilvl w:val="0"/>
          <w:numId w:val="57"/>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提供日夜交班记录功能，可对当前在院病人进行交班信息填写保存；</w:t>
      </w:r>
    </w:p>
    <w:p>
      <w:pPr>
        <w:pStyle w:val="432"/>
        <w:widowControl/>
        <w:numPr>
          <w:ilvl w:val="0"/>
          <w:numId w:val="57"/>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支持对一般病人的交班记录进行批量填写操作；</w:t>
      </w:r>
    </w:p>
    <w:p>
      <w:pPr>
        <w:pStyle w:val="432"/>
        <w:widowControl/>
        <w:numPr>
          <w:ilvl w:val="0"/>
          <w:numId w:val="5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在填写日夜交班记录时，提供病历资料引用功能；</w:t>
      </w:r>
    </w:p>
    <w:p>
      <w:pPr>
        <w:pStyle w:val="432"/>
        <w:widowControl/>
        <w:numPr>
          <w:ilvl w:val="0"/>
          <w:numId w:val="5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支持根据用户需求自定义病历资料展示模块；</w:t>
      </w:r>
    </w:p>
    <w:p>
      <w:pPr>
        <w:pStyle w:val="432"/>
        <w:widowControl/>
        <w:numPr>
          <w:ilvl w:val="0"/>
          <w:numId w:val="5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支持对白班/夜班新入院患者、重/危患者、当日手术患者的人数的查询操作；</w:t>
      </w:r>
    </w:p>
    <w:p>
      <w:pPr>
        <w:pStyle w:val="432"/>
        <w:widowControl/>
        <w:numPr>
          <w:ilvl w:val="0"/>
          <w:numId w:val="5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支持根据用户需求设定白班、夜班时间；</w:t>
      </w:r>
    </w:p>
    <w:p>
      <w:pPr>
        <w:pStyle w:val="432"/>
        <w:widowControl/>
        <w:numPr>
          <w:ilvl w:val="0"/>
          <w:numId w:val="5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提供日夜交班记录填写时间的控制功能；</w:t>
      </w:r>
    </w:p>
    <w:p>
      <w:pPr>
        <w:pStyle w:val="432"/>
        <w:widowControl/>
        <w:numPr>
          <w:ilvl w:val="0"/>
          <w:numId w:val="5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支持日夜交班记录打印模板的制作功能；</w:t>
      </w:r>
    </w:p>
    <w:p>
      <w:pPr>
        <w:pStyle w:val="432"/>
        <w:widowControl/>
        <w:numPr>
          <w:ilvl w:val="0"/>
          <w:numId w:val="5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提供日夜交班记录的打印操作；</w:t>
      </w:r>
    </w:p>
    <w:p>
      <w:pPr>
        <w:pStyle w:val="432"/>
        <w:widowControl/>
        <w:numPr>
          <w:ilvl w:val="0"/>
          <w:numId w:val="5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提供日夜交班记录查询功能，可根据提交情况、交班日期、夜班情况进行筛选查询；</w:t>
      </w:r>
    </w:p>
    <w:p>
      <w:pPr>
        <w:pStyle w:val="432"/>
        <w:widowControl/>
        <w:numPr>
          <w:ilvl w:val="0"/>
          <w:numId w:val="57"/>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提供交班病情记录功能，支持对有病情变化的病人进行内容添加并保存、打印，此处填写可由病程记录中直接关联；</w:t>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病案首页</w:t>
      </w:r>
    </w:p>
    <w:p>
      <w:pPr>
        <w:pStyle w:val="432"/>
        <w:widowControl/>
        <w:numPr>
          <w:ilvl w:val="0"/>
          <w:numId w:val="5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提供的病案首页的内容必须符合国家规范，提供符合国家准标的病案首页模板，包括：西医、中医以及中西医结合的病案首页内容；</w:t>
      </w:r>
    </w:p>
    <w:p>
      <w:pPr>
        <w:pStyle w:val="432"/>
        <w:widowControl/>
        <w:numPr>
          <w:ilvl w:val="0"/>
          <w:numId w:val="5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病案首页须具备数据自动采集功能，能够将在医院系统所产生的数据自动采集至首页内，包括住院天数、确诊日期、出院诊断、手术及操作、ICU相关数据、费用信息等信息，减少医生填写的工作量</w:t>
      </w:r>
    </w:p>
    <w:p>
      <w:pPr>
        <w:pStyle w:val="432"/>
        <w:widowControl/>
        <w:numPr>
          <w:ilvl w:val="0"/>
          <w:numId w:val="5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支持病案首页的书写内容能够按照医院管理的要求进行自定义的增加与修改；</w:t>
      </w:r>
    </w:p>
    <w:p>
      <w:pPr>
        <w:pStyle w:val="432"/>
        <w:widowControl/>
        <w:numPr>
          <w:ilvl w:val="0"/>
          <w:numId w:val="5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支持病案首页的完整性校验，若病案首页中存在必填项没有完成，则系统控制医生不允许打印或提交病案首页；</w:t>
      </w:r>
    </w:p>
    <w:p>
      <w:pPr>
        <w:pStyle w:val="432"/>
        <w:widowControl/>
        <w:numPr>
          <w:ilvl w:val="0"/>
          <w:numId w:val="58"/>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支持与HIS系统对接，病案首页自动同步费用信息。</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住院护士电子病历</w:t>
      </w:r>
    </w:p>
    <w:p>
      <w:pPr>
        <w:spacing w:line="360" w:lineRule="auto"/>
        <w:ind w:firstLine="482" w:firstLineChars="200"/>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系统必须按照卫生部医疗文书书写规范的要求，提供完整及规范的护理电子病历系统的应用。主要护理病历包括入院护理评估单、体温单（三测单）、一般护理记录单、特殊护理记录单、交班报告、出院病人登记本、科室专病使用的护理记录单等。</w:t>
      </w:r>
    </w:p>
    <w:p>
      <w:pPr>
        <w:spacing w:line="360" w:lineRule="auto"/>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具体要求：</w:t>
      </w:r>
    </w:p>
    <w:p>
      <w:pPr>
        <w:pStyle w:val="432"/>
        <w:widowControl/>
        <w:numPr>
          <w:ilvl w:val="0"/>
          <w:numId w:val="5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提供病人一览功能，直观展示本病区所有病人信息；提供多种展示模式，包括列表、标签、详细标签；要求护理级别、饮食、手术与医嘱同步；</w:t>
      </w:r>
    </w:p>
    <w:p>
      <w:pPr>
        <w:pStyle w:val="432"/>
        <w:widowControl/>
        <w:numPr>
          <w:ilvl w:val="0"/>
          <w:numId w:val="5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支持在病人标签上以多种图形化方式展示病人的中心信息提示；</w:t>
      </w:r>
    </w:p>
    <w:p>
      <w:pPr>
        <w:numPr>
          <w:ilvl w:val="2"/>
          <w:numId w:val="60"/>
        </w:numPr>
        <w:spacing w:line="360" w:lineRule="auto"/>
        <w:ind w:left="0" w:firstLine="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支持在病人标签上以图形化方式展示病人新入院提示信息；</w:t>
      </w:r>
    </w:p>
    <w:p>
      <w:pPr>
        <w:numPr>
          <w:ilvl w:val="2"/>
          <w:numId w:val="60"/>
        </w:numPr>
        <w:spacing w:line="360" w:lineRule="auto"/>
        <w:ind w:left="0" w:firstLine="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支持在病人标签上以图形化方式展示病人评估单高危提示信息，例如高危压疮、高危跌倒、高危药物、药物易导致跌倒的药物、体温异常、手术病人、过敏信息等；</w:t>
      </w:r>
    </w:p>
    <w:p>
      <w:pPr>
        <w:pStyle w:val="432"/>
        <w:widowControl/>
        <w:numPr>
          <w:ilvl w:val="0"/>
          <w:numId w:val="5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支持按照不同专科特色配置不同的显示标签，如产房只需要显示出入转人数等；</w:t>
      </w:r>
    </w:p>
    <w:p>
      <w:pPr>
        <w:pStyle w:val="432"/>
        <w:widowControl/>
        <w:numPr>
          <w:ilvl w:val="0"/>
          <w:numId w:val="5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采用医护一体化界面设计，实现病人医疗、护理、检验、检查数据、药物说明书的直观查阅，并可方便地将这些病历内容加入到护理病历编辑页面；</w:t>
      </w:r>
    </w:p>
    <w:p>
      <w:pPr>
        <w:numPr>
          <w:ilvl w:val="0"/>
          <w:numId w:val="61"/>
        </w:numPr>
        <w:spacing w:line="360" w:lineRule="auto"/>
        <w:ind w:left="0" w:firstLine="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能够与医生站形成一体，将医生在电子病历系统中填写的出院记录中的出院时间自动带入到护士的体温单中；</w:t>
      </w:r>
    </w:p>
    <w:p>
      <w:pPr>
        <w:numPr>
          <w:ilvl w:val="0"/>
          <w:numId w:val="61"/>
        </w:numPr>
        <w:spacing w:line="360" w:lineRule="auto"/>
        <w:ind w:left="0" w:firstLine="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支持将患者的入科时间自动带入到体温单中；</w:t>
      </w:r>
    </w:p>
    <w:p>
      <w:pPr>
        <w:numPr>
          <w:ilvl w:val="0"/>
          <w:numId w:val="61"/>
        </w:numPr>
        <w:spacing w:line="360" w:lineRule="auto"/>
        <w:ind w:left="0" w:firstLine="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支持将患者的手术时间自动带入到体温单中；</w:t>
      </w:r>
    </w:p>
    <w:p>
      <w:pPr>
        <w:numPr>
          <w:ilvl w:val="0"/>
          <w:numId w:val="61"/>
        </w:numPr>
        <w:spacing w:line="360" w:lineRule="auto"/>
        <w:ind w:left="0" w:firstLine="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支持将护士录入的信息，如生命体征等自动带入到入院首次评估单中、入院记录中（护理记录单）、体温单中；</w:t>
      </w:r>
    </w:p>
    <w:p>
      <w:pPr>
        <w:numPr>
          <w:ilvl w:val="0"/>
          <w:numId w:val="61"/>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支持在填写一般护理记录时，同屏查看现有电子病历中病人的入院记录、病程记录、手术记录等病历，并可同屏引用到护理记录中</w:t>
      </w:r>
      <w:r>
        <w:rPr>
          <w:rFonts w:hint="eastAsia" w:ascii="宋体" w:hAnsi="宋体" w:cs="宋体"/>
          <w:color w:val="000000" w:themeColor="text1"/>
          <w:kern w:val="0"/>
          <w:sz w:val="24"/>
          <w14:textFill>
            <w14:solidFill>
              <w14:schemeClr w14:val="tx1"/>
            </w14:solidFill>
          </w14:textFill>
        </w:rPr>
        <w:t>；</w:t>
      </w:r>
    </w:p>
    <w:p>
      <w:pPr>
        <w:pStyle w:val="432"/>
        <w:widowControl/>
        <w:numPr>
          <w:ilvl w:val="0"/>
          <w:numId w:val="5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提供体温单输入功能：</w:t>
      </w:r>
    </w:p>
    <w:p>
      <w:pPr>
        <w:numPr>
          <w:ilvl w:val="0"/>
          <w:numId w:val="6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能够自动将输入的体温数据转换成符合医院要求的曲线输出；</w:t>
      </w:r>
    </w:p>
    <w:p>
      <w:pPr>
        <w:numPr>
          <w:ilvl w:val="0"/>
          <w:numId w:val="6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支持降温后体温、突然发热体温的录入操作；</w:t>
      </w:r>
    </w:p>
    <w:p>
      <w:pPr>
        <w:numPr>
          <w:ilvl w:val="0"/>
          <w:numId w:val="6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支持上下注释、降温后体温等特殊内容的显示输出；</w:t>
      </w:r>
    </w:p>
    <w:p>
      <w:pPr>
        <w:numPr>
          <w:ilvl w:val="0"/>
          <w:numId w:val="6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支持对使用呼吸机的特殊填写功能；</w:t>
      </w:r>
    </w:p>
    <w:p>
      <w:pPr>
        <w:numPr>
          <w:ilvl w:val="0"/>
          <w:numId w:val="6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提供使用呼吸机患者在体温单上的特殊展示方式；</w:t>
      </w:r>
    </w:p>
    <w:p>
      <w:pPr>
        <w:numPr>
          <w:ilvl w:val="0"/>
          <w:numId w:val="6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支持体温单自动计算入院天数、术后天数；</w:t>
      </w:r>
    </w:p>
    <w:p>
      <w:pPr>
        <w:numPr>
          <w:ilvl w:val="0"/>
          <w:numId w:val="6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提供体温测量条件灵活配置功能，能够根据护理病历书写规范，进行各体温测量规则配置，系统会进行体温测量患者数据的自动筛选；</w:t>
      </w:r>
    </w:p>
    <w:p>
      <w:pPr>
        <w:numPr>
          <w:ilvl w:val="0"/>
          <w:numId w:val="6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提供体温单整体录入功能；</w:t>
      </w:r>
    </w:p>
    <w:p>
      <w:pPr>
        <w:numPr>
          <w:ilvl w:val="0"/>
          <w:numId w:val="6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提供体温单满周打印自动筛选病人列表功能；</w:t>
      </w:r>
    </w:p>
    <w:p>
      <w:pPr>
        <w:numPr>
          <w:ilvl w:val="0"/>
          <w:numId w:val="6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提供正常测量标记，让用户自行选择体温是否需要连线；</w:t>
      </w:r>
    </w:p>
    <w:p>
      <w:pPr>
        <w:numPr>
          <w:ilvl w:val="0"/>
          <w:numId w:val="6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支持将疼痛评估单中疼痛评分自动带入到体温单中；</w:t>
      </w:r>
    </w:p>
    <w:p>
      <w:pPr>
        <w:pStyle w:val="432"/>
        <w:widowControl/>
        <w:numPr>
          <w:ilvl w:val="0"/>
          <w:numId w:val="5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提供各专科入院评估单的输入功能：</w:t>
      </w:r>
    </w:p>
    <w:p>
      <w:pPr>
        <w:numPr>
          <w:ilvl w:val="0"/>
          <w:numId w:val="63"/>
        </w:numPr>
        <w:snapToGrid w:val="0"/>
        <w:spacing w:line="360" w:lineRule="auto"/>
        <w:ind w:left="0" w:firstLine="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支持各专科入院评估单的配置功能；</w:t>
      </w:r>
    </w:p>
    <w:p>
      <w:pPr>
        <w:numPr>
          <w:ilvl w:val="0"/>
          <w:numId w:val="63"/>
        </w:numPr>
        <w:snapToGrid w:val="0"/>
        <w:spacing w:line="360" w:lineRule="auto"/>
        <w:ind w:left="0" w:firstLine="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支持根据患者年龄进行入院评估单的自动筛选功能，要求年龄与医疗文书一致；</w:t>
      </w:r>
    </w:p>
    <w:p>
      <w:pPr>
        <w:numPr>
          <w:ilvl w:val="0"/>
          <w:numId w:val="63"/>
        </w:numPr>
        <w:snapToGrid w:val="0"/>
        <w:spacing w:line="360" w:lineRule="auto"/>
        <w:ind w:left="0" w:firstLine="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支持入院评估单的结构化录入；</w:t>
      </w:r>
    </w:p>
    <w:p>
      <w:pPr>
        <w:numPr>
          <w:ilvl w:val="0"/>
          <w:numId w:val="63"/>
        </w:numPr>
        <w:snapToGrid w:val="0"/>
        <w:spacing w:line="360" w:lineRule="auto"/>
        <w:ind w:left="0" w:firstLine="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提供入院评估单的必填设置功能；</w:t>
      </w:r>
    </w:p>
    <w:p>
      <w:pPr>
        <w:numPr>
          <w:ilvl w:val="0"/>
          <w:numId w:val="63"/>
        </w:numPr>
        <w:snapToGrid w:val="0"/>
        <w:spacing w:line="360" w:lineRule="auto"/>
        <w:ind w:left="0" w:firstLine="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提供入院评估单必填项目的特殊颜色标记；</w:t>
      </w:r>
    </w:p>
    <w:p>
      <w:pPr>
        <w:numPr>
          <w:ilvl w:val="0"/>
          <w:numId w:val="63"/>
        </w:numPr>
        <w:snapToGrid w:val="0"/>
        <w:spacing w:line="360" w:lineRule="auto"/>
        <w:ind w:left="0" w:firstLine="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支持在用户填写时对必填项目进行提醒；</w:t>
      </w:r>
    </w:p>
    <w:p>
      <w:pPr>
        <w:widowControl/>
        <w:numPr>
          <w:ilvl w:val="0"/>
          <w:numId w:val="63"/>
        </w:numPr>
        <w:shd w:val="clear" w:color="auto" w:fill="FFFFFF"/>
        <w:spacing w:line="360" w:lineRule="auto"/>
        <w:ind w:left="0" w:firstLine="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支持各类评估单的填写功能，并能自动计算总分，自动生成风险等级；</w:t>
      </w:r>
    </w:p>
    <w:p>
      <w:pPr>
        <w:numPr>
          <w:ilvl w:val="0"/>
          <w:numId w:val="63"/>
        </w:numPr>
        <w:snapToGrid w:val="0"/>
        <w:spacing w:line="360" w:lineRule="auto"/>
        <w:ind w:left="0" w:firstLine="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支持入院评估单和其他护理单据如评估单、体温单的数据共享与联动</w:t>
      </w:r>
      <w:r>
        <w:rPr>
          <w:rFonts w:hint="eastAsia" w:ascii="宋体" w:hAnsi="宋体" w:cs="宋体"/>
          <w:color w:val="000000" w:themeColor="text1"/>
          <w:sz w:val="24"/>
          <w14:textFill>
            <w14:solidFill>
              <w14:schemeClr w14:val="tx1"/>
            </w14:solidFill>
          </w14:textFill>
        </w:rPr>
        <w:t>，例如</w:t>
      </w:r>
      <w:r>
        <w:rPr>
          <w:rFonts w:hint="eastAsia" w:ascii="宋体" w:hAnsi="宋体" w:cs="宋体"/>
          <w:color w:val="000000" w:themeColor="text1"/>
          <w:kern w:val="0"/>
          <w:sz w:val="24"/>
          <w14:textFill>
            <w14:solidFill>
              <w14:schemeClr w14:val="tx1"/>
            </w14:solidFill>
          </w14:textFill>
        </w:rPr>
        <w:t>在入院评估单中进行其他评估单的填写，如压疮、跌倒、自理能力评估，评估完成后可以将评估分数自动带入到入院评估单中。</w:t>
      </w:r>
    </w:p>
    <w:p>
      <w:pPr>
        <w:pStyle w:val="432"/>
        <w:widowControl/>
        <w:numPr>
          <w:ilvl w:val="0"/>
          <w:numId w:val="5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提供各科室一般护理记录的输入功能：</w:t>
      </w:r>
    </w:p>
    <w:p>
      <w:pPr>
        <w:numPr>
          <w:ilvl w:val="0"/>
          <w:numId w:val="64"/>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支持一般护理记录单的填写操作；</w:t>
      </w:r>
    </w:p>
    <w:p>
      <w:pPr>
        <w:numPr>
          <w:ilvl w:val="0"/>
          <w:numId w:val="64"/>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支持生命体征数据按规则自动导入到一般护理单；</w:t>
      </w:r>
    </w:p>
    <w:p>
      <w:pPr>
        <w:numPr>
          <w:ilvl w:val="0"/>
          <w:numId w:val="64"/>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支持在填写一般护理记录时，同屏查看病人的其他病历资料，如医嘱、病程、手术资料等，并可方便的引用到护理记录中。</w:t>
      </w:r>
    </w:p>
    <w:p>
      <w:pPr>
        <w:pStyle w:val="432"/>
        <w:widowControl/>
        <w:numPr>
          <w:ilvl w:val="0"/>
          <w:numId w:val="5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支持一般护理单和其他评估单的数据共享和联动，如护士在填写护理记录单时，系统可以自动关联其他评估单，如压疮、跌倒、自理能力等评估单的填写，填写完成后可以将评分自动带入到一般护理记录单中。</w:t>
      </w:r>
    </w:p>
    <w:p>
      <w:pPr>
        <w:pStyle w:val="432"/>
        <w:widowControl/>
        <w:numPr>
          <w:ilvl w:val="0"/>
          <w:numId w:val="5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提供各种危重护理单的输入和输出功能，允许自行扩展各个专科危重护理单。</w:t>
      </w:r>
    </w:p>
    <w:p>
      <w:pPr>
        <w:pStyle w:val="432"/>
        <w:widowControl/>
        <w:numPr>
          <w:ilvl w:val="0"/>
          <w:numId w:val="5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提供对12小时出入量、24小时出入量的自动计算处理，处理后的数据能自动带入到体温单。</w:t>
      </w:r>
    </w:p>
    <w:p>
      <w:pPr>
        <w:pStyle w:val="432"/>
        <w:widowControl/>
        <w:numPr>
          <w:ilvl w:val="0"/>
          <w:numId w:val="5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提供各种动态观察表和量表的自定义配置功能，支持结构化录入。</w:t>
      </w:r>
    </w:p>
    <w:p>
      <w:pPr>
        <w:pStyle w:val="432"/>
        <w:widowControl/>
        <w:numPr>
          <w:ilvl w:val="0"/>
          <w:numId w:val="5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提供各类护理事件如护理不良事件、院感、传染病、慢性病、性病、药物不良反应，重点病例等相关信息的提醒功能，并进行上报，并能够导出EXCEL表格。</w:t>
      </w:r>
    </w:p>
    <w:p>
      <w:pPr>
        <w:pStyle w:val="432"/>
        <w:widowControl/>
        <w:numPr>
          <w:ilvl w:val="0"/>
          <w:numId w:val="5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提供体温单、特护单、观察表/量表、通用单等单据的整体录入功能，支持皮试结果录入并与医生端联动。</w:t>
      </w:r>
    </w:p>
    <w:p>
      <w:pPr>
        <w:pStyle w:val="432"/>
        <w:widowControl/>
        <w:numPr>
          <w:ilvl w:val="0"/>
          <w:numId w:val="5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支持对高危压疮/压疮患者的申报操作；</w:t>
      </w:r>
    </w:p>
    <w:p>
      <w:pPr>
        <w:pStyle w:val="432"/>
        <w:widowControl/>
        <w:numPr>
          <w:ilvl w:val="0"/>
          <w:numId w:val="5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支持根据压疮评估结果，自动关联压疮上报单；</w:t>
      </w:r>
    </w:p>
    <w:p>
      <w:pPr>
        <w:pStyle w:val="432"/>
        <w:widowControl/>
        <w:numPr>
          <w:ilvl w:val="0"/>
          <w:numId w:val="5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支持对高危跌倒/跌倒患者的申报操作；</w:t>
      </w:r>
    </w:p>
    <w:p>
      <w:pPr>
        <w:pStyle w:val="432"/>
        <w:widowControl/>
        <w:numPr>
          <w:ilvl w:val="0"/>
          <w:numId w:val="5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支持根据跌倒评估结果，自动关联跌倒上报单；</w:t>
      </w:r>
    </w:p>
    <w:p>
      <w:pPr>
        <w:pStyle w:val="432"/>
        <w:widowControl/>
        <w:numPr>
          <w:ilvl w:val="0"/>
          <w:numId w:val="5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支持根据VTE评估结果，自动在病人一览表中生成VTE高危标识；</w:t>
      </w:r>
    </w:p>
    <w:p>
      <w:pPr>
        <w:pStyle w:val="432"/>
        <w:widowControl/>
        <w:numPr>
          <w:ilvl w:val="0"/>
          <w:numId w:val="5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支持根据疼痛评估结果，自动在病人一览表中生成疼痛高危标识；</w:t>
      </w:r>
    </w:p>
    <w:p>
      <w:pPr>
        <w:pStyle w:val="432"/>
        <w:widowControl/>
        <w:numPr>
          <w:ilvl w:val="0"/>
          <w:numId w:val="5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支持根据自理能力评估结果，自动在病人一览表中生成自理能力高危标识；</w:t>
      </w:r>
    </w:p>
    <w:p>
      <w:pPr>
        <w:pStyle w:val="432"/>
        <w:widowControl/>
        <w:numPr>
          <w:ilvl w:val="0"/>
          <w:numId w:val="5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支持根据营养评估结果，自动在病人一览表中生成营养高危标识。</w:t>
      </w:r>
    </w:p>
    <w:p>
      <w:pPr>
        <w:pStyle w:val="432"/>
        <w:widowControl/>
        <w:numPr>
          <w:ilvl w:val="0"/>
          <w:numId w:val="5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提供护理病历的自查功能，实现质量监控；</w:t>
      </w:r>
    </w:p>
    <w:p>
      <w:pPr>
        <w:pStyle w:val="432"/>
        <w:widowControl/>
        <w:numPr>
          <w:ilvl w:val="0"/>
          <w:numId w:val="5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护理任务一览功能，可以根据各护理事件自动创建下一个时间点应该进行再次护理的任务提醒，并将该任务展示在任务一览中提醒护士按时完成，护士可直接通过该任务一览链接到对应功能点进行再评估工作；</w:t>
      </w:r>
    </w:p>
    <w:p>
      <w:pPr>
        <w:numPr>
          <w:ilvl w:val="2"/>
          <w:numId w:val="65"/>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根据压疮评估分数自动创建下一次再评估的护理任务；</w:t>
      </w:r>
    </w:p>
    <w:p>
      <w:pPr>
        <w:numPr>
          <w:ilvl w:val="2"/>
          <w:numId w:val="65"/>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根据跌倒评估分数自动创建下一次再评估的护理任务；</w:t>
      </w:r>
    </w:p>
    <w:p>
      <w:pPr>
        <w:numPr>
          <w:ilvl w:val="2"/>
          <w:numId w:val="65"/>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支持根据健康宣教结果自动创建下一次再进行宣教的护理任务；</w:t>
      </w:r>
    </w:p>
    <w:p>
      <w:pPr>
        <w:numPr>
          <w:ilvl w:val="2"/>
          <w:numId w:val="65"/>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支持入院24小时完成入院评估单的护理任务提醒；</w:t>
      </w:r>
    </w:p>
    <w:p>
      <w:pPr>
        <w:pStyle w:val="432"/>
        <w:widowControl/>
        <w:numPr>
          <w:ilvl w:val="0"/>
          <w:numId w:val="5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提供健康宣教功能:</w:t>
      </w:r>
    </w:p>
    <w:p>
      <w:pPr>
        <w:numPr>
          <w:ilvl w:val="2"/>
          <w:numId w:val="6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可以根据医院管理部门要求进行宣教内容的设定，包括教育项目、教育内容、各评估内容等进行明细的设置。护士在给患者进行宣教时，可以进行自我评价与宣教对象的评价；</w:t>
      </w:r>
    </w:p>
    <w:p>
      <w:pPr>
        <w:numPr>
          <w:ilvl w:val="2"/>
          <w:numId w:val="6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支持在健康宣教时自动带入患者基本信息，如学历、国籍；</w:t>
      </w:r>
    </w:p>
    <w:p>
      <w:pPr>
        <w:numPr>
          <w:ilvl w:val="2"/>
          <w:numId w:val="6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支持根据压疮评估结果，自动关联压疮宣教；</w:t>
      </w:r>
    </w:p>
    <w:p>
      <w:pPr>
        <w:numPr>
          <w:ilvl w:val="2"/>
          <w:numId w:val="6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支持根据跌倒评估结果，自动关联跌倒宣教；</w:t>
      </w:r>
    </w:p>
    <w:p>
      <w:pPr>
        <w:numPr>
          <w:ilvl w:val="2"/>
          <w:numId w:val="6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支持根据VTE评估结果，自动关联VTE宣教；</w:t>
      </w:r>
    </w:p>
    <w:p>
      <w:pPr>
        <w:numPr>
          <w:ilvl w:val="2"/>
          <w:numId w:val="6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支持根据疼痛评估结果，自动关联疼痛宣教；</w:t>
      </w:r>
    </w:p>
    <w:p>
      <w:pPr>
        <w:pStyle w:val="432"/>
        <w:widowControl/>
        <w:numPr>
          <w:ilvl w:val="0"/>
          <w:numId w:val="5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提供护理计划功能，可以根据患者的病情选择对应的护理问题，并对该患者问题进行详细的跟踪管理：</w:t>
      </w:r>
    </w:p>
    <w:p>
      <w:pPr>
        <w:numPr>
          <w:ilvl w:val="2"/>
          <w:numId w:val="6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支持自定义设置已结束的护理计划颜色；</w:t>
      </w:r>
    </w:p>
    <w:p>
      <w:pPr>
        <w:numPr>
          <w:ilvl w:val="2"/>
          <w:numId w:val="6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支持护理计划单个结束和批量结束功能；</w:t>
      </w:r>
    </w:p>
    <w:p>
      <w:pPr>
        <w:numPr>
          <w:ilvl w:val="2"/>
          <w:numId w:val="6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支持护理计划分类维护功能；</w:t>
      </w:r>
    </w:p>
    <w:p>
      <w:pPr>
        <w:numPr>
          <w:ilvl w:val="2"/>
          <w:numId w:val="6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护理计划数据能够自动生成到护理记录单中；</w:t>
      </w:r>
    </w:p>
    <w:p>
      <w:pPr>
        <w:numPr>
          <w:ilvl w:val="2"/>
          <w:numId w:val="6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系统支持根据用户使用频率对护理计划问题进行排序；</w:t>
      </w:r>
    </w:p>
    <w:p>
      <w:pPr>
        <w:numPr>
          <w:ilvl w:val="2"/>
          <w:numId w:val="6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支持根据压疮评估结果，自动关联压疮护理计划；</w:t>
      </w:r>
    </w:p>
    <w:p>
      <w:pPr>
        <w:numPr>
          <w:ilvl w:val="2"/>
          <w:numId w:val="6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支持根据跌倒评估结果，自动关联跌倒护理计划；</w:t>
      </w:r>
    </w:p>
    <w:p>
      <w:pPr>
        <w:numPr>
          <w:ilvl w:val="2"/>
          <w:numId w:val="6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支持根据VTE评估结果，自动关联VTE护理计划；</w:t>
      </w:r>
    </w:p>
    <w:p>
      <w:pPr>
        <w:numPr>
          <w:ilvl w:val="2"/>
          <w:numId w:val="67"/>
        </w:numPr>
        <w:spacing w:line="360" w:lineRule="auto"/>
        <w:ind w:left="0" w:firstLine="0"/>
        <w:jc w:val="lef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支持根据疼痛评估结果，自动关联疼痛护理计划。</w:t>
      </w:r>
    </w:p>
    <w:p>
      <w:pPr>
        <w:numPr>
          <w:ilvl w:val="2"/>
          <w:numId w:val="6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支持护士自定义维护护理计划模板，支持护士长以及护理部对护士维护的护理计划模板进行审核。</w:t>
      </w:r>
    </w:p>
    <w:p>
      <w:pPr>
        <w:numPr>
          <w:ilvl w:val="2"/>
          <w:numId w:val="6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需采用导引的方式提供对计划问题、相关因素、预期目标等的快速选择，当制定预期目标后，能够对该目标持续跟踪和关注，直到达成目标；</w:t>
      </w:r>
    </w:p>
    <w:p>
      <w:pPr>
        <w:pStyle w:val="432"/>
        <w:widowControl/>
        <w:numPr>
          <w:ilvl w:val="0"/>
          <w:numId w:val="5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支持在填写入院评估单时自动关联患者的过敏史记录填写，填写的数据可以自动带入到体温单中；</w:t>
      </w:r>
    </w:p>
    <w:p>
      <w:pPr>
        <w:pStyle w:val="432"/>
        <w:widowControl/>
        <w:numPr>
          <w:ilvl w:val="0"/>
          <w:numId w:val="59"/>
        </w:numPr>
        <w:spacing w:line="360" w:lineRule="auto"/>
        <w:ind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支持同一患者过敏史在下次住院后自动带入到入院评估单中；</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病历质控管理</w:t>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医生病历质控管理</w:t>
      </w:r>
    </w:p>
    <w:p>
      <w:pPr>
        <w:pStyle w:val="9"/>
        <w:spacing w:line="360"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基本要求</w:t>
      </w:r>
    </w:p>
    <w:p>
      <w:pPr>
        <w:pStyle w:val="432"/>
        <w:widowControl/>
        <w:numPr>
          <w:ilvl w:val="0"/>
          <w:numId w:val="6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符合国家关于医院电子病历医疗质量监管的标准及规范；</w:t>
      </w:r>
    </w:p>
    <w:p>
      <w:pPr>
        <w:pStyle w:val="432"/>
        <w:numPr>
          <w:ilvl w:val="0"/>
          <w:numId w:val="68"/>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实现个人、科室和医院三个级别的分级质控，分别满足不同管理的要求；</w:t>
      </w:r>
    </w:p>
    <w:p>
      <w:pPr>
        <w:pStyle w:val="432"/>
        <w:numPr>
          <w:ilvl w:val="0"/>
          <w:numId w:val="68"/>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提供个人病历质控功能，医护人员个人可以在病历运行期间对自己所写的所有病历内容进行质控，出现有问题的病历可及时纠正；</w:t>
      </w:r>
    </w:p>
    <w:p>
      <w:pPr>
        <w:pStyle w:val="432"/>
        <w:numPr>
          <w:ilvl w:val="0"/>
          <w:numId w:val="68"/>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提供科室病历质控功能，科室主任和护士长能够对整个科室或者病区的病历情况做整体监控，发现问题时能够及时通知相关人员改正，避免在病历提交以后而要再次修改；</w:t>
      </w:r>
    </w:p>
    <w:p>
      <w:pPr>
        <w:pStyle w:val="432"/>
        <w:numPr>
          <w:ilvl w:val="0"/>
          <w:numId w:val="68"/>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提供全院质控功能，医院的质控部门可以对全院的病历质量进行监控；</w:t>
      </w:r>
    </w:p>
    <w:p>
      <w:pPr>
        <w:pStyle w:val="432"/>
        <w:widowControl/>
        <w:numPr>
          <w:ilvl w:val="0"/>
          <w:numId w:val="6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的环节质控功能，可以实时监控在院病人的病历质量，抽选病人进行病历评分，评分时对于时效性、完整性及其余电子病历系统可以评估的条目，要求系统可以自动进行评分，同时也支持手工评分，可自动进行总分汇总和评级；</w:t>
      </w:r>
    </w:p>
    <w:p>
      <w:pPr>
        <w:pStyle w:val="432"/>
        <w:widowControl/>
        <w:numPr>
          <w:ilvl w:val="0"/>
          <w:numId w:val="6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终末病历质控功能，能够对所有终末病历进行质量检查和病历评分，系统提供批量质控和单独质控的功能，支持对时效性、完整性及其余电子病历系统可评估的条目进行自动评分，同时支持手工评分，可自动进行分数汇总和评级；</w:t>
      </w:r>
    </w:p>
    <w:p>
      <w:pPr>
        <w:pStyle w:val="432"/>
        <w:widowControl/>
        <w:numPr>
          <w:ilvl w:val="0"/>
          <w:numId w:val="6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可以对各种指定医疗事件及特定诊疗操作环节中的病人群体进行监控，如手术病人、压疮病人、跌倒病人、特定诊断、服用多种抗菌药物病人等；</w:t>
      </w:r>
    </w:p>
    <w:p>
      <w:pPr>
        <w:pStyle w:val="432"/>
        <w:widowControl/>
        <w:numPr>
          <w:ilvl w:val="0"/>
          <w:numId w:val="68"/>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每个科室质控人员可以对本科室环节和归档病历进行科室层面的病历检查和评分；</w:t>
      </w:r>
    </w:p>
    <w:p>
      <w:pPr>
        <w:pStyle w:val="432"/>
        <w:widowControl/>
        <w:numPr>
          <w:ilvl w:val="0"/>
          <w:numId w:val="68"/>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提供病历锁定和解锁功能，锁定后的病历内容不允许再修改；</w:t>
      </w:r>
    </w:p>
    <w:p>
      <w:pPr>
        <w:pStyle w:val="432"/>
        <w:widowControl/>
        <w:numPr>
          <w:ilvl w:val="0"/>
          <w:numId w:val="68"/>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提供病历留痕功能，并可对病历历次修改痕迹进行直观、易懂地查阅；</w:t>
      </w:r>
    </w:p>
    <w:p>
      <w:pPr>
        <w:pStyle w:val="432"/>
        <w:numPr>
          <w:ilvl w:val="0"/>
          <w:numId w:val="68"/>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提供病历批注功能；</w:t>
      </w:r>
    </w:p>
    <w:p>
      <w:pPr>
        <w:pStyle w:val="432"/>
        <w:numPr>
          <w:ilvl w:val="0"/>
          <w:numId w:val="68"/>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质控人员在进行运行病历运行/终末病历评分时，能同时对病历内容进行批注；</w:t>
      </w:r>
    </w:p>
    <w:p>
      <w:pPr>
        <w:pStyle w:val="432"/>
        <w:numPr>
          <w:ilvl w:val="0"/>
          <w:numId w:val="68"/>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支持自动将病历批注内容反馈给临床医生；</w:t>
      </w:r>
    </w:p>
    <w:p>
      <w:pPr>
        <w:pStyle w:val="432"/>
        <w:numPr>
          <w:ilvl w:val="0"/>
          <w:numId w:val="68"/>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提供差异化病历质控功能；</w:t>
      </w:r>
    </w:p>
    <w:p>
      <w:pPr>
        <w:pStyle w:val="432"/>
        <w:numPr>
          <w:ilvl w:val="0"/>
          <w:numId w:val="68"/>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支持根据不同的专科以及不同的诊断维护病历评分表，在进行病历评分时能够实现差异化的病历质控。</w:t>
      </w:r>
    </w:p>
    <w:p>
      <w:pPr>
        <w:pStyle w:val="432"/>
        <w:numPr>
          <w:ilvl w:val="0"/>
          <w:numId w:val="68"/>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提供科室间交叉质控功能；</w:t>
      </w:r>
    </w:p>
    <w:p>
      <w:pPr>
        <w:pStyle w:val="432"/>
        <w:numPr>
          <w:ilvl w:val="0"/>
          <w:numId w:val="68"/>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提供质控医生建库、分配质控病历、质控审核、交叉质控问题汇总等管理功能；</w:t>
      </w:r>
    </w:p>
    <w:p>
      <w:pPr>
        <w:pStyle w:val="432"/>
        <w:widowControl/>
        <w:numPr>
          <w:ilvl w:val="0"/>
          <w:numId w:val="6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能够支持病历监控、反馈及整改完成情况进行跟踪管理。对于评分过程中发现的缺陷内容，支持通过系统消息平台等渠道将病历缺陷等信息反馈给临床医生，科室整改后也可向质控办反馈；</w:t>
      </w:r>
    </w:p>
    <w:p>
      <w:pPr>
        <w:pStyle w:val="432"/>
        <w:widowControl/>
        <w:numPr>
          <w:ilvl w:val="0"/>
          <w:numId w:val="6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电子病历的监控数据，并根据监控评分体系产生对全院、某个科室、或某个医务人员监控情况的统计，应能生成多样化的报表与图表，如病历缺陷构成图，可按缺陷内容分布即某个书写缺陷占总缺陷的比例等；</w:t>
      </w:r>
    </w:p>
    <w:p>
      <w:pPr>
        <w:pStyle w:val="432"/>
        <w:widowControl/>
        <w:numPr>
          <w:ilvl w:val="0"/>
          <w:numId w:val="6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可对工作人员的质控工作量进行统计查询。可进行医生及科室工作量查询。可对各科室病人待完成任务进行查询和跟踪；</w:t>
      </w:r>
    </w:p>
    <w:p>
      <w:pPr>
        <w:pStyle w:val="432"/>
        <w:widowControl/>
        <w:numPr>
          <w:ilvl w:val="0"/>
          <w:numId w:val="6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归档病历查询：可以设置条件对已归档的病历进行查询处理。（如按病区、日期、非计划手术等）；</w:t>
      </w:r>
    </w:p>
    <w:p>
      <w:pPr>
        <w:pStyle w:val="432"/>
        <w:widowControl/>
        <w:numPr>
          <w:ilvl w:val="0"/>
          <w:numId w:val="68"/>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可以对普通手术、多次手术、非计划再次手术、手术排班等信息进行查询统计；</w:t>
      </w:r>
    </w:p>
    <w:p>
      <w:pPr>
        <w:pStyle w:val="432"/>
        <w:widowControl/>
        <w:numPr>
          <w:ilvl w:val="0"/>
          <w:numId w:val="68"/>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提供特殊文档的审批管理功能，并提供流程配置管理；</w:t>
      </w:r>
    </w:p>
    <w:p>
      <w:pPr>
        <w:pStyle w:val="432"/>
        <w:widowControl/>
        <w:numPr>
          <w:ilvl w:val="0"/>
          <w:numId w:val="6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对于需要重点关注的病历关键术语集维护管理，基于关键字进行及时的提醒和关联任务跟踪管理功能；</w:t>
      </w:r>
    </w:p>
    <w:p>
      <w:pPr>
        <w:pStyle w:val="432"/>
        <w:widowControl/>
        <w:numPr>
          <w:ilvl w:val="0"/>
          <w:numId w:val="6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诊疗准入条件管理：允许对各诊疗事件的准入条件进行配置管理，在实际执行时对于不满足条件的给出明确的提醒或拒绝处理；</w:t>
      </w:r>
    </w:p>
    <w:p>
      <w:pPr>
        <w:pStyle w:val="432"/>
        <w:widowControl/>
        <w:numPr>
          <w:ilvl w:val="0"/>
          <w:numId w:val="6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能够对诊断等各种标准数据进行维护。可对医生的会诊、手术、病历操作权限等进行维护。</w:t>
      </w:r>
    </w:p>
    <w:p>
      <w:pPr>
        <w:pStyle w:val="9"/>
        <w:spacing w:line="360"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质控维护</w:t>
      </w:r>
    </w:p>
    <w:p>
      <w:pPr>
        <w:pStyle w:val="432"/>
        <w:widowControl/>
        <w:numPr>
          <w:ilvl w:val="0"/>
          <w:numId w:val="6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提供质控分类、质控评分项目维护功能，能够将纸质的病历评分表展示在系统中，并可以进行相关修改；</w:t>
      </w:r>
    </w:p>
    <w:p>
      <w:pPr>
        <w:pStyle w:val="432"/>
        <w:widowControl/>
        <w:numPr>
          <w:ilvl w:val="0"/>
          <w:numId w:val="6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提供质控子类维护，支持对病历评分表的细项进行完善；</w:t>
      </w:r>
    </w:p>
    <w:p>
      <w:pPr>
        <w:pStyle w:val="432"/>
        <w:widowControl/>
        <w:numPr>
          <w:ilvl w:val="0"/>
          <w:numId w:val="6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对质控规则进行灵活维护，要求系统可以将病历书写规范中明确规定的质控项，以及病历评分表中的评分项等灵活地维护到系统中，支持质控评分项目维护中可自定义是否关联任务，若关联任务则可实现自动评分；</w:t>
      </w:r>
    </w:p>
    <w:p>
      <w:pPr>
        <w:pStyle w:val="432"/>
        <w:widowControl/>
        <w:numPr>
          <w:ilvl w:val="0"/>
          <w:numId w:val="69"/>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诊疗关联任务管理：可以对各种临床诊疗关联任务进行定义、提醒和跟踪处理。</w:t>
      </w:r>
    </w:p>
    <w:p>
      <w:pPr>
        <w:pStyle w:val="9"/>
        <w:spacing w:line="360"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病历质控</w:t>
      </w:r>
    </w:p>
    <w:p>
      <w:pPr>
        <w:pStyle w:val="432"/>
        <w:widowControl/>
        <w:numPr>
          <w:ilvl w:val="0"/>
          <w:numId w:val="7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提供环节质控功能</w:t>
      </w:r>
      <w:r>
        <w:rPr>
          <w:rFonts w:hint="eastAsia" w:ascii="宋体" w:hAnsi="宋体" w:cs="宋体"/>
          <w:color w:val="000000" w:themeColor="text1"/>
          <w:sz w:val="24"/>
          <w14:textFill>
            <w14:solidFill>
              <w14:schemeClr w14:val="tx1"/>
            </w14:solidFill>
          </w14:textFill>
        </w:rPr>
        <w:tab/>
      </w:r>
    </w:p>
    <w:p>
      <w:pPr>
        <w:numPr>
          <w:ilvl w:val="0"/>
          <w:numId w:val="71"/>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提供运行病历评分功能；</w:t>
      </w:r>
    </w:p>
    <w:p>
      <w:pPr>
        <w:numPr>
          <w:ilvl w:val="0"/>
          <w:numId w:val="71"/>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运行病历评分时，提供批量评分功能；</w:t>
      </w:r>
    </w:p>
    <w:p>
      <w:pPr>
        <w:numPr>
          <w:ilvl w:val="0"/>
          <w:numId w:val="71"/>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运行病历评分时，提供待完成事项查询功能；</w:t>
      </w:r>
    </w:p>
    <w:p>
      <w:pPr>
        <w:numPr>
          <w:ilvl w:val="0"/>
          <w:numId w:val="71"/>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提供运行质控记录查询功能；</w:t>
      </w:r>
    </w:p>
    <w:p>
      <w:pPr>
        <w:numPr>
          <w:ilvl w:val="0"/>
          <w:numId w:val="71"/>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提供运行病历缺陷汇总查询功能；</w:t>
      </w:r>
    </w:p>
    <w:p>
      <w:pPr>
        <w:numPr>
          <w:ilvl w:val="0"/>
          <w:numId w:val="71"/>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提供运行病历单项质控评分项目缺陷汇总功能；</w:t>
      </w:r>
    </w:p>
    <w:p>
      <w:pPr>
        <w:numPr>
          <w:ilvl w:val="0"/>
          <w:numId w:val="71"/>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提供质控单项完成情况统计查询功能；</w:t>
      </w:r>
    </w:p>
    <w:p>
      <w:pPr>
        <w:numPr>
          <w:ilvl w:val="0"/>
          <w:numId w:val="71"/>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提供运行病历科质控报表查询功能，可统计各科质控结果的日报、月报、季报、半年报、年报或是周报的环节质控数据；</w:t>
      </w:r>
    </w:p>
    <w:p>
      <w:pPr>
        <w:numPr>
          <w:ilvl w:val="0"/>
          <w:numId w:val="71"/>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提供电子病历环节质控月报查询功能。</w:t>
      </w:r>
    </w:p>
    <w:p>
      <w:pPr>
        <w:pStyle w:val="432"/>
        <w:widowControl/>
        <w:numPr>
          <w:ilvl w:val="0"/>
          <w:numId w:val="7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入院第三天（术后/操作后第一天）质控记录查询功能，支持通过筛选条件统计查询患者住院基本信息、环节质控评分等级、存在问题、管床医生、主治医师、质控时间、质控点，其中筛选条件包括：病历等级、入院时间、科室、质控点；并支持将总抽检病例数、甲级病例数、乙级病例数、丙级病例数进行一览显示；</w:t>
      </w:r>
    </w:p>
    <w:p>
      <w:pPr>
        <w:pStyle w:val="432"/>
        <w:widowControl/>
        <w:numPr>
          <w:ilvl w:val="0"/>
          <w:numId w:val="7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病历缺陷汇总查询功能，支持通过筛选条件统计查询科室、病区、抽检病例数、自查表、入院记录、入院记录一般项目、主诉、入院记录—现病史、入院记录—既往史、入院记录—个人史、入院记录—家族史、入院记录—体格检查、入院记录—辅助检查、入院记录—诊断、入院记录—入院时间、病程记录—首次病程、病程记录—上级医师首次查房、病程记录—日常上级医师查房记录、病程记录—日常病程记录、病程记录—围手术期记录、谈话记录、其他，其中筛选条件包括：病历等级、系别、科室、日期；并支持将查询结果导出excel；</w:t>
      </w:r>
    </w:p>
    <w:p>
      <w:pPr>
        <w:pStyle w:val="432"/>
        <w:widowControl/>
        <w:numPr>
          <w:ilvl w:val="0"/>
          <w:numId w:val="7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病历单项质控评分项目缺陷汇总查询功能，支持通过筛选条件统计查询科室、病区、住院号、病人姓名、床号、管床医生、质控时间，其中筛选条件包括：病历等级、系别、科室、日期、质控分类、质控评分项目；并支持将查询结果导出excel；</w:t>
      </w:r>
    </w:p>
    <w:p>
      <w:pPr>
        <w:pStyle w:val="432"/>
        <w:widowControl/>
        <w:numPr>
          <w:ilvl w:val="0"/>
          <w:numId w:val="7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病历质控报表查询功能，支持查询不同院区或系别的日报、月报、季报、半年报、年报、周报；其中各个报表都支持查询到科室、在院数、抽检数、抽查率、平均分、甲级数、乙级数、丙级数、甲级率、乙级率、丙级率；支持同屏上下展示对比报表；支持点击前一期报表或后一期报表直接查询，不需要选择日期来查询；支持将查询结果导出excel；</w:t>
      </w:r>
    </w:p>
    <w:p>
      <w:pPr>
        <w:pStyle w:val="432"/>
        <w:widowControl/>
        <w:numPr>
          <w:ilvl w:val="0"/>
          <w:numId w:val="7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电子病历环节质控月报查询功能，支持根据院区、系别、范围、日期来查询质控月报内容，其中报表内容包括：科室、综合分数、电子病历初检情况与人工抽检情况；其中电子病历初检情况与人工抽检情况支持详细展示；最后支持将查询结果导出excel；</w:t>
      </w:r>
    </w:p>
    <w:p>
      <w:pPr>
        <w:numPr>
          <w:ilvl w:val="0"/>
          <w:numId w:val="7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质控结果汇总报表查询功能，支持根据系别、科室、质控类别、日期来查询报表内容，报表内容包括：科室、病区、床号、病案号、病人姓名、入院日期、质控日期、等级、评分、存在问题、管床医生、质控人员；并支持将查查结果导出excel；</w:t>
      </w:r>
    </w:p>
    <w:p>
      <w:pPr>
        <w:numPr>
          <w:ilvl w:val="0"/>
          <w:numId w:val="7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支持对各科室病人待完成任务进行查询和跟踪；支持根据系别、科室、病历状态查询出待完成任务报表，支持通过特殊符号展示此病人有多少条未完成任务；并支持将查查结果导出excel；</w:t>
      </w:r>
    </w:p>
    <w:p>
      <w:pPr>
        <w:numPr>
          <w:ilvl w:val="0"/>
          <w:numId w:val="7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提供质控项目完成率查询功能，支持根据入科时间、科室、管床医生及任务内容查询对应报表，报表内容包括：科室代码、科室名称、任务项目、总数、未完成数、数值、未完成率；并支持将查查结果导出excel；</w:t>
      </w:r>
    </w:p>
    <w:p>
      <w:pPr>
        <w:numPr>
          <w:ilvl w:val="0"/>
          <w:numId w:val="7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质控项目未按时完成明细查询功能，支持根据入科时间、科室、管床医生及任务内容查询对应报表，报表内容包括：科室代码、科室名称、任务项目、总数、未完成数、数值、未完成率；并支持将查查结果导出excel；</w:t>
      </w:r>
    </w:p>
    <w:p>
      <w:pPr>
        <w:pStyle w:val="432"/>
        <w:widowControl/>
        <w:numPr>
          <w:ilvl w:val="0"/>
          <w:numId w:val="7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提供终末质控功能</w:t>
      </w:r>
      <w:r>
        <w:rPr>
          <w:rFonts w:hint="eastAsia" w:ascii="宋体" w:hAnsi="宋体" w:cs="宋体"/>
          <w:color w:val="000000" w:themeColor="text1"/>
          <w:sz w:val="24"/>
          <w14:textFill>
            <w14:solidFill>
              <w14:schemeClr w14:val="tx1"/>
            </w14:solidFill>
          </w14:textFill>
        </w:rPr>
        <w:tab/>
      </w:r>
    </w:p>
    <w:p>
      <w:pPr>
        <w:numPr>
          <w:ilvl w:val="0"/>
          <w:numId w:val="7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提供终末病历评分功能；</w:t>
      </w:r>
    </w:p>
    <w:p>
      <w:pPr>
        <w:numPr>
          <w:ilvl w:val="0"/>
          <w:numId w:val="7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终末病历评分时，支持批量评分功能；</w:t>
      </w:r>
    </w:p>
    <w:p>
      <w:pPr>
        <w:numPr>
          <w:ilvl w:val="0"/>
          <w:numId w:val="7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终末病历评分时，提供待完成事项查询功能；</w:t>
      </w:r>
    </w:p>
    <w:p>
      <w:pPr>
        <w:numPr>
          <w:ilvl w:val="0"/>
          <w:numId w:val="7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提供终末质控记录查询功能；</w:t>
      </w:r>
    </w:p>
    <w:p>
      <w:pPr>
        <w:numPr>
          <w:ilvl w:val="0"/>
          <w:numId w:val="7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提供终末病历缺陷汇总功能；</w:t>
      </w:r>
    </w:p>
    <w:p>
      <w:pPr>
        <w:numPr>
          <w:ilvl w:val="0"/>
          <w:numId w:val="7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提供终末病历单项质控评分项目缺陷汇总功能；</w:t>
      </w:r>
    </w:p>
    <w:p>
      <w:pPr>
        <w:numPr>
          <w:ilvl w:val="0"/>
          <w:numId w:val="7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提供质控单项完成统计功能；</w:t>
      </w:r>
    </w:p>
    <w:p>
      <w:pPr>
        <w:numPr>
          <w:ilvl w:val="0"/>
          <w:numId w:val="7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提供运行病历科质控报表查询功能，可统计各科质控结果的日报、月报、季报、半年报、年报或是周报的环节质控数据；</w:t>
      </w:r>
    </w:p>
    <w:p>
      <w:pPr>
        <w:numPr>
          <w:ilvl w:val="0"/>
          <w:numId w:val="7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提供电子病历环节质控月报查询功能。</w:t>
      </w:r>
    </w:p>
    <w:p>
      <w:pPr>
        <w:numPr>
          <w:ilvl w:val="0"/>
          <w:numId w:val="7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提供出院后病历修改统计功能。</w:t>
      </w:r>
    </w:p>
    <w:p>
      <w:pPr>
        <w:numPr>
          <w:ilvl w:val="0"/>
          <w:numId w:val="7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终末病历缺陷汇总查询功能，支持通过筛选条件统计查询科室、病区、抽检病例数、自查表、入院记录、入院记录一般项目、主诉、入院记录—现病史、入院记录—既往史、入院记录—个人史、入院记录—家族史、入院记录—体格检查、入院记录—辅助检查、入院记录—诊断、入院记录—入院时间、病程记录—首次病程、病程记录—上级医师首次查房、病程记录—日常上级医师查房记录、病程记录—日常病程记录、病程记录—围手术期记录、谈话记录、其他，其中筛选条件包括：病历等级、系别、科室、日期；并支持将查询结果导出excel；</w:t>
      </w:r>
    </w:p>
    <w:p>
      <w:pPr>
        <w:numPr>
          <w:ilvl w:val="0"/>
          <w:numId w:val="7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终末病历单项质控评分项目缺陷汇总查询功能，支持通过筛选条件统计查询科室、病区、住院号、病人姓名、床号、管床医生、质控时间，其中筛选条件包括：病历等级、系别、科室、日期、质控分类、质控评分项目；并支持将查询结果导出excel；</w:t>
      </w:r>
    </w:p>
    <w:p>
      <w:pPr>
        <w:numPr>
          <w:ilvl w:val="0"/>
          <w:numId w:val="7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终末病历质控报表查询功能，支持查询不同院区或系别的日报、月报、季报、半年报、年报、周报；其中各个报表都支持查询到科室、在院数、抽检数、抽查率、平均分、甲级数、乙级数、丙级数、甲级率、乙级率、丙级率；支持同屏上下展示对比报表；支持点击前一期报表或后一期报表直接查询，不需要选择日期来查询；支持将查询结果导出excel；</w:t>
      </w:r>
    </w:p>
    <w:p>
      <w:pPr>
        <w:numPr>
          <w:ilvl w:val="0"/>
          <w:numId w:val="7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提供终末单项完成统计功能，支持按照系别类型、科室、评分类型、质控分类、日期及是否查项目明细来查询环节或者终末的抽检数、缺陷数、缺陷率；并支持将查询结果导出excel；</w:t>
      </w:r>
    </w:p>
    <w:p>
      <w:pPr>
        <w:numPr>
          <w:ilvl w:val="0"/>
          <w:numId w:val="7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支持对工作人员的质控工作量进行统计查询；可进行医生及科室工作量查询；支持按照分类、日期查询出各个质控员的检查病历份数，包括终末、环节、合计；</w:t>
      </w:r>
    </w:p>
    <w:p>
      <w:pPr>
        <w:numPr>
          <w:ilvl w:val="0"/>
          <w:numId w:val="7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电子病历终末质控月报查询功能，支持根据院区、系别、日期来查询质控月报内容，其中报表内容包括：科室、病历总数、质控项目各个细项、内涵检查缺陷率、客观检查合格率、科室平均分、一次合格率、乙级病历数、甲级率；最后支持将查询结果导出excel；</w:t>
      </w:r>
    </w:p>
    <w:p>
      <w:pPr>
        <w:numPr>
          <w:ilvl w:val="0"/>
          <w:numId w:val="7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出院后病历修改统计功能，支持根据科室、病历模块、出院时间、出院多少小时候病历发生的修改进行查询报表，报表内容包括：病历号、住院次数、病历模块、最后修改时间、出院时间、备注；并支持将查询结果导出excel。</w:t>
      </w:r>
    </w:p>
    <w:p>
      <w:pPr>
        <w:numPr>
          <w:ilvl w:val="0"/>
          <w:numId w:val="7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提供手术病历质控功能：</w:t>
      </w:r>
    </w:p>
    <w:p>
      <w:pPr>
        <w:pStyle w:val="432"/>
        <w:numPr>
          <w:ilvl w:val="0"/>
          <w:numId w:val="73"/>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实现住院电子病历系统与OR系统整合；</w:t>
      </w:r>
    </w:p>
    <w:p>
      <w:pPr>
        <w:pStyle w:val="432"/>
        <w:numPr>
          <w:ilvl w:val="0"/>
          <w:numId w:val="73"/>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提供手术病人手术过程跟踪和管理功能；</w:t>
      </w:r>
    </w:p>
    <w:p>
      <w:pPr>
        <w:pStyle w:val="432"/>
        <w:numPr>
          <w:ilvl w:val="0"/>
          <w:numId w:val="73"/>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提供手术等级权限控制功能；</w:t>
      </w:r>
    </w:p>
    <w:p>
      <w:pPr>
        <w:pStyle w:val="432"/>
        <w:numPr>
          <w:ilvl w:val="0"/>
          <w:numId w:val="73"/>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提供手术白名单、重大及疑难手术审批流程管控、二次手术管控、手术变更管控、手术配套核心管理制度监管等功能应用。</w:t>
      </w:r>
    </w:p>
    <w:p>
      <w:pPr>
        <w:numPr>
          <w:ilvl w:val="0"/>
          <w:numId w:val="7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提供输血病历质控功能</w:t>
      </w:r>
    </w:p>
    <w:p>
      <w:pPr>
        <w:pStyle w:val="432"/>
        <w:numPr>
          <w:ilvl w:val="0"/>
          <w:numId w:val="74"/>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实现住院电子病历系统与输血系统整合；</w:t>
      </w:r>
    </w:p>
    <w:p>
      <w:pPr>
        <w:pStyle w:val="432"/>
        <w:numPr>
          <w:ilvl w:val="0"/>
          <w:numId w:val="74"/>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支持输血权限管控、输血不良事件管理等应用。</w:t>
      </w:r>
    </w:p>
    <w:p>
      <w:pPr>
        <w:numPr>
          <w:ilvl w:val="0"/>
          <w:numId w:val="7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会诊病历质控</w:t>
      </w:r>
    </w:p>
    <w:p>
      <w:pPr>
        <w:pStyle w:val="432"/>
        <w:numPr>
          <w:ilvl w:val="0"/>
          <w:numId w:val="75"/>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支持全会诊过程跟踪管控功能；</w:t>
      </w:r>
    </w:p>
    <w:p>
      <w:pPr>
        <w:pStyle w:val="432"/>
        <w:numPr>
          <w:ilvl w:val="0"/>
          <w:numId w:val="75"/>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支持会诊权限管理功能；</w:t>
      </w:r>
    </w:p>
    <w:p>
      <w:pPr>
        <w:pStyle w:val="432"/>
        <w:numPr>
          <w:ilvl w:val="0"/>
          <w:numId w:val="75"/>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支持会诊排班功能；</w:t>
      </w:r>
    </w:p>
    <w:p>
      <w:pPr>
        <w:pStyle w:val="432"/>
        <w:numPr>
          <w:ilvl w:val="0"/>
          <w:numId w:val="75"/>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支持会诊提醒功能；</w:t>
      </w:r>
    </w:p>
    <w:p>
      <w:pPr>
        <w:pStyle w:val="432"/>
        <w:numPr>
          <w:ilvl w:val="0"/>
          <w:numId w:val="75"/>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支持会诊签到功能，基于电子病历签到机制，签到确认后会诊医师才能进入会诊流程进行会诊操作和会诊意见的填写；</w:t>
      </w:r>
    </w:p>
    <w:p>
      <w:pPr>
        <w:pStyle w:val="432"/>
        <w:numPr>
          <w:ilvl w:val="0"/>
          <w:numId w:val="75"/>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支持会诊质量评估功能。</w:t>
      </w:r>
    </w:p>
    <w:p>
      <w:pPr>
        <w:numPr>
          <w:ilvl w:val="0"/>
          <w:numId w:val="7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抗菌药物质控</w:t>
      </w:r>
    </w:p>
    <w:p>
      <w:pPr>
        <w:pStyle w:val="432"/>
        <w:numPr>
          <w:ilvl w:val="0"/>
          <w:numId w:val="76"/>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支持对医生的抗菌药物下达权限进行严格的设定；</w:t>
      </w:r>
    </w:p>
    <w:p>
      <w:pPr>
        <w:pStyle w:val="432"/>
        <w:numPr>
          <w:ilvl w:val="0"/>
          <w:numId w:val="76"/>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支持根据不同级别自动匹配抗菌药物下达权限，不同级别医生在下达抗菌药物时权限不同；</w:t>
      </w:r>
    </w:p>
    <w:p>
      <w:pPr>
        <w:pStyle w:val="432"/>
        <w:numPr>
          <w:ilvl w:val="0"/>
          <w:numId w:val="76"/>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支持对抗菌药物的使用原由进行控制，下达抗菌药物时必须要对抗菌药物有使用原因进行选择说明，系统可以根据使用原因对应特定的使用期限，预期将自动进行提醒；</w:t>
      </w:r>
    </w:p>
    <w:p>
      <w:pPr>
        <w:pStyle w:val="432"/>
        <w:numPr>
          <w:ilvl w:val="0"/>
          <w:numId w:val="76"/>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提供特殊用药、超范围用药的抗菌药物申请，分级审批功能；</w:t>
      </w:r>
    </w:p>
    <w:p>
      <w:pPr>
        <w:pStyle w:val="432"/>
        <w:numPr>
          <w:ilvl w:val="0"/>
          <w:numId w:val="76"/>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支持与合理用药系统进行整合；</w:t>
      </w:r>
    </w:p>
    <w:p>
      <w:pPr>
        <w:pStyle w:val="432"/>
        <w:numPr>
          <w:ilvl w:val="0"/>
          <w:numId w:val="76"/>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通过与合理用药整合关注药物配伍禁忌的情况；</w:t>
      </w:r>
    </w:p>
    <w:p>
      <w:pPr>
        <w:pStyle w:val="432"/>
        <w:numPr>
          <w:ilvl w:val="0"/>
          <w:numId w:val="76"/>
        </w:numPr>
        <w:snapToGrid w:val="0"/>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抗菌药物的用药的执行过程中，支持在执行时间开始后自动提示护理人员该药品的停止时间的功能。</w:t>
      </w:r>
    </w:p>
    <w:p>
      <w:pPr>
        <w:numPr>
          <w:ilvl w:val="0"/>
          <w:numId w:val="7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危急值管控</w:t>
      </w:r>
    </w:p>
    <w:p>
      <w:pPr>
        <w:pStyle w:val="432"/>
        <w:numPr>
          <w:ilvl w:val="0"/>
          <w:numId w:val="77"/>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支持危急值的弹窗提醒功能；</w:t>
      </w:r>
    </w:p>
    <w:p>
      <w:pPr>
        <w:pStyle w:val="432"/>
        <w:numPr>
          <w:ilvl w:val="0"/>
          <w:numId w:val="77"/>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支持危急值消息接收确认功能；</w:t>
      </w:r>
    </w:p>
    <w:p>
      <w:pPr>
        <w:pStyle w:val="432"/>
        <w:numPr>
          <w:ilvl w:val="0"/>
          <w:numId w:val="77"/>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通过危急值消息提醒，能够直接跳转至医嘱处理页面；</w:t>
      </w:r>
    </w:p>
    <w:p>
      <w:pPr>
        <w:pStyle w:val="432"/>
        <w:numPr>
          <w:ilvl w:val="0"/>
          <w:numId w:val="77"/>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通过危急值消息提醒，能够直接跳转至病程处理记录页面；</w:t>
      </w:r>
    </w:p>
    <w:p>
      <w:pPr>
        <w:pStyle w:val="432"/>
        <w:numPr>
          <w:ilvl w:val="0"/>
          <w:numId w:val="77"/>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危急值处理后支持返回信息功能；</w:t>
      </w:r>
    </w:p>
    <w:p>
      <w:pPr>
        <w:pStyle w:val="432"/>
        <w:numPr>
          <w:ilvl w:val="0"/>
          <w:numId w:val="77"/>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支持危急值报表统计功能；</w:t>
      </w:r>
    </w:p>
    <w:p>
      <w:pPr>
        <w:pStyle w:val="432"/>
        <w:numPr>
          <w:ilvl w:val="0"/>
          <w:numId w:val="77"/>
        </w:numPr>
        <w:snapToGrid w:val="0"/>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支持的危急值管理不仅包括生命体征危急值，也能覆盖检验、检查危急值。</w:t>
      </w:r>
    </w:p>
    <w:p>
      <w:pPr>
        <w:pStyle w:val="9"/>
        <w:spacing w:line="360"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医疗流程管理</w:t>
      </w:r>
    </w:p>
    <w:p>
      <w:pPr>
        <w:pStyle w:val="432"/>
        <w:widowControl/>
        <w:numPr>
          <w:ilvl w:val="0"/>
          <w:numId w:val="7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支持对药品控制流程进行维护，维护各类药品的控制流程，例如皮试流程；</w:t>
      </w:r>
    </w:p>
    <w:p>
      <w:pPr>
        <w:pStyle w:val="432"/>
        <w:widowControl/>
        <w:numPr>
          <w:ilvl w:val="0"/>
          <w:numId w:val="7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支持对药品审批流程进行维护，能够维护药品审批进入状态、显示位置信息；</w:t>
      </w:r>
    </w:p>
    <w:p>
      <w:pPr>
        <w:pStyle w:val="432"/>
        <w:widowControl/>
        <w:numPr>
          <w:ilvl w:val="0"/>
          <w:numId w:val="7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支持对病历书写或医嘱下达的准入条件进行维护；</w:t>
      </w:r>
    </w:p>
    <w:p>
      <w:pPr>
        <w:pStyle w:val="432"/>
        <w:widowControl/>
        <w:numPr>
          <w:ilvl w:val="0"/>
          <w:numId w:val="7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支持按照电子病历规范要求，对任务项进行维护，能够维护任务时间、任务执行人、任务内容信息；</w:t>
      </w:r>
    </w:p>
    <w:p>
      <w:pPr>
        <w:pStyle w:val="432"/>
        <w:widowControl/>
        <w:numPr>
          <w:ilvl w:val="0"/>
          <w:numId w:val="7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支持任务事件维护功能，任务事件能够下拉选择关联的任务项，支持维护各个功能的任务事件内容，支持选择事件类型；</w:t>
      </w:r>
    </w:p>
    <w:p>
      <w:pPr>
        <w:pStyle w:val="432"/>
        <w:widowControl/>
        <w:numPr>
          <w:ilvl w:val="0"/>
          <w:numId w:val="7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支持病历关键字维护功能；</w:t>
      </w:r>
    </w:p>
    <w:p>
      <w:pPr>
        <w:pStyle w:val="432"/>
        <w:widowControl/>
        <w:numPr>
          <w:ilvl w:val="0"/>
          <w:numId w:val="7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支持系统消息配置功能。</w:t>
      </w:r>
    </w:p>
    <w:p>
      <w:pPr>
        <w:pStyle w:val="9"/>
        <w:spacing w:line="360"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医务病历管理</w:t>
      </w:r>
    </w:p>
    <w:p>
      <w:pPr>
        <w:pStyle w:val="432"/>
        <w:widowControl/>
        <w:numPr>
          <w:ilvl w:val="0"/>
          <w:numId w:val="7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提供病历召回审核，能够进行病历召回状态报表查询；</w:t>
      </w:r>
    </w:p>
    <w:p>
      <w:pPr>
        <w:pStyle w:val="432"/>
        <w:widowControl/>
        <w:numPr>
          <w:ilvl w:val="0"/>
          <w:numId w:val="7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提供病历分开召回功能，支持医生和护士分开召回病历；</w:t>
      </w:r>
    </w:p>
    <w:p>
      <w:pPr>
        <w:pStyle w:val="432"/>
        <w:widowControl/>
        <w:numPr>
          <w:ilvl w:val="0"/>
          <w:numId w:val="7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提供病历按模块召回功能；</w:t>
      </w:r>
    </w:p>
    <w:p>
      <w:pPr>
        <w:pStyle w:val="432"/>
        <w:widowControl/>
        <w:numPr>
          <w:ilvl w:val="0"/>
          <w:numId w:val="7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提供病历批量召回开通功能；</w:t>
      </w:r>
    </w:p>
    <w:p>
      <w:pPr>
        <w:pStyle w:val="432"/>
        <w:widowControl/>
        <w:numPr>
          <w:ilvl w:val="0"/>
          <w:numId w:val="7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提供病历锁定功能；</w:t>
      </w:r>
    </w:p>
    <w:p>
      <w:pPr>
        <w:pStyle w:val="432"/>
        <w:widowControl/>
        <w:numPr>
          <w:ilvl w:val="0"/>
          <w:numId w:val="7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提供病历解锁功能；</w:t>
      </w:r>
    </w:p>
    <w:p>
      <w:pPr>
        <w:pStyle w:val="432"/>
        <w:widowControl/>
        <w:numPr>
          <w:ilvl w:val="0"/>
          <w:numId w:val="7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提供超时未完成病历解锁功能；</w:t>
      </w:r>
    </w:p>
    <w:p>
      <w:pPr>
        <w:pStyle w:val="432"/>
        <w:widowControl/>
        <w:numPr>
          <w:ilvl w:val="0"/>
          <w:numId w:val="7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提供病历质量统计功能；</w:t>
      </w:r>
    </w:p>
    <w:p>
      <w:pPr>
        <w:pStyle w:val="432"/>
        <w:widowControl/>
        <w:numPr>
          <w:ilvl w:val="0"/>
          <w:numId w:val="7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提供病历召回率查询功能；</w:t>
      </w:r>
    </w:p>
    <w:p>
      <w:pPr>
        <w:pStyle w:val="432"/>
        <w:widowControl/>
        <w:numPr>
          <w:ilvl w:val="0"/>
          <w:numId w:val="7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提供医生病历文书任务统计报表查询。</w:t>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护理病历质控管理</w:t>
      </w:r>
    </w:p>
    <w:p>
      <w:pPr>
        <w:pStyle w:val="9"/>
        <w:spacing w:line="360"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基本要求</w:t>
      </w:r>
    </w:p>
    <w:p>
      <w:pPr>
        <w:pStyle w:val="432"/>
        <w:widowControl/>
        <w:numPr>
          <w:ilvl w:val="0"/>
          <w:numId w:val="8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提供护理质控管理规则维护功能。</w:t>
      </w:r>
    </w:p>
    <w:p>
      <w:pPr>
        <w:pStyle w:val="432"/>
        <w:widowControl/>
        <w:numPr>
          <w:ilvl w:val="0"/>
          <w:numId w:val="8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支持在维护护理质控规则时，自动关联护理临床任务功能：</w:t>
      </w:r>
    </w:p>
    <w:p>
      <w:pPr>
        <w:widowControl/>
        <w:numPr>
          <w:ilvl w:val="2"/>
          <w:numId w:val="81"/>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提供护理质控规则维护时自动关联体温测量条件任务功能；</w:t>
      </w:r>
    </w:p>
    <w:p>
      <w:pPr>
        <w:widowControl/>
        <w:numPr>
          <w:ilvl w:val="2"/>
          <w:numId w:val="81"/>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提供护理质控规则维护时自动关联评估单填写任务功能；</w:t>
      </w:r>
    </w:p>
    <w:p>
      <w:pPr>
        <w:widowControl/>
        <w:numPr>
          <w:ilvl w:val="2"/>
          <w:numId w:val="81"/>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提供护理质控规则维护时自动关联血压、体重、大便填写任务功能；</w:t>
      </w:r>
    </w:p>
    <w:p>
      <w:pPr>
        <w:widowControl/>
        <w:numPr>
          <w:ilvl w:val="2"/>
          <w:numId w:val="81"/>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维护质控、审核护士权限；</w:t>
      </w:r>
    </w:p>
    <w:p>
      <w:pPr>
        <w:pStyle w:val="432"/>
        <w:widowControl/>
        <w:numPr>
          <w:ilvl w:val="0"/>
          <w:numId w:val="8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环节质控：可以实时监控在院病人的病历质量，抽选病人进行病历评分，评分时对于时效性、完整性及其余电子病历系统可以评估的条目，</w:t>
      </w:r>
    </w:p>
    <w:p>
      <w:pPr>
        <w:pStyle w:val="432"/>
        <w:widowControl/>
        <w:numPr>
          <w:ilvl w:val="0"/>
          <w:numId w:val="8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支持根据关联任务进行自动评分，同时也支持手工评分；可自动进行总分汇总和评级；支持自动总结、分析报告；时间阶段病例质量合格率曲线图及分析报告；</w:t>
      </w:r>
    </w:p>
    <w:p>
      <w:pPr>
        <w:pStyle w:val="432"/>
        <w:widowControl/>
        <w:numPr>
          <w:ilvl w:val="0"/>
          <w:numId w:val="8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终末质控：能够对所有终末病历进行质量检查和病历评分，系统提供批量质控和单独质控的功能；支持自动总结、分析报告；时间阶段病例质量合格率曲线图及分析报告；</w:t>
      </w:r>
    </w:p>
    <w:p>
      <w:pPr>
        <w:pStyle w:val="432"/>
        <w:widowControl/>
        <w:numPr>
          <w:ilvl w:val="0"/>
          <w:numId w:val="8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支持对时效性、完整性及其余电子病历系统可评估的条目进行自动评分，同时支持手工评分，可自动进行分数汇总和评级；</w:t>
      </w:r>
    </w:p>
    <w:p>
      <w:pPr>
        <w:pStyle w:val="432"/>
        <w:widowControl/>
        <w:numPr>
          <w:ilvl w:val="0"/>
          <w:numId w:val="8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业务准入条件管理：允许对各诊疗事件的准入条件进行配置管理，在实际执行时对于不满足条件的给出明确的提醒或拒绝处理；</w:t>
      </w:r>
    </w:p>
    <w:p>
      <w:pPr>
        <w:pStyle w:val="432"/>
        <w:widowControl/>
        <w:numPr>
          <w:ilvl w:val="0"/>
          <w:numId w:val="80"/>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病历关键字监控：提供病历关键字配置功能，并实现指定关键字在电子病历操作时自动识别和记录；</w:t>
      </w:r>
    </w:p>
    <w:p>
      <w:pPr>
        <w:pStyle w:val="432"/>
        <w:widowControl/>
        <w:numPr>
          <w:ilvl w:val="0"/>
          <w:numId w:val="8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任务配置：可以对各种护理诊疗关联任务进行定义、提醒和跟踪处理。</w:t>
      </w:r>
    </w:p>
    <w:p>
      <w:pPr>
        <w:pStyle w:val="432"/>
        <w:widowControl/>
        <w:numPr>
          <w:ilvl w:val="0"/>
          <w:numId w:val="8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提供针对特殊病人的查询和监控功能：</w:t>
      </w:r>
    </w:p>
    <w:p>
      <w:pPr>
        <w:widowControl/>
        <w:numPr>
          <w:ilvl w:val="2"/>
          <w:numId w:val="8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提供上报的重点病人的查询统计功能；</w:t>
      </w:r>
    </w:p>
    <w:p>
      <w:pPr>
        <w:widowControl/>
        <w:numPr>
          <w:ilvl w:val="2"/>
          <w:numId w:val="8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支持对异常生命体征病人的数据统计、查询；</w:t>
      </w:r>
    </w:p>
    <w:p>
      <w:pPr>
        <w:widowControl/>
        <w:numPr>
          <w:ilvl w:val="2"/>
          <w:numId w:val="8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支持对手术病人的统计查询操作；</w:t>
      </w:r>
    </w:p>
    <w:p>
      <w:pPr>
        <w:widowControl/>
        <w:numPr>
          <w:ilvl w:val="2"/>
          <w:numId w:val="8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支持对会诊病人的统计查询操作；</w:t>
      </w:r>
    </w:p>
    <w:p>
      <w:pPr>
        <w:widowControl/>
        <w:numPr>
          <w:ilvl w:val="2"/>
          <w:numId w:val="8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支持对住院时间较长、住院时间较短病人的查询统计操作；</w:t>
      </w:r>
    </w:p>
    <w:p>
      <w:pPr>
        <w:widowControl/>
        <w:numPr>
          <w:ilvl w:val="2"/>
          <w:numId w:val="8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提供对危重患者的统计查询操作；</w:t>
      </w:r>
    </w:p>
    <w:p>
      <w:pPr>
        <w:widowControl/>
        <w:numPr>
          <w:ilvl w:val="2"/>
          <w:numId w:val="8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提供对各护理级别人数的统计查询操作；</w:t>
      </w:r>
    </w:p>
    <w:p>
      <w:pPr>
        <w:widowControl/>
        <w:numPr>
          <w:ilvl w:val="2"/>
          <w:numId w:val="82"/>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提供特定患者统计查询功能：体温偏低病人、特定诊断病人；</w:t>
      </w:r>
    </w:p>
    <w:p>
      <w:pPr>
        <w:pStyle w:val="432"/>
        <w:widowControl/>
        <w:numPr>
          <w:ilvl w:val="0"/>
          <w:numId w:val="8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护理会诊管理：支持对全院各科室护理会诊情况进行统计。</w:t>
      </w:r>
    </w:p>
    <w:p>
      <w:pPr>
        <w:pStyle w:val="432"/>
        <w:widowControl/>
        <w:numPr>
          <w:ilvl w:val="0"/>
          <w:numId w:val="8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提供护理会诊组及组员维护功能；</w:t>
      </w:r>
    </w:p>
    <w:p>
      <w:pPr>
        <w:pStyle w:val="432"/>
        <w:widowControl/>
        <w:numPr>
          <w:ilvl w:val="0"/>
          <w:numId w:val="8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护理管理审核：提供对护理各类上报进行审核功能。</w:t>
      </w:r>
    </w:p>
    <w:p>
      <w:pPr>
        <w:widowControl/>
        <w:numPr>
          <w:ilvl w:val="2"/>
          <w:numId w:val="83"/>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护理不良事件上报审核；</w:t>
      </w:r>
    </w:p>
    <w:p>
      <w:pPr>
        <w:widowControl/>
        <w:numPr>
          <w:ilvl w:val="2"/>
          <w:numId w:val="83"/>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药物不良反应审核。</w:t>
      </w:r>
    </w:p>
    <w:p>
      <w:pPr>
        <w:pStyle w:val="9"/>
        <w:spacing w:line="360"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护理质控维护</w:t>
      </w:r>
    </w:p>
    <w:p>
      <w:pPr>
        <w:pStyle w:val="432"/>
        <w:widowControl/>
        <w:numPr>
          <w:ilvl w:val="0"/>
          <w:numId w:val="84"/>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提供护理质控条件维护功能，能够按照电子病历规范要求等维护系统自动监控的护理质控点，包括体温测量规则、护理记录单编写时间规则；</w:t>
      </w:r>
    </w:p>
    <w:p>
      <w:pPr>
        <w:pStyle w:val="432"/>
        <w:widowControl/>
        <w:numPr>
          <w:ilvl w:val="0"/>
          <w:numId w:val="84"/>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提供护理质控评分项目维护功能，支持按照医院要求维护护理质控评分表；</w:t>
      </w:r>
    </w:p>
    <w:p>
      <w:pPr>
        <w:pStyle w:val="432"/>
        <w:widowControl/>
        <w:numPr>
          <w:ilvl w:val="0"/>
          <w:numId w:val="84"/>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提供在护理质控项目中维护护理任务关联扣分内容。</w:t>
      </w:r>
    </w:p>
    <w:p>
      <w:pPr>
        <w:pStyle w:val="9"/>
        <w:spacing w:line="360"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护理环节、终末质控</w:t>
      </w:r>
    </w:p>
    <w:p>
      <w:pPr>
        <w:pStyle w:val="432"/>
        <w:widowControl/>
        <w:numPr>
          <w:ilvl w:val="0"/>
          <w:numId w:val="85"/>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提供环节质控功能</w:t>
      </w:r>
      <w:r>
        <w:rPr>
          <w:rFonts w:hint="eastAsia" w:ascii="宋体" w:hAnsi="宋体" w:cs="宋体"/>
          <w:color w:val="000000" w:themeColor="text1"/>
          <w:sz w:val="24"/>
          <w14:textFill>
            <w14:solidFill>
              <w14:schemeClr w14:val="tx1"/>
            </w14:solidFill>
          </w14:textFill>
        </w:rPr>
        <w:tab/>
      </w:r>
    </w:p>
    <w:p>
      <w:pPr>
        <w:numPr>
          <w:ilvl w:val="2"/>
          <w:numId w:val="86"/>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提供运行病历评分功能；</w:t>
      </w:r>
    </w:p>
    <w:p>
      <w:pPr>
        <w:numPr>
          <w:ilvl w:val="2"/>
          <w:numId w:val="86"/>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提供运行质控记录查询功能；</w:t>
      </w:r>
    </w:p>
    <w:p>
      <w:pPr>
        <w:numPr>
          <w:ilvl w:val="2"/>
          <w:numId w:val="86"/>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提供运行病历缺陷汇总查询功能；</w:t>
      </w:r>
    </w:p>
    <w:p>
      <w:pPr>
        <w:widowControl/>
        <w:numPr>
          <w:ilvl w:val="2"/>
          <w:numId w:val="86"/>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提供运行病历单项质控评分项目缺陷汇总功能。</w:t>
      </w:r>
      <w:r>
        <w:rPr>
          <w:rFonts w:hint="eastAsia" w:ascii="宋体" w:hAnsi="宋体" w:cs="宋体"/>
          <w:color w:val="000000" w:themeColor="text1"/>
          <w:sz w:val="24"/>
          <w14:textFill>
            <w14:solidFill>
              <w14:schemeClr w14:val="tx1"/>
            </w14:solidFill>
          </w14:textFill>
        </w:rPr>
        <w:tab/>
      </w:r>
    </w:p>
    <w:p>
      <w:pPr>
        <w:numPr>
          <w:ilvl w:val="0"/>
          <w:numId w:val="85"/>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提供终末病历评分功能；</w:t>
      </w:r>
    </w:p>
    <w:p>
      <w:pPr>
        <w:numPr>
          <w:ilvl w:val="0"/>
          <w:numId w:val="85"/>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提供终末质控记录查询功能；</w:t>
      </w:r>
    </w:p>
    <w:p>
      <w:pPr>
        <w:numPr>
          <w:ilvl w:val="0"/>
          <w:numId w:val="85"/>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提供终末病历缺陷汇总功能；</w:t>
      </w:r>
    </w:p>
    <w:p>
      <w:pPr>
        <w:numPr>
          <w:ilvl w:val="0"/>
          <w:numId w:val="85"/>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提供终末病历单项质控评分项目缺陷汇总功能；</w:t>
      </w:r>
    </w:p>
    <w:p>
      <w:pPr>
        <w:numPr>
          <w:ilvl w:val="0"/>
          <w:numId w:val="85"/>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提供终末质控单项完成统计功能。</w:t>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不良事件报卡</w:t>
      </w:r>
    </w:p>
    <w:p>
      <w:pPr>
        <w:numPr>
          <w:ilvl w:val="0"/>
          <w:numId w:val="8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提供报卡制作工具，能够根据医院要求制作不良事件报卡；</w:t>
      </w:r>
    </w:p>
    <w:p>
      <w:pPr>
        <w:numPr>
          <w:ilvl w:val="0"/>
          <w:numId w:val="8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提供医生不良事件上报功能，能够在上报过程中自动带入患者基本信息、病历信息；</w:t>
      </w:r>
    </w:p>
    <w:p>
      <w:pPr>
        <w:numPr>
          <w:ilvl w:val="0"/>
          <w:numId w:val="8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支持管理部门在线对报卡进行审核及打回；</w:t>
      </w:r>
    </w:p>
    <w:p>
      <w:pPr>
        <w:numPr>
          <w:ilvl w:val="0"/>
          <w:numId w:val="8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提供不良事件统计查询功能。</w:t>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传染病报卡</w:t>
      </w:r>
    </w:p>
    <w:p>
      <w:pPr>
        <w:pStyle w:val="432"/>
        <w:widowControl/>
        <w:numPr>
          <w:ilvl w:val="0"/>
          <w:numId w:val="88"/>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提供传染病诊断维护功能；</w:t>
      </w:r>
    </w:p>
    <w:p>
      <w:pPr>
        <w:pStyle w:val="432"/>
        <w:widowControl/>
        <w:numPr>
          <w:ilvl w:val="0"/>
          <w:numId w:val="88"/>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提供传染病报卡配置功能、打印功能；</w:t>
      </w:r>
    </w:p>
    <w:p>
      <w:pPr>
        <w:pStyle w:val="432"/>
        <w:widowControl/>
        <w:numPr>
          <w:ilvl w:val="0"/>
          <w:numId w:val="88"/>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提供传染病诊断与传染病报卡关联功能；</w:t>
      </w:r>
    </w:p>
    <w:p>
      <w:pPr>
        <w:pStyle w:val="432"/>
        <w:widowControl/>
        <w:numPr>
          <w:ilvl w:val="0"/>
          <w:numId w:val="88"/>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提供传染病诊断控制级别维护功能，根据医院管理部门的需要，设置是否需要强制上报；</w:t>
      </w:r>
    </w:p>
    <w:p>
      <w:pPr>
        <w:pStyle w:val="432"/>
        <w:widowControl/>
        <w:numPr>
          <w:ilvl w:val="0"/>
          <w:numId w:val="88"/>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提供医生在线进行传染病上报功能；</w:t>
      </w:r>
    </w:p>
    <w:p>
      <w:pPr>
        <w:pStyle w:val="432"/>
        <w:widowControl/>
        <w:numPr>
          <w:ilvl w:val="0"/>
          <w:numId w:val="88"/>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管理部门可以对上报上来的传染性疾病进行审核处理；</w:t>
      </w:r>
    </w:p>
    <w:p>
      <w:pPr>
        <w:pStyle w:val="432"/>
        <w:widowControl/>
        <w:numPr>
          <w:ilvl w:val="0"/>
          <w:numId w:val="88"/>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支持临床上报的传染性疾病进行统计处理。</w:t>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院内感染报卡</w:t>
      </w:r>
    </w:p>
    <w:p>
      <w:pPr>
        <w:pStyle w:val="432"/>
        <w:widowControl/>
        <w:numPr>
          <w:ilvl w:val="0"/>
          <w:numId w:val="8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提供院内感染报告卡配置、打印功能；</w:t>
      </w:r>
    </w:p>
    <w:p>
      <w:pPr>
        <w:pStyle w:val="432"/>
        <w:widowControl/>
        <w:numPr>
          <w:ilvl w:val="0"/>
          <w:numId w:val="8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院感维护：可以对院感上报的组成项目及样式进行维护；</w:t>
      </w:r>
    </w:p>
    <w:p>
      <w:pPr>
        <w:pStyle w:val="432"/>
        <w:widowControl/>
        <w:numPr>
          <w:ilvl w:val="0"/>
          <w:numId w:val="8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院感上报：医生可以在线对院感情况进行上报；</w:t>
      </w:r>
    </w:p>
    <w:p>
      <w:pPr>
        <w:pStyle w:val="432"/>
        <w:widowControl/>
        <w:numPr>
          <w:ilvl w:val="0"/>
          <w:numId w:val="8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院感审核：管理人员可以对上报的院感申请进行审核处理；</w:t>
      </w:r>
    </w:p>
    <w:p>
      <w:pPr>
        <w:pStyle w:val="432"/>
        <w:widowControl/>
        <w:numPr>
          <w:ilvl w:val="0"/>
          <w:numId w:val="89"/>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院感病历统计：允许对各科室的院感数和院感率进行查询统计。</w:t>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病案借阅、归档</w:t>
      </w:r>
    </w:p>
    <w:p>
      <w:pPr>
        <w:pStyle w:val="432"/>
        <w:widowControl/>
        <w:numPr>
          <w:ilvl w:val="0"/>
          <w:numId w:val="9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提供对临床医护人员提出的病案召回申请进行审核，批准和统计功能；</w:t>
      </w:r>
    </w:p>
    <w:p>
      <w:pPr>
        <w:pStyle w:val="432"/>
        <w:widowControl/>
        <w:numPr>
          <w:ilvl w:val="0"/>
          <w:numId w:val="9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提供自定义病案借阅功能，允许医护人员自行设定需借阅的病案条件；</w:t>
      </w:r>
    </w:p>
    <w:p>
      <w:pPr>
        <w:pStyle w:val="432"/>
        <w:widowControl/>
        <w:numPr>
          <w:ilvl w:val="0"/>
          <w:numId w:val="9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提供病案借阅权限设定，允许对医护人员的借阅权限进行设定；</w:t>
      </w:r>
    </w:p>
    <w:p>
      <w:pPr>
        <w:pStyle w:val="432"/>
        <w:widowControl/>
        <w:numPr>
          <w:ilvl w:val="0"/>
          <w:numId w:val="9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提供病案借阅绿色通道功能，对特定角色和人员的借阅无需审核；</w:t>
      </w:r>
    </w:p>
    <w:p>
      <w:pPr>
        <w:pStyle w:val="432"/>
        <w:widowControl/>
        <w:numPr>
          <w:ilvl w:val="0"/>
          <w:numId w:val="90"/>
        </w:numPr>
        <w:spacing w:line="360" w:lineRule="auto"/>
        <w:ind w:left="480" w:hanging="480" w:hanging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提供病案借阅时间设定功能，借阅到期后自动关闭。</w:t>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核心制度报表</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核心制度统计报表功能，通过核心制度统计报表，可查询医院核心制度相关数据，可对各科室的查房制度、术前讨论制度、疑难病例讨论制度、死亡病例讨论制度、危重病例、手术病例、抢救病例、死亡病例、输血病例、抗菌药物管理等核心管理制度执行情况统一展示。</w:t>
      </w:r>
    </w:p>
    <w:p>
      <w:pPr>
        <w:pStyle w:val="5"/>
        <w:jc w:val="left"/>
        <w:rPr>
          <w:rFonts w:ascii="宋体" w:hAnsi="宋体" w:eastAsia="宋体" w:cs="宋体"/>
          <w:color w:val="000000" w:themeColor="text1"/>
          <w:sz w:val="24"/>
          <w:szCs w:val="24"/>
          <w14:textFill>
            <w14:solidFill>
              <w14:schemeClr w14:val="tx1"/>
            </w14:solidFill>
          </w14:textFill>
        </w:rPr>
      </w:pPr>
      <w:bookmarkStart w:id="251" w:name="_Toc71663213"/>
      <w:r>
        <w:rPr>
          <w:rFonts w:hint="eastAsia" w:ascii="宋体" w:hAnsi="宋体" w:eastAsia="宋体" w:cs="宋体"/>
          <w:color w:val="000000" w:themeColor="text1"/>
          <w:sz w:val="24"/>
          <w:szCs w:val="24"/>
          <w14:textFill>
            <w14:solidFill>
              <w14:schemeClr w14:val="tx1"/>
            </w14:solidFill>
          </w14:textFill>
        </w:rPr>
        <w:t>住院电子医嘱系统</w:t>
      </w:r>
      <w:bookmarkEnd w:id="251"/>
    </w:p>
    <w:p>
      <w:pPr>
        <w:pStyle w:val="6"/>
        <w:spacing w:line="360" w:lineRule="auto"/>
        <w:ind w:firstLine="482"/>
        <w:rPr>
          <w:rFonts w:ascii="宋体" w:hAnsi="宋体" w:cs="宋体"/>
          <w:b/>
          <w:bCs/>
          <w:color w:val="000000" w:themeColor="text1"/>
          <w14:textFill>
            <w14:solidFill>
              <w14:schemeClr w14:val="tx1"/>
            </w14:solidFill>
          </w14:textFill>
        </w:rPr>
      </w:pPr>
      <w:bookmarkStart w:id="252" w:name="_Toc58517488"/>
      <w:bookmarkStart w:id="253" w:name="_Toc71663214"/>
      <w:r>
        <w:rPr>
          <w:rFonts w:hint="eastAsia" w:ascii="宋体" w:hAnsi="宋体" w:cs="宋体"/>
          <w:b/>
          <w:bCs/>
          <w:color w:val="000000" w:themeColor="text1"/>
          <w14:textFill>
            <w14:solidFill>
              <w14:schemeClr w14:val="tx1"/>
            </w14:solidFill>
          </w14:textFill>
        </w:rPr>
        <w:t>基本要求</w:t>
      </w:r>
      <w:bookmarkEnd w:id="252"/>
      <w:bookmarkEnd w:id="253"/>
    </w:p>
    <w:p>
      <w:pPr>
        <w:spacing w:line="360" w:lineRule="auto"/>
        <w:ind w:firstLine="482" w:firstLineChars="200"/>
        <w:jc w:val="left"/>
        <w:rPr>
          <w:rFonts w:ascii="宋体" w:hAnsi="宋体" w:cs="宋体"/>
          <w:b/>
          <w:bCs/>
          <w:color w:val="auto"/>
          <w:sz w:val="24"/>
        </w:rPr>
      </w:pPr>
      <w:r>
        <w:rPr>
          <w:rFonts w:hint="eastAsia" w:ascii="宋体" w:hAnsi="宋体" w:cs="宋体"/>
          <w:b/>
          <w:bCs/>
          <w:color w:val="000000" w:themeColor="text1"/>
          <w:sz w:val="24"/>
          <w14:textFill>
            <w14:solidFill>
              <w14:schemeClr w14:val="tx1"/>
            </w14:solidFill>
          </w14:textFill>
        </w:rPr>
        <w:t>要求能够将住院电子医嘱从HIS系统中剥离出来，与我院现有住院电子病历系统深度融合，实现基于底层数据的病历医嘱一体化，该模式不同于HIS中的以人、财物管理为主的管理内容，需</w:t>
      </w:r>
      <w:r>
        <w:rPr>
          <w:rFonts w:hint="eastAsia" w:ascii="宋体" w:hAnsi="宋体" w:cs="宋体"/>
          <w:b/>
          <w:bCs/>
          <w:color w:val="auto"/>
          <w:sz w:val="24"/>
        </w:rPr>
        <w:t>具有以下</w:t>
      </w:r>
      <w:r>
        <w:rPr>
          <w:rFonts w:ascii="宋体" w:hAnsi="宋体" w:cs="宋体"/>
          <w:b/>
          <w:bCs/>
          <w:color w:val="auto"/>
          <w:sz w:val="24"/>
        </w:rPr>
        <w:t>功能</w:t>
      </w:r>
      <w:r>
        <w:rPr>
          <w:rFonts w:hint="eastAsia" w:ascii="宋体" w:hAnsi="宋体" w:cs="宋体"/>
          <w:b/>
          <w:bCs/>
          <w:color w:val="auto"/>
          <w:sz w:val="24"/>
        </w:rPr>
        <w:t>:</w:t>
      </w:r>
    </w:p>
    <w:p>
      <w:pPr>
        <w:pStyle w:val="432"/>
        <w:widowControl/>
        <w:numPr>
          <w:ilvl w:val="0"/>
          <w:numId w:val="91"/>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以医疗护理质量管理为核心的、闭环的管理功能，符合卫健委电子病历功能规范的要求；</w:t>
      </w:r>
    </w:p>
    <w:p>
      <w:pPr>
        <w:pStyle w:val="432"/>
        <w:widowControl/>
        <w:numPr>
          <w:ilvl w:val="0"/>
          <w:numId w:val="91"/>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能够提供检查检验申请执行状态和结果查询功能；</w:t>
      </w:r>
    </w:p>
    <w:p>
      <w:pPr>
        <w:pStyle w:val="432"/>
        <w:widowControl/>
        <w:numPr>
          <w:ilvl w:val="0"/>
          <w:numId w:val="91"/>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提供医嘱执行结果（如过敏试验结果，检验标本采集时间）的录入，并向医师反馈的功能。</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54" w:name="_Toc71663215"/>
      <w:bookmarkStart w:id="255" w:name="_Hlk60129902"/>
      <w:r>
        <w:rPr>
          <w:rFonts w:hint="eastAsia" w:ascii="宋体" w:hAnsi="宋体" w:eastAsia="宋体" w:cs="宋体"/>
          <w:color w:val="000000" w:themeColor="text1"/>
          <w:sz w:val="24"/>
          <w:szCs w:val="24"/>
          <w14:textFill>
            <w14:solidFill>
              <w14:schemeClr w14:val="tx1"/>
            </w14:solidFill>
          </w14:textFill>
        </w:rPr>
        <w:t>住院医生医嘱系统</w:t>
      </w:r>
      <w:bookmarkEnd w:id="254"/>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56" w:name="_Toc58517491"/>
      <w:r>
        <w:rPr>
          <w:rFonts w:hint="eastAsia" w:ascii="宋体" w:hAnsi="宋体" w:eastAsia="宋体" w:cs="宋体"/>
          <w:color w:val="000000" w:themeColor="text1"/>
          <w:sz w:val="24"/>
          <w:szCs w:val="24"/>
          <w14:textFill>
            <w14:solidFill>
              <w14:schemeClr w14:val="tx1"/>
            </w14:solidFill>
          </w14:textFill>
        </w:rPr>
        <w:t>医生医嘱下达</w:t>
      </w:r>
      <w:bookmarkEnd w:id="256"/>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支持长期、临时医嘱的下达、停止；</w:t>
      </w:r>
    </w:p>
    <w:p>
      <w:pPr>
        <w:pStyle w:val="432"/>
        <w:widowControl/>
        <w:numPr>
          <w:ilvl w:val="0"/>
          <w:numId w:val="92"/>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支持多种类型医嘱的下达，包括西药、中成药、草药、处置/治疗、护理、手术、膳食、嘱托类医嘱内容； </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支持会诊医嘱的下达，与医院短信平台对接；</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支持手术医嘱的下达；</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支持输血医嘱的下达；</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支持草药医嘱的特殊下达模式；</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支持出院医嘱的特殊下达模式；</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支持主医嘱下关联子医嘱的下达模式；</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支持对未提交的医嘱进行修改，或可一键修改为长期、一键修改为临时；</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支持对未提交的医嘱进行开始时间的修改；</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支持将下达过的医嘱保存进医嘱套餐，方便下次使用；</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支持医嘱下达时自动带出对应的剂量、频率、用法等；</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支持医嘱下达时进行医保适应症、库存的校验；</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提供医嘱套餐功能，方便医生快速下达医嘱；</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支持在采用医嘱套餐批量下达医嘱时，系统能够对医保适应症，库存等进行校验；</w:t>
      </w:r>
    </w:p>
    <w:p>
      <w:pPr>
        <w:pStyle w:val="432"/>
        <w:widowControl/>
        <w:numPr>
          <w:ilvl w:val="0"/>
          <w:numId w:val="92"/>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支持医嘱的复制功能，提供长期医嘱复制为临时医嘱，或临时医嘱复制为长期医嘱的功能；</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支持未确费医嘱的撤销功能；</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支持临时已确费但未执行医嘱的作废功能；</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支持医嘱的生成组或解除组功能；</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支持将在院用的药品一键复制为出院带药；</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支持医嘱的查询功能，同时支持通过不同颜色标识不同状态的医嘱；</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支持当前、长期、临时条件下的医嘱查询；</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支持今日医嘱的单独查看功能；</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支持对已执行或未执行医嘱分别进行查看；</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支持针对不同的医嘱类型分别进行医嘱查询；</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支持医嘱的打印功能，可分别打印长期医嘱单、临时医嘱单；</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支持根据医师医嘱下达的权限在抗菌药物下达权限不足时进行提醒；</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（1）对医生抗菌药物使用权限不足能够自动弹出提示内容进行提示；对特殊情况越级使用抗生素提供给申请审批管理流程；</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（2）支持抗菌药物使用目的管理，在医生下达提交抗菌药物时，自动弹出抗菌药物使用目的页面，由医生选择明确的抗菌药物使用目的；</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（3）抗菌药物使用目的需包括经验用药、药敏用药、手术预防/切口类型；</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（4）选择手术预防时，需允许医生勾选手术清洁指征，并能够自动读取该患者手术文书中是否有关联手术名称，来判断该患者是否符合使用目的。</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支持根据医师医嘱下达的权限在毒麻药达权限不足时进行提醒；</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需要皮试的医嘱，能够在医嘱下达时勾选“需皮试”，自生生成皮试医嘱；</w:t>
      </w:r>
    </w:p>
    <w:p>
      <w:pPr>
        <w:pStyle w:val="432"/>
        <w:widowControl/>
        <w:numPr>
          <w:ilvl w:val="0"/>
          <w:numId w:val="92"/>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支持与合理用药系统的整合，在医嘱下达时能关联项目获得药物知识，如提供药物说明查询功能；</w:t>
      </w:r>
    </w:p>
    <w:p>
      <w:pPr>
        <w:pStyle w:val="432"/>
        <w:widowControl/>
        <w:numPr>
          <w:ilvl w:val="0"/>
          <w:numId w:val="92"/>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支持与合理用药系统的整合，在下达医嘱进行用药合理性校验。</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57" w:name="_Toc58517492"/>
      <w:r>
        <w:rPr>
          <w:rFonts w:hint="eastAsia" w:ascii="宋体" w:hAnsi="宋体" w:eastAsia="宋体" w:cs="宋体"/>
          <w:color w:val="000000" w:themeColor="text1"/>
          <w:sz w:val="24"/>
          <w:szCs w:val="24"/>
          <w14:textFill>
            <w14:solidFill>
              <w14:schemeClr w14:val="tx1"/>
            </w14:solidFill>
          </w14:textFill>
        </w:rPr>
        <w:t>住院电子申请</w:t>
      </w:r>
      <w:bookmarkEnd w:id="257"/>
    </w:p>
    <w:p>
      <w:pPr>
        <w:pStyle w:val="8"/>
        <w:spacing w:line="360" w:lineRule="auto"/>
        <w:jc w:val="left"/>
        <w:rPr>
          <w:rFonts w:ascii="宋体" w:hAnsi="宋体" w:cs="宋体"/>
          <w:color w:val="000000" w:themeColor="text1"/>
          <w:sz w:val="24"/>
          <w:szCs w:val="24"/>
          <w14:textFill>
            <w14:solidFill>
              <w14:schemeClr w14:val="tx1"/>
            </w14:solidFill>
          </w14:textFill>
        </w:rPr>
      </w:pPr>
      <w:bookmarkStart w:id="258" w:name="_Toc58517493"/>
      <w:r>
        <w:rPr>
          <w:rFonts w:hint="eastAsia" w:ascii="宋体" w:hAnsi="宋体" w:cs="宋体"/>
          <w:color w:val="000000" w:themeColor="text1"/>
          <w:sz w:val="24"/>
          <w:szCs w:val="24"/>
          <w14:textFill>
            <w14:solidFill>
              <w14:schemeClr w14:val="tx1"/>
            </w14:solidFill>
          </w14:textFill>
        </w:rPr>
        <w:t>电子申请</w:t>
      </w:r>
      <w:bookmarkEnd w:id="258"/>
    </w:p>
    <w:p>
      <w:pPr>
        <w:pStyle w:val="432"/>
        <w:widowControl/>
        <w:numPr>
          <w:ilvl w:val="0"/>
          <w:numId w:val="93"/>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支持检验申请单的下达，并自动生成检验医嘱；</w:t>
      </w:r>
    </w:p>
    <w:p>
      <w:pPr>
        <w:pStyle w:val="432"/>
        <w:widowControl/>
        <w:numPr>
          <w:ilvl w:val="0"/>
          <w:numId w:val="93"/>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支持检查申请单的下达，并自动生成检查医嘱；</w:t>
      </w:r>
    </w:p>
    <w:p>
      <w:pPr>
        <w:pStyle w:val="432"/>
        <w:widowControl/>
        <w:numPr>
          <w:ilvl w:val="0"/>
          <w:numId w:val="93"/>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支持检验申请单和检查申请单的查看功能；</w:t>
      </w:r>
    </w:p>
    <w:p>
      <w:pPr>
        <w:pStyle w:val="432"/>
        <w:widowControl/>
        <w:numPr>
          <w:ilvl w:val="0"/>
          <w:numId w:val="93"/>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下达住院检查申请时能获得患者的病情摘要、诊断信息。</w:t>
      </w:r>
    </w:p>
    <w:p>
      <w:pPr>
        <w:pStyle w:val="8"/>
        <w:spacing w:line="360" w:lineRule="auto"/>
        <w:jc w:val="left"/>
        <w:rPr>
          <w:rFonts w:ascii="宋体" w:hAnsi="宋体" w:cs="宋体"/>
          <w:color w:val="000000" w:themeColor="text1"/>
          <w:sz w:val="24"/>
          <w:szCs w:val="24"/>
          <w14:textFill>
            <w14:solidFill>
              <w14:schemeClr w14:val="tx1"/>
            </w14:solidFill>
          </w14:textFill>
        </w:rPr>
      </w:pPr>
      <w:bookmarkStart w:id="259" w:name="_Toc58517494"/>
      <w:r>
        <w:rPr>
          <w:rFonts w:hint="eastAsia" w:ascii="宋体" w:hAnsi="宋体" w:cs="宋体"/>
          <w:color w:val="000000" w:themeColor="text1"/>
          <w:sz w:val="24"/>
          <w:szCs w:val="24"/>
          <w14:textFill>
            <w14:solidFill>
              <w14:schemeClr w14:val="tx1"/>
            </w14:solidFill>
          </w14:textFill>
        </w:rPr>
        <w:t>报告查看</w:t>
      </w:r>
      <w:bookmarkEnd w:id="259"/>
    </w:p>
    <w:p>
      <w:pPr>
        <w:pStyle w:val="432"/>
        <w:widowControl/>
        <w:numPr>
          <w:ilvl w:val="0"/>
          <w:numId w:val="94"/>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提供住院检验报告查阅功能，对多次报告的可生成趋势图；</w:t>
      </w:r>
    </w:p>
    <w:p>
      <w:pPr>
        <w:pStyle w:val="432"/>
        <w:widowControl/>
        <w:numPr>
          <w:ilvl w:val="0"/>
          <w:numId w:val="94"/>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提供住院检查报告查阅功能，支持检查报告图片的调阅功能；</w:t>
      </w:r>
    </w:p>
    <w:p>
      <w:pPr>
        <w:pStyle w:val="432"/>
        <w:widowControl/>
        <w:numPr>
          <w:ilvl w:val="0"/>
          <w:numId w:val="94"/>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提供按时间轴的方式展示就诊病人历次所有检验检查报告的功能。</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60" w:name="_Toc58517495"/>
      <w:r>
        <w:rPr>
          <w:rFonts w:hint="eastAsia" w:ascii="宋体" w:hAnsi="宋体" w:eastAsia="宋体" w:cs="宋体"/>
          <w:color w:val="000000" w:themeColor="text1"/>
          <w:sz w:val="24"/>
          <w:szCs w:val="24"/>
          <w14:textFill>
            <w14:solidFill>
              <w14:schemeClr w14:val="tx1"/>
            </w14:solidFill>
          </w14:textFill>
        </w:rPr>
        <w:t>医嘱与</w:t>
      </w:r>
      <w:bookmarkEnd w:id="260"/>
      <w:r>
        <w:rPr>
          <w:rFonts w:hint="eastAsia" w:ascii="宋体" w:hAnsi="宋体" w:eastAsia="宋体" w:cs="宋体"/>
          <w:color w:val="000000" w:themeColor="text1"/>
          <w:sz w:val="24"/>
          <w:szCs w:val="24"/>
          <w14:textFill>
            <w14:solidFill>
              <w14:schemeClr w14:val="tx1"/>
            </w14:solidFill>
          </w14:textFill>
        </w:rPr>
        <w:t>病历一体化应用</w:t>
      </w:r>
    </w:p>
    <w:p>
      <w:pPr>
        <w:pStyle w:val="432"/>
        <w:widowControl/>
        <w:numPr>
          <w:ilvl w:val="0"/>
          <w:numId w:val="95"/>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支持下达医嘱时对病人过敏史的校验，对有过敏记录的药品进行自动提醒；</w:t>
      </w:r>
    </w:p>
    <w:p>
      <w:pPr>
        <w:pStyle w:val="432"/>
        <w:widowControl/>
        <w:numPr>
          <w:ilvl w:val="0"/>
          <w:numId w:val="95"/>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在医嘱下达时提供病历资料的查阅功能；</w:t>
      </w:r>
    </w:p>
    <w:p>
      <w:pPr>
        <w:pStyle w:val="432"/>
        <w:widowControl/>
        <w:numPr>
          <w:ilvl w:val="0"/>
          <w:numId w:val="95"/>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支持在医嘱下达页面直接调取会诊申请、手术申请、输血申请页面填写申请内容并能够根据会诊、手术、输血申请的提交自动生成对应医嘱：</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（1）支持在医嘱下达时调阅会诊申请页面，可直接填写会诊申请；支持会诊申请的提交自动生成会诊医嘱；</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（2）支持在医嘱下达时调阅手术申请页面，可直接填写手术申请；支持手术申请的提交自动生成手术医嘱</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（3）支持在医嘱下达时调阅输血申请页面，可直接填写输血申请；支持输血申请的提交自动生成手术医嘱。</w:t>
      </w:r>
    </w:p>
    <w:p>
      <w:pPr>
        <w:pStyle w:val="432"/>
        <w:widowControl/>
        <w:numPr>
          <w:ilvl w:val="0"/>
          <w:numId w:val="95"/>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支持检查申请单填写时自动同步病人书写过的病历及诊断内容；</w:t>
      </w:r>
    </w:p>
    <w:p>
      <w:pPr>
        <w:pStyle w:val="432"/>
        <w:widowControl/>
        <w:numPr>
          <w:ilvl w:val="0"/>
          <w:numId w:val="95"/>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支持医嘱下达后自动同步到医生的诊疗计划页面中；</w:t>
      </w:r>
    </w:p>
    <w:p>
      <w:pPr>
        <w:pStyle w:val="432"/>
        <w:widowControl/>
        <w:numPr>
          <w:ilvl w:val="0"/>
          <w:numId w:val="95"/>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▲支持诊疗事件的关联性检查，并允许进行灵活配置定义；可以配置各种诊疗事件或病历书写事件间的关联关系，并自动驱动关联诊疗事件的任务</w:t>
      </w:r>
      <w:r>
        <w:rPr>
          <w:rFonts w:hint="eastAsia" w:ascii="宋体" w:hAnsi="宋体" w:cs="宋体"/>
          <w:bCs/>
          <w:color w:val="000000" w:themeColor="text1"/>
          <w:sz w:val="24"/>
          <w14:textFill>
            <w14:solidFill>
              <w14:schemeClr w14:val="tx1"/>
            </w14:solidFill>
          </w14:textFill>
        </w:rPr>
        <w:t>（投标人须提供成熟系统的功能截图并详细说明）</w:t>
      </w:r>
      <w:r>
        <w:rPr>
          <w:rFonts w:hint="eastAsia" w:ascii="宋体" w:hAnsi="宋体" w:cs="宋体"/>
          <w:color w:val="000000" w:themeColor="text1"/>
          <w:sz w:val="24"/>
          <w14:textFill>
            <w14:solidFill>
              <w14:schemeClr w14:val="tx1"/>
            </w14:solidFill>
          </w14:textFill>
        </w:rPr>
        <w:t>，具体要求如下：</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（1）提供医嘱驱动任务的配置工具，支持不同的医嘱下达时对应不同的病历书写任务生成；</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（2）提供医嘱驱动诊疗任务功能，支持医嘱下达时关联治疗、化疗、放疗输血等病历流程质控功能；</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（3）提供病历驱动医嘱功能，支持在进行特定治疗申请文书编写时，自动检查驱动完成相关联医嘱，能够实现如提交输血申请病历时，驱动医生完成输血前的检验项目。</w:t>
      </w:r>
    </w:p>
    <w:bookmarkEnd w:id="255"/>
    <w:p>
      <w:pPr>
        <w:pStyle w:val="6"/>
        <w:spacing w:line="360" w:lineRule="auto"/>
        <w:ind w:firstLine="0" w:firstLineChars="0"/>
        <w:rPr>
          <w:rFonts w:ascii="宋体" w:hAnsi="宋体" w:cs="宋体"/>
          <w:color w:val="000000" w:themeColor="text1"/>
          <w14:textFill>
            <w14:solidFill>
              <w14:schemeClr w14:val="tx1"/>
            </w14:solidFill>
          </w14:textFill>
        </w:rPr>
      </w:pPr>
      <w:bookmarkStart w:id="261" w:name="_Toc71663216"/>
      <w:bookmarkStart w:id="262" w:name="_Toc25279"/>
      <w:bookmarkStart w:id="263" w:name="_Toc50889757"/>
      <w:r>
        <w:rPr>
          <w:rFonts w:hint="eastAsia" w:ascii="宋体" w:hAnsi="宋体" w:cs="宋体"/>
          <w:b/>
          <w:bCs/>
          <w:color w:val="000000" w:themeColor="text1"/>
          <w14:textFill>
            <w14:solidFill>
              <w14:schemeClr w14:val="tx1"/>
            </w14:solidFill>
          </w14:textFill>
        </w:rPr>
        <w:t>住院护士电子医嘱</w:t>
      </w:r>
      <w:bookmarkEnd w:id="261"/>
      <w:bookmarkEnd w:id="262"/>
      <w:bookmarkEnd w:id="263"/>
    </w:p>
    <w:p>
      <w:pPr>
        <w:pStyle w:val="432"/>
        <w:widowControl/>
        <w:numPr>
          <w:ilvl w:val="0"/>
          <w:numId w:val="96"/>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提供护理医嘱下达：提供护理医嘱的下达功能，下达方式参照医生医嘱下达。</w:t>
      </w:r>
    </w:p>
    <w:p>
      <w:pPr>
        <w:pStyle w:val="432"/>
        <w:widowControl/>
        <w:numPr>
          <w:ilvl w:val="0"/>
          <w:numId w:val="96"/>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提供变更医嘱的查询功能，包括当天新增、当天停止、当天撤销类型的医嘱；</w:t>
      </w:r>
    </w:p>
    <w:p>
      <w:pPr>
        <w:pStyle w:val="432"/>
        <w:widowControl/>
        <w:numPr>
          <w:ilvl w:val="0"/>
          <w:numId w:val="96"/>
        </w:numPr>
        <w:spacing w:line="360" w:lineRule="auto"/>
        <w:ind w:left="0" w:right="57" w:rightChars="27"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提供变更医嘱的核对及打印功能。支持录入陪护人员信息，并关联LIS系统查看核酸检测结果，根据结果打印陪护证。</w:t>
      </w:r>
    </w:p>
    <w:p>
      <w:pPr>
        <w:pStyle w:val="432"/>
        <w:widowControl/>
        <w:numPr>
          <w:ilvl w:val="0"/>
          <w:numId w:val="96"/>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医嘱确认</w:t>
      </w:r>
    </w:p>
    <w:p>
      <w:pPr>
        <w:numPr>
          <w:ilvl w:val="0"/>
          <w:numId w:val="9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护士可以对医生提交的医嘱进行确认处理；在执行时，能够看到病人以往有效医嘱，便于核对，避免重复医嘱；</w:t>
      </w:r>
    </w:p>
    <w:p>
      <w:pPr>
        <w:numPr>
          <w:ilvl w:val="0"/>
          <w:numId w:val="9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自动识别药物过敏史，根据护士的皮试结果记录，阳性结果时在开医嘱时自动做出提示；</w:t>
      </w:r>
    </w:p>
    <w:p>
      <w:pPr>
        <w:numPr>
          <w:ilvl w:val="0"/>
          <w:numId w:val="9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对未确认的变更医嘱有提示，特别是ST医嘱优先提示。</w:t>
      </w:r>
    </w:p>
    <w:p>
      <w:pPr>
        <w:pStyle w:val="432"/>
        <w:widowControl/>
        <w:numPr>
          <w:ilvl w:val="0"/>
          <w:numId w:val="96"/>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提供皮试结果录入和确认功能；通过记录在护理记录单后可以联动到三测单上；</w:t>
      </w:r>
    </w:p>
    <w:p>
      <w:pPr>
        <w:pStyle w:val="432"/>
        <w:widowControl/>
        <w:numPr>
          <w:ilvl w:val="0"/>
          <w:numId w:val="96"/>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护士确认后的皮试结果能够自动反馈到医生工作站；</w:t>
      </w:r>
    </w:p>
    <w:p>
      <w:pPr>
        <w:pStyle w:val="432"/>
        <w:widowControl/>
        <w:numPr>
          <w:ilvl w:val="0"/>
          <w:numId w:val="96"/>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皮试结果为阳性的医嘱，系统支持自动提示撤销该医嘱。</w:t>
      </w:r>
    </w:p>
    <w:p>
      <w:pPr>
        <w:pStyle w:val="432"/>
        <w:widowControl/>
        <w:numPr>
          <w:ilvl w:val="0"/>
          <w:numId w:val="96"/>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医嘱执行单生成</w:t>
      </w:r>
    </w:p>
    <w:p>
      <w:pPr>
        <w:numPr>
          <w:ilvl w:val="0"/>
          <w:numId w:val="9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提供执行单生成功能，可生成今日或明日的执行单；执行单上有明确的核对人、执行人签名处、具体执行时间填写处；口服药执行单根据医嘱有明确执行时间点；</w:t>
      </w:r>
    </w:p>
    <w:p>
      <w:pPr>
        <w:numPr>
          <w:ilvl w:val="0"/>
          <w:numId w:val="98"/>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支持各种类型执行单的打印操作；</w:t>
      </w:r>
    </w:p>
    <w:p>
      <w:pPr>
        <w:numPr>
          <w:ilvl w:val="0"/>
          <w:numId w:val="98"/>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支持单个病人或批量生成各种医嘱执行单的功能；</w:t>
      </w:r>
    </w:p>
    <w:p>
      <w:pPr>
        <w:numPr>
          <w:ilvl w:val="0"/>
          <w:numId w:val="9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支持执行单打印处理和查询功能，可按日期，执行单类型，执行状态条件进行检索；</w:t>
      </w:r>
    </w:p>
    <w:p>
      <w:pPr>
        <w:numPr>
          <w:ilvl w:val="0"/>
          <w:numId w:val="9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执行单上病人姓名、住院号或ID号、药名、剂量、频次、时间、用法，并支持大字体；</w:t>
      </w:r>
    </w:p>
    <w:p>
      <w:pPr>
        <w:numPr>
          <w:ilvl w:val="0"/>
          <w:numId w:val="98"/>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医嘱执行单能够显示药物皮试结果；</w:t>
      </w:r>
    </w:p>
    <w:p>
      <w:pPr>
        <w:numPr>
          <w:ilvl w:val="0"/>
          <w:numId w:val="98"/>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对高危、毒麻药品打印时有特殊标识。</w:t>
      </w:r>
    </w:p>
    <w:p>
      <w:pPr>
        <w:pStyle w:val="432"/>
        <w:widowControl/>
        <w:numPr>
          <w:ilvl w:val="0"/>
          <w:numId w:val="96"/>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医嘱打印</w:t>
      </w:r>
    </w:p>
    <w:p>
      <w:pPr>
        <w:numPr>
          <w:ilvl w:val="0"/>
          <w:numId w:val="9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允许对长期医嘱和临时医嘱单进行打印处理；</w:t>
      </w:r>
    </w:p>
    <w:p>
      <w:pPr>
        <w:numPr>
          <w:ilvl w:val="0"/>
          <w:numId w:val="9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支持对医嘱单的整体打印和续打、套打操作；</w:t>
      </w:r>
    </w:p>
    <w:p>
      <w:pPr>
        <w:pStyle w:val="432"/>
        <w:widowControl/>
        <w:numPr>
          <w:ilvl w:val="0"/>
          <w:numId w:val="96"/>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医嘱执行根据生成的医嘱执行单，护士可以进行确认执行处理。</w:t>
      </w:r>
    </w:p>
    <w:p>
      <w:pPr>
        <w:pStyle w:val="432"/>
        <w:widowControl/>
        <w:numPr>
          <w:ilvl w:val="0"/>
          <w:numId w:val="96"/>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医嘱查询 </w:t>
      </w:r>
    </w:p>
    <w:p>
      <w:pPr>
        <w:numPr>
          <w:ilvl w:val="0"/>
          <w:numId w:val="10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提供病区内病人术前临时医嘱的查询和打印功能；</w:t>
      </w:r>
    </w:p>
    <w:p>
      <w:pPr>
        <w:numPr>
          <w:ilvl w:val="0"/>
          <w:numId w:val="10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提供病区内病人一段时间内检验单的查询功能；</w:t>
      </w:r>
    </w:p>
    <w:p>
      <w:pPr>
        <w:numPr>
          <w:ilvl w:val="0"/>
          <w:numId w:val="10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提供病区内病人一段时间内检查单的查询功能。</w:t>
      </w:r>
    </w:p>
    <w:p>
      <w:pPr>
        <w:numPr>
          <w:ilvl w:val="0"/>
          <w:numId w:val="10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提供病区内病人一段时间内某项医嘱如气管插管的查询功能，并且可以生成EXCEL表；</w:t>
      </w:r>
    </w:p>
    <w:p>
      <w:pPr>
        <w:numPr>
          <w:ilvl w:val="0"/>
          <w:numId w:val="10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支持医嘱查询时，不同状态的医嘱用不同的颜色区分；</w:t>
      </w:r>
    </w:p>
    <w:p>
      <w:pPr>
        <w:numPr>
          <w:ilvl w:val="0"/>
          <w:numId w:val="10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提供术前临时医嘱汇总查询功能。</w:t>
      </w:r>
    </w:p>
    <w:p>
      <w:pPr>
        <w:pStyle w:val="432"/>
        <w:widowControl/>
        <w:numPr>
          <w:ilvl w:val="0"/>
          <w:numId w:val="96"/>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摆药退药</w:t>
      </w:r>
    </w:p>
    <w:p>
      <w:pPr>
        <w:numPr>
          <w:ilvl w:val="0"/>
          <w:numId w:val="10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提供摆药申请功能，可对摆药记录明细及领量药品等进行查询；</w:t>
      </w:r>
    </w:p>
    <w:p>
      <w:pPr>
        <w:numPr>
          <w:ilvl w:val="0"/>
          <w:numId w:val="10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提供未摆药查询功能；</w:t>
      </w:r>
    </w:p>
    <w:p>
      <w:pPr>
        <w:numPr>
          <w:ilvl w:val="0"/>
          <w:numId w:val="10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提供退药申请功能；</w:t>
      </w:r>
    </w:p>
    <w:p>
      <w:pPr>
        <w:pStyle w:val="432"/>
        <w:widowControl/>
        <w:numPr>
          <w:ilvl w:val="0"/>
          <w:numId w:val="96"/>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计费补录</w:t>
      </w:r>
    </w:p>
    <w:p>
      <w:pPr>
        <w:numPr>
          <w:ilvl w:val="0"/>
          <w:numId w:val="10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提供计费套餐维护功能，支持维护病区和全院的计费套餐； </w:t>
      </w:r>
    </w:p>
    <w:p>
      <w:pPr>
        <w:numPr>
          <w:ilvl w:val="0"/>
          <w:numId w:val="10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支持护士在进行医嘱确认时，护士可查看医嘱关联的计费项目，并且可修改计费项目的数量；</w:t>
      </w:r>
    </w:p>
    <w:p>
      <w:pPr>
        <w:numPr>
          <w:ilvl w:val="0"/>
          <w:numId w:val="10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支持护士在进行医嘱确认时，对于个别缺少的计费项目，护士也可新增计费项目；</w:t>
      </w:r>
    </w:p>
    <w:p>
      <w:pPr>
        <w:numPr>
          <w:ilvl w:val="0"/>
          <w:numId w:val="10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提供计费补录功能，护士可对某个病人缺少的计费项目进行补录；</w:t>
      </w:r>
    </w:p>
    <w:p>
      <w:pPr>
        <w:numPr>
          <w:ilvl w:val="0"/>
          <w:numId w:val="10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支持护士在进行计费补录时，能够导入病区或全院的计费套餐，补录费用就能关联到对应的医嘱；</w:t>
      </w:r>
    </w:p>
    <w:p>
      <w:pPr>
        <w:numPr>
          <w:ilvl w:val="0"/>
          <w:numId w:val="10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提供计费汇总查询功能；</w:t>
      </w:r>
    </w:p>
    <w:p>
      <w:pPr>
        <w:numPr>
          <w:ilvl w:val="0"/>
          <w:numId w:val="10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支持部分医嘱的自动计费，如：床位费、xx级护理自动计费。支持医嘱执行时部分护理费用的自动计费，如输液时自动记录输液费、心电监测结束时自动计算并计费。</w:t>
      </w:r>
    </w:p>
    <w:p>
      <w:pPr>
        <w:pStyle w:val="432"/>
        <w:widowControl/>
        <w:numPr>
          <w:ilvl w:val="0"/>
          <w:numId w:val="96"/>
        </w:numPr>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催补预交金</w:t>
      </w:r>
    </w:p>
    <w:p>
      <w:pPr>
        <w:numPr>
          <w:ilvl w:val="0"/>
          <w:numId w:val="10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提供催补预交金功能，护士可自动根据医疗费占预交金比率对催补预交金患者进行筛选，打印催缴单；</w:t>
      </w:r>
    </w:p>
    <w:p>
      <w:pPr>
        <w:pStyle w:val="6"/>
        <w:spacing w:line="360" w:lineRule="auto"/>
        <w:ind w:firstLine="0" w:firstLineChars="0"/>
        <w:rPr>
          <w:rFonts w:ascii="宋体" w:hAnsi="宋体" w:cs="宋体"/>
          <w:b/>
          <w:bCs/>
          <w:color w:val="000000" w:themeColor="text1"/>
          <w14:textFill>
            <w14:solidFill>
              <w14:schemeClr w14:val="tx1"/>
            </w14:solidFill>
          </w14:textFill>
        </w:rPr>
      </w:pPr>
      <w:bookmarkStart w:id="264" w:name="_Toc71663217"/>
      <w:r>
        <w:rPr>
          <w:rFonts w:hint="eastAsia" w:ascii="宋体" w:hAnsi="宋体" w:cs="宋体"/>
          <w:b/>
          <w:bCs/>
          <w:color w:val="000000" w:themeColor="text1"/>
          <w14:textFill>
            <w14:solidFill>
              <w14:schemeClr w14:val="tx1"/>
            </w14:solidFill>
          </w14:textFill>
        </w:rPr>
        <w:t>医嘱管理</w:t>
      </w:r>
      <w:bookmarkEnd w:id="264"/>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65" w:name="_Toc58517489"/>
      <w:bookmarkStart w:id="266" w:name="_Toc33620835"/>
      <w:r>
        <w:rPr>
          <w:rFonts w:hint="eastAsia" w:ascii="宋体" w:hAnsi="宋体" w:eastAsia="宋体" w:cs="宋体"/>
          <w:color w:val="000000" w:themeColor="text1"/>
          <w:sz w:val="24"/>
          <w:szCs w:val="24"/>
          <w14:textFill>
            <w14:solidFill>
              <w14:schemeClr w14:val="tx1"/>
            </w14:solidFill>
          </w14:textFill>
        </w:rPr>
        <w:t>医嘱维护与配置</w:t>
      </w:r>
      <w:bookmarkEnd w:id="265"/>
    </w:p>
    <w:p>
      <w:pPr>
        <w:numPr>
          <w:ilvl w:val="0"/>
          <w:numId w:val="10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支持对不同状态的医嘱记录的背景色和字体颜色进行配置；</w:t>
      </w:r>
    </w:p>
    <w:p>
      <w:pPr>
        <w:numPr>
          <w:ilvl w:val="0"/>
          <w:numId w:val="10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支持对医生医嘱查询列表展示的各项目进行配置；</w:t>
      </w:r>
    </w:p>
    <w:p>
      <w:pPr>
        <w:numPr>
          <w:ilvl w:val="0"/>
          <w:numId w:val="10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支持对医生检查申请页面的列表进行配置；</w:t>
      </w:r>
    </w:p>
    <w:p>
      <w:pPr>
        <w:numPr>
          <w:ilvl w:val="0"/>
          <w:numId w:val="10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支持对套餐维护页面的列表进行配置；</w:t>
      </w:r>
    </w:p>
    <w:p>
      <w:pPr>
        <w:numPr>
          <w:ilvl w:val="0"/>
          <w:numId w:val="10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支持对医嘱检索出的医嘱信息列表进行配置；</w:t>
      </w:r>
    </w:p>
    <w:p>
      <w:pPr>
        <w:numPr>
          <w:ilvl w:val="0"/>
          <w:numId w:val="10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支持对医嘱编辑页面的列宽进行配置。</w:t>
      </w:r>
    </w:p>
    <w:p>
      <w:pPr>
        <w:numPr>
          <w:ilvl w:val="0"/>
          <w:numId w:val="10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提供医疗名词的维护功能；</w:t>
      </w:r>
    </w:p>
    <w:p>
      <w:pPr>
        <w:numPr>
          <w:ilvl w:val="0"/>
          <w:numId w:val="10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支持维护长期抗菌药物使用目的；</w:t>
      </w:r>
    </w:p>
    <w:p>
      <w:pPr>
        <w:numPr>
          <w:ilvl w:val="0"/>
          <w:numId w:val="10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在医嘱展示区，支持配置医嘱展示的信息；</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67" w:name="_Toc58517490"/>
      <w:r>
        <w:rPr>
          <w:rFonts w:hint="eastAsia" w:ascii="宋体" w:hAnsi="宋体" w:eastAsia="宋体" w:cs="宋体"/>
          <w:color w:val="000000" w:themeColor="text1"/>
          <w:sz w:val="24"/>
          <w:szCs w:val="24"/>
          <w14:textFill>
            <w14:solidFill>
              <w14:schemeClr w14:val="tx1"/>
            </w14:solidFill>
          </w14:textFill>
        </w:rPr>
        <w:t>医嘱权限管理</w:t>
      </w:r>
      <w:bookmarkEnd w:id="267"/>
    </w:p>
    <w:p>
      <w:pPr>
        <w:pStyle w:val="432"/>
        <w:widowControl/>
        <w:numPr>
          <w:ilvl w:val="0"/>
          <w:numId w:val="105"/>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提供对医生下达使用抗菌药物的权限的配置功能；</w:t>
      </w:r>
    </w:p>
    <w:p>
      <w:pPr>
        <w:pStyle w:val="432"/>
        <w:widowControl/>
        <w:numPr>
          <w:ilvl w:val="0"/>
          <w:numId w:val="105"/>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提供对医生下达使用毒麻药的权限的配置功能；</w:t>
      </w:r>
    </w:p>
    <w:p>
      <w:pPr>
        <w:pStyle w:val="432"/>
        <w:widowControl/>
        <w:numPr>
          <w:ilvl w:val="0"/>
          <w:numId w:val="105"/>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提供对医生下达使用贵重药等特殊药品的权限的配置功能；</w:t>
      </w:r>
    </w:p>
    <w:p>
      <w:pPr>
        <w:pStyle w:val="432"/>
        <w:widowControl/>
        <w:numPr>
          <w:ilvl w:val="0"/>
          <w:numId w:val="105"/>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支持排斥医嘱的配置功能；</w:t>
      </w:r>
    </w:p>
    <w:p>
      <w:pPr>
        <w:pStyle w:val="432"/>
        <w:widowControl/>
        <w:numPr>
          <w:ilvl w:val="0"/>
          <w:numId w:val="105"/>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支持个人、科室、全院医嘱套餐维护功能；</w:t>
      </w:r>
    </w:p>
    <w:p>
      <w:pPr>
        <w:pStyle w:val="432"/>
        <w:widowControl/>
        <w:numPr>
          <w:ilvl w:val="0"/>
          <w:numId w:val="105"/>
        </w:numPr>
        <w:spacing w:line="360" w:lineRule="auto"/>
        <w:ind w:right="57" w:rightChars="27"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支持医生说明维护功能。</w:t>
      </w:r>
    </w:p>
    <w:p>
      <w:pPr>
        <w:pStyle w:val="5"/>
        <w:jc w:val="left"/>
        <w:rPr>
          <w:rFonts w:ascii="宋体" w:hAnsi="宋体" w:eastAsia="宋体" w:cs="宋体"/>
          <w:color w:val="000000" w:themeColor="text1"/>
          <w:sz w:val="24"/>
          <w:szCs w:val="24"/>
          <w14:textFill>
            <w14:solidFill>
              <w14:schemeClr w14:val="tx1"/>
            </w14:solidFill>
          </w14:textFill>
        </w:rPr>
      </w:pPr>
      <w:bookmarkStart w:id="268" w:name="_Toc71663218"/>
      <w:r>
        <w:rPr>
          <w:rFonts w:hint="eastAsia" w:ascii="宋体" w:hAnsi="宋体" w:eastAsia="宋体" w:cs="宋体"/>
          <w:color w:val="000000" w:themeColor="text1"/>
          <w:sz w:val="24"/>
          <w:szCs w:val="24"/>
          <w14:textFill>
            <w14:solidFill>
              <w14:schemeClr w14:val="tx1"/>
            </w14:solidFill>
          </w14:textFill>
        </w:rPr>
        <w:t>临床路径</w:t>
      </w:r>
      <w:bookmarkEnd w:id="266"/>
      <w:r>
        <w:rPr>
          <w:rFonts w:hint="eastAsia" w:ascii="宋体" w:hAnsi="宋体" w:eastAsia="宋体" w:cs="宋体"/>
          <w:color w:val="000000" w:themeColor="text1"/>
          <w:sz w:val="24"/>
          <w:szCs w:val="24"/>
          <w14:textFill>
            <w14:solidFill>
              <w14:schemeClr w14:val="tx1"/>
            </w14:solidFill>
          </w14:textFill>
        </w:rPr>
        <w:t>管理系统</w:t>
      </w:r>
      <w:bookmarkEnd w:id="268"/>
    </w:p>
    <w:p>
      <w:pPr>
        <w:pStyle w:val="5"/>
        <w:jc w:val="left"/>
        <w:rPr>
          <w:rFonts w:ascii="宋体" w:hAnsi="宋体" w:eastAsia="宋体" w:cs="宋体"/>
          <w:color w:val="000000" w:themeColor="text1"/>
          <w:sz w:val="24"/>
          <w:szCs w:val="24"/>
          <w14:textFill>
            <w14:solidFill>
              <w14:schemeClr w14:val="tx1"/>
            </w14:solidFill>
          </w14:textFill>
        </w:rPr>
      </w:pPr>
      <w:bookmarkStart w:id="269" w:name="_Toc71663219"/>
      <w:r>
        <w:rPr>
          <w:rFonts w:hint="eastAsia" w:ascii="宋体" w:hAnsi="宋体" w:eastAsia="宋体" w:cs="宋体"/>
          <w:color w:val="000000" w:themeColor="text1"/>
          <w:sz w:val="24"/>
          <w:szCs w:val="24"/>
          <w14:textFill>
            <w14:solidFill>
              <w14:schemeClr w14:val="tx1"/>
            </w14:solidFill>
          </w14:textFill>
        </w:rPr>
        <w:t>基本要求</w:t>
      </w:r>
      <w:bookmarkEnd w:id="269"/>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临床路径管理系统体现以电子病历为核心的理念，临床路径系统需要实现与电子病历系统及电子医嘱系统的无缝整合，实现主要诊疗工作、长期/临时医嘱的统一查看，同时支持医嘱项目的自动匹配勾选。</w:t>
      </w:r>
    </w:p>
    <w:p>
      <w:pPr>
        <w:pStyle w:val="5"/>
        <w:jc w:val="left"/>
        <w:rPr>
          <w:rFonts w:ascii="宋体" w:hAnsi="宋体" w:eastAsia="宋体" w:cs="宋体"/>
          <w:color w:val="000000" w:themeColor="text1"/>
          <w:sz w:val="24"/>
          <w:szCs w:val="24"/>
          <w14:textFill>
            <w14:solidFill>
              <w14:schemeClr w14:val="tx1"/>
            </w14:solidFill>
          </w14:textFill>
        </w:rPr>
      </w:pPr>
      <w:bookmarkStart w:id="270" w:name="_Toc71663220"/>
      <w:r>
        <w:rPr>
          <w:rFonts w:hint="eastAsia" w:ascii="宋体" w:hAnsi="宋体" w:eastAsia="宋体" w:cs="宋体"/>
          <w:color w:val="000000" w:themeColor="text1"/>
          <w:sz w:val="24"/>
          <w:szCs w:val="24"/>
          <w14:textFill>
            <w14:solidFill>
              <w14:schemeClr w14:val="tx1"/>
            </w14:solidFill>
          </w14:textFill>
        </w:rPr>
        <w:t>路径定义</w:t>
      </w:r>
      <w:bookmarkEnd w:id="270"/>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提供临床路径制定的工具：</w:t>
      </w:r>
    </w:p>
    <w:p>
      <w:pPr>
        <w:numPr>
          <w:ilvl w:val="0"/>
          <w:numId w:val="106"/>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需提供满足并涵盖国家印发的所有临床路径的模版；</w:t>
      </w:r>
    </w:p>
    <w:p>
      <w:pPr>
        <w:numPr>
          <w:ilvl w:val="0"/>
          <w:numId w:val="10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支持对路径进行新增维护功能，可定义路径的名称、路径的阶段数、预估费用、关联的科室；</w:t>
      </w:r>
    </w:p>
    <w:p>
      <w:pPr>
        <w:numPr>
          <w:ilvl w:val="0"/>
          <w:numId w:val="10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支持对新增未提交的路径进行修改操作，可修改对应的路径的名称、路径的阶段数、预估费用、关联的科室；</w:t>
      </w:r>
    </w:p>
    <w:p>
      <w:pPr>
        <w:numPr>
          <w:ilvl w:val="0"/>
          <w:numId w:val="10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支持对路径的准入项目进行维护，即符合ICD编码的诊断才能加入该路径；</w:t>
      </w:r>
    </w:p>
    <w:p>
      <w:pPr>
        <w:numPr>
          <w:ilvl w:val="0"/>
          <w:numId w:val="10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支持对路径的阶段内容进行配置，通过阶段内容的配置来保障路径项目的执行，具体内容包括：</w:t>
      </w:r>
    </w:p>
    <w:p>
      <w:pPr>
        <w:numPr>
          <w:ilvl w:val="0"/>
          <w:numId w:val="10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提供项目分类的设置，可定义项目分类：主要诊疗工作、医嘱信息等；</w:t>
      </w:r>
    </w:p>
    <w:p>
      <w:pPr>
        <w:numPr>
          <w:ilvl w:val="0"/>
          <w:numId w:val="10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针对项目的分类，支持将不同的项目关联到对应的角色，比如主要诊疗工作对应医生、主要护理工作对应护士；</w:t>
      </w:r>
    </w:p>
    <w:p>
      <w:pPr>
        <w:numPr>
          <w:ilvl w:val="0"/>
          <w:numId w:val="10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支持定义路径每一阶段的天数，并对各阶段进行阶段说明；</w:t>
      </w:r>
    </w:p>
    <w:p>
      <w:pPr>
        <w:numPr>
          <w:ilvl w:val="0"/>
          <w:numId w:val="10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支持在各阶段分别根据项目分类进行项目新增、修改、删除；</w:t>
      </w:r>
    </w:p>
    <w:p>
      <w:pPr>
        <w:numPr>
          <w:ilvl w:val="0"/>
          <w:numId w:val="10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项目新增内容可根据实际情况进行多功能的定义，比如是否强制执行；</w:t>
      </w:r>
    </w:p>
    <w:p>
      <w:pPr>
        <w:numPr>
          <w:ilvl w:val="0"/>
          <w:numId w:val="10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支持根据特定的执行项目关联其对应的病历文书，以实现路径执行时根据已完成的病历文书自动打钩；</w:t>
      </w:r>
    </w:p>
    <w:p>
      <w:pPr>
        <w:numPr>
          <w:ilvl w:val="0"/>
          <w:numId w:val="10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支持根据特定的医嘱执行项目进行阶段医嘱的维护，即实际路径执行时可选择的医嘱内容；</w:t>
      </w:r>
    </w:p>
    <w:p>
      <w:pPr>
        <w:numPr>
          <w:ilvl w:val="0"/>
          <w:numId w:val="10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如果完整路径的阶段数较多，且执行项目重复数量多，支持导入其他阶段的项目；</w:t>
      </w:r>
    </w:p>
    <w:p>
      <w:pPr>
        <w:numPr>
          <w:ilvl w:val="0"/>
          <w:numId w:val="106"/>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支持对维护好路径阶段内容的进行路径详情的查询；</w:t>
      </w:r>
    </w:p>
    <w:p>
      <w:pPr>
        <w:numPr>
          <w:ilvl w:val="0"/>
          <w:numId w:val="106"/>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支持将定义好的路径进行复制，通过修改可形成新的版本的路径；</w:t>
      </w:r>
    </w:p>
    <w:p>
      <w:pPr>
        <w:numPr>
          <w:ilvl w:val="0"/>
          <w:numId w:val="106"/>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支持查询新版本路径的历史版本，以实现路径的对比；</w:t>
      </w:r>
    </w:p>
    <w:p>
      <w:pPr>
        <w:numPr>
          <w:ilvl w:val="0"/>
          <w:numId w:val="106"/>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支持对路径进行作废操作；</w:t>
      </w:r>
    </w:p>
    <w:p>
      <w:pPr>
        <w:numPr>
          <w:ilvl w:val="0"/>
          <w:numId w:val="106"/>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支持对作废的路径进行启用操作；</w:t>
      </w:r>
    </w:p>
    <w:p>
      <w:pPr>
        <w:numPr>
          <w:ilvl w:val="0"/>
          <w:numId w:val="106"/>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支持将路径导出word；</w:t>
      </w:r>
    </w:p>
    <w:p>
      <w:pPr>
        <w:numPr>
          <w:ilvl w:val="0"/>
          <w:numId w:val="106"/>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提供路径审核功能，只有审核过的路径才能供临床加入使用；</w:t>
      </w:r>
    </w:p>
    <w:p>
      <w:pPr>
        <w:numPr>
          <w:ilvl w:val="0"/>
          <w:numId w:val="106"/>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支持对全院路径的审核状态进行查询。</w:t>
      </w:r>
    </w:p>
    <w:p>
      <w:pPr>
        <w:numPr>
          <w:ilvl w:val="0"/>
          <w:numId w:val="106"/>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提供医嘱大类维护功能，以保障在路径执行时有多种医嘱选择；</w:t>
      </w:r>
    </w:p>
    <w:p>
      <w:pPr>
        <w:numPr>
          <w:ilvl w:val="0"/>
          <w:numId w:val="106"/>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在医嘱大类维护时，支持根据医院的医嘱规范维护多条医嘱；</w:t>
      </w:r>
    </w:p>
    <w:p>
      <w:pPr>
        <w:numPr>
          <w:ilvl w:val="0"/>
          <w:numId w:val="106"/>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提供替换药组套维护功能，以保障在路径执行时有替换医嘱可以下达，减少变异；</w:t>
      </w:r>
    </w:p>
    <w:p>
      <w:pPr>
        <w:numPr>
          <w:ilvl w:val="0"/>
          <w:numId w:val="106"/>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在替换药组套维护时，支持根据医院的医嘱规范维护多条医嘱；</w:t>
      </w:r>
    </w:p>
    <w:p>
      <w:pPr>
        <w:numPr>
          <w:ilvl w:val="0"/>
          <w:numId w:val="10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提供常见病医嘱维护功能，支持路径执行时根据患者的常见病进行医嘱的直接下达，不算变异；</w:t>
      </w:r>
    </w:p>
    <w:p>
      <w:pPr>
        <w:numPr>
          <w:ilvl w:val="0"/>
          <w:numId w:val="10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在常见病医嘱维护时，支持根据医院的医嘱规范维护多条医嘱；</w:t>
      </w:r>
    </w:p>
    <w:p>
      <w:pPr>
        <w:numPr>
          <w:ilvl w:val="0"/>
          <w:numId w:val="106"/>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提供医嘱批量修改功能，能够对医嘱不同规格的药品进行批量修改。</w:t>
      </w:r>
    </w:p>
    <w:p>
      <w:pPr>
        <w:pStyle w:val="5"/>
        <w:jc w:val="left"/>
        <w:rPr>
          <w:rFonts w:ascii="宋体" w:hAnsi="宋体" w:eastAsia="宋体" w:cs="宋体"/>
          <w:color w:val="000000" w:themeColor="text1"/>
          <w:sz w:val="24"/>
          <w:szCs w:val="24"/>
          <w14:textFill>
            <w14:solidFill>
              <w14:schemeClr w14:val="tx1"/>
            </w14:solidFill>
          </w14:textFill>
        </w:rPr>
      </w:pPr>
      <w:bookmarkStart w:id="271" w:name="_Toc71663221"/>
      <w:r>
        <w:rPr>
          <w:rFonts w:hint="eastAsia" w:ascii="宋体" w:hAnsi="宋体" w:eastAsia="宋体" w:cs="宋体"/>
          <w:color w:val="000000" w:themeColor="text1"/>
          <w:sz w:val="24"/>
          <w:szCs w:val="24"/>
          <w14:textFill>
            <w14:solidFill>
              <w14:schemeClr w14:val="tx1"/>
            </w14:solidFill>
          </w14:textFill>
        </w:rPr>
        <w:t>加入路径</w:t>
      </w:r>
      <w:bookmarkEnd w:id="271"/>
    </w:p>
    <w:p>
      <w:pPr>
        <w:numPr>
          <w:ilvl w:val="0"/>
          <w:numId w:val="10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支持在临床医生下达诊断时，根据定义的路径诊断的ICD编码，进行是否加入临床路径的提醒；</w:t>
      </w:r>
    </w:p>
    <w:p>
      <w:pPr>
        <w:numPr>
          <w:ilvl w:val="0"/>
          <w:numId w:val="10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医生可根据患者实际情况判断是否需要加入路径；</w:t>
      </w:r>
    </w:p>
    <w:p>
      <w:pPr>
        <w:numPr>
          <w:ilvl w:val="0"/>
          <w:numId w:val="10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在加入路径之前支持查看路径的阶段详情；</w:t>
      </w:r>
    </w:p>
    <w:p>
      <w:pPr>
        <w:numPr>
          <w:ilvl w:val="0"/>
          <w:numId w:val="10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若医生确定不加入路径可选择不加入路径的理由，以方便管理统计；</w:t>
      </w:r>
    </w:p>
    <w:p>
      <w:pPr>
        <w:numPr>
          <w:ilvl w:val="0"/>
          <w:numId w:val="10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在加入路径后，医生给病人下达医嘱时，可自动弹出路径下达的页面，供医生选择路径中的医嘱直接下达；</w:t>
      </w:r>
    </w:p>
    <w:p>
      <w:pPr>
        <w:numPr>
          <w:ilvl w:val="0"/>
          <w:numId w:val="10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定义好的路径将在电子病历系统中进行展示，可查看路径对应角色下维护的阶段项目执行情况。</w:t>
      </w:r>
    </w:p>
    <w:p>
      <w:pPr>
        <w:pStyle w:val="5"/>
        <w:jc w:val="left"/>
        <w:rPr>
          <w:rFonts w:ascii="宋体" w:hAnsi="宋体" w:eastAsia="宋体" w:cs="宋体"/>
          <w:color w:val="000000" w:themeColor="text1"/>
          <w:sz w:val="24"/>
          <w:szCs w:val="24"/>
          <w14:textFill>
            <w14:solidFill>
              <w14:schemeClr w14:val="tx1"/>
            </w14:solidFill>
          </w14:textFill>
        </w:rPr>
      </w:pPr>
      <w:bookmarkStart w:id="272" w:name="_Toc71663222"/>
      <w:r>
        <w:rPr>
          <w:rFonts w:hint="eastAsia" w:ascii="宋体" w:hAnsi="宋体" w:eastAsia="宋体" w:cs="宋体"/>
          <w:color w:val="000000" w:themeColor="text1"/>
          <w:sz w:val="24"/>
          <w:szCs w:val="24"/>
          <w14:textFill>
            <w14:solidFill>
              <w14:schemeClr w14:val="tx1"/>
            </w14:solidFill>
          </w14:textFill>
        </w:rPr>
        <w:t>项目执行</w:t>
      </w:r>
      <w:bookmarkEnd w:id="272"/>
    </w:p>
    <w:p>
      <w:pPr>
        <w:numPr>
          <w:ilvl w:val="0"/>
          <w:numId w:val="10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医生根据患者病情及住院阶段，可直接选择路径中维护的医嘱项目进行医嘱下达；</w:t>
      </w:r>
    </w:p>
    <w:p>
      <w:pPr>
        <w:numPr>
          <w:ilvl w:val="0"/>
          <w:numId w:val="10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支持对路径医嘱中的项目对已下达的医嘱进行颜色的标识；</w:t>
      </w:r>
    </w:p>
    <w:p>
      <w:pPr>
        <w:numPr>
          <w:ilvl w:val="0"/>
          <w:numId w:val="10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若无变异情况出现，支持直接进入下一阶段；</w:t>
      </w:r>
    </w:p>
    <w:p>
      <w:pPr>
        <w:numPr>
          <w:ilvl w:val="0"/>
          <w:numId w:val="109"/>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若在路径外下达了某医嘱，则属于变异，在进入下一阶段前需进行变异原因填写的提醒；</w:t>
      </w:r>
    </w:p>
    <w:p>
      <w:pPr>
        <w:numPr>
          <w:ilvl w:val="0"/>
          <w:numId w:val="109"/>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在路径执行过程中，支持自动匹配完成的医疗文书；</w:t>
      </w:r>
    </w:p>
    <w:p>
      <w:pPr>
        <w:numPr>
          <w:ilvl w:val="0"/>
          <w:numId w:val="109"/>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项目执行过程中可进行各角色对应的医嘱项目执行情况查询；</w:t>
      </w:r>
    </w:p>
    <w:p>
      <w:pPr>
        <w:numPr>
          <w:ilvl w:val="0"/>
          <w:numId w:val="109"/>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支持在路径医嘱中查看到医嘱大类，医生可选择医嘱大类下维护的医嘱项目进行下达；</w:t>
      </w:r>
    </w:p>
    <w:p>
      <w:pPr>
        <w:numPr>
          <w:ilvl w:val="0"/>
          <w:numId w:val="10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支持在路径医嘱中查看到替换药组套医嘱，医生可自行选择替换药品下达；</w:t>
      </w:r>
    </w:p>
    <w:p>
      <w:pPr>
        <w:numPr>
          <w:ilvl w:val="0"/>
          <w:numId w:val="10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支持根据患者所患的常见病展示常见病医嘱，医生可直接进行医嘱的快速下达；</w:t>
      </w:r>
    </w:p>
    <w:p>
      <w:pPr>
        <w:pStyle w:val="5"/>
        <w:jc w:val="left"/>
        <w:rPr>
          <w:rFonts w:ascii="宋体" w:hAnsi="宋体" w:eastAsia="宋体" w:cs="宋体"/>
          <w:color w:val="000000" w:themeColor="text1"/>
          <w:sz w:val="24"/>
          <w:szCs w:val="24"/>
          <w14:textFill>
            <w14:solidFill>
              <w14:schemeClr w14:val="tx1"/>
            </w14:solidFill>
          </w14:textFill>
        </w:rPr>
      </w:pPr>
      <w:bookmarkStart w:id="273" w:name="_Toc71663223"/>
      <w:r>
        <w:rPr>
          <w:rFonts w:hint="eastAsia" w:ascii="宋体" w:hAnsi="宋体" w:eastAsia="宋体" w:cs="宋体"/>
          <w:color w:val="000000" w:themeColor="text1"/>
          <w:sz w:val="24"/>
          <w:szCs w:val="24"/>
          <w14:textFill>
            <w14:solidFill>
              <w14:schemeClr w14:val="tx1"/>
            </w14:solidFill>
          </w14:textFill>
        </w:rPr>
        <w:t>路径跳转</w:t>
      </w:r>
      <w:bookmarkEnd w:id="273"/>
    </w:p>
    <w:p>
      <w:pPr>
        <w:numPr>
          <w:ilvl w:val="0"/>
          <w:numId w:val="110"/>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项目执行过程中可进行路径的跳转，即跳转到分支路径；</w:t>
      </w:r>
    </w:p>
    <w:p>
      <w:pPr>
        <w:numPr>
          <w:ilvl w:val="0"/>
          <w:numId w:val="110"/>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跳转分支路径前支持分别查询各路径的阶段详情；</w:t>
      </w:r>
    </w:p>
    <w:p>
      <w:pPr>
        <w:numPr>
          <w:ilvl w:val="0"/>
          <w:numId w:val="110"/>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支持根据病人病情选择跳转各路径的不同阶段；</w:t>
      </w:r>
    </w:p>
    <w:p>
      <w:pPr>
        <w:numPr>
          <w:ilvl w:val="0"/>
          <w:numId w:val="110"/>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支持不同路径的继续执行工作。</w:t>
      </w:r>
    </w:p>
    <w:p>
      <w:pPr>
        <w:pStyle w:val="5"/>
        <w:jc w:val="left"/>
        <w:rPr>
          <w:rFonts w:ascii="宋体" w:hAnsi="宋体" w:eastAsia="宋体" w:cs="宋体"/>
          <w:color w:val="000000" w:themeColor="text1"/>
          <w:sz w:val="24"/>
          <w:szCs w:val="24"/>
          <w14:textFill>
            <w14:solidFill>
              <w14:schemeClr w14:val="tx1"/>
            </w14:solidFill>
          </w14:textFill>
        </w:rPr>
      </w:pPr>
      <w:bookmarkStart w:id="274" w:name="_Toc71663224"/>
      <w:r>
        <w:rPr>
          <w:rFonts w:hint="eastAsia" w:ascii="宋体" w:hAnsi="宋体" w:eastAsia="宋体" w:cs="宋体"/>
          <w:color w:val="000000" w:themeColor="text1"/>
          <w:sz w:val="24"/>
          <w:szCs w:val="24"/>
          <w14:textFill>
            <w14:solidFill>
              <w14:schemeClr w14:val="tx1"/>
            </w14:solidFill>
          </w14:textFill>
        </w:rPr>
        <w:t>路径变异</w:t>
      </w:r>
      <w:bookmarkEnd w:id="274"/>
    </w:p>
    <w:p>
      <w:pPr>
        <w:numPr>
          <w:ilvl w:val="0"/>
          <w:numId w:val="111"/>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针对变异未填写原因的，系统支持限制各种下一步操作，比如不允许进行路径跳转、不允许进入路径下一阶段；</w:t>
      </w:r>
    </w:p>
    <w:p>
      <w:pPr>
        <w:numPr>
          <w:ilvl w:val="0"/>
          <w:numId w:val="11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提供变异原因的快速选择填写，以方便管理统计。</w:t>
      </w:r>
    </w:p>
    <w:p>
      <w:pPr>
        <w:pStyle w:val="5"/>
        <w:jc w:val="left"/>
        <w:rPr>
          <w:rFonts w:ascii="宋体" w:hAnsi="宋体" w:eastAsia="宋体" w:cs="宋体"/>
          <w:color w:val="000000" w:themeColor="text1"/>
          <w:sz w:val="24"/>
          <w:szCs w:val="24"/>
          <w14:textFill>
            <w14:solidFill>
              <w14:schemeClr w14:val="tx1"/>
            </w14:solidFill>
          </w14:textFill>
        </w:rPr>
      </w:pPr>
      <w:bookmarkStart w:id="275" w:name="_Toc71663225"/>
      <w:r>
        <w:rPr>
          <w:rFonts w:hint="eastAsia" w:ascii="宋体" w:hAnsi="宋体" w:eastAsia="宋体" w:cs="宋体"/>
          <w:color w:val="000000" w:themeColor="text1"/>
          <w:sz w:val="24"/>
          <w:szCs w:val="24"/>
          <w14:textFill>
            <w14:solidFill>
              <w14:schemeClr w14:val="tx1"/>
            </w14:solidFill>
          </w14:textFill>
        </w:rPr>
        <w:t>退出路径</w:t>
      </w:r>
      <w:bookmarkEnd w:id="275"/>
    </w:p>
    <w:p>
      <w:pPr>
        <w:numPr>
          <w:ilvl w:val="0"/>
          <w:numId w:val="112"/>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提供中途退出路径功能，支持退出原因的填写；</w:t>
      </w:r>
    </w:p>
    <w:p>
      <w:pPr>
        <w:numPr>
          <w:ilvl w:val="0"/>
          <w:numId w:val="112"/>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系统支持患者完成路径中所有项目后，治疗完成后退出路径。</w:t>
      </w:r>
    </w:p>
    <w:p>
      <w:pPr>
        <w:pStyle w:val="5"/>
        <w:jc w:val="left"/>
        <w:rPr>
          <w:rFonts w:ascii="宋体" w:hAnsi="宋体" w:eastAsia="宋体" w:cs="宋体"/>
          <w:color w:val="000000" w:themeColor="text1"/>
          <w:sz w:val="24"/>
          <w:szCs w:val="24"/>
          <w14:textFill>
            <w14:solidFill>
              <w14:schemeClr w14:val="tx1"/>
            </w14:solidFill>
          </w14:textFill>
        </w:rPr>
      </w:pPr>
      <w:bookmarkStart w:id="276" w:name="_Toc71663226"/>
      <w:r>
        <w:rPr>
          <w:rFonts w:hint="eastAsia" w:ascii="宋体" w:hAnsi="宋体" w:eastAsia="宋体" w:cs="宋体"/>
          <w:color w:val="000000" w:themeColor="text1"/>
          <w:sz w:val="24"/>
          <w:szCs w:val="24"/>
          <w14:textFill>
            <w14:solidFill>
              <w14:schemeClr w14:val="tx1"/>
            </w14:solidFill>
          </w14:textFill>
        </w:rPr>
        <w:t>路径报表</w:t>
      </w:r>
      <w:bookmarkEnd w:id="276"/>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系统提供以下报表查询功能：</w:t>
      </w:r>
    </w:p>
    <w:p>
      <w:pPr>
        <w:numPr>
          <w:ilvl w:val="0"/>
          <w:numId w:val="11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提供病人路径使用情况报表，支持按照时间范围、路径名称、科室查询统计出院人数、进入路径的出院病人数、完成路径病人数、完成路径病人数占进入路径出院病人数比，同时支持将查询结果导出excel；</w:t>
      </w:r>
    </w:p>
    <w:p>
      <w:pPr>
        <w:numPr>
          <w:ilvl w:val="0"/>
          <w:numId w:val="11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路径执行情况报表，支持按照时间范围、路径名称、科室查询统计出院人数、符合人数、入径人数、完成人数、未完成人数、退出人数、变异人数、入组率、完成率、退出率、变异率、治愈率、好转率、死亡率、平均住院天数、平均总费用，同时支持将查询结果导出excel；</w:t>
      </w:r>
    </w:p>
    <w:p>
      <w:pPr>
        <w:numPr>
          <w:ilvl w:val="0"/>
          <w:numId w:val="11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提供路径外医嘱统计报表，支持按照科室、路径数据获取路径外医嘱≥50%的科室，方便管理部门进行分析，同时支持将查询结果导出excel；</w:t>
      </w:r>
    </w:p>
    <w:p>
      <w:pPr>
        <w:numPr>
          <w:ilvl w:val="0"/>
          <w:numId w:val="11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提供路径退出原因统计报表，支持按照退出原因分类统计查询，方便管理部门进行分析，同时支持将查询结果导出excel；</w:t>
      </w:r>
    </w:p>
    <w:p>
      <w:pPr>
        <w:numPr>
          <w:ilvl w:val="0"/>
          <w:numId w:val="11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提供路径变异原因统计报表，支持按照变异原因分类统计查询，方便管理部门进行分析，同时支持将查询结果导出excel；</w:t>
      </w:r>
    </w:p>
    <w:p>
      <w:pPr>
        <w:numPr>
          <w:ilvl w:val="0"/>
          <w:numId w:val="11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提供入径病人统计报表，支持按照时间范围、路径名称、科室统计查询病人基本信息、管床医生、入院时间、入径时间、入院诊断、入院诊断ICD编码、路径状态、是否变异，同时支持将查询结果导出excel；</w:t>
      </w:r>
    </w:p>
    <w:p>
      <w:pPr>
        <w:numPr>
          <w:ilvl w:val="0"/>
          <w:numId w:val="11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路径完成情况报表，支持按照时间范围、科室统计查询出院人数、符合人数、入径人数、完成人数、未完成人数、退出人数、变异人数、实施路径管理人数占出院人数比、入组率、完成率、退出率、变异率，同时支持将查询结果导出excel；</w:t>
      </w:r>
    </w:p>
    <w:p>
      <w:pPr>
        <w:numPr>
          <w:ilvl w:val="0"/>
          <w:numId w:val="11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提供路径完成情况非特异性评估报表，支持按照时间范围、科室查询统计路径完成人数、治愈率、好转率、死亡率、平均住院天数、平均住院费用，同时支持将查询结果导出excel；</w:t>
      </w:r>
    </w:p>
    <w:p>
      <w:pPr>
        <w:numPr>
          <w:ilvl w:val="0"/>
          <w:numId w:val="11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提供不入径原因统计报表，支持按照不入径原因分类统计查询，方便管理部门进行分析，同时支持将查询结果导出excel。</w:t>
      </w:r>
    </w:p>
    <w:p>
      <w:pPr>
        <w:pStyle w:val="5"/>
        <w:jc w:val="left"/>
        <w:rPr>
          <w:rFonts w:ascii="宋体" w:hAnsi="宋体" w:eastAsia="宋体" w:cs="宋体"/>
          <w:color w:val="000000" w:themeColor="text1"/>
          <w:sz w:val="24"/>
          <w:szCs w:val="24"/>
          <w14:textFill>
            <w14:solidFill>
              <w14:schemeClr w14:val="tx1"/>
            </w14:solidFill>
          </w14:textFill>
        </w:rPr>
      </w:pPr>
      <w:bookmarkStart w:id="277" w:name="_Toc71663227"/>
      <w:r>
        <w:rPr>
          <w:rFonts w:hint="eastAsia" w:ascii="宋体" w:hAnsi="宋体" w:eastAsia="宋体" w:cs="宋体"/>
          <w:color w:val="000000" w:themeColor="text1"/>
          <w:sz w:val="24"/>
          <w:szCs w:val="24"/>
          <w14:textFill>
            <w14:solidFill>
              <w14:schemeClr w14:val="tx1"/>
            </w14:solidFill>
          </w14:textFill>
        </w:rPr>
        <w:t>路径管理</w:t>
      </w:r>
      <w:bookmarkEnd w:id="277"/>
    </w:p>
    <w:p>
      <w:pPr>
        <w:numPr>
          <w:ilvl w:val="0"/>
          <w:numId w:val="114"/>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支持临床路径系统开关维护，可根据医院需求调整开关；</w:t>
      </w:r>
    </w:p>
    <w:p>
      <w:pPr>
        <w:numPr>
          <w:ilvl w:val="0"/>
          <w:numId w:val="114"/>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支持变异类型维护功能，可维护变异类型，各类型下可维护原因明细，供路径变异时进行选择；</w:t>
      </w:r>
    </w:p>
    <w:p>
      <w:pPr>
        <w:numPr>
          <w:ilvl w:val="0"/>
          <w:numId w:val="114"/>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支持退出原因维护，可维护退出原因类型，各类型下可维护原因明细，供路径退出时进行选择；</w:t>
      </w:r>
    </w:p>
    <w:p>
      <w:pPr>
        <w:numPr>
          <w:ilvl w:val="0"/>
          <w:numId w:val="114"/>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支持不入径原因维护，可维护不入径原因类型，各类型下可维护原因明细，供不入径时进行选择；</w:t>
      </w:r>
    </w:p>
    <w:p>
      <w:pPr>
        <w:numPr>
          <w:ilvl w:val="0"/>
          <w:numId w:val="114"/>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支持下拉定值维护，可维护各下拉定值，各下拉定值后可再维护明细，供下拉选择使用；</w:t>
      </w:r>
    </w:p>
    <w:p>
      <w:pPr>
        <w:numPr>
          <w:ilvl w:val="0"/>
          <w:numId w:val="114"/>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执行路径的患者，可以实现路径执行的实时监控，监控中与质控工作站融合，保证路径执行质量。</w:t>
      </w:r>
    </w:p>
    <w:p>
      <w:pPr>
        <w:pStyle w:val="5"/>
        <w:jc w:val="left"/>
        <w:rPr>
          <w:rFonts w:ascii="宋体" w:hAnsi="宋体" w:eastAsia="宋体" w:cs="宋体"/>
          <w:color w:val="000000" w:themeColor="text1"/>
          <w:sz w:val="24"/>
          <w:szCs w:val="24"/>
          <w14:textFill>
            <w14:solidFill>
              <w14:schemeClr w14:val="tx1"/>
            </w14:solidFill>
          </w14:textFill>
        </w:rPr>
      </w:pPr>
      <w:bookmarkStart w:id="278" w:name="_Toc61011346"/>
      <w:bookmarkStart w:id="279" w:name="_Toc71663228"/>
      <w:r>
        <w:rPr>
          <w:rFonts w:hint="eastAsia" w:ascii="宋体" w:hAnsi="宋体" w:eastAsia="宋体" w:cs="宋体"/>
          <w:color w:val="000000" w:themeColor="text1"/>
          <w:sz w:val="24"/>
          <w:szCs w:val="24"/>
          <w14:textFill>
            <w14:solidFill>
              <w14:schemeClr w14:val="tx1"/>
            </w14:solidFill>
          </w14:textFill>
        </w:rPr>
        <w:t>日间手术管理系统</w:t>
      </w:r>
      <w:bookmarkEnd w:id="278"/>
      <w:bookmarkEnd w:id="279"/>
    </w:p>
    <w:p>
      <w:pPr>
        <w:pStyle w:val="6"/>
        <w:spacing w:line="360" w:lineRule="auto"/>
        <w:ind w:firstLine="0" w:firstLineChars="0"/>
        <w:rPr>
          <w:rFonts w:ascii="宋体" w:hAnsi="宋体" w:cs="宋体"/>
          <w:b/>
          <w:bCs/>
          <w:color w:val="000000" w:themeColor="text1"/>
          <w14:textFill>
            <w14:solidFill>
              <w14:schemeClr w14:val="tx1"/>
            </w14:solidFill>
          </w14:textFill>
        </w:rPr>
      </w:pPr>
      <w:bookmarkStart w:id="280" w:name="_Toc61011347"/>
      <w:bookmarkStart w:id="281" w:name="_Toc71663229"/>
      <w:r>
        <w:rPr>
          <w:rFonts w:hint="eastAsia" w:ascii="宋体" w:hAnsi="宋体" w:cs="宋体"/>
          <w:b/>
          <w:bCs/>
          <w:color w:val="000000" w:themeColor="text1"/>
          <w14:textFill>
            <w14:solidFill>
              <w14:schemeClr w14:val="tx1"/>
            </w14:solidFill>
          </w14:textFill>
        </w:rPr>
        <w:t>基础要求</w:t>
      </w:r>
      <w:bookmarkEnd w:id="280"/>
      <w:bookmarkEnd w:id="281"/>
    </w:p>
    <w:p>
      <w:pPr>
        <w:numPr>
          <w:ilvl w:val="0"/>
          <w:numId w:val="115"/>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支持对院内所有日间手术患者进行统一预约、统一管理；</w:t>
      </w:r>
    </w:p>
    <w:p>
      <w:pPr>
        <w:numPr>
          <w:ilvl w:val="0"/>
          <w:numId w:val="115"/>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能够按照不同专科定义不同的日间医嘱方案、术前评估方案、手术方案；</w:t>
      </w:r>
    </w:p>
    <w:p>
      <w:pPr>
        <w:numPr>
          <w:ilvl w:val="0"/>
          <w:numId w:val="115"/>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所投日间手术管理系统须与所投门诊电子病历系统、住院电子病历系统、医嘱系统进行无缝整合，实现数据互通与共享，保证数据在同一数据库内，能够实现数据共享并保证数据的一致和完整，从而实现日间手术患者信息在门诊、预约登记、日间病房、住院、随访等各个不同环节的数据共享与联动；</w:t>
      </w:r>
    </w:p>
    <w:p>
      <w:pPr>
        <w:numPr>
          <w:ilvl w:val="0"/>
          <w:numId w:val="115"/>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支持引入手机移动通讯应用，实现跟患者的信息互通，如通过手机短信向患者发送预约信息、入院须知信息、手术信息、随访信息等。</w:t>
      </w:r>
    </w:p>
    <w:p>
      <w:pPr>
        <w:pStyle w:val="6"/>
        <w:spacing w:line="360" w:lineRule="auto"/>
        <w:ind w:firstLine="0" w:firstLineChars="0"/>
        <w:rPr>
          <w:rFonts w:ascii="宋体" w:hAnsi="宋体" w:cs="宋体"/>
          <w:b/>
          <w:bCs/>
          <w:color w:val="000000" w:themeColor="text1"/>
          <w14:textFill>
            <w14:solidFill>
              <w14:schemeClr w14:val="tx1"/>
            </w14:solidFill>
          </w14:textFill>
        </w:rPr>
      </w:pPr>
      <w:bookmarkStart w:id="282" w:name="_Toc71663230"/>
      <w:r>
        <w:rPr>
          <w:rFonts w:hint="eastAsia" w:ascii="宋体" w:hAnsi="宋体" w:cs="宋体"/>
          <w:b/>
          <w:bCs/>
          <w:color w:val="000000" w:themeColor="text1"/>
          <w14:textFill>
            <w14:solidFill>
              <w14:schemeClr w14:val="tx1"/>
            </w14:solidFill>
          </w14:textFill>
        </w:rPr>
        <w:t>预约、资源调度</w:t>
      </w:r>
      <w:bookmarkEnd w:id="282"/>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住院证管理</w:t>
      </w:r>
    </w:p>
    <w:p>
      <w:pPr>
        <w:numPr>
          <w:ilvl w:val="0"/>
          <w:numId w:val="11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提供转住院登记功能，可由专科门诊医生根据患者病情自行选择是否开展日间手术；</w:t>
      </w:r>
    </w:p>
    <w:p>
      <w:pPr>
        <w:numPr>
          <w:ilvl w:val="0"/>
          <w:numId w:val="11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可根据“申请科室”的选择展示住院证需要填写的信息，当选择“日间病房”时，住院证页面展示对应的手术信息、术前检验检查供专科医生填写；</w:t>
      </w:r>
    </w:p>
    <w:p>
      <w:pPr>
        <w:numPr>
          <w:ilvl w:val="0"/>
          <w:numId w:val="11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在住院证页面可通过颜色及重点标识区分必填项目，如若必填项未填写，则给予提示；</w:t>
      </w:r>
    </w:p>
    <w:p>
      <w:pPr>
        <w:numPr>
          <w:ilvl w:val="0"/>
          <w:numId w:val="11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手术信息可由专科医生根据自己的时间选择预计手术时间，同时给予备选手术时间，以保证日间手术病人顺利预约；</w:t>
      </w:r>
    </w:p>
    <w:p>
      <w:pPr>
        <w:numPr>
          <w:ilvl w:val="0"/>
          <w:numId w:val="11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提供是否关联术前检验检查项目的选择，可提供专科医生便捷的术前检验检查套餐一键下达，也可对部分日间手术无需术前检验检查项目进行隐藏；</w:t>
      </w:r>
    </w:p>
    <w:p>
      <w:pPr>
        <w:numPr>
          <w:ilvl w:val="0"/>
          <w:numId w:val="11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提供术前检验检查套餐的维护功能，可针对不同的手术维护关联的检验项目、检查项目、计费单项目；</w:t>
      </w:r>
    </w:p>
    <w:p>
      <w:pPr>
        <w:numPr>
          <w:ilvl w:val="0"/>
          <w:numId w:val="11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提供住院证打印功能，可打印填写完成的住院证及日间手术导引单；</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日间医嘱管理</w:t>
      </w:r>
    </w:p>
    <w:p>
      <w:pPr>
        <w:numPr>
          <w:ilvl w:val="0"/>
          <w:numId w:val="11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支持针对不同专科进行不同日间医嘱的管理；</w:t>
      </w:r>
    </w:p>
    <w:p>
      <w:pPr>
        <w:numPr>
          <w:ilvl w:val="0"/>
          <w:numId w:val="11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支持在门诊环节下达日间医嘱，并能够根据患者所在专科调用不同的医嘱方案；</w:t>
      </w:r>
    </w:p>
    <w:p>
      <w:pPr>
        <w:numPr>
          <w:ilvl w:val="0"/>
          <w:numId w:val="11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日间医嘱下达模块能够自动根据用户开单频率将常用的医嘱放在前面；</w:t>
      </w:r>
    </w:p>
    <w:p>
      <w:pPr>
        <w:numPr>
          <w:ilvl w:val="0"/>
          <w:numId w:val="11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支持将日间医嘱自动同步至住院系统中。</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日间麻醉管理</w:t>
      </w:r>
    </w:p>
    <w:p>
      <w:pPr>
        <w:numPr>
          <w:ilvl w:val="0"/>
          <w:numId w:val="11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提供日间手术麻醉评估管理，支持由专科医生向患者指引是否进行日间手术麻醉评估；</w:t>
      </w:r>
    </w:p>
    <w:p>
      <w:pPr>
        <w:numPr>
          <w:ilvl w:val="0"/>
          <w:numId w:val="11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支持日间手术麻醉评估由专业的麻醉医师进行评估，并通过所见即所得的模板完成麻醉记录；</w:t>
      </w:r>
    </w:p>
    <w:p>
      <w:pPr>
        <w:numPr>
          <w:ilvl w:val="0"/>
          <w:numId w:val="118"/>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支持麻醉门诊与日间手术预约管理的无缝衔接，将门诊麻醉评估结果提供给日间预约登记时清晰查阅；</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日间中心登记</w:t>
      </w:r>
    </w:p>
    <w:p>
      <w:pPr>
        <w:numPr>
          <w:ilvl w:val="0"/>
          <w:numId w:val="119"/>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支持面向登记人员提供预约患者总览功能，列表可根据筛选条件直观查询患者日间手术相关信息，并支持病人总览信息的导出excel功能；</w:t>
      </w:r>
    </w:p>
    <w:p>
      <w:pPr>
        <w:numPr>
          <w:ilvl w:val="0"/>
          <w:numId w:val="119"/>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支持在预约患者列表界面对日间普通患者和特殊患者进行标记；</w:t>
      </w:r>
    </w:p>
    <w:p>
      <w:pPr>
        <w:numPr>
          <w:ilvl w:val="0"/>
          <w:numId w:val="119"/>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支持按照不同预约状态展示患者列表，如预约申请、已评估、已预交费、术前确认、预入科、在院；</w:t>
      </w:r>
    </w:p>
    <w:p>
      <w:pPr>
        <w:numPr>
          <w:ilvl w:val="0"/>
          <w:numId w:val="119"/>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支持展示患者日间手术流程时间轴，展示信息包括预约申请、评估、缴费、预入科、手术等时间信息；</w:t>
      </w:r>
    </w:p>
    <w:p>
      <w:pPr>
        <w:numPr>
          <w:ilvl w:val="0"/>
          <w:numId w:val="119"/>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针对预约申请状态的病人，可再次打印住院证，减少门诊住院证重复开立而导致的患者重复问题；</w:t>
      </w:r>
    </w:p>
    <w:p>
      <w:pPr>
        <w:numPr>
          <w:ilvl w:val="0"/>
          <w:numId w:val="11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针对日间预约患者的管理，须提供如下功能：</w:t>
      </w:r>
    </w:p>
    <w:p>
      <w:pPr>
        <w:numPr>
          <w:ilvl w:val="0"/>
          <w:numId w:val="12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提供患者身份验证功能，以确保对正确的患者做了正确的信息登记；</w:t>
      </w:r>
    </w:p>
    <w:p>
      <w:pPr>
        <w:numPr>
          <w:ilvl w:val="0"/>
          <w:numId w:val="12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支持核对预约患者信息，支持将患者住院证信息、门诊病历信息自动带入患者预约登记模块中；</w:t>
      </w:r>
    </w:p>
    <w:p>
      <w:pPr>
        <w:numPr>
          <w:ilvl w:val="0"/>
          <w:numId w:val="12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支持在预约登记时查阅患者门诊麻醉评估结果，针对未进行麻醉评估的患者可进行红色标识；</w:t>
      </w:r>
    </w:p>
    <w:p>
      <w:pPr>
        <w:numPr>
          <w:ilvl w:val="0"/>
          <w:numId w:val="12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支持对预约患者进行取消日间手术的操作，同时，可记录取消原因；</w:t>
      </w:r>
    </w:p>
    <w:p>
      <w:pPr>
        <w:numPr>
          <w:ilvl w:val="0"/>
          <w:numId w:val="11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支持对已评估患者、已缴费患者的基本信息进行修改；</w:t>
      </w:r>
    </w:p>
    <w:p>
      <w:pPr>
        <w:numPr>
          <w:ilvl w:val="0"/>
          <w:numId w:val="11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支持对已评估患者、已缴费患者检验检查报告、麻醉评估结果进行查看；</w:t>
      </w:r>
    </w:p>
    <w:p>
      <w:pPr>
        <w:numPr>
          <w:ilvl w:val="0"/>
          <w:numId w:val="11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支持对已评估患者、已缴费患者术前评估信息进行修改；</w:t>
      </w:r>
    </w:p>
    <w:p>
      <w:pPr>
        <w:numPr>
          <w:ilvl w:val="0"/>
          <w:numId w:val="11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支持对已评估患者、已缴费患者预约单信息并修改；</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术前评估管理</w:t>
      </w:r>
    </w:p>
    <w:p>
      <w:pPr>
        <w:numPr>
          <w:ilvl w:val="0"/>
          <w:numId w:val="12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支持共享患者术前检验检查报告与麻醉评估信息，以便完成对预约患者的术前评估；</w:t>
      </w:r>
    </w:p>
    <w:p>
      <w:pPr>
        <w:numPr>
          <w:ilvl w:val="0"/>
          <w:numId w:val="12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提供术前评估模板的填写确认、修改功能；</w:t>
      </w:r>
    </w:p>
    <w:p>
      <w:pPr>
        <w:numPr>
          <w:ilvl w:val="0"/>
          <w:numId w:val="12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支持与门诊系统进行整合，实现在术前评估模块中部分信息的自动带入；</w:t>
      </w:r>
    </w:p>
    <w:p>
      <w:pPr>
        <w:numPr>
          <w:ilvl w:val="0"/>
          <w:numId w:val="12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支持对术前评估不通过的患者记录不通过原因的功能；</w:t>
      </w:r>
    </w:p>
    <w:p>
      <w:pPr>
        <w:numPr>
          <w:ilvl w:val="0"/>
          <w:numId w:val="12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支持术前评估后直接对患者进行初步预约，并支持打印日间手术预约确认单；</w:t>
      </w:r>
    </w:p>
    <w:p>
      <w:pPr>
        <w:numPr>
          <w:ilvl w:val="0"/>
          <w:numId w:val="12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支持通过预约确认单向患者进行健康宣教；</w:t>
      </w:r>
    </w:p>
    <w:p>
      <w:pPr>
        <w:numPr>
          <w:ilvl w:val="0"/>
          <w:numId w:val="121"/>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预约确认单支持根据不同的麻醉方式选择展示不同的宣教内容。</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日间手术预约</w:t>
      </w:r>
    </w:p>
    <w:p>
      <w:pPr>
        <w:numPr>
          <w:ilvl w:val="0"/>
          <w:numId w:val="12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支持在术前一天再次向患者进行手术时间确认，同时向患者发送或批量发送手术确认短信；</w:t>
      </w:r>
    </w:p>
    <w:p>
      <w:pPr>
        <w:numPr>
          <w:ilvl w:val="0"/>
          <w:numId w:val="12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提供短信模板的修改功能，可针对特殊病人修改短信后再发送；</w:t>
      </w:r>
    </w:p>
    <w:p>
      <w:pPr>
        <w:numPr>
          <w:ilvl w:val="0"/>
          <w:numId w:val="12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支持患者接收手术确认后的回复内容展示查询功能；</w:t>
      </w:r>
    </w:p>
    <w:p>
      <w:pPr>
        <w:numPr>
          <w:ilvl w:val="0"/>
          <w:numId w:val="12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支持在术前一天由医生向手术室确认可被预约的时间，同时向手术室提交或批量提交手术申请；</w:t>
      </w:r>
    </w:p>
    <w:p>
      <w:pPr>
        <w:numPr>
          <w:ilvl w:val="0"/>
          <w:numId w:val="12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提供手术排程结果的查看功能；</w:t>
      </w:r>
    </w:p>
    <w:p>
      <w:pPr>
        <w:numPr>
          <w:ilvl w:val="0"/>
          <w:numId w:val="12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针对已完成预约待入科的患者，支持向患者发送或批量发送住院相关注意事项；</w:t>
      </w:r>
    </w:p>
    <w:p>
      <w:pPr>
        <w:numPr>
          <w:ilvl w:val="0"/>
          <w:numId w:val="12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可针对日间手术病人进行虚拟床位的安排或批量安排，保障患者入科前的准备事项提前完成；</w:t>
      </w:r>
    </w:p>
    <w:p>
      <w:pPr>
        <w:numPr>
          <w:ilvl w:val="0"/>
          <w:numId w:val="12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针对虚拟床位，可按规则进行计算，可以选择明日出院患者的床位，即当前是占床，明日就是空床；</w:t>
      </w:r>
    </w:p>
    <w:p>
      <w:pPr>
        <w:numPr>
          <w:ilvl w:val="0"/>
          <w:numId w:val="122"/>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支持日间手术病人进行手腕带的提前打印；</w:t>
      </w:r>
    </w:p>
    <w:p>
      <w:pPr>
        <w:numPr>
          <w:ilvl w:val="0"/>
          <w:numId w:val="122"/>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支持日间手术病人进行床头卡的提前打印；</w:t>
      </w:r>
    </w:p>
    <w:p>
      <w:pPr>
        <w:numPr>
          <w:ilvl w:val="0"/>
          <w:numId w:val="122"/>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支持日间手术病人进行手术患者转运交接卡的提前打印；</w:t>
      </w:r>
    </w:p>
    <w:p>
      <w:pPr>
        <w:numPr>
          <w:ilvl w:val="0"/>
          <w:numId w:val="122"/>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支持对逾期手术患者进行手术延迟的操作，同时，可记录延迟原因及延迟到哪一天；</w:t>
      </w:r>
    </w:p>
    <w:p>
      <w:pPr>
        <w:numPr>
          <w:ilvl w:val="0"/>
          <w:numId w:val="122"/>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支持对待手术患者进行取消手术的操作，同时，可记录取消原因；</w:t>
      </w:r>
    </w:p>
    <w:p>
      <w:pPr>
        <w:numPr>
          <w:ilvl w:val="0"/>
          <w:numId w:val="122"/>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支持对预约患者进行手术爽约的操作，同时，可记录爽约原因。</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日间病历管理</w:t>
      </w:r>
    </w:p>
    <w:p>
      <w:pPr>
        <w:numPr>
          <w:ilvl w:val="0"/>
          <w:numId w:val="12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在患者办理入院手续后，提供日间手术相关病历的提前书写功能；</w:t>
      </w:r>
    </w:p>
    <w:p>
      <w:pPr>
        <w:numPr>
          <w:ilvl w:val="0"/>
          <w:numId w:val="12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提供患者术前检验检查报告、麻醉评估、术前评估等记录的查看功能；</w:t>
      </w:r>
    </w:p>
    <w:p>
      <w:pPr>
        <w:numPr>
          <w:ilvl w:val="0"/>
          <w:numId w:val="12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提供日间病房入院记录的提前增、删、改、查功能，并且支持与住院系统无缝整合，在住院系统中直接查阅；</w:t>
      </w:r>
    </w:p>
    <w:p>
      <w:pPr>
        <w:numPr>
          <w:ilvl w:val="0"/>
          <w:numId w:val="12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提供谈话记录的提前增、删、改、查功能，并且支持与住院系统无缝整合，在住院系统住院系统中直接查阅。</w:t>
      </w:r>
    </w:p>
    <w:p>
      <w:pPr>
        <w:numPr>
          <w:ilvl w:val="0"/>
          <w:numId w:val="12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提供患者手术资料（手术申请、手术知情同意书、术前小结等）的提前增、删、改、查功能，并且支持与住院系统无缝整合，在住院系统中直接查阅；</w:t>
      </w:r>
    </w:p>
    <w:p>
      <w:pPr>
        <w:numPr>
          <w:ilvl w:val="0"/>
          <w:numId w:val="12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手术申请支持与手麻系统无缝整合，通过手术申请提交，手术室可直接接收并进行排程处理。</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日间手术管理</w:t>
      </w:r>
    </w:p>
    <w:p>
      <w:pPr>
        <w:numPr>
          <w:ilvl w:val="0"/>
          <w:numId w:val="124"/>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支持根据不同的主刀医师、手术时间展示预约患者列表，展示的患者信息须包括患者姓名、患者年龄、计划手术时间；</w:t>
      </w:r>
    </w:p>
    <w:p>
      <w:pPr>
        <w:numPr>
          <w:ilvl w:val="0"/>
          <w:numId w:val="12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支持根据不同的状态对患者进行标记，如已报到、未报到、已缴费；</w:t>
      </w:r>
    </w:p>
    <w:p>
      <w:pPr>
        <w:numPr>
          <w:ilvl w:val="0"/>
          <w:numId w:val="12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支持对预约手术患者的基本信息、术前评估信息、预约信息进行查看及修改；</w:t>
      </w:r>
    </w:p>
    <w:p>
      <w:pPr>
        <w:numPr>
          <w:ilvl w:val="0"/>
          <w:numId w:val="12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支持自动同步预约患者术前医技报告信息、麻醉评估结果供病房医护人员进行查看；</w:t>
      </w:r>
    </w:p>
    <w:p>
      <w:pPr>
        <w:numPr>
          <w:ilvl w:val="0"/>
          <w:numId w:val="12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支持整合医院日间签到系统，实现日间手术患者状态的同步；</w:t>
      </w:r>
    </w:p>
    <w:p>
      <w:pPr>
        <w:numPr>
          <w:ilvl w:val="0"/>
          <w:numId w:val="12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支持整合医院叫号系统实现日间手术室的患者叫号功能；</w:t>
      </w:r>
    </w:p>
    <w:p>
      <w:pPr>
        <w:numPr>
          <w:ilvl w:val="0"/>
          <w:numId w:val="124"/>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支持根据筛选条件查询，对患者列表进行导出excel。</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日间病房管理</w:t>
      </w:r>
    </w:p>
    <w:p>
      <w:pPr>
        <w:numPr>
          <w:ilvl w:val="0"/>
          <w:numId w:val="125"/>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支持提供日间患者列表功能，展示信息包括患者基本信息、手术预约信息、手术信息等；</w:t>
      </w:r>
    </w:p>
    <w:p>
      <w:pPr>
        <w:numPr>
          <w:ilvl w:val="0"/>
          <w:numId w:val="125"/>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支持在患者选择列表对特殊患者进行标记；</w:t>
      </w:r>
    </w:p>
    <w:p>
      <w:pPr>
        <w:numPr>
          <w:ilvl w:val="0"/>
          <w:numId w:val="125"/>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支持对预约患者进行入科确认操作，包括分配管床医生、管床护士、床位号等；</w:t>
      </w:r>
    </w:p>
    <w:p>
      <w:pPr>
        <w:numPr>
          <w:ilvl w:val="0"/>
          <w:numId w:val="125"/>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支持入院资料、出院资料病历文书的增、删、改、查；</w:t>
      </w:r>
    </w:p>
    <w:p>
      <w:pPr>
        <w:numPr>
          <w:ilvl w:val="0"/>
          <w:numId w:val="125"/>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支持各类护理记录单及评估文书的增、删、改、查；</w:t>
      </w:r>
    </w:p>
    <w:p>
      <w:pPr>
        <w:numPr>
          <w:ilvl w:val="0"/>
          <w:numId w:val="125"/>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支持手术记录及手术相关病历文书的增、删、改、查；</w:t>
      </w:r>
    </w:p>
    <w:p>
      <w:pPr>
        <w:numPr>
          <w:ilvl w:val="0"/>
          <w:numId w:val="125"/>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支持谈话记录文书的增、删、改、查；</w:t>
      </w:r>
    </w:p>
    <w:p>
      <w:pPr>
        <w:numPr>
          <w:ilvl w:val="0"/>
          <w:numId w:val="125"/>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支持入院评估、出院评估单据的增、删、改、查；</w:t>
      </w:r>
    </w:p>
    <w:p>
      <w:pPr>
        <w:numPr>
          <w:ilvl w:val="0"/>
          <w:numId w:val="125"/>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支持手术医嘱的下达；</w:t>
      </w:r>
    </w:p>
    <w:p>
      <w:pPr>
        <w:numPr>
          <w:ilvl w:val="0"/>
          <w:numId w:val="125"/>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支持对患者的病房医嘱与术前医嘱进行统一管理；</w:t>
      </w:r>
    </w:p>
    <w:p>
      <w:pPr>
        <w:numPr>
          <w:ilvl w:val="0"/>
          <w:numId w:val="125"/>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支持提供日间患者360视图管理功能，包含基本信息视图、医技报告视图、麻醉评估视图、入院相关资料视图等；</w:t>
      </w:r>
    </w:p>
    <w:p>
      <w:pPr>
        <w:numPr>
          <w:ilvl w:val="0"/>
          <w:numId w:val="125"/>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支持对手术时间轴的不同节点进行不同颜色标识，并能够通过点击不同的时间节点查看对应的病历输出；</w:t>
      </w:r>
    </w:p>
    <w:p>
      <w:pPr>
        <w:numPr>
          <w:ilvl w:val="0"/>
          <w:numId w:val="125"/>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支持在日间病房系统增加患者手术概要情况，如今日待手术患者人数、已完成手术患者人数；</w:t>
      </w:r>
    </w:p>
    <w:p>
      <w:pPr>
        <w:numPr>
          <w:ilvl w:val="0"/>
          <w:numId w:val="125"/>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支持将日间手术病人病历按要求进行归档，同时按住院病历管理规范进行质控。</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入出院管理</w:t>
      </w:r>
    </w:p>
    <w:p>
      <w:pPr>
        <w:numPr>
          <w:ilvl w:val="0"/>
          <w:numId w:val="126"/>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支持对日间患者进行转住院操作；</w:t>
      </w:r>
    </w:p>
    <w:p>
      <w:pPr>
        <w:numPr>
          <w:ilvl w:val="0"/>
          <w:numId w:val="12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支持增加患者准入出院的校验，如出院评估通过则允许患者办理出院，评估不通过则给患者办理转科；</w:t>
      </w:r>
    </w:p>
    <w:p>
      <w:pPr>
        <w:numPr>
          <w:ilvl w:val="0"/>
          <w:numId w:val="126"/>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支持患者转科校验，日间科室可转入其他科室，其他科室不得转入日间科室。</w:t>
      </w:r>
    </w:p>
    <w:p>
      <w:pPr>
        <w:pStyle w:val="6"/>
        <w:spacing w:line="360" w:lineRule="auto"/>
        <w:ind w:firstLine="0" w:firstLineChars="0"/>
        <w:rPr>
          <w:rFonts w:ascii="宋体" w:hAnsi="宋体" w:cs="宋体"/>
          <w:b/>
          <w:bCs/>
          <w:color w:val="000000" w:themeColor="text1"/>
          <w14:textFill>
            <w14:solidFill>
              <w14:schemeClr w14:val="tx1"/>
            </w14:solidFill>
          </w14:textFill>
        </w:rPr>
      </w:pPr>
      <w:bookmarkStart w:id="283" w:name="_Toc61011349"/>
      <w:bookmarkStart w:id="284" w:name="_Toc71663231"/>
      <w:r>
        <w:rPr>
          <w:rFonts w:hint="eastAsia" w:ascii="宋体" w:hAnsi="宋体" w:cs="宋体"/>
          <w:b/>
          <w:bCs/>
          <w:color w:val="000000" w:themeColor="text1"/>
          <w14:textFill>
            <w14:solidFill>
              <w14:schemeClr w14:val="tx1"/>
            </w14:solidFill>
          </w14:textFill>
        </w:rPr>
        <w:t>随访管理</w:t>
      </w:r>
      <w:bookmarkEnd w:id="283"/>
      <w:bookmarkEnd w:id="284"/>
    </w:p>
    <w:p>
      <w:pPr>
        <w:numPr>
          <w:ilvl w:val="0"/>
          <w:numId w:val="12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提供日间手术随访管理功能，支持短信随访，电话随访和面访三种方式，并分别有后续的跟踪管理操作；</w:t>
      </w:r>
    </w:p>
    <w:p>
      <w:pPr>
        <w:numPr>
          <w:ilvl w:val="0"/>
          <w:numId w:val="12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提供随访状态的病人列表，可根据随访时间，默认展示当天需随访的病人信息；</w:t>
      </w:r>
    </w:p>
    <w:p>
      <w:pPr>
        <w:numPr>
          <w:ilvl w:val="0"/>
          <w:numId w:val="128"/>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提供筛选条件查询某一段时间内的随访病人；</w:t>
      </w:r>
    </w:p>
    <w:p>
      <w:pPr>
        <w:numPr>
          <w:ilvl w:val="0"/>
          <w:numId w:val="128"/>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针对随访状态的病人，可向手术患者发送或批量发送随访短信；</w:t>
      </w:r>
    </w:p>
    <w:p>
      <w:pPr>
        <w:numPr>
          <w:ilvl w:val="0"/>
          <w:numId w:val="128"/>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发送的随访短信可针对特殊病人进行修改后再发送；</w:t>
      </w:r>
    </w:p>
    <w:p>
      <w:pPr>
        <w:numPr>
          <w:ilvl w:val="0"/>
          <w:numId w:val="128"/>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可接收患者对短信的回复，提供短信内容查询功能；</w:t>
      </w:r>
    </w:p>
    <w:p>
      <w:pPr>
        <w:numPr>
          <w:ilvl w:val="0"/>
          <w:numId w:val="128"/>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随访病人列表可作为报表查询功能，可针对特定条件下的病人信息导出excel；</w:t>
      </w:r>
    </w:p>
    <w:p>
      <w:pPr>
        <w:numPr>
          <w:ilvl w:val="0"/>
          <w:numId w:val="12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提供随访患者相关信息查询，包括基本信息、手术信息、费用信息、病理报告；</w:t>
      </w:r>
    </w:p>
    <w:p>
      <w:pPr>
        <w:numPr>
          <w:ilvl w:val="0"/>
          <w:numId w:val="12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提供随访记录功能；</w:t>
      </w:r>
    </w:p>
    <w:p>
      <w:pPr>
        <w:numPr>
          <w:ilvl w:val="0"/>
          <w:numId w:val="12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默认针对出院后1天的日间手术患者纳入随访管理；</w:t>
      </w:r>
    </w:p>
    <w:p>
      <w:pPr>
        <w:numPr>
          <w:ilvl w:val="0"/>
          <w:numId w:val="12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可针对出院后1天的随访患者进行随访记录的填写功能；</w:t>
      </w:r>
    </w:p>
    <w:p>
      <w:pPr>
        <w:numPr>
          <w:ilvl w:val="0"/>
          <w:numId w:val="12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提供随访记录模板的配置功能；</w:t>
      </w:r>
    </w:p>
    <w:p>
      <w:pPr>
        <w:numPr>
          <w:ilvl w:val="0"/>
          <w:numId w:val="12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随访记录内容的填写可自动将已知的数据自动带入，减少随访护士的工作量；</w:t>
      </w:r>
    </w:p>
    <w:p>
      <w:pPr>
        <w:numPr>
          <w:ilvl w:val="0"/>
          <w:numId w:val="12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提供随访记录列表功能，并自动标识随访次数、随访时间、随访记录人；</w:t>
      </w:r>
    </w:p>
    <w:p>
      <w:pPr>
        <w:numPr>
          <w:ilvl w:val="0"/>
          <w:numId w:val="12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可针对随访记录列表，进行任一次随访记录的修改操作；</w:t>
      </w:r>
    </w:p>
    <w:p>
      <w:pPr>
        <w:numPr>
          <w:ilvl w:val="0"/>
          <w:numId w:val="129"/>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可针对随访记录，对填写错误的随访记录进行删除操作；</w:t>
      </w:r>
    </w:p>
    <w:p>
      <w:pPr>
        <w:numPr>
          <w:ilvl w:val="0"/>
          <w:numId w:val="12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提供后续增加随访时间功能；</w:t>
      </w:r>
    </w:p>
    <w:p>
      <w:pPr>
        <w:numPr>
          <w:ilvl w:val="0"/>
          <w:numId w:val="13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支持自定义设定患者下一次随访时间；</w:t>
      </w:r>
    </w:p>
    <w:p>
      <w:pPr>
        <w:numPr>
          <w:ilvl w:val="0"/>
          <w:numId w:val="13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支持增加随访日期，针对全麻手术患者需随访4次的，可统一设定好日期，系统可在设定的日期展示在病人列表供随访管理；</w:t>
      </w:r>
    </w:p>
    <w:p>
      <w:pPr>
        <w:numPr>
          <w:ilvl w:val="0"/>
          <w:numId w:val="130"/>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提供随访次数关联随访时间功能，根据随访的次数的选择默认出院后第几天纳入随访，比如随访3次，则默认出院后第1、3、7天进行随访。</w:t>
      </w:r>
    </w:p>
    <w:p>
      <w:pPr>
        <w:numPr>
          <w:ilvl w:val="0"/>
          <w:numId w:val="12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支持康复结果的记录，便于日间手术患者在门诊专科就诊时关注并发症；</w:t>
      </w:r>
    </w:p>
    <w:p>
      <w:pPr>
        <w:numPr>
          <w:ilvl w:val="0"/>
          <w:numId w:val="127"/>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支持对随访完成的患者进行结束随访，表示患者已康复。</w:t>
      </w:r>
    </w:p>
    <w:p>
      <w:pPr>
        <w:pStyle w:val="6"/>
        <w:spacing w:line="360" w:lineRule="auto"/>
        <w:ind w:firstLine="0" w:firstLineChars="0"/>
        <w:rPr>
          <w:rFonts w:ascii="宋体" w:hAnsi="宋体" w:cs="宋体"/>
          <w:b/>
          <w:bCs/>
          <w:color w:val="000000" w:themeColor="text1"/>
          <w14:textFill>
            <w14:solidFill>
              <w14:schemeClr w14:val="tx1"/>
            </w14:solidFill>
          </w14:textFill>
        </w:rPr>
      </w:pPr>
      <w:bookmarkStart w:id="285" w:name="_Toc61011350"/>
      <w:bookmarkStart w:id="286" w:name="_Toc71663232"/>
      <w:r>
        <w:rPr>
          <w:rFonts w:hint="eastAsia" w:ascii="宋体" w:hAnsi="宋体" w:cs="宋体"/>
          <w:b/>
          <w:bCs/>
          <w:color w:val="000000" w:themeColor="text1"/>
          <w14:textFill>
            <w14:solidFill>
              <w14:schemeClr w14:val="tx1"/>
            </w14:solidFill>
          </w14:textFill>
        </w:rPr>
        <w:t>医保结算管理</w:t>
      </w:r>
      <w:bookmarkEnd w:id="285"/>
      <w:bookmarkEnd w:id="286"/>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结算方案一</w:t>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医保结算流程图</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drawing>
          <wp:inline distT="0" distB="0" distL="114300" distR="114300">
            <wp:extent cx="2800350" cy="3409950"/>
            <wp:effectExtent l="0" t="0" r="3810" b="38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2"/>
                    <a:stretch>
                      <a:fillRect/>
                    </a:stretch>
                  </pic:blipFill>
                  <pic:spPr>
                    <a:xfrm>
                      <a:off x="0" y="0"/>
                      <a:ext cx="2800350" cy="3409950"/>
                    </a:xfrm>
                    <a:prstGeom prst="rect">
                      <a:avLst/>
                    </a:prstGeom>
                    <a:noFill/>
                    <a:ln>
                      <a:noFill/>
                    </a:ln>
                  </pic:spPr>
                </pic:pic>
              </a:graphicData>
            </a:graphic>
          </wp:inline>
        </w:drawing>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流程说明</w:t>
      </w:r>
    </w:p>
    <w:p>
      <w:pPr>
        <w:numPr>
          <w:ilvl w:val="0"/>
          <w:numId w:val="131"/>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支持门诊就诊过程中，确诊的检验检查项目在门诊进行结算；</w:t>
      </w:r>
    </w:p>
    <w:p>
      <w:pPr>
        <w:numPr>
          <w:ilvl w:val="0"/>
          <w:numId w:val="131"/>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由门诊医师判断是否计划将患者纳入日间手术，如果不纳入日间，则所有的费用都是门诊结算；如果纳入日间，则开立住院证与术前检验检查，此时术前检验检查在门诊电子病历系统中下达，因此在门诊进行结算；</w:t>
      </w:r>
    </w:p>
    <w:p>
      <w:pPr>
        <w:numPr>
          <w:ilvl w:val="0"/>
          <w:numId w:val="131"/>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根据术前检验检查报告的结果再次判断，是否可进行日间手术，如果不能进行日间手术，则继续按门诊结算不作处理；如果能够进行日间手术，则办理入院；</w:t>
      </w:r>
    </w:p>
    <w:p>
      <w:pPr>
        <w:numPr>
          <w:ilvl w:val="0"/>
          <w:numId w:val="131"/>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办理入院之后，支持将术前检验检查项目退费，再在住院电子医嘱系统中下达相同的术前检验检查，进行住院结算。</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结算方案二</w:t>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医保结算流程图</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drawing>
          <wp:inline distT="0" distB="0" distL="114300" distR="114300">
            <wp:extent cx="3086100" cy="337820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3086100" cy="3378200"/>
                    </a:xfrm>
                    <a:prstGeom prst="rect">
                      <a:avLst/>
                    </a:prstGeom>
                    <a:noFill/>
                    <a:ln>
                      <a:noFill/>
                    </a:ln>
                  </pic:spPr>
                </pic:pic>
              </a:graphicData>
            </a:graphic>
          </wp:inline>
        </w:drawing>
      </w:r>
    </w:p>
    <w:p>
      <w:pPr>
        <w:pStyle w:val="8"/>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流程说明</w:t>
      </w:r>
    </w:p>
    <w:p>
      <w:pPr>
        <w:numPr>
          <w:ilvl w:val="0"/>
          <w:numId w:val="13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支持门诊就诊过程中，确诊的检验检查项目在门诊进行结算；</w:t>
      </w:r>
    </w:p>
    <w:p>
      <w:pPr>
        <w:numPr>
          <w:ilvl w:val="0"/>
          <w:numId w:val="13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支持由门诊医师判断是否计划将患者纳入日间手术，如果不纳入日间，则所有的费用都是门诊结算；如果纳入日间，则开立住院证与术前检验检查，此时术前检验检查在门诊电子病历系统中下达，因此在门诊进行结算；</w:t>
      </w:r>
    </w:p>
    <w:p>
      <w:pPr>
        <w:numPr>
          <w:ilvl w:val="0"/>
          <w:numId w:val="13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根据术前检验检查报告的结果再次判断，是否可进行日间手术，如果不能进行日间手术，则继续按门诊结算不作处理；如果能够进行日间手术，则办理入院；</w:t>
      </w:r>
    </w:p>
    <w:p>
      <w:pPr>
        <w:numPr>
          <w:ilvl w:val="0"/>
          <w:numId w:val="132"/>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办理入院时，支持在HIS系统中将术前检验检查费用转为住院的预交金，再在住院电子医嘱系统中下达相同的术前检验检查，在患者出院时统一进行住院结算。</w:t>
      </w:r>
    </w:p>
    <w:p>
      <w:pPr>
        <w:pStyle w:val="8"/>
        <w:spacing w:line="360" w:lineRule="auto"/>
        <w:jc w:val="left"/>
        <w:rPr>
          <w:rFonts w:ascii="宋体" w:hAnsi="宋体" w:cs="宋体"/>
          <w:color w:val="000000" w:themeColor="text1"/>
          <w:sz w:val="24"/>
          <w:szCs w:val="24"/>
          <w14:textFill>
            <w14:solidFill>
              <w14:schemeClr w14:val="tx1"/>
            </w14:solidFill>
          </w14:textFill>
        </w:rPr>
      </w:pPr>
      <w:bookmarkStart w:id="287" w:name="_Toc71663233"/>
      <w:bookmarkStart w:id="288" w:name="_Toc61011351"/>
      <w:r>
        <w:rPr>
          <w:rFonts w:hint="eastAsia" w:ascii="宋体" w:hAnsi="宋体" w:cs="宋体"/>
          <w:color w:val="000000" w:themeColor="text1"/>
          <w:sz w:val="24"/>
          <w:szCs w:val="24"/>
          <w14:textFill>
            <w14:solidFill>
              <w14:schemeClr w14:val="tx1"/>
            </w14:solidFill>
          </w14:textFill>
        </w:rPr>
        <w:t>指标统计管理</w:t>
      </w:r>
      <w:bookmarkEnd w:id="287"/>
      <w:bookmarkEnd w:id="288"/>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各科室日间手术例数统计；</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日间手术占总手术量比例统计分析；</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日间手术量前十病种分析；</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近12个月医院开展日间手术趋势分析；</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近12个月医院日间手术患者均次费用趋势分析；</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预约人数及预约率统计</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爽约人数及爽约率：预约成功后，手术台次安排出来前因故不能如期来院的属于爽约。</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爽约人群分析（年龄、性别、文化程度、爽约原因等）</w:t>
      </w:r>
    </w:p>
    <w:p>
      <w:pPr>
        <w:numPr>
          <w:ilvl w:val="0"/>
          <w:numId w:val="13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手术取消人数及取消率：手术取消是指手术室安排了手术台次并返给病房后因故取消手术的。</w:t>
      </w:r>
    </w:p>
    <w:p>
      <w:pPr>
        <w:numPr>
          <w:ilvl w:val="0"/>
          <w:numId w:val="13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取消人群分析（年龄、性别、文化程度、原因分析等）</w:t>
      </w:r>
    </w:p>
    <w:p>
      <w:pPr>
        <w:numPr>
          <w:ilvl w:val="0"/>
          <w:numId w:val="133"/>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日间手术住院证开具医生和主刀医生的一致性分析：即住院证医生和主刀医生是否是同一样，需要有记录</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延期出院人数和延期率统计</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转专科人数和转专科率统计</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实际手术名称与预约手术名称的一致性</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每天首台手术的入手术室时间</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每天首台手术开台时间</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每天首台手术的医生分布</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候手术天数统计分析</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候手术时间统计分析</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专科、专科医师、疾病和手术名称的日间手术情况分析</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日间手术占全院择期手术比例</w:t>
      </w:r>
    </w:p>
    <w:p>
      <w:pPr>
        <w:numPr>
          <w:ilvl w:val="0"/>
          <w:numId w:val="133"/>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日间手术中三四级手术比例占比</w:t>
      </w:r>
    </w:p>
    <w:p>
      <w:pPr>
        <w:pStyle w:val="5"/>
        <w:jc w:val="left"/>
        <w:rPr>
          <w:rFonts w:ascii="宋体" w:hAnsi="宋体" w:eastAsia="宋体" w:cs="宋体"/>
          <w:color w:val="000000" w:themeColor="text1"/>
          <w:sz w:val="24"/>
          <w:szCs w:val="24"/>
          <w14:textFill>
            <w14:solidFill>
              <w14:schemeClr w14:val="tx1"/>
            </w14:solidFill>
          </w14:textFill>
        </w:rPr>
      </w:pPr>
      <w:bookmarkStart w:id="289" w:name="_Toc71663234"/>
      <w:r>
        <w:rPr>
          <w:rFonts w:hint="eastAsia" w:ascii="宋体" w:hAnsi="宋体" w:eastAsia="宋体" w:cs="宋体"/>
          <w:color w:val="000000" w:themeColor="text1"/>
          <w:sz w:val="24"/>
          <w:szCs w:val="24"/>
          <w14:textFill>
            <w14:solidFill>
              <w14:schemeClr w14:val="tx1"/>
            </w14:solidFill>
          </w14:textFill>
        </w:rPr>
        <w:t>护理管理系统</w:t>
      </w:r>
      <w:bookmarkEnd w:id="289"/>
    </w:p>
    <w:p>
      <w:pPr>
        <w:pStyle w:val="8"/>
        <w:spacing w:line="360" w:lineRule="auto"/>
        <w:jc w:val="left"/>
        <w:rPr>
          <w:rFonts w:ascii="宋体" w:hAnsi="宋体" w:cs="宋体"/>
          <w:color w:val="000000" w:themeColor="text1"/>
          <w:sz w:val="24"/>
          <w:szCs w:val="24"/>
          <w14:textFill>
            <w14:solidFill>
              <w14:schemeClr w14:val="tx1"/>
            </w14:solidFill>
          </w14:textFill>
        </w:rPr>
      </w:pPr>
      <w:bookmarkStart w:id="290" w:name="_Toc71663235"/>
      <w:r>
        <w:rPr>
          <w:rFonts w:hint="eastAsia" w:ascii="宋体" w:hAnsi="宋体" w:cs="宋体"/>
          <w:color w:val="000000" w:themeColor="text1"/>
          <w:sz w:val="24"/>
          <w:szCs w:val="24"/>
          <w14:textFill>
            <w14:solidFill>
              <w14:schemeClr w14:val="tx1"/>
            </w14:solidFill>
          </w14:textFill>
        </w:rPr>
        <w:t>护理事务管理</w:t>
      </w:r>
      <w:bookmarkEnd w:id="290"/>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动态护理制度建档管理</w:t>
      </w:r>
    </w:p>
    <w:p>
      <w:pPr>
        <w:numPr>
          <w:ilvl w:val="0"/>
          <w:numId w:val="134"/>
        </w:numPr>
        <w:spacing w:line="360" w:lineRule="auto"/>
        <w:ind w:left="0" w:firstLine="0"/>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eastAsia="zh-TW"/>
          <w14:textFill>
            <w14:solidFill>
              <w14:schemeClr w14:val="tx1"/>
            </w14:solidFill>
          </w14:textFill>
        </w:rPr>
        <w:t>提供</w:t>
      </w:r>
      <w:r>
        <w:rPr>
          <w:rFonts w:hint="eastAsia" w:ascii="宋体" w:hAnsi="宋体" w:cs="宋体"/>
          <w:color w:val="000000" w:themeColor="text1"/>
          <w:sz w:val="24"/>
          <w:lang w:val="zh-TW"/>
          <w14:textFill>
            <w14:solidFill>
              <w14:schemeClr w14:val="tx1"/>
            </w14:solidFill>
          </w14:textFill>
        </w:rPr>
        <w:t>文档管理功能，可以根据不同岗位的分工进行权限分配，可对单个文档的修改、上传、下载、阅读权限进行分配管理。</w:t>
      </w:r>
    </w:p>
    <w:p>
      <w:pPr>
        <w:numPr>
          <w:ilvl w:val="0"/>
          <w:numId w:val="134"/>
        </w:numPr>
        <w:spacing w:line="360" w:lineRule="auto"/>
        <w:ind w:left="0" w:firstLine="0"/>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提供护理部制度与规范功能，可以专门针对护理部以及下属部门进行制度、规范的管理，护理制度及规范文档由上往下的实时传达，护理工作经验文档的共享等。</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系统支持护理人员动态档案管理功能</w:t>
      </w:r>
    </w:p>
    <w:p>
      <w:pPr>
        <w:numPr>
          <w:ilvl w:val="0"/>
          <w:numId w:val="135"/>
        </w:numPr>
        <w:spacing w:line="360" w:lineRule="auto"/>
        <w:ind w:left="0" w:firstLine="0"/>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w:t>
      </w:r>
      <w:r>
        <w:rPr>
          <w:rFonts w:hint="eastAsia" w:ascii="宋体" w:hAnsi="宋体" w:cs="宋体"/>
          <w:color w:val="000000" w:themeColor="text1"/>
          <w:kern w:val="0"/>
          <w:sz w:val="24"/>
          <w14:textFill>
            <w14:solidFill>
              <w14:schemeClr w14:val="tx1"/>
            </w14:solidFill>
          </w14:textFill>
        </w:rPr>
        <w:t>护理人员基本档案的维护及查询功能。</w:t>
      </w:r>
      <w:r>
        <w:rPr>
          <w:rFonts w:hint="eastAsia" w:ascii="宋体" w:hAnsi="宋体" w:cs="宋体"/>
          <w:color w:val="000000" w:themeColor="text1"/>
          <w:sz w:val="24"/>
          <w:lang w:val="zh-TW" w:eastAsia="zh-TW"/>
          <w14:textFill>
            <w14:solidFill>
              <w14:schemeClr w14:val="tx1"/>
            </w14:solidFill>
          </w14:textFill>
        </w:rPr>
        <w:t>可以对护理人员的基本档案进行新增</w:t>
      </w:r>
      <w:r>
        <w:rPr>
          <w:rFonts w:hint="eastAsia" w:ascii="宋体" w:hAnsi="宋体" w:cs="宋体"/>
          <w:color w:val="000000" w:themeColor="text1"/>
          <w:sz w:val="24"/>
          <w:lang w:val="zh-TW"/>
          <w14:textFill>
            <w14:solidFill>
              <w14:schemeClr w14:val="tx1"/>
            </w14:solidFill>
          </w14:textFill>
        </w:rPr>
        <w:t>、修改和删除操作，支持护理人员档案的批量导入功能。</w:t>
      </w:r>
    </w:p>
    <w:p>
      <w:pPr>
        <w:numPr>
          <w:ilvl w:val="0"/>
          <w:numId w:val="135"/>
        </w:numPr>
        <w:spacing w:line="360" w:lineRule="auto"/>
        <w:ind w:left="0" w:firstLine="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w:t>
      </w:r>
      <w:r>
        <w:rPr>
          <w:rFonts w:hint="eastAsia" w:ascii="宋体" w:hAnsi="宋体" w:cs="宋体"/>
          <w:color w:val="000000" w:themeColor="text1"/>
          <w:sz w:val="24"/>
          <w14:textFill>
            <w14:solidFill>
              <w14:schemeClr w14:val="tx1"/>
            </w14:solidFill>
          </w14:textFill>
        </w:rPr>
        <w:t>护理人员基本档案的增加、修改、注销功能</w:t>
      </w:r>
    </w:p>
    <w:p>
      <w:pPr>
        <w:numPr>
          <w:ilvl w:val="0"/>
          <w:numId w:val="135"/>
        </w:numPr>
        <w:spacing w:line="360" w:lineRule="auto"/>
        <w:ind w:left="0" w:firstLine="0"/>
        <w:jc w:val="left"/>
        <w:rPr>
          <w:rFonts w:ascii="宋体" w:hAnsi="宋体" w:cs="宋体"/>
          <w:color w:val="000000" w:themeColor="text1"/>
          <w:sz w:val="24"/>
          <w:lang w:val="zh-TW" w:eastAsia="zh-TW"/>
          <w14:textFill>
            <w14:solidFill>
              <w14:schemeClr w14:val="tx1"/>
            </w14:solidFill>
          </w14:textFill>
        </w:rPr>
      </w:pPr>
      <w:r>
        <w:rPr>
          <w:rFonts w:hint="eastAsia" w:ascii="宋体" w:hAnsi="宋体" w:cs="宋体"/>
          <w:color w:val="000000" w:themeColor="text1"/>
          <w:sz w:val="24"/>
          <w:lang w:val="zh-TW" w:eastAsia="zh-TW"/>
          <w14:textFill>
            <w14:solidFill>
              <w14:schemeClr w14:val="tx1"/>
            </w14:solidFill>
          </w14:textFill>
        </w:rPr>
        <w:t>支持护理人员工作调动信息的的记录以及查询统计功能，可以按照科室、人员编号条件查询出调动人员数据。</w:t>
      </w:r>
    </w:p>
    <w:p>
      <w:pPr>
        <w:numPr>
          <w:ilvl w:val="0"/>
          <w:numId w:val="135"/>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提供批量照片导入功能。</w:t>
      </w:r>
    </w:p>
    <w:p>
      <w:pPr>
        <w:numPr>
          <w:ilvl w:val="0"/>
          <w:numId w:val="135"/>
        </w:numPr>
        <w:spacing w:line="360" w:lineRule="auto"/>
        <w:jc w:val="left"/>
        <w:rPr>
          <w:rFonts w:ascii="宋体" w:hAnsi="宋体" w:cs="宋体"/>
          <w:color w:val="000000" w:themeColor="text1"/>
          <w:sz w:val="24"/>
          <w:lang w:val="zh-TW" w:eastAsia="zh-TW"/>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提供</w:t>
      </w:r>
      <w:r>
        <w:rPr>
          <w:rFonts w:hint="eastAsia" w:ascii="宋体" w:hAnsi="宋体" w:cs="宋体"/>
          <w:color w:val="000000" w:themeColor="text1"/>
          <w:sz w:val="24"/>
          <w:lang w:val="zh-TW" w:eastAsia="zh-TW"/>
          <w14:textFill>
            <w14:solidFill>
              <w14:schemeClr w14:val="tx1"/>
            </w14:solidFill>
          </w14:textFill>
        </w:rPr>
        <w:t>护士男女比例分布分析表</w:t>
      </w:r>
      <w:r>
        <w:rPr>
          <w:rFonts w:hint="eastAsia" w:ascii="宋体" w:hAnsi="宋体" w:cs="宋体"/>
          <w:color w:val="000000" w:themeColor="text1"/>
          <w:sz w:val="24"/>
          <w:lang w:val="zh-CN"/>
          <w14:textFill>
            <w14:solidFill>
              <w14:schemeClr w14:val="tx1"/>
            </w14:solidFill>
          </w14:textFill>
        </w:rPr>
        <w:t>，可以</w:t>
      </w:r>
      <w:r>
        <w:rPr>
          <w:rFonts w:hint="eastAsia" w:ascii="宋体" w:hAnsi="宋体" w:cs="宋体"/>
          <w:color w:val="000000" w:themeColor="text1"/>
          <w:sz w:val="24"/>
          <w:lang w:val="zh-TW" w:eastAsia="zh-TW"/>
          <w14:textFill>
            <w14:solidFill>
              <w14:schemeClr w14:val="tx1"/>
            </w14:solidFill>
          </w14:textFill>
        </w:rPr>
        <w:t>分析全院及各科男女护士比例情况</w:t>
      </w:r>
    </w:p>
    <w:p>
      <w:pPr>
        <w:numPr>
          <w:ilvl w:val="0"/>
          <w:numId w:val="135"/>
        </w:numPr>
        <w:spacing w:line="360" w:lineRule="auto"/>
        <w:jc w:val="left"/>
        <w:rPr>
          <w:rFonts w:ascii="宋体" w:hAnsi="宋体" w:cs="宋体"/>
          <w:color w:val="000000" w:themeColor="text1"/>
          <w:sz w:val="24"/>
          <w:lang w:val="zh-TW" w:eastAsia="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w:t>
      </w:r>
      <w:r>
        <w:rPr>
          <w:rFonts w:hint="eastAsia" w:ascii="宋体" w:hAnsi="宋体" w:cs="宋体"/>
          <w:color w:val="000000" w:themeColor="text1"/>
          <w:sz w:val="24"/>
          <w:lang w:val="zh-TW" w:eastAsia="zh-TW"/>
          <w14:textFill>
            <w14:solidFill>
              <w14:schemeClr w14:val="tx1"/>
            </w14:solidFill>
          </w14:textFill>
        </w:rPr>
        <w:t>护士职务分布分析表</w:t>
      </w:r>
      <w:r>
        <w:rPr>
          <w:rFonts w:hint="eastAsia" w:ascii="宋体" w:hAnsi="宋体" w:cs="宋体"/>
          <w:color w:val="000000" w:themeColor="text1"/>
          <w:sz w:val="24"/>
          <w:lang w:val="zh-CN"/>
          <w14:textFill>
            <w14:solidFill>
              <w14:schemeClr w14:val="tx1"/>
            </w14:solidFill>
          </w14:textFill>
        </w:rPr>
        <w:t>:可以</w:t>
      </w:r>
      <w:r>
        <w:rPr>
          <w:rFonts w:hint="eastAsia" w:ascii="宋体" w:hAnsi="宋体" w:cs="宋体"/>
          <w:color w:val="000000" w:themeColor="text1"/>
          <w:sz w:val="24"/>
          <w:lang w:val="zh-TW" w:eastAsia="zh-TW"/>
          <w14:textFill>
            <w14:solidFill>
              <w14:schemeClr w14:val="tx1"/>
            </w14:solidFill>
          </w14:textFill>
        </w:rPr>
        <w:t>分析全院及各科护士职务分布情况</w:t>
      </w:r>
    </w:p>
    <w:p>
      <w:pPr>
        <w:numPr>
          <w:ilvl w:val="0"/>
          <w:numId w:val="135"/>
        </w:numPr>
        <w:spacing w:line="360" w:lineRule="auto"/>
        <w:jc w:val="left"/>
        <w:rPr>
          <w:rFonts w:ascii="宋体" w:hAnsi="宋体" w:cs="宋体"/>
          <w:color w:val="000000" w:themeColor="text1"/>
          <w:sz w:val="24"/>
          <w:lang w:val="zh-TW" w:eastAsia="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w:t>
      </w:r>
      <w:r>
        <w:rPr>
          <w:rFonts w:hint="eastAsia" w:ascii="宋体" w:hAnsi="宋体" w:cs="宋体"/>
          <w:color w:val="000000" w:themeColor="text1"/>
          <w:sz w:val="24"/>
          <w:lang w:val="zh-TW" w:eastAsia="zh-TW"/>
          <w14:textFill>
            <w14:solidFill>
              <w14:schemeClr w14:val="tx1"/>
            </w14:solidFill>
          </w14:textFill>
        </w:rPr>
        <w:t>护士职称分布分析表</w:t>
      </w:r>
      <w:r>
        <w:rPr>
          <w:rFonts w:hint="eastAsia" w:ascii="宋体" w:hAnsi="宋体" w:cs="宋体"/>
          <w:color w:val="000000" w:themeColor="text1"/>
          <w:sz w:val="24"/>
          <w:lang w:val="zh-CN"/>
          <w14:textFill>
            <w14:solidFill>
              <w14:schemeClr w14:val="tx1"/>
            </w14:solidFill>
          </w14:textFill>
        </w:rPr>
        <w:t>:可以</w:t>
      </w:r>
      <w:r>
        <w:rPr>
          <w:rFonts w:hint="eastAsia" w:ascii="宋体" w:hAnsi="宋体" w:cs="宋体"/>
          <w:color w:val="000000" w:themeColor="text1"/>
          <w:sz w:val="24"/>
          <w:lang w:val="zh-TW" w:eastAsia="zh-TW"/>
          <w14:textFill>
            <w14:solidFill>
              <w14:schemeClr w14:val="tx1"/>
            </w14:solidFill>
          </w14:textFill>
        </w:rPr>
        <w:t>分析全院及各科护士职称情况</w:t>
      </w:r>
    </w:p>
    <w:p>
      <w:pPr>
        <w:numPr>
          <w:ilvl w:val="0"/>
          <w:numId w:val="135"/>
        </w:numPr>
        <w:spacing w:line="360" w:lineRule="auto"/>
        <w:jc w:val="left"/>
        <w:rPr>
          <w:rFonts w:ascii="宋体" w:hAnsi="宋体" w:cs="宋体"/>
          <w:color w:val="000000" w:themeColor="text1"/>
          <w:sz w:val="24"/>
          <w:lang w:val="zh-TW" w:eastAsia="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w:t>
      </w:r>
      <w:r>
        <w:rPr>
          <w:rFonts w:hint="eastAsia" w:ascii="宋体" w:hAnsi="宋体" w:cs="宋体"/>
          <w:color w:val="000000" w:themeColor="text1"/>
          <w:sz w:val="24"/>
          <w:lang w:val="zh-TW" w:eastAsia="zh-TW"/>
          <w14:textFill>
            <w14:solidFill>
              <w14:schemeClr w14:val="tx1"/>
            </w14:solidFill>
          </w14:textFill>
        </w:rPr>
        <w:t>护士学历分布分析表</w:t>
      </w:r>
      <w:r>
        <w:rPr>
          <w:rFonts w:hint="eastAsia" w:ascii="宋体" w:hAnsi="宋体" w:cs="宋体"/>
          <w:color w:val="000000" w:themeColor="text1"/>
          <w:sz w:val="24"/>
          <w:lang w:val="zh-CN"/>
          <w14:textFill>
            <w14:solidFill>
              <w14:schemeClr w14:val="tx1"/>
            </w14:solidFill>
          </w14:textFill>
        </w:rPr>
        <w:t>:可以</w:t>
      </w:r>
      <w:r>
        <w:rPr>
          <w:rFonts w:hint="eastAsia" w:ascii="宋体" w:hAnsi="宋体" w:cs="宋体"/>
          <w:color w:val="000000" w:themeColor="text1"/>
          <w:sz w:val="24"/>
          <w:lang w:val="zh-TW" w:eastAsia="zh-TW"/>
          <w14:textFill>
            <w14:solidFill>
              <w14:schemeClr w14:val="tx1"/>
            </w14:solidFill>
          </w14:textFill>
        </w:rPr>
        <w:t>分析全院及各科护士学历分布情况</w:t>
      </w:r>
    </w:p>
    <w:p>
      <w:pPr>
        <w:numPr>
          <w:ilvl w:val="0"/>
          <w:numId w:val="135"/>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w:t>
      </w:r>
      <w:r>
        <w:rPr>
          <w:rFonts w:hint="eastAsia" w:ascii="宋体" w:hAnsi="宋体" w:cs="宋体"/>
          <w:color w:val="000000" w:themeColor="text1"/>
          <w:sz w:val="24"/>
          <w:lang w:val="zh-TW" w:eastAsia="zh-TW"/>
          <w14:textFill>
            <w14:solidFill>
              <w14:schemeClr w14:val="tx1"/>
            </w14:solidFill>
          </w14:textFill>
        </w:rPr>
        <w:t>护士工作年限分析表</w:t>
      </w:r>
      <w:r>
        <w:rPr>
          <w:rFonts w:hint="eastAsia" w:ascii="宋体" w:hAnsi="宋体" w:cs="宋体"/>
          <w:color w:val="000000" w:themeColor="text1"/>
          <w:sz w:val="24"/>
          <w:lang w:val="zh-CN"/>
          <w14:textFill>
            <w14:solidFill>
              <w14:schemeClr w14:val="tx1"/>
            </w14:solidFill>
          </w14:textFill>
        </w:rPr>
        <w:t>:可以</w:t>
      </w:r>
      <w:r>
        <w:rPr>
          <w:rFonts w:hint="eastAsia" w:ascii="宋体" w:hAnsi="宋体" w:cs="宋体"/>
          <w:color w:val="000000" w:themeColor="text1"/>
          <w:sz w:val="24"/>
          <w:lang w:val="zh-TW" w:eastAsia="zh-TW"/>
          <w14:textFill>
            <w14:solidFill>
              <w14:schemeClr w14:val="tx1"/>
            </w14:solidFill>
          </w14:textFill>
        </w:rPr>
        <w:t>分析全院及各科护士工作年限情况</w:t>
      </w:r>
    </w:p>
    <w:p>
      <w:pPr>
        <w:numPr>
          <w:ilvl w:val="0"/>
          <w:numId w:val="135"/>
        </w:numPr>
        <w:spacing w:line="360" w:lineRule="auto"/>
        <w:jc w:val="left"/>
        <w:rPr>
          <w:rFonts w:ascii="宋体" w:hAnsi="宋体" w:cs="宋体"/>
          <w:color w:val="000000" w:themeColor="text1"/>
          <w:sz w:val="24"/>
          <w:lang w:val="zh-TW" w:eastAsia="zh-TW"/>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提供</w:t>
      </w:r>
      <w:r>
        <w:rPr>
          <w:rFonts w:hint="eastAsia" w:ascii="宋体" w:hAnsi="宋体" w:cs="宋体"/>
          <w:color w:val="000000" w:themeColor="text1"/>
          <w:sz w:val="24"/>
          <w:lang w:val="zh-TW" w:eastAsia="zh-TW"/>
          <w14:textFill>
            <w14:solidFill>
              <w14:schemeClr w14:val="tx1"/>
            </w14:solidFill>
          </w14:textFill>
        </w:rPr>
        <w:t>护士状态分析表</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lang w:val="zh-TW" w:eastAsia="zh-TW"/>
          <w14:textFill>
            <w14:solidFill>
              <w14:schemeClr w14:val="tx1"/>
            </w14:solidFill>
          </w14:textFill>
        </w:rPr>
        <w:t>分析护士人事编制情况，如在职、反聘、合同、临时等</w:t>
      </w:r>
    </w:p>
    <w:p>
      <w:pPr>
        <w:numPr>
          <w:ilvl w:val="0"/>
          <w:numId w:val="135"/>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提供</w:t>
      </w:r>
      <w:r>
        <w:rPr>
          <w:rFonts w:hint="eastAsia" w:ascii="宋体" w:hAnsi="宋体" w:cs="宋体"/>
          <w:color w:val="000000" w:themeColor="text1"/>
          <w:sz w:val="24"/>
          <w:lang w:val="zh-TW" w:eastAsia="zh-TW"/>
          <w14:textFill>
            <w14:solidFill>
              <w14:schemeClr w14:val="tx1"/>
            </w14:solidFill>
          </w14:textFill>
        </w:rPr>
        <w:t>护士离职率分析表</w:t>
      </w:r>
      <w:r>
        <w:rPr>
          <w:rFonts w:hint="eastAsia" w:ascii="宋体" w:hAnsi="宋体" w:cs="宋体"/>
          <w:color w:val="000000" w:themeColor="text1"/>
          <w:sz w:val="24"/>
          <w:lang w:val="zh-CN"/>
          <w14:textFill>
            <w14:solidFill>
              <w14:schemeClr w14:val="tx1"/>
            </w14:solidFill>
          </w14:textFill>
        </w:rPr>
        <w:t>:可以</w:t>
      </w:r>
      <w:r>
        <w:rPr>
          <w:rFonts w:hint="eastAsia" w:ascii="宋体" w:hAnsi="宋体" w:cs="宋体"/>
          <w:color w:val="000000" w:themeColor="text1"/>
          <w:sz w:val="24"/>
          <w:lang w:val="zh-TW" w:eastAsia="zh-TW"/>
          <w14:textFill>
            <w14:solidFill>
              <w14:schemeClr w14:val="tx1"/>
            </w14:solidFill>
          </w14:textFill>
        </w:rPr>
        <w:t>分析全院及各科护士离职率</w:t>
      </w:r>
    </w:p>
    <w:p>
      <w:pPr>
        <w:numPr>
          <w:ilvl w:val="0"/>
          <w:numId w:val="135"/>
        </w:numPr>
        <w:spacing w:line="360" w:lineRule="auto"/>
        <w:jc w:val="left"/>
        <w:rPr>
          <w:rFonts w:ascii="宋体" w:hAnsi="宋体" w:cs="宋体"/>
          <w:color w:val="000000" w:themeColor="text1"/>
          <w:sz w:val="24"/>
          <w:lang w:val="zh-TW" w:eastAsia="zh-TW"/>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提供</w:t>
      </w:r>
      <w:r>
        <w:rPr>
          <w:rFonts w:hint="eastAsia" w:ascii="宋体" w:hAnsi="宋体" w:cs="宋体"/>
          <w:color w:val="000000" w:themeColor="text1"/>
          <w:sz w:val="24"/>
          <w:lang w:val="zh-TW" w:eastAsia="zh-TW"/>
          <w14:textFill>
            <w14:solidFill>
              <w14:schemeClr w14:val="tx1"/>
            </w14:solidFill>
          </w14:textFill>
        </w:rPr>
        <w:t>护士层级分布表</w:t>
      </w:r>
      <w:r>
        <w:rPr>
          <w:rFonts w:hint="eastAsia" w:ascii="宋体" w:hAnsi="宋体" w:cs="宋体"/>
          <w:color w:val="000000" w:themeColor="text1"/>
          <w:sz w:val="24"/>
          <w:lang w:val="zh-CN"/>
          <w14:textFill>
            <w14:solidFill>
              <w14:schemeClr w14:val="tx1"/>
            </w14:solidFill>
          </w14:textFill>
        </w:rPr>
        <w:t>:可以</w:t>
      </w:r>
      <w:r>
        <w:rPr>
          <w:rFonts w:hint="eastAsia" w:ascii="宋体" w:hAnsi="宋体" w:cs="宋体"/>
          <w:color w:val="000000" w:themeColor="text1"/>
          <w:sz w:val="24"/>
          <w:lang w:val="zh-TW" w:eastAsia="zh-TW"/>
          <w14:textFill>
            <w14:solidFill>
              <w14:schemeClr w14:val="tx1"/>
            </w14:solidFill>
          </w14:textFill>
        </w:rPr>
        <w:t>分析全院护士层级分布情况</w:t>
      </w:r>
    </w:p>
    <w:p>
      <w:pPr>
        <w:numPr>
          <w:ilvl w:val="0"/>
          <w:numId w:val="135"/>
        </w:numPr>
        <w:spacing w:line="360" w:lineRule="auto"/>
        <w:jc w:val="left"/>
        <w:rPr>
          <w:rFonts w:ascii="宋体" w:hAnsi="宋体" w:cs="宋体"/>
          <w:color w:val="000000" w:themeColor="text1"/>
          <w:sz w:val="24"/>
          <w:lang w:val="zh-TW" w:eastAsia="zh-TW"/>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提供</w:t>
      </w:r>
      <w:r>
        <w:rPr>
          <w:rFonts w:hint="eastAsia" w:ascii="宋体" w:hAnsi="宋体" w:cs="宋体"/>
          <w:color w:val="000000" w:themeColor="text1"/>
          <w:sz w:val="24"/>
          <w:lang w:val="zh-TW" w:eastAsia="zh-TW"/>
          <w14:textFill>
            <w14:solidFill>
              <w14:schemeClr w14:val="tx1"/>
            </w14:solidFill>
          </w14:textFill>
        </w:rPr>
        <w:t>床护比分析表</w:t>
      </w:r>
      <w:r>
        <w:rPr>
          <w:rFonts w:hint="eastAsia" w:ascii="宋体" w:hAnsi="宋体" w:cs="宋体"/>
          <w:color w:val="000000" w:themeColor="text1"/>
          <w:sz w:val="24"/>
          <w:lang w:val="zh-CN"/>
          <w14:textFill>
            <w14:solidFill>
              <w14:schemeClr w14:val="tx1"/>
            </w14:solidFill>
          </w14:textFill>
        </w:rPr>
        <w:t>:可以</w:t>
      </w:r>
      <w:r>
        <w:rPr>
          <w:rFonts w:hint="eastAsia" w:ascii="宋体" w:hAnsi="宋体" w:cs="宋体"/>
          <w:color w:val="000000" w:themeColor="text1"/>
          <w:sz w:val="24"/>
          <w:lang w:val="zh-TW" w:eastAsia="zh-TW"/>
          <w14:textFill>
            <w14:solidFill>
              <w14:schemeClr w14:val="tx1"/>
            </w14:solidFill>
          </w14:textFill>
        </w:rPr>
        <w:t>分析全院及各科床护比</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护理人员专业技术档案管理</w:t>
      </w:r>
    </w:p>
    <w:p>
      <w:pPr>
        <w:spacing w:line="360" w:lineRule="auto"/>
        <w:ind w:firstLine="480" w:firstLineChars="200"/>
        <w:jc w:val="left"/>
        <w:rPr>
          <w:rFonts w:ascii="宋体" w:hAnsi="宋体" w:cs="宋体"/>
          <w:color w:val="000000" w:themeColor="text1"/>
          <w:sz w:val="24"/>
          <w:lang w:val="zh-TW" w:eastAsia="zh-TW"/>
          <w14:textFill>
            <w14:solidFill>
              <w14:schemeClr w14:val="tx1"/>
            </w14:solidFill>
          </w14:textFill>
        </w:rPr>
      </w:pPr>
      <w:r>
        <w:rPr>
          <w:rFonts w:hint="eastAsia" w:ascii="宋体" w:hAnsi="宋体" w:cs="宋体"/>
          <w:color w:val="000000" w:themeColor="text1"/>
          <w:sz w:val="24"/>
          <w:lang w:val="zh-TW" w:eastAsia="zh-TW"/>
          <w14:textFill>
            <w14:solidFill>
              <w14:schemeClr w14:val="tx1"/>
            </w14:solidFill>
          </w14:textFill>
        </w:rPr>
        <w:t>支持专业技术档案的填报及查看操作。包括学习班、学术会议、院内业务学习、科内业务学习、在读学历信息、物殊情况处理、论文、著作、课师、相关证书导入等</w:t>
      </w:r>
      <w:r>
        <w:rPr>
          <w:rFonts w:hint="eastAsia" w:ascii="宋体" w:hAnsi="宋体" w:cs="宋体"/>
          <w:color w:val="000000" w:themeColor="text1"/>
          <w:sz w:val="24"/>
          <w:lang w:val="zh-CN" w:eastAsia="zh-TW"/>
          <w14:textFill>
            <w14:solidFill>
              <w14:schemeClr w14:val="tx1"/>
            </w14:solidFill>
          </w14:textFill>
        </w:rPr>
        <w:t>。</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护理排班管理功能</w:t>
      </w:r>
    </w:p>
    <w:p>
      <w:pPr>
        <w:numPr>
          <w:ilvl w:val="0"/>
          <w:numId w:val="136"/>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提供护理单元设置：可以按医院管理习惯，划分相应的排班组。</w:t>
      </w:r>
    </w:p>
    <w:p>
      <w:pPr>
        <w:numPr>
          <w:ilvl w:val="0"/>
          <w:numId w:val="136"/>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提供排班班次设置：可以由护理部设置医院各病区需要的排班班次。</w:t>
      </w:r>
    </w:p>
    <w:p>
      <w:pPr>
        <w:numPr>
          <w:ilvl w:val="0"/>
          <w:numId w:val="136"/>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提供在编人数、核定床护比、固定床护比、实际床护比的统计功能。</w:t>
      </w:r>
    </w:p>
    <w:p>
      <w:pPr>
        <w:numPr>
          <w:ilvl w:val="0"/>
          <w:numId w:val="136"/>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提供班时节的调节功能。</w:t>
      </w:r>
    </w:p>
    <w:p>
      <w:pPr>
        <w:numPr>
          <w:ilvl w:val="0"/>
          <w:numId w:val="136"/>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提供排班人员的复制、调动功能。</w:t>
      </w:r>
    </w:p>
    <w:p>
      <w:pPr>
        <w:numPr>
          <w:ilvl w:val="0"/>
          <w:numId w:val="136"/>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提供床位护士比值功能。</w:t>
      </w:r>
    </w:p>
    <w:p>
      <w:pPr>
        <w:numPr>
          <w:ilvl w:val="0"/>
          <w:numId w:val="136"/>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提供护士请假申请与申请审核流程。</w:t>
      </w:r>
    </w:p>
    <w:p>
      <w:pPr>
        <w:numPr>
          <w:ilvl w:val="0"/>
          <w:numId w:val="136"/>
        </w:numPr>
        <w:spacing w:line="360" w:lineRule="auto"/>
        <w:ind w:left="0" w:firstLine="0"/>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提供请假数据的统计功能，包括请假明细查询、请假分类汇总、病假诊断分类汇总统计。</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教育培训</w:t>
      </w:r>
    </w:p>
    <w:p>
      <w:pPr>
        <w:numPr>
          <w:ilvl w:val="3"/>
          <w:numId w:val="13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提供业务学习的记录功能。</w:t>
      </w:r>
    </w:p>
    <w:p>
      <w:pPr>
        <w:numPr>
          <w:ilvl w:val="3"/>
          <w:numId w:val="13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提供护理操作培训记录功能。</w:t>
      </w:r>
    </w:p>
    <w:p>
      <w:pPr>
        <w:numPr>
          <w:ilvl w:val="3"/>
          <w:numId w:val="13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提供疾病查房记录功能。</w:t>
      </w:r>
    </w:p>
    <w:p>
      <w:pPr>
        <w:numPr>
          <w:ilvl w:val="3"/>
          <w:numId w:val="13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提供三级疾病查房记录功能。</w:t>
      </w:r>
    </w:p>
    <w:p>
      <w:pPr>
        <w:numPr>
          <w:ilvl w:val="3"/>
          <w:numId w:val="137"/>
        </w:num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提供应急演练记录功能。</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事务管理</w:t>
      </w:r>
    </w:p>
    <w:p>
      <w:pPr>
        <w:numPr>
          <w:ilvl w:val="2"/>
          <w:numId w:val="138"/>
        </w:numPr>
        <w:spacing w:line="360" w:lineRule="auto"/>
        <w:ind w:left="0" w:firstLine="0"/>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提供年度工作计划功能：科室填报年度工作计划、护理部查看全院科室的工作计划。</w:t>
      </w:r>
    </w:p>
    <w:p>
      <w:pPr>
        <w:numPr>
          <w:ilvl w:val="2"/>
          <w:numId w:val="138"/>
        </w:numPr>
        <w:spacing w:line="360" w:lineRule="auto"/>
        <w:ind w:left="0" w:firstLine="0"/>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提供护理科务会功能：护理科务会登记上报，记录参加科务会的人员、存在的问题、整体改措施、其它问题讨论的结果。</w:t>
      </w:r>
    </w:p>
    <w:p>
      <w:pPr>
        <w:numPr>
          <w:ilvl w:val="2"/>
          <w:numId w:val="138"/>
        </w:numPr>
        <w:spacing w:line="360" w:lineRule="auto"/>
        <w:ind w:left="0" w:firstLine="0"/>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提供年度工作总结功能：科室填报年度工作总结，护理部查看全院科室年度工作总结。</w:t>
      </w:r>
    </w:p>
    <w:p>
      <w:pPr>
        <w:numPr>
          <w:ilvl w:val="2"/>
          <w:numId w:val="138"/>
        </w:numPr>
        <w:spacing w:line="360" w:lineRule="auto"/>
        <w:ind w:left="0" w:firstLine="0"/>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提供护理隐患讨论功能：护理隐患讨论记录，记录讨论时间、护理隐患内容、原因分析、整改措施、参加人数等信息。</w:t>
      </w:r>
    </w:p>
    <w:p>
      <w:pPr>
        <w:numPr>
          <w:ilvl w:val="2"/>
          <w:numId w:val="138"/>
        </w:numPr>
        <w:spacing w:line="360" w:lineRule="auto"/>
        <w:ind w:left="0" w:firstLine="0"/>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提供专项计划功能。</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护士满意度管理</w:t>
      </w:r>
    </w:p>
    <w:p>
      <w:pPr>
        <w:numPr>
          <w:ilvl w:val="0"/>
          <w:numId w:val="139"/>
        </w:numPr>
        <w:spacing w:line="360" w:lineRule="auto"/>
        <w:ind w:left="0" w:firstLine="0"/>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提供护士满意度调查功能：记录针对护士的满意度调查问卷结果(由护理部发起抽查），主要针对的是护理人员对工作环境、氛围、学习成长等情况的调查分析。</w:t>
      </w:r>
    </w:p>
    <w:p>
      <w:pPr>
        <w:numPr>
          <w:ilvl w:val="0"/>
          <w:numId w:val="139"/>
        </w:numPr>
        <w:spacing w:line="360" w:lineRule="auto"/>
        <w:ind w:left="0" w:firstLine="0"/>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提供护士满意度统计分析功能：对护士满意度调查结果进行总结分析，发现问题，在管理和服务上改进，为护理人员提供良好的环境和工作氛围，以保证更好的服务于病人。</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bookmarkStart w:id="291" w:name="_Toc71663236"/>
      <w:r>
        <w:rPr>
          <w:rFonts w:hint="eastAsia" w:ascii="宋体" w:hAnsi="宋体" w:eastAsia="宋体" w:cs="宋体"/>
          <w:color w:val="000000" w:themeColor="text1"/>
          <w:sz w:val="24"/>
          <w:szCs w:val="24"/>
          <w14:textFill>
            <w14:solidFill>
              <w14:schemeClr w14:val="tx1"/>
            </w14:solidFill>
          </w14:textFill>
        </w:rPr>
        <w:t>护理质量管理</w:t>
      </w:r>
      <w:bookmarkEnd w:id="291"/>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质量检查与查房</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提供质量检查指标维护功能：分病区，分类型设置质量检查指标或项目；</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提供质量检查标准阈值维护功能；</w:t>
      </w:r>
    </w:p>
    <w:p>
      <w:pPr>
        <w:numPr>
          <w:ilvl w:val="0"/>
          <w:numId w:val="140"/>
        </w:numPr>
        <w:spacing w:line="360" w:lineRule="auto"/>
        <w:ind w:left="0" w:firstLine="0"/>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提供质控小组维护功能，支持护理部质控小组维护、大科护士长质控小组维护、病区质控小组维护功能；</w:t>
      </w:r>
    </w:p>
    <w:p>
      <w:pPr>
        <w:numPr>
          <w:ilvl w:val="0"/>
          <w:numId w:val="140"/>
        </w:numPr>
        <w:spacing w:line="360" w:lineRule="auto"/>
        <w:ind w:left="0" w:firstLine="0"/>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提供质量检查权限维护功能，可按照不同用户对日查房、季度查房、专项检查、节前安全检查、病区自查的检查权限进行维护；</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提供日查房检查操作；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提供日查房检查计划维护功能，维护时可关联质控小组及对应的检查指标；</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提供日查房质量问题汇总功能，支持用户进行原因分析操作；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提供日查房共性问题汇总功能，支持用户进行原因分析操作；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提供日查房检查数据生成柏拉图功能</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提供季度查房检查操作；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提供季度查房检查计划维护功能，维护时可关联质控小组及对应的检查指标；</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提供季度查房质量问题汇总功能，支持用户进行原因分析操作；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提供季度查房共性问题汇总功能，支持用户进行原因分析操作；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提供病季度查房数据生成柏拉图功能</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提供专项检查操作；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提供专项检查计划维护功能，维护时可关联质控小组及对应的检查指标；</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提供专项检查质量问题汇总功能，支持用户进行原因分析操作；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提供专项检查共性问题汇总功能，支持用户进行原因分析操作；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提供专项检查数据生成柏拉图功能</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提供节前安全检查操作；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提供节前安全检查计划维护功能，维护时可关联质控小组及对应的检查指标；</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提供节前安全检查质量问题汇总功能，支持用户进行原因分析操作；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提供节前安全检查共性问题汇总功能，支持用户进行原因分析操作；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提供节前安全检查数据生成柏拉图功能</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提供夜查房检查操作；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提供夜查房检查计划维护功能，维护时可关联质控小组及对应的检查指标；</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提供夜查房检查质量问题汇总功能，支持用户进行原因分析操作；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提供夜查房检查共性问题汇总功能，支持用户进行原因分析操作；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提供夜查房数据生成柏拉图功能</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提供大科检查操作；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提供大科检查计划维护功能，维护时可关联质控小组及对应的检查指标；</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提供大科检查质量问题汇总功能，支持用户进行原因分析操作；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提供大科检查共性问题汇总功能，支持用户进行原因分析操作；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提供大科检查数据生成柏拉图功能</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提供病区自查检查操作；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提供病区自查检查计划维护功能，维护时可关联质控小组及对应的检查指标；</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提供病区自查检查质量问题汇总功能，支持用户进行原因分析操作；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提供病区自查检查共性问题汇总功能，支持用户进行原因分析操作；</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提供病区自查数据生成柏拉图功能。</w:t>
      </w:r>
    </w:p>
    <w:p>
      <w:pPr>
        <w:numPr>
          <w:ilvl w:val="0"/>
          <w:numId w:val="140"/>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支持根据PC端维护的检查计划，自动展示每个用户需要检查的任务；</w:t>
      </w:r>
    </w:p>
    <w:p>
      <w:pPr>
        <w:pStyle w:val="7"/>
        <w:tabs>
          <w:tab w:val="left" w:pos="0"/>
        </w:tabs>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护理不良事件管理</w:t>
      </w:r>
    </w:p>
    <w:p>
      <w:pPr>
        <w:numPr>
          <w:ilvl w:val="0"/>
          <w:numId w:val="141"/>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支持按照医院要求制定护理不良事件上报模板。</w:t>
      </w:r>
    </w:p>
    <w:p>
      <w:pPr>
        <w:numPr>
          <w:ilvl w:val="0"/>
          <w:numId w:val="141"/>
        </w:numPr>
        <w:spacing w:line="360" w:lineRule="auto"/>
        <w:ind w:left="0" w:firstLine="0"/>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支持针对护理隐患（未发生），护理不良事件（已发生）：给药错误、针刺伤、护理投诉、护理事故、烫伤、压疮、高危压疮、坠床、跌倒、药物外渗、管道滑脱等情况进行护理不良事件的上报。</w:t>
      </w:r>
    </w:p>
    <w:p>
      <w:pPr>
        <w:numPr>
          <w:ilvl w:val="0"/>
          <w:numId w:val="141"/>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支持护理不良事件逐级上报审批功能。</w:t>
      </w:r>
    </w:p>
    <w:p>
      <w:pPr>
        <w:numPr>
          <w:ilvl w:val="0"/>
          <w:numId w:val="141"/>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支持护理不良事件原因分析和整改意见填写功能。</w:t>
      </w:r>
    </w:p>
    <w:p>
      <w:pPr>
        <w:numPr>
          <w:ilvl w:val="0"/>
          <w:numId w:val="141"/>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支持根据不良事件上报单自动生成鱼骨图分析功能。</w:t>
      </w:r>
    </w:p>
    <w:p>
      <w:pPr>
        <w:numPr>
          <w:ilvl w:val="0"/>
          <w:numId w:val="141"/>
        </w:numPr>
        <w:spacing w:line="360" w:lineRule="auto"/>
        <w:jc w:val="left"/>
        <w:rPr>
          <w:rFonts w:ascii="宋体" w:hAnsi="宋体" w:cs="宋体"/>
          <w:color w:val="000000" w:themeColor="text1"/>
          <w:sz w:val="24"/>
          <w:lang w:val="zh-TW"/>
          <w14:textFill>
            <w14:solidFill>
              <w14:schemeClr w14:val="tx1"/>
            </w14:solidFill>
          </w14:textFill>
        </w:rPr>
      </w:pPr>
      <w:r>
        <w:rPr>
          <w:rFonts w:hint="eastAsia" w:ascii="宋体" w:hAnsi="宋体" w:cs="宋体"/>
          <w:color w:val="000000" w:themeColor="text1"/>
          <w:sz w:val="24"/>
          <w:lang w:val="zh-TW"/>
          <w14:textFill>
            <w14:solidFill>
              <w14:schemeClr w14:val="tx1"/>
            </w14:solidFill>
          </w14:textFill>
        </w:rPr>
        <w:t>提供根据不良事件上报单自动生成柏拉图分析功能。</w:t>
      </w:r>
    </w:p>
    <w:p>
      <w:pPr>
        <w:pStyle w:val="7"/>
        <w:tabs>
          <w:tab w:val="left" w:pos="0"/>
        </w:tabs>
        <w:spacing w:line="360" w:lineRule="auto"/>
        <w:jc w:val="left"/>
        <w:rPr>
          <w:rFonts w:ascii="宋体" w:hAnsi="宋体" w:eastAsia="宋体" w:cs="宋体"/>
          <w:color w:val="000000" w:themeColor="text1"/>
          <w:sz w:val="24"/>
          <w:szCs w:val="24"/>
          <w:lang w:val="zh-TW" w:eastAsia="zh-TW"/>
          <w14:textFill>
            <w14:solidFill>
              <w14:schemeClr w14:val="tx1"/>
            </w14:solidFill>
          </w14:textFill>
        </w:rPr>
      </w:pPr>
      <w:r>
        <w:rPr>
          <w:rFonts w:hint="eastAsia" w:ascii="宋体" w:hAnsi="宋体" w:eastAsia="宋体" w:cs="宋体"/>
          <w:color w:val="000000" w:themeColor="text1"/>
          <w:sz w:val="24"/>
          <w:szCs w:val="24"/>
          <w:lang w:val="zh-TW" w:eastAsia="zh-TW"/>
          <w14:textFill>
            <w14:solidFill>
              <w14:schemeClr w14:val="tx1"/>
            </w14:solidFill>
          </w14:textFill>
        </w:rPr>
        <w:t>敏感性指标上报</w:t>
      </w:r>
    </w:p>
    <w:p>
      <w:pPr>
        <w:numPr>
          <w:ilvl w:val="0"/>
          <w:numId w:val="142"/>
        </w:numPr>
        <w:spacing w:line="360" w:lineRule="auto"/>
        <w:ind w:left="0" w:firstLine="0"/>
        <w:jc w:val="left"/>
        <w:rPr>
          <w:rFonts w:ascii="宋体" w:hAnsi="宋体" w:cs="宋体"/>
          <w:color w:val="auto"/>
          <w:sz w:val="24"/>
          <w:lang w:val="zh-TW"/>
        </w:rPr>
      </w:pPr>
      <w:r>
        <w:rPr>
          <w:rFonts w:hint="eastAsia" w:ascii="宋体" w:hAnsi="宋体" w:cs="宋体"/>
          <w:color w:val="auto"/>
          <w:sz w:val="24"/>
          <w:lang w:val="zh-TW"/>
        </w:rPr>
        <w:t>支持根据医院要求配置敏感性指标。</w:t>
      </w:r>
    </w:p>
    <w:p>
      <w:pPr>
        <w:numPr>
          <w:ilvl w:val="0"/>
          <w:numId w:val="142"/>
        </w:numPr>
        <w:spacing w:line="360" w:lineRule="auto"/>
        <w:ind w:left="0" w:firstLine="0"/>
        <w:jc w:val="left"/>
        <w:rPr>
          <w:rFonts w:ascii="宋体" w:hAnsi="宋体" w:cs="宋体"/>
          <w:color w:val="auto"/>
          <w:sz w:val="24"/>
          <w:lang w:val="zh-TW"/>
        </w:rPr>
      </w:pPr>
      <w:r>
        <w:rPr>
          <w:rFonts w:hint="eastAsia" w:ascii="宋体" w:hAnsi="宋体" w:cs="宋体"/>
          <w:color w:val="auto"/>
          <w:sz w:val="24"/>
          <w:lang w:val="zh-TW"/>
        </w:rPr>
        <w:t>提供护理敏感性指标手工填报功能。</w:t>
      </w:r>
    </w:p>
    <w:p>
      <w:pPr>
        <w:numPr>
          <w:ilvl w:val="0"/>
          <w:numId w:val="142"/>
        </w:numPr>
        <w:spacing w:line="360" w:lineRule="auto"/>
        <w:ind w:left="0" w:firstLine="0"/>
        <w:jc w:val="left"/>
        <w:rPr>
          <w:rFonts w:ascii="宋体" w:hAnsi="宋体" w:cs="宋体"/>
          <w:color w:val="auto"/>
          <w:sz w:val="24"/>
          <w:lang w:val="zh-TW"/>
        </w:rPr>
      </w:pPr>
      <w:r>
        <w:rPr>
          <w:rFonts w:hint="eastAsia" w:ascii="宋体" w:hAnsi="宋体" w:cs="宋体"/>
          <w:color w:val="auto"/>
          <w:sz w:val="24"/>
          <w:lang w:val="zh-TW"/>
        </w:rPr>
        <w:t>提供床护比、护士离职率、护患比、跌倒发生率、非计划拔管率等敏感性指标相关数据。</w:t>
      </w:r>
    </w:p>
    <w:p>
      <w:pPr>
        <w:numPr>
          <w:ilvl w:val="0"/>
          <w:numId w:val="142"/>
        </w:numPr>
        <w:spacing w:line="360" w:lineRule="auto"/>
        <w:ind w:left="0" w:firstLine="0"/>
        <w:jc w:val="left"/>
        <w:rPr>
          <w:rFonts w:ascii="宋体" w:hAnsi="宋体" w:cs="宋体"/>
          <w:color w:val="auto"/>
          <w:sz w:val="24"/>
          <w:lang w:val="zh-TW"/>
        </w:rPr>
      </w:pPr>
      <w:r>
        <w:rPr>
          <w:rFonts w:hint="eastAsia" w:ascii="宋体" w:hAnsi="宋体" w:cs="宋体"/>
          <w:color w:val="auto"/>
          <w:sz w:val="24"/>
          <w:lang w:val="zh-TW"/>
        </w:rPr>
        <w:t>支持护理敏感性指标按月、按季度统计分析功能。</w:t>
      </w:r>
    </w:p>
    <w:p>
      <w:pPr>
        <w:pStyle w:val="44"/>
        <w:spacing w:line="360" w:lineRule="auto"/>
        <w:ind w:firstLine="0" w:firstLineChars="0"/>
        <w:jc w:val="left"/>
        <w:rPr>
          <w:rFonts w:ascii="宋体" w:hAnsi="宋体" w:cs="宋体"/>
          <w:color w:val="auto"/>
          <w:sz w:val="24"/>
        </w:rPr>
      </w:pPr>
      <w:r>
        <w:rPr>
          <w:rFonts w:hint="eastAsia" w:ascii="宋体" w:hAnsi="宋体" w:cs="宋体" w:eastAsiaTheme="minorEastAsia"/>
          <w:color w:val="auto"/>
          <w:sz w:val="24"/>
          <w:lang w:val="zh-TW"/>
        </w:rPr>
        <w:t>5.</w:t>
      </w:r>
      <w:r>
        <w:rPr>
          <w:rFonts w:hint="eastAsia" w:ascii="宋体" w:hAnsi="宋体" w:cs="宋体"/>
          <w:color w:val="auto"/>
          <w:sz w:val="24"/>
          <w:lang w:val="zh-TW" w:eastAsia="zh-TW"/>
        </w:rPr>
        <w:t>提供护理敏感性指标按病区统计分析功能。</w:t>
      </w:r>
    </w:p>
    <w:p>
      <w:pPr>
        <w:pStyle w:val="2"/>
        <w:spacing w:line="360" w:lineRule="auto"/>
        <w:jc w:val="left"/>
        <w:rPr>
          <w:rFonts w:ascii="宋体" w:hAnsi="宋体" w:cs="宋体"/>
          <w:sz w:val="24"/>
        </w:rPr>
      </w:pPr>
    </w:p>
    <w:p/>
    <w:p>
      <w:pPr>
        <w:spacing w:line="360" w:lineRule="auto"/>
        <w:rPr>
          <w:rFonts w:ascii="宋体" w:hAnsi="宋体" w:cs="宋体"/>
          <w:b/>
          <w:bCs/>
          <w:sz w:val="28"/>
          <w:szCs w:val="28"/>
        </w:rPr>
      </w:pPr>
      <w:bookmarkStart w:id="292" w:name="_Toc384739321"/>
      <w:r>
        <w:rPr>
          <w:rFonts w:hint="eastAsia" w:ascii="宋体" w:hAnsi="宋体" w:cs="宋体"/>
          <w:b/>
          <w:bCs/>
          <w:sz w:val="28"/>
          <w:szCs w:val="28"/>
        </w:rPr>
        <w:t>第三部分：商务及其他要求（实质性要求）：</w:t>
      </w:r>
    </w:p>
    <w:p>
      <w:pPr>
        <w:autoSpaceDE w:val="0"/>
        <w:autoSpaceDN w:val="0"/>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1、建设周期：合同签订后5个月内完成；建设地点：</w:t>
      </w:r>
      <w:r>
        <w:rPr>
          <w:rFonts w:hint="eastAsia" w:ascii="宋体" w:hAnsi="宋体" w:eastAsia="宋体" w:cs="宋体"/>
          <w:color w:val="000000" w:themeColor="text1"/>
          <w:kern w:val="2"/>
          <w:sz w:val="24"/>
          <w:szCs w:val="24"/>
          <w:lang w:val="en-US" w:eastAsia="zh-CN" w:bidi="ar-SA"/>
          <w14:textFill>
            <w14:solidFill>
              <w14:schemeClr w14:val="tx1"/>
            </w14:solidFill>
          </w14:textFill>
        </w:rPr>
        <w:t>简阳市人民医院。</w:t>
      </w:r>
    </w:p>
    <w:p>
      <w:pPr>
        <w:autoSpaceDE w:val="0"/>
        <w:autoSpaceDN w:val="0"/>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2、质保期≥2年，质保期后双方另行签订维保合同。</w:t>
      </w:r>
    </w:p>
    <w:bookmarkEnd w:id="292"/>
    <w:p>
      <w:pPr>
        <w:autoSpaceDE w:val="0"/>
        <w:autoSpaceDN w:val="0"/>
        <w:adjustRightInd w:val="0"/>
        <w:spacing w:line="360" w:lineRule="auto"/>
        <w:rPr>
          <w:rFonts w:ascii="宋体" w:hAnsi="宋体" w:cs="宋体"/>
          <w:color w:val="000000" w:themeColor="text1"/>
          <w:sz w:val="24"/>
          <w14:textFill>
            <w14:solidFill>
              <w14:schemeClr w14:val="tx1"/>
            </w14:solidFill>
          </w14:textFill>
        </w:rPr>
      </w:pPr>
      <w:bookmarkStart w:id="293" w:name="_Toc39942839"/>
      <w:bookmarkStart w:id="294" w:name="_Toc55765354"/>
      <w:bookmarkStart w:id="295" w:name="_Toc71663238"/>
      <w:r>
        <w:rPr>
          <w:rFonts w:hint="eastAsia" w:ascii="宋体" w:hAnsi="宋体" w:cs="宋体"/>
          <w:color w:val="000000" w:themeColor="text1"/>
          <w:sz w:val="24"/>
          <w14:textFill>
            <w14:solidFill>
              <w14:schemeClr w14:val="tx1"/>
            </w14:solidFill>
          </w14:textFill>
        </w:rPr>
        <w:t>3.系统实施</w:t>
      </w:r>
      <w:bookmarkEnd w:id="293"/>
      <w:bookmarkEnd w:id="294"/>
      <w:bookmarkEnd w:id="295"/>
    </w:p>
    <w:p>
      <w:pPr>
        <w:pStyle w:val="432"/>
        <w:widowControl/>
        <w:spacing w:line="360" w:lineRule="auto"/>
        <w:ind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3.1系统运行前完成医院各系统数据的收集整理、校对录入和测试，做好数据初始化工作。</w:t>
      </w:r>
    </w:p>
    <w:p>
      <w:pPr>
        <w:pStyle w:val="432"/>
        <w:widowControl/>
        <w:spacing w:line="360" w:lineRule="auto"/>
        <w:ind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网络畅通，服务器和各前端站点都工作正常是系统运行的基础。在数据初始化、系统培训和制定工作流程的同时，医院和公司统筹安排系统的安装和调试，这其中包括数据库的安装调试，各个子系统的安装及参数设置等工作。指定人员负责各自的工作，分工明确责任到人。所有工作都准备就绪后，严格制定系统启动时间及计划安排。在系统在正式启动后，运行大约一周的时间后能够保持稳定，系统提供的功能能够正常使用，项目实施人员对工作进行移交。系统移交期限：合同签订后5个月内。</w:t>
      </w:r>
    </w:p>
    <w:p>
      <w:pPr>
        <w:pStyle w:val="432"/>
        <w:widowControl/>
        <w:spacing w:line="360" w:lineRule="auto"/>
        <w:ind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数据是医院信息化建设的重要资产，本次项目建设需充分保护和利用现有信息化建设成果，与现有信息系统实现深度融合。投标人承诺不能对现有业务系统的正常运行、业务及管理功能造成影响，同时为保证医院数据质量及临床数据连续性要求，需实现与现有电子病历系统数据无缝对接，不能有数据丢失，实现历史数据的有效利用。（</w:t>
      </w:r>
      <w:r>
        <w:rPr>
          <w:rFonts w:hint="eastAsia" w:ascii="宋体" w:hAnsi="宋体" w:cs="宋体"/>
          <w:color w:val="000000" w:themeColor="text1"/>
          <w:kern w:val="0"/>
          <w:sz w:val="24"/>
          <w14:textFill>
            <w14:solidFill>
              <w14:schemeClr w14:val="tx1"/>
            </w14:solidFill>
          </w14:textFill>
        </w:rPr>
        <w:t>投标人须提供承诺函原件</w:t>
      </w:r>
      <w:r>
        <w:rPr>
          <w:rFonts w:hint="eastAsia" w:ascii="宋体" w:hAnsi="宋体" w:cs="宋体"/>
          <w:color w:val="000000" w:themeColor="text1"/>
          <w:sz w:val="24"/>
          <w14:textFill>
            <w14:solidFill>
              <w14:schemeClr w14:val="tx1"/>
            </w14:solidFill>
          </w14:textFill>
        </w:rPr>
        <w:t>）</w:t>
      </w:r>
    </w:p>
    <w:p>
      <w:pPr>
        <w:autoSpaceDE w:val="0"/>
        <w:autoSpaceDN w:val="0"/>
        <w:adjustRightInd w:val="0"/>
        <w:spacing w:line="360" w:lineRule="auto"/>
        <w:rPr>
          <w:rFonts w:ascii="宋体" w:hAnsi="宋体" w:cs="宋体"/>
          <w:color w:val="000000" w:themeColor="text1"/>
          <w:sz w:val="24"/>
          <w14:textFill>
            <w14:solidFill>
              <w14:schemeClr w14:val="tx1"/>
            </w14:solidFill>
          </w14:textFill>
        </w:rPr>
      </w:pPr>
      <w:bookmarkStart w:id="296" w:name="_Toc55765355"/>
      <w:bookmarkStart w:id="297" w:name="_Toc39942840"/>
      <w:bookmarkStart w:id="298" w:name="_Toc71663239"/>
      <w:r>
        <w:rPr>
          <w:rFonts w:hint="eastAsia" w:ascii="宋体" w:hAnsi="宋体" w:cs="宋体"/>
          <w:color w:val="000000" w:themeColor="text1"/>
          <w:sz w:val="24"/>
          <w14:textFill>
            <w14:solidFill>
              <w14:schemeClr w14:val="tx1"/>
            </w14:solidFill>
          </w14:textFill>
        </w:rPr>
        <w:t>4.接口改造</w:t>
      </w:r>
      <w:bookmarkEnd w:id="296"/>
      <w:bookmarkEnd w:id="297"/>
      <w:bookmarkEnd w:id="298"/>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w:t>
      </w:r>
      <w:r>
        <w:rPr>
          <w:rFonts w:hint="eastAsia" w:ascii="宋体" w:hAnsi="宋体" w:eastAsia="宋体" w:cs="宋体"/>
          <w:color w:val="000000" w:themeColor="text1"/>
          <w:kern w:val="0"/>
          <w:sz w:val="24"/>
          <w:szCs w:val="24"/>
          <w:lang w:val="en-US" w:eastAsia="zh-CN" w:bidi="ar-SA"/>
          <w14:textFill>
            <w14:solidFill>
              <w14:schemeClr w14:val="tx1"/>
            </w14:solidFill>
          </w14:textFill>
        </w:rPr>
        <w:t>中标后</w:t>
      </w:r>
      <w:r>
        <w:rPr>
          <w:rFonts w:hint="eastAsia" w:ascii="宋体" w:hAnsi="宋体" w:cs="宋体"/>
          <w:color w:val="000000" w:themeColor="text1"/>
          <w:kern w:val="0"/>
          <w:sz w:val="24"/>
          <w14:textFill>
            <w14:solidFill>
              <w14:schemeClr w14:val="tx1"/>
            </w14:solidFill>
          </w14:textFill>
        </w:rPr>
        <w:t>必须提供并制定与医院现有各种信息系统接口的方案，并与各系统的提供商进行沟通、积极配合；必须完成本应由其负责的接口程序的实施。如果需要其它信息系统进行较大程度程序改造才能完成与本次项目建设/改造系统之间的接口，则投标人必须详细提出具体方案和实施细则，并在医院统一协调安排下与该系统的提供商协商沟通。</w:t>
      </w:r>
    </w:p>
    <w:p>
      <w:pPr>
        <w:autoSpaceDE w:val="0"/>
        <w:autoSpaceDN w:val="0"/>
        <w:adjustRightInd w:val="0"/>
        <w:spacing w:line="360" w:lineRule="auto"/>
        <w:rPr>
          <w:rFonts w:ascii="宋体" w:hAnsi="宋体" w:cs="宋体"/>
          <w:color w:val="000000" w:themeColor="text1"/>
          <w:sz w:val="24"/>
          <w14:textFill>
            <w14:solidFill>
              <w14:schemeClr w14:val="tx1"/>
            </w14:solidFill>
          </w14:textFill>
        </w:rPr>
      </w:pPr>
      <w:bookmarkStart w:id="299" w:name="_Toc55765356"/>
      <w:bookmarkStart w:id="300" w:name="_Toc71663240"/>
      <w:bookmarkStart w:id="301" w:name="_Toc39942841"/>
      <w:r>
        <w:rPr>
          <w:rFonts w:hint="eastAsia" w:ascii="宋体" w:hAnsi="宋体" w:cs="宋体"/>
          <w:color w:val="000000" w:themeColor="text1"/>
          <w:sz w:val="24"/>
          <w14:textFill>
            <w14:solidFill>
              <w14:schemeClr w14:val="tx1"/>
            </w14:solidFill>
          </w14:textFill>
        </w:rPr>
        <w:t>5.人员培训及计划</w:t>
      </w:r>
      <w:bookmarkEnd w:id="299"/>
      <w:bookmarkEnd w:id="300"/>
      <w:bookmarkEnd w:id="301"/>
    </w:p>
    <w:p>
      <w:pPr>
        <w:pStyle w:val="432"/>
        <w:widowControl/>
        <w:spacing w:line="360" w:lineRule="auto"/>
        <w:ind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从合同签订开始，中标人相关技术人员对所有部门及科室骨干进行分期、分批的各种技术培训。根据不同专业、不同管理要求对各部门及科室负责人及所有上岗操作使用人员进行系统主要功能、系统操作使用方法、系统工作流程培训。通过培训，使他们较好的掌握应用软件的使用方法，基本达到数据调阅便利、数据统计准确的要求。</w:t>
      </w:r>
    </w:p>
    <w:p>
      <w:pPr>
        <w:pStyle w:val="432"/>
        <w:widowControl/>
        <w:spacing w:line="360" w:lineRule="auto"/>
        <w:ind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5.2培训对象包括系统管理员、管理人员、操作员(医生、护士、管理科室、技术员)等。</w:t>
      </w:r>
    </w:p>
    <w:p>
      <w:pPr>
        <w:pStyle w:val="432"/>
        <w:widowControl/>
        <w:spacing w:line="360" w:lineRule="auto"/>
        <w:ind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5.3培训计划：包括系统管理员的培训、操作骨干的培训和科室管理人员、操作人员的培训方法和内容。</w:t>
      </w:r>
    </w:p>
    <w:p>
      <w:pPr>
        <w:autoSpaceDE w:val="0"/>
        <w:autoSpaceDN w:val="0"/>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6.售后服务要求</w:t>
      </w:r>
    </w:p>
    <w:p>
      <w:pPr>
        <w:pStyle w:val="432"/>
        <w:widowControl/>
        <w:spacing w:line="360" w:lineRule="auto"/>
        <w:ind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投标人有义务对医院信息管理、运维人员、操作人员分别进行系统研发级别培训、系统日常更新、运维操作的培训、系统使用操作培训。每次系统更新的功能均有明确的文档记录。运维培训目标：除掌握系统操作外，还需掌握系统基础配置、设置、常见错误处理、故障排查等系统层面的基本操作；科室操作人员培训目标：系统操作、基本流程规范、系统关键控制节点说明；系统研发级别培训目标：掌握整个系统架构、系统设计流程、关键节点的控制设计、系统自主开发接入、常见的功能开发指导等；</w:t>
      </w:r>
    </w:p>
    <w:p>
      <w:pPr>
        <w:pStyle w:val="432"/>
        <w:widowControl/>
        <w:spacing w:line="360" w:lineRule="auto"/>
        <w:ind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6.2项目验收时向院方提交系统需求分析报告、程序安装及运维操作手册、软件培训资料、软件使用操作手册；</w:t>
      </w:r>
    </w:p>
    <w:p>
      <w:pPr>
        <w:pStyle w:val="432"/>
        <w:widowControl/>
        <w:spacing w:line="360" w:lineRule="auto"/>
        <w:ind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6.3系统质保期自项目正式验收起≥2年。质保期内投标人应采用定期走访、现场服务、电话和网络咨询等方式为用户提供全方位技术服务；</w:t>
      </w:r>
    </w:p>
    <w:p>
      <w:pPr>
        <w:pStyle w:val="432"/>
        <w:widowControl/>
        <w:spacing w:line="360" w:lineRule="auto"/>
        <w:ind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6.4项目整体验收后质保期间，投标人必须派遣不少于1人的专业工程师专职跟进和维护；</w:t>
      </w:r>
    </w:p>
    <w:p>
      <w:pPr>
        <w:pStyle w:val="432"/>
        <w:widowControl/>
        <w:spacing w:line="360" w:lineRule="auto"/>
        <w:ind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6.5提供定期对系统进行巡检服务，保证系统在最优化的状态下稳定运行，承诺每年不少于4次巡检；</w:t>
      </w:r>
    </w:p>
    <w:p>
      <w:pPr>
        <w:pStyle w:val="432"/>
        <w:widowControl/>
        <w:spacing w:line="360" w:lineRule="auto"/>
        <w:ind w:firstLine="0" w:firstLineChars="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应提供7×24小时热线电话、远程网络、现场等服务方式。热线电话和远程网络提供技术咨询和即时服务，如系统出现故障不能正常运行，投标人在接到医院的请求后，应立即安排技术人员进行软件维护，15分钟内响应，4小时内解决问题；</w:t>
      </w:r>
    </w:p>
    <w:p>
      <w:pPr>
        <w:autoSpaceDE w:val="0"/>
        <w:autoSpaceDN w:val="0"/>
        <w:spacing w:line="360" w:lineRule="auto"/>
        <w:jc w:val="left"/>
        <w:rPr>
          <w:rFonts w:hAnsi="宋体" w:cs="宋体"/>
          <w:b/>
          <w:bCs/>
          <w:sz w:val="24"/>
        </w:rPr>
      </w:pPr>
      <w:r>
        <w:rPr>
          <w:rFonts w:hint="eastAsia" w:ascii="宋体" w:hAnsi="宋体" w:cs="宋体"/>
          <w:color w:val="000000" w:themeColor="text1"/>
          <w:sz w:val="24"/>
          <w14:textFill>
            <w14:solidFill>
              <w14:schemeClr w14:val="tx1"/>
            </w14:solidFill>
          </w14:textFill>
        </w:rPr>
        <w:t>6.7在运维工程师无法立即解决的重大故障，要求研发工程师提供7*24小时响应并提供解决方案服务；</w:t>
      </w:r>
    </w:p>
    <w:p>
      <w:pPr>
        <w:autoSpaceDE w:val="0"/>
        <w:autoSpaceDN w:val="0"/>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付款方式：合同签订生效后支付合同金额的30%；门诊一体化诊疗平台上线并运行正常，在系统初验后支付合同金额的20%；住院一体化诊疗平台上线并运行正常，在系统初验后支付合同金额的20%；在项目终验后支付合同金额的25%；质保期满后支付余款。</w:t>
      </w:r>
      <w:r>
        <w:rPr>
          <w:rFonts w:hint="eastAsia" w:hAnsi="宋体" w:cs="宋体"/>
          <w:bCs/>
          <w:sz w:val="24"/>
          <w:szCs w:val="20"/>
        </w:rPr>
        <w:t>（对于满足合同约定的资金支付条件的，自收到发票后30日内将资金支付到采购合同约定账户，</w:t>
      </w:r>
      <w:r>
        <w:rPr>
          <w:rFonts w:hint="eastAsia" w:hAnsi="宋体" w:cs="宋体"/>
          <w:sz w:val="24"/>
        </w:rPr>
        <w:t>逾期支付采购资金的，将依法承担法律责任，并赔偿供应商损失</w:t>
      </w:r>
      <w:r>
        <w:rPr>
          <w:rFonts w:hint="eastAsia" w:hAnsi="宋体" w:cs="宋体"/>
          <w:bCs/>
          <w:sz w:val="24"/>
          <w:szCs w:val="20"/>
        </w:rPr>
        <w:t>）</w:t>
      </w:r>
    </w:p>
    <w:p>
      <w:pPr>
        <w:autoSpaceDE w:val="0"/>
        <w:autoSpaceDN w:val="0"/>
        <w:adjustRightInd w:val="0"/>
        <w:spacing w:line="360" w:lineRule="auto"/>
        <w:rPr>
          <w:rFonts w:hint="eastAsia" w:hAnsi="宋体" w:cs="宋体"/>
          <w:b/>
          <w:bCs/>
          <w:sz w:val="24"/>
          <w:lang w:val="en-US" w:eastAsia="zh-CN"/>
        </w:rPr>
      </w:pPr>
      <w:r>
        <w:rPr>
          <w:rFonts w:hint="eastAsia" w:hAnsi="宋体" w:cs="宋体"/>
          <w:b/>
          <w:bCs/>
          <w:sz w:val="24"/>
        </w:rPr>
        <w:t>注：</w:t>
      </w:r>
      <w:r>
        <w:rPr>
          <w:rFonts w:hint="eastAsia" w:hAnsi="宋体" w:cs="宋体"/>
          <w:b/>
          <w:bCs/>
          <w:sz w:val="24"/>
          <w:lang w:val="en-US" w:eastAsia="zh-CN"/>
        </w:rPr>
        <w:t>1.本章标注“</w:t>
      </w:r>
      <w:r>
        <w:rPr>
          <w:rFonts w:hint="eastAsia" w:ascii="宋体" w:hAnsi="宋体" w:cs="宋体"/>
          <w:color w:val="000000" w:themeColor="text1"/>
          <w:kern w:val="0"/>
          <w:sz w:val="24"/>
          <w14:textFill>
            <w14:solidFill>
              <w14:schemeClr w14:val="tx1"/>
            </w14:solidFill>
          </w14:textFill>
        </w:rPr>
        <w:t>★</w:t>
      </w:r>
      <w:r>
        <w:rPr>
          <w:rFonts w:hint="eastAsia" w:hAnsi="宋体" w:cs="宋体"/>
          <w:b/>
          <w:bCs/>
          <w:sz w:val="24"/>
          <w:lang w:val="en-US" w:eastAsia="zh-CN"/>
        </w:rPr>
        <w:t>”号参数为实质性要求，不允许负偏离。</w:t>
      </w:r>
    </w:p>
    <w:p>
      <w:pPr>
        <w:autoSpaceDE w:val="0"/>
        <w:autoSpaceDN w:val="0"/>
        <w:adjustRightInd w:val="0"/>
        <w:spacing w:line="360" w:lineRule="auto"/>
        <w:rPr>
          <w:rFonts w:hint="eastAsia" w:hAnsi="宋体" w:cs="宋体"/>
          <w:b/>
          <w:bCs/>
          <w:sz w:val="24"/>
          <w:lang w:val="en-US" w:eastAsia="zh-CN"/>
        </w:rPr>
      </w:pPr>
      <w:r>
        <w:rPr>
          <w:rFonts w:hint="eastAsia" w:hAnsi="宋体" w:cs="宋体"/>
          <w:b/>
          <w:bCs/>
          <w:sz w:val="24"/>
          <w:lang w:val="en-US" w:eastAsia="zh-CN"/>
        </w:rPr>
        <w:t>2.本章标注“</w:t>
      </w:r>
      <w:r>
        <w:rPr>
          <w:rFonts w:hint="eastAsia" w:ascii="宋体" w:hAnsi="宋体" w:cs="宋体"/>
          <w:color w:val="000000" w:themeColor="text1"/>
          <w:sz w:val="24"/>
          <w14:textFill>
            <w14:solidFill>
              <w14:schemeClr w14:val="tx1"/>
            </w14:solidFill>
          </w14:textFill>
        </w:rPr>
        <w:t>▲</w:t>
      </w:r>
      <w:r>
        <w:rPr>
          <w:rFonts w:hint="eastAsia" w:hAnsi="宋体" w:cs="宋体"/>
          <w:b/>
          <w:bCs/>
          <w:sz w:val="24"/>
          <w:lang w:val="en-US" w:eastAsia="zh-CN"/>
        </w:rPr>
        <w:t>”号参数为重要参数，若有负偏离，仅做扣分处理。</w:t>
      </w:r>
    </w:p>
    <w:p>
      <w:pPr>
        <w:autoSpaceDE w:val="0"/>
        <w:autoSpaceDN w:val="0"/>
        <w:adjustRightInd w:val="0"/>
        <w:spacing w:line="360" w:lineRule="auto"/>
        <w:rPr>
          <w:rFonts w:hAnsi="宋体" w:cs="宋体"/>
          <w:b/>
          <w:bCs/>
          <w:sz w:val="24"/>
        </w:rPr>
      </w:pPr>
      <w:r>
        <w:rPr>
          <w:rFonts w:hint="eastAsia" w:hAnsi="宋体" w:cs="宋体"/>
          <w:b/>
          <w:bCs/>
          <w:sz w:val="24"/>
          <w:lang w:val="en-US" w:eastAsia="zh-CN"/>
        </w:rPr>
        <w:t>3.本章内容</w:t>
      </w:r>
      <w:r>
        <w:rPr>
          <w:rFonts w:hint="eastAsia" w:hAnsi="宋体" w:cs="宋体"/>
          <w:b/>
          <w:sz w:val="24"/>
        </w:rPr>
        <w:t>除明确为实质性要求的条款外，其余条款若有负偏离，仅作扣分处理。</w:t>
      </w:r>
    </w:p>
    <w:p>
      <w:pPr>
        <w:spacing w:line="360" w:lineRule="auto"/>
        <w:rPr>
          <w:rStyle w:val="375"/>
          <w:rFonts w:ascii="宋体" w:hAnsi="宋体" w:cs="宋体"/>
        </w:rPr>
      </w:pPr>
    </w:p>
    <w:p>
      <w:pPr>
        <w:rPr>
          <w:rStyle w:val="375"/>
          <w:rFonts w:ascii="宋体" w:hAnsi="宋体" w:cs="宋体"/>
        </w:rPr>
      </w:pPr>
      <w:r>
        <w:rPr>
          <w:rStyle w:val="375"/>
          <w:rFonts w:hint="eastAsia" w:ascii="宋体" w:hAnsi="宋体" w:cs="宋体"/>
        </w:rPr>
        <w:br w:type="page"/>
      </w:r>
    </w:p>
    <w:p>
      <w:pPr>
        <w:spacing w:line="360" w:lineRule="auto"/>
        <w:jc w:val="center"/>
        <w:rPr>
          <w:rStyle w:val="375"/>
          <w:rFonts w:ascii="宋体" w:hAnsi="宋体" w:cs="宋体"/>
        </w:rPr>
      </w:pPr>
      <w:r>
        <w:rPr>
          <w:rStyle w:val="375"/>
          <w:rFonts w:hint="eastAsia" w:ascii="宋体" w:hAnsi="宋体" w:cs="宋体"/>
        </w:rPr>
        <w:t>第七章  评标办法</w:t>
      </w:r>
      <w:bookmarkEnd w:id="183"/>
      <w:bookmarkEnd w:id="184"/>
      <w:bookmarkEnd w:id="185"/>
      <w:bookmarkEnd w:id="186"/>
      <w:bookmarkStart w:id="302" w:name="_Toc208849007"/>
      <w:bookmarkEnd w:id="302"/>
      <w:bookmarkStart w:id="303" w:name="_Toc217446097"/>
      <w:bookmarkEnd w:id="303"/>
      <w:bookmarkStart w:id="304" w:name="_Toc183682415"/>
      <w:bookmarkEnd w:id="304"/>
      <w:bookmarkStart w:id="305" w:name="_Hlt101846155"/>
      <w:bookmarkEnd w:id="305"/>
      <w:bookmarkStart w:id="306" w:name="_Toc183582280"/>
      <w:bookmarkEnd w:id="306"/>
    </w:p>
    <w:p>
      <w:pPr>
        <w:pStyle w:val="6"/>
        <w:ind w:firstLine="480"/>
        <w:rPr>
          <w:rFonts w:ascii="宋体" w:hAnsi="宋体" w:cs="宋体"/>
        </w:rPr>
      </w:pPr>
      <w:r>
        <w:rPr>
          <w:rFonts w:hint="eastAsia" w:ascii="宋体" w:hAnsi="宋体" w:cs="宋体"/>
        </w:rPr>
        <w:t>1. 总则</w:t>
      </w:r>
    </w:p>
    <w:p>
      <w:pPr>
        <w:snapToGrid w:val="0"/>
        <w:spacing w:line="360" w:lineRule="auto"/>
        <w:ind w:firstLine="480" w:firstLineChars="200"/>
        <w:rPr>
          <w:rFonts w:ascii="宋体" w:hAnsi="宋体" w:cs="宋体"/>
          <w:sz w:val="24"/>
        </w:rPr>
      </w:pPr>
      <w:r>
        <w:rPr>
          <w:rFonts w:hint="eastAsia" w:ascii="宋体" w:hAnsi="宋体" w:cs="宋体"/>
          <w:sz w:val="24"/>
        </w:rPr>
        <w:t>1.1 根据《中华人民共和国政府采购法》、《中华人民共和国政府采购法实施条例》、《政府采购货物和服务招标投标管理办法》等法律法规，结合采购项目特点制定本评标办法。</w:t>
      </w:r>
    </w:p>
    <w:p>
      <w:pPr>
        <w:snapToGrid w:val="0"/>
        <w:spacing w:line="360" w:lineRule="auto"/>
        <w:ind w:firstLine="480" w:firstLineChars="200"/>
        <w:rPr>
          <w:rFonts w:ascii="宋体" w:hAnsi="宋体" w:cs="宋体"/>
          <w:sz w:val="24"/>
        </w:rPr>
      </w:pPr>
      <w:r>
        <w:rPr>
          <w:rFonts w:hint="eastAsia" w:ascii="宋体" w:hAnsi="宋体" w:cs="宋体"/>
          <w:sz w:val="24"/>
        </w:rPr>
        <w:t xml:space="preserve">1.2 </w:t>
      </w:r>
      <w:r>
        <w:rPr>
          <w:rFonts w:hint="eastAsia" w:ascii="宋体" w:hAnsi="宋体" w:cs="宋体"/>
          <w:bCs/>
          <w:sz w:val="24"/>
        </w:rPr>
        <w:t>评标工作由采购代理机构负责组织，具体评标事务由采购代理机构依法组建的评标委员会负责。评标委员会由采购人代表和有关技术、经济等方面的专家组成。</w:t>
      </w:r>
    </w:p>
    <w:p>
      <w:pPr>
        <w:snapToGrid w:val="0"/>
        <w:spacing w:line="360" w:lineRule="auto"/>
        <w:ind w:firstLine="480" w:firstLineChars="200"/>
        <w:rPr>
          <w:rFonts w:ascii="宋体" w:hAnsi="宋体" w:cs="宋体"/>
          <w:sz w:val="24"/>
        </w:rPr>
      </w:pPr>
      <w:r>
        <w:rPr>
          <w:rFonts w:hint="eastAsia" w:ascii="宋体" w:hAnsi="宋体" w:cs="宋体"/>
          <w:sz w:val="24"/>
        </w:rPr>
        <w:t>1.3 评标工作应遵循公平、公正、科学及择优的原则，并以相同的评标程序和标准对待所有的投标人。</w:t>
      </w:r>
    </w:p>
    <w:p>
      <w:pPr>
        <w:snapToGrid w:val="0"/>
        <w:spacing w:line="360" w:lineRule="auto"/>
        <w:ind w:firstLine="480" w:firstLineChars="200"/>
        <w:rPr>
          <w:rFonts w:ascii="宋体" w:hAnsi="宋体" w:cs="宋体"/>
          <w:sz w:val="24"/>
        </w:rPr>
      </w:pPr>
      <w:r>
        <w:rPr>
          <w:rFonts w:hint="eastAsia" w:ascii="宋体" w:hAnsi="宋体" w:cs="宋体"/>
          <w:sz w:val="24"/>
        </w:rPr>
        <w:t>1.4 评标委员会按照招标文件规定的评标方法和标准进行评标，并独立履行下列职责：</w:t>
      </w:r>
    </w:p>
    <w:p>
      <w:pPr>
        <w:snapToGrid w:val="0"/>
        <w:spacing w:line="360" w:lineRule="auto"/>
        <w:ind w:firstLine="480" w:firstLineChars="200"/>
        <w:rPr>
          <w:rFonts w:ascii="宋体" w:hAnsi="宋体" w:cs="宋体"/>
          <w:sz w:val="24"/>
        </w:rPr>
      </w:pPr>
      <w:bookmarkStart w:id="307" w:name="_Toc217446098"/>
      <w:r>
        <w:rPr>
          <w:rFonts w:hint="eastAsia" w:ascii="宋体" w:hAnsi="宋体" w:cs="宋体"/>
          <w:sz w:val="24"/>
        </w:rPr>
        <w:t>（一）熟悉和理解招标文件；</w:t>
      </w:r>
    </w:p>
    <w:p>
      <w:pPr>
        <w:snapToGrid w:val="0"/>
        <w:spacing w:line="360" w:lineRule="auto"/>
        <w:ind w:firstLine="480" w:firstLineChars="200"/>
        <w:rPr>
          <w:rFonts w:ascii="宋体" w:hAnsi="宋体" w:cs="宋体"/>
          <w:sz w:val="24"/>
        </w:rPr>
      </w:pPr>
      <w:r>
        <w:rPr>
          <w:rFonts w:hint="eastAsia" w:ascii="宋体" w:hAnsi="宋体" w:cs="宋体"/>
          <w:sz w:val="24"/>
        </w:rPr>
        <w:t>（二）审查供应商投标文件等是否满足招标文件要求，并作出评价；</w:t>
      </w:r>
    </w:p>
    <w:p>
      <w:pPr>
        <w:snapToGrid w:val="0"/>
        <w:spacing w:line="360" w:lineRule="auto"/>
        <w:ind w:firstLine="480" w:firstLineChars="200"/>
        <w:rPr>
          <w:rFonts w:ascii="宋体" w:hAnsi="宋体" w:cs="宋体"/>
          <w:sz w:val="24"/>
        </w:rPr>
      </w:pPr>
      <w:r>
        <w:rPr>
          <w:rFonts w:hint="eastAsia" w:ascii="宋体" w:hAnsi="宋体" w:cs="宋体"/>
          <w:sz w:val="24"/>
        </w:rPr>
        <w:t>（三）根据需要要求招标采购单位对招标文件作出解释；根据需要要求供应商对投标文件有关事项作出澄清、说明或者补正；</w:t>
      </w:r>
    </w:p>
    <w:p>
      <w:pPr>
        <w:snapToGrid w:val="0"/>
        <w:spacing w:line="360" w:lineRule="auto"/>
        <w:ind w:firstLine="480" w:firstLineChars="200"/>
        <w:rPr>
          <w:rFonts w:ascii="宋体" w:hAnsi="宋体" w:cs="宋体"/>
          <w:sz w:val="24"/>
        </w:rPr>
      </w:pPr>
      <w:r>
        <w:rPr>
          <w:rFonts w:hint="eastAsia" w:ascii="宋体" w:hAnsi="宋体" w:cs="宋体"/>
          <w:sz w:val="24"/>
        </w:rPr>
        <w:t>（四）推荐中标候选供应商，或者受采购人委托确定中标供应商；</w:t>
      </w:r>
    </w:p>
    <w:p>
      <w:pPr>
        <w:snapToGrid w:val="0"/>
        <w:spacing w:line="360" w:lineRule="auto"/>
        <w:ind w:firstLine="480" w:firstLineChars="200"/>
        <w:rPr>
          <w:rFonts w:ascii="宋体" w:hAnsi="宋体" w:cs="宋体"/>
          <w:sz w:val="24"/>
        </w:rPr>
      </w:pPr>
      <w:r>
        <w:rPr>
          <w:rFonts w:hint="eastAsia" w:ascii="宋体" w:hAnsi="宋体" w:cs="宋体"/>
          <w:sz w:val="24"/>
        </w:rPr>
        <w:t>（五）起草评标报告并进行签署；</w:t>
      </w:r>
    </w:p>
    <w:p>
      <w:pPr>
        <w:snapToGrid w:val="0"/>
        <w:spacing w:line="360" w:lineRule="auto"/>
        <w:ind w:firstLine="480" w:firstLineChars="200"/>
        <w:rPr>
          <w:rFonts w:ascii="宋体" w:hAnsi="宋体" w:cs="宋体"/>
          <w:sz w:val="24"/>
        </w:rPr>
      </w:pPr>
      <w:r>
        <w:rPr>
          <w:rFonts w:hint="eastAsia" w:ascii="宋体" w:hAnsi="宋体" w:cs="宋体"/>
          <w:sz w:val="24"/>
        </w:rPr>
        <w:t>（六）向招标采购单位、财政部门或者其他监督部门报告非法干预评标工作的行为；</w:t>
      </w:r>
    </w:p>
    <w:p>
      <w:pPr>
        <w:snapToGrid w:val="0"/>
        <w:spacing w:line="360" w:lineRule="auto"/>
        <w:ind w:firstLine="480" w:firstLineChars="200"/>
        <w:rPr>
          <w:rFonts w:ascii="宋体" w:hAnsi="宋体" w:cs="宋体"/>
          <w:sz w:val="24"/>
        </w:rPr>
      </w:pPr>
      <w:r>
        <w:rPr>
          <w:rFonts w:hint="eastAsia" w:ascii="宋体" w:hAnsi="宋体" w:cs="宋体"/>
          <w:sz w:val="24"/>
        </w:rPr>
        <w:t>（七）法律、法规和规章规定的其他职责。</w:t>
      </w:r>
    </w:p>
    <w:p>
      <w:pPr>
        <w:snapToGrid w:val="0"/>
        <w:spacing w:line="360" w:lineRule="auto"/>
        <w:ind w:firstLine="480" w:firstLineChars="200"/>
        <w:rPr>
          <w:rFonts w:ascii="宋体" w:hAnsi="宋体" w:cs="宋体"/>
          <w:sz w:val="24"/>
        </w:rPr>
      </w:pPr>
      <w:r>
        <w:rPr>
          <w:rFonts w:hint="eastAsia" w:ascii="宋体" w:hAnsi="宋体" w:cs="宋体"/>
          <w:sz w:val="24"/>
        </w:rPr>
        <w:t>1.5 评标过程独立、保密。投标人非法干预评标过程的行为将导致其投标文件作为无效处理。</w:t>
      </w:r>
    </w:p>
    <w:p>
      <w:pPr>
        <w:snapToGrid w:val="0"/>
        <w:spacing w:line="360" w:lineRule="auto"/>
        <w:ind w:firstLine="480" w:firstLineChars="200"/>
        <w:rPr>
          <w:rFonts w:ascii="宋体" w:hAnsi="宋体" w:cs="宋体"/>
          <w:sz w:val="24"/>
        </w:rPr>
      </w:pPr>
      <w:r>
        <w:rPr>
          <w:rFonts w:hint="eastAsia" w:ascii="宋体" w:hAnsi="宋体" w:cs="宋体"/>
          <w:sz w:val="24"/>
        </w:rPr>
        <w:t>1.6评标委员会评价投标文件的响应性，对于投标人而言，除评标委员会要求其澄清、说明或者补正而提供的资料外，仅依据投标文件本身的内容，不寻求其他外部证据。</w:t>
      </w:r>
    </w:p>
    <w:p>
      <w:pPr>
        <w:pStyle w:val="6"/>
        <w:ind w:firstLine="480"/>
        <w:rPr>
          <w:rFonts w:ascii="宋体" w:hAnsi="宋体" w:cs="宋体"/>
        </w:rPr>
      </w:pPr>
      <w:r>
        <w:rPr>
          <w:rFonts w:hint="eastAsia" w:ascii="宋体" w:hAnsi="宋体" w:cs="宋体"/>
        </w:rPr>
        <w:t>2、评标方法</w:t>
      </w:r>
    </w:p>
    <w:p>
      <w:pPr>
        <w:snapToGrid w:val="0"/>
        <w:spacing w:line="360" w:lineRule="auto"/>
        <w:ind w:firstLine="480" w:firstLineChars="200"/>
        <w:rPr>
          <w:rFonts w:ascii="宋体" w:hAnsi="宋体" w:cs="宋体"/>
          <w:sz w:val="24"/>
        </w:rPr>
      </w:pPr>
      <w:r>
        <w:rPr>
          <w:rFonts w:hint="eastAsia" w:ascii="宋体" w:hAnsi="宋体" w:cs="宋体"/>
          <w:sz w:val="24"/>
        </w:rPr>
        <w:t>本项目评标方法为：综合评分法。</w:t>
      </w:r>
    </w:p>
    <w:p>
      <w:pPr>
        <w:pStyle w:val="6"/>
        <w:ind w:firstLine="480"/>
        <w:rPr>
          <w:rFonts w:ascii="宋体" w:hAnsi="宋体" w:cs="宋体"/>
          <w:b/>
        </w:rPr>
      </w:pPr>
      <w:r>
        <w:rPr>
          <w:rFonts w:hint="eastAsia" w:ascii="宋体" w:hAnsi="宋体" w:cs="宋体"/>
        </w:rPr>
        <w:t>3、 评标程序</w:t>
      </w:r>
      <w:bookmarkEnd w:id="307"/>
    </w:p>
    <w:p>
      <w:pPr>
        <w:snapToGrid w:val="0"/>
        <w:spacing w:line="360" w:lineRule="auto"/>
        <w:ind w:firstLine="480" w:firstLineChars="200"/>
        <w:rPr>
          <w:rFonts w:ascii="宋体" w:hAnsi="宋体" w:cs="宋体"/>
          <w:sz w:val="24"/>
        </w:rPr>
      </w:pPr>
      <w:bookmarkStart w:id="308" w:name="_Toc217446103"/>
      <w:r>
        <w:rPr>
          <w:rFonts w:hint="eastAsia" w:ascii="宋体" w:hAnsi="宋体" w:cs="宋体"/>
          <w:sz w:val="24"/>
        </w:rPr>
        <w:t>3.1熟悉和理解招标文件和停止评标。</w:t>
      </w:r>
    </w:p>
    <w:p>
      <w:pPr>
        <w:snapToGrid w:val="0"/>
        <w:spacing w:line="360" w:lineRule="auto"/>
        <w:ind w:firstLine="480" w:firstLineChars="200"/>
        <w:rPr>
          <w:rFonts w:ascii="宋体" w:hAnsi="宋体" w:cs="宋体"/>
          <w:sz w:val="24"/>
        </w:rPr>
      </w:pPr>
      <w:r>
        <w:rPr>
          <w:rFonts w:hint="eastAsia" w:ascii="宋体" w:hAnsi="宋体" w:cs="宋体"/>
          <w:sz w:val="24"/>
        </w:rPr>
        <w:t>3.1.1评标委员会正式评标前，应当对招标文件进行熟悉和理解，内容主要包括招标文件中投标人的采购项目技术、服务和商务要求、评标方法和标准以及可能涉及签订政府采购合同的内容等。</w:t>
      </w:r>
    </w:p>
    <w:p>
      <w:pPr>
        <w:spacing w:line="360" w:lineRule="auto"/>
        <w:ind w:firstLine="480" w:firstLineChars="200"/>
        <w:rPr>
          <w:rFonts w:ascii="宋体" w:hAnsi="宋体" w:cs="宋体"/>
          <w:sz w:val="24"/>
        </w:rPr>
      </w:pPr>
      <w:r>
        <w:rPr>
          <w:rFonts w:hint="eastAsia" w:ascii="宋体" w:hAnsi="宋体" w:cs="宋体"/>
          <w:sz w:val="24"/>
        </w:rPr>
        <w:t>3.1.2评标委员会熟悉和理解招标文件以及评标过程中，发现本招标文件有下列情形之一的，评标委员会应当停止评标：</w:t>
      </w:r>
    </w:p>
    <w:p>
      <w:pPr>
        <w:spacing w:line="360" w:lineRule="auto"/>
        <w:ind w:firstLine="480" w:firstLineChars="200"/>
        <w:rPr>
          <w:rFonts w:ascii="宋体" w:hAnsi="宋体" w:cs="宋体"/>
          <w:sz w:val="24"/>
        </w:rPr>
      </w:pPr>
      <w:r>
        <w:rPr>
          <w:rFonts w:hint="eastAsia" w:ascii="宋体" w:hAnsi="宋体" w:cs="宋体"/>
          <w:sz w:val="24"/>
        </w:rPr>
        <w:t>（1）招标文件的规定存在歧义、重大缺陷的；</w:t>
      </w:r>
    </w:p>
    <w:p>
      <w:pPr>
        <w:spacing w:line="360" w:lineRule="auto"/>
        <w:ind w:firstLine="480" w:firstLineChars="200"/>
        <w:rPr>
          <w:rFonts w:ascii="宋体" w:hAnsi="宋体" w:cs="宋体"/>
          <w:sz w:val="24"/>
        </w:rPr>
      </w:pPr>
      <w:r>
        <w:rPr>
          <w:rFonts w:hint="eastAsia" w:ascii="宋体" w:hAnsi="宋体" w:cs="宋体"/>
          <w:sz w:val="24"/>
        </w:rPr>
        <w:t>（2）招标文件明显以不合理条件对供应商实行差别待遇或者歧视待遇的；</w:t>
      </w:r>
    </w:p>
    <w:p>
      <w:pPr>
        <w:spacing w:line="360" w:lineRule="auto"/>
        <w:ind w:firstLine="480" w:firstLineChars="200"/>
        <w:rPr>
          <w:rFonts w:ascii="宋体" w:hAnsi="宋体" w:cs="宋体"/>
          <w:sz w:val="24"/>
        </w:rPr>
      </w:pPr>
      <w:r>
        <w:rPr>
          <w:rFonts w:hint="eastAsia" w:ascii="宋体" w:hAnsi="宋体" w:cs="宋体"/>
          <w:sz w:val="24"/>
        </w:rPr>
        <w:t>（3）采购项目属于国家规定的优先、强制采购范围，但是招标文件未依法体现优先、强制采购相关规定的；</w:t>
      </w:r>
    </w:p>
    <w:p>
      <w:pPr>
        <w:spacing w:line="360" w:lineRule="auto"/>
        <w:ind w:firstLine="480" w:firstLineChars="200"/>
        <w:rPr>
          <w:rFonts w:ascii="宋体" w:hAnsi="宋体" w:cs="宋体"/>
          <w:sz w:val="24"/>
        </w:rPr>
      </w:pPr>
      <w:r>
        <w:rPr>
          <w:rFonts w:hint="eastAsia" w:ascii="宋体" w:hAnsi="宋体" w:cs="宋体"/>
          <w:sz w:val="24"/>
        </w:rPr>
        <w:t>（4）采购项目属于政府采购促进中小企业发展的范围，但是招标文件未依法体现促进中小企业发展相关规定的；</w:t>
      </w:r>
    </w:p>
    <w:p>
      <w:pPr>
        <w:spacing w:line="360" w:lineRule="auto"/>
        <w:ind w:firstLine="480" w:firstLineChars="200"/>
        <w:rPr>
          <w:rFonts w:ascii="宋体" w:hAnsi="宋体" w:cs="宋体"/>
          <w:sz w:val="24"/>
        </w:rPr>
      </w:pPr>
      <w:r>
        <w:rPr>
          <w:rFonts w:hint="eastAsia" w:ascii="宋体" w:hAnsi="宋体" w:cs="宋体"/>
          <w:sz w:val="24"/>
        </w:rPr>
        <w:t>（5）招标文件规定的评标方法是综合评分法、最低评标价法之外的评标方法，或者虽然名称为综合评分法、最低评标价法，但实际上不符合国家规定；</w:t>
      </w:r>
    </w:p>
    <w:p>
      <w:pPr>
        <w:spacing w:line="360" w:lineRule="auto"/>
        <w:ind w:firstLine="480" w:firstLineChars="200"/>
        <w:rPr>
          <w:rFonts w:ascii="宋体" w:hAnsi="宋体" w:cs="宋体"/>
          <w:sz w:val="24"/>
        </w:rPr>
      </w:pPr>
      <w:r>
        <w:rPr>
          <w:rFonts w:hint="eastAsia" w:ascii="宋体" w:hAnsi="宋体" w:cs="宋体"/>
          <w:sz w:val="24"/>
        </w:rPr>
        <w:t>（6）招标文件将投标人的资格条件列为评分因素的；</w:t>
      </w:r>
    </w:p>
    <w:p>
      <w:pPr>
        <w:spacing w:line="360" w:lineRule="auto"/>
        <w:ind w:firstLine="480" w:firstLineChars="200"/>
        <w:rPr>
          <w:rFonts w:ascii="宋体" w:hAnsi="宋体" w:cs="宋体"/>
          <w:sz w:val="24"/>
        </w:rPr>
      </w:pPr>
      <w:r>
        <w:rPr>
          <w:rFonts w:hint="eastAsia" w:ascii="宋体" w:hAnsi="宋体" w:cs="宋体"/>
          <w:sz w:val="24"/>
        </w:rPr>
        <w:t>（7）招标文件有违反国家其他有关强制性规定的情形。</w:t>
      </w:r>
    </w:p>
    <w:p>
      <w:pPr>
        <w:spacing w:line="360" w:lineRule="auto"/>
        <w:ind w:firstLine="480" w:firstLineChars="200"/>
        <w:rPr>
          <w:rFonts w:ascii="宋体" w:hAnsi="宋体" w:cs="宋体"/>
          <w:sz w:val="24"/>
        </w:rPr>
      </w:pPr>
      <w:r>
        <w:rPr>
          <w:rFonts w:hint="eastAsia" w:ascii="宋体" w:hAnsi="宋体" w:cs="宋体"/>
          <w:sz w:val="24"/>
        </w:rPr>
        <w:t>3.1.4出现本条3.1.2规定应当停止评标情形的，评标委员会成员应当向招标采购单位书面说明情况。除本条规定和评标委员会无法依法组建的情形外，评标委员会成员不得以任何方式和理由停止评标。</w:t>
      </w:r>
    </w:p>
    <w:p>
      <w:pPr>
        <w:spacing w:line="360" w:lineRule="auto"/>
        <w:ind w:firstLine="480" w:firstLineChars="200"/>
        <w:rPr>
          <w:rFonts w:ascii="宋体" w:hAnsi="宋体" w:cs="宋体"/>
          <w:sz w:val="24"/>
        </w:rPr>
      </w:pPr>
      <w:r>
        <w:rPr>
          <w:rFonts w:hint="eastAsia" w:ascii="宋体" w:hAnsi="宋体" w:cs="宋体"/>
          <w:sz w:val="24"/>
        </w:rPr>
        <w:t>3.2资格性检查。</w:t>
      </w:r>
    </w:p>
    <w:p>
      <w:pPr>
        <w:spacing w:line="360" w:lineRule="auto"/>
        <w:ind w:firstLine="480" w:firstLineChars="200"/>
        <w:rPr>
          <w:rFonts w:ascii="宋体" w:hAnsi="宋体" w:cs="宋体"/>
          <w:sz w:val="24"/>
        </w:rPr>
      </w:pPr>
      <w:r>
        <w:rPr>
          <w:rFonts w:hint="eastAsia" w:ascii="宋体" w:hAnsi="宋体" w:cs="宋体"/>
          <w:sz w:val="24"/>
        </w:rPr>
        <w:t>采购人或者采购代理机构应依据法律法规和本招标文件的规定，对投标文件是否按照规定要求提供资格性证明材料、是否属于禁止参加投标的供应商等进行审查，以确定投标供应商是否具备投标资格。</w:t>
      </w:r>
    </w:p>
    <w:p>
      <w:pPr>
        <w:spacing w:line="360" w:lineRule="auto"/>
        <w:ind w:firstLine="480" w:firstLineChars="200"/>
        <w:rPr>
          <w:rFonts w:ascii="宋体" w:hAnsi="宋体" w:cs="宋体"/>
          <w:sz w:val="24"/>
        </w:rPr>
      </w:pPr>
      <w:r>
        <w:rPr>
          <w:rFonts w:hint="eastAsia" w:ascii="宋体" w:hAnsi="宋体" w:cs="宋体"/>
          <w:sz w:val="24"/>
        </w:rPr>
        <w:t>3.3符合性检查。</w:t>
      </w:r>
    </w:p>
    <w:p>
      <w:pPr>
        <w:spacing w:line="360" w:lineRule="auto"/>
        <w:ind w:firstLine="480" w:firstLineChars="200"/>
        <w:rPr>
          <w:rFonts w:ascii="宋体" w:hAnsi="宋体" w:cs="宋体"/>
          <w:sz w:val="24"/>
        </w:rPr>
      </w:pPr>
      <w:r>
        <w:rPr>
          <w:rFonts w:hint="eastAsia" w:ascii="宋体" w:hAnsi="宋体" w:cs="宋体"/>
          <w:sz w:val="24"/>
        </w:rPr>
        <w:t>3.3.1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360" w:lineRule="auto"/>
        <w:ind w:firstLine="480" w:firstLineChars="200"/>
        <w:rPr>
          <w:rFonts w:ascii="宋体" w:hAnsi="宋体" w:cs="宋体"/>
          <w:sz w:val="24"/>
        </w:rPr>
      </w:pPr>
      <w:r>
        <w:rPr>
          <w:rFonts w:hint="eastAsia" w:ascii="宋体" w:hAnsi="宋体" w:cs="宋体"/>
          <w:sz w:val="24"/>
        </w:rPr>
        <w:t>3.3.2投标文件（包括单独递交的开标一览表）有下列情形的，本项目不作为实质性要求进行规定，即不作为符合性审查事项，不得作为无效投标处理：</w:t>
      </w:r>
    </w:p>
    <w:p>
      <w:pPr>
        <w:spacing w:line="360" w:lineRule="auto"/>
        <w:ind w:firstLine="480" w:firstLineChars="200"/>
        <w:rPr>
          <w:rFonts w:ascii="宋体" w:hAnsi="宋体" w:cs="宋体"/>
          <w:sz w:val="24"/>
        </w:rPr>
      </w:pPr>
      <w:r>
        <w:rPr>
          <w:rFonts w:hint="eastAsia" w:ascii="宋体" w:hAnsi="宋体" w:cs="宋体"/>
          <w:sz w:val="24"/>
        </w:rPr>
        <w:t>（一）正副本数量齐全、密封完好，只是未按照招标文件要求进行分装或者统装的；</w:t>
      </w:r>
    </w:p>
    <w:p>
      <w:pPr>
        <w:spacing w:line="360" w:lineRule="auto"/>
        <w:ind w:firstLine="480" w:firstLineChars="200"/>
        <w:rPr>
          <w:rFonts w:ascii="宋体" w:hAnsi="宋体" w:cs="宋体"/>
          <w:sz w:val="24"/>
        </w:rPr>
      </w:pPr>
      <w:r>
        <w:rPr>
          <w:rFonts w:hint="eastAsia" w:ascii="宋体" w:hAnsi="宋体" w:cs="宋体"/>
          <w:sz w:val="24"/>
        </w:rPr>
        <w:t>（二）存在个别地方（不超过2个）没有法定代表人签字，但有法定代表人的私人印章或者有效授权代理人签字的；</w:t>
      </w:r>
    </w:p>
    <w:p>
      <w:pPr>
        <w:spacing w:line="360" w:lineRule="auto"/>
        <w:ind w:firstLine="480" w:firstLineChars="200"/>
        <w:rPr>
          <w:rFonts w:ascii="宋体" w:hAnsi="宋体" w:cs="宋体"/>
          <w:sz w:val="24"/>
        </w:rPr>
      </w:pPr>
      <w:r>
        <w:rPr>
          <w:rFonts w:hint="eastAsia" w:ascii="宋体" w:hAnsi="宋体" w:cs="宋体"/>
          <w:sz w:val="24"/>
        </w:rPr>
        <w:t>（三）除招标文件明确要求加盖单位(法人)公章的以外，其他地方以相关专用章加盖的；</w:t>
      </w:r>
    </w:p>
    <w:p>
      <w:pPr>
        <w:spacing w:line="360" w:lineRule="auto"/>
        <w:ind w:firstLine="480" w:firstLineChars="200"/>
        <w:rPr>
          <w:rFonts w:ascii="宋体" w:hAnsi="宋体" w:cs="宋体"/>
          <w:sz w:val="24"/>
        </w:rPr>
      </w:pPr>
      <w:r>
        <w:rPr>
          <w:rFonts w:hint="eastAsia" w:ascii="宋体" w:hAnsi="宋体" w:cs="宋体"/>
          <w:sz w:val="24"/>
        </w:rPr>
        <w:t>（四）以骑缝章的形式代替投标文件内容逐页盖章的（但是骑缝章模糊不清，印章名称无法辨认的除外）；</w:t>
      </w:r>
    </w:p>
    <w:p>
      <w:pPr>
        <w:spacing w:line="360" w:lineRule="auto"/>
        <w:ind w:firstLine="480" w:firstLineChars="200"/>
        <w:rPr>
          <w:rFonts w:ascii="宋体" w:hAnsi="宋体" w:cs="宋体"/>
          <w:sz w:val="24"/>
        </w:rPr>
      </w:pPr>
      <w:r>
        <w:rPr>
          <w:rFonts w:hint="eastAsia" w:ascii="宋体" w:hAnsi="宋体" w:cs="宋体"/>
          <w:sz w:val="24"/>
        </w:rPr>
        <w:t>（五）其他不影响采购项目实质性要求的情形。</w:t>
      </w:r>
    </w:p>
    <w:p>
      <w:pPr>
        <w:spacing w:line="360" w:lineRule="auto"/>
        <w:ind w:firstLine="480" w:firstLineChars="200"/>
        <w:rPr>
          <w:rFonts w:ascii="宋体" w:hAnsi="宋体" w:cs="宋体"/>
          <w:sz w:val="24"/>
        </w:rPr>
      </w:pPr>
      <w:r>
        <w:rPr>
          <w:rFonts w:hint="eastAsia" w:ascii="宋体" w:hAnsi="宋体" w:cs="宋体"/>
          <w:sz w:val="24"/>
        </w:rPr>
        <w:t>3.3.3除政府采购法律制度规定的情形外，本项目投标人或者其投标文件有下列情形之一的，作为无效投标处理：</w:t>
      </w:r>
    </w:p>
    <w:p>
      <w:pPr>
        <w:spacing w:line="360" w:lineRule="auto"/>
        <w:ind w:firstLine="480" w:firstLineChars="200"/>
        <w:rPr>
          <w:rFonts w:ascii="宋体" w:hAnsi="宋体" w:cs="宋体"/>
          <w:sz w:val="24"/>
        </w:rPr>
      </w:pPr>
      <w:r>
        <w:rPr>
          <w:rFonts w:hint="eastAsia" w:ascii="宋体" w:hAnsi="宋体" w:cs="宋体"/>
          <w:sz w:val="24"/>
        </w:rPr>
        <w:t>（一）投标文件正副本数量不足的或无单独递交的“开标一览表”的。</w:t>
      </w:r>
    </w:p>
    <w:p>
      <w:pPr>
        <w:spacing w:line="360" w:lineRule="auto"/>
        <w:ind w:firstLine="480" w:firstLineChars="200"/>
        <w:rPr>
          <w:rFonts w:ascii="宋体" w:hAnsi="宋体" w:cs="宋体"/>
          <w:sz w:val="24"/>
        </w:rPr>
      </w:pPr>
      <w:r>
        <w:rPr>
          <w:rFonts w:hint="eastAsia" w:ascii="宋体" w:hAnsi="宋体" w:cs="宋体"/>
          <w:sz w:val="24"/>
        </w:rPr>
        <w:t>（二）投标文件组成明显不符合招标文件的规定要求，影响评标委员会评判的；</w:t>
      </w:r>
    </w:p>
    <w:p>
      <w:pPr>
        <w:spacing w:line="360" w:lineRule="auto"/>
        <w:ind w:firstLine="480" w:firstLineChars="200"/>
        <w:rPr>
          <w:rFonts w:ascii="宋体" w:hAnsi="宋体" w:cs="宋体"/>
          <w:sz w:val="24"/>
        </w:rPr>
      </w:pPr>
      <w:r>
        <w:rPr>
          <w:rFonts w:hint="eastAsia" w:ascii="宋体" w:hAnsi="宋体" w:cs="宋体"/>
          <w:sz w:val="24"/>
        </w:rPr>
        <w:t>（三）投标文件的格式、语言、计量单位、报价、知识产权、投标有效期等不符合招标文件的规定，影响评标委员会评判的；</w:t>
      </w:r>
    </w:p>
    <w:p>
      <w:pPr>
        <w:spacing w:line="360" w:lineRule="auto"/>
        <w:ind w:firstLine="480" w:firstLineChars="200"/>
        <w:rPr>
          <w:rFonts w:ascii="宋体" w:hAnsi="宋体" w:cs="宋体"/>
          <w:sz w:val="24"/>
        </w:rPr>
      </w:pPr>
      <w:r>
        <w:rPr>
          <w:rFonts w:hint="eastAsia" w:ascii="宋体" w:hAnsi="宋体" w:cs="宋体"/>
          <w:sz w:val="24"/>
        </w:rPr>
        <w:t>（四）投标报价不符合招标文件规定的价格标底和其他报价规定的；</w:t>
      </w:r>
    </w:p>
    <w:p>
      <w:pPr>
        <w:spacing w:line="360" w:lineRule="auto"/>
        <w:ind w:firstLine="480" w:firstLineChars="200"/>
        <w:rPr>
          <w:rFonts w:ascii="宋体" w:hAnsi="宋体" w:cs="宋体"/>
          <w:sz w:val="24"/>
        </w:rPr>
      </w:pPr>
      <w:r>
        <w:rPr>
          <w:rFonts w:hint="eastAsia" w:ascii="宋体" w:hAnsi="宋体" w:cs="宋体"/>
          <w:sz w:val="24"/>
        </w:rPr>
        <w:t>（五）技术应答内容完全或者绝大部分复制招标文件规定要求，且无相关证明材料的（主要适用于专用设备和电子信息化建设采购项目，政府采购工程、政府采购协议供货或定点供应商采购、政府采购的货物属于规格标准统一或者订制产品及服务项目的除外）；</w:t>
      </w:r>
    </w:p>
    <w:p>
      <w:pPr>
        <w:spacing w:line="360" w:lineRule="auto"/>
        <w:ind w:firstLine="480" w:firstLineChars="200"/>
        <w:rPr>
          <w:rFonts w:ascii="宋体" w:hAnsi="宋体" w:cs="宋体"/>
          <w:sz w:val="24"/>
        </w:rPr>
      </w:pPr>
      <w:r>
        <w:rPr>
          <w:rFonts w:hint="eastAsia" w:ascii="宋体" w:hAnsi="宋体" w:cs="宋体"/>
          <w:sz w:val="24"/>
        </w:rPr>
        <w:t>（六）技术、服务应答内容没有完全响应招标文件的实质性要求的；</w:t>
      </w:r>
    </w:p>
    <w:p>
      <w:pPr>
        <w:spacing w:line="360" w:lineRule="auto"/>
        <w:ind w:firstLine="480" w:firstLineChars="200"/>
        <w:rPr>
          <w:rFonts w:ascii="宋体" w:hAnsi="宋体" w:cs="宋体"/>
          <w:sz w:val="24"/>
        </w:rPr>
      </w:pPr>
      <w:r>
        <w:rPr>
          <w:rFonts w:hint="eastAsia" w:ascii="宋体" w:hAnsi="宋体" w:cs="宋体"/>
          <w:sz w:val="24"/>
        </w:rPr>
        <w:t>（七）招标文件有明确要求，但投标文件未载明或者载明的采购项目履约时间、方式、数量与招标文件要求不一致的。</w:t>
      </w:r>
    </w:p>
    <w:p>
      <w:pPr>
        <w:spacing w:line="360" w:lineRule="auto"/>
        <w:ind w:firstLine="480" w:firstLineChars="200"/>
        <w:rPr>
          <w:rFonts w:ascii="宋体" w:hAnsi="宋体" w:cs="宋体"/>
          <w:sz w:val="24"/>
        </w:rPr>
      </w:pPr>
      <w:r>
        <w:rPr>
          <w:rFonts w:hint="eastAsia" w:ascii="宋体" w:hAnsi="宋体" w:cs="宋体"/>
          <w:sz w:val="24"/>
        </w:rPr>
        <w:t>3.4比较与评价。按招标文件中规定的评标方法和标准，对未作无效投标处理的投标文件进行技术、服务、商务等方面评估，综合比较与评价。本项目不适用优先采购节能、环保标志、无线局域网产品的政策措施。</w:t>
      </w:r>
    </w:p>
    <w:p>
      <w:pPr>
        <w:spacing w:line="360" w:lineRule="auto"/>
        <w:ind w:firstLine="480" w:firstLineChars="200"/>
        <w:rPr>
          <w:rFonts w:ascii="宋体" w:hAnsi="宋体" w:cs="宋体"/>
          <w:sz w:val="24"/>
        </w:rPr>
      </w:pPr>
      <w:r>
        <w:rPr>
          <w:rFonts w:hint="eastAsia" w:ascii="宋体" w:hAnsi="宋体" w:cs="宋体"/>
          <w:sz w:val="24"/>
        </w:rPr>
        <w:t>3.5复核。评分汇总结束后，评标委员会应当进行复核，特别要对拟推荐为中标候选供应商的、报价最低的、投标文件被认定为无效的进行重点复核。</w:t>
      </w:r>
    </w:p>
    <w:p>
      <w:pPr>
        <w:spacing w:line="360" w:lineRule="auto"/>
        <w:ind w:firstLine="480" w:firstLineChars="200"/>
        <w:rPr>
          <w:rFonts w:ascii="宋体" w:hAnsi="宋体" w:cs="宋体"/>
          <w:sz w:val="24"/>
        </w:rPr>
      </w:pPr>
      <w:r>
        <w:rPr>
          <w:rFonts w:hint="eastAsia" w:ascii="宋体" w:hAnsi="宋体" w:cs="宋体"/>
          <w:sz w:val="24"/>
        </w:rPr>
        <w:t>3.6</w:t>
      </w:r>
      <w:r>
        <w:rPr>
          <w:rFonts w:hint="eastAsia"/>
          <w:sz w:val="24"/>
        </w:rPr>
        <w:t>推荐中标候选供应商。中标候选供应商应当排序。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优先选择不发达地区和少数民族地区的投标人；报价相同且满足招标文件全部实质性要求且按照评审因素的量化指标评审得分也相同无投标人均属于不发达地区和少数民族地区的或投标人均属于不发达地区和少数民族地区，由采购人自主采取公平、择优的方式选择中标供应商</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pPr>
        <w:spacing w:line="360" w:lineRule="auto"/>
        <w:ind w:firstLine="480" w:firstLineChars="200"/>
        <w:rPr>
          <w:rFonts w:ascii="宋体" w:hAnsi="宋体" w:cs="宋体"/>
          <w:sz w:val="24"/>
        </w:rPr>
      </w:pPr>
      <w:r>
        <w:rPr>
          <w:rFonts w:hint="eastAsia" w:ascii="宋体" w:hAnsi="宋体" w:cs="宋体"/>
          <w:sz w:val="24"/>
        </w:rPr>
        <w:t>3.7出具评标报告。评标委员会推荐中标候选供应商后，应当向招标采购单位出具评标报告。评标报告应当包括下列内容：</w:t>
      </w:r>
    </w:p>
    <w:p>
      <w:pPr>
        <w:spacing w:line="360" w:lineRule="auto"/>
        <w:ind w:firstLine="480" w:firstLineChars="200"/>
        <w:rPr>
          <w:rFonts w:ascii="宋体" w:hAnsi="宋体" w:cs="宋体"/>
          <w:sz w:val="24"/>
        </w:rPr>
      </w:pPr>
      <w:r>
        <w:rPr>
          <w:rFonts w:hint="eastAsia" w:ascii="宋体" w:hAnsi="宋体" w:cs="宋体"/>
          <w:sz w:val="24"/>
        </w:rPr>
        <w:t>（一）招标公告刊登的媒体名称、开标日期和地点；</w:t>
      </w:r>
    </w:p>
    <w:p>
      <w:pPr>
        <w:spacing w:line="360" w:lineRule="auto"/>
        <w:ind w:firstLine="480" w:firstLineChars="200"/>
        <w:rPr>
          <w:rFonts w:ascii="宋体" w:hAnsi="宋体" w:cs="宋体"/>
          <w:sz w:val="24"/>
        </w:rPr>
      </w:pPr>
      <w:r>
        <w:rPr>
          <w:rFonts w:hint="eastAsia" w:ascii="宋体" w:hAnsi="宋体" w:cs="宋体"/>
          <w:sz w:val="24"/>
        </w:rPr>
        <w:t>（二）获取招标文件的投标人名单和评标委员会成员名单；</w:t>
      </w:r>
    </w:p>
    <w:p>
      <w:pPr>
        <w:spacing w:line="360" w:lineRule="auto"/>
        <w:ind w:firstLine="480" w:firstLineChars="200"/>
        <w:rPr>
          <w:rFonts w:ascii="宋体" w:hAnsi="宋体" w:cs="宋体"/>
          <w:sz w:val="24"/>
        </w:rPr>
      </w:pPr>
      <w:r>
        <w:rPr>
          <w:rFonts w:hint="eastAsia" w:ascii="宋体" w:hAnsi="宋体" w:cs="宋体"/>
          <w:sz w:val="24"/>
        </w:rPr>
        <w:t>（三）评标方法和标准；</w:t>
      </w:r>
    </w:p>
    <w:p>
      <w:pPr>
        <w:spacing w:line="360" w:lineRule="auto"/>
        <w:ind w:firstLine="480" w:firstLineChars="200"/>
        <w:rPr>
          <w:rFonts w:ascii="宋体" w:hAnsi="宋体" w:cs="宋体"/>
          <w:sz w:val="24"/>
        </w:rPr>
      </w:pPr>
      <w:r>
        <w:rPr>
          <w:rFonts w:hint="eastAsia" w:ascii="宋体" w:hAnsi="宋体" w:cs="宋体"/>
          <w:sz w:val="24"/>
        </w:rPr>
        <w:t>（四）开标记录和评标情况及说明，包括无效投标人名单及原因；</w:t>
      </w:r>
    </w:p>
    <w:p>
      <w:pPr>
        <w:spacing w:line="360" w:lineRule="auto"/>
        <w:ind w:firstLine="480" w:firstLineChars="200"/>
        <w:rPr>
          <w:rFonts w:ascii="宋体" w:hAnsi="宋体" w:cs="宋体"/>
          <w:sz w:val="24"/>
        </w:rPr>
      </w:pPr>
      <w:r>
        <w:rPr>
          <w:rFonts w:hint="eastAsia" w:ascii="宋体" w:hAnsi="宋体" w:cs="宋体"/>
          <w:sz w:val="24"/>
        </w:rPr>
        <w:t>（五）评标结果和中标候选供应商排序表；</w:t>
      </w:r>
    </w:p>
    <w:p>
      <w:pPr>
        <w:spacing w:line="360" w:lineRule="auto"/>
        <w:ind w:firstLine="480" w:firstLineChars="200"/>
        <w:rPr>
          <w:rFonts w:ascii="宋体" w:hAnsi="宋体" w:cs="宋体"/>
          <w:sz w:val="24"/>
        </w:rPr>
      </w:pPr>
      <w:r>
        <w:rPr>
          <w:rFonts w:hint="eastAsia" w:ascii="宋体" w:hAnsi="宋体" w:cs="宋体"/>
          <w:sz w:val="24"/>
        </w:rPr>
        <w:t>（六）评标委员会授标建议；</w:t>
      </w:r>
    </w:p>
    <w:p>
      <w:pPr>
        <w:spacing w:line="360" w:lineRule="auto"/>
        <w:ind w:firstLine="480" w:firstLineChars="200"/>
        <w:rPr>
          <w:rFonts w:ascii="宋体" w:hAnsi="宋体" w:cs="宋体"/>
          <w:sz w:val="24"/>
        </w:rPr>
      </w:pPr>
      <w:r>
        <w:rPr>
          <w:rFonts w:hint="eastAsia" w:ascii="宋体" w:hAnsi="宋体" w:cs="宋体"/>
          <w:sz w:val="24"/>
        </w:rPr>
        <w:t>（七）报价最高的投标人为中标候选人的，评标委员会应当对其报价的合理性予以特别说明。</w:t>
      </w:r>
    </w:p>
    <w:p>
      <w:pPr>
        <w:spacing w:line="360" w:lineRule="auto"/>
        <w:ind w:firstLine="480" w:firstLineChars="200"/>
        <w:rPr>
          <w:rFonts w:ascii="宋体" w:hAnsi="宋体" w:cs="宋体"/>
          <w:sz w:val="24"/>
        </w:rPr>
      </w:pPr>
      <w:r>
        <w:rPr>
          <w:rFonts w:hint="eastAsia" w:ascii="宋体" w:hAnsi="宋体" w:cs="宋体"/>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360" w:lineRule="auto"/>
        <w:ind w:firstLine="480" w:firstLineChars="200"/>
        <w:rPr>
          <w:rFonts w:ascii="宋体" w:hAnsi="宋体" w:cs="宋体"/>
          <w:sz w:val="24"/>
        </w:rPr>
      </w:pPr>
      <w:r>
        <w:rPr>
          <w:rFonts w:hint="eastAsia" w:ascii="宋体" w:hAnsi="宋体" w:cs="宋体"/>
          <w:sz w:val="24"/>
        </w:rPr>
        <w:t>3.8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360" w:lineRule="auto"/>
        <w:ind w:firstLine="480" w:firstLineChars="200"/>
        <w:rPr>
          <w:rFonts w:ascii="宋体" w:hAnsi="宋体" w:cs="宋体"/>
          <w:sz w:val="24"/>
        </w:rPr>
      </w:pPr>
      <w:r>
        <w:rPr>
          <w:rFonts w:hint="eastAsia" w:ascii="宋体" w:hAnsi="宋体" w:cs="宋体"/>
          <w:sz w:val="24"/>
        </w:rPr>
        <w:t>3.9供应商应当书面澄清、说明或者补正。</w:t>
      </w:r>
    </w:p>
    <w:p>
      <w:pPr>
        <w:widowControl/>
        <w:shd w:val="clear" w:color="auto" w:fill="FFFFFF"/>
        <w:spacing w:line="570" w:lineRule="atLeast"/>
        <w:ind w:firstLine="480" w:firstLineChars="200"/>
        <w:jc w:val="left"/>
        <w:rPr>
          <w:rFonts w:ascii="宋体" w:hAnsi="宋体" w:cs="宋体"/>
          <w:sz w:val="24"/>
        </w:rPr>
      </w:pPr>
      <w:r>
        <w:rPr>
          <w:rFonts w:hint="eastAsia" w:ascii="宋体" w:hAnsi="宋体" w:cs="宋体"/>
          <w:sz w:val="24"/>
        </w:rPr>
        <w:t>3.9.1在评标过程中，对于投标文件中含义不明确、同类问题表述不一致或者有明显文字和计算错误的内容，评标委员会应当以书面形式要求投标人作出必要的澄清、说明或者补正。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hAnsi="宋体" w:cs="宋体"/>
          <w:sz w:val="24"/>
        </w:rPr>
      </w:pPr>
      <w:r>
        <w:rPr>
          <w:rFonts w:hint="eastAsia" w:ascii="宋体" w:hAnsi="宋体" w:cs="宋体"/>
          <w:sz w:val="24"/>
        </w:rPr>
        <w:t>3.9.2供应商应当书面澄清、说明或者补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补正不影响投标文件的效力，有效的澄清、说明或者补正材料，是投标文件的组成部分。</w:t>
      </w:r>
    </w:p>
    <w:p>
      <w:pPr>
        <w:spacing w:line="360" w:lineRule="auto"/>
        <w:ind w:firstLine="480" w:firstLineChars="200"/>
        <w:rPr>
          <w:rFonts w:ascii="宋体" w:hAnsi="宋体" w:cs="宋体"/>
          <w:sz w:val="24"/>
        </w:rPr>
      </w:pPr>
      <w:r>
        <w:rPr>
          <w:rFonts w:hint="eastAsia" w:ascii="宋体" w:hAnsi="宋体" w:cs="宋体"/>
          <w:sz w:val="24"/>
        </w:rPr>
        <w:t>3.9.3评标委员会要求供应商澄清、说明或者补正，不得超出招标文件的范围，不得以此让供应商实质改变投标文件的内容，不得影响供应商公平竞争。本项目下列内容不得澄清：</w:t>
      </w:r>
    </w:p>
    <w:p>
      <w:pPr>
        <w:spacing w:line="360" w:lineRule="auto"/>
        <w:ind w:firstLine="480" w:firstLineChars="200"/>
        <w:rPr>
          <w:rFonts w:ascii="宋体" w:hAnsi="宋体" w:cs="宋体"/>
          <w:sz w:val="24"/>
        </w:rPr>
      </w:pPr>
      <w:r>
        <w:rPr>
          <w:rFonts w:hint="eastAsia" w:ascii="宋体" w:hAnsi="宋体" w:cs="宋体"/>
          <w:sz w:val="24"/>
        </w:rPr>
        <w:t>（一）按财政部规定应当在评标时不予承认的投标文件内容事项；</w:t>
      </w:r>
    </w:p>
    <w:p>
      <w:pPr>
        <w:spacing w:line="360" w:lineRule="auto"/>
        <w:ind w:firstLine="480" w:firstLineChars="200"/>
        <w:rPr>
          <w:rFonts w:ascii="宋体" w:hAnsi="宋体" w:cs="宋体"/>
          <w:sz w:val="24"/>
        </w:rPr>
      </w:pPr>
      <w:r>
        <w:rPr>
          <w:rFonts w:hint="eastAsia" w:ascii="宋体" w:hAnsi="宋体" w:cs="宋体"/>
          <w:sz w:val="24"/>
        </w:rPr>
        <w:t>（二）投标文件中已经明确的内容事项；</w:t>
      </w:r>
    </w:p>
    <w:p>
      <w:pPr>
        <w:spacing w:line="360" w:lineRule="auto"/>
        <w:ind w:firstLine="480" w:firstLineChars="200"/>
        <w:rPr>
          <w:rFonts w:ascii="宋体" w:hAnsi="宋体" w:cs="宋体"/>
          <w:sz w:val="24"/>
        </w:rPr>
      </w:pPr>
      <w:r>
        <w:rPr>
          <w:rFonts w:hint="eastAsia" w:ascii="宋体" w:hAnsi="宋体" w:cs="宋体"/>
          <w:sz w:val="24"/>
        </w:rPr>
        <w:t>（三）投标文件未提供的材料。</w:t>
      </w:r>
    </w:p>
    <w:p>
      <w:pPr>
        <w:spacing w:line="360" w:lineRule="auto"/>
        <w:ind w:firstLine="480" w:firstLineChars="200"/>
        <w:rPr>
          <w:rFonts w:ascii="宋体" w:hAnsi="宋体" w:cs="宋体"/>
          <w:sz w:val="24"/>
        </w:rPr>
      </w:pPr>
      <w:r>
        <w:rPr>
          <w:rFonts w:hint="eastAsia" w:ascii="宋体" w:hAnsi="宋体" w:cs="宋体"/>
          <w:sz w:val="24"/>
        </w:rPr>
        <w:t>3.9.4 本项目采购过程中，投标文件出现下列情况的，不需要供应商澄清、说明或者补正，按照以下原则处理：</w:t>
      </w:r>
    </w:p>
    <w:p>
      <w:pPr>
        <w:spacing w:line="360" w:lineRule="auto"/>
        <w:ind w:firstLine="480" w:firstLineChars="200"/>
        <w:rPr>
          <w:rFonts w:ascii="宋体" w:hAnsi="宋体" w:cs="宋体"/>
          <w:sz w:val="24"/>
        </w:rPr>
      </w:pPr>
      <w:r>
        <w:rPr>
          <w:rFonts w:hint="eastAsia" w:ascii="宋体" w:hAnsi="宋体" w:cs="宋体"/>
          <w:sz w:val="24"/>
        </w:rPr>
        <w:t>（一）投标文件的大写金额和小写金额不一致的，以大写金额为准，但大写金额出现文字错误，导致金额无法判断的除外；</w:t>
      </w:r>
    </w:p>
    <w:p>
      <w:pPr>
        <w:spacing w:line="360" w:lineRule="auto"/>
        <w:ind w:firstLine="480" w:firstLineChars="200"/>
        <w:rPr>
          <w:rFonts w:ascii="宋体" w:hAnsi="宋体" w:cs="宋体"/>
          <w:sz w:val="24"/>
        </w:rPr>
      </w:pPr>
      <w:r>
        <w:rPr>
          <w:rFonts w:hint="eastAsia" w:ascii="宋体" w:hAnsi="宋体" w:cs="宋体"/>
          <w:sz w:val="24"/>
        </w:rPr>
        <w:t>（二）总价金额与按单价汇总金额不一致的，以单价汇总金额计算结果为准，但是单价金额出现计算错误、明显人为工作失误的除外；</w:t>
      </w:r>
    </w:p>
    <w:p>
      <w:pPr>
        <w:spacing w:line="360" w:lineRule="auto"/>
        <w:ind w:firstLine="480" w:firstLineChars="200"/>
        <w:rPr>
          <w:rFonts w:ascii="宋体" w:hAnsi="宋体" w:cs="宋体"/>
          <w:sz w:val="24"/>
        </w:rPr>
      </w:pPr>
      <w:r>
        <w:rPr>
          <w:rFonts w:hint="eastAsia" w:ascii="宋体" w:hAnsi="宋体" w:cs="宋体"/>
          <w:sz w:val="24"/>
        </w:rPr>
        <w:t>（三）单价金额小数点有明显错位的，应以总价为准，并修改单价；</w:t>
      </w:r>
    </w:p>
    <w:p>
      <w:pPr>
        <w:spacing w:line="360" w:lineRule="auto"/>
        <w:ind w:firstLine="480" w:firstLineChars="200"/>
        <w:rPr>
          <w:rFonts w:ascii="宋体" w:hAnsi="宋体" w:cs="宋体"/>
          <w:sz w:val="24"/>
        </w:rPr>
      </w:pPr>
      <w:r>
        <w:rPr>
          <w:rFonts w:hint="eastAsia" w:ascii="宋体" w:hAnsi="宋体" w:cs="宋体"/>
          <w:sz w:val="24"/>
        </w:rPr>
        <w:t>（四）对不同语言文本投标文件的解释发生异议的，以中文文本为准。</w:t>
      </w:r>
    </w:p>
    <w:p>
      <w:pPr>
        <w:spacing w:line="360" w:lineRule="auto"/>
        <w:ind w:firstLine="480" w:firstLineChars="200"/>
        <w:rPr>
          <w:rFonts w:ascii="宋体" w:hAnsi="宋体" w:cs="宋体"/>
          <w:sz w:val="24"/>
        </w:rPr>
      </w:pPr>
      <w:r>
        <w:rPr>
          <w:rFonts w:hint="eastAsia" w:ascii="宋体" w:hAnsi="宋体" w:cs="宋体"/>
          <w:sz w:val="24"/>
        </w:rPr>
        <w:t>出现本条第（二）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spacing w:line="360" w:lineRule="auto"/>
        <w:ind w:firstLine="482" w:firstLineChars="200"/>
        <w:rPr>
          <w:rFonts w:ascii="宋体" w:hAnsi="宋体" w:cs="宋体"/>
          <w:b/>
          <w:sz w:val="24"/>
        </w:rPr>
      </w:pPr>
      <w:r>
        <w:rPr>
          <w:rFonts w:hint="eastAsia" w:ascii="宋体" w:hAnsi="宋体" w:cs="宋体"/>
          <w:b/>
          <w:sz w:val="24"/>
        </w:rPr>
        <w:t>注：评标委员会当积极履行澄清、说明或者补正的职责，不得滥用权力。供应商的投标文件可以要求澄清、说明或者补正的，不得未经澄清、说明或者补正而直接作无效投标处理。</w:t>
      </w:r>
    </w:p>
    <w:p>
      <w:pPr>
        <w:pStyle w:val="194"/>
        <w:spacing w:line="360" w:lineRule="auto"/>
        <w:ind w:firstLine="480" w:firstLineChars="200"/>
        <w:jc w:val="both"/>
      </w:pPr>
      <w:r>
        <w:rPr>
          <w:rFonts w:hint="eastAsia"/>
        </w:rPr>
        <w:t>3.10</w:t>
      </w:r>
      <w:r>
        <w:rPr>
          <w:rFonts w:hint="eastAsia" w:ascii="宋体" w:hAnsi="宋体" w:eastAsia="宋体" w:cs="宋体"/>
        </w:rPr>
        <w:t>低于成本价投标处理。在评标过程中，</w:t>
      </w:r>
      <w:r>
        <w:rPr>
          <w:rFonts w:hint="eastAsia" w:ascii="宋体" w:hAnsi="宋体" w:eastAsia="宋体" w:cs="宋体"/>
          <w:lang w:val="zh-CN"/>
        </w:rPr>
        <w:t>评标委员会认为投标人的报价明显低于其他通过符合性审查投标人的报价或</w:t>
      </w:r>
      <w:r>
        <w:rPr>
          <w:rFonts w:hint="eastAsia" w:ascii="宋体" w:hAnsi="宋体" w:eastAsia="宋体" w:cs="宋体"/>
          <w:szCs w:val="21"/>
          <w:lang w:val="zh-CN"/>
        </w:rPr>
        <w:t>评</w:t>
      </w:r>
      <w:r>
        <w:rPr>
          <w:rFonts w:hint="eastAsia" w:ascii="宋体" w:hAnsi="宋体" w:eastAsia="宋体" w:cs="宋体"/>
          <w:lang w:val="zh-CN"/>
        </w:rPr>
        <w:t>标</w:t>
      </w:r>
      <w:r>
        <w:rPr>
          <w:rFonts w:hint="eastAsia" w:ascii="宋体" w:hAnsi="宋体" w:eastAsia="宋体" w:cs="宋体"/>
          <w:szCs w:val="21"/>
          <w:lang w:val="zh-CN"/>
        </w:rPr>
        <w:t>委员认为投标人的报价明显低于成本价或投标人报价低于采购预算50%或者低于其他有效投标人报价算术平均价40%</w:t>
      </w:r>
      <w:r>
        <w:rPr>
          <w:rFonts w:hint="eastAsia" w:ascii="宋体" w:hAnsi="宋体" w:eastAsia="宋体" w:cs="宋体"/>
        </w:rPr>
        <w:t>，</w:t>
      </w:r>
      <w:r>
        <w:rPr>
          <w:rFonts w:hint="eastAsia" w:ascii="宋体" w:hAnsi="宋体" w:eastAsia="宋体" w:cs="宋体"/>
          <w:lang w:val="zh-CN"/>
        </w:rPr>
        <w:t>有可能影响产品质量或者不能诚信履约的</w:t>
      </w:r>
      <w:r>
        <w:rPr>
          <w:rFonts w:hint="eastAsia" w:ascii="宋体" w:hAnsi="宋体" w:eastAsia="宋体" w:cs="宋体"/>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r>
        <w:rPr>
          <w:rFonts w:hint="eastAsia"/>
        </w:rPr>
        <w:t>。</w:t>
      </w:r>
    </w:p>
    <w:p>
      <w:pPr>
        <w:pStyle w:val="194"/>
        <w:spacing w:line="360" w:lineRule="auto"/>
        <w:ind w:firstLine="480" w:firstLineChars="200"/>
        <w:jc w:val="both"/>
      </w:pPr>
      <w:r>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194"/>
        <w:spacing w:line="360" w:lineRule="auto"/>
        <w:ind w:firstLine="480" w:firstLineChars="200"/>
        <w:jc w:val="both"/>
      </w:pPr>
      <w:r>
        <w:rPr>
          <w:rFonts w:hint="eastAsia"/>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194"/>
        <w:spacing w:line="360" w:lineRule="auto"/>
        <w:ind w:firstLine="480" w:firstLineChars="200"/>
        <w:jc w:val="both"/>
      </w:pPr>
      <w:r>
        <w:rPr>
          <w:rFonts w:hint="eastAsia"/>
        </w:rPr>
        <w:t>3.11 招标采购单位现场复核评标结果。</w:t>
      </w:r>
    </w:p>
    <w:p>
      <w:pPr>
        <w:pStyle w:val="194"/>
        <w:spacing w:line="360" w:lineRule="auto"/>
        <w:ind w:firstLine="480" w:firstLineChars="200"/>
      </w:pPr>
      <w:r>
        <w:rPr>
          <w:rFonts w:hint="eastAsia"/>
        </w:rPr>
        <w:t>3.11.1评标结果汇总完成后，评标委员会拟出具评标报告前，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w:t>
      </w:r>
    </w:p>
    <w:p>
      <w:pPr>
        <w:pStyle w:val="194"/>
        <w:spacing w:line="360" w:lineRule="auto"/>
        <w:ind w:firstLine="480" w:firstLineChars="200"/>
      </w:pPr>
      <w:r>
        <w:rPr>
          <w:rFonts w:hint="eastAsia"/>
        </w:rPr>
        <w:t>　　（一）分值汇总计算错误的；</w:t>
      </w:r>
    </w:p>
    <w:p>
      <w:pPr>
        <w:pStyle w:val="194"/>
        <w:spacing w:line="360" w:lineRule="auto"/>
        <w:ind w:firstLine="480" w:firstLineChars="200"/>
      </w:pPr>
      <w:r>
        <w:rPr>
          <w:rFonts w:hint="eastAsia"/>
        </w:rPr>
        <w:t>　　（二）分项评分超出评分标准范围的；</w:t>
      </w:r>
    </w:p>
    <w:p>
      <w:pPr>
        <w:pStyle w:val="194"/>
        <w:spacing w:line="360" w:lineRule="auto"/>
        <w:ind w:firstLine="480" w:firstLineChars="200"/>
      </w:pPr>
      <w:r>
        <w:rPr>
          <w:rFonts w:hint="eastAsia"/>
        </w:rPr>
        <w:t>　　（三）评标委员会成员对客观评审因素评分不一致的；</w:t>
      </w:r>
    </w:p>
    <w:p>
      <w:pPr>
        <w:pStyle w:val="194"/>
        <w:spacing w:line="360" w:lineRule="auto"/>
        <w:ind w:firstLine="480" w:firstLineChars="200"/>
      </w:pPr>
      <w:r>
        <w:rPr>
          <w:rFonts w:hint="eastAsia"/>
        </w:rPr>
        <w:t>　　（四）经评标委员会认定评分畸高、畸低的。</w:t>
      </w:r>
    </w:p>
    <w:p>
      <w:pPr>
        <w:pStyle w:val="194"/>
        <w:spacing w:line="360" w:lineRule="auto"/>
        <w:ind w:firstLine="480" w:firstLineChars="200"/>
        <w:jc w:val="both"/>
      </w:pPr>
      <w:r>
        <w:rPr>
          <w:rFonts w:hint="eastAsia"/>
        </w:rPr>
        <w:t>存在本条上述规定情形的，由评标委员会自主决定是否采纳招标采购单位的书面建议，并承担独立评审责任。评标委员会采纳招标采购单位书面建议的，应当按照规定现场修改评标结果，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评标报告签署后，采购人或者采购代理机构发现存在以上情形之一的，应当组织原评标委员会进行重新评审，重新评审改变评标结果的，书面报告本级财政部门。</w:t>
      </w:r>
    </w:p>
    <w:p>
      <w:pPr>
        <w:pStyle w:val="194"/>
        <w:spacing w:line="360" w:lineRule="auto"/>
        <w:ind w:firstLine="480" w:firstLineChars="200"/>
        <w:jc w:val="both"/>
      </w:pPr>
      <w:r>
        <w:rPr>
          <w:rFonts w:hint="eastAsia"/>
        </w:rPr>
        <w:t>3.11.2有下列情形之一的，不得修改评标结果或者重新评标：</w:t>
      </w:r>
    </w:p>
    <w:p>
      <w:pPr>
        <w:pStyle w:val="194"/>
        <w:spacing w:line="360" w:lineRule="auto"/>
        <w:ind w:firstLine="480" w:firstLineChars="200"/>
        <w:jc w:val="both"/>
      </w:pPr>
      <w:r>
        <w:rPr>
          <w:rFonts w:hint="eastAsia"/>
        </w:rPr>
        <w:t>（一）评标委员会已经出具评标报告并且离开评标现场的；</w:t>
      </w:r>
    </w:p>
    <w:p>
      <w:pPr>
        <w:pStyle w:val="194"/>
        <w:spacing w:line="360" w:lineRule="auto"/>
        <w:ind w:firstLine="480" w:firstLineChars="200"/>
        <w:jc w:val="both"/>
      </w:pPr>
      <w:r>
        <w:rPr>
          <w:rFonts w:hint="eastAsia"/>
        </w:rPr>
        <w:t>（二）招标采购单位现场复核时，复核工作人员数量不足的；</w:t>
      </w:r>
    </w:p>
    <w:p>
      <w:pPr>
        <w:pStyle w:val="194"/>
        <w:spacing w:line="360" w:lineRule="auto"/>
        <w:ind w:firstLine="480" w:firstLineChars="200"/>
        <w:jc w:val="both"/>
      </w:pPr>
      <w:r>
        <w:rPr>
          <w:rFonts w:hint="eastAsia"/>
        </w:rPr>
        <w:t>（三）招标采购单位现场复核时，没有采购监督人员现场监督的；</w:t>
      </w:r>
    </w:p>
    <w:p>
      <w:pPr>
        <w:pStyle w:val="194"/>
        <w:spacing w:line="360" w:lineRule="auto"/>
        <w:ind w:firstLine="480" w:firstLineChars="200"/>
        <w:jc w:val="both"/>
      </w:pPr>
      <w:r>
        <w:rPr>
          <w:rFonts w:hint="eastAsia"/>
        </w:rPr>
        <w:t>（四）招标采购单位现场复核内容超出规定范围的；</w:t>
      </w:r>
    </w:p>
    <w:p>
      <w:pPr>
        <w:pStyle w:val="194"/>
        <w:spacing w:line="360" w:lineRule="auto"/>
        <w:ind w:firstLine="480" w:firstLineChars="200"/>
        <w:jc w:val="both"/>
      </w:pPr>
      <w:r>
        <w:rPr>
          <w:rFonts w:hint="eastAsia"/>
        </w:rPr>
        <w:t>（五）招标采购单位未提供书面建议的。</w:t>
      </w:r>
    </w:p>
    <w:p>
      <w:pPr>
        <w:spacing w:line="360" w:lineRule="auto"/>
        <w:ind w:firstLine="480" w:firstLineChars="200"/>
        <w:rPr>
          <w:rFonts w:ascii="宋体" w:hAnsi="宋体" w:cs="宋体"/>
          <w:sz w:val="24"/>
        </w:rPr>
      </w:pPr>
      <w:r>
        <w:rPr>
          <w:rFonts w:hint="eastAsia" w:ascii="宋体" w:hAnsi="宋体" w:cs="宋体"/>
          <w:sz w:val="24"/>
        </w:rPr>
        <w:t>4. 评标细则及标准</w:t>
      </w:r>
      <w:bookmarkEnd w:id="308"/>
    </w:p>
    <w:p>
      <w:pPr>
        <w:spacing w:line="360" w:lineRule="auto"/>
        <w:ind w:firstLine="480" w:firstLineChars="200"/>
        <w:rPr>
          <w:rFonts w:ascii="宋体" w:hAnsi="宋体" w:cs="宋体"/>
          <w:sz w:val="24"/>
        </w:rPr>
      </w:pPr>
      <w:r>
        <w:rPr>
          <w:rFonts w:hint="eastAsia" w:ascii="宋体" w:hAnsi="宋体" w:cs="宋体"/>
          <w:sz w:val="24"/>
        </w:rPr>
        <w:t>4.1 评标委员会成员应当根据自身专业情况对每个有效投标供应商的投标文件进行独立评分，加权汇总每项评分因素的得分，得出每个有效投标供应商的总分。采购人代表原则上对技术类评分因素独立评分。其他不能明确区分的评分因素由评标委员会成员共同评分。</w:t>
      </w:r>
    </w:p>
    <w:p>
      <w:pPr>
        <w:spacing w:line="360" w:lineRule="auto"/>
        <w:ind w:firstLine="482" w:firstLineChars="200"/>
        <w:rPr>
          <w:rFonts w:ascii="宋体" w:hAnsi="宋体" w:cs="宋体"/>
          <w:b/>
          <w:sz w:val="24"/>
        </w:rPr>
      </w:pPr>
      <w:r>
        <w:rPr>
          <w:rFonts w:hint="eastAsia" w:ascii="宋体" w:hAnsi="宋体" w:cs="宋体"/>
          <w:b/>
          <w:sz w:val="24"/>
        </w:rPr>
        <w:t>4.2综合评分明细表</w:t>
      </w:r>
      <w:bookmarkStart w:id="309" w:name="_Toc217446060"/>
    </w:p>
    <w:tbl>
      <w:tblPr>
        <w:tblStyle w:val="45"/>
        <w:tblW w:w="902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36"/>
        <w:gridCol w:w="567"/>
        <w:gridCol w:w="567"/>
        <w:gridCol w:w="4375"/>
        <w:gridCol w:w="2664"/>
        <w:gridCol w:w="4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436" w:type="dxa"/>
            <w:shd w:val="clear" w:color="auto" w:fill="auto"/>
            <w:vAlign w:val="center"/>
          </w:tcPr>
          <w:p>
            <w:pPr>
              <w:jc w:val="center"/>
              <w:rPr>
                <w:rFonts w:ascii="宋体" w:hAnsi="宋体" w:cs="宋体"/>
                <w:sz w:val="24"/>
              </w:rPr>
            </w:pPr>
            <w:r>
              <w:rPr>
                <w:rFonts w:hint="eastAsia" w:ascii="宋体" w:hAnsi="宋体" w:cs="宋体"/>
                <w:sz w:val="24"/>
              </w:rPr>
              <w:t>序号</w:t>
            </w:r>
          </w:p>
        </w:tc>
        <w:tc>
          <w:tcPr>
            <w:tcW w:w="567" w:type="dxa"/>
            <w:shd w:val="clear" w:color="auto" w:fill="auto"/>
            <w:vAlign w:val="center"/>
          </w:tcPr>
          <w:p>
            <w:pPr>
              <w:rPr>
                <w:rFonts w:ascii="宋体" w:hAnsi="宋体" w:cs="宋体"/>
                <w:sz w:val="24"/>
              </w:rPr>
            </w:pPr>
            <w:r>
              <w:rPr>
                <w:rFonts w:hint="eastAsia" w:ascii="宋体" w:hAnsi="宋体" w:cs="宋体"/>
                <w:sz w:val="24"/>
              </w:rPr>
              <w:t>评分因素</w:t>
            </w:r>
          </w:p>
        </w:tc>
        <w:tc>
          <w:tcPr>
            <w:tcW w:w="567" w:type="dxa"/>
            <w:shd w:val="clear" w:color="auto" w:fill="auto"/>
            <w:vAlign w:val="center"/>
          </w:tcPr>
          <w:p>
            <w:pPr>
              <w:rPr>
                <w:rFonts w:ascii="宋体" w:hAnsi="宋体" w:cs="宋体"/>
                <w:sz w:val="24"/>
              </w:rPr>
            </w:pPr>
            <w:r>
              <w:rPr>
                <w:rFonts w:hint="eastAsia" w:ascii="宋体" w:hAnsi="宋体" w:cs="宋体"/>
                <w:sz w:val="24"/>
              </w:rPr>
              <w:t>权重</w:t>
            </w:r>
          </w:p>
        </w:tc>
        <w:tc>
          <w:tcPr>
            <w:tcW w:w="4375" w:type="dxa"/>
            <w:shd w:val="clear" w:color="auto" w:fill="auto"/>
            <w:vAlign w:val="center"/>
          </w:tcPr>
          <w:p>
            <w:pPr>
              <w:rPr>
                <w:rFonts w:ascii="宋体" w:hAnsi="宋体" w:cs="宋体"/>
                <w:sz w:val="24"/>
              </w:rPr>
            </w:pPr>
            <w:r>
              <w:rPr>
                <w:rFonts w:hint="eastAsia" w:ascii="宋体" w:hAnsi="宋体" w:cs="宋体"/>
                <w:sz w:val="24"/>
              </w:rPr>
              <w:t>评分标准</w:t>
            </w:r>
          </w:p>
        </w:tc>
        <w:tc>
          <w:tcPr>
            <w:tcW w:w="2664" w:type="dxa"/>
            <w:shd w:val="clear" w:color="auto" w:fill="auto"/>
            <w:vAlign w:val="center"/>
          </w:tcPr>
          <w:p>
            <w:pPr>
              <w:rPr>
                <w:rFonts w:ascii="宋体" w:hAnsi="宋体" w:cs="宋体"/>
                <w:sz w:val="24"/>
              </w:rPr>
            </w:pPr>
            <w:r>
              <w:rPr>
                <w:rFonts w:hint="eastAsia" w:ascii="宋体" w:hAnsi="宋体" w:cs="宋体"/>
                <w:sz w:val="24"/>
              </w:rPr>
              <w:t>说明</w:t>
            </w:r>
          </w:p>
        </w:tc>
        <w:tc>
          <w:tcPr>
            <w:tcW w:w="412" w:type="dxa"/>
            <w:shd w:val="clear" w:color="auto" w:fill="auto"/>
            <w:vAlign w:val="center"/>
          </w:tcPr>
          <w:p>
            <w:pPr>
              <w:rPr>
                <w:rFonts w:ascii="宋体" w:hAnsi="宋体" w:cs="宋体"/>
                <w:sz w:val="24"/>
              </w:rPr>
            </w:pPr>
            <w:r>
              <w:rPr>
                <w:rFonts w:hint="eastAsia" w:ascii="宋体" w:hAnsi="宋体" w:cs="宋体"/>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436" w:type="dxa"/>
            <w:vAlign w:val="center"/>
          </w:tcPr>
          <w:p>
            <w:pPr>
              <w:jc w:val="center"/>
              <w:rPr>
                <w:rFonts w:ascii="宋体" w:hAnsi="宋体" w:cs="宋体"/>
                <w:sz w:val="24"/>
              </w:rPr>
            </w:pPr>
            <w:r>
              <w:rPr>
                <w:rFonts w:hint="eastAsia" w:ascii="宋体" w:hAnsi="宋体" w:cs="宋体"/>
                <w:sz w:val="24"/>
              </w:rPr>
              <w:t>1</w:t>
            </w:r>
          </w:p>
        </w:tc>
        <w:tc>
          <w:tcPr>
            <w:tcW w:w="567" w:type="dxa"/>
            <w:vAlign w:val="center"/>
          </w:tcPr>
          <w:p>
            <w:pPr>
              <w:rPr>
                <w:rFonts w:ascii="宋体" w:hAnsi="宋体" w:cs="宋体"/>
                <w:sz w:val="24"/>
              </w:rPr>
            </w:pPr>
            <w:r>
              <w:rPr>
                <w:rFonts w:hint="eastAsia" w:ascii="宋体" w:hAnsi="宋体" w:cs="宋体"/>
                <w:sz w:val="24"/>
              </w:rPr>
              <w:t>报价</w:t>
            </w:r>
          </w:p>
        </w:tc>
        <w:tc>
          <w:tcPr>
            <w:tcW w:w="567" w:type="dxa"/>
            <w:vAlign w:val="center"/>
          </w:tcPr>
          <w:p>
            <w:pPr>
              <w:rPr>
                <w:rFonts w:ascii="宋体" w:hAnsi="宋体" w:cs="宋体"/>
                <w:color w:val="auto"/>
                <w:sz w:val="24"/>
              </w:rPr>
            </w:pPr>
            <w:r>
              <w:rPr>
                <w:rFonts w:hint="eastAsia" w:ascii="宋体" w:hAnsi="宋体" w:cs="宋体"/>
                <w:color w:val="auto"/>
                <w:sz w:val="24"/>
              </w:rPr>
              <w:t>10%</w:t>
            </w:r>
          </w:p>
        </w:tc>
        <w:tc>
          <w:tcPr>
            <w:tcW w:w="4375" w:type="dxa"/>
            <w:vAlign w:val="center"/>
          </w:tcPr>
          <w:p>
            <w:pPr>
              <w:rPr>
                <w:rFonts w:ascii="宋体" w:hAnsi="宋体" w:cs="宋体"/>
                <w:color w:val="auto"/>
                <w:sz w:val="24"/>
              </w:rPr>
            </w:pPr>
            <w:r>
              <w:rPr>
                <w:rFonts w:hint="eastAsia" w:ascii="宋体" w:hAnsi="宋体" w:cs="宋体"/>
                <w:color w:val="auto"/>
                <w:sz w:val="24"/>
              </w:rPr>
              <w:t xml:space="preserve">     综合评分法中的价格分统一采用低价优先法计算，即满足招标文件要求且投标价格最低的投标报价为评标基准价，其价格分为满分。其他投标人的价格分统一按照下列公式计算：</w:t>
            </w:r>
          </w:p>
          <w:p>
            <w:pPr>
              <w:rPr>
                <w:rFonts w:ascii="宋体" w:hAnsi="宋体" w:cs="宋体"/>
                <w:color w:val="auto"/>
                <w:sz w:val="24"/>
              </w:rPr>
            </w:pPr>
            <w:r>
              <w:rPr>
                <w:rFonts w:hint="eastAsia" w:ascii="宋体" w:hAnsi="宋体" w:cs="宋体"/>
                <w:color w:val="auto"/>
                <w:sz w:val="24"/>
              </w:rPr>
              <w:t xml:space="preserve">    投标报价得分=(评标基准价／投标报价)×100×权重</w:t>
            </w:r>
          </w:p>
        </w:tc>
        <w:tc>
          <w:tcPr>
            <w:tcW w:w="2664" w:type="dxa"/>
            <w:vAlign w:val="center"/>
          </w:tcPr>
          <w:p>
            <w:pPr>
              <w:rPr>
                <w:rFonts w:ascii="宋体" w:hAnsi="宋体" w:cs="宋体"/>
                <w:sz w:val="24"/>
              </w:rPr>
            </w:pPr>
            <w:r>
              <w:rPr>
                <w:rFonts w:hint="eastAsia" w:ascii="宋体" w:hAnsi="宋体" w:cs="宋体"/>
                <w:sz w:val="24"/>
              </w:rPr>
              <w:t>1.小微企业（监狱企业、残疾人福利性单位视同小微企业）价格扣除等政策评分按照本招标文件投标人须知前附表规定执行。</w:t>
            </w:r>
          </w:p>
          <w:p>
            <w:pPr>
              <w:rPr>
                <w:rFonts w:ascii="宋体" w:hAnsi="宋体" w:cs="宋体"/>
                <w:sz w:val="24"/>
              </w:rPr>
            </w:pPr>
            <w:r>
              <w:rPr>
                <w:rFonts w:hint="eastAsia" w:ascii="宋体" w:hAnsi="宋体" w:cs="宋体"/>
                <w:sz w:val="24"/>
              </w:rPr>
              <w:t>2.监狱企业应当提供由省级以上监狱管理局、戒毒管理局（含新疆生产建设兵团）出具的属于监狱企业的证明文件（复印件）。</w:t>
            </w:r>
          </w:p>
          <w:p>
            <w:pPr>
              <w:rPr>
                <w:rFonts w:ascii="宋体" w:hAnsi="宋体" w:cs="宋体"/>
                <w:sz w:val="24"/>
              </w:rPr>
            </w:pPr>
            <w:r>
              <w:rPr>
                <w:rFonts w:hint="eastAsia" w:ascii="宋体" w:hAnsi="宋体" w:cs="宋体"/>
                <w:sz w:val="24"/>
              </w:rPr>
              <w:t>3.残疾人福利性单位应当提供《残疾人福利性单位声明函》原件</w:t>
            </w:r>
          </w:p>
        </w:tc>
        <w:tc>
          <w:tcPr>
            <w:tcW w:w="412" w:type="dxa"/>
            <w:vAlign w:val="center"/>
          </w:tcPr>
          <w:p>
            <w:pPr>
              <w:rPr>
                <w:rFonts w:ascii="宋体" w:hAnsi="宋体" w:cs="宋体"/>
                <w:sz w:val="24"/>
              </w:rPr>
            </w:pPr>
            <w:r>
              <w:rPr>
                <w:rFonts w:hint="eastAsia" w:ascii="宋体" w:hAnsi="宋体" w:cs="宋体"/>
                <w:sz w:val="24"/>
              </w:rPr>
              <w:t>价格类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8" w:hRule="atLeast"/>
          <w:jc w:val="center"/>
        </w:trPr>
        <w:tc>
          <w:tcPr>
            <w:tcW w:w="436" w:type="dxa"/>
            <w:vAlign w:val="center"/>
          </w:tcPr>
          <w:p>
            <w:pPr>
              <w:jc w:val="center"/>
              <w:rPr>
                <w:rFonts w:ascii="宋体" w:hAnsi="宋体" w:cs="宋体"/>
                <w:sz w:val="24"/>
              </w:rPr>
            </w:pPr>
            <w:r>
              <w:rPr>
                <w:rFonts w:hint="eastAsia" w:ascii="宋体" w:hAnsi="宋体" w:cs="宋体"/>
                <w:sz w:val="24"/>
              </w:rPr>
              <w:t>2</w:t>
            </w:r>
          </w:p>
        </w:tc>
        <w:tc>
          <w:tcPr>
            <w:tcW w:w="567" w:type="dxa"/>
            <w:vAlign w:val="center"/>
          </w:tcPr>
          <w:p>
            <w:pPr>
              <w:rPr>
                <w:rFonts w:ascii="宋体" w:hAnsi="宋体" w:cs="宋体"/>
                <w:sz w:val="24"/>
              </w:rPr>
            </w:pPr>
            <w:r>
              <w:rPr>
                <w:rFonts w:hint="eastAsia" w:ascii="宋体" w:hAnsi="宋体" w:cs="宋体"/>
                <w:sz w:val="24"/>
              </w:rPr>
              <w:t>技术及其他要求</w:t>
            </w:r>
          </w:p>
        </w:tc>
        <w:tc>
          <w:tcPr>
            <w:tcW w:w="567" w:type="dxa"/>
            <w:vAlign w:val="center"/>
          </w:tcPr>
          <w:p>
            <w:pPr>
              <w:rPr>
                <w:rFonts w:ascii="宋体" w:hAnsi="宋体" w:cs="宋体"/>
                <w:sz w:val="24"/>
              </w:rPr>
            </w:pPr>
            <w:r>
              <w:rPr>
                <w:rFonts w:hint="eastAsia" w:ascii="宋体" w:hAnsi="宋体" w:cs="宋体"/>
                <w:sz w:val="24"/>
              </w:rPr>
              <w:t>31.58%</w:t>
            </w:r>
          </w:p>
        </w:tc>
        <w:tc>
          <w:tcPr>
            <w:tcW w:w="4375" w:type="dxa"/>
            <w:vAlign w:val="center"/>
          </w:tcPr>
          <w:p>
            <w:pPr>
              <w:rPr>
                <w:rFonts w:ascii="宋体" w:hAnsi="宋体" w:cs="宋体"/>
                <w:sz w:val="24"/>
              </w:rPr>
            </w:pPr>
            <w:r>
              <w:rPr>
                <w:rFonts w:hint="eastAsia" w:ascii="宋体" w:hAnsi="宋体" w:cs="宋体"/>
                <w:sz w:val="24"/>
              </w:rPr>
              <w:t>投标文件应答本项目招标文件第六章第二部分服务内容及相关要求款完全满足招标文件要求的得31.58分，带▲号的重要参数（8条）有负偏离的每一项扣1分，其他一般参数（</w:t>
            </w:r>
            <w:r>
              <w:rPr>
                <w:rFonts w:hint="eastAsia" w:ascii="宋体" w:hAnsi="宋体" w:cs="宋体"/>
                <w:sz w:val="24"/>
                <w:lang w:val="en-US" w:eastAsia="zh-CN"/>
              </w:rPr>
              <w:t>786</w:t>
            </w:r>
            <w:r>
              <w:rPr>
                <w:rFonts w:hint="eastAsia" w:ascii="宋体" w:hAnsi="宋体" w:cs="宋体"/>
                <w:sz w:val="24"/>
              </w:rPr>
              <w:t>条）有负偏离的每一项扣0.03分。</w:t>
            </w:r>
          </w:p>
        </w:tc>
        <w:tc>
          <w:tcPr>
            <w:tcW w:w="2664" w:type="dxa"/>
            <w:vAlign w:val="center"/>
          </w:tcPr>
          <w:p>
            <w:pPr>
              <w:rPr>
                <w:rFonts w:ascii="宋体" w:hAnsi="宋体" w:cs="宋体"/>
                <w:sz w:val="24"/>
              </w:rPr>
            </w:pPr>
            <w:r>
              <w:rPr>
                <w:rFonts w:hint="eastAsia" w:ascii="宋体" w:hAnsi="宋体" w:cs="宋体"/>
                <w:sz w:val="24"/>
              </w:rPr>
              <w:t>以投标文件对招标文件第六章要求的响应情况为准。▲号条款需提供系统截图说明，不提供或者不符合要求，视为负偏离</w:t>
            </w:r>
          </w:p>
        </w:tc>
        <w:tc>
          <w:tcPr>
            <w:tcW w:w="412" w:type="dxa"/>
            <w:vAlign w:val="center"/>
          </w:tcPr>
          <w:p>
            <w:pPr>
              <w:rPr>
                <w:rFonts w:ascii="宋体" w:hAnsi="宋体" w:cs="宋体"/>
                <w:sz w:val="24"/>
              </w:rPr>
            </w:pPr>
            <w:r>
              <w:rPr>
                <w:rFonts w:hint="eastAsia" w:ascii="宋体" w:hAnsi="宋体" w:cs="宋体"/>
                <w:sz w:val="24"/>
              </w:rPr>
              <w:t>技术类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8" w:hRule="atLeast"/>
          <w:jc w:val="center"/>
        </w:trPr>
        <w:tc>
          <w:tcPr>
            <w:tcW w:w="436" w:type="dxa"/>
            <w:vAlign w:val="center"/>
          </w:tcPr>
          <w:p>
            <w:pPr>
              <w:jc w:val="center"/>
              <w:rPr>
                <w:rFonts w:ascii="宋体" w:hAnsi="宋体" w:cs="宋体"/>
                <w:sz w:val="24"/>
              </w:rPr>
            </w:pPr>
            <w:r>
              <w:rPr>
                <w:rFonts w:hint="eastAsia" w:ascii="宋体" w:hAnsi="宋体" w:cs="宋体"/>
                <w:sz w:val="24"/>
              </w:rPr>
              <w:t>3</w:t>
            </w:r>
          </w:p>
        </w:tc>
        <w:tc>
          <w:tcPr>
            <w:tcW w:w="567" w:type="dxa"/>
            <w:vAlign w:val="center"/>
          </w:tcPr>
          <w:p>
            <w:pPr>
              <w:rPr>
                <w:rFonts w:ascii="宋体" w:hAnsi="宋体" w:cs="宋体"/>
                <w:sz w:val="24"/>
              </w:rPr>
            </w:pPr>
            <w:r>
              <w:rPr>
                <w:rFonts w:hint="eastAsia" w:ascii="宋体" w:hAnsi="宋体" w:cs="宋体"/>
                <w:sz w:val="24"/>
              </w:rPr>
              <w:t>履约能力</w:t>
            </w:r>
          </w:p>
        </w:tc>
        <w:tc>
          <w:tcPr>
            <w:tcW w:w="567" w:type="dxa"/>
            <w:vAlign w:val="center"/>
          </w:tcPr>
          <w:p>
            <w:pPr>
              <w:rPr>
                <w:rFonts w:ascii="宋体" w:hAnsi="宋体" w:cs="宋体"/>
                <w:sz w:val="24"/>
              </w:rPr>
            </w:pPr>
            <w:r>
              <w:rPr>
                <w:rFonts w:hint="eastAsia" w:ascii="宋体" w:hAnsi="宋体" w:cs="宋体"/>
                <w:sz w:val="24"/>
              </w:rPr>
              <w:t>24</w:t>
            </w:r>
            <w:r>
              <w:rPr>
                <w:rFonts w:hint="eastAsia" w:ascii="宋体" w:hAnsi="宋体" w:cs="宋体"/>
                <w:sz w:val="24"/>
                <w:lang w:val="en-US" w:eastAsia="zh-CN"/>
              </w:rPr>
              <w:t>.42</w:t>
            </w:r>
            <w:r>
              <w:rPr>
                <w:rFonts w:hint="eastAsia" w:ascii="宋体" w:hAnsi="宋体" w:cs="宋体"/>
                <w:sz w:val="24"/>
              </w:rPr>
              <w:t>%</w:t>
            </w:r>
          </w:p>
        </w:tc>
        <w:tc>
          <w:tcPr>
            <w:tcW w:w="4375" w:type="dxa"/>
            <w:vAlign w:val="center"/>
          </w:tcPr>
          <w:p>
            <w:pPr>
              <w:rPr>
                <w:rFonts w:ascii="宋体" w:hAnsi="宋体" w:cs="宋体"/>
                <w:sz w:val="24"/>
              </w:rPr>
            </w:pPr>
            <w:r>
              <w:rPr>
                <w:rFonts w:hint="eastAsia" w:ascii="宋体" w:hAnsi="宋体" w:cs="宋体"/>
                <w:sz w:val="24"/>
              </w:rPr>
              <w:t>1.投标人具有信息安全管理体系认证的得1分，具有IT服务管理体系认证证书的得1分；具有职业健康安全管理体系认证的得1分；具有环境管理体系认证的得1分；具有信息系统建设和服务能力评估体系能力要求证书（CS2级或以上）的得1分；具有医疗行业的软件和信息系统集成运维（五星级）售后服务认证证书的得1分，本项最多得6分。（提供有效的资质证明文件复印件并加盖投标人公章）</w:t>
            </w:r>
          </w:p>
          <w:p>
            <w:pPr>
              <w:rPr>
                <w:rFonts w:ascii="宋体" w:hAnsi="宋体" w:cs="宋体"/>
                <w:sz w:val="24"/>
              </w:rPr>
            </w:pPr>
          </w:p>
          <w:p>
            <w:pPr>
              <w:rPr>
                <w:rFonts w:ascii="宋体" w:hAnsi="宋体" w:cs="宋体"/>
                <w:sz w:val="24"/>
              </w:rPr>
            </w:pPr>
            <w:r>
              <w:rPr>
                <w:rFonts w:hint="eastAsia" w:ascii="宋体" w:hAnsi="宋体" w:cs="宋体"/>
                <w:sz w:val="24"/>
              </w:rPr>
              <w:t>2.投标人具有的提供由国家版权局颁发的类似的门诊电子病历系统软件著作权登记证书、住院电子病历系统软件著作权登记证书、计算机化医生医嘱录入系统软件著作权登记证书、电子病历质量控制管理系统软件著作权登记证书、临床路径系统软件著作权登记证书、日间手术管理系统软件著作权登记证书、临床路径配置工具软件著作权登记证书、流程工具软件著作权登记证书、打印模板软件著作权登记证书、一体化模板工具软件著作权登记证书的得10分，每缺一项扣1分，扣完为止。（投标人所提供的著作权人名称要求与投标人名称完全一致，否则不得分；以上投标人提供的证书必须是投标人自主拥有的著作权；投标人需提供资质证明文件复印件并加盖投标人公章）</w:t>
            </w:r>
          </w:p>
          <w:p>
            <w:pPr>
              <w:rPr>
                <w:rFonts w:ascii="宋体" w:hAnsi="宋体" w:cs="宋体"/>
                <w:sz w:val="24"/>
              </w:rPr>
            </w:pPr>
          </w:p>
          <w:p>
            <w:pPr>
              <w:rPr>
                <w:rFonts w:ascii="宋体" w:hAnsi="宋体" w:cs="宋体"/>
                <w:sz w:val="24"/>
              </w:rPr>
            </w:pPr>
            <w:r>
              <w:rPr>
                <w:rFonts w:hint="eastAsia" w:ascii="宋体" w:hAnsi="宋体" w:cs="宋体"/>
                <w:sz w:val="24"/>
              </w:rPr>
              <w:t>3.投标人需提供同类业绩的信息化建设案例（建设内容需同时包括住院电子病历系统、电子医嘱系统、临床路径系统、门诊电子病历系统，提供中标通知书或合同书复印件），每提供1个案例得1分，最多得3分。其中，所提供的案例有通过国家卫健委电子病历评级5级及以上或互联互通测评4级甲等及以上加1分，同一案例只加1分，最多加3分。本项最多得6分（提供官方测评网站截图或相应牌照拍照图片，并加盖投标人公章）</w:t>
            </w:r>
          </w:p>
          <w:p>
            <w:pPr>
              <w:rPr>
                <w:rFonts w:ascii="宋体" w:hAnsi="宋体" w:cs="宋体"/>
                <w:sz w:val="24"/>
              </w:rPr>
            </w:pPr>
            <w:r>
              <w:rPr>
                <w:rFonts w:hint="eastAsia" w:ascii="宋体" w:hAnsi="宋体" w:cs="宋体"/>
                <w:sz w:val="24"/>
              </w:rPr>
              <w:t>4.投标人所投电子病历系统采用具有中心式自动更新维护功能的B/S结构体系，并提供第三方检测机构证明材料的得2</w:t>
            </w:r>
            <w:r>
              <w:rPr>
                <w:rFonts w:hint="eastAsia" w:ascii="宋体" w:hAnsi="宋体" w:cs="宋体"/>
                <w:sz w:val="24"/>
                <w:lang w:val="en-US" w:eastAsia="zh-CN"/>
              </w:rPr>
              <w:t>.42</w:t>
            </w:r>
            <w:r>
              <w:rPr>
                <w:rFonts w:hint="eastAsia" w:ascii="宋体" w:hAnsi="宋体" w:cs="宋体"/>
                <w:sz w:val="24"/>
              </w:rPr>
              <w:t>分，否则不得分（提供复印件并加盖投标人公章）</w:t>
            </w:r>
          </w:p>
        </w:tc>
        <w:tc>
          <w:tcPr>
            <w:tcW w:w="2664" w:type="dxa"/>
            <w:vAlign w:val="center"/>
          </w:tcPr>
          <w:p>
            <w:pPr>
              <w:rPr>
                <w:rFonts w:ascii="宋体" w:hAnsi="宋体" w:cs="宋体"/>
                <w:sz w:val="24"/>
              </w:rPr>
            </w:pPr>
            <w:r>
              <w:rPr>
                <w:rFonts w:hint="eastAsia" w:ascii="宋体" w:hAnsi="宋体" w:cs="宋体"/>
                <w:sz w:val="24"/>
              </w:rPr>
              <w:t>提供相关证明材料</w:t>
            </w:r>
          </w:p>
        </w:tc>
        <w:tc>
          <w:tcPr>
            <w:tcW w:w="412" w:type="dxa"/>
            <w:vAlign w:val="center"/>
          </w:tcPr>
          <w:p>
            <w:pPr>
              <w:rPr>
                <w:rFonts w:ascii="宋体" w:hAnsi="宋体" w:cs="宋体"/>
                <w:sz w:val="24"/>
              </w:rPr>
            </w:pPr>
            <w:r>
              <w:rPr>
                <w:rFonts w:hint="eastAsia" w:ascii="宋体" w:hAnsi="宋体" w:cs="宋体"/>
                <w:sz w:val="24"/>
              </w:rPr>
              <w:t>其他类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436" w:type="dxa"/>
            <w:vAlign w:val="center"/>
          </w:tcPr>
          <w:p>
            <w:pPr>
              <w:jc w:val="center"/>
              <w:rPr>
                <w:rFonts w:ascii="宋体" w:hAnsi="宋体" w:cs="宋体"/>
                <w:sz w:val="24"/>
              </w:rPr>
            </w:pPr>
            <w:r>
              <w:rPr>
                <w:rFonts w:hint="eastAsia" w:ascii="宋体" w:hAnsi="宋体" w:cs="宋体"/>
                <w:sz w:val="24"/>
              </w:rPr>
              <w:t>4</w:t>
            </w:r>
          </w:p>
        </w:tc>
        <w:tc>
          <w:tcPr>
            <w:tcW w:w="567" w:type="dxa"/>
            <w:vAlign w:val="center"/>
          </w:tcPr>
          <w:p>
            <w:pPr>
              <w:rPr>
                <w:rFonts w:ascii="宋体" w:hAnsi="宋体" w:cs="宋体"/>
                <w:sz w:val="24"/>
              </w:rPr>
            </w:pPr>
            <w:r>
              <w:rPr>
                <w:rFonts w:hint="eastAsia" w:ascii="宋体" w:hAnsi="宋体" w:cs="宋体"/>
                <w:sz w:val="24"/>
              </w:rPr>
              <w:t>拟派人员</w:t>
            </w:r>
          </w:p>
        </w:tc>
        <w:tc>
          <w:tcPr>
            <w:tcW w:w="567" w:type="dxa"/>
            <w:vAlign w:val="center"/>
          </w:tcPr>
          <w:p>
            <w:pPr>
              <w:rPr>
                <w:rFonts w:ascii="宋体" w:hAnsi="宋体" w:cs="宋体"/>
                <w:sz w:val="24"/>
              </w:rPr>
            </w:pPr>
            <w:r>
              <w:rPr>
                <w:rFonts w:hint="eastAsia" w:ascii="宋体" w:hAnsi="宋体" w:cs="宋体"/>
                <w:sz w:val="24"/>
              </w:rPr>
              <w:t>6%</w:t>
            </w:r>
          </w:p>
        </w:tc>
        <w:tc>
          <w:tcPr>
            <w:tcW w:w="4375" w:type="dxa"/>
            <w:vAlign w:val="center"/>
          </w:tcPr>
          <w:p>
            <w:pPr>
              <w:rPr>
                <w:rFonts w:ascii="宋体" w:hAnsi="宋体" w:cs="宋体"/>
                <w:sz w:val="24"/>
              </w:rPr>
            </w:pPr>
            <w:r>
              <w:rPr>
                <w:rFonts w:hint="eastAsia" w:ascii="宋体" w:hAnsi="宋体" w:cs="宋体"/>
                <w:sz w:val="24"/>
              </w:rPr>
              <w:t>拟派项目团队要求：</w:t>
            </w:r>
          </w:p>
          <w:p>
            <w:pPr>
              <w:rPr>
                <w:rFonts w:ascii="宋体" w:hAnsi="宋体" w:cs="宋体"/>
                <w:sz w:val="24"/>
              </w:rPr>
            </w:pPr>
            <w:r>
              <w:rPr>
                <w:rFonts w:hint="eastAsia" w:ascii="宋体" w:hAnsi="宋体" w:cs="宋体"/>
                <w:sz w:val="24"/>
              </w:rPr>
              <w:t>（1）投标人项目经理具有项目管理专业人员资格认证（PMP）证书或人力资源和社会保障部以及工业和信息化部的“信息系统项目管理师（高级）”证书得1分，没有不得分；（投标人需提供资质证书复印件加盖投标人公章）</w:t>
            </w:r>
          </w:p>
          <w:p>
            <w:pPr>
              <w:rPr>
                <w:rFonts w:ascii="宋体" w:hAnsi="宋体" w:cs="宋体"/>
                <w:sz w:val="24"/>
              </w:rPr>
            </w:pPr>
            <w:r>
              <w:rPr>
                <w:rFonts w:hint="eastAsia" w:ascii="宋体" w:hAnsi="宋体" w:cs="宋体"/>
                <w:sz w:val="24"/>
              </w:rPr>
              <w:t>（2）有1名具有工业和信息化部电子通信行业职业技能鉴定指导中心颁发的软件测试专业技能证书的得1分，没有不得分；（投标人需提供资质证书复印件加盖投标人公章）</w:t>
            </w:r>
          </w:p>
          <w:p>
            <w:pPr>
              <w:rPr>
                <w:rFonts w:ascii="宋体" w:hAnsi="宋体" w:cs="宋体"/>
                <w:sz w:val="24"/>
              </w:rPr>
            </w:pPr>
            <w:r>
              <w:rPr>
                <w:rFonts w:hint="eastAsia" w:ascii="宋体" w:hAnsi="宋体" w:cs="宋体"/>
                <w:sz w:val="24"/>
              </w:rPr>
              <w:t>（3）拟派团队人员至少包含3名具有计算机或软件相关专业本科及以上学历的软件工程师得1分，少于3人不得分；（投标人需提供资质证书复印件加盖投标人公章）</w:t>
            </w:r>
          </w:p>
          <w:p>
            <w:pPr>
              <w:rPr>
                <w:rFonts w:ascii="宋体" w:hAnsi="宋体" w:cs="宋体"/>
                <w:sz w:val="24"/>
              </w:rPr>
            </w:pPr>
            <w:r>
              <w:rPr>
                <w:rFonts w:hint="eastAsia" w:ascii="宋体" w:hAnsi="宋体" w:cs="宋体"/>
                <w:sz w:val="24"/>
              </w:rPr>
              <w:t>（4）供应商合理配置本项目实施成员，每派驻一人得0.1分，最多得2分，其中至少有一人既有医学教育背景又具有产品经理（NPDP）证书的加1分。本项最多得3分。</w:t>
            </w:r>
          </w:p>
          <w:p>
            <w:pPr>
              <w:rPr>
                <w:rFonts w:ascii="宋体" w:hAnsi="宋体" w:cs="宋体"/>
                <w:sz w:val="24"/>
              </w:rPr>
            </w:pPr>
            <w:r>
              <w:rPr>
                <w:rFonts w:hint="eastAsia" w:ascii="宋体" w:hAnsi="宋体" w:cs="宋体"/>
                <w:sz w:val="24"/>
              </w:rPr>
              <w:t>（投标人需提供人员清单以及学历或资质证书的复印件加盖投标人公章）</w:t>
            </w:r>
          </w:p>
        </w:tc>
        <w:tc>
          <w:tcPr>
            <w:tcW w:w="2664" w:type="dxa"/>
            <w:vAlign w:val="center"/>
          </w:tcPr>
          <w:p>
            <w:pPr>
              <w:rPr>
                <w:rFonts w:ascii="宋体" w:hAnsi="宋体" w:cs="宋体"/>
                <w:sz w:val="24"/>
              </w:rPr>
            </w:pPr>
            <w:r>
              <w:rPr>
                <w:rFonts w:hint="eastAsia" w:ascii="宋体" w:hAnsi="宋体" w:cs="宋体"/>
                <w:sz w:val="24"/>
              </w:rPr>
              <w:t>投标人提供有效的相关证明复印件并加盖投标人单位鲜章，投标人未提供相关证明材料或未按要求提供相关证明材料的不得分；</w:t>
            </w:r>
          </w:p>
        </w:tc>
        <w:tc>
          <w:tcPr>
            <w:tcW w:w="412" w:type="dxa"/>
            <w:vAlign w:val="center"/>
          </w:tcPr>
          <w:p>
            <w:pPr>
              <w:rPr>
                <w:rFonts w:ascii="宋体" w:hAnsi="宋体" w:cs="宋体"/>
                <w:sz w:val="24"/>
              </w:rPr>
            </w:pPr>
            <w:r>
              <w:rPr>
                <w:rFonts w:hint="eastAsia" w:ascii="宋体" w:hAnsi="宋体" w:cs="宋体"/>
                <w:sz w:val="24"/>
              </w:rPr>
              <w:t>其他类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436" w:type="dxa"/>
            <w:vAlign w:val="center"/>
          </w:tcPr>
          <w:p>
            <w:pPr>
              <w:jc w:val="center"/>
              <w:rPr>
                <w:rFonts w:ascii="宋体" w:hAnsi="宋体" w:cs="宋体"/>
                <w:sz w:val="24"/>
              </w:rPr>
            </w:pPr>
            <w:r>
              <w:rPr>
                <w:rFonts w:ascii="宋体" w:hAnsi="宋体" w:cs="宋体"/>
                <w:sz w:val="24"/>
              </w:rPr>
              <w:t>5</w:t>
            </w:r>
          </w:p>
          <w:p>
            <w:pPr>
              <w:pStyle w:val="2"/>
            </w:pPr>
          </w:p>
        </w:tc>
        <w:tc>
          <w:tcPr>
            <w:tcW w:w="567" w:type="dxa"/>
            <w:vAlign w:val="center"/>
          </w:tcPr>
          <w:p>
            <w:pPr>
              <w:rPr>
                <w:rFonts w:ascii="宋体" w:hAnsi="宋体" w:cs="宋体"/>
                <w:sz w:val="24"/>
              </w:rPr>
            </w:pPr>
            <w:r>
              <w:rPr>
                <w:rFonts w:hint="eastAsia" w:ascii="宋体" w:hAnsi="宋体" w:cs="宋体"/>
                <w:sz w:val="24"/>
              </w:rPr>
              <w:t>服务方案</w:t>
            </w:r>
          </w:p>
        </w:tc>
        <w:tc>
          <w:tcPr>
            <w:tcW w:w="567" w:type="dxa"/>
            <w:vAlign w:val="center"/>
          </w:tcPr>
          <w:p>
            <w:pPr>
              <w:rPr>
                <w:rFonts w:ascii="宋体" w:hAnsi="宋体" w:cs="宋体"/>
                <w:sz w:val="24"/>
              </w:rPr>
            </w:pPr>
            <w:r>
              <w:rPr>
                <w:rFonts w:hint="eastAsia" w:ascii="宋体" w:hAnsi="宋体" w:cs="宋体"/>
                <w:sz w:val="24"/>
              </w:rPr>
              <w:t>28%</w:t>
            </w:r>
          </w:p>
        </w:tc>
        <w:tc>
          <w:tcPr>
            <w:tcW w:w="4375" w:type="dxa"/>
            <w:vAlign w:val="center"/>
          </w:tcPr>
          <w:p>
            <w:pPr>
              <w:rPr>
                <w:rFonts w:ascii="宋体" w:hAnsi="宋体" w:cs="宋体"/>
                <w:sz w:val="24"/>
              </w:rPr>
            </w:pPr>
            <w:r>
              <w:rPr>
                <w:rFonts w:hint="eastAsia" w:ascii="宋体" w:hAnsi="宋体" w:cs="宋体"/>
                <w:sz w:val="24"/>
              </w:rPr>
              <w:t>1.对医院的管理人员、操作人员及系统管理人员的培训方案进行评分，包含但不限</w:t>
            </w: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培训方案与项目实施计划安排相符，内容齐全、安排合理；</w:t>
            </w: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培训师资安排与项目内容相符，培训老师熟知项目内容，具备培训经验；</w:t>
            </w: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培训方式方法合理，具有实际培训效果；</w:t>
            </w: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完整的培训管理方案；</w:t>
            </w: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对核心技术人员培训满足按招标要求。满足以上要求的得5分，每缺少一项</w:t>
            </w:r>
            <w:r>
              <w:rPr>
                <w:rFonts w:hint="eastAsia" w:ascii="宋体" w:hAnsi="宋体" w:cs="宋体"/>
                <w:sz w:val="24"/>
                <w:lang w:val="en-US" w:eastAsia="zh-CN"/>
              </w:rPr>
              <w:t>内容</w:t>
            </w:r>
            <w:r>
              <w:rPr>
                <w:rFonts w:hint="eastAsia" w:ascii="宋体" w:hAnsi="宋体" w:cs="宋体"/>
                <w:sz w:val="24"/>
              </w:rPr>
              <w:t>或</w:t>
            </w:r>
            <w:r>
              <w:rPr>
                <w:rFonts w:hint="eastAsia" w:hAnsi="宋体" w:cs="宋体"/>
                <w:sz w:val="24"/>
              </w:rPr>
              <w:t>每有一项内容于本项目特点不符的或对项目实施的质量无益的或不利于采购人实施的扣</w:t>
            </w:r>
            <w:r>
              <w:rPr>
                <w:rFonts w:hint="eastAsia" w:ascii="宋体" w:hAnsi="宋体" w:cs="宋体"/>
                <w:sz w:val="24"/>
              </w:rPr>
              <w:t>1分，扣完为止。</w:t>
            </w:r>
          </w:p>
          <w:p>
            <w:pPr>
              <w:rPr>
                <w:rFonts w:ascii="宋体" w:hAnsi="宋体" w:cs="宋体"/>
                <w:sz w:val="24"/>
              </w:rPr>
            </w:pPr>
            <w:r>
              <w:rPr>
                <w:rFonts w:hint="eastAsia" w:ascii="宋体" w:hAnsi="宋体" w:cs="宋体"/>
                <w:sz w:val="24"/>
              </w:rPr>
              <w:t>2.售后服务能力和承诺包括但不限于：</w:t>
            </w: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服务方案完整、详实；</w:t>
            </w: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人员配置合理；</w:t>
            </w: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故障相应时间符合采购要求；</w:t>
            </w: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服务措施包括但不限于常规服务、应急服务及其他服务措施，保障系统正常运行；</w:t>
            </w: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质保期后维保金额不高于合同金额的6%。满足招标要求和以上要求得5分，每缺少一项</w:t>
            </w:r>
            <w:r>
              <w:rPr>
                <w:rFonts w:hint="eastAsia" w:ascii="宋体" w:hAnsi="宋体" w:cs="宋体"/>
                <w:sz w:val="24"/>
                <w:lang w:val="en-US" w:eastAsia="zh-CN"/>
              </w:rPr>
              <w:t>内容</w:t>
            </w:r>
            <w:r>
              <w:rPr>
                <w:rFonts w:hint="eastAsia" w:ascii="宋体" w:hAnsi="宋体" w:cs="宋体"/>
                <w:sz w:val="24"/>
              </w:rPr>
              <w:t>或</w:t>
            </w:r>
            <w:r>
              <w:rPr>
                <w:rFonts w:hint="eastAsia" w:hAnsi="宋体" w:cs="宋体"/>
                <w:sz w:val="24"/>
              </w:rPr>
              <w:t>每有一项内容于本项目特点不符的或对项目实施的质量无益的或不利于采购人实施的扣</w:t>
            </w:r>
            <w:r>
              <w:rPr>
                <w:rFonts w:hint="eastAsia" w:ascii="宋体" w:hAnsi="宋体" w:cs="宋体"/>
                <w:sz w:val="24"/>
              </w:rPr>
              <w:t>1分，扣完为止。</w:t>
            </w:r>
          </w:p>
          <w:p>
            <w:pPr>
              <w:rPr>
                <w:rFonts w:hint="eastAsia"/>
                <w:lang w:eastAsia="zh-CN"/>
              </w:rPr>
            </w:pPr>
            <w:r>
              <w:rPr>
                <w:rFonts w:hint="eastAsia" w:ascii="宋体" w:hAnsi="宋体" w:cs="宋体"/>
                <w:sz w:val="24"/>
              </w:rPr>
              <w:t>3.投标人提出对完成医院信息系统建设项目的重点和难点，并对重点和难点的解决方案及应对措施作出说明，包含</w:t>
            </w:r>
            <w:r>
              <w:rPr>
                <w:rFonts w:hint="eastAsia" w:ascii="宋体" w:hAnsi="宋体" w:cs="宋体"/>
                <w:sz w:val="24"/>
                <w:lang w:val="en-US" w:eastAsia="zh-CN"/>
              </w:rPr>
              <w:t>但不限于</w:t>
            </w:r>
            <w:r>
              <w:rPr>
                <w:rFonts w:hint="eastAsia" w:ascii="宋体" w:hAnsi="宋体" w:cs="宋体"/>
                <w:sz w:val="24"/>
              </w:rPr>
              <w:t>（1）门诊电子病历系统建设</w:t>
            </w:r>
            <w:r>
              <w:rPr>
                <w:rFonts w:hint="eastAsia" w:ascii="宋体" w:hAnsi="宋体" w:cs="宋体"/>
                <w:sz w:val="24"/>
                <w:lang w:eastAsia="zh-CN"/>
              </w:rPr>
              <w:t>；</w:t>
            </w:r>
            <w:r>
              <w:rPr>
                <w:rFonts w:hint="eastAsia" w:ascii="宋体" w:hAnsi="宋体" w:cs="宋体"/>
                <w:sz w:val="24"/>
              </w:rPr>
              <w:t>（2）住院电子病历系统建设</w:t>
            </w:r>
            <w:r>
              <w:rPr>
                <w:rFonts w:hint="eastAsia" w:ascii="宋体" w:hAnsi="宋体" w:cs="宋体"/>
                <w:sz w:val="24"/>
                <w:lang w:eastAsia="zh-CN"/>
              </w:rPr>
              <w:t>；</w:t>
            </w:r>
            <w:r>
              <w:rPr>
                <w:rFonts w:hint="eastAsia" w:ascii="宋体" w:hAnsi="宋体" w:cs="宋体"/>
                <w:sz w:val="24"/>
              </w:rPr>
              <w:t>（3）住院电子医嘱系统建设</w:t>
            </w:r>
            <w:r>
              <w:rPr>
                <w:rFonts w:hint="eastAsia" w:ascii="宋体" w:hAnsi="宋体" w:cs="宋体"/>
                <w:sz w:val="24"/>
                <w:lang w:eastAsia="zh-CN"/>
              </w:rPr>
              <w:t>；</w:t>
            </w:r>
            <w:r>
              <w:rPr>
                <w:rFonts w:hint="eastAsia" w:ascii="宋体" w:hAnsi="宋体" w:cs="宋体"/>
                <w:sz w:val="24"/>
              </w:rPr>
              <w:t>（4）日间手术管理系统建设</w:t>
            </w:r>
            <w:r>
              <w:rPr>
                <w:rFonts w:hint="eastAsia"/>
                <w:lang w:eastAsia="zh-CN"/>
              </w:rPr>
              <w:t>；</w:t>
            </w:r>
          </w:p>
          <w:p>
            <w:pPr>
              <w:pStyle w:val="2"/>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以上内容供应商</w:t>
            </w:r>
            <w:r>
              <w:rPr>
                <w:rFonts w:hint="eastAsia" w:ascii="宋体" w:hAnsi="宋体" w:cs="宋体"/>
                <w:sz w:val="24"/>
                <w:lang w:val="en-US" w:eastAsia="zh-CN"/>
              </w:rPr>
              <w:t>的解决方案及应对措施</w:t>
            </w:r>
            <w:r>
              <w:rPr>
                <w:rFonts w:hint="eastAsia" w:ascii="宋体" w:hAnsi="宋体" w:eastAsia="宋体" w:cs="宋体"/>
                <w:kern w:val="2"/>
                <w:sz w:val="24"/>
                <w:szCs w:val="24"/>
                <w:lang w:val="en-US" w:eastAsia="zh-CN" w:bidi="ar-SA"/>
              </w:rPr>
              <w:t>满足</w:t>
            </w:r>
            <w:r>
              <w:rPr>
                <w:rFonts w:hint="eastAsia" w:ascii="宋体" w:hAnsi="宋体" w:cs="宋体"/>
                <w:kern w:val="2"/>
                <w:sz w:val="24"/>
                <w:szCs w:val="24"/>
                <w:lang w:val="en-US" w:eastAsia="zh-CN" w:bidi="ar-SA"/>
              </w:rPr>
              <w:t>采购需求的</w:t>
            </w:r>
            <w:r>
              <w:rPr>
                <w:rFonts w:hint="eastAsia" w:ascii="宋体" w:hAnsi="宋体" w:eastAsia="宋体" w:cs="宋体"/>
                <w:kern w:val="2"/>
                <w:sz w:val="24"/>
                <w:szCs w:val="24"/>
                <w:lang w:val="en-US" w:eastAsia="zh-CN" w:bidi="ar-SA"/>
              </w:rPr>
              <w:t>得</w:t>
            </w: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分，每缺少一项内容或每有一项内容于本项目特点不符的或对项目实施的质量无益的或不利于采购人实施的扣2分，扣完为止。</w:t>
            </w:r>
          </w:p>
          <w:p>
            <w:pPr>
              <w:rPr>
                <w:rFonts w:ascii="宋体" w:hAnsi="宋体" w:cs="宋体"/>
                <w:sz w:val="24"/>
              </w:rPr>
            </w:pPr>
            <w:r>
              <w:rPr>
                <w:rFonts w:hint="eastAsia" w:ascii="宋体" w:hAnsi="宋体" w:eastAsia="宋体" w:cs="宋体"/>
                <w:kern w:val="2"/>
                <w:sz w:val="24"/>
                <w:szCs w:val="24"/>
                <w:lang w:val="en-US" w:eastAsia="zh-CN" w:bidi="ar-SA"/>
              </w:rPr>
              <w:t>4.根据投标人对项目整体建设目标理解透彻，根据建设目标制定详细的实施方案，该方案至少包括：（1）整体</w:t>
            </w:r>
            <w:r>
              <w:rPr>
                <w:rFonts w:hint="eastAsia" w:ascii="宋体" w:hAnsi="宋体" w:cs="宋体"/>
                <w:sz w:val="24"/>
              </w:rPr>
              <w:t>项目实施计划步骤；</w:t>
            </w:r>
            <w:r>
              <w:rPr>
                <w:rFonts w:hint="eastAsia" w:ascii="宋体" w:hAnsi="宋体" w:cs="宋体"/>
                <w:sz w:val="24"/>
                <w:lang w:eastAsia="zh-CN"/>
              </w:rPr>
              <w:t>（</w:t>
            </w:r>
            <w:r>
              <w:rPr>
                <w:rFonts w:hint="eastAsia" w:ascii="宋体" w:hAnsi="宋体" w:cs="宋体"/>
                <w:sz w:val="24"/>
              </w:rPr>
              <w:t>2）项目管理方案（管理组织、人员管理、过程管理等）；</w:t>
            </w:r>
            <w:r>
              <w:rPr>
                <w:rFonts w:hint="eastAsia" w:ascii="宋体" w:hAnsi="宋体" w:cs="宋体"/>
                <w:sz w:val="24"/>
                <w:lang w:eastAsia="zh-CN"/>
              </w:rPr>
              <w:t>（</w:t>
            </w:r>
            <w:r>
              <w:rPr>
                <w:rFonts w:hint="eastAsia" w:ascii="宋体" w:hAnsi="宋体" w:cs="宋体"/>
                <w:sz w:val="24"/>
              </w:rPr>
              <w:t>3）现有数据的迁移对接方案；</w:t>
            </w:r>
            <w:r>
              <w:rPr>
                <w:rFonts w:hint="eastAsia" w:ascii="宋体" w:hAnsi="宋体" w:cs="宋体"/>
                <w:sz w:val="24"/>
                <w:lang w:eastAsia="zh-CN"/>
              </w:rPr>
              <w:t>（</w:t>
            </w:r>
            <w:r>
              <w:rPr>
                <w:rFonts w:hint="eastAsia" w:ascii="宋体" w:hAnsi="宋体" w:cs="宋体"/>
                <w:sz w:val="24"/>
              </w:rPr>
              <w:t>4）实施安全、应急保障方案；</w:t>
            </w:r>
            <w:r>
              <w:rPr>
                <w:rFonts w:hint="eastAsia" w:ascii="宋体" w:hAnsi="宋体" w:cs="宋体"/>
                <w:sz w:val="24"/>
                <w:lang w:eastAsia="zh-CN"/>
              </w:rPr>
              <w:t>（</w:t>
            </w:r>
            <w:r>
              <w:rPr>
                <w:rFonts w:hint="eastAsia" w:ascii="宋体" w:hAnsi="宋体" w:cs="宋体"/>
                <w:sz w:val="24"/>
              </w:rPr>
              <w:t>5）实施技术服务能力保障。具备完整的实施方案且满足采购需求的得5分，每缺少一项</w:t>
            </w:r>
            <w:r>
              <w:rPr>
                <w:rFonts w:hint="eastAsia" w:ascii="宋体" w:hAnsi="宋体" w:cs="宋体"/>
                <w:sz w:val="24"/>
                <w:lang w:val="en-US" w:eastAsia="zh-CN"/>
              </w:rPr>
              <w:t>内容</w:t>
            </w:r>
            <w:r>
              <w:rPr>
                <w:rFonts w:hint="eastAsia" w:ascii="宋体" w:hAnsi="宋体" w:cs="宋体"/>
                <w:sz w:val="24"/>
              </w:rPr>
              <w:t>或</w:t>
            </w:r>
            <w:r>
              <w:rPr>
                <w:rFonts w:hint="eastAsia" w:hAnsi="宋体" w:cs="宋体"/>
                <w:sz w:val="24"/>
              </w:rPr>
              <w:t>每有一项内容于本项目特点不符的或对项目实施的质量无益的或不利于采购人实施的</w:t>
            </w:r>
            <w:r>
              <w:rPr>
                <w:rFonts w:hint="eastAsia" w:ascii="宋体" w:hAnsi="宋体" w:cs="宋体"/>
                <w:sz w:val="24"/>
              </w:rPr>
              <w:t>扣1分，扣完为止。</w:t>
            </w:r>
          </w:p>
          <w:p>
            <w:pPr>
              <w:rPr>
                <w:rFonts w:ascii="宋体" w:hAnsi="宋体" w:cs="宋体"/>
                <w:sz w:val="24"/>
              </w:rPr>
            </w:pPr>
            <w:r>
              <w:rPr>
                <w:rFonts w:hint="eastAsia" w:ascii="宋体" w:hAnsi="宋体" w:cs="宋体"/>
                <w:sz w:val="24"/>
                <w:lang w:val="en-US" w:eastAsia="zh-CN"/>
              </w:rPr>
              <w:t>5</w:t>
            </w:r>
            <w:r>
              <w:rPr>
                <w:rFonts w:hint="eastAsia" w:ascii="宋体" w:hAnsi="宋体" w:cs="宋体"/>
                <w:sz w:val="24"/>
              </w:rPr>
              <w:t>.根据投标人</w:t>
            </w:r>
            <w:r>
              <w:rPr>
                <w:rFonts w:hint="eastAsia" w:ascii="宋体" w:hAnsi="宋体" w:cs="宋体"/>
                <w:sz w:val="24"/>
                <w:lang w:val="en-US" w:eastAsia="zh-CN"/>
              </w:rPr>
              <w:t>提供的</w:t>
            </w:r>
            <w:r>
              <w:rPr>
                <w:rFonts w:hint="eastAsia" w:ascii="宋体" w:hAnsi="宋体" w:cs="宋体"/>
                <w:sz w:val="24"/>
              </w:rPr>
              <w:t>项目建设质量保障方案及措施进行</w:t>
            </w:r>
            <w:r>
              <w:rPr>
                <w:rFonts w:hint="eastAsia" w:ascii="宋体" w:hAnsi="宋体" w:cs="宋体"/>
                <w:sz w:val="24"/>
                <w:lang w:val="en-US" w:eastAsia="zh-CN"/>
              </w:rPr>
              <w:t>评审</w:t>
            </w:r>
            <w:r>
              <w:rPr>
                <w:rFonts w:hint="eastAsia" w:ascii="宋体" w:hAnsi="宋体" w:cs="宋体"/>
                <w:sz w:val="24"/>
              </w:rPr>
              <w:t>，包括但不限于</w:t>
            </w:r>
            <w:r>
              <w:rPr>
                <w:rFonts w:hint="eastAsia" w:ascii="宋体" w:hAnsi="宋体" w:cs="宋体"/>
                <w:sz w:val="24"/>
                <w:lang w:eastAsia="zh-CN"/>
              </w:rPr>
              <w:t>（</w:t>
            </w:r>
            <w:r>
              <w:rPr>
                <w:rFonts w:hint="eastAsia" w:ascii="宋体" w:hAnsi="宋体" w:cs="宋体"/>
                <w:sz w:val="24"/>
              </w:rPr>
              <w:t>1）质量保障制度和技术措施；</w:t>
            </w:r>
            <w:r>
              <w:rPr>
                <w:rFonts w:hint="eastAsia" w:ascii="宋体" w:hAnsi="宋体" w:cs="宋体"/>
                <w:sz w:val="24"/>
                <w:lang w:eastAsia="zh-CN"/>
              </w:rPr>
              <w:t>（</w:t>
            </w:r>
            <w:r>
              <w:rPr>
                <w:rFonts w:hint="eastAsia" w:ascii="宋体" w:hAnsi="宋体" w:cs="宋体"/>
                <w:sz w:val="24"/>
              </w:rPr>
              <w:t>2）进度管理、沟通管理制度和措施；</w:t>
            </w:r>
            <w:r>
              <w:rPr>
                <w:rFonts w:hint="eastAsia" w:ascii="宋体" w:hAnsi="宋体" w:cs="宋体"/>
                <w:sz w:val="24"/>
                <w:lang w:eastAsia="zh-CN"/>
              </w:rPr>
              <w:t>（</w:t>
            </w:r>
            <w:r>
              <w:rPr>
                <w:rFonts w:hint="eastAsia" w:ascii="宋体" w:hAnsi="宋体" w:cs="宋体"/>
                <w:sz w:val="24"/>
              </w:rPr>
              <w:t>3）变更管理、风险管理制度和措施；</w:t>
            </w:r>
            <w:r>
              <w:rPr>
                <w:rFonts w:hint="eastAsia" w:ascii="宋体" w:hAnsi="宋体" w:cs="宋体"/>
                <w:sz w:val="24"/>
                <w:lang w:eastAsia="zh-CN"/>
              </w:rPr>
              <w:t>（</w:t>
            </w:r>
            <w:r>
              <w:rPr>
                <w:rFonts w:hint="eastAsia" w:ascii="宋体" w:hAnsi="宋体" w:cs="宋体"/>
                <w:sz w:val="24"/>
              </w:rPr>
              <w:t>4）文档管理制度和措施；</w:t>
            </w:r>
            <w:r>
              <w:rPr>
                <w:rFonts w:hint="eastAsia" w:ascii="宋体" w:hAnsi="宋体" w:cs="宋体"/>
                <w:sz w:val="24"/>
                <w:lang w:eastAsia="zh-CN"/>
              </w:rPr>
              <w:t>（</w:t>
            </w:r>
            <w:r>
              <w:rPr>
                <w:rFonts w:hint="eastAsia" w:ascii="宋体" w:hAnsi="宋体" w:cs="宋体"/>
                <w:sz w:val="24"/>
              </w:rPr>
              <w:t>5）运维管理制度和措施。具备完整的质量保障措施及方案，满足质量控制要求</w:t>
            </w:r>
            <w:r>
              <w:rPr>
                <w:rFonts w:hint="eastAsia" w:ascii="宋体" w:hAnsi="宋体" w:cs="宋体"/>
                <w:sz w:val="24"/>
                <w:lang w:val="en-US" w:eastAsia="zh-CN"/>
              </w:rPr>
              <w:t>及采购需求</w:t>
            </w:r>
            <w:r>
              <w:rPr>
                <w:rFonts w:hint="eastAsia" w:ascii="宋体" w:hAnsi="宋体" w:cs="宋体"/>
                <w:sz w:val="24"/>
              </w:rPr>
              <w:t>的得5分，每缺少一项</w:t>
            </w:r>
            <w:r>
              <w:rPr>
                <w:rFonts w:hint="eastAsia" w:ascii="宋体" w:hAnsi="宋体" w:cs="宋体"/>
                <w:sz w:val="24"/>
                <w:lang w:val="en-US" w:eastAsia="zh-CN"/>
              </w:rPr>
              <w:t>内容</w:t>
            </w:r>
            <w:r>
              <w:rPr>
                <w:rFonts w:hint="eastAsia" w:ascii="宋体" w:hAnsi="宋体" w:cs="宋体"/>
                <w:sz w:val="24"/>
              </w:rPr>
              <w:t>或</w:t>
            </w:r>
            <w:r>
              <w:rPr>
                <w:rFonts w:hint="eastAsia" w:hAnsi="宋体" w:cs="宋体"/>
                <w:sz w:val="24"/>
              </w:rPr>
              <w:t>每有一项内容于本项目特点不符的或对项目实施的质量无益的或不利于采购人实施的扣</w:t>
            </w:r>
            <w:r>
              <w:rPr>
                <w:rFonts w:hint="eastAsia" w:ascii="宋体" w:hAnsi="宋体" w:cs="宋体"/>
                <w:sz w:val="24"/>
              </w:rPr>
              <w:t>1分，扣完为止。</w:t>
            </w:r>
          </w:p>
        </w:tc>
        <w:tc>
          <w:tcPr>
            <w:tcW w:w="2664" w:type="dxa"/>
            <w:vAlign w:val="center"/>
          </w:tcPr>
          <w:p>
            <w:pPr>
              <w:rPr>
                <w:rFonts w:ascii="宋体" w:hAnsi="宋体" w:cs="宋体"/>
                <w:sz w:val="24"/>
              </w:rPr>
            </w:pPr>
            <w:r>
              <w:rPr>
                <w:rFonts w:hint="eastAsia" w:ascii="宋体" w:hAnsi="宋体" w:cs="宋体"/>
                <w:sz w:val="24"/>
              </w:rPr>
              <w:t>投标人须提供效的相关证明复印件并加盖投标人单位鲜章，投标人未提供相关证明材料或未按要求提供相关证明材料的不得分；</w:t>
            </w:r>
          </w:p>
        </w:tc>
        <w:tc>
          <w:tcPr>
            <w:tcW w:w="412" w:type="dxa"/>
            <w:vAlign w:val="center"/>
          </w:tcPr>
          <w:p>
            <w:pPr>
              <w:rPr>
                <w:rFonts w:ascii="宋体" w:hAnsi="宋体" w:cs="宋体"/>
                <w:sz w:val="24"/>
              </w:rPr>
            </w:pPr>
            <w:r>
              <w:rPr>
                <w:rFonts w:hint="eastAsia" w:ascii="宋体" w:hAnsi="宋体" w:cs="宋体"/>
                <w:sz w:val="24"/>
              </w:rPr>
              <w:t>其他类</w:t>
            </w:r>
          </w:p>
        </w:tc>
      </w:tr>
    </w:tbl>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rPr>
        <w:t xml:space="preserve"> </w:t>
      </w:r>
      <w:r>
        <w:rPr>
          <w:rFonts w:hint="eastAsia" w:ascii="宋体" w:hAnsi="宋体" w:cs="宋体"/>
          <w:sz w:val="24"/>
        </w:rPr>
        <w:t>注：1.评标时，评标委员会各成员应当独立对每个投标人的投标文件进行评价，并汇总每个投标人的得分。</w:t>
      </w:r>
    </w:p>
    <w:p>
      <w:pPr>
        <w:spacing w:line="360" w:lineRule="auto"/>
        <w:ind w:firstLine="480" w:firstLineChars="200"/>
        <w:rPr>
          <w:rFonts w:ascii="宋体" w:hAnsi="宋体" w:cs="宋体"/>
        </w:rPr>
      </w:pPr>
      <w:r>
        <w:rPr>
          <w:rFonts w:hint="eastAsia" w:ascii="宋体" w:hAnsi="宋体" w:cs="宋体"/>
          <w:sz w:val="24"/>
        </w:rPr>
        <w:t xml:space="preserve"> 2.评分的取值按四舍五入法，保留小数点后两位。</w:t>
      </w:r>
    </w:p>
    <w:p>
      <w:pPr>
        <w:rPr>
          <w:rFonts w:ascii="宋体" w:hAnsi="宋体" w:cs="宋体"/>
        </w:rPr>
      </w:pPr>
    </w:p>
    <w:p>
      <w:pPr>
        <w:pStyle w:val="6"/>
        <w:ind w:firstLine="0" w:firstLineChars="0"/>
        <w:rPr>
          <w:rFonts w:ascii="宋体" w:hAnsi="宋体" w:cs="宋体"/>
        </w:rPr>
      </w:pPr>
      <w:r>
        <w:rPr>
          <w:rFonts w:hint="eastAsia" w:ascii="宋体" w:hAnsi="宋体" w:cs="宋体"/>
        </w:rPr>
        <w:t>5、 废 标</w:t>
      </w:r>
    </w:p>
    <w:p>
      <w:pPr>
        <w:spacing w:line="360" w:lineRule="auto"/>
        <w:ind w:firstLine="480" w:firstLineChars="200"/>
        <w:rPr>
          <w:rFonts w:ascii="宋体" w:hAnsi="宋体" w:cs="宋体"/>
          <w:sz w:val="24"/>
        </w:rPr>
      </w:pPr>
      <w:r>
        <w:rPr>
          <w:rFonts w:hint="eastAsia" w:ascii="宋体" w:hAnsi="宋体" w:cs="宋体"/>
          <w:sz w:val="24"/>
        </w:rPr>
        <w:t>5.1本次政府采购活动中，出现下列情形之一的，予以废标：</w:t>
      </w:r>
    </w:p>
    <w:p>
      <w:pPr>
        <w:spacing w:line="360" w:lineRule="auto"/>
        <w:ind w:firstLine="480" w:firstLineChars="200"/>
        <w:rPr>
          <w:rFonts w:ascii="宋体" w:hAnsi="宋体" w:cs="宋体"/>
          <w:sz w:val="24"/>
        </w:rPr>
      </w:pPr>
      <w:r>
        <w:rPr>
          <w:rFonts w:hint="eastAsia" w:ascii="宋体" w:hAnsi="宋体" w:cs="宋体"/>
          <w:sz w:val="24"/>
        </w:rPr>
        <w:t>（1）符合专业条件的供应商或者对招标文件作实质响应的供应商不足三家的；</w:t>
      </w:r>
    </w:p>
    <w:p>
      <w:pPr>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（3）投标人的报价均超过了采购预算，采购人不能支付的；</w:t>
      </w:r>
    </w:p>
    <w:p>
      <w:pPr>
        <w:spacing w:line="360" w:lineRule="auto"/>
        <w:ind w:firstLine="480" w:firstLineChars="200"/>
        <w:rPr>
          <w:rFonts w:ascii="宋体" w:hAnsi="宋体" w:cs="宋体"/>
          <w:sz w:val="24"/>
        </w:rPr>
      </w:pPr>
      <w:r>
        <w:rPr>
          <w:rFonts w:hint="eastAsia" w:ascii="宋体" w:hAnsi="宋体" w:cs="宋体"/>
          <w:sz w:val="24"/>
        </w:rPr>
        <w:t>（4）因重大变故，采购任务取消的。</w:t>
      </w:r>
    </w:p>
    <w:p>
      <w:pPr>
        <w:spacing w:line="360" w:lineRule="auto"/>
        <w:ind w:firstLine="480" w:firstLineChars="200"/>
        <w:rPr>
          <w:rFonts w:ascii="宋体" w:hAnsi="宋体" w:cs="宋体"/>
          <w:sz w:val="24"/>
        </w:rPr>
      </w:pPr>
      <w:r>
        <w:rPr>
          <w:rFonts w:hint="eastAsia" w:ascii="宋体" w:hAnsi="宋体" w:cs="宋体"/>
          <w:sz w:val="24"/>
        </w:rPr>
        <w:t>废标后，采购代理机构应在“四川政府采购网”上公告，并公告废标的情形。投标人需要知晓导致废标情形的具体原因和理由的，可以通过书面形式询问招标采购单位。</w:t>
      </w:r>
    </w:p>
    <w:p>
      <w:pPr>
        <w:spacing w:line="360" w:lineRule="auto"/>
        <w:ind w:firstLine="480" w:firstLineChars="200"/>
        <w:rPr>
          <w:rFonts w:ascii="宋体" w:hAnsi="宋体" w:cs="宋体"/>
        </w:rPr>
      </w:pPr>
      <w:r>
        <w:rPr>
          <w:rFonts w:hint="eastAsia" w:ascii="宋体" w:hAnsi="宋体" w:cs="宋体"/>
          <w:sz w:val="24"/>
        </w:rPr>
        <w:t>5.2对于评标过程中废标的采购项目，评标委员会应当对招标文件是否存在倾向性和歧视性、是否存在不合理条款进行论证，并出具书面论证意见。</w:t>
      </w:r>
    </w:p>
    <w:p>
      <w:pPr>
        <w:pStyle w:val="6"/>
        <w:ind w:firstLine="480"/>
        <w:rPr>
          <w:rFonts w:ascii="宋体" w:hAnsi="宋体" w:cs="宋体"/>
        </w:rPr>
      </w:pPr>
      <w:r>
        <w:rPr>
          <w:rFonts w:hint="eastAsia" w:ascii="宋体" w:hAnsi="宋体" w:cs="宋体"/>
        </w:rPr>
        <w:t>6、定标</w:t>
      </w:r>
      <w:bookmarkEnd w:id="309"/>
      <w:bookmarkStart w:id="310" w:name="_Toc217446061"/>
    </w:p>
    <w:p>
      <w:pPr>
        <w:spacing w:line="360" w:lineRule="auto"/>
        <w:ind w:firstLine="480" w:firstLineChars="200"/>
        <w:rPr>
          <w:rFonts w:ascii="宋体" w:hAnsi="宋体" w:cs="宋体"/>
          <w:sz w:val="24"/>
        </w:rPr>
      </w:pPr>
      <w:r>
        <w:rPr>
          <w:rFonts w:hint="eastAsia" w:ascii="宋体" w:hAnsi="宋体" w:cs="宋体"/>
          <w:sz w:val="24"/>
        </w:rPr>
        <w:t>6.1. 定标原则</w:t>
      </w:r>
      <w:bookmarkEnd w:id="310"/>
      <w:r>
        <w:rPr>
          <w:rFonts w:hint="eastAsia" w:ascii="宋体" w:hAnsi="宋体" w:cs="宋体"/>
          <w:sz w:val="24"/>
        </w:rPr>
        <w:t>：本项目根据评标委员会推荐的中标候选供应商名单，按顺序确定中标供应商。</w:t>
      </w:r>
    </w:p>
    <w:p>
      <w:pPr>
        <w:spacing w:line="360" w:lineRule="auto"/>
        <w:ind w:firstLine="480" w:firstLineChars="200"/>
        <w:rPr>
          <w:rFonts w:ascii="宋体" w:hAnsi="宋体" w:cs="宋体"/>
          <w:sz w:val="24"/>
        </w:rPr>
      </w:pPr>
      <w:bookmarkStart w:id="311" w:name="_Toc217446062"/>
      <w:r>
        <w:rPr>
          <w:rFonts w:hint="eastAsia" w:ascii="宋体" w:hAnsi="宋体" w:cs="宋体"/>
          <w:sz w:val="24"/>
        </w:rPr>
        <w:t>6.2. 定标程序</w:t>
      </w:r>
      <w:bookmarkEnd w:id="311"/>
    </w:p>
    <w:p>
      <w:pPr>
        <w:spacing w:line="360" w:lineRule="auto"/>
        <w:ind w:firstLine="480" w:firstLineChars="200"/>
        <w:rPr>
          <w:rFonts w:ascii="宋体" w:hAnsi="宋体" w:cs="宋体"/>
          <w:sz w:val="24"/>
        </w:rPr>
      </w:pPr>
      <w:r>
        <w:rPr>
          <w:rFonts w:hint="eastAsia" w:ascii="宋体" w:hAnsi="宋体" w:cs="宋体"/>
          <w:sz w:val="24"/>
        </w:rPr>
        <w:t>6.2.1 评标委员会将评标情况写出书面报告，推荐中标候选供应商。</w:t>
      </w:r>
    </w:p>
    <w:p>
      <w:pPr>
        <w:spacing w:line="360" w:lineRule="auto"/>
        <w:ind w:firstLine="480" w:firstLineChars="200"/>
        <w:rPr>
          <w:rFonts w:ascii="宋体" w:hAnsi="宋体" w:cs="宋体"/>
          <w:sz w:val="24"/>
        </w:rPr>
      </w:pPr>
      <w:r>
        <w:rPr>
          <w:rFonts w:hint="eastAsia" w:ascii="宋体" w:hAnsi="宋体" w:cs="宋体"/>
          <w:sz w:val="24"/>
        </w:rPr>
        <w:t>6.2.2 采购代理机构在评标结束之日起2个工作日内将评标报告送采购人。</w:t>
      </w:r>
    </w:p>
    <w:p>
      <w:pPr>
        <w:spacing w:line="360" w:lineRule="auto"/>
        <w:ind w:firstLine="480" w:firstLineChars="200"/>
        <w:rPr>
          <w:rFonts w:ascii="宋体" w:hAnsi="宋体" w:cs="宋体"/>
          <w:sz w:val="24"/>
        </w:rPr>
      </w:pPr>
      <w:r>
        <w:rPr>
          <w:rFonts w:hint="eastAsia" w:ascii="宋体" w:hAnsi="宋体" w:cs="宋体"/>
          <w:sz w:val="24"/>
        </w:rPr>
        <w:t>6.2.3</w:t>
      </w:r>
      <w:r>
        <w:rPr>
          <w:rFonts w:hint="eastAsia"/>
          <w:sz w:val="24"/>
        </w:rPr>
        <w:t>采购人在收到评标报告之日起5个工作日内，按照评标报告中推荐的中标候选供应商顺序确定中标供应商。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优先选择不发达地区和少数民族地区的投标人；报价相同且满足招标文件全部实质性要求且按照评审因素的量化指标评审得分也相同无投标人均属于不发达地区和少数民族地区的或投标人均属于不发达地区和少数民族地区，由采购人自主采取公平、择优的方式选择中标供应商。</w:t>
      </w:r>
    </w:p>
    <w:p>
      <w:pPr>
        <w:pStyle w:val="6"/>
        <w:ind w:firstLine="480"/>
        <w:rPr>
          <w:rFonts w:ascii="宋体" w:hAnsi="宋体" w:cs="宋体"/>
        </w:rPr>
      </w:pPr>
      <w:r>
        <w:rPr>
          <w:rFonts w:hint="eastAsia" w:ascii="宋体" w:hAnsi="宋体" w:cs="宋体"/>
        </w:rPr>
        <w:t>6.2.4 中标公告期限为1工作日。</w:t>
      </w:r>
    </w:p>
    <w:p>
      <w:pPr>
        <w:spacing w:line="360" w:lineRule="auto"/>
        <w:ind w:firstLine="480" w:firstLineChars="200"/>
        <w:rPr>
          <w:rFonts w:ascii="宋体" w:hAnsi="宋体" w:cs="宋体"/>
          <w:sz w:val="24"/>
        </w:rPr>
      </w:pPr>
      <w:r>
        <w:rPr>
          <w:rFonts w:hint="eastAsia" w:ascii="宋体" w:hAnsi="宋体" w:cs="宋体"/>
          <w:sz w:val="24"/>
        </w:rPr>
        <w:t>6.2.5 根据采购人确定的中标供应商，采购代理机构在“四川政府采购网”上发布中标公告，并自采购人确定中标之日起2个工作日内向中标供应商发出中标通知书。</w:t>
      </w:r>
    </w:p>
    <w:p>
      <w:pPr>
        <w:spacing w:line="360" w:lineRule="auto"/>
        <w:ind w:firstLine="480" w:firstLineChars="200"/>
        <w:rPr>
          <w:rFonts w:ascii="宋体" w:hAnsi="宋体" w:cs="宋体"/>
          <w:sz w:val="24"/>
        </w:rPr>
      </w:pPr>
      <w:r>
        <w:rPr>
          <w:rFonts w:hint="eastAsia" w:ascii="宋体" w:hAnsi="宋体" w:cs="宋体"/>
          <w:sz w:val="24"/>
        </w:rPr>
        <w:t>6.2.6 招标采购单位不退回投标人投标文件和其他投标资料。</w:t>
      </w:r>
    </w:p>
    <w:p>
      <w:pPr>
        <w:pStyle w:val="6"/>
        <w:ind w:firstLine="480"/>
        <w:rPr>
          <w:rFonts w:ascii="宋体" w:hAnsi="宋体" w:cs="宋体"/>
        </w:rPr>
      </w:pPr>
      <w:bookmarkStart w:id="312" w:name="_Toc183682432"/>
      <w:bookmarkStart w:id="313" w:name="_Toc208849022"/>
      <w:bookmarkStart w:id="314" w:name="_Toc183582297"/>
      <w:bookmarkStart w:id="315" w:name="_Toc217446105"/>
      <w:r>
        <w:rPr>
          <w:rFonts w:hint="eastAsia" w:ascii="宋体" w:hAnsi="宋体" w:cs="宋体"/>
        </w:rPr>
        <w:t xml:space="preserve">7. </w:t>
      </w:r>
      <w:bookmarkEnd w:id="312"/>
      <w:bookmarkEnd w:id="313"/>
      <w:bookmarkEnd w:id="314"/>
      <w:bookmarkEnd w:id="315"/>
      <w:r>
        <w:rPr>
          <w:rFonts w:hint="eastAsia" w:ascii="宋体" w:hAnsi="宋体" w:cs="宋体"/>
        </w:rPr>
        <w:t>评标专家在政府采购活动中承担以下义务：</w:t>
      </w:r>
    </w:p>
    <w:p>
      <w:pPr>
        <w:spacing w:line="360" w:lineRule="auto"/>
        <w:ind w:firstLine="480" w:firstLineChars="200"/>
        <w:rPr>
          <w:rFonts w:ascii="宋体" w:hAnsi="宋体" w:cs="宋体"/>
          <w:sz w:val="24"/>
        </w:rPr>
      </w:pPr>
      <w:r>
        <w:rPr>
          <w:rFonts w:hint="eastAsia" w:ascii="宋体" w:hAnsi="宋体" w:cs="宋体"/>
          <w:sz w:val="24"/>
        </w:rPr>
        <w:t xml:space="preserve">（一）遵守评审工作纪律； </w:t>
      </w:r>
    </w:p>
    <w:p>
      <w:pPr>
        <w:spacing w:line="360" w:lineRule="auto"/>
        <w:ind w:firstLine="480" w:firstLineChars="200"/>
        <w:rPr>
          <w:rFonts w:ascii="宋体" w:hAnsi="宋体" w:cs="宋体"/>
          <w:sz w:val="24"/>
        </w:rPr>
      </w:pPr>
      <w:r>
        <w:rPr>
          <w:rFonts w:hint="eastAsia" w:ascii="宋体" w:hAnsi="宋体" w:cs="宋体"/>
          <w:sz w:val="24"/>
        </w:rPr>
        <w:t>（二）按照客观、公正、审慎的原则，根据采购文件规定的评审程序、评审方法和评审标准进行独立评审；</w:t>
      </w:r>
    </w:p>
    <w:p>
      <w:pPr>
        <w:spacing w:line="360" w:lineRule="auto"/>
        <w:ind w:firstLine="480" w:firstLineChars="200"/>
        <w:rPr>
          <w:rFonts w:ascii="宋体" w:hAnsi="宋体" w:cs="宋体"/>
          <w:sz w:val="24"/>
        </w:rPr>
      </w:pPr>
      <w:r>
        <w:rPr>
          <w:rFonts w:hint="eastAsia" w:ascii="宋体" w:hAnsi="宋体" w:cs="宋体"/>
          <w:sz w:val="24"/>
        </w:rPr>
        <w:t>（三）不得泄露评审文件、评审情况和在评审过程中获悉的商业秘密；</w:t>
      </w:r>
    </w:p>
    <w:p>
      <w:pPr>
        <w:spacing w:line="360" w:lineRule="auto"/>
        <w:ind w:firstLine="480" w:firstLineChars="200"/>
        <w:rPr>
          <w:rFonts w:ascii="宋体" w:hAnsi="宋体" w:cs="宋体"/>
          <w:sz w:val="24"/>
        </w:rPr>
      </w:pPr>
      <w:r>
        <w:rPr>
          <w:rFonts w:hint="eastAsia" w:ascii="宋体" w:hAnsi="宋体" w:cs="宋体"/>
          <w:sz w:val="24"/>
        </w:rPr>
        <w:t>（四）及时向监督部门报告评审过程中采购组织单位向评审专家做倾向性、误导性的解释或者说明，供应商行贿、提供虚假材料或者串通、受到的非法干预情况等违法违规行为；</w:t>
      </w:r>
    </w:p>
    <w:p>
      <w:pPr>
        <w:spacing w:line="360" w:lineRule="auto"/>
        <w:ind w:firstLine="480" w:firstLineChars="200"/>
        <w:rPr>
          <w:rFonts w:ascii="宋体" w:hAnsi="宋体" w:cs="宋体"/>
          <w:sz w:val="24"/>
        </w:rPr>
      </w:pPr>
      <w:r>
        <w:rPr>
          <w:rFonts w:hint="eastAsia" w:ascii="宋体" w:hAnsi="宋体" w:cs="宋体"/>
          <w:sz w:val="24"/>
        </w:rPr>
        <w:t>（五）发现采购文件内容违反国家有关强制性规定或者存在歧义、重大缺陷导致评审工作无法进行时，停止评审并向采购组织单位书面说明情况；</w:t>
      </w:r>
    </w:p>
    <w:p>
      <w:pPr>
        <w:spacing w:line="360" w:lineRule="auto"/>
        <w:ind w:firstLine="480" w:firstLineChars="200"/>
        <w:rPr>
          <w:rFonts w:ascii="宋体" w:hAnsi="宋体" w:cs="宋体"/>
          <w:sz w:val="24"/>
        </w:rPr>
      </w:pPr>
      <w:r>
        <w:rPr>
          <w:rFonts w:hint="eastAsia" w:ascii="宋体" w:hAnsi="宋体" w:cs="宋体"/>
          <w:sz w:val="24"/>
        </w:rPr>
        <w:t>（六）配合答复处理供应商的询问、质疑和投诉等事项；</w:t>
      </w:r>
    </w:p>
    <w:p>
      <w:pPr>
        <w:spacing w:line="360" w:lineRule="auto"/>
        <w:ind w:firstLine="480" w:firstLineChars="200"/>
        <w:rPr>
          <w:rFonts w:ascii="宋体" w:hAnsi="宋体" w:cs="宋体"/>
          <w:sz w:val="24"/>
        </w:rPr>
      </w:pPr>
      <w:r>
        <w:rPr>
          <w:rFonts w:hint="eastAsia" w:ascii="宋体" w:hAnsi="宋体" w:cs="宋体"/>
          <w:sz w:val="24"/>
        </w:rPr>
        <w:t>（七）法律、法规和规章规定的其他义务。</w:t>
      </w:r>
    </w:p>
    <w:p>
      <w:pPr>
        <w:pStyle w:val="6"/>
        <w:ind w:firstLine="480"/>
        <w:rPr>
          <w:rFonts w:ascii="宋体" w:hAnsi="宋体" w:cs="宋体"/>
        </w:rPr>
      </w:pPr>
      <w:r>
        <w:rPr>
          <w:rFonts w:hint="eastAsia" w:ascii="宋体" w:hAnsi="宋体" w:cs="宋体"/>
        </w:rPr>
        <w:t>8.评标专家在政府采购活动中应当遵守以下工作纪律：</w:t>
      </w:r>
    </w:p>
    <w:p>
      <w:pPr>
        <w:spacing w:line="360" w:lineRule="auto"/>
        <w:ind w:firstLine="480" w:firstLineChars="200"/>
        <w:rPr>
          <w:rFonts w:ascii="宋体" w:hAnsi="宋体" w:cs="宋体"/>
          <w:sz w:val="24"/>
        </w:rPr>
      </w:pPr>
      <w:r>
        <w:rPr>
          <w:rFonts w:hint="eastAsia" w:ascii="宋体" w:hAnsi="宋体" w:cs="宋体"/>
          <w:sz w:val="24"/>
        </w:rPr>
        <w:t xml:space="preserve">（一）遵行《中华人民共和国政府采购法》第十二条和《中华人民共和国政府采购法实施条例》第九条及其他相关法律法规规定的利害关系的政府采购项目的评审活动。发现参加了与自己有利害关系的评审活动，须主动提出回避，退出评审； </w:t>
      </w:r>
    </w:p>
    <w:p>
      <w:pPr>
        <w:spacing w:line="360" w:lineRule="auto"/>
        <w:ind w:firstLine="480" w:firstLineChars="200"/>
        <w:rPr>
          <w:rFonts w:ascii="宋体" w:hAnsi="宋体" w:cs="宋体"/>
          <w:sz w:val="24"/>
        </w:rPr>
      </w:pPr>
      <w:r>
        <w:rPr>
          <w:rFonts w:hint="eastAsia" w:ascii="宋体" w:hAnsi="宋体" w:cs="宋体"/>
          <w:sz w:val="24"/>
        </w:rPr>
        <w:t>（二）评审前，应当将通讯工具或者相关电子设备交由采购组织单位统一保管。</w:t>
      </w:r>
    </w:p>
    <w:p>
      <w:pPr>
        <w:spacing w:line="360" w:lineRule="auto"/>
        <w:ind w:firstLine="480" w:firstLineChars="200"/>
        <w:rPr>
          <w:rFonts w:ascii="宋体" w:hAnsi="宋体" w:cs="宋体"/>
          <w:sz w:val="24"/>
        </w:rPr>
      </w:pPr>
      <w:r>
        <w:rPr>
          <w:rFonts w:hint="eastAsia" w:ascii="宋体" w:hAnsi="宋体" w:cs="宋体"/>
          <w:sz w:val="24"/>
        </w:rPr>
        <w:t>（三）评审过程中，不得与外界联系，因发生不可预见情况，确实需要与外界联系的，应当在监督人员监督之下办理。</w:t>
      </w:r>
    </w:p>
    <w:p>
      <w:pPr>
        <w:spacing w:line="360" w:lineRule="auto"/>
        <w:ind w:firstLine="480" w:firstLineChars="200"/>
        <w:rPr>
          <w:rFonts w:ascii="宋体" w:hAnsi="宋体" w:cs="宋体"/>
          <w:sz w:val="24"/>
        </w:rPr>
      </w:pPr>
      <w:r>
        <w:rPr>
          <w:rFonts w:hint="eastAsia" w:ascii="宋体" w:hAnsi="宋体" w:cs="宋体"/>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协商评分，不得违反规定的评审格式评分和撰写评审意见，不得拒绝对自己的评审意见签字确认。</w:t>
      </w:r>
    </w:p>
    <w:p>
      <w:pPr>
        <w:spacing w:line="360" w:lineRule="auto"/>
        <w:ind w:firstLine="480" w:firstLineChars="200"/>
        <w:rPr>
          <w:rFonts w:ascii="宋体" w:hAnsi="宋体" w:cs="宋体"/>
          <w:sz w:val="24"/>
        </w:rPr>
      </w:pPr>
      <w:r>
        <w:rPr>
          <w:rFonts w:hint="eastAsia" w:ascii="宋体" w:hAnsi="宋体" w:cs="宋体"/>
          <w:sz w:val="24"/>
        </w:rPr>
        <w:t>（五）在评审过程中和评审结束后，不得记录、复制或带走任何评审资料，除因规定的义务，不得向外界透露评审内容。</w:t>
      </w:r>
    </w:p>
    <w:p>
      <w:pPr>
        <w:spacing w:line="360" w:lineRule="auto"/>
        <w:ind w:firstLine="480" w:firstLineChars="200"/>
        <w:rPr>
          <w:rFonts w:ascii="宋体" w:hAnsi="宋体" w:cs="宋体"/>
          <w:sz w:val="24"/>
        </w:rPr>
      </w:pPr>
      <w:r>
        <w:rPr>
          <w:rFonts w:hint="eastAsia" w:ascii="宋体" w:hAnsi="宋体" w:cs="宋体"/>
          <w:sz w:val="24"/>
        </w:rPr>
        <w:t>（六）服从评审现场采购组织单位的现场秩序管理，接受评审现场监督人员的合法监督。</w:t>
      </w:r>
    </w:p>
    <w:p>
      <w:pPr>
        <w:spacing w:line="360" w:lineRule="auto"/>
        <w:ind w:firstLine="480" w:firstLineChars="200"/>
        <w:rPr>
          <w:rFonts w:ascii="宋体" w:hAnsi="宋体" w:cs="宋体"/>
          <w:sz w:val="24"/>
        </w:rPr>
      </w:pPr>
      <w:r>
        <w:rPr>
          <w:rFonts w:hint="eastAsia" w:ascii="宋体" w:hAnsi="宋体" w:cs="宋体"/>
          <w:sz w:val="24"/>
        </w:rPr>
        <w:t>（七）遵守有关廉洁自律规定，不得私下接触供应商，不得收受供应商及有关业务单位和个人的财物或好处，不得接受采购组织单位的请托。</w:t>
      </w:r>
    </w:p>
    <w:p>
      <w:pPr>
        <w:spacing w:line="360" w:lineRule="auto"/>
        <w:ind w:firstLine="480" w:firstLineChars="200"/>
        <w:rPr>
          <w:rFonts w:ascii="宋体" w:hAnsi="宋体" w:cs="宋体"/>
          <w:sz w:val="24"/>
        </w:rPr>
      </w:pPr>
      <w:r>
        <w:rPr>
          <w:rFonts w:hint="eastAsia" w:ascii="宋体" w:hAnsi="宋体" w:cs="宋体"/>
          <w:sz w:val="24"/>
        </w:rPr>
        <w:t>（八）评标委员会成员应遵守有关法律法规，严守有关保密规定和评标纪律，并在评标前书面签署承诺书。</w:t>
      </w:r>
    </w:p>
    <w:p>
      <w:pPr>
        <w:spacing w:line="360" w:lineRule="auto"/>
        <w:ind w:firstLine="480" w:firstLineChars="200"/>
        <w:rPr>
          <w:rFonts w:ascii="宋体" w:hAnsi="宋体" w:cs="宋体"/>
          <w:sz w:val="24"/>
        </w:rPr>
      </w:pPr>
      <w:r>
        <w:rPr>
          <w:rFonts w:hint="eastAsia" w:ascii="宋体" w:hAnsi="宋体" w:cs="宋体"/>
          <w:sz w:val="24"/>
        </w:rPr>
        <w:t>（九）评标委员会成员在评标过程中不得擅离职守。</w:t>
      </w:r>
    </w:p>
    <w:p>
      <w:pPr>
        <w:spacing w:line="360" w:lineRule="auto"/>
        <w:ind w:firstLine="480" w:firstLineChars="200"/>
        <w:jc w:val="left"/>
        <w:rPr>
          <w:rFonts w:ascii="宋体" w:hAnsi="宋体" w:cs="宋体"/>
          <w:sz w:val="24"/>
        </w:rPr>
        <w:sectPr>
          <w:headerReference r:id="rId18" w:type="default"/>
          <w:footerReference r:id="rId19" w:type="default"/>
          <w:pgSz w:w="11907" w:h="16840"/>
          <w:pgMar w:top="1134" w:right="1134" w:bottom="1134" w:left="1701" w:header="851" w:footer="992" w:gutter="0"/>
          <w:cols w:space="720" w:num="1"/>
          <w:docGrid w:linePitch="326" w:charSpace="0"/>
        </w:sectPr>
      </w:pPr>
      <w:r>
        <w:rPr>
          <w:rFonts w:hint="eastAsia" w:ascii="宋体" w:hAnsi="宋体" w:cs="宋体"/>
          <w:sz w:val="24"/>
        </w:rPr>
        <w:t>（十）评标委员会成员按规定领取评审劳务报酬，并按国家相关规定完成所得税的申报缴纳。</w:t>
      </w:r>
      <w:bookmarkStart w:id="316" w:name="_Toc19775"/>
      <w:bookmarkStart w:id="317" w:name="_Toc17147"/>
      <w:bookmarkStart w:id="318" w:name="_Toc25962"/>
    </w:p>
    <w:p>
      <w:pPr>
        <w:spacing w:line="360" w:lineRule="auto"/>
        <w:ind w:firstLine="723" w:firstLineChars="200"/>
        <w:jc w:val="center"/>
        <w:rPr>
          <w:rStyle w:val="375"/>
          <w:rFonts w:ascii="宋体" w:hAnsi="宋体" w:cs="宋体"/>
        </w:rPr>
      </w:pPr>
      <w:r>
        <w:rPr>
          <w:rStyle w:val="375"/>
          <w:rFonts w:hint="eastAsia" w:ascii="宋体" w:hAnsi="宋体" w:cs="宋体"/>
        </w:rPr>
        <w:t xml:space="preserve">第八章  </w:t>
      </w:r>
      <w:bookmarkEnd w:id="316"/>
      <w:bookmarkEnd w:id="317"/>
      <w:r>
        <w:rPr>
          <w:rStyle w:val="375"/>
          <w:rFonts w:hint="eastAsia" w:ascii="宋体" w:hAnsi="宋体" w:cs="宋体"/>
        </w:rPr>
        <w:t>政府采购合同（草案）</w:t>
      </w:r>
      <w:bookmarkEnd w:id="318"/>
    </w:p>
    <w:p>
      <w:pPr>
        <w:spacing w:line="360" w:lineRule="auto"/>
        <w:ind w:firstLine="480" w:firstLineChars="20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合同编号：XXXX。（</w:t>
      </w:r>
      <w:r>
        <w:rPr>
          <w:rFonts w:hint="eastAsia" w:ascii="宋体" w:hAnsi="宋体" w:cs="宋体"/>
          <w:b/>
          <w:bCs/>
          <w:sz w:val="24"/>
        </w:rPr>
        <w:t>注：必须以中标通知书上的合同编号为准</w:t>
      </w:r>
      <w:r>
        <w:rPr>
          <w:rFonts w:hint="eastAsia" w:ascii="宋体" w:hAnsi="宋体" w:cs="宋体"/>
          <w:sz w:val="24"/>
        </w:rPr>
        <w:t>）</w:t>
      </w:r>
    </w:p>
    <w:p>
      <w:pPr>
        <w:spacing w:line="360" w:lineRule="auto"/>
        <w:ind w:firstLine="480"/>
        <w:rPr>
          <w:rFonts w:ascii="宋体" w:hAnsi="宋体" w:cs="宋体"/>
          <w:sz w:val="24"/>
        </w:rPr>
      </w:pPr>
      <w:r>
        <w:rPr>
          <w:rFonts w:hint="eastAsia" w:ascii="宋体" w:hAnsi="宋体" w:cs="宋体"/>
          <w:sz w:val="24"/>
        </w:rPr>
        <w:t>签订地点：XXXX。</w:t>
      </w:r>
    </w:p>
    <w:p>
      <w:pPr>
        <w:spacing w:line="360" w:lineRule="auto"/>
        <w:ind w:firstLine="480"/>
        <w:rPr>
          <w:rFonts w:ascii="宋体" w:hAnsi="宋体" w:cs="宋体"/>
          <w:sz w:val="24"/>
        </w:rPr>
      </w:pPr>
      <w:r>
        <w:rPr>
          <w:rFonts w:hint="eastAsia" w:ascii="宋体" w:hAnsi="宋体" w:cs="宋体"/>
          <w:sz w:val="24"/>
        </w:rPr>
        <w:t>签订时间：XXXX年XX月XX日。</w:t>
      </w:r>
    </w:p>
    <w:p>
      <w:pPr>
        <w:spacing w:line="360" w:lineRule="auto"/>
        <w:ind w:firstLine="480" w:firstLineChars="200"/>
        <w:rPr>
          <w:rFonts w:ascii="宋体" w:hAnsi="宋体" w:cs="宋体"/>
          <w:sz w:val="24"/>
        </w:rPr>
      </w:pPr>
      <w:r>
        <w:rPr>
          <w:rFonts w:hint="eastAsia" w:ascii="宋体" w:hAnsi="宋体" w:cs="宋体"/>
          <w:sz w:val="24"/>
        </w:rPr>
        <w:t>采购人（甲方）：</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投标人（乙方）：</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u w:val="single"/>
        </w:rPr>
        <w:t xml:space="preserve">     </w:t>
      </w:r>
    </w:p>
    <w:p>
      <w:pPr>
        <w:spacing w:line="360" w:lineRule="auto"/>
        <w:ind w:firstLine="480" w:firstLineChars="200"/>
        <w:jc w:val="left"/>
        <w:rPr>
          <w:rFonts w:ascii="宋体" w:hAnsi="宋体" w:cs="宋体"/>
          <w:b/>
          <w:sz w:val="24"/>
        </w:rPr>
      </w:pPr>
      <w:r>
        <w:rPr>
          <w:rFonts w:hint="eastAsia" w:ascii="宋体" w:hAnsi="宋体" w:cs="宋体"/>
          <w:sz w:val="24"/>
        </w:rPr>
        <w:t>根据《中华人民共和国政府采购法》、《中华人民共和国民法典》及</w:t>
      </w:r>
      <w:r>
        <w:rPr>
          <w:rFonts w:hint="eastAsia" w:ascii="宋体" w:hAnsi="宋体" w:cs="宋体"/>
          <w:sz w:val="24"/>
          <w:u w:val="single"/>
        </w:rPr>
        <w:t xml:space="preserve">XX     </w:t>
      </w:r>
      <w:r>
        <w:rPr>
          <w:rFonts w:hint="eastAsia" w:ascii="宋体" w:hAnsi="宋体" w:cs="宋体"/>
          <w:sz w:val="24"/>
        </w:rPr>
        <w:t>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spacing w:line="360" w:lineRule="auto"/>
        <w:ind w:firstLine="482" w:firstLineChars="200"/>
        <w:rPr>
          <w:rFonts w:ascii="宋体" w:hAnsi="宋体" w:cs="宋体"/>
          <w:b/>
          <w:sz w:val="24"/>
        </w:rPr>
      </w:pPr>
    </w:p>
    <w:p>
      <w:pPr>
        <w:widowControl/>
        <w:numPr>
          <w:ilvl w:val="0"/>
          <w:numId w:val="143"/>
        </w:numPr>
        <w:spacing w:line="360" w:lineRule="auto"/>
        <w:jc w:val="left"/>
        <w:rPr>
          <w:rFonts w:ascii="宋体" w:hAnsi="宋体" w:cs="宋体"/>
          <w:b/>
          <w:sz w:val="24"/>
        </w:rPr>
      </w:pPr>
      <w:r>
        <w:rPr>
          <w:rFonts w:hint="eastAsia" w:ascii="宋体" w:hAnsi="宋体" w:cs="宋体"/>
          <w:b/>
          <w:sz w:val="24"/>
        </w:rPr>
        <w:t>项目基本情况</w:t>
      </w:r>
    </w:p>
    <w:p>
      <w:pPr>
        <w:widowControl/>
        <w:numPr>
          <w:ilvl w:val="0"/>
          <w:numId w:val="143"/>
        </w:numPr>
        <w:spacing w:line="360" w:lineRule="auto"/>
        <w:jc w:val="left"/>
        <w:rPr>
          <w:rFonts w:ascii="宋体" w:hAnsi="宋体" w:cs="宋体"/>
          <w:b/>
          <w:sz w:val="24"/>
        </w:rPr>
      </w:pPr>
      <w:r>
        <w:rPr>
          <w:rFonts w:hint="eastAsia" w:ascii="宋体" w:hAnsi="宋体" w:cs="宋体"/>
          <w:b/>
          <w:sz w:val="24"/>
        </w:rPr>
        <w:t>合同期限</w:t>
      </w:r>
    </w:p>
    <w:p>
      <w:pPr>
        <w:widowControl/>
        <w:numPr>
          <w:ilvl w:val="0"/>
          <w:numId w:val="143"/>
        </w:numPr>
        <w:spacing w:line="360" w:lineRule="auto"/>
        <w:jc w:val="left"/>
        <w:rPr>
          <w:rFonts w:ascii="宋体" w:hAnsi="宋体" w:cs="宋体"/>
          <w:b/>
          <w:sz w:val="24"/>
        </w:rPr>
      </w:pPr>
      <w:bookmarkStart w:id="319" w:name="_Toc237145406"/>
      <w:bookmarkStart w:id="320" w:name="_Toc239568418"/>
      <w:bookmarkStart w:id="321" w:name="_Toc238984975"/>
      <w:bookmarkStart w:id="322" w:name="_Toc282696226"/>
      <w:bookmarkStart w:id="323" w:name="_Toc247334841"/>
      <w:bookmarkStart w:id="324" w:name="_Toc286993786"/>
      <w:bookmarkStart w:id="325" w:name="_Toc225670751"/>
      <w:bookmarkStart w:id="326" w:name="_Toc241833903"/>
      <w:bookmarkStart w:id="327" w:name="_Toc239233914"/>
      <w:bookmarkStart w:id="328" w:name="_Toc283019214"/>
      <w:bookmarkStart w:id="329" w:name="_Toc251768862"/>
      <w:bookmarkStart w:id="330" w:name="_Toc185395249"/>
      <w:bookmarkStart w:id="331" w:name="_Toc211854449"/>
      <w:bookmarkStart w:id="332" w:name="_Toc232492928"/>
      <w:bookmarkStart w:id="333" w:name="_Toc212019594"/>
      <w:bookmarkStart w:id="334" w:name="_Toc211911348"/>
      <w:bookmarkStart w:id="335" w:name="_Toc225244852"/>
      <w:bookmarkStart w:id="336" w:name="_Toc225654644"/>
      <w:r>
        <w:rPr>
          <w:rFonts w:hint="eastAsia" w:ascii="宋体" w:hAnsi="宋体" w:cs="宋体"/>
          <w:b/>
          <w:sz w:val="24"/>
        </w:rPr>
        <w:t>服务内容与质量标准</w:t>
      </w:r>
    </w:p>
    <w:p>
      <w:pPr>
        <w:spacing w:line="360" w:lineRule="auto"/>
        <w:ind w:left="567"/>
        <w:rPr>
          <w:rFonts w:ascii="宋体" w:hAnsi="宋体" w:cs="宋体"/>
          <w:sz w:val="24"/>
        </w:rPr>
      </w:pPr>
      <w:r>
        <w:rPr>
          <w:rFonts w:hint="eastAsia" w:ascii="宋体" w:hAnsi="宋体" w:cs="宋体"/>
          <w:sz w:val="24"/>
        </w:rPr>
        <w:t>1、XXXX；</w:t>
      </w:r>
    </w:p>
    <w:p>
      <w:pPr>
        <w:spacing w:line="360" w:lineRule="auto"/>
        <w:ind w:left="567"/>
        <w:rPr>
          <w:rFonts w:ascii="宋体" w:hAnsi="宋体" w:cs="宋体"/>
          <w:sz w:val="24"/>
        </w:rPr>
      </w:pPr>
      <w:r>
        <w:rPr>
          <w:rFonts w:hint="eastAsia" w:ascii="宋体" w:hAnsi="宋体" w:cs="宋体"/>
          <w:sz w:val="24"/>
        </w:rPr>
        <w:t>2、XXXX；</w:t>
      </w:r>
    </w:p>
    <w:p>
      <w:pPr>
        <w:spacing w:line="360" w:lineRule="auto"/>
        <w:ind w:left="567"/>
        <w:rPr>
          <w:rFonts w:ascii="宋体" w:hAnsi="宋体" w:cs="宋体"/>
          <w:sz w:val="24"/>
        </w:rPr>
      </w:pPr>
      <w:r>
        <w:rPr>
          <w:rFonts w:hint="eastAsia" w:ascii="宋体" w:hAnsi="宋体" w:cs="宋体"/>
          <w:sz w:val="24"/>
        </w:rPr>
        <w:t>3、XXXX．</w:t>
      </w:r>
    </w:p>
    <w:p>
      <w:pPr>
        <w:spacing w:line="360" w:lineRule="auto"/>
        <w:ind w:firstLine="630"/>
        <w:rPr>
          <w:rFonts w:ascii="宋体" w:hAnsi="宋体" w:cs="宋体"/>
          <w:sz w:val="24"/>
        </w:rPr>
      </w:pPr>
      <w:r>
        <w:rPr>
          <w:rFonts w:hint="eastAsia" w:ascii="宋体" w:hAnsi="宋体" w:cs="宋体"/>
          <w:sz w:val="24"/>
        </w:rPr>
        <w:t>…</w:t>
      </w:r>
    </w:p>
    <w:p>
      <w:pPr>
        <w:widowControl/>
        <w:numPr>
          <w:ilvl w:val="0"/>
          <w:numId w:val="143"/>
        </w:numPr>
        <w:spacing w:line="360" w:lineRule="auto"/>
        <w:jc w:val="left"/>
        <w:rPr>
          <w:rFonts w:ascii="宋体" w:hAnsi="宋体" w:cs="宋体"/>
          <w:b/>
          <w:sz w:val="24"/>
        </w:rPr>
      </w:pPr>
      <w:r>
        <w:rPr>
          <w:rFonts w:hint="eastAsia" w:ascii="宋体" w:hAnsi="宋体" w:cs="宋体"/>
          <w:b/>
          <w:sz w:val="24"/>
        </w:rPr>
        <w:t>服务费用及支付方式</w:t>
      </w:r>
    </w:p>
    <w:p>
      <w:pPr>
        <w:widowControl/>
        <w:numPr>
          <w:ilvl w:val="0"/>
          <w:numId w:val="144"/>
        </w:numPr>
        <w:spacing w:line="360" w:lineRule="auto"/>
        <w:ind w:left="0" w:firstLine="567"/>
        <w:jc w:val="left"/>
        <w:rPr>
          <w:rFonts w:ascii="宋体" w:hAnsi="宋体" w:cs="宋体"/>
          <w:b/>
          <w:sz w:val="24"/>
        </w:rPr>
      </w:pPr>
      <w:r>
        <w:rPr>
          <w:rFonts w:hint="eastAsia" w:ascii="宋体" w:hAnsi="宋体" w:cs="宋体"/>
          <w:b/>
          <w:sz w:val="24"/>
        </w:rPr>
        <w:t>本项目服务费用由以下组成：</w:t>
      </w:r>
    </w:p>
    <w:p>
      <w:pPr>
        <w:spacing w:line="360" w:lineRule="auto"/>
        <w:ind w:firstLine="480" w:firstLineChars="200"/>
        <w:rPr>
          <w:rFonts w:ascii="宋体" w:hAnsi="宋体" w:cs="宋体"/>
          <w:sz w:val="24"/>
        </w:rPr>
      </w:pPr>
      <w:r>
        <w:rPr>
          <w:rFonts w:hint="eastAsia" w:ascii="宋体" w:hAnsi="宋体" w:cs="宋体"/>
          <w:sz w:val="24"/>
        </w:rPr>
        <w:t>1、XX万元；</w:t>
      </w:r>
    </w:p>
    <w:p>
      <w:pPr>
        <w:spacing w:line="360" w:lineRule="auto"/>
        <w:ind w:firstLine="480" w:firstLineChars="200"/>
        <w:rPr>
          <w:rFonts w:ascii="宋体" w:hAnsi="宋体" w:cs="宋体"/>
          <w:sz w:val="24"/>
        </w:rPr>
      </w:pPr>
      <w:r>
        <w:rPr>
          <w:rFonts w:hint="eastAsia" w:ascii="宋体" w:hAnsi="宋体" w:cs="宋体"/>
          <w:sz w:val="24"/>
        </w:rPr>
        <w:t>2、XX万元；</w:t>
      </w:r>
    </w:p>
    <w:p>
      <w:pPr>
        <w:spacing w:line="360" w:lineRule="auto"/>
        <w:ind w:firstLine="480" w:firstLineChars="200"/>
        <w:rPr>
          <w:rFonts w:ascii="宋体" w:hAnsi="宋体" w:cs="宋体"/>
          <w:sz w:val="24"/>
        </w:rPr>
      </w:pPr>
      <w:r>
        <w:rPr>
          <w:rFonts w:hint="eastAsia" w:ascii="宋体" w:hAnsi="宋体" w:cs="宋体"/>
          <w:sz w:val="24"/>
        </w:rPr>
        <w:t>3、XX万元。</w:t>
      </w:r>
    </w:p>
    <w:p>
      <w:pPr>
        <w:spacing w:line="360" w:lineRule="auto"/>
        <w:ind w:firstLine="480" w:firstLineChars="200"/>
        <w:rPr>
          <w:rFonts w:ascii="宋体" w:hAnsi="宋体" w:cs="宋体"/>
          <w:sz w:val="24"/>
        </w:rPr>
      </w:pPr>
      <w:r>
        <w:rPr>
          <w:rFonts w:hint="eastAsia" w:ascii="宋体" w:hAnsi="宋体" w:cs="宋体"/>
          <w:sz w:val="24"/>
        </w:rPr>
        <w:t>……</w:t>
      </w:r>
    </w:p>
    <w:p>
      <w:pPr>
        <w:widowControl/>
        <w:numPr>
          <w:ilvl w:val="0"/>
          <w:numId w:val="144"/>
        </w:numPr>
        <w:tabs>
          <w:tab w:val="left" w:pos="780"/>
        </w:tabs>
        <w:spacing w:line="360" w:lineRule="auto"/>
        <w:ind w:left="0" w:firstLine="567"/>
        <w:jc w:val="left"/>
        <w:rPr>
          <w:rFonts w:ascii="宋体" w:hAnsi="宋体" w:cs="宋体"/>
          <w:b/>
          <w:sz w:val="24"/>
        </w:rPr>
      </w:pPr>
      <w:r>
        <w:rPr>
          <w:rFonts w:hint="eastAsia" w:ascii="宋体" w:hAnsi="宋体" w:cs="宋体"/>
          <w:b/>
          <w:sz w:val="24"/>
        </w:rPr>
        <w:t xml:space="preserve">服务费支付方式(以正式合同为准)： </w:t>
      </w:r>
    </w:p>
    <w:p>
      <w:pPr>
        <w:widowControl/>
        <w:numPr>
          <w:ilvl w:val="0"/>
          <w:numId w:val="143"/>
        </w:numPr>
        <w:spacing w:line="360" w:lineRule="auto"/>
        <w:jc w:val="left"/>
        <w:rPr>
          <w:rFonts w:ascii="宋体" w:hAnsi="宋体" w:cs="宋体"/>
          <w:b/>
          <w:spacing w:val="-20"/>
          <w:sz w:val="24"/>
        </w:rPr>
      </w:pPr>
      <w:r>
        <w:rPr>
          <w:rFonts w:hint="eastAsia" w:ascii="宋体" w:hAnsi="宋体" w:cs="宋体"/>
          <w:b/>
          <w:sz w:val="24"/>
        </w:rPr>
        <w:t>知识产权</w:t>
      </w:r>
    </w:p>
    <w:p>
      <w:pPr>
        <w:tabs>
          <w:tab w:val="left" w:pos="1440"/>
        </w:tabs>
        <w:spacing w:line="360" w:lineRule="auto"/>
        <w:ind w:firstLine="400" w:firstLineChars="200"/>
        <w:rPr>
          <w:rFonts w:ascii="宋体" w:hAnsi="宋体" w:cs="宋体"/>
          <w:spacing w:val="-20"/>
          <w:sz w:val="24"/>
        </w:rPr>
      </w:pPr>
      <w:r>
        <w:rPr>
          <w:rFonts w:hint="eastAsia" w:ascii="宋体" w:hAnsi="宋体" w:cs="宋体"/>
          <w:spacing w:val="-20"/>
          <w:sz w:val="24"/>
        </w:rPr>
        <w:t>乙方应保证所提供的服务或其任何一部分均不会侵犯任何第三方的专利权、商标权或著作权。</w:t>
      </w:r>
    </w:p>
    <w:p>
      <w:pPr>
        <w:widowControl/>
        <w:numPr>
          <w:ilvl w:val="0"/>
          <w:numId w:val="143"/>
        </w:numPr>
        <w:spacing w:line="360" w:lineRule="auto"/>
        <w:jc w:val="left"/>
        <w:rPr>
          <w:rFonts w:ascii="宋体" w:hAnsi="宋体" w:cs="宋体"/>
          <w:b/>
          <w:sz w:val="24"/>
        </w:rPr>
      </w:pPr>
      <w:r>
        <w:rPr>
          <w:rFonts w:hint="eastAsia" w:ascii="宋体" w:hAnsi="宋体" w:cs="宋体"/>
          <w:b/>
          <w:sz w:val="24"/>
        </w:rPr>
        <w:t>无产权瑕疵条款</w:t>
      </w:r>
    </w:p>
    <w:p>
      <w:pPr>
        <w:tabs>
          <w:tab w:val="left" w:pos="1440"/>
        </w:tabs>
        <w:spacing w:line="360" w:lineRule="auto"/>
        <w:ind w:firstLine="480" w:firstLineChars="200"/>
        <w:rPr>
          <w:rFonts w:ascii="宋体" w:hAnsi="宋体" w:cs="宋体"/>
          <w:sz w:val="24"/>
        </w:rPr>
      </w:pPr>
      <w:r>
        <w:rPr>
          <w:rFonts w:hint="eastAsia" w:ascii="宋体" w:hAnsi="宋体" w:cs="宋体"/>
          <w:sz w:val="24"/>
        </w:rPr>
        <w:t>乙方保证所提供的服务的所有权完全属于乙方且无任何抵押、查封等产权瑕疵。如有产权瑕疵的，视为乙方违约。乙方应负担由此而产生的一切损失。</w:t>
      </w:r>
    </w:p>
    <w:p>
      <w:pPr>
        <w:widowControl/>
        <w:numPr>
          <w:ilvl w:val="0"/>
          <w:numId w:val="143"/>
        </w:numPr>
        <w:spacing w:line="360" w:lineRule="auto"/>
        <w:jc w:val="left"/>
        <w:rPr>
          <w:rFonts w:ascii="宋体" w:hAnsi="宋体" w:cs="宋体"/>
          <w:b/>
          <w:sz w:val="24"/>
        </w:rPr>
      </w:pPr>
      <w:r>
        <w:rPr>
          <w:rFonts w:hint="eastAsia" w:ascii="宋体" w:hAnsi="宋体" w:cs="宋体"/>
          <w:b/>
          <w:sz w:val="24"/>
        </w:rPr>
        <w:t>履约保证金</w:t>
      </w:r>
    </w:p>
    <w:p>
      <w:pPr>
        <w:pStyle w:val="2"/>
        <w:ind w:firstLine="480" w:firstLineChars="200"/>
        <w:rPr>
          <w:rFonts w:ascii="宋体" w:hAnsi="宋体" w:cs="宋体"/>
          <w:bCs/>
          <w:sz w:val="24"/>
          <w:lang w:val="zh-CN"/>
        </w:rPr>
      </w:pPr>
      <w:r>
        <w:rPr>
          <w:rFonts w:hint="eastAsia" w:ascii="宋体" w:hAnsi="宋体" w:cs="宋体"/>
          <w:bCs/>
          <w:sz w:val="24"/>
          <w:lang w:val="zh-CN"/>
        </w:rPr>
        <w:t>履约保证金为合同金额的3%，中标人在签订合同时以无条件银行履约保函的形式提交（保函收益人为：简阳市人民医院）。</w:t>
      </w:r>
    </w:p>
    <w:p>
      <w:pPr>
        <w:widowControl/>
        <w:numPr>
          <w:ilvl w:val="0"/>
          <w:numId w:val="143"/>
        </w:numPr>
        <w:spacing w:line="360" w:lineRule="auto"/>
        <w:jc w:val="left"/>
        <w:rPr>
          <w:rFonts w:ascii="宋体" w:hAnsi="宋体" w:cs="宋体"/>
          <w:b/>
          <w:sz w:val="24"/>
        </w:rPr>
      </w:pPr>
      <w:r>
        <w:rPr>
          <w:rFonts w:hint="eastAsia" w:ascii="宋体" w:hAnsi="宋体" w:cs="宋体"/>
          <w:b/>
          <w:sz w:val="24"/>
        </w:rPr>
        <w:t>甲方的权利和义务</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3、负责检查监督乙方管理工作的实施及制度的执行情况。</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4、根据本合同规定，按时向乙方支付应付服务费用。</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5、国家法律、法规所规定由甲方承担的其它责任。</w:t>
      </w:r>
    </w:p>
    <w:p>
      <w:pPr>
        <w:widowControl/>
        <w:numPr>
          <w:ilvl w:val="0"/>
          <w:numId w:val="143"/>
        </w:numPr>
        <w:spacing w:line="360" w:lineRule="auto"/>
        <w:jc w:val="left"/>
        <w:rPr>
          <w:rFonts w:ascii="宋体" w:hAnsi="宋体" w:cs="宋体"/>
          <w:b/>
          <w:sz w:val="24"/>
        </w:rPr>
      </w:pPr>
      <w:r>
        <w:rPr>
          <w:rFonts w:hint="eastAsia" w:ascii="宋体" w:hAnsi="宋体" w:cs="宋体"/>
          <w:b/>
          <w:sz w:val="24"/>
        </w:rPr>
        <w:t>乙方的权利和义务</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1、对本合同规定的委托服务范围内的项目享有管理权及服务义务。</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ascii="宋体" w:hAnsi="宋体" w:cs="宋体"/>
          <w:sz w:val="24"/>
        </w:rPr>
      </w:pPr>
      <w:r>
        <w:rPr>
          <w:rFonts w:hint="eastAsia" w:ascii="宋体" w:hAnsi="宋体" w:cs="宋体"/>
          <w:sz w:val="24"/>
        </w:rPr>
        <w:t>3、及时向甲方通告本项目服务范围内有关服务的重大事项，及时配合处理投诉。</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sz w:val="24"/>
        </w:rPr>
        <w:t>4、</w:t>
      </w:r>
      <w:r>
        <w:rPr>
          <w:rFonts w:hint="eastAsia" w:ascii="宋体" w:hAnsi="宋体" w:cs="宋体"/>
          <w:bCs/>
          <w:sz w:val="24"/>
        </w:rPr>
        <w:t>接受项目行业管理部门及政府有关部门的指导，接受甲方的监督。</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5、国家法律、法规所规定由乙方承担的其它责任。</w:t>
      </w:r>
    </w:p>
    <w:p>
      <w:pPr>
        <w:widowControl/>
        <w:numPr>
          <w:ilvl w:val="0"/>
          <w:numId w:val="143"/>
        </w:numPr>
        <w:spacing w:line="360" w:lineRule="auto"/>
        <w:jc w:val="left"/>
        <w:rPr>
          <w:rFonts w:ascii="宋体" w:hAnsi="宋体" w:cs="宋体"/>
          <w:b/>
          <w:sz w:val="24"/>
        </w:rPr>
      </w:pPr>
      <w:r>
        <w:rPr>
          <w:rFonts w:hint="eastAsia" w:ascii="宋体" w:hAnsi="宋体" w:cs="宋体"/>
          <w:b/>
          <w:sz w:val="24"/>
        </w:rPr>
        <w:t>违约责任</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1、甲乙双方必须遵守本合同并执行合同中的各项规定，保证本合同的正常履行。</w:t>
      </w:r>
    </w:p>
    <w:p>
      <w:pPr>
        <w:adjustRightInd w:val="0"/>
        <w:spacing w:line="360" w:lineRule="auto"/>
        <w:ind w:firstLine="480" w:firstLineChars="200"/>
        <w:jc w:val="left"/>
        <w:textAlignment w:val="baseline"/>
        <w:rPr>
          <w:rFonts w:ascii="宋体" w:hAnsi="宋体" w:cs="宋体"/>
          <w:bCs/>
          <w:sz w:val="24"/>
        </w:rPr>
      </w:pPr>
      <w:r>
        <w:rPr>
          <w:rFonts w:hint="eastAsia" w:ascii="宋体" w:hAnsi="宋体" w:cs="宋体"/>
          <w:bCs/>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widowControl/>
        <w:numPr>
          <w:ilvl w:val="0"/>
          <w:numId w:val="143"/>
        </w:numPr>
        <w:spacing w:line="360" w:lineRule="auto"/>
        <w:jc w:val="left"/>
        <w:rPr>
          <w:rFonts w:ascii="宋体" w:hAnsi="宋体" w:cs="宋体"/>
          <w:b/>
          <w:sz w:val="24"/>
        </w:rPr>
      </w:pPr>
      <w:r>
        <w:rPr>
          <w:rFonts w:hint="eastAsia" w:ascii="宋体" w:hAnsi="宋体" w:cs="宋体"/>
          <w:b/>
          <w:sz w:val="24"/>
        </w:rPr>
        <w:t>不可抗力事件处理</w:t>
      </w:r>
    </w:p>
    <w:p>
      <w:pPr>
        <w:tabs>
          <w:tab w:val="left" w:pos="0"/>
        </w:tabs>
        <w:spacing w:line="360" w:lineRule="auto"/>
        <w:ind w:firstLine="480" w:firstLineChars="200"/>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s="宋体"/>
          <w:sz w:val="24"/>
        </w:rPr>
      </w:pPr>
      <w:r>
        <w:rPr>
          <w:rFonts w:hint="eastAsia" w:ascii="宋体" w:hAnsi="宋体" w:cs="宋体"/>
          <w:sz w:val="24"/>
        </w:rPr>
        <w:t>2、不可抗力事件发生后，应立即通知对方，并寄送有关权威机构出具的证明。</w:t>
      </w:r>
    </w:p>
    <w:p>
      <w:pPr>
        <w:tabs>
          <w:tab w:val="left" w:pos="0"/>
        </w:tabs>
        <w:spacing w:line="360" w:lineRule="auto"/>
        <w:ind w:firstLine="480" w:firstLineChars="200"/>
        <w:rPr>
          <w:rFonts w:ascii="宋体" w:hAnsi="宋体" w:cs="宋体"/>
          <w:sz w:val="24"/>
        </w:rPr>
      </w:pPr>
      <w:r>
        <w:rPr>
          <w:rFonts w:hint="eastAsia" w:ascii="宋体" w:hAnsi="宋体" w:cs="宋体"/>
          <w:sz w:val="24"/>
        </w:rPr>
        <w:t>3、不可抗力事件延续XX天以上，双方应通过友好协商，确定是否继续履行合同。</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widowControl/>
        <w:numPr>
          <w:ilvl w:val="0"/>
          <w:numId w:val="143"/>
        </w:numPr>
        <w:spacing w:line="360" w:lineRule="auto"/>
        <w:jc w:val="left"/>
        <w:rPr>
          <w:rFonts w:ascii="宋体" w:hAnsi="宋体" w:cs="宋体"/>
          <w:b/>
          <w:sz w:val="24"/>
        </w:rPr>
      </w:pPr>
      <w:bookmarkStart w:id="337" w:name="_Toc232492933"/>
      <w:bookmarkStart w:id="338" w:name="_Toc212019599"/>
      <w:bookmarkStart w:id="339" w:name="_Toc286993792"/>
      <w:bookmarkStart w:id="340" w:name="_Toc211911353"/>
      <w:bookmarkStart w:id="341" w:name="_Toc247334846"/>
      <w:bookmarkStart w:id="342" w:name="_Toc225244857"/>
      <w:bookmarkStart w:id="343" w:name="_Toc239233919"/>
      <w:bookmarkStart w:id="344" w:name="_Toc241833908"/>
      <w:bookmarkStart w:id="345" w:name="_Toc211854454"/>
      <w:bookmarkStart w:id="346" w:name="_Toc185395254"/>
      <w:bookmarkStart w:id="347" w:name="_Toc251768867"/>
      <w:bookmarkStart w:id="348" w:name="_Toc225670756"/>
      <w:bookmarkStart w:id="349" w:name="_Toc225654649"/>
      <w:bookmarkStart w:id="350" w:name="_Toc239568423"/>
      <w:bookmarkStart w:id="351" w:name="_Toc237145411"/>
      <w:bookmarkStart w:id="352" w:name="_Toc238984980"/>
      <w:r>
        <w:rPr>
          <w:rFonts w:hint="eastAsia" w:ascii="宋体" w:hAnsi="宋体" w:cs="宋体"/>
          <w:b/>
          <w:sz w:val="24"/>
        </w:rPr>
        <w:t>解决合同纠纷的方式</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tabs>
          <w:tab w:val="left" w:pos="0"/>
        </w:tabs>
        <w:spacing w:line="360" w:lineRule="auto"/>
        <w:ind w:firstLine="480" w:firstLineChars="200"/>
        <w:rPr>
          <w:rFonts w:ascii="宋体" w:hAnsi="宋体" w:cs="宋体"/>
          <w:sz w:val="24"/>
        </w:rPr>
      </w:pPr>
      <w:r>
        <w:rPr>
          <w:rFonts w:hint="eastAsia" w:ascii="宋体" w:hAnsi="宋体" w:cs="宋体"/>
          <w:sz w:val="24"/>
        </w:rPr>
        <w:t>1、在执行本合同中发生的或与本合同有关的争端，双方应通过友好协商解决，经协商在XX天内不能达成协议时，应提交成都仲裁委员会仲裁。</w:t>
      </w:r>
    </w:p>
    <w:p>
      <w:pPr>
        <w:tabs>
          <w:tab w:val="left" w:pos="0"/>
        </w:tabs>
        <w:spacing w:line="360" w:lineRule="auto"/>
        <w:ind w:firstLine="480" w:firstLineChars="200"/>
        <w:rPr>
          <w:rFonts w:ascii="宋体" w:hAnsi="宋体" w:cs="宋体"/>
          <w:sz w:val="24"/>
        </w:rPr>
      </w:pPr>
      <w:r>
        <w:rPr>
          <w:rFonts w:hint="eastAsia" w:ascii="宋体" w:hAnsi="宋体" w:cs="宋体"/>
          <w:sz w:val="24"/>
        </w:rPr>
        <w:t>2、仲裁裁决应为最终决定，并对双方具有约束力。</w:t>
      </w:r>
    </w:p>
    <w:p>
      <w:pPr>
        <w:tabs>
          <w:tab w:val="left" w:pos="0"/>
        </w:tabs>
        <w:spacing w:line="360" w:lineRule="auto"/>
        <w:ind w:firstLine="480" w:firstLineChars="200"/>
        <w:rPr>
          <w:rFonts w:ascii="宋体" w:hAnsi="宋体" w:cs="宋体"/>
          <w:sz w:val="24"/>
        </w:rPr>
      </w:pPr>
      <w:r>
        <w:rPr>
          <w:rFonts w:hint="eastAsia" w:ascii="宋体" w:hAnsi="宋体" w:cs="宋体"/>
          <w:sz w:val="24"/>
        </w:rPr>
        <w:t xml:space="preserve">3、除另有裁决外，仲裁费应由败诉方负担。 </w:t>
      </w:r>
    </w:p>
    <w:p>
      <w:pPr>
        <w:tabs>
          <w:tab w:val="left" w:pos="0"/>
        </w:tabs>
        <w:spacing w:line="360" w:lineRule="auto"/>
        <w:ind w:firstLine="480" w:firstLineChars="200"/>
        <w:rPr>
          <w:rFonts w:ascii="宋体" w:hAnsi="宋体" w:cs="宋体"/>
          <w:sz w:val="24"/>
        </w:rPr>
      </w:pPr>
      <w:r>
        <w:rPr>
          <w:rFonts w:hint="eastAsia" w:ascii="宋体" w:hAnsi="宋体" w:cs="宋体"/>
          <w:sz w:val="24"/>
        </w:rPr>
        <w:t xml:space="preserve">4、在仲裁期间，除正在进行仲裁部分外，合同其他部分继续执行。  </w:t>
      </w:r>
    </w:p>
    <w:p>
      <w:pPr>
        <w:widowControl/>
        <w:numPr>
          <w:ilvl w:val="0"/>
          <w:numId w:val="143"/>
        </w:numPr>
        <w:spacing w:line="360" w:lineRule="auto"/>
        <w:jc w:val="left"/>
        <w:rPr>
          <w:rFonts w:ascii="宋体" w:hAnsi="宋体" w:cs="宋体"/>
          <w:b/>
          <w:sz w:val="24"/>
        </w:rPr>
      </w:pPr>
      <w:bookmarkStart w:id="353" w:name="_Toc239568424"/>
      <w:bookmarkStart w:id="354" w:name="_Toc283019219"/>
      <w:bookmarkStart w:id="355" w:name="_Toc185395255"/>
      <w:bookmarkStart w:id="356" w:name="_Toc239233920"/>
      <w:bookmarkStart w:id="357" w:name="_Toc241833909"/>
      <w:bookmarkStart w:id="358" w:name="_Toc237145412"/>
      <w:bookmarkStart w:id="359" w:name="_Toc225244858"/>
      <w:bookmarkStart w:id="360" w:name="_Toc211854455"/>
      <w:bookmarkStart w:id="361" w:name="_Toc211911354"/>
      <w:bookmarkStart w:id="362" w:name="_Toc251768868"/>
      <w:bookmarkStart w:id="363" w:name="_Toc247334847"/>
      <w:bookmarkStart w:id="364" w:name="_Toc225654650"/>
      <w:bookmarkStart w:id="365" w:name="_Toc286993793"/>
      <w:bookmarkStart w:id="366" w:name="_Toc232492934"/>
      <w:bookmarkStart w:id="367" w:name="_Toc225670757"/>
      <w:bookmarkStart w:id="368" w:name="_Toc282696231"/>
      <w:bookmarkStart w:id="369" w:name="_Toc238984981"/>
      <w:bookmarkStart w:id="370" w:name="_Toc212019600"/>
      <w:r>
        <w:rPr>
          <w:rFonts w:hint="eastAsia" w:ascii="宋体" w:hAnsi="宋体" w:cs="宋体"/>
          <w:b/>
          <w:sz w:val="24"/>
        </w:rPr>
        <w:t>合同</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ascii="宋体" w:hAnsi="宋体" w:cs="宋体"/>
          <w:b/>
          <w:sz w:val="24"/>
        </w:rPr>
        <w:t>生效及其他</w:t>
      </w:r>
    </w:p>
    <w:p>
      <w:pPr>
        <w:pStyle w:val="188"/>
        <w:spacing w:line="360" w:lineRule="auto"/>
        <w:ind w:firstLine="480"/>
        <w:rPr>
          <w:rFonts w:ascii="宋体" w:hAnsi="宋体" w:cs="宋体"/>
          <w:sz w:val="24"/>
        </w:rPr>
      </w:pPr>
      <w:r>
        <w:rPr>
          <w:rFonts w:hint="eastAsia" w:ascii="宋体" w:hAnsi="宋体" w:cs="宋体"/>
          <w:sz w:val="24"/>
        </w:rPr>
        <w:t>1、合同经双方法定代表人或授权委托代理人签字并加盖单位公章后生效。</w:t>
      </w:r>
    </w:p>
    <w:p>
      <w:pPr>
        <w:pStyle w:val="188"/>
        <w:spacing w:line="360" w:lineRule="auto"/>
        <w:ind w:firstLine="480"/>
        <w:rPr>
          <w:rFonts w:ascii="宋体" w:hAnsi="宋体" w:cs="宋体"/>
          <w:sz w:val="24"/>
        </w:rPr>
      </w:pPr>
      <w:r>
        <w:rPr>
          <w:rFonts w:hint="eastAsia" w:ascii="宋体" w:hAnsi="宋体" w:cs="宋体"/>
          <w:sz w:val="24"/>
        </w:rPr>
        <w:t>2、本合同一式XX份，自双方签章之日起起效。甲方XX份，乙方XX份，采购代理机构XX份，同级财政部门备案XX份，具有同等法律效力。</w:t>
      </w:r>
    </w:p>
    <w:p>
      <w:pPr>
        <w:pStyle w:val="188"/>
        <w:spacing w:line="360" w:lineRule="auto"/>
        <w:ind w:firstLine="480"/>
        <w:rPr>
          <w:rFonts w:ascii="宋体" w:hAnsi="宋体" w:cs="宋体"/>
          <w:sz w:val="24"/>
        </w:rPr>
      </w:pPr>
      <w:r>
        <w:rPr>
          <w:rFonts w:hint="eastAsia" w:ascii="宋体" w:hAnsi="宋体" w:cs="宋体"/>
          <w:sz w:val="24"/>
        </w:rPr>
        <w:t>3、合同生效后，若乙方因特殊原因不能履行合同应提前一个月书面告知甲方，经甲方同意后，在XX月内继续按本合同执行，以保证医院正常工作的运行。</w:t>
      </w:r>
    </w:p>
    <w:p>
      <w:pPr>
        <w:widowControl/>
        <w:numPr>
          <w:ilvl w:val="0"/>
          <w:numId w:val="143"/>
        </w:numPr>
        <w:spacing w:line="360" w:lineRule="auto"/>
        <w:jc w:val="left"/>
        <w:rPr>
          <w:rFonts w:ascii="宋体" w:hAnsi="宋体" w:cs="宋体"/>
          <w:b/>
          <w:sz w:val="24"/>
        </w:rPr>
      </w:pPr>
      <w:r>
        <w:rPr>
          <w:rFonts w:hint="eastAsia" w:ascii="宋体" w:hAnsi="宋体" w:cs="宋体"/>
          <w:b/>
          <w:sz w:val="24"/>
        </w:rPr>
        <w:t>附件</w:t>
      </w:r>
    </w:p>
    <w:p>
      <w:pPr>
        <w:pStyle w:val="188"/>
        <w:spacing w:line="360" w:lineRule="auto"/>
        <w:ind w:firstLine="480"/>
        <w:rPr>
          <w:rFonts w:ascii="宋体" w:hAnsi="宋体" w:cs="宋体"/>
          <w:sz w:val="24"/>
        </w:rPr>
      </w:pPr>
      <w:r>
        <w:rPr>
          <w:rFonts w:hint="eastAsia" w:ascii="宋体" w:hAnsi="宋体" w:cs="宋体"/>
          <w:sz w:val="24"/>
        </w:rPr>
        <w:t>1、项目招标文件</w:t>
      </w:r>
    </w:p>
    <w:p>
      <w:pPr>
        <w:pStyle w:val="188"/>
        <w:spacing w:line="360" w:lineRule="auto"/>
        <w:ind w:firstLine="480"/>
        <w:rPr>
          <w:rFonts w:ascii="宋体" w:hAnsi="宋体" w:cs="宋体"/>
          <w:sz w:val="24"/>
        </w:rPr>
      </w:pPr>
      <w:r>
        <w:rPr>
          <w:rFonts w:hint="eastAsia" w:ascii="宋体" w:hAnsi="宋体" w:cs="宋体"/>
          <w:sz w:val="24"/>
        </w:rPr>
        <w:t>2、项目修改澄清文件</w:t>
      </w:r>
    </w:p>
    <w:p>
      <w:pPr>
        <w:pStyle w:val="188"/>
        <w:spacing w:line="360" w:lineRule="auto"/>
        <w:ind w:firstLine="480"/>
        <w:rPr>
          <w:rFonts w:ascii="宋体" w:hAnsi="宋体" w:cs="宋体"/>
          <w:sz w:val="24"/>
        </w:rPr>
      </w:pPr>
      <w:r>
        <w:rPr>
          <w:rFonts w:hint="eastAsia" w:ascii="宋体" w:hAnsi="宋体" w:cs="宋体"/>
          <w:sz w:val="24"/>
        </w:rPr>
        <w:t>3、项目投标文件</w:t>
      </w:r>
    </w:p>
    <w:p>
      <w:pPr>
        <w:pStyle w:val="188"/>
        <w:spacing w:line="360" w:lineRule="auto"/>
        <w:ind w:firstLine="480"/>
        <w:rPr>
          <w:rFonts w:ascii="宋体" w:hAnsi="宋体" w:cs="宋体"/>
          <w:sz w:val="24"/>
        </w:rPr>
      </w:pPr>
      <w:r>
        <w:rPr>
          <w:rFonts w:hint="eastAsia" w:ascii="宋体" w:hAnsi="宋体" w:cs="宋体"/>
          <w:sz w:val="24"/>
        </w:rPr>
        <w:t>4、中标通知书</w:t>
      </w:r>
    </w:p>
    <w:p>
      <w:pPr>
        <w:pStyle w:val="188"/>
        <w:spacing w:line="360" w:lineRule="auto"/>
        <w:ind w:firstLine="480"/>
        <w:rPr>
          <w:rFonts w:ascii="宋体" w:hAnsi="宋体" w:cs="宋体"/>
          <w:sz w:val="24"/>
        </w:rPr>
      </w:pPr>
      <w:r>
        <w:rPr>
          <w:rFonts w:hint="eastAsia" w:ascii="宋体" w:hAnsi="宋体" w:cs="宋体"/>
          <w:sz w:val="24"/>
        </w:rPr>
        <w:t>5、其他</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甲方：   （盖章）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乙方：   （盖章）</w:t>
      </w:r>
    </w:p>
    <w:p>
      <w:pPr>
        <w:spacing w:line="360" w:lineRule="auto"/>
        <w:ind w:firstLine="480" w:firstLineChars="200"/>
        <w:rPr>
          <w:rFonts w:ascii="宋体" w:hAnsi="宋体" w:cs="宋体"/>
          <w:sz w:val="24"/>
        </w:rPr>
      </w:pPr>
      <w:r>
        <w:rPr>
          <w:rFonts w:hint="eastAsia" w:ascii="宋体" w:hAnsi="宋体" w:cs="宋体"/>
          <w:sz w:val="24"/>
        </w:rPr>
        <w:t>法定代表人（授权代表）：           法定代表人（授权代表）：</w:t>
      </w:r>
    </w:p>
    <w:p>
      <w:pPr>
        <w:spacing w:line="360" w:lineRule="auto"/>
        <w:ind w:firstLine="480" w:firstLineChars="200"/>
        <w:rPr>
          <w:rFonts w:ascii="宋体" w:hAnsi="宋体" w:cs="宋体"/>
          <w:sz w:val="24"/>
        </w:rPr>
      </w:pPr>
      <w:r>
        <w:rPr>
          <w:rFonts w:hint="eastAsia" w:ascii="宋体" w:hAnsi="宋体" w:cs="宋体"/>
          <w:sz w:val="24"/>
        </w:rPr>
        <w:t>地    址：                         地    址：</w:t>
      </w:r>
    </w:p>
    <w:p>
      <w:pPr>
        <w:spacing w:line="360" w:lineRule="auto"/>
        <w:ind w:firstLine="480" w:firstLineChars="200"/>
        <w:rPr>
          <w:rFonts w:ascii="宋体" w:hAnsi="宋体" w:cs="宋体"/>
          <w:sz w:val="24"/>
        </w:rPr>
      </w:pPr>
      <w:r>
        <w:rPr>
          <w:rFonts w:hint="eastAsia" w:ascii="宋体" w:hAnsi="宋体" w:cs="宋体"/>
          <w:sz w:val="24"/>
        </w:rPr>
        <w:t>开户银行：                         开户银行：</w:t>
      </w:r>
    </w:p>
    <w:p>
      <w:pPr>
        <w:spacing w:line="360" w:lineRule="auto"/>
        <w:ind w:firstLine="480" w:firstLineChars="200"/>
        <w:rPr>
          <w:rFonts w:ascii="宋体" w:hAnsi="宋体" w:cs="宋体"/>
          <w:sz w:val="24"/>
        </w:rPr>
      </w:pPr>
      <w:r>
        <w:rPr>
          <w:rFonts w:hint="eastAsia" w:ascii="宋体" w:hAnsi="宋体" w:cs="宋体"/>
          <w:sz w:val="24"/>
        </w:rPr>
        <w:t>账号：                             账号：</w:t>
      </w:r>
    </w:p>
    <w:p>
      <w:pPr>
        <w:pStyle w:val="188"/>
        <w:spacing w:line="360" w:lineRule="auto"/>
        <w:ind w:firstLine="480"/>
        <w:rPr>
          <w:rFonts w:ascii="宋体" w:hAnsi="宋体" w:cs="宋体"/>
          <w:sz w:val="24"/>
        </w:rPr>
      </w:pPr>
      <w:r>
        <w:rPr>
          <w:rFonts w:hint="eastAsia" w:ascii="宋体" w:hAnsi="宋体" w:cs="宋体"/>
          <w:sz w:val="24"/>
        </w:rPr>
        <w:t>电    话：                         电    话：</w:t>
      </w:r>
    </w:p>
    <w:p>
      <w:pPr>
        <w:pStyle w:val="188"/>
        <w:spacing w:line="360" w:lineRule="auto"/>
        <w:ind w:firstLine="480"/>
        <w:rPr>
          <w:rFonts w:ascii="宋体" w:hAnsi="宋体" w:cs="宋体"/>
          <w:sz w:val="24"/>
        </w:rPr>
      </w:pPr>
      <w:r>
        <w:rPr>
          <w:rFonts w:hint="eastAsia" w:ascii="宋体" w:hAnsi="宋体" w:cs="宋体"/>
          <w:sz w:val="24"/>
        </w:rPr>
        <w:t>传    真：                         传    真：</w:t>
      </w:r>
    </w:p>
    <w:p>
      <w:pPr>
        <w:spacing w:line="360" w:lineRule="auto"/>
        <w:jc w:val="center"/>
        <w:outlineLvl w:val="5"/>
        <w:rPr>
          <w:rFonts w:ascii="宋体" w:hAnsi="宋体" w:cs="宋体"/>
          <w:szCs w:val="21"/>
        </w:rPr>
      </w:pPr>
      <w:r>
        <w:rPr>
          <w:rFonts w:hint="eastAsia" w:ascii="宋体" w:hAnsi="宋体" w:cs="宋体"/>
          <w:sz w:val="24"/>
        </w:rPr>
        <w:t xml:space="preserve">签约日期：XX年XX月XX日 </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签约日期：XX年XX月XX日</w:t>
      </w:r>
    </w:p>
    <w:p>
      <w:pPr>
        <w:spacing w:line="360" w:lineRule="auto"/>
        <w:jc w:val="left"/>
        <w:outlineLvl w:val="5"/>
        <w:rPr>
          <w:rFonts w:ascii="宋体" w:hAnsi="宋体" w:cs="宋体"/>
          <w:szCs w:val="21"/>
        </w:rPr>
      </w:pPr>
      <w:r>
        <w:rPr>
          <w:rFonts w:hint="eastAsia" w:ascii="宋体" w:hAnsi="宋体" w:cs="宋体"/>
          <w:b/>
          <w:bCs/>
          <w:sz w:val="24"/>
        </w:rPr>
        <w:t>注：其他合同专用条款在合同签定时另行约定。</w:t>
      </w:r>
    </w:p>
    <w:p>
      <w:pPr>
        <w:spacing w:line="360" w:lineRule="auto"/>
        <w:rPr>
          <w:rFonts w:ascii="宋体" w:hAnsi="宋体" w:cs="宋体"/>
        </w:rPr>
      </w:pPr>
    </w:p>
    <w:sectPr>
      <w:pgSz w:w="11907" w:h="16840"/>
      <w:pgMar w:top="1134" w:right="1134" w:bottom="1134" w:left="1701"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Syntax">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131445"/>
              <wp:effectExtent l="0" t="0" r="0" b="0"/>
              <wp:wrapNone/>
              <wp:docPr id="15"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6848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YrcTF88BAACVAwAADgAAAAAAAAABACAAAAAfAQAAZHJz&#10;L2Uyb0RvYy54bWxQSwUGAAAAAAYABgBZAQAAY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585" w:firstLineChars="1992"/>
    </w:pPr>
    <w:r>
      <w:rPr>
        <w:szCs w:val="21"/>
      </w:rPr>
      <w:fldChar w:fldCharType="begin"/>
    </w:r>
    <w:r>
      <w:rPr>
        <w:szCs w:val="21"/>
      </w:rPr>
      <w:instrText xml:space="preserve"> PAGE </w:instrText>
    </w:r>
    <w:r>
      <w:rPr>
        <w:szCs w:val="21"/>
      </w:rPr>
      <w:fldChar w:fldCharType="separate"/>
    </w:r>
    <w:r>
      <w:rPr>
        <w:szCs w:val="21"/>
      </w:rPr>
      <w:t>81</w:t>
    </w:r>
    <w:r>
      <w:rPr>
        <w:szCs w:val="21"/>
      </w:rP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r>
      <w:drawing>
        <wp:anchor distT="0" distB="0" distL="114300" distR="114300" simplePos="0" relativeHeight="251669504" behindDoc="1" locked="0" layoutInCell="1" allowOverlap="1">
          <wp:simplePos x="0" y="0"/>
          <wp:positionH relativeFrom="margin">
            <wp:align>center</wp:align>
          </wp:positionH>
          <wp:positionV relativeFrom="margin">
            <wp:align>center</wp:align>
          </wp:positionV>
          <wp:extent cx="5760720" cy="5626100"/>
          <wp:effectExtent l="0" t="0" r="0" b="12700"/>
          <wp:wrapNone/>
          <wp:docPr id="22" name="WordPictureWatermark2953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PictureWatermark29532"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rFonts w:hint="eastAsia"/>
        <w:u w:val="double"/>
      </w:rPr>
      <w:drawing>
        <wp:inline distT="0" distB="0" distL="114300" distR="114300">
          <wp:extent cx="6241415" cy="205105"/>
          <wp:effectExtent l="0" t="0" r="6985" b="23495"/>
          <wp:docPr id="16" name="图片 6" descr="C:\Users\win\Desktop\IMG_0001.jpgIMG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C:\Users\win\Desktop\IMG_0001.jpgIMG_0001"/>
                  <pic:cNvPicPr>
                    <a:picLocks noChangeAspect="1"/>
                  </pic:cNvPicPr>
                </pic:nvPicPr>
                <pic:blipFill>
                  <a:blip r:embed="rId2"/>
                  <a:stretch>
                    <a:fillRect/>
                  </a:stretch>
                </pic:blipFill>
                <pic:spPr>
                  <a:xfrm>
                    <a:off x="0" y="0"/>
                    <a:ext cx="6241415" cy="205105"/>
                  </a:xfrm>
                  <a:prstGeom prst="rect">
                    <a:avLst/>
                  </a:prstGeom>
                  <a:noFill/>
                  <a:ln w="9525">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939790" cy="4906010"/>
          <wp:effectExtent l="0" t="0" r="3810" b="21590"/>
          <wp:wrapNone/>
          <wp:docPr id="9" name="WordPictureWatermark28454446"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8454446"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w="9525">
                    <a:noFill/>
                  </a:ln>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73600" behindDoc="1" locked="0" layoutInCell="1" allowOverlap="1">
          <wp:simplePos x="0" y="0"/>
          <wp:positionH relativeFrom="margin">
            <wp:align>center</wp:align>
          </wp:positionH>
          <wp:positionV relativeFrom="margin">
            <wp:align>center</wp:align>
          </wp:positionV>
          <wp:extent cx="5760720" cy="5626100"/>
          <wp:effectExtent l="0" t="0" r="0" b="12700"/>
          <wp:wrapNone/>
          <wp:docPr id="26" name="WordPictureWatermark10901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PictureWatermark109014"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u w:val="double"/>
      </w:rPr>
      <w:drawing>
        <wp:inline distT="0" distB="0" distL="114300" distR="114300">
          <wp:extent cx="5936615" cy="198120"/>
          <wp:effectExtent l="0" t="0" r="6985" b="5080"/>
          <wp:docPr id="20" name="图片 4"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页眉"/>
                  <pic:cNvPicPr>
                    <a:picLocks noChangeAspect="1"/>
                  </pic:cNvPicPr>
                </pic:nvPicPr>
                <pic:blipFill>
                  <a:blip r:embed="rId2"/>
                  <a:stretch>
                    <a:fillRect/>
                  </a:stretch>
                </pic:blipFill>
                <pic:spPr>
                  <a:xfrm>
                    <a:off x="0" y="0"/>
                    <a:ext cx="5936615" cy="198120"/>
                  </a:xfrm>
                  <a:prstGeom prst="rect">
                    <a:avLst/>
                  </a:prstGeom>
                  <a:noFill/>
                  <a:ln w="9525">
                    <a:noFill/>
                  </a:ln>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5939790" cy="4906010"/>
          <wp:effectExtent l="0" t="0" r="3810" b="21590"/>
          <wp:wrapNone/>
          <wp:docPr id="13" name="WordPictureWatermark28454450"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28454450"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w="9525">
                    <a:noFill/>
                  </a:ln>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939790" cy="4906010"/>
          <wp:effectExtent l="0" t="0" r="3810" b="21590"/>
          <wp:wrapNone/>
          <wp:docPr id="12" name="WordPictureWatermark28454449"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28454449"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w="9525">
                    <a:noFill/>
                  </a:ln>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74624" behindDoc="1" locked="0" layoutInCell="1" allowOverlap="1">
          <wp:simplePos x="0" y="0"/>
          <wp:positionH relativeFrom="margin">
            <wp:align>center</wp:align>
          </wp:positionH>
          <wp:positionV relativeFrom="margin">
            <wp:align>center</wp:align>
          </wp:positionV>
          <wp:extent cx="5760720" cy="5626100"/>
          <wp:effectExtent l="0" t="0" r="0" b="12700"/>
          <wp:wrapNone/>
          <wp:docPr id="27" name="WordPictureWatermark134091"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PictureWatermark134091"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u w:val="double"/>
      </w:rPr>
      <w:drawing>
        <wp:inline distT="0" distB="0" distL="114300" distR="114300">
          <wp:extent cx="5936615" cy="198120"/>
          <wp:effectExtent l="0" t="0" r="6985" b="5080"/>
          <wp:docPr id="21" name="图片 4"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页眉"/>
                  <pic:cNvPicPr>
                    <a:picLocks noChangeAspect="1"/>
                  </pic:cNvPicPr>
                </pic:nvPicPr>
                <pic:blipFill>
                  <a:blip r:embed="rId2"/>
                  <a:stretch>
                    <a:fillRect/>
                  </a:stretch>
                </pic:blipFill>
                <pic:spPr>
                  <a:xfrm>
                    <a:off x="0" y="0"/>
                    <a:ext cx="5936615" cy="198120"/>
                  </a:xfrm>
                  <a:prstGeom prst="rect">
                    <a:avLst/>
                  </a:prstGeom>
                  <a:noFill/>
                  <a:ln w="9525">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70528" behindDoc="1" locked="0" layoutInCell="1" allowOverlap="1">
          <wp:simplePos x="0" y="0"/>
          <wp:positionH relativeFrom="margin">
            <wp:align>center</wp:align>
          </wp:positionH>
          <wp:positionV relativeFrom="margin">
            <wp:align>center</wp:align>
          </wp:positionV>
          <wp:extent cx="5760720" cy="5626100"/>
          <wp:effectExtent l="0" t="0" r="0" b="12700"/>
          <wp:wrapNone/>
          <wp:docPr id="23" name="WordPictureWatermark57199"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57199"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u w:val="double"/>
      </w:rPr>
      <w:drawing>
        <wp:inline distT="0" distB="0" distL="114300" distR="114300">
          <wp:extent cx="6022340" cy="200025"/>
          <wp:effectExtent l="0" t="0" r="22860" b="3175"/>
          <wp:docPr id="17" name="图片 1"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页眉"/>
                  <pic:cNvPicPr>
                    <a:picLocks noChangeAspect="1"/>
                  </pic:cNvPicPr>
                </pic:nvPicPr>
                <pic:blipFill>
                  <a:blip r:embed="rId2"/>
                  <a:stretch>
                    <a:fillRect/>
                  </a:stretch>
                </pic:blipFill>
                <pic:spPr>
                  <a:xfrm>
                    <a:off x="0" y="0"/>
                    <a:ext cx="6022340" cy="200025"/>
                  </a:xfrm>
                  <a:prstGeom prst="rect">
                    <a:avLst/>
                  </a:prstGeom>
                  <a:noFill/>
                  <a:ln w="9525">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939790" cy="4906010"/>
          <wp:effectExtent l="0" t="0" r="3810" b="21590"/>
          <wp:wrapNone/>
          <wp:docPr id="4" name="WordPictureWatermark28454441"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8454441"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w="9525">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939790" cy="4906010"/>
          <wp:effectExtent l="0" t="0" r="3810" b="21590"/>
          <wp:wrapNone/>
          <wp:docPr id="3" name="WordPictureWatermark28454440"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8454440"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w="9525">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71552" behindDoc="1" locked="0" layoutInCell="1" allowOverlap="1">
          <wp:simplePos x="0" y="0"/>
          <wp:positionH relativeFrom="margin">
            <wp:align>center</wp:align>
          </wp:positionH>
          <wp:positionV relativeFrom="margin">
            <wp:align>center</wp:align>
          </wp:positionV>
          <wp:extent cx="5760720" cy="5626100"/>
          <wp:effectExtent l="0" t="0" r="0" b="12700"/>
          <wp:wrapNone/>
          <wp:docPr id="24" name="WordPictureWatermark76910"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PictureWatermark76910"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u w:val="double"/>
      </w:rPr>
      <w:drawing>
        <wp:inline distT="0" distB="0" distL="114300" distR="114300">
          <wp:extent cx="5922645" cy="201295"/>
          <wp:effectExtent l="0" t="0" r="20955" b="1905"/>
          <wp:docPr id="18" name="图片 2"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页眉"/>
                  <pic:cNvPicPr>
                    <a:picLocks noChangeAspect="1"/>
                  </pic:cNvPicPr>
                </pic:nvPicPr>
                <pic:blipFill>
                  <a:blip r:embed="rId2"/>
                  <a:stretch>
                    <a:fillRect/>
                  </a:stretch>
                </pic:blipFill>
                <pic:spPr>
                  <a:xfrm>
                    <a:off x="0" y="0"/>
                    <a:ext cx="5922645" cy="201295"/>
                  </a:xfrm>
                  <a:prstGeom prst="rect">
                    <a:avLst/>
                  </a:prstGeom>
                  <a:noFill/>
                  <a:ln w="9525">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939790" cy="4906010"/>
          <wp:effectExtent l="0" t="0" r="3810" b="21590"/>
          <wp:wrapNone/>
          <wp:docPr id="7" name="WordPictureWatermark28454444"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8454444"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w="9525">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939790" cy="4906010"/>
          <wp:effectExtent l="0" t="0" r="3810" b="21590"/>
          <wp:wrapNone/>
          <wp:docPr id="6" name="WordPictureWatermark28454443"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8454443"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w="9525">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72576" behindDoc="1" locked="0" layoutInCell="1" allowOverlap="1">
          <wp:simplePos x="0" y="0"/>
          <wp:positionH relativeFrom="margin">
            <wp:align>center</wp:align>
          </wp:positionH>
          <wp:positionV relativeFrom="margin">
            <wp:align>center</wp:align>
          </wp:positionV>
          <wp:extent cx="5760720" cy="5626100"/>
          <wp:effectExtent l="0" t="0" r="0" b="12700"/>
          <wp:wrapNone/>
          <wp:docPr id="25" name="WordPictureWatermark9545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PictureWatermark95453" descr="水印"/>
                  <pic:cNvPicPr>
                    <a:picLocks noChangeAspect="1"/>
                  </pic:cNvPicPr>
                </pic:nvPicPr>
                <pic:blipFill>
                  <a:blip r:embed="rId1">
                    <a:lum bright="70000" contrast="-70000"/>
                  </a:blip>
                  <a:stretch>
                    <a:fillRect/>
                  </a:stretch>
                </pic:blipFill>
                <pic:spPr>
                  <a:xfrm>
                    <a:off x="0" y="0"/>
                    <a:ext cx="5760720" cy="5626100"/>
                  </a:xfrm>
                  <a:prstGeom prst="rect">
                    <a:avLst/>
                  </a:prstGeom>
                </pic:spPr>
              </pic:pic>
            </a:graphicData>
          </a:graphic>
        </wp:anchor>
      </w:drawing>
    </w:r>
    <w:r>
      <w:rPr>
        <w:u w:val="double"/>
      </w:rPr>
      <w:drawing>
        <wp:inline distT="0" distB="0" distL="114300" distR="114300">
          <wp:extent cx="9383395" cy="313055"/>
          <wp:effectExtent l="0" t="0" r="14605" b="17145"/>
          <wp:docPr id="19" name="图片 3"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页眉"/>
                  <pic:cNvPicPr>
                    <a:picLocks noChangeAspect="1"/>
                  </pic:cNvPicPr>
                </pic:nvPicPr>
                <pic:blipFill>
                  <a:blip r:embed="rId2"/>
                  <a:stretch>
                    <a:fillRect/>
                  </a:stretch>
                </pic:blipFill>
                <pic:spPr>
                  <a:xfrm>
                    <a:off x="0" y="0"/>
                    <a:ext cx="9383395" cy="313055"/>
                  </a:xfrm>
                  <a:prstGeom prst="rect">
                    <a:avLst/>
                  </a:prstGeom>
                  <a:noFill/>
                  <a:ln w="9525">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5939790" cy="4906010"/>
          <wp:effectExtent l="0" t="0" r="3810" b="21590"/>
          <wp:wrapNone/>
          <wp:docPr id="10" name="WordPictureWatermark28454447" descr="水印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28454447" descr="水印截图"/>
                  <pic:cNvPicPr>
                    <a:picLocks noChangeAspect="1"/>
                  </pic:cNvPicPr>
                </pic:nvPicPr>
                <pic:blipFill>
                  <a:blip r:embed="rId1">
                    <a:lum bright="70001" contrast="-70000"/>
                  </a:blip>
                  <a:stretch>
                    <a:fillRect/>
                  </a:stretch>
                </pic:blipFill>
                <pic:spPr>
                  <a:xfrm>
                    <a:off x="0" y="0"/>
                    <a:ext cx="5939790" cy="490601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27D25"/>
    <w:multiLevelType w:val="multilevel"/>
    <w:tmpl w:val="00A2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BC51B8"/>
    <w:multiLevelType w:val="multilevel"/>
    <w:tmpl w:val="00BC51B8"/>
    <w:lvl w:ilvl="0" w:tentative="0">
      <w:start w:val="1"/>
      <w:numFmt w:val="decimal"/>
      <w:lvlText w:val="（%1）"/>
      <w:lvlJc w:val="left"/>
      <w:pPr>
        <w:ind w:left="360" w:hanging="360"/>
      </w:pPr>
      <w:rPr>
        <w:rFonts w:hint="default"/>
      </w:rPr>
    </w:lvl>
    <w:lvl w:ilvl="1" w:tentative="0">
      <w:start w:val="2"/>
      <w:numFmt w:val="decimal"/>
      <w:lvlText w:val="（%2）"/>
      <w:lvlJc w:val="left"/>
      <w:pPr>
        <w:ind w:left="1500" w:hanging="108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10432DD"/>
    <w:multiLevelType w:val="multilevel"/>
    <w:tmpl w:val="010432D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1280C59"/>
    <w:multiLevelType w:val="multilevel"/>
    <w:tmpl w:val="01280C5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3C53EB"/>
    <w:multiLevelType w:val="multilevel"/>
    <w:tmpl w:val="033C53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52C1480"/>
    <w:multiLevelType w:val="multilevel"/>
    <w:tmpl w:val="052C148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69C3CF4"/>
    <w:multiLevelType w:val="multilevel"/>
    <w:tmpl w:val="069C3CF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6D00E49"/>
    <w:multiLevelType w:val="multilevel"/>
    <w:tmpl w:val="06D00E49"/>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7656AA2"/>
    <w:multiLevelType w:val="multilevel"/>
    <w:tmpl w:val="07656AA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86D7598"/>
    <w:multiLevelType w:val="multilevel"/>
    <w:tmpl w:val="086D759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8777263"/>
    <w:multiLevelType w:val="multilevel"/>
    <w:tmpl w:val="0877726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94C5BA9"/>
    <w:multiLevelType w:val="multilevel"/>
    <w:tmpl w:val="094C5BA9"/>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AE943DB"/>
    <w:multiLevelType w:val="multilevel"/>
    <w:tmpl w:val="0AE943DB"/>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decimal"/>
      <w:lvlText w:val="%3."/>
      <w:lvlJc w:val="lef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C6C4CB3"/>
    <w:multiLevelType w:val="multilevel"/>
    <w:tmpl w:val="0C6C4CB3"/>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C9861C7"/>
    <w:multiLevelType w:val="multilevel"/>
    <w:tmpl w:val="0C9861C7"/>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CE433AB"/>
    <w:multiLevelType w:val="multilevel"/>
    <w:tmpl w:val="0CE433A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D36052D"/>
    <w:multiLevelType w:val="multilevel"/>
    <w:tmpl w:val="0D36052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D565D88"/>
    <w:multiLevelType w:val="multilevel"/>
    <w:tmpl w:val="0D565D8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D5B2017"/>
    <w:multiLevelType w:val="multilevel"/>
    <w:tmpl w:val="0D5B2017"/>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E5F7AF3"/>
    <w:multiLevelType w:val="multilevel"/>
    <w:tmpl w:val="0E5F7AF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F903923"/>
    <w:multiLevelType w:val="multilevel"/>
    <w:tmpl w:val="0F90392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F9D3119"/>
    <w:multiLevelType w:val="multilevel"/>
    <w:tmpl w:val="0F9D311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1687A09"/>
    <w:multiLevelType w:val="multilevel"/>
    <w:tmpl w:val="11687A0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1AC1A1E"/>
    <w:multiLevelType w:val="multilevel"/>
    <w:tmpl w:val="11AC1A1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37348E5"/>
    <w:multiLevelType w:val="multilevel"/>
    <w:tmpl w:val="137348E5"/>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3A2703C"/>
    <w:multiLevelType w:val="multilevel"/>
    <w:tmpl w:val="13A2703C"/>
    <w:lvl w:ilvl="0" w:tentative="0">
      <w:start w:val="1"/>
      <w:numFmt w:val="decimal"/>
      <w:lvlText w:val="(%1)"/>
      <w:lvlJc w:val="left"/>
      <w:pPr>
        <w:ind w:left="1178"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45A6431"/>
    <w:multiLevelType w:val="multilevel"/>
    <w:tmpl w:val="145A6431"/>
    <w:lvl w:ilvl="0" w:tentative="0">
      <w:start w:val="1"/>
      <w:numFmt w:val="decimal"/>
      <w:lvlText w:val="(%1)"/>
      <w:lvlJc w:val="left"/>
      <w:pPr>
        <w:ind w:left="1238" w:hanging="420"/>
      </w:pPr>
      <w:rPr>
        <w:rFonts w:hint="default"/>
      </w:rPr>
    </w:lvl>
    <w:lvl w:ilvl="1" w:tentative="0">
      <w:start w:val="1"/>
      <w:numFmt w:val="lowerLetter"/>
      <w:lvlText w:val="%2)"/>
      <w:lvlJc w:val="left"/>
      <w:pPr>
        <w:ind w:left="1658" w:hanging="420"/>
      </w:pPr>
    </w:lvl>
    <w:lvl w:ilvl="2" w:tentative="0">
      <w:start w:val="1"/>
      <w:numFmt w:val="lowerRoman"/>
      <w:lvlText w:val="%3."/>
      <w:lvlJc w:val="right"/>
      <w:pPr>
        <w:ind w:left="2078" w:hanging="420"/>
      </w:pPr>
    </w:lvl>
    <w:lvl w:ilvl="3" w:tentative="0">
      <w:start w:val="1"/>
      <w:numFmt w:val="decimal"/>
      <w:lvlText w:val="%4."/>
      <w:lvlJc w:val="left"/>
      <w:pPr>
        <w:ind w:left="2498" w:hanging="420"/>
      </w:pPr>
    </w:lvl>
    <w:lvl w:ilvl="4" w:tentative="0">
      <w:start w:val="1"/>
      <w:numFmt w:val="lowerLetter"/>
      <w:lvlText w:val="%5)"/>
      <w:lvlJc w:val="left"/>
      <w:pPr>
        <w:ind w:left="2918" w:hanging="420"/>
      </w:pPr>
    </w:lvl>
    <w:lvl w:ilvl="5" w:tentative="0">
      <w:start w:val="1"/>
      <w:numFmt w:val="lowerRoman"/>
      <w:lvlText w:val="%6."/>
      <w:lvlJc w:val="right"/>
      <w:pPr>
        <w:ind w:left="3338" w:hanging="420"/>
      </w:pPr>
    </w:lvl>
    <w:lvl w:ilvl="6" w:tentative="0">
      <w:start w:val="1"/>
      <w:numFmt w:val="decimal"/>
      <w:lvlText w:val="%7."/>
      <w:lvlJc w:val="left"/>
      <w:pPr>
        <w:ind w:left="3758" w:hanging="420"/>
      </w:pPr>
    </w:lvl>
    <w:lvl w:ilvl="7" w:tentative="0">
      <w:start w:val="1"/>
      <w:numFmt w:val="lowerLetter"/>
      <w:lvlText w:val="%8)"/>
      <w:lvlJc w:val="left"/>
      <w:pPr>
        <w:ind w:left="4178" w:hanging="420"/>
      </w:pPr>
    </w:lvl>
    <w:lvl w:ilvl="8" w:tentative="0">
      <w:start w:val="1"/>
      <w:numFmt w:val="lowerRoman"/>
      <w:lvlText w:val="%9."/>
      <w:lvlJc w:val="right"/>
      <w:pPr>
        <w:ind w:left="4598" w:hanging="420"/>
      </w:pPr>
    </w:lvl>
  </w:abstractNum>
  <w:abstractNum w:abstractNumId="27">
    <w:nsid w:val="1470340B"/>
    <w:multiLevelType w:val="multilevel"/>
    <w:tmpl w:val="1470340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47D4424"/>
    <w:multiLevelType w:val="multilevel"/>
    <w:tmpl w:val="147D4424"/>
    <w:lvl w:ilvl="0" w:tentative="0">
      <w:start w:val="2"/>
      <w:numFmt w:val="decimal"/>
      <w:lvlText w:val="%1."/>
      <w:lvlJc w:val="left"/>
      <w:pPr>
        <w:tabs>
          <w:tab w:val="left" w:pos="839"/>
        </w:tabs>
        <w:ind w:left="839" w:hanging="360"/>
      </w:pPr>
      <w:rPr>
        <w:rFonts w:hint="default" w:cs="Consolas"/>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default" w:cs="Consolas"/>
        <w:color w:val="000000"/>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15882F2A"/>
    <w:multiLevelType w:val="multilevel"/>
    <w:tmpl w:val="15882F2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766649C"/>
    <w:multiLevelType w:val="multilevel"/>
    <w:tmpl w:val="1766649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18291C1C"/>
    <w:multiLevelType w:val="multilevel"/>
    <w:tmpl w:val="18291C1C"/>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195F0D39"/>
    <w:multiLevelType w:val="multilevel"/>
    <w:tmpl w:val="195F0D39"/>
    <w:lvl w:ilvl="0" w:tentative="0">
      <w:start w:val="1"/>
      <w:numFmt w:val="decimal"/>
      <w:lvlText w:val="(%1)"/>
      <w:lvlJc w:val="left"/>
      <w:pPr>
        <w:ind w:left="1554" w:hanging="420"/>
      </w:pPr>
      <w:rPr>
        <w:rFonts w:hint="default"/>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33">
    <w:nsid w:val="1C435C44"/>
    <w:multiLevelType w:val="multilevel"/>
    <w:tmpl w:val="1C435C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C7B5A87"/>
    <w:multiLevelType w:val="multilevel"/>
    <w:tmpl w:val="1C7B5A8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1E137CD4"/>
    <w:multiLevelType w:val="multilevel"/>
    <w:tmpl w:val="1E137CD4"/>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01E59FA"/>
    <w:multiLevelType w:val="multilevel"/>
    <w:tmpl w:val="201E59FA"/>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0D1210C"/>
    <w:multiLevelType w:val="multilevel"/>
    <w:tmpl w:val="20D121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10E3DC6"/>
    <w:multiLevelType w:val="multilevel"/>
    <w:tmpl w:val="210E3DC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1932C6C"/>
    <w:multiLevelType w:val="multilevel"/>
    <w:tmpl w:val="21932C6C"/>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232043B1"/>
    <w:multiLevelType w:val="multilevel"/>
    <w:tmpl w:val="232043B1"/>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5486202"/>
    <w:multiLevelType w:val="multilevel"/>
    <w:tmpl w:val="25486202"/>
    <w:lvl w:ilvl="0" w:tentative="0">
      <w:start w:val="1"/>
      <w:numFmt w:val="decimal"/>
      <w:lvlText w:val="%1."/>
      <w:lvlJc w:val="left"/>
      <w:pPr>
        <w:ind w:left="420" w:hanging="420"/>
      </w:pPr>
      <w:rPr>
        <w:rFonts w:hint="eastAsia"/>
      </w:rPr>
    </w:lvl>
    <w:lvl w:ilvl="1" w:tentative="0">
      <w:start w:val="6"/>
      <w:numFmt w:val="bullet"/>
      <w:lvlText w:val="▲"/>
      <w:lvlJc w:val="left"/>
      <w:pPr>
        <w:ind w:left="780" w:hanging="360"/>
      </w:pPr>
      <w:rPr>
        <w:rFonts w:hint="eastAsia" w:ascii="宋体" w:hAnsi="宋体" w:eastAsia="宋体" w:cs="Times New Roman"/>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256F4C59"/>
    <w:multiLevelType w:val="multilevel"/>
    <w:tmpl w:val="256F4C5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5B14289"/>
    <w:multiLevelType w:val="multilevel"/>
    <w:tmpl w:val="25B14289"/>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26623FA4"/>
    <w:multiLevelType w:val="multilevel"/>
    <w:tmpl w:val="26623FA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27691EA0"/>
    <w:multiLevelType w:val="multilevel"/>
    <w:tmpl w:val="27691EA0"/>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27FD49B8"/>
    <w:multiLevelType w:val="multilevel"/>
    <w:tmpl w:val="27FD49B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28770A65"/>
    <w:multiLevelType w:val="multilevel"/>
    <w:tmpl w:val="28770A6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2A0824EB"/>
    <w:multiLevelType w:val="multilevel"/>
    <w:tmpl w:val="2A0824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2B5529A0"/>
    <w:multiLevelType w:val="multilevel"/>
    <w:tmpl w:val="2B5529A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2C2C4B8D"/>
    <w:multiLevelType w:val="singleLevel"/>
    <w:tmpl w:val="2C2C4B8D"/>
    <w:lvl w:ilvl="0" w:tentative="0">
      <w:start w:val="1"/>
      <w:numFmt w:val="japaneseCounting"/>
      <w:lvlText w:val="第%1条"/>
      <w:lvlJc w:val="left"/>
      <w:pPr>
        <w:tabs>
          <w:tab w:val="left" w:pos="1521"/>
        </w:tabs>
        <w:ind w:left="1521" w:hanging="1095"/>
      </w:pPr>
      <w:rPr>
        <w:rFonts w:hint="eastAsia"/>
        <w:b/>
      </w:rPr>
    </w:lvl>
  </w:abstractNum>
  <w:abstractNum w:abstractNumId="52">
    <w:nsid w:val="2CF90508"/>
    <w:multiLevelType w:val="multilevel"/>
    <w:tmpl w:val="2CF9050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2D060ABE"/>
    <w:multiLevelType w:val="multilevel"/>
    <w:tmpl w:val="2D060AB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2D32169E"/>
    <w:multiLevelType w:val="multilevel"/>
    <w:tmpl w:val="2D32169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2D990E30"/>
    <w:multiLevelType w:val="multilevel"/>
    <w:tmpl w:val="2D990E3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2EE306CA"/>
    <w:multiLevelType w:val="multilevel"/>
    <w:tmpl w:val="2EE306CA"/>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2EF10ED7"/>
    <w:multiLevelType w:val="multilevel"/>
    <w:tmpl w:val="2EF10E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2FAC04E1"/>
    <w:multiLevelType w:val="multilevel"/>
    <w:tmpl w:val="2FAC04E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303F0A81"/>
    <w:multiLevelType w:val="multilevel"/>
    <w:tmpl w:val="303F0A81"/>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0990FD4"/>
    <w:multiLevelType w:val="multilevel"/>
    <w:tmpl w:val="30990FD4"/>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32384765"/>
    <w:multiLevelType w:val="multilevel"/>
    <w:tmpl w:val="3238476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334B753F"/>
    <w:multiLevelType w:val="multilevel"/>
    <w:tmpl w:val="334B75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33CD7A8F"/>
    <w:multiLevelType w:val="multilevel"/>
    <w:tmpl w:val="33CD7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34142DDE"/>
    <w:multiLevelType w:val="multilevel"/>
    <w:tmpl w:val="34142DD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35C917A5"/>
    <w:multiLevelType w:val="multilevel"/>
    <w:tmpl w:val="35C917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37742514"/>
    <w:multiLevelType w:val="multilevel"/>
    <w:tmpl w:val="3774251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398E4B04"/>
    <w:multiLevelType w:val="multilevel"/>
    <w:tmpl w:val="398E4B0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39FA5DAA"/>
    <w:multiLevelType w:val="multilevel"/>
    <w:tmpl w:val="39FA5DAA"/>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3A2B4CA4"/>
    <w:multiLevelType w:val="multilevel"/>
    <w:tmpl w:val="3A2B4CA4"/>
    <w:lvl w:ilvl="0" w:tentative="0">
      <w:start w:val="1"/>
      <w:numFmt w:val="decimal"/>
      <w:lvlText w:val="（%1）"/>
      <w:lvlJc w:val="left"/>
      <w:pPr>
        <w:ind w:left="360" w:hanging="360"/>
      </w:pPr>
      <w:rPr>
        <w:rFonts w:hint="default"/>
      </w:rPr>
    </w:lvl>
    <w:lvl w:ilvl="1" w:tentative="0">
      <w:start w:val="2"/>
      <w:numFmt w:val="decimal"/>
      <w:lvlText w:val="（%2）"/>
      <w:lvlJc w:val="left"/>
      <w:pPr>
        <w:ind w:left="1500" w:hanging="108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3B82212D"/>
    <w:multiLevelType w:val="multilevel"/>
    <w:tmpl w:val="3B82212D"/>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3C3C1B22"/>
    <w:multiLevelType w:val="multilevel"/>
    <w:tmpl w:val="3C3C1B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3D1043D9"/>
    <w:multiLevelType w:val="multilevel"/>
    <w:tmpl w:val="3D1043D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3E201C02"/>
    <w:multiLevelType w:val="multilevel"/>
    <w:tmpl w:val="3E201C02"/>
    <w:lvl w:ilvl="0" w:tentative="0">
      <w:start w:val="1"/>
      <w:numFmt w:val="decimal"/>
      <w:lvlText w:val="（%1）"/>
      <w:lvlJc w:val="left"/>
      <w:pPr>
        <w:ind w:left="360" w:hanging="360"/>
      </w:pPr>
      <w:rPr>
        <w:rFonts w:hint="default"/>
      </w:rPr>
    </w:lvl>
    <w:lvl w:ilvl="1" w:tentative="0">
      <w:start w:val="2"/>
      <w:numFmt w:val="decimal"/>
      <w:lvlText w:val="（%2）"/>
      <w:lvlJc w:val="left"/>
      <w:pPr>
        <w:ind w:left="1500" w:hanging="108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3E284405"/>
    <w:multiLevelType w:val="multilevel"/>
    <w:tmpl w:val="3E284405"/>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3E517B00"/>
    <w:multiLevelType w:val="multilevel"/>
    <w:tmpl w:val="3E517B0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3F0D2882"/>
    <w:multiLevelType w:val="multilevel"/>
    <w:tmpl w:val="3F0D288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3F637CBD"/>
    <w:multiLevelType w:val="multilevel"/>
    <w:tmpl w:val="3F637CBD"/>
    <w:lvl w:ilvl="0" w:tentative="0">
      <w:start w:val="1"/>
      <w:numFmt w:val="decimal"/>
      <w:lvlText w:val="%1."/>
      <w:lvlJc w:val="left"/>
      <w:pPr>
        <w:ind w:left="420" w:hanging="42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40B17CE9"/>
    <w:multiLevelType w:val="multilevel"/>
    <w:tmpl w:val="40B17CE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41E94202"/>
    <w:multiLevelType w:val="multilevel"/>
    <w:tmpl w:val="41E94202"/>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423A5BF4"/>
    <w:multiLevelType w:val="multilevel"/>
    <w:tmpl w:val="423A5BF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42B854AB"/>
    <w:multiLevelType w:val="multilevel"/>
    <w:tmpl w:val="42B854A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42C71510"/>
    <w:multiLevelType w:val="multilevel"/>
    <w:tmpl w:val="42C7151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430F55AD"/>
    <w:multiLevelType w:val="multilevel"/>
    <w:tmpl w:val="430F55A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44C61410"/>
    <w:multiLevelType w:val="multilevel"/>
    <w:tmpl w:val="44C6141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44FD4DEF"/>
    <w:multiLevelType w:val="multilevel"/>
    <w:tmpl w:val="44FD4DEF"/>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45CB3CBE"/>
    <w:multiLevelType w:val="multilevel"/>
    <w:tmpl w:val="45CB3CB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45DB1682"/>
    <w:multiLevelType w:val="multilevel"/>
    <w:tmpl w:val="45DB1682"/>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478E4D76"/>
    <w:multiLevelType w:val="multilevel"/>
    <w:tmpl w:val="478E4D76"/>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49BA1A5D"/>
    <w:multiLevelType w:val="multilevel"/>
    <w:tmpl w:val="49BA1A5D"/>
    <w:lvl w:ilvl="0" w:tentative="0">
      <w:start w:val="1"/>
      <w:numFmt w:val="decimal"/>
      <w:lvlText w:val="(%1)"/>
      <w:lvlJc w:val="left"/>
      <w:pPr>
        <w:ind w:left="1238" w:hanging="420"/>
      </w:pPr>
      <w:rPr>
        <w:rFonts w:hint="default"/>
      </w:rPr>
    </w:lvl>
    <w:lvl w:ilvl="1" w:tentative="0">
      <w:start w:val="1"/>
      <w:numFmt w:val="lowerLetter"/>
      <w:lvlText w:val="%2)"/>
      <w:lvlJc w:val="left"/>
      <w:pPr>
        <w:ind w:left="1658" w:hanging="420"/>
      </w:pPr>
    </w:lvl>
    <w:lvl w:ilvl="2" w:tentative="0">
      <w:start w:val="1"/>
      <w:numFmt w:val="lowerRoman"/>
      <w:lvlText w:val="%3."/>
      <w:lvlJc w:val="right"/>
      <w:pPr>
        <w:ind w:left="2078" w:hanging="420"/>
      </w:pPr>
    </w:lvl>
    <w:lvl w:ilvl="3" w:tentative="0">
      <w:start w:val="1"/>
      <w:numFmt w:val="decimal"/>
      <w:lvlText w:val="%4."/>
      <w:lvlJc w:val="left"/>
      <w:pPr>
        <w:ind w:left="2498" w:hanging="420"/>
      </w:pPr>
    </w:lvl>
    <w:lvl w:ilvl="4" w:tentative="0">
      <w:start w:val="1"/>
      <w:numFmt w:val="lowerLetter"/>
      <w:lvlText w:val="%5)"/>
      <w:lvlJc w:val="left"/>
      <w:pPr>
        <w:ind w:left="2918" w:hanging="420"/>
      </w:pPr>
    </w:lvl>
    <w:lvl w:ilvl="5" w:tentative="0">
      <w:start w:val="1"/>
      <w:numFmt w:val="lowerRoman"/>
      <w:lvlText w:val="%6."/>
      <w:lvlJc w:val="right"/>
      <w:pPr>
        <w:ind w:left="3338" w:hanging="420"/>
      </w:pPr>
    </w:lvl>
    <w:lvl w:ilvl="6" w:tentative="0">
      <w:start w:val="1"/>
      <w:numFmt w:val="decimal"/>
      <w:lvlText w:val="%7."/>
      <w:lvlJc w:val="left"/>
      <w:pPr>
        <w:ind w:left="3758" w:hanging="420"/>
      </w:pPr>
    </w:lvl>
    <w:lvl w:ilvl="7" w:tentative="0">
      <w:start w:val="1"/>
      <w:numFmt w:val="lowerLetter"/>
      <w:lvlText w:val="%8)"/>
      <w:lvlJc w:val="left"/>
      <w:pPr>
        <w:ind w:left="4178" w:hanging="420"/>
      </w:pPr>
    </w:lvl>
    <w:lvl w:ilvl="8" w:tentative="0">
      <w:start w:val="1"/>
      <w:numFmt w:val="lowerRoman"/>
      <w:lvlText w:val="%9."/>
      <w:lvlJc w:val="right"/>
      <w:pPr>
        <w:ind w:left="4598" w:hanging="420"/>
      </w:pPr>
    </w:lvl>
  </w:abstractNum>
  <w:abstractNum w:abstractNumId="90">
    <w:nsid w:val="4A8228A8"/>
    <w:multiLevelType w:val="multilevel"/>
    <w:tmpl w:val="4A8228A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4AF6774C"/>
    <w:multiLevelType w:val="multilevel"/>
    <w:tmpl w:val="4AF6774C"/>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4BAD78DB"/>
    <w:multiLevelType w:val="multilevel"/>
    <w:tmpl w:val="4BAD78DB"/>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3">
    <w:nsid w:val="4C6629CC"/>
    <w:multiLevelType w:val="multilevel"/>
    <w:tmpl w:val="4C6629C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4C7C6EC1"/>
    <w:multiLevelType w:val="multilevel"/>
    <w:tmpl w:val="4C7C6EC1"/>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4D9340BD"/>
    <w:multiLevelType w:val="multilevel"/>
    <w:tmpl w:val="4D9340B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4E862A53"/>
    <w:multiLevelType w:val="multilevel"/>
    <w:tmpl w:val="4E862A53"/>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50B32DC5"/>
    <w:multiLevelType w:val="multilevel"/>
    <w:tmpl w:val="50B32DC5"/>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521E1812"/>
    <w:multiLevelType w:val="multilevel"/>
    <w:tmpl w:val="521E1812"/>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52DD23B0"/>
    <w:multiLevelType w:val="multilevel"/>
    <w:tmpl w:val="52DD23B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54190FD5"/>
    <w:multiLevelType w:val="multilevel"/>
    <w:tmpl w:val="54190FD5"/>
    <w:lvl w:ilvl="0" w:tentative="0">
      <w:start w:val="1"/>
      <w:numFmt w:val="decimal"/>
      <w:lvlText w:val="(%1)"/>
      <w:lvlJc w:val="left"/>
      <w:pPr>
        <w:ind w:left="1793" w:hanging="960"/>
      </w:pPr>
      <w:rPr>
        <w:rFonts w:hint="default"/>
      </w:rPr>
    </w:lvl>
    <w:lvl w:ilvl="1" w:tentative="0">
      <w:start w:val="1"/>
      <w:numFmt w:val="lowerLetter"/>
      <w:lvlText w:val="%2)"/>
      <w:lvlJc w:val="left"/>
      <w:pPr>
        <w:ind w:left="1673" w:hanging="420"/>
      </w:pPr>
    </w:lvl>
    <w:lvl w:ilvl="2" w:tentative="0">
      <w:start w:val="1"/>
      <w:numFmt w:val="lowerRoman"/>
      <w:lvlText w:val="%3."/>
      <w:lvlJc w:val="right"/>
      <w:pPr>
        <w:ind w:left="2093" w:hanging="420"/>
      </w:pPr>
    </w:lvl>
    <w:lvl w:ilvl="3" w:tentative="0">
      <w:start w:val="1"/>
      <w:numFmt w:val="decimal"/>
      <w:lvlText w:val="%4."/>
      <w:lvlJc w:val="left"/>
      <w:pPr>
        <w:ind w:left="2513" w:hanging="420"/>
      </w:pPr>
    </w:lvl>
    <w:lvl w:ilvl="4" w:tentative="0">
      <w:start w:val="1"/>
      <w:numFmt w:val="lowerLetter"/>
      <w:lvlText w:val="%5)"/>
      <w:lvlJc w:val="left"/>
      <w:pPr>
        <w:ind w:left="2933" w:hanging="420"/>
      </w:pPr>
    </w:lvl>
    <w:lvl w:ilvl="5" w:tentative="0">
      <w:start w:val="1"/>
      <w:numFmt w:val="lowerRoman"/>
      <w:lvlText w:val="%6."/>
      <w:lvlJc w:val="right"/>
      <w:pPr>
        <w:ind w:left="3353" w:hanging="420"/>
      </w:pPr>
    </w:lvl>
    <w:lvl w:ilvl="6" w:tentative="0">
      <w:start w:val="1"/>
      <w:numFmt w:val="decimal"/>
      <w:lvlText w:val="%7."/>
      <w:lvlJc w:val="left"/>
      <w:pPr>
        <w:ind w:left="3773" w:hanging="420"/>
      </w:pPr>
    </w:lvl>
    <w:lvl w:ilvl="7" w:tentative="0">
      <w:start w:val="1"/>
      <w:numFmt w:val="lowerLetter"/>
      <w:lvlText w:val="%8)"/>
      <w:lvlJc w:val="left"/>
      <w:pPr>
        <w:ind w:left="4193" w:hanging="420"/>
      </w:pPr>
    </w:lvl>
    <w:lvl w:ilvl="8" w:tentative="0">
      <w:start w:val="1"/>
      <w:numFmt w:val="lowerRoman"/>
      <w:lvlText w:val="%9."/>
      <w:lvlJc w:val="right"/>
      <w:pPr>
        <w:ind w:left="4613" w:hanging="420"/>
      </w:pPr>
    </w:lvl>
  </w:abstractNum>
  <w:abstractNum w:abstractNumId="101">
    <w:nsid w:val="543D6F5E"/>
    <w:multiLevelType w:val="multilevel"/>
    <w:tmpl w:val="543D6F5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54A50B9F"/>
    <w:multiLevelType w:val="multilevel"/>
    <w:tmpl w:val="54A50B9F"/>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551A9EFE"/>
    <w:multiLevelType w:val="singleLevel"/>
    <w:tmpl w:val="551A9EFE"/>
    <w:lvl w:ilvl="0" w:tentative="0">
      <w:start w:val="1"/>
      <w:numFmt w:val="chineseCounting"/>
      <w:suff w:val="nothing"/>
      <w:lvlText w:val="%1、"/>
      <w:lvlJc w:val="left"/>
    </w:lvl>
  </w:abstractNum>
  <w:abstractNum w:abstractNumId="104">
    <w:nsid w:val="55793F33"/>
    <w:multiLevelType w:val="multilevel"/>
    <w:tmpl w:val="55793F3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58A91C1C"/>
    <w:multiLevelType w:val="multilevel"/>
    <w:tmpl w:val="58A91C1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58C74690"/>
    <w:multiLevelType w:val="singleLevel"/>
    <w:tmpl w:val="58C74690"/>
    <w:lvl w:ilvl="0" w:tentative="0">
      <w:start w:val="6"/>
      <w:numFmt w:val="chineseCounting"/>
      <w:suff w:val="nothing"/>
      <w:lvlText w:val="%1、"/>
      <w:lvlJc w:val="left"/>
    </w:lvl>
  </w:abstractNum>
  <w:abstractNum w:abstractNumId="107">
    <w:nsid w:val="58C78562"/>
    <w:multiLevelType w:val="singleLevel"/>
    <w:tmpl w:val="58C78562"/>
    <w:lvl w:ilvl="0" w:tentative="0">
      <w:start w:val="2"/>
      <w:numFmt w:val="decimal"/>
      <w:suff w:val="nothing"/>
      <w:lvlText w:val="%1."/>
      <w:lvlJc w:val="left"/>
    </w:lvl>
  </w:abstractNum>
  <w:abstractNum w:abstractNumId="108">
    <w:nsid w:val="59AC538A"/>
    <w:multiLevelType w:val="multilevel"/>
    <w:tmpl w:val="59AC538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59B2574C"/>
    <w:multiLevelType w:val="multilevel"/>
    <w:tmpl w:val="59B2574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0">
    <w:nsid w:val="5A386EBC"/>
    <w:multiLevelType w:val="multilevel"/>
    <w:tmpl w:val="5A386EBC"/>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5D5F55E1"/>
    <w:multiLevelType w:val="multilevel"/>
    <w:tmpl w:val="5D5F55E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5E011004"/>
    <w:multiLevelType w:val="multilevel"/>
    <w:tmpl w:val="5E01100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5E301632"/>
    <w:multiLevelType w:val="multilevel"/>
    <w:tmpl w:val="5E301632"/>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603F29E4"/>
    <w:multiLevelType w:val="multilevel"/>
    <w:tmpl w:val="603F29E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62F1134B"/>
    <w:multiLevelType w:val="multilevel"/>
    <w:tmpl w:val="62F1134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641B21D0"/>
    <w:multiLevelType w:val="multilevel"/>
    <w:tmpl w:val="641B21D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64C2302C"/>
    <w:multiLevelType w:val="multilevel"/>
    <w:tmpl w:val="64C2302C"/>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64DD3B9F"/>
    <w:multiLevelType w:val="multilevel"/>
    <w:tmpl w:val="64DD3B9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9">
    <w:nsid w:val="65B7776C"/>
    <w:multiLevelType w:val="multilevel"/>
    <w:tmpl w:val="65B7776C"/>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0">
    <w:nsid w:val="66953CC2"/>
    <w:multiLevelType w:val="multilevel"/>
    <w:tmpl w:val="66953CC2"/>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68DB6D14"/>
    <w:multiLevelType w:val="multilevel"/>
    <w:tmpl w:val="68DB6D1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2">
    <w:nsid w:val="698D1FAC"/>
    <w:multiLevelType w:val="multilevel"/>
    <w:tmpl w:val="698D1FA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3">
    <w:nsid w:val="6AD70E5D"/>
    <w:multiLevelType w:val="multilevel"/>
    <w:tmpl w:val="6AD70E5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4">
    <w:nsid w:val="6BA9716A"/>
    <w:multiLevelType w:val="multilevel"/>
    <w:tmpl w:val="6BA9716A"/>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5">
    <w:nsid w:val="6BFE2B9B"/>
    <w:multiLevelType w:val="multilevel"/>
    <w:tmpl w:val="6BFE2B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6">
    <w:nsid w:val="6EE477EB"/>
    <w:multiLevelType w:val="multilevel"/>
    <w:tmpl w:val="6EE477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7">
    <w:nsid w:val="71B85E4B"/>
    <w:multiLevelType w:val="multilevel"/>
    <w:tmpl w:val="71B85E4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8">
    <w:nsid w:val="72155FD8"/>
    <w:multiLevelType w:val="multilevel"/>
    <w:tmpl w:val="72155FD8"/>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9">
    <w:nsid w:val="7264284C"/>
    <w:multiLevelType w:val="multilevel"/>
    <w:tmpl w:val="7264284C"/>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0">
    <w:nsid w:val="72A86B84"/>
    <w:multiLevelType w:val="multilevel"/>
    <w:tmpl w:val="72A86B84"/>
    <w:lvl w:ilvl="0" w:tentative="0">
      <w:start w:val="1"/>
      <w:numFmt w:val="decimal"/>
      <w:lvlText w:val="%1、"/>
      <w:lvlJc w:val="left"/>
      <w:pPr>
        <w:ind w:left="360" w:hanging="360"/>
      </w:pPr>
      <w:rPr>
        <w:rFonts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2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1">
    <w:nsid w:val="72E63DD6"/>
    <w:multiLevelType w:val="multilevel"/>
    <w:tmpl w:val="72E63D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2">
    <w:nsid w:val="741B70DD"/>
    <w:multiLevelType w:val="multilevel"/>
    <w:tmpl w:val="741B70DD"/>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3">
    <w:nsid w:val="76294311"/>
    <w:multiLevelType w:val="multilevel"/>
    <w:tmpl w:val="76294311"/>
    <w:lvl w:ilvl="0" w:tentative="0">
      <w:start w:val="1"/>
      <w:numFmt w:val="decimal"/>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4">
    <w:nsid w:val="769E6529"/>
    <w:multiLevelType w:val="multilevel"/>
    <w:tmpl w:val="769E652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5">
    <w:nsid w:val="78604E03"/>
    <w:multiLevelType w:val="multilevel"/>
    <w:tmpl w:val="78604E03"/>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6">
    <w:nsid w:val="7BB81D0B"/>
    <w:multiLevelType w:val="multilevel"/>
    <w:tmpl w:val="7BB81D0B"/>
    <w:lvl w:ilvl="0" w:tentative="0">
      <w:start w:val="1"/>
      <w:numFmt w:val="decimal"/>
      <w:lvlText w:val="（%1）"/>
      <w:lvlJc w:val="left"/>
      <w:pPr>
        <w:ind w:left="360" w:hanging="360"/>
      </w:pPr>
      <w:rPr>
        <w:rFonts w:hint="default"/>
      </w:rPr>
    </w:lvl>
    <w:lvl w:ilvl="1" w:tentative="0">
      <w:start w:val="2"/>
      <w:numFmt w:val="decimal"/>
      <w:lvlText w:val="（%2）"/>
      <w:lvlJc w:val="left"/>
      <w:pPr>
        <w:ind w:left="1500" w:hanging="108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7">
    <w:nsid w:val="7BE55220"/>
    <w:multiLevelType w:val="multilevel"/>
    <w:tmpl w:val="7BE55220"/>
    <w:lvl w:ilvl="0" w:tentative="0">
      <w:start w:val="1"/>
      <w:numFmt w:val="decimal"/>
      <w:lvlText w:val="(%1)"/>
      <w:lvlJc w:val="left"/>
      <w:pPr>
        <w:ind w:left="1554" w:hanging="420"/>
      </w:pPr>
      <w:rPr>
        <w:rFonts w:hint="default"/>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38">
    <w:nsid w:val="7C8E34D3"/>
    <w:multiLevelType w:val="multilevel"/>
    <w:tmpl w:val="7C8E34D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9">
    <w:nsid w:val="7CD308BA"/>
    <w:multiLevelType w:val="multilevel"/>
    <w:tmpl w:val="7CD308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0">
    <w:nsid w:val="7DF74556"/>
    <w:multiLevelType w:val="multilevel"/>
    <w:tmpl w:val="7DF74556"/>
    <w:lvl w:ilvl="0" w:tentative="0">
      <w:start w:val="1"/>
      <w:numFmt w:val="decimal"/>
      <w:lvlText w:val="（%1）"/>
      <w:lvlJc w:val="left"/>
      <w:pPr>
        <w:ind w:left="420" w:hanging="420"/>
      </w:pPr>
      <w:rPr>
        <w:rFonts w:hint="default"/>
      </w:rPr>
    </w:lvl>
    <w:lvl w:ilvl="1" w:tentative="0">
      <w:start w:val="1"/>
      <w:numFmt w:val="decimal"/>
      <w:lvlText w:val="（%2）"/>
      <w:lvlJc w:val="left"/>
      <w:pPr>
        <w:ind w:left="840" w:hanging="420"/>
      </w:pPr>
      <w:rPr>
        <w:rFonts w:hint="default"/>
      </w:rPr>
    </w:lvl>
    <w:lvl w:ilvl="2" w:tentative="0">
      <w:start w:val="1"/>
      <w:numFmt w:val="decimal"/>
      <w:lvlText w:val="(%3)"/>
      <w:lvlJc w:val="left"/>
      <w:pPr>
        <w:ind w:left="1140" w:hanging="360"/>
      </w:pPr>
      <w:rPr>
        <w:rFonts w:hint="default"/>
        <w:color w:val="auto"/>
        <w:highlight w:val="none"/>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1">
    <w:nsid w:val="7EBA7822"/>
    <w:multiLevelType w:val="multilevel"/>
    <w:tmpl w:val="7EBA782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2">
    <w:nsid w:val="7F71695E"/>
    <w:multiLevelType w:val="multilevel"/>
    <w:tmpl w:val="7F71695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3">
    <w:nsid w:val="7FC45AE8"/>
    <w:multiLevelType w:val="multilevel"/>
    <w:tmpl w:val="7FC45AE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6"/>
  </w:num>
  <w:num w:numId="2">
    <w:abstractNumId w:val="103"/>
  </w:num>
  <w:num w:numId="3">
    <w:abstractNumId w:val="28"/>
  </w:num>
  <w:num w:numId="4">
    <w:abstractNumId w:val="107"/>
  </w:num>
  <w:num w:numId="5">
    <w:abstractNumId w:val="105"/>
  </w:num>
  <w:num w:numId="6">
    <w:abstractNumId w:val="85"/>
  </w:num>
  <w:num w:numId="7">
    <w:abstractNumId w:val="10"/>
  </w:num>
  <w:num w:numId="8">
    <w:abstractNumId w:val="22"/>
  </w:num>
  <w:num w:numId="9">
    <w:abstractNumId w:val="64"/>
  </w:num>
  <w:num w:numId="10">
    <w:abstractNumId w:val="98"/>
  </w:num>
  <w:num w:numId="11">
    <w:abstractNumId w:val="19"/>
  </w:num>
  <w:num w:numId="12">
    <w:abstractNumId w:val="101"/>
  </w:num>
  <w:num w:numId="13">
    <w:abstractNumId w:val="75"/>
  </w:num>
  <w:num w:numId="14">
    <w:abstractNumId w:val="9"/>
  </w:num>
  <w:num w:numId="15">
    <w:abstractNumId w:val="127"/>
  </w:num>
  <w:num w:numId="16">
    <w:abstractNumId w:val="84"/>
  </w:num>
  <w:num w:numId="17">
    <w:abstractNumId w:val="77"/>
  </w:num>
  <w:num w:numId="18">
    <w:abstractNumId w:val="114"/>
  </w:num>
  <w:num w:numId="19">
    <w:abstractNumId w:val="116"/>
  </w:num>
  <w:num w:numId="20">
    <w:abstractNumId w:val="142"/>
  </w:num>
  <w:num w:numId="21">
    <w:abstractNumId w:val="13"/>
  </w:num>
  <w:num w:numId="22">
    <w:abstractNumId w:val="113"/>
  </w:num>
  <w:num w:numId="23">
    <w:abstractNumId w:val="30"/>
  </w:num>
  <w:num w:numId="24">
    <w:abstractNumId w:val="39"/>
  </w:num>
  <w:num w:numId="25">
    <w:abstractNumId w:val="92"/>
  </w:num>
  <w:num w:numId="26">
    <w:abstractNumId w:val="108"/>
  </w:num>
  <w:num w:numId="27">
    <w:abstractNumId w:val="49"/>
  </w:num>
  <w:num w:numId="28">
    <w:abstractNumId w:val="17"/>
  </w:num>
  <w:num w:numId="29">
    <w:abstractNumId w:val="66"/>
  </w:num>
  <w:num w:numId="30">
    <w:abstractNumId w:val="50"/>
  </w:num>
  <w:num w:numId="31">
    <w:abstractNumId w:val="55"/>
  </w:num>
  <w:num w:numId="32">
    <w:abstractNumId w:val="125"/>
  </w:num>
  <w:num w:numId="33">
    <w:abstractNumId w:val="8"/>
  </w:num>
  <w:num w:numId="34">
    <w:abstractNumId w:val="104"/>
  </w:num>
  <w:num w:numId="35">
    <w:abstractNumId w:val="21"/>
  </w:num>
  <w:num w:numId="36">
    <w:abstractNumId w:val="131"/>
  </w:num>
  <w:num w:numId="37">
    <w:abstractNumId w:val="93"/>
  </w:num>
  <w:num w:numId="38">
    <w:abstractNumId w:val="15"/>
  </w:num>
  <w:num w:numId="39">
    <w:abstractNumId w:val="138"/>
  </w:num>
  <w:num w:numId="40">
    <w:abstractNumId w:val="4"/>
  </w:num>
  <w:num w:numId="41">
    <w:abstractNumId w:val="47"/>
  </w:num>
  <w:num w:numId="42">
    <w:abstractNumId w:val="61"/>
  </w:num>
  <w:num w:numId="43">
    <w:abstractNumId w:val="42"/>
  </w:num>
  <w:num w:numId="44">
    <w:abstractNumId w:val="45"/>
  </w:num>
  <w:num w:numId="45">
    <w:abstractNumId w:val="139"/>
  </w:num>
  <w:num w:numId="46">
    <w:abstractNumId w:val="119"/>
  </w:num>
  <w:num w:numId="47">
    <w:abstractNumId w:val="135"/>
  </w:num>
  <w:num w:numId="48">
    <w:abstractNumId w:val="40"/>
  </w:num>
  <w:num w:numId="49">
    <w:abstractNumId w:val="31"/>
  </w:num>
  <w:num w:numId="50">
    <w:abstractNumId w:val="60"/>
  </w:num>
  <w:num w:numId="51">
    <w:abstractNumId w:val="2"/>
  </w:num>
  <w:num w:numId="52">
    <w:abstractNumId w:val="109"/>
  </w:num>
  <w:num w:numId="53">
    <w:abstractNumId w:val="74"/>
  </w:num>
  <w:num w:numId="54">
    <w:abstractNumId w:val="133"/>
  </w:num>
  <w:num w:numId="55">
    <w:abstractNumId w:val="87"/>
  </w:num>
  <w:num w:numId="56">
    <w:abstractNumId w:val="132"/>
  </w:num>
  <w:num w:numId="57">
    <w:abstractNumId w:val="37"/>
  </w:num>
  <w:num w:numId="58">
    <w:abstractNumId w:val="68"/>
  </w:num>
  <w:num w:numId="59">
    <w:abstractNumId w:val="46"/>
  </w:num>
  <w:num w:numId="60">
    <w:abstractNumId w:val="94"/>
  </w:num>
  <w:num w:numId="61">
    <w:abstractNumId w:val="100"/>
  </w:num>
  <w:num w:numId="62">
    <w:abstractNumId w:val="26"/>
  </w:num>
  <w:num w:numId="63">
    <w:abstractNumId w:val="25"/>
  </w:num>
  <w:num w:numId="64">
    <w:abstractNumId w:val="89"/>
  </w:num>
  <w:num w:numId="65">
    <w:abstractNumId w:val="70"/>
  </w:num>
  <w:num w:numId="66">
    <w:abstractNumId w:val="117"/>
  </w:num>
  <w:num w:numId="67">
    <w:abstractNumId w:val="140"/>
  </w:num>
  <w:num w:numId="68">
    <w:abstractNumId w:val="24"/>
  </w:num>
  <w:num w:numId="69">
    <w:abstractNumId w:val="56"/>
  </w:num>
  <w:num w:numId="70">
    <w:abstractNumId w:val="41"/>
  </w:num>
  <w:num w:numId="71">
    <w:abstractNumId w:val="32"/>
  </w:num>
  <w:num w:numId="72">
    <w:abstractNumId w:val="137"/>
  </w:num>
  <w:num w:numId="73">
    <w:abstractNumId w:val="118"/>
  </w:num>
  <w:num w:numId="74">
    <w:abstractNumId w:val="16"/>
  </w:num>
  <w:num w:numId="75">
    <w:abstractNumId w:val="54"/>
  </w:num>
  <w:num w:numId="76">
    <w:abstractNumId w:val="43"/>
  </w:num>
  <w:num w:numId="77">
    <w:abstractNumId w:val="86"/>
  </w:num>
  <w:num w:numId="78">
    <w:abstractNumId w:val="129"/>
  </w:num>
  <w:num w:numId="79">
    <w:abstractNumId w:val="88"/>
  </w:num>
  <w:num w:numId="80">
    <w:abstractNumId w:val="91"/>
  </w:num>
  <w:num w:numId="81">
    <w:abstractNumId w:val="69"/>
  </w:num>
  <w:num w:numId="82">
    <w:abstractNumId w:val="1"/>
  </w:num>
  <w:num w:numId="83">
    <w:abstractNumId w:val="73"/>
  </w:num>
  <w:num w:numId="84">
    <w:abstractNumId w:val="102"/>
  </w:num>
  <w:num w:numId="85">
    <w:abstractNumId w:val="18"/>
  </w:num>
  <w:num w:numId="86">
    <w:abstractNumId w:val="136"/>
  </w:num>
  <w:num w:numId="87">
    <w:abstractNumId w:val="76"/>
  </w:num>
  <w:num w:numId="88">
    <w:abstractNumId w:val="120"/>
  </w:num>
  <w:num w:numId="89">
    <w:abstractNumId w:val="124"/>
  </w:num>
  <w:num w:numId="90">
    <w:abstractNumId w:val="110"/>
  </w:num>
  <w:num w:numId="91">
    <w:abstractNumId w:val="59"/>
  </w:num>
  <w:num w:numId="92">
    <w:abstractNumId w:val="96"/>
  </w:num>
  <w:num w:numId="93">
    <w:abstractNumId w:val="36"/>
  </w:num>
  <w:num w:numId="94">
    <w:abstractNumId w:val="128"/>
  </w:num>
  <w:num w:numId="95">
    <w:abstractNumId w:val="7"/>
  </w:num>
  <w:num w:numId="96">
    <w:abstractNumId w:val="11"/>
  </w:num>
  <w:num w:numId="97">
    <w:abstractNumId w:val="123"/>
  </w:num>
  <w:num w:numId="98">
    <w:abstractNumId w:val="58"/>
  </w:num>
  <w:num w:numId="99">
    <w:abstractNumId w:val="5"/>
  </w:num>
  <w:num w:numId="100">
    <w:abstractNumId w:val="3"/>
  </w:num>
  <w:num w:numId="101">
    <w:abstractNumId w:val="34"/>
  </w:num>
  <w:num w:numId="102">
    <w:abstractNumId w:val="20"/>
  </w:num>
  <w:num w:numId="103">
    <w:abstractNumId w:val="143"/>
  </w:num>
  <w:num w:numId="104">
    <w:abstractNumId w:val="14"/>
  </w:num>
  <w:num w:numId="105">
    <w:abstractNumId w:val="44"/>
  </w:num>
  <w:num w:numId="106">
    <w:abstractNumId w:val="29"/>
  </w:num>
  <w:num w:numId="107">
    <w:abstractNumId w:val="27"/>
  </w:num>
  <w:num w:numId="108">
    <w:abstractNumId w:val="67"/>
  </w:num>
  <w:num w:numId="109">
    <w:abstractNumId w:val="83"/>
  </w:num>
  <w:num w:numId="110">
    <w:abstractNumId w:val="112"/>
  </w:num>
  <w:num w:numId="111">
    <w:abstractNumId w:val="126"/>
  </w:num>
  <w:num w:numId="112">
    <w:abstractNumId w:val="53"/>
  </w:num>
  <w:num w:numId="113">
    <w:abstractNumId w:val="122"/>
  </w:num>
  <w:num w:numId="114">
    <w:abstractNumId w:val="6"/>
  </w:num>
  <w:num w:numId="115">
    <w:abstractNumId w:val="99"/>
  </w:num>
  <w:num w:numId="116">
    <w:abstractNumId w:val="115"/>
  </w:num>
  <w:num w:numId="117">
    <w:abstractNumId w:val="80"/>
  </w:num>
  <w:num w:numId="118">
    <w:abstractNumId w:val="48"/>
  </w:num>
  <w:num w:numId="119">
    <w:abstractNumId w:val="78"/>
  </w:num>
  <w:num w:numId="120">
    <w:abstractNumId w:val="141"/>
  </w:num>
  <w:num w:numId="121">
    <w:abstractNumId w:val="90"/>
  </w:num>
  <w:num w:numId="122">
    <w:abstractNumId w:val="72"/>
  </w:num>
  <w:num w:numId="123">
    <w:abstractNumId w:val="63"/>
  </w:num>
  <w:num w:numId="124">
    <w:abstractNumId w:val="57"/>
  </w:num>
  <w:num w:numId="125">
    <w:abstractNumId w:val="111"/>
  </w:num>
  <w:num w:numId="126">
    <w:abstractNumId w:val="52"/>
  </w:num>
  <w:num w:numId="127">
    <w:abstractNumId w:val="82"/>
  </w:num>
  <w:num w:numId="128">
    <w:abstractNumId w:val="95"/>
  </w:num>
  <w:num w:numId="129">
    <w:abstractNumId w:val="81"/>
  </w:num>
  <w:num w:numId="130">
    <w:abstractNumId w:val="134"/>
  </w:num>
  <w:num w:numId="131">
    <w:abstractNumId w:val="97"/>
  </w:num>
  <w:num w:numId="132">
    <w:abstractNumId w:val="79"/>
  </w:num>
  <w:num w:numId="133">
    <w:abstractNumId w:val="121"/>
  </w:num>
  <w:num w:numId="134">
    <w:abstractNumId w:val="65"/>
  </w:num>
  <w:num w:numId="135">
    <w:abstractNumId w:val="71"/>
  </w:num>
  <w:num w:numId="136">
    <w:abstractNumId w:val="62"/>
  </w:num>
  <w:num w:numId="137">
    <w:abstractNumId w:val="130"/>
  </w:num>
  <w:num w:numId="138">
    <w:abstractNumId w:val="12"/>
  </w:num>
  <w:num w:numId="139">
    <w:abstractNumId w:val="23"/>
  </w:num>
  <w:num w:numId="140">
    <w:abstractNumId w:val="0"/>
  </w:num>
  <w:num w:numId="141">
    <w:abstractNumId w:val="38"/>
  </w:num>
  <w:num w:numId="142">
    <w:abstractNumId w:val="33"/>
  </w:num>
  <w:num w:numId="143">
    <w:abstractNumId w:val="51"/>
  </w:num>
  <w:num w:numId="1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35"/>
    <w:rsid w:val="0000081D"/>
    <w:rsid w:val="00001DB7"/>
    <w:rsid w:val="000046B2"/>
    <w:rsid w:val="0000552D"/>
    <w:rsid w:val="00006C25"/>
    <w:rsid w:val="000101B2"/>
    <w:rsid w:val="00011BC0"/>
    <w:rsid w:val="0001200B"/>
    <w:rsid w:val="0002053A"/>
    <w:rsid w:val="00021010"/>
    <w:rsid w:val="0002283E"/>
    <w:rsid w:val="0002365F"/>
    <w:rsid w:val="0003237D"/>
    <w:rsid w:val="00034086"/>
    <w:rsid w:val="0003438A"/>
    <w:rsid w:val="00035154"/>
    <w:rsid w:val="00036DA5"/>
    <w:rsid w:val="00036F21"/>
    <w:rsid w:val="0004133E"/>
    <w:rsid w:val="00044DF4"/>
    <w:rsid w:val="00045880"/>
    <w:rsid w:val="00045F7F"/>
    <w:rsid w:val="000462A3"/>
    <w:rsid w:val="00050009"/>
    <w:rsid w:val="0005119C"/>
    <w:rsid w:val="000518AF"/>
    <w:rsid w:val="00051F6E"/>
    <w:rsid w:val="00052098"/>
    <w:rsid w:val="00052C7A"/>
    <w:rsid w:val="0005529E"/>
    <w:rsid w:val="00060DEC"/>
    <w:rsid w:val="00061216"/>
    <w:rsid w:val="000614FB"/>
    <w:rsid w:val="000621B1"/>
    <w:rsid w:val="000642A5"/>
    <w:rsid w:val="00065AE5"/>
    <w:rsid w:val="0006774F"/>
    <w:rsid w:val="000678C6"/>
    <w:rsid w:val="00072200"/>
    <w:rsid w:val="00073537"/>
    <w:rsid w:val="00073BE6"/>
    <w:rsid w:val="0007407C"/>
    <w:rsid w:val="0007409D"/>
    <w:rsid w:val="00075714"/>
    <w:rsid w:val="00080C56"/>
    <w:rsid w:val="00080F48"/>
    <w:rsid w:val="00084566"/>
    <w:rsid w:val="000847E5"/>
    <w:rsid w:val="00091F8C"/>
    <w:rsid w:val="00092373"/>
    <w:rsid w:val="00093CCF"/>
    <w:rsid w:val="00093FDA"/>
    <w:rsid w:val="0009530A"/>
    <w:rsid w:val="00095BE8"/>
    <w:rsid w:val="00097BDA"/>
    <w:rsid w:val="000A0783"/>
    <w:rsid w:val="000A14C0"/>
    <w:rsid w:val="000A1C64"/>
    <w:rsid w:val="000A1FC8"/>
    <w:rsid w:val="000A26C3"/>
    <w:rsid w:val="000A6785"/>
    <w:rsid w:val="000B2F35"/>
    <w:rsid w:val="000B5119"/>
    <w:rsid w:val="000B5D40"/>
    <w:rsid w:val="000B6CBE"/>
    <w:rsid w:val="000B7505"/>
    <w:rsid w:val="000C2B75"/>
    <w:rsid w:val="000C2FA3"/>
    <w:rsid w:val="000C4B86"/>
    <w:rsid w:val="000C6948"/>
    <w:rsid w:val="000C7650"/>
    <w:rsid w:val="000D1EBB"/>
    <w:rsid w:val="000D2086"/>
    <w:rsid w:val="000D2C42"/>
    <w:rsid w:val="000D3313"/>
    <w:rsid w:val="000D3D6B"/>
    <w:rsid w:val="000D43E0"/>
    <w:rsid w:val="000D6470"/>
    <w:rsid w:val="000D69E3"/>
    <w:rsid w:val="000D70C4"/>
    <w:rsid w:val="000E08DD"/>
    <w:rsid w:val="000E09C0"/>
    <w:rsid w:val="000E1870"/>
    <w:rsid w:val="000E18CE"/>
    <w:rsid w:val="000E2388"/>
    <w:rsid w:val="000E26E2"/>
    <w:rsid w:val="000E3567"/>
    <w:rsid w:val="000E4F76"/>
    <w:rsid w:val="000E56E6"/>
    <w:rsid w:val="000E7118"/>
    <w:rsid w:val="000E7C81"/>
    <w:rsid w:val="000F5C82"/>
    <w:rsid w:val="000F657D"/>
    <w:rsid w:val="000F6ACB"/>
    <w:rsid w:val="000F7519"/>
    <w:rsid w:val="00100E3B"/>
    <w:rsid w:val="00102520"/>
    <w:rsid w:val="00102948"/>
    <w:rsid w:val="00105092"/>
    <w:rsid w:val="001057A1"/>
    <w:rsid w:val="0010674D"/>
    <w:rsid w:val="0010767D"/>
    <w:rsid w:val="0011123C"/>
    <w:rsid w:val="001121D2"/>
    <w:rsid w:val="00112D9F"/>
    <w:rsid w:val="001171A2"/>
    <w:rsid w:val="001200C4"/>
    <w:rsid w:val="00120F8B"/>
    <w:rsid w:val="00121AC4"/>
    <w:rsid w:val="00122D9B"/>
    <w:rsid w:val="001247D4"/>
    <w:rsid w:val="00131117"/>
    <w:rsid w:val="0013147B"/>
    <w:rsid w:val="00132387"/>
    <w:rsid w:val="00134549"/>
    <w:rsid w:val="0013584B"/>
    <w:rsid w:val="00136176"/>
    <w:rsid w:val="001363F6"/>
    <w:rsid w:val="00137456"/>
    <w:rsid w:val="001404F6"/>
    <w:rsid w:val="001430A8"/>
    <w:rsid w:val="00144CD1"/>
    <w:rsid w:val="00145DFD"/>
    <w:rsid w:val="00146043"/>
    <w:rsid w:val="001475D7"/>
    <w:rsid w:val="001540A3"/>
    <w:rsid w:val="0015446D"/>
    <w:rsid w:val="0015629D"/>
    <w:rsid w:val="00156FDA"/>
    <w:rsid w:val="00157E0F"/>
    <w:rsid w:val="00161674"/>
    <w:rsid w:val="00162091"/>
    <w:rsid w:val="00163451"/>
    <w:rsid w:val="0016350C"/>
    <w:rsid w:val="0016368D"/>
    <w:rsid w:val="00163D3E"/>
    <w:rsid w:val="00165F8E"/>
    <w:rsid w:val="0016690E"/>
    <w:rsid w:val="0017268F"/>
    <w:rsid w:val="001727FC"/>
    <w:rsid w:val="001738F7"/>
    <w:rsid w:val="00173BD8"/>
    <w:rsid w:val="00174459"/>
    <w:rsid w:val="00175DF8"/>
    <w:rsid w:val="001762A2"/>
    <w:rsid w:val="00177FA8"/>
    <w:rsid w:val="0018021E"/>
    <w:rsid w:val="00180E1C"/>
    <w:rsid w:val="001815DC"/>
    <w:rsid w:val="00182A86"/>
    <w:rsid w:val="00184775"/>
    <w:rsid w:val="00184CB8"/>
    <w:rsid w:val="00184D8B"/>
    <w:rsid w:val="00186A56"/>
    <w:rsid w:val="001876E5"/>
    <w:rsid w:val="001918AE"/>
    <w:rsid w:val="00192860"/>
    <w:rsid w:val="00197B41"/>
    <w:rsid w:val="00197C41"/>
    <w:rsid w:val="001A0B70"/>
    <w:rsid w:val="001A2AB9"/>
    <w:rsid w:val="001A2E40"/>
    <w:rsid w:val="001A389E"/>
    <w:rsid w:val="001A5212"/>
    <w:rsid w:val="001A79B0"/>
    <w:rsid w:val="001B0666"/>
    <w:rsid w:val="001B20B3"/>
    <w:rsid w:val="001B2B11"/>
    <w:rsid w:val="001B5139"/>
    <w:rsid w:val="001B5B35"/>
    <w:rsid w:val="001B7228"/>
    <w:rsid w:val="001B7F60"/>
    <w:rsid w:val="001C02F8"/>
    <w:rsid w:val="001C08FD"/>
    <w:rsid w:val="001C137A"/>
    <w:rsid w:val="001C19D5"/>
    <w:rsid w:val="001C38D8"/>
    <w:rsid w:val="001D4C95"/>
    <w:rsid w:val="001D5862"/>
    <w:rsid w:val="001D6BA1"/>
    <w:rsid w:val="001E10BE"/>
    <w:rsid w:val="001E71F7"/>
    <w:rsid w:val="001E774B"/>
    <w:rsid w:val="001E7D6D"/>
    <w:rsid w:val="001F13EA"/>
    <w:rsid w:val="001F388A"/>
    <w:rsid w:val="001F4633"/>
    <w:rsid w:val="001F5134"/>
    <w:rsid w:val="001F5A13"/>
    <w:rsid w:val="001F5D1B"/>
    <w:rsid w:val="001F6470"/>
    <w:rsid w:val="00201BFF"/>
    <w:rsid w:val="0020586E"/>
    <w:rsid w:val="002066AA"/>
    <w:rsid w:val="002074C9"/>
    <w:rsid w:val="00214860"/>
    <w:rsid w:val="002154A8"/>
    <w:rsid w:val="002161C6"/>
    <w:rsid w:val="00216739"/>
    <w:rsid w:val="00216938"/>
    <w:rsid w:val="00216D2B"/>
    <w:rsid w:val="002217CD"/>
    <w:rsid w:val="00221F1D"/>
    <w:rsid w:val="002227D5"/>
    <w:rsid w:val="00224905"/>
    <w:rsid w:val="00225172"/>
    <w:rsid w:val="0022657C"/>
    <w:rsid w:val="00227C49"/>
    <w:rsid w:val="00227CC8"/>
    <w:rsid w:val="00230EF1"/>
    <w:rsid w:val="00233468"/>
    <w:rsid w:val="00235F06"/>
    <w:rsid w:val="002368AF"/>
    <w:rsid w:val="00237549"/>
    <w:rsid w:val="00240837"/>
    <w:rsid w:val="00247929"/>
    <w:rsid w:val="00253579"/>
    <w:rsid w:val="002541D6"/>
    <w:rsid w:val="00254927"/>
    <w:rsid w:val="00260AFA"/>
    <w:rsid w:val="00262E83"/>
    <w:rsid w:val="0027100F"/>
    <w:rsid w:val="00272996"/>
    <w:rsid w:val="002754B8"/>
    <w:rsid w:val="00275F0F"/>
    <w:rsid w:val="00277AFB"/>
    <w:rsid w:val="00281F2D"/>
    <w:rsid w:val="002829C6"/>
    <w:rsid w:val="00283070"/>
    <w:rsid w:val="00285635"/>
    <w:rsid w:val="00285D78"/>
    <w:rsid w:val="002860CA"/>
    <w:rsid w:val="00287C38"/>
    <w:rsid w:val="00290B0A"/>
    <w:rsid w:val="00290D6A"/>
    <w:rsid w:val="00290E56"/>
    <w:rsid w:val="002914DA"/>
    <w:rsid w:val="002918C2"/>
    <w:rsid w:val="002927D5"/>
    <w:rsid w:val="002929B9"/>
    <w:rsid w:val="00294F5B"/>
    <w:rsid w:val="002958ED"/>
    <w:rsid w:val="00297E5D"/>
    <w:rsid w:val="00297F10"/>
    <w:rsid w:val="002A1BEA"/>
    <w:rsid w:val="002A1E42"/>
    <w:rsid w:val="002A3053"/>
    <w:rsid w:val="002A35FB"/>
    <w:rsid w:val="002A58C1"/>
    <w:rsid w:val="002A5AF0"/>
    <w:rsid w:val="002B061C"/>
    <w:rsid w:val="002B0A9F"/>
    <w:rsid w:val="002B16D5"/>
    <w:rsid w:val="002B1CBF"/>
    <w:rsid w:val="002B4420"/>
    <w:rsid w:val="002B605D"/>
    <w:rsid w:val="002B715A"/>
    <w:rsid w:val="002B726A"/>
    <w:rsid w:val="002C000B"/>
    <w:rsid w:val="002C0204"/>
    <w:rsid w:val="002C0278"/>
    <w:rsid w:val="002C2E89"/>
    <w:rsid w:val="002C5399"/>
    <w:rsid w:val="002C574B"/>
    <w:rsid w:val="002C5AE6"/>
    <w:rsid w:val="002C739F"/>
    <w:rsid w:val="002C76C6"/>
    <w:rsid w:val="002D4125"/>
    <w:rsid w:val="002E3EC2"/>
    <w:rsid w:val="002E64F6"/>
    <w:rsid w:val="002F0845"/>
    <w:rsid w:val="002F3E8D"/>
    <w:rsid w:val="002F66C6"/>
    <w:rsid w:val="00300D31"/>
    <w:rsid w:val="0030278F"/>
    <w:rsid w:val="00304647"/>
    <w:rsid w:val="003046A1"/>
    <w:rsid w:val="0030537D"/>
    <w:rsid w:val="003053E6"/>
    <w:rsid w:val="003071E1"/>
    <w:rsid w:val="00312935"/>
    <w:rsid w:val="00312EBB"/>
    <w:rsid w:val="0031332D"/>
    <w:rsid w:val="00313B4E"/>
    <w:rsid w:val="003147C5"/>
    <w:rsid w:val="00315087"/>
    <w:rsid w:val="003151A8"/>
    <w:rsid w:val="0032076F"/>
    <w:rsid w:val="00322F8B"/>
    <w:rsid w:val="00323227"/>
    <w:rsid w:val="00326AD4"/>
    <w:rsid w:val="00326D5D"/>
    <w:rsid w:val="00330E49"/>
    <w:rsid w:val="003337AC"/>
    <w:rsid w:val="00333F07"/>
    <w:rsid w:val="00333F5E"/>
    <w:rsid w:val="0033470D"/>
    <w:rsid w:val="00335AEE"/>
    <w:rsid w:val="00336699"/>
    <w:rsid w:val="0033778F"/>
    <w:rsid w:val="00337B8C"/>
    <w:rsid w:val="003406CD"/>
    <w:rsid w:val="00344AB3"/>
    <w:rsid w:val="00345A61"/>
    <w:rsid w:val="0034790E"/>
    <w:rsid w:val="00352A15"/>
    <w:rsid w:val="00353F79"/>
    <w:rsid w:val="003545C9"/>
    <w:rsid w:val="00355653"/>
    <w:rsid w:val="0035613F"/>
    <w:rsid w:val="00362309"/>
    <w:rsid w:val="00362781"/>
    <w:rsid w:val="003628E0"/>
    <w:rsid w:val="003638B8"/>
    <w:rsid w:val="003670F1"/>
    <w:rsid w:val="00370AB3"/>
    <w:rsid w:val="003735FF"/>
    <w:rsid w:val="00373A95"/>
    <w:rsid w:val="00373F66"/>
    <w:rsid w:val="00374C0E"/>
    <w:rsid w:val="003761F2"/>
    <w:rsid w:val="0038143D"/>
    <w:rsid w:val="003904A5"/>
    <w:rsid w:val="00391657"/>
    <w:rsid w:val="003916C3"/>
    <w:rsid w:val="00392D30"/>
    <w:rsid w:val="0039307D"/>
    <w:rsid w:val="00393F18"/>
    <w:rsid w:val="00395A26"/>
    <w:rsid w:val="003A0EF2"/>
    <w:rsid w:val="003A11B6"/>
    <w:rsid w:val="003A15BF"/>
    <w:rsid w:val="003A1A49"/>
    <w:rsid w:val="003A60D2"/>
    <w:rsid w:val="003A6903"/>
    <w:rsid w:val="003A7D84"/>
    <w:rsid w:val="003B056D"/>
    <w:rsid w:val="003B3F7E"/>
    <w:rsid w:val="003B4A3F"/>
    <w:rsid w:val="003B505C"/>
    <w:rsid w:val="003B7493"/>
    <w:rsid w:val="003C00DF"/>
    <w:rsid w:val="003C1065"/>
    <w:rsid w:val="003C1BC9"/>
    <w:rsid w:val="003C265D"/>
    <w:rsid w:val="003C29EF"/>
    <w:rsid w:val="003C3494"/>
    <w:rsid w:val="003C3609"/>
    <w:rsid w:val="003C5DEC"/>
    <w:rsid w:val="003D16AA"/>
    <w:rsid w:val="003D2694"/>
    <w:rsid w:val="003D276D"/>
    <w:rsid w:val="003D2E66"/>
    <w:rsid w:val="003D3CA8"/>
    <w:rsid w:val="003D45D7"/>
    <w:rsid w:val="003D6064"/>
    <w:rsid w:val="003D7128"/>
    <w:rsid w:val="003D720F"/>
    <w:rsid w:val="003E188B"/>
    <w:rsid w:val="003E3BA6"/>
    <w:rsid w:val="003E54EE"/>
    <w:rsid w:val="003E5786"/>
    <w:rsid w:val="003E6077"/>
    <w:rsid w:val="003F3C88"/>
    <w:rsid w:val="003F62A2"/>
    <w:rsid w:val="003F7451"/>
    <w:rsid w:val="003F7469"/>
    <w:rsid w:val="003F797D"/>
    <w:rsid w:val="004019A2"/>
    <w:rsid w:val="00401AB0"/>
    <w:rsid w:val="00401FDC"/>
    <w:rsid w:val="004026F9"/>
    <w:rsid w:val="004027F5"/>
    <w:rsid w:val="00403CE8"/>
    <w:rsid w:val="0041091F"/>
    <w:rsid w:val="00412BD0"/>
    <w:rsid w:val="00414112"/>
    <w:rsid w:val="0041509F"/>
    <w:rsid w:val="00416A51"/>
    <w:rsid w:val="00417E5D"/>
    <w:rsid w:val="00423960"/>
    <w:rsid w:val="00425AD6"/>
    <w:rsid w:val="00425EAC"/>
    <w:rsid w:val="00427F5F"/>
    <w:rsid w:val="0043135D"/>
    <w:rsid w:val="0043183B"/>
    <w:rsid w:val="00431AE2"/>
    <w:rsid w:val="00431B27"/>
    <w:rsid w:val="00432264"/>
    <w:rsid w:val="0043228D"/>
    <w:rsid w:val="0043362A"/>
    <w:rsid w:val="004350AC"/>
    <w:rsid w:val="00436795"/>
    <w:rsid w:val="004432B2"/>
    <w:rsid w:val="00444AC5"/>
    <w:rsid w:val="00444FC1"/>
    <w:rsid w:val="0044554B"/>
    <w:rsid w:val="00445B2F"/>
    <w:rsid w:val="0044674B"/>
    <w:rsid w:val="004470EA"/>
    <w:rsid w:val="00447205"/>
    <w:rsid w:val="004500BF"/>
    <w:rsid w:val="00451C83"/>
    <w:rsid w:val="004524BD"/>
    <w:rsid w:val="00453EAA"/>
    <w:rsid w:val="00454DC0"/>
    <w:rsid w:val="00457E7B"/>
    <w:rsid w:val="004601EE"/>
    <w:rsid w:val="004625F0"/>
    <w:rsid w:val="004653F2"/>
    <w:rsid w:val="0046685F"/>
    <w:rsid w:val="00467CFA"/>
    <w:rsid w:val="00470347"/>
    <w:rsid w:val="004705C7"/>
    <w:rsid w:val="00472EC5"/>
    <w:rsid w:val="004747C3"/>
    <w:rsid w:val="00483148"/>
    <w:rsid w:val="00483E8F"/>
    <w:rsid w:val="00485138"/>
    <w:rsid w:val="00485C72"/>
    <w:rsid w:val="00491C8F"/>
    <w:rsid w:val="0049329D"/>
    <w:rsid w:val="004934CD"/>
    <w:rsid w:val="00495AF5"/>
    <w:rsid w:val="00496719"/>
    <w:rsid w:val="00496E7B"/>
    <w:rsid w:val="00496ED5"/>
    <w:rsid w:val="004973ED"/>
    <w:rsid w:val="00497439"/>
    <w:rsid w:val="00497651"/>
    <w:rsid w:val="00497E61"/>
    <w:rsid w:val="004A367D"/>
    <w:rsid w:val="004A67B1"/>
    <w:rsid w:val="004A6900"/>
    <w:rsid w:val="004A6E2C"/>
    <w:rsid w:val="004A7E39"/>
    <w:rsid w:val="004B0E52"/>
    <w:rsid w:val="004B12E7"/>
    <w:rsid w:val="004B1B3C"/>
    <w:rsid w:val="004B1CC0"/>
    <w:rsid w:val="004B26C3"/>
    <w:rsid w:val="004B2AAD"/>
    <w:rsid w:val="004B371C"/>
    <w:rsid w:val="004B4509"/>
    <w:rsid w:val="004B515B"/>
    <w:rsid w:val="004B5567"/>
    <w:rsid w:val="004B649A"/>
    <w:rsid w:val="004B66B7"/>
    <w:rsid w:val="004B6C46"/>
    <w:rsid w:val="004B6CF8"/>
    <w:rsid w:val="004B6D29"/>
    <w:rsid w:val="004B6E4C"/>
    <w:rsid w:val="004C07AB"/>
    <w:rsid w:val="004C0A31"/>
    <w:rsid w:val="004C225A"/>
    <w:rsid w:val="004C226F"/>
    <w:rsid w:val="004C236B"/>
    <w:rsid w:val="004C4611"/>
    <w:rsid w:val="004C5436"/>
    <w:rsid w:val="004C6D0E"/>
    <w:rsid w:val="004C6D6D"/>
    <w:rsid w:val="004C7749"/>
    <w:rsid w:val="004D0EA6"/>
    <w:rsid w:val="004D246A"/>
    <w:rsid w:val="004D7B5C"/>
    <w:rsid w:val="004E08C2"/>
    <w:rsid w:val="004E310C"/>
    <w:rsid w:val="004E43CD"/>
    <w:rsid w:val="004E4EAB"/>
    <w:rsid w:val="004E6C82"/>
    <w:rsid w:val="004F1720"/>
    <w:rsid w:val="004F305C"/>
    <w:rsid w:val="004F3541"/>
    <w:rsid w:val="004F4625"/>
    <w:rsid w:val="004F5D17"/>
    <w:rsid w:val="004F677E"/>
    <w:rsid w:val="004F6DFC"/>
    <w:rsid w:val="004F7CEB"/>
    <w:rsid w:val="0050005E"/>
    <w:rsid w:val="00500062"/>
    <w:rsid w:val="00502972"/>
    <w:rsid w:val="0050417F"/>
    <w:rsid w:val="00504564"/>
    <w:rsid w:val="00505AB8"/>
    <w:rsid w:val="00506E34"/>
    <w:rsid w:val="00507108"/>
    <w:rsid w:val="0051076A"/>
    <w:rsid w:val="005109BA"/>
    <w:rsid w:val="00511ADA"/>
    <w:rsid w:val="00514D0D"/>
    <w:rsid w:val="00516C1F"/>
    <w:rsid w:val="00520112"/>
    <w:rsid w:val="0052232F"/>
    <w:rsid w:val="00522BBF"/>
    <w:rsid w:val="00522D39"/>
    <w:rsid w:val="005238FA"/>
    <w:rsid w:val="005243D6"/>
    <w:rsid w:val="00526A9C"/>
    <w:rsid w:val="0053088B"/>
    <w:rsid w:val="0053164D"/>
    <w:rsid w:val="00532199"/>
    <w:rsid w:val="00537CEE"/>
    <w:rsid w:val="00537DBA"/>
    <w:rsid w:val="00540A9C"/>
    <w:rsid w:val="00541530"/>
    <w:rsid w:val="005418D0"/>
    <w:rsid w:val="00541F14"/>
    <w:rsid w:val="0054222F"/>
    <w:rsid w:val="00542436"/>
    <w:rsid w:val="00543EDC"/>
    <w:rsid w:val="005457C9"/>
    <w:rsid w:val="00545C9B"/>
    <w:rsid w:val="00547673"/>
    <w:rsid w:val="005478BF"/>
    <w:rsid w:val="00551524"/>
    <w:rsid w:val="00551685"/>
    <w:rsid w:val="005545A8"/>
    <w:rsid w:val="0055460D"/>
    <w:rsid w:val="00557F8E"/>
    <w:rsid w:val="005629DC"/>
    <w:rsid w:val="005649A3"/>
    <w:rsid w:val="005654D5"/>
    <w:rsid w:val="00565D5D"/>
    <w:rsid w:val="005672E8"/>
    <w:rsid w:val="00567D0E"/>
    <w:rsid w:val="0057044D"/>
    <w:rsid w:val="00570C12"/>
    <w:rsid w:val="005721A1"/>
    <w:rsid w:val="00572CA9"/>
    <w:rsid w:val="005810CA"/>
    <w:rsid w:val="00582559"/>
    <w:rsid w:val="0058263A"/>
    <w:rsid w:val="00583675"/>
    <w:rsid w:val="005873E9"/>
    <w:rsid w:val="005875C8"/>
    <w:rsid w:val="0059047A"/>
    <w:rsid w:val="00590DA4"/>
    <w:rsid w:val="00594332"/>
    <w:rsid w:val="005943F5"/>
    <w:rsid w:val="00594D4E"/>
    <w:rsid w:val="00595494"/>
    <w:rsid w:val="005958EB"/>
    <w:rsid w:val="00595E06"/>
    <w:rsid w:val="00596CFD"/>
    <w:rsid w:val="005A1063"/>
    <w:rsid w:val="005A1999"/>
    <w:rsid w:val="005A3BB9"/>
    <w:rsid w:val="005A4018"/>
    <w:rsid w:val="005A7243"/>
    <w:rsid w:val="005A7E60"/>
    <w:rsid w:val="005B0834"/>
    <w:rsid w:val="005B2417"/>
    <w:rsid w:val="005B26A6"/>
    <w:rsid w:val="005B3B92"/>
    <w:rsid w:val="005B3BDE"/>
    <w:rsid w:val="005B67C3"/>
    <w:rsid w:val="005C2666"/>
    <w:rsid w:val="005C2749"/>
    <w:rsid w:val="005C5A29"/>
    <w:rsid w:val="005C63C7"/>
    <w:rsid w:val="005D167C"/>
    <w:rsid w:val="005D2568"/>
    <w:rsid w:val="005D34C0"/>
    <w:rsid w:val="005E0790"/>
    <w:rsid w:val="005E100C"/>
    <w:rsid w:val="005E1169"/>
    <w:rsid w:val="005E40EC"/>
    <w:rsid w:val="005F01D2"/>
    <w:rsid w:val="005F07DF"/>
    <w:rsid w:val="005F0901"/>
    <w:rsid w:val="005F2226"/>
    <w:rsid w:val="005F4AC6"/>
    <w:rsid w:val="005F4B4A"/>
    <w:rsid w:val="005F5654"/>
    <w:rsid w:val="005F5D53"/>
    <w:rsid w:val="005F5E11"/>
    <w:rsid w:val="005F7D95"/>
    <w:rsid w:val="0060158E"/>
    <w:rsid w:val="006015A4"/>
    <w:rsid w:val="00601A3F"/>
    <w:rsid w:val="00602752"/>
    <w:rsid w:val="00603EF0"/>
    <w:rsid w:val="00606FE8"/>
    <w:rsid w:val="00607AB9"/>
    <w:rsid w:val="00612992"/>
    <w:rsid w:val="00614138"/>
    <w:rsid w:val="00614217"/>
    <w:rsid w:val="0061475D"/>
    <w:rsid w:val="006225DF"/>
    <w:rsid w:val="00623917"/>
    <w:rsid w:val="0062402B"/>
    <w:rsid w:val="00624700"/>
    <w:rsid w:val="00624B5F"/>
    <w:rsid w:val="0062511A"/>
    <w:rsid w:val="006256B4"/>
    <w:rsid w:val="0062589E"/>
    <w:rsid w:val="00626204"/>
    <w:rsid w:val="006345AC"/>
    <w:rsid w:val="006401A5"/>
    <w:rsid w:val="00643125"/>
    <w:rsid w:val="00643146"/>
    <w:rsid w:val="0064543F"/>
    <w:rsid w:val="006474A6"/>
    <w:rsid w:val="00650C1B"/>
    <w:rsid w:val="00651743"/>
    <w:rsid w:val="00651902"/>
    <w:rsid w:val="00653FB2"/>
    <w:rsid w:val="00654C4A"/>
    <w:rsid w:val="0065550D"/>
    <w:rsid w:val="0065570A"/>
    <w:rsid w:val="00662B1B"/>
    <w:rsid w:val="00664CA2"/>
    <w:rsid w:val="00666C82"/>
    <w:rsid w:val="00667B4F"/>
    <w:rsid w:val="0067174A"/>
    <w:rsid w:val="00671AFE"/>
    <w:rsid w:val="006726D8"/>
    <w:rsid w:val="00672B88"/>
    <w:rsid w:val="006742A7"/>
    <w:rsid w:val="006747B6"/>
    <w:rsid w:val="0067489C"/>
    <w:rsid w:val="00675355"/>
    <w:rsid w:val="00676441"/>
    <w:rsid w:val="00681F64"/>
    <w:rsid w:val="00683C6A"/>
    <w:rsid w:val="0069124A"/>
    <w:rsid w:val="00692DCD"/>
    <w:rsid w:val="00694668"/>
    <w:rsid w:val="00695AF7"/>
    <w:rsid w:val="006A0015"/>
    <w:rsid w:val="006A0F50"/>
    <w:rsid w:val="006A2630"/>
    <w:rsid w:val="006A465B"/>
    <w:rsid w:val="006A650A"/>
    <w:rsid w:val="006A7C4B"/>
    <w:rsid w:val="006B1872"/>
    <w:rsid w:val="006B364A"/>
    <w:rsid w:val="006B4D98"/>
    <w:rsid w:val="006B640F"/>
    <w:rsid w:val="006B64A4"/>
    <w:rsid w:val="006B64EF"/>
    <w:rsid w:val="006B6BE0"/>
    <w:rsid w:val="006B7AA9"/>
    <w:rsid w:val="006C0610"/>
    <w:rsid w:val="006C1543"/>
    <w:rsid w:val="006C391E"/>
    <w:rsid w:val="006C3D33"/>
    <w:rsid w:val="006C4BE5"/>
    <w:rsid w:val="006C6096"/>
    <w:rsid w:val="006D06A6"/>
    <w:rsid w:val="006D1143"/>
    <w:rsid w:val="006D11B1"/>
    <w:rsid w:val="006D14C1"/>
    <w:rsid w:val="006D1C69"/>
    <w:rsid w:val="006D1C72"/>
    <w:rsid w:val="006D2E1B"/>
    <w:rsid w:val="006D3807"/>
    <w:rsid w:val="006D3B76"/>
    <w:rsid w:val="006D575B"/>
    <w:rsid w:val="006D5FBD"/>
    <w:rsid w:val="006D7214"/>
    <w:rsid w:val="006E06DD"/>
    <w:rsid w:val="006E24C0"/>
    <w:rsid w:val="006E354D"/>
    <w:rsid w:val="006E3D27"/>
    <w:rsid w:val="006E5609"/>
    <w:rsid w:val="006E5A55"/>
    <w:rsid w:val="006E6EE1"/>
    <w:rsid w:val="006F157D"/>
    <w:rsid w:val="006F2A30"/>
    <w:rsid w:val="0070539C"/>
    <w:rsid w:val="00707B74"/>
    <w:rsid w:val="00707CCE"/>
    <w:rsid w:val="007100C1"/>
    <w:rsid w:val="0071039A"/>
    <w:rsid w:val="007118CE"/>
    <w:rsid w:val="00711986"/>
    <w:rsid w:val="00711BD2"/>
    <w:rsid w:val="00712482"/>
    <w:rsid w:val="00714B8B"/>
    <w:rsid w:val="0071713A"/>
    <w:rsid w:val="00717184"/>
    <w:rsid w:val="00721938"/>
    <w:rsid w:val="00721FEB"/>
    <w:rsid w:val="00723FFD"/>
    <w:rsid w:val="00724D7D"/>
    <w:rsid w:val="007258A8"/>
    <w:rsid w:val="0073160D"/>
    <w:rsid w:val="00732F20"/>
    <w:rsid w:val="00733BD0"/>
    <w:rsid w:val="00733D07"/>
    <w:rsid w:val="00734686"/>
    <w:rsid w:val="00737F55"/>
    <w:rsid w:val="0074064D"/>
    <w:rsid w:val="00740BE3"/>
    <w:rsid w:val="00742721"/>
    <w:rsid w:val="00743255"/>
    <w:rsid w:val="0074403F"/>
    <w:rsid w:val="00745072"/>
    <w:rsid w:val="00745C83"/>
    <w:rsid w:val="00747429"/>
    <w:rsid w:val="007541B4"/>
    <w:rsid w:val="00754FEB"/>
    <w:rsid w:val="007570B5"/>
    <w:rsid w:val="007571DB"/>
    <w:rsid w:val="007610BE"/>
    <w:rsid w:val="007615B4"/>
    <w:rsid w:val="00761B23"/>
    <w:rsid w:val="00762E1E"/>
    <w:rsid w:val="00763708"/>
    <w:rsid w:val="0076505D"/>
    <w:rsid w:val="0076577A"/>
    <w:rsid w:val="00765829"/>
    <w:rsid w:val="0076589E"/>
    <w:rsid w:val="00766E08"/>
    <w:rsid w:val="00767A82"/>
    <w:rsid w:val="00767BDE"/>
    <w:rsid w:val="007717BD"/>
    <w:rsid w:val="00771C94"/>
    <w:rsid w:val="00771E1D"/>
    <w:rsid w:val="007728DC"/>
    <w:rsid w:val="00773E29"/>
    <w:rsid w:val="00774673"/>
    <w:rsid w:val="0077656C"/>
    <w:rsid w:val="00776787"/>
    <w:rsid w:val="00777232"/>
    <w:rsid w:val="0078232F"/>
    <w:rsid w:val="00784543"/>
    <w:rsid w:val="00785AE7"/>
    <w:rsid w:val="00786B8B"/>
    <w:rsid w:val="00787AAE"/>
    <w:rsid w:val="00787E3C"/>
    <w:rsid w:val="00790612"/>
    <w:rsid w:val="007932DA"/>
    <w:rsid w:val="007937FF"/>
    <w:rsid w:val="00794A75"/>
    <w:rsid w:val="00795A0F"/>
    <w:rsid w:val="00795DFC"/>
    <w:rsid w:val="0079687D"/>
    <w:rsid w:val="00797458"/>
    <w:rsid w:val="0079765A"/>
    <w:rsid w:val="00797CE5"/>
    <w:rsid w:val="007A19C3"/>
    <w:rsid w:val="007A1D48"/>
    <w:rsid w:val="007A36E7"/>
    <w:rsid w:val="007A377D"/>
    <w:rsid w:val="007A37FB"/>
    <w:rsid w:val="007A3BA2"/>
    <w:rsid w:val="007A4663"/>
    <w:rsid w:val="007A5E94"/>
    <w:rsid w:val="007A5EC9"/>
    <w:rsid w:val="007B210D"/>
    <w:rsid w:val="007B2FDA"/>
    <w:rsid w:val="007B6B27"/>
    <w:rsid w:val="007B70B2"/>
    <w:rsid w:val="007B7958"/>
    <w:rsid w:val="007B7CBE"/>
    <w:rsid w:val="007C075D"/>
    <w:rsid w:val="007C0AFB"/>
    <w:rsid w:val="007C11BE"/>
    <w:rsid w:val="007C2588"/>
    <w:rsid w:val="007C31F4"/>
    <w:rsid w:val="007C3F0B"/>
    <w:rsid w:val="007C412D"/>
    <w:rsid w:val="007C42AF"/>
    <w:rsid w:val="007C4F51"/>
    <w:rsid w:val="007C62A3"/>
    <w:rsid w:val="007C6EA8"/>
    <w:rsid w:val="007C749E"/>
    <w:rsid w:val="007D0031"/>
    <w:rsid w:val="007D1C6E"/>
    <w:rsid w:val="007D2FB9"/>
    <w:rsid w:val="007D4049"/>
    <w:rsid w:val="007E0B9F"/>
    <w:rsid w:val="007E10F8"/>
    <w:rsid w:val="007E1A29"/>
    <w:rsid w:val="007E32C4"/>
    <w:rsid w:val="007E3A52"/>
    <w:rsid w:val="007E63B2"/>
    <w:rsid w:val="007E6BA2"/>
    <w:rsid w:val="007E77C7"/>
    <w:rsid w:val="007E7C76"/>
    <w:rsid w:val="007F03EA"/>
    <w:rsid w:val="007F1BD2"/>
    <w:rsid w:val="007F6931"/>
    <w:rsid w:val="007F6A90"/>
    <w:rsid w:val="007F6B92"/>
    <w:rsid w:val="007F7412"/>
    <w:rsid w:val="00802192"/>
    <w:rsid w:val="0080292E"/>
    <w:rsid w:val="00802B57"/>
    <w:rsid w:val="008052CC"/>
    <w:rsid w:val="00806EF8"/>
    <w:rsid w:val="00810559"/>
    <w:rsid w:val="00812609"/>
    <w:rsid w:val="008145B7"/>
    <w:rsid w:val="00814C58"/>
    <w:rsid w:val="008150D5"/>
    <w:rsid w:val="008157BB"/>
    <w:rsid w:val="0081589E"/>
    <w:rsid w:val="00815F3D"/>
    <w:rsid w:val="00820442"/>
    <w:rsid w:val="0082119C"/>
    <w:rsid w:val="008211C6"/>
    <w:rsid w:val="00823061"/>
    <w:rsid w:val="0082623F"/>
    <w:rsid w:val="00826B52"/>
    <w:rsid w:val="0082701D"/>
    <w:rsid w:val="008278BD"/>
    <w:rsid w:val="0082795C"/>
    <w:rsid w:val="008351BE"/>
    <w:rsid w:val="00835679"/>
    <w:rsid w:val="00835955"/>
    <w:rsid w:val="00835A94"/>
    <w:rsid w:val="0083615B"/>
    <w:rsid w:val="00841316"/>
    <w:rsid w:val="0084319F"/>
    <w:rsid w:val="00844AAD"/>
    <w:rsid w:val="0084772B"/>
    <w:rsid w:val="00850DD2"/>
    <w:rsid w:val="008512CC"/>
    <w:rsid w:val="008525FC"/>
    <w:rsid w:val="00855C72"/>
    <w:rsid w:val="00857134"/>
    <w:rsid w:val="00857495"/>
    <w:rsid w:val="0086162D"/>
    <w:rsid w:val="00861FE5"/>
    <w:rsid w:val="00863BCC"/>
    <w:rsid w:val="00863F9C"/>
    <w:rsid w:val="00864485"/>
    <w:rsid w:val="0086525E"/>
    <w:rsid w:val="00865B8B"/>
    <w:rsid w:val="008676C6"/>
    <w:rsid w:val="00867C9A"/>
    <w:rsid w:val="00870B11"/>
    <w:rsid w:val="00871E3A"/>
    <w:rsid w:val="00872A37"/>
    <w:rsid w:val="00873546"/>
    <w:rsid w:val="00873573"/>
    <w:rsid w:val="00877020"/>
    <w:rsid w:val="00877960"/>
    <w:rsid w:val="00877C23"/>
    <w:rsid w:val="00885C50"/>
    <w:rsid w:val="00885E84"/>
    <w:rsid w:val="00887972"/>
    <w:rsid w:val="008914C6"/>
    <w:rsid w:val="0089215D"/>
    <w:rsid w:val="0089326D"/>
    <w:rsid w:val="00893538"/>
    <w:rsid w:val="00894633"/>
    <w:rsid w:val="00896659"/>
    <w:rsid w:val="008978FC"/>
    <w:rsid w:val="008A0B88"/>
    <w:rsid w:val="008A2747"/>
    <w:rsid w:val="008A442F"/>
    <w:rsid w:val="008A51A6"/>
    <w:rsid w:val="008A7A65"/>
    <w:rsid w:val="008B1DE1"/>
    <w:rsid w:val="008B2023"/>
    <w:rsid w:val="008B30D6"/>
    <w:rsid w:val="008B4D9E"/>
    <w:rsid w:val="008B5102"/>
    <w:rsid w:val="008B55C6"/>
    <w:rsid w:val="008B7689"/>
    <w:rsid w:val="008C0517"/>
    <w:rsid w:val="008C1C0F"/>
    <w:rsid w:val="008C21A6"/>
    <w:rsid w:val="008C330E"/>
    <w:rsid w:val="008C3E2C"/>
    <w:rsid w:val="008C43A6"/>
    <w:rsid w:val="008C4B36"/>
    <w:rsid w:val="008C503F"/>
    <w:rsid w:val="008C5466"/>
    <w:rsid w:val="008C57B8"/>
    <w:rsid w:val="008C62A9"/>
    <w:rsid w:val="008C6873"/>
    <w:rsid w:val="008C7393"/>
    <w:rsid w:val="008C7425"/>
    <w:rsid w:val="008D02C2"/>
    <w:rsid w:val="008D0606"/>
    <w:rsid w:val="008D2A4E"/>
    <w:rsid w:val="008D366C"/>
    <w:rsid w:val="008D3769"/>
    <w:rsid w:val="008D38FA"/>
    <w:rsid w:val="008D6634"/>
    <w:rsid w:val="008E097F"/>
    <w:rsid w:val="008E0B67"/>
    <w:rsid w:val="008E343A"/>
    <w:rsid w:val="008E4DD4"/>
    <w:rsid w:val="008E61C6"/>
    <w:rsid w:val="008E7BE8"/>
    <w:rsid w:val="008F2B16"/>
    <w:rsid w:val="008F6C53"/>
    <w:rsid w:val="00900F1F"/>
    <w:rsid w:val="00902E45"/>
    <w:rsid w:val="0090362F"/>
    <w:rsid w:val="00903B2E"/>
    <w:rsid w:val="00903D0E"/>
    <w:rsid w:val="0090720D"/>
    <w:rsid w:val="00907DD1"/>
    <w:rsid w:val="00913A65"/>
    <w:rsid w:val="00914D89"/>
    <w:rsid w:val="00914DB1"/>
    <w:rsid w:val="00915744"/>
    <w:rsid w:val="00916147"/>
    <w:rsid w:val="009167E3"/>
    <w:rsid w:val="0091693E"/>
    <w:rsid w:val="009176CA"/>
    <w:rsid w:val="00917BA5"/>
    <w:rsid w:val="00917E05"/>
    <w:rsid w:val="00920230"/>
    <w:rsid w:val="00922C28"/>
    <w:rsid w:val="00922D17"/>
    <w:rsid w:val="0092375F"/>
    <w:rsid w:val="00925504"/>
    <w:rsid w:val="009300A4"/>
    <w:rsid w:val="00935304"/>
    <w:rsid w:val="009404E4"/>
    <w:rsid w:val="0094058F"/>
    <w:rsid w:val="0094131A"/>
    <w:rsid w:val="009419F4"/>
    <w:rsid w:val="0094200F"/>
    <w:rsid w:val="00947471"/>
    <w:rsid w:val="00947E9F"/>
    <w:rsid w:val="009510A8"/>
    <w:rsid w:val="00952E8A"/>
    <w:rsid w:val="009534FA"/>
    <w:rsid w:val="00956106"/>
    <w:rsid w:val="00965960"/>
    <w:rsid w:val="00965C16"/>
    <w:rsid w:val="009729D9"/>
    <w:rsid w:val="0097449B"/>
    <w:rsid w:val="00974F28"/>
    <w:rsid w:val="00975CE5"/>
    <w:rsid w:val="00976A4F"/>
    <w:rsid w:val="00976AAF"/>
    <w:rsid w:val="00977BD3"/>
    <w:rsid w:val="00980859"/>
    <w:rsid w:val="009852C7"/>
    <w:rsid w:val="00985F1A"/>
    <w:rsid w:val="00986EAE"/>
    <w:rsid w:val="009870A4"/>
    <w:rsid w:val="00991C1E"/>
    <w:rsid w:val="00991DF7"/>
    <w:rsid w:val="0099222B"/>
    <w:rsid w:val="00993FCD"/>
    <w:rsid w:val="009954F8"/>
    <w:rsid w:val="0099561D"/>
    <w:rsid w:val="009A3363"/>
    <w:rsid w:val="009A4260"/>
    <w:rsid w:val="009A5F51"/>
    <w:rsid w:val="009A6849"/>
    <w:rsid w:val="009B1121"/>
    <w:rsid w:val="009B3916"/>
    <w:rsid w:val="009B3FDF"/>
    <w:rsid w:val="009B6F28"/>
    <w:rsid w:val="009B77BB"/>
    <w:rsid w:val="009C0350"/>
    <w:rsid w:val="009C088C"/>
    <w:rsid w:val="009C23F0"/>
    <w:rsid w:val="009C2E96"/>
    <w:rsid w:val="009C3AC7"/>
    <w:rsid w:val="009C42F8"/>
    <w:rsid w:val="009C455E"/>
    <w:rsid w:val="009C6FFE"/>
    <w:rsid w:val="009D0688"/>
    <w:rsid w:val="009D3C10"/>
    <w:rsid w:val="009D75CD"/>
    <w:rsid w:val="009E0619"/>
    <w:rsid w:val="009E06C9"/>
    <w:rsid w:val="009E089C"/>
    <w:rsid w:val="009E1922"/>
    <w:rsid w:val="009E1C06"/>
    <w:rsid w:val="009E39D7"/>
    <w:rsid w:val="009E3F88"/>
    <w:rsid w:val="009E659E"/>
    <w:rsid w:val="009E7EEE"/>
    <w:rsid w:val="009F0791"/>
    <w:rsid w:val="009F4693"/>
    <w:rsid w:val="009F64D4"/>
    <w:rsid w:val="009F6888"/>
    <w:rsid w:val="009F734D"/>
    <w:rsid w:val="00A030C5"/>
    <w:rsid w:val="00A04A99"/>
    <w:rsid w:val="00A0555E"/>
    <w:rsid w:val="00A05693"/>
    <w:rsid w:val="00A0772D"/>
    <w:rsid w:val="00A10F41"/>
    <w:rsid w:val="00A1129C"/>
    <w:rsid w:val="00A11B97"/>
    <w:rsid w:val="00A12644"/>
    <w:rsid w:val="00A14C5B"/>
    <w:rsid w:val="00A16759"/>
    <w:rsid w:val="00A1692B"/>
    <w:rsid w:val="00A16ED7"/>
    <w:rsid w:val="00A17263"/>
    <w:rsid w:val="00A1745A"/>
    <w:rsid w:val="00A22235"/>
    <w:rsid w:val="00A22D5A"/>
    <w:rsid w:val="00A2387C"/>
    <w:rsid w:val="00A25FD4"/>
    <w:rsid w:val="00A260F8"/>
    <w:rsid w:val="00A35743"/>
    <w:rsid w:val="00A375D9"/>
    <w:rsid w:val="00A37BF8"/>
    <w:rsid w:val="00A403CB"/>
    <w:rsid w:val="00A4074B"/>
    <w:rsid w:val="00A4078C"/>
    <w:rsid w:val="00A40EBE"/>
    <w:rsid w:val="00A4143F"/>
    <w:rsid w:val="00A45289"/>
    <w:rsid w:val="00A46617"/>
    <w:rsid w:val="00A47456"/>
    <w:rsid w:val="00A47B91"/>
    <w:rsid w:val="00A50398"/>
    <w:rsid w:val="00A50B8E"/>
    <w:rsid w:val="00A511D8"/>
    <w:rsid w:val="00A511FD"/>
    <w:rsid w:val="00A5140B"/>
    <w:rsid w:val="00A52B08"/>
    <w:rsid w:val="00A6018B"/>
    <w:rsid w:val="00A6154F"/>
    <w:rsid w:val="00A61BF6"/>
    <w:rsid w:val="00A62423"/>
    <w:rsid w:val="00A65ACB"/>
    <w:rsid w:val="00A663B6"/>
    <w:rsid w:val="00A7108A"/>
    <w:rsid w:val="00A73515"/>
    <w:rsid w:val="00A770A6"/>
    <w:rsid w:val="00A77C95"/>
    <w:rsid w:val="00A8025D"/>
    <w:rsid w:val="00A82779"/>
    <w:rsid w:val="00A83C9A"/>
    <w:rsid w:val="00A84835"/>
    <w:rsid w:val="00A850D7"/>
    <w:rsid w:val="00A8662D"/>
    <w:rsid w:val="00A87A7C"/>
    <w:rsid w:val="00A916D1"/>
    <w:rsid w:val="00A948B0"/>
    <w:rsid w:val="00A9531D"/>
    <w:rsid w:val="00A97808"/>
    <w:rsid w:val="00AA1E6B"/>
    <w:rsid w:val="00AA240D"/>
    <w:rsid w:val="00AA2688"/>
    <w:rsid w:val="00AA2803"/>
    <w:rsid w:val="00AA2BD5"/>
    <w:rsid w:val="00AA2E2B"/>
    <w:rsid w:val="00AA4F8F"/>
    <w:rsid w:val="00AA5E2E"/>
    <w:rsid w:val="00AA7919"/>
    <w:rsid w:val="00AA7F22"/>
    <w:rsid w:val="00AB2B59"/>
    <w:rsid w:val="00AB3EC3"/>
    <w:rsid w:val="00AB5297"/>
    <w:rsid w:val="00AB52B2"/>
    <w:rsid w:val="00AB55ED"/>
    <w:rsid w:val="00AB5EB4"/>
    <w:rsid w:val="00AB625C"/>
    <w:rsid w:val="00AB6362"/>
    <w:rsid w:val="00AC0401"/>
    <w:rsid w:val="00AC1099"/>
    <w:rsid w:val="00AC3D0C"/>
    <w:rsid w:val="00AC3F6C"/>
    <w:rsid w:val="00AC44AB"/>
    <w:rsid w:val="00AC494A"/>
    <w:rsid w:val="00AC7498"/>
    <w:rsid w:val="00AD2DE7"/>
    <w:rsid w:val="00AD34BF"/>
    <w:rsid w:val="00AD3F0F"/>
    <w:rsid w:val="00AD42D0"/>
    <w:rsid w:val="00AD4670"/>
    <w:rsid w:val="00AD590B"/>
    <w:rsid w:val="00AE0A92"/>
    <w:rsid w:val="00AE0C62"/>
    <w:rsid w:val="00AE2EF0"/>
    <w:rsid w:val="00AE561F"/>
    <w:rsid w:val="00AE71F2"/>
    <w:rsid w:val="00AF02D0"/>
    <w:rsid w:val="00AF273F"/>
    <w:rsid w:val="00AF3512"/>
    <w:rsid w:val="00AF4A44"/>
    <w:rsid w:val="00AF545E"/>
    <w:rsid w:val="00AF558E"/>
    <w:rsid w:val="00AF559E"/>
    <w:rsid w:val="00AF7072"/>
    <w:rsid w:val="00AF7C1E"/>
    <w:rsid w:val="00B001D0"/>
    <w:rsid w:val="00B00390"/>
    <w:rsid w:val="00B01334"/>
    <w:rsid w:val="00B01925"/>
    <w:rsid w:val="00B02E76"/>
    <w:rsid w:val="00B049FA"/>
    <w:rsid w:val="00B04B40"/>
    <w:rsid w:val="00B04CDF"/>
    <w:rsid w:val="00B056B1"/>
    <w:rsid w:val="00B05DB9"/>
    <w:rsid w:val="00B0607C"/>
    <w:rsid w:val="00B105EF"/>
    <w:rsid w:val="00B10CE5"/>
    <w:rsid w:val="00B1182C"/>
    <w:rsid w:val="00B11F87"/>
    <w:rsid w:val="00B12F5B"/>
    <w:rsid w:val="00B13900"/>
    <w:rsid w:val="00B1436D"/>
    <w:rsid w:val="00B15119"/>
    <w:rsid w:val="00B16BF6"/>
    <w:rsid w:val="00B22162"/>
    <w:rsid w:val="00B24BAF"/>
    <w:rsid w:val="00B26CC5"/>
    <w:rsid w:val="00B30316"/>
    <w:rsid w:val="00B30CDD"/>
    <w:rsid w:val="00B3177E"/>
    <w:rsid w:val="00B33AC2"/>
    <w:rsid w:val="00B34DB4"/>
    <w:rsid w:val="00B35ECE"/>
    <w:rsid w:val="00B365FC"/>
    <w:rsid w:val="00B368C6"/>
    <w:rsid w:val="00B374C2"/>
    <w:rsid w:val="00B41C05"/>
    <w:rsid w:val="00B420C2"/>
    <w:rsid w:val="00B42657"/>
    <w:rsid w:val="00B44BEE"/>
    <w:rsid w:val="00B45045"/>
    <w:rsid w:val="00B4510A"/>
    <w:rsid w:val="00B46200"/>
    <w:rsid w:val="00B46A8D"/>
    <w:rsid w:val="00B46DB5"/>
    <w:rsid w:val="00B4717F"/>
    <w:rsid w:val="00B47D3A"/>
    <w:rsid w:val="00B5372C"/>
    <w:rsid w:val="00B53ED6"/>
    <w:rsid w:val="00B56771"/>
    <w:rsid w:val="00B57523"/>
    <w:rsid w:val="00B613FF"/>
    <w:rsid w:val="00B632F9"/>
    <w:rsid w:val="00B652F5"/>
    <w:rsid w:val="00B6541E"/>
    <w:rsid w:val="00B6586D"/>
    <w:rsid w:val="00B66A3E"/>
    <w:rsid w:val="00B66D77"/>
    <w:rsid w:val="00B67C56"/>
    <w:rsid w:val="00B74F86"/>
    <w:rsid w:val="00B763DF"/>
    <w:rsid w:val="00B7643B"/>
    <w:rsid w:val="00B77F89"/>
    <w:rsid w:val="00B77FA6"/>
    <w:rsid w:val="00B81708"/>
    <w:rsid w:val="00B82ED1"/>
    <w:rsid w:val="00B83878"/>
    <w:rsid w:val="00B8417B"/>
    <w:rsid w:val="00B848B5"/>
    <w:rsid w:val="00B86128"/>
    <w:rsid w:val="00B86EF2"/>
    <w:rsid w:val="00B872ED"/>
    <w:rsid w:val="00B87C79"/>
    <w:rsid w:val="00B9237D"/>
    <w:rsid w:val="00B92658"/>
    <w:rsid w:val="00B93617"/>
    <w:rsid w:val="00B93CA9"/>
    <w:rsid w:val="00B93CFF"/>
    <w:rsid w:val="00B966FB"/>
    <w:rsid w:val="00B97228"/>
    <w:rsid w:val="00B97B5F"/>
    <w:rsid w:val="00BA00C5"/>
    <w:rsid w:val="00BA02FD"/>
    <w:rsid w:val="00BA52C9"/>
    <w:rsid w:val="00BA574E"/>
    <w:rsid w:val="00BB02B2"/>
    <w:rsid w:val="00BB080E"/>
    <w:rsid w:val="00BB1F91"/>
    <w:rsid w:val="00BB614E"/>
    <w:rsid w:val="00BB6402"/>
    <w:rsid w:val="00BB690C"/>
    <w:rsid w:val="00BC03D4"/>
    <w:rsid w:val="00BC04DA"/>
    <w:rsid w:val="00BC291B"/>
    <w:rsid w:val="00BC4A71"/>
    <w:rsid w:val="00BD03B7"/>
    <w:rsid w:val="00BD1234"/>
    <w:rsid w:val="00BD2D30"/>
    <w:rsid w:val="00BD3C94"/>
    <w:rsid w:val="00BD6DD2"/>
    <w:rsid w:val="00BE055A"/>
    <w:rsid w:val="00BE05F1"/>
    <w:rsid w:val="00BE0638"/>
    <w:rsid w:val="00BE1782"/>
    <w:rsid w:val="00BE41F6"/>
    <w:rsid w:val="00BE4F40"/>
    <w:rsid w:val="00BE58F4"/>
    <w:rsid w:val="00BE6279"/>
    <w:rsid w:val="00BE70D0"/>
    <w:rsid w:val="00BF0F1A"/>
    <w:rsid w:val="00BF10A5"/>
    <w:rsid w:val="00BF11F4"/>
    <w:rsid w:val="00BF224B"/>
    <w:rsid w:val="00BF34EB"/>
    <w:rsid w:val="00BF4D73"/>
    <w:rsid w:val="00C004A5"/>
    <w:rsid w:val="00C016FA"/>
    <w:rsid w:val="00C04AC2"/>
    <w:rsid w:val="00C05056"/>
    <w:rsid w:val="00C06A20"/>
    <w:rsid w:val="00C06B58"/>
    <w:rsid w:val="00C117F5"/>
    <w:rsid w:val="00C124FF"/>
    <w:rsid w:val="00C1283D"/>
    <w:rsid w:val="00C14DF4"/>
    <w:rsid w:val="00C14F54"/>
    <w:rsid w:val="00C14FB0"/>
    <w:rsid w:val="00C156E8"/>
    <w:rsid w:val="00C16280"/>
    <w:rsid w:val="00C16E16"/>
    <w:rsid w:val="00C221D4"/>
    <w:rsid w:val="00C240E4"/>
    <w:rsid w:val="00C25AC0"/>
    <w:rsid w:val="00C2681B"/>
    <w:rsid w:val="00C2752F"/>
    <w:rsid w:val="00C30070"/>
    <w:rsid w:val="00C3044C"/>
    <w:rsid w:val="00C304B2"/>
    <w:rsid w:val="00C3366E"/>
    <w:rsid w:val="00C35094"/>
    <w:rsid w:val="00C352B8"/>
    <w:rsid w:val="00C35C08"/>
    <w:rsid w:val="00C35E99"/>
    <w:rsid w:val="00C371AC"/>
    <w:rsid w:val="00C40EBA"/>
    <w:rsid w:val="00C432B0"/>
    <w:rsid w:val="00C4375F"/>
    <w:rsid w:val="00C44ED7"/>
    <w:rsid w:val="00C44F7C"/>
    <w:rsid w:val="00C45009"/>
    <w:rsid w:val="00C45FFC"/>
    <w:rsid w:val="00C46883"/>
    <w:rsid w:val="00C46AF7"/>
    <w:rsid w:val="00C52943"/>
    <w:rsid w:val="00C545E6"/>
    <w:rsid w:val="00C552DB"/>
    <w:rsid w:val="00C55F8B"/>
    <w:rsid w:val="00C57783"/>
    <w:rsid w:val="00C57F1A"/>
    <w:rsid w:val="00C6148F"/>
    <w:rsid w:val="00C620E6"/>
    <w:rsid w:val="00C654B9"/>
    <w:rsid w:val="00C66072"/>
    <w:rsid w:val="00C67B7B"/>
    <w:rsid w:val="00C709D1"/>
    <w:rsid w:val="00C70BC9"/>
    <w:rsid w:val="00C73076"/>
    <w:rsid w:val="00C73E65"/>
    <w:rsid w:val="00C7426E"/>
    <w:rsid w:val="00C762E4"/>
    <w:rsid w:val="00C81714"/>
    <w:rsid w:val="00C83865"/>
    <w:rsid w:val="00C8420C"/>
    <w:rsid w:val="00C856D4"/>
    <w:rsid w:val="00C9124F"/>
    <w:rsid w:val="00C915DD"/>
    <w:rsid w:val="00C91A8A"/>
    <w:rsid w:val="00C92253"/>
    <w:rsid w:val="00C950BF"/>
    <w:rsid w:val="00C9532E"/>
    <w:rsid w:val="00C95865"/>
    <w:rsid w:val="00C962D5"/>
    <w:rsid w:val="00C97F13"/>
    <w:rsid w:val="00CA06BF"/>
    <w:rsid w:val="00CA22B0"/>
    <w:rsid w:val="00CA22E2"/>
    <w:rsid w:val="00CA4BF8"/>
    <w:rsid w:val="00CA50AE"/>
    <w:rsid w:val="00CB0855"/>
    <w:rsid w:val="00CB404D"/>
    <w:rsid w:val="00CB61F1"/>
    <w:rsid w:val="00CB6617"/>
    <w:rsid w:val="00CB74FD"/>
    <w:rsid w:val="00CC2248"/>
    <w:rsid w:val="00CC3A8C"/>
    <w:rsid w:val="00CC4041"/>
    <w:rsid w:val="00CC434B"/>
    <w:rsid w:val="00CD0C34"/>
    <w:rsid w:val="00CD3017"/>
    <w:rsid w:val="00CD387F"/>
    <w:rsid w:val="00CD50F1"/>
    <w:rsid w:val="00CD5EBE"/>
    <w:rsid w:val="00CD765D"/>
    <w:rsid w:val="00CD7935"/>
    <w:rsid w:val="00CE0AF9"/>
    <w:rsid w:val="00CE2CEC"/>
    <w:rsid w:val="00CE4459"/>
    <w:rsid w:val="00CE787E"/>
    <w:rsid w:val="00CF02D4"/>
    <w:rsid w:val="00CF083C"/>
    <w:rsid w:val="00CF1805"/>
    <w:rsid w:val="00CF1834"/>
    <w:rsid w:val="00CF37A3"/>
    <w:rsid w:val="00CF3A52"/>
    <w:rsid w:val="00CF704D"/>
    <w:rsid w:val="00CF7390"/>
    <w:rsid w:val="00D002BA"/>
    <w:rsid w:val="00D043F9"/>
    <w:rsid w:val="00D06262"/>
    <w:rsid w:val="00D118D3"/>
    <w:rsid w:val="00D126D3"/>
    <w:rsid w:val="00D1433C"/>
    <w:rsid w:val="00D1472E"/>
    <w:rsid w:val="00D15C71"/>
    <w:rsid w:val="00D214B0"/>
    <w:rsid w:val="00D216F6"/>
    <w:rsid w:val="00D21CD2"/>
    <w:rsid w:val="00D239DA"/>
    <w:rsid w:val="00D23ECF"/>
    <w:rsid w:val="00D24B8D"/>
    <w:rsid w:val="00D27F8B"/>
    <w:rsid w:val="00D3051B"/>
    <w:rsid w:val="00D30F96"/>
    <w:rsid w:val="00D31009"/>
    <w:rsid w:val="00D32568"/>
    <w:rsid w:val="00D40A58"/>
    <w:rsid w:val="00D41A70"/>
    <w:rsid w:val="00D435EE"/>
    <w:rsid w:val="00D43DAB"/>
    <w:rsid w:val="00D444B7"/>
    <w:rsid w:val="00D45207"/>
    <w:rsid w:val="00D47D2D"/>
    <w:rsid w:val="00D47D82"/>
    <w:rsid w:val="00D52C35"/>
    <w:rsid w:val="00D54D8C"/>
    <w:rsid w:val="00D5716E"/>
    <w:rsid w:val="00D5718E"/>
    <w:rsid w:val="00D636C2"/>
    <w:rsid w:val="00D65A52"/>
    <w:rsid w:val="00D677D0"/>
    <w:rsid w:val="00D67824"/>
    <w:rsid w:val="00D704E7"/>
    <w:rsid w:val="00D7108B"/>
    <w:rsid w:val="00D71AB8"/>
    <w:rsid w:val="00D72A1A"/>
    <w:rsid w:val="00D767E8"/>
    <w:rsid w:val="00D76D04"/>
    <w:rsid w:val="00D77073"/>
    <w:rsid w:val="00D7788E"/>
    <w:rsid w:val="00D778EF"/>
    <w:rsid w:val="00D77A9E"/>
    <w:rsid w:val="00D77D27"/>
    <w:rsid w:val="00D802FD"/>
    <w:rsid w:val="00D8069E"/>
    <w:rsid w:val="00D815B6"/>
    <w:rsid w:val="00D82E00"/>
    <w:rsid w:val="00D84C7B"/>
    <w:rsid w:val="00D853C2"/>
    <w:rsid w:val="00D87F92"/>
    <w:rsid w:val="00D90B4B"/>
    <w:rsid w:val="00D91FEC"/>
    <w:rsid w:val="00D93BE4"/>
    <w:rsid w:val="00D94357"/>
    <w:rsid w:val="00D95C52"/>
    <w:rsid w:val="00D96905"/>
    <w:rsid w:val="00D97B4D"/>
    <w:rsid w:val="00D97C45"/>
    <w:rsid w:val="00D97E5E"/>
    <w:rsid w:val="00DA029C"/>
    <w:rsid w:val="00DA1E47"/>
    <w:rsid w:val="00DA2773"/>
    <w:rsid w:val="00DA2ADC"/>
    <w:rsid w:val="00DA4A87"/>
    <w:rsid w:val="00DA5686"/>
    <w:rsid w:val="00DA73E4"/>
    <w:rsid w:val="00DB0224"/>
    <w:rsid w:val="00DB0C92"/>
    <w:rsid w:val="00DB0EA8"/>
    <w:rsid w:val="00DB1FB6"/>
    <w:rsid w:val="00DB25C3"/>
    <w:rsid w:val="00DB52CD"/>
    <w:rsid w:val="00DB57D7"/>
    <w:rsid w:val="00DB5C5F"/>
    <w:rsid w:val="00DC009D"/>
    <w:rsid w:val="00DC3C92"/>
    <w:rsid w:val="00DC4B1B"/>
    <w:rsid w:val="00DC5C94"/>
    <w:rsid w:val="00DD30D9"/>
    <w:rsid w:val="00DD3882"/>
    <w:rsid w:val="00DD53D0"/>
    <w:rsid w:val="00DD5B2E"/>
    <w:rsid w:val="00DD60A1"/>
    <w:rsid w:val="00DD7004"/>
    <w:rsid w:val="00DE18BF"/>
    <w:rsid w:val="00DE2B0B"/>
    <w:rsid w:val="00DE6772"/>
    <w:rsid w:val="00DE68A2"/>
    <w:rsid w:val="00DE784B"/>
    <w:rsid w:val="00DE7C41"/>
    <w:rsid w:val="00DF27AF"/>
    <w:rsid w:val="00DF2866"/>
    <w:rsid w:val="00DF3FB9"/>
    <w:rsid w:val="00DF6823"/>
    <w:rsid w:val="00E00B2F"/>
    <w:rsid w:val="00E04DA5"/>
    <w:rsid w:val="00E05539"/>
    <w:rsid w:val="00E12E48"/>
    <w:rsid w:val="00E152B5"/>
    <w:rsid w:val="00E21649"/>
    <w:rsid w:val="00E219AC"/>
    <w:rsid w:val="00E22049"/>
    <w:rsid w:val="00E22ED9"/>
    <w:rsid w:val="00E24ED8"/>
    <w:rsid w:val="00E257A6"/>
    <w:rsid w:val="00E26695"/>
    <w:rsid w:val="00E30A47"/>
    <w:rsid w:val="00E328E4"/>
    <w:rsid w:val="00E3358F"/>
    <w:rsid w:val="00E33C1F"/>
    <w:rsid w:val="00E35A09"/>
    <w:rsid w:val="00E36CD1"/>
    <w:rsid w:val="00E3705E"/>
    <w:rsid w:val="00E37AD7"/>
    <w:rsid w:val="00E432D3"/>
    <w:rsid w:val="00E4515A"/>
    <w:rsid w:val="00E47B6F"/>
    <w:rsid w:val="00E47D9B"/>
    <w:rsid w:val="00E51B97"/>
    <w:rsid w:val="00E51FA3"/>
    <w:rsid w:val="00E52623"/>
    <w:rsid w:val="00E531FF"/>
    <w:rsid w:val="00E53C54"/>
    <w:rsid w:val="00E54AD6"/>
    <w:rsid w:val="00E55893"/>
    <w:rsid w:val="00E55F3C"/>
    <w:rsid w:val="00E62C8E"/>
    <w:rsid w:val="00E633A1"/>
    <w:rsid w:val="00E64305"/>
    <w:rsid w:val="00E654EC"/>
    <w:rsid w:val="00E6604E"/>
    <w:rsid w:val="00E66648"/>
    <w:rsid w:val="00E666C1"/>
    <w:rsid w:val="00E669A5"/>
    <w:rsid w:val="00E74425"/>
    <w:rsid w:val="00E7569A"/>
    <w:rsid w:val="00E76058"/>
    <w:rsid w:val="00E77778"/>
    <w:rsid w:val="00E8188D"/>
    <w:rsid w:val="00E8198C"/>
    <w:rsid w:val="00E822A3"/>
    <w:rsid w:val="00E838BA"/>
    <w:rsid w:val="00E83C62"/>
    <w:rsid w:val="00E86458"/>
    <w:rsid w:val="00E86619"/>
    <w:rsid w:val="00E872B7"/>
    <w:rsid w:val="00E873BC"/>
    <w:rsid w:val="00E90421"/>
    <w:rsid w:val="00E909F9"/>
    <w:rsid w:val="00E934E3"/>
    <w:rsid w:val="00E93815"/>
    <w:rsid w:val="00E9470C"/>
    <w:rsid w:val="00E9562C"/>
    <w:rsid w:val="00E95A64"/>
    <w:rsid w:val="00E9622A"/>
    <w:rsid w:val="00E979E5"/>
    <w:rsid w:val="00E97DC0"/>
    <w:rsid w:val="00EA2224"/>
    <w:rsid w:val="00EA2289"/>
    <w:rsid w:val="00EA2442"/>
    <w:rsid w:val="00EA268A"/>
    <w:rsid w:val="00EA6280"/>
    <w:rsid w:val="00EA6639"/>
    <w:rsid w:val="00EA67C9"/>
    <w:rsid w:val="00EB327F"/>
    <w:rsid w:val="00EB4FCA"/>
    <w:rsid w:val="00EC5190"/>
    <w:rsid w:val="00EC7B5E"/>
    <w:rsid w:val="00ED120C"/>
    <w:rsid w:val="00ED166B"/>
    <w:rsid w:val="00ED3440"/>
    <w:rsid w:val="00ED38DA"/>
    <w:rsid w:val="00ED4478"/>
    <w:rsid w:val="00ED4CE2"/>
    <w:rsid w:val="00ED4E7A"/>
    <w:rsid w:val="00ED694D"/>
    <w:rsid w:val="00EE03A2"/>
    <w:rsid w:val="00EE1AC9"/>
    <w:rsid w:val="00EE264D"/>
    <w:rsid w:val="00EE2654"/>
    <w:rsid w:val="00EE3612"/>
    <w:rsid w:val="00EE423D"/>
    <w:rsid w:val="00EE52B8"/>
    <w:rsid w:val="00EF0778"/>
    <w:rsid w:val="00EF14BC"/>
    <w:rsid w:val="00EF1FAE"/>
    <w:rsid w:val="00EF3F88"/>
    <w:rsid w:val="00EF41F8"/>
    <w:rsid w:val="00F00550"/>
    <w:rsid w:val="00F021BD"/>
    <w:rsid w:val="00F02815"/>
    <w:rsid w:val="00F02AA7"/>
    <w:rsid w:val="00F03D85"/>
    <w:rsid w:val="00F05E6C"/>
    <w:rsid w:val="00F05FD6"/>
    <w:rsid w:val="00F06595"/>
    <w:rsid w:val="00F06B7A"/>
    <w:rsid w:val="00F07330"/>
    <w:rsid w:val="00F079EC"/>
    <w:rsid w:val="00F11ECE"/>
    <w:rsid w:val="00F1270F"/>
    <w:rsid w:val="00F12FF8"/>
    <w:rsid w:val="00F149F7"/>
    <w:rsid w:val="00F16566"/>
    <w:rsid w:val="00F16930"/>
    <w:rsid w:val="00F21544"/>
    <w:rsid w:val="00F2188A"/>
    <w:rsid w:val="00F2282A"/>
    <w:rsid w:val="00F23540"/>
    <w:rsid w:val="00F23EB8"/>
    <w:rsid w:val="00F25836"/>
    <w:rsid w:val="00F25B0F"/>
    <w:rsid w:val="00F2604F"/>
    <w:rsid w:val="00F26D4C"/>
    <w:rsid w:val="00F27228"/>
    <w:rsid w:val="00F278B0"/>
    <w:rsid w:val="00F30304"/>
    <w:rsid w:val="00F34DED"/>
    <w:rsid w:val="00F378C0"/>
    <w:rsid w:val="00F40B5D"/>
    <w:rsid w:val="00F420CB"/>
    <w:rsid w:val="00F45385"/>
    <w:rsid w:val="00F454E9"/>
    <w:rsid w:val="00F45A6F"/>
    <w:rsid w:val="00F466E8"/>
    <w:rsid w:val="00F50AB9"/>
    <w:rsid w:val="00F515FB"/>
    <w:rsid w:val="00F522AE"/>
    <w:rsid w:val="00F541BA"/>
    <w:rsid w:val="00F544DD"/>
    <w:rsid w:val="00F54906"/>
    <w:rsid w:val="00F55723"/>
    <w:rsid w:val="00F5750B"/>
    <w:rsid w:val="00F60FB9"/>
    <w:rsid w:val="00F62C39"/>
    <w:rsid w:val="00F647D9"/>
    <w:rsid w:val="00F65E63"/>
    <w:rsid w:val="00F67523"/>
    <w:rsid w:val="00F70737"/>
    <w:rsid w:val="00F70CEB"/>
    <w:rsid w:val="00F70F8C"/>
    <w:rsid w:val="00F7267D"/>
    <w:rsid w:val="00F72A2F"/>
    <w:rsid w:val="00F7422C"/>
    <w:rsid w:val="00F76148"/>
    <w:rsid w:val="00F83D12"/>
    <w:rsid w:val="00F84AB1"/>
    <w:rsid w:val="00F86F29"/>
    <w:rsid w:val="00F87344"/>
    <w:rsid w:val="00F9341C"/>
    <w:rsid w:val="00FA34B8"/>
    <w:rsid w:val="00FA3929"/>
    <w:rsid w:val="00FA438D"/>
    <w:rsid w:val="00FA43B3"/>
    <w:rsid w:val="00FA4BDE"/>
    <w:rsid w:val="00FA5623"/>
    <w:rsid w:val="00FA7F25"/>
    <w:rsid w:val="00FB425D"/>
    <w:rsid w:val="00FB53A2"/>
    <w:rsid w:val="00FB5B36"/>
    <w:rsid w:val="00FB5B60"/>
    <w:rsid w:val="00FB7916"/>
    <w:rsid w:val="00FB79F9"/>
    <w:rsid w:val="00FB7EAF"/>
    <w:rsid w:val="00FC05A1"/>
    <w:rsid w:val="00FC0780"/>
    <w:rsid w:val="00FC079F"/>
    <w:rsid w:val="00FC4F81"/>
    <w:rsid w:val="00FC59C4"/>
    <w:rsid w:val="00FC5A5D"/>
    <w:rsid w:val="00FD2874"/>
    <w:rsid w:val="00FD38BE"/>
    <w:rsid w:val="00FD40ED"/>
    <w:rsid w:val="00FD41E7"/>
    <w:rsid w:val="00FD4EE3"/>
    <w:rsid w:val="00FD4F1D"/>
    <w:rsid w:val="00FD659B"/>
    <w:rsid w:val="00FD7FE1"/>
    <w:rsid w:val="00FE0E2D"/>
    <w:rsid w:val="00FE19AA"/>
    <w:rsid w:val="00FE366B"/>
    <w:rsid w:val="00FE60F2"/>
    <w:rsid w:val="00FE68FF"/>
    <w:rsid w:val="00FF0B0E"/>
    <w:rsid w:val="00FF1690"/>
    <w:rsid w:val="00FF2C7B"/>
    <w:rsid w:val="00FF49AC"/>
    <w:rsid w:val="00FF5D17"/>
    <w:rsid w:val="012A3531"/>
    <w:rsid w:val="01592AC8"/>
    <w:rsid w:val="01626CB3"/>
    <w:rsid w:val="01C424CD"/>
    <w:rsid w:val="01FA6A1B"/>
    <w:rsid w:val="02172715"/>
    <w:rsid w:val="02392372"/>
    <w:rsid w:val="02725E97"/>
    <w:rsid w:val="029552C6"/>
    <w:rsid w:val="02BB0406"/>
    <w:rsid w:val="02E3373C"/>
    <w:rsid w:val="02F3468C"/>
    <w:rsid w:val="033A47EA"/>
    <w:rsid w:val="035D6A72"/>
    <w:rsid w:val="03EC728D"/>
    <w:rsid w:val="042418B9"/>
    <w:rsid w:val="04C45048"/>
    <w:rsid w:val="05132CC3"/>
    <w:rsid w:val="056D0748"/>
    <w:rsid w:val="058308E2"/>
    <w:rsid w:val="05925B0F"/>
    <w:rsid w:val="05A369A0"/>
    <w:rsid w:val="05D12BB1"/>
    <w:rsid w:val="05EC50A2"/>
    <w:rsid w:val="05F473A9"/>
    <w:rsid w:val="06116258"/>
    <w:rsid w:val="062D3224"/>
    <w:rsid w:val="0695381E"/>
    <w:rsid w:val="06A07851"/>
    <w:rsid w:val="06B86C2F"/>
    <w:rsid w:val="06BA2CA5"/>
    <w:rsid w:val="06D04257"/>
    <w:rsid w:val="06E42884"/>
    <w:rsid w:val="06E67460"/>
    <w:rsid w:val="06E83D19"/>
    <w:rsid w:val="07120F77"/>
    <w:rsid w:val="072553A3"/>
    <w:rsid w:val="073F5E71"/>
    <w:rsid w:val="078F41E2"/>
    <w:rsid w:val="07B344DC"/>
    <w:rsid w:val="08A968C4"/>
    <w:rsid w:val="08C464A3"/>
    <w:rsid w:val="08DD6CAD"/>
    <w:rsid w:val="09572964"/>
    <w:rsid w:val="0975277B"/>
    <w:rsid w:val="09876283"/>
    <w:rsid w:val="09BE76A7"/>
    <w:rsid w:val="09C36B0C"/>
    <w:rsid w:val="09CF4B3B"/>
    <w:rsid w:val="0A5A18E8"/>
    <w:rsid w:val="0A953D5B"/>
    <w:rsid w:val="0B4C042E"/>
    <w:rsid w:val="0B98074E"/>
    <w:rsid w:val="0BC1634F"/>
    <w:rsid w:val="0C040C3F"/>
    <w:rsid w:val="0C0452BB"/>
    <w:rsid w:val="0C071AC2"/>
    <w:rsid w:val="0CE664C1"/>
    <w:rsid w:val="0D3E2F84"/>
    <w:rsid w:val="0D8120B2"/>
    <w:rsid w:val="0D8E0CDF"/>
    <w:rsid w:val="0DC215E6"/>
    <w:rsid w:val="0DD34D71"/>
    <w:rsid w:val="0E256E47"/>
    <w:rsid w:val="0E405A8F"/>
    <w:rsid w:val="0E5D3524"/>
    <w:rsid w:val="0EFB3BC1"/>
    <w:rsid w:val="0F4C5D7F"/>
    <w:rsid w:val="0F564D97"/>
    <w:rsid w:val="0F7231A9"/>
    <w:rsid w:val="0F925AA6"/>
    <w:rsid w:val="0F9E3300"/>
    <w:rsid w:val="0FC0211C"/>
    <w:rsid w:val="10102311"/>
    <w:rsid w:val="10115E6A"/>
    <w:rsid w:val="102A658B"/>
    <w:rsid w:val="104976F6"/>
    <w:rsid w:val="104F1659"/>
    <w:rsid w:val="10596A8A"/>
    <w:rsid w:val="108D20C1"/>
    <w:rsid w:val="10A03D4E"/>
    <w:rsid w:val="113D440A"/>
    <w:rsid w:val="115821F9"/>
    <w:rsid w:val="116B7B4D"/>
    <w:rsid w:val="11A63890"/>
    <w:rsid w:val="12070882"/>
    <w:rsid w:val="121F2754"/>
    <w:rsid w:val="1252557A"/>
    <w:rsid w:val="12552659"/>
    <w:rsid w:val="12922D3F"/>
    <w:rsid w:val="12B233F9"/>
    <w:rsid w:val="12BE7F62"/>
    <w:rsid w:val="1345475D"/>
    <w:rsid w:val="138E5D21"/>
    <w:rsid w:val="13A21C4F"/>
    <w:rsid w:val="13B9335E"/>
    <w:rsid w:val="13DD4246"/>
    <w:rsid w:val="1430493B"/>
    <w:rsid w:val="14537C6D"/>
    <w:rsid w:val="14683F09"/>
    <w:rsid w:val="14701D73"/>
    <w:rsid w:val="14AC67AF"/>
    <w:rsid w:val="14BE0A27"/>
    <w:rsid w:val="15487A1C"/>
    <w:rsid w:val="154F7057"/>
    <w:rsid w:val="158A41D7"/>
    <w:rsid w:val="159D03CE"/>
    <w:rsid w:val="15E75FA0"/>
    <w:rsid w:val="16287FC3"/>
    <w:rsid w:val="16425556"/>
    <w:rsid w:val="165E3321"/>
    <w:rsid w:val="16992B0F"/>
    <w:rsid w:val="16BB42B4"/>
    <w:rsid w:val="173A177D"/>
    <w:rsid w:val="17445EB8"/>
    <w:rsid w:val="179B1DD9"/>
    <w:rsid w:val="181C1D3D"/>
    <w:rsid w:val="18980221"/>
    <w:rsid w:val="18CB55C6"/>
    <w:rsid w:val="18DA5E98"/>
    <w:rsid w:val="18E03610"/>
    <w:rsid w:val="190B6400"/>
    <w:rsid w:val="1961703C"/>
    <w:rsid w:val="198677FA"/>
    <w:rsid w:val="1988554F"/>
    <w:rsid w:val="19C93E45"/>
    <w:rsid w:val="19DA7BA8"/>
    <w:rsid w:val="1A124F0F"/>
    <w:rsid w:val="1A354758"/>
    <w:rsid w:val="1A571412"/>
    <w:rsid w:val="1A847626"/>
    <w:rsid w:val="1AF11E5F"/>
    <w:rsid w:val="1BE37A17"/>
    <w:rsid w:val="1C5D4ACD"/>
    <w:rsid w:val="1CC77260"/>
    <w:rsid w:val="1D24548F"/>
    <w:rsid w:val="1D7E2C37"/>
    <w:rsid w:val="1D8C34A7"/>
    <w:rsid w:val="1D8D491A"/>
    <w:rsid w:val="1DC74491"/>
    <w:rsid w:val="1DFF1332"/>
    <w:rsid w:val="1E196F6D"/>
    <w:rsid w:val="1E272542"/>
    <w:rsid w:val="1E4624A0"/>
    <w:rsid w:val="1E51299D"/>
    <w:rsid w:val="1EDB491C"/>
    <w:rsid w:val="1EDF7CB1"/>
    <w:rsid w:val="1F003C10"/>
    <w:rsid w:val="1F1165AD"/>
    <w:rsid w:val="1F266E63"/>
    <w:rsid w:val="201B4E65"/>
    <w:rsid w:val="208A51C2"/>
    <w:rsid w:val="20930FF2"/>
    <w:rsid w:val="209437B5"/>
    <w:rsid w:val="20994225"/>
    <w:rsid w:val="20C10A22"/>
    <w:rsid w:val="20D04BBD"/>
    <w:rsid w:val="20F9029D"/>
    <w:rsid w:val="20FF3B2C"/>
    <w:rsid w:val="21446707"/>
    <w:rsid w:val="2174694D"/>
    <w:rsid w:val="218424FF"/>
    <w:rsid w:val="21940B7C"/>
    <w:rsid w:val="21BD5781"/>
    <w:rsid w:val="21D9693F"/>
    <w:rsid w:val="21F93C66"/>
    <w:rsid w:val="220649DD"/>
    <w:rsid w:val="220B3A84"/>
    <w:rsid w:val="222727CC"/>
    <w:rsid w:val="2233083C"/>
    <w:rsid w:val="226B559C"/>
    <w:rsid w:val="227452B1"/>
    <w:rsid w:val="22AD5AD9"/>
    <w:rsid w:val="22B0503B"/>
    <w:rsid w:val="22BE0397"/>
    <w:rsid w:val="22E3626A"/>
    <w:rsid w:val="23662E3B"/>
    <w:rsid w:val="23710394"/>
    <w:rsid w:val="23871907"/>
    <w:rsid w:val="23C2289E"/>
    <w:rsid w:val="23DA4CEF"/>
    <w:rsid w:val="2414284F"/>
    <w:rsid w:val="242A0601"/>
    <w:rsid w:val="24D6506B"/>
    <w:rsid w:val="24EF0020"/>
    <w:rsid w:val="25574E35"/>
    <w:rsid w:val="25711BB7"/>
    <w:rsid w:val="260B1F2C"/>
    <w:rsid w:val="26786F81"/>
    <w:rsid w:val="26F34EE6"/>
    <w:rsid w:val="273814E5"/>
    <w:rsid w:val="27483E4E"/>
    <w:rsid w:val="27B303DD"/>
    <w:rsid w:val="27BA7E6C"/>
    <w:rsid w:val="27E953F3"/>
    <w:rsid w:val="28145AFD"/>
    <w:rsid w:val="28575E86"/>
    <w:rsid w:val="287C7D98"/>
    <w:rsid w:val="287D70FC"/>
    <w:rsid w:val="289910C5"/>
    <w:rsid w:val="28A96FEB"/>
    <w:rsid w:val="28BE00F0"/>
    <w:rsid w:val="292B1736"/>
    <w:rsid w:val="29486DD5"/>
    <w:rsid w:val="297B2FEE"/>
    <w:rsid w:val="299D60B9"/>
    <w:rsid w:val="29B21AB6"/>
    <w:rsid w:val="29E919AB"/>
    <w:rsid w:val="2A187B8E"/>
    <w:rsid w:val="2A2E34CF"/>
    <w:rsid w:val="2A9B4F10"/>
    <w:rsid w:val="2AC1335C"/>
    <w:rsid w:val="2B09769F"/>
    <w:rsid w:val="2B551AE1"/>
    <w:rsid w:val="2BC50A4F"/>
    <w:rsid w:val="2BE704ED"/>
    <w:rsid w:val="2C4E4030"/>
    <w:rsid w:val="2C7D0167"/>
    <w:rsid w:val="2C8F1129"/>
    <w:rsid w:val="2CB101E9"/>
    <w:rsid w:val="2CC84CAF"/>
    <w:rsid w:val="2D6861CB"/>
    <w:rsid w:val="2D9061C4"/>
    <w:rsid w:val="2DB03BEB"/>
    <w:rsid w:val="2DE03513"/>
    <w:rsid w:val="2E3C47E9"/>
    <w:rsid w:val="2E7D0ED3"/>
    <w:rsid w:val="2E8F3974"/>
    <w:rsid w:val="2F861BD7"/>
    <w:rsid w:val="30204562"/>
    <w:rsid w:val="304C3A5E"/>
    <w:rsid w:val="304F27D8"/>
    <w:rsid w:val="30BB4802"/>
    <w:rsid w:val="31036F89"/>
    <w:rsid w:val="3112219E"/>
    <w:rsid w:val="312C1CCB"/>
    <w:rsid w:val="31C76331"/>
    <w:rsid w:val="31C970AE"/>
    <w:rsid w:val="31D72BA2"/>
    <w:rsid w:val="31F04A7A"/>
    <w:rsid w:val="326A3FCC"/>
    <w:rsid w:val="328F7EA1"/>
    <w:rsid w:val="32A92717"/>
    <w:rsid w:val="32C903BA"/>
    <w:rsid w:val="32D66AD0"/>
    <w:rsid w:val="33472DE3"/>
    <w:rsid w:val="334C779E"/>
    <w:rsid w:val="3353775D"/>
    <w:rsid w:val="335A78F0"/>
    <w:rsid w:val="338736BF"/>
    <w:rsid w:val="33EC143F"/>
    <w:rsid w:val="34222CEF"/>
    <w:rsid w:val="34611A7A"/>
    <w:rsid w:val="34632462"/>
    <w:rsid w:val="347B017E"/>
    <w:rsid w:val="35774ACB"/>
    <w:rsid w:val="35BB22CD"/>
    <w:rsid w:val="35CC4B5B"/>
    <w:rsid w:val="36194649"/>
    <w:rsid w:val="36351D93"/>
    <w:rsid w:val="365B6072"/>
    <w:rsid w:val="367071C8"/>
    <w:rsid w:val="36A577B1"/>
    <w:rsid w:val="3713039F"/>
    <w:rsid w:val="37A26A09"/>
    <w:rsid w:val="37E76D5E"/>
    <w:rsid w:val="380565F3"/>
    <w:rsid w:val="386B7548"/>
    <w:rsid w:val="39094912"/>
    <w:rsid w:val="3999546E"/>
    <w:rsid w:val="39996D71"/>
    <w:rsid w:val="39AD65EC"/>
    <w:rsid w:val="39E005E6"/>
    <w:rsid w:val="39E065C9"/>
    <w:rsid w:val="3A48333D"/>
    <w:rsid w:val="3A52323B"/>
    <w:rsid w:val="3AB706C1"/>
    <w:rsid w:val="3B3A70B3"/>
    <w:rsid w:val="3B7C5E67"/>
    <w:rsid w:val="3BAA74C9"/>
    <w:rsid w:val="3BE409C9"/>
    <w:rsid w:val="3BEA6AE4"/>
    <w:rsid w:val="3BF93294"/>
    <w:rsid w:val="3C1F2FE8"/>
    <w:rsid w:val="3C596DE2"/>
    <w:rsid w:val="3C6F0CEE"/>
    <w:rsid w:val="3CA24EDE"/>
    <w:rsid w:val="3CA36810"/>
    <w:rsid w:val="3CFC5863"/>
    <w:rsid w:val="3D1E72FF"/>
    <w:rsid w:val="3D20572F"/>
    <w:rsid w:val="3D245509"/>
    <w:rsid w:val="3D484B0C"/>
    <w:rsid w:val="3D4C6D8E"/>
    <w:rsid w:val="3D905416"/>
    <w:rsid w:val="3DE16885"/>
    <w:rsid w:val="3DE94E05"/>
    <w:rsid w:val="3E224D79"/>
    <w:rsid w:val="3E9F383F"/>
    <w:rsid w:val="3EC4174C"/>
    <w:rsid w:val="3F074E3D"/>
    <w:rsid w:val="3F0D3D8C"/>
    <w:rsid w:val="3F0E169A"/>
    <w:rsid w:val="3F277E8E"/>
    <w:rsid w:val="3F585CCE"/>
    <w:rsid w:val="3FE12E4A"/>
    <w:rsid w:val="406A276A"/>
    <w:rsid w:val="40832E78"/>
    <w:rsid w:val="40D97EA4"/>
    <w:rsid w:val="40DF0BBE"/>
    <w:rsid w:val="40EA3CCC"/>
    <w:rsid w:val="411059C7"/>
    <w:rsid w:val="41201ECA"/>
    <w:rsid w:val="4123217E"/>
    <w:rsid w:val="414C55A7"/>
    <w:rsid w:val="416506E6"/>
    <w:rsid w:val="41CD7F90"/>
    <w:rsid w:val="41ED7709"/>
    <w:rsid w:val="41FE160D"/>
    <w:rsid w:val="42031D35"/>
    <w:rsid w:val="42050404"/>
    <w:rsid w:val="42A6614D"/>
    <w:rsid w:val="43031042"/>
    <w:rsid w:val="43C77D14"/>
    <w:rsid w:val="449A5B4F"/>
    <w:rsid w:val="44F56185"/>
    <w:rsid w:val="45284B44"/>
    <w:rsid w:val="454B5FF8"/>
    <w:rsid w:val="454F558A"/>
    <w:rsid w:val="455C707D"/>
    <w:rsid w:val="457A43C9"/>
    <w:rsid w:val="457B0C88"/>
    <w:rsid w:val="45816347"/>
    <w:rsid w:val="45BF2C24"/>
    <w:rsid w:val="45F75A2E"/>
    <w:rsid w:val="463A2793"/>
    <w:rsid w:val="46592EB8"/>
    <w:rsid w:val="46933A92"/>
    <w:rsid w:val="46E7569A"/>
    <w:rsid w:val="470C712A"/>
    <w:rsid w:val="4715375A"/>
    <w:rsid w:val="47692DC8"/>
    <w:rsid w:val="47785AC8"/>
    <w:rsid w:val="4817016E"/>
    <w:rsid w:val="486E2C10"/>
    <w:rsid w:val="48D07DD7"/>
    <w:rsid w:val="48EB31A4"/>
    <w:rsid w:val="4948027F"/>
    <w:rsid w:val="49580FA4"/>
    <w:rsid w:val="4989346C"/>
    <w:rsid w:val="499B6DC2"/>
    <w:rsid w:val="49B117DF"/>
    <w:rsid w:val="49C96E7D"/>
    <w:rsid w:val="49E97557"/>
    <w:rsid w:val="49F1648E"/>
    <w:rsid w:val="4A1F2B48"/>
    <w:rsid w:val="4A3776FA"/>
    <w:rsid w:val="4A833C44"/>
    <w:rsid w:val="4A912A3B"/>
    <w:rsid w:val="4AD45375"/>
    <w:rsid w:val="4BA0476C"/>
    <w:rsid w:val="4BA06EB7"/>
    <w:rsid w:val="4BCC6EC9"/>
    <w:rsid w:val="4C342F7B"/>
    <w:rsid w:val="4C6A2954"/>
    <w:rsid w:val="4C8E2F28"/>
    <w:rsid w:val="4CB27BE4"/>
    <w:rsid w:val="4CCA16AA"/>
    <w:rsid w:val="4CDD2E27"/>
    <w:rsid w:val="4D63477C"/>
    <w:rsid w:val="4D8D3751"/>
    <w:rsid w:val="4DA20425"/>
    <w:rsid w:val="4DA802AB"/>
    <w:rsid w:val="4DBC130B"/>
    <w:rsid w:val="4E155130"/>
    <w:rsid w:val="4E4E7E51"/>
    <w:rsid w:val="4E8A1AE4"/>
    <w:rsid w:val="4EA33388"/>
    <w:rsid w:val="4ED149A6"/>
    <w:rsid w:val="4EE02BA5"/>
    <w:rsid w:val="4F460EF1"/>
    <w:rsid w:val="4F897B83"/>
    <w:rsid w:val="4FDD3519"/>
    <w:rsid w:val="4FEF04F8"/>
    <w:rsid w:val="500E2177"/>
    <w:rsid w:val="509E69FA"/>
    <w:rsid w:val="50E02613"/>
    <w:rsid w:val="50FE0D8E"/>
    <w:rsid w:val="522F790A"/>
    <w:rsid w:val="523046F9"/>
    <w:rsid w:val="527C6CC8"/>
    <w:rsid w:val="52864C70"/>
    <w:rsid w:val="52A16DB5"/>
    <w:rsid w:val="52DF4848"/>
    <w:rsid w:val="530A5DEA"/>
    <w:rsid w:val="530E4D9C"/>
    <w:rsid w:val="530E5BD6"/>
    <w:rsid w:val="53161915"/>
    <w:rsid w:val="53D618A9"/>
    <w:rsid w:val="53F73EC6"/>
    <w:rsid w:val="54665F7C"/>
    <w:rsid w:val="54B9747D"/>
    <w:rsid w:val="54F34954"/>
    <w:rsid w:val="55015C78"/>
    <w:rsid w:val="550E4D96"/>
    <w:rsid w:val="552919FC"/>
    <w:rsid w:val="55B832AC"/>
    <w:rsid w:val="55E10499"/>
    <w:rsid w:val="562D55F0"/>
    <w:rsid w:val="562D6891"/>
    <w:rsid w:val="563056D0"/>
    <w:rsid w:val="563F10A5"/>
    <w:rsid w:val="56782591"/>
    <w:rsid w:val="56820DB6"/>
    <w:rsid w:val="56AB6E7C"/>
    <w:rsid w:val="56DF78D4"/>
    <w:rsid w:val="56F92EA0"/>
    <w:rsid w:val="573D0987"/>
    <w:rsid w:val="57A00D1A"/>
    <w:rsid w:val="57E15AEA"/>
    <w:rsid w:val="57EE288A"/>
    <w:rsid w:val="58074061"/>
    <w:rsid w:val="580D34B7"/>
    <w:rsid w:val="581774FD"/>
    <w:rsid w:val="5850317C"/>
    <w:rsid w:val="588874C1"/>
    <w:rsid w:val="58893643"/>
    <w:rsid w:val="589539B6"/>
    <w:rsid w:val="58962EEA"/>
    <w:rsid w:val="5913659C"/>
    <w:rsid w:val="591E4CA0"/>
    <w:rsid w:val="59600D51"/>
    <w:rsid w:val="59672A07"/>
    <w:rsid w:val="597321EC"/>
    <w:rsid w:val="597E4F7B"/>
    <w:rsid w:val="59AF1A3A"/>
    <w:rsid w:val="59BF0F1E"/>
    <w:rsid w:val="59E76EB1"/>
    <w:rsid w:val="5A2F109A"/>
    <w:rsid w:val="5A5C38B6"/>
    <w:rsid w:val="5A6D1423"/>
    <w:rsid w:val="5A7C5D40"/>
    <w:rsid w:val="5AB4110C"/>
    <w:rsid w:val="5AEF5E09"/>
    <w:rsid w:val="5B2B15A7"/>
    <w:rsid w:val="5B3146A5"/>
    <w:rsid w:val="5B43776F"/>
    <w:rsid w:val="5B451CB3"/>
    <w:rsid w:val="5B494463"/>
    <w:rsid w:val="5B7A5A0B"/>
    <w:rsid w:val="5BDA3036"/>
    <w:rsid w:val="5C2C2CAB"/>
    <w:rsid w:val="5C9C68D5"/>
    <w:rsid w:val="5D1E7BC1"/>
    <w:rsid w:val="5D285E42"/>
    <w:rsid w:val="5D5A065B"/>
    <w:rsid w:val="5D817A66"/>
    <w:rsid w:val="5DC5671C"/>
    <w:rsid w:val="5E5169CF"/>
    <w:rsid w:val="5ED0132C"/>
    <w:rsid w:val="5ED46B8E"/>
    <w:rsid w:val="5F1243F0"/>
    <w:rsid w:val="5F1E5004"/>
    <w:rsid w:val="5F5129E3"/>
    <w:rsid w:val="5F661485"/>
    <w:rsid w:val="5FB36564"/>
    <w:rsid w:val="5FEB0CD4"/>
    <w:rsid w:val="5FEB3AFA"/>
    <w:rsid w:val="6020082F"/>
    <w:rsid w:val="60244342"/>
    <w:rsid w:val="60483F7F"/>
    <w:rsid w:val="606D49EA"/>
    <w:rsid w:val="607B0359"/>
    <w:rsid w:val="60857C0D"/>
    <w:rsid w:val="608A507B"/>
    <w:rsid w:val="609A39E0"/>
    <w:rsid w:val="61115BFA"/>
    <w:rsid w:val="611C7C22"/>
    <w:rsid w:val="617A0210"/>
    <w:rsid w:val="62004CDF"/>
    <w:rsid w:val="62052ABF"/>
    <w:rsid w:val="62727C62"/>
    <w:rsid w:val="62B96E5A"/>
    <w:rsid w:val="62BF3CDC"/>
    <w:rsid w:val="62D7345E"/>
    <w:rsid w:val="63604152"/>
    <w:rsid w:val="637203AC"/>
    <w:rsid w:val="63A33CBB"/>
    <w:rsid w:val="63D7347F"/>
    <w:rsid w:val="64601860"/>
    <w:rsid w:val="64C771BD"/>
    <w:rsid w:val="64D428E4"/>
    <w:rsid w:val="6557566A"/>
    <w:rsid w:val="657355C2"/>
    <w:rsid w:val="65795989"/>
    <w:rsid w:val="659F6FCD"/>
    <w:rsid w:val="65AF5AB5"/>
    <w:rsid w:val="65CF04C1"/>
    <w:rsid w:val="664C0792"/>
    <w:rsid w:val="667E5BF7"/>
    <w:rsid w:val="668546DF"/>
    <w:rsid w:val="67156172"/>
    <w:rsid w:val="67162D98"/>
    <w:rsid w:val="67397D9B"/>
    <w:rsid w:val="677B4A62"/>
    <w:rsid w:val="67A23B6F"/>
    <w:rsid w:val="67CF474D"/>
    <w:rsid w:val="67DE3A6E"/>
    <w:rsid w:val="67E54FDD"/>
    <w:rsid w:val="67EC41E2"/>
    <w:rsid w:val="680C3B48"/>
    <w:rsid w:val="68246380"/>
    <w:rsid w:val="682962D8"/>
    <w:rsid w:val="68536A76"/>
    <w:rsid w:val="68A64682"/>
    <w:rsid w:val="68A775BD"/>
    <w:rsid w:val="68DB3A6B"/>
    <w:rsid w:val="69125DA7"/>
    <w:rsid w:val="692C0E4C"/>
    <w:rsid w:val="69425EE2"/>
    <w:rsid w:val="69523E28"/>
    <w:rsid w:val="69F34309"/>
    <w:rsid w:val="6A734110"/>
    <w:rsid w:val="6A9453F3"/>
    <w:rsid w:val="6AC142AF"/>
    <w:rsid w:val="6B3F58D5"/>
    <w:rsid w:val="6B4379BA"/>
    <w:rsid w:val="6B483012"/>
    <w:rsid w:val="6B48539B"/>
    <w:rsid w:val="6B514456"/>
    <w:rsid w:val="6B69727F"/>
    <w:rsid w:val="6B7159C5"/>
    <w:rsid w:val="6B952DD7"/>
    <w:rsid w:val="6BC7580C"/>
    <w:rsid w:val="6C5E42A2"/>
    <w:rsid w:val="6C706E2F"/>
    <w:rsid w:val="6C821D4D"/>
    <w:rsid w:val="6D236F43"/>
    <w:rsid w:val="6D4E029A"/>
    <w:rsid w:val="6D764A41"/>
    <w:rsid w:val="6E254968"/>
    <w:rsid w:val="6E822B3B"/>
    <w:rsid w:val="6E9165A1"/>
    <w:rsid w:val="6E9900C8"/>
    <w:rsid w:val="6EBD2B08"/>
    <w:rsid w:val="6EC02755"/>
    <w:rsid w:val="6F08354F"/>
    <w:rsid w:val="6F962F74"/>
    <w:rsid w:val="6FAC485F"/>
    <w:rsid w:val="700E1441"/>
    <w:rsid w:val="70920BA3"/>
    <w:rsid w:val="70A474F6"/>
    <w:rsid w:val="70B916D6"/>
    <w:rsid w:val="70D663D5"/>
    <w:rsid w:val="71210FBE"/>
    <w:rsid w:val="713B33DE"/>
    <w:rsid w:val="713F591D"/>
    <w:rsid w:val="714D0A45"/>
    <w:rsid w:val="715B63C6"/>
    <w:rsid w:val="718D6579"/>
    <w:rsid w:val="719E5231"/>
    <w:rsid w:val="7235491B"/>
    <w:rsid w:val="723C1852"/>
    <w:rsid w:val="723F2ED6"/>
    <w:rsid w:val="728317C6"/>
    <w:rsid w:val="729C492A"/>
    <w:rsid w:val="72C67A8E"/>
    <w:rsid w:val="73381822"/>
    <w:rsid w:val="734C3995"/>
    <w:rsid w:val="73924319"/>
    <w:rsid w:val="745E1F10"/>
    <w:rsid w:val="74697EEC"/>
    <w:rsid w:val="75427C77"/>
    <w:rsid w:val="759A39D7"/>
    <w:rsid w:val="75BE5C90"/>
    <w:rsid w:val="75D343BE"/>
    <w:rsid w:val="760F588E"/>
    <w:rsid w:val="76645919"/>
    <w:rsid w:val="76E51793"/>
    <w:rsid w:val="76F50C95"/>
    <w:rsid w:val="77015106"/>
    <w:rsid w:val="7789475C"/>
    <w:rsid w:val="77B23FB4"/>
    <w:rsid w:val="77BA7E56"/>
    <w:rsid w:val="77E22743"/>
    <w:rsid w:val="77E633D7"/>
    <w:rsid w:val="780B1398"/>
    <w:rsid w:val="782C2E87"/>
    <w:rsid w:val="78444B56"/>
    <w:rsid w:val="78E17A07"/>
    <w:rsid w:val="790D3F20"/>
    <w:rsid w:val="79462D2B"/>
    <w:rsid w:val="79992E06"/>
    <w:rsid w:val="79D7264F"/>
    <w:rsid w:val="7A081020"/>
    <w:rsid w:val="7A6C280F"/>
    <w:rsid w:val="7AA2052E"/>
    <w:rsid w:val="7AA74F84"/>
    <w:rsid w:val="7AD73527"/>
    <w:rsid w:val="7AE86FA2"/>
    <w:rsid w:val="7AEA248B"/>
    <w:rsid w:val="7AEB010E"/>
    <w:rsid w:val="7B2E23CB"/>
    <w:rsid w:val="7B514A96"/>
    <w:rsid w:val="7B72790E"/>
    <w:rsid w:val="7BB13BDE"/>
    <w:rsid w:val="7BB45C00"/>
    <w:rsid w:val="7C235177"/>
    <w:rsid w:val="7C482F8C"/>
    <w:rsid w:val="7CAB00A0"/>
    <w:rsid w:val="7D015E78"/>
    <w:rsid w:val="7D032835"/>
    <w:rsid w:val="7D105A47"/>
    <w:rsid w:val="7DBB0114"/>
    <w:rsid w:val="7DC13ABE"/>
    <w:rsid w:val="7E461E85"/>
    <w:rsid w:val="7EE8234A"/>
    <w:rsid w:val="B3EC6832"/>
    <w:rsid w:val="FCFB2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75"/>
    <w:qFormat/>
    <w:uiPriority w:val="0"/>
    <w:pPr>
      <w:snapToGrid w:val="0"/>
      <w:spacing w:before="220" w:after="90"/>
      <w:outlineLvl w:val="0"/>
    </w:pPr>
    <w:rPr>
      <w:kern w:val="44"/>
      <w:sz w:val="36"/>
      <w:szCs w:val="44"/>
    </w:rPr>
  </w:style>
  <w:style w:type="paragraph" w:styleId="5">
    <w:name w:val="heading 2"/>
    <w:basedOn w:val="1"/>
    <w:next w:val="1"/>
    <w:link w:val="425"/>
    <w:qFormat/>
    <w:uiPriority w:val="0"/>
    <w:pPr>
      <w:keepNext/>
      <w:keepLines/>
      <w:spacing w:before="140" w:after="140" w:line="360" w:lineRule="auto"/>
      <w:jc w:val="center"/>
      <w:outlineLvl w:val="1"/>
    </w:pPr>
    <w:rPr>
      <w:rFonts w:eastAsia="黑体"/>
      <w:b/>
      <w:bCs/>
      <w:sz w:val="32"/>
      <w:szCs w:val="32"/>
    </w:rPr>
  </w:style>
  <w:style w:type="paragraph" w:styleId="6">
    <w:name w:val="heading 3"/>
    <w:basedOn w:val="1"/>
    <w:next w:val="1"/>
    <w:link w:val="264"/>
    <w:qFormat/>
    <w:uiPriority w:val="0"/>
    <w:pPr>
      <w:spacing w:line="416" w:lineRule="auto"/>
      <w:ind w:firstLine="720" w:firstLineChars="200"/>
      <w:jc w:val="left"/>
      <w:outlineLvl w:val="2"/>
    </w:pPr>
    <w:rPr>
      <w:sz w:val="24"/>
    </w:rPr>
  </w:style>
  <w:style w:type="paragraph" w:styleId="7">
    <w:name w:val="heading 4"/>
    <w:basedOn w:val="1"/>
    <w:next w:val="1"/>
    <w:link w:val="227"/>
    <w:qFormat/>
    <w:uiPriority w:val="9"/>
    <w:pPr>
      <w:keepNext/>
      <w:keepLines/>
      <w:spacing w:before="280" w:after="290" w:line="376" w:lineRule="auto"/>
      <w:jc w:val="center"/>
      <w:outlineLvl w:val="3"/>
    </w:pPr>
    <w:rPr>
      <w:rFonts w:eastAsia="黑体"/>
      <w:b/>
      <w:bCs/>
      <w:kern w:val="0"/>
      <w:sz w:val="32"/>
      <w:szCs w:val="28"/>
    </w:rPr>
  </w:style>
  <w:style w:type="paragraph" w:styleId="8">
    <w:name w:val="heading 5"/>
    <w:basedOn w:val="1"/>
    <w:next w:val="1"/>
    <w:link w:val="355"/>
    <w:qFormat/>
    <w:uiPriority w:val="0"/>
    <w:pPr>
      <w:keepNext/>
      <w:keepLines/>
      <w:spacing w:before="280" w:after="290" w:line="376" w:lineRule="auto"/>
      <w:outlineLvl w:val="4"/>
    </w:pPr>
    <w:rPr>
      <w:b/>
      <w:bCs/>
      <w:sz w:val="28"/>
      <w:szCs w:val="28"/>
    </w:rPr>
  </w:style>
  <w:style w:type="paragraph" w:styleId="9">
    <w:name w:val="heading 6"/>
    <w:basedOn w:val="1"/>
    <w:next w:val="1"/>
    <w:link w:val="295"/>
    <w:qFormat/>
    <w:uiPriority w:val="0"/>
    <w:pPr>
      <w:keepNext/>
      <w:keepLines/>
      <w:spacing w:before="240" w:after="64" w:line="320" w:lineRule="auto"/>
      <w:outlineLvl w:val="5"/>
    </w:pPr>
    <w:rPr>
      <w:rFonts w:eastAsia="黑体"/>
      <w:b/>
      <w:bCs/>
      <w:sz w:val="24"/>
    </w:rPr>
  </w:style>
  <w:style w:type="paragraph" w:styleId="10">
    <w:name w:val="heading 7"/>
    <w:basedOn w:val="1"/>
    <w:next w:val="1"/>
    <w:link w:val="286"/>
    <w:qFormat/>
    <w:uiPriority w:val="0"/>
    <w:pPr>
      <w:keepNext/>
      <w:keepLines/>
      <w:spacing w:before="240" w:after="64" w:line="320" w:lineRule="auto"/>
      <w:outlineLvl w:val="6"/>
    </w:pPr>
    <w:rPr>
      <w:b/>
      <w:bCs/>
      <w:sz w:val="24"/>
    </w:rPr>
  </w:style>
  <w:style w:type="paragraph" w:styleId="11">
    <w:name w:val="heading 8"/>
    <w:basedOn w:val="1"/>
    <w:next w:val="1"/>
    <w:link w:val="269"/>
    <w:qFormat/>
    <w:uiPriority w:val="0"/>
    <w:pPr>
      <w:keepNext/>
      <w:keepLines/>
      <w:spacing w:before="240" w:after="64" w:line="320" w:lineRule="auto"/>
      <w:outlineLvl w:val="7"/>
    </w:pPr>
    <w:rPr>
      <w:rFonts w:eastAsia="黑体"/>
      <w:sz w:val="24"/>
    </w:rPr>
  </w:style>
  <w:style w:type="paragraph" w:styleId="12">
    <w:name w:val="heading 9"/>
    <w:basedOn w:val="1"/>
    <w:next w:val="1"/>
    <w:link w:val="426"/>
    <w:qFormat/>
    <w:uiPriority w:val="0"/>
    <w:pPr>
      <w:keepNext/>
      <w:keepLines/>
      <w:spacing w:before="240" w:after="64" w:line="320" w:lineRule="auto"/>
      <w:outlineLvl w:val="8"/>
    </w:pPr>
    <w:rPr>
      <w:rFonts w:eastAsia="黑体"/>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1"/>
    <w:qFormat/>
    <w:uiPriority w:val="0"/>
    <w:pPr>
      <w:spacing w:after="120"/>
    </w:pPr>
  </w:style>
  <w:style w:type="paragraph" w:styleId="3">
    <w:name w:val="Subtitle"/>
    <w:basedOn w:val="1"/>
    <w:next w:val="1"/>
    <w:link w:val="235"/>
    <w:qFormat/>
    <w:uiPriority w:val="0"/>
    <w:pPr>
      <w:spacing w:line="312" w:lineRule="auto"/>
      <w:jc w:val="left"/>
      <w:outlineLvl w:val="1"/>
    </w:pPr>
    <w:rPr>
      <w:rFonts w:ascii="Cambria" w:hAnsi="Cambria"/>
      <w:b/>
      <w:bCs/>
      <w:kern w:val="28"/>
      <w:szCs w:val="32"/>
    </w:rPr>
  </w:style>
  <w:style w:type="paragraph" w:styleId="13">
    <w:name w:val="toc 7"/>
    <w:basedOn w:val="1"/>
    <w:next w:val="1"/>
    <w:qFormat/>
    <w:uiPriority w:val="0"/>
    <w:pPr>
      <w:ind w:left="2520" w:leftChars="1200"/>
    </w:pPr>
  </w:style>
  <w:style w:type="paragraph" w:styleId="14">
    <w:name w:val="Normal Indent"/>
    <w:basedOn w:val="1"/>
    <w:link w:val="350"/>
    <w:qFormat/>
    <w:uiPriority w:val="0"/>
    <w:pPr>
      <w:ind w:firstLine="420"/>
    </w:pPr>
    <w:rPr>
      <w:szCs w:val="20"/>
    </w:rPr>
  </w:style>
  <w:style w:type="paragraph" w:styleId="15">
    <w:name w:val="List Bullet"/>
    <w:basedOn w:val="1"/>
    <w:qFormat/>
    <w:uiPriority w:val="0"/>
  </w:style>
  <w:style w:type="paragraph" w:styleId="16">
    <w:name w:val="Document Map"/>
    <w:basedOn w:val="1"/>
    <w:link w:val="378"/>
    <w:qFormat/>
    <w:uiPriority w:val="0"/>
    <w:rPr>
      <w:rFonts w:ascii="宋体"/>
      <w:sz w:val="18"/>
      <w:szCs w:val="18"/>
    </w:rPr>
  </w:style>
  <w:style w:type="paragraph" w:styleId="17">
    <w:name w:val="annotation text"/>
    <w:basedOn w:val="1"/>
    <w:link w:val="238"/>
    <w:qFormat/>
    <w:uiPriority w:val="0"/>
    <w:pPr>
      <w:jc w:val="left"/>
    </w:pPr>
  </w:style>
  <w:style w:type="paragraph" w:styleId="18">
    <w:name w:val="Body Text 3"/>
    <w:basedOn w:val="1"/>
    <w:link w:val="368"/>
    <w:qFormat/>
    <w:uiPriority w:val="0"/>
    <w:pPr>
      <w:spacing w:line="500" w:lineRule="exact"/>
    </w:pPr>
    <w:rPr>
      <w:b/>
      <w:bCs/>
      <w:sz w:val="24"/>
    </w:rPr>
  </w:style>
  <w:style w:type="paragraph" w:styleId="19">
    <w:name w:val="List Bullet 3"/>
    <w:basedOn w:val="1"/>
    <w:qFormat/>
    <w:uiPriority w:val="0"/>
    <w:pPr>
      <w:tabs>
        <w:tab w:val="left" w:pos="1620"/>
      </w:tabs>
      <w:ind w:left="1620" w:hanging="360"/>
    </w:pPr>
  </w:style>
  <w:style w:type="paragraph" w:styleId="20">
    <w:name w:val="Body Text Indent"/>
    <w:basedOn w:val="1"/>
    <w:link w:val="234"/>
    <w:qFormat/>
    <w:uiPriority w:val="0"/>
    <w:pPr>
      <w:spacing w:after="120"/>
      <w:ind w:left="420" w:leftChars="200"/>
    </w:pPr>
  </w:style>
  <w:style w:type="paragraph" w:styleId="21">
    <w:name w:val="Block Text"/>
    <w:basedOn w:val="1"/>
    <w:qFormat/>
    <w:uiPriority w:val="0"/>
    <w:pPr>
      <w:spacing w:line="400" w:lineRule="exact"/>
      <w:ind w:left="-359" w:leftChars="-171" w:right="-687" w:rightChars="-327" w:firstLine="720"/>
    </w:pPr>
    <w:rPr>
      <w:rFonts w:ascii="宋体" w:hAnsi="宋体"/>
      <w:sz w:val="28"/>
    </w:rPr>
  </w:style>
  <w:style w:type="paragraph" w:styleId="22">
    <w:name w:val="List Bullet 2"/>
    <w:basedOn w:val="1"/>
    <w:qFormat/>
    <w:uiPriority w:val="0"/>
    <w:pPr>
      <w:tabs>
        <w:tab w:val="left" w:pos="1440"/>
      </w:tabs>
      <w:ind w:left="1440" w:hanging="960"/>
    </w:pPr>
  </w:style>
  <w:style w:type="paragraph" w:styleId="23">
    <w:name w:val="toc 5"/>
    <w:basedOn w:val="1"/>
    <w:next w:val="1"/>
    <w:qFormat/>
    <w:uiPriority w:val="0"/>
    <w:pPr>
      <w:ind w:left="1680" w:leftChars="800"/>
    </w:pPr>
  </w:style>
  <w:style w:type="paragraph" w:styleId="24">
    <w:name w:val="toc 3"/>
    <w:basedOn w:val="1"/>
    <w:next w:val="1"/>
    <w:qFormat/>
    <w:uiPriority w:val="0"/>
    <w:pPr>
      <w:ind w:left="840" w:leftChars="400"/>
    </w:pPr>
  </w:style>
  <w:style w:type="paragraph" w:styleId="25">
    <w:name w:val="Plain Text"/>
    <w:basedOn w:val="1"/>
    <w:link w:val="289"/>
    <w:qFormat/>
    <w:uiPriority w:val="0"/>
    <w:rPr>
      <w:rFonts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202"/>
    <w:qFormat/>
    <w:uiPriority w:val="0"/>
    <w:pPr>
      <w:ind w:left="100" w:leftChars="2500"/>
    </w:pPr>
  </w:style>
  <w:style w:type="paragraph" w:styleId="28">
    <w:name w:val="Body Text Indent 2"/>
    <w:basedOn w:val="1"/>
    <w:link w:val="228"/>
    <w:qFormat/>
    <w:uiPriority w:val="0"/>
    <w:pPr>
      <w:ind w:left="105" w:firstLine="690"/>
    </w:pPr>
    <w:rPr>
      <w:sz w:val="32"/>
    </w:rPr>
  </w:style>
  <w:style w:type="paragraph" w:styleId="29">
    <w:name w:val="Balloon Text"/>
    <w:basedOn w:val="1"/>
    <w:link w:val="277"/>
    <w:qFormat/>
    <w:uiPriority w:val="0"/>
    <w:rPr>
      <w:sz w:val="18"/>
      <w:szCs w:val="18"/>
    </w:rPr>
  </w:style>
  <w:style w:type="paragraph" w:styleId="30">
    <w:name w:val="footer"/>
    <w:basedOn w:val="1"/>
    <w:link w:val="356"/>
    <w:qFormat/>
    <w:uiPriority w:val="99"/>
    <w:pPr>
      <w:tabs>
        <w:tab w:val="center" w:pos="4153"/>
        <w:tab w:val="right" w:pos="8306"/>
      </w:tabs>
      <w:snapToGrid w:val="0"/>
      <w:jc w:val="left"/>
    </w:pPr>
    <w:rPr>
      <w:sz w:val="18"/>
      <w:szCs w:val="18"/>
    </w:rPr>
  </w:style>
  <w:style w:type="paragraph" w:styleId="31">
    <w:name w:val="header"/>
    <w:basedOn w:val="1"/>
    <w:link w:val="27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spacing w:line="360" w:lineRule="auto"/>
    </w:pPr>
    <w:rPr>
      <w:rFonts w:ascii="Times New Roman" w:hAnsi="Times New Roman"/>
      <w:b/>
      <w:sz w:val="24"/>
    </w:rPr>
  </w:style>
  <w:style w:type="paragraph" w:styleId="33">
    <w:name w:val="toc 4"/>
    <w:basedOn w:val="1"/>
    <w:next w:val="1"/>
    <w:qFormat/>
    <w:uiPriority w:val="0"/>
    <w:pPr>
      <w:ind w:left="1260" w:leftChars="600"/>
    </w:pPr>
  </w:style>
  <w:style w:type="paragraph" w:styleId="34">
    <w:name w:val="footnote text"/>
    <w:basedOn w:val="1"/>
    <w:link w:val="313"/>
    <w:qFormat/>
    <w:uiPriority w:val="0"/>
    <w:pPr>
      <w:snapToGrid w:val="0"/>
      <w:jc w:val="left"/>
    </w:pPr>
    <w:rPr>
      <w:sz w:val="18"/>
      <w:szCs w:val="18"/>
    </w:rPr>
  </w:style>
  <w:style w:type="paragraph" w:styleId="35">
    <w:name w:val="toc 6"/>
    <w:basedOn w:val="1"/>
    <w:next w:val="1"/>
    <w:qFormat/>
    <w:uiPriority w:val="0"/>
    <w:pPr>
      <w:ind w:left="2100" w:leftChars="1000"/>
    </w:pPr>
  </w:style>
  <w:style w:type="paragraph" w:styleId="36">
    <w:name w:val="Body Text Indent 3"/>
    <w:basedOn w:val="1"/>
    <w:link w:val="301"/>
    <w:qFormat/>
    <w:uiPriority w:val="0"/>
    <w:pPr>
      <w:adjustRightInd w:val="0"/>
      <w:spacing w:line="360" w:lineRule="auto"/>
      <w:ind w:left="960"/>
      <w:jc w:val="left"/>
      <w:textAlignment w:val="baseline"/>
    </w:pPr>
    <w:rPr>
      <w:rFonts w:eastAsia="楷体"/>
      <w:kern w:val="0"/>
      <w:sz w:val="24"/>
      <w:szCs w:val="20"/>
    </w:rPr>
  </w:style>
  <w:style w:type="paragraph" w:styleId="37">
    <w:name w:val="toc 2"/>
    <w:basedOn w:val="1"/>
    <w:next w:val="1"/>
    <w:qFormat/>
    <w:uiPriority w:val="0"/>
    <w:pPr>
      <w:ind w:left="420" w:leftChars="200"/>
    </w:pPr>
  </w:style>
  <w:style w:type="paragraph" w:styleId="38">
    <w:name w:val="toc 9"/>
    <w:basedOn w:val="1"/>
    <w:next w:val="1"/>
    <w:qFormat/>
    <w:uiPriority w:val="0"/>
    <w:pPr>
      <w:ind w:left="3360" w:leftChars="1600"/>
    </w:pPr>
  </w:style>
  <w:style w:type="paragraph" w:styleId="39">
    <w:name w:val="Body Text 2"/>
    <w:basedOn w:val="1"/>
    <w:link w:val="321"/>
    <w:qFormat/>
    <w:uiPriority w:val="0"/>
    <w:pPr>
      <w:spacing w:after="120" w:line="480" w:lineRule="auto"/>
    </w:pPr>
    <w:rPr>
      <w:szCs w:val="22"/>
    </w:rPr>
  </w:style>
  <w:style w:type="paragraph" w:styleId="40">
    <w:name w:val="Normal (Web)"/>
    <w:basedOn w:val="1"/>
    <w:qFormat/>
    <w:uiPriority w:val="99"/>
    <w:pPr>
      <w:widowControl/>
      <w:spacing w:before="100" w:beforeAutospacing="1" w:after="100" w:afterAutospacing="1"/>
      <w:jc w:val="left"/>
    </w:pPr>
    <w:rPr>
      <w:rFonts w:ascii="宋体" w:hAnsi="宋体"/>
      <w:kern w:val="0"/>
      <w:sz w:val="24"/>
    </w:rPr>
  </w:style>
  <w:style w:type="paragraph" w:styleId="41">
    <w:name w:val="index 1"/>
    <w:basedOn w:val="1"/>
    <w:next w:val="1"/>
    <w:unhideWhenUsed/>
    <w:qFormat/>
    <w:uiPriority w:val="0"/>
    <w:pPr>
      <w:jc w:val="center"/>
    </w:pPr>
    <w:rPr>
      <w:szCs w:val="20"/>
    </w:rPr>
  </w:style>
  <w:style w:type="paragraph" w:styleId="42">
    <w:name w:val="Title"/>
    <w:basedOn w:val="1"/>
    <w:next w:val="1"/>
    <w:link w:val="384"/>
    <w:qFormat/>
    <w:uiPriority w:val="0"/>
    <w:pPr>
      <w:spacing w:before="240" w:after="60"/>
      <w:jc w:val="center"/>
      <w:outlineLvl w:val="0"/>
    </w:pPr>
    <w:rPr>
      <w:rFonts w:ascii="Cambria" w:hAnsi="Cambria"/>
      <w:b/>
      <w:bCs/>
      <w:sz w:val="32"/>
      <w:szCs w:val="32"/>
    </w:rPr>
  </w:style>
  <w:style w:type="paragraph" w:styleId="43">
    <w:name w:val="annotation subject"/>
    <w:basedOn w:val="17"/>
    <w:next w:val="17"/>
    <w:link w:val="263"/>
    <w:qFormat/>
    <w:uiPriority w:val="0"/>
  </w:style>
  <w:style w:type="paragraph" w:styleId="44">
    <w:name w:val="Body Text First Indent"/>
    <w:basedOn w:val="2"/>
    <w:link w:val="402"/>
    <w:qFormat/>
    <w:uiPriority w:val="0"/>
    <w:pPr>
      <w:spacing w:after="0"/>
      <w:ind w:firstLine="420" w:firstLineChars="100"/>
    </w:pPr>
    <w:rPr>
      <w:rFonts w:ascii="Arial" w:hAnsi="Arial"/>
      <w:color w:val="000000"/>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000000"/>
      <w:sz w:val="18"/>
      <w:szCs w:val="18"/>
      <w:u w:val="none"/>
    </w:rPr>
  </w:style>
  <w:style w:type="character" w:styleId="51">
    <w:name w:val="Emphasis"/>
    <w:qFormat/>
    <w:uiPriority w:val="0"/>
    <w:rPr>
      <w:i/>
      <w:iCs/>
    </w:rPr>
  </w:style>
  <w:style w:type="character" w:styleId="52">
    <w:name w:val="HTML Typewriter"/>
    <w:qFormat/>
    <w:uiPriority w:val="0"/>
    <w:rPr>
      <w:rFonts w:ascii="Consolas" w:hAnsi="Consolas"/>
      <w:sz w:val="20"/>
      <w:szCs w:val="20"/>
    </w:rPr>
  </w:style>
  <w:style w:type="character" w:styleId="53">
    <w:name w:val="Hyperlink"/>
    <w:qFormat/>
    <w:uiPriority w:val="99"/>
    <w:rPr>
      <w:color w:val="000000"/>
      <w:sz w:val="18"/>
      <w:szCs w:val="18"/>
      <w:u w:val="none"/>
    </w:rPr>
  </w:style>
  <w:style w:type="character" w:styleId="54">
    <w:name w:val="annotation reference"/>
    <w:qFormat/>
    <w:uiPriority w:val="99"/>
    <w:rPr>
      <w:sz w:val="21"/>
      <w:szCs w:val="21"/>
    </w:rPr>
  </w:style>
  <w:style w:type="character" w:styleId="55">
    <w:name w:val="footnote reference"/>
    <w:qFormat/>
    <w:uiPriority w:val="0"/>
    <w:rPr>
      <w:vertAlign w:val="superscript"/>
    </w:rPr>
  </w:style>
  <w:style w:type="paragraph" w:customStyle="1" w:styleId="5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5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8">
    <w:name w:val="正文缩进1"/>
    <w:basedOn w:val="1"/>
    <w:next w:val="1"/>
    <w:qFormat/>
    <w:uiPriority w:val="0"/>
    <w:pPr>
      <w:widowControl/>
      <w:ind w:firstLine="420"/>
    </w:pPr>
    <w:rPr>
      <w:color w:val="000000"/>
      <w:szCs w:val="20"/>
    </w:rPr>
  </w:style>
  <w:style w:type="paragraph" w:customStyle="1" w:styleId="5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60">
    <w:name w:val="(符号)五标题1.1.1"/>
    <w:basedOn w:val="1"/>
    <w:link w:val="273"/>
    <w:qFormat/>
    <w:uiPriority w:val="99"/>
    <w:pPr>
      <w:tabs>
        <w:tab w:val="left" w:pos="1000"/>
      </w:tabs>
      <w:spacing w:line="500" w:lineRule="exact"/>
      <w:ind w:left="1000" w:hanging="1000"/>
    </w:pPr>
    <w:rPr>
      <w:rFonts w:ascii="宋体" w:hAnsi="宋体"/>
      <w:color w:val="000000"/>
      <w:sz w:val="24"/>
      <w:szCs w:val="20"/>
    </w:rPr>
  </w:style>
  <w:style w:type="paragraph" w:customStyle="1" w:styleId="6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62">
    <w:name w:val="font8"/>
    <w:basedOn w:val="1"/>
    <w:qFormat/>
    <w:uiPriority w:val="0"/>
    <w:pPr>
      <w:widowControl/>
      <w:spacing w:before="100" w:beforeAutospacing="1" w:after="100" w:afterAutospacing="1"/>
      <w:jc w:val="left"/>
    </w:pPr>
    <w:rPr>
      <w:kern w:val="0"/>
      <w:sz w:val="36"/>
      <w:szCs w:val="36"/>
    </w:rPr>
  </w:style>
  <w:style w:type="paragraph" w:customStyle="1" w:styleId="63">
    <w:name w:val="Char Char Char Char Char Char Char"/>
    <w:basedOn w:val="16"/>
    <w:qFormat/>
    <w:uiPriority w:val="0"/>
    <w:pPr>
      <w:shd w:val="clear" w:color="auto" w:fill="000080"/>
    </w:pPr>
    <w:rPr>
      <w:rFonts w:ascii="Tahoma" w:hAnsi="Tahoma"/>
      <w:sz w:val="24"/>
      <w:szCs w:val="24"/>
    </w:rPr>
  </w:style>
  <w:style w:type="paragraph" w:customStyle="1" w:styleId="64">
    <w:name w:val="table head"/>
    <w:basedOn w:val="1"/>
    <w:qFormat/>
    <w:uiPriority w:val="0"/>
    <w:pPr>
      <w:keepNext/>
      <w:keepLines/>
      <w:adjustRightInd w:val="0"/>
      <w:spacing w:line="312" w:lineRule="atLeast"/>
      <w:jc w:val="center"/>
      <w:textAlignment w:val="baseline"/>
    </w:pPr>
    <w:rPr>
      <w:b/>
      <w:kern w:val="0"/>
      <w:szCs w:val="20"/>
    </w:rPr>
  </w:style>
  <w:style w:type="paragraph" w:customStyle="1" w:styleId="65">
    <w:name w:val="标题4"/>
    <w:basedOn w:val="7"/>
    <w:qFormat/>
    <w:uiPriority w:val="0"/>
    <w:pPr>
      <w:spacing w:before="140" w:after="0" w:line="240" w:lineRule="auto"/>
    </w:pPr>
    <w:rPr>
      <w:rFonts w:ascii="黑体" w:hAnsi="宋体" w:eastAsia="宋体"/>
      <w:bCs w:val="0"/>
      <w:szCs w:val="20"/>
    </w:rPr>
  </w:style>
  <w:style w:type="paragraph" w:customStyle="1" w:styleId="66">
    <w:name w:val="Char1"/>
    <w:basedOn w:val="1"/>
    <w:qFormat/>
    <w:uiPriority w:val="0"/>
    <w:rPr>
      <w:szCs w:val="21"/>
    </w:rPr>
  </w:style>
  <w:style w:type="paragraph" w:customStyle="1" w:styleId="6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FFFFFF"/>
      <w:kern w:val="0"/>
      <w:szCs w:val="21"/>
    </w:rPr>
  </w:style>
  <w:style w:type="paragraph" w:customStyle="1" w:styleId="69">
    <w:name w:val="_Style 68"/>
    <w:unhideWhenUsed/>
    <w:qFormat/>
    <w:uiPriority w:val="0"/>
    <w:rPr>
      <w:rFonts w:ascii="Calibri" w:hAnsi="Calibri" w:eastAsia="宋体" w:cs="Times New Roman"/>
      <w:kern w:val="2"/>
      <w:sz w:val="21"/>
      <w:szCs w:val="24"/>
      <w:lang w:val="en-US" w:eastAsia="zh-CN" w:bidi="ar-SA"/>
    </w:rPr>
  </w:style>
  <w:style w:type="paragraph" w:customStyle="1" w:styleId="7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71">
    <w:name w:val="Table Text"/>
    <w:basedOn w:val="1"/>
    <w:qFormat/>
    <w:uiPriority w:val="0"/>
    <w:pPr>
      <w:widowControl/>
      <w:spacing w:before="60" w:after="60"/>
      <w:jc w:val="left"/>
    </w:pPr>
    <w:rPr>
      <w:kern w:val="0"/>
    </w:rPr>
  </w:style>
  <w:style w:type="paragraph" w:customStyle="1" w:styleId="72">
    <w:name w:val="LJT正文"/>
    <w:basedOn w:val="20"/>
    <w:qFormat/>
    <w:uiPriority w:val="0"/>
    <w:pPr>
      <w:spacing w:before="120" w:after="0"/>
      <w:ind w:left="0" w:leftChars="0" w:firstLine="425"/>
    </w:pPr>
    <w:rPr>
      <w:rFonts w:ascii="Arial" w:hAnsi="Arial"/>
      <w:sz w:val="24"/>
      <w:szCs w:val="20"/>
    </w:rPr>
  </w:style>
  <w:style w:type="paragraph" w:customStyle="1" w:styleId="73">
    <w:name w:val="本文正文"/>
    <w:basedOn w:val="1"/>
    <w:qFormat/>
    <w:uiPriority w:val="0"/>
    <w:pPr>
      <w:spacing w:line="360" w:lineRule="auto"/>
      <w:ind w:firstLine="420" w:firstLineChars="200"/>
    </w:pPr>
    <w:rPr>
      <w:szCs w:val="21"/>
    </w:rPr>
  </w:style>
  <w:style w:type="paragraph" w:customStyle="1" w:styleId="74">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5">
    <w:name w:val="默认段落字体 Para Char"/>
    <w:basedOn w:val="1"/>
    <w:qFormat/>
    <w:uiPriority w:val="0"/>
    <w:rPr>
      <w:sz w:val="28"/>
      <w:szCs w:val="20"/>
    </w:rPr>
  </w:style>
  <w:style w:type="paragraph" w:customStyle="1" w:styleId="7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77">
    <w:name w:val="菲页2"/>
    <w:basedOn w:val="6"/>
    <w:qFormat/>
    <w:uiPriority w:val="0"/>
    <w:pPr>
      <w:widowControl/>
      <w:tabs>
        <w:tab w:val="left" w:pos="1000"/>
      </w:tabs>
      <w:spacing w:before="120" w:after="120" w:line="360" w:lineRule="auto"/>
      <w:ind w:left="1000" w:hanging="1000"/>
      <w:jc w:val="center"/>
    </w:pPr>
    <w:rPr>
      <w:rFonts w:ascii="黑体" w:hAnsi="宋体"/>
      <w:b/>
      <w:bCs/>
      <w:kern w:val="0"/>
      <w:sz w:val="44"/>
      <w:szCs w:val="20"/>
    </w:rPr>
  </w:style>
  <w:style w:type="paragraph" w:customStyle="1" w:styleId="78">
    <w:name w:val="xl63"/>
    <w:basedOn w:val="1"/>
    <w:qFormat/>
    <w:uiPriority w:val="0"/>
    <w:pPr>
      <w:widowControl/>
      <w:pBdr>
        <w:top w:val="single" w:color="auto" w:sz="8" w:space="0"/>
        <w:left w:val="single" w:color="auto" w:sz="4" w:space="0"/>
        <w:bottom w:val="single" w:color="000000" w:sz="4" w:space="0"/>
        <w:right w:val="single" w:color="auto" w:sz="4" w:space="0"/>
      </w:pBdr>
      <w:spacing w:before="100" w:beforeAutospacing="1" w:after="100" w:afterAutospacing="1"/>
      <w:jc w:val="right"/>
      <w:textAlignment w:val="center"/>
    </w:pPr>
    <w:rPr>
      <w:kern w:val="0"/>
      <w:szCs w:val="21"/>
    </w:rPr>
  </w:style>
  <w:style w:type="paragraph" w:customStyle="1" w:styleId="79">
    <w:name w:val="列出段落1"/>
    <w:basedOn w:val="1"/>
    <w:qFormat/>
    <w:uiPriority w:val="0"/>
    <w:pPr>
      <w:ind w:firstLine="420" w:firstLineChars="200"/>
    </w:pPr>
  </w:style>
  <w:style w:type="paragraph" w:customStyle="1" w:styleId="80">
    <w:name w:val="二级条标题"/>
    <w:basedOn w:val="1"/>
    <w:next w:val="81"/>
    <w:qFormat/>
    <w:uiPriority w:val="0"/>
    <w:pPr>
      <w:widowControl/>
      <w:tabs>
        <w:tab w:val="left" w:pos="1680"/>
      </w:tabs>
      <w:ind w:left="1984" w:hanging="1984"/>
      <w:jc w:val="left"/>
      <w:outlineLvl w:val="3"/>
    </w:pPr>
    <w:rPr>
      <w:rFonts w:eastAsia="黑体"/>
      <w:kern w:val="0"/>
      <w:szCs w:val="20"/>
    </w:rPr>
  </w:style>
  <w:style w:type="paragraph" w:customStyle="1" w:styleId="81">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8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84">
    <w:name w:val="（符号）二标题总则"/>
    <w:basedOn w:val="1"/>
    <w:qFormat/>
    <w:uiPriority w:val="0"/>
    <w:pPr>
      <w:spacing w:before="312" w:beforeLines="100" w:after="312" w:afterLines="100" w:line="500" w:lineRule="exact"/>
      <w:jc w:val="center"/>
      <w:outlineLvl w:val="1"/>
    </w:pPr>
    <w:rPr>
      <w:rFonts w:ascii="宋体" w:hAnsi="宋体" w:cs="宋体"/>
      <w:b/>
      <w:bCs/>
      <w:sz w:val="32"/>
      <w:szCs w:val="32"/>
    </w:rPr>
  </w:style>
  <w:style w:type="paragraph" w:customStyle="1" w:styleId="85">
    <w:name w:val="xl58"/>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86">
    <w:name w:val="xl6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8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88">
    <w:name w:val="默认段落字体 Para Char Char Char Char"/>
    <w:basedOn w:val="1"/>
    <w:qFormat/>
    <w:uiPriority w:val="0"/>
    <w:rPr>
      <w:szCs w:val="21"/>
    </w:rPr>
  </w:style>
  <w:style w:type="paragraph" w:customStyle="1" w:styleId="89">
    <w:name w:val="列出段落11"/>
    <w:basedOn w:val="1"/>
    <w:qFormat/>
    <w:uiPriority w:val="0"/>
    <w:pPr>
      <w:ind w:firstLine="420" w:firstLineChars="200"/>
    </w:pPr>
  </w:style>
  <w:style w:type="paragraph" w:customStyle="1" w:styleId="90">
    <w:name w:val="xl5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91">
    <w:name w:val="xl56"/>
    <w:basedOn w:val="1"/>
    <w:qFormat/>
    <w:uiPriority w:val="0"/>
    <w:pPr>
      <w:widowControl/>
      <w:pBdr>
        <w:left w:val="single" w:color="auto" w:sz="4" w:space="0"/>
        <w:bottom w:val="single" w:color="auto" w:sz="8" w:space="0"/>
        <w:right w:val="single" w:color="auto" w:sz="4" w:space="0"/>
      </w:pBdr>
      <w:spacing w:before="100" w:beforeAutospacing="1" w:after="100" w:afterAutospacing="1"/>
      <w:jc w:val="right"/>
      <w:textAlignment w:val="center"/>
    </w:pPr>
    <w:rPr>
      <w:kern w:val="0"/>
      <w:szCs w:val="21"/>
    </w:rPr>
  </w:style>
  <w:style w:type="paragraph" w:customStyle="1" w:styleId="92">
    <w:name w:val="p5"/>
    <w:basedOn w:val="1"/>
    <w:qFormat/>
    <w:uiPriority w:val="0"/>
    <w:pPr>
      <w:tabs>
        <w:tab w:val="left" w:pos="720"/>
      </w:tabs>
      <w:spacing w:line="240" w:lineRule="atLeast"/>
      <w:jc w:val="left"/>
    </w:pPr>
    <w:rPr>
      <w:snapToGrid w:val="0"/>
      <w:kern w:val="0"/>
      <w:sz w:val="24"/>
      <w:szCs w:val="20"/>
      <w:lang w:val="en-GB" w:eastAsia="de-DE"/>
    </w:rPr>
  </w:style>
  <w:style w:type="paragraph" w:customStyle="1" w:styleId="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kern w:val="0"/>
      <w:szCs w:val="21"/>
    </w:rPr>
  </w:style>
  <w:style w:type="paragraph" w:customStyle="1" w:styleId="9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95">
    <w:name w:val="_Style 6"/>
    <w:basedOn w:val="1"/>
    <w:qFormat/>
    <w:uiPriority w:val="34"/>
    <w:pPr>
      <w:ind w:firstLine="420" w:firstLineChars="200"/>
    </w:pPr>
    <w:rPr>
      <w:sz w:val="18"/>
      <w:szCs w:val="18"/>
    </w:rPr>
  </w:style>
  <w:style w:type="paragraph" w:customStyle="1" w:styleId="96">
    <w:name w:val="菲页1"/>
    <w:basedOn w:val="5"/>
    <w:qFormat/>
    <w:uiPriority w:val="0"/>
    <w:pPr>
      <w:widowControl/>
    </w:pPr>
    <w:rPr>
      <w:rFonts w:ascii="黑体" w:hAnsi="宋体"/>
      <w:b w:val="0"/>
      <w:bCs w:val="0"/>
      <w:kern w:val="0"/>
      <w:sz w:val="52"/>
      <w:szCs w:val="20"/>
    </w:rPr>
  </w:style>
  <w:style w:type="paragraph" w:customStyle="1" w:styleId="97">
    <w:name w:val="表格内文"/>
    <w:basedOn w:val="1"/>
    <w:qFormat/>
    <w:uiPriority w:val="0"/>
    <w:rPr>
      <w:rFonts w:cs="宋体"/>
      <w:szCs w:val="20"/>
    </w:rPr>
  </w:style>
  <w:style w:type="paragraph" w:customStyle="1" w:styleId="9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9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0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02">
    <w:name w:val="_Style 101"/>
    <w:basedOn w:val="1"/>
    <w:qFormat/>
    <w:uiPriority w:val="34"/>
    <w:pPr>
      <w:ind w:firstLine="420" w:firstLineChars="200"/>
    </w:pPr>
  </w:style>
  <w:style w:type="paragraph" w:customStyle="1" w:styleId="103">
    <w:name w:val="表"/>
    <w:basedOn w:val="1"/>
    <w:qFormat/>
    <w:uiPriority w:val="0"/>
    <w:pPr>
      <w:widowControl/>
      <w:spacing w:before="60" w:after="60" w:line="360" w:lineRule="auto"/>
      <w:jc w:val="left"/>
    </w:pPr>
    <w:rPr>
      <w:kern w:val="0"/>
      <w:sz w:val="20"/>
      <w:szCs w:val="72"/>
    </w:rPr>
  </w:style>
  <w:style w:type="paragraph" w:customStyle="1" w:styleId="104">
    <w:name w:val="标题0"/>
    <w:basedOn w:val="4"/>
    <w:qFormat/>
    <w:uiPriority w:val="0"/>
    <w:pPr>
      <w:tabs>
        <w:tab w:val="left" w:pos="0"/>
        <w:tab w:val="left" w:pos="432"/>
      </w:tabs>
      <w:ind w:left="420" w:hanging="420"/>
    </w:pPr>
  </w:style>
  <w:style w:type="paragraph" w:customStyle="1" w:styleId="105">
    <w:name w:val="Char Char1"/>
    <w:basedOn w:val="1"/>
    <w:qFormat/>
    <w:uiPriority w:val="0"/>
  </w:style>
  <w:style w:type="paragraph" w:customStyle="1" w:styleId="10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07">
    <w:name w:val="样式 标题 3 + (中文) 黑体 小四 非加粗 段前: 7.8 磅 段后: 0 磅 行距: 固定值 20 磅"/>
    <w:basedOn w:val="6"/>
    <w:next w:val="1"/>
    <w:qFormat/>
    <w:uiPriority w:val="0"/>
    <w:pPr>
      <w:tabs>
        <w:tab w:val="left" w:pos="720"/>
      </w:tabs>
      <w:spacing w:line="400" w:lineRule="exact"/>
    </w:pPr>
    <w:rPr>
      <w:rFonts w:cs="宋体"/>
      <w:b/>
      <w:bCs/>
    </w:rPr>
  </w:style>
  <w:style w:type="paragraph" w:customStyle="1" w:styleId="10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9">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top"/>
    </w:pPr>
    <w:rPr>
      <w:color w:val="FFFFFF"/>
      <w:kern w:val="0"/>
      <w:szCs w:val="21"/>
    </w:rPr>
  </w:style>
  <w:style w:type="paragraph" w:customStyle="1" w:styleId="110">
    <w:name w:val="xl60"/>
    <w:basedOn w:val="1"/>
    <w:qFormat/>
    <w:uiPriority w:val="0"/>
    <w:pPr>
      <w:widowControl/>
      <w:pBdr>
        <w:left w:val="single" w:color="auto" w:sz="4" w:space="0"/>
        <w:bottom w:val="single" w:color="auto" w:sz="8" w:space="0"/>
        <w:right w:val="single" w:color="auto" w:sz="4" w:space="0"/>
      </w:pBdr>
      <w:spacing w:before="100" w:beforeAutospacing="1" w:after="100" w:afterAutospacing="1"/>
      <w:jc w:val="right"/>
      <w:textAlignment w:val="center"/>
    </w:pPr>
    <w:rPr>
      <w:kern w:val="0"/>
      <w:szCs w:val="21"/>
    </w:rPr>
  </w:style>
  <w:style w:type="paragraph" w:customStyle="1" w:styleId="1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1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13">
    <w:name w:val="10 f"/>
    <w:basedOn w:val="1"/>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114">
    <w:name w:val="plaintext"/>
    <w:basedOn w:val="1"/>
    <w:qFormat/>
    <w:uiPriority w:val="0"/>
    <w:pPr>
      <w:widowControl/>
      <w:spacing w:before="100" w:beforeAutospacing="1" w:after="100" w:afterAutospacing="1"/>
      <w:jc w:val="left"/>
    </w:pPr>
    <w:rPr>
      <w:rFonts w:ascii="宋体" w:hAnsi="宋体"/>
      <w:kern w:val="0"/>
      <w:sz w:val="24"/>
    </w:rPr>
  </w:style>
  <w:style w:type="paragraph" w:customStyle="1" w:styleId="115">
    <w:name w:val="xl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kern w:val="0"/>
      <w:szCs w:val="21"/>
    </w:rPr>
  </w:style>
  <w:style w:type="paragraph" w:customStyle="1" w:styleId="11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1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FFFFFF"/>
      <w:kern w:val="0"/>
      <w:szCs w:val="21"/>
    </w:rPr>
  </w:style>
  <w:style w:type="paragraph" w:customStyle="1" w:styleId="119">
    <w:name w:val="List Paragraph1"/>
    <w:basedOn w:val="1"/>
    <w:qFormat/>
    <w:uiPriority w:val="0"/>
    <w:pPr>
      <w:ind w:firstLine="420" w:firstLineChars="200"/>
    </w:pPr>
    <w:rPr>
      <w:rFonts w:ascii="宋体" w:cs="宋体"/>
      <w:sz w:val="32"/>
      <w:szCs w:val="32"/>
    </w:rPr>
  </w:style>
  <w:style w:type="paragraph" w:customStyle="1" w:styleId="120">
    <w:name w:val="标题样式"/>
    <w:basedOn w:val="1"/>
    <w:link w:val="224"/>
    <w:qFormat/>
    <w:uiPriority w:val="0"/>
    <w:pPr>
      <w:jc w:val="center"/>
    </w:pPr>
    <w:rPr>
      <w:rFonts w:ascii="黑体" w:eastAsia="黑体"/>
      <w:b/>
      <w:sz w:val="32"/>
      <w:szCs w:val="20"/>
    </w:rPr>
  </w:style>
  <w:style w:type="paragraph" w:customStyle="1" w:styleId="121">
    <w:name w:val="xl66"/>
    <w:basedOn w:val="1"/>
    <w:qFormat/>
    <w:uiPriority w:val="0"/>
    <w:pPr>
      <w:widowControl/>
      <w:pBdr>
        <w:right w:val="single" w:color="000000" w:sz="4" w:space="0"/>
      </w:pBdr>
      <w:spacing w:before="100" w:beforeAutospacing="1" w:after="100" w:afterAutospacing="1"/>
      <w:jc w:val="right"/>
      <w:textAlignment w:val="center"/>
    </w:pPr>
    <w:rPr>
      <w:color w:val="FFFFFF"/>
      <w:kern w:val="0"/>
      <w:szCs w:val="21"/>
    </w:rPr>
  </w:style>
  <w:style w:type="paragraph" w:customStyle="1" w:styleId="122">
    <w:name w:val="正文1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23">
    <w:name w:val="标题6"/>
    <w:basedOn w:val="9"/>
    <w:qFormat/>
    <w:uiPriority w:val="0"/>
    <w:pPr>
      <w:tabs>
        <w:tab w:val="right" w:leader="dot" w:pos="9061"/>
      </w:tabs>
      <w:spacing w:line="319" w:lineRule="auto"/>
      <w:jc w:val="center"/>
    </w:pPr>
    <w:rPr>
      <w:rFonts w:ascii="宋体" w:hAnsi="Arial" w:eastAsia="宋体"/>
      <w:bCs w:val="0"/>
      <w:sz w:val="21"/>
      <w:szCs w:val="20"/>
    </w:rPr>
  </w:style>
  <w:style w:type="paragraph" w:customStyle="1" w:styleId="124">
    <w:name w:val="目录文字"/>
    <w:basedOn w:val="1"/>
    <w:qFormat/>
    <w:uiPriority w:val="0"/>
    <w:pPr>
      <w:widowControl/>
      <w:spacing w:line="480" w:lineRule="auto"/>
      <w:jc w:val="left"/>
    </w:pPr>
    <w:rPr>
      <w:rFonts w:ascii="宋体" w:hAnsi="宋体"/>
      <w:kern w:val="0"/>
      <w:sz w:val="24"/>
      <w:szCs w:val="20"/>
    </w:rPr>
  </w:style>
  <w:style w:type="paragraph" w:customStyle="1" w:styleId="125">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7">
    <w:name w:val="菲页(卷)"/>
    <w:basedOn w:val="4"/>
    <w:next w:val="67"/>
    <w:qFormat/>
    <w:uiPriority w:val="0"/>
    <w:pPr>
      <w:widowControl/>
      <w:tabs>
        <w:tab w:val="left" w:pos="420"/>
      </w:tabs>
      <w:spacing w:before="0" w:after="0"/>
      <w:ind w:left="430" w:hanging="430"/>
      <w:outlineLvl w:val="1"/>
    </w:pPr>
    <w:rPr>
      <w:rFonts w:ascii="黑体"/>
      <w:b/>
      <w:bCs/>
      <w:kern w:val="0"/>
      <w:sz w:val="52"/>
      <w:szCs w:val="20"/>
    </w:rPr>
  </w:style>
  <w:style w:type="paragraph" w:customStyle="1" w:styleId="128">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kern w:val="0"/>
      <w:szCs w:val="21"/>
    </w:rPr>
  </w:style>
  <w:style w:type="paragraph" w:customStyle="1" w:styleId="129">
    <w:name w:val="_Style 128"/>
    <w:basedOn w:val="1"/>
    <w:link w:val="315"/>
    <w:qFormat/>
    <w:uiPriority w:val="0"/>
    <w:rPr>
      <w:rFonts w:eastAsia="Times New Roman"/>
      <w:kern w:val="0"/>
      <w:sz w:val="22"/>
      <w:szCs w:val="22"/>
    </w:rPr>
  </w:style>
  <w:style w:type="paragraph" w:customStyle="1" w:styleId="13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正文文本缩进[858D7CFB-ED40-4347-BF05-701D383B685F][858D7CFB-ED40-4347-BF05-701D383B685F]"/>
    <w:basedOn w:val="1"/>
    <w:qFormat/>
    <w:uiPriority w:val="0"/>
    <w:pPr>
      <w:spacing w:line="312" w:lineRule="atLeast"/>
      <w:ind w:firstLine="630"/>
      <w:textAlignment w:val="baseline"/>
    </w:pPr>
    <w:rPr>
      <w:kern w:val="0"/>
      <w:sz w:val="32"/>
      <w:szCs w:val="20"/>
    </w:rPr>
  </w:style>
  <w:style w:type="paragraph" w:customStyle="1" w:styleId="132">
    <w:name w:val="reader-word-layer"/>
    <w:basedOn w:val="1"/>
    <w:qFormat/>
    <w:uiPriority w:val="0"/>
    <w:pPr>
      <w:widowControl/>
      <w:spacing w:before="100" w:beforeAutospacing="1" w:after="100" w:afterAutospacing="1" w:line="540" w:lineRule="exact"/>
      <w:ind w:firstLine="193" w:firstLineChars="193"/>
      <w:jc w:val="left"/>
    </w:pPr>
    <w:rPr>
      <w:rFonts w:ascii="宋体" w:hAnsi="宋体" w:cs="宋体"/>
      <w:kern w:val="0"/>
      <w:sz w:val="24"/>
    </w:rPr>
  </w:style>
  <w:style w:type="paragraph" w:customStyle="1" w:styleId="133">
    <w:name w:val="Char11"/>
    <w:basedOn w:val="1"/>
    <w:qFormat/>
    <w:uiPriority w:val="0"/>
    <w:rPr>
      <w:rFonts w:ascii="仿宋_GB2312" w:eastAsia="仿宋_GB2312"/>
      <w:b/>
      <w:sz w:val="32"/>
      <w:szCs w:val="32"/>
    </w:rPr>
  </w:style>
  <w:style w:type="paragraph" w:customStyle="1" w:styleId="134">
    <w:name w:val="样式1"/>
    <w:basedOn w:val="1"/>
    <w:link w:val="345"/>
    <w:qFormat/>
    <w:uiPriority w:val="99"/>
    <w:pPr>
      <w:spacing w:before="120" w:after="120" w:line="300" w:lineRule="auto"/>
    </w:pPr>
    <w:rPr>
      <w:rFonts w:ascii="宋体" w:hAnsi="宋体" w:eastAsia="黑体"/>
      <w:b/>
      <w:bCs/>
      <w:sz w:val="24"/>
      <w:szCs w:val="32"/>
    </w:rPr>
  </w:style>
  <w:style w:type="paragraph" w:customStyle="1" w:styleId="135">
    <w:name w:val="style6"/>
    <w:basedOn w:val="1"/>
    <w:qFormat/>
    <w:uiPriority w:val="0"/>
    <w:pPr>
      <w:widowControl/>
      <w:spacing w:before="100" w:beforeAutospacing="1" w:after="100" w:afterAutospacing="1"/>
      <w:jc w:val="left"/>
    </w:pPr>
    <w:rPr>
      <w:rFonts w:ascii="宋体" w:hAnsi="宋体" w:cs="宋体"/>
      <w:color w:val="CC3300"/>
      <w:kern w:val="0"/>
      <w:sz w:val="24"/>
    </w:rPr>
  </w:style>
  <w:style w:type="paragraph" w:customStyle="1" w:styleId="136">
    <w:name w:val="p15"/>
    <w:basedOn w:val="1"/>
    <w:qFormat/>
    <w:uiPriority w:val="0"/>
    <w:pPr>
      <w:widowControl/>
    </w:pPr>
    <w:rPr>
      <w:rFonts w:cs="宋体"/>
      <w:kern w:val="0"/>
      <w:szCs w:val="21"/>
    </w:rPr>
  </w:style>
  <w:style w:type="paragraph" w:customStyle="1" w:styleId="13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38">
    <w:name w:val="_Style 5"/>
    <w:basedOn w:val="1"/>
    <w:qFormat/>
    <w:uiPriority w:val="0"/>
    <w:rPr>
      <w:szCs w:val="20"/>
    </w:rPr>
  </w:style>
  <w:style w:type="paragraph" w:customStyle="1" w:styleId="139">
    <w:name w:val="Char Char"/>
    <w:basedOn w:val="1"/>
    <w:qFormat/>
    <w:uiPriority w:val="0"/>
  </w:style>
  <w:style w:type="paragraph" w:customStyle="1" w:styleId="140">
    <w:name w:val="_Style 2"/>
    <w:basedOn w:val="1"/>
    <w:qFormat/>
    <w:uiPriority w:val="0"/>
    <w:pPr>
      <w:ind w:firstLine="420" w:firstLineChars="200"/>
    </w:pPr>
    <w:rPr>
      <w:szCs w:val="22"/>
    </w:rPr>
  </w:style>
  <w:style w:type="paragraph" w:customStyle="1" w:styleId="141">
    <w:name w:val="附件正文"/>
    <w:basedOn w:val="1"/>
    <w:qFormat/>
    <w:uiPriority w:val="0"/>
    <w:pPr>
      <w:snapToGrid w:val="0"/>
      <w:spacing w:line="500" w:lineRule="exact"/>
      <w:ind w:firstLine="480" w:firstLineChars="200"/>
    </w:pPr>
    <w:rPr>
      <w:kern w:val="0"/>
      <w:sz w:val="24"/>
    </w:rPr>
  </w:style>
  <w:style w:type="paragraph" w:customStyle="1" w:styleId="142">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43">
    <w:name w:val="Char Char Char Char Char Char Char1"/>
    <w:basedOn w:val="1"/>
    <w:qFormat/>
    <w:uiPriority w:val="0"/>
    <w:pPr>
      <w:tabs>
        <w:tab w:val="left" w:pos="432"/>
      </w:tabs>
      <w:ind w:left="432" w:hanging="432"/>
    </w:pPr>
    <w:rPr>
      <w:rFonts w:ascii="Tahoma" w:hAnsi="Tahoma"/>
      <w:sz w:val="24"/>
      <w:szCs w:val="20"/>
    </w:rPr>
  </w:style>
  <w:style w:type="paragraph" w:customStyle="1" w:styleId="144">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5">
    <w:name w:val="Char"/>
    <w:basedOn w:val="1"/>
    <w:qFormat/>
    <w:uiPriority w:val="0"/>
    <w:pPr>
      <w:adjustRightInd w:val="0"/>
      <w:spacing w:line="360" w:lineRule="auto"/>
    </w:pPr>
    <w:rPr>
      <w:kern w:val="0"/>
      <w:sz w:val="24"/>
      <w:szCs w:val="20"/>
    </w:rPr>
  </w:style>
  <w:style w:type="paragraph" w:customStyle="1" w:styleId="14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xl65"/>
    <w:basedOn w:val="1"/>
    <w:qFormat/>
    <w:uiPriority w:val="0"/>
    <w:pPr>
      <w:widowControl/>
      <w:pBdr>
        <w:bottom w:val="single" w:color="000000" w:sz="4" w:space="0"/>
        <w:right w:val="single" w:color="auto" w:sz="8" w:space="0"/>
      </w:pBdr>
      <w:spacing w:before="100" w:beforeAutospacing="1" w:after="100" w:afterAutospacing="1"/>
      <w:jc w:val="left"/>
      <w:textAlignment w:val="center"/>
    </w:pPr>
    <w:rPr>
      <w:color w:val="FFFFFF"/>
      <w:kern w:val="0"/>
      <w:szCs w:val="21"/>
    </w:rPr>
  </w:style>
  <w:style w:type="paragraph" w:customStyle="1" w:styleId="14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0">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15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2">
    <w:name w:val="列出段落2"/>
    <w:basedOn w:val="1"/>
    <w:qFormat/>
    <w:uiPriority w:val="34"/>
    <w:pPr>
      <w:ind w:firstLine="420" w:firstLineChars="200"/>
    </w:pPr>
  </w:style>
  <w:style w:type="paragraph" w:customStyle="1" w:styleId="153">
    <w:name w:val="Char2 Char Char Char"/>
    <w:basedOn w:val="1"/>
    <w:qFormat/>
    <w:uiPriority w:val="0"/>
    <w:rPr>
      <w:rFonts w:ascii="仿宋_GB2312" w:eastAsia="仿宋_GB2312"/>
      <w:b/>
      <w:sz w:val="32"/>
      <w:szCs w:val="32"/>
    </w:rPr>
  </w:style>
  <w:style w:type="paragraph" w:customStyle="1" w:styleId="154">
    <w:name w:val="样式2"/>
    <w:basedOn w:val="1"/>
    <w:qFormat/>
    <w:uiPriority w:val="0"/>
    <w:pPr>
      <w:adjustRightInd w:val="0"/>
      <w:spacing w:line="410" w:lineRule="atLeast"/>
      <w:textAlignment w:val="baseline"/>
    </w:pPr>
    <w:rPr>
      <w:kern w:val="0"/>
      <w:sz w:val="24"/>
      <w:szCs w:val="20"/>
    </w:rPr>
  </w:style>
  <w:style w:type="paragraph" w:customStyle="1" w:styleId="155">
    <w:name w:val="■立项"/>
    <w:basedOn w:val="1"/>
    <w:qFormat/>
    <w:uiPriority w:val="0"/>
    <w:pPr>
      <w:spacing w:before="93" w:beforeLines="30" w:after="93" w:afterLines="30" w:line="360" w:lineRule="auto"/>
      <w:jc w:val="left"/>
    </w:pPr>
    <w:rPr>
      <w:rFonts w:ascii="仿宋_GB2312" w:hAnsi="宋体" w:eastAsia="仿宋_GB2312"/>
      <w:b/>
      <w:szCs w:val="21"/>
    </w:rPr>
  </w:style>
  <w:style w:type="paragraph" w:customStyle="1" w:styleId="156">
    <w:name w:val="_Style 155"/>
    <w:basedOn w:val="1"/>
    <w:next w:val="1"/>
    <w:link w:val="316"/>
    <w:qFormat/>
    <w:uiPriority w:val="0"/>
    <w:pPr>
      <w:widowControl/>
      <w:pBdr>
        <w:bottom w:val="single" w:color="auto" w:sz="6" w:space="1"/>
      </w:pBdr>
      <w:jc w:val="center"/>
    </w:pPr>
    <w:rPr>
      <w:rFonts w:ascii="Arial" w:hAnsi="Arial"/>
      <w:vanish/>
      <w:kern w:val="0"/>
      <w:sz w:val="16"/>
      <w:szCs w:val="16"/>
    </w:rPr>
  </w:style>
  <w:style w:type="paragraph" w:customStyle="1" w:styleId="157">
    <w:name w:val="Char Char Char Char Char Char1 Char"/>
    <w:basedOn w:val="16"/>
    <w:qFormat/>
    <w:uiPriority w:val="0"/>
    <w:pPr>
      <w:shd w:val="clear" w:color="auto" w:fill="000080"/>
    </w:pPr>
    <w:rPr>
      <w:rFonts w:ascii="Tahoma" w:hAnsi="Tahoma"/>
      <w:sz w:val="24"/>
      <w:szCs w:val="24"/>
    </w:rPr>
  </w:style>
  <w:style w:type="paragraph" w:customStyle="1" w:styleId="158">
    <w:name w:val="目录"/>
    <w:basedOn w:val="1"/>
    <w:qFormat/>
    <w:uiPriority w:val="0"/>
    <w:pPr>
      <w:widowControl/>
      <w:jc w:val="center"/>
    </w:pPr>
    <w:rPr>
      <w:rFonts w:ascii="宋体"/>
      <w:b/>
      <w:kern w:val="0"/>
      <w:sz w:val="36"/>
      <w:szCs w:val="20"/>
    </w:rPr>
  </w:style>
  <w:style w:type="paragraph" w:customStyle="1" w:styleId="159">
    <w:name w:val="（符号）三标题1.1"/>
    <w:basedOn w:val="1"/>
    <w:link w:val="246"/>
    <w:qFormat/>
    <w:uiPriority w:val="0"/>
    <w:pPr>
      <w:tabs>
        <w:tab w:val="left" w:pos="700"/>
        <w:tab w:val="left" w:pos="1365"/>
      </w:tabs>
      <w:spacing w:line="500" w:lineRule="exact"/>
      <w:ind w:left="840" w:hanging="420"/>
    </w:pPr>
    <w:rPr>
      <w:rFonts w:ascii="宋体" w:hAnsi="宋体"/>
      <w:sz w:val="24"/>
    </w:rPr>
  </w:style>
  <w:style w:type="paragraph" w:customStyle="1" w:styleId="160">
    <w:name w:val="font10"/>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61">
    <w:name w:val="Standard o abs"/>
    <w:basedOn w:val="1"/>
    <w:qFormat/>
    <w:uiPriority w:val="0"/>
    <w:pPr>
      <w:widowControl/>
      <w:tabs>
        <w:tab w:val="left" w:pos="2835"/>
        <w:tab w:val="left" w:pos="3119"/>
        <w:tab w:val="left" w:pos="3402"/>
        <w:tab w:val="left" w:pos="3686"/>
        <w:tab w:val="left" w:pos="3969"/>
        <w:tab w:val="left" w:pos="4253"/>
      </w:tabs>
      <w:ind w:left="2552"/>
      <w:jc w:val="left"/>
    </w:pPr>
    <w:rPr>
      <w:rFonts w:ascii="Syntax" w:hAnsi="Syntax"/>
      <w:kern w:val="0"/>
      <w:sz w:val="20"/>
      <w:szCs w:val="20"/>
      <w:lang w:val="de-DE" w:eastAsia="de-DE"/>
    </w:rPr>
  </w:style>
  <w:style w:type="paragraph" w:customStyle="1" w:styleId="16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4"/>
    </w:rPr>
  </w:style>
  <w:style w:type="paragraph" w:customStyle="1" w:styleId="164">
    <w:name w:val="(符号)三标题1.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szCs w:val="20"/>
    </w:rPr>
  </w:style>
  <w:style w:type="paragraph" w:customStyle="1" w:styleId="165">
    <w:name w:val="Absatz2AL"/>
    <w:basedOn w:val="2"/>
    <w:next w:val="1"/>
    <w:qFormat/>
    <w:uiPriority w:val="0"/>
    <w:pPr>
      <w:widowControl/>
      <w:overflowPunct w:val="0"/>
      <w:autoSpaceDE w:val="0"/>
      <w:autoSpaceDN w:val="0"/>
      <w:adjustRightInd w:val="0"/>
      <w:spacing w:after="0"/>
    </w:pPr>
    <w:rPr>
      <w:rFonts w:eastAsia="楷体_GB2312"/>
      <w:kern w:val="0"/>
      <w:sz w:val="24"/>
      <w:szCs w:val="20"/>
      <w:lang w:val="de-DE" w:eastAsia="de-DE"/>
    </w:rPr>
  </w:style>
  <w:style w:type="paragraph" w:customStyle="1" w:styleId="166">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167">
    <w:name w:val="Char2"/>
    <w:basedOn w:val="1"/>
    <w:qFormat/>
    <w:uiPriority w:val="0"/>
    <w:pPr>
      <w:tabs>
        <w:tab w:val="left" w:pos="360"/>
      </w:tabs>
      <w:spacing w:line="360" w:lineRule="auto"/>
      <w:ind w:left="482" w:firstLine="200" w:firstLineChars="200"/>
    </w:pPr>
    <w:rPr>
      <w:rFonts w:ascii="宋体"/>
      <w:sz w:val="24"/>
    </w:rPr>
  </w:style>
  <w:style w:type="paragraph" w:customStyle="1" w:styleId="168">
    <w:name w:val="表格"/>
    <w:basedOn w:val="1"/>
    <w:link w:val="283"/>
    <w:qFormat/>
    <w:uiPriority w:val="0"/>
    <w:pPr>
      <w:spacing w:line="400" w:lineRule="exact"/>
    </w:pPr>
    <w:rPr>
      <w:sz w:val="24"/>
    </w:rPr>
  </w:style>
  <w:style w:type="paragraph" w:customStyle="1" w:styleId="169">
    <w:name w:val="pa-2"/>
    <w:basedOn w:val="1"/>
    <w:qFormat/>
    <w:uiPriority w:val="0"/>
    <w:pPr>
      <w:widowControl/>
      <w:spacing w:before="136" w:after="136"/>
      <w:jc w:val="left"/>
    </w:pPr>
    <w:rPr>
      <w:rFonts w:ascii="宋体" w:hAnsi="宋体" w:cs="宋体"/>
      <w:kern w:val="0"/>
      <w:sz w:val="24"/>
    </w:rPr>
  </w:style>
  <w:style w:type="paragraph" w:customStyle="1" w:styleId="17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1">
    <w:name w:val="默认段落字体 Para Char Char Char Char Char Char Char Char Char1 Char Char Char Char"/>
    <w:basedOn w:val="1"/>
    <w:qFormat/>
    <w:uiPriority w:val="0"/>
    <w:rPr>
      <w:rFonts w:ascii="Tahoma" w:hAnsi="Tahoma"/>
      <w:sz w:val="24"/>
      <w:szCs w:val="20"/>
    </w:rPr>
  </w:style>
  <w:style w:type="paragraph" w:customStyle="1" w:styleId="1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74">
    <w:name w:val="列出段落12"/>
    <w:basedOn w:val="1"/>
    <w:qFormat/>
    <w:uiPriority w:val="34"/>
    <w:pPr>
      <w:ind w:firstLine="420" w:firstLineChars="200"/>
    </w:pPr>
  </w:style>
  <w:style w:type="paragraph" w:customStyle="1" w:styleId="17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76">
    <w:name w:val="正文序号 1"/>
    <w:basedOn w:val="1"/>
    <w:qFormat/>
    <w:uiPriority w:val="0"/>
    <w:pPr>
      <w:spacing w:before="60"/>
    </w:pPr>
    <w:rPr>
      <w:szCs w:val="20"/>
    </w:rPr>
  </w:style>
  <w:style w:type="paragraph" w:customStyle="1" w:styleId="17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8">
    <w:name w:val="xl6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textAlignment w:val="center"/>
    </w:pPr>
    <w:rPr>
      <w:rFonts w:ascii="宋体" w:hAnsi="宋体"/>
      <w:kern w:val="0"/>
      <w:sz w:val="18"/>
      <w:szCs w:val="18"/>
    </w:rPr>
  </w:style>
  <w:style w:type="paragraph" w:customStyle="1" w:styleId="179">
    <w:name w:val="文档正文"/>
    <w:basedOn w:val="1"/>
    <w:qFormat/>
    <w:uiPriority w:val="0"/>
    <w:pPr>
      <w:spacing w:line="440" w:lineRule="atLeast"/>
      <w:ind w:firstLine="567"/>
    </w:pPr>
    <w:rPr>
      <w:spacing w:val="4"/>
    </w:rPr>
  </w:style>
  <w:style w:type="paragraph" w:customStyle="1" w:styleId="180">
    <w:name w:val="Char Char Char Char"/>
    <w:basedOn w:val="1"/>
    <w:qFormat/>
    <w:uiPriority w:val="0"/>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181">
    <w:name w:val="标题5"/>
    <w:basedOn w:val="8"/>
    <w:next w:val="8"/>
    <w:qFormat/>
    <w:uiPriority w:val="0"/>
    <w:pPr>
      <w:spacing w:before="0" w:after="0" w:line="300" w:lineRule="exact"/>
      <w:ind w:firstLine="630" w:firstLineChars="300"/>
    </w:pPr>
    <w:rPr>
      <w:b w:val="0"/>
      <w:bCs w:val="0"/>
      <w:color w:val="000000"/>
      <w:sz w:val="21"/>
      <w:szCs w:val="32"/>
    </w:rPr>
  </w:style>
  <w:style w:type="paragraph" w:customStyle="1" w:styleId="18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3">
    <w:name w:val="_Style 14"/>
    <w:basedOn w:val="1"/>
    <w:link w:val="203"/>
    <w:qFormat/>
    <w:uiPriority w:val="0"/>
    <w:pPr>
      <w:spacing w:beforeLines="50" w:afterLines="50"/>
      <w:ind w:firstLine="420" w:firstLineChars="200"/>
    </w:pPr>
    <w:rPr>
      <w:kern w:val="0"/>
      <w:sz w:val="20"/>
      <w:szCs w:val="21"/>
    </w:rPr>
  </w:style>
  <w:style w:type="paragraph" w:customStyle="1" w:styleId="184">
    <w:name w:val="正文首行缩进两字符"/>
    <w:basedOn w:val="1"/>
    <w:qFormat/>
    <w:uiPriority w:val="0"/>
    <w:pPr>
      <w:spacing w:line="360" w:lineRule="auto"/>
      <w:ind w:firstLine="200" w:firstLineChars="200"/>
    </w:pPr>
  </w:style>
  <w:style w:type="paragraph" w:customStyle="1" w:styleId="18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86">
    <w:name w:val="纯文本1"/>
    <w:basedOn w:val="1"/>
    <w:qFormat/>
    <w:uiPriority w:val="0"/>
    <w:pPr>
      <w:adjustRightInd w:val="0"/>
      <w:textAlignment w:val="baseline"/>
    </w:pPr>
    <w:rPr>
      <w:rFonts w:ascii="宋体" w:hAnsi="Courier New"/>
      <w:szCs w:val="20"/>
    </w:rPr>
  </w:style>
  <w:style w:type="paragraph" w:customStyle="1" w:styleId="18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88">
    <w:name w:val="_Style 1"/>
    <w:basedOn w:val="1"/>
    <w:qFormat/>
    <w:uiPriority w:val="0"/>
    <w:pPr>
      <w:ind w:firstLine="420" w:firstLineChars="200"/>
    </w:pPr>
  </w:style>
  <w:style w:type="paragraph" w:customStyle="1" w:styleId="189">
    <w:name w:val="Char1 Char Char Char Char Char Char"/>
    <w:basedOn w:val="1"/>
    <w:qFormat/>
    <w:uiPriority w:val="0"/>
    <w:rPr>
      <w:szCs w:val="20"/>
    </w:rPr>
  </w:style>
  <w:style w:type="paragraph" w:customStyle="1" w:styleId="190">
    <w:name w:val="标题3"/>
    <w:basedOn w:val="6"/>
    <w:qFormat/>
    <w:uiPriority w:val="0"/>
    <w:pPr>
      <w:spacing w:line="413" w:lineRule="auto"/>
    </w:pPr>
    <w:rPr>
      <w:rFonts w:ascii="宋体" w:hAnsi="宋体"/>
      <w:sz w:val="28"/>
      <w:szCs w:val="28"/>
    </w:rPr>
  </w:style>
  <w:style w:type="paragraph" w:customStyle="1" w:styleId="191">
    <w:name w:val="_Style 190"/>
    <w:basedOn w:val="1"/>
    <w:next w:val="1"/>
    <w:link w:val="424"/>
    <w:qFormat/>
    <w:uiPriority w:val="0"/>
    <w:pPr>
      <w:widowControl/>
      <w:pBdr>
        <w:top w:val="single" w:color="auto" w:sz="6" w:space="1"/>
      </w:pBdr>
      <w:jc w:val="center"/>
    </w:pPr>
    <w:rPr>
      <w:rFonts w:ascii="Arial" w:hAnsi="Arial"/>
      <w:vanish/>
      <w:kern w:val="0"/>
      <w:sz w:val="16"/>
      <w:szCs w:val="16"/>
    </w:rPr>
  </w:style>
  <w:style w:type="paragraph" w:customStyle="1" w:styleId="192">
    <w:name w:val="p0"/>
    <w:basedOn w:val="1"/>
    <w:qFormat/>
    <w:uiPriority w:val="0"/>
    <w:pPr>
      <w:widowControl/>
    </w:pPr>
    <w:rPr>
      <w:kern w:val="0"/>
      <w:szCs w:val="21"/>
    </w:rPr>
  </w:style>
  <w:style w:type="paragraph" w:customStyle="1" w:styleId="193">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宋体" w:hAnsi="宋体"/>
      <w:kern w:val="0"/>
      <w:szCs w:val="21"/>
    </w:rPr>
  </w:style>
  <w:style w:type="paragraph" w:customStyle="1" w:styleId="19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5">
    <w:name w:val="font1"/>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9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97">
    <w:name w:val="_Style 3"/>
    <w:qFormat/>
    <w:uiPriority w:val="0"/>
    <w:pPr>
      <w:widowControl w:val="0"/>
      <w:spacing w:line="300" w:lineRule="auto"/>
    </w:pPr>
    <w:rPr>
      <w:rFonts w:ascii="Calibri" w:hAnsi="Calibri" w:eastAsia="华文仿宋" w:cs="Times New Roman"/>
      <w:kern w:val="2"/>
      <w:sz w:val="24"/>
      <w:szCs w:val="21"/>
      <w:lang w:val="en-US" w:eastAsia="zh-CN" w:bidi="ar-SA"/>
    </w:rPr>
  </w:style>
  <w:style w:type="paragraph" w:customStyle="1" w:styleId="198">
    <w:name w:val="样式 行距: 固定值 25 磅 首行缩进:  2 字符"/>
    <w:basedOn w:val="1"/>
    <w:qFormat/>
    <w:uiPriority w:val="0"/>
    <w:pPr>
      <w:adjustRightInd w:val="0"/>
      <w:spacing w:line="500" w:lineRule="exact"/>
      <w:ind w:firstLine="560" w:firstLineChars="200"/>
      <w:textAlignment w:val="baseline"/>
    </w:pPr>
    <w:rPr>
      <w:kern w:val="0"/>
      <w:sz w:val="28"/>
      <w:szCs w:val="28"/>
    </w:rPr>
  </w:style>
  <w:style w:type="paragraph" w:customStyle="1" w:styleId="199">
    <w:name w:val="样式 首行缩进:  2 字符"/>
    <w:basedOn w:val="1"/>
    <w:qFormat/>
    <w:uiPriority w:val="0"/>
    <w:pPr>
      <w:spacing w:line="400" w:lineRule="exact"/>
      <w:ind w:firstLine="200" w:firstLineChars="200"/>
    </w:pPr>
    <w:rPr>
      <w:rFonts w:cs="宋体"/>
      <w:sz w:val="24"/>
    </w:rPr>
  </w:style>
  <w:style w:type="paragraph" w:customStyle="1" w:styleId="20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character" w:customStyle="1" w:styleId="202">
    <w:name w:val="日期 Char"/>
    <w:link w:val="27"/>
    <w:qFormat/>
    <w:uiPriority w:val="0"/>
    <w:rPr>
      <w:kern w:val="2"/>
      <w:sz w:val="21"/>
      <w:szCs w:val="24"/>
    </w:rPr>
  </w:style>
  <w:style w:type="character" w:customStyle="1" w:styleId="203">
    <w:name w:val="列出段落 Char"/>
    <w:link w:val="183"/>
    <w:qFormat/>
    <w:uiPriority w:val="0"/>
    <w:rPr>
      <w:rFonts w:ascii="Calibri" w:hAnsi="Calibri"/>
      <w:szCs w:val="21"/>
      <w:lang w:bidi="ar-SA"/>
    </w:rPr>
  </w:style>
  <w:style w:type="character" w:customStyle="1" w:styleId="204">
    <w:name w:val="标题 1 Char Char"/>
    <w:basedOn w:val="47"/>
    <w:qFormat/>
    <w:uiPriority w:val="0"/>
  </w:style>
  <w:style w:type="character" w:customStyle="1" w:styleId="205">
    <w:name w:val="ca-111"/>
    <w:basedOn w:val="47"/>
    <w:qFormat/>
    <w:uiPriority w:val="0"/>
  </w:style>
  <w:style w:type="character" w:customStyle="1" w:styleId="206">
    <w:name w:val="纯文本 Char1"/>
    <w:basedOn w:val="47"/>
    <w:qFormat/>
    <w:uiPriority w:val="0"/>
  </w:style>
  <w:style w:type="character" w:customStyle="1" w:styleId="207">
    <w:name w:val="Table Text Char Char"/>
    <w:basedOn w:val="47"/>
    <w:qFormat/>
    <w:uiPriority w:val="0"/>
  </w:style>
  <w:style w:type="character" w:customStyle="1" w:styleId="208">
    <w:name w:val="Char Char20"/>
    <w:qFormat/>
    <w:uiPriority w:val="0"/>
  </w:style>
  <w:style w:type="character" w:customStyle="1" w:styleId="209">
    <w:name w:val="Char Char38"/>
    <w:qFormat/>
    <w:uiPriority w:val="0"/>
  </w:style>
  <w:style w:type="character" w:customStyle="1" w:styleId="210">
    <w:name w:val="正文文本缩进 3 Char Char"/>
    <w:basedOn w:val="47"/>
    <w:qFormat/>
    <w:uiPriority w:val="0"/>
  </w:style>
  <w:style w:type="character" w:customStyle="1" w:styleId="211">
    <w:name w:val="Char Char17"/>
    <w:qFormat/>
    <w:uiPriority w:val="0"/>
  </w:style>
  <w:style w:type="character" w:customStyle="1" w:styleId="212">
    <w:name w:val="Char Char10"/>
    <w:qFormat/>
    <w:uiPriority w:val="0"/>
  </w:style>
  <w:style w:type="character" w:customStyle="1" w:styleId="213">
    <w:name w:val="Char Char42"/>
    <w:basedOn w:val="47"/>
    <w:qFormat/>
    <w:uiPriority w:val="0"/>
  </w:style>
  <w:style w:type="character" w:customStyle="1" w:styleId="214">
    <w:name w:val="article1"/>
    <w:basedOn w:val="47"/>
    <w:qFormat/>
    <w:uiPriority w:val="0"/>
  </w:style>
  <w:style w:type="character" w:customStyle="1" w:styleId="215">
    <w:name w:val="H1 Char"/>
    <w:basedOn w:val="47"/>
    <w:qFormat/>
    <w:uiPriority w:val="0"/>
  </w:style>
  <w:style w:type="character" w:customStyle="1" w:styleId="216">
    <w:name w:val="font71"/>
    <w:qFormat/>
    <w:uiPriority w:val="0"/>
    <w:rPr>
      <w:rFonts w:hint="default" w:ascii="Arial" w:hAnsi="Arial" w:cs="Arial"/>
      <w:b/>
      <w:color w:val="000000"/>
      <w:sz w:val="22"/>
      <w:szCs w:val="22"/>
      <w:u w:val="none"/>
    </w:rPr>
  </w:style>
  <w:style w:type="character" w:customStyle="1" w:styleId="217">
    <w:name w:val="方框标题 Char Char"/>
    <w:basedOn w:val="47"/>
    <w:qFormat/>
    <w:uiPriority w:val="0"/>
  </w:style>
  <w:style w:type="character" w:customStyle="1" w:styleId="218">
    <w:name w:val="1 标题 Char Char"/>
    <w:basedOn w:val="47"/>
    <w:qFormat/>
    <w:uiPriority w:val="0"/>
  </w:style>
  <w:style w:type="character" w:customStyle="1" w:styleId="219">
    <w:name w:val="text21"/>
    <w:basedOn w:val="47"/>
    <w:qFormat/>
    <w:uiPriority w:val="0"/>
  </w:style>
  <w:style w:type="character" w:customStyle="1" w:styleId="220">
    <w:name w:val="正文（小标题） Char Char"/>
    <w:basedOn w:val="47"/>
    <w:qFormat/>
    <w:uiPriority w:val="0"/>
  </w:style>
  <w:style w:type="character" w:customStyle="1" w:styleId="221">
    <w:name w:val="pt9-hui-line201"/>
    <w:basedOn w:val="47"/>
    <w:qFormat/>
    <w:uiPriority w:val="0"/>
  </w:style>
  <w:style w:type="character" w:customStyle="1" w:styleId="222">
    <w:name w:val="Char Char13"/>
    <w:basedOn w:val="223"/>
    <w:qFormat/>
    <w:uiPriority w:val="0"/>
  </w:style>
  <w:style w:type="character" w:customStyle="1" w:styleId="223">
    <w:name w:val="Char Char14"/>
    <w:qFormat/>
    <w:uiPriority w:val="0"/>
  </w:style>
  <w:style w:type="character" w:customStyle="1" w:styleId="224">
    <w:name w:val="标题样式 Char"/>
    <w:link w:val="120"/>
    <w:qFormat/>
    <w:locked/>
    <w:uiPriority w:val="0"/>
    <w:rPr>
      <w:rFonts w:ascii="黑体" w:eastAsia="黑体"/>
      <w:b/>
      <w:kern w:val="2"/>
      <w:sz w:val="32"/>
      <w:lang w:bidi="ar-SA"/>
    </w:rPr>
  </w:style>
  <w:style w:type="character" w:customStyle="1" w:styleId="225">
    <w:name w:val="ca-8"/>
    <w:basedOn w:val="47"/>
    <w:qFormat/>
    <w:uiPriority w:val="0"/>
  </w:style>
  <w:style w:type="character" w:customStyle="1" w:styleId="226">
    <w:name w:val="正文（缩进） Char Char1"/>
    <w:basedOn w:val="47"/>
    <w:qFormat/>
    <w:uiPriority w:val="0"/>
  </w:style>
  <w:style w:type="character" w:customStyle="1" w:styleId="227">
    <w:name w:val="标题 4 Char1"/>
    <w:link w:val="7"/>
    <w:qFormat/>
    <w:uiPriority w:val="9"/>
    <w:rPr>
      <w:rFonts w:ascii="Calibri" w:hAnsi="Calibri" w:eastAsia="黑体"/>
      <w:b/>
      <w:bCs/>
      <w:sz w:val="32"/>
      <w:szCs w:val="28"/>
    </w:rPr>
  </w:style>
  <w:style w:type="character" w:customStyle="1" w:styleId="228">
    <w:name w:val="正文文本缩进 2 Char"/>
    <w:link w:val="28"/>
    <w:qFormat/>
    <w:uiPriority w:val="0"/>
    <w:rPr>
      <w:kern w:val="2"/>
      <w:sz w:val="32"/>
      <w:szCs w:val="24"/>
    </w:rPr>
  </w:style>
  <w:style w:type="character" w:customStyle="1" w:styleId="229">
    <w:name w:val="style71"/>
    <w:basedOn w:val="47"/>
    <w:qFormat/>
    <w:uiPriority w:val="0"/>
  </w:style>
  <w:style w:type="character" w:customStyle="1" w:styleId="230">
    <w:name w:val="标题 5 Char Char"/>
    <w:basedOn w:val="47"/>
    <w:qFormat/>
    <w:uiPriority w:val="0"/>
  </w:style>
  <w:style w:type="character" w:customStyle="1" w:styleId="231">
    <w:name w:val="11-a-a"/>
    <w:basedOn w:val="47"/>
    <w:qFormat/>
    <w:uiPriority w:val="0"/>
  </w:style>
  <w:style w:type="character" w:customStyle="1" w:styleId="232">
    <w:name w:val="Char Char9"/>
    <w:basedOn w:val="47"/>
    <w:qFormat/>
    <w:uiPriority w:val="0"/>
  </w:style>
  <w:style w:type="character" w:customStyle="1" w:styleId="233">
    <w:name w:val="Char Char48"/>
    <w:basedOn w:val="47"/>
    <w:qFormat/>
    <w:uiPriority w:val="0"/>
  </w:style>
  <w:style w:type="character" w:customStyle="1" w:styleId="234">
    <w:name w:val="正文文本缩进 Char"/>
    <w:link w:val="20"/>
    <w:qFormat/>
    <w:uiPriority w:val="0"/>
    <w:rPr>
      <w:kern w:val="2"/>
      <w:sz w:val="21"/>
      <w:szCs w:val="24"/>
      <w:lang w:bidi="ar-SA"/>
    </w:rPr>
  </w:style>
  <w:style w:type="character" w:customStyle="1" w:styleId="235">
    <w:name w:val="副标题 Char"/>
    <w:link w:val="3"/>
    <w:qFormat/>
    <w:uiPriority w:val="0"/>
    <w:rPr>
      <w:rFonts w:ascii="Cambria" w:hAnsi="Cambria" w:eastAsia="宋体"/>
      <w:b/>
      <w:bCs/>
      <w:kern w:val="28"/>
      <w:sz w:val="21"/>
      <w:szCs w:val="32"/>
      <w:lang w:val="en-US" w:eastAsia="zh-CN" w:bidi="ar-SA"/>
    </w:rPr>
  </w:style>
  <w:style w:type="character" w:customStyle="1" w:styleId="236">
    <w:name w:val="Char Char40"/>
    <w:qFormat/>
    <w:uiPriority w:val="0"/>
  </w:style>
  <w:style w:type="character" w:customStyle="1" w:styleId="237">
    <w:name w:val="Char Char16"/>
    <w:basedOn w:val="47"/>
    <w:qFormat/>
    <w:uiPriority w:val="0"/>
  </w:style>
  <w:style w:type="character" w:customStyle="1" w:styleId="238">
    <w:name w:val="批注文字 Char"/>
    <w:link w:val="17"/>
    <w:qFormat/>
    <w:uiPriority w:val="0"/>
    <w:rPr>
      <w:rFonts w:eastAsia="宋体"/>
      <w:kern w:val="2"/>
      <w:sz w:val="21"/>
      <w:szCs w:val="24"/>
      <w:lang w:val="en-US" w:eastAsia="zh-CN" w:bidi="ar-SA"/>
    </w:rPr>
  </w:style>
  <w:style w:type="character" w:customStyle="1" w:styleId="239">
    <w:name w:val="标题 4 Char Char"/>
    <w:basedOn w:val="47"/>
    <w:qFormat/>
    <w:uiPriority w:val="0"/>
  </w:style>
  <w:style w:type="character" w:customStyle="1" w:styleId="240">
    <w:name w:val="unnamed31"/>
    <w:basedOn w:val="47"/>
    <w:qFormat/>
    <w:uiPriority w:val="0"/>
  </w:style>
  <w:style w:type="character" w:customStyle="1" w:styleId="241">
    <w:name w:val="fo Char"/>
    <w:basedOn w:val="47"/>
    <w:qFormat/>
    <w:uiPriority w:val="0"/>
  </w:style>
  <w:style w:type="character" w:customStyle="1" w:styleId="242">
    <w:name w:val="标题 3 Char Char"/>
    <w:basedOn w:val="47"/>
    <w:qFormat/>
    <w:uiPriority w:val="0"/>
  </w:style>
  <w:style w:type="character" w:customStyle="1" w:styleId="243">
    <w:name w:val="pediy"/>
    <w:basedOn w:val="47"/>
    <w:qFormat/>
    <w:uiPriority w:val="0"/>
  </w:style>
  <w:style w:type="character" w:customStyle="1" w:styleId="244">
    <w:name w:val="arc11"/>
    <w:basedOn w:val="47"/>
    <w:qFormat/>
    <w:uiPriority w:val="0"/>
  </w:style>
  <w:style w:type="character" w:customStyle="1" w:styleId="245">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7"/>
    <w:qFormat/>
    <w:uiPriority w:val="0"/>
  </w:style>
  <w:style w:type="character" w:customStyle="1" w:styleId="246">
    <w:name w:val="（符号）三标题1.1 Char Char"/>
    <w:link w:val="159"/>
    <w:qFormat/>
    <w:locked/>
    <w:uiPriority w:val="0"/>
    <w:rPr>
      <w:rFonts w:ascii="宋体" w:hAnsi="宋体"/>
      <w:kern w:val="2"/>
      <w:sz w:val="24"/>
      <w:szCs w:val="24"/>
      <w:lang w:bidi="ar-SA"/>
    </w:rPr>
  </w:style>
  <w:style w:type="character" w:customStyle="1" w:styleId="247">
    <w:name w:val="副标题 Char1"/>
    <w:qFormat/>
    <w:uiPriority w:val="11"/>
    <w:rPr>
      <w:rFonts w:ascii="Cambria" w:hAnsi="Cambria" w:cs="Times New Roman"/>
      <w:b/>
      <w:bCs/>
      <w:kern w:val="28"/>
      <w:sz w:val="32"/>
      <w:szCs w:val="32"/>
    </w:rPr>
  </w:style>
  <w:style w:type="character" w:customStyle="1" w:styleId="248">
    <w:name w:val="批注引用1"/>
    <w:basedOn w:val="47"/>
    <w:qFormat/>
    <w:uiPriority w:val="0"/>
  </w:style>
  <w:style w:type="character" w:customStyle="1" w:styleId="249">
    <w:name w:val="apple-style-span"/>
    <w:basedOn w:val="47"/>
    <w:qFormat/>
    <w:uiPriority w:val="0"/>
  </w:style>
  <w:style w:type="character" w:customStyle="1" w:styleId="250">
    <w:name w:val="font61"/>
    <w:qFormat/>
    <w:uiPriority w:val="0"/>
    <w:rPr>
      <w:rFonts w:ascii="Arial" w:hAnsi="Arial" w:cs="Arial"/>
      <w:b/>
      <w:color w:val="000000"/>
      <w:sz w:val="28"/>
      <w:szCs w:val="28"/>
      <w:u w:val="none"/>
    </w:rPr>
  </w:style>
  <w:style w:type="character" w:customStyle="1" w:styleId="251">
    <w:name w:val="正文文本 Char"/>
    <w:link w:val="2"/>
    <w:qFormat/>
    <w:uiPriority w:val="0"/>
    <w:rPr>
      <w:kern w:val="2"/>
      <w:sz w:val="21"/>
      <w:szCs w:val="24"/>
    </w:rPr>
  </w:style>
  <w:style w:type="character" w:customStyle="1" w:styleId="252">
    <w:name w:val="Char Char29"/>
    <w:qFormat/>
    <w:uiPriority w:val="0"/>
  </w:style>
  <w:style w:type="character" w:customStyle="1" w:styleId="253">
    <w:name w:val="font-121"/>
    <w:basedOn w:val="47"/>
    <w:qFormat/>
    <w:uiPriority w:val="0"/>
  </w:style>
  <w:style w:type="character" w:customStyle="1" w:styleId="254">
    <w:name w:val="ca-11"/>
    <w:basedOn w:val="47"/>
    <w:qFormat/>
    <w:uiPriority w:val="0"/>
  </w:style>
  <w:style w:type="character" w:customStyle="1" w:styleId="255">
    <w:name w:val="font81"/>
    <w:qFormat/>
    <w:uiPriority w:val="0"/>
    <w:rPr>
      <w:rFonts w:hint="eastAsia" w:ascii="宋体" w:hAnsi="宋体" w:eastAsia="宋体" w:cs="宋体"/>
      <w:color w:val="000000"/>
      <w:sz w:val="22"/>
      <w:szCs w:val="22"/>
      <w:u w:val="none"/>
    </w:rPr>
  </w:style>
  <w:style w:type="character" w:customStyle="1" w:styleId="256">
    <w:name w:val="Char Char25"/>
    <w:qFormat/>
    <w:uiPriority w:val="0"/>
  </w:style>
  <w:style w:type="character" w:customStyle="1" w:styleId="257">
    <w:name w:val="font_01"/>
    <w:basedOn w:val="47"/>
    <w:qFormat/>
    <w:uiPriority w:val="0"/>
  </w:style>
  <w:style w:type="character" w:customStyle="1" w:styleId="258">
    <w:name w:val="加点正文缩进 Char Char"/>
    <w:basedOn w:val="47"/>
    <w:qFormat/>
    <w:uiPriority w:val="0"/>
  </w:style>
  <w:style w:type="character" w:customStyle="1" w:styleId="259">
    <w:name w:val="首航缩进 Char Char"/>
    <w:basedOn w:val="47"/>
    <w:qFormat/>
    <w:uiPriority w:val="0"/>
  </w:style>
  <w:style w:type="character" w:customStyle="1" w:styleId="260">
    <w:name w:val="font111"/>
    <w:qFormat/>
    <w:uiPriority w:val="0"/>
    <w:rPr>
      <w:rFonts w:hint="eastAsia" w:ascii="楷体_GB2312" w:eastAsia="楷体_GB2312" w:cs="楷体_GB2312"/>
      <w:color w:val="000000"/>
      <w:sz w:val="20"/>
      <w:szCs w:val="20"/>
      <w:u w:val="none"/>
    </w:rPr>
  </w:style>
  <w:style w:type="character" w:customStyle="1" w:styleId="261">
    <w:name w:val="列出段落 Char1"/>
    <w:basedOn w:val="47"/>
    <w:qFormat/>
    <w:uiPriority w:val="0"/>
  </w:style>
  <w:style w:type="character" w:customStyle="1" w:styleId="262">
    <w:name w:val="text"/>
    <w:basedOn w:val="47"/>
    <w:qFormat/>
    <w:uiPriority w:val="0"/>
  </w:style>
  <w:style w:type="character" w:customStyle="1" w:styleId="263">
    <w:name w:val="批注主题 Char"/>
    <w:basedOn w:val="238"/>
    <w:link w:val="43"/>
    <w:qFormat/>
    <w:uiPriority w:val="0"/>
    <w:rPr>
      <w:rFonts w:eastAsia="宋体"/>
      <w:kern w:val="2"/>
      <w:sz w:val="21"/>
      <w:szCs w:val="24"/>
      <w:lang w:val="en-US" w:eastAsia="zh-CN" w:bidi="ar-SA"/>
    </w:rPr>
  </w:style>
  <w:style w:type="character" w:customStyle="1" w:styleId="264">
    <w:name w:val="标题 3 Char"/>
    <w:link w:val="6"/>
    <w:qFormat/>
    <w:uiPriority w:val="0"/>
    <w:rPr>
      <w:rFonts w:ascii="Times New Roman" w:hAnsi="Times New Roman" w:eastAsia="宋体"/>
      <w:b/>
      <w:bCs/>
      <w:kern w:val="2"/>
      <w:sz w:val="24"/>
      <w:szCs w:val="32"/>
    </w:rPr>
  </w:style>
  <w:style w:type="character" w:customStyle="1" w:styleId="265">
    <w:name w:val="abcde1"/>
    <w:basedOn w:val="47"/>
    <w:qFormat/>
    <w:uiPriority w:val="0"/>
  </w:style>
  <w:style w:type="character" w:customStyle="1" w:styleId="266">
    <w:name w:val="正文文本缩进 Char Char"/>
    <w:basedOn w:val="47"/>
    <w:qFormat/>
    <w:uiPriority w:val="0"/>
  </w:style>
  <w:style w:type="character" w:customStyle="1" w:styleId="267">
    <w:name w:val="Char Char111"/>
    <w:basedOn w:val="47"/>
    <w:qFormat/>
    <w:uiPriority w:val="0"/>
  </w:style>
  <w:style w:type="character" w:customStyle="1" w:styleId="268">
    <w:name w:val="表内文字 Char Char"/>
    <w:basedOn w:val="47"/>
    <w:qFormat/>
    <w:uiPriority w:val="0"/>
  </w:style>
  <w:style w:type="character" w:customStyle="1" w:styleId="269">
    <w:name w:val="标题 8 Char"/>
    <w:link w:val="11"/>
    <w:qFormat/>
    <w:uiPriority w:val="0"/>
    <w:rPr>
      <w:rFonts w:ascii="Calibri" w:hAnsi="Calibri" w:eastAsia="黑体"/>
      <w:kern w:val="2"/>
      <w:sz w:val="24"/>
      <w:szCs w:val="24"/>
    </w:rPr>
  </w:style>
  <w:style w:type="character" w:customStyle="1" w:styleId="270">
    <w:name w:val="Highlighted Variable"/>
    <w:basedOn w:val="47"/>
    <w:qFormat/>
    <w:uiPriority w:val="0"/>
  </w:style>
  <w:style w:type="character" w:customStyle="1" w:styleId="271">
    <w:name w:val="页眉 Char"/>
    <w:link w:val="31"/>
    <w:qFormat/>
    <w:uiPriority w:val="0"/>
    <w:rPr>
      <w:kern w:val="2"/>
      <w:sz w:val="18"/>
      <w:szCs w:val="18"/>
    </w:rPr>
  </w:style>
  <w:style w:type="character" w:customStyle="1" w:styleId="272">
    <w:name w:val="（符号）三标题1.1 Char"/>
    <w:qFormat/>
    <w:uiPriority w:val="99"/>
    <w:rPr>
      <w:rFonts w:ascii="宋体" w:hAnsi="宋体"/>
      <w:kern w:val="2"/>
      <w:sz w:val="24"/>
      <w:szCs w:val="24"/>
    </w:rPr>
  </w:style>
  <w:style w:type="character" w:customStyle="1" w:styleId="273">
    <w:name w:val="(符号)五标题1.1.1 Char"/>
    <w:link w:val="60"/>
    <w:qFormat/>
    <w:locked/>
    <w:uiPriority w:val="99"/>
    <w:rPr>
      <w:rFonts w:ascii="宋体" w:hAnsi="宋体"/>
      <w:color w:val="000000"/>
      <w:kern w:val="2"/>
      <w:sz w:val="24"/>
      <w:lang w:bidi="ar-SA"/>
    </w:rPr>
  </w:style>
  <w:style w:type="character" w:customStyle="1" w:styleId="274">
    <w:name w:val="Char Char28"/>
    <w:qFormat/>
    <w:uiPriority w:val="0"/>
  </w:style>
  <w:style w:type="character" w:customStyle="1" w:styleId="275">
    <w:name w:val="文字 Char Char"/>
    <w:basedOn w:val="47"/>
    <w:qFormat/>
    <w:uiPriority w:val="0"/>
  </w:style>
  <w:style w:type="character" w:customStyle="1" w:styleId="276">
    <w:name w:val="正文（标记） Char2"/>
    <w:basedOn w:val="47"/>
    <w:qFormat/>
    <w:uiPriority w:val="0"/>
  </w:style>
  <w:style w:type="character" w:customStyle="1" w:styleId="277">
    <w:name w:val="批注框文本 Char"/>
    <w:link w:val="29"/>
    <w:qFormat/>
    <w:uiPriority w:val="0"/>
    <w:rPr>
      <w:kern w:val="2"/>
      <w:sz w:val="18"/>
      <w:szCs w:val="18"/>
      <w:lang w:bidi="ar-SA"/>
    </w:rPr>
  </w:style>
  <w:style w:type="character" w:customStyle="1" w:styleId="278">
    <w:name w:val="ca-21"/>
    <w:qFormat/>
    <w:uiPriority w:val="0"/>
    <w:rPr>
      <w:rFonts w:ascii="Times New Roman" w:hAnsi="Times New Roman"/>
      <w:sz w:val="28"/>
    </w:rPr>
  </w:style>
  <w:style w:type="character" w:customStyle="1" w:styleId="279">
    <w:name w:val="标准正文 Char Char"/>
    <w:basedOn w:val="47"/>
    <w:qFormat/>
    <w:uiPriority w:val="0"/>
  </w:style>
  <w:style w:type="character" w:customStyle="1" w:styleId="280">
    <w:name w:val="正文段落 Char Char"/>
    <w:basedOn w:val="47"/>
    <w:qFormat/>
    <w:uiPriority w:val="0"/>
  </w:style>
  <w:style w:type="character" w:customStyle="1" w:styleId="281">
    <w:name w:val="页码1"/>
    <w:basedOn w:val="47"/>
    <w:qFormat/>
    <w:uiPriority w:val="0"/>
  </w:style>
  <w:style w:type="character" w:customStyle="1" w:styleId="282">
    <w:name w:val="txt11"/>
    <w:basedOn w:val="47"/>
    <w:qFormat/>
    <w:uiPriority w:val="0"/>
  </w:style>
  <w:style w:type="character" w:customStyle="1" w:styleId="283">
    <w:name w:val="表格 Char Char"/>
    <w:link w:val="168"/>
    <w:qFormat/>
    <w:uiPriority w:val="0"/>
    <w:rPr>
      <w:rFonts w:eastAsia="宋体"/>
      <w:kern w:val="2"/>
      <w:sz w:val="24"/>
      <w:szCs w:val="24"/>
      <w:lang w:val="en-US" w:eastAsia="zh-CN" w:bidi="ar-SA"/>
    </w:rPr>
  </w:style>
  <w:style w:type="character" w:customStyle="1" w:styleId="284">
    <w:name w:val="Char Char49"/>
    <w:basedOn w:val="47"/>
    <w:qFormat/>
    <w:uiPriority w:val="0"/>
  </w:style>
  <w:style w:type="character" w:customStyle="1" w:styleId="285">
    <w:name w:val="编号1 Char Char"/>
    <w:basedOn w:val="47"/>
    <w:qFormat/>
    <w:uiPriority w:val="0"/>
  </w:style>
  <w:style w:type="character" w:customStyle="1" w:styleId="286">
    <w:name w:val="标题 7 Char"/>
    <w:link w:val="10"/>
    <w:qFormat/>
    <w:uiPriority w:val="0"/>
    <w:rPr>
      <w:b/>
      <w:bCs/>
      <w:kern w:val="2"/>
      <w:sz w:val="24"/>
      <w:szCs w:val="24"/>
    </w:rPr>
  </w:style>
  <w:style w:type="character" w:customStyle="1" w:styleId="287">
    <w:name w:val="Char Char23"/>
    <w:qFormat/>
    <w:uiPriority w:val="0"/>
  </w:style>
  <w:style w:type="character" w:customStyle="1" w:styleId="288">
    <w:name w:val="Char Char50"/>
    <w:basedOn w:val="47"/>
    <w:qFormat/>
    <w:uiPriority w:val="0"/>
  </w:style>
  <w:style w:type="character" w:customStyle="1" w:styleId="289">
    <w:name w:val="纯文本 Char"/>
    <w:link w:val="25"/>
    <w:qFormat/>
    <w:uiPriority w:val="0"/>
    <w:rPr>
      <w:rFonts w:ascii="宋体" w:hAnsi="Courier New"/>
      <w:kern w:val="2"/>
      <w:sz w:val="21"/>
    </w:rPr>
  </w:style>
  <w:style w:type="character" w:customStyle="1" w:styleId="290">
    <w:name w:val="Anrede1IhrZeichen"/>
    <w:basedOn w:val="47"/>
    <w:qFormat/>
    <w:uiPriority w:val="0"/>
  </w:style>
  <w:style w:type="character" w:customStyle="1" w:styleId="291">
    <w:name w:val="Footer1 Char Char"/>
    <w:basedOn w:val="47"/>
    <w:qFormat/>
    <w:uiPriority w:val="0"/>
  </w:style>
  <w:style w:type="character" w:customStyle="1" w:styleId="292">
    <w:name w:val="Char Char8"/>
    <w:qFormat/>
    <w:uiPriority w:val="0"/>
  </w:style>
  <w:style w:type="character" w:customStyle="1" w:styleId="293">
    <w:name w:val="yqlink"/>
    <w:basedOn w:val="47"/>
    <w:qFormat/>
    <w:uiPriority w:val="0"/>
  </w:style>
  <w:style w:type="character" w:customStyle="1" w:styleId="294">
    <w:name w:val="正文缩进2格 Char Char"/>
    <w:basedOn w:val="47"/>
    <w:qFormat/>
    <w:uiPriority w:val="0"/>
  </w:style>
  <w:style w:type="character" w:customStyle="1" w:styleId="295">
    <w:name w:val="标题 6 Char"/>
    <w:link w:val="9"/>
    <w:qFormat/>
    <w:uiPriority w:val="0"/>
    <w:rPr>
      <w:rFonts w:ascii="Calibri" w:hAnsi="Calibri" w:eastAsia="黑体"/>
      <w:b/>
      <w:bCs/>
      <w:kern w:val="2"/>
      <w:sz w:val="24"/>
      <w:szCs w:val="24"/>
    </w:rPr>
  </w:style>
  <w:style w:type="character" w:customStyle="1" w:styleId="296">
    <w:name w:val="p141"/>
    <w:qFormat/>
    <w:uiPriority w:val="0"/>
  </w:style>
  <w:style w:type="character" w:customStyle="1" w:styleId="297">
    <w:name w:val="样式 标题 3Heading 3 - oldHeading 3H3l3CTBOD 03h33rd level...2 Char Char"/>
    <w:basedOn w:val="47"/>
    <w:qFormat/>
    <w:uiPriority w:val="0"/>
  </w:style>
  <w:style w:type="character" w:customStyle="1" w:styleId="298">
    <w:name w:val="l151"/>
    <w:basedOn w:val="47"/>
    <w:qFormat/>
    <w:uiPriority w:val="0"/>
  </w:style>
  <w:style w:type="character" w:customStyle="1" w:styleId="299">
    <w:name w:val="style261"/>
    <w:basedOn w:val="47"/>
    <w:qFormat/>
    <w:uiPriority w:val="0"/>
  </w:style>
  <w:style w:type="character" w:customStyle="1" w:styleId="300">
    <w:name w:val="Char Char11"/>
    <w:qFormat/>
    <w:uiPriority w:val="0"/>
  </w:style>
  <w:style w:type="character" w:customStyle="1" w:styleId="301">
    <w:name w:val="正文文本缩进 3 Char"/>
    <w:link w:val="36"/>
    <w:qFormat/>
    <w:uiPriority w:val="0"/>
    <w:rPr>
      <w:rFonts w:eastAsia="楷体"/>
      <w:sz w:val="24"/>
      <w:lang w:bidi="ar-SA"/>
    </w:rPr>
  </w:style>
  <w:style w:type="character" w:customStyle="1" w:styleId="302">
    <w:name w:val="font101"/>
    <w:qFormat/>
    <w:uiPriority w:val="0"/>
    <w:rPr>
      <w:rFonts w:ascii="楷体_GB2312" w:eastAsia="楷体_GB2312" w:cs="楷体_GB2312"/>
      <w:color w:val="000000"/>
      <w:sz w:val="20"/>
      <w:szCs w:val="20"/>
      <w:u w:val="none"/>
    </w:rPr>
  </w:style>
  <w:style w:type="character" w:customStyle="1" w:styleId="303">
    <w:name w:val="Char Char37"/>
    <w:basedOn w:val="47"/>
    <w:qFormat/>
    <w:uiPriority w:val="0"/>
  </w:style>
  <w:style w:type="character" w:customStyle="1" w:styleId="304">
    <w:name w:val="Char Char24"/>
    <w:qFormat/>
    <w:uiPriority w:val="0"/>
  </w:style>
  <w:style w:type="character" w:customStyle="1" w:styleId="305">
    <w:name w:val="style181"/>
    <w:basedOn w:val="47"/>
    <w:qFormat/>
    <w:uiPriority w:val="0"/>
  </w:style>
  <w:style w:type="character" w:customStyle="1" w:styleId="306">
    <w:name w:val="Char Char Char Char Char Char Char Char Char Char Char"/>
    <w:qFormat/>
    <w:uiPriority w:val="0"/>
    <w:rPr>
      <w:rFonts w:ascii="宋体"/>
      <w:kern w:val="2"/>
      <w:sz w:val="18"/>
      <w:szCs w:val="18"/>
    </w:rPr>
  </w:style>
  <w:style w:type="character" w:customStyle="1" w:styleId="307">
    <w:name w:val="unnamed11"/>
    <w:basedOn w:val="47"/>
    <w:qFormat/>
    <w:uiPriority w:val="0"/>
  </w:style>
  <w:style w:type="character" w:customStyle="1" w:styleId="308">
    <w:name w:val="正文（缩进） Char1"/>
    <w:basedOn w:val="47"/>
    <w:qFormat/>
    <w:uiPriority w:val="0"/>
  </w:style>
  <w:style w:type="character" w:customStyle="1" w:styleId="309">
    <w:name w:val="ca-2"/>
    <w:basedOn w:val="47"/>
    <w:qFormat/>
    <w:uiPriority w:val="0"/>
  </w:style>
  <w:style w:type="character" w:customStyle="1" w:styleId="310">
    <w:name w:val="font11"/>
    <w:qFormat/>
    <w:uiPriority w:val="0"/>
    <w:rPr>
      <w:rFonts w:hint="default" w:ascii="Arial" w:hAnsi="Arial" w:cs="Arial"/>
      <w:color w:val="000000"/>
      <w:sz w:val="22"/>
      <w:szCs w:val="22"/>
      <w:u w:val="none"/>
    </w:rPr>
  </w:style>
  <w:style w:type="character" w:customStyle="1" w:styleId="311">
    <w:name w:val="标题 4 Char"/>
    <w:basedOn w:val="47"/>
    <w:qFormat/>
    <w:uiPriority w:val="0"/>
  </w:style>
  <w:style w:type="character" w:customStyle="1" w:styleId="312">
    <w:name w:val="Char Char22"/>
    <w:qFormat/>
    <w:uiPriority w:val="0"/>
  </w:style>
  <w:style w:type="character" w:customStyle="1" w:styleId="313">
    <w:name w:val="脚注文本 Char"/>
    <w:link w:val="34"/>
    <w:qFormat/>
    <w:uiPriority w:val="0"/>
    <w:rPr>
      <w:kern w:val="2"/>
      <w:sz w:val="18"/>
      <w:szCs w:val="18"/>
      <w:lang w:bidi="ar-SA"/>
    </w:rPr>
  </w:style>
  <w:style w:type="character" w:customStyle="1" w:styleId="314">
    <w:name w:val="Char Char4"/>
    <w:basedOn w:val="47"/>
    <w:qFormat/>
    <w:uiPriority w:val="0"/>
  </w:style>
  <w:style w:type="character" w:customStyle="1" w:styleId="315">
    <w:name w:val="无间隔 Char"/>
    <w:link w:val="129"/>
    <w:qFormat/>
    <w:uiPriority w:val="0"/>
    <w:rPr>
      <w:rFonts w:eastAsia="Times New Roman"/>
      <w:sz w:val="22"/>
      <w:szCs w:val="22"/>
      <w:lang w:val="en-US" w:eastAsia="zh-CN" w:bidi="ar-SA"/>
    </w:rPr>
  </w:style>
  <w:style w:type="character" w:customStyle="1" w:styleId="316">
    <w:name w:val="z-窗体顶端 Char"/>
    <w:link w:val="156"/>
    <w:qFormat/>
    <w:uiPriority w:val="0"/>
    <w:rPr>
      <w:rFonts w:ascii="Arial" w:hAnsi="Arial" w:eastAsia="宋体"/>
      <w:vanish/>
      <w:sz w:val="16"/>
      <w:szCs w:val="16"/>
      <w:lang w:bidi="ar-SA"/>
    </w:rPr>
  </w:style>
  <w:style w:type="character" w:customStyle="1" w:styleId="317">
    <w:name w:val="批注主题 Char1"/>
    <w:semiHidden/>
    <w:qFormat/>
    <w:uiPriority w:val="99"/>
    <w:rPr>
      <w:rFonts w:ascii="宋体" w:hAnsi="宋体" w:eastAsia="宋体" w:cs="Times New Roman"/>
      <w:b/>
      <w:bCs/>
      <w:kern w:val="2"/>
      <w:sz w:val="24"/>
      <w:szCs w:val="24"/>
      <w:lang w:val="en-US" w:eastAsia="zh-CN" w:bidi="ar-SA"/>
    </w:rPr>
  </w:style>
  <w:style w:type="character" w:customStyle="1" w:styleId="318">
    <w:name w:val="ca-5"/>
    <w:basedOn w:val="47"/>
    <w:qFormat/>
    <w:uiPriority w:val="0"/>
  </w:style>
  <w:style w:type="character" w:customStyle="1" w:styleId="319">
    <w:name w:val="ca-9"/>
    <w:basedOn w:val="47"/>
    <w:qFormat/>
    <w:uiPriority w:val="0"/>
  </w:style>
  <w:style w:type="character" w:customStyle="1" w:styleId="320">
    <w:name w:val="ca-0"/>
    <w:basedOn w:val="47"/>
    <w:qFormat/>
    <w:uiPriority w:val="0"/>
  </w:style>
  <w:style w:type="character" w:customStyle="1" w:styleId="321">
    <w:name w:val="正文文本 2 Char"/>
    <w:link w:val="39"/>
    <w:qFormat/>
    <w:uiPriority w:val="0"/>
    <w:rPr>
      <w:rFonts w:ascii="Calibri" w:hAnsi="Calibri"/>
      <w:kern w:val="2"/>
      <w:sz w:val="21"/>
      <w:szCs w:val="22"/>
    </w:rPr>
  </w:style>
  <w:style w:type="character" w:customStyle="1" w:styleId="322">
    <w:name w:val="Footer Char"/>
    <w:semiHidden/>
    <w:qFormat/>
    <w:locked/>
    <w:uiPriority w:val="99"/>
    <w:rPr>
      <w:rFonts w:ascii="Calibri" w:hAnsi="Calibri" w:eastAsia="宋体" w:cs="Times New Roman"/>
      <w:sz w:val="18"/>
      <w:szCs w:val="18"/>
    </w:rPr>
  </w:style>
  <w:style w:type="character" w:customStyle="1" w:styleId="323">
    <w:name w:val="图表正文 Char Char"/>
    <w:basedOn w:val="47"/>
    <w:qFormat/>
    <w:uiPriority w:val="0"/>
  </w:style>
  <w:style w:type="character" w:customStyle="1" w:styleId="324">
    <w:name w:val="maywed421"/>
    <w:basedOn w:val="47"/>
    <w:qFormat/>
    <w:uiPriority w:val="0"/>
  </w:style>
  <w:style w:type="character" w:customStyle="1" w:styleId="325">
    <w:name w:val="Para head"/>
    <w:basedOn w:val="47"/>
    <w:qFormat/>
    <w:uiPriority w:val="0"/>
  </w:style>
  <w:style w:type="character" w:customStyle="1" w:styleId="326">
    <w:name w:val="ca-10"/>
    <w:basedOn w:val="47"/>
    <w:qFormat/>
    <w:uiPriority w:val="0"/>
  </w:style>
  <w:style w:type="character" w:customStyle="1" w:styleId="327">
    <w:name w:val="正文首行缩进两字符 Char Char"/>
    <w:basedOn w:val="47"/>
    <w:qFormat/>
    <w:uiPriority w:val="0"/>
  </w:style>
  <w:style w:type="character" w:customStyle="1" w:styleId="328">
    <w:name w:val="Char Char12"/>
    <w:basedOn w:val="47"/>
    <w:qFormat/>
    <w:uiPriority w:val="0"/>
  </w:style>
  <w:style w:type="character" w:customStyle="1" w:styleId="329">
    <w:name w:val="标题1"/>
    <w:basedOn w:val="47"/>
    <w:qFormat/>
    <w:uiPriority w:val="0"/>
  </w:style>
  <w:style w:type="character" w:customStyle="1" w:styleId="330">
    <w:name w:val="Heading 0 Char1"/>
    <w:basedOn w:val="47"/>
    <w:qFormat/>
    <w:uiPriority w:val="0"/>
  </w:style>
  <w:style w:type="character" w:customStyle="1" w:styleId="331">
    <w:name w:val="正文小标题 Char Char"/>
    <w:basedOn w:val="47"/>
    <w:qFormat/>
    <w:uiPriority w:val="0"/>
  </w:style>
  <w:style w:type="character" w:customStyle="1" w:styleId="332">
    <w:name w:val="wctjfont1"/>
    <w:basedOn w:val="47"/>
    <w:qFormat/>
    <w:uiPriority w:val="0"/>
  </w:style>
  <w:style w:type="character" w:customStyle="1" w:styleId="333">
    <w:name w:val="正文文本缩进 Char1"/>
    <w:semiHidden/>
    <w:qFormat/>
    <w:uiPriority w:val="99"/>
    <w:rPr>
      <w:rFonts w:ascii="Times New Roman" w:hAnsi="Times New Roman" w:eastAsia="宋体" w:cs="Times New Roman"/>
      <w:kern w:val="2"/>
      <w:sz w:val="21"/>
    </w:rPr>
  </w:style>
  <w:style w:type="character" w:customStyle="1" w:styleId="334">
    <w:name w:val="题注 Char Char"/>
    <w:basedOn w:val="47"/>
    <w:qFormat/>
    <w:uiPriority w:val="0"/>
  </w:style>
  <w:style w:type="character" w:customStyle="1" w:styleId="335">
    <w:name w:val="Char Char41"/>
    <w:basedOn w:val="47"/>
    <w:qFormat/>
    <w:uiPriority w:val="0"/>
  </w:style>
  <w:style w:type="character" w:customStyle="1" w:styleId="336">
    <w:name w:val="font41"/>
    <w:qFormat/>
    <w:uiPriority w:val="0"/>
    <w:rPr>
      <w:rFonts w:hint="default" w:ascii="Arial" w:hAnsi="Arial" w:cs="Arial"/>
      <w:color w:val="000000"/>
      <w:sz w:val="22"/>
      <w:szCs w:val="22"/>
      <w:u w:val="none"/>
    </w:rPr>
  </w:style>
  <w:style w:type="character" w:customStyle="1" w:styleId="337">
    <w:name w:val="t_tag"/>
    <w:basedOn w:val="47"/>
    <w:qFormat/>
    <w:uiPriority w:val="0"/>
  </w:style>
  <w:style w:type="character" w:customStyle="1" w:styleId="338">
    <w:name w:val="方框下的123标题 Char Char"/>
    <w:basedOn w:val="47"/>
    <w:qFormat/>
    <w:uiPriority w:val="0"/>
  </w:style>
  <w:style w:type="character" w:customStyle="1" w:styleId="339">
    <w:name w:val="small"/>
    <w:basedOn w:val="47"/>
    <w:qFormat/>
    <w:uiPriority w:val="0"/>
  </w:style>
  <w:style w:type="character" w:customStyle="1" w:styleId="340">
    <w:name w:val="a9"/>
    <w:basedOn w:val="47"/>
    <w:qFormat/>
    <w:uiPriority w:val="0"/>
  </w:style>
  <w:style w:type="character" w:customStyle="1" w:styleId="341">
    <w:name w:val="Char Char39"/>
    <w:qFormat/>
    <w:uiPriority w:val="0"/>
  </w:style>
  <w:style w:type="character" w:customStyle="1" w:styleId="342">
    <w:name w:val="Char Char30"/>
    <w:qFormat/>
    <w:uiPriority w:val="0"/>
  </w:style>
  <w:style w:type="character" w:customStyle="1" w:styleId="343">
    <w:name w:val="style91"/>
    <w:basedOn w:val="47"/>
    <w:qFormat/>
    <w:uiPriority w:val="0"/>
  </w:style>
  <w:style w:type="character" w:customStyle="1" w:styleId="344">
    <w:name w:val="标题 6 Char Char"/>
    <w:basedOn w:val="47"/>
    <w:qFormat/>
    <w:uiPriority w:val="0"/>
  </w:style>
  <w:style w:type="character" w:customStyle="1" w:styleId="345">
    <w:name w:val="样式1 Char"/>
    <w:link w:val="134"/>
    <w:qFormat/>
    <w:locked/>
    <w:uiPriority w:val="99"/>
    <w:rPr>
      <w:rFonts w:ascii="宋体" w:hAnsi="宋体" w:eastAsia="黑体"/>
      <w:b/>
      <w:bCs/>
      <w:kern w:val="2"/>
      <w:sz w:val="24"/>
      <w:szCs w:val="32"/>
      <w:lang w:val="en-US" w:eastAsia="zh-CN" w:bidi="ar-SA"/>
    </w:rPr>
  </w:style>
  <w:style w:type="character" w:customStyle="1" w:styleId="346">
    <w:name w:val="ABC标题下的小点 Char Char"/>
    <w:basedOn w:val="47"/>
    <w:qFormat/>
    <w:uiPriority w:val="0"/>
  </w:style>
  <w:style w:type="character" w:customStyle="1" w:styleId="347">
    <w:name w:val="b21"/>
    <w:basedOn w:val="47"/>
    <w:qFormat/>
    <w:uiPriority w:val="0"/>
  </w:style>
  <w:style w:type="character" w:customStyle="1" w:styleId="348">
    <w:name w:val="meuncn1"/>
    <w:basedOn w:val="47"/>
    <w:qFormat/>
    <w:uiPriority w:val="0"/>
  </w:style>
  <w:style w:type="character" w:customStyle="1" w:styleId="349">
    <w:name w:val="font121"/>
    <w:qFormat/>
    <w:uiPriority w:val="0"/>
    <w:rPr>
      <w:rFonts w:hint="eastAsia" w:ascii="宋体" w:hAnsi="宋体" w:eastAsia="宋体" w:cs="宋体"/>
      <w:b/>
      <w:color w:val="000000"/>
      <w:sz w:val="24"/>
      <w:szCs w:val="24"/>
      <w:u w:val="none"/>
    </w:rPr>
  </w:style>
  <w:style w:type="character" w:customStyle="1" w:styleId="350">
    <w:name w:val="正文缩进 Char"/>
    <w:link w:val="14"/>
    <w:qFormat/>
    <w:uiPriority w:val="0"/>
    <w:rPr>
      <w:kern w:val="2"/>
      <w:sz w:val="21"/>
    </w:rPr>
  </w:style>
  <w:style w:type="character" w:customStyle="1" w:styleId="351">
    <w:name w:val="Char Char Char Char Char Char Char Char Char"/>
    <w:basedOn w:val="47"/>
    <w:qFormat/>
    <w:uiPriority w:val="0"/>
  </w:style>
  <w:style w:type="character" w:customStyle="1" w:styleId="352">
    <w:name w:val="Balloon Text Char"/>
    <w:semiHidden/>
    <w:qFormat/>
    <w:locked/>
    <w:uiPriority w:val="99"/>
    <w:rPr>
      <w:rFonts w:ascii="Calibri" w:hAnsi="Calibri" w:eastAsia="宋体" w:cs="Times New Roman"/>
      <w:sz w:val="18"/>
      <w:szCs w:val="18"/>
    </w:rPr>
  </w:style>
  <w:style w:type="character" w:customStyle="1" w:styleId="353">
    <w:name w:val="标题 7 Char Char"/>
    <w:basedOn w:val="47"/>
    <w:qFormat/>
    <w:uiPriority w:val="0"/>
  </w:style>
  <w:style w:type="character" w:customStyle="1" w:styleId="354">
    <w:name w:val="Char Char36"/>
    <w:basedOn w:val="47"/>
    <w:qFormat/>
    <w:uiPriority w:val="0"/>
  </w:style>
  <w:style w:type="character" w:customStyle="1" w:styleId="355">
    <w:name w:val="标题 5 Char"/>
    <w:link w:val="8"/>
    <w:qFormat/>
    <w:uiPriority w:val="0"/>
    <w:rPr>
      <w:b/>
      <w:bCs/>
      <w:kern w:val="2"/>
      <w:sz w:val="28"/>
      <w:szCs w:val="28"/>
    </w:rPr>
  </w:style>
  <w:style w:type="character" w:customStyle="1" w:styleId="356">
    <w:name w:val="页脚 Char"/>
    <w:link w:val="30"/>
    <w:qFormat/>
    <w:uiPriority w:val="99"/>
    <w:rPr>
      <w:kern w:val="2"/>
      <w:sz w:val="18"/>
      <w:szCs w:val="18"/>
    </w:rPr>
  </w:style>
  <w:style w:type="character" w:customStyle="1" w:styleId="357">
    <w:name w:val="font21"/>
    <w:qFormat/>
    <w:uiPriority w:val="0"/>
    <w:rPr>
      <w:rFonts w:ascii="宋体" w:eastAsia="宋体" w:cs="宋体"/>
      <w:color w:val="000000"/>
      <w:sz w:val="20"/>
      <w:szCs w:val="20"/>
      <w:u w:val="none"/>
      <w:lang w:bidi="ar-SA"/>
    </w:rPr>
  </w:style>
  <w:style w:type="character" w:customStyle="1" w:styleId="358">
    <w:name w:val="日期 Char Char"/>
    <w:basedOn w:val="47"/>
    <w:qFormat/>
    <w:uiPriority w:val="0"/>
  </w:style>
  <w:style w:type="character" w:customStyle="1" w:styleId="359">
    <w:name w:val="正文缩进 Char Char Char"/>
    <w:basedOn w:val="47"/>
    <w:qFormat/>
    <w:uiPriority w:val="0"/>
  </w:style>
  <w:style w:type="character" w:customStyle="1" w:styleId="360">
    <w:name w:val="field15"/>
    <w:basedOn w:val="47"/>
    <w:qFormat/>
    <w:uiPriority w:val="0"/>
  </w:style>
  <w:style w:type="character" w:customStyle="1" w:styleId="361">
    <w:name w:val="Char Char32"/>
    <w:qFormat/>
    <w:uiPriority w:val="0"/>
  </w:style>
  <w:style w:type="character" w:customStyle="1" w:styleId="362">
    <w:name w:val="tabletextchar1"/>
    <w:basedOn w:val="47"/>
    <w:qFormat/>
    <w:uiPriority w:val="0"/>
  </w:style>
  <w:style w:type="character" w:customStyle="1" w:styleId="363">
    <w:name w:val="Char Char46"/>
    <w:basedOn w:val="47"/>
    <w:qFormat/>
    <w:uiPriority w:val="0"/>
  </w:style>
  <w:style w:type="character" w:customStyle="1" w:styleId="364">
    <w:name w:val="p12"/>
    <w:basedOn w:val="47"/>
    <w:qFormat/>
    <w:uiPriority w:val="0"/>
  </w:style>
  <w:style w:type="character" w:customStyle="1" w:styleId="365">
    <w:name w:val="text1"/>
    <w:basedOn w:val="47"/>
    <w:qFormat/>
    <w:uiPriority w:val="0"/>
  </w:style>
  <w:style w:type="character" w:customStyle="1" w:styleId="366">
    <w:name w:val="Heading 2 Hidden Char"/>
    <w:qFormat/>
    <w:uiPriority w:val="0"/>
  </w:style>
  <w:style w:type="character" w:customStyle="1" w:styleId="367">
    <w:name w:val="正文文本 2 Char Char"/>
    <w:basedOn w:val="47"/>
    <w:qFormat/>
    <w:uiPriority w:val="0"/>
  </w:style>
  <w:style w:type="character" w:customStyle="1" w:styleId="368">
    <w:name w:val="正文文本 3 Char"/>
    <w:link w:val="18"/>
    <w:qFormat/>
    <w:uiPriority w:val="0"/>
    <w:rPr>
      <w:rFonts w:eastAsia="宋体"/>
      <w:b/>
      <w:bCs/>
      <w:kern w:val="2"/>
      <w:sz w:val="24"/>
      <w:szCs w:val="24"/>
      <w:lang w:bidi="ar-SA"/>
    </w:rPr>
  </w:style>
  <w:style w:type="character" w:customStyle="1" w:styleId="369">
    <w:name w:val="Char Char35"/>
    <w:basedOn w:val="47"/>
    <w:qFormat/>
    <w:uiPriority w:val="0"/>
  </w:style>
  <w:style w:type="character" w:customStyle="1" w:styleId="370">
    <w:name w:val="style171"/>
    <w:basedOn w:val="47"/>
    <w:qFormat/>
    <w:uiPriority w:val="0"/>
  </w:style>
  <w:style w:type="character" w:customStyle="1" w:styleId="371">
    <w:name w:val="小标题 Char Char"/>
    <w:basedOn w:val="47"/>
    <w:qFormat/>
    <w:uiPriority w:val="0"/>
  </w:style>
  <w:style w:type="character" w:customStyle="1" w:styleId="372">
    <w:name w:val="title1"/>
    <w:basedOn w:val="47"/>
    <w:qFormat/>
    <w:uiPriority w:val="0"/>
  </w:style>
  <w:style w:type="character" w:customStyle="1" w:styleId="373">
    <w:name w:val="页脚 Char Char"/>
    <w:basedOn w:val="47"/>
    <w:qFormat/>
    <w:uiPriority w:val="0"/>
  </w:style>
  <w:style w:type="character" w:customStyle="1" w:styleId="374">
    <w:name w:val="样式2 Char Char1"/>
    <w:basedOn w:val="47"/>
    <w:qFormat/>
    <w:uiPriority w:val="0"/>
  </w:style>
  <w:style w:type="character" w:customStyle="1" w:styleId="375">
    <w:name w:val="标题 1 Char"/>
    <w:link w:val="4"/>
    <w:qFormat/>
    <w:uiPriority w:val="0"/>
    <w:rPr>
      <w:rFonts w:ascii="Times New Roman" w:hAnsi="Times New Roman" w:eastAsia="宋体"/>
      <w:b/>
      <w:bCs/>
      <w:kern w:val="44"/>
      <w:sz w:val="36"/>
      <w:szCs w:val="44"/>
    </w:rPr>
  </w:style>
  <w:style w:type="character" w:customStyle="1" w:styleId="376">
    <w:name w:val="ca-6"/>
    <w:basedOn w:val="47"/>
    <w:qFormat/>
    <w:uiPriority w:val="0"/>
  </w:style>
  <w:style w:type="character" w:customStyle="1" w:styleId="377">
    <w:name w:val="正文1 Char Char"/>
    <w:basedOn w:val="47"/>
    <w:qFormat/>
    <w:uiPriority w:val="0"/>
  </w:style>
  <w:style w:type="character" w:customStyle="1" w:styleId="378">
    <w:name w:val="文档结构图 Char"/>
    <w:link w:val="16"/>
    <w:qFormat/>
    <w:uiPriority w:val="0"/>
    <w:rPr>
      <w:rFonts w:ascii="宋体" w:eastAsia="宋体"/>
      <w:kern w:val="2"/>
      <w:sz w:val="18"/>
      <w:szCs w:val="18"/>
      <w:lang w:bidi="ar-SA"/>
    </w:rPr>
  </w:style>
  <w:style w:type="character" w:customStyle="1" w:styleId="379">
    <w:name w:val="t11"/>
    <w:basedOn w:val="47"/>
    <w:qFormat/>
    <w:uiPriority w:val="0"/>
  </w:style>
  <w:style w:type="character" w:customStyle="1" w:styleId="380">
    <w:name w:val="Table Text Char Char Char Char Char Char1 Char Char"/>
    <w:basedOn w:val="47"/>
    <w:qFormat/>
    <w:uiPriority w:val="0"/>
  </w:style>
  <w:style w:type="character" w:customStyle="1" w:styleId="381">
    <w:name w:val="Char Char2"/>
    <w:basedOn w:val="47"/>
    <w:qFormat/>
    <w:uiPriority w:val="0"/>
  </w:style>
  <w:style w:type="character" w:customStyle="1" w:styleId="382">
    <w:name w:val="tt5"/>
    <w:basedOn w:val="47"/>
    <w:qFormat/>
    <w:uiPriority w:val="0"/>
  </w:style>
  <w:style w:type="character" w:customStyle="1" w:styleId="383">
    <w:name w:val="样式 题注 + 宋体 小四 Char Char"/>
    <w:basedOn w:val="378"/>
    <w:qFormat/>
    <w:uiPriority w:val="0"/>
    <w:rPr>
      <w:rFonts w:ascii="宋体" w:eastAsia="宋体"/>
      <w:kern w:val="2"/>
      <w:sz w:val="18"/>
      <w:szCs w:val="18"/>
      <w:lang w:bidi="ar-SA"/>
    </w:rPr>
  </w:style>
  <w:style w:type="character" w:customStyle="1" w:styleId="384">
    <w:name w:val="标题 Char"/>
    <w:link w:val="42"/>
    <w:qFormat/>
    <w:uiPriority w:val="0"/>
    <w:rPr>
      <w:rFonts w:ascii="Cambria" w:hAnsi="Cambria"/>
      <w:b/>
      <w:bCs/>
      <w:kern w:val="2"/>
      <w:sz w:val="32"/>
      <w:szCs w:val="32"/>
    </w:rPr>
  </w:style>
  <w:style w:type="character" w:customStyle="1" w:styleId="385">
    <w:name w:val="Char Char Char Char Char Char Char Char Char Char"/>
    <w:basedOn w:val="47"/>
    <w:qFormat/>
    <w:uiPriority w:val="0"/>
  </w:style>
  <w:style w:type="character" w:customStyle="1" w:styleId="386">
    <w:name w:val="标题 2 Char Char"/>
    <w:basedOn w:val="47"/>
    <w:qFormat/>
    <w:uiPriority w:val="0"/>
  </w:style>
  <w:style w:type="character" w:customStyle="1" w:styleId="387">
    <w:name w:val="Table Text Char1"/>
    <w:basedOn w:val="47"/>
    <w:qFormat/>
    <w:uiPriority w:val="0"/>
  </w:style>
  <w:style w:type="character" w:customStyle="1" w:styleId="388">
    <w:name w:val="样式2 Char Char"/>
    <w:basedOn w:val="47"/>
    <w:qFormat/>
    <w:uiPriority w:val="0"/>
  </w:style>
  <w:style w:type="character" w:customStyle="1" w:styleId="389">
    <w:name w:val="Char Char43"/>
    <w:basedOn w:val="47"/>
    <w:qFormat/>
    <w:uiPriority w:val="0"/>
  </w:style>
  <w:style w:type="character" w:customStyle="1" w:styleId="390">
    <w:name w:val="Char Char47"/>
    <w:basedOn w:val="47"/>
    <w:qFormat/>
    <w:uiPriority w:val="0"/>
  </w:style>
  <w:style w:type="character" w:customStyle="1" w:styleId="391">
    <w:name w:val="ca-4"/>
    <w:basedOn w:val="47"/>
    <w:qFormat/>
    <w:uiPriority w:val="0"/>
  </w:style>
  <w:style w:type="character" w:customStyle="1" w:styleId="392">
    <w:name w:val="textnorm_chn1"/>
    <w:basedOn w:val="47"/>
    <w:qFormat/>
    <w:uiPriority w:val="0"/>
  </w:style>
  <w:style w:type="character" w:customStyle="1" w:styleId="393">
    <w:name w:val="para"/>
    <w:basedOn w:val="47"/>
    <w:qFormat/>
    <w:uiPriority w:val="0"/>
  </w:style>
  <w:style w:type="character" w:customStyle="1" w:styleId="394">
    <w:name w:val="Char Char33"/>
    <w:basedOn w:val="395"/>
    <w:qFormat/>
    <w:uiPriority w:val="0"/>
  </w:style>
  <w:style w:type="character" w:customStyle="1" w:styleId="395">
    <w:name w:val="Char Char34"/>
    <w:basedOn w:val="47"/>
    <w:qFormat/>
    <w:uiPriority w:val="0"/>
  </w:style>
  <w:style w:type="character" w:customStyle="1" w:styleId="396">
    <w:name w:val="Char Char27"/>
    <w:qFormat/>
    <w:uiPriority w:val="0"/>
  </w:style>
  <w:style w:type="character" w:customStyle="1" w:styleId="397">
    <w:name w:val="方框小标题 Char Char"/>
    <w:basedOn w:val="47"/>
    <w:qFormat/>
    <w:uiPriority w:val="0"/>
  </w:style>
  <w:style w:type="character" w:customStyle="1" w:styleId="398">
    <w:name w:val="Char Char44"/>
    <w:basedOn w:val="47"/>
    <w:qFormat/>
    <w:uiPriority w:val="0"/>
  </w:style>
  <w:style w:type="character" w:customStyle="1" w:styleId="399">
    <w:name w:val="ca-12"/>
    <w:basedOn w:val="47"/>
    <w:qFormat/>
    <w:uiPriority w:val="0"/>
  </w:style>
  <w:style w:type="character" w:customStyle="1" w:styleId="400">
    <w:name w:val="Char Char31"/>
    <w:qFormat/>
    <w:uiPriority w:val="0"/>
  </w:style>
  <w:style w:type="character" w:customStyle="1" w:styleId="401">
    <w:name w:val="Char Char5"/>
    <w:basedOn w:val="47"/>
    <w:qFormat/>
    <w:uiPriority w:val="0"/>
  </w:style>
  <w:style w:type="character" w:customStyle="1" w:styleId="402">
    <w:name w:val="正文首行缩进 Char"/>
    <w:link w:val="44"/>
    <w:qFormat/>
    <w:uiPriority w:val="0"/>
    <w:rPr>
      <w:rFonts w:ascii="Arial" w:hAnsi="Arial"/>
      <w:color w:val="000000"/>
      <w:kern w:val="2"/>
      <w:sz w:val="21"/>
      <w:szCs w:val="24"/>
    </w:rPr>
  </w:style>
  <w:style w:type="character" w:customStyle="1" w:styleId="403">
    <w:name w:val="font01"/>
    <w:qFormat/>
    <w:uiPriority w:val="0"/>
    <w:rPr>
      <w:rFonts w:hint="eastAsia" w:ascii="宋体" w:hAnsi="宋体" w:eastAsia="宋体" w:cs="宋体"/>
      <w:color w:val="000000"/>
      <w:sz w:val="22"/>
      <w:szCs w:val="22"/>
      <w:u w:val="none"/>
    </w:rPr>
  </w:style>
  <w:style w:type="character" w:customStyle="1" w:styleId="404">
    <w:name w:val="short_text"/>
    <w:basedOn w:val="47"/>
    <w:qFormat/>
    <w:uiPriority w:val="0"/>
  </w:style>
  <w:style w:type="character" w:customStyle="1" w:styleId="405">
    <w:name w:val="content"/>
    <w:basedOn w:val="47"/>
    <w:qFormat/>
    <w:uiPriority w:val="0"/>
  </w:style>
  <w:style w:type="character" w:customStyle="1" w:styleId="406">
    <w:name w:val="font31"/>
    <w:qFormat/>
    <w:uiPriority w:val="0"/>
    <w:rPr>
      <w:rFonts w:hint="eastAsia" w:ascii="宋体" w:hAnsi="宋体" w:eastAsia="宋体" w:cs="宋体"/>
      <w:color w:val="000000"/>
      <w:sz w:val="22"/>
      <w:szCs w:val="22"/>
      <w:u w:val="none"/>
    </w:rPr>
  </w:style>
  <w:style w:type="character" w:customStyle="1" w:styleId="407">
    <w:name w:val="标题 9 Char Char"/>
    <w:basedOn w:val="47"/>
    <w:qFormat/>
    <w:uiPriority w:val="0"/>
  </w:style>
  <w:style w:type="character" w:customStyle="1" w:styleId="408">
    <w:name w:val="font91"/>
    <w:qFormat/>
    <w:uiPriority w:val="0"/>
    <w:rPr>
      <w:rFonts w:hint="default" w:ascii="Arial" w:hAnsi="Arial" w:cs="Arial"/>
      <w:color w:val="000000"/>
      <w:sz w:val="22"/>
      <w:szCs w:val="22"/>
      <w:u w:val="none"/>
    </w:rPr>
  </w:style>
  <w:style w:type="character" w:customStyle="1" w:styleId="409">
    <w:name w:val="图表题头 Char Char"/>
    <w:basedOn w:val="47"/>
    <w:qFormat/>
    <w:uiPriority w:val="0"/>
  </w:style>
  <w:style w:type="character" w:customStyle="1" w:styleId="410">
    <w:name w:val="p14"/>
    <w:basedOn w:val="47"/>
    <w:qFormat/>
    <w:uiPriority w:val="0"/>
  </w:style>
  <w:style w:type="character" w:customStyle="1" w:styleId="411">
    <w:name w:val="p121"/>
    <w:basedOn w:val="47"/>
    <w:qFormat/>
    <w:uiPriority w:val="0"/>
  </w:style>
  <w:style w:type="character" w:customStyle="1" w:styleId="412">
    <w:name w:val="point_normal"/>
    <w:basedOn w:val="47"/>
    <w:qFormat/>
    <w:uiPriority w:val="0"/>
  </w:style>
  <w:style w:type="character" w:customStyle="1" w:styleId="413">
    <w:name w:val="纯文本 Char Char1"/>
    <w:qFormat/>
    <w:uiPriority w:val="0"/>
  </w:style>
  <w:style w:type="character" w:customStyle="1" w:styleId="414">
    <w:name w:val="Char Char45"/>
    <w:basedOn w:val="47"/>
    <w:qFormat/>
    <w:uiPriority w:val="0"/>
  </w:style>
  <w:style w:type="character" w:customStyle="1" w:styleId="415">
    <w:name w:val="hang1"/>
    <w:basedOn w:val="47"/>
    <w:qFormat/>
    <w:uiPriority w:val="0"/>
  </w:style>
  <w:style w:type="character" w:customStyle="1" w:styleId="416">
    <w:name w:val="apple-converted-space"/>
    <w:basedOn w:val="47"/>
    <w:qFormat/>
    <w:uiPriority w:val="0"/>
  </w:style>
  <w:style w:type="character" w:customStyle="1" w:styleId="417">
    <w:name w:val="bold1"/>
    <w:basedOn w:val="47"/>
    <w:qFormat/>
    <w:uiPriority w:val="0"/>
  </w:style>
  <w:style w:type="character" w:customStyle="1" w:styleId="418">
    <w:name w:val="Char Char15"/>
    <w:qFormat/>
    <w:uiPriority w:val="0"/>
  </w:style>
  <w:style w:type="character" w:customStyle="1" w:styleId="419">
    <w:name w:val="正文文本 Char1"/>
    <w:semiHidden/>
    <w:qFormat/>
    <w:uiPriority w:val="99"/>
    <w:rPr>
      <w:rFonts w:ascii="Times New Roman" w:hAnsi="Times New Roman" w:eastAsia="宋体" w:cs="Times New Roman"/>
      <w:szCs w:val="20"/>
    </w:rPr>
  </w:style>
  <w:style w:type="character" w:customStyle="1" w:styleId="420">
    <w:name w:val="Char Char26"/>
    <w:qFormat/>
    <w:uiPriority w:val="0"/>
  </w:style>
  <w:style w:type="character" w:customStyle="1" w:styleId="421">
    <w:name w:val="ca-1"/>
    <w:basedOn w:val="47"/>
    <w:qFormat/>
    <w:uiPriority w:val="0"/>
  </w:style>
  <w:style w:type="character" w:customStyle="1" w:styleId="422">
    <w:name w:val="Char Char18"/>
    <w:qFormat/>
    <w:uiPriority w:val="0"/>
  </w:style>
  <w:style w:type="character" w:customStyle="1" w:styleId="423">
    <w:name w:val="3zw1"/>
    <w:basedOn w:val="47"/>
    <w:qFormat/>
    <w:uiPriority w:val="0"/>
  </w:style>
  <w:style w:type="character" w:customStyle="1" w:styleId="424">
    <w:name w:val="z-窗体底端 Char"/>
    <w:link w:val="191"/>
    <w:qFormat/>
    <w:uiPriority w:val="0"/>
    <w:rPr>
      <w:rFonts w:ascii="Arial" w:hAnsi="Arial" w:eastAsia="宋体"/>
      <w:vanish/>
      <w:sz w:val="16"/>
      <w:szCs w:val="16"/>
      <w:lang w:bidi="ar-SA"/>
    </w:rPr>
  </w:style>
  <w:style w:type="character" w:customStyle="1" w:styleId="425">
    <w:name w:val="标题 2 Char"/>
    <w:link w:val="5"/>
    <w:qFormat/>
    <w:uiPriority w:val="0"/>
    <w:rPr>
      <w:rFonts w:ascii="Calibri" w:hAnsi="Calibri" w:eastAsia="黑体"/>
      <w:b/>
      <w:bCs/>
      <w:kern w:val="2"/>
      <w:sz w:val="32"/>
      <w:szCs w:val="32"/>
      <w:lang w:val="en-US" w:eastAsia="zh-CN" w:bidi="ar-SA"/>
    </w:rPr>
  </w:style>
  <w:style w:type="character" w:customStyle="1" w:styleId="426">
    <w:name w:val="标题 9 Char"/>
    <w:link w:val="12"/>
    <w:qFormat/>
    <w:uiPriority w:val="0"/>
    <w:rPr>
      <w:rFonts w:ascii="Calibri" w:hAnsi="Calibri" w:eastAsia="黑体"/>
      <w:kern w:val="2"/>
      <w:sz w:val="21"/>
      <w:szCs w:val="21"/>
    </w:rPr>
  </w:style>
  <w:style w:type="character" w:customStyle="1" w:styleId="427">
    <w:name w:val="px141"/>
    <w:basedOn w:val="47"/>
    <w:qFormat/>
    <w:uiPriority w:val="0"/>
  </w:style>
  <w:style w:type="character" w:customStyle="1" w:styleId="428">
    <w:name w:val="ca-7"/>
    <w:basedOn w:val="47"/>
    <w:qFormat/>
    <w:uiPriority w:val="0"/>
  </w:style>
  <w:style w:type="character" w:customStyle="1" w:styleId="429">
    <w:name w:val="正文格式 Char Char"/>
    <w:basedOn w:val="47"/>
    <w:qFormat/>
    <w:uiPriority w:val="0"/>
  </w:style>
  <w:style w:type="character" w:customStyle="1" w:styleId="430">
    <w:name w:val="标题 3 Char Char Char"/>
    <w:basedOn w:val="47"/>
    <w:qFormat/>
    <w:uiPriority w:val="0"/>
  </w:style>
  <w:style w:type="paragraph" w:customStyle="1" w:styleId="431">
    <w:name w:val="列表段落1"/>
    <w:basedOn w:val="1"/>
    <w:qFormat/>
    <w:uiPriority w:val="0"/>
    <w:pPr>
      <w:ind w:firstLine="420" w:firstLineChars="200"/>
    </w:pPr>
  </w:style>
  <w:style w:type="paragraph" w:styleId="432">
    <w:name w:val="List Paragraph"/>
    <w:basedOn w:val="1"/>
    <w:qFormat/>
    <w:uiPriority w:val="0"/>
    <w:pPr>
      <w:ind w:firstLine="420" w:firstLineChars="200"/>
    </w:pPr>
  </w:style>
  <w:style w:type="paragraph" w:customStyle="1" w:styleId="433">
    <w:name w:val="p16"/>
    <w:basedOn w:val="1"/>
    <w:qFormat/>
    <w:uiPriority w:val="0"/>
    <w:pPr>
      <w:widowControl/>
      <w:autoSpaceDE w:val="0"/>
      <w:autoSpaceDN w:val="0"/>
      <w:jc w:val="left"/>
    </w:pPr>
    <w:rPr>
      <w:rFonts w:ascii="宋体" w:hAnsi="宋体" w:cs="宋体"/>
      <w:kern w:val="0"/>
      <w:sz w:val="22"/>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3.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51EB7-A99D-46AD-8EEA-852759E330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121</Pages>
  <Words>11801</Words>
  <Characters>67268</Characters>
  <Lines>560</Lines>
  <Paragraphs>157</Paragraphs>
  <TotalTime>24</TotalTime>
  <ScaleCrop>false</ScaleCrop>
  <LinksUpToDate>false</LinksUpToDate>
  <CharactersWithSpaces>78912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2020-07-07T02:28:00Z</dcterms:created>
  <dc:creator>User</dc:creator>
  <cp:lastModifiedBy>A一</cp:lastModifiedBy>
  <cp:lastPrinted>2020-12-22T06:55:00Z</cp:lastPrinted>
  <dcterms:modified xsi:type="dcterms:W3CDTF">2021-07-22T07:24:54Z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CAD4606024CB430C8A542D898B947501</vt:lpwstr>
  </property>
</Properties>
</file>