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采购项目编号：ZAZB-2022ZC0003</w:t>
      </w:r>
    </w:p>
    <w:p>
      <w:pPr>
        <w:jc w:val="center"/>
        <w:rPr>
          <w:rFonts w:ascii="宋体" w:hAnsi="宋体"/>
          <w:b/>
          <w:sz w:val="28"/>
          <w:szCs w:val="28"/>
        </w:rPr>
      </w:pPr>
    </w:p>
    <w:p>
      <w:pPr>
        <w:spacing w:line="276" w:lineRule="auto"/>
        <w:jc w:val="center"/>
        <w:rPr>
          <w:rFonts w:ascii="宋体" w:hAnsi="宋体"/>
          <w:b/>
          <w:sz w:val="40"/>
          <w:szCs w:val="40"/>
        </w:rPr>
      </w:pPr>
      <w:r>
        <w:rPr>
          <w:rFonts w:hint="eastAsia" w:ascii="宋体" w:hAnsi="宋体"/>
          <w:b/>
          <w:sz w:val="40"/>
          <w:szCs w:val="40"/>
        </w:rPr>
        <w:t>成都市温江区市场监督管理局</w:t>
      </w:r>
    </w:p>
    <w:p>
      <w:pPr>
        <w:spacing w:line="276" w:lineRule="auto"/>
        <w:jc w:val="center"/>
        <w:rPr>
          <w:rFonts w:ascii="宋体" w:hAnsi="宋体"/>
          <w:b/>
          <w:sz w:val="40"/>
          <w:szCs w:val="40"/>
        </w:rPr>
      </w:pPr>
      <w:r>
        <w:rPr>
          <w:rFonts w:hint="eastAsia" w:ascii="宋体" w:hAnsi="宋体"/>
          <w:b/>
          <w:sz w:val="40"/>
          <w:szCs w:val="40"/>
        </w:rPr>
        <w:t>温江区2022年度计量器具强制检定技术服务</w:t>
      </w:r>
    </w:p>
    <w:p>
      <w:pPr>
        <w:spacing w:line="276" w:lineRule="auto"/>
        <w:jc w:val="center"/>
        <w:rPr>
          <w:rFonts w:ascii="宋体" w:hAnsi="宋体"/>
          <w:b/>
          <w:sz w:val="40"/>
          <w:szCs w:val="40"/>
        </w:rPr>
      </w:pPr>
      <w:r>
        <w:rPr>
          <w:rFonts w:hint="eastAsia" w:ascii="宋体" w:hAnsi="宋体"/>
          <w:b/>
          <w:sz w:val="40"/>
          <w:szCs w:val="40"/>
        </w:rPr>
        <w:t xml:space="preserve">单一来源采购项目 </w:t>
      </w:r>
    </w:p>
    <w:p>
      <w:pPr>
        <w:jc w:val="center"/>
        <w:rPr>
          <w:rFonts w:ascii="宋体" w:hAnsi="宋体"/>
          <w:b/>
          <w:sz w:val="48"/>
          <w:szCs w:val="48"/>
        </w:rPr>
      </w:pPr>
    </w:p>
    <w:p>
      <w:pPr>
        <w:jc w:val="center"/>
        <w:rPr>
          <w:rFonts w:ascii="宋体" w:hAnsi="宋体"/>
          <w:b/>
          <w:sz w:val="48"/>
          <w:szCs w:val="48"/>
        </w:rPr>
      </w:pPr>
    </w:p>
    <w:p>
      <w:pPr>
        <w:jc w:val="center"/>
        <w:rPr>
          <w:rFonts w:ascii="宋体" w:hAnsi="宋体"/>
          <w:b/>
          <w:sz w:val="48"/>
          <w:szCs w:val="48"/>
        </w:rPr>
      </w:pPr>
      <w:r>
        <w:rPr>
          <w:rFonts w:hint="eastAsia" w:ascii="宋体" w:hAnsi="宋体"/>
          <w:b/>
          <w:sz w:val="48"/>
          <w:szCs w:val="48"/>
        </w:rPr>
        <w:t>单</w:t>
      </w:r>
    </w:p>
    <w:p>
      <w:pPr>
        <w:jc w:val="center"/>
        <w:rPr>
          <w:rFonts w:ascii="宋体" w:hAnsi="宋体"/>
          <w:b/>
          <w:sz w:val="48"/>
          <w:szCs w:val="48"/>
        </w:rPr>
      </w:pPr>
      <w:r>
        <w:rPr>
          <w:rFonts w:hint="eastAsia" w:ascii="宋体" w:hAnsi="宋体"/>
          <w:b/>
          <w:sz w:val="48"/>
          <w:szCs w:val="48"/>
        </w:rPr>
        <w:t>一</w:t>
      </w:r>
    </w:p>
    <w:p>
      <w:pPr>
        <w:jc w:val="center"/>
        <w:rPr>
          <w:rFonts w:ascii="宋体" w:hAnsi="宋体"/>
          <w:b/>
          <w:sz w:val="48"/>
          <w:szCs w:val="48"/>
        </w:rPr>
      </w:pPr>
      <w:r>
        <w:rPr>
          <w:rFonts w:hint="eastAsia" w:ascii="宋体" w:hAnsi="宋体"/>
          <w:b/>
          <w:sz w:val="48"/>
          <w:szCs w:val="48"/>
        </w:rPr>
        <w:t>来</w:t>
      </w:r>
    </w:p>
    <w:p>
      <w:pPr>
        <w:jc w:val="center"/>
        <w:rPr>
          <w:rFonts w:ascii="宋体" w:hAnsi="宋体"/>
          <w:b/>
          <w:sz w:val="48"/>
          <w:szCs w:val="48"/>
        </w:rPr>
      </w:pPr>
      <w:r>
        <w:rPr>
          <w:rFonts w:hint="eastAsia" w:ascii="宋体" w:hAnsi="宋体"/>
          <w:b/>
          <w:sz w:val="48"/>
          <w:szCs w:val="48"/>
        </w:rPr>
        <w:t>源</w:t>
      </w:r>
    </w:p>
    <w:p>
      <w:pPr>
        <w:jc w:val="center"/>
        <w:rPr>
          <w:rFonts w:ascii="宋体" w:hAnsi="宋体"/>
          <w:b/>
          <w:sz w:val="48"/>
          <w:szCs w:val="48"/>
        </w:rPr>
      </w:pPr>
      <w:r>
        <w:rPr>
          <w:rFonts w:hint="eastAsia" w:ascii="宋体" w:hAnsi="宋体"/>
          <w:b/>
          <w:sz w:val="48"/>
          <w:szCs w:val="48"/>
        </w:rPr>
        <w:t>采</w:t>
      </w:r>
    </w:p>
    <w:p>
      <w:pPr>
        <w:jc w:val="center"/>
        <w:rPr>
          <w:rFonts w:ascii="宋体" w:hAnsi="宋体"/>
          <w:b/>
          <w:sz w:val="48"/>
          <w:szCs w:val="48"/>
        </w:rPr>
      </w:pPr>
      <w:r>
        <w:rPr>
          <w:rFonts w:hint="eastAsia" w:ascii="宋体" w:hAnsi="宋体"/>
          <w:b/>
          <w:sz w:val="48"/>
          <w:szCs w:val="48"/>
        </w:rPr>
        <w:t>购</w:t>
      </w:r>
    </w:p>
    <w:p>
      <w:pPr>
        <w:jc w:val="center"/>
        <w:rPr>
          <w:rFonts w:ascii="宋体" w:hAnsi="宋体"/>
          <w:b/>
          <w:sz w:val="48"/>
          <w:szCs w:val="48"/>
        </w:rPr>
      </w:pPr>
      <w:r>
        <w:rPr>
          <w:rFonts w:hint="eastAsia" w:ascii="宋体" w:hAnsi="宋体"/>
          <w:b/>
          <w:sz w:val="48"/>
          <w:szCs w:val="48"/>
        </w:rPr>
        <w:t>文</w:t>
      </w:r>
    </w:p>
    <w:p>
      <w:pPr>
        <w:jc w:val="center"/>
        <w:rPr>
          <w:rFonts w:ascii="宋体" w:hAnsi="宋体"/>
          <w:b/>
          <w:sz w:val="48"/>
          <w:szCs w:val="48"/>
        </w:rPr>
      </w:pPr>
      <w:r>
        <w:rPr>
          <w:rFonts w:hint="eastAsia" w:ascii="宋体" w:hAnsi="宋体"/>
          <w:b/>
          <w:sz w:val="48"/>
          <w:szCs w:val="48"/>
        </w:rPr>
        <w:t>件</w:t>
      </w:r>
    </w:p>
    <w:p>
      <w:pPr>
        <w:jc w:val="center"/>
        <w:rPr>
          <w:rFonts w:ascii="宋体" w:hAnsi="宋体"/>
          <w:b/>
          <w:sz w:val="48"/>
          <w:szCs w:val="48"/>
        </w:rPr>
      </w:pPr>
    </w:p>
    <w:p>
      <w:pPr>
        <w:jc w:val="center"/>
        <w:rPr>
          <w:rFonts w:ascii="宋体" w:hAnsi="宋体"/>
          <w:b/>
          <w:sz w:val="48"/>
          <w:szCs w:val="48"/>
        </w:rPr>
      </w:pPr>
    </w:p>
    <w:p>
      <w:pPr>
        <w:spacing w:line="360" w:lineRule="auto"/>
        <w:ind w:firstLine="964" w:firstLineChars="300"/>
        <w:rPr>
          <w:rFonts w:ascii="宋体" w:hAnsi="宋体"/>
          <w:b/>
          <w:sz w:val="32"/>
          <w:szCs w:val="32"/>
        </w:rPr>
      </w:pPr>
      <w:r>
        <w:rPr>
          <w:rFonts w:hint="eastAsia" w:ascii="宋体" w:hAnsi="宋体"/>
          <w:b/>
          <w:sz w:val="32"/>
          <w:szCs w:val="32"/>
        </w:rPr>
        <w:t>采   购   人：成都市温江区市场监督管理局</w:t>
      </w:r>
    </w:p>
    <w:p>
      <w:pPr>
        <w:tabs>
          <w:tab w:val="left" w:pos="6320"/>
        </w:tabs>
        <w:ind w:firstLine="964" w:firstLineChars="300"/>
        <w:jc w:val="left"/>
        <w:rPr>
          <w:rFonts w:ascii="宋体" w:hAnsi="宋体"/>
          <w:b/>
          <w:sz w:val="32"/>
          <w:szCs w:val="32"/>
        </w:rPr>
      </w:pPr>
      <w:r>
        <w:rPr>
          <w:rFonts w:hint="eastAsia" w:ascii="宋体" w:hAnsi="宋体"/>
          <w:b/>
          <w:sz w:val="32"/>
          <w:szCs w:val="32"/>
        </w:rPr>
        <w:t>采购代理机构：四川中安招标代理有限公司</w:t>
      </w:r>
    </w:p>
    <w:p>
      <w:pPr>
        <w:tabs>
          <w:tab w:val="left" w:pos="6320"/>
        </w:tabs>
        <w:jc w:val="center"/>
        <w:rPr>
          <w:rFonts w:ascii="宋体" w:hAnsi="宋体"/>
          <w:b/>
          <w:color w:val="000000"/>
          <w:spacing w:val="110"/>
          <w:sz w:val="32"/>
          <w:szCs w:val="22"/>
        </w:rPr>
      </w:pPr>
      <w:r>
        <w:rPr>
          <w:rFonts w:hint="eastAsia" w:ascii="宋体" w:hAnsi="宋体"/>
          <w:b/>
          <w:sz w:val="32"/>
          <w:szCs w:val="32"/>
        </w:rPr>
        <w:t>共同</w:t>
      </w:r>
      <w:r>
        <w:rPr>
          <w:rFonts w:ascii="宋体" w:hAnsi="宋体"/>
          <w:b/>
          <w:sz w:val="32"/>
          <w:szCs w:val="32"/>
        </w:rPr>
        <w:t>编制</w:t>
      </w:r>
    </w:p>
    <w:p>
      <w:pPr>
        <w:spacing w:line="360" w:lineRule="auto"/>
        <w:jc w:val="center"/>
        <w:rPr>
          <w:rFonts w:ascii="宋体" w:hAnsi="宋体"/>
          <w:b/>
          <w:sz w:val="32"/>
          <w:szCs w:val="32"/>
        </w:rPr>
      </w:pPr>
      <w:r>
        <w:rPr>
          <w:rFonts w:hint="eastAsia" w:ascii="宋体" w:hAnsi="宋体"/>
          <w:b/>
          <w:sz w:val="32"/>
          <w:szCs w:val="32"/>
        </w:rPr>
        <w:t>中国·四川（成都）</w:t>
      </w:r>
    </w:p>
    <w:p>
      <w:pPr>
        <w:ind w:firstLine="3418" w:firstLineChars="1064"/>
        <w:rPr>
          <w:rFonts w:ascii="宋体" w:hAnsi="宋体"/>
          <w:b/>
          <w:sz w:val="32"/>
          <w:szCs w:val="32"/>
        </w:rPr>
      </w:pPr>
      <w:r>
        <w:rPr>
          <w:rFonts w:ascii="宋体" w:hAnsi="宋体"/>
          <w:b/>
          <w:sz w:val="32"/>
          <w:szCs w:val="32"/>
        </w:rPr>
        <w:t>20</w:t>
      </w:r>
      <w:r>
        <w:rPr>
          <w:rFonts w:hint="eastAsia" w:ascii="宋体" w:hAnsi="宋体"/>
          <w:b/>
          <w:sz w:val="32"/>
          <w:szCs w:val="32"/>
        </w:rPr>
        <w:t>22</w:t>
      </w:r>
      <w:r>
        <w:rPr>
          <w:rFonts w:ascii="宋体" w:hAnsi="宋体"/>
          <w:b/>
          <w:sz w:val="32"/>
          <w:szCs w:val="32"/>
        </w:rPr>
        <w:t>年</w:t>
      </w:r>
      <w:r>
        <w:rPr>
          <w:rFonts w:hint="eastAsia" w:ascii="宋体" w:hAnsi="宋体"/>
          <w:b/>
          <w:sz w:val="32"/>
          <w:szCs w:val="32"/>
        </w:rPr>
        <w:t>03</w:t>
      </w:r>
      <w:r>
        <w:rPr>
          <w:rFonts w:ascii="宋体" w:hAnsi="宋体"/>
          <w:b/>
          <w:sz w:val="32"/>
          <w:szCs w:val="32"/>
        </w:rPr>
        <w:t>月</w:t>
      </w:r>
    </w:p>
    <w:p>
      <w:pPr>
        <w:ind w:firstLine="3418" w:firstLineChars="1064"/>
        <w:rPr>
          <w:rFonts w:ascii="宋体" w:hAnsi="宋体"/>
          <w:b/>
          <w:sz w:val="32"/>
          <w:szCs w:val="32"/>
        </w:rPr>
      </w:pPr>
    </w:p>
    <w:p>
      <w:pPr>
        <w:ind w:firstLine="3418" w:firstLineChars="1064"/>
        <w:rPr>
          <w:rFonts w:ascii="宋体" w:hAnsi="宋体"/>
          <w:b/>
          <w:sz w:val="32"/>
          <w:szCs w:val="32"/>
        </w:rPr>
        <w:sectPr>
          <w:headerReference r:id="rId4" w:type="first"/>
          <w:headerReference r:id="rId3" w:type="default"/>
          <w:footerReference r:id="rId5" w:type="default"/>
          <w:footerReference r:id="rId6" w:type="even"/>
          <w:pgSz w:w="11906" w:h="16838"/>
          <w:pgMar w:top="1134" w:right="1700" w:bottom="1134" w:left="1418" w:header="567" w:footer="992" w:gutter="0"/>
          <w:pgNumType w:start="0"/>
          <w:cols w:space="0" w:num="1"/>
          <w:titlePg/>
          <w:docGrid w:type="lines" w:linePitch="312" w:charSpace="0"/>
        </w:sect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目 录</w:t>
      </w:r>
    </w:p>
    <w:p>
      <w:pPr>
        <w:pStyle w:val="25"/>
        <w:tabs>
          <w:tab w:val="left" w:pos="840"/>
          <w:tab w:val="right" w:leader="dot" w:pos="8778"/>
        </w:tabs>
        <w:rPr>
          <w:rFonts w:asciiTheme="minorHAnsi" w:hAnsiTheme="minorHAnsi" w:eastAsiaTheme="minorEastAsia" w:cstheme="minorBidi"/>
          <w:b w:val="0"/>
          <w:bCs w:val="0"/>
          <w:caps w:val="0"/>
          <w:sz w:val="21"/>
          <w:szCs w:val="22"/>
        </w:rPr>
      </w:pPr>
      <w:r>
        <w:rPr>
          <w:rFonts w:hint="eastAsia" w:asciiTheme="minorEastAsia" w:hAnsiTheme="minorEastAsia" w:eastAsiaTheme="minorEastAsia" w:cstheme="minorEastAsia"/>
          <w:b w:val="0"/>
          <w:sz w:val="36"/>
          <w:szCs w:val="36"/>
        </w:rPr>
        <w:fldChar w:fldCharType="begin"/>
      </w:r>
      <w:r>
        <w:rPr>
          <w:rFonts w:hint="eastAsia" w:asciiTheme="minorEastAsia" w:hAnsiTheme="minorEastAsia" w:eastAsiaTheme="minorEastAsia" w:cstheme="minorEastAsia"/>
          <w:b w:val="0"/>
          <w:sz w:val="36"/>
          <w:szCs w:val="36"/>
        </w:rPr>
        <w:instrText xml:space="preserve"> TOC \o "1-3" \h \z \u </w:instrText>
      </w:r>
      <w:r>
        <w:rPr>
          <w:rFonts w:hint="eastAsia" w:asciiTheme="minorEastAsia" w:hAnsiTheme="minorEastAsia" w:eastAsiaTheme="minorEastAsia" w:cstheme="minorEastAsia"/>
          <w:b w:val="0"/>
          <w:sz w:val="36"/>
          <w:szCs w:val="36"/>
        </w:rPr>
        <w:fldChar w:fldCharType="separate"/>
      </w:r>
      <w:r>
        <w:rPr>
          <w:rStyle w:val="36"/>
        </w:rPr>
        <w:fldChar w:fldCharType="begin"/>
      </w:r>
      <w:r>
        <w:rPr>
          <w:rStyle w:val="36"/>
        </w:rPr>
        <w:instrText xml:space="preserve"> </w:instrText>
      </w:r>
      <w:r>
        <w:instrText xml:space="preserve">HYPERLINK \l "_Toc98334721"</w:instrText>
      </w:r>
      <w:r>
        <w:rPr>
          <w:rStyle w:val="36"/>
        </w:rPr>
        <w:instrText xml:space="preserve"> </w:instrText>
      </w:r>
      <w:r>
        <w:rPr>
          <w:rStyle w:val="36"/>
        </w:rPr>
        <w:fldChar w:fldCharType="separate"/>
      </w:r>
      <w:r>
        <w:rPr>
          <w:rStyle w:val="36"/>
          <w:rFonts w:hint="eastAsia"/>
        </w:rPr>
        <w:t>第1章</w:t>
      </w:r>
      <w:r>
        <w:rPr>
          <w:rFonts w:asciiTheme="minorHAnsi" w:hAnsiTheme="minorHAnsi" w:eastAsiaTheme="minorEastAsia" w:cstheme="minorBidi"/>
          <w:b w:val="0"/>
          <w:bCs w:val="0"/>
          <w:caps w:val="0"/>
          <w:sz w:val="21"/>
          <w:szCs w:val="22"/>
        </w:rPr>
        <w:tab/>
      </w:r>
      <w:r>
        <w:rPr>
          <w:rStyle w:val="36"/>
          <w:rFonts w:hint="eastAsia"/>
        </w:rPr>
        <w:t>单一来源采购报价邀请</w:t>
      </w:r>
      <w:r>
        <w:tab/>
      </w:r>
      <w:r>
        <w:fldChar w:fldCharType="begin"/>
      </w:r>
      <w:r>
        <w:instrText xml:space="preserve"> PAGEREF _Toc98334721 \h </w:instrText>
      </w:r>
      <w:r>
        <w:fldChar w:fldCharType="separate"/>
      </w:r>
      <w:r>
        <w:t>1</w:t>
      </w:r>
      <w:r>
        <w:fldChar w:fldCharType="end"/>
      </w:r>
      <w:r>
        <w:rPr>
          <w:rStyle w:val="36"/>
        </w:rPr>
        <w:fldChar w:fldCharType="end"/>
      </w:r>
    </w:p>
    <w:p>
      <w:pPr>
        <w:pStyle w:val="25"/>
        <w:tabs>
          <w:tab w:val="left" w:pos="840"/>
          <w:tab w:val="right" w:leader="dot" w:pos="8778"/>
        </w:tabs>
        <w:rPr>
          <w:rFonts w:asciiTheme="minorHAnsi" w:hAnsiTheme="minorHAnsi" w:eastAsiaTheme="minorEastAsia" w:cstheme="minorBidi"/>
          <w:b w:val="0"/>
          <w:bCs w:val="0"/>
          <w:caps w:val="0"/>
          <w:sz w:val="21"/>
          <w:szCs w:val="22"/>
        </w:rPr>
      </w:pPr>
      <w:r>
        <w:rPr>
          <w:rStyle w:val="36"/>
        </w:rPr>
        <w:fldChar w:fldCharType="begin"/>
      </w:r>
      <w:r>
        <w:rPr>
          <w:rStyle w:val="36"/>
        </w:rPr>
        <w:instrText xml:space="preserve"> </w:instrText>
      </w:r>
      <w:r>
        <w:instrText xml:space="preserve">HYPERLINK \l "_Toc98334722"</w:instrText>
      </w:r>
      <w:r>
        <w:rPr>
          <w:rStyle w:val="36"/>
        </w:rPr>
        <w:instrText xml:space="preserve"> </w:instrText>
      </w:r>
      <w:r>
        <w:rPr>
          <w:rStyle w:val="36"/>
        </w:rPr>
        <w:fldChar w:fldCharType="separate"/>
      </w:r>
      <w:r>
        <w:rPr>
          <w:rStyle w:val="36"/>
          <w:rFonts w:hint="eastAsia"/>
        </w:rPr>
        <w:t>第2章</w:t>
      </w:r>
      <w:r>
        <w:rPr>
          <w:rFonts w:asciiTheme="minorHAnsi" w:hAnsiTheme="minorHAnsi" w:eastAsiaTheme="minorEastAsia" w:cstheme="minorBidi"/>
          <w:b w:val="0"/>
          <w:bCs w:val="0"/>
          <w:caps w:val="0"/>
          <w:sz w:val="21"/>
          <w:szCs w:val="22"/>
        </w:rPr>
        <w:tab/>
      </w:r>
      <w:r>
        <w:rPr>
          <w:rStyle w:val="36"/>
          <w:rFonts w:hint="eastAsia"/>
        </w:rPr>
        <w:t>供应商须知</w:t>
      </w:r>
      <w:r>
        <w:tab/>
      </w:r>
      <w:r>
        <w:fldChar w:fldCharType="begin"/>
      </w:r>
      <w:r>
        <w:instrText xml:space="preserve"> PAGEREF _Toc98334722 \h </w:instrText>
      </w:r>
      <w:r>
        <w:fldChar w:fldCharType="separate"/>
      </w:r>
      <w:r>
        <w:t>4</w:t>
      </w:r>
      <w:r>
        <w:fldChar w:fldCharType="end"/>
      </w:r>
      <w:r>
        <w:rPr>
          <w:rStyle w:val="36"/>
        </w:rPr>
        <w:fldChar w:fldCharType="end"/>
      </w:r>
    </w:p>
    <w:p>
      <w:pPr>
        <w:pStyle w:val="25"/>
        <w:tabs>
          <w:tab w:val="left" w:pos="840"/>
          <w:tab w:val="right" w:leader="dot" w:pos="8778"/>
        </w:tabs>
        <w:rPr>
          <w:rFonts w:asciiTheme="minorHAnsi" w:hAnsiTheme="minorHAnsi" w:eastAsiaTheme="minorEastAsia" w:cstheme="minorBidi"/>
          <w:b w:val="0"/>
          <w:bCs w:val="0"/>
          <w:caps w:val="0"/>
          <w:sz w:val="21"/>
          <w:szCs w:val="22"/>
        </w:rPr>
      </w:pPr>
      <w:r>
        <w:rPr>
          <w:rStyle w:val="36"/>
        </w:rPr>
        <w:fldChar w:fldCharType="begin"/>
      </w:r>
      <w:r>
        <w:rPr>
          <w:rStyle w:val="36"/>
        </w:rPr>
        <w:instrText xml:space="preserve"> </w:instrText>
      </w:r>
      <w:r>
        <w:instrText xml:space="preserve">HYPERLINK \l "_Toc98334728"</w:instrText>
      </w:r>
      <w:r>
        <w:rPr>
          <w:rStyle w:val="36"/>
        </w:rPr>
        <w:instrText xml:space="preserve"> </w:instrText>
      </w:r>
      <w:r>
        <w:rPr>
          <w:rStyle w:val="36"/>
        </w:rPr>
        <w:fldChar w:fldCharType="separate"/>
      </w:r>
      <w:r>
        <w:rPr>
          <w:rStyle w:val="36"/>
          <w:rFonts w:hint="eastAsia"/>
        </w:rPr>
        <w:t>第3章</w:t>
      </w:r>
      <w:r>
        <w:rPr>
          <w:rFonts w:asciiTheme="minorHAnsi" w:hAnsiTheme="minorHAnsi" w:eastAsiaTheme="minorEastAsia" w:cstheme="minorBidi"/>
          <w:b w:val="0"/>
          <w:bCs w:val="0"/>
          <w:caps w:val="0"/>
          <w:sz w:val="21"/>
          <w:szCs w:val="22"/>
        </w:rPr>
        <w:tab/>
      </w:r>
      <w:r>
        <w:rPr>
          <w:rStyle w:val="36"/>
          <w:rFonts w:hint="eastAsia"/>
        </w:rPr>
        <w:t>采购项目技术</w:t>
      </w:r>
      <w:r>
        <w:rPr>
          <w:rStyle w:val="36"/>
        </w:rPr>
        <w:t>/</w:t>
      </w:r>
      <w:r>
        <w:rPr>
          <w:rStyle w:val="36"/>
          <w:rFonts w:hint="eastAsia"/>
        </w:rPr>
        <w:t>服务、商务及其他要求</w:t>
      </w:r>
      <w:r>
        <w:tab/>
      </w:r>
      <w:r>
        <w:fldChar w:fldCharType="begin"/>
      </w:r>
      <w:r>
        <w:instrText xml:space="preserve"> PAGEREF _Toc98334728 \h </w:instrText>
      </w:r>
      <w:r>
        <w:fldChar w:fldCharType="separate"/>
      </w:r>
      <w:r>
        <w:t>8</w:t>
      </w:r>
      <w:r>
        <w:fldChar w:fldCharType="end"/>
      </w:r>
      <w:r>
        <w:rPr>
          <w:rStyle w:val="36"/>
        </w:rPr>
        <w:fldChar w:fldCharType="end"/>
      </w:r>
    </w:p>
    <w:p>
      <w:pPr>
        <w:pStyle w:val="25"/>
        <w:tabs>
          <w:tab w:val="right" w:leader="dot" w:pos="8778"/>
        </w:tabs>
        <w:rPr>
          <w:rFonts w:asciiTheme="minorHAnsi" w:hAnsiTheme="minorHAnsi" w:eastAsiaTheme="minorEastAsia" w:cstheme="minorBidi"/>
          <w:b w:val="0"/>
          <w:bCs w:val="0"/>
          <w:caps w:val="0"/>
          <w:sz w:val="21"/>
          <w:szCs w:val="22"/>
        </w:rPr>
      </w:pPr>
      <w:r>
        <w:rPr>
          <w:rStyle w:val="36"/>
        </w:rPr>
        <w:fldChar w:fldCharType="begin"/>
      </w:r>
      <w:r>
        <w:rPr>
          <w:rStyle w:val="36"/>
        </w:rPr>
        <w:instrText xml:space="preserve"> </w:instrText>
      </w:r>
      <w:r>
        <w:instrText xml:space="preserve">HYPERLINK \l "_Toc98334729"</w:instrText>
      </w:r>
      <w:r>
        <w:rPr>
          <w:rStyle w:val="36"/>
        </w:rPr>
        <w:instrText xml:space="preserve"> </w:instrText>
      </w:r>
      <w:r>
        <w:rPr>
          <w:rStyle w:val="36"/>
        </w:rPr>
        <w:fldChar w:fldCharType="separate"/>
      </w:r>
      <w:r>
        <w:rPr>
          <w:rStyle w:val="36"/>
          <w:rFonts w:hint="eastAsia"/>
        </w:rPr>
        <w:t>第</w:t>
      </w:r>
      <w:r>
        <w:rPr>
          <w:rStyle w:val="36"/>
        </w:rPr>
        <w:t>4</w:t>
      </w:r>
      <w:r>
        <w:rPr>
          <w:rStyle w:val="36"/>
          <w:rFonts w:hint="eastAsia"/>
        </w:rPr>
        <w:t>章</w:t>
      </w:r>
      <w:r>
        <w:rPr>
          <w:rStyle w:val="36"/>
        </w:rPr>
        <w:t xml:space="preserve">  </w:t>
      </w:r>
      <w:r>
        <w:rPr>
          <w:rStyle w:val="36"/>
          <w:rFonts w:hint="eastAsia"/>
        </w:rPr>
        <w:t>报价文件相关格式及要求</w:t>
      </w:r>
      <w:r>
        <w:tab/>
      </w:r>
      <w:r>
        <w:fldChar w:fldCharType="begin"/>
      </w:r>
      <w:r>
        <w:instrText xml:space="preserve"> PAGEREF _Toc98334729 \h </w:instrText>
      </w:r>
      <w:r>
        <w:fldChar w:fldCharType="separate"/>
      </w:r>
      <w:r>
        <w:t>17</w:t>
      </w:r>
      <w:r>
        <w:fldChar w:fldCharType="end"/>
      </w:r>
      <w:r>
        <w:rPr>
          <w:rStyle w:val="36"/>
        </w:rPr>
        <w:fldChar w:fldCharType="end"/>
      </w:r>
    </w:p>
    <w:p>
      <w:pPr>
        <w:pStyle w:val="25"/>
        <w:tabs>
          <w:tab w:val="right" w:leader="dot" w:pos="8778"/>
        </w:tabs>
        <w:rPr>
          <w:rFonts w:asciiTheme="minorHAnsi" w:hAnsiTheme="minorHAnsi" w:eastAsiaTheme="minorEastAsia" w:cstheme="minorBidi"/>
          <w:b w:val="0"/>
          <w:bCs w:val="0"/>
          <w:caps w:val="0"/>
          <w:sz w:val="21"/>
          <w:szCs w:val="22"/>
        </w:rPr>
      </w:pPr>
      <w:r>
        <w:rPr>
          <w:rStyle w:val="36"/>
        </w:rPr>
        <w:fldChar w:fldCharType="begin"/>
      </w:r>
      <w:r>
        <w:rPr>
          <w:rStyle w:val="36"/>
        </w:rPr>
        <w:instrText xml:space="preserve"> </w:instrText>
      </w:r>
      <w:r>
        <w:instrText xml:space="preserve">HYPERLINK \l "_Toc98334755"</w:instrText>
      </w:r>
      <w:r>
        <w:rPr>
          <w:rStyle w:val="36"/>
        </w:rPr>
        <w:instrText xml:space="preserve"> </w:instrText>
      </w:r>
      <w:r>
        <w:rPr>
          <w:rStyle w:val="36"/>
        </w:rPr>
        <w:fldChar w:fldCharType="separate"/>
      </w:r>
      <w:r>
        <w:rPr>
          <w:rStyle w:val="36"/>
          <w:rFonts w:hint="eastAsia"/>
        </w:rPr>
        <w:t>第</w:t>
      </w:r>
      <w:r>
        <w:rPr>
          <w:rStyle w:val="36"/>
        </w:rPr>
        <w:t>5</w:t>
      </w:r>
      <w:r>
        <w:rPr>
          <w:rStyle w:val="36"/>
          <w:rFonts w:hint="eastAsia"/>
        </w:rPr>
        <w:t xml:space="preserve">章 </w:t>
      </w:r>
      <w:r>
        <w:rPr>
          <w:rStyle w:val="36"/>
        </w:rPr>
        <w:t xml:space="preserve"> </w:t>
      </w:r>
      <w:r>
        <w:rPr>
          <w:rStyle w:val="36"/>
          <w:rFonts w:hint="eastAsia"/>
        </w:rPr>
        <w:t>合同主要条款（仅供参考）</w:t>
      </w:r>
      <w:r>
        <w:tab/>
      </w:r>
      <w:r>
        <w:fldChar w:fldCharType="begin"/>
      </w:r>
      <w:r>
        <w:instrText xml:space="preserve"> PAGEREF _Toc98334755 \h </w:instrText>
      </w:r>
      <w:r>
        <w:fldChar w:fldCharType="separate"/>
      </w:r>
      <w:r>
        <w:t>27</w:t>
      </w:r>
      <w:r>
        <w:fldChar w:fldCharType="end"/>
      </w:r>
      <w:r>
        <w:rPr>
          <w:rStyle w:val="36"/>
        </w:rPr>
        <w:fldChar w:fldCharType="end"/>
      </w:r>
    </w:p>
    <w:p>
      <w:pPr>
        <w:pStyle w:val="25"/>
        <w:tabs>
          <w:tab w:val="right" w:leader="dot" w:pos="8778"/>
        </w:tabs>
        <w:rPr>
          <w:rFonts w:asciiTheme="minorHAnsi" w:hAnsiTheme="minorHAnsi" w:eastAsiaTheme="minorEastAsia" w:cstheme="minorBidi"/>
          <w:b w:val="0"/>
          <w:bCs w:val="0"/>
          <w:caps w:val="0"/>
          <w:sz w:val="21"/>
          <w:szCs w:val="22"/>
        </w:rPr>
      </w:pPr>
      <w:r>
        <w:rPr>
          <w:rStyle w:val="36"/>
        </w:rPr>
        <w:fldChar w:fldCharType="begin"/>
      </w:r>
      <w:r>
        <w:rPr>
          <w:rStyle w:val="36"/>
        </w:rPr>
        <w:instrText xml:space="preserve"> </w:instrText>
      </w:r>
      <w:r>
        <w:instrText xml:space="preserve">HYPERLINK \l "_Toc98334756"</w:instrText>
      </w:r>
      <w:r>
        <w:rPr>
          <w:rStyle w:val="36"/>
        </w:rPr>
        <w:instrText xml:space="preserve"> </w:instrText>
      </w:r>
      <w:r>
        <w:rPr>
          <w:rStyle w:val="36"/>
        </w:rPr>
        <w:fldChar w:fldCharType="separate"/>
      </w:r>
      <w:r>
        <w:rPr>
          <w:rStyle w:val="36"/>
          <w:rFonts w:hint="eastAsia"/>
        </w:rPr>
        <w:t>第</w:t>
      </w:r>
      <w:r>
        <w:rPr>
          <w:rStyle w:val="36"/>
        </w:rPr>
        <w:t>6</w:t>
      </w:r>
      <w:r>
        <w:rPr>
          <w:rStyle w:val="36"/>
          <w:rFonts w:hint="eastAsia"/>
        </w:rPr>
        <w:t>章</w:t>
      </w:r>
      <w:r>
        <w:rPr>
          <w:rStyle w:val="36"/>
        </w:rPr>
        <w:t xml:space="preserve">  </w:t>
      </w:r>
      <w:r>
        <w:rPr>
          <w:rStyle w:val="36"/>
          <w:rFonts w:hint="eastAsia"/>
        </w:rPr>
        <w:t>附件</w:t>
      </w:r>
      <w:r>
        <w:tab/>
      </w:r>
      <w:r>
        <w:fldChar w:fldCharType="begin"/>
      </w:r>
      <w:r>
        <w:instrText xml:space="preserve"> PAGEREF _Toc98334756 \h </w:instrText>
      </w:r>
      <w:r>
        <w:fldChar w:fldCharType="separate"/>
      </w:r>
      <w:r>
        <w:t>37</w:t>
      </w:r>
      <w:r>
        <w:fldChar w:fldCharType="end"/>
      </w:r>
      <w:r>
        <w:rPr>
          <w:rStyle w:val="36"/>
        </w:rPr>
        <w:fldChar w:fldCharType="end"/>
      </w:r>
    </w:p>
    <w:p>
      <w:pPr>
        <w:pStyle w:val="25"/>
        <w:tabs>
          <w:tab w:val="left" w:pos="840"/>
          <w:tab w:val="right" w:leader="dot" w:pos="9628"/>
        </w:tabs>
        <w:spacing w:before="0" w:after="0" w:line="600" w:lineRule="auto"/>
        <w:ind w:firstLine="69" w:firstLineChars="19"/>
        <w:rPr>
          <w:rFonts w:ascii="宋体" w:hAnsi="宋体"/>
          <w:b w:val="0"/>
          <w:sz w:val="22"/>
          <w:szCs w:val="22"/>
        </w:rPr>
        <w:sectPr>
          <w:pgSz w:w="11906" w:h="16838"/>
          <w:pgMar w:top="1508" w:right="1700" w:bottom="1134" w:left="1418" w:header="851" w:footer="992" w:gutter="0"/>
          <w:pgNumType w:start="0"/>
          <w:cols w:space="0" w:num="1"/>
          <w:titlePg/>
          <w:docGrid w:type="lines" w:linePitch="312" w:charSpace="0"/>
        </w:sectPr>
      </w:pPr>
      <w:r>
        <w:rPr>
          <w:rFonts w:hint="eastAsia" w:asciiTheme="minorEastAsia" w:hAnsiTheme="minorEastAsia" w:eastAsiaTheme="minorEastAsia" w:cstheme="minorEastAsia"/>
          <w:sz w:val="36"/>
          <w:szCs w:val="36"/>
        </w:rPr>
        <w:fldChar w:fldCharType="end"/>
      </w:r>
    </w:p>
    <w:p>
      <w:pPr>
        <w:pStyle w:val="4"/>
      </w:pPr>
      <w:bookmarkStart w:id="0" w:name="_Toc177466655"/>
      <w:r>
        <w:rPr>
          <w:rFonts w:hint="eastAsia"/>
        </w:rPr>
        <w:t xml:space="preserve"> </w:t>
      </w:r>
      <w:bookmarkStart w:id="1" w:name="_Toc98334721"/>
      <w:bookmarkStart w:id="2" w:name="_Toc25652"/>
      <w:r>
        <w:rPr>
          <w:rFonts w:hint="eastAsia"/>
        </w:rPr>
        <w:t>单一来源采购报价</w:t>
      </w:r>
      <w:r>
        <w:t>邀请</w:t>
      </w:r>
      <w:bookmarkEnd w:id="0"/>
      <w:bookmarkEnd w:id="1"/>
      <w:bookmarkEnd w:id="2"/>
    </w:p>
    <w:p>
      <w:pPr>
        <w:spacing w:line="360" w:lineRule="auto"/>
        <w:ind w:firstLine="602" w:firstLineChars="250"/>
        <w:rPr>
          <w:rFonts w:ascii="宋体" w:hAnsi="宋体"/>
          <w:b/>
          <w:bCs/>
          <w:sz w:val="24"/>
          <w:u w:val="single"/>
        </w:rPr>
      </w:pPr>
    </w:p>
    <w:p>
      <w:pPr>
        <w:spacing w:line="360" w:lineRule="auto"/>
        <w:ind w:firstLine="602" w:firstLineChars="250"/>
        <w:rPr>
          <w:rFonts w:ascii="宋体" w:hAnsi="宋体"/>
          <w:b/>
          <w:sz w:val="24"/>
        </w:rPr>
      </w:pPr>
      <w:r>
        <w:rPr>
          <w:rFonts w:hint="eastAsia" w:ascii="宋体" w:hAnsi="宋体"/>
          <w:b/>
          <w:bCs/>
          <w:sz w:val="24"/>
          <w:u w:val="single"/>
        </w:rPr>
        <w:t>四川中安招标代理有限公司</w:t>
      </w:r>
      <w:r>
        <w:rPr>
          <w:rFonts w:hint="eastAsia" w:ascii="宋体" w:hAnsi="宋体"/>
          <w:sz w:val="24"/>
        </w:rPr>
        <w:t>受</w:t>
      </w:r>
      <w:r>
        <w:rPr>
          <w:rFonts w:hint="eastAsia" w:ascii="宋体" w:hAnsi="宋体"/>
          <w:b/>
          <w:bCs/>
          <w:sz w:val="24"/>
          <w:u w:val="single"/>
        </w:rPr>
        <w:t>成都市温江区市场监督管理局</w:t>
      </w:r>
      <w:r>
        <w:rPr>
          <w:rFonts w:hint="eastAsia" w:ascii="宋体" w:hAnsi="宋体"/>
          <w:sz w:val="24"/>
        </w:rPr>
        <w:t>委托，对</w:t>
      </w:r>
      <w:r>
        <w:rPr>
          <w:rFonts w:hint="eastAsia" w:ascii="宋体" w:hAnsi="宋体"/>
          <w:b/>
          <w:sz w:val="24"/>
          <w:u w:val="single"/>
        </w:rPr>
        <w:t>温江区2022年度计量器具强制检定技术服务</w:t>
      </w:r>
      <w:r>
        <w:rPr>
          <w:rFonts w:hint="eastAsia" w:ascii="宋体" w:hAnsi="宋体"/>
          <w:sz w:val="24"/>
        </w:rPr>
        <w:t>采用单一</w:t>
      </w:r>
      <w:r>
        <w:rPr>
          <w:rFonts w:hint="eastAsia" w:ascii="宋体" w:hAnsi="宋体"/>
          <w:sz w:val="24"/>
          <w:szCs w:val="22"/>
        </w:rPr>
        <w:t>来源采购方式进行采购，现诚邀</w:t>
      </w:r>
      <w:r>
        <w:rPr>
          <w:rFonts w:hint="eastAsia" w:ascii="宋体" w:hAnsi="宋体"/>
          <w:b/>
          <w:sz w:val="24"/>
          <w:u w:val="single"/>
        </w:rPr>
        <w:t>成都市计量检定测试院与我公司联系获取单一来源采购文件事宜并参与该项目报价。</w:t>
      </w:r>
    </w:p>
    <w:p>
      <w:pPr>
        <w:spacing w:line="360" w:lineRule="auto"/>
        <w:ind w:firstLine="480" w:firstLineChars="200"/>
        <w:rPr>
          <w:rFonts w:ascii="宋体" w:hAnsi="宋体"/>
          <w:sz w:val="24"/>
        </w:rPr>
      </w:pPr>
      <w:r>
        <w:rPr>
          <w:rFonts w:hint="eastAsia" w:ascii="宋体" w:hAnsi="宋体"/>
          <w:sz w:val="24"/>
        </w:rPr>
        <w:t>一、采购项目编号：ZAZB-2022ZC0003</w:t>
      </w:r>
      <w:r>
        <w:rPr>
          <w:rFonts w:hint="eastAsia" w:ascii="宋体" w:hAnsi="宋体"/>
          <w:sz w:val="28"/>
          <w:szCs w:val="28"/>
        </w:rPr>
        <w:t>。</w:t>
      </w:r>
    </w:p>
    <w:p>
      <w:pPr>
        <w:spacing w:line="360" w:lineRule="auto"/>
        <w:ind w:firstLine="480" w:firstLineChars="200"/>
        <w:jc w:val="left"/>
        <w:rPr>
          <w:rFonts w:ascii="宋体" w:hAnsi="宋体"/>
          <w:bCs/>
          <w:sz w:val="24"/>
        </w:rPr>
      </w:pPr>
      <w:r>
        <w:rPr>
          <w:rFonts w:hint="eastAsia" w:ascii="宋体" w:hAnsi="宋体"/>
          <w:sz w:val="24"/>
        </w:rPr>
        <w:t>二、项目名称：</w:t>
      </w:r>
      <w:r>
        <w:rPr>
          <w:rFonts w:hint="eastAsia" w:ascii="宋体" w:hAnsi="宋体" w:cs="宋体"/>
          <w:bCs/>
          <w:kern w:val="0"/>
          <w:sz w:val="24"/>
          <w:u w:val="single"/>
        </w:rPr>
        <w:t>成都市温江区市场监督管理局温江区2022年度计量器具强制检定技术服务单一来源采购项目</w:t>
      </w:r>
      <w:r>
        <w:rPr>
          <w:rFonts w:hint="eastAsia" w:ascii="宋体" w:hAnsi="宋体" w:cs="宋体"/>
          <w:bCs/>
          <w:kern w:val="0"/>
          <w:sz w:val="24"/>
        </w:rPr>
        <w:t>。</w:t>
      </w:r>
    </w:p>
    <w:p>
      <w:pPr>
        <w:spacing w:line="360" w:lineRule="auto"/>
        <w:ind w:firstLine="480" w:firstLineChars="200"/>
        <w:rPr>
          <w:rFonts w:ascii="宋体" w:hAnsi="宋体"/>
          <w:sz w:val="24"/>
        </w:rPr>
      </w:pPr>
      <w:r>
        <w:rPr>
          <w:rFonts w:hint="eastAsia" w:ascii="宋体" w:hAnsi="宋体"/>
          <w:sz w:val="24"/>
        </w:rPr>
        <w:t>三、资金来源：财政性资金，预算金额：人民币270万元。采购计划文号：51011522210200000256。</w:t>
      </w:r>
    </w:p>
    <w:p>
      <w:pPr>
        <w:pStyle w:val="96"/>
        <w:ind w:firstLine="480"/>
        <w:rPr>
          <w:rFonts w:ascii="宋体" w:hAnsi="宋体" w:cs="宋体"/>
          <w:sz w:val="24"/>
        </w:rPr>
      </w:pPr>
      <w:r>
        <w:rPr>
          <w:rFonts w:hint="eastAsia" w:ascii="宋体" w:hAnsi="宋体" w:cs="宋体"/>
          <w:sz w:val="24"/>
        </w:rPr>
        <w:t>四、采购内容：根据《中华人民共和国计量法》、《中华人民共和国强制检定的工作计量器具检定管理办法》（国发〔1987〕31号）和《市场监管总局关于调整实施强制管理的计量器具目录的公告》（2020年第42号）规定，对成都市温江区市场监督管理局（以下简称采购人）监管行政区域内所有经核准的强制检定计量器具开展免费计量检定工作。</w:t>
      </w:r>
    </w:p>
    <w:p>
      <w:pPr>
        <w:spacing w:line="360" w:lineRule="auto"/>
        <w:ind w:firstLine="480" w:firstLineChars="200"/>
        <w:rPr>
          <w:rFonts w:ascii="宋体" w:hAnsi="宋体"/>
          <w:sz w:val="24"/>
        </w:rPr>
      </w:pPr>
      <w:r>
        <w:rPr>
          <w:rFonts w:hint="eastAsia" w:ascii="宋体" w:hAnsi="宋体"/>
          <w:sz w:val="24"/>
        </w:rPr>
        <w:t>五、供应商资格要求：</w:t>
      </w:r>
    </w:p>
    <w:p>
      <w:pPr>
        <w:pStyle w:val="96"/>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96"/>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96"/>
        <w:ind w:firstLine="600" w:firstLineChars="250"/>
        <w:rPr>
          <w:rFonts w:ascii="宋体" w:hAnsi="宋体" w:cs="宋体"/>
          <w:sz w:val="24"/>
        </w:rPr>
      </w:pPr>
      <w:r>
        <w:rPr>
          <w:rFonts w:hint="eastAsia" w:ascii="宋体" w:hAnsi="宋体" w:cs="宋体"/>
          <w:sz w:val="24"/>
        </w:rPr>
        <w:t>（6）法律、行政法规规定的其他条件；</w:t>
      </w:r>
    </w:p>
    <w:p>
      <w:pPr>
        <w:pStyle w:val="96"/>
        <w:ind w:firstLine="600" w:firstLineChars="250"/>
        <w:rPr>
          <w:rFonts w:ascii="宋体" w:hAnsi="宋体" w:cs="宋体"/>
          <w:sz w:val="24"/>
        </w:rPr>
      </w:pPr>
      <w:r>
        <w:rPr>
          <w:rFonts w:hint="eastAsia" w:ascii="宋体" w:hAnsi="宋体" w:cs="宋体"/>
          <w:sz w:val="24"/>
        </w:rPr>
        <w:t>2.落实政府采购政策需满足的资格要求：无。</w:t>
      </w:r>
    </w:p>
    <w:p>
      <w:pPr>
        <w:pStyle w:val="96"/>
        <w:ind w:firstLine="600" w:firstLineChars="250"/>
        <w:rPr>
          <w:rFonts w:ascii="宋体" w:hAnsi="宋体" w:cs="宋体"/>
          <w:sz w:val="24"/>
        </w:rPr>
      </w:pPr>
      <w:r>
        <w:rPr>
          <w:rFonts w:hint="eastAsia" w:ascii="宋体" w:hAnsi="宋体" w:cs="宋体"/>
          <w:sz w:val="24"/>
        </w:rPr>
        <w:t>3.本项目的特定资格要求：</w:t>
      </w:r>
      <w:r>
        <w:rPr>
          <w:rFonts w:hint="eastAsia" w:ascii="宋体" w:hAnsi="宋体"/>
          <w:sz w:val="24"/>
        </w:rPr>
        <w:t>具有质量技术监督部门颁发的法定计量检定机构《计量授权证书》，且计量检定授权区域覆盖成都市温江区</w:t>
      </w:r>
      <w:r>
        <w:rPr>
          <w:rFonts w:hint="eastAsia" w:ascii="宋体" w:hAnsi="宋体" w:cs="宋体"/>
          <w:sz w:val="24"/>
        </w:rPr>
        <w:t>。</w:t>
      </w:r>
    </w:p>
    <w:p>
      <w:pPr>
        <w:spacing w:line="360" w:lineRule="auto"/>
        <w:ind w:firstLine="482" w:firstLineChars="200"/>
        <w:rPr>
          <w:rFonts w:asciiTheme="minorEastAsia" w:hAnsiTheme="minorEastAsia" w:eastAsiaTheme="minorEastAsia"/>
          <w:b/>
          <w:bCs/>
          <w:sz w:val="24"/>
        </w:rPr>
      </w:pPr>
      <w:bookmarkStart w:id="3" w:name="PO_默认文件内容_10"/>
      <w:r>
        <w:rPr>
          <w:rFonts w:hint="eastAsia" w:asciiTheme="minorEastAsia" w:hAnsiTheme="minorEastAsia" w:eastAsiaTheme="minorEastAsia"/>
          <w:b/>
          <w:bCs/>
          <w:sz w:val="24"/>
        </w:rPr>
        <w:t>六、报价保证金：</w:t>
      </w:r>
    </w:p>
    <w:bookmarkEnd w:id="3"/>
    <w:p>
      <w:pPr>
        <w:spacing w:line="360" w:lineRule="auto"/>
        <w:ind w:firstLine="840" w:firstLineChars="350"/>
        <w:rPr>
          <w:rFonts w:asciiTheme="minorEastAsia" w:hAnsiTheme="minorEastAsia" w:eastAsiaTheme="minorEastAsia"/>
          <w:sz w:val="24"/>
        </w:rPr>
      </w:pPr>
      <w:bookmarkStart w:id="4" w:name="PO_默认文件内容_2"/>
      <w:r>
        <w:rPr>
          <w:rFonts w:hint="eastAsia" w:asciiTheme="minorEastAsia" w:hAnsiTheme="minorEastAsia" w:eastAsiaTheme="minorEastAsia"/>
          <w:sz w:val="24"/>
        </w:rPr>
        <w:t>本项目不收取保证金。</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七、报价有效期：自递交报价文件截止之日起90天。</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 xml:space="preserve">八、报价文件正本一份，副本两份，及电子文档版一份 </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九、代理服务费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代理服务费标准：</w:t>
      </w:r>
      <w:bookmarkEnd w:id="4"/>
      <w:r>
        <w:rPr>
          <w:rFonts w:hint="eastAsia" w:ascii="宋体" w:hAnsi="宋体"/>
          <w:sz w:val="24"/>
        </w:rPr>
        <w:t>根据《政府采购代理机构管理暂行办法》（财库【2018】2号）和《国家发展改革委关于进一步放开建设项目专业服务价格的通知》（发改价格〔2015〕299号）规定，参照原国家计委计价格[2002]1980号《招标代理服务收费管理暂行办法》规定的招标代理服务费收费标准计取代理服务费，由成交单位支付。</w:t>
      </w:r>
    </w:p>
    <w:p>
      <w:pPr>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采购文件发售时间、地点：</w:t>
      </w:r>
    </w:p>
    <w:p>
      <w:pPr>
        <w:spacing w:line="360" w:lineRule="auto"/>
        <w:ind w:firstLine="480" w:firstLineChars="200"/>
        <w:rPr>
          <w:rFonts w:ascii="宋体" w:hAnsi="宋体" w:cs="宋体"/>
          <w:sz w:val="24"/>
          <w:szCs w:val="28"/>
        </w:rPr>
      </w:pPr>
      <w:r>
        <w:rPr>
          <w:rFonts w:hint="eastAsia" w:ascii="宋体" w:hAnsi="宋体" w:cs="宋体"/>
          <w:sz w:val="24"/>
        </w:rPr>
        <w:t>时间：自</w:t>
      </w:r>
      <w:r>
        <w:rPr>
          <w:rFonts w:ascii="宋体" w:hAnsi="宋体" w:cs="宋体"/>
          <w:b/>
          <w:sz w:val="24"/>
        </w:rPr>
        <w:t>20</w:t>
      </w:r>
      <w:r>
        <w:rPr>
          <w:rFonts w:hint="eastAsia" w:ascii="宋体" w:hAnsi="宋体" w:cs="宋体"/>
          <w:b/>
          <w:sz w:val="24"/>
        </w:rPr>
        <w:t>22年3月</w:t>
      </w:r>
      <w:r>
        <w:rPr>
          <w:rFonts w:hint="eastAsia" w:ascii="宋体" w:hAnsi="宋体" w:cs="宋体"/>
          <w:b/>
          <w:sz w:val="24"/>
          <w:lang w:val="en-US" w:eastAsia="zh-CN"/>
        </w:rPr>
        <w:t>18</w:t>
      </w:r>
      <w:r>
        <w:rPr>
          <w:rFonts w:hint="eastAsia" w:ascii="宋体" w:hAnsi="宋体" w:cs="宋体"/>
          <w:b/>
          <w:sz w:val="24"/>
        </w:rPr>
        <w:t>日至</w:t>
      </w:r>
      <w:r>
        <w:rPr>
          <w:rFonts w:ascii="宋体" w:hAnsi="宋体" w:cs="宋体"/>
          <w:b/>
          <w:sz w:val="24"/>
        </w:rPr>
        <w:t>20</w:t>
      </w:r>
      <w:r>
        <w:rPr>
          <w:rFonts w:hint="eastAsia" w:ascii="宋体" w:hAnsi="宋体" w:cs="宋体"/>
          <w:b/>
          <w:sz w:val="24"/>
        </w:rPr>
        <w:t>22年3月</w:t>
      </w:r>
      <w:r>
        <w:rPr>
          <w:rFonts w:hint="eastAsia" w:ascii="宋体" w:hAnsi="宋体" w:cs="宋体"/>
          <w:b/>
          <w:sz w:val="24"/>
          <w:lang w:val="en-US" w:eastAsia="zh-CN"/>
        </w:rPr>
        <w:t>21</w:t>
      </w:r>
      <w:r>
        <w:rPr>
          <w:rFonts w:hint="eastAsia" w:ascii="宋体" w:hAnsi="宋体" w:cs="宋体"/>
          <w:sz w:val="24"/>
        </w:rPr>
        <w:t>日（上午09:00-12:00 下午1</w:t>
      </w:r>
      <w:r>
        <w:rPr>
          <w:rFonts w:ascii="宋体" w:hAnsi="宋体" w:cs="宋体"/>
          <w:sz w:val="24"/>
        </w:rPr>
        <w:t>4</w:t>
      </w:r>
      <w:r>
        <w:rPr>
          <w:rFonts w:hint="eastAsia" w:ascii="宋体" w:hAnsi="宋体" w:cs="宋体"/>
          <w:sz w:val="24"/>
        </w:rPr>
        <w:t>:00-17:00）。</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地点：政府采购云平台（网址：https://www.zcygov.cn）</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方式：供应商须在“政府采购云平台”注册后，从“政府采购云平台”获取采购文件（网址：https://www.zcygov.cn）。登录政府采购云平台—项目采购—获取采购文件—申请获取采购文件。 提示： （1）本项目采购文件免费获取。（2）供应商只有在“政府采购云平台”完成获取采购文件申请并下载采购文件后才视作依法参与本项目。如未在“政府采购云平台”内完成相关流程，引起的无效行为责任自负。（3）政府采购云平台供应商注册地址： https://middle.zcygov.cn/v-settle-front/registry</w:t>
      </w:r>
    </w:p>
    <w:p>
      <w:pPr>
        <w:spacing w:line="360" w:lineRule="auto"/>
        <w:ind w:firstLine="482" w:firstLineChars="200"/>
        <w:rPr>
          <w:rFonts w:ascii="宋体" w:hAnsi="宋体"/>
          <w:sz w:val="24"/>
        </w:rPr>
      </w:pPr>
      <w:r>
        <w:rPr>
          <w:rFonts w:hint="eastAsia" w:ascii="宋体" w:hAnsi="宋体"/>
          <w:b/>
          <w:bCs/>
          <w:sz w:val="24"/>
        </w:rPr>
        <w:t>十一</w:t>
      </w:r>
      <w:r>
        <w:rPr>
          <w:rFonts w:ascii="宋体" w:hAnsi="宋体"/>
          <w:b/>
          <w:bCs/>
          <w:sz w:val="24"/>
        </w:rPr>
        <w:t>、</w:t>
      </w:r>
      <w:r>
        <w:rPr>
          <w:rFonts w:hint="eastAsia" w:ascii="宋体" w:hAnsi="宋体"/>
          <w:sz w:val="24"/>
        </w:rPr>
        <w:t>递交报价文件截止时间：</w:t>
      </w:r>
      <w:r>
        <w:rPr>
          <w:rFonts w:ascii="宋体" w:hAnsi="宋体" w:cs="宋体"/>
          <w:b/>
          <w:sz w:val="24"/>
        </w:rPr>
        <w:t>20</w:t>
      </w:r>
      <w:r>
        <w:rPr>
          <w:rFonts w:hint="eastAsia" w:ascii="宋体" w:hAnsi="宋体" w:cs="宋体"/>
          <w:b/>
          <w:sz w:val="24"/>
        </w:rPr>
        <w:t>22年3月</w:t>
      </w:r>
      <w:r>
        <w:rPr>
          <w:rFonts w:hint="eastAsia" w:ascii="宋体" w:hAnsi="宋体" w:cs="宋体"/>
          <w:b/>
          <w:sz w:val="24"/>
          <w:lang w:val="en-US" w:eastAsia="zh-CN"/>
        </w:rPr>
        <w:t>24</w:t>
      </w:r>
      <w:r>
        <w:rPr>
          <w:rFonts w:hint="eastAsia" w:ascii="宋体" w:hAnsi="宋体" w:cs="宋体"/>
          <w:b/>
          <w:sz w:val="24"/>
        </w:rPr>
        <w:t>日1</w:t>
      </w:r>
      <w:r>
        <w:rPr>
          <w:rFonts w:hint="eastAsia" w:ascii="宋体" w:hAnsi="宋体" w:cs="宋体"/>
          <w:b/>
          <w:sz w:val="24"/>
          <w:lang w:val="en-US" w:eastAsia="zh-CN"/>
        </w:rPr>
        <w:t>5</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r>
        <w:rPr>
          <w:rFonts w:hint="eastAsia" w:ascii="宋体" w:hAnsi="宋体"/>
          <w:sz w:val="24"/>
        </w:rPr>
        <w:t>）。</w:t>
      </w:r>
    </w:p>
    <w:p>
      <w:pPr>
        <w:spacing w:line="360" w:lineRule="auto"/>
        <w:ind w:firstLine="482" w:firstLineChars="200"/>
        <w:rPr>
          <w:rFonts w:ascii="宋体" w:hAnsi="宋体"/>
          <w:sz w:val="24"/>
        </w:rPr>
      </w:pPr>
      <w:r>
        <w:rPr>
          <w:rFonts w:hint="eastAsia" w:ascii="宋体" w:hAnsi="宋体"/>
          <w:b/>
          <w:bCs/>
          <w:sz w:val="24"/>
        </w:rPr>
        <w:t>十二、</w:t>
      </w:r>
      <w:r>
        <w:rPr>
          <w:rFonts w:hint="eastAsia" w:ascii="宋体" w:hAnsi="宋体"/>
          <w:sz w:val="24"/>
        </w:rPr>
        <w:t>递交报价文件地点：成都市高新区天府大道北段1700号环球中心E1区13楼（E8层）1-1-1303号。</w:t>
      </w:r>
      <w:r>
        <w:rPr>
          <w:rFonts w:hint="eastAsia" w:ascii="宋体" w:hAnsi="宋体" w:cs="宋体"/>
          <w:sz w:val="24"/>
        </w:rPr>
        <w:t>报价文件必须在递交响应应文件截止时间前送达。逾期送达、</w:t>
      </w:r>
      <w:r>
        <w:rPr>
          <w:rFonts w:hint="eastAsia" w:hAnsi="宋体" w:cs="宋体"/>
          <w:sz w:val="24"/>
        </w:rPr>
        <w:t>未按照采购文件要求</w:t>
      </w:r>
      <w:r>
        <w:rPr>
          <w:rFonts w:hint="eastAsia" w:ascii="宋体" w:hAnsi="宋体" w:cs="宋体"/>
          <w:sz w:val="24"/>
        </w:rPr>
        <w:t>密封和标注的报价文件，采购代理机构恕不接收。本次采购不接收邮寄的报价文件。</w:t>
      </w:r>
    </w:p>
    <w:p>
      <w:pPr>
        <w:tabs>
          <w:tab w:val="left" w:pos="1276"/>
        </w:tabs>
        <w:spacing w:line="360" w:lineRule="auto"/>
        <w:ind w:firstLine="482" w:firstLineChars="200"/>
        <w:rPr>
          <w:rFonts w:ascii="宋体" w:hAnsi="宋体"/>
          <w:sz w:val="24"/>
        </w:rPr>
      </w:pPr>
      <w:r>
        <w:rPr>
          <w:rFonts w:hint="eastAsia" w:ascii="宋体" w:hAnsi="宋体"/>
          <w:b/>
          <w:bCs/>
          <w:sz w:val="24"/>
        </w:rPr>
        <w:t>十三</w:t>
      </w:r>
      <w:r>
        <w:rPr>
          <w:rFonts w:ascii="宋体" w:hAnsi="宋体"/>
          <w:b/>
          <w:bCs/>
          <w:sz w:val="24"/>
        </w:rPr>
        <w:t>、</w:t>
      </w:r>
      <w:r>
        <w:rPr>
          <w:rFonts w:hint="eastAsia" w:ascii="宋体" w:hAnsi="宋体"/>
          <w:sz w:val="24"/>
        </w:rPr>
        <w:t>报价地点：成都市高新区天府大道北段1700号环球中心E1区13楼（E8层）1-1-1303号。</w:t>
      </w:r>
    </w:p>
    <w:p>
      <w:pPr>
        <w:tabs>
          <w:tab w:val="left" w:pos="1276"/>
        </w:tabs>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四、</w:t>
      </w:r>
      <w:r>
        <w:rPr>
          <w:rFonts w:ascii="宋体" w:hAnsi="宋体"/>
          <w:b/>
          <w:sz w:val="24"/>
        </w:rPr>
        <w:t>其他补充事宜</w:t>
      </w:r>
    </w:p>
    <w:p>
      <w:pPr>
        <w:tabs>
          <w:tab w:val="left" w:pos="1276"/>
        </w:tabs>
        <w:spacing w:line="360" w:lineRule="auto"/>
        <w:ind w:firstLine="480" w:firstLineChars="200"/>
        <w:rPr>
          <w:rFonts w:ascii="宋体" w:hAnsi="宋体"/>
          <w:sz w:val="24"/>
        </w:rPr>
      </w:pPr>
      <w:r>
        <w:rPr>
          <w:rFonts w:hint="eastAsia" w:ascii="宋体" w:hAnsi="宋体"/>
          <w:sz w:val="24"/>
        </w:rPr>
        <w:t>根据《四川省财政厅关于推进四川省政府采购供应商信用融资工作的通知》（川财采[2018]123号）、成都市财政局 中国人民银行成都分行营业管理部关于印发《成都市中小企业政府采购信用融资暂行办法》和《成都市级支持中小企业 政府采购信用融资实施方案》的通知 （成财采〔2019〕17号）文件 要求，为助力解决政府采购成交、成交供应商资金不足、融资难、融资贵的困难，促进供应商依法诚信参加政府采购活动，有融资需求的供应商可根据自身情况在四川政府采购网公示的银行及其“政采贷”产品或成都财政（http://cdcz.chengdu.gov.cn）政府采购模块中公示的银行及“蓉采贷” 产品 自行选择，凭成交（成交）通知书向银行提出贷款意向申请，并按照相关规定要求和贷款流程申请信用融资贷款。</w:t>
      </w:r>
    </w:p>
    <w:p>
      <w:pPr>
        <w:tabs>
          <w:tab w:val="left" w:pos="1276"/>
        </w:tabs>
        <w:spacing w:line="360" w:lineRule="auto"/>
        <w:ind w:firstLine="482" w:firstLineChars="200"/>
        <w:rPr>
          <w:rFonts w:ascii="宋体" w:hAnsi="宋体"/>
          <w:b/>
          <w:sz w:val="24"/>
        </w:rPr>
      </w:pPr>
      <w:r>
        <w:rPr>
          <w:rFonts w:hint="eastAsia" w:ascii="宋体" w:hAnsi="宋体"/>
          <w:b/>
          <w:sz w:val="24"/>
        </w:rPr>
        <w:t>十五</w:t>
      </w:r>
      <w:r>
        <w:rPr>
          <w:rFonts w:ascii="宋体" w:hAnsi="宋体"/>
          <w:b/>
          <w:sz w:val="24"/>
        </w:rPr>
        <w:t>、</w:t>
      </w:r>
      <w:r>
        <w:rPr>
          <w:rFonts w:hint="eastAsia" w:ascii="宋体" w:hAnsi="宋体"/>
          <w:b/>
          <w:sz w:val="24"/>
        </w:rPr>
        <w:t>联系人及联系电话</w:t>
      </w:r>
    </w:p>
    <w:p>
      <w:pPr>
        <w:pStyle w:val="96"/>
        <w:ind w:firstLine="723" w:firstLineChars="300"/>
        <w:rPr>
          <w:rFonts w:ascii="宋体" w:hAnsi="宋体"/>
          <w:b/>
          <w:bCs/>
          <w:sz w:val="24"/>
        </w:rPr>
      </w:pPr>
      <w:r>
        <w:rPr>
          <w:rFonts w:hint="eastAsia" w:ascii="宋体" w:hAnsi="宋体"/>
          <w:b/>
          <w:sz w:val="24"/>
        </w:rPr>
        <w:t>采购人：成都市温江区市场监督管理局</w:t>
      </w:r>
    </w:p>
    <w:p>
      <w:pPr>
        <w:pStyle w:val="96"/>
        <w:ind w:firstLine="720" w:firstLineChars="300"/>
        <w:rPr>
          <w:rFonts w:ascii="宋体" w:hAnsi="宋体"/>
          <w:sz w:val="24"/>
        </w:rPr>
      </w:pPr>
      <w:r>
        <w:rPr>
          <w:rFonts w:hint="eastAsia" w:ascii="宋体" w:hAnsi="宋体"/>
          <w:sz w:val="24"/>
        </w:rPr>
        <w:t>通讯地址：成都市温江区大南街63号</w:t>
      </w:r>
    </w:p>
    <w:p>
      <w:pPr>
        <w:pStyle w:val="96"/>
        <w:ind w:firstLine="720" w:firstLineChars="300"/>
        <w:rPr>
          <w:rFonts w:ascii="宋体" w:hAnsi="宋体"/>
          <w:sz w:val="24"/>
        </w:rPr>
      </w:pPr>
      <w:r>
        <w:rPr>
          <w:rFonts w:hint="eastAsia" w:ascii="宋体" w:hAnsi="宋体"/>
          <w:sz w:val="24"/>
        </w:rPr>
        <w:t>联系人：杨老师</w:t>
      </w:r>
    </w:p>
    <w:p>
      <w:pPr>
        <w:pStyle w:val="96"/>
        <w:ind w:firstLine="720" w:firstLineChars="300"/>
        <w:rPr>
          <w:rFonts w:ascii="宋体" w:hAnsi="宋体"/>
          <w:sz w:val="24"/>
        </w:rPr>
      </w:pPr>
      <w:r>
        <w:rPr>
          <w:rFonts w:hint="eastAsia" w:ascii="宋体" w:hAnsi="宋体"/>
          <w:sz w:val="24"/>
        </w:rPr>
        <w:t xml:space="preserve">联系电话：028-82744597 </w:t>
      </w:r>
    </w:p>
    <w:p>
      <w:pPr>
        <w:spacing w:line="360" w:lineRule="auto"/>
        <w:ind w:firstLine="602" w:firstLineChars="250"/>
        <w:rPr>
          <w:rFonts w:ascii="宋体" w:hAnsi="宋体"/>
          <w:b/>
          <w:sz w:val="24"/>
        </w:rPr>
      </w:pPr>
      <w:r>
        <w:rPr>
          <w:rFonts w:hint="eastAsia" w:ascii="宋体" w:hAnsi="宋体"/>
          <w:b/>
          <w:sz w:val="24"/>
        </w:rPr>
        <w:t>采购代理机构：四川中安招标代理有限公司</w:t>
      </w:r>
    </w:p>
    <w:p>
      <w:pPr>
        <w:spacing w:line="360" w:lineRule="auto"/>
        <w:ind w:left="566" w:firstLine="122" w:firstLineChars="51"/>
        <w:rPr>
          <w:rFonts w:ascii="宋体" w:hAnsi="宋体"/>
          <w:sz w:val="24"/>
        </w:rPr>
      </w:pPr>
      <w:r>
        <w:rPr>
          <w:rFonts w:hint="eastAsia" w:ascii="宋体" w:hAnsi="宋体"/>
          <w:sz w:val="24"/>
        </w:rPr>
        <w:t>地 址：成都市高新区天府大道北段1700号环球中心E1区13楼（E8层）1-1-1303号</w:t>
      </w:r>
    </w:p>
    <w:p>
      <w:pPr>
        <w:spacing w:line="360" w:lineRule="auto"/>
        <w:ind w:left="-46" w:leftChars="-22" w:firstLine="645" w:firstLineChars="269"/>
        <w:rPr>
          <w:rFonts w:ascii="宋体" w:hAnsi="宋体"/>
          <w:sz w:val="24"/>
        </w:rPr>
      </w:pPr>
      <w:r>
        <w:rPr>
          <w:rFonts w:hint="eastAsia" w:ascii="宋体" w:hAnsi="宋体"/>
          <w:sz w:val="24"/>
        </w:rPr>
        <w:t>联系人：吴天鑫</w:t>
      </w:r>
    </w:p>
    <w:p>
      <w:pPr>
        <w:spacing w:line="360" w:lineRule="auto"/>
        <w:ind w:left="-46" w:leftChars="-22" w:firstLine="645" w:firstLineChars="269"/>
        <w:rPr>
          <w:rFonts w:ascii="宋体" w:hAnsi="宋体"/>
          <w:sz w:val="24"/>
        </w:rPr>
      </w:pPr>
      <w:r>
        <w:rPr>
          <w:rFonts w:hint="eastAsia" w:ascii="宋体" w:hAnsi="宋体"/>
          <w:sz w:val="24"/>
        </w:rPr>
        <w:t>联系电话：</w:t>
      </w:r>
      <w:r>
        <w:rPr>
          <w:rFonts w:ascii="宋体" w:hAnsi="宋体"/>
          <w:sz w:val="24"/>
        </w:rPr>
        <w:t>028-8599678转</w:t>
      </w:r>
      <w:r>
        <w:rPr>
          <w:rFonts w:hint="eastAsia" w:ascii="宋体" w:hAnsi="宋体"/>
          <w:sz w:val="24"/>
        </w:rPr>
        <w:t>805</w:t>
      </w:r>
    </w:p>
    <w:p>
      <w:pPr>
        <w:spacing w:line="360" w:lineRule="auto"/>
        <w:ind w:left="-46" w:leftChars="-22" w:firstLine="645" w:firstLineChars="269"/>
        <w:rPr>
          <w:rFonts w:ascii="宋体" w:hAnsi="宋体"/>
          <w:sz w:val="24"/>
        </w:rPr>
      </w:pPr>
      <w:r>
        <w:rPr>
          <w:rFonts w:hint="eastAsia" w:ascii="宋体" w:hAnsi="宋体"/>
          <w:sz w:val="24"/>
        </w:rPr>
        <w:t>传    真：028-65278967</w:t>
      </w:r>
    </w:p>
    <w:p>
      <w:pPr>
        <w:spacing w:line="360" w:lineRule="auto"/>
        <w:ind w:left="-46" w:leftChars="-22" w:firstLine="645" w:firstLineChars="269"/>
        <w:rPr>
          <w:rFonts w:ascii="宋体" w:hAnsi="宋体"/>
          <w:sz w:val="24"/>
        </w:rPr>
      </w:pPr>
      <w:r>
        <w:rPr>
          <w:rFonts w:hint="eastAsia" w:ascii="宋体" w:hAnsi="宋体"/>
          <w:sz w:val="24"/>
        </w:rPr>
        <w:t>电子邮件：wutianxin1@sczazb.com</w:t>
      </w:r>
    </w:p>
    <w:p>
      <w:pPr>
        <w:pStyle w:val="38"/>
      </w:pPr>
    </w:p>
    <w:p>
      <w:pPr>
        <w:pStyle w:val="38"/>
        <w:sectPr>
          <w:footerReference r:id="rId8" w:type="first"/>
          <w:footerReference r:id="rId7" w:type="default"/>
          <w:pgSz w:w="11906" w:h="16838"/>
          <w:pgMar w:top="1508" w:right="1700" w:bottom="1134" w:left="1418" w:header="851" w:footer="992" w:gutter="0"/>
          <w:pgNumType w:start="1"/>
          <w:cols w:space="0" w:num="1"/>
          <w:titlePg/>
          <w:docGrid w:type="lines" w:linePitch="312" w:charSpace="0"/>
        </w:sectPr>
      </w:pPr>
    </w:p>
    <w:p>
      <w:pPr>
        <w:pStyle w:val="4"/>
      </w:pPr>
      <w:bookmarkStart w:id="5" w:name="_Toc98334722"/>
      <w:bookmarkStart w:id="6" w:name="_Toc27887"/>
      <w:bookmarkStart w:id="7" w:name="_Toc177466656"/>
      <w:r>
        <w:t>供应商须知</w:t>
      </w:r>
      <w:bookmarkEnd w:id="5"/>
      <w:bookmarkEnd w:id="6"/>
      <w:bookmarkEnd w:id="7"/>
    </w:p>
    <w:p>
      <w:pPr>
        <w:autoSpaceDE w:val="0"/>
        <w:autoSpaceDN w:val="0"/>
        <w:snapToGrid w:val="0"/>
        <w:spacing w:line="360" w:lineRule="auto"/>
        <w:jc w:val="center"/>
        <w:rPr>
          <w:rFonts w:cs="黑体" w:asciiTheme="minorEastAsia" w:hAnsiTheme="minorEastAsia" w:eastAsiaTheme="minorEastAsia"/>
          <w:b/>
          <w:spacing w:val="8"/>
          <w:sz w:val="32"/>
          <w:szCs w:val="32"/>
        </w:rPr>
      </w:pPr>
      <w:r>
        <w:rPr>
          <w:rFonts w:hint="eastAsia" w:cs="黑体" w:asciiTheme="minorEastAsia" w:hAnsiTheme="minorEastAsia" w:eastAsiaTheme="minorEastAsia"/>
          <w:b/>
          <w:spacing w:val="8"/>
          <w:sz w:val="32"/>
          <w:szCs w:val="32"/>
        </w:rPr>
        <w:t>一、总  则</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1．资金来源</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cs="宋体" w:asciiTheme="minorEastAsia" w:hAnsiTheme="minorEastAsia" w:eastAsiaTheme="minorEastAsia"/>
          <w:spacing w:val="8"/>
          <w:sz w:val="24"/>
        </w:rPr>
        <w:t>1</w:t>
      </w:r>
      <w:r>
        <w:rPr>
          <w:rFonts w:hint="eastAsia" w:cs="宋体" w:asciiTheme="minorEastAsia" w:hAnsiTheme="minorEastAsia" w:eastAsiaTheme="minorEastAsia"/>
          <w:spacing w:val="8"/>
          <w:sz w:val="24"/>
        </w:rPr>
        <w:t>.</w:t>
      </w:r>
      <w:r>
        <w:rPr>
          <w:rFonts w:cs="宋体" w:asciiTheme="minorEastAsia" w:hAnsiTheme="minorEastAsia" w:eastAsiaTheme="minorEastAsia"/>
          <w:spacing w:val="8"/>
          <w:sz w:val="24"/>
        </w:rPr>
        <w:t xml:space="preserve">1 </w:t>
      </w:r>
      <w:r>
        <w:rPr>
          <w:rFonts w:hint="eastAsia" w:cs="宋体" w:asciiTheme="minorEastAsia" w:hAnsiTheme="minorEastAsia" w:eastAsiaTheme="minorEastAsia"/>
          <w:spacing w:val="8"/>
          <w:sz w:val="24"/>
        </w:rPr>
        <w:t>本采购项目资金来源见第一章《报价邀请》</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2．合格的供应商、合格的货物与服务必须满足下列条件:</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2.</w:t>
      </w:r>
      <w:r>
        <w:rPr>
          <w:rFonts w:cs="宋体" w:asciiTheme="minorEastAsia" w:hAnsiTheme="minorEastAsia" w:eastAsiaTheme="minorEastAsia"/>
          <w:spacing w:val="8"/>
          <w:sz w:val="24"/>
        </w:rPr>
        <w:t xml:space="preserve">1 </w:t>
      </w:r>
      <w:r>
        <w:rPr>
          <w:rFonts w:hint="eastAsia" w:cs="宋体" w:asciiTheme="minorEastAsia" w:hAnsiTheme="minorEastAsia" w:eastAsiaTheme="minorEastAsia"/>
          <w:spacing w:val="8"/>
          <w:sz w:val="24"/>
        </w:rPr>
        <w:t>符合第一章《报价邀请》中供应商资格要求并提供了相应资质证明文件的供应商。</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2.</w:t>
      </w:r>
      <w:r>
        <w:rPr>
          <w:rFonts w:hint="eastAsia" w:cs="宋体" w:asciiTheme="minorEastAsia" w:hAnsiTheme="minorEastAsia" w:eastAsiaTheme="minorEastAsia"/>
          <w:spacing w:val="8"/>
          <w:sz w:val="24"/>
          <w:lang w:val="en-US" w:eastAsia="zh-CN"/>
        </w:rPr>
        <w:t>2</w:t>
      </w:r>
      <w:r>
        <w:rPr>
          <w:rFonts w:hint="eastAsia" w:cs="宋体" w:asciiTheme="minorEastAsia" w:hAnsiTheme="minorEastAsia" w:eastAsiaTheme="minorEastAsia"/>
          <w:spacing w:val="8"/>
          <w:sz w:val="24"/>
        </w:rPr>
        <w:t xml:space="preserve"> 中华人民共和国政府拥有的企业只有在法律上和财务上独立，根据商业法规运营，并不是采购人的附属机构才可以参与报价。</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2.</w:t>
      </w:r>
      <w:r>
        <w:rPr>
          <w:rFonts w:hint="eastAsia" w:cs="宋体" w:asciiTheme="minorEastAsia" w:hAnsiTheme="minorEastAsia" w:eastAsiaTheme="minorEastAsia"/>
          <w:spacing w:val="8"/>
          <w:sz w:val="24"/>
          <w:lang w:val="en-US" w:eastAsia="zh-CN"/>
        </w:rPr>
        <w:t>3</w:t>
      </w:r>
      <w:r>
        <w:rPr>
          <w:rFonts w:hint="eastAsia" w:cs="宋体" w:asciiTheme="minorEastAsia" w:hAnsiTheme="minorEastAsia" w:eastAsiaTheme="minorEastAsia"/>
          <w:spacing w:val="8"/>
          <w:sz w:val="24"/>
        </w:rPr>
        <w:t xml:space="preserve"> 合格的货物与服务必须满足采购文件中技术、商务要求。</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3．报价费用</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供应商应承担所有与编写和提交报价文件有关的费用，不论报价的结果如何，采购人和采购代理机构在任何情况下均无义务和责任承担这些费用。</w:t>
      </w:r>
    </w:p>
    <w:p>
      <w:pPr>
        <w:autoSpaceDE w:val="0"/>
        <w:autoSpaceDN w:val="0"/>
        <w:snapToGrid w:val="0"/>
        <w:spacing w:line="360" w:lineRule="auto"/>
        <w:jc w:val="center"/>
        <w:rPr>
          <w:rFonts w:cs="黑体" w:asciiTheme="minorEastAsia" w:hAnsiTheme="minorEastAsia" w:eastAsiaTheme="minorEastAsia"/>
          <w:b/>
          <w:spacing w:val="8"/>
          <w:sz w:val="32"/>
          <w:szCs w:val="32"/>
        </w:rPr>
      </w:pPr>
      <w:r>
        <w:rPr>
          <w:rFonts w:hint="eastAsia" w:cs="黑体" w:asciiTheme="minorEastAsia" w:hAnsiTheme="minorEastAsia" w:eastAsiaTheme="minorEastAsia"/>
          <w:b/>
          <w:spacing w:val="8"/>
          <w:sz w:val="32"/>
          <w:szCs w:val="32"/>
        </w:rPr>
        <w:t>二、采购文件</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4．采购文件构成</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4.1  采购文件包括目录中的内容</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4.2  供应商应认真阅读采购文件中所有的事项、格式、条款和规范等要求。如果供应商没有按照采购文件要求提交全部资料或者报价文件没有对采购文件在各方面都作出实质性响应，是供应商的风险。没有实质上响应采购文件要求的报价文件将被拒绝。</w:t>
      </w:r>
    </w:p>
    <w:p>
      <w:pPr>
        <w:autoSpaceDE w:val="0"/>
        <w:autoSpaceDN w:val="0"/>
        <w:snapToGrid w:val="0"/>
        <w:spacing w:line="360" w:lineRule="auto"/>
        <w:rPr>
          <w:rFonts w:cs="黑体" w:asciiTheme="minorEastAsia" w:hAnsiTheme="minorEastAsia" w:eastAsiaTheme="minorEastAsia"/>
          <w:b/>
          <w:spacing w:val="8"/>
          <w:sz w:val="24"/>
        </w:rPr>
      </w:pPr>
      <w:r>
        <w:rPr>
          <w:rFonts w:hint="eastAsia" w:cs="黑体" w:asciiTheme="minorEastAsia" w:hAnsiTheme="minorEastAsia" w:eastAsiaTheme="minorEastAsia"/>
          <w:b/>
          <w:spacing w:val="8"/>
          <w:sz w:val="24"/>
        </w:rPr>
        <w:t>5．采购文件的澄清</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5.1 任何要求对采购文件进行澄清的供应商，均应在</w:t>
      </w:r>
      <w:r>
        <w:rPr>
          <w:rFonts w:hint="eastAsia" w:asciiTheme="minorEastAsia" w:hAnsiTheme="minorEastAsia" w:eastAsiaTheme="minorEastAsia"/>
          <w:sz w:val="24"/>
        </w:rPr>
        <w:t>递交报价文件截止时间2</w:t>
      </w:r>
      <w:r>
        <w:rPr>
          <w:rFonts w:hint="eastAsia" w:cs="宋体" w:asciiTheme="minorEastAsia" w:hAnsiTheme="minorEastAsia" w:eastAsiaTheme="minorEastAsia"/>
          <w:spacing w:val="8"/>
          <w:sz w:val="24"/>
        </w:rPr>
        <w:t>天以前按报价邀请书中的通讯地址以书面形式如电传、电报、传真等通知采购代理机构，采购代理机构对</w:t>
      </w:r>
      <w:r>
        <w:rPr>
          <w:rFonts w:hint="eastAsia" w:asciiTheme="minorEastAsia" w:hAnsiTheme="minorEastAsia" w:eastAsiaTheme="minorEastAsia"/>
          <w:sz w:val="24"/>
        </w:rPr>
        <w:t>报价截止时间</w:t>
      </w:r>
      <w:r>
        <w:rPr>
          <w:rFonts w:hint="eastAsia" w:cs="宋体" w:asciiTheme="minorEastAsia" w:hAnsiTheme="minorEastAsia" w:eastAsiaTheme="minorEastAsia"/>
          <w:spacing w:val="8"/>
          <w:sz w:val="24"/>
        </w:rPr>
        <w:t>3天以前收到的任何澄清要求将以书面形式予以答复，同时将书面答复通知每个获取采购文件的供应商，答复中包括所问问题，但不包括问题的来源。</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6．采购文件的修改</w:t>
      </w:r>
    </w:p>
    <w:p>
      <w:pPr>
        <w:autoSpaceDE w:val="0"/>
        <w:autoSpaceDN w:val="0"/>
        <w:snapToGrid w:val="0"/>
        <w:spacing w:line="360" w:lineRule="auto"/>
        <w:ind w:firstLine="512" w:firstLineChars="200"/>
        <w:rPr>
          <w:rFonts w:cs="宋体" w:asciiTheme="minorEastAsia" w:hAnsiTheme="minorEastAsia" w:eastAsiaTheme="minorEastAsia"/>
          <w:b/>
          <w:spacing w:val="8"/>
          <w:sz w:val="24"/>
        </w:rPr>
      </w:pPr>
      <w:r>
        <w:rPr>
          <w:rFonts w:hint="eastAsia" w:cs="宋体" w:asciiTheme="minorEastAsia" w:hAnsiTheme="minorEastAsia" w:eastAsiaTheme="minorEastAsia"/>
          <w:spacing w:val="8"/>
          <w:sz w:val="24"/>
        </w:rPr>
        <w:t>6.1 在报价截止</w:t>
      </w:r>
      <w:r>
        <w:rPr>
          <w:rFonts w:hint="eastAsia" w:cs="宋体" w:asciiTheme="minorEastAsia" w:hAnsiTheme="minorEastAsia" w:eastAsiaTheme="minorEastAsia"/>
          <w:sz w:val="24"/>
        </w:rPr>
        <w:t>时间3日前</w:t>
      </w:r>
      <w:r>
        <w:rPr>
          <w:rFonts w:hint="eastAsia" w:cs="宋体" w:asciiTheme="minorEastAsia" w:hAnsiTheme="minorEastAsia" w:eastAsiaTheme="minorEastAsia"/>
          <w:spacing w:val="8"/>
          <w:sz w:val="24"/>
        </w:rPr>
        <w:t>，无论出于何种原因，采购人和采购代理机构可主动地或在解答供应商提出的澄清问题时对采购文件进行修改。</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6.2 采购文件的修改将以书面形式，包括传真和电传，通知所有获取采购文件的供应商，并对其具有约束力。供应商应立即以电报、电传、传真形式确认已收到修改文件。</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6.3 为使供应商编写报价文件时有充分时间对采购文件的修改部分进行研究，采购人和采购代理机构可以自行决定，酌情延长报价截止</w:t>
      </w:r>
      <w:r>
        <w:rPr>
          <w:rFonts w:hint="eastAsia" w:asciiTheme="minorEastAsia" w:hAnsiTheme="minorEastAsia" w:eastAsiaTheme="minorEastAsia"/>
          <w:sz w:val="24"/>
        </w:rPr>
        <w:t>时间</w:t>
      </w:r>
      <w:r>
        <w:rPr>
          <w:rFonts w:hint="eastAsia" w:cs="宋体" w:asciiTheme="minorEastAsia" w:hAnsiTheme="minorEastAsia" w:eastAsiaTheme="minorEastAsia"/>
          <w:spacing w:val="8"/>
          <w:sz w:val="24"/>
        </w:rPr>
        <w:t>。</w:t>
      </w:r>
    </w:p>
    <w:p>
      <w:pPr>
        <w:autoSpaceDE w:val="0"/>
        <w:autoSpaceDN w:val="0"/>
        <w:snapToGrid w:val="0"/>
        <w:spacing w:line="360" w:lineRule="auto"/>
        <w:jc w:val="center"/>
        <w:rPr>
          <w:rFonts w:cs="黑体" w:asciiTheme="minorEastAsia" w:hAnsiTheme="minorEastAsia" w:eastAsiaTheme="minorEastAsia"/>
          <w:b/>
          <w:spacing w:val="8"/>
          <w:sz w:val="32"/>
          <w:szCs w:val="32"/>
        </w:rPr>
      </w:pPr>
      <w:r>
        <w:rPr>
          <w:rFonts w:hint="eastAsia" w:cs="黑体" w:asciiTheme="minorEastAsia" w:hAnsiTheme="minorEastAsia" w:eastAsiaTheme="minorEastAsia"/>
          <w:b/>
          <w:spacing w:val="8"/>
          <w:sz w:val="32"/>
          <w:szCs w:val="32"/>
        </w:rPr>
        <w:t>三、报价文件的编制</w:t>
      </w:r>
    </w:p>
    <w:p>
      <w:pPr>
        <w:autoSpaceDE w:val="0"/>
        <w:autoSpaceDN w:val="0"/>
        <w:snapToGrid w:val="0"/>
        <w:spacing w:line="360" w:lineRule="auto"/>
        <w:rPr>
          <w:rFonts w:cs="黑体" w:asciiTheme="minorEastAsia" w:hAnsiTheme="minorEastAsia" w:eastAsiaTheme="minorEastAsia"/>
          <w:b/>
          <w:spacing w:val="8"/>
          <w:sz w:val="24"/>
        </w:rPr>
      </w:pPr>
      <w:r>
        <w:rPr>
          <w:rFonts w:hint="eastAsia" w:cs="黑体" w:asciiTheme="minorEastAsia" w:hAnsiTheme="minorEastAsia" w:eastAsiaTheme="minorEastAsia"/>
          <w:b/>
          <w:spacing w:val="8"/>
          <w:sz w:val="24"/>
        </w:rPr>
        <w:t>7．报价的语言</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7.1 供应商提交的报价文件以及供应商与采购人和采购代理机构就有关报价的所有来往函电均应使用中文。供应商可以提交用其他语言打印的资料，但有关的段落必须翻译成中文，在有差异和矛盾时以中文为准。</w:t>
      </w:r>
    </w:p>
    <w:p>
      <w:pPr>
        <w:autoSpaceDE w:val="0"/>
        <w:autoSpaceDN w:val="0"/>
        <w:snapToGrid w:val="0"/>
        <w:spacing w:line="360" w:lineRule="auto"/>
        <w:rPr>
          <w:rFonts w:cs="宋体" w:asciiTheme="minorEastAsia" w:hAnsiTheme="minorEastAsia" w:eastAsiaTheme="minorEastAsia"/>
          <w:b/>
          <w:spacing w:val="8"/>
          <w:sz w:val="24"/>
        </w:rPr>
      </w:pPr>
      <w:r>
        <w:rPr>
          <w:rFonts w:hint="eastAsia" w:cs="黑体" w:asciiTheme="minorEastAsia" w:hAnsiTheme="minorEastAsia" w:eastAsiaTheme="minorEastAsia"/>
          <w:b/>
          <w:spacing w:val="8"/>
          <w:sz w:val="24"/>
        </w:rPr>
        <w:t>8．</w:t>
      </w:r>
      <w:r>
        <w:rPr>
          <w:rFonts w:hint="eastAsia" w:cs="宋体" w:asciiTheme="minorEastAsia" w:hAnsiTheme="minorEastAsia" w:eastAsiaTheme="minorEastAsia"/>
          <w:b/>
          <w:spacing w:val="8"/>
          <w:sz w:val="24"/>
        </w:rPr>
        <w:t>报价</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8</w:t>
      </w:r>
      <w:r>
        <w:rPr>
          <w:rFonts w:cs="宋体" w:asciiTheme="minorEastAsia" w:hAnsiTheme="minorEastAsia" w:eastAsiaTheme="minorEastAsia"/>
          <w:spacing w:val="8"/>
          <w:sz w:val="24"/>
        </w:rPr>
        <w:t>.</w:t>
      </w:r>
      <w:r>
        <w:rPr>
          <w:rFonts w:hint="eastAsia" w:cs="宋体" w:asciiTheme="minorEastAsia" w:hAnsiTheme="minorEastAsia" w:eastAsiaTheme="minorEastAsia"/>
          <w:spacing w:val="8"/>
          <w:sz w:val="24"/>
        </w:rPr>
        <w:t>1 供应商应在报价文件中的报价表上标明，本合同拟提供HU货物或服务的单价。任何有选择的报价将不予接受，每种货物或服务只允许有一个报价。</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8.2 详细填写分项报价表。</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8</w:t>
      </w:r>
      <w:r>
        <w:rPr>
          <w:rFonts w:cs="宋体" w:asciiTheme="minorEastAsia" w:hAnsiTheme="minorEastAsia" w:eastAsiaTheme="minorEastAsia"/>
          <w:spacing w:val="8"/>
          <w:sz w:val="24"/>
        </w:rPr>
        <w:t>.</w:t>
      </w:r>
      <w:r>
        <w:rPr>
          <w:rFonts w:hint="eastAsia" w:cs="宋体" w:asciiTheme="minorEastAsia" w:hAnsiTheme="minorEastAsia" w:eastAsiaTheme="minorEastAsia"/>
          <w:spacing w:val="8"/>
          <w:sz w:val="24"/>
        </w:rPr>
        <w:t>3 供应商按照上述第8</w:t>
      </w:r>
      <w:r>
        <w:rPr>
          <w:rFonts w:cs="宋体" w:asciiTheme="minorEastAsia" w:hAnsiTheme="minorEastAsia" w:eastAsiaTheme="minorEastAsia"/>
          <w:spacing w:val="8"/>
          <w:sz w:val="24"/>
        </w:rPr>
        <w:t>.2</w:t>
      </w:r>
      <w:r>
        <w:rPr>
          <w:rFonts w:hint="eastAsia" w:cs="宋体" w:asciiTheme="minorEastAsia" w:hAnsiTheme="minorEastAsia" w:eastAsiaTheme="minorEastAsia"/>
          <w:spacing w:val="8"/>
          <w:sz w:val="24"/>
        </w:rPr>
        <w:t>条要求分类报价，其目的是便于采购人和采购代理机构评审，但在任何情况下并不限制采购人以任何条款签订合同的权利。</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8.4 报价表里标明的价格在合同执行过程中是固定不变的，不得以任何理由予以变更。以可调整的价格提交的报价将作为非响应性报价而予以拒绝。</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9．报价货币</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9.1 报价应以人民币报价。</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10．证明供应商合格和资格的文件</w:t>
      </w:r>
    </w:p>
    <w:p>
      <w:pPr>
        <w:autoSpaceDE w:val="0"/>
        <w:autoSpaceDN w:val="0"/>
        <w:snapToGrid w:val="0"/>
        <w:spacing w:line="360" w:lineRule="auto"/>
        <w:ind w:firstLine="512" w:firstLineChars="200"/>
        <w:rPr>
          <w:rFonts w:cs="宋体" w:asciiTheme="minorEastAsia" w:hAnsiTheme="minorEastAsia" w:eastAsiaTheme="minorEastAsia"/>
          <w:bCs/>
          <w:spacing w:val="8"/>
          <w:sz w:val="24"/>
        </w:rPr>
      </w:pPr>
      <w:r>
        <w:rPr>
          <w:rFonts w:hint="eastAsia" w:cs="宋体" w:asciiTheme="minorEastAsia" w:hAnsiTheme="minorEastAsia" w:eastAsiaTheme="minorEastAsia"/>
          <w:bCs/>
          <w:spacing w:val="8"/>
          <w:sz w:val="24"/>
        </w:rPr>
        <w:t>10.1按照报价邀请中供应商资格要求，提供真实、有效的证明文件</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11．证明提供的服务的合格性和符合采购文件规定的文件</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11</w:t>
      </w:r>
      <w:r>
        <w:rPr>
          <w:rFonts w:cs="宋体" w:asciiTheme="minorEastAsia" w:hAnsiTheme="minorEastAsia" w:eastAsiaTheme="minorEastAsia"/>
          <w:spacing w:val="8"/>
          <w:sz w:val="24"/>
        </w:rPr>
        <w:t>.</w:t>
      </w:r>
      <w:r>
        <w:rPr>
          <w:rFonts w:hint="eastAsia" w:cs="宋体" w:asciiTheme="minorEastAsia" w:hAnsiTheme="minorEastAsia" w:eastAsiaTheme="minorEastAsia"/>
          <w:spacing w:val="8"/>
          <w:sz w:val="24"/>
        </w:rPr>
        <w:t>1 供应商应提交根据采购文件要求提供的所有服务的合格性以及符合采购文件规定的证明文件，并作为其报价文件的一部分。</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11.2 供应商应提供：</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 服务主要内容；</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(2)</w:t>
      </w:r>
      <w:r>
        <w:rPr>
          <w:rFonts w:cs="宋体" w:asciiTheme="minorEastAsia" w:hAnsiTheme="minorEastAsia" w:eastAsiaTheme="minorEastAsia"/>
          <w:spacing w:val="8"/>
          <w:sz w:val="24"/>
        </w:rPr>
        <w:t xml:space="preserve"> </w:t>
      </w:r>
      <w:r>
        <w:rPr>
          <w:rFonts w:hint="eastAsia" w:cs="宋体" w:asciiTheme="minorEastAsia" w:hAnsiTheme="minorEastAsia" w:eastAsiaTheme="minorEastAsia"/>
          <w:spacing w:val="8"/>
          <w:sz w:val="24"/>
        </w:rPr>
        <w:t>与采购文件技术规格的要求进行对照，指出自己提供服务是否做出实质性的响应；并填报技术规格响应/偏离表</w:t>
      </w:r>
    </w:p>
    <w:p>
      <w:pPr>
        <w:autoSpaceDE w:val="0"/>
        <w:autoSpaceDN w:val="0"/>
        <w:snapToGrid w:val="0"/>
        <w:spacing w:line="360" w:lineRule="auto"/>
        <w:rPr>
          <w:rFonts w:cs="黑体" w:asciiTheme="minorEastAsia" w:hAnsiTheme="minorEastAsia" w:eastAsiaTheme="minorEastAsia"/>
          <w:b/>
          <w:spacing w:val="8"/>
          <w:sz w:val="24"/>
        </w:rPr>
      </w:pPr>
      <w:r>
        <w:rPr>
          <w:rFonts w:hint="eastAsia" w:cs="黑体" w:asciiTheme="minorEastAsia" w:hAnsiTheme="minorEastAsia" w:eastAsiaTheme="minorEastAsia"/>
          <w:b/>
          <w:spacing w:val="8"/>
          <w:sz w:val="24"/>
        </w:rPr>
        <w:t>12．报价保证金</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本项目不收取保证金</w:t>
      </w:r>
    </w:p>
    <w:p>
      <w:pPr>
        <w:autoSpaceDE w:val="0"/>
        <w:autoSpaceDN w:val="0"/>
        <w:snapToGrid w:val="0"/>
        <w:spacing w:line="360" w:lineRule="auto"/>
        <w:rPr>
          <w:rFonts w:cs="宋体" w:asciiTheme="minorEastAsia" w:hAnsiTheme="minorEastAsia" w:eastAsiaTheme="minorEastAsia"/>
          <w:b/>
          <w:spacing w:val="8"/>
          <w:sz w:val="24"/>
        </w:rPr>
      </w:pPr>
      <w:r>
        <w:rPr>
          <w:rFonts w:hint="eastAsia" w:cs="宋体" w:asciiTheme="minorEastAsia" w:hAnsiTheme="minorEastAsia" w:eastAsiaTheme="minorEastAsia"/>
          <w:b/>
          <w:spacing w:val="8"/>
          <w:sz w:val="24"/>
        </w:rPr>
        <w:t>13．报价有效期</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13.1 报价文件应从采购之日起，在“报价邀请”所规定的以日历天计算的报价有效期内有效。报价有效期比规定短的可以视为非响应报价而予以拒绝。</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13.2</w:t>
      </w:r>
      <w:r>
        <w:rPr>
          <w:rFonts w:cs="宋体" w:asciiTheme="minorEastAsia" w:hAnsiTheme="minorEastAsia" w:eastAsiaTheme="minorEastAsia"/>
          <w:spacing w:val="8"/>
          <w:sz w:val="24"/>
        </w:rPr>
        <w:t xml:space="preserve"> </w:t>
      </w:r>
      <w:r>
        <w:rPr>
          <w:rFonts w:hint="eastAsia" w:cs="宋体" w:asciiTheme="minorEastAsia" w:hAnsiTheme="minorEastAsia" w:eastAsiaTheme="minorEastAsia"/>
          <w:spacing w:val="8"/>
          <w:sz w:val="24"/>
        </w:rPr>
        <w:t>在特殊情况下，在原报价有效期期满之前，采购人和采购代理机构可征得供应商同意延长报价有效期。这种要求与答复均应为书面形式如电传、传真等。供应商可以拒绝采购人、采购代理机构的这种要求但不被不予退还报价保证金。同意延长的供应商既不能被要求也不允许修改其报价文件，但要相应延长其报价保证金的有效期。</w:t>
      </w:r>
    </w:p>
    <w:p>
      <w:pPr>
        <w:autoSpaceDE w:val="0"/>
        <w:autoSpaceDN w:val="0"/>
        <w:snapToGrid w:val="0"/>
        <w:spacing w:line="360" w:lineRule="auto"/>
        <w:rPr>
          <w:rFonts w:cs="黑体" w:asciiTheme="minorEastAsia" w:hAnsiTheme="minorEastAsia" w:eastAsiaTheme="minorEastAsia"/>
          <w:b/>
          <w:spacing w:val="8"/>
          <w:sz w:val="24"/>
        </w:rPr>
      </w:pPr>
      <w:r>
        <w:rPr>
          <w:rFonts w:hint="eastAsia" w:cs="黑体" w:asciiTheme="minorEastAsia" w:hAnsiTheme="minorEastAsia" w:eastAsiaTheme="minorEastAsia"/>
          <w:b/>
          <w:spacing w:val="8"/>
          <w:sz w:val="24"/>
        </w:rPr>
        <w:t>14．报价文件的式样和签署</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14.1 报价供应商应针对所参加报价的项目准备一套报价文件（包括一份正本和“报价邀请”规定数目的副本），每套报价文件须清楚地标明“正本”或“副本”。一旦正本和副本不符，以正本为准。</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14.2 报价文件的正本和所有的副本均需打印或用不退色墨水书写并由供应商法定代表人/单位负责人或经法定代表人/单位负责人正式授权并对供应商有约束力的被授权人签字。被授权人须将以书面形式出具的“法定代表人/单位负责人授权书”附在报价文件中。</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14.3 除供应商对错处做必要修改外，报价文件不得行间插字、涂改和增删，如有修改错漏处，必须由供应商法定代表人/单位负责人或其被授权人签字。</w:t>
      </w:r>
    </w:p>
    <w:p>
      <w:pPr>
        <w:autoSpaceDE w:val="0"/>
        <w:autoSpaceDN w:val="0"/>
        <w:snapToGrid w:val="0"/>
        <w:spacing w:line="360" w:lineRule="auto"/>
        <w:jc w:val="center"/>
        <w:rPr>
          <w:rFonts w:cs="黑体" w:asciiTheme="minorEastAsia" w:hAnsiTheme="minorEastAsia" w:eastAsiaTheme="minorEastAsia"/>
          <w:b/>
          <w:spacing w:val="8"/>
          <w:sz w:val="32"/>
          <w:szCs w:val="32"/>
        </w:rPr>
      </w:pPr>
      <w:r>
        <w:rPr>
          <w:rFonts w:hint="eastAsia" w:cs="黑体" w:asciiTheme="minorEastAsia" w:hAnsiTheme="minorEastAsia" w:eastAsiaTheme="minorEastAsia"/>
          <w:b/>
          <w:spacing w:val="8"/>
          <w:sz w:val="32"/>
          <w:szCs w:val="32"/>
        </w:rPr>
        <w:t>四、报价文件的递交</w:t>
      </w:r>
    </w:p>
    <w:p>
      <w:pPr>
        <w:spacing w:line="360" w:lineRule="auto"/>
        <w:rPr>
          <w:rFonts w:asciiTheme="minorEastAsia" w:hAnsiTheme="minorEastAsia" w:eastAsiaTheme="minorEastAsia"/>
          <w:sz w:val="24"/>
        </w:rPr>
      </w:pPr>
      <w:r>
        <w:rPr>
          <w:rFonts w:hint="eastAsia" w:cs="黑体" w:asciiTheme="minorEastAsia" w:hAnsiTheme="minorEastAsia" w:eastAsiaTheme="minorEastAsia"/>
          <w:b/>
          <w:spacing w:val="8"/>
          <w:sz w:val="24"/>
        </w:rPr>
        <w:t>15．</w:t>
      </w:r>
      <w:r>
        <w:rPr>
          <w:rFonts w:hint="eastAsia" w:asciiTheme="minorEastAsia" w:hAnsiTheme="minorEastAsia" w:eastAsiaTheme="minorEastAsia"/>
          <w:sz w:val="24"/>
        </w:rPr>
        <w:t>报价供应商在报价邀请规定的 递交报价文件截止时间(以下简称报价时间)以前递交到规定地点。</w:t>
      </w:r>
    </w:p>
    <w:p>
      <w:pPr>
        <w:autoSpaceDE w:val="0"/>
        <w:autoSpaceDN w:val="0"/>
        <w:snapToGrid w:val="0"/>
        <w:spacing w:line="360" w:lineRule="auto"/>
        <w:jc w:val="center"/>
        <w:rPr>
          <w:rFonts w:cs="黑体" w:asciiTheme="minorEastAsia" w:hAnsiTheme="minorEastAsia" w:eastAsiaTheme="minorEastAsia"/>
          <w:b/>
          <w:spacing w:val="8"/>
          <w:sz w:val="32"/>
          <w:szCs w:val="32"/>
        </w:rPr>
      </w:pPr>
      <w:r>
        <w:rPr>
          <w:rFonts w:hint="eastAsia" w:cs="黑体" w:asciiTheme="minorEastAsia" w:hAnsiTheme="minorEastAsia" w:eastAsiaTheme="minorEastAsia"/>
          <w:b/>
          <w:spacing w:val="8"/>
          <w:sz w:val="32"/>
          <w:szCs w:val="32"/>
        </w:rPr>
        <w:t>五、协商、评审</w:t>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16</w:t>
      </w:r>
      <w:r>
        <w:rPr>
          <w:rFonts w:hint="eastAsia" w:cs="宋体" w:asciiTheme="minorEastAsia" w:hAnsiTheme="minorEastAsia" w:eastAsiaTheme="minorEastAsia"/>
          <w:spacing w:val="8"/>
          <w:sz w:val="24"/>
        </w:rPr>
        <w:t>．采购小组审核报价文件，根据采购文件的要求与供应商代表进行技术、商务协商，协商中对采购文件和报价文件所取得一致的修改意见应做出协商记录要，由协商小组成员、采购人代表和报价供应商代表签字。</w:t>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17．</w:t>
      </w:r>
      <w:r>
        <w:rPr>
          <w:rFonts w:hint="eastAsia" w:cs="宋体" w:asciiTheme="minorEastAsia" w:hAnsiTheme="minorEastAsia" w:eastAsiaTheme="minorEastAsia"/>
          <w:spacing w:val="8"/>
          <w:sz w:val="24"/>
        </w:rPr>
        <w:t>参加本次报价的供应商应根据采购协商的情况，提交最终报价。</w:t>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18．</w:t>
      </w:r>
      <w:r>
        <w:rPr>
          <w:rFonts w:hint="eastAsia" w:cs="宋体" w:asciiTheme="minorEastAsia" w:hAnsiTheme="minorEastAsia" w:eastAsiaTheme="minorEastAsia"/>
          <w:spacing w:val="8"/>
          <w:sz w:val="24"/>
        </w:rPr>
        <w:t xml:space="preserve">推荐成交供应商:在保证采购项目质量和双方商定合理价格的基础上采购小组推荐成交供应商。 </w:t>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19．</w:t>
      </w:r>
      <w:r>
        <w:rPr>
          <w:rFonts w:hint="eastAsia" w:cs="宋体" w:asciiTheme="minorEastAsia" w:hAnsiTheme="minorEastAsia" w:eastAsiaTheme="minorEastAsia"/>
          <w:spacing w:val="8"/>
          <w:sz w:val="24"/>
        </w:rPr>
        <w:t>采购小组写出书面协商报告。</w:t>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20．</w:t>
      </w:r>
      <w:r>
        <w:rPr>
          <w:rFonts w:hint="eastAsia" w:cs="宋体" w:asciiTheme="minorEastAsia" w:hAnsiTheme="minorEastAsia" w:eastAsiaTheme="minorEastAsia"/>
          <w:spacing w:val="8"/>
          <w:sz w:val="24"/>
        </w:rPr>
        <w:t xml:space="preserve">采购代理机构应当在评审结束后两个工作日内将评审报告送采购人。采购人应当在收到协商报告后五个工作日内，按照协商报告中推荐意见确定成交供应商； </w:t>
      </w:r>
    </w:p>
    <w:p>
      <w:pPr>
        <w:pStyle w:val="5"/>
        <w:keepNext w:val="0"/>
        <w:numPr>
          <w:ilvl w:val="0"/>
          <w:numId w:val="0"/>
        </w:numPr>
        <w:spacing w:line="360" w:lineRule="auto"/>
        <w:ind w:left="-36" w:leftChars="-17"/>
        <w:rPr>
          <w:rFonts w:asciiTheme="minorEastAsia" w:hAnsiTheme="minorEastAsia" w:eastAsiaTheme="minorEastAsia"/>
          <w:b w:val="0"/>
          <w:sz w:val="24"/>
          <w:szCs w:val="24"/>
        </w:rPr>
      </w:pPr>
      <w:bookmarkStart w:id="8" w:name="_Toc98334723"/>
      <w:bookmarkStart w:id="9" w:name="_Toc7505"/>
      <w:r>
        <w:rPr>
          <w:rFonts w:hint="eastAsia" w:asciiTheme="minorEastAsia" w:hAnsiTheme="minorEastAsia" w:eastAsiaTheme="minorEastAsia"/>
          <w:bCs/>
          <w:sz w:val="24"/>
          <w:szCs w:val="24"/>
        </w:rPr>
        <w:t>21</w:t>
      </w:r>
      <w:r>
        <w:rPr>
          <w:rFonts w:hint="eastAsia" w:asciiTheme="minorEastAsia" w:hAnsiTheme="minorEastAsia" w:eastAsiaTheme="minorEastAsia"/>
          <w:b w:val="0"/>
          <w:sz w:val="24"/>
          <w:szCs w:val="24"/>
        </w:rPr>
        <w:t>.采购人确定成交供应商过程中，发现成交候选供应商有下列情形之一的，应当不予确定其为成交供应商：</w:t>
      </w:r>
      <w:bookmarkEnd w:id="8"/>
      <w:bookmarkEnd w:id="9"/>
    </w:p>
    <w:p>
      <w:pPr>
        <w:pStyle w:val="5"/>
        <w:keepNext w:val="0"/>
        <w:numPr>
          <w:ilvl w:val="0"/>
          <w:numId w:val="0"/>
        </w:numPr>
        <w:tabs>
          <w:tab w:val="left" w:pos="426"/>
          <w:tab w:val="clear" w:pos="567"/>
        </w:tabs>
        <w:spacing w:line="360" w:lineRule="auto"/>
        <w:ind w:left="248" w:leftChars="118" w:firstLine="240" w:firstLineChars="100"/>
        <w:rPr>
          <w:rFonts w:asciiTheme="minorEastAsia" w:hAnsiTheme="minorEastAsia" w:eastAsiaTheme="minorEastAsia"/>
          <w:b w:val="0"/>
          <w:sz w:val="24"/>
          <w:szCs w:val="24"/>
        </w:rPr>
      </w:pPr>
      <w:bookmarkStart w:id="10" w:name="_Toc14469"/>
      <w:bookmarkStart w:id="11" w:name="_Toc98334724"/>
      <w:r>
        <w:rPr>
          <w:rFonts w:hint="eastAsia" w:asciiTheme="minorEastAsia" w:hAnsiTheme="minorEastAsia" w:eastAsiaTheme="minorEastAsia"/>
          <w:b w:val="0"/>
          <w:sz w:val="24"/>
          <w:szCs w:val="24"/>
        </w:rPr>
        <w:t>2</w:t>
      </w:r>
      <w:r>
        <w:rPr>
          <w:rFonts w:asciiTheme="minorEastAsia" w:hAnsiTheme="minorEastAsia" w:eastAsiaTheme="minorEastAsia"/>
          <w:b w:val="0"/>
          <w:sz w:val="24"/>
          <w:szCs w:val="24"/>
        </w:rPr>
        <w:t>1</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 xml:space="preserve">1 </w:t>
      </w:r>
      <w:r>
        <w:rPr>
          <w:rFonts w:hint="eastAsia" w:asciiTheme="minorEastAsia" w:hAnsiTheme="minorEastAsia" w:eastAsiaTheme="minorEastAsia"/>
          <w:b w:val="0"/>
          <w:sz w:val="24"/>
          <w:szCs w:val="24"/>
        </w:rPr>
        <w:t>发现成交候选供应商存在禁止参加本项目采购活动的违法行为的；</w:t>
      </w:r>
      <w:bookmarkEnd w:id="10"/>
      <w:bookmarkEnd w:id="11"/>
    </w:p>
    <w:p>
      <w:pPr>
        <w:pStyle w:val="5"/>
        <w:keepNext w:val="0"/>
        <w:numPr>
          <w:ilvl w:val="0"/>
          <w:numId w:val="0"/>
        </w:numPr>
        <w:tabs>
          <w:tab w:val="left" w:pos="426"/>
          <w:tab w:val="clear" w:pos="567"/>
        </w:tabs>
        <w:spacing w:line="360" w:lineRule="auto"/>
        <w:ind w:left="462" w:leftChars="218" w:hanging="4" w:hangingChars="2"/>
        <w:rPr>
          <w:rFonts w:asciiTheme="minorEastAsia" w:hAnsiTheme="minorEastAsia" w:eastAsiaTheme="minorEastAsia"/>
          <w:b w:val="0"/>
          <w:sz w:val="24"/>
          <w:szCs w:val="24"/>
        </w:rPr>
      </w:pPr>
      <w:bookmarkStart w:id="12" w:name="_Toc7134"/>
      <w:bookmarkStart w:id="13" w:name="_Toc98334725"/>
      <w:r>
        <w:rPr>
          <w:rFonts w:hint="eastAsia" w:asciiTheme="minorEastAsia" w:hAnsiTheme="minorEastAsia" w:eastAsiaTheme="minorEastAsia"/>
          <w:b w:val="0"/>
          <w:sz w:val="24"/>
          <w:szCs w:val="24"/>
        </w:rPr>
        <w:t>2</w:t>
      </w:r>
      <w:r>
        <w:rPr>
          <w:rFonts w:asciiTheme="minorEastAsia" w:hAnsiTheme="minorEastAsia" w:eastAsiaTheme="minorEastAsia"/>
          <w:b w:val="0"/>
          <w:sz w:val="24"/>
          <w:szCs w:val="24"/>
        </w:rPr>
        <w:t>1</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 xml:space="preserve">2 </w:t>
      </w:r>
      <w:r>
        <w:rPr>
          <w:rFonts w:hint="eastAsia" w:asciiTheme="minorEastAsia" w:hAnsiTheme="minorEastAsia" w:eastAsiaTheme="minorEastAsia"/>
          <w:b w:val="0"/>
          <w:sz w:val="24"/>
          <w:szCs w:val="24"/>
        </w:rPr>
        <w:t>成交候选供应商因不可抗力，不能继续参加政府采购活动；</w:t>
      </w:r>
      <w:bookmarkEnd w:id="12"/>
      <w:bookmarkEnd w:id="13"/>
    </w:p>
    <w:p>
      <w:pPr>
        <w:pStyle w:val="5"/>
        <w:keepNext w:val="0"/>
        <w:numPr>
          <w:ilvl w:val="0"/>
          <w:numId w:val="0"/>
        </w:numPr>
        <w:tabs>
          <w:tab w:val="left" w:pos="426"/>
          <w:tab w:val="clear" w:pos="567"/>
        </w:tabs>
        <w:spacing w:line="360" w:lineRule="auto"/>
        <w:ind w:left="737" w:leftChars="235" w:hanging="244" w:hangingChars="102"/>
        <w:rPr>
          <w:rFonts w:asciiTheme="minorEastAsia" w:hAnsiTheme="minorEastAsia" w:eastAsiaTheme="minorEastAsia"/>
          <w:b w:val="0"/>
          <w:sz w:val="24"/>
          <w:szCs w:val="24"/>
        </w:rPr>
      </w:pPr>
      <w:bookmarkStart w:id="14" w:name="_Toc7650"/>
      <w:bookmarkStart w:id="15" w:name="_Toc98334726"/>
      <w:r>
        <w:rPr>
          <w:rFonts w:hint="eastAsia" w:asciiTheme="minorEastAsia" w:hAnsiTheme="minorEastAsia" w:eastAsiaTheme="minorEastAsia"/>
          <w:b w:val="0"/>
          <w:sz w:val="24"/>
          <w:szCs w:val="24"/>
        </w:rPr>
        <w:t>2</w:t>
      </w:r>
      <w:r>
        <w:rPr>
          <w:rFonts w:asciiTheme="minorEastAsia" w:hAnsiTheme="minorEastAsia" w:eastAsiaTheme="minorEastAsia"/>
          <w:b w:val="0"/>
          <w:sz w:val="24"/>
          <w:szCs w:val="24"/>
        </w:rPr>
        <w:t>1</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 xml:space="preserve">3 </w:t>
      </w:r>
      <w:r>
        <w:rPr>
          <w:rFonts w:hint="eastAsia" w:asciiTheme="minorEastAsia" w:hAnsiTheme="minorEastAsia" w:eastAsiaTheme="minorEastAsia"/>
          <w:b w:val="0"/>
          <w:sz w:val="24"/>
          <w:szCs w:val="24"/>
        </w:rPr>
        <w:t>成交候选供应商无偿赠与或者低于成本价竞争；</w:t>
      </w:r>
      <w:bookmarkEnd w:id="14"/>
      <w:bookmarkEnd w:id="15"/>
    </w:p>
    <w:p>
      <w:pPr>
        <w:pStyle w:val="5"/>
        <w:keepNext w:val="0"/>
        <w:numPr>
          <w:ilvl w:val="0"/>
          <w:numId w:val="0"/>
        </w:numPr>
        <w:tabs>
          <w:tab w:val="left" w:pos="426"/>
          <w:tab w:val="clear" w:pos="567"/>
        </w:tabs>
        <w:spacing w:line="360" w:lineRule="auto"/>
        <w:ind w:left="737" w:leftChars="235" w:hanging="244" w:hangingChars="102"/>
        <w:rPr>
          <w:rFonts w:asciiTheme="minorEastAsia" w:hAnsiTheme="minorEastAsia" w:eastAsiaTheme="minorEastAsia"/>
          <w:b w:val="0"/>
          <w:sz w:val="24"/>
          <w:szCs w:val="24"/>
        </w:rPr>
      </w:pPr>
      <w:bookmarkStart w:id="16" w:name="_Toc98334727"/>
      <w:bookmarkStart w:id="17" w:name="_Toc29404"/>
      <w:r>
        <w:rPr>
          <w:rFonts w:hint="eastAsia" w:asciiTheme="minorEastAsia" w:hAnsiTheme="minorEastAsia" w:eastAsiaTheme="minorEastAsia"/>
          <w:b w:val="0"/>
          <w:sz w:val="24"/>
          <w:szCs w:val="24"/>
        </w:rPr>
        <w:t>2</w:t>
      </w:r>
      <w:r>
        <w:rPr>
          <w:rFonts w:asciiTheme="minorEastAsia" w:hAnsiTheme="minorEastAsia" w:eastAsiaTheme="minorEastAsia"/>
          <w:b w:val="0"/>
          <w:sz w:val="24"/>
          <w:szCs w:val="24"/>
        </w:rPr>
        <w:t>1</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 xml:space="preserve">4 </w:t>
      </w:r>
      <w:r>
        <w:rPr>
          <w:rFonts w:hint="eastAsia" w:asciiTheme="minorEastAsia" w:hAnsiTheme="minorEastAsia" w:eastAsiaTheme="minorEastAsia"/>
          <w:b w:val="0"/>
          <w:sz w:val="24"/>
          <w:szCs w:val="24"/>
        </w:rPr>
        <w:t>成交候选供应商提供虚假材料。</w:t>
      </w:r>
      <w:bookmarkEnd w:id="16"/>
      <w:bookmarkEnd w:id="17"/>
    </w:p>
    <w:p>
      <w:pPr>
        <w:autoSpaceDE w:val="0"/>
        <w:autoSpaceDN w:val="0"/>
        <w:snapToGrid w:val="0"/>
        <w:spacing w:line="360" w:lineRule="auto"/>
        <w:jc w:val="center"/>
        <w:rPr>
          <w:rFonts w:cs="黑体" w:asciiTheme="minorEastAsia" w:hAnsiTheme="minorEastAsia" w:eastAsiaTheme="minorEastAsia"/>
          <w:b/>
          <w:spacing w:val="8"/>
          <w:sz w:val="32"/>
          <w:szCs w:val="32"/>
        </w:rPr>
      </w:pPr>
      <w:r>
        <w:rPr>
          <w:rFonts w:hint="eastAsia" w:cs="黑体" w:asciiTheme="minorEastAsia" w:hAnsiTheme="minorEastAsia" w:eastAsiaTheme="minorEastAsia"/>
          <w:b/>
          <w:spacing w:val="8"/>
          <w:sz w:val="32"/>
          <w:szCs w:val="32"/>
        </w:rPr>
        <w:t>六、授予合同</w:t>
      </w:r>
      <w:r>
        <w:rPr>
          <w:rFonts w:hint="eastAsia" w:cs="黑体" w:asciiTheme="minorEastAsia" w:hAnsiTheme="minorEastAsia" w:eastAsiaTheme="minorEastAsia"/>
          <w:b/>
          <w:spacing w:val="8"/>
          <w:sz w:val="32"/>
          <w:szCs w:val="32"/>
        </w:rPr>
        <w:tab/>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22．</w:t>
      </w:r>
      <w:r>
        <w:rPr>
          <w:rFonts w:hint="eastAsia" w:cs="宋体" w:asciiTheme="minorEastAsia" w:hAnsiTheme="minorEastAsia" w:eastAsiaTheme="minorEastAsia"/>
          <w:spacing w:val="8"/>
          <w:sz w:val="24"/>
        </w:rPr>
        <w:t>公告: 将成交结果在</w:t>
      </w:r>
      <w:r>
        <w:rPr>
          <w:rFonts w:hint="eastAsia" w:cs="宋体" w:asciiTheme="minorEastAsia" w:hAnsiTheme="minorEastAsia" w:eastAsiaTheme="minorEastAsia"/>
          <w:color w:val="000000" w:themeColor="text1"/>
          <w:spacing w:val="8"/>
          <w:sz w:val="24"/>
        </w:rPr>
        <w:t>四川政府采购网</w:t>
      </w:r>
      <w:r>
        <w:rPr>
          <w:rFonts w:hint="eastAsia" w:cs="宋体" w:asciiTheme="minorEastAsia" w:hAnsiTheme="minorEastAsia" w:eastAsiaTheme="minorEastAsia"/>
          <w:spacing w:val="8"/>
          <w:sz w:val="24"/>
        </w:rPr>
        <w:t>上发布公告；</w:t>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23．</w:t>
      </w:r>
      <w:r>
        <w:rPr>
          <w:rFonts w:hint="eastAsia" w:cs="宋体" w:asciiTheme="minorEastAsia" w:hAnsiTheme="minorEastAsia" w:eastAsiaTheme="minorEastAsia"/>
          <w:spacing w:val="8"/>
          <w:sz w:val="24"/>
        </w:rPr>
        <w:t>成交通知书:成交结果公示的同时，我公司向成交供应商颁发“成交通知书”。领取成交通知书时,领取人须交法定代表人/单位负责人授权书或介绍信原件和领取人身份证复印件(并携领取人身份证原件备查).</w:t>
      </w:r>
    </w:p>
    <w:p>
      <w:pPr>
        <w:autoSpaceDE w:val="0"/>
        <w:autoSpaceDN w:val="0"/>
        <w:snapToGrid w:val="0"/>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b/>
          <w:spacing w:val="8"/>
          <w:sz w:val="24"/>
        </w:rPr>
        <w:t>2</w:t>
      </w:r>
      <w:r>
        <w:rPr>
          <w:rFonts w:cs="宋体" w:asciiTheme="minorEastAsia" w:hAnsiTheme="minorEastAsia" w:eastAsiaTheme="minorEastAsia"/>
          <w:b/>
          <w:spacing w:val="8"/>
          <w:sz w:val="24"/>
        </w:rPr>
        <w:t>4</w:t>
      </w:r>
      <w:r>
        <w:rPr>
          <w:rFonts w:hint="eastAsia" w:cs="宋体" w:asciiTheme="minorEastAsia" w:hAnsiTheme="minorEastAsia" w:eastAsiaTheme="minorEastAsia"/>
          <w:b/>
          <w:spacing w:val="8"/>
          <w:sz w:val="24"/>
        </w:rPr>
        <w:t>．</w:t>
      </w:r>
      <w:r>
        <w:rPr>
          <w:rFonts w:hint="eastAsia" w:cs="宋体" w:asciiTheme="minorEastAsia" w:hAnsiTheme="minorEastAsia" w:eastAsiaTheme="minorEastAsia"/>
          <w:spacing w:val="8"/>
          <w:sz w:val="24"/>
        </w:rPr>
        <w:t>成交供应商与采购人签订采购合同。</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cs="宋体" w:asciiTheme="minorEastAsia" w:hAnsiTheme="minorEastAsia" w:eastAsiaTheme="minorEastAsia"/>
          <w:spacing w:val="8"/>
          <w:sz w:val="24"/>
        </w:rPr>
        <w:t>24</w:t>
      </w:r>
      <w:r>
        <w:rPr>
          <w:rFonts w:hint="eastAsia" w:cs="宋体" w:asciiTheme="minorEastAsia" w:hAnsiTheme="minorEastAsia" w:eastAsiaTheme="minorEastAsia"/>
          <w:spacing w:val="8"/>
          <w:sz w:val="24"/>
        </w:rPr>
        <w:t>.</w:t>
      </w:r>
      <w:r>
        <w:rPr>
          <w:rFonts w:cs="宋体" w:asciiTheme="minorEastAsia" w:hAnsiTheme="minorEastAsia" w:eastAsiaTheme="minorEastAsia"/>
          <w:spacing w:val="8"/>
          <w:sz w:val="24"/>
        </w:rPr>
        <w:t>1</w:t>
      </w:r>
      <w:r>
        <w:rPr>
          <w:rFonts w:hint="eastAsia" w:cs="宋体" w:asciiTheme="minorEastAsia" w:hAnsiTheme="minorEastAsia" w:eastAsiaTheme="minorEastAsia"/>
          <w:spacing w:val="8"/>
          <w:sz w:val="24"/>
        </w:rPr>
        <w:t>采购文件、报价文件、协商中对采购文件和报价文件所取得一致的修改意见做出协商记录、成交通知书将是合同的一个组成部分。</w:t>
      </w:r>
    </w:p>
    <w:p>
      <w:pPr>
        <w:autoSpaceDE w:val="0"/>
        <w:autoSpaceDN w:val="0"/>
        <w:snapToGrid w:val="0"/>
        <w:spacing w:line="360" w:lineRule="auto"/>
        <w:ind w:firstLine="512" w:firstLineChars="200"/>
        <w:rPr>
          <w:rFonts w:cs="宋体" w:asciiTheme="minorEastAsia" w:hAnsiTheme="minorEastAsia" w:eastAsiaTheme="minorEastAsia"/>
          <w:spacing w:val="8"/>
          <w:sz w:val="24"/>
        </w:rPr>
      </w:pPr>
      <w:r>
        <w:rPr>
          <w:rFonts w:cs="宋体" w:asciiTheme="minorEastAsia" w:hAnsiTheme="minorEastAsia" w:eastAsiaTheme="minorEastAsia"/>
          <w:spacing w:val="8"/>
          <w:sz w:val="24"/>
        </w:rPr>
        <w:t>24.2</w:t>
      </w:r>
      <w:r>
        <w:rPr>
          <w:rFonts w:hint="eastAsia" w:cs="宋体" w:asciiTheme="minorEastAsia" w:hAnsiTheme="minorEastAsia" w:eastAsiaTheme="minorEastAsia"/>
          <w:spacing w:val="8"/>
          <w:sz w:val="24"/>
        </w:rPr>
        <w:t>按合同条款的规定，向采购人提交履约保证金，其格式为采购文件中提供的或采购人接受的其他格式。（如采购人要求提交履约保证金）</w:t>
      </w:r>
    </w:p>
    <w:p>
      <w:pPr>
        <w:pStyle w:val="2"/>
        <w:rPr>
          <w:rFonts w:cs="宋体" w:asciiTheme="minorEastAsia" w:hAnsiTheme="minorEastAsia" w:eastAsiaTheme="minorEastAsia"/>
          <w:spacing w:val="8"/>
          <w:sz w:val="24"/>
        </w:rPr>
      </w:pPr>
    </w:p>
    <w:p>
      <w:pPr>
        <w:pStyle w:val="3"/>
        <w:rPr>
          <w:rFonts w:cs="宋体" w:asciiTheme="minorEastAsia" w:hAnsiTheme="minorEastAsia" w:eastAsiaTheme="minorEastAsia"/>
          <w:spacing w:val="8"/>
          <w:sz w:val="24"/>
        </w:rPr>
      </w:pPr>
    </w:p>
    <w:p>
      <w:pPr>
        <w:pStyle w:val="3"/>
        <w:rPr>
          <w:rFonts w:cs="宋体" w:asciiTheme="minorEastAsia" w:hAnsiTheme="minorEastAsia" w:eastAsiaTheme="minorEastAsia"/>
          <w:spacing w:val="8"/>
          <w:sz w:val="24"/>
        </w:rPr>
      </w:pPr>
    </w:p>
    <w:p>
      <w:pPr>
        <w:pStyle w:val="3"/>
        <w:rPr>
          <w:ins w:id="0" w:author="子午" w:date="2022-03-17T09:09:06Z"/>
          <w:rFonts w:cs="宋体" w:asciiTheme="minorEastAsia" w:hAnsiTheme="minorEastAsia" w:eastAsiaTheme="minorEastAsia"/>
          <w:spacing w:val="8"/>
          <w:sz w:val="24"/>
        </w:rPr>
      </w:pPr>
    </w:p>
    <w:p>
      <w:pPr>
        <w:pStyle w:val="3"/>
        <w:rPr>
          <w:ins w:id="1" w:author="子午" w:date="2022-03-17T09:09:06Z"/>
          <w:rFonts w:cs="宋体" w:asciiTheme="minorEastAsia" w:hAnsiTheme="minorEastAsia" w:eastAsiaTheme="minorEastAsia"/>
          <w:spacing w:val="8"/>
          <w:sz w:val="24"/>
        </w:rPr>
      </w:pPr>
    </w:p>
    <w:p>
      <w:pPr>
        <w:pStyle w:val="3"/>
        <w:rPr>
          <w:ins w:id="2" w:author="子午" w:date="2022-03-17T09:09:07Z"/>
          <w:rFonts w:cs="宋体" w:asciiTheme="minorEastAsia" w:hAnsiTheme="minorEastAsia" w:eastAsiaTheme="minorEastAsia"/>
          <w:spacing w:val="8"/>
          <w:sz w:val="24"/>
        </w:rPr>
      </w:pPr>
    </w:p>
    <w:p>
      <w:pPr>
        <w:pStyle w:val="3"/>
        <w:rPr>
          <w:rFonts w:cs="宋体" w:asciiTheme="minorEastAsia" w:hAnsiTheme="minorEastAsia" w:eastAsiaTheme="minorEastAsia"/>
          <w:spacing w:val="8"/>
          <w:sz w:val="24"/>
        </w:rPr>
      </w:pPr>
      <w:bookmarkStart w:id="134" w:name="_GoBack"/>
      <w:bookmarkEnd w:id="134"/>
    </w:p>
    <w:p>
      <w:pPr>
        <w:pStyle w:val="3"/>
        <w:rPr>
          <w:rFonts w:cs="宋体" w:asciiTheme="minorEastAsia" w:hAnsiTheme="minorEastAsia" w:eastAsiaTheme="minorEastAsia"/>
          <w:spacing w:val="8"/>
          <w:sz w:val="24"/>
        </w:rPr>
      </w:pPr>
    </w:p>
    <w:p>
      <w:pPr>
        <w:pStyle w:val="3"/>
        <w:rPr>
          <w:rFonts w:cs="宋体" w:asciiTheme="minorEastAsia" w:hAnsiTheme="minorEastAsia" w:eastAsiaTheme="minorEastAsia"/>
          <w:spacing w:val="8"/>
          <w:sz w:val="24"/>
        </w:rPr>
      </w:pPr>
    </w:p>
    <w:p>
      <w:pPr>
        <w:pStyle w:val="3"/>
        <w:rPr>
          <w:rFonts w:cs="宋体" w:asciiTheme="minorEastAsia" w:hAnsiTheme="minorEastAsia" w:eastAsiaTheme="minorEastAsia"/>
          <w:spacing w:val="8"/>
          <w:sz w:val="24"/>
        </w:rPr>
      </w:pPr>
    </w:p>
    <w:p>
      <w:pPr>
        <w:pStyle w:val="3"/>
        <w:rPr>
          <w:rFonts w:cs="宋体" w:asciiTheme="minorEastAsia" w:hAnsiTheme="minorEastAsia" w:eastAsiaTheme="minorEastAsia"/>
          <w:spacing w:val="8"/>
          <w:sz w:val="24"/>
        </w:rPr>
      </w:pPr>
    </w:p>
    <w:p>
      <w:pPr>
        <w:pStyle w:val="3"/>
        <w:rPr>
          <w:rFonts w:cs="宋体" w:asciiTheme="minorEastAsia" w:hAnsiTheme="minorEastAsia" w:eastAsiaTheme="minorEastAsia"/>
          <w:spacing w:val="8"/>
          <w:sz w:val="24"/>
        </w:rPr>
      </w:pPr>
    </w:p>
    <w:p>
      <w:pPr>
        <w:pStyle w:val="4"/>
      </w:pPr>
      <w:bookmarkStart w:id="18" w:name="_Toc19002"/>
      <w:bookmarkStart w:id="19" w:name="_Toc369701256"/>
      <w:bookmarkStart w:id="20" w:name="_Toc177466667"/>
      <w:bookmarkStart w:id="21" w:name="_Toc98334728"/>
      <w:bookmarkStart w:id="22" w:name="_Toc83544042"/>
      <w:bookmarkStart w:id="23" w:name="_Toc82592261"/>
      <w:bookmarkStart w:id="24" w:name="_Toc355849085"/>
      <w:bookmarkStart w:id="25" w:name="_Toc113348669"/>
      <w:bookmarkStart w:id="26" w:name="_Toc82423457"/>
      <w:r>
        <w:rPr>
          <w:rFonts w:hint="eastAsia"/>
        </w:rPr>
        <w:t>采购项目技术/服务、商务</w:t>
      </w:r>
      <w:r>
        <w:t>及</w:t>
      </w:r>
      <w:r>
        <w:rPr>
          <w:rFonts w:hint="eastAsia"/>
        </w:rPr>
        <w:t>其他</w:t>
      </w:r>
      <w:r>
        <w:t>要求</w:t>
      </w:r>
      <w:bookmarkEnd w:id="18"/>
      <w:bookmarkEnd w:id="19"/>
      <w:bookmarkEnd w:id="20"/>
      <w:bookmarkEnd w:id="21"/>
    </w:p>
    <w:p/>
    <w:p>
      <w:pPr>
        <w:keepNext/>
        <w:keepLines/>
        <w:spacing w:line="360" w:lineRule="auto"/>
        <w:ind w:firstLine="562" w:firstLineChars="200"/>
        <w:jc w:val="left"/>
        <w:rPr>
          <w:b/>
          <w:sz w:val="28"/>
          <w:szCs w:val="28"/>
        </w:rPr>
      </w:pPr>
      <w:r>
        <w:rPr>
          <w:rFonts w:hAnsi="宋体"/>
          <w:b/>
          <w:sz w:val="28"/>
          <w:szCs w:val="28"/>
        </w:rPr>
        <w:t>一、项目背景</w:t>
      </w:r>
    </w:p>
    <w:p>
      <w:pPr>
        <w:spacing w:line="360" w:lineRule="auto"/>
        <w:ind w:firstLine="480" w:firstLineChars="200"/>
        <w:rPr>
          <w:sz w:val="28"/>
          <w:szCs w:val="28"/>
        </w:rPr>
      </w:pPr>
      <w:r>
        <w:rPr>
          <w:rFonts w:hAnsi="宋体"/>
          <w:sz w:val="24"/>
        </w:rPr>
        <w:t>根据《财政部国家发展改革委关于清理规范一批行政事业性收费有关政策的通知》</w:t>
      </w:r>
      <w:r>
        <w:rPr>
          <w:sz w:val="24"/>
        </w:rPr>
        <w:t>(</w:t>
      </w:r>
      <w:r>
        <w:rPr>
          <w:rFonts w:hAnsi="宋体"/>
          <w:sz w:val="24"/>
        </w:rPr>
        <w:t>财税〔</w:t>
      </w:r>
      <w:r>
        <w:rPr>
          <w:sz w:val="24"/>
        </w:rPr>
        <w:t>2017</w:t>
      </w:r>
      <w:r>
        <w:rPr>
          <w:rFonts w:hAnsi="宋体"/>
          <w:sz w:val="24"/>
        </w:rPr>
        <w:t>〕</w:t>
      </w:r>
      <w:r>
        <w:rPr>
          <w:sz w:val="24"/>
        </w:rPr>
        <w:t>20</w:t>
      </w:r>
      <w:r>
        <w:rPr>
          <w:rFonts w:hAnsi="宋体"/>
          <w:sz w:val="24"/>
        </w:rPr>
        <w:t>号</w:t>
      </w:r>
      <w:r>
        <w:rPr>
          <w:sz w:val="24"/>
        </w:rPr>
        <w:t>)</w:t>
      </w:r>
      <w:r>
        <w:rPr>
          <w:rFonts w:hAnsi="宋体"/>
          <w:sz w:val="24"/>
        </w:rPr>
        <w:t>文件规定，为</w:t>
      </w:r>
      <w:r>
        <w:rPr>
          <w:rFonts w:hAnsi="宋体"/>
          <w:sz w:val="24"/>
          <w:lang w:val="zh-CN"/>
        </w:rPr>
        <w:t>减轻企业和个人负担，促进实体经济发展，</w:t>
      </w:r>
      <w:r>
        <w:rPr>
          <w:rFonts w:hAnsi="宋体"/>
          <w:sz w:val="24"/>
        </w:rPr>
        <w:t>自</w:t>
      </w:r>
      <w:r>
        <w:rPr>
          <w:sz w:val="24"/>
        </w:rPr>
        <w:t>2017</w:t>
      </w:r>
      <w:r>
        <w:rPr>
          <w:rFonts w:hAnsi="宋体"/>
          <w:sz w:val="24"/>
        </w:rPr>
        <w:t>年</w:t>
      </w:r>
      <w:r>
        <w:rPr>
          <w:sz w:val="24"/>
        </w:rPr>
        <w:t>4</w:t>
      </w:r>
      <w:r>
        <w:rPr>
          <w:rFonts w:hAnsi="宋体"/>
          <w:sz w:val="24"/>
        </w:rPr>
        <w:t>月</w:t>
      </w:r>
      <w:r>
        <w:rPr>
          <w:sz w:val="24"/>
        </w:rPr>
        <w:t>1</w:t>
      </w:r>
      <w:r>
        <w:rPr>
          <w:rFonts w:hAnsi="宋体"/>
          <w:sz w:val="24"/>
        </w:rPr>
        <w:t>日起全面停征了计量器具强制检定收费。按照《成都市质量技术监督局成都市财政局关于依法履行计量器具强制检定职责做好经费保障的通知》</w:t>
      </w:r>
      <w:r>
        <w:rPr>
          <w:sz w:val="24"/>
        </w:rPr>
        <w:t>(</w:t>
      </w:r>
      <w:r>
        <w:rPr>
          <w:rFonts w:hAnsi="宋体"/>
          <w:sz w:val="24"/>
        </w:rPr>
        <w:t>成质监发〔</w:t>
      </w:r>
      <w:r>
        <w:rPr>
          <w:sz w:val="24"/>
        </w:rPr>
        <w:t>2017</w:t>
      </w:r>
      <w:r>
        <w:rPr>
          <w:rFonts w:hAnsi="宋体"/>
          <w:sz w:val="24"/>
        </w:rPr>
        <w:t>〕</w:t>
      </w:r>
      <w:r>
        <w:rPr>
          <w:sz w:val="24"/>
        </w:rPr>
        <w:t>41</w:t>
      </w:r>
      <w:r>
        <w:rPr>
          <w:rFonts w:hAnsi="宋体"/>
          <w:sz w:val="24"/>
        </w:rPr>
        <w:t>号</w:t>
      </w:r>
      <w:r>
        <w:rPr>
          <w:sz w:val="24"/>
        </w:rPr>
        <w:t>)</w:t>
      </w:r>
      <w:r>
        <w:rPr>
          <w:rFonts w:hAnsi="宋体"/>
          <w:sz w:val="24"/>
        </w:rPr>
        <w:t>文件要求，</w:t>
      </w:r>
      <w:r>
        <w:rPr>
          <w:sz w:val="24"/>
        </w:rPr>
        <w:t>“</w:t>
      </w:r>
      <w:r>
        <w:rPr>
          <w:rFonts w:hAnsi="宋体"/>
          <w:sz w:val="24"/>
        </w:rPr>
        <w:t>自</w:t>
      </w:r>
      <w:r>
        <w:rPr>
          <w:sz w:val="24"/>
        </w:rPr>
        <w:t>2018</w:t>
      </w:r>
      <w:r>
        <w:rPr>
          <w:rFonts w:hAnsi="宋体"/>
          <w:sz w:val="24"/>
        </w:rPr>
        <w:t>年起，各区</w:t>
      </w:r>
      <w:r>
        <w:rPr>
          <w:sz w:val="24"/>
        </w:rPr>
        <w:t>(</w:t>
      </w:r>
      <w:r>
        <w:rPr>
          <w:rFonts w:hAnsi="宋体"/>
          <w:sz w:val="24"/>
        </w:rPr>
        <w:t>市</w:t>
      </w:r>
      <w:r>
        <w:rPr>
          <w:sz w:val="24"/>
        </w:rPr>
        <w:t>)</w:t>
      </w:r>
      <w:r>
        <w:rPr>
          <w:rFonts w:hAnsi="宋体"/>
          <w:sz w:val="24"/>
        </w:rPr>
        <w:t>县计量行政部门的履职经费由同级财政部门纳入预算予以保障</w:t>
      </w:r>
      <w:r>
        <w:rPr>
          <w:sz w:val="24"/>
        </w:rPr>
        <w:t>”</w:t>
      </w:r>
      <w:r>
        <w:rPr>
          <w:rFonts w:hAnsi="宋体"/>
          <w:sz w:val="24"/>
        </w:rPr>
        <w:t>。为切实</w:t>
      </w:r>
      <w:r>
        <w:rPr>
          <w:rFonts w:hAnsi="宋体"/>
          <w:sz w:val="24"/>
          <w:lang w:val="zh-CN"/>
        </w:rPr>
        <w:t>减轻</w:t>
      </w:r>
      <w:r>
        <w:rPr>
          <w:rFonts w:hAnsi="宋体"/>
          <w:sz w:val="24"/>
        </w:rPr>
        <w:t>成都市温江区行政区域内</w:t>
      </w:r>
      <w:r>
        <w:rPr>
          <w:rFonts w:hAnsi="宋体"/>
          <w:sz w:val="24"/>
          <w:lang w:val="zh-CN"/>
        </w:rPr>
        <w:t>企业和个人负担，促进</w:t>
      </w:r>
      <w:r>
        <w:rPr>
          <w:rFonts w:hAnsi="宋体"/>
          <w:sz w:val="24"/>
        </w:rPr>
        <w:t>区域</w:t>
      </w:r>
      <w:r>
        <w:rPr>
          <w:rFonts w:hAnsi="宋体"/>
          <w:sz w:val="24"/>
          <w:lang w:val="zh-CN"/>
        </w:rPr>
        <w:t>实体经济发展，</w:t>
      </w:r>
      <w:r>
        <w:rPr>
          <w:rFonts w:hAnsi="宋体"/>
          <w:sz w:val="24"/>
        </w:rPr>
        <w:t>保障相关单位</w:t>
      </w:r>
      <w:r>
        <w:rPr>
          <w:rFonts w:hAnsi="宋体"/>
          <w:sz w:val="24"/>
          <w:lang w:val="zh-CN"/>
        </w:rPr>
        <w:t>和个人</w:t>
      </w:r>
      <w:r>
        <w:rPr>
          <w:rFonts w:hAnsi="宋体"/>
          <w:sz w:val="24"/>
        </w:rPr>
        <w:t>在用强制检定计量器具的合法使用，拟对成都市温江区内所有使用的强制检定计量器具开展免费计量检定工作。</w:t>
      </w:r>
    </w:p>
    <w:p>
      <w:pPr>
        <w:keepNext/>
        <w:keepLines/>
        <w:spacing w:line="360" w:lineRule="auto"/>
        <w:ind w:firstLine="562" w:firstLineChars="200"/>
        <w:jc w:val="left"/>
        <w:rPr>
          <w:rFonts w:hAnsi="宋体"/>
          <w:b/>
          <w:sz w:val="28"/>
          <w:szCs w:val="28"/>
        </w:rPr>
      </w:pPr>
      <w:bookmarkStart w:id="27" w:name="_Toc511757302"/>
      <w:bookmarkStart w:id="28" w:name="_Toc511920444"/>
      <w:r>
        <w:rPr>
          <w:rFonts w:hAnsi="宋体"/>
          <w:b/>
          <w:sz w:val="28"/>
          <w:szCs w:val="28"/>
        </w:rPr>
        <w:t>二、</w:t>
      </w:r>
      <w:bookmarkEnd w:id="27"/>
      <w:bookmarkEnd w:id="28"/>
      <w:r>
        <w:rPr>
          <w:rFonts w:hAnsi="宋体"/>
          <w:b/>
          <w:sz w:val="28"/>
          <w:szCs w:val="28"/>
        </w:rPr>
        <w:t>工作范围</w:t>
      </w:r>
    </w:p>
    <w:p>
      <w:pPr>
        <w:spacing w:line="360" w:lineRule="auto"/>
        <w:ind w:firstLine="480" w:firstLineChars="200"/>
        <w:rPr>
          <w:sz w:val="24"/>
          <w:shd w:val="clear" w:color="auto" w:fill="FFFFFF"/>
        </w:rPr>
      </w:pPr>
      <w:r>
        <w:rPr>
          <w:rFonts w:hAnsi="宋体"/>
          <w:sz w:val="24"/>
          <w:shd w:val="clear" w:color="auto" w:fill="FFFFFF"/>
        </w:rPr>
        <w:t>根据《中华人民共和国计量法》、《中华人民共和国强制检定的工作计量器具检定管理办法》（国发〔</w:t>
      </w:r>
      <w:r>
        <w:rPr>
          <w:sz w:val="24"/>
          <w:shd w:val="clear" w:color="auto" w:fill="FFFFFF"/>
        </w:rPr>
        <w:t>1987</w:t>
      </w:r>
      <w:r>
        <w:rPr>
          <w:rFonts w:hAnsi="宋体"/>
          <w:sz w:val="24"/>
          <w:shd w:val="clear" w:color="auto" w:fill="FFFFFF"/>
        </w:rPr>
        <w:t>〕</w:t>
      </w:r>
      <w:r>
        <w:rPr>
          <w:sz w:val="24"/>
          <w:shd w:val="clear" w:color="auto" w:fill="FFFFFF"/>
        </w:rPr>
        <w:t>31</w:t>
      </w:r>
      <w:r>
        <w:rPr>
          <w:rFonts w:hAnsi="宋体"/>
          <w:sz w:val="24"/>
          <w:shd w:val="clear" w:color="auto" w:fill="FFFFFF"/>
        </w:rPr>
        <w:t>号）和《市场监管总局关于</w:t>
      </w:r>
      <w:r>
        <w:rPr>
          <w:rFonts w:hint="eastAsia" w:hAnsi="宋体"/>
          <w:sz w:val="24"/>
          <w:shd w:val="clear" w:color="auto" w:fill="FFFFFF"/>
        </w:rPr>
        <w:t>调整</w:t>
      </w:r>
      <w:r>
        <w:rPr>
          <w:rFonts w:hAnsi="宋体"/>
          <w:sz w:val="24"/>
          <w:shd w:val="clear" w:color="auto" w:fill="FFFFFF"/>
        </w:rPr>
        <w:t>实施强制管理的计量器具目录的公告》（</w:t>
      </w:r>
      <w:r>
        <w:rPr>
          <w:sz w:val="24"/>
          <w:shd w:val="clear" w:color="auto" w:fill="FFFFFF"/>
        </w:rPr>
        <w:t>20</w:t>
      </w:r>
      <w:r>
        <w:rPr>
          <w:rFonts w:hint="eastAsia"/>
          <w:sz w:val="24"/>
          <w:shd w:val="clear" w:color="auto" w:fill="FFFFFF"/>
        </w:rPr>
        <w:t>20</w:t>
      </w:r>
      <w:r>
        <w:rPr>
          <w:rFonts w:hAnsi="宋体"/>
          <w:sz w:val="24"/>
          <w:shd w:val="clear" w:color="auto" w:fill="FFFFFF"/>
        </w:rPr>
        <w:t>年第</w:t>
      </w:r>
      <w:r>
        <w:rPr>
          <w:sz w:val="24"/>
          <w:shd w:val="clear" w:color="auto" w:fill="FFFFFF"/>
        </w:rPr>
        <w:t>4</w:t>
      </w:r>
      <w:r>
        <w:rPr>
          <w:rFonts w:hint="eastAsia"/>
          <w:sz w:val="24"/>
          <w:shd w:val="clear" w:color="auto" w:fill="FFFFFF"/>
        </w:rPr>
        <w:t>2</w:t>
      </w:r>
      <w:r>
        <w:rPr>
          <w:rFonts w:hAnsi="宋体"/>
          <w:sz w:val="24"/>
          <w:shd w:val="clear" w:color="auto" w:fill="FFFFFF"/>
        </w:rPr>
        <w:t>号）规定，对成都市温江区</w:t>
      </w:r>
      <w:r>
        <w:rPr>
          <w:rFonts w:hint="eastAsia" w:hAnsi="宋体"/>
          <w:sz w:val="24"/>
          <w:shd w:val="clear" w:color="auto" w:fill="FFFFFF"/>
        </w:rPr>
        <w:t>市场监督管理局（以下简称采购人）监管</w:t>
      </w:r>
      <w:r>
        <w:rPr>
          <w:rFonts w:hAnsi="宋体"/>
          <w:sz w:val="24"/>
          <w:shd w:val="clear" w:color="auto" w:fill="FFFFFF"/>
        </w:rPr>
        <w:t>行政区域内所有经核准的强制检定计量器具开展免费计量检定工作，范围包括两类：</w:t>
      </w:r>
    </w:p>
    <w:p>
      <w:pPr>
        <w:pStyle w:val="21"/>
        <w:spacing w:after="0" w:line="360" w:lineRule="auto"/>
        <w:ind w:left="0" w:leftChars="0" w:firstLine="482" w:firstLineChars="200"/>
        <w:jc w:val="left"/>
        <w:rPr>
          <w:b/>
          <w:bCs/>
          <w:sz w:val="24"/>
          <w:shd w:val="clear" w:color="auto" w:fill="FFFFFF"/>
        </w:rPr>
      </w:pPr>
      <w:r>
        <w:rPr>
          <w:b/>
          <w:bCs/>
          <w:sz w:val="24"/>
        </w:rPr>
        <w:t>1</w:t>
      </w:r>
      <w:r>
        <w:rPr>
          <w:rFonts w:hAnsi="宋体"/>
          <w:b/>
          <w:bCs/>
          <w:sz w:val="24"/>
        </w:rPr>
        <w:t>、</w:t>
      </w:r>
      <w:r>
        <w:rPr>
          <w:rFonts w:hAnsi="宋体"/>
          <w:b/>
          <w:bCs/>
          <w:sz w:val="24"/>
          <w:shd w:val="clear" w:color="auto" w:fill="FFFFFF"/>
        </w:rPr>
        <w:t>强制检定计量标准器具</w:t>
      </w:r>
    </w:p>
    <w:p>
      <w:pPr>
        <w:pStyle w:val="21"/>
        <w:spacing w:after="0" w:line="360" w:lineRule="auto"/>
        <w:ind w:left="0" w:leftChars="0" w:firstLine="480" w:firstLineChars="200"/>
        <w:jc w:val="left"/>
        <w:rPr>
          <w:sz w:val="24"/>
          <w:shd w:val="clear" w:color="auto" w:fill="FFFFFF"/>
        </w:rPr>
      </w:pPr>
      <w:r>
        <w:rPr>
          <w:rFonts w:hint="eastAsia" w:hAnsi="宋体"/>
          <w:sz w:val="24"/>
        </w:rPr>
        <w:t>温江区</w:t>
      </w:r>
      <w:r>
        <w:rPr>
          <w:rFonts w:hAnsi="宋体"/>
          <w:sz w:val="24"/>
          <w:shd w:val="clear" w:color="auto" w:fill="FFFFFF"/>
        </w:rPr>
        <w:t>行政区域内所有经核准的社会公用计量标准器具，部门和企业、事业单位使用的最高计量标准器具。</w:t>
      </w:r>
    </w:p>
    <w:p>
      <w:pPr>
        <w:pStyle w:val="21"/>
        <w:spacing w:after="0" w:line="360" w:lineRule="auto"/>
        <w:ind w:left="0" w:leftChars="0" w:firstLine="482" w:firstLineChars="200"/>
        <w:jc w:val="left"/>
        <w:rPr>
          <w:b/>
          <w:bCs/>
          <w:sz w:val="24"/>
          <w:shd w:val="clear" w:color="auto" w:fill="FFFFFF"/>
        </w:rPr>
      </w:pPr>
      <w:r>
        <w:rPr>
          <w:b/>
          <w:sz w:val="24"/>
          <w:shd w:val="clear" w:color="auto" w:fill="FFFFFF"/>
        </w:rPr>
        <w:t>2</w:t>
      </w:r>
      <w:r>
        <w:rPr>
          <w:rFonts w:hAnsi="宋体"/>
          <w:b/>
          <w:sz w:val="24"/>
          <w:shd w:val="clear" w:color="auto" w:fill="FFFFFF"/>
        </w:rPr>
        <w:t>、</w:t>
      </w:r>
      <w:r>
        <w:rPr>
          <w:rFonts w:hAnsi="宋体"/>
          <w:b/>
          <w:bCs/>
          <w:sz w:val="24"/>
          <w:shd w:val="clear" w:color="auto" w:fill="FFFFFF"/>
        </w:rPr>
        <w:t>强制检定工作计量器具</w:t>
      </w:r>
    </w:p>
    <w:p>
      <w:pPr>
        <w:pStyle w:val="21"/>
        <w:spacing w:after="0" w:line="360" w:lineRule="auto"/>
        <w:ind w:left="122" w:leftChars="58" w:firstLine="480" w:firstLineChars="200"/>
        <w:rPr>
          <w:rFonts w:hAnsi="宋体"/>
          <w:sz w:val="24"/>
          <w:shd w:val="clear" w:color="auto" w:fill="FFFFFF"/>
        </w:rPr>
      </w:pPr>
      <w:r>
        <w:rPr>
          <w:rFonts w:hint="eastAsia" w:hAnsi="宋体"/>
          <w:sz w:val="24"/>
        </w:rPr>
        <w:t>温江区</w:t>
      </w:r>
      <w:r>
        <w:rPr>
          <w:rFonts w:hAnsi="宋体"/>
          <w:sz w:val="24"/>
          <w:shd w:val="clear" w:color="auto" w:fill="FFFFFF"/>
        </w:rPr>
        <w:t>行政区域内所有经核准的用于贸易结算、安全防护、医疗卫生、环境监测方面的列入强制检定目录的工作计量器具。详见《实施强制管理的计量器具目录》中监管方式为</w:t>
      </w:r>
      <w:r>
        <w:rPr>
          <w:rFonts w:hint="eastAsia" w:ascii="宋体" w:hAnsi="宋体"/>
          <w:spacing w:val="-10"/>
          <w:sz w:val="24"/>
        </w:rPr>
        <w:t>“强制检定</w:t>
      </w:r>
      <w:r>
        <w:rPr>
          <w:rFonts w:hAnsi="宋体"/>
          <w:sz w:val="24"/>
          <w:shd w:val="clear" w:color="auto" w:fill="FFFFFF"/>
        </w:rPr>
        <w:t>”</w:t>
      </w:r>
      <w:r>
        <w:rPr>
          <w:rFonts w:hint="eastAsia" w:hAnsi="宋体"/>
          <w:sz w:val="24"/>
          <w:shd w:val="clear" w:color="auto" w:fill="FFFFFF"/>
        </w:rPr>
        <w:t>和</w:t>
      </w:r>
      <w:r>
        <w:rPr>
          <w:rFonts w:hAnsi="宋体"/>
          <w:sz w:val="24"/>
          <w:shd w:val="clear" w:color="auto" w:fill="FFFFFF"/>
        </w:rPr>
        <w:t>“</w:t>
      </w:r>
      <w:r>
        <w:rPr>
          <w:rFonts w:hint="eastAsia" w:ascii="宋体" w:hAnsi="宋体"/>
          <w:spacing w:val="-10"/>
          <w:sz w:val="24"/>
        </w:rPr>
        <w:t>型式批准</w:t>
      </w:r>
      <w:r>
        <w:rPr>
          <w:rFonts w:hint="eastAsia" w:hAnsi="宋体"/>
          <w:sz w:val="24"/>
          <w:shd w:val="clear" w:color="auto" w:fill="FFFFFF"/>
        </w:rPr>
        <w:t>、</w:t>
      </w:r>
      <w:r>
        <w:rPr>
          <w:rFonts w:hint="eastAsia" w:ascii="宋体" w:hAnsi="宋体"/>
          <w:spacing w:val="-10"/>
          <w:sz w:val="24"/>
        </w:rPr>
        <w:t>强制检定”</w:t>
      </w:r>
      <w:r>
        <w:rPr>
          <w:rFonts w:hAnsi="宋体"/>
          <w:sz w:val="24"/>
          <w:shd w:val="clear" w:color="auto" w:fill="FFFFFF"/>
        </w:rPr>
        <w:t>的强制检定计量器具。</w:t>
      </w:r>
    </w:p>
    <w:p>
      <w:pPr>
        <w:pStyle w:val="21"/>
        <w:spacing w:line="440" w:lineRule="exact"/>
        <w:ind w:left="0" w:leftChars="0"/>
        <w:rPr>
          <w:rFonts w:hAnsi="宋体"/>
          <w:sz w:val="24"/>
          <w:shd w:val="clear" w:color="auto" w:fill="FFFFFF"/>
        </w:rPr>
      </w:pPr>
      <w:bookmarkStart w:id="29" w:name="_Toc511757303"/>
      <w:bookmarkStart w:id="30" w:name="_Toc511920445"/>
    </w:p>
    <w:p>
      <w:pPr>
        <w:pStyle w:val="21"/>
        <w:spacing w:line="440" w:lineRule="exact"/>
        <w:ind w:left="0" w:leftChars="0"/>
        <w:rPr>
          <w:rFonts w:hAnsi="宋体"/>
          <w:sz w:val="24"/>
          <w:shd w:val="clear" w:color="auto" w:fill="FFFFFF"/>
        </w:rPr>
      </w:pPr>
    </w:p>
    <w:p>
      <w:pPr>
        <w:pStyle w:val="21"/>
        <w:spacing w:line="440" w:lineRule="exact"/>
        <w:ind w:left="0" w:leftChars="0"/>
        <w:rPr>
          <w:rFonts w:hAnsi="宋体"/>
          <w:sz w:val="24"/>
          <w:shd w:val="clear" w:color="auto" w:fill="FFFFFF"/>
        </w:rPr>
      </w:pPr>
    </w:p>
    <w:p>
      <w:pPr>
        <w:pStyle w:val="21"/>
        <w:spacing w:line="440" w:lineRule="exact"/>
        <w:ind w:left="0" w:leftChars="0"/>
        <w:rPr>
          <w:rFonts w:hAnsi="宋体"/>
          <w:sz w:val="24"/>
          <w:shd w:val="clear" w:color="auto" w:fill="FFFFFF"/>
        </w:rPr>
      </w:pPr>
    </w:p>
    <w:p>
      <w:pPr>
        <w:pStyle w:val="21"/>
        <w:spacing w:line="440" w:lineRule="exact"/>
        <w:ind w:left="0" w:leftChars="0"/>
        <w:rPr>
          <w:rFonts w:hint="eastAsia" w:hAnsi="宋体"/>
          <w:sz w:val="24"/>
          <w:shd w:val="clear" w:color="auto" w:fill="FFFFFF"/>
        </w:rPr>
      </w:pPr>
    </w:p>
    <w:p>
      <w:pPr>
        <w:spacing w:line="520" w:lineRule="exact"/>
        <w:rPr>
          <w:sz w:val="24"/>
        </w:rPr>
      </w:pPr>
      <w:r>
        <w:rPr>
          <w:rFonts w:hAnsi="宋体"/>
          <w:sz w:val="24"/>
        </w:rPr>
        <w:t>附件</w:t>
      </w:r>
    </w:p>
    <w:p>
      <w:pPr>
        <w:spacing w:line="5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实施强制管理的计量器具目录</w:t>
      </w:r>
    </w:p>
    <w:tbl>
      <w:tblPr>
        <w:tblStyle w:val="3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663"/>
        <w:gridCol w:w="1267"/>
        <w:gridCol w:w="1712"/>
        <w:gridCol w:w="1489"/>
        <w:gridCol w:w="148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bCs/>
                <w:szCs w:val="21"/>
              </w:rPr>
            </w:pPr>
            <w:r>
              <w:rPr>
                <w:rFonts w:ascii="宋体" w:hAnsi="宋体"/>
                <w:bCs/>
                <w:szCs w:val="21"/>
              </w:rPr>
              <w:t>一级序号</w:t>
            </w:r>
          </w:p>
        </w:tc>
        <w:tc>
          <w:tcPr>
            <w:tcW w:w="663" w:type="dxa"/>
            <w:vAlign w:val="center"/>
          </w:tcPr>
          <w:p>
            <w:pPr>
              <w:widowControl/>
              <w:spacing w:line="440" w:lineRule="exact"/>
              <w:jc w:val="center"/>
              <w:rPr>
                <w:rFonts w:ascii="宋体" w:hAnsi="宋体"/>
                <w:bCs/>
                <w:szCs w:val="21"/>
              </w:rPr>
            </w:pPr>
            <w:r>
              <w:rPr>
                <w:rFonts w:ascii="宋体" w:hAnsi="宋体"/>
                <w:bCs/>
                <w:szCs w:val="21"/>
              </w:rPr>
              <w:t>二级序号</w:t>
            </w:r>
          </w:p>
        </w:tc>
        <w:tc>
          <w:tcPr>
            <w:tcW w:w="1267" w:type="dxa"/>
            <w:vAlign w:val="center"/>
          </w:tcPr>
          <w:p>
            <w:pPr>
              <w:widowControl/>
              <w:spacing w:line="440" w:lineRule="exact"/>
              <w:jc w:val="center"/>
              <w:rPr>
                <w:rFonts w:ascii="宋体" w:hAnsi="宋体"/>
                <w:bCs/>
                <w:szCs w:val="21"/>
              </w:rPr>
            </w:pPr>
            <w:r>
              <w:rPr>
                <w:rFonts w:ascii="宋体" w:hAnsi="宋体"/>
                <w:bCs/>
                <w:szCs w:val="21"/>
              </w:rPr>
              <w:t>一级目录</w:t>
            </w:r>
          </w:p>
        </w:tc>
        <w:tc>
          <w:tcPr>
            <w:tcW w:w="1712" w:type="dxa"/>
            <w:vAlign w:val="center"/>
          </w:tcPr>
          <w:p>
            <w:pPr>
              <w:widowControl/>
              <w:spacing w:line="440" w:lineRule="exact"/>
              <w:jc w:val="center"/>
              <w:rPr>
                <w:rFonts w:ascii="宋体" w:hAnsi="宋体"/>
                <w:bCs/>
                <w:szCs w:val="21"/>
              </w:rPr>
            </w:pPr>
            <w:r>
              <w:rPr>
                <w:rFonts w:ascii="宋体" w:hAnsi="宋体"/>
                <w:bCs/>
                <w:szCs w:val="21"/>
              </w:rPr>
              <w:t>二级目录</w:t>
            </w:r>
          </w:p>
        </w:tc>
        <w:tc>
          <w:tcPr>
            <w:tcW w:w="1489" w:type="dxa"/>
            <w:vAlign w:val="center"/>
          </w:tcPr>
          <w:p>
            <w:pPr>
              <w:widowControl/>
              <w:spacing w:line="440" w:lineRule="exact"/>
              <w:jc w:val="center"/>
              <w:rPr>
                <w:rFonts w:ascii="宋体" w:hAnsi="宋体"/>
                <w:bCs/>
                <w:szCs w:val="21"/>
              </w:rPr>
            </w:pPr>
            <w:r>
              <w:rPr>
                <w:rFonts w:ascii="宋体" w:hAnsi="宋体"/>
                <w:bCs/>
                <w:szCs w:val="21"/>
              </w:rPr>
              <w:t>监管方式</w:t>
            </w:r>
          </w:p>
        </w:tc>
        <w:tc>
          <w:tcPr>
            <w:tcW w:w="1489" w:type="dxa"/>
            <w:vAlign w:val="center"/>
          </w:tcPr>
          <w:p>
            <w:pPr>
              <w:widowControl/>
              <w:spacing w:line="440" w:lineRule="exact"/>
              <w:jc w:val="center"/>
              <w:rPr>
                <w:rFonts w:ascii="宋体" w:hAnsi="宋体"/>
                <w:bCs/>
                <w:szCs w:val="21"/>
              </w:rPr>
            </w:pPr>
            <w:r>
              <w:rPr>
                <w:rFonts w:hint="eastAsia" w:ascii="宋体" w:hAnsi="宋体"/>
                <w:bCs/>
                <w:szCs w:val="21"/>
              </w:rPr>
              <w:t>强检</w:t>
            </w:r>
            <w:r>
              <w:rPr>
                <w:rFonts w:ascii="宋体" w:hAnsi="宋体"/>
                <w:bCs/>
                <w:szCs w:val="21"/>
              </w:rPr>
              <w:t>方式</w:t>
            </w:r>
          </w:p>
        </w:tc>
        <w:tc>
          <w:tcPr>
            <w:tcW w:w="2259" w:type="dxa"/>
            <w:vAlign w:val="center"/>
          </w:tcPr>
          <w:p>
            <w:pPr>
              <w:widowControl/>
              <w:spacing w:line="440" w:lineRule="exact"/>
              <w:jc w:val="center"/>
              <w:rPr>
                <w:rFonts w:ascii="宋体" w:hAnsi="宋体"/>
                <w:bCs/>
                <w:szCs w:val="21"/>
              </w:rPr>
            </w:pPr>
            <w:r>
              <w:rPr>
                <w:rFonts w:hint="eastAsia" w:ascii="宋体" w:hAnsi="宋体"/>
                <w:bCs/>
                <w:szCs w:val="21"/>
              </w:rPr>
              <w:t>强检</w:t>
            </w:r>
            <w:r>
              <w:rPr>
                <w:rFonts w:ascii="宋体" w:hAnsi="宋体"/>
                <w:bCs/>
                <w:szCs w:val="21"/>
              </w:rPr>
              <w:t>范围及说明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w:t>
            </w:r>
          </w:p>
        </w:tc>
        <w:tc>
          <w:tcPr>
            <w:tcW w:w="663" w:type="dxa"/>
            <w:vAlign w:val="center"/>
          </w:tcPr>
          <w:p>
            <w:pPr>
              <w:widowControl/>
              <w:spacing w:line="440" w:lineRule="exact"/>
              <w:jc w:val="center"/>
              <w:rPr>
                <w:rFonts w:ascii="宋体" w:hAnsi="宋体"/>
                <w:szCs w:val="21"/>
              </w:rPr>
            </w:pPr>
            <w:r>
              <w:rPr>
                <w:rFonts w:ascii="宋体" w:hAnsi="宋体"/>
                <w:szCs w:val="21"/>
              </w:rPr>
              <w:t>1</w:t>
            </w:r>
          </w:p>
        </w:tc>
        <w:tc>
          <w:tcPr>
            <w:tcW w:w="1267" w:type="dxa"/>
            <w:vAlign w:val="center"/>
          </w:tcPr>
          <w:p>
            <w:pPr>
              <w:widowControl/>
              <w:spacing w:line="440" w:lineRule="exact"/>
              <w:jc w:val="center"/>
              <w:rPr>
                <w:rFonts w:ascii="宋体" w:hAnsi="宋体"/>
                <w:szCs w:val="21"/>
              </w:rPr>
            </w:pPr>
            <w:r>
              <w:rPr>
                <w:rFonts w:ascii="宋体" w:hAnsi="宋体"/>
                <w:szCs w:val="21"/>
              </w:rPr>
              <w:t>体温计</w:t>
            </w:r>
          </w:p>
        </w:tc>
        <w:tc>
          <w:tcPr>
            <w:tcW w:w="1712" w:type="dxa"/>
            <w:vAlign w:val="center"/>
          </w:tcPr>
          <w:p>
            <w:pPr>
              <w:widowControl/>
              <w:spacing w:line="440" w:lineRule="exact"/>
              <w:jc w:val="center"/>
              <w:rPr>
                <w:rFonts w:ascii="宋体" w:hAnsi="宋体"/>
                <w:szCs w:val="21"/>
              </w:rPr>
            </w:pPr>
            <w:r>
              <w:rPr>
                <w:rFonts w:ascii="宋体" w:hAnsi="宋体"/>
                <w:szCs w:val="21"/>
              </w:rPr>
              <w:t>体温计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玻璃体温计只做型式批准和首次强制检定，失准报废；其他体温计周期检定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用于医疗卫生：医疗机构对人体温度的测量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2</w:t>
            </w:r>
          </w:p>
        </w:tc>
        <w:tc>
          <w:tcPr>
            <w:tcW w:w="663" w:type="dxa"/>
            <w:vAlign w:val="center"/>
          </w:tcPr>
          <w:p>
            <w:pPr>
              <w:widowControl/>
              <w:spacing w:line="440" w:lineRule="exact"/>
              <w:jc w:val="center"/>
              <w:rPr>
                <w:rFonts w:ascii="宋体" w:hAnsi="宋体"/>
                <w:szCs w:val="21"/>
              </w:rPr>
            </w:pPr>
            <w:r>
              <w:rPr>
                <w:rFonts w:ascii="宋体" w:hAnsi="宋体"/>
                <w:szCs w:val="21"/>
              </w:rPr>
              <w:t>2</w:t>
            </w:r>
          </w:p>
        </w:tc>
        <w:tc>
          <w:tcPr>
            <w:tcW w:w="1267" w:type="dxa"/>
            <w:vAlign w:val="center"/>
          </w:tcPr>
          <w:p>
            <w:pPr>
              <w:widowControl/>
              <w:spacing w:line="440" w:lineRule="exact"/>
              <w:jc w:val="center"/>
              <w:rPr>
                <w:rFonts w:ascii="宋体" w:hAnsi="宋体"/>
                <w:szCs w:val="21"/>
              </w:rPr>
            </w:pPr>
            <w:r>
              <w:rPr>
                <w:rFonts w:ascii="宋体" w:hAnsi="宋体"/>
                <w:szCs w:val="21"/>
              </w:rPr>
              <w:t>非自动衡器</w:t>
            </w:r>
          </w:p>
        </w:tc>
        <w:tc>
          <w:tcPr>
            <w:tcW w:w="1712" w:type="dxa"/>
            <w:vAlign w:val="center"/>
          </w:tcPr>
          <w:p>
            <w:pPr>
              <w:widowControl/>
              <w:spacing w:line="440" w:lineRule="exact"/>
              <w:jc w:val="center"/>
              <w:rPr>
                <w:rFonts w:ascii="宋体" w:hAnsi="宋体"/>
                <w:szCs w:val="21"/>
              </w:rPr>
            </w:pPr>
            <w:r>
              <w:rPr>
                <w:rFonts w:ascii="宋体" w:hAnsi="宋体"/>
                <w:szCs w:val="21"/>
              </w:rPr>
              <w:t>非自动衡器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用于贸易结算：商品、包裹、行李、粮食等的称重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3</w:t>
            </w:r>
          </w:p>
        </w:tc>
        <w:tc>
          <w:tcPr>
            <w:tcW w:w="663" w:type="dxa"/>
            <w:vAlign w:val="center"/>
          </w:tcPr>
          <w:p>
            <w:pPr>
              <w:widowControl/>
              <w:spacing w:line="440" w:lineRule="exact"/>
              <w:jc w:val="center"/>
              <w:rPr>
                <w:rFonts w:ascii="宋体" w:hAnsi="宋体"/>
                <w:szCs w:val="21"/>
              </w:rPr>
            </w:pPr>
            <w:r>
              <w:rPr>
                <w:rFonts w:ascii="宋体" w:hAnsi="宋体"/>
                <w:szCs w:val="21"/>
              </w:rPr>
              <w:t>3</w:t>
            </w:r>
          </w:p>
        </w:tc>
        <w:tc>
          <w:tcPr>
            <w:tcW w:w="1267" w:type="dxa"/>
            <w:vAlign w:val="center"/>
          </w:tcPr>
          <w:p>
            <w:pPr>
              <w:widowControl/>
              <w:spacing w:line="440" w:lineRule="exact"/>
              <w:jc w:val="center"/>
              <w:rPr>
                <w:rFonts w:ascii="宋体" w:hAnsi="宋体"/>
                <w:szCs w:val="21"/>
              </w:rPr>
            </w:pPr>
            <w:r>
              <w:rPr>
                <w:rFonts w:ascii="宋体" w:hAnsi="宋体"/>
                <w:szCs w:val="21"/>
              </w:rPr>
              <w:t>自动衡器</w:t>
            </w:r>
          </w:p>
        </w:tc>
        <w:tc>
          <w:tcPr>
            <w:tcW w:w="1712" w:type="dxa"/>
            <w:vAlign w:val="center"/>
          </w:tcPr>
          <w:p>
            <w:pPr>
              <w:widowControl/>
              <w:spacing w:line="440" w:lineRule="exact"/>
              <w:jc w:val="center"/>
              <w:rPr>
                <w:rFonts w:ascii="宋体" w:hAnsi="宋体"/>
                <w:szCs w:val="21"/>
              </w:rPr>
            </w:pPr>
            <w:r>
              <w:rPr>
                <w:rFonts w:ascii="宋体" w:hAnsi="宋体"/>
                <w:szCs w:val="21"/>
              </w:rPr>
              <w:t>动态汽车衡（车辆总重计量）</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 xml:space="preserve">用于安全防护：车辆超限超载的称重          </w:t>
            </w:r>
          </w:p>
          <w:p>
            <w:pPr>
              <w:widowControl/>
              <w:spacing w:line="440" w:lineRule="exact"/>
              <w:jc w:val="left"/>
              <w:rPr>
                <w:rFonts w:ascii="宋体" w:hAnsi="宋体"/>
                <w:szCs w:val="21"/>
              </w:rPr>
            </w:pPr>
            <w:r>
              <w:rPr>
                <w:rFonts w:hint="eastAsia" w:ascii="宋体" w:hAnsi="宋体"/>
                <w:szCs w:val="21"/>
              </w:rPr>
              <w:t>用于贸易结算：商品的称重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4</w:t>
            </w:r>
          </w:p>
        </w:tc>
        <w:tc>
          <w:tcPr>
            <w:tcW w:w="663" w:type="dxa"/>
            <w:vAlign w:val="center"/>
          </w:tcPr>
          <w:p>
            <w:pPr>
              <w:widowControl/>
              <w:spacing w:line="440" w:lineRule="exact"/>
              <w:jc w:val="center"/>
              <w:rPr>
                <w:rFonts w:ascii="宋体" w:hAnsi="宋体"/>
                <w:szCs w:val="21"/>
              </w:rPr>
            </w:pPr>
            <w:r>
              <w:rPr>
                <w:rFonts w:ascii="宋体" w:hAnsi="宋体"/>
                <w:szCs w:val="21"/>
              </w:rPr>
              <w:t>4</w:t>
            </w:r>
          </w:p>
        </w:tc>
        <w:tc>
          <w:tcPr>
            <w:tcW w:w="1267" w:type="dxa"/>
            <w:vAlign w:val="center"/>
          </w:tcPr>
          <w:p>
            <w:pPr>
              <w:widowControl/>
              <w:spacing w:line="440" w:lineRule="exact"/>
              <w:jc w:val="center"/>
              <w:rPr>
                <w:rFonts w:ascii="宋体" w:hAnsi="宋体"/>
                <w:szCs w:val="21"/>
              </w:rPr>
            </w:pPr>
            <w:r>
              <w:rPr>
                <w:rFonts w:ascii="宋体" w:hAnsi="宋体"/>
                <w:szCs w:val="21"/>
              </w:rPr>
              <w:t>轨道衡</w:t>
            </w:r>
          </w:p>
        </w:tc>
        <w:tc>
          <w:tcPr>
            <w:tcW w:w="1712" w:type="dxa"/>
            <w:vAlign w:val="center"/>
          </w:tcPr>
          <w:p>
            <w:pPr>
              <w:widowControl/>
              <w:spacing w:line="440" w:lineRule="exact"/>
              <w:jc w:val="center"/>
              <w:rPr>
                <w:rFonts w:ascii="宋体" w:hAnsi="宋体"/>
                <w:szCs w:val="21"/>
              </w:rPr>
            </w:pPr>
            <w:r>
              <w:rPr>
                <w:rFonts w:ascii="宋体" w:hAnsi="宋体"/>
                <w:szCs w:val="21"/>
              </w:rPr>
              <w:t>轨道衡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用于贸易结算：商品的称重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5</w:t>
            </w:r>
          </w:p>
        </w:tc>
        <w:tc>
          <w:tcPr>
            <w:tcW w:w="663" w:type="dxa"/>
            <w:vAlign w:val="center"/>
          </w:tcPr>
          <w:p>
            <w:pPr>
              <w:widowControl/>
              <w:spacing w:line="440" w:lineRule="exact"/>
              <w:jc w:val="center"/>
              <w:rPr>
                <w:rFonts w:ascii="宋体" w:hAnsi="宋体"/>
                <w:szCs w:val="21"/>
              </w:rPr>
            </w:pPr>
            <w:r>
              <w:rPr>
                <w:rFonts w:ascii="宋体" w:hAnsi="宋体"/>
                <w:szCs w:val="21"/>
              </w:rPr>
              <w:t>5</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计量罐</w:t>
            </w:r>
          </w:p>
        </w:tc>
        <w:tc>
          <w:tcPr>
            <w:tcW w:w="1712" w:type="dxa"/>
            <w:vAlign w:val="center"/>
          </w:tcPr>
          <w:p>
            <w:pPr>
              <w:widowControl/>
              <w:spacing w:line="440" w:lineRule="exact"/>
              <w:jc w:val="center"/>
              <w:rPr>
                <w:rFonts w:ascii="宋体" w:hAnsi="宋体"/>
                <w:szCs w:val="21"/>
              </w:rPr>
            </w:pPr>
            <w:r>
              <w:rPr>
                <w:rFonts w:ascii="宋体" w:hAnsi="宋体"/>
                <w:szCs w:val="21"/>
              </w:rPr>
              <w:t>铁路计量罐（车）</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用于贸易结算：液体容积的测量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6</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船舶液货计量舱（供油船舶计量舱、船舶污油舱、污水舱、运输船舶计量舱5000载重吨以下）</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用于贸易结算：原油、成品油及其他液体和固体容积的测量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7</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立式金属罐</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用于贸易结算：液体容积的测量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6</w:t>
            </w:r>
          </w:p>
        </w:tc>
        <w:tc>
          <w:tcPr>
            <w:tcW w:w="663" w:type="dxa"/>
            <w:vAlign w:val="center"/>
          </w:tcPr>
          <w:p>
            <w:pPr>
              <w:widowControl/>
              <w:spacing w:line="440" w:lineRule="exact"/>
              <w:jc w:val="center"/>
              <w:rPr>
                <w:rFonts w:ascii="宋体" w:hAnsi="宋体"/>
                <w:szCs w:val="21"/>
              </w:rPr>
            </w:pPr>
            <w:r>
              <w:rPr>
                <w:rFonts w:ascii="宋体" w:hAnsi="宋体"/>
                <w:szCs w:val="21"/>
              </w:rPr>
              <w:t>8</w:t>
            </w:r>
          </w:p>
        </w:tc>
        <w:tc>
          <w:tcPr>
            <w:tcW w:w="1267" w:type="dxa"/>
            <w:vAlign w:val="center"/>
          </w:tcPr>
          <w:p>
            <w:pPr>
              <w:widowControl/>
              <w:spacing w:line="440" w:lineRule="exact"/>
              <w:jc w:val="center"/>
              <w:rPr>
                <w:rFonts w:ascii="宋体" w:hAnsi="宋体"/>
                <w:szCs w:val="21"/>
              </w:rPr>
            </w:pPr>
            <w:r>
              <w:rPr>
                <w:rFonts w:ascii="宋体" w:hAnsi="宋体"/>
                <w:szCs w:val="21"/>
              </w:rPr>
              <w:t>称重</w:t>
            </w:r>
          </w:p>
          <w:p>
            <w:pPr>
              <w:widowControl/>
              <w:spacing w:line="440" w:lineRule="exact"/>
              <w:jc w:val="center"/>
              <w:rPr>
                <w:rFonts w:ascii="宋体" w:hAnsi="宋体"/>
                <w:szCs w:val="21"/>
              </w:rPr>
            </w:pPr>
            <w:r>
              <w:rPr>
                <w:rFonts w:ascii="宋体" w:hAnsi="宋体"/>
                <w:szCs w:val="21"/>
              </w:rPr>
              <w:t>传感器</w:t>
            </w:r>
          </w:p>
        </w:tc>
        <w:tc>
          <w:tcPr>
            <w:tcW w:w="1712" w:type="dxa"/>
            <w:vAlign w:val="center"/>
          </w:tcPr>
          <w:p>
            <w:pPr>
              <w:widowControl/>
              <w:spacing w:line="440" w:lineRule="exact"/>
              <w:jc w:val="center"/>
              <w:rPr>
                <w:rFonts w:ascii="宋体" w:hAnsi="宋体"/>
                <w:szCs w:val="21"/>
              </w:rPr>
            </w:pPr>
            <w:r>
              <w:rPr>
                <w:rFonts w:ascii="宋体" w:hAnsi="宋体"/>
                <w:szCs w:val="21"/>
              </w:rPr>
              <w:t>称重传感器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7</w:t>
            </w:r>
          </w:p>
        </w:tc>
        <w:tc>
          <w:tcPr>
            <w:tcW w:w="663" w:type="dxa"/>
            <w:vAlign w:val="center"/>
          </w:tcPr>
          <w:p>
            <w:pPr>
              <w:widowControl/>
              <w:spacing w:line="440" w:lineRule="exact"/>
              <w:jc w:val="center"/>
              <w:rPr>
                <w:rFonts w:ascii="宋体" w:hAnsi="宋体"/>
                <w:szCs w:val="21"/>
              </w:rPr>
            </w:pPr>
            <w:r>
              <w:rPr>
                <w:rFonts w:ascii="宋体" w:hAnsi="宋体"/>
                <w:szCs w:val="21"/>
              </w:rPr>
              <w:t>9</w:t>
            </w:r>
          </w:p>
        </w:tc>
        <w:tc>
          <w:tcPr>
            <w:tcW w:w="1267" w:type="dxa"/>
            <w:vAlign w:val="center"/>
          </w:tcPr>
          <w:p>
            <w:pPr>
              <w:widowControl/>
              <w:spacing w:line="440" w:lineRule="exact"/>
              <w:jc w:val="center"/>
              <w:rPr>
                <w:rFonts w:ascii="宋体" w:hAnsi="宋体"/>
                <w:szCs w:val="21"/>
              </w:rPr>
            </w:pPr>
            <w:r>
              <w:rPr>
                <w:rFonts w:ascii="宋体" w:hAnsi="宋体"/>
                <w:szCs w:val="21"/>
              </w:rPr>
              <w:t>称重</w:t>
            </w:r>
          </w:p>
          <w:p>
            <w:pPr>
              <w:widowControl/>
              <w:spacing w:line="440" w:lineRule="exact"/>
              <w:jc w:val="center"/>
              <w:rPr>
                <w:rFonts w:ascii="宋体" w:hAnsi="宋体"/>
                <w:szCs w:val="21"/>
              </w:rPr>
            </w:pPr>
            <w:r>
              <w:rPr>
                <w:rFonts w:ascii="宋体" w:hAnsi="宋体"/>
                <w:szCs w:val="21"/>
              </w:rPr>
              <w:t>显示器</w:t>
            </w:r>
          </w:p>
        </w:tc>
        <w:tc>
          <w:tcPr>
            <w:tcW w:w="1712" w:type="dxa"/>
            <w:vAlign w:val="center"/>
          </w:tcPr>
          <w:p>
            <w:pPr>
              <w:widowControl/>
              <w:spacing w:line="440" w:lineRule="exact"/>
              <w:jc w:val="center"/>
              <w:rPr>
                <w:rFonts w:ascii="宋体" w:hAnsi="宋体"/>
                <w:szCs w:val="21"/>
              </w:rPr>
            </w:pPr>
            <w:r>
              <w:rPr>
                <w:rFonts w:ascii="宋体" w:hAnsi="宋体"/>
                <w:szCs w:val="21"/>
              </w:rPr>
              <w:t>称重显示器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8</w:t>
            </w:r>
          </w:p>
        </w:tc>
        <w:tc>
          <w:tcPr>
            <w:tcW w:w="663" w:type="dxa"/>
            <w:vAlign w:val="center"/>
          </w:tcPr>
          <w:p>
            <w:pPr>
              <w:widowControl/>
              <w:spacing w:line="440" w:lineRule="exact"/>
              <w:jc w:val="center"/>
              <w:rPr>
                <w:rFonts w:ascii="宋体" w:hAnsi="宋体"/>
                <w:szCs w:val="21"/>
              </w:rPr>
            </w:pPr>
            <w:r>
              <w:rPr>
                <w:rFonts w:ascii="宋体" w:hAnsi="宋体"/>
                <w:szCs w:val="21"/>
              </w:rPr>
              <w:t>10</w:t>
            </w:r>
          </w:p>
        </w:tc>
        <w:tc>
          <w:tcPr>
            <w:tcW w:w="1267" w:type="dxa"/>
            <w:vAlign w:val="center"/>
          </w:tcPr>
          <w:p>
            <w:pPr>
              <w:widowControl/>
              <w:spacing w:line="440" w:lineRule="exact"/>
              <w:jc w:val="center"/>
              <w:rPr>
                <w:rFonts w:ascii="宋体" w:hAnsi="宋体"/>
                <w:szCs w:val="21"/>
              </w:rPr>
            </w:pPr>
            <w:r>
              <w:rPr>
                <w:rFonts w:ascii="宋体" w:hAnsi="宋体"/>
                <w:szCs w:val="21"/>
              </w:rPr>
              <w:t>加油机</w:t>
            </w:r>
          </w:p>
        </w:tc>
        <w:tc>
          <w:tcPr>
            <w:tcW w:w="1712" w:type="dxa"/>
            <w:vAlign w:val="center"/>
          </w:tcPr>
          <w:p>
            <w:pPr>
              <w:widowControl/>
              <w:spacing w:line="440" w:lineRule="exact"/>
              <w:jc w:val="center"/>
              <w:rPr>
                <w:rFonts w:ascii="宋体" w:hAnsi="宋体"/>
                <w:szCs w:val="21"/>
              </w:rPr>
            </w:pPr>
            <w:r>
              <w:rPr>
                <w:rFonts w:ascii="宋体" w:hAnsi="宋体"/>
                <w:szCs w:val="21"/>
              </w:rPr>
              <w:t>燃油加油机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用于贸易结算：成品油流量的测量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9</w:t>
            </w:r>
          </w:p>
        </w:tc>
        <w:tc>
          <w:tcPr>
            <w:tcW w:w="663" w:type="dxa"/>
            <w:vAlign w:val="center"/>
          </w:tcPr>
          <w:p>
            <w:pPr>
              <w:widowControl/>
              <w:spacing w:line="440" w:lineRule="exact"/>
              <w:jc w:val="center"/>
              <w:rPr>
                <w:rFonts w:ascii="宋体" w:hAnsi="宋体"/>
                <w:szCs w:val="21"/>
              </w:rPr>
            </w:pPr>
            <w:r>
              <w:rPr>
                <w:rFonts w:ascii="宋体" w:hAnsi="宋体"/>
                <w:szCs w:val="21"/>
              </w:rPr>
              <w:t>11</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加气机</w:t>
            </w:r>
          </w:p>
        </w:tc>
        <w:tc>
          <w:tcPr>
            <w:tcW w:w="1712" w:type="dxa"/>
            <w:vAlign w:val="center"/>
          </w:tcPr>
          <w:p>
            <w:pPr>
              <w:widowControl/>
              <w:spacing w:line="440" w:lineRule="exact"/>
              <w:jc w:val="center"/>
              <w:rPr>
                <w:rFonts w:ascii="宋体" w:hAnsi="宋体"/>
                <w:szCs w:val="21"/>
              </w:rPr>
            </w:pPr>
            <w:r>
              <w:rPr>
                <w:rFonts w:ascii="宋体" w:hAnsi="宋体"/>
                <w:szCs w:val="21"/>
              </w:rPr>
              <w:t>液化石油气加气机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用于贸易结算：石油气流量的测量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12</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压缩天然气加气机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用于贸易结算：天然气流量的测量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13</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液化天然气加气机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用于贸易结算：天然气流量的测量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10</w:t>
            </w:r>
          </w:p>
        </w:tc>
        <w:tc>
          <w:tcPr>
            <w:tcW w:w="663" w:type="dxa"/>
            <w:vAlign w:val="center"/>
          </w:tcPr>
          <w:p>
            <w:pPr>
              <w:widowControl/>
              <w:spacing w:line="440" w:lineRule="exact"/>
              <w:jc w:val="center"/>
              <w:rPr>
                <w:rFonts w:ascii="宋体" w:hAnsi="宋体"/>
                <w:szCs w:val="21"/>
              </w:rPr>
            </w:pPr>
            <w:r>
              <w:rPr>
                <w:rFonts w:ascii="宋体" w:hAnsi="宋体"/>
                <w:szCs w:val="21"/>
              </w:rPr>
              <w:t>14</w:t>
            </w:r>
          </w:p>
        </w:tc>
        <w:tc>
          <w:tcPr>
            <w:tcW w:w="1267" w:type="dxa"/>
            <w:vAlign w:val="center"/>
          </w:tcPr>
          <w:p>
            <w:pPr>
              <w:widowControl/>
              <w:spacing w:line="440" w:lineRule="exact"/>
              <w:jc w:val="center"/>
              <w:rPr>
                <w:rFonts w:ascii="宋体" w:hAnsi="宋体"/>
                <w:szCs w:val="21"/>
              </w:rPr>
            </w:pPr>
            <w:r>
              <w:rPr>
                <w:rFonts w:ascii="宋体" w:hAnsi="宋体"/>
                <w:szCs w:val="21"/>
              </w:rPr>
              <w:t>水表</w:t>
            </w:r>
          </w:p>
        </w:tc>
        <w:tc>
          <w:tcPr>
            <w:tcW w:w="1712" w:type="dxa"/>
            <w:vAlign w:val="center"/>
          </w:tcPr>
          <w:p>
            <w:pPr>
              <w:widowControl/>
              <w:spacing w:line="440" w:lineRule="exact"/>
              <w:jc w:val="center"/>
              <w:rPr>
                <w:rFonts w:ascii="宋体" w:hAnsi="宋体"/>
                <w:szCs w:val="21"/>
              </w:rPr>
            </w:pPr>
            <w:r>
              <w:rPr>
                <w:rFonts w:ascii="宋体" w:hAnsi="宋体"/>
                <w:szCs w:val="21"/>
              </w:rPr>
              <w:t>水表DN15～DN50</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left"/>
              <w:rPr>
                <w:rFonts w:ascii="宋体" w:hAnsi="宋体"/>
                <w:spacing w:val="-10"/>
                <w:szCs w:val="21"/>
              </w:rPr>
            </w:pPr>
            <w:r>
              <w:rPr>
                <w:rFonts w:hint="eastAsia" w:ascii="宋体" w:hAnsi="宋体"/>
                <w:spacing w:val="-10"/>
                <w:szCs w:val="21"/>
              </w:rPr>
              <w:t xml:space="preserve"> 工业用：周期检定           生活用：首次强制检定，限期使用，到期轮换</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用于贸易结算：用水量的测量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11</w:t>
            </w:r>
          </w:p>
        </w:tc>
        <w:tc>
          <w:tcPr>
            <w:tcW w:w="663" w:type="dxa"/>
            <w:vAlign w:val="center"/>
          </w:tcPr>
          <w:p>
            <w:pPr>
              <w:widowControl/>
              <w:spacing w:line="440" w:lineRule="exact"/>
              <w:jc w:val="center"/>
              <w:rPr>
                <w:rFonts w:ascii="宋体" w:hAnsi="宋体"/>
                <w:szCs w:val="21"/>
              </w:rPr>
            </w:pPr>
            <w:r>
              <w:rPr>
                <w:rFonts w:ascii="宋体" w:hAnsi="宋体"/>
                <w:szCs w:val="21"/>
              </w:rPr>
              <w:t>15</w:t>
            </w:r>
          </w:p>
        </w:tc>
        <w:tc>
          <w:tcPr>
            <w:tcW w:w="1267" w:type="dxa"/>
            <w:vAlign w:val="center"/>
          </w:tcPr>
          <w:p>
            <w:pPr>
              <w:widowControl/>
              <w:spacing w:line="440" w:lineRule="exact"/>
              <w:jc w:val="center"/>
              <w:rPr>
                <w:rFonts w:ascii="宋体" w:hAnsi="宋体"/>
                <w:szCs w:val="21"/>
              </w:rPr>
            </w:pPr>
            <w:r>
              <w:rPr>
                <w:rFonts w:ascii="宋体" w:hAnsi="宋体"/>
                <w:szCs w:val="21"/>
              </w:rPr>
              <w:t>燃气表</w:t>
            </w:r>
          </w:p>
        </w:tc>
        <w:tc>
          <w:tcPr>
            <w:tcW w:w="1712" w:type="dxa"/>
            <w:vAlign w:val="center"/>
          </w:tcPr>
          <w:p>
            <w:pPr>
              <w:widowControl/>
              <w:spacing w:line="440" w:lineRule="exact"/>
              <w:jc w:val="center"/>
              <w:rPr>
                <w:rFonts w:ascii="宋体" w:hAnsi="宋体"/>
                <w:szCs w:val="21"/>
              </w:rPr>
            </w:pPr>
            <w:r>
              <w:rPr>
                <w:rFonts w:ascii="宋体" w:hAnsi="宋体"/>
                <w:szCs w:val="21"/>
              </w:rPr>
              <w:t>燃气表G1.6～G16</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left"/>
              <w:rPr>
                <w:rFonts w:ascii="宋体" w:hAnsi="宋体"/>
                <w:spacing w:val="-10"/>
                <w:szCs w:val="21"/>
              </w:rPr>
            </w:pPr>
            <w:r>
              <w:rPr>
                <w:rFonts w:hint="eastAsia" w:ascii="宋体" w:hAnsi="宋体"/>
                <w:spacing w:val="-10"/>
                <w:szCs w:val="21"/>
              </w:rPr>
              <w:t xml:space="preserve"> 工业用：周期检定           生活用：首次强制检定，限期使用，到期轮换</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用于贸易结算：煤气（天然气）用量的测量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12</w:t>
            </w:r>
          </w:p>
        </w:tc>
        <w:tc>
          <w:tcPr>
            <w:tcW w:w="663" w:type="dxa"/>
            <w:vAlign w:val="center"/>
          </w:tcPr>
          <w:p>
            <w:pPr>
              <w:widowControl/>
              <w:spacing w:line="440" w:lineRule="exact"/>
              <w:jc w:val="center"/>
              <w:rPr>
                <w:rFonts w:ascii="宋体" w:hAnsi="宋体"/>
                <w:szCs w:val="21"/>
              </w:rPr>
            </w:pPr>
            <w:r>
              <w:rPr>
                <w:rFonts w:ascii="宋体" w:hAnsi="宋体"/>
                <w:szCs w:val="21"/>
              </w:rPr>
              <w:t>16</w:t>
            </w:r>
          </w:p>
        </w:tc>
        <w:tc>
          <w:tcPr>
            <w:tcW w:w="1267" w:type="dxa"/>
            <w:vAlign w:val="center"/>
          </w:tcPr>
          <w:p>
            <w:pPr>
              <w:widowControl/>
              <w:spacing w:line="440" w:lineRule="exact"/>
              <w:jc w:val="center"/>
              <w:rPr>
                <w:rFonts w:ascii="宋体" w:hAnsi="宋体"/>
                <w:szCs w:val="21"/>
              </w:rPr>
            </w:pPr>
            <w:r>
              <w:rPr>
                <w:rFonts w:ascii="宋体" w:hAnsi="宋体"/>
                <w:szCs w:val="21"/>
              </w:rPr>
              <w:t>热能表</w:t>
            </w:r>
          </w:p>
        </w:tc>
        <w:tc>
          <w:tcPr>
            <w:tcW w:w="1712" w:type="dxa"/>
            <w:vAlign w:val="center"/>
          </w:tcPr>
          <w:p>
            <w:pPr>
              <w:widowControl/>
              <w:spacing w:line="440" w:lineRule="exact"/>
              <w:jc w:val="center"/>
              <w:rPr>
                <w:rFonts w:ascii="宋体" w:hAnsi="宋体"/>
                <w:szCs w:val="21"/>
              </w:rPr>
            </w:pPr>
            <w:r>
              <w:rPr>
                <w:rFonts w:ascii="宋体" w:hAnsi="宋体"/>
                <w:szCs w:val="21"/>
              </w:rPr>
              <w:t>热能表DN15～DN50</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用于贸易结算：用热量的测量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13</w:t>
            </w:r>
          </w:p>
        </w:tc>
        <w:tc>
          <w:tcPr>
            <w:tcW w:w="663" w:type="dxa"/>
            <w:vAlign w:val="center"/>
          </w:tcPr>
          <w:p>
            <w:pPr>
              <w:widowControl/>
              <w:spacing w:line="440" w:lineRule="exact"/>
              <w:jc w:val="center"/>
              <w:rPr>
                <w:rFonts w:ascii="宋体" w:hAnsi="宋体"/>
                <w:szCs w:val="21"/>
              </w:rPr>
            </w:pPr>
            <w:r>
              <w:rPr>
                <w:rFonts w:ascii="宋体" w:hAnsi="宋体"/>
                <w:szCs w:val="21"/>
              </w:rPr>
              <w:t>17</w:t>
            </w:r>
          </w:p>
        </w:tc>
        <w:tc>
          <w:tcPr>
            <w:tcW w:w="1267" w:type="dxa"/>
            <w:vAlign w:val="center"/>
          </w:tcPr>
          <w:p>
            <w:pPr>
              <w:widowControl/>
              <w:spacing w:line="440" w:lineRule="exact"/>
              <w:jc w:val="center"/>
              <w:rPr>
                <w:rFonts w:ascii="宋体" w:hAnsi="宋体"/>
                <w:szCs w:val="21"/>
              </w:rPr>
            </w:pPr>
            <w:r>
              <w:rPr>
                <w:rFonts w:ascii="宋体" w:hAnsi="宋体"/>
                <w:szCs w:val="21"/>
              </w:rPr>
              <w:t>流量计</w:t>
            </w:r>
          </w:p>
        </w:tc>
        <w:tc>
          <w:tcPr>
            <w:tcW w:w="1712" w:type="dxa"/>
            <w:vAlign w:val="center"/>
          </w:tcPr>
          <w:p>
            <w:pPr>
              <w:widowControl/>
              <w:spacing w:line="440" w:lineRule="exact"/>
              <w:jc w:val="center"/>
              <w:rPr>
                <w:rFonts w:ascii="宋体" w:hAnsi="宋体"/>
                <w:szCs w:val="21"/>
              </w:rPr>
            </w:pPr>
            <w:r>
              <w:rPr>
                <w:rFonts w:ascii="宋体" w:hAnsi="宋体"/>
                <w:szCs w:val="21"/>
              </w:rPr>
              <w:t>流量计（口径范围DN300及以下）</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用于贸易结算：液体、气体、蒸汽流量的测量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14</w:t>
            </w:r>
          </w:p>
        </w:tc>
        <w:tc>
          <w:tcPr>
            <w:tcW w:w="663" w:type="dxa"/>
            <w:vAlign w:val="center"/>
          </w:tcPr>
          <w:p>
            <w:pPr>
              <w:widowControl/>
              <w:spacing w:line="440" w:lineRule="exact"/>
              <w:jc w:val="center"/>
              <w:rPr>
                <w:rFonts w:ascii="宋体" w:hAnsi="宋体"/>
                <w:szCs w:val="21"/>
              </w:rPr>
            </w:pPr>
            <w:r>
              <w:rPr>
                <w:rFonts w:ascii="宋体" w:hAnsi="宋体"/>
                <w:szCs w:val="21"/>
              </w:rPr>
              <w:t>18</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血压计（表）</w:t>
            </w:r>
          </w:p>
        </w:tc>
        <w:tc>
          <w:tcPr>
            <w:tcW w:w="1712" w:type="dxa"/>
            <w:vAlign w:val="center"/>
          </w:tcPr>
          <w:p>
            <w:pPr>
              <w:widowControl/>
              <w:spacing w:line="440" w:lineRule="exact"/>
              <w:jc w:val="center"/>
              <w:rPr>
                <w:rFonts w:ascii="宋体" w:hAnsi="宋体"/>
                <w:szCs w:val="21"/>
              </w:rPr>
            </w:pPr>
            <w:r>
              <w:rPr>
                <w:rFonts w:ascii="宋体" w:hAnsi="宋体"/>
                <w:szCs w:val="21"/>
              </w:rPr>
              <w:t>无创自动测量血压计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用于医疗卫生：医疗机构对人体血压的测量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19</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无创非自动测量血压计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用于医疗卫生：医疗机构对人体血压的测量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15</w:t>
            </w:r>
          </w:p>
        </w:tc>
        <w:tc>
          <w:tcPr>
            <w:tcW w:w="663" w:type="dxa"/>
            <w:vAlign w:val="center"/>
          </w:tcPr>
          <w:p>
            <w:pPr>
              <w:widowControl/>
              <w:spacing w:line="440" w:lineRule="exact"/>
              <w:jc w:val="center"/>
              <w:rPr>
                <w:rFonts w:ascii="宋体" w:hAnsi="宋体"/>
                <w:szCs w:val="21"/>
              </w:rPr>
            </w:pPr>
            <w:r>
              <w:rPr>
                <w:rFonts w:ascii="宋体" w:hAnsi="宋体"/>
                <w:szCs w:val="21"/>
              </w:rPr>
              <w:t>20</w:t>
            </w:r>
          </w:p>
        </w:tc>
        <w:tc>
          <w:tcPr>
            <w:tcW w:w="1267" w:type="dxa"/>
            <w:vAlign w:val="center"/>
          </w:tcPr>
          <w:p>
            <w:pPr>
              <w:widowControl/>
              <w:spacing w:line="440" w:lineRule="exact"/>
              <w:jc w:val="center"/>
              <w:rPr>
                <w:rFonts w:ascii="宋体" w:hAnsi="宋体"/>
                <w:szCs w:val="21"/>
              </w:rPr>
            </w:pPr>
            <w:r>
              <w:rPr>
                <w:rFonts w:ascii="宋体" w:hAnsi="宋体"/>
                <w:szCs w:val="21"/>
              </w:rPr>
              <w:t>眼压计</w:t>
            </w:r>
          </w:p>
        </w:tc>
        <w:tc>
          <w:tcPr>
            <w:tcW w:w="1712" w:type="dxa"/>
            <w:vAlign w:val="center"/>
          </w:tcPr>
          <w:p>
            <w:pPr>
              <w:widowControl/>
              <w:spacing w:line="440" w:lineRule="exact"/>
              <w:jc w:val="center"/>
              <w:rPr>
                <w:rFonts w:ascii="宋体" w:hAnsi="宋体"/>
                <w:szCs w:val="21"/>
              </w:rPr>
            </w:pPr>
            <w:r>
              <w:rPr>
                <w:rFonts w:ascii="宋体" w:hAnsi="宋体"/>
                <w:szCs w:val="21"/>
              </w:rPr>
              <w:t>眼压计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用于医疗卫生：医疗机构对人体眼压的测量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16</w:t>
            </w:r>
          </w:p>
        </w:tc>
        <w:tc>
          <w:tcPr>
            <w:tcW w:w="663" w:type="dxa"/>
            <w:vAlign w:val="center"/>
          </w:tcPr>
          <w:p>
            <w:pPr>
              <w:widowControl/>
              <w:spacing w:line="440" w:lineRule="exact"/>
              <w:jc w:val="center"/>
              <w:rPr>
                <w:rFonts w:ascii="宋体" w:hAnsi="宋体"/>
                <w:szCs w:val="21"/>
              </w:rPr>
            </w:pPr>
            <w:r>
              <w:rPr>
                <w:rFonts w:ascii="宋体" w:hAnsi="宋体"/>
                <w:szCs w:val="21"/>
              </w:rPr>
              <w:t>21</w:t>
            </w:r>
          </w:p>
        </w:tc>
        <w:tc>
          <w:tcPr>
            <w:tcW w:w="1267" w:type="dxa"/>
            <w:vAlign w:val="center"/>
          </w:tcPr>
          <w:p>
            <w:pPr>
              <w:widowControl/>
              <w:spacing w:line="440" w:lineRule="exact"/>
              <w:jc w:val="center"/>
              <w:rPr>
                <w:rFonts w:ascii="宋体" w:hAnsi="宋体"/>
                <w:szCs w:val="21"/>
              </w:rPr>
            </w:pPr>
            <w:r>
              <w:rPr>
                <w:rFonts w:ascii="宋体" w:hAnsi="宋体"/>
                <w:szCs w:val="21"/>
              </w:rPr>
              <w:t>压力仪表</w:t>
            </w:r>
          </w:p>
        </w:tc>
        <w:tc>
          <w:tcPr>
            <w:tcW w:w="1712" w:type="dxa"/>
            <w:vAlign w:val="center"/>
          </w:tcPr>
          <w:p>
            <w:pPr>
              <w:widowControl/>
              <w:spacing w:line="440" w:lineRule="exact"/>
              <w:jc w:val="center"/>
              <w:rPr>
                <w:rFonts w:ascii="宋体" w:hAnsi="宋体"/>
                <w:szCs w:val="21"/>
              </w:rPr>
            </w:pPr>
            <w:r>
              <w:rPr>
                <w:rFonts w:ascii="宋体" w:hAnsi="宋体"/>
                <w:szCs w:val="21"/>
              </w:rPr>
              <w:t>指示类压力表、显示类压力表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安全防护：1.电站锅炉主气包和给水压力的测量；2.固定式空压机风仓及总管压力的测量；3.发电机、气轮机油压及机车压力的测量；4.带报警装置压力的测量；5.密封增压容器压力的测量；6.有害、有毒、腐蚀性严重介质压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17</w:t>
            </w:r>
          </w:p>
        </w:tc>
        <w:tc>
          <w:tcPr>
            <w:tcW w:w="663" w:type="dxa"/>
            <w:vAlign w:val="center"/>
          </w:tcPr>
          <w:p>
            <w:pPr>
              <w:widowControl/>
              <w:spacing w:line="440" w:lineRule="exact"/>
              <w:jc w:val="center"/>
              <w:rPr>
                <w:rFonts w:ascii="宋体" w:hAnsi="宋体"/>
                <w:szCs w:val="21"/>
              </w:rPr>
            </w:pPr>
            <w:r>
              <w:rPr>
                <w:rFonts w:hint="eastAsia" w:ascii="宋体" w:hAnsi="宋体"/>
                <w:szCs w:val="21"/>
              </w:rPr>
              <w:t>22</w:t>
            </w:r>
          </w:p>
        </w:tc>
        <w:tc>
          <w:tcPr>
            <w:tcW w:w="1267" w:type="dxa"/>
            <w:vAlign w:val="center"/>
          </w:tcPr>
          <w:p>
            <w:pPr>
              <w:widowControl/>
              <w:spacing w:line="440" w:lineRule="exact"/>
              <w:jc w:val="center"/>
              <w:rPr>
                <w:rFonts w:ascii="宋体" w:hAnsi="宋体"/>
                <w:szCs w:val="21"/>
              </w:rPr>
            </w:pPr>
            <w:r>
              <w:rPr>
                <w:rFonts w:ascii="宋体" w:hAnsi="宋体"/>
                <w:szCs w:val="21"/>
              </w:rPr>
              <w:t>机动车测速仪</w:t>
            </w:r>
          </w:p>
        </w:tc>
        <w:tc>
          <w:tcPr>
            <w:tcW w:w="1712" w:type="dxa"/>
            <w:vAlign w:val="center"/>
          </w:tcPr>
          <w:p>
            <w:pPr>
              <w:widowControl/>
              <w:spacing w:line="440" w:lineRule="exact"/>
              <w:jc w:val="center"/>
              <w:rPr>
                <w:rFonts w:ascii="宋体" w:hAnsi="宋体"/>
                <w:szCs w:val="21"/>
              </w:rPr>
            </w:pPr>
            <w:r>
              <w:rPr>
                <w:rFonts w:ascii="宋体" w:hAnsi="宋体"/>
                <w:szCs w:val="21"/>
              </w:rPr>
              <w:t>机动车测速仪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用于安全防护：机动车行驶速度的监测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18</w:t>
            </w:r>
          </w:p>
        </w:tc>
        <w:tc>
          <w:tcPr>
            <w:tcW w:w="663" w:type="dxa"/>
            <w:vAlign w:val="center"/>
          </w:tcPr>
          <w:p>
            <w:pPr>
              <w:widowControl/>
              <w:spacing w:line="440" w:lineRule="exact"/>
              <w:jc w:val="center"/>
              <w:rPr>
                <w:rFonts w:ascii="宋体" w:hAnsi="宋体"/>
                <w:szCs w:val="21"/>
              </w:rPr>
            </w:pPr>
            <w:r>
              <w:rPr>
                <w:rFonts w:ascii="宋体" w:hAnsi="宋体"/>
                <w:szCs w:val="21"/>
              </w:rPr>
              <w:t>23</w:t>
            </w:r>
          </w:p>
        </w:tc>
        <w:tc>
          <w:tcPr>
            <w:tcW w:w="1267" w:type="dxa"/>
            <w:vAlign w:val="center"/>
          </w:tcPr>
          <w:p>
            <w:pPr>
              <w:widowControl/>
              <w:spacing w:line="440" w:lineRule="exact"/>
              <w:jc w:val="center"/>
              <w:rPr>
                <w:rFonts w:ascii="宋体" w:hAnsi="宋体"/>
                <w:szCs w:val="21"/>
              </w:rPr>
            </w:pPr>
            <w:r>
              <w:rPr>
                <w:rFonts w:ascii="宋体" w:hAnsi="宋体"/>
                <w:szCs w:val="21"/>
              </w:rPr>
              <w:t>出租汽车</w:t>
            </w:r>
          </w:p>
          <w:p>
            <w:pPr>
              <w:widowControl/>
              <w:spacing w:line="440" w:lineRule="exact"/>
              <w:jc w:val="center"/>
              <w:rPr>
                <w:rFonts w:ascii="宋体" w:hAnsi="宋体"/>
                <w:szCs w:val="21"/>
              </w:rPr>
            </w:pPr>
            <w:r>
              <w:rPr>
                <w:rFonts w:ascii="宋体" w:hAnsi="宋体"/>
                <w:szCs w:val="21"/>
              </w:rPr>
              <w:t>计价器</w:t>
            </w:r>
          </w:p>
        </w:tc>
        <w:tc>
          <w:tcPr>
            <w:tcW w:w="1712" w:type="dxa"/>
            <w:vAlign w:val="center"/>
          </w:tcPr>
          <w:p>
            <w:pPr>
              <w:widowControl/>
              <w:spacing w:line="440" w:lineRule="exact"/>
              <w:jc w:val="center"/>
              <w:rPr>
                <w:rFonts w:ascii="宋体" w:hAnsi="宋体"/>
                <w:szCs w:val="21"/>
              </w:rPr>
            </w:pPr>
            <w:r>
              <w:rPr>
                <w:rFonts w:ascii="宋体" w:hAnsi="宋体"/>
                <w:szCs w:val="21"/>
              </w:rPr>
              <w:t>出租汽车计价器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用于贸易结算：出租汽车计时计里程的测量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19</w:t>
            </w:r>
          </w:p>
        </w:tc>
        <w:tc>
          <w:tcPr>
            <w:tcW w:w="663" w:type="dxa"/>
            <w:vAlign w:val="center"/>
          </w:tcPr>
          <w:p>
            <w:pPr>
              <w:widowControl/>
              <w:spacing w:line="440" w:lineRule="exact"/>
              <w:jc w:val="center"/>
              <w:rPr>
                <w:rFonts w:ascii="宋体" w:hAnsi="宋体"/>
                <w:szCs w:val="21"/>
              </w:rPr>
            </w:pPr>
            <w:r>
              <w:rPr>
                <w:rFonts w:ascii="宋体" w:hAnsi="宋体"/>
                <w:szCs w:val="21"/>
              </w:rPr>
              <w:t>24</w:t>
            </w:r>
          </w:p>
        </w:tc>
        <w:tc>
          <w:tcPr>
            <w:tcW w:w="1267" w:type="dxa"/>
            <w:vAlign w:val="center"/>
          </w:tcPr>
          <w:p>
            <w:pPr>
              <w:widowControl/>
              <w:spacing w:line="440" w:lineRule="exact"/>
              <w:jc w:val="center"/>
              <w:rPr>
                <w:rFonts w:ascii="宋体" w:hAnsi="宋体"/>
                <w:szCs w:val="21"/>
              </w:rPr>
            </w:pPr>
            <w:r>
              <w:rPr>
                <w:rFonts w:ascii="宋体" w:hAnsi="宋体"/>
                <w:szCs w:val="21"/>
              </w:rPr>
              <w:t>电能表</w:t>
            </w:r>
          </w:p>
        </w:tc>
        <w:tc>
          <w:tcPr>
            <w:tcW w:w="1712" w:type="dxa"/>
            <w:vAlign w:val="center"/>
          </w:tcPr>
          <w:p>
            <w:pPr>
              <w:widowControl/>
              <w:spacing w:line="440" w:lineRule="exact"/>
              <w:jc w:val="center"/>
              <w:rPr>
                <w:rFonts w:ascii="宋体" w:hAnsi="宋体"/>
                <w:szCs w:val="21"/>
              </w:rPr>
            </w:pPr>
            <w:r>
              <w:rPr>
                <w:rFonts w:ascii="宋体" w:hAnsi="宋体"/>
                <w:szCs w:val="21"/>
              </w:rPr>
              <w:t>电能表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left"/>
              <w:rPr>
                <w:rFonts w:ascii="宋体" w:hAnsi="宋体"/>
                <w:spacing w:val="-10"/>
                <w:szCs w:val="21"/>
              </w:rPr>
            </w:pPr>
            <w:r>
              <w:rPr>
                <w:rFonts w:hint="eastAsia" w:ascii="宋体" w:hAnsi="宋体"/>
                <w:spacing w:val="-10"/>
                <w:szCs w:val="21"/>
              </w:rPr>
              <w:t>工业用：周期检定            生活用：首次强制检定，限期使用，到期轮换或根据表计状态延期</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用于贸易结算：用电量的测量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20</w:t>
            </w:r>
          </w:p>
        </w:tc>
        <w:tc>
          <w:tcPr>
            <w:tcW w:w="663" w:type="dxa"/>
            <w:vAlign w:val="center"/>
          </w:tcPr>
          <w:p>
            <w:pPr>
              <w:widowControl/>
              <w:spacing w:line="440" w:lineRule="exact"/>
              <w:jc w:val="center"/>
              <w:rPr>
                <w:rFonts w:ascii="宋体" w:hAnsi="宋体"/>
                <w:szCs w:val="21"/>
              </w:rPr>
            </w:pPr>
            <w:r>
              <w:rPr>
                <w:rFonts w:ascii="宋体" w:hAnsi="宋体"/>
                <w:szCs w:val="21"/>
              </w:rPr>
              <w:t>25</w:t>
            </w:r>
          </w:p>
        </w:tc>
        <w:tc>
          <w:tcPr>
            <w:tcW w:w="1267" w:type="dxa"/>
            <w:vAlign w:val="center"/>
          </w:tcPr>
          <w:p>
            <w:pPr>
              <w:widowControl/>
              <w:spacing w:line="440" w:lineRule="exact"/>
              <w:jc w:val="center"/>
              <w:rPr>
                <w:rFonts w:ascii="宋体" w:hAnsi="宋体"/>
                <w:szCs w:val="21"/>
              </w:rPr>
            </w:pPr>
            <w:r>
              <w:rPr>
                <w:rFonts w:ascii="宋体" w:hAnsi="宋体"/>
                <w:szCs w:val="21"/>
              </w:rPr>
              <w:t>声级计</w:t>
            </w:r>
          </w:p>
        </w:tc>
        <w:tc>
          <w:tcPr>
            <w:tcW w:w="1712" w:type="dxa"/>
            <w:vAlign w:val="center"/>
          </w:tcPr>
          <w:p>
            <w:pPr>
              <w:widowControl/>
              <w:spacing w:line="440" w:lineRule="exact"/>
              <w:jc w:val="center"/>
              <w:rPr>
                <w:rFonts w:ascii="宋体" w:hAnsi="宋体"/>
                <w:szCs w:val="21"/>
              </w:rPr>
            </w:pPr>
            <w:r>
              <w:rPr>
                <w:rFonts w:ascii="宋体" w:hAnsi="宋体"/>
                <w:szCs w:val="21"/>
              </w:rPr>
              <w:t>声级计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用于环境监测：噪声的测量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21</w:t>
            </w:r>
          </w:p>
        </w:tc>
        <w:tc>
          <w:tcPr>
            <w:tcW w:w="663" w:type="dxa"/>
            <w:vAlign w:val="center"/>
          </w:tcPr>
          <w:p>
            <w:pPr>
              <w:widowControl/>
              <w:spacing w:line="440" w:lineRule="exact"/>
              <w:jc w:val="center"/>
              <w:rPr>
                <w:rFonts w:ascii="宋体" w:hAnsi="宋体"/>
                <w:szCs w:val="21"/>
              </w:rPr>
            </w:pPr>
            <w:r>
              <w:rPr>
                <w:rFonts w:ascii="宋体" w:hAnsi="宋体"/>
                <w:szCs w:val="21"/>
              </w:rPr>
              <w:t>26</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听力计</w:t>
            </w:r>
          </w:p>
        </w:tc>
        <w:tc>
          <w:tcPr>
            <w:tcW w:w="1712" w:type="dxa"/>
            <w:vAlign w:val="center"/>
          </w:tcPr>
          <w:p>
            <w:pPr>
              <w:widowControl/>
              <w:spacing w:line="440" w:lineRule="exact"/>
              <w:jc w:val="center"/>
              <w:rPr>
                <w:rFonts w:ascii="宋体" w:hAnsi="宋体"/>
                <w:szCs w:val="21"/>
              </w:rPr>
            </w:pPr>
            <w:r>
              <w:rPr>
                <w:rFonts w:ascii="宋体" w:hAnsi="宋体"/>
                <w:szCs w:val="21"/>
              </w:rPr>
              <w:t>纯音听力计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用于医疗卫生：医疗机构对人体听力的测量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27</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阻抗听力计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用于医疗卫生：医疗机构对人体听力的测量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22</w:t>
            </w:r>
          </w:p>
        </w:tc>
        <w:tc>
          <w:tcPr>
            <w:tcW w:w="663" w:type="dxa"/>
            <w:vAlign w:val="center"/>
          </w:tcPr>
          <w:p>
            <w:pPr>
              <w:widowControl/>
              <w:spacing w:line="440" w:lineRule="exact"/>
              <w:jc w:val="center"/>
              <w:rPr>
                <w:rFonts w:ascii="宋体" w:hAnsi="宋体"/>
                <w:szCs w:val="21"/>
              </w:rPr>
            </w:pPr>
            <w:r>
              <w:rPr>
                <w:rFonts w:ascii="宋体" w:hAnsi="宋体"/>
                <w:szCs w:val="21"/>
              </w:rPr>
              <w:t>28</w:t>
            </w:r>
          </w:p>
        </w:tc>
        <w:tc>
          <w:tcPr>
            <w:tcW w:w="1267" w:type="dxa"/>
            <w:vAlign w:val="center"/>
          </w:tcPr>
          <w:p>
            <w:pPr>
              <w:widowControl/>
              <w:spacing w:line="440" w:lineRule="exact"/>
              <w:jc w:val="center"/>
              <w:rPr>
                <w:rFonts w:ascii="宋体" w:hAnsi="宋体"/>
                <w:szCs w:val="21"/>
              </w:rPr>
            </w:pPr>
            <w:r>
              <w:rPr>
                <w:rFonts w:ascii="宋体" w:hAnsi="宋体"/>
                <w:szCs w:val="21"/>
              </w:rPr>
              <w:t>焦度计</w:t>
            </w:r>
          </w:p>
        </w:tc>
        <w:tc>
          <w:tcPr>
            <w:tcW w:w="1712" w:type="dxa"/>
            <w:vAlign w:val="center"/>
          </w:tcPr>
          <w:p>
            <w:pPr>
              <w:widowControl/>
              <w:spacing w:line="440" w:lineRule="exact"/>
              <w:jc w:val="center"/>
              <w:rPr>
                <w:rFonts w:ascii="宋体" w:hAnsi="宋体"/>
                <w:szCs w:val="21"/>
              </w:rPr>
            </w:pPr>
            <w:r>
              <w:rPr>
                <w:rFonts w:ascii="宋体" w:hAnsi="宋体"/>
                <w:szCs w:val="21"/>
              </w:rPr>
              <w:t>焦度计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用于医疗卫生：医疗机构、眼镜制配场所对眼镜镜片焦度的测量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23</w:t>
            </w:r>
          </w:p>
        </w:tc>
        <w:tc>
          <w:tcPr>
            <w:tcW w:w="663" w:type="dxa"/>
            <w:vAlign w:val="center"/>
          </w:tcPr>
          <w:p>
            <w:pPr>
              <w:widowControl/>
              <w:spacing w:line="440" w:lineRule="exact"/>
              <w:jc w:val="center"/>
              <w:rPr>
                <w:rFonts w:ascii="宋体" w:hAnsi="宋体"/>
                <w:szCs w:val="21"/>
              </w:rPr>
            </w:pPr>
            <w:r>
              <w:rPr>
                <w:rFonts w:ascii="宋体" w:hAnsi="宋体"/>
                <w:szCs w:val="21"/>
              </w:rPr>
              <w:t>29</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验光仪器</w:t>
            </w:r>
          </w:p>
        </w:tc>
        <w:tc>
          <w:tcPr>
            <w:tcW w:w="1712" w:type="dxa"/>
            <w:vAlign w:val="center"/>
          </w:tcPr>
          <w:p>
            <w:pPr>
              <w:widowControl/>
              <w:spacing w:line="440" w:lineRule="exact"/>
              <w:jc w:val="center"/>
              <w:rPr>
                <w:rFonts w:ascii="宋体" w:hAnsi="宋体"/>
                <w:szCs w:val="21"/>
              </w:rPr>
            </w:pPr>
            <w:r>
              <w:rPr>
                <w:rFonts w:ascii="宋体" w:hAnsi="宋体"/>
                <w:szCs w:val="21"/>
              </w:rPr>
              <w:t>验光仪、综合验光仪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tcPr>
          <w:p>
            <w:pPr>
              <w:jc w:val="left"/>
              <w:rPr>
                <w:rFonts w:ascii="宋体" w:hAnsi="宋体"/>
                <w:szCs w:val="21"/>
              </w:rPr>
            </w:pPr>
            <w:r>
              <w:rPr>
                <w:rFonts w:hint="eastAsia" w:ascii="宋体" w:hAnsi="宋体"/>
                <w:szCs w:val="21"/>
              </w:rPr>
              <w:t>用于医疗卫生：医疗机构、眼镜制配场所验光使用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30</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验光镜片箱</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tcPr>
          <w:p>
            <w:pPr>
              <w:jc w:val="left"/>
              <w:rPr>
                <w:rFonts w:ascii="宋体" w:hAnsi="宋体"/>
                <w:szCs w:val="21"/>
              </w:rPr>
            </w:pPr>
            <w:r>
              <w:rPr>
                <w:rFonts w:hint="eastAsia" w:ascii="宋体" w:hAnsi="宋体"/>
                <w:szCs w:val="21"/>
              </w:rPr>
              <w:t>用于医疗卫生：医疗机构、眼镜制配场所验光使用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31</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角膜曲率计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用于医疗卫生：医疗机构、眼镜制配场所测量角膜曲率使用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24</w:t>
            </w:r>
          </w:p>
        </w:tc>
        <w:tc>
          <w:tcPr>
            <w:tcW w:w="663" w:type="dxa"/>
            <w:vAlign w:val="center"/>
          </w:tcPr>
          <w:p>
            <w:pPr>
              <w:widowControl/>
              <w:spacing w:line="440" w:lineRule="exact"/>
              <w:jc w:val="center"/>
              <w:rPr>
                <w:rFonts w:ascii="宋体" w:hAnsi="宋体"/>
                <w:szCs w:val="21"/>
              </w:rPr>
            </w:pPr>
            <w:r>
              <w:rPr>
                <w:rFonts w:ascii="宋体" w:hAnsi="宋体"/>
                <w:szCs w:val="21"/>
              </w:rPr>
              <w:t>32</w:t>
            </w:r>
          </w:p>
        </w:tc>
        <w:tc>
          <w:tcPr>
            <w:tcW w:w="1267" w:type="dxa"/>
            <w:vAlign w:val="center"/>
          </w:tcPr>
          <w:p>
            <w:pPr>
              <w:widowControl/>
              <w:spacing w:line="440" w:lineRule="exact"/>
              <w:jc w:val="center"/>
              <w:rPr>
                <w:rFonts w:ascii="宋体" w:hAnsi="宋体"/>
                <w:szCs w:val="21"/>
              </w:rPr>
            </w:pPr>
            <w:r>
              <w:rPr>
                <w:rFonts w:ascii="宋体" w:hAnsi="宋体"/>
                <w:szCs w:val="21"/>
              </w:rPr>
              <w:t>糖量计</w:t>
            </w:r>
          </w:p>
        </w:tc>
        <w:tc>
          <w:tcPr>
            <w:tcW w:w="1712" w:type="dxa"/>
            <w:vAlign w:val="center"/>
          </w:tcPr>
          <w:p>
            <w:pPr>
              <w:widowControl/>
              <w:spacing w:line="440" w:lineRule="exact"/>
              <w:jc w:val="center"/>
              <w:rPr>
                <w:rFonts w:ascii="宋体" w:hAnsi="宋体"/>
                <w:szCs w:val="21"/>
              </w:rPr>
            </w:pPr>
            <w:r>
              <w:rPr>
                <w:rFonts w:ascii="宋体" w:hAnsi="宋体"/>
                <w:szCs w:val="21"/>
              </w:rPr>
              <w:t>糖量计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用于贸易结算：制糖原料含糖量的测量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25</w:t>
            </w:r>
          </w:p>
        </w:tc>
        <w:tc>
          <w:tcPr>
            <w:tcW w:w="663" w:type="dxa"/>
            <w:vAlign w:val="center"/>
          </w:tcPr>
          <w:p>
            <w:pPr>
              <w:widowControl/>
              <w:spacing w:line="440" w:lineRule="exact"/>
              <w:jc w:val="center"/>
              <w:rPr>
                <w:rFonts w:ascii="宋体" w:hAnsi="宋体"/>
                <w:szCs w:val="21"/>
              </w:rPr>
            </w:pPr>
            <w:r>
              <w:rPr>
                <w:rFonts w:ascii="宋体" w:hAnsi="宋体"/>
                <w:szCs w:val="21"/>
              </w:rPr>
              <w:t>33</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烟尘粉尘</w:t>
            </w:r>
          </w:p>
          <w:p>
            <w:pPr>
              <w:widowControl/>
              <w:spacing w:line="440" w:lineRule="exact"/>
              <w:jc w:val="center"/>
              <w:rPr>
                <w:rFonts w:ascii="宋体" w:hAnsi="宋体"/>
                <w:szCs w:val="21"/>
              </w:rPr>
            </w:pPr>
            <w:r>
              <w:rPr>
                <w:rFonts w:ascii="宋体" w:hAnsi="宋体"/>
                <w:szCs w:val="21"/>
              </w:rPr>
              <w:t>测量仪</w:t>
            </w:r>
          </w:p>
        </w:tc>
        <w:tc>
          <w:tcPr>
            <w:tcW w:w="1712" w:type="dxa"/>
            <w:vAlign w:val="center"/>
          </w:tcPr>
          <w:p>
            <w:pPr>
              <w:widowControl/>
              <w:spacing w:line="440" w:lineRule="exact"/>
              <w:jc w:val="center"/>
              <w:rPr>
                <w:rFonts w:ascii="宋体" w:hAnsi="宋体"/>
                <w:szCs w:val="21"/>
              </w:rPr>
            </w:pPr>
            <w:r>
              <w:rPr>
                <w:rFonts w:ascii="宋体" w:hAnsi="宋体"/>
                <w:szCs w:val="21"/>
              </w:rPr>
              <w:t>烟尘采样器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34</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粉尘采样器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35</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粉尘浓度测量仪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26</w:t>
            </w:r>
          </w:p>
        </w:tc>
        <w:tc>
          <w:tcPr>
            <w:tcW w:w="663" w:type="dxa"/>
            <w:vAlign w:val="center"/>
          </w:tcPr>
          <w:p>
            <w:pPr>
              <w:widowControl/>
              <w:spacing w:line="440" w:lineRule="exact"/>
              <w:jc w:val="center"/>
              <w:rPr>
                <w:rFonts w:ascii="宋体" w:hAnsi="宋体"/>
                <w:szCs w:val="21"/>
              </w:rPr>
            </w:pPr>
            <w:r>
              <w:rPr>
                <w:rFonts w:ascii="宋体" w:hAnsi="宋体"/>
                <w:szCs w:val="21"/>
              </w:rPr>
              <w:t>36</w:t>
            </w:r>
          </w:p>
        </w:tc>
        <w:tc>
          <w:tcPr>
            <w:tcW w:w="1267" w:type="dxa"/>
            <w:vAlign w:val="center"/>
          </w:tcPr>
          <w:p>
            <w:pPr>
              <w:widowControl/>
              <w:spacing w:line="440" w:lineRule="exact"/>
              <w:jc w:val="center"/>
              <w:rPr>
                <w:rFonts w:ascii="宋体" w:hAnsi="宋体"/>
                <w:szCs w:val="21"/>
              </w:rPr>
            </w:pPr>
            <w:r>
              <w:rPr>
                <w:rFonts w:ascii="宋体" w:hAnsi="宋体"/>
                <w:szCs w:val="21"/>
              </w:rPr>
              <w:t>颗粒物</w:t>
            </w:r>
          </w:p>
          <w:p>
            <w:pPr>
              <w:widowControl/>
              <w:spacing w:line="440" w:lineRule="exact"/>
              <w:jc w:val="center"/>
              <w:rPr>
                <w:rFonts w:ascii="宋体" w:hAnsi="宋体"/>
                <w:szCs w:val="21"/>
              </w:rPr>
            </w:pPr>
            <w:r>
              <w:rPr>
                <w:rFonts w:ascii="宋体" w:hAnsi="宋体"/>
                <w:szCs w:val="21"/>
              </w:rPr>
              <w:t>采样器</w:t>
            </w:r>
          </w:p>
        </w:tc>
        <w:tc>
          <w:tcPr>
            <w:tcW w:w="1712" w:type="dxa"/>
            <w:vAlign w:val="center"/>
          </w:tcPr>
          <w:p>
            <w:pPr>
              <w:widowControl/>
              <w:spacing w:line="440" w:lineRule="exact"/>
              <w:jc w:val="center"/>
              <w:rPr>
                <w:rFonts w:ascii="宋体" w:hAnsi="宋体"/>
                <w:szCs w:val="21"/>
              </w:rPr>
            </w:pPr>
            <w:r>
              <w:rPr>
                <w:rFonts w:ascii="宋体" w:hAnsi="宋体"/>
                <w:szCs w:val="21"/>
              </w:rPr>
              <w:t>颗粒物采样器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27</w:t>
            </w:r>
          </w:p>
        </w:tc>
        <w:tc>
          <w:tcPr>
            <w:tcW w:w="663" w:type="dxa"/>
            <w:vAlign w:val="center"/>
          </w:tcPr>
          <w:p>
            <w:pPr>
              <w:widowControl/>
              <w:spacing w:line="440" w:lineRule="exact"/>
              <w:jc w:val="center"/>
              <w:rPr>
                <w:rFonts w:ascii="宋体" w:hAnsi="宋体"/>
                <w:szCs w:val="21"/>
              </w:rPr>
            </w:pPr>
            <w:r>
              <w:rPr>
                <w:rFonts w:ascii="宋体" w:hAnsi="宋体"/>
                <w:szCs w:val="21"/>
              </w:rPr>
              <w:t>37</w:t>
            </w:r>
          </w:p>
        </w:tc>
        <w:tc>
          <w:tcPr>
            <w:tcW w:w="1267" w:type="dxa"/>
            <w:vAlign w:val="center"/>
          </w:tcPr>
          <w:p>
            <w:pPr>
              <w:widowControl/>
              <w:spacing w:line="440" w:lineRule="exact"/>
              <w:jc w:val="center"/>
              <w:rPr>
                <w:rFonts w:ascii="宋体" w:hAnsi="宋体"/>
                <w:szCs w:val="21"/>
              </w:rPr>
            </w:pPr>
            <w:r>
              <w:rPr>
                <w:rFonts w:ascii="宋体" w:hAnsi="宋体"/>
                <w:szCs w:val="21"/>
              </w:rPr>
              <w:t>大气</w:t>
            </w:r>
          </w:p>
          <w:p>
            <w:pPr>
              <w:widowControl/>
              <w:spacing w:line="440" w:lineRule="exact"/>
              <w:jc w:val="center"/>
              <w:rPr>
                <w:rFonts w:ascii="宋体" w:hAnsi="宋体"/>
                <w:szCs w:val="21"/>
              </w:rPr>
            </w:pPr>
            <w:r>
              <w:rPr>
                <w:rFonts w:ascii="宋体" w:hAnsi="宋体"/>
                <w:szCs w:val="21"/>
              </w:rPr>
              <w:t>采样器</w:t>
            </w:r>
          </w:p>
        </w:tc>
        <w:tc>
          <w:tcPr>
            <w:tcW w:w="1712" w:type="dxa"/>
            <w:vAlign w:val="center"/>
          </w:tcPr>
          <w:p>
            <w:pPr>
              <w:widowControl/>
              <w:spacing w:line="440" w:lineRule="exact"/>
              <w:jc w:val="center"/>
              <w:rPr>
                <w:rFonts w:ascii="宋体" w:hAnsi="宋体"/>
                <w:szCs w:val="21"/>
              </w:rPr>
            </w:pPr>
            <w:r>
              <w:rPr>
                <w:rFonts w:ascii="宋体" w:hAnsi="宋体"/>
                <w:szCs w:val="21"/>
              </w:rPr>
              <w:t>大气采样器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28</w:t>
            </w:r>
          </w:p>
        </w:tc>
        <w:tc>
          <w:tcPr>
            <w:tcW w:w="663" w:type="dxa"/>
            <w:vAlign w:val="center"/>
          </w:tcPr>
          <w:p>
            <w:pPr>
              <w:widowControl/>
              <w:spacing w:line="440" w:lineRule="exact"/>
              <w:jc w:val="center"/>
              <w:rPr>
                <w:rFonts w:ascii="宋体" w:hAnsi="宋体"/>
                <w:szCs w:val="21"/>
              </w:rPr>
            </w:pPr>
            <w:r>
              <w:rPr>
                <w:rFonts w:ascii="宋体" w:hAnsi="宋体"/>
                <w:szCs w:val="21"/>
              </w:rPr>
              <w:t>38</w:t>
            </w:r>
          </w:p>
        </w:tc>
        <w:tc>
          <w:tcPr>
            <w:tcW w:w="1267" w:type="dxa"/>
            <w:vAlign w:val="center"/>
          </w:tcPr>
          <w:p>
            <w:pPr>
              <w:widowControl/>
              <w:spacing w:line="440" w:lineRule="exact"/>
              <w:jc w:val="center"/>
              <w:rPr>
                <w:rFonts w:ascii="宋体" w:hAnsi="宋体"/>
                <w:szCs w:val="21"/>
              </w:rPr>
            </w:pPr>
            <w:r>
              <w:rPr>
                <w:rFonts w:ascii="宋体" w:hAnsi="宋体"/>
                <w:szCs w:val="21"/>
              </w:rPr>
              <w:t>透射式</w:t>
            </w:r>
          </w:p>
          <w:p>
            <w:pPr>
              <w:widowControl/>
              <w:spacing w:line="440" w:lineRule="exact"/>
              <w:jc w:val="center"/>
              <w:rPr>
                <w:rFonts w:ascii="宋体" w:hAnsi="宋体"/>
                <w:szCs w:val="21"/>
              </w:rPr>
            </w:pPr>
            <w:r>
              <w:rPr>
                <w:rFonts w:ascii="宋体" w:hAnsi="宋体"/>
                <w:szCs w:val="21"/>
              </w:rPr>
              <w:t>烟度计</w:t>
            </w:r>
          </w:p>
        </w:tc>
        <w:tc>
          <w:tcPr>
            <w:tcW w:w="1712" w:type="dxa"/>
            <w:vAlign w:val="center"/>
          </w:tcPr>
          <w:p>
            <w:pPr>
              <w:widowControl/>
              <w:spacing w:line="440" w:lineRule="exact"/>
              <w:jc w:val="center"/>
              <w:rPr>
                <w:rFonts w:ascii="宋体" w:hAnsi="宋体"/>
                <w:szCs w:val="21"/>
              </w:rPr>
            </w:pPr>
            <w:r>
              <w:rPr>
                <w:rFonts w:ascii="宋体" w:hAnsi="宋体"/>
                <w:szCs w:val="21"/>
              </w:rPr>
              <w:t>透射式烟度计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用于环境监测：柴油发动机排放污染物的测量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29</w:t>
            </w:r>
          </w:p>
        </w:tc>
        <w:tc>
          <w:tcPr>
            <w:tcW w:w="663" w:type="dxa"/>
            <w:vAlign w:val="center"/>
          </w:tcPr>
          <w:p>
            <w:pPr>
              <w:widowControl/>
              <w:spacing w:line="440" w:lineRule="exact"/>
              <w:jc w:val="center"/>
              <w:rPr>
                <w:rFonts w:ascii="宋体" w:hAnsi="宋体"/>
                <w:szCs w:val="21"/>
              </w:rPr>
            </w:pPr>
            <w:r>
              <w:rPr>
                <w:rFonts w:ascii="宋体" w:hAnsi="宋体"/>
                <w:szCs w:val="21"/>
              </w:rPr>
              <w:t>39</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水分</w:t>
            </w:r>
          </w:p>
          <w:p>
            <w:pPr>
              <w:widowControl/>
              <w:spacing w:line="440" w:lineRule="exact"/>
              <w:jc w:val="center"/>
              <w:rPr>
                <w:rFonts w:ascii="宋体" w:hAnsi="宋体"/>
                <w:szCs w:val="21"/>
              </w:rPr>
            </w:pPr>
            <w:r>
              <w:rPr>
                <w:rFonts w:ascii="宋体" w:hAnsi="宋体"/>
                <w:szCs w:val="21"/>
              </w:rPr>
              <w:t>测定仪</w:t>
            </w:r>
          </w:p>
        </w:tc>
        <w:tc>
          <w:tcPr>
            <w:tcW w:w="1712" w:type="dxa"/>
            <w:vAlign w:val="center"/>
          </w:tcPr>
          <w:p>
            <w:pPr>
              <w:widowControl/>
              <w:spacing w:line="440" w:lineRule="exact"/>
              <w:jc w:val="center"/>
              <w:rPr>
                <w:rFonts w:ascii="宋体" w:hAnsi="宋体"/>
                <w:szCs w:val="21"/>
              </w:rPr>
            </w:pPr>
            <w:r>
              <w:rPr>
                <w:rFonts w:ascii="宋体" w:hAnsi="宋体"/>
                <w:szCs w:val="21"/>
              </w:rPr>
              <w:t>烘干法水分</w:t>
            </w:r>
          </w:p>
          <w:p>
            <w:pPr>
              <w:widowControl/>
              <w:spacing w:line="440" w:lineRule="exact"/>
              <w:jc w:val="center"/>
              <w:rPr>
                <w:rFonts w:ascii="宋体" w:hAnsi="宋体"/>
                <w:szCs w:val="21"/>
              </w:rPr>
            </w:pPr>
            <w:r>
              <w:rPr>
                <w:rFonts w:ascii="宋体" w:hAnsi="宋体"/>
                <w:szCs w:val="21"/>
              </w:rPr>
              <w:t>测定仪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40</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电容法和电阻法谷物水分测定仪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用于贸易结算：谷物水分的测量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41</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原棉水分测定仪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30</w:t>
            </w:r>
          </w:p>
        </w:tc>
        <w:tc>
          <w:tcPr>
            <w:tcW w:w="663" w:type="dxa"/>
            <w:vAlign w:val="center"/>
          </w:tcPr>
          <w:p>
            <w:pPr>
              <w:widowControl/>
              <w:spacing w:line="440" w:lineRule="exact"/>
              <w:jc w:val="center"/>
              <w:rPr>
                <w:rFonts w:ascii="宋体" w:hAnsi="宋体"/>
                <w:szCs w:val="21"/>
              </w:rPr>
            </w:pPr>
            <w:r>
              <w:rPr>
                <w:rFonts w:ascii="宋体" w:hAnsi="宋体"/>
                <w:szCs w:val="21"/>
              </w:rPr>
              <w:t>42</w:t>
            </w:r>
          </w:p>
        </w:tc>
        <w:tc>
          <w:tcPr>
            <w:tcW w:w="1267" w:type="dxa"/>
            <w:vAlign w:val="center"/>
          </w:tcPr>
          <w:p>
            <w:pPr>
              <w:widowControl/>
              <w:spacing w:line="440" w:lineRule="exact"/>
              <w:jc w:val="center"/>
              <w:rPr>
                <w:rFonts w:ascii="宋体" w:hAnsi="宋体"/>
                <w:szCs w:val="21"/>
              </w:rPr>
            </w:pPr>
            <w:r>
              <w:rPr>
                <w:rFonts w:ascii="宋体" w:hAnsi="宋体"/>
                <w:szCs w:val="21"/>
              </w:rPr>
              <w:t>呼出气体酒精含量检测仪</w:t>
            </w:r>
          </w:p>
        </w:tc>
        <w:tc>
          <w:tcPr>
            <w:tcW w:w="1712" w:type="dxa"/>
            <w:vAlign w:val="center"/>
          </w:tcPr>
          <w:p>
            <w:pPr>
              <w:widowControl/>
              <w:spacing w:line="440" w:lineRule="exact"/>
              <w:jc w:val="center"/>
              <w:rPr>
                <w:rFonts w:ascii="宋体" w:hAnsi="宋体"/>
                <w:szCs w:val="21"/>
              </w:rPr>
            </w:pPr>
            <w:r>
              <w:rPr>
                <w:rFonts w:ascii="宋体" w:hAnsi="宋体"/>
                <w:szCs w:val="21"/>
              </w:rPr>
              <w:t>呼出气体酒精含量检测仪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用于安全防护：对机动车司机是否酒后开车的监测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31</w:t>
            </w:r>
          </w:p>
        </w:tc>
        <w:tc>
          <w:tcPr>
            <w:tcW w:w="663" w:type="dxa"/>
            <w:vAlign w:val="center"/>
          </w:tcPr>
          <w:p>
            <w:pPr>
              <w:widowControl/>
              <w:spacing w:line="440" w:lineRule="exact"/>
              <w:jc w:val="center"/>
              <w:rPr>
                <w:rFonts w:ascii="宋体" w:hAnsi="宋体"/>
                <w:szCs w:val="21"/>
              </w:rPr>
            </w:pPr>
            <w:r>
              <w:rPr>
                <w:rFonts w:ascii="宋体" w:hAnsi="宋体"/>
                <w:szCs w:val="21"/>
              </w:rPr>
              <w:t>43</w:t>
            </w:r>
          </w:p>
        </w:tc>
        <w:tc>
          <w:tcPr>
            <w:tcW w:w="1267" w:type="dxa"/>
            <w:vAlign w:val="center"/>
          </w:tcPr>
          <w:p>
            <w:pPr>
              <w:widowControl/>
              <w:spacing w:line="440" w:lineRule="exact"/>
              <w:jc w:val="center"/>
              <w:rPr>
                <w:rFonts w:ascii="宋体" w:hAnsi="宋体"/>
                <w:szCs w:val="21"/>
              </w:rPr>
            </w:pPr>
            <w:r>
              <w:rPr>
                <w:rFonts w:ascii="宋体" w:hAnsi="宋体"/>
                <w:szCs w:val="21"/>
              </w:rPr>
              <w:t>谷物</w:t>
            </w:r>
          </w:p>
          <w:p>
            <w:pPr>
              <w:widowControl/>
              <w:spacing w:line="440" w:lineRule="exact"/>
              <w:jc w:val="center"/>
              <w:rPr>
                <w:rFonts w:ascii="宋体" w:hAnsi="宋体"/>
                <w:szCs w:val="21"/>
              </w:rPr>
            </w:pPr>
            <w:r>
              <w:rPr>
                <w:rFonts w:ascii="宋体" w:hAnsi="宋体"/>
                <w:szCs w:val="21"/>
              </w:rPr>
              <w:t>容重器</w:t>
            </w:r>
          </w:p>
        </w:tc>
        <w:tc>
          <w:tcPr>
            <w:tcW w:w="1712" w:type="dxa"/>
            <w:vAlign w:val="center"/>
          </w:tcPr>
          <w:p>
            <w:pPr>
              <w:widowControl/>
              <w:spacing w:line="440" w:lineRule="exact"/>
              <w:jc w:val="center"/>
              <w:rPr>
                <w:rFonts w:ascii="宋体" w:hAnsi="宋体"/>
                <w:szCs w:val="21"/>
              </w:rPr>
            </w:pPr>
            <w:r>
              <w:rPr>
                <w:rFonts w:ascii="宋体" w:hAnsi="宋体"/>
                <w:szCs w:val="21"/>
              </w:rPr>
              <w:t>谷物容重器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用于贸易结算：谷物收购时定等定价每升重量的测量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440" w:lineRule="exact"/>
              <w:jc w:val="center"/>
              <w:rPr>
                <w:rFonts w:ascii="宋体" w:hAnsi="宋体"/>
                <w:szCs w:val="21"/>
              </w:rPr>
            </w:pPr>
            <w:r>
              <w:rPr>
                <w:rFonts w:ascii="宋体" w:hAnsi="宋体"/>
                <w:szCs w:val="21"/>
              </w:rPr>
              <w:t>32</w:t>
            </w:r>
          </w:p>
        </w:tc>
        <w:tc>
          <w:tcPr>
            <w:tcW w:w="663" w:type="dxa"/>
            <w:vAlign w:val="center"/>
          </w:tcPr>
          <w:p>
            <w:pPr>
              <w:widowControl/>
              <w:spacing w:line="440" w:lineRule="exact"/>
              <w:jc w:val="center"/>
              <w:rPr>
                <w:rFonts w:ascii="宋体" w:hAnsi="宋体"/>
                <w:szCs w:val="21"/>
              </w:rPr>
            </w:pPr>
            <w:r>
              <w:rPr>
                <w:rFonts w:ascii="宋体" w:hAnsi="宋体"/>
                <w:szCs w:val="21"/>
              </w:rPr>
              <w:t>44</w:t>
            </w:r>
          </w:p>
        </w:tc>
        <w:tc>
          <w:tcPr>
            <w:tcW w:w="1267" w:type="dxa"/>
            <w:vAlign w:val="center"/>
          </w:tcPr>
          <w:p>
            <w:pPr>
              <w:widowControl/>
              <w:spacing w:line="440" w:lineRule="exact"/>
              <w:jc w:val="center"/>
              <w:rPr>
                <w:rFonts w:ascii="宋体" w:hAnsi="宋体"/>
                <w:szCs w:val="21"/>
              </w:rPr>
            </w:pPr>
            <w:r>
              <w:rPr>
                <w:rFonts w:ascii="宋体" w:hAnsi="宋体"/>
                <w:szCs w:val="21"/>
              </w:rPr>
              <w:t>乳汁计</w:t>
            </w:r>
          </w:p>
        </w:tc>
        <w:tc>
          <w:tcPr>
            <w:tcW w:w="1712" w:type="dxa"/>
            <w:vAlign w:val="center"/>
          </w:tcPr>
          <w:p>
            <w:pPr>
              <w:widowControl/>
              <w:spacing w:line="440" w:lineRule="exact"/>
              <w:jc w:val="center"/>
              <w:rPr>
                <w:rFonts w:ascii="宋体" w:hAnsi="宋体"/>
                <w:szCs w:val="21"/>
              </w:rPr>
            </w:pPr>
            <w:r>
              <w:rPr>
                <w:rFonts w:ascii="宋体" w:hAnsi="宋体"/>
                <w:szCs w:val="21"/>
              </w:rPr>
              <w:t>乳汁计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用于贸易结算：乳汁浓度和密度的测量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520" w:lineRule="exact"/>
              <w:jc w:val="center"/>
              <w:rPr>
                <w:rFonts w:ascii="宋体" w:hAnsi="宋体"/>
                <w:szCs w:val="21"/>
              </w:rPr>
            </w:pPr>
            <w:r>
              <w:rPr>
                <w:rFonts w:ascii="宋体" w:hAnsi="宋体"/>
                <w:szCs w:val="21"/>
              </w:rPr>
              <w:t>33</w:t>
            </w:r>
          </w:p>
        </w:tc>
        <w:tc>
          <w:tcPr>
            <w:tcW w:w="663" w:type="dxa"/>
            <w:vAlign w:val="center"/>
          </w:tcPr>
          <w:p>
            <w:pPr>
              <w:widowControl/>
              <w:spacing w:line="440" w:lineRule="exact"/>
              <w:jc w:val="center"/>
              <w:rPr>
                <w:rFonts w:ascii="宋体" w:hAnsi="宋体"/>
                <w:szCs w:val="21"/>
              </w:rPr>
            </w:pPr>
            <w:r>
              <w:rPr>
                <w:rFonts w:ascii="宋体" w:hAnsi="宋体"/>
                <w:szCs w:val="21"/>
              </w:rPr>
              <w:t>45</w:t>
            </w:r>
          </w:p>
        </w:tc>
        <w:tc>
          <w:tcPr>
            <w:tcW w:w="1267" w:type="dxa"/>
            <w:vAlign w:val="center"/>
          </w:tcPr>
          <w:p>
            <w:pPr>
              <w:widowControl/>
              <w:spacing w:line="440" w:lineRule="exact"/>
              <w:jc w:val="center"/>
              <w:rPr>
                <w:rFonts w:ascii="宋体" w:hAnsi="宋体"/>
                <w:szCs w:val="21"/>
              </w:rPr>
            </w:pPr>
            <w:r>
              <w:rPr>
                <w:rFonts w:ascii="宋体" w:hAnsi="宋体"/>
                <w:szCs w:val="21"/>
              </w:rPr>
              <w:t>电动汽车充电桩</w:t>
            </w:r>
          </w:p>
        </w:tc>
        <w:tc>
          <w:tcPr>
            <w:tcW w:w="1712" w:type="dxa"/>
            <w:vAlign w:val="center"/>
          </w:tcPr>
          <w:p>
            <w:pPr>
              <w:widowControl/>
              <w:spacing w:line="440" w:lineRule="exact"/>
              <w:jc w:val="center"/>
              <w:rPr>
                <w:rFonts w:ascii="宋体" w:hAnsi="宋体"/>
                <w:szCs w:val="21"/>
              </w:rPr>
            </w:pPr>
            <w:r>
              <w:rPr>
                <w:rFonts w:ascii="宋体" w:hAnsi="宋体"/>
                <w:szCs w:val="21"/>
              </w:rPr>
              <w:t>电动汽车交（直）流充电桩/非车载直流充电机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用于贸易结算：向社会提供充电服务的电动汽车充电桩充电量的测量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520" w:lineRule="exact"/>
              <w:jc w:val="center"/>
              <w:rPr>
                <w:rFonts w:ascii="宋体" w:hAnsi="宋体"/>
                <w:szCs w:val="21"/>
              </w:rPr>
            </w:pPr>
            <w:r>
              <w:rPr>
                <w:rFonts w:ascii="宋体" w:hAnsi="宋体"/>
                <w:szCs w:val="21"/>
              </w:rPr>
              <w:t>34</w:t>
            </w:r>
          </w:p>
        </w:tc>
        <w:tc>
          <w:tcPr>
            <w:tcW w:w="663" w:type="dxa"/>
            <w:vAlign w:val="center"/>
          </w:tcPr>
          <w:p>
            <w:pPr>
              <w:widowControl/>
              <w:spacing w:line="440" w:lineRule="exact"/>
              <w:jc w:val="center"/>
              <w:rPr>
                <w:rFonts w:ascii="宋体" w:hAnsi="宋体"/>
                <w:szCs w:val="21"/>
              </w:rPr>
            </w:pPr>
            <w:r>
              <w:rPr>
                <w:rFonts w:ascii="宋体" w:hAnsi="宋体"/>
                <w:szCs w:val="21"/>
              </w:rPr>
              <w:t>46</w:t>
            </w:r>
          </w:p>
        </w:tc>
        <w:tc>
          <w:tcPr>
            <w:tcW w:w="1267" w:type="dxa"/>
            <w:vAlign w:val="center"/>
          </w:tcPr>
          <w:p>
            <w:pPr>
              <w:widowControl/>
              <w:spacing w:line="440" w:lineRule="exact"/>
              <w:jc w:val="center"/>
              <w:rPr>
                <w:rFonts w:ascii="宋体" w:hAnsi="宋体"/>
                <w:szCs w:val="21"/>
              </w:rPr>
            </w:pPr>
            <w:r>
              <w:rPr>
                <w:rFonts w:ascii="宋体" w:hAnsi="宋体"/>
                <w:szCs w:val="21"/>
              </w:rPr>
              <w:t>放射治疗用电离室剂量计</w:t>
            </w:r>
          </w:p>
        </w:tc>
        <w:tc>
          <w:tcPr>
            <w:tcW w:w="1712" w:type="dxa"/>
            <w:vAlign w:val="center"/>
          </w:tcPr>
          <w:p>
            <w:pPr>
              <w:widowControl/>
              <w:spacing w:line="440" w:lineRule="exact"/>
              <w:jc w:val="center"/>
              <w:rPr>
                <w:rFonts w:ascii="宋体" w:hAnsi="宋体"/>
                <w:szCs w:val="21"/>
              </w:rPr>
            </w:pPr>
            <w:r>
              <w:rPr>
                <w:rFonts w:ascii="宋体" w:hAnsi="宋体"/>
                <w:szCs w:val="21"/>
              </w:rPr>
              <w:t>放射治疗用电离室剂量计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用于医疗卫生：医疗机构对人体放射剂量的测量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520" w:lineRule="exact"/>
              <w:jc w:val="center"/>
              <w:rPr>
                <w:rFonts w:ascii="宋体" w:hAnsi="宋体"/>
                <w:szCs w:val="21"/>
              </w:rPr>
            </w:pPr>
            <w:r>
              <w:rPr>
                <w:rFonts w:ascii="宋体" w:hAnsi="宋体"/>
                <w:szCs w:val="21"/>
              </w:rPr>
              <w:t>35</w:t>
            </w:r>
          </w:p>
        </w:tc>
        <w:tc>
          <w:tcPr>
            <w:tcW w:w="663" w:type="dxa"/>
            <w:vAlign w:val="center"/>
          </w:tcPr>
          <w:p>
            <w:pPr>
              <w:widowControl/>
              <w:spacing w:line="440" w:lineRule="exact"/>
              <w:jc w:val="center"/>
              <w:rPr>
                <w:rFonts w:ascii="宋体" w:hAnsi="宋体"/>
                <w:szCs w:val="21"/>
              </w:rPr>
            </w:pPr>
            <w:r>
              <w:rPr>
                <w:rFonts w:ascii="宋体" w:hAnsi="宋体"/>
                <w:szCs w:val="21"/>
              </w:rPr>
              <w:t>47</w:t>
            </w:r>
          </w:p>
        </w:tc>
        <w:tc>
          <w:tcPr>
            <w:tcW w:w="1267" w:type="dxa"/>
            <w:vAlign w:val="center"/>
          </w:tcPr>
          <w:p>
            <w:pPr>
              <w:widowControl/>
              <w:spacing w:line="440" w:lineRule="exact"/>
              <w:jc w:val="center"/>
              <w:rPr>
                <w:rFonts w:ascii="宋体" w:hAnsi="宋体"/>
                <w:szCs w:val="21"/>
              </w:rPr>
            </w:pPr>
            <w:r>
              <w:rPr>
                <w:rFonts w:ascii="宋体" w:hAnsi="宋体"/>
                <w:szCs w:val="21"/>
              </w:rPr>
              <w:t>医用诊断X射线设备</w:t>
            </w:r>
          </w:p>
        </w:tc>
        <w:tc>
          <w:tcPr>
            <w:tcW w:w="1712" w:type="dxa"/>
            <w:vAlign w:val="center"/>
          </w:tcPr>
          <w:p>
            <w:pPr>
              <w:widowControl/>
              <w:spacing w:line="440" w:lineRule="exact"/>
              <w:jc w:val="center"/>
              <w:rPr>
                <w:rFonts w:ascii="宋体" w:hAnsi="宋体"/>
                <w:szCs w:val="21"/>
              </w:rPr>
            </w:pPr>
            <w:r>
              <w:rPr>
                <w:rFonts w:ascii="宋体" w:hAnsi="宋体"/>
                <w:szCs w:val="21"/>
              </w:rPr>
              <w:t>医用诊断X射线仪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用于医疗卫生：医疗机构对人体进行辐射诊断和治疗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520" w:lineRule="exact"/>
              <w:jc w:val="center"/>
              <w:rPr>
                <w:rFonts w:ascii="宋体" w:hAnsi="宋体"/>
                <w:szCs w:val="21"/>
              </w:rPr>
            </w:pPr>
            <w:r>
              <w:rPr>
                <w:rFonts w:ascii="宋体" w:hAnsi="宋体"/>
                <w:szCs w:val="21"/>
              </w:rPr>
              <w:t>36</w:t>
            </w:r>
          </w:p>
        </w:tc>
        <w:tc>
          <w:tcPr>
            <w:tcW w:w="663" w:type="dxa"/>
            <w:vAlign w:val="center"/>
          </w:tcPr>
          <w:p>
            <w:pPr>
              <w:widowControl/>
              <w:spacing w:line="440" w:lineRule="exact"/>
              <w:jc w:val="center"/>
              <w:rPr>
                <w:rFonts w:ascii="宋体" w:hAnsi="宋体"/>
                <w:szCs w:val="21"/>
              </w:rPr>
            </w:pPr>
            <w:r>
              <w:rPr>
                <w:rFonts w:ascii="宋体" w:hAnsi="宋体"/>
                <w:szCs w:val="21"/>
              </w:rPr>
              <w:t>48</w:t>
            </w:r>
          </w:p>
        </w:tc>
        <w:tc>
          <w:tcPr>
            <w:tcW w:w="1267" w:type="dxa"/>
            <w:vAlign w:val="center"/>
          </w:tcPr>
          <w:p>
            <w:pPr>
              <w:widowControl/>
              <w:spacing w:line="440" w:lineRule="exact"/>
              <w:jc w:val="center"/>
              <w:rPr>
                <w:rFonts w:ascii="宋体" w:hAnsi="宋体"/>
                <w:szCs w:val="21"/>
              </w:rPr>
            </w:pPr>
            <w:r>
              <w:rPr>
                <w:rFonts w:ascii="宋体" w:hAnsi="宋体"/>
                <w:szCs w:val="21"/>
              </w:rPr>
              <w:t>医用</w:t>
            </w:r>
          </w:p>
          <w:p>
            <w:pPr>
              <w:widowControl/>
              <w:spacing w:line="440" w:lineRule="exact"/>
              <w:jc w:val="center"/>
              <w:rPr>
                <w:rFonts w:ascii="宋体" w:hAnsi="宋体"/>
                <w:szCs w:val="21"/>
              </w:rPr>
            </w:pPr>
            <w:r>
              <w:rPr>
                <w:rFonts w:ascii="宋体" w:hAnsi="宋体"/>
                <w:szCs w:val="21"/>
              </w:rPr>
              <w:t>活度计</w:t>
            </w:r>
          </w:p>
        </w:tc>
        <w:tc>
          <w:tcPr>
            <w:tcW w:w="1712" w:type="dxa"/>
            <w:vAlign w:val="center"/>
          </w:tcPr>
          <w:p>
            <w:pPr>
              <w:widowControl/>
              <w:spacing w:line="440" w:lineRule="exact"/>
              <w:jc w:val="center"/>
              <w:rPr>
                <w:rFonts w:ascii="宋体" w:hAnsi="宋体"/>
                <w:szCs w:val="21"/>
              </w:rPr>
            </w:pPr>
            <w:r>
              <w:rPr>
                <w:rFonts w:ascii="宋体" w:hAnsi="宋体"/>
                <w:szCs w:val="21"/>
              </w:rPr>
              <w:t>医用活度计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用于医疗卫生：医疗机构以放射性核素进行诊断和治疗的核素活度的测量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520" w:lineRule="exact"/>
              <w:jc w:val="center"/>
              <w:rPr>
                <w:rFonts w:ascii="宋体" w:hAnsi="宋体"/>
                <w:szCs w:val="21"/>
              </w:rPr>
            </w:pPr>
            <w:r>
              <w:rPr>
                <w:rFonts w:ascii="宋体" w:hAnsi="宋体"/>
                <w:szCs w:val="21"/>
              </w:rPr>
              <w:t>37</w:t>
            </w:r>
          </w:p>
        </w:tc>
        <w:tc>
          <w:tcPr>
            <w:tcW w:w="663" w:type="dxa"/>
            <w:vAlign w:val="center"/>
          </w:tcPr>
          <w:p>
            <w:pPr>
              <w:widowControl/>
              <w:spacing w:line="440" w:lineRule="exact"/>
              <w:jc w:val="center"/>
              <w:rPr>
                <w:rFonts w:ascii="宋体" w:hAnsi="宋体"/>
                <w:szCs w:val="21"/>
              </w:rPr>
            </w:pPr>
            <w:r>
              <w:rPr>
                <w:rFonts w:ascii="宋体" w:hAnsi="宋体"/>
                <w:szCs w:val="21"/>
              </w:rPr>
              <w:t>49</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心脑电</w:t>
            </w:r>
          </w:p>
          <w:p>
            <w:pPr>
              <w:widowControl/>
              <w:spacing w:line="440" w:lineRule="exact"/>
              <w:jc w:val="center"/>
              <w:rPr>
                <w:rFonts w:ascii="宋体" w:hAnsi="宋体"/>
                <w:szCs w:val="21"/>
              </w:rPr>
            </w:pPr>
            <w:r>
              <w:rPr>
                <w:rFonts w:ascii="宋体" w:hAnsi="宋体"/>
                <w:szCs w:val="21"/>
              </w:rPr>
              <w:t>测量仪器</w:t>
            </w:r>
          </w:p>
        </w:tc>
        <w:tc>
          <w:tcPr>
            <w:tcW w:w="1712" w:type="dxa"/>
            <w:vAlign w:val="center"/>
          </w:tcPr>
          <w:p>
            <w:pPr>
              <w:widowControl/>
              <w:spacing w:line="440" w:lineRule="exact"/>
              <w:jc w:val="center"/>
              <w:rPr>
                <w:rFonts w:ascii="宋体" w:hAnsi="宋体"/>
                <w:szCs w:val="21"/>
              </w:rPr>
            </w:pPr>
            <w:r>
              <w:rPr>
                <w:rFonts w:ascii="宋体" w:hAnsi="宋体"/>
                <w:szCs w:val="21"/>
              </w:rPr>
              <w:t>心电图仪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用于医疗卫生：医疗机构对人体心电位的测量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52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50</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脑电图仪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用于医疗卫生：医疗机构对人体脑电位的测量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520" w:lineRule="exact"/>
              <w:jc w:val="left"/>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51</w:t>
            </w:r>
          </w:p>
        </w:tc>
        <w:tc>
          <w:tcPr>
            <w:tcW w:w="1267"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多参数监护仪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用于医疗卫生：医疗机构对人体心电、脉博、血氧饱和度等测量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widowControl/>
              <w:spacing w:line="520" w:lineRule="exact"/>
              <w:jc w:val="center"/>
              <w:rPr>
                <w:rFonts w:ascii="宋体" w:hAnsi="宋体"/>
                <w:szCs w:val="21"/>
              </w:rPr>
            </w:pPr>
            <w:r>
              <w:rPr>
                <w:rFonts w:ascii="宋体" w:hAnsi="宋体"/>
                <w:szCs w:val="21"/>
              </w:rPr>
              <w:t>38</w:t>
            </w:r>
          </w:p>
        </w:tc>
        <w:tc>
          <w:tcPr>
            <w:tcW w:w="663" w:type="dxa"/>
            <w:vAlign w:val="center"/>
          </w:tcPr>
          <w:p>
            <w:pPr>
              <w:widowControl/>
              <w:spacing w:line="440" w:lineRule="exact"/>
              <w:jc w:val="center"/>
              <w:rPr>
                <w:rFonts w:ascii="宋体" w:hAnsi="宋体"/>
                <w:szCs w:val="21"/>
              </w:rPr>
            </w:pPr>
            <w:r>
              <w:rPr>
                <w:rFonts w:ascii="宋体" w:hAnsi="宋体"/>
                <w:szCs w:val="21"/>
              </w:rPr>
              <w:t>52</w:t>
            </w:r>
          </w:p>
        </w:tc>
        <w:tc>
          <w:tcPr>
            <w:tcW w:w="1267" w:type="dxa"/>
            <w:vAlign w:val="center"/>
          </w:tcPr>
          <w:p>
            <w:pPr>
              <w:widowControl/>
              <w:spacing w:line="440" w:lineRule="exact"/>
              <w:jc w:val="center"/>
              <w:rPr>
                <w:rFonts w:ascii="宋体" w:hAnsi="宋体"/>
                <w:szCs w:val="21"/>
              </w:rPr>
            </w:pPr>
            <w:r>
              <w:rPr>
                <w:rFonts w:ascii="宋体" w:hAnsi="宋体"/>
                <w:szCs w:val="21"/>
              </w:rPr>
              <w:t>电力</w:t>
            </w:r>
          </w:p>
          <w:p>
            <w:pPr>
              <w:widowControl/>
              <w:spacing w:line="440" w:lineRule="exact"/>
              <w:jc w:val="center"/>
              <w:rPr>
                <w:rFonts w:ascii="宋体" w:hAnsi="宋体"/>
                <w:szCs w:val="21"/>
              </w:rPr>
            </w:pPr>
            <w:r>
              <w:rPr>
                <w:rFonts w:ascii="宋体" w:hAnsi="宋体"/>
                <w:szCs w:val="21"/>
              </w:rPr>
              <w:t>测量用</w:t>
            </w:r>
          </w:p>
          <w:p>
            <w:pPr>
              <w:widowControl/>
              <w:spacing w:line="440" w:lineRule="exact"/>
              <w:jc w:val="center"/>
              <w:rPr>
                <w:rFonts w:ascii="宋体" w:hAnsi="宋体"/>
                <w:szCs w:val="21"/>
              </w:rPr>
            </w:pPr>
            <w:r>
              <w:rPr>
                <w:rFonts w:ascii="宋体" w:hAnsi="宋体"/>
                <w:szCs w:val="21"/>
              </w:rPr>
              <w:t>互感器</w:t>
            </w:r>
          </w:p>
        </w:tc>
        <w:tc>
          <w:tcPr>
            <w:tcW w:w="1712" w:type="dxa"/>
            <w:vAlign w:val="center"/>
          </w:tcPr>
          <w:p>
            <w:pPr>
              <w:widowControl/>
              <w:spacing w:line="440" w:lineRule="exact"/>
              <w:jc w:val="center"/>
              <w:rPr>
                <w:rFonts w:ascii="宋体" w:hAnsi="宋体"/>
                <w:szCs w:val="21"/>
              </w:rPr>
            </w:pPr>
            <w:r>
              <w:rPr>
                <w:rFonts w:ascii="宋体" w:hAnsi="宋体"/>
                <w:szCs w:val="21"/>
              </w:rPr>
              <w:t>电力测量用</w:t>
            </w:r>
          </w:p>
          <w:p>
            <w:pPr>
              <w:widowControl/>
              <w:spacing w:line="440" w:lineRule="exact"/>
              <w:jc w:val="center"/>
              <w:rPr>
                <w:rFonts w:ascii="宋体" w:hAnsi="宋体"/>
                <w:szCs w:val="21"/>
              </w:rPr>
            </w:pPr>
            <w:r>
              <w:rPr>
                <w:rFonts w:ascii="宋体" w:hAnsi="宋体"/>
                <w:szCs w:val="21"/>
              </w:rPr>
              <w:t>互感器</w:t>
            </w:r>
          </w:p>
        </w:tc>
        <w:tc>
          <w:tcPr>
            <w:tcW w:w="1489" w:type="dxa"/>
            <w:vAlign w:val="center"/>
          </w:tcPr>
          <w:p>
            <w:pPr>
              <w:widowControl/>
              <w:spacing w:line="440" w:lineRule="exact"/>
              <w:jc w:val="center"/>
              <w:rPr>
                <w:rFonts w:ascii="宋体" w:hAnsi="宋体"/>
                <w:szCs w:val="21"/>
              </w:rPr>
            </w:pPr>
            <w:r>
              <w:rPr>
                <w:rFonts w:hint="eastAsia" w:ascii="宋体" w:hAnsi="宋体"/>
                <w:szCs w:val="21"/>
              </w:rPr>
              <w:t>500kv(含)以下型式批准、强制检定；500kv以上型式批准</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259" w:type="dxa"/>
            <w:vAlign w:val="center"/>
          </w:tcPr>
          <w:p>
            <w:pPr>
              <w:widowControl/>
              <w:spacing w:line="440" w:lineRule="exact"/>
              <w:jc w:val="left"/>
              <w:rPr>
                <w:rFonts w:ascii="宋体" w:hAnsi="宋体"/>
                <w:szCs w:val="21"/>
              </w:rPr>
            </w:pPr>
            <w:r>
              <w:rPr>
                <w:rFonts w:hint="eastAsia" w:ascii="宋体" w:hAnsi="宋体"/>
                <w:szCs w:val="21"/>
              </w:rPr>
              <w:t>用于贸易结算：作为电能表的配套设备，对用电量的测量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520" w:lineRule="exact"/>
              <w:jc w:val="center"/>
              <w:rPr>
                <w:rFonts w:ascii="宋体" w:hAnsi="宋体"/>
                <w:szCs w:val="21"/>
              </w:rPr>
            </w:pPr>
            <w:r>
              <w:rPr>
                <w:rFonts w:ascii="宋体" w:hAnsi="宋体"/>
                <w:szCs w:val="21"/>
              </w:rPr>
              <w:t>39</w:t>
            </w:r>
          </w:p>
        </w:tc>
        <w:tc>
          <w:tcPr>
            <w:tcW w:w="663" w:type="dxa"/>
            <w:vAlign w:val="center"/>
          </w:tcPr>
          <w:p>
            <w:pPr>
              <w:widowControl/>
              <w:spacing w:line="440" w:lineRule="exact"/>
              <w:jc w:val="center"/>
              <w:rPr>
                <w:rFonts w:ascii="宋体" w:hAnsi="宋体"/>
                <w:szCs w:val="21"/>
              </w:rPr>
            </w:pPr>
            <w:r>
              <w:rPr>
                <w:rFonts w:ascii="宋体" w:hAnsi="宋体"/>
                <w:szCs w:val="21"/>
              </w:rPr>
              <w:t>53</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测绘仪器</w:t>
            </w:r>
          </w:p>
        </w:tc>
        <w:tc>
          <w:tcPr>
            <w:tcW w:w="1712" w:type="dxa"/>
            <w:vAlign w:val="center"/>
          </w:tcPr>
          <w:p>
            <w:pPr>
              <w:widowControl/>
              <w:spacing w:line="440" w:lineRule="exact"/>
              <w:jc w:val="center"/>
              <w:rPr>
                <w:rFonts w:ascii="宋体" w:hAnsi="宋体"/>
                <w:szCs w:val="21"/>
              </w:rPr>
            </w:pPr>
            <w:r>
              <w:rPr>
                <w:rFonts w:ascii="宋体" w:hAnsi="宋体"/>
                <w:szCs w:val="21"/>
              </w:rPr>
              <w:t>手持式激光测距仪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52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54</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全站仪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52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55</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测地型GNSS接收机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pPr>
              <w:widowControl/>
              <w:spacing w:line="440" w:lineRule="exact"/>
              <w:jc w:val="center"/>
              <w:rPr>
                <w:rFonts w:ascii="宋体" w:hAnsi="宋体"/>
                <w:szCs w:val="21"/>
              </w:rPr>
            </w:pPr>
            <w:r>
              <w:rPr>
                <w:rFonts w:ascii="宋体" w:hAnsi="宋体"/>
                <w:szCs w:val="21"/>
              </w:rPr>
              <w:t>40</w:t>
            </w:r>
          </w:p>
        </w:tc>
        <w:tc>
          <w:tcPr>
            <w:tcW w:w="663" w:type="dxa"/>
            <w:vAlign w:val="center"/>
          </w:tcPr>
          <w:p>
            <w:pPr>
              <w:widowControl/>
              <w:spacing w:line="440" w:lineRule="exact"/>
              <w:jc w:val="center"/>
              <w:rPr>
                <w:rFonts w:ascii="宋体" w:hAnsi="宋体"/>
                <w:szCs w:val="21"/>
              </w:rPr>
            </w:pPr>
            <w:r>
              <w:rPr>
                <w:rFonts w:ascii="宋体" w:hAnsi="宋体"/>
                <w:szCs w:val="21"/>
              </w:rPr>
              <w:t>56</w:t>
            </w:r>
          </w:p>
        </w:tc>
        <w:tc>
          <w:tcPr>
            <w:tcW w:w="1267" w:type="dxa"/>
            <w:vMerge w:val="restart"/>
            <w:vAlign w:val="center"/>
          </w:tcPr>
          <w:p>
            <w:pPr>
              <w:widowControl/>
              <w:spacing w:line="440" w:lineRule="exact"/>
              <w:jc w:val="center"/>
              <w:rPr>
                <w:rFonts w:ascii="宋体" w:hAnsi="宋体"/>
                <w:szCs w:val="21"/>
              </w:rPr>
            </w:pPr>
            <w:r>
              <w:rPr>
                <w:rFonts w:ascii="宋体" w:hAnsi="宋体"/>
                <w:szCs w:val="21"/>
              </w:rPr>
              <w:t>有毒有害、易燃易爆气体检测（报警）仪</w:t>
            </w:r>
          </w:p>
        </w:tc>
        <w:tc>
          <w:tcPr>
            <w:tcW w:w="1712" w:type="dxa"/>
            <w:vAlign w:val="center"/>
          </w:tcPr>
          <w:p>
            <w:pPr>
              <w:widowControl/>
              <w:spacing w:line="440" w:lineRule="exact"/>
              <w:jc w:val="center"/>
              <w:rPr>
                <w:rFonts w:ascii="宋体" w:hAnsi="宋体"/>
                <w:szCs w:val="21"/>
              </w:rPr>
            </w:pPr>
            <w:r>
              <w:rPr>
                <w:rFonts w:ascii="宋体" w:hAnsi="宋体"/>
                <w:szCs w:val="21"/>
              </w:rPr>
              <w:t>二氧化硫气体检测仪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57</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硫化氢气体分析仪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58</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一氧化碳检测报警器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59</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tabs>
                <w:tab w:val="left" w:pos="280"/>
              </w:tabs>
              <w:spacing w:line="440" w:lineRule="exact"/>
              <w:jc w:val="center"/>
              <w:rPr>
                <w:rFonts w:ascii="宋体" w:hAnsi="宋体"/>
                <w:szCs w:val="21"/>
              </w:rPr>
            </w:pPr>
            <w:r>
              <w:rPr>
                <w:rFonts w:ascii="宋体" w:hAnsi="宋体"/>
                <w:szCs w:val="21"/>
              </w:rPr>
              <w:t>一氧化碳二氧化碳红外线气体分析器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60</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烟气分析仪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61</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化学发光法氮氧化物分析仪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pPr>
              <w:widowControl/>
              <w:spacing w:line="440" w:lineRule="exact"/>
              <w:jc w:val="center"/>
              <w:rPr>
                <w:rFonts w:ascii="宋体" w:hAnsi="宋体"/>
                <w:szCs w:val="21"/>
              </w:rPr>
            </w:pPr>
          </w:p>
        </w:tc>
        <w:tc>
          <w:tcPr>
            <w:tcW w:w="663" w:type="dxa"/>
            <w:vAlign w:val="center"/>
          </w:tcPr>
          <w:p>
            <w:pPr>
              <w:widowControl/>
              <w:spacing w:line="440" w:lineRule="exact"/>
              <w:jc w:val="center"/>
              <w:rPr>
                <w:rFonts w:ascii="宋体" w:hAnsi="宋体"/>
                <w:szCs w:val="21"/>
              </w:rPr>
            </w:pPr>
            <w:r>
              <w:rPr>
                <w:rFonts w:ascii="宋体" w:hAnsi="宋体"/>
                <w:szCs w:val="21"/>
              </w:rPr>
              <w:t>62</w:t>
            </w:r>
          </w:p>
        </w:tc>
        <w:tc>
          <w:tcPr>
            <w:tcW w:w="1267"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甲烷测定器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259" w:type="dxa"/>
            <w:vAlign w:val="center"/>
          </w:tcPr>
          <w:p>
            <w:pPr>
              <w:widowControl/>
              <w:spacing w:line="440" w:lineRule="exact"/>
              <w:jc w:val="left"/>
              <w:rPr>
                <w:rFonts w:ascii="宋体" w:hAnsi="宋体"/>
                <w:szCs w:val="21"/>
              </w:rPr>
            </w:pPr>
          </w:p>
        </w:tc>
      </w:tr>
    </w:tbl>
    <w:p>
      <w:pPr>
        <w:spacing w:line="440" w:lineRule="exact"/>
        <w:ind w:firstLine="562" w:firstLineChars="200"/>
        <w:rPr>
          <w:rFonts w:hAnsi="宋体"/>
          <w:b/>
          <w:sz w:val="28"/>
          <w:szCs w:val="28"/>
          <w:shd w:val="clear" w:color="auto" w:fill="FFFFFF"/>
        </w:rPr>
      </w:pPr>
    </w:p>
    <w:p>
      <w:pPr>
        <w:spacing w:line="440" w:lineRule="exact"/>
        <w:ind w:firstLine="562" w:firstLineChars="200"/>
        <w:rPr>
          <w:b/>
          <w:sz w:val="24"/>
          <w:shd w:val="clear" w:color="auto" w:fill="FFFFFF"/>
        </w:rPr>
      </w:pPr>
      <w:r>
        <w:rPr>
          <w:rFonts w:hAnsi="宋体"/>
          <w:b/>
          <w:sz w:val="28"/>
          <w:szCs w:val="28"/>
          <w:shd w:val="clear" w:color="auto" w:fill="FFFFFF"/>
        </w:rPr>
        <w:t>三、服务内容</w:t>
      </w:r>
    </w:p>
    <w:p>
      <w:pPr>
        <w:spacing w:line="360" w:lineRule="auto"/>
        <w:ind w:firstLine="480" w:firstLineChars="200"/>
        <w:rPr>
          <w:sz w:val="24"/>
          <w:shd w:val="clear" w:color="auto" w:fill="FFFFFF"/>
        </w:rPr>
      </w:pPr>
      <w:r>
        <w:rPr>
          <w:rFonts w:hAnsi="宋体"/>
          <w:sz w:val="24"/>
          <w:shd w:val="clear" w:color="auto" w:fill="FFFFFF"/>
        </w:rPr>
        <w:t>执行强制检定计量器具免费检定服务的技术机构（以下简称供应商），应提供以下服务：</w:t>
      </w:r>
    </w:p>
    <w:p>
      <w:pPr>
        <w:spacing w:line="360" w:lineRule="auto"/>
        <w:ind w:firstLine="480" w:firstLineChars="200"/>
        <w:rPr>
          <w:sz w:val="24"/>
          <w:shd w:val="clear" w:color="auto" w:fill="FFFFFF"/>
        </w:rPr>
      </w:pPr>
      <w:r>
        <w:rPr>
          <w:sz w:val="24"/>
          <w:shd w:val="clear" w:color="auto" w:fill="FFFFFF"/>
        </w:rPr>
        <w:t>1</w:t>
      </w:r>
      <w:r>
        <w:rPr>
          <w:rFonts w:hAnsi="宋体"/>
          <w:sz w:val="24"/>
          <w:shd w:val="clear" w:color="auto" w:fill="FFFFFF"/>
        </w:rPr>
        <w:t>、执行强制检定，对采购人行政区域内属于强制检定范围，并按照规定申请检定的计量器具，提供免费检定服务。</w:t>
      </w:r>
    </w:p>
    <w:p>
      <w:pPr>
        <w:spacing w:line="360" w:lineRule="auto"/>
        <w:ind w:firstLine="480" w:firstLineChars="200"/>
        <w:rPr>
          <w:sz w:val="24"/>
          <w:shd w:val="clear" w:color="auto" w:fill="FFFFFF"/>
        </w:rPr>
      </w:pPr>
      <w:r>
        <w:rPr>
          <w:sz w:val="24"/>
          <w:shd w:val="clear" w:color="auto" w:fill="FFFFFF"/>
        </w:rPr>
        <w:t>2</w:t>
      </w:r>
      <w:r>
        <w:rPr>
          <w:rFonts w:hAnsi="宋体"/>
          <w:sz w:val="24"/>
          <w:shd w:val="clear" w:color="auto" w:fill="FFFFFF"/>
        </w:rPr>
        <w:t>、实施备案初审，协助采购人完成强制检定计量器具备案审核工作。</w:t>
      </w:r>
    </w:p>
    <w:p>
      <w:pPr>
        <w:spacing w:line="360" w:lineRule="auto"/>
        <w:ind w:firstLine="480" w:firstLineChars="200"/>
        <w:rPr>
          <w:sz w:val="24"/>
          <w:shd w:val="clear" w:color="auto" w:fill="FFFFFF"/>
        </w:rPr>
      </w:pPr>
      <w:r>
        <w:rPr>
          <w:sz w:val="24"/>
          <w:shd w:val="clear" w:color="auto" w:fill="FFFFFF"/>
        </w:rPr>
        <w:t>3</w:t>
      </w:r>
      <w:r>
        <w:rPr>
          <w:rFonts w:hAnsi="宋体"/>
          <w:sz w:val="24"/>
          <w:shd w:val="clear" w:color="auto" w:fill="FFFFFF"/>
        </w:rPr>
        <w:t>、完成数据采集，</w:t>
      </w:r>
      <w:r>
        <w:rPr>
          <w:rFonts w:hAnsi="宋体"/>
          <w:sz w:val="24"/>
        </w:rPr>
        <w:t>向采购人提供</w:t>
      </w:r>
      <w:r>
        <w:rPr>
          <w:rFonts w:hAnsi="宋体"/>
          <w:sz w:val="24"/>
          <w:shd w:val="clear" w:color="auto" w:fill="FFFFFF"/>
        </w:rPr>
        <w:t>强制检定计量器具免费检定工作执行情况的相关数据信息。</w:t>
      </w:r>
    </w:p>
    <w:p>
      <w:pPr>
        <w:spacing w:line="360" w:lineRule="auto"/>
        <w:ind w:firstLine="480" w:firstLineChars="200"/>
        <w:rPr>
          <w:sz w:val="24"/>
          <w:shd w:val="clear" w:color="auto" w:fill="FFFFFF"/>
        </w:rPr>
      </w:pPr>
      <w:r>
        <w:rPr>
          <w:sz w:val="24"/>
          <w:shd w:val="clear" w:color="auto" w:fill="FFFFFF"/>
        </w:rPr>
        <w:t>4</w:t>
      </w:r>
      <w:r>
        <w:rPr>
          <w:rFonts w:hAnsi="宋体"/>
          <w:sz w:val="24"/>
          <w:shd w:val="clear" w:color="auto" w:fill="FFFFFF"/>
        </w:rPr>
        <w:t>、提供技术支撑，为采购人开展计量监督管理工作提供计量技术保障服务</w:t>
      </w:r>
      <w:r>
        <w:rPr>
          <w:rFonts w:hAnsi="宋体"/>
          <w:sz w:val="24"/>
        </w:rPr>
        <w:t>。</w:t>
      </w:r>
    </w:p>
    <w:p>
      <w:pPr>
        <w:spacing w:line="360" w:lineRule="auto"/>
        <w:ind w:firstLine="480" w:firstLineChars="200"/>
        <w:rPr>
          <w:sz w:val="24"/>
          <w:shd w:val="clear" w:color="auto" w:fill="FFFFFF"/>
        </w:rPr>
      </w:pPr>
      <w:r>
        <w:rPr>
          <w:sz w:val="24"/>
          <w:shd w:val="clear" w:color="auto" w:fill="FFFFFF"/>
        </w:rPr>
        <w:t>5</w:t>
      </w:r>
      <w:r>
        <w:rPr>
          <w:rFonts w:hAnsi="宋体"/>
          <w:sz w:val="24"/>
          <w:shd w:val="clear" w:color="auto" w:fill="FFFFFF"/>
        </w:rPr>
        <w:t>、构建信息平台，牵头建立强制检定计量器具检定工作信息查询交流渠道。</w:t>
      </w:r>
    </w:p>
    <w:p>
      <w:pPr>
        <w:spacing w:line="440" w:lineRule="exact"/>
        <w:ind w:firstLine="562" w:firstLineChars="200"/>
        <w:rPr>
          <w:rFonts w:hAnsi="宋体"/>
          <w:b/>
          <w:sz w:val="28"/>
          <w:szCs w:val="28"/>
          <w:shd w:val="clear" w:color="auto" w:fill="FFFFFF"/>
        </w:rPr>
      </w:pPr>
      <w:bookmarkStart w:id="31" w:name="_Toc511757304"/>
      <w:bookmarkStart w:id="32" w:name="_Toc511920446"/>
    </w:p>
    <w:p>
      <w:pPr>
        <w:spacing w:line="440" w:lineRule="exact"/>
        <w:ind w:firstLine="562" w:firstLineChars="200"/>
        <w:rPr>
          <w:rFonts w:hAnsi="宋体"/>
          <w:b/>
          <w:sz w:val="28"/>
          <w:szCs w:val="28"/>
          <w:shd w:val="clear" w:color="auto" w:fill="FFFFFF"/>
        </w:rPr>
      </w:pPr>
      <w:r>
        <w:rPr>
          <w:rFonts w:hAnsi="宋体"/>
          <w:b/>
          <w:sz w:val="28"/>
          <w:szCs w:val="28"/>
          <w:shd w:val="clear" w:color="auto" w:fill="FFFFFF"/>
        </w:rPr>
        <w:t>四、</w:t>
      </w:r>
      <w:bookmarkEnd w:id="31"/>
      <w:bookmarkEnd w:id="32"/>
      <w:r>
        <w:rPr>
          <w:rFonts w:hAnsi="宋体"/>
          <w:b/>
          <w:sz w:val="28"/>
          <w:szCs w:val="28"/>
          <w:shd w:val="clear" w:color="auto" w:fill="FFFFFF"/>
        </w:rPr>
        <w:t>服务方式</w:t>
      </w:r>
    </w:p>
    <w:p>
      <w:pPr>
        <w:spacing w:line="360" w:lineRule="auto"/>
        <w:ind w:firstLine="480" w:firstLineChars="200"/>
        <w:rPr>
          <w:rFonts w:hAnsi="宋体"/>
          <w:sz w:val="24"/>
          <w:shd w:val="clear" w:color="auto" w:fill="FFFFFF"/>
        </w:rPr>
      </w:pPr>
      <w:r>
        <w:rPr>
          <w:rFonts w:hAnsi="宋体"/>
          <w:sz w:val="24"/>
          <w:shd w:val="clear" w:color="auto" w:fill="FFFFFF"/>
        </w:rPr>
        <w:t>由供应商搭建区域性计量器具强制检定专业技术服务平台，实行一站式“打包”服务：</w:t>
      </w:r>
    </w:p>
    <w:p>
      <w:pPr>
        <w:spacing w:line="360" w:lineRule="auto"/>
        <w:ind w:firstLine="480" w:firstLineChars="200"/>
        <w:rPr>
          <w:rFonts w:hAnsi="宋体"/>
          <w:sz w:val="24"/>
          <w:shd w:val="clear" w:color="auto" w:fill="FFFFFF"/>
        </w:rPr>
      </w:pPr>
      <w:r>
        <w:rPr>
          <w:rFonts w:hAnsi="宋体"/>
          <w:sz w:val="24"/>
          <w:shd w:val="clear" w:color="auto" w:fill="FFFFFF"/>
        </w:rPr>
        <w:t>1、由供应商在采购人行政区域内设置常设机构，专责办理强制检定计量器具检定业务。</w:t>
      </w:r>
    </w:p>
    <w:p>
      <w:pPr>
        <w:spacing w:line="360" w:lineRule="auto"/>
        <w:ind w:firstLine="480" w:firstLineChars="200"/>
        <w:rPr>
          <w:rFonts w:hAnsi="宋体"/>
          <w:sz w:val="24"/>
          <w:shd w:val="clear" w:color="auto" w:fill="FFFFFF"/>
        </w:rPr>
      </w:pPr>
      <w:r>
        <w:rPr>
          <w:rFonts w:hAnsi="宋体"/>
          <w:sz w:val="24"/>
          <w:shd w:val="clear" w:color="auto" w:fill="FFFFFF"/>
        </w:rPr>
        <w:t>2、对供应商不具备检定能力的特定项目，由供应商协调有资质的法定计量检定机构，并经采购人认可后，方可实施检定，所有检定费用均由供应商承担。</w:t>
      </w:r>
    </w:p>
    <w:p>
      <w:pPr>
        <w:spacing w:line="360" w:lineRule="auto"/>
        <w:ind w:firstLine="480" w:firstLineChars="200"/>
        <w:rPr>
          <w:rFonts w:hAnsi="宋体"/>
          <w:sz w:val="24"/>
          <w:shd w:val="clear" w:color="auto" w:fill="FFFFFF"/>
        </w:rPr>
      </w:pPr>
      <w:r>
        <w:rPr>
          <w:rFonts w:hAnsi="宋体"/>
          <w:sz w:val="24"/>
          <w:shd w:val="clear" w:color="auto" w:fill="FFFFFF"/>
        </w:rPr>
        <w:t>3、由供应商协助采购人对属于强制检定范围，并按照规定申请检定的计量器具备案信息进行技术初审，并及时报送给采购人，由采购人对初核后的计量器具备案信息进行复核、批准。</w:t>
      </w:r>
    </w:p>
    <w:p>
      <w:pPr>
        <w:spacing w:line="360" w:lineRule="auto"/>
        <w:ind w:firstLine="480" w:firstLineChars="200"/>
        <w:rPr>
          <w:rFonts w:hAnsi="宋体"/>
          <w:sz w:val="24"/>
          <w:shd w:val="clear" w:color="auto" w:fill="FFFFFF"/>
        </w:rPr>
      </w:pPr>
      <w:r>
        <w:rPr>
          <w:rFonts w:hAnsi="宋体"/>
          <w:sz w:val="24"/>
          <w:shd w:val="clear" w:color="auto" w:fill="FFFFFF"/>
        </w:rPr>
        <w:t>4、由供应商定期统计计量器具强制检定工作执行情况，并向采购人报送信息报表：按月报送检定工作量统计表，按月报送检定不合格统计表，按季度报送季度汇总表</w:t>
      </w:r>
      <w:r>
        <w:rPr>
          <w:rFonts w:hint="eastAsia" w:hAnsi="宋体"/>
          <w:sz w:val="24"/>
          <w:shd w:val="clear" w:color="auto" w:fill="FFFFFF"/>
        </w:rPr>
        <w:t>，形成年度检定情况分析报告（需包含全年检定基本情况及不合格检定情况、不合格情况原因分析，改进建议等）</w:t>
      </w:r>
    </w:p>
    <w:p>
      <w:pPr>
        <w:spacing w:line="360" w:lineRule="auto"/>
        <w:ind w:firstLine="480" w:firstLineChars="200"/>
        <w:rPr>
          <w:rFonts w:hAnsi="宋体"/>
          <w:sz w:val="24"/>
          <w:shd w:val="clear" w:color="auto" w:fill="FFFFFF"/>
        </w:rPr>
      </w:pPr>
      <w:r>
        <w:rPr>
          <w:rFonts w:hAnsi="宋体"/>
          <w:sz w:val="24"/>
          <w:shd w:val="clear" w:color="auto" w:fill="FFFFFF"/>
        </w:rPr>
        <w:t>5、为采购人实施的计量监督管理工作提供计量技术支撑与保障服务，配合参加计量监督检查，协助处理计量纠纷，实施计量仲裁检定；协办计量宣传培训活动，参与组织策划、制作资料、收集信息、提供建议等，具体内容、时间和方式由双方根据实际需求另作商定。</w:t>
      </w:r>
    </w:p>
    <w:p>
      <w:pPr>
        <w:spacing w:line="360" w:lineRule="auto"/>
        <w:ind w:firstLine="480" w:firstLineChars="200"/>
        <w:rPr>
          <w:rFonts w:hAnsi="宋体"/>
          <w:sz w:val="24"/>
          <w:shd w:val="clear" w:color="auto" w:fill="FFFFFF"/>
        </w:rPr>
      </w:pPr>
      <w:r>
        <w:rPr>
          <w:rFonts w:hAnsi="宋体"/>
          <w:sz w:val="24"/>
          <w:shd w:val="clear" w:color="auto" w:fill="FFFFFF"/>
        </w:rPr>
        <w:t>6、加强计量强检业务管理软件升级，力争实现计量强制检定工作信息：供应商、采购人、强制检定计量器具使用单位“三方共享”。</w:t>
      </w:r>
    </w:p>
    <w:p>
      <w:pPr>
        <w:spacing w:line="440" w:lineRule="exact"/>
        <w:ind w:firstLine="562" w:firstLineChars="200"/>
        <w:rPr>
          <w:rFonts w:hAnsi="宋体"/>
          <w:b/>
          <w:sz w:val="28"/>
          <w:szCs w:val="28"/>
          <w:shd w:val="clear" w:color="auto" w:fill="FFFFFF"/>
        </w:rPr>
      </w:pPr>
    </w:p>
    <w:p>
      <w:pPr>
        <w:spacing w:line="440" w:lineRule="exact"/>
        <w:ind w:firstLine="562" w:firstLineChars="200"/>
        <w:rPr>
          <w:rFonts w:hAnsi="宋体"/>
          <w:b/>
          <w:sz w:val="28"/>
          <w:szCs w:val="28"/>
          <w:shd w:val="clear" w:color="auto" w:fill="FFFFFF"/>
        </w:rPr>
      </w:pPr>
      <w:r>
        <w:rPr>
          <w:rFonts w:hAnsi="宋体"/>
          <w:b/>
          <w:sz w:val="28"/>
          <w:szCs w:val="28"/>
          <w:shd w:val="clear" w:color="auto" w:fill="FFFFFF"/>
        </w:rPr>
        <w:t>五、服务要求</w:t>
      </w:r>
    </w:p>
    <w:p>
      <w:pPr>
        <w:spacing w:line="360" w:lineRule="auto"/>
        <w:ind w:firstLine="480" w:firstLineChars="200"/>
        <w:rPr>
          <w:rFonts w:hAnsi="宋体"/>
          <w:sz w:val="24"/>
          <w:shd w:val="clear" w:color="auto" w:fill="FFFFFF"/>
        </w:rPr>
      </w:pPr>
      <w:r>
        <w:rPr>
          <w:rFonts w:hAnsi="宋体"/>
          <w:sz w:val="24"/>
          <w:shd w:val="clear" w:color="auto" w:fill="FFFFFF"/>
        </w:rPr>
        <w:t>供应商在提供强制检定计量器具免费检定服务时，应确保在机构管理、检测质量、服务能力、费用管控等方面满足采购人需求：</w:t>
      </w:r>
    </w:p>
    <w:p>
      <w:pPr>
        <w:spacing w:line="360" w:lineRule="auto"/>
        <w:ind w:firstLine="480" w:firstLineChars="200"/>
        <w:rPr>
          <w:rFonts w:hAnsi="宋体"/>
          <w:sz w:val="24"/>
          <w:shd w:val="clear" w:color="auto" w:fill="FFFFFF"/>
        </w:rPr>
      </w:pPr>
      <w:r>
        <w:rPr>
          <w:rFonts w:hAnsi="宋体"/>
          <w:sz w:val="24"/>
          <w:shd w:val="clear" w:color="auto" w:fill="FFFFFF"/>
        </w:rPr>
        <w:t>1、供应商的计量机构与计量标准运行管理应符合JJF1069《法定计量机构考核规范》、JJF1033《计量标准考核规范》的要求。</w:t>
      </w:r>
    </w:p>
    <w:p>
      <w:pPr>
        <w:spacing w:line="360" w:lineRule="auto"/>
        <w:ind w:firstLine="480" w:firstLineChars="200"/>
        <w:rPr>
          <w:rFonts w:hAnsi="宋体"/>
          <w:sz w:val="24"/>
          <w:shd w:val="clear" w:color="auto" w:fill="FFFFFF"/>
        </w:rPr>
      </w:pPr>
      <w:r>
        <w:rPr>
          <w:rFonts w:hAnsi="宋体"/>
          <w:sz w:val="24"/>
          <w:shd w:val="clear" w:color="auto" w:fill="FFFFFF"/>
        </w:rPr>
        <w:t>2、供应商开展的计量检定工作必须按照国家计量检定系统表进行，必须执行计量检定规程。对检定合格的出具计量检定证书、加贴检定合格标志，对检定不合格的出具检定结果通知书。</w:t>
      </w:r>
    </w:p>
    <w:p>
      <w:pPr>
        <w:spacing w:line="360" w:lineRule="auto"/>
        <w:ind w:firstLine="480" w:firstLineChars="200"/>
        <w:rPr>
          <w:rFonts w:hAnsi="宋体"/>
          <w:sz w:val="24"/>
          <w:shd w:val="clear" w:color="auto" w:fill="FFFFFF"/>
        </w:rPr>
      </w:pPr>
      <w:r>
        <w:rPr>
          <w:rFonts w:hAnsi="宋体"/>
          <w:sz w:val="24"/>
          <w:shd w:val="clear" w:color="auto" w:fill="FFFFFF"/>
        </w:rPr>
        <w:t>3、对属于强制检定范围，并按照规定申请检定的计量器具，供应商应按照检定周期和计划周密组织实施，不得推诿拖延，应做到应检尽检。</w:t>
      </w:r>
    </w:p>
    <w:p>
      <w:pPr>
        <w:spacing w:line="360" w:lineRule="auto"/>
        <w:ind w:firstLine="480" w:firstLineChars="200"/>
        <w:rPr>
          <w:rFonts w:hAnsi="宋体"/>
          <w:sz w:val="24"/>
          <w:shd w:val="clear" w:color="auto" w:fill="FFFFFF"/>
        </w:rPr>
      </w:pPr>
      <w:r>
        <w:rPr>
          <w:rFonts w:hAnsi="宋体"/>
          <w:sz w:val="24"/>
          <w:shd w:val="clear" w:color="auto" w:fill="FFFFFF"/>
        </w:rPr>
        <w:t>4、对目前暂不具备检定能力的强制检定项目，供应商应采取加速自主筹建或争取行业合作等方式予以补足，尽快完善检定项目的覆盖面。</w:t>
      </w:r>
    </w:p>
    <w:p>
      <w:pPr>
        <w:spacing w:line="360" w:lineRule="auto"/>
        <w:ind w:firstLine="480" w:firstLineChars="200"/>
        <w:rPr>
          <w:rFonts w:hAnsi="宋体"/>
          <w:sz w:val="24"/>
          <w:shd w:val="clear" w:color="auto" w:fill="FFFFFF"/>
        </w:rPr>
      </w:pPr>
      <w:r>
        <w:rPr>
          <w:rFonts w:hAnsi="宋体"/>
          <w:sz w:val="24"/>
          <w:shd w:val="clear" w:color="auto" w:fill="FFFFFF"/>
        </w:rPr>
        <w:t>5、强制检定计量器具检定服务所产生的费用，</w:t>
      </w:r>
      <w:r>
        <w:rPr>
          <w:rFonts w:hint="eastAsia" w:hAnsi="宋体"/>
          <w:sz w:val="24"/>
          <w:shd w:val="clear" w:color="auto" w:fill="FFFFFF"/>
        </w:rPr>
        <w:t>按照《四川省物价局四川省财政厅四川省质量技术监督局关于贯彻国家计委、财政部&lt;关于调整计量检定收费标准的通知&gt;的通知》（川价费〔2003〕177号）的50%计算，</w:t>
      </w:r>
      <w:r>
        <w:rPr>
          <w:rFonts w:hAnsi="宋体"/>
          <w:sz w:val="24"/>
          <w:shd w:val="clear" w:color="auto" w:fill="FFFFFF"/>
        </w:rPr>
        <w:t>由采购</w:t>
      </w:r>
      <w:r>
        <w:rPr>
          <w:rFonts w:hint="eastAsia" w:hAnsi="宋体"/>
          <w:sz w:val="24"/>
          <w:shd w:val="clear" w:color="auto" w:fill="FFFFFF"/>
        </w:rPr>
        <w:t>人</w:t>
      </w:r>
      <w:r>
        <w:rPr>
          <w:rFonts w:hAnsi="宋体"/>
          <w:sz w:val="24"/>
          <w:shd w:val="clear" w:color="auto" w:fill="FFFFFF"/>
        </w:rPr>
        <w:t>向供应商统一支付</w:t>
      </w:r>
      <w:r>
        <w:rPr>
          <w:rFonts w:hint="eastAsia" w:hAnsi="宋体"/>
          <w:sz w:val="24"/>
          <w:shd w:val="clear" w:color="auto" w:fill="FFFFFF"/>
        </w:rPr>
        <w:t>；未</w:t>
      </w:r>
      <w:r>
        <w:rPr>
          <w:rFonts w:hAnsi="宋体"/>
          <w:sz w:val="24"/>
          <w:shd w:val="clear" w:color="auto" w:fill="FFFFFF"/>
        </w:rPr>
        <w:t>达到</w:t>
      </w:r>
      <w:r>
        <w:rPr>
          <w:rFonts w:hint="eastAsia" w:hAnsi="宋体"/>
          <w:sz w:val="24"/>
          <w:shd w:val="clear" w:color="auto" w:fill="FFFFFF"/>
        </w:rPr>
        <w:t>成交</w:t>
      </w:r>
      <w:r>
        <w:rPr>
          <w:rFonts w:hAnsi="宋体"/>
          <w:sz w:val="24"/>
          <w:shd w:val="clear" w:color="auto" w:fill="FFFFFF"/>
        </w:rPr>
        <w:t>价时，据实结算</w:t>
      </w:r>
      <w:r>
        <w:rPr>
          <w:rFonts w:hint="eastAsia" w:hAnsi="宋体"/>
          <w:sz w:val="24"/>
          <w:shd w:val="clear" w:color="auto" w:fill="FFFFFF"/>
        </w:rPr>
        <w:t>，</w:t>
      </w:r>
      <w:r>
        <w:rPr>
          <w:rFonts w:hAnsi="宋体"/>
          <w:sz w:val="24"/>
          <w:shd w:val="clear" w:color="auto" w:fill="FFFFFF"/>
        </w:rPr>
        <w:t>超</w:t>
      </w:r>
      <w:r>
        <w:rPr>
          <w:rFonts w:hint="eastAsia" w:hAnsi="宋体"/>
          <w:sz w:val="24"/>
          <w:shd w:val="clear" w:color="auto" w:fill="FFFFFF"/>
        </w:rPr>
        <w:t>过成交</w:t>
      </w:r>
      <w:r>
        <w:rPr>
          <w:rFonts w:hAnsi="宋体"/>
          <w:sz w:val="24"/>
          <w:shd w:val="clear" w:color="auto" w:fill="FFFFFF"/>
        </w:rPr>
        <w:t>价</w:t>
      </w:r>
      <w:r>
        <w:rPr>
          <w:rFonts w:hint="eastAsia" w:hAnsi="宋体"/>
          <w:sz w:val="24"/>
          <w:shd w:val="clear" w:color="auto" w:fill="FFFFFF"/>
        </w:rPr>
        <w:t>后，超出</w:t>
      </w:r>
      <w:r>
        <w:rPr>
          <w:rFonts w:hAnsi="宋体"/>
          <w:sz w:val="24"/>
          <w:shd w:val="clear" w:color="auto" w:fill="FFFFFF"/>
        </w:rPr>
        <w:t>部分不再加付</w:t>
      </w:r>
      <w:r>
        <w:rPr>
          <w:rFonts w:hint="eastAsia" w:hAnsi="宋体"/>
          <w:sz w:val="24"/>
          <w:shd w:val="clear" w:color="auto" w:fill="FFFFFF"/>
        </w:rPr>
        <w:t>。</w:t>
      </w:r>
      <w:r>
        <w:rPr>
          <w:rFonts w:hAnsi="宋体"/>
          <w:sz w:val="24"/>
          <w:shd w:val="clear" w:color="auto" w:fill="FFFFFF"/>
        </w:rPr>
        <w:t>供应商不得向服务对象收取强制检定费用，应做到应免尽免。</w:t>
      </w:r>
    </w:p>
    <w:bookmarkEnd w:id="29"/>
    <w:bookmarkEnd w:id="30"/>
    <w:p>
      <w:pPr>
        <w:spacing w:line="440" w:lineRule="exact"/>
        <w:ind w:firstLine="562" w:firstLineChars="200"/>
        <w:rPr>
          <w:rFonts w:hAnsi="宋体"/>
          <w:b/>
          <w:sz w:val="28"/>
          <w:szCs w:val="28"/>
          <w:shd w:val="clear" w:color="auto" w:fill="FFFFFF"/>
        </w:rPr>
      </w:pPr>
    </w:p>
    <w:p>
      <w:pPr>
        <w:spacing w:line="440" w:lineRule="exact"/>
        <w:ind w:firstLine="562" w:firstLineChars="200"/>
        <w:rPr>
          <w:rFonts w:hAnsi="宋体"/>
          <w:b/>
          <w:sz w:val="28"/>
          <w:szCs w:val="28"/>
          <w:shd w:val="clear" w:color="auto" w:fill="FFFFFF"/>
        </w:rPr>
      </w:pPr>
      <w:r>
        <w:rPr>
          <w:rFonts w:hint="eastAsia" w:hAnsi="宋体"/>
          <w:b/>
          <w:sz w:val="28"/>
          <w:szCs w:val="28"/>
          <w:shd w:val="clear" w:color="auto" w:fill="FFFFFF"/>
        </w:rPr>
        <w:t>六、</w:t>
      </w:r>
      <w:r>
        <w:rPr>
          <w:rFonts w:hAnsi="宋体"/>
          <w:b/>
          <w:sz w:val="28"/>
          <w:szCs w:val="28"/>
          <w:shd w:val="clear" w:color="auto" w:fill="FFFFFF"/>
        </w:rPr>
        <w:t>成果要求</w:t>
      </w:r>
    </w:p>
    <w:p>
      <w:pPr>
        <w:spacing w:line="360" w:lineRule="auto"/>
        <w:ind w:firstLine="480" w:firstLineChars="200"/>
        <w:rPr>
          <w:rFonts w:hAnsi="宋体"/>
          <w:sz w:val="24"/>
          <w:shd w:val="clear" w:color="auto" w:fill="FFFFFF"/>
        </w:rPr>
      </w:pPr>
      <w:r>
        <w:rPr>
          <w:rFonts w:hAnsi="宋体"/>
          <w:sz w:val="24"/>
          <w:shd w:val="clear" w:color="auto" w:fill="FFFFFF"/>
        </w:rPr>
        <w:t>1、</w:t>
      </w:r>
      <w:r>
        <w:rPr>
          <w:rFonts w:hint="eastAsia" w:hAnsi="宋体"/>
          <w:sz w:val="24"/>
          <w:shd w:val="clear" w:color="auto" w:fill="FFFFFF"/>
        </w:rPr>
        <w:t>强制检定计量器具免费检定工作在批准的备案表范围内进行，周期按计划执行。</w:t>
      </w:r>
    </w:p>
    <w:p>
      <w:pPr>
        <w:spacing w:line="360" w:lineRule="auto"/>
        <w:ind w:firstLine="480" w:firstLineChars="200"/>
        <w:rPr>
          <w:rFonts w:hAnsi="宋体"/>
          <w:sz w:val="24"/>
          <w:shd w:val="clear" w:color="auto" w:fill="FFFFFF"/>
        </w:rPr>
      </w:pPr>
      <w:r>
        <w:rPr>
          <w:rFonts w:hAnsi="宋体"/>
          <w:sz w:val="24"/>
          <w:shd w:val="clear" w:color="auto" w:fill="FFFFFF"/>
        </w:rPr>
        <w:t>2、检定工作完成后，供应商应在15日内通知强制检定计量器具使用单位领取</w:t>
      </w:r>
      <w:r>
        <w:rPr>
          <w:rFonts w:hint="eastAsia" w:hAnsi="宋体"/>
          <w:sz w:val="24"/>
          <w:shd w:val="clear" w:color="auto" w:fill="FFFFFF"/>
        </w:rPr>
        <w:t>证书（</w:t>
      </w:r>
      <w:r>
        <w:rPr>
          <w:rFonts w:hAnsi="宋体"/>
          <w:sz w:val="24"/>
          <w:shd w:val="clear" w:color="auto" w:fill="FFFFFF"/>
        </w:rPr>
        <w:t>检定证书</w:t>
      </w:r>
      <w:r>
        <w:rPr>
          <w:rFonts w:hint="eastAsia" w:hAnsi="宋体"/>
          <w:sz w:val="24"/>
          <w:shd w:val="clear" w:color="auto" w:fill="FFFFFF"/>
        </w:rPr>
        <w:t>或</w:t>
      </w:r>
      <w:r>
        <w:rPr>
          <w:rFonts w:hAnsi="宋体"/>
          <w:sz w:val="24"/>
          <w:shd w:val="clear" w:color="auto" w:fill="FFFFFF"/>
        </w:rPr>
        <w:t>检定结果通知书</w:t>
      </w:r>
      <w:r>
        <w:rPr>
          <w:rFonts w:hint="eastAsia" w:hAnsi="宋体"/>
          <w:sz w:val="24"/>
          <w:shd w:val="clear" w:color="auto" w:fill="FFFFFF"/>
        </w:rPr>
        <w:t>）</w:t>
      </w:r>
      <w:r>
        <w:rPr>
          <w:rFonts w:hAnsi="宋体"/>
          <w:sz w:val="24"/>
          <w:shd w:val="clear" w:color="auto" w:fill="FFFFFF"/>
        </w:rPr>
        <w:t>，并做好记录备查。供应商每月向采购人提交当月完成的强制检定计量器具检定工作量报表（电子</w:t>
      </w:r>
      <w:r>
        <w:rPr>
          <w:rFonts w:hint="eastAsia" w:hAnsi="宋体"/>
          <w:sz w:val="24"/>
          <w:shd w:val="clear" w:color="auto" w:fill="FFFFFF"/>
        </w:rPr>
        <w:t>版</w:t>
      </w:r>
      <w:r>
        <w:rPr>
          <w:rFonts w:hAnsi="宋体"/>
          <w:sz w:val="24"/>
          <w:shd w:val="clear" w:color="auto" w:fill="FFFFFF"/>
        </w:rPr>
        <w:t>）</w:t>
      </w:r>
      <w:r>
        <w:rPr>
          <w:rFonts w:hint="eastAsia" w:hAnsi="宋体"/>
          <w:sz w:val="24"/>
          <w:shd w:val="clear" w:color="auto" w:fill="FFFFFF"/>
        </w:rPr>
        <w:t>等材料</w:t>
      </w:r>
      <w:r>
        <w:rPr>
          <w:rFonts w:hAnsi="宋体"/>
          <w:sz w:val="24"/>
          <w:shd w:val="clear" w:color="auto" w:fill="FFFFFF"/>
        </w:rPr>
        <w:t>，以便采购人监管和</w:t>
      </w:r>
      <w:r>
        <w:rPr>
          <w:rFonts w:hint="eastAsia" w:hAnsi="宋体"/>
          <w:sz w:val="24"/>
          <w:shd w:val="clear" w:color="auto" w:fill="FFFFFF"/>
        </w:rPr>
        <w:t>考</w:t>
      </w:r>
      <w:r>
        <w:rPr>
          <w:rFonts w:hAnsi="宋体"/>
          <w:sz w:val="24"/>
          <w:shd w:val="clear" w:color="auto" w:fill="FFFFFF"/>
        </w:rPr>
        <w:t>核。</w:t>
      </w:r>
    </w:p>
    <w:p>
      <w:pPr>
        <w:spacing w:line="360" w:lineRule="auto"/>
        <w:ind w:firstLine="480" w:firstLineChars="200"/>
        <w:rPr>
          <w:rFonts w:hAnsi="宋体"/>
          <w:sz w:val="24"/>
          <w:shd w:val="clear" w:color="auto" w:fill="FFFFFF"/>
        </w:rPr>
      </w:pPr>
      <w:r>
        <w:rPr>
          <w:rFonts w:hAnsi="宋体"/>
          <w:sz w:val="24"/>
          <w:shd w:val="clear" w:color="auto" w:fill="FFFFFF"/>
        </w:rPr>
        <w:t>3、交付内容：强制检定计量器具备案表</w:t>
      </w:r>
      <w:r>
        <w:rPr>
          <w:rFonts w:hint="eastAsia" w:hAnsi="宋体"/>
          <w:sz w:val="24"/>
          <w:shd w:val="clear" w:color="auto" w:fill="FFFFFF"/>
        </w:rPr>
        <w:t>（电子、纸质）</w:t>
      </w:r>
      <w:r>
        <w:rPr>
          <w:rFonts w:hAnsi="宋体"/>
          <w:sz w:val="24"/>
          <w:shd w:val="clear" w:color="auto" w:fill="FFFFFF"/>
        </w:rPr>
        <w:t>、免费检定情况统计报表</w:t>
      </w:r>
      <w:r>
        <w:rPr>
          <w:rFonts w:hint="eastAsia" w:hAnsi="宋体"/>
          <w:sz w:val="24"/>
          <w:shd w:val="clear" w:color="auto" w:fill="FFFFFF"/>
        </w:rPr>
        <w:t>（电子）</w:t>
      </w:r>
      <w:r>
        <w:rPr>
          <w:rFonts w:hAnsi="宋体"/>
          <w:sz w:val="24"/>
          <w:shd w:val="clear" w:color="auto" w:fill="FFFFFF"/>
        </w:rPr>
        <w:t>、免费证书领取记录</w:t>
      </w:r>
      <w:r>
        <w:rPr>
          <w:rFonts w:hint="eastAsia" w:hAnsi="宋体"/>
          <w:sz w:val="24"/>
          <w:shd w:val="clear" w:color="auto" w:fill="FFFFFF"/>
        </w:rPr>
        <w:t>（纸质）及按比例随机抽查的证书复印件（纸质）</w:t>
      </w:r>
      <w:r>
        <w:rPr>
          <w:rFonts w:hAnsi="宋体"/>
          <w:sz w:val="24"/>
          <w:shd w:val="clear" w:color="auto" w:fill="FFFFFF"/>
        </w:rPr>
        <w:t>等。</w:t>
      </w:r>
    </w:p>
    <w:p>
      <w:pPr>
        <w:spacing w:line="360" w:lineRule="auto"/>
        <w:ind w:firstLine="562" w:firstLineChars="200"/>
        <w:rPr>
          <w:rFonts w:hAnsi="宋体"/>
          <w:sz w:val="24"/>
          <w:shd w:val="clear" w:color="auto" w:fill="FFFFFF"/>
        </w:rPr>
      </w:pPr>
      <w:r>
        <w:rPr>
          <w:rFonts w:hint="eastAsia" w:hAnsi="宋体"/>
          <w:b/>
          <w:sz w:val="28"/>
          <w:szCs w:val="28"/>
          <w:shd w:val="clear" w:color="auto" w:fill="FFFFFF"/>
        </w:rPr>
        <w:t>七</w:t>
      </w:r>
      <w:r>
        <w:rPr>
          <w:rFonts w:hAnsi="宋体"/>
          <w:b/>
          <w:sz w:val="28"/>
          <w:szCs w:val="28"/>
          <w:shd w:val="clear" w:color="auto" w:fill="FFFFFF"/>
        </w:rPr>
        <w:t>、履约时间：</w:t>
      </w:r>
      <w:r>
        <w:rPr>
          <w:rFonts w:hint="eastAsia" w:hAnsi="宋体"/>
          <w:sz w:val="24"/>
          <w:shd w:val="clear" w:color="auto" w:fill="FFFFFF"/>
        </w:rPr>
        <w:t>政府采购合同签订后至2022年12月31日前完成当年全部强制检定工作。</w:t>
      </w:r>
    </w:p>
    <w:p>
      <w:pPr>
        <w:spacing w:line="360" w:lineRule="auto"/>
        <w:ind w:firstLine="562" w:firstLineChars="200"/>
        <w:rPr>
          <w:rFonts w:hAnsi="宋体"/>
          <w:sz w:val="24"/>
          <w:shd w:val="clear" w:color="auto" w:fill="FFFFFF"/>
        </w:rPr>
      </w:pPr>
      <w:r>
        <w:rPr>
          <w:rFonts w:hint="eastAsia" w:hAnsi="宋体"/>
          <w:b/>
          <w:sz w:val="28"/>
          <w:szCs w:val="28"/>
          <w:shd w:val="clear" w:color="auto" w:fill="FFFFFF"/>
        </w:rPr>
        <w:t>八</w:t>
      </w:r>
      <w:r>
        <w:rPr>
          <w:rFonts w:hAnsi="宋体"/>
          <w:b/>
          <w:sz w:val="28"/>
          <w:szCs w:val="28"/>
          <w:shd w:val="clear" w:color="auto" w:fill="FFFFFF"/>
        </w:rPr>
        <w:t>、</w:t>
      </w:r>
      <w:r>
        <w:rPr>
          <w:rFonts w:hint="eastAsia" w:hAnsi="宋体"/>
          <w:b/>
          <w:sz w:val="28"/>
          <w:szCs w:val="28"/>
          <w:shd w:val="clear" w:color="auto" w:fill="FFFFFF"/>
        </w:rPr>
        <w:t>付款</w:t>
      </w:r>
      <w:r>
        <w:rPr>
          <w:rFonts w:hAnsi="宋体"/>
          <w:b/>
          <w:sz w:val="28"/>
          <w:szCs w:val="28"/>
          <w:shd w:val="clear" w:color="auto" w:fill="FFFFFF"/>
        </w:rPr>
        <w:t>方式：</w:t>
      </w:r>
      <w:r>
        <w:rPr>
          <w:rFonts w:hint="eastAsia" w:hAnsi="宋体"/>
          <w:sz w:val="24"/>
          <w:shd w:val="clear" w:color="auto" w:fill="FFFFFF"/>
        </w:rPr>
        <w:t>签订合同之日起十五日内，采购人首次支付合同金额的30%；第二次支付按照检定工作量完成合同约定工作量的70%时，支付合同金额的40%；年度所有检定工作经验收合格后，支付剩余合同金额的30%；若实际完成的工作量未</w:t>
      </w:r>
      <w:r>
        <w:rPr>
          <w:rFonts w:hAnsi="宋体"/>
          <w:sz w:val="24"/>
          <w:shd w:val="clear" w:color="auto" w:fill="FFFFFF"/>
        </w:rPr>
        <w:t>达到合同</w:t>
      </w:r>
      <w:r>
        <w:rPr>
          <w:rFonts w:hint="eastAsia" w:hAnsi="宋体"/>
          <w:sz w:val="24"/>
          <w:shd w:val="clear" w:color="auto" w:fill="FFFFFF"/>
        </w:rPr>
        <w:t>约定的工作量</w:t>
      </w:r>
      <w:r>
        <w:rPr>
          <w:rFonts w:hAnsi="宋体"/>
          <w:sz w:val="24"/>
          <w:shd w:val="clear" w:color="auto" w:fill="FFFFFF"/>
        </w:rPr>
        <w:t>时，将依据实际完成的工作量据实结算</w:t>
      </w:r>
      <w:r>
        <w:rPr>
          <w:rFonts w:hint="eastAsia" w:hAnsi="宋体"/>
          <w:sz w:val="24"/>
          <w:shd w:val="clear" w:color="auto" w:fill="FFFFFF"/>
        </w:rPr>
        <w:t>。</w:t>
      </w:r>
    </w:p>
    <w:p>
      <w:pPr>
        <w:spacing w:line="360" w:lineRule="auto"/>
        <w:ind w:firstLine="562" w:firstLineChars="200"/>
        <w:rPr>
          <w:rFonts w:hAnsi="宋体"/>
          <w:sz w:val="24"/>
          <w:shd w:val="clear" w:color="auto" w:fill="FFFFFF"/>
        </w:rPr>
      </w:pPr>
      <w:r>
        <w:rPr>
          <w:rFonts w:hint="eastAsia" w:hAnsi="宋体"/>
          <w:b/>
          <w:sz w:val="28"/>
          <w:szCs w:val="28"/>
          <w:shd w:val="clear" w:color="auto" w:fill="FFFFFF"/>
        </w:rPr>
        <w:t>九</w:t>
      </w:r>
      <w:r>
        <w:rPr>
          <w:rFonts w:hAnsi="宋体"/>
          <w:b/>
          <w:sz w:val="28"/>
          <w:szCs w:val="28"/>
          <w:shd w:val="clear" w:color="auto" w:fill="FFFFFF"/>
        </w:rPr>
        <w:t>、验收方式：</w:t>
      </w:r>
      <w:r>
        <w:rPr>
          <w:rFonts w:hAnsi="宋体"/>
          <w:sz w:val="24"/>
          <w:shd w:val="clear" w:color="auto" w:fill="FFFFFF"/>
        </w:rPr>
        <w:t>本项目将按照《财政部关于进一步加强政府采购需求和履约验收管理的指导意见》(财库〔2016〕205号)的要求</w:t>
      </w:r>
      <w:r>
        <w:rPr>
          <w:rFonts w:hint="eastAsia" w:hAnsi="宋体"/>
          <w:sz w:val="24"/>
          <w:shd w:val="clear" w:color="auto" w:fill="FFFFFF"/>
        </w:rPr>
        <w:t>组织</w:t>
      </w:r>
      <w:r>
        <w:rPr>
          <w:rFonts w:hAnsi="宋体"/>
          <w:sz w:val="24"/>
          <w:shd w:val="clear" w:color="auto" w:fill="FFFFFF"/>
        </w:rPr>
        <w:t>验收。</w:t>
      </w:r>
    </w:p>
    <w:p>
      <w:pPr>
        <w:spacing w:line="360" w:lineRule="auto"/>
        <w:rPr>
          <w:rFonts w:ascii="宋体" w:hAnsi="宋体"/>
          <w:b/>
          <w:sz w:val="24"/>
        </w:rPr>
      </w:pPr>
    </w:p>
    <w:p>
      <w:pPr>
        <w:pStyle w:val="2"/>
        <w:rPr>
          <w:rFonts w:ascii="宋体" w:hAnsi="宋体"/>
          <w:b/>
          <w:sz w:val="24"/>
        </w:rPr>
      </w:pPr>
    </w:p>
    <w:p>
      <w:pPr>
        <w:pStyle w:val="3"/>
        <w:rPr>
          <w:rFonts w:ascii="宋体" w:hAnsi="宋体"/>
          <w:b/>
          <w:sz w:val="24"/>
        </w:rPr>
      </w:pPr>
    </w:p>
    <w:p>
      <w:pPr>
        <w:pStyle w:val="3"/>
        <w:rPr>
          <w:rFonts w:ascii="宋体" w:hAnsi="宋体"/>
          <w:b/>
          <w:sz w:val="24"/>
        </w:rPr>
      </w:pPr>
    </w:p>
    <w:p>
      <w:pPr>
        <w:pStyle w:val="3"/>
        <w:rPr>
          <w:rFonts w:ascii="宋体" w:hAnsi="宋体"/>
          <w:b/>
          <w:sz w:val="24"/>
        </w:rPr>
      </w:pPr>
    </w:p>
    <w:p>
      <w:pPr>
        <w:pStyle w:val="3"/>
        <w:rPr>
          <w:rFonts w:ascii="宋体" w:hAnsi="宋体"/>
          <w:b/>
          <w:sz w:val="24"/>
        </w:rPr>
      </w:pPr>
    </w:p>
    <w:p>
      <w:pPr>
        <w:pStyle w:val="3"/>
        <w:rPr>
          <w:rFonts w:ascii="宋体" w:hAnsi="宋体"/>
          <w:b/>
          <w:sz w:val="24"/>
        </w:rPr>
      </w:pPr>
    </w:p>
    <w:p>
      <w:pPr>
        <w:pStyle w:val="3"/>
        <w:rPr>
          <w:rFonts w:ascii="宋体" w:hAnsi="宋体"/>
          <w:b/>
          <w:sz w:val="24"/>
        </w:rPr>
      </w:pPr>
    </w:p>
    <w:p>
      <w:pPr>
        <w:spacing w:line="276" w:lineRule="auto"/>
        <w:rPr>
          <w:rFonts w:ascii="宋体" w:hAnsi="宋体"/>
          <w:sz w:val="24"/>
        </w:rPr>
      </w:pPr>
    </w:p>
    <w:bookmarkEnd w:id="22"/>
    <w:bookmarkEnd w:id="23"/>
    <w:bookmarkEnd w:id="24"/>
    <w:bookmarkEnd w:id="25"/>
    <w:bookmarkEnd w:id="26"/>
    <w:p>
      <w:pPr>
        <w:pStyle w:val="4"/>
        <w:numPr>
          <w:ilvl w:val="0"/>
          <w:numId w:val="0"/>
        </w:numPr>
      </w:pPr>
      <w:bookmarkStart w:id="33" w:name="_Toc177466683"/>
      <w:bookmarkStart w:id="34" w:name="_Toc98334729"/>
      <w:bookmarkStart w:id="35" w:name="_Toc11970"/>
      <w:r>
        <w:rPr>
          <w:rFonts w:hint="eastAsia"/>
        </w:rPr>
        <w:t>第4章 报价</w:t>
      </w:r>
      <w:r>
        <w:t>文件相关格式</w:t>
      </w:r>
      <w:bookmarkEnd w:id="33"/>
      <w:r>
        <w:t>及要求</w:t>
      </w:r>
      <w:bookmarkEnd w:id="34"/>
      <w:bookmarkEnd w:id="35"/>
      <w:bookmarkStart w:id="36" w:name="_Toc136584995"/>
      <w:bookmarkStart w:id="37" w:name="_Toc250558597"/>
      <w:bookmarkStart w:id="38" w:name="_Toc13303"/>
      <w:bookmarkStart w:id="39" w:name="_Toc177466684"/>
    </w:p>
    <w:p>
      <w:pPr>
        <w:pStyle w:val="6"/>
        <w:spacing w:line="360" w:lineRule="auto"/>
        <w:jc w:val="center"/>
        <w:rPr>
          <w:rFonts w:ascii="宋体" w:hAnsi="宋体"/>
          <w:sz w:val="24"/>
        </w:rPr>
      </w:pPr>
      <w:bookmarkStart w:id="40" w:name="_Toc31329"/>
      <w:bookmarkStart w:id="41" w:name="_Toc98334730"/>
      <w:r>
        <w:rPr>
          <w:rFonts w:hint="eastAsia" w:ascii="宋体" w:hAnsi="宋体"/>
        </w:rPr>
        <w:t>一、报价函</w:t>
      </w:r>
      <w:bookmarkEnd w:id="40"/>
      <w:bookmarkEnd w:id="41"/>
    </w:p>
    <w:p>
      <w:pPr>
        <w:spacing w:line="276" w:lineRule="auto"/>
        <w:rPr>
          <w:rFonts w:ascii="宋体" w:hAnsi="宋体"/>
          <w:color w:val="000000"/>
          <w:sz w:val="24"/>
        </w:rPr>
      </w:pPr>
      <w:r>
        <w:rPr>
          <w:rFonts w:hint="eastAsia" w:ascii="宋体" w:hAnsi="宋体"/>
          <w:color w:val="000000"/>
          <w:sz w:val="24"/>
        </w:rPr>
        <w:t>XXXX（采购代理机构名称）：</w:t>
      </w:r>
    </w:p>
    <w:p>
      <w:pPr>
        <w:spacing w:line="276" w:lineRule="auto"/>
        <w:ind w:firstLine="480" w:firstLineChars="200"/>
        <w:jc w:val="left"/>
        <w:rPr>
          <w:rFonts w:ascii="宋体" w:hAnsi="宋体"/>
          <w:sz w:val="24"/>
        </w:rPr>
      </w:pPr>
      <w:r>
        <w:rPr>
          <w:rFonts w:hint="eastAsia" w:ascii="宋体" w:hAnsi="宋体"/>
          <w:sz w:val="24"/>
        </w:rPr>
        <w:t>1.我方全面研究了“</w:t>
      </w:r>
      <w:r>
        <w:rPr>
          <w:rFonts w:hint="eastAsia" w:ascii="宋体" w:hAnsi="宋体"/>
          <w:sz w:val="24"/>
          <w:u w:val="single"/>
        </w:rPr>
        <w:t>XXXXXX</w:t>
      </w:r>
      <w:r>
        <w:rPr>
          <w:rFonts w:hint="eastAsia" w:ascii="宋体" w:hAnsi="宋体"/>
          <w:sz w:val="24"/>
        </w:rPr>
        <w:t>”项目采购文件（采购项目编号：</w:t>
      </w:r>
      <w:r>
        <w:rPr>
          <w:rFonts w:hint="eastAsia" w:ascii="宋体" w:hAnsi="宋体"/>
          <w:sz w:val="24"/>
          <w:u w:val="single"/>
        </w:rPr>
        <w:t>XXXX）</w:t>
      </w:r>
      <w:r>
        <w:rPr>
          <w:rFonts w:hint="eastAsia" w:ascii="宋体" w:hAnsi="宋体"/>
          <w:sz w:val="24"/>
        </w:rPr>
        <w:t>，决定参加贵单位组织的本项目采购。我方授权</w:t>
      </w:r>
      <w:r>
        <w:rPr>
          <w:rFonts w:hint="eastAsia" w:ascii="宋体" w:hAnsi="宋体"/>
          <w:sz w:val="24"/>
          <w:u w:val="single"/>
        </w:rPr>
        <w:t>XXX（姓名、职务）</w:t>
      </w:r>
      <w:r>
        <w:rPr>
          <w:rFonts w:hint="eastAsia" w:ascii="宋体" w:hAnsi="宋体"/>
          <w:sz w:val="24"/>
        </w:rPr>
        <w:t>代表我方</w:t>
      </w:r>
      <w:r>
        <w:rPr>
          <w:rFonts w:hint="eastAsia" w:ascii="宋体" w:hAnsi="宋体"/>
          <w:sz w:val="24"/>
          <w:u w:val="single"/>
        </w:rPr>
        <w:t>XXX（供应商名称）</w:t>
      </w:r>
      <w:r>
        <w:rPr>
          <w:rFonts w:hint="eastAsia" w:ascii="宋体" w:hAnsi="宋体"/>
          <w:sz w:val="24"/>
        </w:rPr>
        <w:t>全权处理本项目谈判及报价的有关事宜。</w:t>
      </w:r>
    </w:p>
    <w:p>
      <w:pPr>
        <w:adjustRightInd w:val="0"/>
        <w:spacing w:line="276" w:lineRule="auto"/>
        <w:ind w:firstLine="480" w:firstLineChars="200"/>
        <w:jc w:val="left"/>
        <w:rPr>
          <w:rFonts w:ascii="宋体" w:hAnsi="宋体"/>
          <w:sz w:val="24"/>
        </w:rPr>
      </w:pPr>
      <w:r>
        <w:rPr>
          <w:rFonts w:hint="eastAsia" w:ascii="宋体" w:hAnsi="宋体"/>
          <w:sz w:val="24"/>
        </w:rPr>
        <w:t>2.我方自愿按照采购文件规定的各项要求向采购人提供所需服务。</w:t>
      </w:r>
    </w:p>
    <w:p>
      <w:pPr>
        <w:adjustRightInd w:val="0"/>
        <w:spacing w:line="276" w:lineRule="auto"/>
        <w:ind w:firstLine="480" w:firstLineChars="200"/>
        <w:jc w:val="left"/>
        <w:rPr>
          <w:rFonts w:ascii="宋体" w:hAnsi="宋体"/>
          <w:sz w:val="24"/>
        </w:rPr>
      </w:pPr>
      <w:r>
        <w:rPr>
          <w:rFonts w:ascii="宋体" w:hAnsi="宋体"/>
          <w:sz w:val="24"/>
        </w:rPr>
        <w:t>3</w:t>
      </w:r>
      <w:r>
        <w:rPr>
          <w:rFonts w:hint="eastAsia" w:ascii="宋体" w:hAnsi="宋体"/>
          <w:sz w:val="24"/>
        </w:rPr>
        <w:t>．我方为本项目提交的报价文件正本</w:t>
      </w:r>
      <w:r>
        <w:rPr>
          <w:rFonts w:ascii="宋体" w:hAnsi="宋体"/>
          <w:sz w:val="24"/>
          <w:u w:val="single"/>
        </w:rPr>
        <w:t xml:space="preserve"> </w:t>
      </w:r>
      <w:r>
        <w:rPr>
          <w:rFonts w:hint="eastAsia" w:ascii="宋体" w:hAnsi="宋体"/>
          <w:sz w:val="24"/>
          <w:u w:val="single"/>
        </w:rPr>
        <w:t>1</w:t>
      </w:r>
      <w:r>
        <w:rPr>
          <w:rFonts w:ascii="宋体" w:hAnsi="宋体"/>
          <w:sz w:val="24"/>
          <w:u w:val="single"/>
        </w:rPr>
        <w:t xml:space="preserve"> </w:t>
      </w:r>
      <w:r>
        <w:rPr>
          <w:rFonts w:hint="eastAsia" w:ascii="宋体" w:hAnsi="宋体"/>
          <w:sz w:val="24"/>
        </w:rPr>
        <w:t>份，副本</w:t>
      </w:r>
      <w:r>
        <w:rPr>
          <w:rFonts w:hint="eastAsia" w:ascii="宋体" w:hAnsi="宋体"/>
          <w:sz w:val="24"/>
          <w:u w:val="single"/>
        </w:rPr>
        <w:t>2</w:t>
      </w:r>
      <w:r>
        <w:rPr>
          <w:rFonts w:ascii="宋体" w:hAnsi="宋体"/>
          <w:sz w:val="24"/>
          <w:u w:val="single"/>
        </w:rPr>
        <w:t xml:space="preserve"> </w:t>
      </w:r>
      <w:r>
        <w:rPr>
          <w:rFonts w:hint="eastAsia" w:ascii="宋体" w:hAnsi="宋体"/>
          <w:sz w:val="24"/>
        </w:rPr>
        <w:t>份，电子文档(</w:t>
      </w:r>
      <w:r>
        <w:rPr>
          <w:rFonts w:hint="eastAsia" w:ascii="宋体" w:hAnsi="宋体"/>
          <w:b/>
          <w:sz w:val="24"/>
          <w:u w:val="single"/>
        </w:rPr>
        <w:t>光盘或U盘)</w:t>
      </w:r>
      <w:r>
        <w:rPr>
          <w:rFonts w:hint="eastAsia" w:ascii="宋体" w:hAnsi="宋体"/>
          <w:sz w:val="24"/>
          <w:u w:val="single"/>
        </w:rPr>
        <w:t xml:space="preserve">  1</w:t>
      </w:r>
      <w:r>
        <w:rPr>
          <w:rFonts w:hint="eastAsia" w:ascii="宋体" w:hAnsi="宋体"/>
          <w:sz w:val="24"/>
        </w:rPr>
        <w:t>份。</w:t>
      </w:r>
    </w:p>
    <w:p>
      <w:pPr>
        <w:adjustRightInd w:val="0"/>
        <w:spacing w:line="276" w:lineRule="auto"/>
        <w:ind w:firstLine="480" w:firstLineChars="200"/>
        <w:jc w:val="left"/>
        <w:rPr>
          <w:rFonts w:ascii="宋体" w:hAnsi="宋体"/>
          <w:sz w:val="24"/>
        </w:rPr>
      </w:pPr>
      <w:r>
        <w:rPr>
          <w:rFonts w:ascii="宋体" w:hAnsi="宋体"/>
          <w:sz w:val="24"/>
        </w:rPr>
        <w:t>4</w:t>
      </w:r>
      <w:r>
        <w:rPr>
          <w:rFonts w:hint="eastAsia" w:ascii="宋体" w:hAnsi="宋体"/>
          <w:sz w:val="24"/>
        </w:rPr>
        <w:t>．我方承诺，报价文件有效期为递交报价文件截止之日起</w:t>
      </w:r>
      <w:r>
        <w:rPr>
          <w:rFonts w:hint="eastAsia" w:ascii="宋体" w:hAnsi="宋体"/>
          <w:sz w:val="24"/>
          <w:u w:val="single"/>
        </w:rPr>
        <w:t>90</w:t>
      </w:r>
      <w:r>
        <w:rPr>
          <w:rFonts w:hint="eastAsia" w:ascii="宋体" w:hAnsi="宋体"/>
          <w:sz w:val="24"/>
        </w:rPr>
        <w:t>天。</w:t>
      </w:r>
    </w:p>
    <w:p>
      <w:pPr>
        <w:adjustRightInd w:val="0"/>
        <w:spacing w:line="276" w:lineRule="auto"/>
        <w:ind w:firstLine="480" w:firstLineChars="200"/>
        <w:jc w:val="left"/>
        <w:rPr>
          <w:rFonts w:ascii="宋体" w:hAnsi="宋体"/>
          <w:sz w:val="24"/>
        </w:rPr>
      </w:pPr>
      <w:bookmarkStart w:id="42" w:name="_Hlk525855923"/>
      <w:r>
        <w:rPr>
          <w:rFonts w:ascii="宋体" w:hAnsi="宋体"/>
          <w:sz w:val="24"/>
        </w:rPr>
        <w:t>5</w:t>
      </w:r>
      <w:r>
        <w:rPr>
          <w:rFonts w:hint="eastAsia" w:ascii="宋体" w:hAnsi="宋体"/>
          <w:sz w:val="24"/>
        </w:rPr>
        <w:t>．我方愿意提供贵单位可能另外要求的，与本项目有关的文件资料，并保证我方已提供和将要提供的文件资料是真实、准确的。</w:t>
      </w:r>
    </w:p>
    <w:p>
      <w:pPr>
        <w:spacing w:line="276" w:lineRule="auto"/>
        <w:ind w:firstLine="480" w:firstLineChars="200"/>
        <w:rPr>
          <w:rFonts w:ascii="宋体" w:hAnsi="宋体"/>
          <w:sz w:val="24"/>
        </w:rPr>
      </w:pPr>
      <w:r>
        <w:rPr>
          <w:rFonts w:ascii="宋体" w:hAnsi="宋体"/>
          <w:sz w:val="24"/>
        </w:rPr>
        <w:t>6</w:t>
      </w:r>
      <w:r>
        <w:rPr>
          <w:rFonts w:hint="eastAsia" w:ascii="宋体" w:hAnsi="宋体"/>
          <w:sz w:val="24"/>
        </w:rPr>
        <w:t>．报价文件中提供的能够给予我单位带来优惠、好处的任何材料资料和技术、服务、商务等响应承诺情况都是真实的、有效的、合法的。</w:t>
      </w:r>
    </w:p>
    <w:p>
      <w:pPr>
        <w:spacing w:line="276" w:lineRule="auto"/>
        <w:ind w:firstLine="480" w:firstLineChars="200"/>
        <w:rPr>
          <w:rFonts w:ascii="宋体" w:hAnsi="宋体"/>
          <w:sz w:val="24"/>
        </w:rPr>
      </w:pPr>
      <w:r>
        <w:rPr>
          <w:rFonts w:ascii="宋体" w:hAnsi="宋体"/>
          <w:sz w:val="24"/>
        </w:rPr>
        <w:t>7</w:t>
      </w:r>
      <w:r>
        <w:rPr>
          <w:rFonts w:hint="eastAsia" w:ascii="宋体" w:hAnsi="宋体"/>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除非本次响应文件有特别约定的，采购人享有本项目实施过程中产生的知识成果及知识产权。如采用了我方所不拥有的知识产权，则在报价中已经包括合法获取该知识产权的相关费用；</w:t>
      </w:r>
    </w:p>
    <w:p>
      <w:pPr>
        <w:adjustRightInd w:val="0"/>
        <w:spacing w:line="276" w:lineRule="auto"/>
        <w:ind w:firstLine="480" w:firstLineChars="200"/>
        <w:jc w:val="left"/>
        <w:rPr>
          <w:rFonts w:ascii="宋体" w:hAnsi="宋体"/>
          <w:sz w:val="24"/>
        </w:rPr>
      </w:pPr>
      <w:bookmarkStart w:id="43" w:name="_Hlk525831833"/>
      <w:r>
        <w:rPr>
          <w:rFonts w:ascii="宋体" w:hAnsi="宋体"/>
          <w:sz w:val="24"/>
        </w:rPr>
        <w:t>8</w:t>
      </w:r>
      <w:r>
        <w:rPr>
          <w:rFonts w:hint="eastAsia" w:ascii="宋体" w:hAnsi="宋体"/>
          <w:sz w:val="24"/>
        </w:rPr>
        <w:t>.我单位完全响应采购文件中提出的所有实质性要求。</w:t>
      </w:r>
    </w:p>
    <w:bookmarkEnd w:id="42"/>
    <w:bookmarkEnd w:id="43"/>
    <w:p>
      <w:pPr>
        <w:adjustRightInd w:val="0"/>
        <w:spacing w:line="276" w:lineRule="auto"/>
        <w:ind w:firstLine="480" w:firstLineChars="200"/>
        <w:jc w:val="left"/>
        <w:rPr>
          <w:rFonts w:ascii="宋体" w:hAnsi="宋体"/>
          <w:sz w:val="24"/>
        </w:rPr>
      </w:pPr>
    </w:p>
    <w:p>
      <w:pPr>
        <w:spacing w:line="276" w:lineRule="auto"/>
        <w:ind w:firstLine="480"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本公司对上述承诺的内容事项真实性负责。如经查实上述承诺的内容事项存在虚假，我公司愿意接受以提供虚假材料谋取成交追究法律责任。</w:t>
      </w:r>
    </w:p>
    <w:p>
      <w:pPr>
        <w:adjustRightInd w:val="0"/>
        <w:spacing w:line="276" w:lineRule="auto"/>
        <w:ind w:firstLine="480" w:firstLineChars="200"/>
        <w:jc w:val="left"/>
        <w:rPr>
          <w:rFonts w:ascii="宋体" w:hAnsi="宋体"/>
          <w:sz w:val="24"/>
        </w:rPr>
      </w:pPr>
    </w:p>
    <w:p>
      <w:pPr>
        <w:adjustRightInd w:val="0"/>
        <w:spacing w:line="276" w:lineRule="auto"/>
        <w:ind w:firstLine="480" w:firstLineChars="200"/>
        <w:jc w:val="left"/>
        <w:rPr>
          <w:rFonts w:ascii="宋体" w:hAnsi="宋体"/>
          <w:sz w:val="24"/>
        </w:rPr>
      </w:pPr>
      <w:r>
        <w:rPr>
          <w:rFonts w:hint="eastAsia" w:ascii="宋体" w:hAnsi="宋体"/>
          <w:sz w:val="24"/>
        </w:rPr>
        <w:t>供应商名称：   （盖单位公章）</w:t>
      </w:r>
    </w:p>
    <w:p>
      <w:pPr>
        <w:spacing w:line="276" w:lineRule="auto"/>
        <w:ind w:firstLine="470" w:firstLineChars="196"/>
        <w:rPr>
          <w:rFonts w:ascii="宋体" w:hAnsi="宋体"/>
          <w:sz w:val="24"/>
        </w:rPr>
      </w:pPr>
      <w:r>
        <w:rPr>
          <w:rFonts w:hint="eastAsia" w:ascii="宋体" w:hAnsi="宋体"/>
          <w:sz w:val="24"/>
        </w:rPr>
        <w:t>法定代表人或被授权人：     （签字或盖个人名章）</w:t>
      </w:r>
    </w:p>
    <w:p>
      <w:pPr>
        <w:spacing w:line="276" w:lineRule="auto"/>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spacing w:line="276" w:lineRule="auto"/>
        <w:ind w:firstLine="470" w:firstLineChars="196"/>
        <w:rPr>
          <w:rFonts w:ascii="宋体" w:hAnsi="宋体"/>
          <w:sz w:val="24"/>
        </w:rPr>
      </w:pPr>
    </w:p>
    <w:p>
      <w:pPr>
        <w:spacing w:line="276" w:lineRule="auto"/>
        <w:ind w:firstLine="470" w:firstLineChars="196"/>
        <w:rPr>
          <w:rFonts w:ascii="宋体" w:hAnsi="宋体"/>
          <w:sz w:val="24"/>
        </w:rPr>
      </w:pPr>
    </w:p>
    <w:p>
      <w:pPr>
        <w:spacing w:line="276" w:lineRule="auto"/>
        <w:ind w:firstLine="470" w:firstLineChars="196"/>
        <w:rPr>
          <w:rFonts w:ascii="宋体" w:hAnsi="宋体"/>
          <w:sz w:val="24"/>
        </w:rPr>
      </w:pPr>
    </w:p>
    <w:p>
      <w:pPr>
        <w:spacing w:line="276" w:lineRule="auto"/>
        <w:ind w:firstLine="470" w:firstLineChars="196"/>
        <w:rPr>
          <w:rFonts w:ascii="宋体" w:hAnsi="宋体"/>
          <w:sz w:val="24"/>
        </w:rPr>
      </w:pPr>
    </w:p>
    <w:p>
      <w:pPr>
        <w:spacing w:line="276" w:lineRule="auto"/>
        <w:ind w:firstLine="470" w:firstLineChars="196"/>
        <w:rPr>
          <w:rFonts w:ascii="宋体" w:hAnsi="宋体"/>
          <w:sz w:val="24"/>
        </w:rPr>
      </w:pPr>
    </w:p>
    <w:p>
      <w:pPr>
        <w:spacing w:line="276" w:lineRule="auto"/>
        <w:ind w:firstLine="470" w:firstLineChars="196"/>
        <w:rPr>
          <w:rFonts w:ascii="宋体" w:hAnsi="宋体"/>
          <w:sz w:val="24"/>
        </w:rPr>
      </w:pPr>
    </w:p>
    <w:p>
      <w:pPr>
        <w:rPr>
          <w:sz w:val="20"/>
          <w:szCs w:val="22"/>
        </w:rPr>
      </w:pPr>
    </w:p>
    <w:p>
      <w:pPr>
        <w:pStyle w:val="5"/>
        <w:numPr>
          <w:ilvl w:val="0"/>
          <w:numId w:val="0"/>
        </w:numPr>
        <w:jc w:val="center"/>
      </w:pPr>
      <w:bookmarkStart w:id="44" w:name="_Toc98334731"/>
      <w:bookmarkStart w:id="45" w:name="_Toc8977"/>
      <w:r>
        <w:rPr>
          <w:rFonts w:hint="eastAsia"/>
        </w:rPr>
        <w:t>二、</w:t>
      </w:r>
      <w:r>
        <w:t>报价表</w:t>
      </w:r>
      <w:bookmarkEnd w:id="36"/>
      <w:r>
        <w:t>格式</w:t>
      </w:r>
      <w:bookmarkEnd w:id="37"/>
      <w:bookmarkEnd w:id="38"/>
      <w:bookmarkEnd w:id="39"/>
      <w:bookmarkEnd w:id="44"/>
      <w:bookmarkEnd w:id="45"/>
    </w:p>
    <w:p/>
    <w:p>
      <w:pPr>
        <w:pStyle w:val="68"/>
        <w:ind w:firstLine="0"/>
        <w:jc w:val="left"/>
        <w:rPr>
          <w:rFonts w:ascii="宋体" w:hAnsi="宋体"/>
          <w:b/>
          <w:sz w:val="24"/>
          <w:szCs w:val="24"/>
        </w:rPr>
      </w:pPr>
      <w:r>
        <w:rPr>
          <w:rFonts w:hint="eastAsia" w:ascii="宋体" w:hAnsi="宋体"/>
          <w:b/>
          <w:sz w:val="24"/>
          <w:szCs w:val="24"/>
        </w:rPr>
        <w:t xml:space="preserve">采购项目编号： </w:t>
      </w:r>
    </w:p>
    <w:tbl>
      <w:tblPr>
        <w:tblStyle w:val="32"/>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662"/>
        <w:gridCol w:w="283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83" w:type="dxa"/>
            <w:vAlign w:val="center"/>
          </w:tcPr>
          <w:p>
            <w:pPr>
              <w:spacing w:line="360" w:lineRule="auto"/>
              <w:ind w:firstLine="46" w:firstLineChars="19"/>
              <w:jc w:val="center"/>
              <w:rPr>
                <w:rFonts w:ascii="宋体" w:hAnsi="宋体"/>
                <w:b/>
                <w:sz w:val="24"/>
              </w:rPr>
            </w:pPr>
            <w:r>
              <w:rPr>
                <w:rFonts w:hint="eastAsia" w:ascii="宋体" w:hAnsi="宋体"/>
                <w:b/>
                <w:sz w:val="24"/>
              </w:rPr>
              <w:t>序号</w:t>
            </w:r>
          </w:p>
        </w:tc>
        <w:tc>
          <w:tcPr>
            <w:tcW w:w="2662" w:type="dxa"/>
            <w:vAlign w:val="center"/>
          </w:tcPr>
          <w:p>
            <w:pPr>
              <w:spacing w:line="360" w:lineRule="auto"/>
              <w:jc w:val="center"/>
              <w:rPr>
                <w:rFonts w:ascii="宋体" w:hAnsi="宋体"/>
                <w:b/>
                <w:sz w:val="24"/>
              </w:rPr>
            </w:pPr>
            <w:r>
              <w:rPr>
                <w:rFonts w:hint="eastAsia" w:ascii="宋体" w:hAnsi="宋体"/>
                <w:b/>
                <w:sz w:val="24"/>
              </w:rPr>
              <w:t>采购内容</w:t>
            </w:r>
          </w:p>
        </w:tc>
        <w:tc>
          <w:tcPr>
            <w:tcW w:w="2835" w:type="dxa"/>
            <w:vAlign w:val="center"/>
          </w:tcPr>
          <w:p>
            <w:pPr>
              <w:spacing w:line="360" w:lineRule="auto"/>
              <w:ind w:firstLine="723" w:firstLineChars="300"/>
              <w:rPr>
                <w:rFonts w:ascii="宋体" w:hAnsi="宋体"/>
                <w:b/>
                <w:sz w:val="24"/>
              </w:rPr>
            </w:pPr>
            <w:r>
              <w:rPr>
                <w:rFonts w:hint="eastAsia" w:ascii="宋体" w:hAnsi="宋体"/>
                <w:b/>
                <w:sz w:val="24"/>
              </w:rPr>
              <w:t>报价（元）</w:t>
            </w:r>
          </w:p>
        </w:tc>
        <w:tc>
          <w:tcPr>
            <w:tcW w:w="2041" w:type="dxa"/>
            <w:vAlign w:val="center"/>
          </w:tcPr>
          <w:p>
            <w:pPr>
              <w:spacing w:line="360" w:lineRule="auto"/>
              <w:jc w:val="center"/>
              <w:rPr>
                <w:rFonts w:ascii="宋体" w:hAnsi="宋体"/>
                <w:b/>
                <w:color w:val="FF0000"/>
                <w:sz w:val="24"/>
              </w:rPr>
            </w:pPr>
            <w:r>
              <w:rPr>
                <w:rFonts w:hint="eastAsia" w:ascii="宋体" w:hAnsi="宋体"/>
                <w:b/>
                <w:sz w:val="24"/>
              </w:rPr>
              <w:t>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083" w:type="dxa"/>
            <w:vAlign w:val="center"/>
          </w:tcPr>
          <w:p>
            <w:pPr>
              <w:spacing w:line="360" w:lineRule="auto"/>
              <w:ind w:firstLine="45" w:firstLineChars="19"/>
              <w:jc w:val="center"/>
              <w:rPr>
                <w:rFonts w:ascii="宋体" w:hAnsi="宋体" w:cs="宋体"/>
                <w:kern w:val="0"/>
                <w:sz w:val="24"/>
                <w:szCs w:val="22"/>
              </w:rPr>
            </w:pPr>
          </w:p>
        </w:tc>
        <w:tc>
          <w:tcPr>
            <w:tcW w:w="2662" w:type="dxa"/>
            <w:vAlign w:val="center"/>
          </w:tcPr>
          <w:p>
            <w:pPr>
              <w:spacing w:line="360" w:lineRule="auto"/>
              <w:rPr>
                <w:rFonts w:ascii="宋体" w:hAnsi="宋体" w:cs="宋体"/>
                <w:kern w:val="0"/>
                <w:sz w:val="24"/>
                <w:szCs w:val="22"/>
              </w:rPr>
            </w:pPr>
            <w:r>
              <w:rPr>
                <w:rFonts w:hint="eastAsia" w:ascii="宋体" w:hAnsi="宋体" w:cs="宋体"/>
                <w:kern w:val="0"/>
                <w:sz w:val="24"/>
                <w:szCs w:val="22"/>
              </w:rPr>
              <w:t xml:space="preserve"> </w:t>
            </w:r>
          </w:p>
        </w:tc>
        <w:tc>
          <w:tcPr>
            <w:tcW w:w="2835" w:type="dxa"/>
          </w:tcPr>
          <w:p>
            <w:pPr>
              <w:spacing w:line="360" w:lineRule="auto"/>
              <w:rPr>
                <w:rFonts w:ascii="宋体" w:hAnsi="宋体" w:cs="宋体"/>
                <w:kern w:val="0"/>
                <w:sz w:val="24"/>
                <w:szCs w:val="22"/>
                <w:u w:val="single"/>
              </w:rPr>
            </w:pPr>
          </w:p>
          <w:p>
            <w:pPr>
              <w:spacing w:line="360" w:lineRule="auto"/>
              <w:rPr>
                <w:rFonts w:ascii="宋体" w:hAnsi="宋体" w:cs="宋体"/>
                <w:kern w:val="0"/>
                <w:sz w:val="24"/>
                <w:szCs w:val="22"/>
                <w:u w:val="single"/>
              </w:rPr>
            </w:pPr>
          </w:p>
          <w:p>
            <w:pPr>
              <w:widowControl/>
              <w:jc w:val="left"/>
              <w:rPr>
                <w:rFonts w:ascii="宋体" w:hAnsi="宋体" w:cs="宋体"/>
                <w:kern w:val="0"/>
                <w:sz w:val="24"/>
                <w:szCs w:val="22"/>
                <w:u w:val="single"/>
              </w:rPr>
            </w:pPr>
          </w:p>
          <w:p>
            <w:pPr>
              <w:spacing w:line="360" w:lineRule="auto"/>
              <w:rPr>
                <w:rFonts w:ascii="宋体" w:hAnsi="宋体" w:cs="宋体"/>
                <w:kern w:val="0"/>
                <w:sz w:val="24"/>
                <w:szCs w:val="22"/>
                <w:u w:val="single"/>
              </w:rPr>
            </w:pPr>
          </w:p>
        </w:tc>
        <w:tc>
          <w:tcPr>
            <w:tcW w:w="2041" w:type="dxa"/>
            <w:vAlign w:val="center"/>
          </w:tcPr>
          <w:p>
            <w:pPr>
              <w:spacing w:line="360" w:lineRule="auto"/>
              <w:rPr>
                <w:rFonts w:ascii="宋体" w:hAnsi="宋体"/>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621" w:type="dxa"/>
            <w:gridSpan w:val="4"/>
            <w:vAlign w:val="center"/>
          </w:tcPr>
          <w:p>
            <w:pPr>
              <w:spacing w:line="360" w:lineRule="auto"/>
              <w:ind w:firstLine="45" w:firstLineChars="19"/>
              <w:jc w:val="left"/>
              <w:rPr>
                <w:rFonts w:ascii="宋体" w:hAnsi="宋体" w:cs="宋体"/>
                <w:kern w:val="0"/>
                <w:sz w:val="24"/>
                <w:szCs w:val="22"/>
              </w:rPr>
            </w:pPr>
            <w:r>
              <w:rPr>
                <w:rFonts w:hint="eastAsia" w:ascii="宋体" w:hAnsi="宋体" w:cs="宋体"/>
                <w:kern w:val="0"/>
                <w:sz w:val="24"/>
                <w:szCs w:val="22"/>
              </w:rPr>
              <w:t>报价合计：               （大写：                ）</w:t>
            </w:r>
          </w:p>
        </w:tc>
      </w:tr>
    </w:tbl>
    <w:p>
      <w:pPr>
        <w:pStyle w:val="68"/>
        <w:ind w:firstLine="46" w:firstLineChars="19"/>
        <w:rPr>
          <w:rFonts w:ascii="宋体" w:hAnsi="宋体"/>
          <w:b/>
          <w:sz w:val="24"/>
          <w:szCs w:val="24"/>
          <w:u w:val="single"/>
        </w:rPr>
      </w:pPr>
    </w:p>
    <w:p>
      <w:pPr>
        <w:pStyle w:val="68"/>
        <w:ind w:firstLine="46" w:firstLineChars="19"/>
        <w:rPr>
          <w:rFonts w:ascii="宋体" w:hAnsi="宋体"/>
          <w:b/>
          <w:sz w:val="24"/>
          <w:szCs w:val="24"/>
          <w:u w:val="single"/>
        </w:rPr>
      </w:pPr>
    </w:p>
    <w:p>
      <w:pPr>
        <w:pStyle w:val="68"/>
        <w:ind w:firstLine="45" w:firstLineChars="19"/>
        <w:rPr>
          <w:rFonts w:ascii="宋体" w:hAnsi="宋体"/>
          <w:sz w:val="24"/>
          <w:szCs w:val="24"/>
        </w:rPr>
      </w:pPr>
    </w:p>
    <w:p>
      <w:pPr>
        <w:pStyle w:val="68"/>
        <w:ind w:firstLine="45" w:firstLineChars="19"/>
        <w:rPr>
          <w:rFonts w:ascii="宋体" w:hAnsi="宋体"/>
          <w:sz w:val="24"/>
          <w:szCs w:val="24"/>
        </w:rPr>
      </w:pPr>
    </w:p>
    <w:p>
      <w:pPr>
        <w:pStyle w:val="68"/>
        <w:ind w:firstLine="45" w:firstLineChars="19"/>
        <w:rPr>
          <w:rFonts w:ascii="宋体" w:hAnsi="宋体"/>
          <w:sz w:val="24"/>
          <w:szCs w:val="24"/>
        </w:rPr>
      </w:pPr>
      <w:r>
        <w:rPr>
          <w:rFonts w:ascii="宋体" w:hAnsi="宋体"/>
          <w:sz w:val="24"/>
          <w:szCs w:val="24"/>
        </w:rPr>
        <w:t>供应商名称</w:t>
      </w:r>
      <w:r>
        <w:rPr>
          <w:rFonts w:ascii="宋体" w:hAnsi="宋体"/>
          <w:sz w:val="24"/>
          <w:szCs w:val="24"/>
          <w:u w:val="single"/>
        </w:rPr>
        <w:t xml:space="preserve">：                       </w:t>
      </w:r>
      <w:r>
        <w:rPr>
          <w:rFonts w:ascii="宋体" w:hAnsi="宋体"/>
          <w:sz w:val="24"/>
          <w:szCs w:val="24"/>
        </w:rPr>
        <w:t xml:space="preserve"> (加盖公章) </w:t>
      </w:r>
    </w:p>
    <w:p>
      <w:pPr>
        <w:pStyle w:val="68"/>
        <w:ind w:firstLine="45" w:firstLineChars="19"/>
        <w:rPr>
          <w:rFonts w:ascii="宋体" w:hAnsi="宋体"/>
          <w:sz w:val="24"/>
          <w:szCs w:val="24"/>
        </w:rPr>
      </w:pPr>
      <w:r>
        <w:rPr>
          <w:rFonts w:ascii="宋体" w:hAnsi="宋体"/>
          <w:sz w:val="24"/>
          <w:szCs w:val="24"/>
        </w:rPr>
        <w:t>法定代表人或</w:t>
      </w:r>
      <w:r>
        <w:rPr>
          <w:rFonts w:hint="eastAsia" w:ascii="宋体" w:hAnsi="宋体"/>
          <w:sz w:val="24"/>
          <w:szCs w:val="24"/>
        </w:rPr>
        <w:t>被授权人</w:t>
      </w:r>
      <w:r>
        <w:rPr>
          <w:rFonts w:ascii="宋体" w:hAnsi="宋体"/>
          <w:sz w:val="24"/>
          <w:szCs w:val="24"/>
          <w:u w:val="single"/>
        </w:rPr>
        <w:t xml:space="preserve">：                    </w:t>
      </w:r>
      <w:r>
        <w:rPr>
          <w:rFonts w:hint="eastAsia" w:ascii="宋体" w:hAnsi="宋体"/>
          <w:sz w:val="24"/>
          <w:szCs w:val="24"/>
        </w:rPr>
        <w:t>(签字或加盖个人名章)</w:t>
      </w:r>
    </w:p>
    <w:p>
      <w:pPr>
        <w:pStyle w:val="68"/>
        <w:ind w:firstLine="45" w:firstLineChars="19"/>
        <w:rPr>
          <w:rFonts w:ascii="宋体" w:hAnsi="宋体"/>
          <w:sz w:val="22"/>
          <w:szCs w:val="22"/>
        </w:rPr>
      </w:pPr>
      <w:r>
        <w:rPr>
          <w:rFonts w:ascii="宋体" w:hAnsi="宋体"/>
          <w:sz w:val="24"/>
          <w:szCs w:val="24"/>
        </w:rPr>
        <w:t>日期：</w:t>
      </w:r>
      <w:r>
        <w:rPr>
          <w:rFonts w:ascii="宋体" w:hAnsi="宋体"/>
          <w:sz w:val="24"/>
          <w:szCs w:val="24"/>
          <w:u w:val="single"/>
        </w:rPr>
        <w:t xml:space="preserve">                     </w:t>
      </w:r>
      <w:r>
        <w:rPr>
          <w:rFonts w:ascii="宋体" w:hAnsi="宋体"/>
          <w:sz w:val="22"/>
          <w:szCs w:val="22"/>
        </w:rPr>
        <w:t xml:space="preserve"> </w:t>
      </w: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68"/>
        <w:ind w:firstLine="0"/>
        <w:rPr>
          <w:rFonts w:ascii="宋体" w:hAnsi="宋体"/>
          <w:sz w:val="22"/>
          <w:szCs w:val="22"/>
        </w:rPr>
      </w:pPr>
    </w:p>
    <w:p>
      <w:pPr>
        <w:pStyle w:val="5"/>
        <w:numPr>
          <w:ilvl w:val="0"/>
          <w:numId w:val="0"/>
        </w:numPr>
        <w:jc w:val="center"/>
      </w:pPr>
      <w:bookmarkStart w:id="46" w:name="_Toc250558598"/>
      <w:bookmarkStart w:id="47" w:name="_Toc241978339"/>
      <w:bookmarkStart w:id="48" w:name="_Toc14144"/>
      <w:bookmarkStart w:id="49" w:name="_Toc240256054"/>
      <w:bookmarkStart w:id="50" w:name="_Toc25515"/>
      <w:bookmarkStart w:id="51" w:name="_Toc279570294"/>
      <w:bookmarkStart w:id="52" w:name="_Toc98334732"/>
      <w:r>
        <w:rPr>
          <w:rFonts w:hint="eastAsia"/>
        </w:rPr>
        <w:t>三、</w:t>
      </w:r>
      <w:bookmarkEnd w:id="46"/>
      <w:bookmarkEnd w:id="47"/>
      <w:bookmarkEnd w:id="48"/>
      <w:bookmarkEnd w:id="49"/>
      <w:bookmarkEnd w:id="50"/>
      <w:bookmarkEnd w:id="51"/>
      <w:r>
        <w:rPr>
          <w:rFonts w:hint="eastAsia"/>
        </w:rPr>
        <w:t>采购标的成本一览表</w:t>
      </w:r>
      <w:bookmarkEnd w:id="52"/>
    </w:p>
    <w:p>
      <w:pPr>
        <w:pStyle w:val="68"/>
        <w:ind w:left="1245" w:leftChars="19" w:hanging="1205" w:hangingChars="500"/>
        <w:rPr>
          <w:rFonts w:ascii="宋体" w:hAnsi="宋体"/>
          <w:b/>
          <w:sz w:val="24"/>
          <w:szCs w:val="24"/>
        </w:rPr>
      </w:pPr>
    </w:p>
    <w:p>
      <w:pPr>
        <w:pStyle w:val="68"/>
        <w:ind w:left="1245" w:leftChars="19" w:hanging="1205" w:hangingChars="500"/>
        <w:rPr>
          <w:rFonts w:ascii="宋体" w:hAnsi="宋体" w:cs="宋体"/>
          <w:b/>
          <w:sz w:val="24"/>
          <w:szCs w:val="24"/>
        </w:rPr>
      </w:pPr>
      <w:r>
        <w:rPr>
          <w:rFonts w:hint="eastAsia" w:ascii="宋体" w:hAnsi="宋体"/>
          <w:b/>
          <w:sz w:val="24"/>
          <w:szCs w:val="24"/>
        </w:rPr>
        <w:t xml:space="preserve">项目名称： </w:t>
      </w:r>
    </w:p>
    <w:p>
      <w:pPr>
        <w:pStyle w:val="68"/>
        <w:ind w:left="1245" w:leftChars="19" w:hanging="1205" w:hangingChars="500"/>
        <w:rPr>
          <w:rFonts w:ascii="宋体" w:hAnsi="宋体"/>
          <w:b/>
          <w:sz w:val="24"/>
          <w:szCs w:val="24"/>
        </w:rPr>
      </w:pPr>
      <w:r>
        <w:rPr>
          <w:rFonts w:hint="eastAsia" w:ascii="宋体" w:hAnsi="宋体"/>
          <w:b/>
          <w:sz w:val="24"/>
          <w:szCs w:val="24"/>
        </w:rPr>
        <w:t xml:space="preserve">采购项目编号： </w:t>
      </w:r>
    </w:p>
    <w:p>
      <w:pPr>
        <w:pStyle w:val="68"/>
        <w:ind w:firstLine="46" w:firstLineChars="19"/>
        <w:rPr>
          <w:rFonts w:ascii="宋体" w:hAnsi="宋体"/>
          <w:b/>
          <w:sz w:val="24"/>
          <w:szCs w:val="24"/>
          <w:u w:val="single"/>
        </w:rPr>
      </w:pPr>
    </w:p>
    <w:p>
      <w:pPr>
        <w:pStyle w:val="68"/>
        <w:ind w:firstLine="46" w:firstLineChars="19"/>
        <w:rPr>
          <w:rFonts w:ascii="宋体" w:hAnsi="宋体"/>
          <w:b/>
          <w:sz w:val="24"/>
          <w:szCs w:val="24"/>
          <w:u w:val="single"/>
        </w:rPr>
      </w:pPr>
    </w:p>
    <w:p>
      <w:pPr>
        <w:pStyle w:val="68"/>
        <w:ind w:firstLine="46" w:firstLineChars="19"/>
        <w:rPr>
          <w:rFonts w:ascii="宋体" w:hAnsi="宋体"/>
          <w:b/>
          <w:sz w:val="24"/>
          <w:szCs w:val="24"/>
          <w:u w:val="single"/>
        </w:rPr>
      </w:pPr>
    </w:p>
    <w:p>
      <w:pPr>
        <w:pStyle w:val="68"/>
        <w:ind w:firstLine="0"/>
        <w:rPr>
          <w:rFonts w:ascii="宋体" w:hAnsi="宋体"/>
          <w:b/>
          <w:sz w:val="24"/>
          <w:szCs w:val="24"/>
          <w:u w:val="single"/>
        </w:rPr>
      </w:pPr>
    </w:p>
    <w:p>
      <w:pPr>
        <w:pStyle w:val="68"/>
        <w:ind w:firstLine="0"/>
        <w:rPr>
          <w:rFonts w:ascii="宋体" w:hAnsi="宋体"/>
          <w:b/>
          <w:sz w:val="24"/>
          <w:szCs w:val="24"/>
          <w:u w:val="single"/>
        </w:rPr>
      </w:pPr>
    </w:p>
    <w:p>
      <w:pPr>
        <w:pStyle w:val="68"/>
        <w:ind w:firstLine="46" w:firstLineChars="19"/>
        <w:rPr>
          <w:rFonts w:ascii="宋体" w:hAnsi="宋体"/>
          <w:b/>
          <w:sz w:val="24"/>
          <w:szCs w:val="24"/>
          <w:u w:val="single"/>
        </w:rPr>
      </w:pPr>
    </w:p>
    <w:p>
      <w:pPr>
        <w:spacing w:line="360" w:lineRule="auto"/>
        <w:ind w:firstLine="525" w:firstLineChars="219"/>
        <w:rPr>
          <w:rFonts w:ascii="宋体" w:hAnsi="宋体"/>
          <w:sz w:val="22"/>
          <w:szCs w:val="22"/>
        </w:rPr>
      </w:pPr>
      <w:r>
        <w:rPr>
          <w:rFonts w:hint="eastAsia" w:ascii="宋体" w:hAnsi="宋体"/>
          <w:sz w:val="24"/>
        </w:rPr>
        <w:t>注</w:t>
      </w:r>
      <w:r>
        <w:rPr>
          <w:rFonts w:ascii="宋体" w:hAnsi="宋体"/>
          <w:sz w:val="24"/>
        </w:rPr>
        <w:t>：供应商应根据其</w:t>
      </w:r>
      <w:r>
        <w:rPr>
          <w:rFonts w:hint="eastAsia" w:ascii="宋体" w:hAnsi="宋体"/>
          <w:sz w:val="24"/>
        </w:rPr>
        <w:t>对各项采购标的</w:t>
      </w:r>
      <w:r>
        <w:rPr>
          <w:rFonts w:ascii="宋体" w:hAnsi="宋体"/>
          <w:sz w:val="24"/>
        </w:rPr>
        <w:t>报价提供</w:t>
      </w:r>
      <w:r>
        <w:rPr>
          <w:rFonts w:hint="eastAsia" w:ascii="宋体" w:hAnsi="宋体"/>
          <w:sz w:val="24"/>
        </w:rPr>
        <w:t>各项采购标的</w:t>
      </w:r>
      <w:r>
        <w:rPr>
          <w:rFonts w:ascii="宋体" w:hAnsi="宋体"/>
          <w:sz w:val="24"/>
        </w:rPr>
        <w:t>详细的</w:t>
      </w:r>
      <w:r>
        <w:rPr>
          <w:rFonts w:hint="eastAsia" w:ascii="宋体" w:hAnsi="宋体"/>
          <w:sz w:val="24"/>
        </w:rPr>
        <w:t>成本构成</w:t>
      </w:r>
      <w:r>
        <w:rPr>
          <w:rFonts w:ascii="宋体" w:hAnsi="宋体"/>
          <w:sz w:val="24"/>
        </w:rPr>
        <w:t>明细，供应商自行制表填写。</w:t>
      </w:r>
    </w:p>
    <w:p>
      <w:pPr>
        <w:spacing w:line="360" w:lineRule="auto"/>
        <w:ind w:firstLine="53" w:firstLineChars="19"/>
        <w:rPr>
          <w:rFonts w:ascii="宋体" w:hAnsi="宋体"/>
          <w:b/>
          <w:sz w:val="28"/>
          <w:szCs w:val="22"/>
        </w:rPr>
      </w:pPr>
    </w:p>
    <w:p>
      <w:pPr>
        <w:spacing w:line="360" w:lineRule="auto"/>
        <w:ind w:firstLine="41" w:firstLineChars="19"/>
        <w:rPr>
          <w:rFonts w:ascii="宋体" w:hAnsi="宋体"/>
          <w:sz w:val="22"/>
          <w:szCs w:val="22"/>
        </w:rPr>
      </w:pPr>
    </w:p>
    <w:p>
      <w:pPr>
        <w:spacing w:line="360" w:lineRule="auto"/>
        <w:ind w:firstLine="41" w:firstLineChars="19"/>
        <w:rPr>
          <w:rFonts w:ascii="宋体" w:hAnsi="宋体"/>
          <w:sz w:val="22"/>
          <w:szCs w:val="22"/>
        </w:rPr>
      </w:pPr>
    </w:p>
    <w:p>
      <w:pPr>
        <w:spacing w:line="360" w:lineRule="auto"/>
        <w:ind w:firstLine="45" w:firstLineChars="19"/>
        <w:rPr>
          <w:rFonts w:ascii="宋体" w:hAnsi="宋体"/>
          <w:sz w:val="24"/>
          <w:u w:val="single"/>
        </w:rPr>
      </w:pPr>
      <w:bookmarkStart w:id="53" w:name="_Toc237145395"/>
      <w:bookmarkStart w:id="54" w:name="_Toc239846734"/>
      <w:bookmarkStart w:id="55" w:name="_Toc241576922"/>
      <w:bookmarkStart w:id="56" w:name="_Toc239849853"/>
      <w:bookmarkStart w:id="57" w:name="_Toc229802674"/>
      <w:bookmarkStart w:id="58" w:name="_Toc240367172"/>
      <w:bookmarkStart w:id="59" w:name="_Toc231030275"/>
      <w:bookmarkStart w:id="60" w:name="_Toc240865266"/>
      <w:r>
        <w:rPr>
          <w:rFonts w:ascii="宋体" w:hAnsi="宋体"/>
          <w:sz w:val="24"/>
        </w:rPr>
        <w:t>供应商名称：</w:t>
      </w:r>
      <w:r>
        <w:rPr>
          <w:rFonts w:ascii="宋体" w:hAnsi="宋体"/>
          <w:sz w:val="24"/>
          <w:u w:val="single"/>
        </w:rPr>
        <w:t>　　　　　　　　　　　</w:t>
      </w:r>
      <w:r>
        <w:rPr>
          <w:rFonts w:ascii="宋体" w:hAnsi="宋体"/>
          <w:sz w:val="24"/>
        </w:rPr>
        <w:t xml:space="preserve"> (加盖公章)</w:t>
      </w:r>
    </w:p>
    <w:p>
      <w:pPr>
        <w:spacing w:line="360" w:lineRule="auto"/>
        <w:ind w:firstLine="45" w:firstLineChars="19"/>
        <w:rPr>
          <w:rFonts w:ascii="宋体" w:hAnsi="宋体"/>
          <w:sz w:val="24"/>
        </w:rPr>
      </w:pPr>
      <w:r>
        <w:rPr>
          <w:rFonts w:ascii="宋体" w:hAnsi="宋体"/>
          <w:sz w:val="24"/>
        </w:rPr>
        <w:t>法定代表人或</w:t>
      </w:r>
      <w:r>
        <w:rPr>
          <w:rFonts w:hint="eastAsia" w:ascii="宋体" w:hAnsi="宋体"/>
          <w:sz w:val="24"/>
        </w:rPr>
        <w:t>被授权人</w:t>
      </w:r>
      <w:r>
        <w:rPr>
          <w:rFonts w:ascii="宋体" w:hAnsi="宋体"/>
          <w:sz w:val="24"/>
        </w:rPr>
        <w:t>：</w:t>
      </w:r>
      <w:r>
        <w:rPr>
          <w:rFonts w:ascii="宋体" w:hAnsi="宋体"/>
          <w:sz w:val="24"/>
          <w:u w:val="single"/>
        </w:rPr>
        <w:t>　　　　　　　　　</w:t>
      </w:r>
      <w:r>
        <w:rPr>
          <w:rFonts w:ascii="宋体" w:hAnsi="宋体"/>
          <w:sz w:val="24"/>
        </w:rPr>
        <w:t>（签字</w:t>
      </w:r>
      <w:r>
        <w:rPr>
          <w:rFonts w:hint="eastAsia" w:ascii="宋体" w:hAnsi="宋体"/>
          <w:sz w:val="24"/>
        </w:rPr>
        <w:t>或加盖个人名章</w:t>
      </w:r>
      <w:r>
        <w:rPr>
          <w:rFonts w:ascii="宋体" w:hAnsi="宋体"/>
          <w:sz w:val="24"/>
        </w:rPr>
        <w:t>）</w:t>
      </w:r>
    </w:p>
    <w:p>
      <w:pPr>
        <w:spacing w:line="360" w:lineRule="auto"/>
        <w:ind w:firstLine="45" w:firstLineChars="19"/>
        <w:rPr>
          <w:rFonts w:ascii="宋体" w:hAnsi="宋体"/>
          <w:sz w:val="22"/>
          <w:szCs w:val="22"/>
          <w:u w:val="single"/>
        </w:rPr>
        <w:sectPr>
          <w:pgSz w:w="11906" w:h="16838"/>
          <w:pgMar w:top="1134" w:right="1700" w:bottom="1134" w:left="1418" w:header="568" w:footer="992" w:gutter="0"/>
          <w:cols w:space="0" w:num="1"/>
          <w:titlePg/>
          <w:docGrid w:type="lines" w:linePitch="312" w:charSpace="0"/>
        </w:sectPr>
      </w:pPr>
      <w:r>
        <w:rPr>
          <w:rFonts w:ascii="宋体" w:hAnsi="宋体"/>
          <w:sz w:val="24"/>
        </w:rPr>
        <w:t>日      期：</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pStyle w:val="5"/>
        <w:numPr>
          <w:ilvl w:val="0"/>
          <w:numId w:val="0"/>
        </w:numPr>
        <w:jc w:val="center"/>
        <w:rPr>
          <w:sz w:val="24"/>
          <w:szCs w:val="24"/>
        </w:rPr>
      </w:pPr>
      <w:bookmarkStart w:id="61" w:name="_Toc98334733"/>
      <w:bookmarkStart w:id="62" w:name="_Toc19354"/>
      <w:bookmarkStart w:id="63" w:name="_Toc2636"/>
      <w:bookmarkStart w:id="64" w:name="_Toc250558599"/>
      <w:r>
        <w:rPr>
          <w:rFonts w:hint="eastAsia"/>
        </w:rPr>
        <w:t>四、</w:t>
      </w:r>
      <w:r>
        <w:t>法定代表人</w:t>
      </w:r>
      <w:r>
        <w:rPr>
          <w:rFonts w:hint="eastAsia"/>
        </w:rPr>
        <w:t>/单位负责人身份证明书</w:t>
      </w:r>
      <w:bookmarkEnd w:id="61"/>
      <w:bookmarkEnd w:id="62"/>
      <w:bookmarkEnd w:id="63"/>
    </w:p>
    <w:p>
      <w:pPr>
        <w:spacing w:line="360" w:lineRule="auto"/>
        <w:rPr>
          <w:rFonts w:ascii="宋体" w:hAnsi="宋体"/>
          <w:color w:val="000000"/>
          <w:sz w:val="22"/>
          <w:szCs w:val="22"/>
        </w:rPr>
      </w:pPr>
    </w:p>
    <w:p>
      <w:pPr>
        <w:spacing w:line="360" w:lineRule="auto"/>
        <w:rPr>
          <w:rFonts w:ascii="宋体" w:hAnsi="宋体"/>
          <w:color w:val="000000"/>
          <w:sz w:val="22"/>
          <w:szCs w:val="22"/>
        </w:rPr>
      </w:pPr>
    </w:p>
    <w:p>
      <w:pPr>
        <w:spacing w:line="360" w:lineRule="auto"/>
        <w:rPr>
          <w:rFonts w:ascii="宋体" w:hAnsi="宋体"/>
          <w:color w:val="000000"/>
          <w:sz w:val="24"/>
        </w:rPr>
      </w:pPr>
      <w:r>
        <w:rPr>
          <w:rFonts w:hint="eastAsia" w:ascii="宋体" w:hAnsi="宋体"/>
          <w:color w:val="000000"/>
          <w:sz w:val="24"/>
        </w:rPr>
        <w:t>XXX（采购代理机构名称）：</w:t>
      </w:r>
    </w:p>
    <w:p>
      <w:pPr>
        <w:tabs>
          <w:tab w:val="left" w:pos="6300"/>
        </w:tabs>
        <w:spacing w:line="520" w:lineRule="exact"/>
        <w:ind w:firstLine="480" w:firstLineChars="200"/>
        <w:rPr>
          <w:rFonts w:ascii="宋体" w:hAnsi="宋体"/>
          <w:sz w:val="24"/>
          <w:lang w:val="zh-CN"/>
        </w:rPr>
      </w:pPr>
      <w:r>
        <w:rPr>
          <w:rFonts w:hint="eastAsia" w:ascii="宋体" w:hAnsi="宋体"/>
          <w:sz w:val="24"/>
          <w:u w:val="single"/>
        </w:rPr>
        <w:t>XXX（法定代表人/单位负责人姓名）</w:t>
      </w:r>
      <w:r>
        <w:rPr>
          <w:rFonts w:hint="eastAsia" w:ascii="宋体" w:hAnsi="宋体"/>
          <w:sz w:val="24"/>
          <w:lang w:val="zh-CN"/>
        </w:rPr>
        <w:t>在</w:t>
      </w:r>
      <w:r>
        <w:rPr>
          <w:rFonts w:hint="eastAsia" w:ascii="宋体" w:hAnsi="宋体"/>
          <w:sz w:val="24"/>
          <w:u w:val="single"/>
        </w:rPr>
        <w:t>XXX（单位名称）</w:t>
      </w:r>
      <w:r>
        <w:rPr>
          <w:rFonts w:hint="eastAsia" w:ascii="宋体" w:hAnsi="宋体"/>
          <w:sz w:val="24"/>
          <w:lang w:val="zh-CN"/>
        </w:rPr>
        <w:t>任</w:t>
      </w:r>
      <w:r>
        <w:rPr>
          <w:rFonts w:hint="eastAsia" w:ascii="宋体" w:hAnsi="宋体"/>
          <w:sz w:val="24"/>
          <w:u w:val="single"/>
          <w:lang w:val="zh-CN"/>
        </w:rPr>
        <w:t>（职务名称）</w:t>
      </w:r>
      <w:r>
        <w:rPr>
          <w:rFonts w:hint="eastAsia" w:ascii="宋体" w:hAnsi="宋体"/>
          <w:sz w:val="24"/>
          <w:lang w:val="zh-CN"/>
        </w:rPr>
        <w:t>职务，是</w:t>
      </w:r>
      <w:r>
        <w:rPr>
          <w:rFonts w:hint="eastAsia" w:ascii="宋体" w:hAnsi="宋体"/>
          <w:sz w:val="24"/>
          <w:u w:val="single"/>
        </w:rPr>
        <w:t>XXX（单位名称）</w:t>
      </w:r>
      <w:r>
        <w:rPr>
          <w:rFonts w:hint="eastAsia" w:ascii="宋体" w:hAnsi="宋体"/>
          <w:sz w:val="24"/>
          <w:lang w:val="zh-CN"/>
        </w:rPr>
        <w:t>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  。</w:t>
      </w: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2"/>
          <w:szCs w:val="22"/>
          <w:lang w:val="zh-CN"/>
        </w:rPr>
      </w:pPr>
    </w:p>
    <w:p>
      <w:pPr>
        <w:widowControl/>
        <w:spacing w:line="360" w:lineRule="atLeast"/>
        <w:ind w:firstLine="480" w:firstLineChars="200"/>
        <w:jc w:val="left"/>
        <w:outlineLvl w:val="1"/>
        <w:rPr>
          <w:rFonts w:ascii="宋体" w:hAnsi="宋体"/>
          <w:sz w:val="24"/>
        </w:rPr>
      </w:pPr>
      <w:bookmarkStart w:id="65" w:name="_Toc6917"/>
      <w:bookmarkStart w:id="66" w:name="_Toc29009"/>
      <w:bookmarkStart w:id="67" w:name="_Toc20138"/>
      <w:bookmarkStart w:id="68" w:name="_Toc98334734"/>
      <w:r>
        <w:rPr>
          <w:rFonts w:hint="eastAsia" w:ascii="宋体" w:hAnsi="宋体"/>
          <w:sz w:val="24"/>
        </w:rPr>
        <w:t>身份证明材料复印件附后：</w:t>
      </w:r>
      <w:bookmarkEnd w:id="65"/>
      <w:bookmarkEnd w:id="66"/>
      <w:bookmarkEnd w:id="67"/>
      <w:bookmarkEnd w:id="68"/>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spacing w:line="520" w:lineRule="exact"/>
        <w:ind w:firstLine="480"/>
        <w:jc w:val="left"/>
        <w:rPr>
          <w:rFonts w:ascii="宋体" w:hAnsi="宋体"/>
          <w:sz w:val="24"/>
        </w:rPr>
      </w:pPr>
      <w:r>
        <w:rPr>
          <w:rFonts w:hint="eastAsia" w:ascii="宋体" w:hAnsi="宋体"/>
          <w:sz w:val="24"/>
        </w:rPr>
        <w:t>供应商名称： （盖单位公章）</w:t>
      </w:r>
    </w:p>
    <w:p>
      <w:pPr>
        <w:spacing w:line="520" w:lineRule="exact"/>
        <w:ind w:firstLine="480"/>
        <w:jc w:val="left"/>
        <w:rPr>
          <w:rFonts w:ascii="宋体" w:hAnsi="宋体"/>
          <w:sz w:val="24"/>
        </w:rPr>
      </w:pPr>
      <w:r>
        <w:rPr>
          <w:rFonts w:hint="eastAsia" w:ascii="宋体" w:hAnsi="宋体"/>
          <w:sz w:val="24"/>
        </w:rPr>
        <w:t>法定代表人/单位负责人（签字或盖个人名章）：</w:t>
      </w:r>
    </w:p>
    <w:p>
      <w:pPr>
        <w:spacing w:line="520" w:lineRule="exact"/>
        <w:ind w:firstLine="480" w:firstLineChars="200"/>
        <w:rPr>
          <w:rFonts w:ascii="宋体" w:hAnsi="宋体"/>
          <w:sz w:val="24"/>
          <w:lang w:val="zh-CN"/>
        </w:rPr>
      </w:pPr>
      <w:r>
        <w:rPr>
          <w:rFonts w:hint="eastAsia" w:ascii="宋体" w:hAnsi="宋体"/>
          <w:sz w:val="24"/>
        </w:rPr>
        <w:t>日  期：</w:t>
      </w:r>
    </w:p>
    <w:p>
      <w:pPr>
        <w:spacing w:line="520" w:lineRule="exact"/>
        <w:ind w:firstLine="220" w:firstLineChars="100"/>
        <w:rPr>
          <w:rFonts w:ascii="宋体" w:hAnsi="宋体"/>
          <w:sz w:val="22"/>
          <w:szCs w:val="22"/>
          <w:lang w:val="zh-CN"/>
        </w:rPr>
      </w:pPr>
    </w:p>
    <w:p>
      <w:pPr>
        <w:spacing w:line="520" w:lineRule="exact"/>
        <w:ind w:firstLine="220" w:firstLineChars="100"/>
        <w:rPr>
          <w:rFonts w:ascii="宋体" w:hAnsi="宋体"/>
          <w:sz w:val="22"/>
          <w:szCs w:val="22"/>
          <w:lang w:val="zh-CN"/>
        </w:rPr>
      </w:pPr>
    </w:p>
    <w:p>
      <w:pPr>
        <w:spacing w:line="520" w:lineRule="exact"/>
        <w:ind w:firstLine="220" w:firstLineChars="100"/>
        <w:rPr>
          <w:rFonts w:ascii="宋体" w:hAnsi="宋体"/>
          <w:sz w:val="22"/>
          <w:szCs w:val="22"/>
          <w:lang w:val="zh-CN"/>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sz w:val="24"/>
        </w:rPr>
      </w:pPr>
      <w:r>
        <w:rPr>
          <w:rFonts w:hint="eastAsia" w:ascii="宋体" w:hAnsi="宋体"/>
          <w:sz w:val="24"/>
        </w:rPr>
        <w:t>2、应附法定代表人/单位负责人身份证明材料复印件；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r>
        <w:rPr>
          <w:rFonts w:hint="eastAsia" w:ascii="宋体" w:hAnsi="宋体"/>
          <w:sz w:val="24"/>
        </w:rPr>
        <w:t>5、供应商由被授权人参加投标的，无须提供此身份证明书。</w:t>
      </w:r>
    </w:p>
    <w:p>
      <w:pPr>
        <w:pStyle w:val="5"/>
        <w:numPr>
          <w:ilvl w:val="0"/>
          <w:numId w:val="0"/>
        </w:numPr>
        <w:rPr>
          <w:sz w:val="24"/>
          <w:szCs w:val="24"/>
        </w:rPr>
        <w:sectPr>
          <w:pgSz w:w="11906" w:h="16838"/>
          <w:pgMar w:top="1134" w:right="1700" w:bottom="1134" w:left="1418" w:header="568" w:footer="992" w:gutter="0"/>
          <w:cols w:space="0" w:num="1"/>
          <w:titlePg/>
          <w:docGrid w:type="lines" w:linePitch="312" w:charSpace="0"/>
        </w:sectPr>
      </w:pPr>
    </w:p>
    <w:bookmarkEnd w:id="64"/>
    <w:p>
      <w:pPr>
        <w:pStyle w:val="5"/>
        <w:numPr>
          <w:ilvl w:val="0"/>
          <w:numId w:val="0"/>
        </w:numPr>
        <w:jc w:val="center"/>
      </w:pPr>
      <w:bookmarkStart w:id="69" w:name="_Toc98334735"/>
      <w:bookmarkStart w:id="70" w:name="_Toc14638"/>
      <w:bookmarkStart w:id="71" w:name="_Toc1626"/>
      <w:bookmarkStart w:id="72" w:name="_Toc241836525"/>
      <w:bookmarkStart w:id="73" w:name="_Toc250558600"/>
      <w:bookmarkStart w:id="74" w:name="_Toc177466689"/>
      <w:bookmarkStart w:id="75" w:name="_Toc136584994"/>
      <w:bookmarkStart w:id="76" w:name="_Toc136584996"/>
      <w:r>
        <w:rPr>
          <w:rFonts w:hint="eastAsia"/>
        </w:rPr>
        <w:t>五、</w:t>
      </w:r>
      <w:r>
        <w:t>法定代表人授权书格式</w:t>
      </w:r>
      <w:bookmarkEnd w:id="69"/>
      <w:bookmarkEnd w:id="70"/>
      <w:bookmarkEnd w:id="71"/>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XXX（采购代理机构名称）：</w:t>
      </w:r>
    </w:p>
    <w:p>
      <w:pPr>
        <w:spacing w:line="360" w:lineRule="auto"/>
        <w:ind w:firstLine="480" w:firstLineChars="200"/>
        <w:rPr>
          <w:rFonts w:ascii="宋体" w:hAnsi="宋体"/>
          <w:color w:val="000000"/>
          <w:sz w:val="24"/>
        </w:rPr>
      </w:pPr>
      <w:r>
        <w:rPr>
          <w:rFonts w:hint="eastAsia" w:ascii="宋体" w:hAnsi="宋体"/>
          <w:color w:val="000000"/>
          <w:sz w:val="24"/>
        </w:rPr>
        <w:t>本授权声明：</w:t>
      </w:r>
      <w:r>
        <w:rPr>
          <w:rFonts w:hint="eastAsia" w:ascii="宋体" w:hAnsi="宋体"/>
          <w:color w:val="000000"/>
          <w:sz w:val="24"/>
          <w:u w:val="single"/>
        </w:rPr>
        <w:t>XXX（单位名称）</w:t>
      </w:r>
      <w:r>
        <w:rPr>
          <w:rFonts w:hint="eastAsia" w:ascii="宋体" w:hAnsi="宋体"/>
          <w:color w:val="000000"/>
          <w:sz w:val="24"/>
        </w:rPr>
        <w:t>,法定代表人/单位负责人</w:t>
      </w:r>
      <w:r>
        <w:rPr>
          <w:rFonts w:hint="eastAsia" w:ascii="宋体" w:hAnsi="宋体"/>
          <w:color w:val="000000"/>
          <w:sz w:val="24"/>
          <w:u w:val="single"/>
        </w:rPr>
        <w:t>XXX（姓名、职务）</w:t>
      </w:r>
      <w:r>
        <w:rPr>
          <w:rFonts w:hint="eastAsia" w:ascii="宋体" w:hAnsi="宋体"/>
          <w:color w:val="000000"/>
          <w:sz w:val="24"/>
        </w:rPr>
        <w:t>授权</w:t>
      </w:r>
      <w:r>
        <w:rPr>
          <w:rFonts w:hint="eastAsia" w:ascii="宋体" w:hAnsi="宋体"/>
          <w:color w:val="000000"/>
          <w:sz w:val="24"/>
          <w:u w:val="single"/>
        </w:rPr>
        <w:t>XXX（被授权人姓名、职务）</w:t>
      </w:r>
      <w:r>
        <w:rPr>
          <w:rFonts w:hint="eastAsia" w:ascii="宋体" w:hAnsi="宋体"/>
          <w:color w:val="000000"/>
          <w:sz w:val="24"/>
        </w:rPr>
        <w:t>为我方参加</w:t>
      </w:r>
      <w:r>
        <w:rPr>
          <w:rFonts w:hint="eastAsia" w:ascii="宋体" w:hAnsi="宋体"/>
          <w:color w:val="000000"/>
          <w:sz w:val="24"/>
          <w:u w:val="single"/>
        </w:rPr>
        <w:t>XXX项目（采购编号：XXX）</w:t>
      </w:r>
      <w:r>
        <w:rPr>
          <w:rFonts w:hint="eastAsia" w:ascii="宋体" w:hAnsi="宋体"/>
          <w:color w:val="000000"/>
          <w:sz w:val="24"/>
        </w:rPr>
        <w:t>采购活动的合法代表，以我方名义全权处理该项目有关协商、报价、签订合同以及执行合同等一切事宜。</w:t>
      </w:r>
    </w:p>
    <w:p>
      <w:pPr>
        <w:spacing w:line="360" w:lineRule="auto"/>
        <w:ind w:firstLine="480" w:firstLineChars="200"/>
        <w:rPr>
          <w:rFonts w:ascii="宋体" w:hAnsi="宋体"/>
          <w:color w:val="000000"/>
          <w:sz w:val="24"/>
        </w:rPr>
      </w:pPr>
      <w:r>
        <w:rPr>
          <w:rFonts w:hint="eastAsia" w:ascii="宋体" w:hAnsi="宋体"/>
          <w:color w:val="000000"/>
          <w:sz w:val="24"/>
        </w:rPr>
        <w:t>特此声明。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身份证明材料复印件附后：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360" w:lineRule="auto"/>
        <w:ind w:firstLine="480" w:firstLineChars="200"/>
        <w:rPr>
          <w:rFonts w:ascii="宋体" w:hAnsi="宋体"/>
          <w:sz w:val="24"/>
        </w:rPr>
      </w:pPr>
      <w:bookmarkStart w:id="77" w:name="_Hlk525829263"/>
      <w:r>
        <w:rPr>
          <w:rFonts w:hint="eastAsia" w:ascii="宋体" w:hAnsi="宋体"/>
          <w:sz w:val="24"/>
        </w:rPr>
        <w:t>供应商名称：     （盖单位公章）</w:t>
      </w:r>
    </w:p>
    <w:p>
      <w:pPr>
        <w:spacing w:line="360" w:lineRule="auto"/>
        <w:ind w:firstLine="480" w:firstLineChars="200"/>
        <w:rPr>
          <w:rFonts w:ascii="宋体" w:hAnsi="宋体"/>
          <w:sz w:val="24"/>
        </w:rPr>
      </w:pPr>
      <w:r>
        <w:rPr>
          <w:rFonts w:hint="eastAsia" w:ascii="宋体" w:hAnsi="宋体"/>
          <w:sz w:val="24"/>
        </w:rPr>
        <w:t xml:space="preserve">法定代表人/单位负责人（签字或盖个人章）： </w:t>
      </w:r>
    </w:p>
    <w:p>
      <w:pPr>
        <w:spacing w:line="360" w:lineRule="auto"/>
        <w:ind w:firstLine="480" w:firstLineChars="200"/>
        <w:rPr>
          <w:rFonts w:ascii="宋体" w:hAnsi="宋体"/>
          <w:sz w:val="24"/>
        </w:rPr>
      </w:pPr>
      <w:r>
        <w:rPr>
          <w:rFonts w:hint="eastAsia" w:ascii="宋体" w:hAnsi="宋体"/>
          <w:sz w:val="24"/>
        </w:rPr>
        <w:t xml:space="preserve">被授权人（签字或盖个人章）： </w:t>
      </w:r>
    </w:p>
    <w:p>
      <w:pPr>
        <w:spacing w:line="360" w:lineRule="auto"/>
        <w:ind w:firstLine="480" w:firstLineChars="200"/>
        <w:rPr>
          <w:sz w:val="24"/>
        </w:rPr>
      </w:pPr>
      <w:r>
        <w:rPr>
          <w:rFonts w:hint="eastAsia" w:ascii="宋体" w:hAnsi="宋体"/>
          <w:sz w:val="24"/>
        </w:rPr>
        <w:t>日    期：</w:t>
      </w:r>
    </w:p>
    <w:bookmarkEnd w:id="77"/>
    <w:p>
      <w:pPr>
        <w:spacing w:line="400" w:lineRule="exact"/>
        <w:rPr>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1、供应商为法人单位时提供“法定代表人授权书”，供应商为其他组织时提供“单位负责人授权书”。</w:t>
      </w:r>
    </w:p>
    <w:p>
      <w:pPr>
        <w:spacing w:line="360" w:lineRule="auto"/>
        <w:ind w:firstLine="480" w:firstLineChars="200"/>
        <w:rPr>
          <w:rFonts w:ascii="宋体" w:hAnsi="宋体"/>
          <w:sz w:val="24"/>
        </w:rPr>
      </w:pPr>
      <w:r>
        <w:rPr>
          <w:rFonts w:hint="eastAsia" w:ascii="宋体" w:hAnsi="宋体"/>
          <w:sz w:val="24"/>
        </w:rPr>
        <w:t>2、应附法定代表人/单位负责人身份证明材料复印件和被授权人身份证明材料复印件。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r>
        <w:rPr>
          <w:rFonts w:hint="eastAsia" w:ascii="宋体" w:hAnsi="宋体"/>
          <w:sz w:val="24"/>
        </w:rPr>
        <w:t>5、供应商法定代表人/单位负责人或自然人直接参加投标的，无须提供此授权书。</w:t>
      </w:r>
    </w:p>
    <w:p>
      <w:pPr>
        <w:pStyle w:val="5"/>
        <w:numPr>
          <w:ilvl w:val="0"/>
          <w:numId w:val="0"/>
        </w:numPr>
        <w:rPr>
          <w:b w:val="0"/>
          <w:bCs/>
          <w:sz w:val="24"/>
          <w:szCs w:val="24"/>
        </w:rPr>
        <w:sectPr>
          <w:pgSz w:w="11906" w:h="16838"/>
          <w:pgMar w:top="1134" w:right="1700" w:bottom="1134" w:left="1418" w:header="567" w:footer="992" w:gutter="0"/>
          <w:cols w:space="0" w:num="1"/>
          <w:titlePg/>
          <w:docGrid w:type="lines" w:linePitch="312" w:charSpace="0"/>
        </w:sectPr>
      </w:pPr>
    </w:p>
    <w:bookmarkEnd w:id="72"/>
    <w:bookmarkEnd w:id="73"/>
    <w:bookmarkEnd w:id="74"/>
    <w:bookmarkEnd w:id="75"/>
    <w:p>
      <w:pPr>
        <w:pStyle w:val="5"/>
        <w:numPr>
          <w:ilvl w:val="0"/>
          <w:numId w:val="0"/>
        </w:numPr>
        <w:ind w:left="567" w:hanging="567"/>
        <w:jc w:val="center"/>
        <w:rPr>
          <w:color w:val="auto"/>
        </w:rPr>
      </w:pPr>
      <w:bookmarkStart w:id="78" w:name="_Toc12772"/>
      <w:bookmarkStart w:id="79" w:name="_Toc15715"/>
      <w:bookmarkStart w:id="80" w:name="_Toc98334736"/>
      <w:r>
        <w:rPr>
          <w:rFonts w:hint="eastAsia"/>
        </w:rPr>
        <w:t>六、技术/服务、商务</w:t>
      </w:r>
      <w:r>
        <w:t>及</w:t>
      </w:r>
      <w:r>
        <w:rPr>
          <w:rFonts w:hint="eastAsia"/>
        </w:rPr>
        <w:t>其他</w:t>
      </w:r>
      <w:r>
        <w:t>要求</w:t>
      </w:r>
      <w:r>
        <w:rPr>
          <w:rFonts w:hint="eastAsia"/>
          <w:color w:val="auto"/>
        </w:rPr>
        <w:t>应答表</w:t>
      </w:r>
      <w:bookmarkEnd w:id="78"/>
      <w:bookmarkEnd w:id="79"/>
      <w:bookmarkEnd w:id="80"/>
    </w:p>
    <w:p>
      <w:pPr>
        <w:pStyle w:val="24"/>
        <w:pBdr>
          <w:bottom w:val="none" w:color="auto" w:sz="0" w:space="0"/>
        </w:pBdr>
        <w:tabs>
          <w:tab w:val="clear" w:pos="4153"/>
          <w:tab w:val="clear" w:pos="8306"/>
        </w:tabs>
        <w:snapToGrid/>
        <w:jc w:val="both"/>
        <w:rPr>
          <w:rFonts w:ascii="宋体" w:hAnsi="宋体"/>
          <w:sz w:val="22"/>
          <w:szCs w:val="22"/>
        </w:rPr>
      </w:pPr>
    </w:p>
    <w:tbl>
      <w:tblPr>
        <w:tblStyle w:val="32"/>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759"/>
        <w:gridCol w:w="2759"/>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3" w:type="dxa"/>
            <w:vAlign w:val="center"/>
          </w:tcPr>
          <w:p>
            <w:pPr>
              <w:jc w:val="center"/>
              <w:rPr>
                <w:rFonts w:ascii="宋体" w:hAnsi="宋体"/>
                <w:sz w:val="22"/>
                <w:szCs w:val="22"/>
              </w:rPr>
            </w:pPr>
            <w:r>
              <w:rPr>
                <w:rFonts w:hint="eastAsia" w:ascii="宋体" w:hAnsi="宋体"/>
                <w:sz w:val="22"/>
                <w:szCs w:val="22"/>
              </w:rPr>
              <w:t>序号</w:t>
            </w:r>
          </w:p>
        </w:tc>
        <w:tc>
          <w:tcPr>
            <w:tcW w:w="2759" w:type="dxa"/>
            <w:vAlign w:val="center"/>
          </w:tcPr>
          <w:p>
            <w:pPr>
              <w:jc w:val="center"/>
              <w:rPr>
                <w:rFonts w:ascii="宋体" w:hAnsi="宋体"/>
                <w:sz w:val="22"/>
                <w:szCs w:val="22"/>
              </w:rPr>
            </w:pPr>
            <w:r>
              <w:rPr>
                <w:rFonts w:hint="eastAsia" w:ascii="宋体" w:hAnsi="宋体"/>
                <w:sz w:val="22"/>
                <w:szCs w:val="22"/>
              </w:rPr>
              <w:t>采购文件要求</w:t>
            </w:r>
          </w:p>
        </w:tc>
        <w:tc>
          <w:tcPr>
            <w:tcW w:w="2759" w:type="dxa"/>
            <w:vAlign w:val="center"/>
          </w:tcPr>
          <w:p>
            <w:pPr>
              <w:jc w:val="center"/>
              <w:rPr>
                <w:rFonts w:ascii="宋体" w:hAnsi="宋体"/>
                <w:sz w:val="22"/>
                <w:szCs w:val="22"/>
              </w:rPr>
            </w:pPr>
            <w:r>
              <w:rPr>
                <w:rFonts w:hint="eastAsia" w:ascii="宋体" w:hAnsi="宋体"/>
                <w:sz w:val="22"/>
                <w:szCs w:val="22"/>
              </w:rPr>
              <w:t>报价文件响应</w:t>
            </w:r>
          </w:p>
        </w:tc>
        <w:tc>
          <w:tcPr>
            <w:tcW w:w="2077" w:type="dxa"/>
            <w:vAlign w:val="center"/>
          </w:tcPr>
          <w:p>
            <w:pPr>
              <w:jc w:val="center"/>
              <w:rPr>
                <w:rFonts w:ascii="宋体" w:hAnsi="宋体"/>
                <w:sz w:val="22"/>
                <w:szCs w:val="22"/>
              </w:rPr>
            </w:pPr>
            <w:r>
              <w:rPr>
                <w:rFonts w:hint="eastAsia" w:ascii="宋体" w:hAnsi="宋体"/>
                <w:sz w:val="22"/>
                <w:szCs w:val="22"/>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3" w:type="dxa"/>
          </w:tcPr>
          <w:p>
            <w:pPr>
              <w:jc w:val="center"/>
              <w:rPr>
                <w:rFonts w:ascii="宋体" w:hAnsi="宋体"/>
                <w:sz w:val="22"/>
                <w:szCs w:val="22"/>
              </w:rPr>
            </w:pPr>
          </w:p>
        </w:tc>
        <w:tc>
          <w:tcPr>
            <w:tcW w:w="2759" w:type="dxa"/>
          </w:tcPr>
          <w:p>
            <w:pPr>
              <w:jc w:val="center"/>
              <w:rPr>
                <w:rFonts w:ascii="宋体" w:hAnsi="宋体"/>
                <w:sz w:val="22"/>
                <w:szCs w:val="22"/>
              </w:rPr>
            </w:pPr>
          </w:p>
        </w:tc>
        <w:tc>
          <w:tcPr>
            <w:tcW w:w="2759" w:type="dxa"/>
          </w:tcPr>
          <w:p>
            <w:pPr>
              <w:jc w:val="center"/>
              <w:rPr>
                <w:rFonts w:ascii="宋体" w:hAnsi="宋体"/>
                <w:sz w:val="22"/>
                <w:szCs w:val="22"/>
              </w:rPr>
            </w:pPr>
          </w:p>
        </w:tc>
        <w:tc>
          <w:tcPr>
            <w:tcW w:w="2077" w:type="dxa"/>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3" w:type="dxa"/>
          </w:tcPr>
          <w:p>
            <w:pPr>
              <w:jc w:val="center"/>
              <w:rPr>
                <w:rFonts w:ascii="宋体" w:hAnsi="宋体"/>
                <w:sz w:val="22"/>
                <w:szCs w:val="22"/>
              </w:rPr>
            </w:pPr>
          </w:p>
        </w:tc>
        <w:tc>
          <w:tcPr>
            <w:tcW w:w="2759" w:type="dxa"/>
          </w:tcPr>
          <w:p>
            <w:pPr>
              <w:jc w:val="center"/>
              <w:rPr>
                <w:rFonts w:ascii="宋体" w:hAnsi="宋体"/>
                <w:sz w:val="22"/>
                <w:szCs w:val="22"/>
              </w:rPr>
            </w:pPr>
          </w:p>
        </w:tc>
        <w:tc>
          <w:tcPr>
            <w:tcW w:w="2759" w:type="dxa"/>
          </w:tcPr>
          <w:p>
            <w:pPr>
              <w:jc w:val="center"/>
              <w:rPr>
                <w:rFonts w:ascii="宋体" w:hAnsi="宋体"/>
                <w:sz w:val="22"/>
                <w:szCs w:val="22"/>
              </w:rPr>
            </w:pPr>
          </w:p>
        </w:tc>
        <w:tc>
          <w:tcPr>
            <w:tcW w:w="2077" w:type="dxa"/>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3" w:type="dxa"/>
          </w:tcPr>
          <w:p>
            <w:pPr>
              <w:jc w:val="center"/>
              <w:rPr>
                <w:rFonts w:ascii="宋体" w:hAnsi="宋体"/>
                <w:sz w:val="22"/>
                <w:szCs w:val="22"/>
              </w:rPr>
            </w:pPr>
          </w:p>
        </w:tc>
        <w:tc>
          <w:tcPr>
            <w:tcW w:w="2759" w:type="dxa"/>
          </w:tcPr>
          <w:p>
            <w:pPr>
              <w:jc w:val="center"/>
              <w:rPr>
                <w:rFonts w:ascii="宋体" w:hAnsi="宋体"/>
                <w:sz w:val="22"/>
                <w:szCs w:val="22"/>
              </w:rPr>
            </w:pPr>
          </w:p>
        </w:tc>
        <w:tc>
          <w:tcPr>
            <w:tcW w:w="2759" w:type="dxa"/>
          </w:tcPr>
          <w:p>
            <w:pPr>
              <w:jc w:val="center"/>
              <w:rPr>
                <w:rFonts w:ascii="宋体" w:hAnsi="宋体"/>
                <w:sz w:val="22"/>
                <w:szCs w:val="22"/>
              </w:rPr>
            </w:pPr>
          </w:p>
        </w:tc>
        <w:tc>
          <w:tcPr>
            <w:tcW w:w="2077" w:type="dxa"/>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3" w:type="dxa"/>
          </w:tcPr>
          <w:p>
            <w:pPr>
              <w:jc w:val="center"/>
              <w:rPr>
                <w:rFonts w:ascii="宋体" w:hAnsi="宋体"/>
                <w:sz w:val="22"/>
                <w:szCs w:val="22"/>
              </w:rPr>
            </w:pPr>
          </w:p>
        </w:tc>
        <w:tc>
          <w:tcPr>
            <w:tcW w:w="2759" w:type="dxa"/>
          </w:tcPr>
          <w:p>
            <w:pPr>
              <w:jc w:val="center"/>
              <w:rPr>
                <w:rFonts w:ascii="宋体" w:hAnsi="宋体"/>
                <w:sz w:val="22"/>
                <w:szCs w:val="22"/>
              </w:rPr>
            </w:pPr>
          </w:p>
        </w:tc>
        <w:tc>
          <w:tcPr>
            <w:tcW w:w="2759" w:type="dxa"/>
          </w:tcPr>
          <w:p>
            <w:pPr>
              <w:jc w:val="center"/>
              <w:rPr>
                <w:rFonts w:ascii="宋体" w:hAnsi="宋体"/>
                <w:sz w:val="22"/>
                <w:szCs w:val="22"/>
              </w:rPr>
            </w:pPr>
          </w:p>
        </w:tc>
        <w:tc>
          <w:tcPr>
            <w:tcW w:w="2077" w:type="dxa"/>
          </w:tcPr>
          <w:p>
            <w:pPr>
              <w:jc w:val="center"/>
              <w:rPr>
                <w:rFonts w:ascii="宋体" w:hAnsi="宋体"/>
                <w:sz w:val="22"/>
                <w:szCs w:val="22"/>
              </w:rPr>
            </w:pPr>
          </w:p>
        </w:tc>
      </w:tr>
    </w:tbl>
    <w:p>
      <w:pPr>
        <w:ind w:firstLine="442" w:firstLineChars="200"/>
        <w:rPr>
          <w:rFonts w:ascii="宋体" w:hAnsi="宋体"/>
          <w:b/>
          <w:sz w:val="22"/>
          <w:szCs w:val="22"/>
        </w:rPr>
      </w:pPr>
    </w:p>
    <w:p>
      <w:pPr>
        <w:spacing w:line="360" w:lineRule="auto"/>
        <w:ind w:firstLine="480" w:firstLineChars="200"/>
        <w:rPr>
          <w:rFonts w:ascii="宋体" w:hAnsi="宋体"/>
          <w:kern w:val="0"/>
          <w:sz w:val="24"/>
        </w:rPr>
      </w:pPr>
      <w:r>
        <w:rPr>
          <w:rFonts w:hint="eastAsia" w:ascii="宋体" w:hAnsi="宋体"/>
          <w:kern w:val="0"/>
          <w:sz w:val="24"/>
        </w:rPr>
        <w:t>注意：</w:t>
      </w:r>
    </w:p>
    <w:p>
      <w:pPr>
        <w:spacing w:line="360" w:lineRule="auto"/>
        <w:ind w:firstLine="480" w:firstLineChars="200"/>
        <w:rPr>
          <w:rFonts w:ascii="宋体" w:hAnsi="宋体"/>
          <w:color w:val="000000"/>
          <w:sz w:val="24"/>
        </w:rPr>
      </w:pPr>
      <w:r>
        <w:rPr>
          <w:rFonts w:ascii="宋体" w:hAnsi="宋体"/>
          <w:sz w:val="24"/>
        </w:rPr>
        <w:t>1</w:t>
      </w:r>
      <w:r>
        <w:rPr>
          <w:rFonts w:hint="eastAsia" w:ascii="宋体" w:hAnsi="宋体"/>
          <w:sz w:val="24"/>
        </w:rPr>
        <w:t>、</w:t>
      </w:r>
      <w:r>
        <w:rPr>
          <w:rFonts w:hint="eastAsia" w:ascii="宋体" w:hAnsi="宋体"/>
          <w:color w:val="000000"/>
          <w:sz w:val="24"/>
        </w:rPr>
        <w:t>供应商必须根据</w:t>
      </w:r>
      <w:r>
        <w:rPr>
          <w:rFonts w:hint="eastAsia" w:ascii="宋体" w:hAnsi="宋体"/>
          <w:sz w:val="24"/>
        </w:rPr>
        <w:t>采购文件所列技术/服务、商务要求</w:t>
      </w:r>
      <w:r>
        <w:rPr>
          <w:rFonts w:hint="eastAsia" w:ascii="宋体" w:hAnsi="宋体"/>
          <w:color w:val="000000"/>
          <w:sz w:val="24"/>
        </w:rPr>
        <w:t>据实应答，不得虚假响应，虚假响应的，其响应文件无效并按规定追究其相关责任；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、采购文件所列技术/服务、商务相关条款应逐条应答，未应答条款按照负偏离处理；</w:t>
      </w:r>
    </w:p>
    <w:p>
      <w:pPr>
        <w:spacing w:line="360" w:lineRule="auto"/>
        <w:ind w:firstLine="480" w:firstLineChars="200"/>
        <w:rPr>
          <w:rFonts w:ascii="宋体" w:hAnsi="宋体"/>
          <w:sz w:val="24"/>
        </w:rPr>
      </w:pPr>
      <w:r>
        <w:rPr>
          <w:rFonts w:hint="eastAsia" w:ascii="宋体" w:hAnsi="宋体"/>
          <w:sz w:val="24"/>
        </w:rPr>
        <w:t>3、如采购文件所列技术/服务条款中有要求提相关供证明材料的，应在此表后附相关证明材料，否则相应条款将按负偏离处理。</w:t>
      </w:r>
    </w:p>
    <w:p>
      <w:pPr>
        <w:adjustRightInd w:val="0"/>
        <w:spacing w:line="480" w:lineRule="auto"/>
        <w:jc w:val="left"/>
        <w:rPr>
          <w:rFonts w:ascii="宋体" w:hAnsi="宋体"/>
          <w:color w:val="000000"/>
          <w:sz w:val="22"/>
          <w:szCs w:val="22"/>
        </w:rPr>
      </w:pPr>
    </w:p>
    <w:p>
      <w:pPr>
        <w:adjustRightInd w:val="0"/>
        <w:spacing w:line="360" w:lineRule="auto"/>
        <w:jc w:val="left"/>
        <w:rPr>
          <w:rFonts w:ascii="宋体" w:hAnsi="宋体"/>
          <w:kern w:val="0"/>
          <w:sz w:val="24"/>
        </w:rPr>
      </w:pPr>
      <w:r>
        <w:rPr>
          <w:rFonts w:ascii="宋体" w:hAnsi="宋体"/>
          <w:kern w:val="0"/>
          <w:sz w:val="24"/>
        </w:rPr>
        <w:t>供应商名称</w:t>
      </w:r>
      <w:r>
        <w:rPr>
          <w:rFonts w:hint="eastAsia" w:ascii="宋体" w:hAnsi="宋体"/>
          <w:kern w:val="0"/>
          <w:sz w:val="24"/>
        </w:rPr>
        <w:t>：         （盖章）</w:t>
      </w:r>
    </w:p>
    <w:p>
      <w:pPr>
        <w:adjustRightInd w:val="0"/>
        <w:spacing w:line="360" w:lineRule="auto"/>
        <w:jc w:val="left"/>
        <w:rPr>
          <w:rFonts w:ascii="宋体" w:hAnsi="宋体"/>
          <w:sz w:val="24"/>
        </w:rPr>
      </w:pPr>
      <w:r>
        <w:rPr>
          <w:rFonts w:ascii="宋体" w:hAnsi="宋体"/>
          <w:sz w:val="24"/>
        </w:rPr>
        <w:t>法定代表人或</w:t>
      </w:r>
      <w:r>
        <w:rPr>
          <w:rFonts w:hint="eastAsia" w:ascii="宋体" w:hAnsi="宋体"/>
          <w:sz w:val="24"/>
        </w:rPr>
        <w:t>被授权人</w:t>
      </w:r>
      <w:r>
        <w:rPr>
          <w:rFonts w:ascii="宋体" w:hAnsi="宋体"/>
          <w:sz w:val="24"/>
        </w:rPr>
        <w:t>：</w:t>
      </w:r>
      <w:r>
        <w:rPr>
          <w:rFonts w:ascii="宋体" w:hAnsi="宋体"/>
          <w:sz w:val="24"/>
          <w:u w:val="single"/>
        </w:rPr>
        <w:t>　　　　　　　　　</w:t>
      </w:r>
      <w:r>
        <w:rPr>
          <w:rFonts w:ascii="宋体" w:hAnsi="宋体"/>
          <w:sz w:val="24"/>
        </w:rPr>
        <w:t>（签字</w:t>
      </w:r>
      <w:r>
        <w:rPr>
          <w:rFonts w:hint="eastAsia" w:ascii="宋体" w:hAnsi="宋体"/>
          <w:sz w:val="24"/>
        </w:rPr>
        <w:t>或加盖个人名章</w:t>
      </w:r>
      <w:r>
        <w:rPr>
          <w:rFonts w:ascii="宋体" w:hAnsi="宋体"/>
          <w:sz w:val="24"/>
        </w:rPr>
        <w:t>）</w:t>
      </w:r>
    </w:p>
    <w:p>
      <w:pPr>
        <w:adjustRightInd w:val="0"/>
        <w:spacing w:line="360" w:lineRule="auto"/>
        <w:jc w:val="left"/>
        <w:rPr>
          <w:rFonts w:ascii="宋体" w:hAnsi="宋体"/>
          <w:kern w:val="0"/>
          <w:sz w:val="24"/>
        </w:rPr>
      </w:pPr>
      <w:r>
        <w:rPr>
          <w:rFonts w:hint="eastAsia" w:ascii="宋体" w:hAnsi="宋体"/>
          <w:kern w:val="0"/>
          <w:sz w:val="24"/>
        </w:rPr>
        <w:t>日      期:</w:t>
      </w:r>
    </w:p>
    <w:p>
      <w:pPr>
        <w:ind w:firstLine="757" w:firstLineChars="314"/>
        <w:rPr>
          <w:rFonts w:ascii="宋体" w:hAnsi="宋体"/>
          <w:b/>
          <w:sz w:val="24"/>
          <w:szCs w:val="22"/>
        </w:rPr>
        <w:sectPr>
          <w:pgSz w:w="11906" w:h="16838"/>
          <w:pgMar w:top="1134" w:right="1700" w:bottom="1134" w:left="1418" w:header="568" w:footer="992" w:gutter="0"/>
          <w:cols w:space="0" w:num="1"/>
          <w:titlePg/>
          <w:docGrid w:type="lines" w:linePitch="312" w:charSpace="0"/>
        </w:sectPr>
      </w:pPr>
    </w:p>
    <w:p>
      <w:pPr>
        <w:pStyle w:val="5"/>
        <w:numPr>
          <w:ilvl w:val="0"/>
          <w:numId w:val="0"/>
        </w:numPr>
        <w:ind w:left="567" w:hanging="567"/>
        <w:jc w:val="center"/>
        <w:rPr>
          <w:b w:val="0"/>
        </w:rPr>
      </w:pPr>
      <w:bookmarkStart w:id="81" w:name="_Toc98334737"/>
      <w:bookmarkStart w:id="82" w:name="_Toc26244"/>
      <w:bookmarkStart w:id="83" w:name="_Toc12866"/>
      <w:r>
        <w:rPr>
          <w:rFonts w:hint="eastAsia"/>
        </w:rPr>
        <w:t>七</w:t>
      </w:r>
      <w:r>
        <w:rPr>
          <w:rFonts w:hint="eastAsia"/>
          <w:color w:val="auto"/>
        </w:rPr>
        <w:t>、同</w:t>
      </w:r>
      <w:r>
        <w:rPr>
          <w:rFonts w:hint="eastAsia"/>
          <w:b w:val="0"/>
        </w:rPr>
        <w:t>类项目一览表</w:t>
      </w:r>
      <w:bookmarkEnd w:id="81"/>
    </w:p>
    <w:p>
      <w:pPr>
        <w:widowControl/>
        <w:spacing w:line="360" w:lineRule="atLeast"/>
        <w:ind w:firstLine="472" w:firstLineChars="196"/>
        <w:jc w:val="left"/>
        <w:outlineLvl w:val="1"/>
        <w:rPr>
          <w:rFonts w:ascii="宋体" w:hAnsi="宋体"/>
          <w:b/>
          <w:sz w:val="24"/>
        </w:rPr>
      </w:pPr>
    </w:p>
    <w:tbl>
      <w:tblPr>
        <w:tblStyle w:val="32"/>
        <w:tblW w:w="840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7"/>
        <w:gridCol w:w="1347"/>
        <w:gridCol w:w="1396"/>
        <w:gridCol w:w="1239"/>
        <w:gridCol w:w="1396"/>
        <w:gridCol w:w="1224"/>
        <w:gridCol w:w="10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tcBorders>
              <w:top w:val="single" w:color="auto" w:sz="4" w:space="0"/>
            </w:tcBorders>
            <w:vAlign w:val="center"/>
          </w:tcPr>
          <w:p>
            <w:pPr>
              <w:widowControl/>
              <w:spacing w:line="360" w:lineRule="atLeast"/>
              <w:jc w:val="center"/>
              <w:outlineLvl w:val="1"/>
              <w:rPr>
                <w:rFonts w:ascii="宋体" w:hAnsi="宋体"/>
                <w:sz w:val="24"/>
              </w:rPr>
            </w:pPr>
            <w:bookmarkStart w:id="84" w:name="_Toc98334738"/>
            <w:r>
              <w:rPr>
                <w:rFonts w:hint="eastAsia" w:ascii="宋体" w:hAnsi="宋体"/>
                <w:sz w:val="24"/>
              </w:rPr>
              <w:t>年份</w:t>
            </w:r>
            <w:bookmarkEnd w:id="84"/>
          </w:p>
        </w:tc>
        <w:tc>
          <w:tcPr>
            <w:tcW w:w="1347" w:type="dxa"/>
            <w:vAlign w:val="center"/>
          </w:tcPr>
          <w:p>
            <w:pPr>
              <w:widowControl/>
              <w:spacing w:line="360" w:lineRule="atLeast"/>
              <w:jc w:val="center"/>
              <w:outlineLvl w:val="1"/>
              <w:rPr>
                <w:rFonts w:ascii="宋体" w:hAnsi="宋体"/>
                <w:sz w:val="24"/>
              </w:rPr>
            </w:pPr>
            <w:bookmarkStart w:id="85" w:name="_Toc98334739"/>
            <w:r>
              <w:rPr>
                <w:rFonts w:hint="eastAsia" w:ascii="宋体" w:hAnsi="宋体"/>
                <w:sz w:val="24"/>
              </w:rPr>
              <w:t>用户名称</w:t>
            </w:r>
            <w:bookmarkEnd w:id="85"/>
          </w:p>
        </w:tc>
        <w:tc>
          <w:tcPr>
            <w:tcW w:w="1396" w:type="dxa"/>
            <w:vAlign w:val="center"/>
          </w:tcPr>
          <w:p>
            <w:pPr>
              <w:widowControl/>
              <w:spacing w:line="360" w:lineRule="atLeast"/>
              <w:jc w:val="center"/>
              <w:outlineLvl w:val="1"/>
              <w:rPr>
                <w:rFonts w:ascii="宋体" w:hAnsi="宋体"/>
                <w:sz w:val="24"/>
              </w:rPr>
            </w:pPr>
            <w:bookmarkStart w:id="86" w:name="_Toc98334740"/>
            <w:r>
              <w:rPr>
                <w:rFonts w:hint="eastAsia" w:ascii="宋体" w:hAnsi="宋体"/>
                <w:sz w:val="24"/>
              </w:rPr>
              <w:t>项目名称</w:t>
            </w:r>
            <w:bookmarkEnd w:id="86"/>
          </w:p>
        </w:tc>
        <w:tc>
          <w:tcPr>
            <w:tcW w:w="1239" w:type="dxa"/>
            <w:vAlign w:val="center"/>
          </w:tcPr>
          <w:p>
            <w:pPr>
              <w:widowControl/>
              <w:spacing w:line="360" w:lineRule="atLeast"/>
              <w:jc w:val="center"/>
              <w:outlineLvl w:val="1"/>
              <w:rPr>
                <w:rFonts w:ascii="宋体" w:hAnsi="宋体"/>
                <w:sz w:val="24"/>
              </w:rPr>
            </w:pPr>
            <w:bookmarkStart w:id="87" w:name="_Toc98334741"/>
            <w:r>
              <w:rPr>
                <w:rFonts w:hint="eastAsia" w:ascii="宋体" w:hAnsi="宋体"/>
                <w:sz w:val="24"/>
              </w:rPr>
              <w:t>完成时间</w:t>
            </w:r>
            <w:bookmarkEnd w:id="87"/>
          </w:p>
        </w:tc>
        <w:tc>
          <w:tcPr>
            <w:tcW w:w="1396" w:type="dxa"/>
            <w:vAlign w:val="center"/>
          </w:tcPr>
          <w:p>
            <w:pPr>
              <w:widowControl/>
              <w:spacing w:line="360" w:lineRule="atLeast"/>
              <w:jc w:val="center"/>
              <w:outlineLvl w:val="1"/>
              <w:rPr>
                <w:rFonts w:ascii="宋体" w:hAnsi="宋体"/>
                <w:sz w:val="24"/>
              </w:rPr>
            </w:pPr>
            <w:bookmarkStart w:id="88" w:name="_Toc98334742"/>
            <w:r>
              <w:rPr>
                <w:rFonts w:hint="eastAsia" w:ascii="宋体" w:hAnsi="宋体"/>
                <w:sz w:val="24"/>
              </w:rPr>
              <w:t>合同金额</w:t>
            </w:r>
            <w:bookmarkEnd w:id="88"/>
          </w:p>
        </w:tc>
        <w:tc>
          <w:tcPr>
            <w:tcW w:w="1224" w:type="dxa"/>
            <w:tcBorders>
              <w:right w:val="single" w:color="auto" w:sz="4" w:space="0"/>
            </w:tcBorders>
            <w:vAlign w:val="center"/>
          </w:tcPr>
          <w:p>
            <w:pPr>
              <w:widowControl/>
              <w:spacing w:line="360" w:lineRule="atLeast"/>
              <w:jc w:val="center"/>
              <w:outlineLvl w:val="1"/>
              <w:rPr>
                <w:rFonts w:ascii="宋体" w:hAnsi="宋体"/>
                <w:sz w:val="24"/>
              </w:rPr>
            </w:pPr>
            <w:bookmarkStart w:id="89" w:name="_Toc98334743"/>
            <w:r>
              <w:rPr>
                <w:rFonts w:hint="eastAsia" w:ascii="宋体" w:hAnsi="宋体"/>
                <w:sz w:val="24"/>
              </w:rPr>
              <w:t>是否通过验收</w:t>
            </w:r>
            <w:bookmarkEnd w:id="89"/>
          </w:p>
        </w:tc>
        <w:tc>
          <w:tcPr>
            <w:tcW w:w="1014" w:type="dxa"/>
            <w:tcBorders>
              <w:left w:val="single" w:color="auto" w:sz="4" w:space="0"/>
            </w:tcBorders>
            <w:vAlign w:val="center"/>
          </w:tcPr>
          <w:p>
            <w:pPr>
              <w:widowControl/>
              <w:spacing w:line="360" w:lineRule="atLeast"/>
              <w:jc w:val="center"/>
              <w:outlineLvl w:val="1"/>
              <w:rPr>
                <w:rFonts w:ascii="宋体" w:hAnsi="宋体"/>
                <w:sz w:val="24"/>
              </w:rPr>
            </w:pPr>
            <w:bookmarkStart w:id="90" w:name="_Toc98334744"/>
            <w:r>
              <w:rPr>
                <w:rFonts w:hint="eastAsia" w:ascii="宋体" w:hAnsi="宋体"/>
                <w:sz w:val="24"/>
              </w:rPr>
              <w:t>备注</w:t>
            </w:r>
            <w:bookmarkEnd w:id="9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vAlign w:val="center"/>
          </w:tcPr>
          <w:p>
            <w:pPr>
              <w:widowControl/>
              <w:spacing w:line="360" w:lineRule="atLeast"/>
              <w:ind w:firstLine="470" w:firstLineChars="196"/>
              <w:jc w:val="left"/>
              <w:outlineLvl w:val="1"/>
              <w:rPr>
                <w:rFonts w:ascii="宋体" w:hAnsi="宋体"/>
                <w:sz w:val="24"/>
              </w:rPr>
            </w:pPr>
          </w:p>
        </w:tc>
        <w:tc>
          <w:tcPr>
            <w:tcW w:w="1347"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39"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24"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vAlign w:val="center"/>
          </w:tcPr>
          <w:p>
            <w:pPr>
              <w:widowControl/>
              <w:spacing w:line="360" w:lineRule="atLeast"/>
              <w:ind w:firstLine="470" w:firstLineChars="196"/>
              <w:jc w:val="left"/>
              <w:outlineLvl w:val="1"/>
              <w:rPr>
                <w:rFonts w:ascii="宋体" w:hAnsi="宋体"/>
                <w:sz w:val="24"/>
              </w:rPr>
            </w:pPr>
          </w:p>
        </w:tc>
        <w:tc>
          <w:tcPr>
            <w:tcW w:w="1347"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39"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24"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vAlign w:val="center"/>
          </w:tcPr>
          <w:p>
            <w:pPr>
              <w:widowControl/>
              <w:spacing w:line="360" w:lineRule="atLeast"/>
              <w:ind w:firstLine="470" w:firstLineChars="196"/>
              <w:jc w:val="left"/>
              <w:outlineLvl w:val="1"/>
              <w:rPr>
                <w:rFonts w:ascii="宋体" w:hAnsi="宋体"/>
                <w:sz w:val="24"/>
              </w:rPr>
            </w:pPr>
          </w:p>
        </w:tc>
        <w:tc>
          <w:tcPr>
            <w:tcW w:w="1347"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39"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24"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vAlign w:val="center"/>
          </w:tcPr>
          <w:p>
            <w:pPr>
              <w:widowControl/>
              <w:spacing w:line="360" w:lineRule="atLeast"/>
              <w:ind w:firstLine="470" w:firstLineChars="196"/>
              <w:jc w:val="left"/>
              <w:outlineLvl w:val="1"/>
              <w:rPr>
                <w:rFonts w:ascii="宋体" w:hAnsi="宋体"/>
                <w:sz w:val="24"/>
              </w:rPr>
            </w:pPr>
          </w:p>
        </w:tc>
        <w:tc>
          <w:tcPr>
            <w:tcW w:w="1347"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39"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24"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47"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3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vAlign w:val="center"/>
          </w:tcPr>
          <w:p>
            <w:pPr>
              <w:widowControl/>
              <w:spacing w:line="360" w:lineRule="atLeast"/>
              <w:ind w:firstLine="470" w:firstLineChars="196"/>
              <w:jc w:val="left"/>
              <w:outlineLvl w:val="1"/>
              <w:rPr>
                <w:rFonts w:ascii="宋体" w:hAnsi="宋体"/>
                <w:sz w:val="24"/>
              </w:rPr>
            </w:pPr>
          </w:p>
        </w:tc>
        <w:tc>
          <w:tcPr>
            <w:tcW w:w="1347"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39" w:type="dxa"/>
            <w:vAlign w:val="center"/>
          </w:tcPr>
          <w:p>
            <w:pPr>
              <w:widowControl/>
              <w:spacing w:line="360" w:lineRule="atLeast"/>
              <w:ind w:firstLine="470" w:firstLineChars="196"/>
              <w:jc w:val="left"/>
              <w:outlineLvl w:val="1"/>
              <w:rPr>
                <w:rFonts w:ascii="宋体" w:hAnsi="宋体"/>
                <w:sz w:val="24"/>
              </w:rPr>
            </w:pPr>
          </w:p>
        </w:tc>
        <w:tc>
          <w:tcPr>
            <w:tcW w:w="1396"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vAlign w:val="center"/>
          </w:tcPr>
          <w:p>
            <w:pPr>
              <w:widowControl/>
              <w:spacing w:line="360" w:lineRule="atLeast"/>
              <w:ind w:firstLine="470" w:firstLineChars="196"/>
              <w:jc w:val="left"/>
              <w:outlineLvl w:val="1"/>
              <w:rPr>
                <w:rFonts w:ascii="宋体" w:hAnsi="宋体"/>
                <w:sz w:val="24"/>
              </w:rPr>
            </w:pPr>
          </w:p>
        </w:tc>
        <w:tc>
          <w:tcPr>
            <w:tcW w:w="1347"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39" w:type="dxa"/>
            <w:vAlign w:val="center"/>
          </w:tcPr>
          <w:p>
            <w:pPr>
              <w:widowControl/>
              <w:spacing w:line="360" w:lineRule="atLeast"/>
              <w:ind w:firstLine="470" w:firstLineChars="196"/>
              <w:jc w:val="left"/>
              <w:outlineLvl w:val="1"/>
              <w:rPr>
                <w:rFonts w:ascii="宋体" w:hAnsi="宋体"/>
                <w:sz w:val="24"/>
              </w:rPr>
            </w:pPr>
          </w:p>
        </w:tc>
        <w:tc>
          <w:tcPr>
            <w:tcW w:w="1396"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787" w:type="dxa"/>
            <w:vAlign w:val="center"/>
          </w:tcPr>
          <w:p>
            <w:pPr>
              <w:widowControl/>
              <w:spacing w:line="360" w:lineRule="atLeast"/>
              <w:ind w:firstLine="470" w:firstLineChars="196"/>
              <w:jc w:val="left"/>
              <w:outlineLvl w:val="1"/>
              <w:rPr>
                <w:rFonts w:ascii="宋体" w:hAnsi="宋体"/>
                <w:sz w:val="24"/>
              </w:rPr>
            </w:pPr>
          </w:p>
        </w:tc>
        <w:tc>
          <w:tcPr>
            <w:tcW w:w="1347" w:type="dxa"/>
            <w:vAlign w:val="center"/>
          </w:tcPr>
          <w:p>
            <w:pPr>
              <w:widowControl/>
              <w:spacing w:line="360" w:lineRule="atLeast"/>
              <w:ind w:firstLine="470" w:firstLineChars="196"/>
              <w:jc w:val="left"/>
              <w:outlineLvl w:val="1"/>
              <w:rPr>
                <w:rFonts w:ascii="宋体" w:hAnsi="宋体"/>
                <w:sz w:val="24"/>
              </w:rPr>
            </w:pPr>
          </w:p>
        </w:tc>
        <w:tc>
          <w:tcPr>
            <w:tcW w:w="1396" w:type="dxa"/>
            <w:vAlign w:val="center"/>
          </w:tcPr>
          <w:p>
            <w:pPr>
              <w:widowControl/>
              <w:spacing w:line="360" w:lineRule="atLeast"/>
              <w:ind w:firstLine="470" w:firstLineChars="196"/>
              <w:jc w:val="left"/>
              <w:outlineLvl w:val="1"/>
              <w:rPr>
                <w:rFonts w:ascii="宋体" w:hAnsi="宋体"/>
                <w:sz w:val="24"/>
              </w:rPr>
            </w:pPr>
          </w:p>
        </w:tc>
        <w:tc>
          <w:tcPr>
            <w:tcW w:w="1239" w:type="dxa"/>
            <w:vAlign w:val="center"/>
          </w:tcPr>
          <w:p>
            <w:pPr>
              <w:widowControl/>
              <w:spacing w:line="360" w:lineRule="atLeast"/>
              <w:ind w:firstLine="470" w:firstLineChars="196"/>
              <w:jc w:val="left"/>
              <w:outlineLvl w:val="1"/>
              <w:rPr>
                <w:rFonts w:ascii="宋体" w:hAnsi="宋体"/>
                <w:sz w:val="24"/>
              </w:rPr>
            </w:pPr>
          </w:p>
        </w:tc>
        <w:tc>
          <w:tcPr>
            <w:tcW w:w="1396"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1" w:hRule="atLeast"/>
          <w:jc w:val="center"/>
        </w:trPr>
        <w:tc>
          <w:tcPr>
            <w:tcW w:w="787"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47"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3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1" w:hRule="atLeast"/>
          <w:jc w:val="center"/>
        </w:trPr>
        <w:tc>
          <w:tcPr>
            <w:tcW w:w="78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3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1" w:hRule="atLeast"/>
          <w:jc w:val="center"/>
        </w:trPr>
        <w:tc>
          <w:tcPr>
            <w:tcW w:w="78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3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2" w:hRule="atLeast"/>
          <w:jc w:val="center"/>
        </w:trPr>
        <w:tc>
          <w:tcPr>
            <w:tcW w:w="787"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47"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3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96" w:type="dxa"/>
            <w:tcBorders>
              <w:top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224"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014"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bookmarkStart w:id="91" w:name="_Hlk525863325"/>
      <w:r>
        <w:rPr>
          <w:rFonts w:hint="eastAsia" w:ascii="宋体" w:hAnsi="宋体" w:cs="Arial"/>
          <w:sz w:val="24"/>
        </w:rPr>
        <w:t>注：</w:t>
      </w:r>
    </w:p>
    <w:p>
      <w:pPr>
        <w:widowControl/>
        <w:spacing w:line="360" w:lineRule="auto"/>
        <w:ind w:firstLine="480" w:firstLineChars="200"/>
        <w:jc w:val="left"/>
        <w:outlineLvl w:val="1"/>
        <w:rPr>
          <w:rFonts w:ascii="宋体" w:hAnsi="宋体"/>
          <w:sz w:val="24"/>
        </w:rPr>
      </w:pPr>
      <w:bookmarkStart w:id="92" w:name="_Toc98334745"/>
      <w:r>
        <w:rPr>
          <w:rFonts w:ascii="宋体" w:hAnsi="宋体"/>
          <w:sz w:val="24"/>
        </w:rPr>
        <w:t>1</w:t>
      </w:r>
      <w:r>
        <w:rPr>
          <w:rFonts w:hint="eastAsia" w:ascii="宋体" w:hAnsi="宋体"/>
          <w:sz w:val="24"/>
        </w:rPr>
        <w:t>、供应商（仅限于供应商自己的）以上业绩需提供合同复印件。</w:t>
      </w:r>
      <w:bookmarkEnd w:id="92"/>
    </w:p>
    <w:p>
      <w:pPr>
        <w:widowControl/>
        <w:spacing w:line="360" w:lineRule="auto"/>
        <w:ind w:firstLine="480" w:firstLineChars="200"/>
        <w:jc w:val="left"/>
        <w:outlineLvl w:val="1"/>
        <w:rPr>
          <w:rFonts w:ascii="宋体" w:hAnsi="宋体"/>
          <w:sz w:val="24"/>
        </w:rPr>
      </w:pPr>
      <w:bookmarkStart w:id="93" w:name="_Toc98334746"/>
      <w:r>
        <w:rPr>
          <w:rFonts w:hint="eastAsia" w:ascii="宋体" w:hAnsi="宋体"/>
          <w:sz w:val="24"/>
        </w:rPr>
        <w:t>2、注：空白项用“/”填写。</w:t>
      </w:r>
      <w:bookmarkEnd w:id="93"/>
    </w:p>
    <w:p>
      <w:pPr>
        <w:jc w:val="left"/>
        <w:rPr>
          <w:rFonts w:ascii="宋体" w:hAnsi="宋体" w:cs="Arial"/>
        </w:rPr>
      </w:pPr>
    </w:p>
    <w:p>
      <w:pPr>
        <w:widowControl/>
        <w:spacing w:line="360" w:lineRule="auto"/>
        <w:jc w:val="left"/>
        <w:outlineLvl w:val="1"/>
        <w:rPr>
          <w:rFonts w:ascii="宋体" w:hAnsi="宋体"/>
          <w:sz w:val="24"/>
        </w:rPr>
      </w:pPr>
      <w:bookmarkStart w:id="94" w:name="_Toc98334747"/>
      <w:r>
        <w:rPr>
          <w:rFonts w:hint="eastAsia" w:ascii="宋体" w:hAnsi="宋体"/>
          <w:sz w:val="24"/>
        </w:rPr>
        <w:t>供应商名称：</w:t>
      </w:r>
      <w:r>
        <w:rPr>
          <w:rFonts w:ascii="宋体" w:hAnsi="宋体"/>
          <w:sz w:val="24"/>
        </w:rPr>
        <w:t xml:space="preserve">         </w:t>
      </w:r>
      <w:r>
        <w:rPr>
          <w:rFonts w:hint="eastAsia" w:ascii="宋体" w:hAnsi="宋体"/>
          <w:sz w:val="24"/>
        </w:rPr>
        <w:t>（盖单位公章）</w:t>
      </w:r>
      <w:bookmarkEnd w:id="94"/>
    </w:p>
    <w:p>
      <w:pPr>
        <w:widowControl/>
        <w:spacing w:line="360" w:lineRule="auto"/>
        <w:jc w:val="left"/>
        <w:outlineLvl w:val="1"/>
        <w:rPr>
          <w:rFonts w:ascii="宋体" w:hAnsi="宋体"/>
          <w:sz w:val="24"/>
        </w:rPr>
      </w:pPr>
      <w:bookmarkStart w:id="95" w:name="_Toc98334748"/>
      <w:r>
        <w:rPr>
          <w:rFonts w:hint="eastAsia" w:ascii="宋体" w:hAnsi="宋体"/>
          <w:sz w:val="24"/>
        </w:rPr>
        <w:t>法定代表人或被授权人（签字或盖个人印章）：</w:t>
      </w:r>
      <w:bookmarkEnd w:id="95"/>
      <w:r>
        <w:rPr>
          <w:rFonts w:ascii="宋体" w:hAnsi="宋体"/>
          <w:sz w:val="24"/>
        </w:rPr>
        <w:t xml:space="preserve">        </w:t>
      </w:r>
    </w:p>
    <w:p>
      <w:pPr>
        <w:adjustRightInd w:val="0"/>
        <w:spacing w:line="400" w:lineRule="exact"/>
        <w:jc w:val="left"/>
        <w:rPr>
          <w:rFonts w:ascii="宋体" w:hAnsi="宋体"/>
          <w:bCs/>
          <w:color w:val="000000"/>
          <w:sz w:val="24"/>
        </w:rPr>
      </w:pPr>
      <w:r>
        <w:rPr>
          <w:rFonts w:hint="eastAsia" w:ascii="宋体" w:hAnsi="宋体"/>
          <w:sz w:val="24"/>
        </w:rPr>
        <w:t>日    期：</w:t>
      </w:r>
    </w:p>
    <w:bookmarkEnd w:id="91"/>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pStyle w:val="5"/>
        <w:numPr>
          <w:ilvl w:val="0"/>
          <w:numId w:val="0"/>
        </w:numPr>
        <w:ind w:left="567" w:hanging="567"/>
        <w:jc w:val="center"/>
        <w:rPr>
          <w:color w:val="auto"/>
        </w:rPr>
      </w:pPr>
      <w:bookmarkStart w:id="96" w:name="_Toc98334749"/>
      <w:r>
        <w:rPr>
          <w:rFonts w:hint="eastAsia"/>
          <w:color w:val="auto"/>
        </w:rPr>
        <w:t>八、供应商基本情况一览表</w:t>
      </w:r>
      <w:bookmarkEnd w:id="82"/>
      <w:bookmarkEnd w:id="83"/>
      <w:bookmarkEnd w:id="96"/>
    </w:p>
    <w:tbl>
      <w:tblPr>
        <w:tblStyle w:val="32"/>
        <w:tblW w:w="86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11"/>
        <w:gridCol w:w="679"/>
        <w:gridCol w:w="720"/>
        <w:gridCol w:w="1197"/>
        <w:gridCol w:w="606"/>
        <w:gridCol w:w="346"/>
        <w:gridCol w:w="376"/>
        <w:gridCol w:w="1261"/>
        <w:gridCol w:w="137"/>
        <w:gridCol w:w="585"/>
        <w:gridCol w:w="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47" w:type="dxa"/>
            <w:gridSpan w:val="12"/>
            <w:tcBorders>
              <w:top w:val="single" w:color="auto" w:sz="12"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563" w:type="dxa"/>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单位名称</w:t>
            </w:r>
          </w:p>
        </w:tc>
        <w:tc>
          <w:tcPr>
            <w:tcW w:w="7084" w:type="dxa"/>
            <w:gridSpan w:val="11"/>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563" w:type="dxa"/>
            <w:tcBorders>
              <w:top w:val="single" w:color="auto" w:sz="4" w:space="0"/>
              <w:bottom w:val="single" w:color="auto" w:sz="4" w:space="0"/>
            </w:tcBorders>
            <w:vAlign w:val="center"/>
          </w:tcPr>
          <w:p>
            <w:pPr>
              <w:spacing w:line="360" w:lineRule="auto"/>
              <w:ind w:firstLine="163" w:firstLineChars="68"/>
              <w:rPr>
                <w:rFonts w:ascii="宋体" w:hAnsi="宋体"/>
                <w:sz w:val="24"/>
              </w:rPr>
            </w:pPr>
            <w:r>
              <w:rPr>
                <w:rFonts w:hint="eastAsia" w:ascii="宋体" w:hAnsi="宋体"/>
                <w:sz w:val="24"/>
              </w:rPr>
              <w:t>地   址</w:t>
            </w:r>
          </w:p>
        </w:tc>
        <w:tc>
          <w:tcPr>
            <w:tcW w:w="3759" w:type="dxa"/>
            <w:gridSpan w:val="6"/>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774" w:type="dxa"/>
            <w:gridSpan w:val="3"/>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法定代表人</w:t>
            </w:r>
          </w:p>
        </w:tc>
        <w:tc>
          <w:tcPr>
            <w:tcW w:w="1551"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563" w:type="dxa"/>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成立时间</w:t>
            </w:r>
          </w:p>
        </w:tc>
        <w:tc>
          <w:tcPr>
            <w:tcW w:w="3759" w:type="dxa"/>
            <w:gridSpan w:val="6"/>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774" w:type="dxa"/>
            <w:gridSpan w:val="3"/>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注册资金</w:t>
            </w:r>
          </w:p>
        </w:tc>
        <w:tc>
          <w:tcPr>
            <w:tcW w:w="1551"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563" w:type="dxa"/>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经营范围</w:t>
            </w:r>
          </w:p>
        </w:tc>
        <w:tc>
          <w:tcPr>
            <w:tcW w:w="7084" w:type="dxa"/>
            <w:gridSpan w:val="11"/>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563" w:type="dxa"/>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员工人数</w:t>
            </w:r>
          </w:p>
        </w:tc>
        <w:tc>
          <w:tcPr>
            <w:tcW w:w="890"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917" w:type="dxa"/>
            <w:gridSpan w:val="2"/>
            <w:tcBorders>
              <w:top w:val="single" w:color="auto" w:sz="4" w:space="0"/>
              <w:bottom w:val="single" w:color="auto" w:sz="4" w:space="0"/>
              <w:right w:val="nil"/>
            </w:tcBorders>
            <w:vAlign w:val="center"/>
          </w:tcPr>
          <w:p>
            <w:pPr>
              <w:spacing w:line="360" w:lineRule="auto"/>
              <w:ind w:firstLine="45" w:firstLineChars="19"/>
              <w:jc w:val="center"/>
              <w:rPr>
                <w:rFonts w:ascii="宋体" w:hAnsi="宋体"/>
                <w:sz w:val="24"/>
              </w:rPr>
            </w:pPr>
            <w:r>
              <w:rPr>
                <w:rFonts w:hint="eastAsia" w:ascii="宋体" w:hAnsi="宋体"/>
                <w:sz w:val="24"/>
              </w:rPr>
              <w:t>高级职称人数</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5" w:firstLineChars="19"/>
              <w:jc w:val="center"/>
              <w:rPr>
                <w:rFonts w:ascii="宋体" w:hAnsi="宋体"/>
                <w:sz w:val="24"/>
              </w:rPr>
            </w:pP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中级职称人数</w:t>
            </w:r>
          </w:p>
        </w:tc>
        <w:tc>
          <w:tcPr>
            <w:tcW w:w="966" w:type="dxa"/>
            <w:tcBorders>
              <w:top w:val="single" w:color="auto" w:sz="4" w:space="0"/>
              <w:left w:val="nil"/>
              <w:bottom w:val="single" w:color="auto" w:sz="4" w:space="0"/>
            </w:tcBorders>
            <w:vAlign w:val="center"/>
          </w:tcPr>
          <w:p>
            <w:pPr>
              <w:spacing w:line="360" w:lineRule="auto"/>
              <w:ind w:firstLine="45" w:firstLineChars="19"/>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8647" w:type="dxa"/>
            <w:gridSpan w:val="1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r>
              <w:rPr>
                <w:rFonts w:hint="eastAsia" w:ascii="宋体" w:hAnsi="宋体"/>
                <w:sz w:val="24"/>
              </w:rPr>
              <w:t>类似的项目业绩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1774" w:type="dxa"/>
            <w:gridSpan w:val="2"/>
            <w:tcBorders>
              <w:top w:val="single" w:color="auto" w:sz="4" w:space="0"/>
              <w:bottom w:val="single" w:color="auto" w:sz="4" w:space="0"/>
            </w:tcBorders>
            <w:vAlign w:val="center"/>
          </w:tcPr>
          <w:p>
            <w:pPr>
              <w:spacing w:line="500" w:lineRule="exact"/>
              <w:ind w:firstLine="45" w:firstLineChars="19"/>
              <w:jc w:val="center"/>
              <w:rPr>
                <w:rFonts w:ascii="宋体" w:hAnsi="宋体"/>
                <w:sz w:val="24"/>
              </w:rPr>
            </w:pPr>
            <w:r>
              <w:rPr>
                <w:rFonts w:hint="eastAsia" w:ascii="宋体" w:hAnsi="宋体"/>
                <w:sz w:val="24"/>
              </w:rPr>
              <w:t>名   称</w:t>
            </w:r>
          </w:p>
        </w:tc>
        <w:tc>
          <w:tcPr>
            <w:tcW w:w="1399" w:type="dxa"/>
            <w:gridSpan w:val="2"/>
            <w:tcBorders>
              <w:top w:val="single" w:color="auto" w:sz="4" w:space="0"/>
              <w:bottom w:val="single" w:color="auto" w:sz="4" w:space="0"/>
            </w:tcBorders>
            <w:vAlign w:val="center"/>
          </w:tcPr>
          <w:p>
            <w:pPr>
              <w:spacing w:line="500" w:lineRule="exact"/>
              <w:ind w:firstLine="45" w:firstLineChars="19"/>
              <w:jc w:val="center"/>
              <w:rPr>
                <w:rFonts w:ascii="宋体" w:hAnsi="宋体"/>
                <w:sz w:val="24"/>
              </w:rPr>
            </w:pPr>
            <w:r>
              <w:rPr>
                <w:rFonts w:hint="eastAsia" w:ascii="宋体" w:hAnsi="宋体"/>
                <w:sz w:val="24"/>
              </w:rPr>
              <w:t>时  间</w:t>
            </w:r>
          </w:p>
        </w:tc>
        <w:tc>
          <w:tcPr>
            <w:tcW w:w="1803" w:type="dxa"/>
            <w:gridSpan w:val="2"/>
            <w:tcBorders>
              <w:top w:val="single" w:color="auto" w:sz="4" w:space="0"/>
              <w:bottom w:val="single" w:color="auto" w:sz="4" w:space="0"/>
            </w:tcBorders>
            <w:vAlign w:val="center"/>
          </w:tcPr>
          <w:p>
            <w:pPr>
              <w:spacing w:line="500" w:lineRule="exact"/>
              <w:ind w:firstLine="45" w:firstLineChars="19"/>
              <w:jc w:val="center"/>
              <w:rPr>
                <w:rFonts w:ascii="宋体" w:hAnsi="宋体"/>
                <w:sz w:val="24"/>
              </w:rPr>
            </w:pPr>
            <w:r>
              <w:rPr>
                <w:rFonts w:hint="eastAsia" w:ascii="宋体" w:hAnsi="宋体"/>
                <w:sz w:val="24"/>
              </w:rPr>
              <w:t>项目内容</w:t>
            </w:r>
          </w:p>
        </w:tc>
        <w:tc>
          <w:tcPr>
            <w:tcW w:w="1983" w:type="dxa"/>
            <w:gridSpan w:val="3"/>
            <w:tcBorders>
              <w:top w:val="single" w:color="auto" w:sz="4" w:space="0"/>
              <w:bottom w:val="single" w:color="auto" w:sz="4" w:space="0"/>
            </w:tcBorders>
            <w:vAlign w:val="center"/>
          </w:tcPr>
          <w:p>
            <w:pPr>
              <w:spacing w:line="500" w:lineRule="exact"/>
              <w:ind w:firstLine="45" w:firstLineChars="19"/>
              <w:jc w:val="center"/>
              <w:rPr>
                <w:rFonts w:ascii="宋体" w:hAnsi="宋体"/>
                <w:sz w:val="24"/>
              </w:rPr>
            </w:pPr>
            <w:r>
              <w:rPr>
                <w:rFonts w:hint="eastAsia" w:ascii="宋体" w:hAnsi="宋体"/>
                <w:sz w:val="24"/>
              </w:rPr>
              <w:t>合同金额</w:t>
            </w:r>
          </w:p>
          <w:p>
            <w:pPr>
              <w:spacing w:line="500" w:lineRule="exact"/>
              <w:ind w:firstLine="45" w:firstLineChars="19"/>
              <w:jc w:val="center"/>
              <w:rPr>
                <w:rFonts w:ascii="宋体" w:hAnsi="宋体"/>
                <w:sz w:val="24"/>
              </w:rPr>
            </w:pPr>
            <w:r>
              <w:rPr>
                <w:rFonts w:hint="eastAsia" w:ascii="宋体" w:hAnsi="宋体"/>
                <w:sz w:val="24"/>
              </w:rPr>
              <w:t>（万元）</w:t>
            </w:r>
          </w:p>
        </w:tc>
        <w:tc>
          <w:tcPr>
            <w:tcW w:w="1688" w:type="dxa"/>
            <w:gridSpan w:val="3"/>
            <w:tcBorders>
              <w:top w:val="single" w:color="auto" w:sz="4" w:space="0"/>
              <w:bottom w:val="single" w:color="auto" w:sz="4" w:space="0"/>
            </w:tcBorders>
            <w:vAlign w:val="center"/>
          </w:tcPr>
          <w:p>
            <w:pPr>
              <w:spacing w:line="500" w:lineRule="exact"/>
              <w:ind w:firstLine="45" w:firstLineChars="19"/>
              <w:jc w:val="center"/>
              <w:rPr>
                <w:rFonts w:ascii="宋体" w:hAnsi="宋体"/>
                <w:sz w:val="24"/>
              </w:rPr>
            </w:pPr>
            <w:r>
              <w:rPr>
                <w:rFonts w:hint="eastAsia" w:ascii="宋体" w:hAnsi="宋体"/>
                <w:sz w:val="24"/>
              </w:rPr>
              <w:t>其他情况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774"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399"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803"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983" w:type="dxa"/>
            <w:gridSpan w:val="3"/>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688" w:type="dxa"/>
            <w:gridSpan w:val="3"/>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774"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399"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803" w:type="dxa"/>
            <w:gridSpan w:val="2"/>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983" w:type="dxa"/>
            <w:gridSpan w:val="3"/>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c>
          <w:tcPr>
            <w:tcW w:w="1688" w:type="dxa"/>
            <w:gridSpan w:val="3"/>
            <w:tcBorders>
              <w:top w:val="single" w:color="auto" w:sz="4" w:space="0"/>
              <w:bottom w:val="single" w:color="auto" w:sz="4" w:space="0"/>
            </w:tcBorders>
            <w:vAlign w:val="center"/>
          </w:tcPr>
          <w:p>
            <w:pPr>
              <w:spacing w:line="360" w:lineRule="auto"/>
              <w:ind w:firstLine="45" w:firstLineChars="19"/>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4976" w:type="dxa"/>
            <w:gridSpan w:val="6"/>
            <w:tcBorders>
              <w:top w:val="single" w:color="auto" w:sz="4" w:space="0"/>
              <w:bottom w:val="single" w:color="auto" w:sz="12" w:space="0"/>
            </w:tcBorders>
            <w:vAlign w:val="center"/>
          </w:tcPr>
          <w:p>
            <w:pPr>
              <w:spacing w:line="360" w:lineRule="auto"/>
              <w:ind w:firstLine="45" w:firstLineChars="19"/>
              <w:jc w:val="center"/>
              <w:rPr>
                <w:rFonts w:ascii="宋体" w:hAnsi="宋体"/>
                <w:sz w:val="24"/>
              </w:rPr>
            </w:pPr>
            <w:r>
              <w:rPr>
                <w:rFonts w:hint="eastAsia" w:ascii="宋体" w:hAnsi="宋体"/>
                <w:sz w:val="24"/>
              </w:rPr>
              <w:t>合同总金额</w:t>
            </w:r>
          </w:p>
        </w:tc>
        <w:tc>
          <w:tcPr>
            <w:tcW w:w="3671" w:type="dxa"/>
            <w:gridSpan w:val="6"/>
            <w:tcBorders>
              <w:top w:val="single" w:color="auto" w:sz="4" w:space="0"/>
              <w:bottom w:val="single" w:color="auto" w:sz="12" w:space="0"/>
            </w:tcBorders>
            <w:vAlign w:val="center"/>
          </w:tcPr>
          <w:p>
            <w:pPr>
              <w:spacing w:line="360" w:lineRule="auto"/>
              <w:ind w:firstLine="45" w:firstLineChars="19"/>
              <w:jc w:val="center"/>
              <w:rPr>
                <w:rFonts w:ascii="宋体" w:hAnsi="宋体"/>
                <w:sz w:val="24"/>
              </w:rPr>
            </w:pPr>
          </w:p>
        </w:tc>
      </w:tr>
    </w:tbl>
    <w:p>
      <w:pPr>
        <w:spacing w:line="360" w:lineRule="auto"/>
        <w:ind w:firstLine="45" w:firstLineChars="19"/>
        <w:rPr>
          <w:rFonts w:ascii="宋体" w:hAnsi="宋体"/>
          <w:sz w:val="24"/>
        </w:rPr>
      </w:pPr>
    </w:p>
    <w:p>
      <w:pPr>
        <w:spacing w:line="360" w:lineRule="auto"/>
        <w:ind w:firstLine="45" w:firstLineChars="19"/>
        <w:rPr>
          <w:rFonts w:ascii="宋体" w:hAnsi="宋体"/>
          <w:sz w:val="24"/>
        </w:rPr>
      </w:pPr>
      <w:r>
        <w:rPr>
          <w:rFonts w:hint="eastAsia" w:ascii="宋体" w:hAnsi="宋体"/>
          <w:sz w:val="24"/>
        </w:rPr>
        <w:t>说明：</w:t>
      </w:r>
    </w:p>
    <w:p>
      <w:pPr>
        <w:spacing w:line="360" w:lineRule="auto"/>
        <w:ind w:firstLine="45" w:firstLineChars="19"/>
        <w:rPr>
          <w:rFonts w:ascii="宋体" w:hAnsi="宋体"/>
          <w:sz w:val="24"/>
        </w:rPr>
      </w:pPr>
      <w:r>
        <w:rPr>
          <w:rFonts w:hint="eastAsia" w:ascii="宋体" w:hAnsi="宋体"/>
          <w:sz w:val="24"/>
        </w:rPr>
        <w:t>1、“经营范围”填写经工商部门核准并在营业执照上登记的内容。</w:t>
      </w:r>
    </w:p>
    <w:p>
      <w:pPr>
        <w:spacing w:line="360" w:lineRule="auto"/>
        <w:ind w:firstLine="45" w:firstLineChars="19"/>
        <w:rPr>
          <w:rFonts w:ascii="宋体" w:hAnsi="宋体"/>
          <w:sz w:val="24"/>
        </w:rPr>
      </w:pPr>
      <w:r>
        <w:rPr>
          <w:rFonts w:hint="eastAsia" w:ascii="宋体" w:hAnsi="宋体"/>
          <w:sz w:val="24"/>
        </w:rPr>
        <w:t>2、表格不能满足使用时可自行增加。</w:t>
      </w:r>
    </w:p>
    <w:p>
      <w:pPr>
        <w:spacing w:line="360" w:lineRule="auto"/>
        <w:ind w:firstLine="45" w:firstLineChars="19"/>
        <w:rPr>
          <w:rFonts w:ascii="宋体" w:hAnsi="宋体"/>
          <w:sz w:val="24"/>
        </w:rPr>
      </w:pPr>
    </w:p>
    <w:p>
      <w:pPr>
        <w:spacing w:line="360" w:lineRule="auto"/>
        <w:ind w:firstLine="45" w:firstLineChars="19"/>
        <w:rPr>
          <w:rFonts w:ascii="宋体" w:hAnsi="宋体"/>
          <w:sz w:val="24"/>
        </w:rPr>
      </w:pPr>
      <w:r>
        <w:rPr>
          <w:rFonts w:hint="eastAsia" w:ascii="宋体" w:hAnsi="宋体"/>
          <w:sz w:val="24"/>
        </w:rPr>
        <w:t>供应商全称：</w:t>
      </w:r>
      <w:r>
        <w:rPr>
          <w:rFonts w:hint="eastAsia" w:ascii="宋体" w:hAnsi="宋体"/>
          <w:sz w:val="24"/>
          <w:u w:val="single"/>
        </w:rPr>
        <w:t xml:space="preserve">                          </w:t>
      </w:r>
      <w:r>
        <w:rPr>
          <w:rFonts w:hint="eastAsia" w:ascii="宋体" w:hAnsi="宋体"/>
          <w:sz w:val="24"/>
        </w:rPr>
        <w:t>(加盖单位公章)</w:t>
      </w:r>
    </w:p>
    <w:p>
      <w:pPr>
        <w:spacing w:line="360" w:lineRule="auto"/>
        <w:ind w:firstLine="45" w:firstLineChars="19"/>
        <w:rPr>
          <w:rFonts w:ascii="宋体" w:hAnsi="宋体"/>
          <w:sz w:val="24"/>
        </w:rPr>
      </w:pPr>
      <w:r>
        <w:rPr>
          <w:rFonts w:ascii="宋体" w:hAnsi="宋体"/>
          <w:sz w:val="24"/>
        </w:rPr>
        <w:t>法定代表人或</w:t>
      </w:r>
      <w:r>
        <w:rPr>
          <w:rFonts w:hint="eastAsia" w:ascii="宋体" w:hAnsi="宋体"/>
          <w:sz w:val="24"/>
        </w:rPr>
        <w:t>被授权人</w:t>
      </w:r>
      <w:r>
        <w:rPr>
          <w:rFonts w:ascii="宋体" w:hAnsi="宋体"/>
          <w:sz w:val="24"/>
        </w:rPr>
        <w:t>：</w:t>
      </w:r>
      <w:r>
        <w:rPr>
          <w:rFonts w:ascii="宋体" w:hAnsi="宋体"/>
          <w:sz w:val="24"/>
          <w:u w:val="single"/>
        </w:rPr>
        <w:t>　　　　　　　　　</w:t>
      </w:r>
      <w:r>
        <w:rPr>
          <w:rFonts w:ascii="宋体" w:hAnsi="宋体"/>
          <w:sz w:val="24"/>
        </w:rPr>
        <w:t>（签字</w:t>
      </w:r>
      <w:r>
        <w:rPr>
          <w:rFonts w:hint="eastAsia" w:ascii="宋体" w:hAnsi="宋体"/>
          <w:sz w:val="24"/>
        </w:rPr>
        <w:t>或加盖个人名章</w:t>
      </w:r>
      <w:r>
        <w:rPr>
          <w:rFonts w:ascii="宋体" w:hAnsi="宋体"/>
          <w:sz w:val="24"/>
        </w:rPr>
        <w:t>）</w:t>
      </w:r>
    </w:p>
    <w:p>
      <w:pPr>
        <w:spacing w:line="360" w:lineRule="auto"/>
        <w:ind w:firstLine="45" w:firstLineChars="19"/>
        <w:rPr>
          <w:rFonts w:ascii="宋体" w:hAnsi="宋体"/>
          <w:sz w:val="20"/>
          <w:szCs w:val="22"/>
          <w:u w:val="single"/>
        </w:rPr>
      </w:pPr>
      <w:r>
        <w:rPr>
          <w:rFonts w:ascii="宋体" w:hAnsi="宋体"/>
          <w:sz w:val="24"/>
        </w:rPr>
        <w:t>日期</w:t>
      </w:r>
      <w:r>
        <w:rPr>
          <w:rFonts w:ascii="宋体" w:hAnsi="宋体"/>
          <w:sz w:val="20"/>
          <w:szCs w:val="22"/>
        </w:rPr>
        <w:t>：</w:t>
      </w:r>
      <w:r>
        <w:rPr>
          <w:rFonts w:ascii="宋体" w:hAnsi="宋体"/>
          <w:sz w:val="20"/>
          <w:szCs w:val="22"/>
          <w:u w:val="single"/>
        </w:rPr>
        <w:t xml:space="preserve">                     </w:t>
      </w:r>
      <w:bookmarkEnd w:id="76"/>
      <w:bookmarkStart w:id="97" w:name="_Toc260841662"/>
      <w:bookmarkStart w:id="98" w:name="_Toc353389743"/>
      <w:bookmarkStart w:id="99" w:name="_Toc398647370"/>
      <w:bookmarkStart w:id="100" w:name="_Toc395692676"/>
      <w:bookmarkStart w:id="101" w:name="_Toc394324322"/>
    </w:p>
    <w:p>
      <w:pPr>
        <w:spacing w:line="360" w:lineRule="auto"/>
        <w:rPr>
          <w:rFonts w:ascii="宋体" w:hAnsi="宋体"/>
          <w:sz w:val="20"/>
          <w:szCs w:val="22"/>
          <w:u w:val="single"/>
        </w:rPr>
      </w:pPr>
    </w:p>
    <w:p>
      <w:pPr>
        <w:spacing w:line="360" w:lineRule="auto"/>
        <w:rPr>
          <w:rFonts w:ascii="宋体" w:hAnsi="宋体"/>
          <w:sz w:val="20"/>
          <w:szCs w:val="22"/>
          <w:u w:val="single"/>
        </w:rPr>
      </w:pPr>
    </w:p>
    <w:p>
      <w:pPr>
        <w:spacing w:line="360" w:lineRule="auto"/>
        <w:rPr>
          <w:rFonts w:ascii="宋体" w:hAnsi="宋体"/>
          <w:sz w:val="20"/>
          <w:szCs w:val="22"/>
          <w:u w:val="single"/>
        </w:rPr>
      </w:pPr>
    </w:p>
    <w:p>
      <w:pPr>
        <w:spacing w:line="360" w:lineRule="auto"/>
        <w:rPr>
          <w:rFonts w:ascii="宋体" w:hAnsi="宋体"/>
          <w:sz w:val="20"/>
          <w:szCs w:val="22"/>
          <w:u w:val="single"/>
        </w:rPr>
      </w:pPr>
    </w:p>
    <w:p>
      <w:pPr>
        <w:pStyle w:val="5"/>
        <w:numPr>
          <w:ilvl w:val="0"/>
          <w:numId w:val="0"/>
        </w:numPr>
        <w:jc w:val="center"/>
      </w:pPr>
      <w:bookmarkStart w:id="102" w:name="_Toc98334750"/>
      <w:bookmarkStart w:id="103" w:name="_Toc26211"/>
      <w:bookmarkStart w:id="104" w:name="_Toc13256"/>
      <w:r>
        <w:rPr>
          <w:rFonts w:hint="eastAsia"/>
        </w:rPr>
        <w:t>九、承诺函</w:t>
      </w:r>
      <w:bookmarkEnd w:id="102"/>
      <w:bookmarkEnd w:id="103"/>
      <w:bookmarkEnd w:id="104"/>
    </w:p>
    <w:p>
      <w:pPr>
        <w:spacing w:line="276" w:lineRule="auto"/>
        <w:rPr>
          <w:rFonts w:ascii="宋体" w:hAnsi="宋体"/>
          <w:sz w:val="24"/>
        </w:rPr>
      </w:pPr>
    </w:p>
    <w:p>
      <w:pPr>
        <w:spacing w:line="360" w:lineRule="auto"/>
        <w:rPr>
          <w:rFonts w:ascii="宋体" w:hAnsi="宋体"/>
          <w:sz w:val="24"/>
        </w:rPr>
      </w:pPr>
      <w:r>
        <w:rPr>
          <w:rFonts w:hint="eastAsia" w:ascii="宋体" w:hAnsi="宋体"/>
          <w:sz w:val="24"/>
        </w:rPr>
        <w:t>四川中安招标代理有限公司：</w:t>
      </w:r>
    </w:p>
    <w:p>
      <w:pPr>
        <w:spacing w:line="360" w:lineRule="auto"/>
        <w:ind w:firstLine="480" w:firstLineChars="200"/>
        <w:rPr>
          <w:rFonts w:ascii="宋体" w:hAnsi="宋体"/>
          <w:sz w:val="24"/>
        </w:rPr>
      </w:pPr>
      <w:r>
        <w:rPr>
          <w:rFonts w:hint="eastAsia" w:ascii="宋体" w:hAnsi="宋体"/>
          <w:sz w:val="24"/>
        </w:rPr>
        <w:t>我公司作为本次采购项目的供应商，根据单一来源采购文件要求，现郑重承诺如下：</w:t>
      </w:r>
    </w:p>
    <w:p>
      <w:pPr>
        <w:spacing w:line="360" w:lineRule="auto"/>
        <w:ind w:firstLine="480" w:firstLineChars="200"/>
        <w:rPr>
          <w:rFonts w:ascii="宋体" w:hAnsi="宋体"/>
          <w:sz w:val="24"/>
        </w:rPr>
      </w:pPr>
      <w:r>
        <w:rPr>
          <w:rFonts w:hint="eastAsia" w:ascii="宋体" w:hAnsi="宋体"/>
          <w:sz w:val="24"/>
        </w:rPr>
        <w:t>1、具备《中华人民共和国政府采购法》第二十二条第一款和本项目规定的条件：</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（4）有依法缴纳税收和社会保障资金的良好记录；</w:t>
      </w:r>
    </w:p>
    <w:p>
      <w:pPr>
        <w:spacing w:line="360" w:lineRule="auto"/>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（6）法律、行政法规规定的其他条件：</w:t>
      </w:r>
    </w:p>
    <w:p>
      <w:pPr>
        <w:spacing w:line="360" w:lineRule="auto"/>
        <w:ind w:firstLine="600" w:firstLineChars="250"/>
        <w:rPr>
          <w:rFonts w:ascii="宋体" w:hAnsi="宋体"/>
          <w:sz w:val="24"/>
        </w:rPr>
      </w:pPr>
      <w:r>
        <w:rPr>
          <w:rFonts w:hint="eastAsia" w:ascii="宋体" w:hAnsi="宋体"/>
          <w:sz w:val="24"/>
        </w:rPr>
        <w:t>2、未被列入失信被执行人、重大税收违法案件当事人名单、政府采购严重违法失信行为记录；</w:t>
      </w:r>
    </w:p>
    <w:p>
      <w:pPr>
        <w:spacing w:line="360" w:lineRule="auto"/>
        <w:ind w:firstLine="600" w:firstLineChars="250"/>
        <w:rPr>
          <w:rFonts w:ascii="宋体" w:hAnsi="宋体"/>
          <w:sz w:val="24"/>
        </w:rPr>
      </w:pPr>
      <w:r>
        <w:rPr>
          <w:rFonts w:hint="eastAsia" w:ascii="宋体" w:hAnsi="宋体"/>
          <w:sz w:val="24"/>
        </w:rPr>
        <w:t>3、我单位及其现任法定代表人、主要负责人不具有行贿犯罪记录。</w:t>
      </w:r>
    </w:p>
    <w:p>
      <w:pPr>
        <w:spacing w:line="360" w:lineRule="auto"/>
        <w:ind w:firstLine="600" w:firstLineChars="250"/>
        <w:rPr>
          <w:rFonts w:ascii="宋体" w:hAnsi="宋体"/>
          <w:sz w:val="24"/>
        </w:rPr>
      </w:pPr>
      <w:r>
        <w:rPr>
          <w:rFonts w:hint="eastAsia" w:ascii="宋体" w:hAnsi="宋体"/>
          <w:sz w:val="24"/>
        </w:rPr>
        <w:t>4、完全接受和满足本项目单一来源采购文件中规定的实质性要求，如对单一来源采购文件有异议，已经在报价文件递交截止时间届满前依法进行维权救济，不存在对单一来源采购有异议的同时又参加投标，以求侥幸成交或者为实现其他非法目的的行为。</w:t>
      </w:r>
    </w:p>
    <w:p>
      <w:pPr>
        <w:spacing w:line="360" w:lineRule="auto"/>
        <w:ind w:firstLine="480" w:firstLineChars="200"/>
        <w:rPr>
          <w:rFonts w:ascii="宋体" w:hAnsi="宋体"/>
          <w:sz w:val="24"/>
        </w:rPr>
      </w:pPr>
      <w:r>
        <w:rPr>
          <w:rFonts w:hint="eastAsia" w:ascii="宋体" w:hAnsi="宋体"/>
          <w:sz w:val="24"/>
        </w:rPr>
        <w:t>5、报价文件中提供的我公司能够给予的优惠、好处的任何材料资料和技术、服务、商务等响应承诺情况都是真实的、有效的、合法的。</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spacing w:line="360" w:lineRule="auto"/>
        <w:rPr>
          <w:rFonts w:ascii="宋体" w:hAnsi="宋体"/>
          <w:sz w:val="24"/>
        </w:rPr>
      </w:pPr>
    </w:p>
    <w:p>
      <w:pPr>
        <w:spacing w:line="360" w:lineRule="auto"/>
        <w:ind w:firstLine="45" w:firstLineChars="19"/>
        <w:rPr>
          <w:rFonts w:ascii="宋体" w:hAnsi="宋体"/>
          <w:sz w:val="24"/>
        </w:rPr>
      </w:pPr>
      <w:r>
        <w:rPr>
          <w:rFonts w:hint="eastAsia" w:ascii="宋体" w:hAnsi="宋体"/>
          <w:sz w:val="24"/>
        </w:rPr>
        <w:t>供应商全称：</w:t>
      </w:r>
      <w:r>
        <w:rPr>
          <w:rFonts w:hint="eastAsia" w:ascii="宋体" w:hAnsi="宋体"/>
          <w:sz w:val="24"/>
          <w:u w:val="single"/>
        </w:rPr>
        <w:t xml:space="preserve">                          </w:t>
      </w:r>
      <w:r>
        <w:rPr>
          <w:rFonts w:hint="eastAsia" w:ascii="宋体" w:hAnsi="宋体"/>
          <w:sz w:val="24"/>
        </w:rPr>
        <w:t>(加盖单位公章)</w:t>
      </w:r>
    </w:p>
    <w:p>
      <w:pPr>
        <w:spacing w:line="360" w:lineRule="auto"/>
        <w:ind w:firstLine="45" w:firstLineChars="19"/>
        <w:rPr>
          <w:rFonts w:ascii="宋体" w:hAnsi="宋体"/>
          <w:sz w:val="24"/>
        </w:rPr>
      </w:pPr>
      <w:r>
        <w:rPr>
          <w:rFonts w:ascii="宋体" w:hAnsi="宋体"/>
          <w:sz w:val="24"/>
        </w:rPr>
        <w:t>法定代表人或</w:t>
      </w:r>
      <w:r>
        <w:rPr>
          <w:rFonts w:hint="eastAsia" w:ascii="宋体" w:hAnsi="宋体"/>
          <w:sz w:val="24"/>
        </w:rPr>
        <w:t>被授权人</w:t>
      </w:r>
      <w:r>
        <w:rPr>
          <w:rFonts w:ascii="宋体" w:hAnsi="宋体"/>
          <w:sz w:val="24"/>
        </w:rPr>
        <w:t>：</w:t>
      </w:r>
      <w:r>
        <w:rPr>
          <w:rFonts w:ascii="宋体" w:hAnsi="宋体"/>
          <w:sz w:val="24"/>
          <w:u w:val="single"/>
        </w:rPr>
        <w:t>　　　　　　　　　</w:t>
      </w:r>
      <w:r>
        <w:rPr>
          <w:rFonts w:ascii="宋体" w:hAnsi="宋体"/>
          <w:sz w:val="24"/>
        </w:rPr>
        <w:t>（签字</w:t>
      </w:r>
      <w:r>
        <w:rPr>
          <w:rFonts w:hint="eastAsia" w:ascii="宋体" w:hAnsi="宋体"/>
          <w:sz w:val="24"/>
        </w:rPr>
        <w:t>或加盖个人名章</w:t>
      </w:r>
      <w:r>
        <w:rPr>
          <w:rFonts w:ascii="宋体" w:hAnsi="宋体"/>
          <w:sz w:val="24"/>
        </w:rPr>
        <w:t>）</w:t>
      </w:r>
    </w:p>
    <w:p>
      <w:pPr>
        <w:spacing w:line="360" w:lineRule="auto"/>
        <w:ind w:firstLine="45" w:firstLineChars="19"/>
        <w:rPr>
          <w:rFonts w:ascii="宋体" w:hAnsi="宋体"/>
          <w:sz w:val="20"/>
          <w:szCs w:val="22"/>
          <w:u w:val="single"/>
        </w:rPr>
      </w:pPr>
      <w:r>
        <w:rPr>
          <w:rFonts w:ascii="宋体" w:hAnsi="宋体"/>
          <w:sz w:val="24"/>
        </w:rPr>
        <w:t>日期</w:t>
      </w:r>
      <w:r>
        <w:rPr>
          <w:rFonts w:ascii="宋体" w:hAnsi="宋体"/>
          <w:sz w:val="20"/>
          <w:szCs w:val="22"/>
        </w:rPr>
        <w:t>：</w:t>
      </w:r>
      <w:r>
        <w:rPr>
          <w:rFonts w:ascii="宋体" w:hAnsi="宋体"/>
          <w:sz w:val="20"/>
          <w:szCs w:val="22"/>
          <w:u w:val="single"/>
        </w:rPr>
        <w:t xml:space="preserve">                     </w:t>
      </w:r>
    </w:p>
    <w:p>
      <w:pPr>
        <w:spacing w:line="360" w:lineRule="auto"/>
        <w:ind w:firstLine="38" w:firstLineChars="19"/>
        <w:rPr>
          <w:rFonts w:ascii="宋体" w:hAnsi="宋体"/>
          <w:sz w:val="20"/>
          <w:szCs w:val="22"/>
          <w:u w:val="single"/>
        </w:rPr>
      </w:pPr>
    </w:p>
    <w:bookmarkEnd w:id="97"/>
    <w:bookmarkEnd w:id="98"/>
    <w:bookmarkEnd w:id="99"/>
    <w:bookmarkEnd w:id="100"/>
    <w:bookmarkEnd w:id="101"/>
    <w:p>
      <w:pPr>
        <w:pStyle w:val="5"/>
        <w:numPr>
          <w:ilvl w:val="0"/>
          <w:numId w:val="0"/>
        </w:numPr>
        <w:spacing w:line="360" w:lineRule="auto"/>
        <w:jc w:val="center"/>
      </w:pPr>
      <w:bookmarkStart w:id="105" w:name="_Toc15600"/>
      <w:bookmarkStart w:id="106" w:name="_Toc98334751"/>
      <w:bookmarkStart w:id="107" w:name="_Toc27367"/>
      <w:bookmarkStart w:id="108" w:name="_Toc320626479"/>
      <w:r>
        <w:rPr>
          <w:rFonts w:hint="eastAsia"/>
        </w:rPr>
        <w:t>十、资格证明文件</w:t>
      </w:r>
      <w:bookmarkEnd w:id="105"/>
      <w:bookmarkEnd w:id="106"/>
      <w:bookmarkEnd w:id="107"/>
    </w:p>
    <w:p>
      <w:pPr>
        <w:pStyle w:val="30"/>
        <w:numPr>
          <w:ilvl w:val="0"/>
          <w:numId w:val="3"/>
        </w:numPr>
        <w:spacing w:line="360" w:lineRule="auto"/>
        <w:ind w:firstLine="480" w:firstLineChars="200"/>
        <w:jc w:val="left"/>
        <w:rPr>
          <w:rFonts w:ascii="宋体" w:hAnsi="宋体" w:eastAsia="宋体"/>
          <w:bCs w:val="0"/>
          <w:sz w:val="24"/>
          <w:szCs w:val="24"/>
        </w:rPr>
      </w:pPr>
      <w:bookmarkStart w:id="109" w:name="_Toc11260"/>
      <w:bookmarkStart w:id="110" w:name="_Toc497299772"/>
      <w:bookmarkStart w:id="111" w:name="_Toc22797"/>
      <w:bookmarkStart w:id="112" w:name="_Toc98334752"/>
      <w:bookmarkStart w:id="113" w:name="_Toc31368"/>
      <w:r>
        <w:rPr>
          <w:rFonts w:hint="eastAsia" w:ascii="宋体" w:hAnsi="宋体" w:eastAsia="宋体"/>
          <w:bCs w:val="0"/>
          <w:sz w:val="24"/>
          <w:szCs w:val="24"/>
        </w:rPr>
        <w:t>营业执照副本复印件、组织机构代码证副本复印件、税务登记证副本复印件或三证合一的营业执照副本复印件；</w:t>
      </w:r>
      <w:r>
        <w:rPr>
          <w:rFonts w:ascii="宋体" w:hAnsi="宋体" w:eastAsia="宋体"/>
          <w:bCs w:val="0"/>
          <w:sz w:val="24"/>
          <w:szCs w:val="24"/>
        </w:rPr>
        <w:t>事业单位只需提供</w:t>
      </w:r>
      <w:r>
        <w:rPr>
          <w:rFonts w:hint="eastAsia" w:ascii="宋体" w:hAnsi="宋体" w:eastAsia="宋体"/>
          <w:bCs w:val="0"/>
          <w:sz w:val="24"/>
          <w:szCs w:val="24"/>
        </w:rPr>
        <w:t>事业</w:t>
      </w:r>
      <w:r>
        <w:rPr>
          <w:rFonts w:ascii="宋体" w:hAnsi="宋体" w:eastAsia="宋体"/>
          <w:bCs w:val="0"/>
          <w:sz w:val="24"/>
          <w:szCs w:val="24"/>
        </w:rPr>
        <w:t>单位法人证书</w:t>
      </w:r>
      <w:r>
        <w:rPr>
          <w:rFonts w:hint="eastAsia" w:ascii="宋体" w:hAnsi="宋体" w:eastAsia="宋体"/>
          <w:bCs w:val="0"/>
          <w:sz w:val="24"/>
          <w:szCs w:val="24"/>
        </w:rPr>
        <w:t>；（复印件加盖公章）</w:t>
      </w:r>
      <w:bookmarkEnd w:id="109"/>
      <w:bookmarkEnd w:id="110"/>
      <w:bookmarkEnd w:id="111"/>
      <w:bookmarkEnd w:id="112"/>
      <w:bookmarkEnd w:id="113"/>
      <w:r>
        <w:rPr>
          <w:rFonts w:hint="eastAsia" w:ascii="宋体" w:hAnsi="宋体" w:eastAsia="宋体"/>
          <w:bCs w:val="0"/>
          <w:sz w:val="24"/>
          <w:szCs w:val="24"/>
        </w:rPr>
        <w:t xml:space="preserve"> </w:t>
      </w:r>
    </w:p>
    <w:p>
      <w:pPr>
        <w:spacing w:line="360" w:lineRule="auto"/>
        <w:ind w:firstLine="600" w:firstLineChars="250"/>
        <w:rPr>
          <w:rFonts w:ascii="宋体" w:hAnsi="宋体"/>
          <w:sz w:val="24"/>
        </w:rPr>
      </w:pPr>
      <w:r>
        <w:rPr>
          <w:rFonts w:hint="eastAsia" w:ascii="宋体" w:hAnsi="宋体"/>
          <w:sz w:val="24"/>
        </w:rPr>
        <w:t>（2）①</w:t>
      </w:r>
      <w:r>
        <w:rPr>
          <w:rFonts w:ascii="宋体" w:hAnsi="宋体"/>
          <w:sz w:val="24"/>
        </w:rPr>
        <w:t>2020或</w:t>
      </w:r>
      <w:r>
        <w:rPr>
          <w:rFonts w:hint="eastAsia" w:ascii="宋体" w:hAnsi="宋体"/>
          <w:sz w:val="24"/>
        </w:rPr>
        <w:t>2</w:t>
      </w:r>
      <w:r>
        <w:rPr>
          <w:rFonts w:ascii="宋体" w:hAnsi="宋体"/>
          <w:sz w:val="24"/>
        </w:rPr>
        <w:t>021</w:t>
      </w:r>
      <w:r>
        <w:rPr>
          <w:rFonts w:hint="eastAsia" w:ascii="宋体" w:hAnsi="宋体"/>
          <w:sz w:val="24"/>
        </w:rPr>
        <w:t>年度经审计的财务报告复印件（包含审计报告和审计报告中所涉及的财务报表和报表附注），②也可提供</w:t>
      </w:r>
      <w:r>
        <w:rPr>
          <w:rFonts w:ascii="宋体" w:hAnsi="宋体"/>
          <w:sz w:val="24"/>
        </w:rPr>
        <w:t>2020</w:t>
      </w:r>
      <w:r>
        <w:rPr>
          <w:rFonts w:hint="eastAsia" w:ascii="宋体" w:hAnsi="宋体"/>
          <w:sz w:val="24"/>
        </w:rPr>
        <w:t>或2</w:t>
      </w:r>
      <w:r>
        <w:rPr>
          <w:rFonts w:ascii="宋体" w:hAnsi="宋体"/>
          <w:sz w:val="24"/>
        </w:rPr>
        <w:t>021年</w:t>
      </w:r>
      <w:r>
        <w:rPr>
          <w:rFonts w:hint="eastAsia" w:ascii="宋体" w:hAnsi="宋体"/>
          <w:sz w:val="24"/>
        </w:rPr>
        <w:t>度供应商内部的财务报表复印件（至少包含资产负债表），③也可提供截至递交响应文件截止日一年内银行出具的资信证明（复印件），④供应商注册时间截至至递交响应文件截止日不足一年的，也可提供在工商备案的公司章程（复印件）；</w:t>
      </w:r>
    </w:p>
    <w:p>
      <w:pPr>
        <w:spacing w:line="360" w:lineRule="auto"/>
        <w:ind w:firstLine="480" w:firstLineChars="200"/>
        <w:rPr>
          <w:rFonts w:ascii="宋体" w:hAnsi="宋体"/>
          <w:sz w:val="24"/>
        </w:rPr>
      </w:pPr>
      <w:bookmarkStart w:id="114" w:name="_Toc13291"/>
      <w:bookmarkStart w:id="115" w:name="_Toc27149"/>
      <w:bookmarkStart w:id="116" w:name="_Toc9439"/>
      <w:bookmarkStart w:id="117" w:name="_Toc497299773"/>
      <w:r>
        <w:rPr>
          <w:rFonts w:hint="eastAsia" w:ascii="宋体" w:hAnsi="宋体"/>
          <w:sz w:val="24"/>
        </w:rPr>
        <w:t>（3）未被列入失信被执行人、重大税收违法案件当事人名单、政府采购严重违法失信行为记录名单承诺函（按照采购文件格式要求提供承诺函原件）；</w:t>
      </w:r>
    </w:p>
    <w:p>
      <w:pPr>
        <w:pStyle w:val="30"/>
        <w:spacing w:line="360" w:lineRule="auto"/>
        <w:ind w:firstLine="600" w:firstLineChars="250"/>
        <w:jc w:val="left"/>
        <w:rPr>
          <w:rFonts w:asciiTheme="majorEastAsia" w:hAnsiTheme="majorEastAsia" w:eastAsiaTheme="majorEastAsia"/>
          <w:bCs w:val="0"/>
          <w:sz w:val="24"/>
          <w:szCs w:val="24"/>
        </w:rPr>
      </w:pPr>
      <w:bookmarkStart w:id="118" w:name="_Toc98334753"/>
      <w:r>
        <w:rPr>
          <w:rFonts w:hint="eastAsia" w:asciiTheme="majorEastAsia" w:hAnsiTheme="majorEastAsia" w:eastAsiaTheme="majorEastAsia"/>
          <w:sz w:val="24"/>
          <w:szCs w:val="24"/>
        </w:rPr>
        <w:t>（4）供应商单位及其现任法定代表人、主要负责人不具有行贿犯罪记录</w:t>
      </w:r>
      <w:r>
        <w:rPr>
          <w:rFonts w:hint="eastAsia" w:asciiTheme="majorEastAsia" w:hAnsiTheme="majorEastAsia" w:eastAsiaTheme="majorEastAsia"/>
          <w:bCs w:val="0"/>
          <w:sz w:val="24"/>
          <w:szCs w:val="24"/>
        </w:rPr>
        <w:t>的承诺函（按照采购文件格式要求提供承诺函原件）。</w:t>
      </w:r>
      <w:bookmarkEnd w:id="114"/>
      <w:bookmarkEnd w:id="115"/>
      <w:bookmarkEnd w:id="116"/>
      <w:bookmarkEnd w:id="117"/>
      <w:bookmarkEnd w:id="118"/>
    </w:p>
    <w:p>
      <w:pPr>
        <w:pStyle w:val="30"/>
        <w:spacing w:line="360" w:lineRule="auto"/>
        <w:ind w:firstLine="600" w:firstLineChars="250"/>
        <w:jc w:val="left"/>
        <w:rPr>
          <w:rFonts w:ascii="宋体" w:hAnsi="宋体" w:eastAsia="宋体"/>
          <w:bCs w:val="0"/>
          <w:sz w:val="24"/>
          <w:szCs w:val="24"/>
        </w:rPr>
      </w:pPr>
      <w:bookmarkStart w:id="119" w:name="_Toc497299774"/>
      <w:bookmarkStart w:id="120" w:name="_Toc8288"/>
      <w:bookmarkStart w:id="121" w:name="_Toc2269"/>
      <w:bookmarkStart w:id="122" w:name="_Toc7116"/>
      <w:bookmarkStart w:id="123" w:name="_Toc98334754"/>
      <w:r>
        <w:rPr>
          <w:rFonts w:hint="eastAsia" w:ascii="宋体" w:hAnsi="宋体" w:eastAsia="宋体"/>
          <w:bCs w:val="0"/>
          <w:sz w:val="24"/>
          <w:szCs w:val="24"/>
        </w:rPr>
        <w:t>（5）法定代表人授权书原件（①附法定代表人身份证明文件复印件；②法定代表人参与评审时不需要提供）；</w:t>
      </w:r>
      <w:bookmarkEnd w:id="119"/>
      <w:bookmarkEnd w:id="120"/>
      <w:bookmarkEnd w:id="121"/>
      <w:bookmarkEnd w:id="122"/>
      <w:bookmarkEnd w:id="123"/>
    </w:p>
    <w:p>
      <w:pPr>
        <w:spacing w:line="360" w:lineRule="auto"/>
        <w:ind w:firstLine="480" w:firstLineChars="200"/>
        <w:rPr>
          <w:rFonts w:ascii="宋体" w:hAnsi="宋体"/>
          <w:sz w:val="24"/>
        </w:rPr>
      </w:pPr>
      <w:bookmarkStart w:id="124" w:name="_Toc497299775"/>
      <w:r>
        <w:rPr>
          <w:rFonts w:hint="eastAsia" w:ascii="宋体" w:hAnsi="宋体"/>
          <w:bCs/>
          <w:sz w:val="24"/>
        </w:rPr>
        <w:t>（6）供应商代表不是单位法人代表（负责人）,须附有“法定代表人（负责人）授权书”原件，以及法定代表人和被授权人身份证复印件；自然人参</w:t>
      </w:r>
      <w:r>
        <w:rPr>
          <w:rFonts w:hint="eastAsia" w:ascii="宋体" w:hAnsi="宋体"/>
          <w:sz w:val="24"/>
        </w:rPr>
        <w:t>与不需要提供</w:t>
      </w:r>
      <w:bookmarkEnd w:id="124"/>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color w:val="FF0000"/>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4"/>
        <w:numPr>
          <w:ilvl w:val="255"/>
          <w:numId w:val="0"/>
        </w:numPr>
        <w:tabs>
          <w:tab w:val="clear" w:pos="425"/>
        </w:tabs>
      </w:pPr>
      <w:bookmarkStart w:id="125" w:name="_Toc389122742"/>
      <w:bookmarkStart w:id="126" w:name="_Toc98334755"/>
      <w:bookmarkStart w:id="127" w:name="_Toc20148"/>
      <w:r>
        <w:rPr>
          <w:rFonts w:hint="eastAsia"/>
        </w:rPr>
        <w:t>第5章合同主要条款</w:t>
      </w:r>
      <w:bookmarkEnd w:id="125"/>
      <w:r>
        <w:rPr>
          <w:rFonts w:hint="eastAsia"/>
        </w:rPr>
        <w:t>（仅供参考）</w:t>
      </w:r>
      <w:bookmarkEnd w:id="126"/>
      <w:bookmarkEnd w:id="127"/>
    </w:p>
    <w:p>
      <w:pPr>
        <w:spacing w:line="360" w:lineRule="auto"/>
        <w:rPr>
          <w:rFonts w:ascii="宋体" w:hAnsi="宋体"/>
          <w:sz w:val="24"/>
        </w:rPr>
      </w:pPr>
    </w:p>
    <w:bookmarkEnd w:id="53"/>
    <w:bookmarkEnd w:id="54"/>
    <w:bookmarkEnd w:id="55"/>
    <w:bookmarkEnd w:id="56"/>
    <w:bookmarkEnd w:id="57"/>
    <w:bookmarkEnd w:id="58"/>
    <w:bookmarkEnd w:id="59"/>
    <w:bookmarkEnd w:id="60"/>
    <w:bookmarkEnd w:id="108"/>
    <w:p>
      <w:pPr>
        <w:spacing w:line="360" w:lineRule="auto"/>
        <w:ind w:firstLine="480" w:firstLineChars="200"/>
        <w:rPr>
          <w:rFonts w:ascii="宋体" w:hAnsi="宋体"/>
          <w:color w:val="000000"/>
          <w:sz w:val="24"/>
        </w:rPr>
      </w:pPr>
      <w:r>
        <w:rPr>
          <w:rFonts w:hint="eastAsia" w:ascii="宋体" w:hAnsi="宋体"/>
          <w:color w:val="000000"/>
          <w:sz w:val="24"/>
        </w:rPr>
        <w:t xml:space="preserve">采购人（甲方）：                              </w:t>
      </w:r>
    </w:p>
    <w:p>
      <w:pPr>
        <w:spacing w:line="360" w:lineRule="auto"/>
        <w:ind w:firstLine="480" w:firstLineChars="200"/>
        <w:rPr>
          <w:rFonts w:ascii="宋体" w:hAnsi="宋体"/>
          <w:color w:val="000000"/>
          <w:sz w:val="24"/>
        </w:rPr>
      </w:pPr>
      <w:r>
        <w:rPr>
          <w:rFonts w:hint="eastAsia" w:ascii="宋体" w:hAnsi="宋体"/>
          <w:color w:val="000000"/>
          <w:sz w:val="24"/>
        </w:rPr>
        <w:t>供应商（乙</w:t>
      </w:r>
      <w:r>
        <w:rPr>
          <w:rFonts w:ascii="宋体" w:hAnsi="宋体"/>
          <w:color w:val="000000"/>
          <w:sz w:val="24"/>
        </w:rPr>
        <w:t>方</w:t>
      </w:r>
      <w:r>
        <w:rPr>
          <w:rFonts w:hint="eastAsia" w:ascii="宋体" w:hAnsi="宋体"/>
          <w:color w:val="000000"/>
          <w:sz w:val="24"/>
        </w:rPr>
        <w:t>）</w:t>
      </w:r>
      <w:r>
        <w:rPr>
          <w:rFonts w:ascii="宋体" w:hAnsi="宋体"/>
          <w:color w:val="000000"/>
          <w:sz w:val="24"/>
        </w:rPr>
        <w:t>：</w:t>
      </w:r>
    </w:p>
    <w:p>
      <w:pPr>
        <w:spacing w:line="400" w:lineRule="exact"/>
        <w:rPr>
          <w:rFonts w:ascii="宋体" w:hAnsi="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根据《中华人民共和国政府采购法》《中华人民共和国民法典》及</w:t>
      </w:r>
      <w:r>
        <w:rPr>
          <w:rFonts w:hint="eastAsia" w:ascii="宋体" w:hAnsi="宋体" w:cs="宋体"/>
          <w:color w:val="000000"/>
          <w:sz w:val="24"/>
          <w:szCs w:val="21"/>
        </w:rPr>
        <w:t>成都市温江区市场监督管理局温江区2022年度计量器具强制检定技术服务单一来源采购项目</w:t>
      </w:r>
      <w:r>
        <w:rPr>
          <w:rFonts w:hint="eastAsia" w:ascii="宋体" w:hAnsi="宋体" w:cs="宋体"/>
          <w:color w:val="000000"/>
          <w:sz w:val="24"/>
        </w:rPr>
        <w:t>（项目编号：</w:t>
      </w:r>
      <w:r>
        <w:rPr>
          <w:rFonts w:hint="eastAsia" w:ascii="宋体" w:hAnsi="宋体" w:cs="宋体"/>
          <w:color w:val="000000"/>
          <w:sz w:val="24"/>
          <w:szCs w:val="21"/>
        </w:rPr>
        <w:t>ZAZB-2022ZC0003</w:t>
      </w:r>
      <w:r>
        <w:rPr>
          <w:rFonts w:hint="eastAsia" w:ascii="宋体" w:hAnsi="宋体" w:cs="宋体"/>
          <w:color w:val="000000"/>
          <w:sz w:val="24"/>
        </w:rPr>
        <w:t>）的《单一来源采购文件》、乙方的《报价文件》及《成交通知书》，甲、乙双方同意签订本合同。详细技术说明及其他有关合同项目的特定信息由合同附件予以说明，合同附件及本项目的《单一来源采购文件》、《报价文件》、《成交通知书》等均为本合同不可分割的部分。双方同意共同遵守如下条款：</w:t>
      </w:r>
    </w:p>
    <w:p>
      <w:pPr>
        <w:spacing w:line="440" w:lineRule="exact"/>
        <w:ind w:firstLine="482" w:firstLineChars="200"/>
        <w:rPr>
          <w:b/>
          <w:sz w:val="24"/>
          <w:shd w:val="clear" w:color="auto" w:fill="FFFFFF"/>
        </w:rPr>
      </w:pPr>
      <w:bookmarkStart w:id="128" w:name="_Toc217446107"/>
      <w:r>
        <w:rPr>
          <w:rFonts w:hint="eastAsia" w:ascii="宋体" w:hAnsi="宋体"/>
          <w:b/>
          <w:sz w:val="24"/>
        </w:rPr>
        <w:t>一、</w:t>
      </w:r>
      <w:bookmarkEnd w:id="128"/>
      <w:r>
        <w:rPr>
          <w:rFonts w:hint="eastAsia" w:hAnsi="宋体"/>
          <w:b/>
          <w:sz w:val="24"/>
          <w:shd w:val="clear" w:color="auto" w:fill="FFFFFF"/>
        </w:rPr>
        <w:t>项目背景</w:t>
      </w:r>
    </w:p>
    <w:p>
      <w:pPr>
        <w:spacing w:line="440" w:lineRule="exact"/>
        <w:ind w:firstLine="480" w:firstLineChars="200"/>
        <w:rPr>
          <w:sz w:val="24"/>
          <w:shd w:val="clear" w:color="auto" w:fill="FFFFFF"/>
        </w:rPr>
      </w:pPr>
      <w:r>
        <w:rPr>
          <w:rFonts w:hAnsi="宋体"/>
          <w:sz w:val="24"/>
          <w:shd w:val="clear" w:color="auto" w:fill="FFFFFF"/>
        </w:rPr>
        <w:t>根据《中华人民共和国计量法》、《中华人民共和国强制检定的工作计量器具检定管理办法》（国发〔</w:t>
      </w:r>
      <w:r>
        <w:rPr>
          <w:sz w:val="24"/>
          <w:shd w:val="clear" w:color="auto" w:fill="FFFFFF"/>
        </w:rPr>
        <w:t>1987</w:t>
      </w:r>
      <w:r>
        <w:rPr>
          <w:rFonts w:hAnsi="宋体"/>
          <w:sz w:val="24"/>
          <w:shd w:val="clear" w:color="auto" w:fill="FFFFFF"/>
        </w:rPr>
        <w:t>〕</w:t>
      </w:r>
      <w:r>
        <w:rPr>
          <w:sz w:val="24"/>
          <w:shd w:val="clear" w:color="auto" w:fill="FFFFFF"/>
        </w:rPr>
        <w:t>31</w:t>
      </w:r>
      <w:r>
        <w:rPr>
          <w:rFonts w:hAnsi="宋体"/>
          <w:sz w:val="24"/>
          <w:shd w:val="clear" w:color="auto" w:fill="FFFFFF"/>
        </w:rPr>
        <w:t>号）和《市场监管总局关于</w:t>
      </w:r>
      <w:r>
        <w:rPr>
          <w:rFonts w:hint="eastAsia" w:hAnsi="宋体"/>
          <w:sz w:val="24"/>
          <w:shd w:val="clear" w:color="auto" w:fill="FFFFFF"/>
        </w:rPr>
        <w:t>调整</w:t>
      </w:r>
      <w:r>
        <w:rPr>
          <w:rFonts w:hAnsi="宋体"/>
          <w:sz w:val="24"/>
          <w:shd w:val="clear" w:color="auto" w:fill="FFFFFF"/>
        </w:rPr>
        <w:t>实施强制管理的计量器具目录的公告》（</w:t>
      </w:r>
      <w:r>
        <w:rPr>
          <w:sz w:val="24"/>
          <w:shd w:val="clear" w:color="auto" w:fill="FFFFFF"/>
        </w:rPr>
        <w:t>20</w:t>
      </w:r>
      <w:r>
        <w:rPr>
          <w:rFonts w:hint="eastAsia"/>
          <w:sz w:val="24"/>
          <w:shd w:val="clear" w:color="auto" w:fill="FFFFFF"/>
        </w:rPr>
        <w:t>20</w:t>
      </w:r>
      <w:r>
        <w:rPr>
          <w:rFonts w:hAnsi="宋体"/>
          <w:sz w:val="24"/>
          <w:shd w:val="clear" w:color="auto" w:fill="FFFFFF"/>
        </w:rPr>
        <w:t>年第</w:t>
      </w:r>
      <w:r>
        <w:rPr>
          <w:sz w:val="24"/>
          <w:shd w:val="clear" w:color="auto" w:fill="FFFFFF"/>
        </w:rPr>
        <w:t>4</w:t>
      </w:r>
      <w:r>
        <w:rPr>
          <w:rFonts w:hint="eastAsia"/>
          <w:sz w:val="24"/>
          <w:shd w:val="clear" w:color="auto" w:fill="FFFFFF"/>
        </w:rPr>
        <w:t>2</w:t>
      </w:r>
      <w:r>
        <w:rPr>
          <w:rFonts w:hAnsi="宋体"/>
          <w:sz w:val="24"/>
          <w:shd w:val="clear" w:color="auto" w:fill="FFFFFF"/>
        </w:rPr>
        <w:t>号）规定，对成都市温江区</w:t>
      </w:r>
      <w:r>
        <w:rPr>
          <w:rFonts w:hint="eastAsia" w:hAnsi="宋体"/>
          <w:sz w:val="24"/>
          <w:shd w:val="clear" w:color="auto" w:fill="FFFFFF"/>
        </w:rPr>
        <w:t>市场监督管理局（以下简称采购人）监管</w:t>
      </w:r>
      <w:r>
        <w:rPr>
          <w:rFonts w:hAnsi="宋体"/>
          <w:sz w:val="24"/>
          <w:shd w:val="clear" w:color="auto" w:fill="FFFFFF"/>
        </w:rPr>
        <w:t>行政区域内所有经核准的强制检定计量器具开展免费计量检定工作，范围包括两类：</w:t>
      </w:r>
    </w:p>
    <w:p>
      <w:pPr>
        <w:pStyle w:val="21"/>
        <w:spacing w:line="440" w:lineRule="exact"/>
        <w:ind w:left="0" w:leftChars="0" w:firstLine="482" w:firstLineChars="200"/>
        <w:jc w:val="left"/>
        <w:rPr>
          <w:b/>
          <w:bCs/>
          <w:sz w:val="24"/>
          <w:shd w:val="clear" w:color="auto" w:fill="FFFFFF"/>
        </w:rPr>
      </w:pPr>
      <w:r>
        <w:rPr>
          <w:b/>
          <w:bCs/>
          <w:sz w:val="24"/>
        </w:rPr>
        <w:t>1</w:t>
      </w:r>
      <w:r>
        <w:rPr>
          <w:rFonts w:hAnsi="宋体"/>
          <w:b/>
          <w:bCs/>
          <w:sz w:val="24"/>
        </w:rPr>
        <w:t>、</w:t>
      </w:r>
      <w:r>
        <w:rPr>
          <w:rFonts w:hAnsi="宋体"/>
          <w:b/>
          <w:bCs/>
          <w:sz w:val="24"/>
          <w:shd w:val="clear" w:color="auto" w:fill="FFFFFF"/>
        </w:rPr>
        <w:t>强制检定计量标准器具</w:t>
      </w:r>
    </w:p>
    <w:p>
      <w:pPr>
        <w:pStyle w:val="21"/>
        <w:spacing w:line="440" w:lineRule="exact"/>
        <w:ind w:left="0" w:leftChars="0" w:firstLine="480" w:firstLineChars="200"/>
        <w:jc w:val="left"/>
        <w:rPr>
          <w:sz w:val="24"/>
          <w:shd w:val="clear" w:color="auto" w:fill="FFFFFF"/>
        </w:rPr>
      </w:pPr>
      <w:r>
        <w:rPr>
          <w:rFonts w:hint="eastAsia" w:hAnsi="宋体"/>
          <w:sz w:val="24"/>
        </w:rPr>
        <w:t>温江区</w:t>
      </w:r>
      <w:r>
        <w:rPr>
          <w:rFonts w:hAnsi="宋体"/>
          <w:sz w:val="24"/>
          <w:shd w:val="clear" w:color="auto" w:fill="FFFFFF"/>
        </w:rPr>
        <w:t>行政区域内所有经核准的社会公用计量标准器具，部门和企业、事业单位使用的最高计量标准器具。</w:t>
      </w:r>
    </w:p>
    <w:p>
      <w:pPr>
        <w:pStyle w:val="21"/>
        <w:spacing w:line="440" w:lineRule="exact"/>
        <w:ind w:left="0" w:leftChars="0" w:firstLine="482" w:firstLineChars="200"/>
        <w:jc w:val="left"/>
        <w:rPr>
          <w:b/>
          <w:bCs/>
          <w:sz w:val="24"/>
          <w:shd w:val="clear" w:color="auto" w:fill="FFFFFF"/>
        </w:rPr>
      </w:pPr>
      <w:r>
        <w:rPr>
          <w:b/>
          <w:sz w:val="24"/>
          <w:shd w:val="clear" w:color="auto" w:fill="FFFFFF"/>
        </w:rPr>
        <w:t>2</w:t>
      </w:r>
      <w:r>
        <w:rPr>
          <w:rFonts w:hAnsi="宋体"/>
          <w:b/>
          <w:sz w:val="24"/>
          <w:shd w:val="clear" w:color="auto" w:fill="FFFFFF"/>
        </w:rPr>
        <w:t>、</w:t>
      </w:r>
      <w:r>
        <w:rPr>
          <w:rFonts w:hAnsi="宋体"/>
          <w:b/>
          <w:bCs/>
          <w:sz w:val="24"/>
          <w:shd w:val="clear" w:color="auto" w:fill="FFFFFF"/>
        </w:rPr>
        <w:t>强制检定工作计量器具</w:t>
      </w:r>
    </w:p>
    <w:p>
      <w:pPr>
        <w:pStyle w:val="21"/>
        <w:spacing w:line="440" w:lineRule="exact"/>
        <w:ind w:left="122" w:leftChars="58" w:firstLine="480" w:firstLineChars="200"/>
        <w:rPr>
          <w:rFonts w:hAnsi="宋体"/>
          <w:sz w:val="24"/>
          <w:shd w:val="clear" w:color="auto" w:fill="FFFFFF"/>
        </w:rPr>
      </w:pPr>
      <w:r>
        <w:rPr>
          <w:rFonts w:hint="eastAsia" w:hAnsi="宋体"/>
          <w:sz w:val="24"/>
        </w:rPr>
        <w:t>温江区</w:t>
      </w:r>
      <w:r>
        <w:rPr>
          <w:rFonts w:hAnsi="宋体"/>
          <w:sz w:val="24"/>
          <w:shd w:val="clear" w:color="auto" w:fill="FFFFFF"/>
        </w:rPr>
        <w:t>行政区域内所有经核准的用于贸易结算、安全防护、医疗卫生、环境监测方面的列入强制检定目录的工作计量器具。详见《实施强制管理的计量器具目录》中监管方式为</w:t>
      </w:r>
      <w:r>
        <w:rPr>
          <w:rFonts w:hint="eastAsia" w:ascii="宋体" w:hAnsi="宋体"/>
          <w:spacing w:val="-10"/>
          <w:sz w:val="24"/>
        </w:rPr>
        <w:t>“强制检定</w:t>
      </w:r>
      <w:r>
        <w:rPr>
          <w:rFonts w:hAnsi="宋体"/>
          <w:sz w:val="24"/>
          <w:shd w:val="clear" w:color="auto" w:fill="FFFFFF"/>
        </w:rPr>
        <w:t>”</w:t>
      </w:r>
      <w:r>
        <w:rPr>
          <w:rFonts w:hint="eastAsia" w:hAnsi="宋体"/>
          <w:sz w:val="24"/>
          <w:shd w:val="clear" w:color="auto" w:fill="FFFFFF"/>
        </w:rPr>
        <w:t>和</w:t>
      </w:r>
      <w:r>
        <w:rPr>
          <w:rFonts w:hAnsi="宋体"/>
          <w:sz w:val="24"/>
          <w:shd w:val="clear" w:color="auto" w:fill="FFFFFF"/>
        </w:rPr>
        <w:t>“</w:t>
      </w:r>
      <w:r>
        <w:rPr>
          <w:rFonts w:hint="eastAsia" w:ascii="宋体" w:hAnsi="宋体"/>
          <w:spacing w:val="-10"/>
          <w:sz w:val="24"/>
        </w:rPr>
        <w:t>型式批准</w:t>
      </w:r>
      <w:r>
        <w:rPr>
          <w:rFonts w:hint="eastAsia" w:hAnsi="宋体"/>
          <w:sz w:val="24"/>
          <w:shd w:val="clear" w:color="auto" w:fill="FFFFFF"/>
        </w:rPr>
        <w:t>、</w:t>
      </w:r>
      <w:r>
        <w:rPr>
          <w:rFonts w:hint="eastAsia" w:ascii="宋体" w:hAnsi="宋体"/>
          <w:spacing w:val="-10"/>
          <w:sz w:val="24"/>
        </w:rPr>
        <w:t>强制检定”</w:t>
      </w:r>
      <w:r>
        <w:rPr>
          <w:rFonts w:hAnsi="宋体"/>
          <w:sz w:val="24"/>
          <w:shd w:val="clear" w:color="auto" w:fill="FFFFFF"/>
        </w:rPr>
        <w:t>的强制检定计量器具。</w:t>
      </w:r>
    </w:p>
    <w:p>
      <w:pPr>
        <w:spacing w:line="520" w:lineRule="exact"/>
        <w:rPr>
          <w:sz w:val="24"/>
        </w:rPr>
      </w:pPr>
      <w:r>
        <w:rPr>
          <w:rFonts w:hAnsi="宋体"/>
          <w:sz w:val="24"/>
        </w:rPr>
        <w:t>附件</w:t>
      </w:r>
    </w:p>
    <w:p>
      <w:pPr>
        <w:spacing w:line="5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实施强制管理的计量器具目录</w:t>
      </w:r>
    </w:p>
    <w:tbl>
      <w:tblPr>
        <w:tblStyle w:val="32"/>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90"/>
        <w:gridCol w:w="1025"/>
        <w:gridCol w:w="1712"/>
        <w:gridCol w:w="1489"/>
        <w:gridCol w:w="1894"/>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bCs/>
                <w:szCs w:val="21"/>
              </w:rPr>
            </w:pPr>
            <w:r>
              <w:rPr>
                <w:rFonts w:ascii="宋体" w:hAnsi="宋体"/>
                <w:bCs/>
                <w:szCs w:val="21"/>
              </w:rPr>
              <w:t>一级序号</w:t>
            </w:r>
          </w:p>
        </w:tc>
        <w:tc>
          <w:tcPr>
            <w:tcW w:w="790" w:type="dxa"/>
            <w:vAlign w:val="center"/>
          </w:tcPr>
          <w:p>
            <w:pPr>
              <w:widowControl/>
              <w:spacing w:line="440" w:lineRule="exact"/>
              <w:jc w:val="center"/>
              <w:rPr>
                <w:rFonts w:ascii="宋体" w:hAnsi="宋体"/>
                <w:bCs/>
                <w:szCs w:val="21"/>
              </w:rPr>
            </w:pPr>
            <w:r>
              <w:rPr>
                <w:rFonts w:ascii="宋体" w:hAnsi="宋体"/>
                <w:bCs/>
                <w:szCs w:val="21"/>
              </w:rPr>
              <w:t>二级序号</w:t>
            </w:r>
          </w:p>
        </w:tc>
        <w:tc>
          <w:tcPr>
            <w:tcW w:w="1025" w:type="dxa"/>
            <w:vAlign w:val="center"/>
          </w:tcPr>
          <w:p>
            <w:pPr>
              <w:widowControl/>
              <w:spacing w:line="440" w:lineRule="exact"/>
              <w:jc w:val="center"/>
              <w:rPr>
                <w:rFonts w:ascii="宋体" w:hAnsi="宋体"/>
                <w:bCs/>
                <w:szCs w:val="21"/>
              </w:rPr>
            </w:pPr>
            <w:r>
              <w:rPr>
                <w:rFonts w:ascii="宋体" w:hAnsi="宋体"/>
                <w:bCs/>
                <w:szCs w:val="21"/>
              </w:rPr>
              <w:t>一级目录</w:t>
            </w:r>
          </w:p>
        </w:tc>
        <w:tc>
          <w:tcPr>
            <w:tcW w:w="1712" w:type="dxa"/>
            <w:vAlign w:val="center"/>
          </w:tcPr>
          <w:p>
            <w:pPr>
              <w:widowControl/>
              <w:spacing w:line="440" w:lineRule="exact"/>
              <w:jc w:val="center"/>
              <w:rPr>
                <w:rFonts w:ascii="宋体" w:hAnsi="宋体"/>
                <w:bCs/>
                <w:szCs w:val="21"/>
              </w:rPr>
            </w:pPr>
            <w:r>
              <w:rPr>
                <w:rFonts w:ascii="宋体" w:hAnsi="宋体"/>
                <w:bCs/>
                <w:szCs w:val="21"/>
              </w:rPr>
              <w:t>二级目录</w:t>
            </w:r>
          </w:p>
        </w:tc>
        <w:tc>
          <w:tcPr>
            <w:tcW w:w="1489" w:type="dxa"/>
            <w:vAlign w:val="center"/>
          </w:tcPr>
          <w:p>
            <w:pPr>
              <w:widowControl/>
              <w:spacing w:line="440" w:lineRule="exact"/>
              <w:jc w:val="center"/>
              <w:rPr>
                <w:rFonts w:ascii="宋体" w:hAnsi="宋体"/>
                <w:bCs/>
                <w:szCs w:val="21"/>
              </w:rPr>
            </w:pPr>
            <w:r>
              <w:rPr>
                <w:rFonts w:ascii="宋体" w:hAnsi="宋体"/>
                <w:bCs/>
                <w:szCs w:val="21"/>
              </w:rPr>
              <w:t>监管方式</w:t>
            </w:r>
          </w:p>
        </w:tc>
        <w:tc>
          <w:tcPr>
            <w:tcW w:w="1894" w:type="dxa"/>
            <w:vAlign w:val="center"/>
          </w:tcPr>
          <w:p>
            <w:pPr>
              <w:widowControl/>
              <w:spacing w:line="440" w:lineRule="exact"/>
              <w:jc w:val="center"/>
              <w:rPr>
                <w:rFonts w:ascii="宋体" w:hAnsi="宋体"/>
                <w:bCs/>
                <w:szCs w:val="21"/>
              </w:rPr>
            </w:pPr>
            <w:r>
              <w:rPr>
                <w:rFonts w:hint="eastAsia" w:ascii="宋体" w:hAnsi="宋体"/>
                <w:bCs/>
                <w:szCs w:val="21"/>
              </w:rPr>
              <w:t>强检</w:t>
            </w:r>
            <w:r>
              <w:rPr>
                <w:rFonts w:ascii="宋体" w:hAnsi="宋体"/>
                <w:bCs/>
                <w:szCs w:val="21"/>
              </w:rPr>
              <w:t>方式</w:t>
            </w:r>
          </w:p>
        </w:tc>
        <w:tc>
          <w:tcPr>
            <w:tcW w:w="2574" w:type="dxa"/>
            <w:vAlign w:val="center"/>
          </w:tcPr>
          <w:p>
            <w:pPr>
              <w:widowControl/>
              <w:spacing w:line="440" w:lineRule="exact"/>
              <w:jc w:val="center"/>
              <w:rPr>
                <w:rFonts w:ascii="宋体" w:hAnsi="宋体"/>
                <w:bCs/>
                <w:szCs w:val="21"/>
              </w:rPr>
            </w:pPr>
            <w:r>
              <w:rPr>
                <w:rFonts w:hint="eastAsia" w:ascii="宋体" w:hAnsi="宋体"/>
                <w:bCs/>
                <w:szCs w:val="21"/>
              </w:rPr>
              <w:t>强检</w:t>
            </w:r>
            <w:r>
              <w:rPr>
                <w:rFonts w:ascii="宋体" w:hAnsi="宋体"/>
                <w:bCs/>
                <w:szCs w:val="21"/>
              </w:rPr>
              <w:t>范围及说明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w:t>
            </w:r>
          </w:p>
        </w:tc>
        <w:tc>
          <w:tcPr>
            <w:tcW w:w="790" w:type="dxa"/>
            <w:vAlign w:val="center"/>
          </w:tcPr>
          <w:p>
            <w:pPr>
              <w:widowControl/>
              <w:spacing w:line="440" w:lineRule="exact"/>
              <w:jc w:val="center"/>
              <w:rPr>
                <w:rFonts w:ascii="宋体" w:hAnsi="宋体"/>
                <w:szCs w:val="21"/>
              </w:rPr>
            </w:pPr>
            <w:r>
              <w:rPr>
                <w:rFonts w:ascii="宋体" w:hAnsi="宋体"/>
                <w:szCs w:val="21"/>
              </w:rPr>
              <w:t>1</w:t>
            </w:r>
          </w:p>
        </w:tc>
        <w:tc>
          <w:tcPr>
            <w:tcW w:w="1025" w:type="dxa"/>
            <w:vAlign w:val="center"/>
          </w:tcPr>
          <w:p>
            <w:pPr>
              <w:widowControl/>
              <w:spacing w:line="440" w:lineRule="exact"/>
              <w:jc w:val="center"/>
              <w:rPr>
                <w:rFonts w:ascii="宋体" w:hAnsi="宋体"/>
                <w:szCs w:val="21"/>
              </w:rPr>
            </w:pPr>
            <w:r>
              <w:rPr>
                <w:rFonts w:ascii="宋体" w:hAnsi="宋体"/>
                <w:szCs w:val="21"/>
              </w:rPr>
              <w:t>体温计</w:t>
            </w:r>
          </w:p>
        </w:tc>
        <w:tc>
          <w:tcPr>
            <w:tcW w:w="1712" w:type="dxa"/>
            <w:vAlign w:val="center"/>
          </w:tcPr>
          <w:p>
            <w:pPr>
              <w:widowControl/>
              <w:spacing w:line="440" w:lineRule="exact"/>
              <w:jc w:val="center"/>
              <w:rPr>
                <w:rFonts w:ascii="宋体" w:hAnsi="宋体"/>
                <w:szCs w:val="21"/>
              </w:rPr>
            </w:pPr>
            <w:r>
              <w:rPr>
                <w:rFonts w:ascii="宋体" w:hAnsi="宋体"/>
                <w:szCs w:val="21"/>
              </w:rPr>
              <w:t>体温计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玻璃体温计只做型式批准和首次强制检定，失准报废；其他体温计周期检定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用于医疗卫生：医疗机构对人体温度的测量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2</w:t>
            </w:r>
          </w:p>
        </w:tc>
        <w:tc>
          <w:tcPr>
            <w:tcW w:w="790" w:type="dxa"/>
            <w:vAlign w:val="center"/>
          </w:tcPr>
          <w:p>
            <w:pPr>
              <w:widowControl/>
              <w:spacing w:line="440" w:lineRule="exact"/>
              <w:jc w:val="center"/>
              <w:rPr>
                <w:rFonts w:ascii="宋体" w:hAnsi="宋体"/>
                <w:szCs w:val="21"/>
              </w:rPr>
            </w:pPr>
            <w:r>
              <w:rPr>
                <w:rFonts w:ascii="宋体" w:hAnsi="宋体"/>
                <w:szCs w:val="21"/>
              </w:rPr>
              <w:t>2</w:t>
            </w:r>
          </w:p>
        </w:tc>
        <w:tc>
          <w:tcPr>
            <w:tcW w:w="1025" w:type="dxa"/>
            <w:vAlign w:val="center"/>
          </w:tcPr>
          <w:p>
            <w:pPr>
              <w:widowControl/>
              <w:spacing w:line="440" w:lineRule="exact"/>
              <w:jc w:val="center"/>
              <w:rPr>
                <w:rFonts w:ascii="宋体" w:hAnsi="宋体"/>
                <w:szCs w:val="21"/>
              </w:rPr>
            </w:pPr>
            <w:r>
              <w:rPr>
                <w:rFonts w:ascii="宋体" w:hAnsi="宋体"/>
                <w:szCs w:val="21"/>
              </w:rPr>
              <w:t>非自动衡器</w:t>
            </w:r>
          </w:p>
        </w:tc>
        <w:tc>
          <w:tcPr>
            <w:tcW w:w="1712" w:type="dxa"/>
            <w:vAlign w:val="center"/>
          </w:tcPr>
          <w:p>
            <w:pPr>
              <w:widowControl/>
              <w:spacing w:line="440" w:lineRule="exact"/>
              <w:jc w:val="center"/>
              <w:rPr>
                <w:rFonts w:ascii="宋体" w:hAnsi="宋体"/>
                <w:szCs w:val="21"/>
              </w:rPr>
            </w:pPr>
            <w:r>
              <w:rPr>
                <w:rFonts w:ascii="宋体" w:hAnsi="宋体"/>
                <w:szCs w:val="21"/>
              </w:rPr>
              <w:t>非自动衡器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用于贸易结算：商品、包裹、行李、粮食等的称重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3</w:t>
            </w:r>
          </w:p>
        </w:tc>
        <w:tc>
          <w:tcPr>
            <w:tcW w:w="790" w:type="dxa"/>
            <w:vAlign w:val="center"/>
          </w:tcPr>
          <w:p>
            <w:pPr>
              <w:widowControl/>
              <w:spacing w:line="440" w:lineRule="exact"/>
              <w:jc w:val="center"/>
              <w:rPr>
                <w:rFonts w:ascii="宋体" w:hAnsi="宋体"/>
                <w:szCs w:val="21"/>
              </w:rPr>
            </w:pPr>
            <w:r>
              <w:rPr>
                <w:rFonts w:ascii="宋体" w:hAnsi="宋体"/>
                <w:szCs w:val="21"/>
              </w:rPr>
              <w:t>3</w:t>
            </w:r>
          </w:p>
        </w:tc>
        <w:tc>
          <w:tcPr>
            <w:tcW w:w="1025" w:type="dxa"/>
            <w:vAlign w:val="center"/>
          </w:tcPr>
          <w:p>
            <w:pPr>
              <w:widowControl/>
              <w:spacing w:line="440" w:lineRule="exact"/>
              <w:jc w:val="center"/>
              <w:rPr>
                <w:rFonts w:ascii="宋体" w:hAnsi="宋体"/>
                <w:szCs w:val="21"/>
              </w:rPr>
            </w:pPr>
            <w:r>
              <w:rPr>
                <w:rFonts w:ascii="宋体" w:hAnsi="宋体"/>
                <w:szCs w:val="21"/>
              </w:rPr>
              <w:t>自动衡器</w:t>
            </w:r>
          </w:p>
        </w:tc>
        <w:tc>
          <w:tcPr>
            <w:tcW w:w="1712" w:type="dxa"/>
            <w:vAlign w:val="center"/>
          </w:tcPr>
          <w:p>
            <w:pPr>
              <w:widowControl/>
              <w:spacing w:line="440" w:lineRule="exact"/>
              <w:jc w:val="center"/>
              <w:rPr>
                <w:rFonts w:ascii="宋体" w:hAnsi="宋体"/>
                <w:szCs w:val="21"/>
              </w:rPr>
            </w:pPr>
            <w:r>
              <w:rPr>
                <w:rFonts w:ascii="宋体" w:hAnsi="宋体"/>
                <w:szCs w:val="21"/>
              </w:rPr>
              <w:t>动态汽车衡（车辆总重计量）</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 xml:space="preserve">用于安全防护：车辆超限超载的称重          </w:t>
            </w:r>
          </w:p>
          <w:p>
            <w:pPr>
              <w:widowControl/>
              <w:spacing w:line="440" w:lineRule="exact"/>
              <w:jc w:val="left"/>
              <w:rPr>
                <w:rFonts w:ascii="宋体" w:hAnsi="宋体"/>
                <w:szCs w:val="21"/>
              </w:rPr>
            </w:pPr>
            <w:r>
              <w:rPr>
                <w:rFonts w:hint="eastAsia" w:ascii="宋体" w:hAnsi="宋体"/>
                <w:szCs w:val="21"/>
              </w:rPr>
              <w:t>用于贸易结算：商品的称重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4</w:t>
            </w:r>
          </w:p>
        </w:tc>
        <w:tc>
          <w:tcPr>
            <w:tcW w:w="790" w:type="dxa"/>
            <w:vAlign w:val="center"/>
          </w:tcPr>
          <w:p>
            <w:pPr>
              <w:widowControl/>
              <w:spacing w:line="440" w:lineRule="exact"/>
              <w:jc w:val="center"/>
              <w:rPr>
                <w:rFonts w:ascii="宋体" w:hAnsi="宋体"/>
                <w:szCs w:val="21"/>
              </w:rPr>
            </w:pPr>
            <w:r>
              <w:rPr>
                <w:rFonts w:ascii="宋体" w:hAnsi="宋体"/>
                <w:szCs w:val="21"/>
              </w:rPr>
              <w:t>4</w:t>
            </w:r>
          </w:p>
        </w:tc>
        <w:tc>
          <w:tcPr>
            <w:tcW w:w="1025" w:type="dxa"/>
            <w:vAlign w:val="center"/>
          </w:tcPr>
          <w:p>
            <w:pPr>
              <w:widowControl/>
              <w:spacing w:line="440" w:lineRule="exact"/>
              <w:jc w:val="center"/>
              <w:rPr>
                <w:rFonts w:ascii="宋体" w:hAnsi="宋体"/>
                <w:szCs w:val="21"/>
              </w:rPr>
            </w:pPr>
            <w:r>
              <w:rPr>
                <w:rFonts w:ascii="宋体" w:hAnsi="宋体"/>
                <w:szCs w:val="21"/>
              </w:rPr>
              <w:t>轨道衡</w:t>
            </w:r>
          </w:p>
        </w:tc>
        <w:tc>
          <w:tcPr>
            <w:tcW w:w="1712" w:type="dxa"/>
            <w:vAlign w:val="center"/>
          </w:tcPr>
          <w:p>
            <w:pPr>
              <w:widowControl/>
              <w:spacing w:line="440" w:lineRule="exact"/>
              <w:jc w:val="center"/>
              <w:rPr>
                <w:rFonts w:ascii="宋体" w:hAnsi="宋体"/>
                <w:szCs w:val="21"/>
              </w:rPr>
            </w:pPr>
            <w:r>
              <w:rPr>
                <w:rFonts w:ascii="宋体" w:hAnsi="宋体"/>
                <w:szCs w:val="21"/>
              </w:rPr>
              <w:t>轨道衡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用于贸易结算：商品的称重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5</w:t>
            </w:r>
          </w:p>
        </w:tc>
        <w:tc>
          <w:tcPr>
            <w:tcW w:w="790" w:type="dxa"/>
            <w:vAlign w:val="center"/>
          </w:tcPr>
          <w:p>
            <w:pPr>
              <w:widowControl/>
              <w:spacing w:line="440" w:lineRule="exact"/>
              <w:jc w:val="center"/>
              <w:rPr>
                <w:rFonts w:ascii="宋体" w:hAnsi="宋体"/>
                <w:szCs w:val="21"/>
              </w:rPr>
            </w:pPr>
            <w:r>
              <w:rPr>
                <w:rFonts w:ascii="宋体" w:hAnsi="宋体"/>
                <w:szCs w:val="21"/>
              </w:rPr>
              <w:t>5</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计量罐</w:t>
            </w:r>
          </w:p>
        </w:tc>
        <w:tc>
          <w:tcPr>
            <w:tcW w:w="1712" w:type="dxa"/>
            <w:vAlign w:val="center"/>
          </w:tcPr>
          <w:p>
            <w:pPr>
              <w:widowControl/>
              <w:spacing w:line="440" w:lineRule="exact"/>
              <w:jc w:val="center"/>
              <w:rPr>
                <w:rFonts w:ascii="宋体" w:hAnsi="宋体"/>
                <w:szCs w:val="21"/>
              </w:rPr>
            </w:pPr>
            <w:r>
              <w:rPr>
                <w:rFonts w:ascii="宋体" w:hAnsi="宋体"/>
                <w:szCs w:val="21"/>
              </w:rPr>
              <w:t>铁路计量罐（车）</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用于贸易结算：液体容积的测量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6</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船舶液货计量舱（供油船舶计量舱、船舶污油舱、污水舱、运输船舶计量舱5000载重吨以下）</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用于贸易结算：原油、成品油及其他液体和固体容积的测量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7</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立式金属罐</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用于贸易结算：液体容积的测量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6</w:t>
            </w:r>
          </w:p>
        </w:tc>
        <w:tc>
          <w:tcPr>
            <w:tcW w:w="790" w:type="dxa"/>
            <w:vAlign w:val="center"/>
          </w:tcPr>
          <w:p>
            <w:pPr>
              <w:widowControl/>
              <w:spacing w:line="440" w:lineRule="exact"/>
              <w:jc w:val="center"/>
              <w:rPr>
                <w:rFonts w:ascii="宋体" w:hAnsi="宋体"/>
                <w:szCs w:val="21"/>
              </w:rPr>
            </w:pPr>
            <w:r>
              <w:rPr>
                <w:rFonts w:ascii="宋体" w:hAnsi="宋体"/>
                <w:szCs w:val="21"/>
              </w:rPr>
              <w:t>8</w:t>
            </w:r>
          </w:p>
        </w:tc>
        <w:tc>
          <w:tcPr>
            <w:tcW w:w="1025" w:type="dxa"/>
            <w:vAlign w:val="center"/>
          </w:tcPr>
          <w:p>
            <w:pPr>
              <w:widowControl/>
              <w:spacing w:line="440" w:lineRule="exact"/>
              <w:jc w:val="center"/>
              <w:rPr>
                <w:rFonts w:ascii="宋体" w:hAnsi="宋体"/>
                <w:szCs w:val="21"/>
              </w:rPr>
            </w:pPr>
            <w:r>
              <w:rPr>
                <w:rFonts w:ascii="宋体" w:hAnsi="宋体"/>
                <w:szCs w:val="21"/>
              </w:rPr>
              <w:t>称重</w:t>
            </w:r>
          </w:p>
          <w:p>
            <w:pPr>
              <w:widowControl/>
              <w:spacing w:line="440" w:lineRule="exact"/>
              <w:jc w:val="center"/>
              <w:rPr>
                <w:rFonts w:ascii="宋体" w:hAnsi="宋体"/>
                <w:szCs w:val="21"/>
              </w:rPr>
            </w:pPr>
            <w:r>
              <w:rPr>
                <w:rFonts w:ascii="宋体" w:hAnsi="宋体"/>
                <w:szCs w:val="21"/>
              </w:rPr>
              <w:t>传感器</w:t>
            </w:r>
          </w:p>
        </w:tc>
        <w:tc>
          <w:tcPr>
            <w:tcW w:w="1712" w:type="dxa"/>
            <w:vAlign w:val="center"/>
          </w:tcPr>
          <w:p>
            <w:pPr>
              <w:widowControl/>
              <w:spacing w:line="440" w:lineRule="exact"/>
              <w:jc w:val="center"/>
              <w:rPr>
                <w:rFonts w:ascii="宋体" w:hAnsi="宋体"/>
                <w:szCs w:val="21"/>
              </w:rPr>
            </w:pPr>
            <w:r>
              <w:rPr>
                <w:rFonts w:ascii="宋体" w:hAnsi="宋体"/>
                <w:szCs w:val="21"/>
              </w:rPr>
              <w:t>称重传感器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7</w:t>
            </w:r>
          </w:p>
        </w:tc>
        <w:tc>
          <w:tcPr>
            <w:tcW w:w="790" w:type="dxa"/>
            <w:vAlign w:val="center"/>
          </w:tcPr>
          <w:p>
            <w:pPr>
              <w:widowControl/>
              <w:spacing w:line="440" w:lineRule="exact"/>
              <w:jc w:val="center"/>
              <w:rPr>
                <w:rFonts w:ascii="宋体" w:hAnsi="宋体"/>
                <w:szCs w:val="21"/>
              </w:rPr>
            </w:pPr>
            <w:r>
              <w:rPr>
                <w:rFonts w:ascii="宋体" w:hAnsi="宋体"/>
                <w:szCs w:val="21"/>
              </w:rPr>
              <w:t>9</w:t>
            </w:r>
          </w:p>
        </w:tc>
        <w:tc>
          <w:tcPr>
            <w:tcW w:w="1025" w:type="dxa"/>
            <w:vAlign w:val="center"/>
          </w:tcPr>
          <w:p>
            <w:pPr>
              <w:widowControl/>
              <w:spacing w:line="440" w:lineRule="exact"/>
              <w:jc w:val="center"/>
              <w:rPr>
                <w:rFonts w:ascii="宋体" w:hAnsi="宋体"/>
                <w:szCs w:val="21"/>
              </w:rPr>
            </w:pPr>
            <w:r>
              <w:rPr>
                <w:rFonts w:ascii="宋体" w:hAnsi="宋体"/>
                <w:szCs w:val="21"/>
              </w:rPr>
              <w:t>称重</w:t>
            </w:r>
          </w:p>
          <w:p>
            <w:pPr>
              <w:widowControl/>
              <w:spacing w:line="440" w:lineRule="exact"/>
              <w:jc w:val="center"/>
              <w:rPr>
                <w:rFonts w:ascii="宋体" w:hAnsi="宋体"/>
                <w:szCs w:val="21"/>
              </w:rPr>
            </w:pPr>
            <w:r>
              <w:rPr>
                <w:rFonts w:ascii="宋体" w:hAnsi="宋体"/>
                <w:szCs w:val="21"/>
              </w:rPr>
              <w:t>显示器</w:t>
            </w:r>
          </w:p>
        </w:tc>
        <w:tc>
          <w:tcPr>
            <w:tcW w:w="1712" w:type="dxa"/>
            <w:vAlign w:val="center"/>
          </w:tcPr>
          <w:p>
            <w:pPr>
              <w:widowControl/>
              <w:spacing w:line="440" w:lineRule="exact"/>
              <w:jc w:val="center"/>
              <w:rPr>
                <w:rFonts w:ascii="宋体" w:hAnsi="宋体"/>
                <w:szCs w:val="21"/>
              </w:rPr>
            </w:pPr>
            <w:r>
              <w:rPr>
                <w:rFonts w:ascii="宋体" w:hAnsi="宋体"/>
                <w:szCs w:val="21"/>
              </w:rPr>
              <w:t>称重显示器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8</w:t>
            </w:r>
          </w:p>
        </w:tc>
        <w:tc>
          <w:tcPr>
            <w:tcW w:w="790" w:type="dxa"/>
            <w:vAlign w:val="center"/>
          </w:tcPr>
          <w:p>
            <w:pPr>
              <w:widowControl/>
              <w:spacing w:line="440" w:lineRule="exact"/>
              <w:jc w:val="center"/>
              <w:rPr>
                <w:rFonts w:ascii="宋体" w:hAnsi="宋体"/>
                <w:szCs w:val="21"/>
              </w:rPr>
            </w:pPr>
            <w:r>
              <w:rPr>
                <w:rFonts w:ascii="宋体" w:hAnsi="宋体"/>
                <w:szCs w:val="21"/>
              </w:rPr>
              <w:t>10</w:t>
            </w:r>
          </w:p>
        </w:tc>
        <w:tc>
          <w:tcPr>
            <w:tcW w:w="1025" w:type="dxa"/>
            <w:vAlign w:val="center"/>
          </w:tcPr>
          <w:p>
            <w:pPr>
              <w:widowControl/>
              <w:spacing w:line="440" w:lineRule="exact"/>
              <w:jc w:val="center"/>
              <w:rPr>
                <w:rFonts w:ascii="宋体" w:hAnsi="宋体"/>
                <w:szCs w:val="21"/>
              </w:rPr>
            </w:pPr>
            <w:r>
              <w:rPr>
                <w:rFonts w:ascii="宋体" w:hAnsi="宋体"/>
                <w:szCs w:val="21"/>
              </w:rPr>
              <w:t>加油机</w:t>
            </w:r>
          </w:p>
        </w:tc>
        <w:tc>
          <w:tcPr>
            <w:tcW w:w="1712" w:type="dxa"/>
            <w:vAlign w:val="center"/>
          </w:tcPr>
          <w:p>
            <w:pPr>
              <w:widowControl/>
              <w:spacing w:line="440" w:lineRule="exact"/>
              <w:jc w:val="center"/>
              <w:rPr>
                <w:rFonts w:ascii="宋体" w:hAnsi="宋体"/>
                <w:szCs w:val="21"/>
              </w:rPr>
            </w:pPr>
            <w:r>
              <w:rPr>
                <w:rFonts w:ascii="宋体" w:hAnsi="宋体"/>
                <w:szCs w:val="21"/>
              </w:rPr>
              <w:t>燃油加油机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用于贸易结算：成品油流量的测量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9</w:t>
            </w:r>
          </w:p>
        </w:tc>
        <w:tc>
          <w:tcPr>
            <w:tcW w:w="790" w:type="dxa"/>
            <w:vAlign w:val="center"/>
          </w:tcPr>
          <w:p>
            <w:pPr>
              <w:widowControl/>
              <w:spacing w:line="440" w:lineRule="exact"/>
              <w:jc w:val="center"/>
              <w:rPr>
                <w:rFonts w:ascii="宋体" w:hAnsi="宋体"/>
                <w:szCs w:val="21"/>
              </w:rPr>
            </w:pPr>
            <w:r>
              <w:rPr>
                <w:rFonts w:ascii="宋体" w:hAnsi="宋体"/>
                <w:szCs w:val="21"/>
              </w:rPr>
              <w:t>11</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加气机</w:t>
            </w:r>
          </w:p>
        </w:tc>
        <w:tc>
          <w:tcPr>
            <w:tcW w:w="1712" w:type="dxa"/>
            <w:vAlign w:val="center"/>
          </w:tcPr>
          <w:p>
            <w:pPr>
              <w:widowControl/>
              <w:spacing w:line="440" w:lineRule="exact"/>
              <w:jc w:val="center"/>
              <w:rPr>
                <w:rFonts w:ascii="宋体" w:hAnsi="宋体"/>
                <w:szCs w:val="21"/>
              </w:rPr>
            </w:pPr>
            <w:r>
              <w:rPr>
                <w:rFonts w:ascii="宋体" w:hAnsi="宋体"/>
                <w:szCs w:val="21"/>
              </w:rPr>
              <w:t>液化石油气加气机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用于贸易结算：石油气流量的测量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12</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压缩天然气加气机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用于贸易结算：天然气流量的测量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13</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液化天然气加气机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用于贸易结算：天然气流量的测量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10</w:t>
            </w:r>
          </w:p>
        </w:tc>
        <w:tc>
          <w:tcPr>
            <w:tcW w:w="790" w:type="dxa"/>
            <w:vAlign w:val="center"/>
          </w:tcPr>
          <w:p>
            <w:pPr>
              <w:widowControl/>
              <w:spacing w:line="440" w:lineRule="exact"/>
              <w:jc w:val="center"/>
              <w:rPr>
                <w:rFonts w:ascii="宋体" w:hAnsi="宋体"/>
                <w:szCs w:val="21"/>
              </w:rPr>
            </w:pPr>
            <w:r>
              <w:rPr>
                <w:rFonts w:ascii="宋体" w:hAnsi="宋体"/>
                <w:szCs w:val="21"/>
              </w:rPr>
              <w:t>14</w:t>
            </w:r>
          </w:p>
        </w:tc>
        <w:tc>
          <w:tcPr>
            <w:tcW w:w="1025" w:type="dxa"/>
            <w:vAlign w:val="center"/>
          </w:tcPr>
          <w:p>
            <w:pPr>
              <w:widowControl/>
              <w:spacing w:line="440" w:lineRule="exact"/>
              <w:jc w:val="center"/>
              <w:rPr>
                <w:rFonts w:ascii="宋体" w:hAnsi="宋体"/>
                <w:szCs w:val="21"/>
              </w:rPr>
            </w:pPr>
            <w:r>
              <w:rPr>
                <w:rFonts w:ascii="宋体" w:hAnsi="宋体"/>
                <w:szCs w:val="21"/>
              </w:rPr>
              <w:t>水表</w:t>
            </w:r>
          </w:p>
        </w:tc>
        <w:tc>
          <w:tcPr>
            <w:tcW w:w="1712" w:type="dxa"/>
            <w:vAlign w:val="center"/>
          </w:tcPr>
          <w:p>
            <w:pPr>
              <w:widowControl/>
              <w:spacing w:line="440" w:lineRule="exact"/>
              <w:jc w:val="center"/>
              <w:rPr>
                <w:rFonts w:ascii="宋体" w:hAnsi="宋体"/>
                <w:szCs w:val="21"/>
              </w:rPr>
            </w:pPr>
            <w:r>
              <w:rPr>
                <w:rFonts w:ascii="宋体" w:hAnsi="宋体"/>
                <w:szCs w:val="21"/>
              </w:rPr>
              <w:t>水表DN15～DN50</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left"/>
              <w:rPr>
                <w:rFonts w:ascii="宋体" w:hAnsi="宋体"/>
                <w:spacing w:val="-10"/>
                <w:szCs w:val="21"/>
              </w:rPr>
            </w:pPr>
            <w:r>
              <w:rPr>
                <w:rFonts w:hint="eastAsia" w:ascii="宋体" w:hAnsi="宋体"/>
                <w:spacing w:val="-10"/>
                <w:szCs w:val="21"/>
              </w:rPr>
              <w:t xml:space="preserve"> 工业用：周期检定           生活用：首次强制检定，限期使用，到期轮换</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用于贸易结算：用水量的测量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11</w:t>
            </w:r>
          </w:p>
        </w:tc>
        <w:tc>
          <w:tcPr>
            <w:tcW w:w="790" w:type="dxa"/>
            <w:vAlign w:val="center"/>
          </w:tcPr>
          <w:p>
            <w:pPr>
              <w:widowControl/>
              <w:spacing w:line="440" w:lineRule="exact"/>
              <w:jc w:val="center"/>
              <w:rPr>
                <w:rFonts w:ascii="宋体" w:hAnsi="宋体"/>
                <w:szCs w:val="21"/>
              </w:rPr>
            </w:pPr>
            <w:r>
              <w:rPr>
                <w:rFonts w:ascii="宋体" w:hAnsi="宋体"/>
                <w:szCs w:val="21"/>
              </w:rPr>
              <w:t>15</w:t>
            </w:r>
          </w:p>
        </w:tc>
        <w:tc>
          <w:tcPr>
            <w:tcW w:w="1025" w:type="dxa"/>
            <w:vAlign w:val="center"/>
          </w:tcPr>
          <w:p>
            <w:pPr>
              <w:widowControl/>
              <w:spacing w:line="440" w:lineRule="exact"/>
              <w:jc w:val="center"/>
              <w:rPr>
                <w:rFonts w:ascii="宋体" w:hAnsi="宋体"/>
                <w:szCs w:val="21"/>
              </w:rPr>
            </w:pPr>
            <w:r>
              <w:rPr>
                <w:rFonts w:ascii="宋体" w:hAnsi="宋体"/>
                <w:szCs w:val="21"/>
              </w:rPr>
              <w:t>燃气表</w:t>
            </w:r>
          </w:p>
        </w:tc>
        <w:tc>
          <w:tcPr>
            <w:tcW w:w="1712" w:type="dxa"/>
            <w:vAlign w:val="center"/>
          </w:tcPr>
          <w:p>
            <w:pPr>
              <w:widowControl/>
              <w:spacing w:line="440" w:lineRule="exact"/>
              <w:jc w:val="center"/>
              <w:rPr>
                <w:rFonts w:ascii="宋体" w:hAnsi="宋体"/>
                <w:szCs w:val="21"/>
              </w:rPr>
            </w:pPr>
            <w:r>
              <w:rPr>
                <w:rFonts w:ascii="宋体" w:hAnsi="宋体"/>
                <w:szCs w:val="21"/>
              </w:rPr>
              <w:t>燃气表G1.6～G16</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left"/>
              <w:rPr>
                <w:rFonts w:ascii="宋体" w:hAnsi="宋体"/>
                <w:spacing w:val="-10"/>
                <w:szCs w:val="21"/>
              </w:rPr>
            </w:pPr>
            <w:r>
              <w:rPr>
                <w:rFonts w:hint="eastAsia" w:ascii="宋体" w:hAnsi="宋体"/>
                <w:spacing w:val="-10"/>
                <w:szCs w:val="21"/>
              </w:rPr>
              <w:t xml:space="preserve"> 工业用：周期检定           生活用：首次强制检定，限期使用，到期轮换</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用于贸易结算：煤气（天然气）用量的测量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12</w:t>
            </w:r>
          </w:p>
        </w:tc>
        <w:tc>
          <w:tcPr>
            <w:tcW w:w="790" w:type="dxa"/>
            <w:vAlign w:val="center"/>
          </w:tcPr>
          <w:p>
            <w:pPr>
              <w:widowControl/>
              <w:spacing w:line="440" w:lineRule="exact"/>
              <w:jc w:val="center"/>
              <w:rPr>
                <w:rFonts w:ascii="宋体" w:hAnsi="宋体"/>
                <w:szCs w:val="21"/>
              </w:rPr>
            </w:pPr>
            <w:r>
              <w:rPr>
                <w:rFonts w:ascii="宋体" w:hAnsi="宋体"/>
                <w:szCs w:val="21"/>
              </w:rPr>
              <w:t>16</w:t>
            </w:r>
          </w:p>
        </w:tc>
        <w:tc>
          <w:tcPr>
            <w:tcW w:w="1025" w:type="dxa"/>
            <w:vAlign w:val="center"/>
          </w:tcPr>
          <w:p>
            <w:pPr>
              <w:widowControl/>
              <w:spacing w:line="440" w:lineRule="exact"/>
              <w:jc w:val="center"/>
              <w:rPr>
                <w:rFonts w:ascii="宋体" w:hAnsi="宋体"/>
                <w:szCs w:val="21"/>
              </w:rPr>
            </w:pPr>
            <w:r>
              <w:rPr>
                <w:rFonts w:ascii="宋体" w:hAnsi="宋体"/>
                <w:szCs w:val="21"/>
              </w:rPr>
              <w:t>热能表</w:t>
            </w:r>
          </w:p>
        </w:tc>
        <w:tc>
          <w:tcPr>
            <w:tcW w:w="1712" w:type="dxa"/>
            <w:vAlign w:val="center"/>
          </w:tcPr>
          <w:p>
            <w:pPr>
              <w:widowControl/>
              <w:spacing w:line="440" w:lineRule="exact"/>
              <w:jc w:val="center"/>
              <w:rPr>
                <w:rFonts w:ascii="宋体" w:hAnsi="宋体"/>
                <w:szCs w:val="21"/>
              </w:rPr>
            </w:pPr>
            <w:r>
              <w:rPr>
                <w:rFonts w:ascii="宋体" w:hAnsi="宋体"/>
                <w:szCs w:val="21"/>
              </w:rPr>
              <w:t>热能表DN15～DN50</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用于贸易结算：用热量的测量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13</w:t>
            </w:r>
          </w:p>
        </w:tc>
        <w:tc>
          <w:tcPr>
            <w:tcW w:w="790" w:type="dxa"/>
            <w:vAlign w:val="center"/>
          </w:tcPr>
          <w:p>
            <w:pPr>
              <w:widowControl/>
              <w:spacing w:line="440" w:lineRule="exact"/>
              <w:jc w:val="center"/>
              <w:rPr>
                <w:rFonts w:ascii="宋体" w:hAnsi="宋体"/>
                <w:szCs w:val="21"/>
              </w:rPr>
            </w:pPr>
            <w:r>
              <w:rPr>
                <w:rFonts w:ascii="宋体" w:hAnsi="宋体"/>
                <w:szCs w:val="21"/>
              </w:rPr>
              <w:t>17</w:t>
            </w:r>
          </w:p>
        </w:tc>
        <w:tc>
          <w:tcPr>
            <w:tcW w:w="1025" w:type="dxa"/>
            <w:vAlign w:val="center"/>
          </w:tcPr>
          <w:p>
            <w:pPr>
              <w:widowControl/>
              <w:spacing w:line="440" w:lineRule="exact"/>
              <w:jc w:val="center"/>
              <w:rPr>
                <w:rFonts w:ascii="宋体" w:hAnsi="宋体"/>
                <w:szCs w:val="21"/>
              </w:rPr>
            </w:pPr>
            <w:r>
              <w:rPr>
                <w:rFonts w:ascii="宋体" w:hAnsi="宋体"/>
                <w:szCs w:val="21"/>
              </w:rPr>
              <w:t>流量计</w:t>
            </w:r>
          </w:p>
        </w:tc>
        <w:tc>
          <w:tcPr>
            <w:tcW w:w="1712" w:type="dxa"/>
            <w:vAlign w:val="center"/>
          </w:tcPr>
          <w:p>
            <w:pPr>
              <w:widowControl/>
              <w:spacing w:line="440" w:lineRule="exact"/>
              <w:jc w:val="center"/>
              <w:rPr>
                <w:rFonts w:ascii="宋体" w:hAnsi="宋体"/>
                <w:szCs w:val="21"/>
              </w:rPr>
            </w:pPr>
            <w:r>
              <w:rPr>
                <w:rFonts w:ascii="宋体" w:hAnsi="宋体"/>
                <w:szCs w:val="21"/>
              </w:rPr>
              <w:t>流量计（口径范围DN300及以下）</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用于贸易结算：液体、气体、蒸汽流量的测量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14</w:t>
            </w:r>
          </w:p>
        </w:tc>
        <w:tc>
          <w:tcPr>
            <w:tcW w:w="790" w:type="dxa"/>
            <w:vAlign w:val="center"/>
          </w:tcPr>
          <w:p>
            <w:pPr>
              <w:widowControl/>
              <w:spacing w:line="440" w:lineRule="exact"/>
              <w:jc w:val="center"/>
              <w:rPr>
                <w:rFonts w:ascii="宋体" w:hAnsi="宋体"/>
                <w:szCs w:val="21"/>
              </w:rPr>
            </w:pPr>
            <w:r>
              <w:rPr>
                <w:rFonts w:ascii="宋体" w:hAnsi="宋体"/>
                <w:szCs w:val="21"/>
              </w:rPr>
              <w:t>18</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血压计（表）</w:t>
            </w:r>
          </w:p>
        </w:tc>
        <w:tc>
          <w:tcPr>
            <w:tcW w:w="1712" w:type="dxa"/>
            <w:vAlign w:val="center"/>
          </w:tcPr>
          <w:p>
            <w:pPr>
              <w:widowControl/>
              <w:spacing w:line="440" w:lineRule="exact"/>
              <w:jc w:val="center"/>
              <w:rPr>
                <w:rFonts w:ascii="宋体" w:hAnsi="宋体"/>
                <w:szCs w:val="21"/>
              </w:rPr>
            </w:pPr>
            <w:r>
              <w:rPr>
                <w:rFonts w:ascii="宋体" w:hAnsi="宋体"/>
                <w:szCs w:val="21"/>
              </w:rPr>
              <w:t>无创自动测量血压计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用于医疗卫生：医疗机构对人体血压的测量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19</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无创非自动测量血压计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用于医疗卫生：医疗机构对人体血压的测量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15</w:t>
            </w:r>
          </w:p>
        </w:tc>
        <w:tc>
          <w:tcPr>
            <w:tcW w:w="790" w:type="dxa"/>
            <w:vAlign w:val="center"/>
          </w:tcPr>
          <w:p>
            <w:pPr>
              <w:widowControl/>
              <w:spacing w:line="440" w:lineRule="exact"/>
              <w:jc w:val="center"/>
              <w:rPr>
                <w:rFonts w:ascii="宋体" w:hAnsi="宋体"/>
                <w:szCs w:val="21"/>
              </w:rPr>
            </w:pPr>
            <w:r>
              <w:rPr>
                <w:rFonts w:ascii="宋体" w:hAnsi="宋体"/>
                <w:szCs w:val="21"/>
              </w:rPr>
              <w:t>20</w:t>
            </w:r>
          </w:p>
        </w:tc>
        <w:tc>
          <w:tcPr>
            <w:tcW w:w="1025" w:type="dxa"/>
            <w:vAlign w:val="center"/>
          </w:tcPr>
          <w:p>
            <w:pPr>
              <w:widowControl/>
              <w:spacing w:line="440" w:lineRule="exact"/>
              <w:jc w:val="center"/>
              <w:rPr>
                <w:rFonts w:ascii="宋体" w:hAnsi="宋体"/>
                <w:szCs w:val="21"/>
              </w:rPr>
            </w:pPr>
            <w:r>
              <w:rPr>
                <w:rFonts w:ascii="宋体" w:hAnsi="宋体"/>
                <w:szCs w:val="21"/>
              </w:rPr>
              <w:t>眼压计</w:t>
            </w:r>
          </w:p>
        </w:tc>
        <w:tc>
          <w:tcPr>
            <w:tcW w:w="1712" w:type="dxa"/>
            <w:vAlign w:val="center"/>
          </w:tcPr>
          <w:p>
            <w:pPr>
              <w:widowControl/>
              <w:spacing w:line="440" w:lineRule="exact"/>
              <w:jc w:val="center"/>
              <w:rPr>
                <w:rFonts w:ascii="宋体" w:hAnsi="宋体"/>
                <w:szCs w:val="21"/>
              </w:rPr>
            </w:pPr>
            <w:r>
              <w:rPr>
                <w:rFonts w:ascii="宋体" w:hAnsi="宋体"/>
                <w:szCs w:val="21"/>
              </w:rPr>
              <w:t>眼压计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用于医疗卫生：医疗机构对人体眼压的测量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16</w:t>
            </w:r>
          </w:p>
        </w:tc>
        <w:tc>
          <w:tcPr>
            <w:tcW w:w="790" w:type="dxa"/>
            <w:vAlign w:val="center"/>
          </w:tcPr>
          <w:p>
            <w:pPr>
              <w:widowControl/>
              <w:spacing w:line="440" w:lineRule="exact"/>
              <w:jc w:val="center"/>
              <w:rPr>
                <w:rFonts w:ascii="宋体" w:hAnsi="宋体"/>
                <w:szCs w:val="21"/>
              </w:rPr>
            </w:pPr>
            <w:r>
              <w:rPr>
                <w:rFonts w:ascii="宋体" w:hAnsi="宋体"/>
                <w:szCs w:val="21"/>
              </w:rPr>
              <w:t>21</w:t>
            </w:r>
          </w:p>
        </w:tc>
        <w:tc>
          <w:tcPr>
            <w:tcW w:w="1025" w:type="dxa"/>
            <w:vAlign w:val="center"/>
          </w:tcPr>
          <w:p>
            <w:pPr>
              <w:widowControl/>
              <w:spacing w:line="440" w:lineRule="exact"/>
              <w:jc w:val="center"/>
              <w:rPr>
                <w:rFonts w:ascii="宋体" w:hAnsi="宋体"/>
                <w:szCs w:val="21"/>
              </w:rPr>
            </w:pPr>
            <w:r>
              <w:rPr>
                <w:rFonts w:ascii="宋体" w:hAnsi="宋体"/>
                <w:szCs w:val="21"/>
              </w:rPr>
              <w:t>压力仪表</w:t>
            </w:r>
          </w:p>
        </w:tc>
        <w:tc>
          <w:tcPr>
            <w:tcW w:w="1712" w:type="dxa"/>
            <w:vAlign w:val="center"/>
          </w:tcPr>
          <w:p>
            <w:pPr>
              <w:widowControl/>
              <w:spacing w:line="440" w:lineRule="exact"/>
              <w:jc w:val="center"/>
              <w:rPr>
                <w:rFonts w:ascii="宋体" w:hAnsi="宋体"/>
                <w:szCs w:val="21"/>
              </w:rPr>
            </w:pPr>
            <w:r>
              <w:rPr>
                <w:rFonts w:ascii="宋体" w:hAnsi="宋体"/>
                <w:szCs w:val="21"/>
              </w:rPr>
              <w:t>指示类压力表、显示类压力表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安全防护：1.电站锅炉主气包和给水压力的测量；2.固定式空压机风仓及总管压力的测量；3.发电机、气轮机油压及机车压力的测量；4.带报警装置压力的测量；5.密封增压容器压力的测量；6.有害、有毒、腐蚀性严重介质压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17</w:t>
            </w:r>
          </w:p>
        </w:tc>
        <w:tc>
          <w:tcPr>
            <w:tcW w:w="790" w:type="dxa"/>
            <w:vAlign w:val="center"/>
          </w:tcPr>
          <w:p>
            <w:pPr>
              <w:widowControl/>
              <w:spacing w:line="440" w:lineRule="exact"/>
              <w:jc w:val="center"/>
              <w:rPr>
                <w:rFonts w:ascii="宋体" w:hAnsi="宋体"/>
                <w:szCs w:val="21"/>
              </w:rPr>
            </w:pPr>
            <w:r>
              <w:rPr>
                <w:rFonts w:hint="eastAsia" w:ascii="宋体" w:hAnsi="宋体"/>
                <w:szCs w:val="21"/>
              </w:rPr>
              <w:t>22</w:t>
            </w:r>
          </w:p>
        </w:tc>
        <w:tc>
          <w:tcPr>
            <w:tcW w:w="1025" w:type="dxa"/>
            <w:vAlign w:val="center"/>
          </w:tcPr>
          <w:p>
            <w:pPr>
              <w:widowControl/>
              <w:spacing w:line="440" w:lineRule="exact"/>
              <w:jc w:val="center"/>
              <w:rPr>
                <w:rFonts w:ascii="宋体" w:hAnsi="宋体"/>
                <w:szCs w:val="21"/>
              </w:rPr>
            </w:pPr>
            <w:r>
              <w:rPr>
                <w:rFonts w:ascii="宋体" w:hAnsi="宋体"/>
                <w:szCs w:val="21"/>
              </w:rPr>
              <w:t>机动车测速仪</w:t>
            </w:r>
          </w:p>
        </w:tc>
        <w:tc>
          <w:tcPr>
            <w:tcW w:w="1712" w:type="dxa"/>
            <w:vAlign w:val="center"/>
          </w:tcPr>
          <w:p>
            <w:pPr>
              <w:widowControl/>
              <w:spacing w:line="440" w:lineRule="exact"/>
              <w:jc w:val="center"/>
              <w:rPr>
                <w:rFonts w:ascii="宋体" w:hAnsi="宋体"/>
                <w:szCs w:val="21"/>
              </w:rPr>
            </w:pPr>
            <w:r>
              <w:rPr>
                <w:rFonts w:ascii="宋体" w:hAnsi="宋体"/>
                <w:szCs w:val="21"/>
              </w:rPr>
              <w:t>机动车测速仪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用于安全防护：机动车行驶速度的监测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18</w:t>
            </w:r>
          </w:p>
        </w:tc>
        <w:tc>
          <w:tcPr>
            <w:tcW w:w="790" w:type="dxa"/>
            <w:vAlign w:val="center"/>
          </w:tcPr>
          <w:p>
            <w:pPr>
              <w:widowControl/>
              <w:spacing w:line="440" w:lineRule="exact"/>
              <w:jc w:val="center"/>
              <w:rPr>
                <w:rFonts w:ascii="宋体" w:hAnsi="宋体"/>
                <w:szCs w:val="21"/>
              </w:rPr>
            </w:pPr>
            <w:r>
              <w:rPr>
                <w:rFonts w:ascii="宋体" w:hAnsi="宋体"/>
                <w:szCs w:val="21"/>
              </w:rPr>
              <w:t>23</w:t>
            </w:r>
          </w:p>
        </w:tc>
        <w:tc>
          <w:tcPr>
            <w:tcW w:w="1025" w:type="dxa"/>
            <w:vAlign w:val="center"/>
          </w:tcPr>
          <w:p>
            <w:pPr>
              <w:widowControl/>
              <w:spacing w:line="440" w:lineRule="exact"/>
              <w:jc w:val="center"/>
              <w:rPr>
                <w:rFonts w:ascii="宋体" w:hAnsi="宋体"/>
                <w:szCs w:val="21"/>
              </w:rPr>
            </w:pPr>
            <w:r>
              <w:rPr>
                <w:rFonts w:ascii="宋体" w:hAnsi="宋体"/>
                <w:szCs w:val="21"/>
              </w:rPr>
              <w:t>出租汽车</w:t>
            </w:r>
          </w:p>
          <w:p>
            <w:pPr>
              <w:widowControl/>
              <w:spacing w:line="440" w:lineRule="exact"/>
              <w:jc w:val="center"/>
              <w:rPr>
                <w:rFonts w:ascii="宋体" w:hAnsi="宋体"/>
                <w:szCs w:val="21"/>
              </w:rPr>
            </w:pPr>
            <w:r>
              <w:rPr>
                <w:rFonts w:ascii="宋体" w:hAnsi="宋体"/>
                <w:szCs w:val="21"/>
              </w:rPr>
              <w:t>计价器</w:t>
            </w:r>
          </w:p>
        </w:tc>
        <w:tc>
          <w:tcPr>
            <w:tcW w:w="1712" w:type="dxa"/>
            <w:vAlign w:val="center"/>
          </w:tcPr>
          <w:p>
            <w:pPr>
              <w:widowControl/>
              <w:spacing w:line="440" w:lineRule="exact"/>
              <w:jc w:val="center"/>
              <w:rPr>
                <w:rFonts w:ascii="宋体" w:hAnsi="宋体"/>
                <w:szCs w:val="21"/>
              </w:rPr>
            </w:pPr>
            <w:r>
              <w:rPr>
                <w:rFonts w:ascii="宋体" w:hAnsi="宋体"/>
                <w:szCs w:val="21"/>
              </w:rPr>
              <w:t>出租汽车计价器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用于贸易结算：出租汽车计时计里程的测量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19</w:t>
            </w:r>
          </w:p>
        </w:tc>
        <w:tc>
          <w:tcPr>
            <w:tcW w:w="790" w:type="dxa"/>
            <w:vAlign w:val="center"/>
          </w:tcPr>
          <w:p>
            <w:pPr>
              <w:widowControl/>
              <w:spacing w:line="440" w:lineRule="exact"/>
              <w:jc w:val="center"/>
              <w:rPr>
                <w:rFonts w:ascii="宋体" w:hAnsi="宋体"/>
                <w:szCs w:val="21"/>
              </w:rPr>
            </w:pPr>
            <w:r>
              <w:rPr>
                <w:rFonts w:ascii="宋体" w:hAnsi="宋体"/>
                <w:szCs w:val="21"/>
              </w:rPr>
              <w:t>24</w:t>
            </w:r>
          </w:p>
        </w:tc>
        <w:tc>
          <w:tcPr>
            <w:tcW w:w="1025" w:type="dxa"/>
            <w:vAlign w:val="center"/>
          </w:tcPr>
          <w:p>
            <w:pPr>
              <w:widowControl/>
              <w:spacing w:line="440" w:lineRule="exact"/>
              <w:jc w:val="center"/>
              <w:rPr>
                <w:rFonts w:ascii="宋体" w:hAnsi="宋体"/>
                <w:szCs w:val="21"/>
              </w:rPr>
            </w:pPr>
            <w:r>
              <w:rPr>
                <w:rFonts w:ascii="宋体" w:hAnsi="宋体"/>
                <w:szCs w:val="21"/>
              </w:rPr>
              <w:t>电能表</w:t>
            </w:r>
          </w:p>
        </w:tc>
        <w:tc>
          <w:tcPr>
            <w:tcW w:w="1712" w:type="dxa"/>
            <w:vAlign w:val="center"/>
          </w:tcPr>
          <w:p>
            <w:pPr>
              <w:widowControl/>
              <w:spacing w:line="440" w:lineRule="exact"/>
              <w:jc w:val="center"/>
              <w:rPr>
                <w:rFonts w:ascii="宋体" w:hAnsi="宋体"/>
                <w:szCs w:val="21"/>
              </w:rPr>
            </w:pPr>
            <w:r>
              <w:rPr>
                <w:rFonts w:ascii="宋体" w:hAnsi="宋体"/>
                <w:szCs w:val="21"/>
              </w:rPr>
              <w:t>电能表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left"/>
              <w:rPr>
                <w:rFonts w:ascii="宋体" w:hAnsi="宋体"/>
                <w:spacing w:val="-10"/>
                <w:szCs w:val="21"/>
              </w:rPr>
            </w:pPr>
            <w:r>
              <w:rPr>
                <w:rFonts w:hint="eastAsia" w:ascii="宋体" w:hAnsi="宋体"/>
                <w:spacing w:val="-10"/>
                <w:szCs w:val="21"/>
              </w:rPr>
              <w:t>工业用：周期检定            生活用：首次强制检定，限期使用，到期轮换或根据表计状态延期</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用于贸易结算：用电量的测量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20</w:t>
            </w:r>
          </w:p>
        </w:tc>
        <w:tc>
          <w:tcPr>
            <w:tcW w:w="790" w:type="dxa"/>
            <w:vAlign w:val="center"/>
          </w:tcPr>
          <w:p>
            <w:pPr>
              <w:widowControl/>
              <w:spacing w:line="440" w:lineRule="exact"/>
              <w:jc w:val="center"/>
              <w:rPr>
                <w:rFonts w:ascii="宋体" w:hAnsi="宋体"/>
                <w:szCs w:val="21"/>
              </w:rPr>
            </w:pPr>
            <w:r>
              <w:rPr>
                <w:rFonts w:ascii="宋体" w:hAnsi="宋体"/>
                <w:szCs w:val="21"/>
              </w:rPr>
              <w:t>25</w:t>
            </w:r>
          </w:p>
        </w:tc>
        <w:tc>
          <w:tcPr>
            <w:tcW w:w="1025" w:type="dxa"/>
            <w:vAlign w:val="center"/>
          </w:tcPr>
          <w:p>
            <w:pPr>
              <w:widowControl/>
              <w:spacing w:line="440" w:lineRule="exact"/>
              <w:jc w:val="center"/>
              <w:rPr>
                <w:rFonts w:ascii="宋体" w:hAnsi="宋体"/>
                <w:szCs w:val="21"/>
              </w:rPr>
            </w:pPr>
            <w:r>
              <w:rPr>
                <w:rFonts w:ascii="宋体" w:hAnsi="宋体"/>
                <w:szCs w:val="21"/>
              </w:rPr>
              <w:t>声级计</w:t>
            </w:r>
          </w:p>
        </w:tc>
        <w:tc>
          <w:tcPr>
            <w:tcW w:w="1712" w:type="dxa"/>
            <w:vAlign w:val="center"/>
          </w:tcPr>
          <w:p>
            <w:pPr>
              <w:widowControl/>
              <w:spacing w:line="440" w:lineRule="exact"/>
              <w:jc w:val="center"/>
              <w:rPr>
                <w:rFonts w:ascii="宋体" w:hAnsi="宋体"/>
                <w:szCs w:val="21"/>
              </w:rPr>
            </w:pPr>
            <w:r>
              <w:rPr>
                <w:rFonts w:ascii="宋体" w:hAnsi="宋体"/>
                <w:szCs w:val="21"/>
              </w:rPr>
              <w:t>声级计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用于环境监测：噪声的测量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21</w:t>
            </w:r>
          </w:p>
        </w:tc>
        <w:tc>
          <w:tcPr>
            <w:tcW w:w="790" w:type="dxa"/>
            <w:vAlign w:val="center"/>
          </w:tcPr>
          <w:p>
            <w:pPr>
              <w:widowControl/>
              <w:spacing w:line="440" w:lineRule="exact"/>
              <w:jc w:val="center"/>
              <w:rPr>
                <w:rFonts w:ascii="宋体" w:hAnsi="宋体"/>
                <w:szCs w:val="21"/>
              </w:rPr>
            </w:pPr>
            <w:r>
              <w:rPr>
                <w:rFonts w:ascii="宋体" w:hAnsi="宋体"/>
                <w:szCs w:val="21"/>
              </w:rPr>
              <w:t>26</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听力计</w:t>
            </w:r>
          </w:p>
        </w:tc>
        <w:tc>
          <w:tcPr>
            <w:tcW w:w="1712" w:type="dxa"/>
            <w:vAlign w:val="center"/>
          </w:tcPr>
          <w:p>
            <w:pPr>
              <w:widowControl/>
              <w:spacing w:line="440" w:lineRule="exact"/>
              <w:jc w:val="center"/>
              <w:rPr>
                <w:rFonts w:ascii="宋体" w:hAnsi="宋体"/>
                <w:szCs w:val="21"/>
              </w:rPr>
            </w:pPr>
            <w:r>
              <w:rPr>
                <w:rFonts w:ascii="宋体" w:hAnsi="宋体"/>
                <w:szCs w:val="21"/>
              </w:rPr>
              <w:t>纯音听力计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用于医疗卫生：医疗机构对人体听力的测量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27</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阻抗听力计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用于医疗卫生：医疗机构对人体听力的测量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22</w:t>
            </w:r>
          </w:p>
        </w:tc>
        <w:tc>
          <w:tcPr>
            <w:tcW w:w="790" w:type="dxa"/>
            <w:vAlign w:val="center"/>
          </w:tcPr>
          <w:p>
            <w:pPr>
              <w:widowControl/>
              <w:spacing w:line="440" w:lineRule="exact"/>
              <w:jc w:val="center"/>
              <w:rPr>
                <w:rFonts w:ascii="宋体" w:hAnsi="宋体"/>
                <w:szCs w:val="21"/>
              </w:rPr>
            </w:pPr>
            <w:r>
              <w:rPr>
                <w:rFonts w:ascii="宋体" w:hAnsi="宋体"/>
                <w:szCs w:val="21"/>
              </w:rPr>
              <w:t>28</w:t>
            </w:r>
          </w:p>
        </w:tc>
        <w:tc>
          <w:tcPr>
            <w:tcW w:w="1025" w:type="dxa"/>
            <w:vAlign w:val="center"/>
          </w:tcPr>
          <w:p>
            <w:pPr>
              <w:widowControl/>
              <w:spacing w:line="440" w:lineRule="exact"/>
              <w:jc w:val="center"/>
              <w:rPr>
                <w:rFonts w:ascii="宋体" w:hAnsi="宋体"/>
                <w:szCs w:val="21"/>
              </w:rPr>
            </w:pPr>
            <w:r>
              <w:rPr>
                <w:rFonts w:ascii="宋体" w:hAnsi="宋体"/>
                <w:szCs w:val="21"/>
              </w:rPr>
              <w:t>焦度计</w:t>
            </w:r>
          </w:p>
        </w:tc>
        <w:tc>
          <w:tcPr>
            <w:tcW w:w="1712" w:type="dxa"/>
            <w:vAlign w:val="center"/>
          </w:tcPr>
          <w:p>
            <w:pPr>
              <w:widowControl/>
              <w:spacing w:line="440" w:lineRule="exact"/>
              <w:jc w:val="center"/>
              <w:rPr>
                <w:rFonts w:ascii="宋体" w:hAnsi="宋体"/>
                <w:szCs w:val="21"/>
              </w:rPr>
            </w:pPr>
            <w:r>
              <w:rPr>
                <w:rFonts w:ascii="宋体" w:hAnsi="宋体"/>
                <w:szCs w:val="21"/>
              </w:rPr>
              <w:t>焦度计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用于医疗卫生：医疗机构、眼镜制配场所对眼镜镜片焦度的测量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23</w:t>
            </w:r>
          </w:p>
        </w:tc>
        <w:tc>
          <w:tcPr>
            <w:tcW w:w="790" w:type="dxa"/>
            <w:vAlign w:val="center"/>
          </w:tcPr>
          <w:p>
            <w:pPr>
              <w:widowControl/>
              <w:spacing w:line="440" w:lineRule="exact"/>
              <w:jc w:val="center"/>
              <w:rPr>
                <w:rFonts w:ascii="宋体" w:hAnsi="宋体"/>
                <w:szCs w:val="21"/>
              </w:rPr>
            </w:pPr>
            <w:r>
              <w:rPr>
                <w:rFonts w:ascii="宋体" w:hAnsi="宋体"/>
                <w:szCs w:val="21"/>
              </w:rPr>
              <w:t>29</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验光仪器</w:t>
            </w:r>
          </w:p>
        </w:tc>
        <w:tc>
          <w:tcPr>
            <w:tcW w:w="1712" w:type="dxa"/>
            <w:vAlign w:val="center"/>
          </w:tcPr>
          <w:p>
            <w:pPr>
              <w:widowControl/>
              <w:spacing w:line="440" w:lineRule="exact"/>
              <w:jc w:val="center"/>
              <w:rPr>
                <w:rFonts w:ascii="宋体" w:hAnsi="宋体"/>
                <w:szCs w:val="21"/>
              </w:rPr>
            </w:pPr>
            <w:r>
              <w:rPr>
                <w:rFonts w:ascii="宋体" w:hAnsi="宋体"/>
                <w:szCs w:val="21"/>
              </w:rPr>
              <w:t>验光仪、综合验光仪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tcPr>
          <w:p>
            <w:pPr>
              <w:jc w:val="left"/>
              <w:rPr>
                <w:rFonts w:ascii="宋体" w:hAnsi="宋体"/>
                <w:szCs w:val="21"/>
              </w:rPr>
            </w:pPr>
            <w:r>
              <w:rPr>
                <w:rFonts w:hint="eastAsia" w:ascii="宋体" w:hAnsi="宋体"/>
                <w:szCs w:val="21"/>
              </w:rPr>
              <w:t>用于医疗卫生：医疗机构、眼镜制配场所验光使用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30</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验光镜片箱</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tcPr>
          <w:p>
            <w:pPr>
              <w:jc w:val="left"/>
              <w:rPr>
                <w:rFonts w:ascii="宋体" w:hAnsi="宋体"/>
                <w:szCs w:val="21"/>
              </w:rPr>
            </w:pPr>
            <w:r>
              <w:rPr>
                <w:rFonts w:hint="eastAsia" w:ascii="宋体" w:hAnsi="宋体"/>
                <w:szCs w:val="21"/>
              </w:rPr>
              <w:t>用于医疗卫生：医疗机构、眼镜制配场所验光使用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31</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角膜曲率计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用于医疗卫生：医疗机构、眼镜制配场所测量角膜曲率使用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24</w:t>
            </w:r>
          </w:p>
        </w:tc>
        <w:tc>
          <w:tcPr>
            <w:tcW w:w="790" w:type="dxa"/>
            <w:vAlign w:val="center"/>
          </w:tcPr>
          <w:p>
            <w:pPr>
              <w:widowControl/>
              <w:spacing w:line="440" w:lineRule="exact"/>
              <w:jc w:val="center"/>
              <w:rPr>
                <w:rFonts w:ascii="宋体" w:hAnsi="宋体"/>
                <w:szCs w:val="21"/>
              </w:rPr>
            </w:pPr>
            <w:r>
              <w:rPr>
                <w:rFonts w:ascii="宋体" w:hAnsi="宋体"/>
                <w:szCs w:val="21"/>
              </w:rPr>
              <w:t>32</w:t>
            </w:r>
          </w:p>
        </w:tc>
        <w:tc>
          <w:tcPr>
            <w:tcW w:w="1025" w:type="dxa"/>
            <w:vAlign w:val="center"/>
          </w:tcPr>
          <w:p>
            <w:pPr>
              <w:widowControl/>
              <w:spacing w:line="440" w:lineRule="exact"/>
              <w:jc w:val="center"/>
              <w:rPr>
                <w:rFonts w:ascii="宋体" w:hAnsi="宋体"/>
                <w:szCs w:val="21"/>
              </w:rPr>
            </w:pPr>
            <w:r>
              <w:rPr>
                <w:rFonts w:ascii="宋体" w:hAnsi="宋体"/>
                <w:szCs w:val="21"/>
              </w:rPr>
              <w:t>糖量计</w:t>
            </w:r>
          </w:p>
        </w:tc>
        <w:tc>
          <w:tcPr>
            <w:tcW w:w="1712" w:type="dxa"/>
            <w:vAlign w:val="center"/>
          </w:tcPr>
          <w:p>
            <w:pPr>
              <w:widowControl/>
              <w:spacing w:line="440" w:lineRule="exact"/>
              <w:jc w:val="center"/>
              <w:rPr>
                <w:rFonts w:ascii="宋体" w:hAnsi="宋体"/>
                <w:szCs w:val="21"/>
              </w:rPr>
            </w:pPr>
            <w:r>
              <w:rPr>
                <w:rFonts w:ascii="宋体" w:hAnsi="宋体"/>
                <w:szCs w:val="21"/>
              </w:rPr>
              <w:t>糖量计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用于贸易结算：制糖原料含糖量的测量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25</w:t>
            </w:r>
          </w:p>
        </w:tc>
        <w:tc>
          <w:tcPr>
            <w:tcW w:w="790" w:type="dxa"/>
            <w:vAlign w:val="center"/>
          </w:tcPr>
          <w:p>
            <w:pPr>
              <w:widowControl/>
              <w:spacing w:line="440" w:lineRule="exact"/>
              <w:jc w:val="center"/>
              <w:rPr>
                <w:rFonts w:ascii="宋体" w:hAnsi="宋体"/>
                <w:szCs w:val="21"/>
              </w:rPr>
            </w:pPr>
            <w:r>
              <w:rPr>
                <w:rFonts w:ascii="宋体" w:hAnsi="宋体"/>
                <w:szCs w:val="21"/>
              </w:rPr>
              <w:t>33</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烟尘粉尘</w:t>
            </w:r>
          </w:p>
          <w:p>
            <w:pPr>
              <w:widowControl/>
              <w:spacing w:line="440" w:lineRule="exact"/>
              <w:jc w:val="center"/>
              <w:rPr>
                <w:rFonts w:ascii="宋体" w:hAnsi="宋体"/>
                <w:szCs w:val="21"/>
              </w:rPr>
            </w:pPr>
            <w:r>
              <w:rPr>
                <w:rFonts w:ascii="宋体" w:hAnsi="宋体"/>
                <w:szCs w:val="21"/>
              </w:rPr>
              <w:t>测量仪</w:t>
            </w:r>
          </w:p>
        </w:tc>
        <w:tc>
          <w:tcPr>
            <w:tcW w:w="1712" w:type="dxa"/>
            <w:vAlign w:val="center"/>
          </w:tcPr>
          <w:p>
            <w:pPr>
              <w:widowControl/>
              <w:spacing w:line="440" w:lineRule="exact"/>
              <w:jc w:val="center"/>
              <w:rPr>
                <w:rFonts w:ascii="宋体" w:hAnsi="宋体"/>
                <w:szCs w:val="21"/>
              </w:rPr>
            </w:pPr>
            <w:r>
              <w:rPr>
                <w:rFonts w:ascii="宋体" w:hAnsi="宋体"/>
                <w:szCs w:val="21"/>
              </w:rPr>
              <w:t>烟尘采样器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34</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粉尘采样器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35</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粉尘浓度测量仪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26</w:t>
            </w:r>
          </w:p>
        </w:tc>
        <w:tc>
          <w:tcPr>
            <w:tcW w:w="790" w:type="dxa"/>
            <w:vAlign w:val="center"/>
          </w:tcPr>
          <w:p>
            <w:pPr>
              <w:widowControl/>
              <w:spacing w:line="440" w:lineRule="exact"/>
              <w:jc w:val="center"/>
              <w:rPr>
                <w:rFonts w:ascii="宋体" w:hAnsi="宋体"/>
                <w:szCs w:val="21"/>
              </w:rPr>
            </w:pPr>
            <w:r>
              <w:rPr>
                <w:rFonts w:ascii="宋体" w:hAnsi="宋体"/>
                <w:szCs w:val="21"/>
              </w:rPr>
              <w:t>36</w:t>
            </w:r>
          </w:p>
        </w:tc>
        <w:tc>
          <w:tcPr>
            <w:tcW w:w="1025" w:type="dxa"/>
            <w:vAlign w:val="center"/>
          </w:tcPr>
          <w:p>
            <w:pPr>
              <w:widowControl/>
              <w:spacing w:line="440" w:lineRule="exact"/>
              <w:jc w:val="center"/>
              <w:rPr>
                <w:rFonts w:ascii="宋体" w:hAnsi="宋体"/>
                <w:szCs w:val="21"/>
              </w:rPr>
            </w:pPr>
            <w:r>
              <w:rPr>
                <w:rFonts w:ascii="宋体" w:hAnsi="宋体"/>
                <w:szCs w:val="21"/>
              </w:rPr>
              <w:t>颗粒物</w:t>
            </w:r>
          </w:p>
          <w:p>
            <w:pPr>
              <w:widowControl/>
              <w:spacing w:line="440" w:lineRule="exact"/>
              <w:jc w:val="center"/>
              <w:rPr>
                <w:rFonts w:ascii="宋体" w:hAnsi="宋体"/>
                <w:szCs w:val="21"/>
              </w:rPr>
            </w:pPr>
            <w:r>
              <w:rPr>
                <w:rFonts w:ascii="宋体" w:hAnsi="宋体"/>
                <w:szCs w:val="21"/>
              </w:rPr>
              <w:t>采样器</w:t>
            </w:r>
          </w:p>
        </w:tc>
        <w:tc>
          <w:tcPr>
            <w:tcW w:w="1712" w:type="dxa"/>
            <w:vAlign w:val="center"/>
          </w:tcPr>
          <w:p>
            <w:pPr>
              <w:widowControl/>
              <w:spacing w:line="440" w:lineRule="exact"/>
              <w:jc w:val="center"/>
              <w:rPr>
                <w:rFonts w:ascii="宋体" w:hAnsi="宋体"/>
                <w:szCs w:val="21"/>
              </w:rPr>
            </w:pPr>
            <w:r>
              <w:rPr>
                <w:rFonts w:ascii="宋体" w:hAnsi="宋体"/>
                <w:szCs w:val="21"/>
              </w:rPr>
              <w:t>颗粒物采样器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27</w:t>
            </w:r>
          </w:p>
        </w:tc>
        <w:tc>
          <w:tcPr>
            <w:tcW w:w="790" w:type="dxa"/>
            <w:vAlign w:val="center"/>
          </w:tcPr>
          <w:p>
            <w:pPr>
              <w:widowControl/>
              <w:spacing w:line="440" w:lineRule="exact"/>
              <w:jc w:val="center"/>
              <w:rPr>
                <w:rFonts w:ascii="宋体" w:hAnsi="宋体"/>
                <w:szCs w:val="21"/>
              </w:rPr>
            </w:pPr>
            <w:r>
              <w:rPr>
                <w:rFonts w:ascii="宋体" w:hAnsi="宋体"/>
                <w:szCs w:val="21"/>
              </w:rPr>
              <w:t>37</w:t>
            </w:r>
          </w:p>
        </w:tc>
        <w:tc>
          <w:tcPr>
            <w:tcW w:w="1025" w:type="dxa"/>
            <w:vAlign w:val="center"/>
          </w:tcPr>
          <w:p>
            <w:pPr>
              <w:widowControl/>
              <w:spacing w:line="440" w:lineRule="exact"/>
              <w:jc w:val="center"/>
              <w:rPr>
                <w:rFonts w:ascii="宋体" w:hAnsi="宋体"/>
                <w:szCs w:val="21"/>
              </w:rPr>
            </w:pPr>
            <w:r>
              <w:rPr>
                <w:rFonts w:ascii="宋体" w:hAnsi="宋体"/>
                <w:szCs w:val="21"/>
              </w:rPr>
              <w:t>大气</w:t>
            </w:r>
          </w:p>
          <w:p>
            <w:pPr>
              <w:widowControl/>
              <w:spacing w:line="440" w:lineRule="exact"/>
              <w:jc w:val="center"/>
              <w:rPr>
                <w:rFonts w:ascii="宋体" w:hAnsi="宋体"/>
                <w:szCs w:val="21"/>
              </w:rPr>
            </w:pPr>
            <w:r>
              <w:rPr>
                <w:rFonts w:ascii="宋体" w:hAnsi="宋体"/>
                <w:szCs w:val="21"/>
              </w:rPr>
              <w:t>采样器</w:t>
            </w:r>
          </w:p>
        </w:tc>
        <w:tc>
          <w:tcPr>
            <w:tcW w:w="1712" w:type="dxa"/>
            <w:vAlign w:val="center"/>
          </w:tcPr>
          <w:p>
            <w:pPr>
              <w:widowControl/>
              <w:spacing w:line="440" w:lineRule="exact"/>
              <w:jc w:val="center"/>
              <w:rPr>
                <w:rFonts w:ascii="宋体" w:hAnsi="宋体"/>
                <w:szCs w:val="21"/>
              </w:rPr>
            </w:pPr>
            <w:r>
              <w:rPr>
                <w:rFonts w:ascii="宋体" w:hAnsi="宋体"/>
                <w:szCs w:val="21"/>
              </w:rPr>
              <w:t>大气采样器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28</w:t>
            </w:r>
          </w:p>
        </w:tc>
        <w:tc>
          <w:tcPr>
            <w:tcW w:w="790" w:type="dxa"/>
            <w:vAlign w:val="center"/>
          </w:tcPr>
          <w:p>
            <w:pPr>
              <w:widowControl/>
              <w:spacing w:line="440" w:lineRule="exact"/>
              <w:jc w:val="center"/>
              <w:rPr>
                <w:rFonts w:ascii="宋体" w:hAnsi="宋体"/>
                <w:szCs w:val="21"/>
              </w:rPr>
            </w:pPr>
            <w:r>
              <w:rPr>
                <w:rFonts w:ascii="宋体" w:hAnsi="宋体"/>
                <w:szCs w:val="21"/>
              </w:rPr>
              <w:t>38</w:t>
            </w:r>
          </w:p>
        </w:tc>
        <w:tc>
          <w:tcPr>
            <w:tcW w:w="1025" w:type="dxa"/>
            <w:vAlign w:val="center"/>
          </w:tcPr>
          <w:p>
            <w:pPr>
              <w:widowControl/>
              <w:spacing w:line="440" w:lineRule="exact"/>
              <w:jc w:val="center"/>
              <w:rPr>
                <w:rFonts w:ascii="宋体" w:hAnsi="宋体"/>
                <w:szCs w:val="21"/>
              </w:rPr>
            </w:pPr>
            <w:r>
              <w:rPr>
                <w:rFonts w:ascii="宋体" w:hAnsi="宋体"/>
                <w:szCs w:val="21"/>
              </w:rPr>
              <w:t>透射式</w:t>
            </w:r>
          </w:p>
          <w:p>
            <w:pPr>
              <w:widowControl/>
              <w:spacing w:line="440" w:lineRule="exact"/>
              <w:jc w:val="center"/>
              <w:rPr>
                <w:rFonts w:ascii="宋体" w:hAnsi="宋体"/>
                <w:szCs w:val="21"/>
              </w:rPr>
            </w:pPr>
            <w:r>
              <w:rPr>
                <w:rFonts w:ascii="宋体" w:hAnsi="宋体"/>
                <w:szCs w:val="21"/>
              </w:rPr>
              <w:t>烟度计</w:t>
            </w:r>
          </w:p>
        </w:tc>
        <w:tc>
          <w:tcPr>
            <w:tcW w:w="1712" w:type="dxa"/>
            <w:vAlign w:val="center"/>
          </w:tcPr>
          <w:p>
            <w:pPr>
              <w:widowControl/>
              <w:spacing w:line="440" w:lineRule="exact"/>
              <w:jc w:val="center"/>
              <w:rPr>
                <w:rFonts w:ascii="宋体" w:hAnsi="宋体"/>
                <w:szCs w:val="21"/>
              </w:rPr>
            </w:pPr>
            <w:r>
              <w:rPr>
                <w:rFonts w:ascii="宋体" w:hAnsi="宋体"/>
                <w:szCs w:val="21"/>
              </w:rPr>
              <w:t>透射式烟度计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用于环境监测：柴油发动机排放污染物的测量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29</w:t>
            </w:r>
          </w:p>
        </w:tc>
        <w:tc>
          <w:tcPr>
            <w:tcW w:w="790" w:type="dxa"/>
            <w:vAlign w:val="center"/>
          </w:tcPr>
          <w:p>
            <w:pPr>
              <w:widowControl/>
              <w:spacing w:line="440" w:lineRule="exact"/>
              <w:jc w:val="center"/>
              <w:rPr>
                <w:rFonts w:ascii="宋体" w:hAnsi="宋体"/>
                <w:szCs w:val="21"/>
              </w:rPr>
            </w:pPr>
            <w:r>
              <w:rPr>
                <w:rFonts w:ascii="宋体" w:hAnsi="宋体"/>
                <w:szCs w:val="21"/>
              </w:rPr>
              <w:t>39</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水分</w:t>
            </w:r>
          </w:p>
          <w:p>
            <w:pPr>
              <w:widowControl/>
              <w:spacing w:line="440" w:lineRule="exact"/>
              <w:jc w:val="center"/>
              <w:rPr>
                <w:rFonts w:ascii="宋体" w:hAnsi="宋体"/>
                <w:szCs w:val="21"/>
              </w:rPr>
            </w:pPr>
            <w:r>
              <w:rPr>
                <w:rFonts w:ascii="宋体" w:hAnsi="宋体"/>
                <w:szCs w:val="21"/>
              </w:rPr>
              <w:t>测定仪</w:t>
            </w:r>
          </w:p>
        </w:tc>
        <w:tc>
          <w:tcPr>
            <w:tcW w:w="1712" w:type="dxa"/>
            <w:vAlign w:val="center"/>
          </w:tcPr>
          <w:p>
            <w:pPr>
              <w:widowControl/>
              <w:spacing w:line="440" w:lineRule="exact"/>
              <w:jc w:val="center"/>
              <w:rPr>
                <w:rFonts w:ascii="宋体" w:hAnsi="宋体"/>
                <w:szCs w:val="21"/>
              </w:rPr>
            </w:pPr>
            <w:r>
              <w:rPr>
                <w:rFonts w:ascii="宋体" w:hAnsi="宋体"/>
                <w:szCs w:val="21"/>
              </w:rPr>
              <w:t>烘干法水分</w:t>
            </w:r>
          </w:p>
          <w:p>
            <w:pPr>
              <w:widowControl/>
              <w:spacing w:line="440" w:lineRule="exact"/>
              <w:jc w:val="center"/>
              <w:rPr>
                <w:rFonts w:ascii="宋体" w:hAnsi="宋体"/>
                <w:szCs w:val="21"/>
              </w:rPr>
            </w:pPr>
            <w:r>
              <w:rPr>
                <w:rFonts w:ascii="宋体" w:hAnsi="宋体"/>
                <w:szCs w:val="21"/>
              </w:rPr>
              <w:t>测定仪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40</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电容法和电阻法谷物水分测定仪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用于贸易结算：谷物水分的测量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41</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原棉水分测定仪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30</w:t>
            </w:r>
          </w:p>
        </w:tc>
        <w:tc>
          <w:tcPr>
            <w:tcW w:w="790" w:type="dxa"/>
            <w:vAlign w:val="center"/>
          </w:tcPr>
          <w:p>
            <w:pPr>
              <w:widowControl/>
              <w:spacing w:line="440" w:lineRule="exact"/>
              <w:jc w:val="center"/>
              <w:rPr>
                <w:rFonts w:ascii="宋体" w:hAnsi="宋体"/>
                <w:szCs w:val="21"/>
              </w:rPr>
            </w:pPr>
            <w:r>
              <w:rPr>
                <w:rFonts w:ascii="宋体" w:hAnsi="宋体"/>
                <w:szCs w:val="21"/>
              </w:rPr>
              <w:t>42</w:t>
            </w:r>
          </w:p>
        </w:tc>
        <w:tc>
          <w:tcPr>
            <w:tcW w:w="1025" w:type="dxa"/>
            <w:vAlign w:val="center"/>
          </w:tcPr>
          <w:p>
            <w:pPr>
              <w:widowControl/>
              <w:spacing w:line="440" w:lineRule="exact"/>
              <w:jc w:val="center"/>
              <w:rPr>
                <w:rFonts w:ascii="宋体" w:hAnsi="宋体"/>
                <w:szCs w:val="21"/>
              </w:rPr>
            </w:pPr>
            <w:r>
              <w:rPr>
                <w:rFonts w:ascii="宋体" w:hAnsi="宋体"/>
                <w:szCs w:val="21"/>
              </w:rPr>
              <w:t>呼出气体酒精含量检测仪</w:t>
            </w:r>
          </w:p>
        </w:tc>
        <w:tc>
          <w:tcPr>
            <w:tcW w:w="1712" w:type="dxa"/>
            <w:vAlign w:val="center"/>
          </w:tcPr>
          <w:p>
            <w:pPr>
              <w:widowControl/>
              <w:spacing w:line="440" w:lineRule="exact"/>
              <w:jc w:val="center"/>
              <w:rPr>
                <w:rFonts w:ascii="宋体" w:hAnsi="宋体"/>
                <w:szCs w:val="21"/>
              </w:rPr>
            </w:pPr>
            <w:r>
              <w:rPr>
                <w:rFonts w:ascii="宋体" w:hAnsi="宋体"/>
                <w:szCs w:val="21"/>
              </w:rPr>
              <w:t>呼出气体酒精含量检测仪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型式批准    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用于安全防护：对机动车司机是否酒后开车的监测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31</w:t>
            </w:r>
          </w:p>
        </w:tc>
        <w:tc>
          <w:tcPr>
            <w:tcW w:w="790" w:type="dxa"/>
            <w:vAlign w:val="center"/>
          </w:tcPr>
          <w:p>
            <w:pPr>
              <w:widowControl/>
              <w:spacing w:line="440" w:lineRule="exact"/>
              <w:jc w:val="center"/>
              <w:rPr>
                <w:rFonts w:ascii="宋体" w:hAnsi="宋体"/>
                <w:szCs w:val="21"/>
              </w:rPr>
            </w:pPr>
            <w:r>
              <w:rPr>
                <w:rFonts w:ascii="宋体" w:hAnsi="宋体"/>
                <w:szCs w:val="21"/>
              </w:rPr>
              <w:t>43</w:t>
            </w:r>
          </w:p>
        </w:tc>
        <w:tc>
          <w:tcPr>
            <w:tcW w:w="1025" w:type="dxa"/>
            <w:vAlign w:val="center"/>
          </w:tcPr>
          <w:p>
            <w:pPr>
              <w:widowControl/>
              <w:spacing w:line="440" w:lineRule="exact"/>
              <w:jc w:val="center"/>
              <w:rPr>
                <w:rFonts w:ascii="宋体" w:hAnsi="宋体"/>
                <w:szCs w:val="21"/>
              </w:rPr>
            </w:pPr>
            <w:r>
              <w:rPr>
                <w:rFonts w:ascii="宋体" w:hAnsi="宋体"/>
                <w:szCs w:val="21"/>
              </w:rPr>
              <w:t>谷物</w:t>
            </w:r>
          </w:p>
          <w:p>
            <w:pPr>
              <w:widowControl/>
              <w:spacing w:line="440" w:lineRule="exact"/>
              <w:jc w:val="center"/>
              <w:rPr>
                <w:rFonts w:ascii="宋体" w:hAnsi="宋体"/>
                <w:szCs w:val="21"/>
              </w:rPr>
            </w:pPr>
            <w:r>
              <w:rPr>
                <w:rFonts w:ascii="宋体" w:hAnsi="宋体"/>
                <w:szCs w:val="21"/>
              </w:rPr>
              <w:t>容重器</w:t>
            </w:r>
          </w:p>
        </w:tc>
        <w:tc>
          <w:tcPr>
            <w:tcW w:w="1712" w:type="dxa"/>
            <w:vAlign w:val="center"/>
          </w:tcPr>
          <w:p>
            <w:pPr>
              <w:widowControl/>
              <w:spacing w:line="440" w:lineRule="exact"/>
              <w:jc w:val="center"/>
              <w:rPr>
                <w:rFonts w:ascii="宋体" w:hAnsi="宋体"/>
                <w:szCs w:val="21"/>
              </w:rPr>
            </w:pPr>
            <w:r>
              <w:rPr>
                <w:rFonts w:ascii="宋体" w:hAnsi="宋体"/>
                <w:szCs w:val="21"/>
              </w:rPr>
              <w:t>谷物容重器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用于贸易结算：谷物收购时定等定价每升重量的测量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440" w:lineRule="exact"/>
              <w:jc w:val="center"/>
              <w:rPr>
                <w:rFonts w:ascii="宋体" w:hAnsi="宋体"/>
                <w:szCs w:val="21"/>
              </w:rPr>
            </w:pPr>
            <w:r>
              <w:rPr>
                <w:rFonts w:ascii="宋体" w:hAnsi="宋体"/>
                <w:szCs w:val="21"/>
              </w:rPr>
              <w:t>32</w:t>
            </w:r>
          </w:p>
        </w:tc>
        <w:tc>
          <w:tcPr>
            <w:tcW w:w="790" w:type="dxa"/>
            <w:vAlign w:val="center"/>
          </w:tcPr>
          <w:p>
            <w:pPr>
              <w:widowControl/>
              <w:spacing w:line="440" w:lineRule="exact"/>
              <w:jc w:val="center"/>
              <w:rPr>
                <w:rFonts w:ascii="宋体" w:hAnsi="宋体"/>
                <w:szCs w:val="21"/>
              </w:rPr>
            </w:pPr>
            <w:r>
              <w:rPr>
                <w:rFonts w:ascii="宋体" w:hAnsi="宋体"/>
                <w:szCs w:val="21"/>
              </w:rPr>
              <w:t>44</w:t>
            </w:r>
          </w:p>
        </w:tc>
        <w:tc>
          <w:tcPr>
            <w:tcW w:w="1025" w:type="dxa"/>
            <w:vAlign w:val="center"/>
          </w:tcPr>
          <w:p>
            <w:pPr>
              <w:widowControl/>
              <w:spacing w:line="440" w:lineRule="exact"/>
              <w:jc w:val="center"/>
              <w:rPr>
                <w:rFonts w:ascii="宋体" w:hAnsi="宋体"/>
                <w:szCs w:val="21"/>
              </w:rPr>
            </w:pPr>
            <w:r>
              <w:rPr>
                <w:rFonts w:ascii="宋体" w:hAnsi="宋体"/>
                <w:szCs w:val="21"/>
              </w:rPr>
              <w:t>乳汁计</w:t>
            </w:r>
          </w:p>
        </w:tc>
        <w:tc>
          <w:tcPr>
            <w:tcW w:w="1712" w:type="dxa"/>
            <w:vAlign w:val="center"/>
          </w:tcPr>
          <w:p>
            <w:pPr>
              <w:widowControl/>
              <w:spacing w:line="440" w:lineRule="exact"/>
              <w:jc w:val="center"/>
              <w:rPr>
                <w:rFonts w:ascii="宋体" w:hAnsi="宋体"/>
                <w:szCs w:val="21"/>
              </w:rPr>
            </w:pPr>
            <w:r>
              <w:rPr>
                <w:rFonts w:ascii="宋体" w:hAnsi="宋体"/>
                <w:szCs w:val="21"/>
              </w:rPr>
              <w:t>乳汁计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用于贸易结算：乳汁浓度和密度的测量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520" w:lineRule="exact"/>
              <w:jc w:val="center"/>
              <w:rPr>
                <w:rFonts w:ascii="宋体" w:hAnsi="宋体"/>
                <w:szCs w:val="21"/>
              </w:rPr>
            </w:pPr>
            <w:r>
              <w:rPr>
                <w:rFonts w:ascii="宋体" w:hAnsi="宋体"/>
                <w:szCs w:val="21"/>
              </w:rPr>
              <w:t>33</w:t>
            </w:r>
          </w:p>
        </w:tc>
        <w:tc>
          <w:tcPr>
            <w:tcW w:w="790" w:type="dxa"/>
            <w:vAlign w:val="center"/>
          </w:tcPr>
          <w:p>
            <w:pPr>
              <w:widowControl/>
              <w:spacing w:line="440" w:lineRule="exact"/>
              <w:jc w:val="center"/>
              <w:rPr>
                <w:rFonts w:ascii="宋体" w:hAnsi="宋体"/>
                <w:szCs w:val="21"/>
              </w:rPr>
            </w:pPr>
            <w:r>
              <w:rPr>
                <w:rFonts w:ascii="宋体" w:hAnsi="宋体"/>
                <w:szCs w:val="21"/>
              </w:rPr>
              <w:t>45</w:t>
            </w:r>
          </w:p>
        </w:tc>
        <w:tc>
          <w:tcPr>
            <w:tcW w:w="1025" w:type="dxa"/>
            <w:vAlign w:val="center"/>
          </w:tcPr>
          <w:p>
            <w:pPr>
              <w:widowControl/>
              <w:spacing w:line="440" w:lineRule="exact"/>
              <w:jc w:val="center"/>
              <w:rPr>
                <w:rFonts w:ascii="宋体" w:hAnsi="宋体"/>
                <w:szCs w:val="21"/>
              </w:rPr>
            </w:pPr>
            <w:r>
              <w:rPr>
                <w:rFonts w:ascii="宋体" w:hAnsi="宋体"/>
                <w:szCs w:val="21"/>
              </w:rPr>
              <w:t>电动汽车充电桩</w:t>
            </w:r>
          </w:p>
        </w:tc>
        <w:tc>
          <w:tcPr>
            <w:tcW w:w="1712" w:type="dxa"/>
            <w:vAlign w:val="center"/>
          </w:tcPr>
          <w:p>
            <w:pPr>
              <w:widowControl/>
              <w:spacing w:line="440" w:lineRule="exact"/>
              <w:jc w:val="center"/>
              <w:rPr>
                <w:rFonts w:ascii="宋体" w:hAnsi="宋体"/>
                <w:szCs w:val="21"/>
              </w:rPr>
            </w:pPr>
            <w:r>
              <w:rPr>
                <w:rFonts w:ascii="宋体" w:hAnsi="宋体"/>
                <w:szCs w:val="21"/>
              </w:rPr>
              <w:t>电动汽车交（直）流充电桩/非车载直流充电机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用于贸易结算：向社会提供充电服务的电动汽车充电桩充电量的测量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520" w:lineRule="exact"/>
              <w:jc w:val="center"/>
              <w:rPr>
                <w:rFonts w:ascii="宋体" w:hAnsi="宋体"/>
                <w:szCs w:val="21"/>
              </w:rPr>
            </w:pPr>
            <w:r>
              <w:rPr>
                <w:rFonts w:ascii="宋体" w:hAnsi="宋体"/>
                <w:szCs w:val="21"/>
              </w:rPr>
              <w:t>34</w:t>
            </w:r>
          </w:p>
        </w:tc>
        <w:tc>
          <w:tcPr>
            <w:tcW w:w="790" w:type="dxa"/>
            <w:vAlign w:val="center"/>
          </w:tcPr>
          <w:p>
            <w:pPr>
              <w:widowControl/>
              <w:spacing w:line="440" w:lineRule="exact"/>
              <w:jc w:val="center"/>
              <w:rPr>
                <w:rFonts w:ascii="宋体" w:hAnsi="宋体"/>
                <w:szCs w:val="21"/>
              </w:rPr>
            </w:pPr>
            <w:r>
              <w:rPr>
                <w:rFonts w:ascii="宋体" w:hAnsi="宋体"/>
                <w:szCs w:val="21"/>
              </w:rPr>
              <w:t>46</w:t>
            </w:r>
          </w:p>
        </w:tc>
        <w:tc>
          <w:tcPr>
            <w:tcW w:w="1025" w:type="dxa"/>
            <w:vAlign w:val="center"/>
          </w:tcPr>
          <w:p>
            <w:pPr>
              <w:widowControl/>
              <w:spacing w:line="440" w:lineRule="exact"/>
              <w:jc w:val="center"/>
              <w:rPr>
                <w:rFonts w:ascii="宋体" w:hAnsi="宋体"/>
                <w:szCs w:val="21"/>
              </w:rPr>
            </w:pPr>
            <w:r>
              <w:rPr>
                <w:rFonts w:ascii="宋体" w:hAnsi="宋体"/>
                <w:szCs w:val="21"/>
              </w:rPr>
              <w:t>放射治疗用电离室剂量计</w:t>
            </w:r>
          </w:p>
        </w:tc>
        <w:tc>
          <w:tcPr>
            <w:tcW w:w="1712" w:type="dxa"/>
            <w:vAlign w:val="center"/>
          </w:tcPr>
          <w:p>
            <w:pPr>
              <w:widowControl/>
              <w:spacing w:line="440" w:lineRule="exact"/>
              <w:jc w:val="center"/>
              <w:rPr>
                <w:rFonts w:ascii="宋体" w:hAnsi="宋体"/>
                <w:szCs w:val="21"/>
              </w:rPr>
            </w:pPr>
            <w:r>
              <w:rPr>
                <w:rFonts w:ascii="宋体" w:hAnsi="宋体"/>
                <w:szCs w:val="21"/>
              </w:rPr>
              <w:t>放射治疗用电离室剂量计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用于医疗卫生：医疗机构对人体放射剂量的测量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520" w:lineRule="exact"/>
              <w:jc w:val="center"/>
              <w:rPr>
                <w:rFonts w:ascii="宋体" w:hAnsi="宋体"/>
                <w:szCs w:val="21"/>
              </w:rPr>
            </w:pPr>
            <w:r>
              <w:rPr>
                <w:rFonts w:ascii="宋体" w:hAnsi="宋体"/>
                <w:szCs w:val="21"/>
              </w:rPr>
              <w:t>35</w:t>
            </w:r>
          </w:p>
        </w:tc>
        <w:tc>
          <w:tcPr>
            <w:tcW w:w="790" w:type="dxa"/>
            <w:vAlign w:val="center"/>
          </w:tcPr>
          <w:p>
            <w:pPr>
              <w:widowControl/>
              <w:spacing w:line="440" w:lineRule="exact"/>
              <w:jc w:val="center"/>
              <w:rPr>
                <w:rFonts w:ascii="宋体" w:hAnsi="宋体"/>
                <w:szCs w:val="21"/>
              </w:rPr>
            </w:pPr>
            <w:r>
              <w:rPr>
                <w:rFonts w:ascii="宋体" w:hAnsi="宋体"/>
                <w:szCs w:val="21"/>
              </w:rPr>
              <w:t>47</w:t>
            </w:r>
          </w:p>
        </w:tc>
        <w:tc>
          <w:tcPr>
            <w:tcW w:w="1025" w:type="dxa"/>
            <w:vAlign w:val="center"/>
          </w:tcPr>
          <w:p>
            <w:pPr>
              <w:widowControl/>
              <w:spacing w:line="440" w:lineRule="exact"/>
              <w:jc w:val="center"/>
              <w:rPr>
                <w:rFonts w:ascii="宋体" w:hAnsi="宋体"/>
                <w:szCs w:val="21"/>
              </w:rPr>
            </w:pPr>
            <w:r>
              <w:rPr>
                <w:rFonts w:ascii="宋体" w:hAnsi="宋体"/>
                <w:szCs w:val="21"/>
              </w:rPr>
              <w:t>医用诊断X射线设备</w:t>
            </w:r>
          </w:p>
        </w:tc>
        <w:tc>
          <w:tcPr>
            <w:tcW w:w="1712" w:type="dxa"/>
            <w:vAlign w:val="center"/>
          </w:tcPr>
          <w:p>
            <w:pPr>
              <w:widowControl/>
              <w:spacing w:line="440" w:lineRule="exact"/>
              <w:jc w:val="center"/>
              <w:rPr>
                <w:rFonts w:ascii="宋体" w:hAnsi="宋体"/>
                <w:szCs w:val="21"/>
              </w:rPr>
            </w:pPr>
            <w:r>
              <w:rPr>
                <w:rFonts w:ascii="宋体" w:hAnsi="宋体"/>
                <w:szCs w:val="21"/>
              </w:rPr>
              <w:t>医用诊断X射线仪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用于医疗卫生：医疗机构对人体进行辐射诊断和治疗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520" w:lineRule="exact"/>
              <w:jc w:val="center"/>
              <w:rPr>
                <w:rFonts w:ascii="宋体" w:hAnsi="宋体"/>
                <w:szCs w:val="21"/>
              </w:rPr>
            </w:pPr>
            <w:r>
              <w:rPr>
                <w:rFonts w:ascii="宋体" w:hAnsi="宋体"/>
                <w:szCs w:val="21"/>
              </w:rPr>
              <w:t>36</w:t>
            </w:r>
          </w:p>
        </w:tc>
        <w:tc>
          <w:tcPr>
            <w:tcW w:w="790" w:type="dxa"/>
            <w:vAlign w:val="center"/>
          </w:tcPr>
          <w:p>
            <w:pPr>
              <w:widowControl/>
              <w:spacing w:line="440" w:lineRule="exact"/>
              <w:jc w:val="center"/>
              <w:rPr>
                <w:rFonts w:ascii="宋体" w:hAnsi="宋体"/>
                <w:szCs w:val="21"/>
              </w:rPr>
            </w:pPr>
            <w:r>
              <w:rPr>
                <w:rFonts w:ascii="宋体" w:hAnsi="宋体"/>
                <w:szCs w:val="21"/>
              </w:rPr>
              <w:t>48</w:t>
            </w:r>
          </w:p>
        </w:tc>
        <w:tc>
          <w:tcPr>
            <w:tcW w:w="1025" w:type="dxa"/>
            <w:vAlign w:val="center"/>
          </w:tcPr>
          <w:p>
            <w:pPr>
              <w:widowControl/>
              <w:spacing w:line="440" w:lineRule="exact"/>
              <w:jc w:val="center"/>
              <w:rPr>
                <w:rFonts w:ascii="宋体" w:hAnsi="宋体"/>
                <w:szCs w:val="21"/>
              </w:rPr>
            </w:pPr>
            <w:r>
              <w:rPr>
                <w:rFonts w:ascii="宋体" w:hAnsi="宋体"/>
                <w:szCs w:val="21"/>
              </w:rPr>
              <w:t>医用</w:t>
            </w:r>
          </w:p>
          <w:p>
            <w:pPr>
              <w:widowControl/>
              <w:spacing w:line="440" w:lineRule="exact"/>
              <w:jc w:val="center"/>
              <w:rPr>
                <w:rFonts w:ascii="宋体" w:hAnsi="宋体"/>
                <w:szCs w:val="21"/>
              </w:rPr>
            </w:pPr>
            <w:r>
              <w:rPr>
                <w:rFonts w:ascii="宋体" w:hAnsi="宋体"/>
                <w:szCs w:val="21"/>
              </w:rPr>
              <w:t>活度计</w:t>
            </w:r>
          </w:p>
        </w:tc>
        <w:tc>
          <w:tcPr>
            <w:tcW w:w="1712" w:type="dxa"/>
            <w:vAlign w:val="center"/>
          </w:tcPr>
          <w:p>
            <w:pPr>
              <w:widowControl/>
              <w:spacing w:line="440" w:lineRule="exact"/>
              <w:jc w:val="center"/>
              <w:rPr>
                <w:rFonts w:ascii="宋体" w:hAnsi="宋体"/>
                <w:szCs w:val="21"/>
              </w:rPr>
            </w:pPr>
            <w:r>
              <w:rPr>
                <w:rFonts w:ascii="宋体" w:hAnsi="宋体"/>
                <w:szCs w:val="21"/>
              </w:rPr>
              <w:t>医用活度计</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用于医疗卫生：医疗机构以放射性核素进行诊断和治疗的核素活度的测量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520" w:lineRule="exact"/>
              <w:jc w:val="center"/>
              <w:rPr>
                <w:rFonts w:ascii="宋体" w:hAnsi="宋体"/>
                <w:szCs w:val="21"/>
              </w:rPr>
            </w:pPr>
            <w:r>
              <w:rPr>
                <w:rFonts w:ascii="宋体" w:hAnsi="宋体"/>
                <w:szCs w:val="21"/>
              </w:rPr>
              <w:t>37</w:t>
            </w:r>
          </w:p>
        </w:tc>
        <w:tc>
          <w:tcPr>
            <w:tcW w:w="790" w:type="dxa"/>
            <w:vAlign w:val="center"/>
          </w:tcPr>
          <w:p>
            <w:pPr>
              <w:widowControl/>
              <w:spacing w:line="440" w:lineRule="exact"/>
              <w:jc w:val="center"/>
              <w:rPr>
                <w:rFonts w:ascii="宋体" w:hAnsi="宋体"/>
                <w:szCs w:val="21"/>
              </w:rPr>
            </w:pPr>
            <w:r>
              <w:rPr>
                <w:rFonts w:ascii="宋体" w:hAnsi="宋体"/>
                <w:szCs w:val="21"/>
              </w:rPr>
              <w:t>49</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心脑电</w:t>
            </w:r>
          </w:p>
          <w:p>
            <w:pPr>
              <w:widowControl/>
              <w:spacing w:line="440" w:lineRule="exact"/>
              <w:jc w:val="center"/>
              <w:rPr>
                <w:rFonts w:ascii="宋体" w:hAnsi="宋体"/>
                <w:szCs w:val="21"/>
              </w:rPr>
            </w:pPr>
            <w:r>
              <w:rPr>
                <w:rFonts w:ascii="宋体" w:hAnsi="宋体"/>
                <w:szCs w:val="21"/>
              </w:rPr>
              <w:t>测量仪器</w:t>
            </w:r>
          </w:p>
        </w:tc>
        <w:tc>
          <w:tcPr>
            <w:tcW w:w="1712" w:type="dxa"/>
            <w:vAlign w:val="center"/>
          </w:tcPr>
          <w:p>
            <w:pPr>
              <w:widowControl/>
              <w:spacing w:line="440" w:lineRule="exact"/>
              <w:jc w:val="center"/>
              <w:rPr>
                <w:rFonts w:ascii="宋体" w:hAnsi="宋体"/>
                <w:szCs w:val="21"/>
              </w:rPr>
            </w:pPr>
            <w:r>
              <w:rPr>
                <w:rFonts w:ascii="宋体" w:hAnsi="宋体"/>
                <w:szCs w:val="21"/>
              </w:rPr>
              <w:t>心电图仪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用于医疗卫生：医疗机构对人体心电位的测量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52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50</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脑电图仪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用于医疗卫生：医疗机构对人体脑电位的测量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520" w:lineRule="exact"/>
              <w:jc w:val="left"/>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51</w:t>
            </w:r>
          </w:p>
        </w:tc>
        <w:tc>
          <w:tcPr>
            <w:tcW w:w="1025" w:type="dxa"/>
            <w:vMerge w:val="continue"/>
            <w:vAlign w:val="center"/>
          </w:tcPr>
          <w:p>
            <w:pPr>
              <w:widowControl/>
              <w:spacing w:line="440" w:lineRule="exact"/>
              <w:jc w:val="left"/>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多参数监护仪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强制检定</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用于医疗卫生：医疗机构对人体心电、脉博、血氧饱和度等测量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widowControl/>
              <w:spacing w:line="520" w:lineRule="exact"/>
              <w:jc w:val="center"/>
              <w:rPr>
                <w:rFonts w:ascii="宋体" w:hAnsi="宋体"/>
                <w:szCs w:val="21"/>
              </w:rPr>
            </w:pPr>
            <w:r>
              <w:rPr>
                <w:rFonts w:ascii="宋体" w:hAnsi="宋体"/>
                <w:szCs w:val="21"/>
              </w:rPr>
              <w:t>38</w:t>
            </w:r>
          </w:p>
        </w:tc>
        <w:tc>
          <w:tcPr>
            <w:tcW w:w="790" w:type="dxa"/>
            <w:vAlign w:val="center"/>
          </w:tcPr>
          <w:p>
            <w:pPr>
              <w:widowControl/>
              <w:spacing w:line="440" w:lineRule="exact"/>
              <w:jc w:val="center"/>
              <w:rPr>
                <w:rFonts w:ascii="宋体" w:hAnsi="宋体"/>
                <w:szCs w:val="21"/>
              </w:rPr>
            </w:pPr>
            <w:r>
              <w:rPr>
                <w:rFonts w:ascii="宋体" w:hAnsi="宋体"/>
                <w:szCs w:val="21"/>
              </w:rPr>
              <w:t>52</w:t>
            </w:r>
          </w:p>
        </w:tc>
        <w:tc>
          <w:tcPr>
            <w:tcW w:w="1025" w:type="dxa"/>
            <w:vAlign w:val="center"/>
          </w:tcPr>
          <w:p>
            <w:pPr>
              <w:widowControl/>
              <w:spacing w:line="440" w:lineRule="exact"/>
              <w:jc w:val="center"/>
              <w:rPr>
                <w:rFonts w:ascii="宋体" w:hAnsi="宋体"/>
                <w:szCs w:val="21"/>
              </w:rPr>
            </w:pPr>
            <w:r>
              <w:rPr>
                <w:rFonts w:ascii="宋体" w:hAnsi="宋体"/>
                <w:szCs w:val="21"/>
              </w:rPr>
              <w:t>电力</w:t>
            </w:r>
          </w:p>
          <w:p>
            <w:pPr>
              <w:widowControl/>
              <w:spacing w:line="440" w:lineRule="exact"/>
              <w:jc w:val="center"/>
              <w:rPr>
                <w:rFonts w:ascii="宋体" w:hAnsi="宋体"/>
                <w:szCs w:val="21"/>
              </w:rPr>
            </w:pPr>
            <w:r>
              <w:rPr>
                <w:rFonts w:ascii="宋体" w:hAnsi="宋体"/>
                <w:szCs w:val="21"/>
              </w:rPr>
              <w:t>测量用</w:t>
            </w:r>
          </w:p>
          <w:p>
            <w:pPr>
              <w:widowControl/>
              <w:spacing w:line="440" w:lineRule="exact"/>
              <w:jc w:val="center"/>
              <w:rPr>
                <w:rFonts w:ascii="宋体" w:hAnsi="宋体"/>
                <w:szCs w:val="21"/>
              </w:rPr>
            </w:pPr>
            <w:r>
              <w:rPr>
                <w:rFonts w:ascii="宋体" w:hAnsi="宋体"/>
                <w:szCs w:val="21"/>
              </w:rPr>
              <w:t>互感器</w:t>
            </w:r>
          </w:p>
        </w:tc>
        <w:tc>
          <w:tcPr>
            <w:tcW w:w="1712" w:type="dxa"/>
            <w:vAlign w:val="center"/>
          </w:tcPr>
          <w:p>
            <w:pPr>
              <w:widowControl/>
              <w:spacing w:line="440" w:lineRule="exact"/>
              <w:jc w:val="center"/>
              <w:rPr>
                <w:rFonts w:ascii="宋体" w:hAnsi="宋体"/>
                <w:szCs w:val="21"/>
              </w:rPr>
            </w:pPr>
            <w:r>
              <w:rPr>
                <w:rFonts w:ascii="宋体" w:hAnsi="宋体"/>
                <w:szCs w:val="21"/>
              </w:rPr>
              <w:t>电力测量用</w:t>
            </w:r>
          </w:p>
          <w:p>
            <w:pPr>
              <w:widowControl/>
              <w:spacing w:line="440" w:lineRule="exact"/>
              <w:jc w:val="center"/>
              <w:rPr>
                <w:rFonts w:ascii="宋体" w:hAnsi="宋体"/>
                <w:szCs w:val="21"/>
              </w:rPr>
            </w:pPr>
            <w:r>
              <w:rPr>
                <w:rFonts w:ascii="宋体" w:hAnsi="宋体"/>
                <w:szCs w:val="21"/>
              </w:rPr>
              <w:t>互感器</w:t>
            </w:r>
          </w:p>
        </w:tc>
        <w:tc>
          <w:tcPr>
            <w:tcW w:w="1489" w:type="dxa"/>
            <w:vAlign w:val="center"/>
          </w:tcPr>
          <w:p>
            <w:pPr>
              <w:widowControl/>
              <w:spacing w:line="440" w:lineRule="exact"/>
              <w:jc w:val="center"/>
              <w:rPr>
                <w:rFonts w:ascii="宋体" w:hAnsi="宋体"/>
                <w:szCs w:val="21"/>
              </w:rPr>
            </w:pPr>
            <w:r>
              <w:rPr>
                <w:rFonts w:hint="eastAsia" w:ascii="宋体" w:hAnsi="宋体"/>
                <w:szCs w:val="21"/>
              </w:rPr>
              <w:t>500kv(含)以下型式批准、强制检定；500kv以上型式批准</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周期检定</w:t>
            </w:r>
          </w:p>
        </w:tc>
        <w:tc>
          <w:tcPr>
            <w:tcW w:w="2574" w:type="dxa"/>
            <w:vAlign w:val="center"/>
          </w:tcPr>
          <w:p>
            <w:pPr>
              <w:widowControl/>
              <w:spacing w:line="440" w:lineRule="exact"/>
              <w:jc w:val="left"/>
              <w:rPr>
                <w:rFonts w:ascii="宋体" w:hAnsi="宋体"/>
                <w:szCs w:val="21"/>
              </w:rPr>
            </w:pPr>
            <w:r>
              <w:rPr>
                <w:rFonts w:hint="eastAsia" w:ascii="宋体" w:hAnsi="宋体"/>
                <w:szCs w:val="21"/>
              </w:rPr>
              <w:t>用于贸易结算：作为电能表的配套设备，对用电量的测量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520" w:lineRule="exact"/>
              <w:jc w:val="center"/>
              <w:rPr>
                <w:rFonts w:ascii="宋体" w:hAnsi="宋体"/>
                <w:szCs w:val="21"/>
              </w:rPr>
            </w:pPr>
            <w:r>
              <w:rPr>
                <w:rFonts w:ascii="宋体" w:hAnsi="宋体"/>
                <w:szCs w:val="21"/>
              </w:rPr>
              <w:t>39</w:t>
            </w:r>
          </w:p>
        </w:tc>
        <w:tc>
          <w:tcPr>
            <w:tcW w:w="790" w:type="dxa"/>
            <w:vAlign w:val="center"/>
          </w:tcPr>
          <w:p>
            <w:pPr>
              <w:widowControl/>
              <w:spacing w:line="440" w:lineRule="exact"/>
              <w:jc w:val="center"/>
              <w:rPr>
                <w:rFonts w:ascii="宋体" w:hAnsi="宋体"/>
                <w:szCs w:val="21"/>
              </w:rPr>
            </w:pPr>
            <w:r>
              <w:rPr>
                <w:rFonts w:ascii="宋体" w:hAnsi="宋体"/>
                <w:szCs w:val="21"/>
              </w:rPr>
              <w:t>53</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测绘仪器</w:t>
            </w:r>
          </w:p>
        </w:tc>
        <w:tc>
          <w:tcPr>
            <w:tcW w:w="1712" w:type="dxa"/>
            <w:vAlign w:val="center"/>
          </w:tcPr>
          <w:p>
            <w:pPr>
              <w:widowControl/>
              <w:spacing w:line="440" w:lineRule="exact"/>
              <w:jc w:val="center"/>
              <w:rPr>
                <w:rFonts w:ascii="宋体" w:hAnsi="宋体"/>
                <w:szCs w:val="21"/>
              </w:rPr>
            </w:pPr>
            <w:r>
              <w:rPr>
                <w:rFonts w:ascii="宋体" w:hAnsi="宋体"/>
                <w:szCs w:val="21"/>
              </w:rPr>
              <w:t>手持式激光测距仪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52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54</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全站仪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52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55</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测地型GNSS接收机</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widowControl/>
              <w:spacing w:line="440" w:lineRule="exact"/>
              <w:jc w:val="center"/>
              <w:rPr>
                <w:rFonts w:ascii="宋体" w:hAnsi="宋体"/>
                <w:szCs w:val="21"/>
              </w:rPr>
            </w:pPr>
            <w:r>
              <w:rPr>
                <w:rFonts w:ascii="宋体" w:hAnsi="宋体"/>
                <w:szCs w:val="21"/>
              </w:rPr>
              <w:t>40</w:t>
            </w:r>
          </w:p>
        </w:tc>
        <w:tc>
          <w:tcPr>
            <w:tcW w:w="790" w:type="dxa"/>
            <w:vAlign w:val="center"/>
          </w:tcPr>
          <w:p>
            <w:pPr>
              <w:widowControl/>
              <w:spacing w:line="440" w:lineRule="exact"/>
              <w:jc w:val="center"/>
              <w:rPr>
                <w:rFonts w:ascii="宋体" w:hAnsi="宋体"/>
                <w:szCs w:val="21"/>
              </w:rPr>
            </w:pPr>
            <w:r>
              <w:rPr>
                <w:rFonts w:ascii="宋体" w:hAnsi="宋体"/>
                <w:szCs w:val="21"/>
              </w:rPr>
              <w:t>56</w:t>
            </w:r>
          </w:p>
        </w:tc>
        <w:tc>
          <w:tcPr>
            <w:tcW w:w="1025" w:type="dxa"/>
            <w:vMerge w:val="restart"/>
            <w:vAlign w:val="center"/>
          </w:tcPr>
          <w:p>
            <w:pPr>
              <w:widowControl/>
              <w:spacing w:line="440" w:lineRule="exact"/>
              <w:jc w:val="center"/>
              <w:rPr>
                <w:rFonts w:ascii="宋体" w:hAnsi="宋体"/>
                <w:szCs w:val="21"/>
              </w:rPr>
            </w:pPr>
            <w:r>
              <w:rPr>
                <w:rFonts w:ascii="宋体" w:hAnsi="宋体"/>
                <w:szCs w:val="21"/>
              </w:rPr>
              <w:t>有毒有害、易燃易爆气体检测（报警）仪</w:t>
            </w:r>
          </w:p>
        </w:tc>
        <w:tc>
          <w:tcPr>
            <w:tcW w:w="1712" w:type="dxa"/>
            <w:vAlign w:val="center"/>
          </w:tcPr>
          <w:p>
            <w:pPr>
              <w:widowControl/>
              <w:spacing w:line="440" w:lineRule="exact"/>
              <w:jc w:val="center"/>
              <w:rPr>
                <w:rFonts w:ascii="宋体" w:hAnsi="宋体"/>
                <w:szCs w:val="21"/>
              </w:rPr>
            </w:pPr>
            <w:r>
              <w:rPr>
                <w:rFonts w:ascii="宋体" w:hAnsi="宋体"/>
                <w:szCs w:val="21"/>
              </w:rPr>
              <w:t>二氧化硫气体检测仪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57</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硫化氢气体分析仪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58</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一氧化碳检测报警器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59</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tabs>
                <w:tab w:val="left" w:pos="280"/>
              </w:tabs>
              <w:spacing w:line="440" w:lineRule="exact"/>
              <w:jc w:val="center"/>
              <w:rPr>
                <w:rFonts w:ascii="宋体" w:hAnsi="宋体"/>
                <w:szCs w:val="21"/>
              </w:rPr>
            </w:pPr>
            <w:r>
              <w:rPr>
                <w:rFonts w:ascii="宋体" w:hAnsi="宋体"/>
                <w:szCs w:val="21"/>
              </w:rPr>
              <w:t>一氧化碳二氧化碳红外线气体分析器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60</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烟气分析仪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61</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化学发光法氮氧化物分析仪</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widowControl/>
              <w:spacing w:line="440" w:lineRule="exact"/>
              <w:jc w:val="center"/>
              <w:rPr>
                <w:rFonts w:ascii="宋体" w:hAnsi="宋体"/>
                <w:szCs w:val="21"/>
              </w:rPr>
            </w:pPr>
          </w:p>
        </w:tc>
        <w:tc>
          <w:tcPr>
            <w:tcW w:w="790" w:type="dxa"/>
            <w:vAlign w:val="center"/>
          </w:tcPr>
          <w:p>
            <w:pPr>
              <w:widowControl/>
              <w:spacing w:line="440" w:lineRule="exact"/>
              <w:jc w:val="center"/>
              <w:rPr>
                <w:rFonts w:ascii="宋体" w:hAnsi="宋体"/>
                <w:szCs w:val="21"/>
              </w:rPr>
            </w:pPr>
            <w:r>
              <w:rPr>
                <w:rFonts w:ascii="宋体" w:hAnsi="宋体"/>
                <w:szCs w:val="21"/>
              </w:rPr>
              <w:t>62</w:t>
            </w:r>
          </w:p>
        </w:tc>
        <w:tc>
          <w:tcPr>
            <w:tcW w:w="1025" w:type="dxa"/>
            <w:vMerge w:val="continue"/>
            <w:vAlign w:val="center"/>
          </w:tcPr>
          <w:p>
            <w:pPr>
              <w:widowControl/>
              <w:spacing w:line="440" w:lineRule="exact"/>
              <w:jc w:val="center"/>
              <w:rPr>
                <w:rFonts w:ascii="宋体" w:hAnsi="宋体"/>
                <w:szCs w:val="21"/>
              </w:rPr>
            </w:pPr>
          </w:p>
        </w:tc>
        <w:tc>
          <w:tcPr>
            <w:tcW w:w="1712" w:type="dxa"/>
            <w:vAlign w:val="center"/>
          </w:tcPr>
          <w:p>
            <w:pPr>
              <w:widowControl/>
              <w:spacing w:line="440" w:lineRule="exact"/>
              <w:jc w:val="center"/>
              <w:rPr>
                <w:rFonts w:ascii="宋体" w:hAnsi="宋体"/>
                <w:szCs w:val="21"/>
              </w:rPr>
            </w:pPr>
            <w:r>
              <w:rPr>
                <w:rFonts w:ascii="宋体" w:hAnsi="宋体"/>
                <w:szCs w:val="21"/>
              </w:rPr>
              <w:t>甲烷测定器</w:t>
            </w:r>
          </w:p>
        </w:tc>
        <w:tc>
          <w:tcPr>
            <w:tcW w:w="1489" w:type="dxa"/>
            <w:vAlign w:val="center"/>
          </w:tcPr>
          <w:p>
            <w:pPr>
              <w:widowControl/>
              <w:spacing w:line="440" w:lineRule="exact"/>
              <w:jc w:val="center"/>
              <w:rPr>
                <w:rFonts w:ascii="宋体" w:hAnsi="宋体"/>
                <w:spacing w:val="-10"/>
                <w:szCs w:val="21"/>
              </w:rPr>
            </w:pPr>
            <w:r>
              <w:rPr>
                <w:rFonts w:hint="eastAsia" w:ascii="宋体" w:hAnsi="宋体"/>
                <w:spacing w:val="-10"/>
                <w:szCs w:val="21"/>
              </w:rPr>
              <w:t xml:space="preserve">型式批准    </w:t>
            </w:r>
          </w:p>
        </w:tc>
        <w:tc>
          <w:tcPr>
            <w:tcW w:w="1894" w:type="dxa"/>
            <w:vAlign w:val="center"/>
          </w:tcPr>
          <w:p>
            <w:pPr>
              <w:widowControl/>
              <w:spacing w:line="440" w:lineRule="exact"/>
              <w:jc w:val="center"/>
              <w:rPr>
                <w:rFonts w:ascii="宋体" w:hAnsi="宋体"/>
                <w:spacing w:val="-10"/>
                <w:szCs w:val="21"/>
              </w:rPr>
            </w:pPr>
            <w:r>
              <w:rPr>
                <w:rFonts w:hint="eastAsia" w:ascii="宋体" w:hAnsi="宋体"/>
                <w:spacing w:val="-10"/>
                <w:szCs w:val="21"/>
              </w:rPr>
              <w:t>——</w:t>
            </w:r>
          </w:p>
        </w:tc>
        <w:tc>
          <w:tcPr>
            <w:tcW w:w="2574" w:type="dxa"/>
            <w:vAlign w:val="center"/>
          </w:tcPr>
          <w:p>
            <w:pPr>
              <w:widowControl/>
              <w:spacing w:line="440" w:lineRule="exact"/>
              <w:jc w:val="left"/>
              <w:rPr>
                <w:rFonts w:ascii="宋体" w:hAnsi="宋体"/>
                <w:szCs w:val="21"/>
              </w:rPr>
            </w:pPr>
          </w:p>
        </w:tc>
      </w:tr>
    </w:tbl>
    <w:p>
      <w:pPr>
        <w:spacing w:line="440" w:lineRule="exact"/>
        <w:ind w:firstLine="482" w:firstLineChars="200"/>
        <w:rPr>
          <w:b/>
          <w:sz w:val="24"/>
          <w:shd w:val="clear" w:color="auto" w:fill="FFFFFF"/>
        </w:rPr>
      </w:pPr>
      <w:r>
        <w:rPr>
          <w:rFonts w:hAnsi="宋体"/>
          <w:b/>
          <w:sz w:val="24"/>
          <w:shd w:val="clear" w:color="auto" w:fill="FFFFFF"/>
        </w:rPr>
        <w:t>三、服务内容</w:t>
      </w:r>
    </w:p>
    <w:p>
      <w:pPr>
        <w:spacing w:line="440" w:lineRule="exact"/>
        <w:ind w:firstLine="480" w:firstLineChars="200"/>
        <w:rPr>
          <w:sz w:val="24"/>
          <w:shd w:val="clear" w:color="auto" w:fill="FFFFFF"/>
        </w:rPr>
      </w:pPr>
      <w:r>
        <w:rPr>
          <w:rFonts w:hAnsi="宋体"/>
          <w:sz w:val="24"/>
          <w:shd w:val="clear" w:color="auto" w:fill="FFFFFF"/>
        </w:rPr>
        <w:t>执行强制检定计量器具免费检定服务的技术机构（以下简称供应商），应提供以下服务：</w:t>
      </w:r>
    </w:p>
    <w:p>
      <w:pPr>
        <w:spacing w:line="440" w:lineRule="exact"/>
        <w:ind w:firstLine="480" w:firstLineChars="200"/>
        <w:rPr>
          <w:sz w:val="24"/>
          <w:shd w:val="clear" w:color="auto" w:fill="FFFFFF"/>
        </w:rPr>
      </w:pPr>
      <w:r>
        <w:rPr>
          <w:sz w:val="24"/>
          <w:shd w:val="clear" w:color="auto" w:fill="FFFFFF"/>
        </w:rPr>
        <w:t>1</w:t>
      </w:r>
      <w:r>
        <w:rPr>
          <w:rFonts w:hAnsi="宋体"/>
          <w:sz w:val="24"/>
          <w:shd w:val="clear" w:color="auto" w:fill="FFFFFF"/>
        </w:rPr>
        <w:t>、执行强制检定，对采购人行政区域内属于强制检定范围，并按照规定申请检定的计量器具，提供免费检定服务。</w:t>
      </w:r>
    </w:p>
    <w:p>
      <w:pPr>
        <w:spacing w:line="440" w:lineRule="exact"/>
        <w:ind w:firstLine="480" w:firstLineChars="200"/>
        <w:rPr>
          <w:sz w:val="24"/>
          <w:shd w:val="clear" w:color="auto" w:fill="FFFFFF"/>
        </w:rPr>
      </w:pPr>
      <w:r>
        <w:rPr>
          <w:sz w:val="24"/>
          <w:shd w:val="clear" w:color="auto" w:fill="FFFFFF"/>
        </w:rPr>
        <w:t>2</w:t>
      </w:r>
      <w:r>
        <w:rPr>
          <w:rFonts w:hAnsi="宋体"/>
          <w:sz w:val="24"/>
          <w:shd w:val="clear" w:color="auto" w:fill="FFFFFF"/>
        </w:rPr>
        <w:t>、实施备案初审，协助采购人完成强制检定计量器具备案审核工作。</w:t>
      </w:r>
    </w:p>
    <w:p>
      <w:pPr>
        <w:spacing w:line="440" w:lineRule="exact"/>
        <w:ind w:firstLine="480" w:firstLineChars="200"/>
        <w:rPr>
          <w:sz w:val="24"/>
          <w:shd w:val="clear" w:color="auto" w:fill="FFFFFF"/>
        </w:rPr>
      </w:pPr>
      <w:r>
        <w:rPr>
          <w:sz w:val="24"/>
          <w:shd w:val="clear" w:color="auto" w:fill="FFFFFF"/>
        </w:rPr>
        <w:t>3</w:t>
      </w:r>
      <w:r>
        <w:rPr>
          <w:rFonts w:hAnsi="宋体"/>
          <w:sz w:val="24"/>
          <w:shd w:val="clear" w:color="auto" w:fill="FFFFFF"/>
        </w:rPr>
        <w:t>、完成数据采集，</w:t>
      </w:r>
      <w:r>
        <w:rPr>
          <w:rFonts w:hAnsi="宋体"/>
          <w:sz w:val="24"/>
        </w:rPr>
        <w:t>向采购人提供</w:t>
      </w:r>
      <w:r>
        <w:rPr>
          <w:rFonts w:hAnsi="宋体"/>
          <w:sz w:val="24"/>
          <w:shd w:val="clear" w:color="auto" w:fill="FFFFFF"/>
        </w:rPr>
        <w:t>强制检定计量器具免费检定工作执行情况的相关数据信息。</w:t>
      </w:r>
    </w:p>
    <w:p>
      <w:pPr>
        <w:spacing w:line="440" w:lineRule="exact"/>
        <w:ind w:firstLine="480" w:firstLineChars="200"/>
        <w:rPr>
          <w:sz w:val="24"/>
          <w:shd w:val="clear" w:color="auto" w:fill="FFFFFF"/>
        </w:rPr>
      </w:pPr>
      <w:r>
        <w:rPr>
          <w:sz w:val="24"/>
          <w:shd w:val="clear" w:color="auto" w:fill="FFFFFF"/>
        </w:rPr>
        <w:t>4</w:t>
      </w:r>
      <w:r>
        <w:rPr>
          <w:rFonts w:hAnsi="宋体"/>
          <w:sz w:val="24"/>
          <w:shd w:val="clear" w:color="auto" w:fill="FFFFFF"/>
        </w:rPr>
        <w:t>、提供技术支撑，为采购人开展计量监督管理工作提供计量技术保障服务</w:t>
      </w:r>
      <w:r>
        <w:rPr>
          <w:rFonts w:hAnsi="宋体"/>
          <w:sz w:val="24"/>
        </w:rPr>
        <w:t>。</w:t>
      </w:r>
    </w:p>
    <w:p>
      <w:pPr>
        <w:spacing w:line="440" w:lineRule="exact"/>
        <w:ind w:firstLine="480" w:firstLineChars="200"/>
        <w:rPr>
          <w:sz w:val="24"/>
          <w:shd w:val="clear" w:color="auto" w:fill="FFFFFF"/>
        </w:rPr>
      </w:pPr>
      <w:r>
        <w:rPr>
          <w:sz w:val="24"/>
          <w:shd w:val="clear" w:color="auto" w:fill="FFFFFF"/>
        </w:rPr>
        <w:t>5</w:t>
      </w:r>
      <w:r>
        <w:rPr>
          <w:rFonts w:hAnsi="宋体"/>
          <w:sz w:val="24"/>
          <w:shd w:val="clear" w:color="auto" w:fill="FFFFFF"/>
        </w:rPr>
        <w:t>、构建信息平台，牵头建立强制检定计量器具检定工作信息查询交流渠道。</w:t>
      </w:r>
    </w:p>
    <w:p>
      <w:pPr>
        <w:spacing w:line="440" w:lineRule="exact"/>
        <w:ind w:left="120" w:firstLine="361" w:firstLineChars="150"/>
        <w:rPr>
          <w:sz w:val="24"/>
          <w:shd w:val="clear" w:color="auto" w:fill="FFFFFF"/>
        </w:rPr>
      </w:pPr>
      <w:r>
        <w:rPr>
          <w:rFonts w:hAnsi="宋体"/>
          <w:b/>
          <w:sz w:val="24"/>
          <w:shd w:val="clear" w:color="auto" w:fill="FFFFFF"/>
        </w:rPr>
        <w:t>四、服务方式</w:t>
      </w:r>
    </w:p>
    <w:p>
      <w:pPr>
        <w:topLinePunct/>
        <w:spacing w:line="560" w:lineRule="exact"/>
        <w:ind w:firstLine="480" w:firstLineChars="200"/>
        <w:rPr>
          <w:sz w:val="24"/>
        </w:rPr>
      </w:pPr>
      <w:r>
        <w:rPr>
          <w:rFonts w:hAnsi="宋体"/>
          <w:sz w:val="24"/>
          <w:shd w:val="clear" w:color="auto" w:fill="FFFFFF"/>
        </w:rPr>
        <w:t>由供应商搭建区域性计量器具强制检定专业技术服务平台，</w:t>
      </w:r>
      <w:r>
        <w:rPr>
          <w:rFonts w:hAnsi="宋体"/>
          <w:sz w:val="24"/>
        </w:rPr>
        <w:t>实行一站式</w:t>
      </w:r>
      <w:r>
        <w:rPr>
          <w:sz w:val="24"/>
        </w:rPr>
        <w:t>“</w:t>
      </w:r>
      <w:r>
        <w:rPr>
          <w:rFonts w:hAnsi="宋体"/>
          <w:sz w:val="24"/>
        </w:rPr>
        <w:t>打包</w:t>
      </w:r>
      <w:r>
        <w:rPr>
          <w:sz w:val="24"/>
        </w:rPr>
        <w:t>”</w:t>
      </w:r>
      <w:r>
        <w:rPr>
          <w:rFonts w:hAnsi="宋体"/>
          <w:sz w:val="24"/>
        </w:rPr>
        <w:t>服务：</w:t>
      </w:r>
    </w:p>
    <w:p>
      <w:pPr>
        <w:topLinePunct/>
        <w:spacing w:line="560" w:lineRule="exact"/>
        <w:ind w:firstLine="480" w:firstLineChars="200"/>
        <w:rPr>
          <w:sz w:val="24"/>
        </w:rPr>
      </w:pPr>
      <w:r>
        <w:rPr>
          <w:sz w:val="24"/>
          <w:shd w:val="clear" w:color="auto" w:fill="FFFFFF"/>
        </w:rPr>
        <w:t>1</w:t>
      </w:r>
      <w:r>
        <w:rPr>
          <w:rFonts w:hAnsi="宋体"/>
          <w:sz w:val="24"/>
          <w:shd w:val="clear" w:color="auto" w:fill="FFFFFF"/>
        </w:rPr>
        <w:t>、由供应商在</w:t>
      </w:r>
      <w:r>
        <w:rPr>
          <w:rFonts w:hAnsi="宋体"/>
          <w:sz w:val="24"/>
        </w:rPr>
        <w:t>采购人行政区域内设置常设机构，专责办理强制检定计量器具检定业务。</w:t>
      </w:r>
    </w:p>
    <w:p>
      <w:pPr>
        <w:topLinePunct/>
        <w:spacing w:line="560" w:lineRule="exact"/>
        <w:ind w:firstLine="480" w:firstLineChars="200"/>
        <w:rPr>
          <w:sz w:val="24"/>
        </w:rPr>
      </w:pPr>
      <w:r>
        <w:rPr>
          <w:sz w:val="24"/>
        </w:rPr>
        <w:t>2、</w:t>
      </w:r>
      <w:r>
        <w:rPr>
          <w:rFonts w:hAnsi="宋体"/>
          <w:sz w:val="24"/>
        </w:rPr>
        <w:t>对</w:t>
      </w:r>
      <w:r>
        <w:rPr>
          <w:rFonts w:hAnsi="宋体"/>
          <w:sz w:val="24"/>
          <w:shd w:val="clear" w:color="auto" w:fill="FFFFFF"/>
        </w:rPr>
        <w:t>供应商</w:t>
      </w:r>
      <w:r>
        <w:rPr>
          <w:rFonts w:hAnsi="宋体"/>
          <w:sz w:val="24"/>
        </w:rPr>
        <w:t>不具备检定能力的特定项目，由</w:t>
      </w:r>
      <w:r>
        <w:rPr>
          <w:rFonts w:hAnsi="宋体"/>
          <w:sz w:val="24"/>
          <w:shd w:val="clear" w:color="auto" w:fill="FFFFFF"/>
        </w:rPr>
        <w:t>供应商</w:t>
      </w:r>
      <w:r>
        <w:rPr>
          <w:rFonts w:hAnsi="宋体"/>
          <w:sz w:val="24"/>
        </w:rPr>
        <w:t>协调有资质的法定计量检定机构，并经采购人认可后，方可实施检定，所有检定费用均由</w:t>
      </w:r>
      <w:r>
        <w:rPr>
          <w:rFonts w:hAnsi="宋体"/>
          <w:sz w:val="24"/>
          <w:shd w:val="clear" w:color="auto" w:fill="FFFFFF"/>
        </w:rPr>
        <w:t>供应商</w:t>
      </w:r>
      <w:r>
        <w:rPr>
          <w:rFonts w:hAnsi="宋体"/>
          <w:sz w:val="24"/>
        </w:rPr>
        <w:t>承担。</w:t>
      </w:r>
    </w:p>
    <w:p>
      <w:pPr>
        <w:topLinePunct/>
        <w:spacing w:line="560" w:lineRule="exact"/>
        <w:ind w:firstLine="480" w:firstLineChars="200"/>
        <w:rPr>
          <w:rFonts w:hAnsi="宋体"/>
          <w:sz w:val="24"/>
          <w:shd w:val="clear" w:color="auto" w:fill="FFFFFF"/>
        </w:rPr>
      </w:pPr>
      <w:r>
        <w:rPr>
          <w:sz w:val="24"/>
        </w:rPr>
        <w:t>3</w:t>
      </w:r>
      <w:r>
        <w:rPr>
          <w:rFonts w:hAnsi="宋体"/>
          <w:sz w:val="24"/>
        </w:rPr>
        <w:t>、</w:t>
      </w:r>
      <w:r>
        <w:rPr>
          <w:rFonts w:hAnsi="宋体"/>
          <w:sz w:val="24"/>
          <w:shd w:val="clear" w:color="auto" w:fill="FFFFFF"/>
        </w:rPr>
        <w:t>由供应商协助采购人对属于强制检定范围，并按照规定申请检定的计量器具备案信息进行技术初审，并及时报送给采购人，由采购人对初核后的计量器具备案信息进行复核、批准。</w:t>
      </w:r>
    </w:p>
    <w:p>
      <w:pPr>
        <w:topLinePunct/>
        <w:spacing w:line="560" w:lineRule="exact"/>
        <w:ind w:firstLine="480" w:firstLineChars="200"/>
        <w:rPr>
          <w:rFonts w:hAnsi="宋体"/>
          <w:sz w:val="24"/>
          <w:shd w:val="clear" w:color="auto" w:fill="FFFFFF"/>
        </w:rPr>
      </w:pPr>
      <w:r>
        <w:rPr>
          <w:rFonts w:hAnsi="宋体"/>
          <w:sz w:val="24"/>
          <w:shd w:val="clear" w:color="auto" w:fill="FFFFFF"/>
        </w:rPr>
        <w:t>4、由供应商定期统计计量器具强制检定工作执行情况，并向采购人报送信息报表：按月报送检定工作量统计表，按月报送检定不合格统计表，按季度报送季度汇总表</w:t>
      </w:r>
      <w:r>
        <w:rPr>
          <w:rFonts w:hint="eastAsia" w:hAnsi="宋体"/>
          <w:sz w:val="24"/>
          <w:shd w:val="clear" w:color="auto" w:fill="FFFFFF"/>
        </w:rPr>
        <w:t>，形成年度检定情况分析报告（需包含全年检定基本情况及不合格检定情况、不合格情况原因分析，改进建议等）</w:t>
      </w:r>
    </w:p>
    <w:p>
      <w:pPr>
        <w:spacing w:line="440" w:lineRule="exact"/>
        <w:ind w:firstLine="480" w:firstLineChars="200"/>
        <w:rPr>
          <w:sz w:val="24"/>
          <w:shd w:val="clear" w:color="auto" w:fill="FFFFFF"/>
        </w:rPr>
      </w:pPr>
      <w:r>
        <w:rPr>
          <w:sz w:val="24"/>
          <w:shd w:val="clear" w:color="auto" w:fill="FFFFFF"/>
        </w:rPr>
        <w:t>5</w:t>
      </w:r>
      <w:r>
        <w:rPr>
          <w:rFonts w:hAnsi="宋体"/>
          <w:sz w:val="24"/>
          <w:shd w:val="clear" w:color="auto" w:fill="FFFFFF"/>
        </w:rPr>
        <w:t>、为采购人实施的计量监督管理工作提供计量技术支撑与保障服务，</w:t>
      </w:r>
      <w:r>
        <w:rPr>
          <w:rFonts w:hAnsi="宋体"/>
          <w:sz w:val="24"/>
        </w:rPr>
        <w:t>配合参加计量监督检查，协助处理计量纠纷，实施计量仲裁检定；协办计量宣传培训活动，参与组织策划、制作资料、收集信息、提供建议等</w:t>
      </w:r>
      <w:r>
        <w:rPr>
          <w:rFonts w:hAnsi="宋体"/>
          <w:sz w:val="24"/>
          <w:shd w:val="clear" w:color="auto" w:fill="FFFFFF"/>
        </w:rPr>
        <w:t>，具体内容、时间和方式由双方根据实际需求另作商定。</w:t>
      </w:r>
    </w:p>
    <w:p>
      <w:pPr>
        <w:spacing w:line="440" w:lineRule="exact"/>
        <w:ind w:firstLine="480" w:firstLineChars="200"/>
        <w:rPr>
          <w:sz w:val="24"/>
          <w:shd w:val="clear" w:color="auto" w:fill="FFFFFF"/>
        </w:rPr>
      </w:pPr>
      <w:r>
        <w:rPr>
          <w:sz w:val="24"/>
          <w:shd w:val="clear" w:color="auto" w:fill="FFFFFF"/>
        </w:rPr>
        <w:t>6</w:t>
      </w:r>
      <w:r>
        <w:rPr>
          <w:rFonts w:hAnsi="宋体"/>
          <w:sz w:val="24"/>
          <w:shd w:val="clear" w:color="auto" w:fill="FFFFFF"/>
        </w:rPr>
        <w:t>、加强计量强检业务管理软件升级，力争实现计量强制检定工作信息：供应商、采购人、强制检定计量器具使用单位</w:t>
      </w:r>
      <w:r>
        <w:rPr>
          <w:sz w:val="24"/>
          <w:shd w:val="clear" w:color="auto" w:fill="FFFFFF"/>
        </w:rPr>
        <w:t>“</w:t>
      </w:r>
      <w:r>
        <w:rPr>
          <w:rFonts w:hAnsi="宋体"/>
          <w:sz w:val="24"/>
          <w:shd w:val="clear" w:color="auto" w:fill="FFFFFF"/>
        </w:rPr>
        <w:t>三方共享</w:t>
      </w:r>
      <w:r>
        <w:rPr>
          <w:sz w:val="24"/>
          <w:shd w:val="clear" w:color="auto" w:fill="FFFFFF"/>
        </w:rPr>
        <w:t>”</w:t>
      </w:r>
      <w:r>
        <w:rPr>
          <w:rFonts w:hAnsi="宋体"/>
          <w:sz w:val="24"/>
          <w:shd w:val="clear" w:color="auto" w:fill="FFFFFF"/>
        </w:rPr>
        <w:t>。</w:t>
      </w:r>
    </w:p>
    <w:p>
      <w:pPr>
        <w:spacing w:line="440" w:lineRule="exact"/>
        <w:ind w:firstLine="482" w:firstLineChars="200"/>
        <w:rPr>
          <w:b/>
          <w:sz w:val="24"/>
          <w:shd w:val="clear" w:color="auto" w:fill="FFFFFF"/>
        </w:rPr>
      </w:pPr>
      <w:r>
        <w:rPr>
          <w:rFonts w:hAnsi="宋体"/>
          <w:b/>
          <w:sz w:val="24"/>
          <w:shd w:val="clear" w:color="auto" w:fill="FFFFFF"/>
        </w:rPr>
        <w:t>五、服务要求</w:t>
      </w:r>
    </w:p>
    <w:p>
      <w:pPr>
        <w:spacing w:line="440" w:lineRule="exact"/>
        <w:ind w:firstLine="480" w:firstLineChars="200"/>
        <w:rPr>
          <w:sz w:val="24"/>
          <w:shd w:val="clear" w:color="auto" w:fill="FFFFFF"/>
        </w:rPr>
      </w:pPr>
      <w:r>
        <w:rPr>
          <w:rFonts w:hAnsi="宋体"/>
          <w:sz w:val="24"/>
          <w:shd w:val="clear" w:color="auto" w:fill="FFFFFF"/>
        </w:rPr>
        <w:t>供应商在提供强制检定计量器具免费检定服务时，应确保在机构管理、检测质量、服务能力、费用管控等方面满足采购人需求：</w:t>
      </w:r>
    </w:p>
    <w:p>
      <w:pPr>
        <w:spacing w:line="440" w:lineRule="exact"/>
        <w:ind w:firstLine="480" w:firstLineChars="200"/>
        <w:rPr>
          <w:sz w:val="24"/>
          <w:shd w:val="clear" w:color="auto" w:fill="FFFFFF"/>
        </w:rPr>
      </w:pPr>
      <w:r>
        <w:rPr>
          <w:sz w:val="24"/>
          <w:shd w:val="clear" w:color="auto" w:fill="FFFFFF"/>
        </w:rPr>
        <w:t>1</w:t>
      </w:r>
      <w:r>
        <w:rPr>
          <w:rFonts w:hAnsi="宋体"/>
          <w:sz w:val="24"/>
          <w:shd w:val="clear" w:color="auto" w:fill="FFFFFF"/>
        </w:rPr>
        <w:t>、供应商的计量机构与计量标准运行管理应符合</w:t>
      </w:r>
      <w:r>
        <w:rPr>
          <w:sz w:val="24"/>
          <w:shd w:val="clear" w:color="auto" w:fill="FFFFFF"/>
        </w:rPr>
        <w:t>JJF1069</w:t>
      </w:r>
      <w:r>
        <w:rPr>
          <w:rFonts w:hAnsi="宋体"/>
          <w:sz w:val="24"/>
          <w:shd w:val="clear" w:color="auto" w:fill="FFFFFF"/>
        </w:rPr>
        <w:t>《法定计量机构考核规范》、</w:t>
      </w:r>
      <w:r>
        <w:rPr>
          <w:sz w:val="24"/>
          <w:shd w:val="clear" w:color="auto" w:fill="FFFFFF"/>
        </w:rPr>
        <w:t>JJF1033</w:t>
      </w:r>
      <w:r>
        <w:rPr>
          <w:rFonts w:hAnsi="宋体"/>
          <w:sz w:val="24"/>
          <w:shd w:val="clear" w:color="auto" w:fill="FFFFFF"/>
        </w:rPr>
        <w:t>《计量标准考核规范》的要求。</w:t>
      </w:r>
    </w:p>
    <w:p>
      <w:pPr>
        <w:spacing w:line="440" w:lineRule="exact"/>
        <w:ind w:firstLine="480" w:firstLineChars="200"/>
        <w:rPr>
          <w:rFonts w:hAnsi="宋体"/>
          <w:sz w:val="24"/>
          <w:shd w:val="clear" w:color="auto" w:fill="FFFFFF"/>
        </w:rPr>
      </w:pPr>
      <w:r>
        <w:rPr>
          <w:sz w:val="24"/>
          <w:shd w:val="clear" w:color="auto" w:fill="FFFFFF"/>
        </w:rPr>
        <w:t>2</w:t>
      </w:r>
      <w:r>
        <w:rPr>
          <w:rFonts w:hAnsi="宋体"/>
          <w:sz w:val="24"/>
          <w:shd w:val="clear" w:color="auto" w:fill="FFFFFF"/>
        </w:rPr>
        <w:t>、供应商开展的计量检定工作必须按照国家计量检定系统表进行，必须执行计量检定规程。对检定合格的出具计量检定证书、加贴检定合格标志，对检定不合格的出具检定结果通知书。</w:t>
      </w:r>
    </w:p>
    <w:p>
      <w:pPr>
        <w:spacing w:line="440" w:lineRule="exact"/>
        <w:ind w:firstLine="480" w:firstLineChars="200"/>
        <w:rPr>
          <w:sz w:val="24"/>
          <w:shd w:val="clear" w:color="auto" w:fill="FFFFFF"/>
        </w:rPr>
      </w:pPr>
      <w:r>
        <w:rPr>
          <w:sz w:val="24"/>
          <w:shd w:val="clear" w:color="auto" w:fill="FFFFFF"/>
        </w:rPr>
        <w:t>3</w:t>
      </w:r>
      <w:r>
        <w:rPr>
          <w:rFonts w:hAnsi="宋体"/>
          <w:sz w:val="24"/>
          <w:shd w:val="clear" w:color="auto" w:fill="FFFFFF"/>
        </w:rPr>
        <w:t>、对属于强制检定范围，并按照规定申请检定的计量器具，供应商应按照检定周期和计划周密组织实施，不得推诿拖延</w:t>
      </w:r>
      <w:r>
        <w:rPr>
          <w:rFonts w:hAnsi="宋体"/>
          <w:sz w:val="24"/>
        </w:rPr>
        <w:t>，</w:t>
      </w:r>
      <w:r>
        <w:rPr>
          <w:rFonts w:hAnsi="宋体"/>
          <w:sz w:val="24"/>
          <w:shd w:val="clear" w:color="auto" w:fill="FFFFFF"/>
        </w:rPr>
        <w:t>应做到应检尽检。</w:t>
      </w:r>
    </w:p>
    <w:p>
      <w:pPr>
        <w:spacing w:line="440" w:lineRule="exact"/>
        <w:ind w:firstLine="480" w:firstLineChars="200"/>
        <w:rPr>
          <w:sz w:val="24"/>
          <w:shd w:val="clear" w:color="auto" w:fill="FFFFFF"/>
        </w:rPr>
      </w:pPr>
      <w:r>
        <w:rPr>
          <w:sz w:val="24"/>
          <w:shd w:val="clear" w:color="auto" w:fill="FFFFFF"/>
        </w:rPr>
        <w:t>4</w:t>
      </w:r>
      <w:r>
        <w:rPr>
          <w:rFonts w:hAnsi="宋体"/>
          <w:sz w:val="24"/>
          <w:shd w:val="clear" w:color="auto" w:fill="FFFFFF"/>
        </w:rPr>
        <w:t>、</w:t>
      </w:r>
      <w:r>
        <w:rPr>
          <w:rFonts w:hAnsi="宋体"/>
          <w:sz w:val="24"/>
        </w:rPr>
        <w:t>对目前暂不具备检定能力的强制检定项目，</w:t>
      </w:r>
      <w:r>
        <w:rPr>
          <w:rFonts w:hAnsi="宋体"/>
          <w:sz w:val="24"/>
          <w:shd w:val="clear" w:color="auto" w:fill="FFFFFF"/>
        </w:rPr>
        <w:t>供应商</w:t>
      </w:r>
      <w:r>
        <w:rPr>
          <w:rFonts w:hAnsi="宋体"/>
          <w:sz w:val="24"/>
        </w:rPr>
        <w:t>应</w:t>
      </w:r>
      <w:r>
        <w:rPr>
          <w:rFonts w:hAnsi="宋体"/>
          <w:sz w:val="24"/>
          <w:shd w:val="clear" w:color="auto" w:fill="FFFFFF"/>
        </w:rPr>
        <w:t>采取加速自主筹</w:t>
      </w:r>
      <w:r>
        <w:rPr>
          <w:rFonts w:hAnsi="宋体"/>
          <w:sz w:val="24"/>
        </w:rPr>
        <w:t>建</w:t>
      </w:r>
      <w:r>
        <w:rPr>
          <w:rFonts w:hAnsi="宋体"/>
          <w:sz w:val="24"/>
          <w:shd w:val="clear" w:color="auto" w:fill="FFFFFF"/>
        </w:rPr>
        <w:t>或争取行业合作等方式</w:t>
      </w:r>
      <w:r>
        <w:rPr>
          <w:rFonts w:hAnsi="宋体"/>
          <w:sz w:val="24"/>
        </w:rPr>
        <w:t>予以补足，尽快完善检定项目的覆盖面</w:t>
      </w:r>
      <w:r>
        <w:rPr>
          <w:rFonts w:hAnsi="宋体"/>
          <w:sz w:val="24"/>
          <w:shd w:val="clear" w:color="auto" w:fill="FFFFFF"/>
        </w:rPr>
        <w:t>。</w:t>
      </w:r>
    </w:p>
    <w:p>
      <w:pPr>
        <w:spacing w:line="440" w:lineRule="exact"/>
        <w:ind w:firstLine="480" w:firstLineChars="200"/>
        <w:rPr>
          <w:rFonts w:hAnsi="宋体"/>
          <w:sz w:val="24"/>
        </w:rPr>
      </w:pPr>
      <w:r>
        <w:rPr>
          <w:sz w:val="24"/>
          <w:shd w:val="clear" w:color="auto" w:fill="FFFFFF"/>
        </w:rPr>
        <w:t>5</w:t>
      </w:r>
      <w:r>
        <w:rPr>
          <w:rFonts w:hAnsi="宋体"/>
          <w:sz w:val="24"/>
          <w:shd w:val="clear" w:color="auto" w:fill="FFFFFF"/>
        </w:rPr>
        <w:t>、</w:t>
      </w:r>
      <w:r>
        <w:rPr>
          <w:rFonts w:hAnsi="宋体"/>
          <w:sz w:val="24"/>
        </w:rPr>
        <w:t>强制检定计量器具检定服务所产生的费用，</w:t>
      </w:r>
      <w:r>
        <w:rPr>
          <w:rFonts w:hint="eastAsia" w:hAnsi="宋体"/>
          <w:sz w:val="24"/>
        </w:rPr>
        <w:t>按照《四川省物价局四川省财政厅四川省质量技术监督局关于贯彻国家计委、财政部&lt;关于调整计量检定收费标准的通知&gt;的通知》（川价费〔2003〕177号）的50%计算，</w:t>
      </w:r>
      <w:r>
        <w:rPr>
          <w:rFonts w:hAnsi="宋体"/>
          <w:sz w:val="24"/>
        </w:rPr>
        <w:t>由采购</w:t>
      </w:r>
      <w:r>
        <w:rPr>
          <w:rFonts w:hint="eastAsia" w:hAnsi="宋体"/>
          <w:sz w:val="24"/>
        </w:rPr>
        <w:t>人</w:t>
      </w:r>
      <w:r>
        <w:rPr>
          <w:rFonts w:hAnsi="宋体"/>
          <w:sz w:val="24"/>
        </w:rPr>
        <w:t>向供应商统一支付</w:t>
      </w:r>
      <w:r>
        <w:rPr>
          <w:rFonts w:hint="eastAsia" w:hAnsi="宋体"/>
          <w:sz w:val="24"/>
        </w:rPr>
        <w:t>；未</w:t>
      </w:r>
      <w:r>
        <w:rPr>
          <w:rFonts w:hAnsi="宋体"/>
          <w:sz w:val="24"/>
        </w:rPr>
        <w:t>达到</w:t>
      </w:r>
      <w:r>
        <w:rPr>
          <w:rFonts w:hint="eastAsia" w:hAnsi="宋体"/>
          <w:sz w:val="24"/>
        </w:rPr>
        <w:t>成交</w:t>
      </w:r>
      <w:r>
        <w:rPr>
          <w:rFonts w:hAnsi="宋体"/>
          <w:sz w:val="24"/>
        </w:rPr>
        <w:t>价时，据实结算</w:t>
      </w:r>
      <w:r>
        <w:rPr>
          <w:rFonts w:hint="eastAsia" w:hAnsi="宋体"/>
          <w:sz w:val="24"/>
        </w:rPr>
        <w:t>，</w:t>
      </w:r>
      <w:r>
        <w:rPr>
          <w:rFonts w:hAnsi="宋体"/>
          <w:sz w:val="24"/>
        </w:rPr>
        <w:t>超</w:t>
      </w:r>
      <w:r>
        <w:rPr>
          <w:rFonts w:hint="eastAsia" w:hAnsi="宋体"/>
          <w:sz w:val="24"/>
        </w:rPr>
        <w:t>过成交</w:t>
      </w:r>
      <w:r>
        <w:rPr>
          <w:rFonts w:hAnsi="宋体"/>
          <w:sz w:val="24"/>
        </w:rPr>
        <w:t>价</w:t>
      </w:r>
      <w:r>
        <w:rPr>
          <w:rFonts w:hint="eastAsia" w:hAnsi="宋体"/>
          <w:sz w:val="24"/>
        </w:rPr>
        <w:t>后，超出</w:t>
      </w:r>
      <w:r>
        <w:rPr>
          <w:rFonts w:hAnsi="宋体"/>
          <w:sz w:val="24"/>
        </w:rPr>
        <w:t>部分不再加付</w:t>
      </w:r>
      <w:r>
        <w:rPr>
          <w:rFonts w:hint="eastAsia" w:hAnsi="宋体"/>
          <w:sz w:val="24"/>
        </w:rPr>
        <w:t>。</w:t>
      </w:r>
      <w:r>
        <w:rPr>
          <w:rFonts w:hAnsi="宋体"/>
          <w:sz w:val="24"/>
        </w:rPr>
        <w:t>供应商不得向服务对象收取强制检定费用，应做到应免尽免。</w:t>
      </w:r>
    </w:p>
    <w:p>
      <w:pPr>
        <w:spacing w:line="440" w:lineRule="exact"/>
        <w:ind w:firstLine="482" w:firstLineChars="200"/>
        <w:rPr>
          <w:b/>
          <w:sz w:val="24"/>
          <w:shd w:val="clear" w:color="auto" w:fill="FFFFFF"/>
        </w:rPr>
      </w:pPr>
      <w:r>
        <w:rPr>
          <w:rFonts w:hint="eastAsia" w:hAnsi="宋体"/>
          <w:b/>
          <w:sz w:val="24"/>
          <w:shd w:val="clear" w:color="auto" w:fill="FFFFFF"/>
        </w:rPr>
        <w:t>六、</w:t>
      </w:r>
      <w:r>
        <w:rPr>
          <w:rFonts w:hAnsi="宋体"/>
          <w:b/>
          <w:sz w:val="24"/>
          <w:shd w:val="clear" w:color="auto" w:fill="FFFFFF"/>
        </w:rPr>
        <w:t>成果要求</w:t>
      </w:r>
    </w:p>
    <w:p>
      <w:pPr>
        <w:spacing w:line="440" w:lineRule="exact"/>
        <w:ind w:firstLine="480" w:firstLineChars="200"/>
        <w:rPr>
          <w:rFonts w:hAnsi="宋体"/>
          <w:sz w:val="24"/>
        </w:rPr>
      </w:pPr>
      <w:r>
        <w:rPr>
          <w:rFonts w:hAnsi="宋体"/>
          <w:sz w:val="24"/>
        </w:rPr>
        <w:t>1、</w:t>
      </w:r>
      <w:r>
        <w:rPr>
          <w:rFonts w:hint="eastAsia" w:hAnsi="宋体"/>
          <w:sz w:val="24"/>
        </w:rPr>
        <w:t>强制检定计量器具免费检定工作在批准的备案表范围内进行，周期按计划执行。</w:t>
      </w:r>
    </w:p>
    <w:p>
      <w:pPr>
        <w:spacing w:line="440" w:lineRule="exact"/>
        <w:ind w:firstLine="480" w:firstLineChars="200"/>
        <w:rPr>
          <w:rFonts w:hAnsi="宋体"/>
          <w:sz w:val="24"/>
        </w:rPr>
      </w:pPr>
      <w:r>
        <w:rPr>
          <w:rFonts w:hAnsi="宋体"/>
          <w:sz w:val="24"/>
        </w:rPr>
        <w:t>2、检定工作完成后，供应商应在15日内通知强制检定计量器具使用单位领取</w:t>
      </w:r>
      <w:r>
        <w:rPr>
          <w:rFonts w:hint="eastAsia" w:hAnsi="宋体"/>
          <w:sz w:val="24"/>
        </w:rPr>
        <w:t>证书（</w:t>
      </w:r>
      <w:r>
        <w:rPr>
          <w:rFonts w:hAnsi="宋体"/>
          <w:sz w:val="24"/>
        </w:rPr>
        <w:t>检定证书</w:t>
      </w:r>
      <w:r>
        <w:rPr>
          <w:rFonts w:hint="eastAsia" w:hAnsi="宋体"/>
          <w:sz w:val="24"/>
        </w:rPr>
        <w:t>或</w:t>
      </w:r>
      <w:r>
        <w:rPr>
          <w:rFonts w:hAnsi="宋体"/>
          <w:sz w:val="24"/>
        </w:rPr>
        <w:t>检定结果通知书</w:t>
      </w:r>
      <w:r>
        <w:rPr>
          <w:rFonts w:hint="eastAsia" w:hAnsi="宋体"/>
          <w:sz w:val="24"/>
        </w:rPr>
        <w:t>）</w:t>
      </w:r>
      <w:r>
        <w:rPr>
          <w:rFonts w:hAnsi="宋体"/>
          <w:sz w:val="24"/>
        </w:rPr>
        <w:t>，并做好记录备查。供应商每月向采购人提交当月完成的强制检定计量器具检定工作量报表（电子</w:t>
      </w:r>
      <w:r>
        <w:rPr>
          <w:rFonts w:hint="eastAsia" w:hAnsi="宋体"/>
          <w:sz w:val="24"/>
        </w:rPr>
        <w:t>版</w:t>
      </w:r>
      <w:r>
        <w:rPr>
          <w:rFonts w:hAnsi="宋体"/>
          <w:sz w:val="24"/>
        </w:rPr>
        <w:t>）</w:t>
      </w:r>
      <w:r>
        <w:rPr>
          <w:rFonts w:hint="eastAsia" w:hAnsi="宋体"/>
          <w:sz w:val="24"/>
        </w:rPr>
        <w:t>等材料</w:t>
      </w:r>
      <w:r>
        <w:rPr>
          <w:rFonts w:hAnsi="宋体"/>
          <w:sz w:val="24"/>
        </w:rPr>
        <w:t>，以便采购人监管和</w:t>
      </w:r>
      <w:r>
        <w:rPr>
          <w:rFonts w:hint="eastAsia" w:hAnsi="宋体"/>
          <w:sz w:val="24"/>
        </w:rPr>
        <w:t>考</w:t>
      </w:r>
      <w:r>
        <w:rPr>
          <w:rFonts w:hAnsi="宋体"/>
          <w:sz w:val="24"/>
        </w:rPr>
        <w:t>核。</w:t>
      </w:r>
    </w:p>
    <w:p>
      <w:pPr>
        <w:spacing w:line="440" w:lineRule="exact"/>
        <w:ind w:firstLine="480" w:firstLineChars="200"/>
        <w:rPr>
          <w:rFonts w:ascii="宋体" w:hAnsi="宋体"/>
          <w:b/>
          <w:sz w:val="24"/>
        </w:rPr>
      </w:pPr>
      <w:r>
        <w:rPr>
          <w:rFonts w:hAnsi="宋体"/>
          <w:sz w:val="24"/>
        </w:rPr>
        <w:t>3、交付内容：强制检定计量器具备案表</w:t>
      </w:r>
      <w:r>
        <w:rPr>
          <w:rFonts w:hint="eastAsia" w:hAnsi="宋体"/>
          <w:sz w:val="24"/>
        </w:rPr>
        <w:t>（电子、纸质）</w:t>
      </w:r>
      <w:r>
        <w:rPr>
          <w:rFonts w:hAnsi="宋体"/>
          <w:sz w:val="24"/>
        </w:rPr>
        <w:t>、免费检定情况统计报表</w:t>
      </w:r>
      <w:r>
        <w:rPr>
          <w:rFonts w:hint="eastAsia" w:hAnsi="宋体"/>
          <w:sz w:val="24"/>
        </w:rPr>
        <w:t>（电子）</w:t>
      </w:r>
      <w:r>
        <w:rPr>
          <w:rFonts w:hAnsi="宋体"/>
          <w:sz w:val="24"/>
        </w:rPr>
        <w:t>、免费证书领取记录</w:t>
      </w:r>
      <w:r>
        <w:rPr>
          <w:rFonts w:hint="eastAsia" w:hAnsi="宋体"/>
          <w:sz w:val="24"/>
        </w:rPr>
        <w:t>（纸质）及按比例随机抽查的证书复印件（纸质）</w:t>
      </w:r>
      <w:r>
        <w:rPr>
          <w:rFonts w:hAnsi="宋体"/>
          <w:sz w:val="24"/>
        </w:rPr>
        <w:t>等。</w:t>
      </w:r>
    </w:p>
    <w:p>
      <w:pPr>
        <w:spacing w:line="360" w:lineRule="auto"/>
        <w:ind w:firstLine="241" w:firstLineChars="100"/>
        <w:rPr>
          <w:rFonts w:ascii="宋体" w:hAnsi="宋体"/>
          <w:b/>
          <w:sz w:val="24"/>
        </w:rPr>
      </w:pPr>
      <w:bookmarkStart w:id="129" w:name="_Toc217446108"/>
      <w:r>
        <w:rPr>
          <w:rFonts w:hint="eastAsia" w:ascii="宋体" w:hAnsi="宋体"/>
          <w:b/>
          <w:sz w:val="24"/>
        </w:rPr>
        <w:t>七、合同总价</w:t>
      </w:r>
      <w:bookmarkEnd w:id="129"/>
    </w:p>
    <w:p>
      <w:pPr>
        <w:spacing w:line="360" w:lineRule="auto"/>
        <w:ind w:firstLine="420" w:firstLineChars="175"/>
        <w:rPr>
          <w:rFonts w:ascii="宋体" w:hAnsi="宋体"/>
          <w:color w:val="000000"/>
          <w:sz w:val="24"/>
        </w:rPr>
      </w:pPr>
      <w:r>
        <w:rPr>
          <w:rFonts w:hint="eastAsia" w:ascii="宋体" w:hAnsi="宋体"/>
          <w:color w:val="000000"/>
          <w:sz w:val="24"/>
        </w:rPr>
        <w:t>合同总价为人民币大写：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元，即RMB￥</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440" w:lineRule="exact"/>
        <w:ind w:firstLine="241" w:firstLineChars="100"/>
        <w:jc w:val="left"/>
        <w:rPr>
          <w:b/>
          <w:bCs/>
          <w:sz w:val="24"/>
        </w:rPr>
      </w:pPr>
      <w:bookmarkStart w:id="130" w:name="_Toc217446113"/>
      <w:r>
        <w:rPr>
          <w:rFonts w:hint="eastAsia" w:hAnsi="宋体"/>
          <w:b/>
          <w:bCs/>
          <w:sz w:val="24"/>
        </w:rPr>
        <w:t>八</w:t>
      </w:r>
      <w:r>
        <w:rPr>
          <w:rFonts w:hAnsi="宋体"/>
          <w:b/>
          <w:bCs/>
          <w:sz w:val="24"/>
        </w:rPr>
        <w:t>、履约时间：</w:t>
      </w:r>
    </w:p>
    <w:p>
      <w:pPr>
        <w:spacing w:line="440" w:lineRule="exact"/>
        <w:ind w:firstLine="480" w:firstLineChars="200"/>
        <w:jc w:val="left"/>
        <w:rPr>
          <w:rFonts w:hAnsi="宋体"/>
          <w:sz w:val="24"/>
        </w:rPr>
      </w:pPr>
      <w:r>
        <w:rPr>
          <w:rFonts w:hint="eastAsia" w:hAnsi="宋体"/>
          <w:sz w:val="24"/>
        </w:rPr>
        <w:t>政府采购合同签订后至2022年12月31日前完成当年全部强制检定工作。</w:t>
      </w:r>
    </w:p>
    <w:p>
      <w:pPr>
        <w:numPr>
          <w:ilvl w:val="0"/>
          <w:numId w:val="4"/>
        </w:numPr>
        <w:spacing w:line="440" w:lineRule="exact"/>
        <w:ind w:firstLine="241" w:firstLineChars="100"/>
        <w:jc w:val="left"/>
        <w:rPr>
          <w:rFonts w:hAnsi="宋体"/>
          <w:b/>
          <w:bCs/>
          <w:sz w:val="24"/>
        </w:rPr>
      </w:pPr>
      <w:r>
        <w:rPr>
          <w:rFonts w:hint="eastAsia" w:hAnsi="宋体"/>
          <w:b/>
          <w:bCs/>
          <w:sz w:val="24"/>
        </w:rPr>
        <w:t>付款方式：</w:t>
      </w:r>
    </w:p>
    <w:p>
      <w:pPr>
        <w:spacing w:line="440" w:lineRule="exact"/>
        <w:ind w:firstLine="480" w:firstLineChars="200"/>
        <w:jc w:val="left"/>
        <w:rPr>
          <w:rFonts w:hAnsi="宋体"/>
          <w:sz w:val="24"/>
        </w:rPr>
      </w:pPr>
      <w:r>
        <w:rPr>
          <w:rFonts w:hint="eastAsia" w:hAnsi="宋体"/>
          <w:sz w:val="24"/>
          <w:shd w:val="clear" w:color="auto" w:fill="FFFFFF"/>
        </w:rPr>
        <w:t>签订合同之日起十五日内，采购人首次支付合同金额的30%；第二次支付按照检定工作量完成合同约定工作量的70%时，支付合同金额的40%；年度所有检定工作经验收合格后，支付剩余合同金额的30%；若实际完成的工作量未</w:t>
      </w:r>
      <w:r>
        <w:rPr>
          <w:rFonts w:hAnsi="宋体"/>
          <w:sz w:val="24"/>
          <w:shd w:val="clear" w:color="auto" w:fill="FFFFFF"/>
        </w:rPr>
        <w:t>达到合同</w:t>
      </w:r>
      <w:r>
        <w:rPr>
          <w:rFonts w:hint="eastAsia" w:hAnsi="宋体"/>
          <w:sz w:val="24"/>
          <w:shd w:val="clear" w:color="auto" w:fill="FFFFFF"/>
        </w:rPr>
        <w:t>约定的工作量</w:t>
      </w:r>
      <w:r>
        <w:rPr>
          <w:rFonts w:hAnsi="宋体"/>
          <w:sz w:val="24"/>
          <w:shd w:val="clear" w:color="auto" w:fill="FFFFFF"/>
        </w:rPr>
        <w:t>时，将依据实际完成的工作量据实结算</w:t>
      </w:r>
      <w:r>
        <w:rPr>
          <w:rFonts w:hint="eastAsia" w:hAnsi="宋体"/>
          <w:sz w:val="24"/>
          <w:shd w:val="clear" w:color="auto" w:fill="FFFFFF"/>
        </w:rPr>
        <w:t>。</w:t>
      </w:r>
    </w:p>
    <w:p>
      <w:pPr>
        <w:spacing w:line="360" w:lineRule="auto"/>
        <w:ind w:firstLine="241" w:firstLineChars="100"/>
        <w:rPr>
          <w:rFonts w:hAnsi="宋体"/>
          <w:bCs/>
          <w:sz w:val="24"/>
        </w:rPr>
      </w:pPr>
      <w:r>
        <w:rPr>
          <w:rFonts w:hint="eastAsia" w:hAnsi="宋体"/>
          <w:b/>
          <w:sz w:val="24"/>
        </w:rPr>
        <w:t>十</w:t>
      </w:r>
      <w:r>
        <w:rPr>
          <w:rFonts w:hAnsi="宋体"/>
          <w:b/>
          <w:sz w:val="24"/>
        </w:rPr>
        <w:t>、验收方式：</w:t>
      </w:r>
      <w:r>
        <w:rPr>
          <w:rFonts w:hAnsi="宋体"/>
          <w:bCs/>
          <w:sz w:val="24"/>
        </w:rPr>
        <w:t>本项目将按照《财政部关于进一步加强政府采购需求和履约验收管理的指导意见》</w:t>
      </w:r>
      <w:r>
        <w:rPr>
          <w:bCs/>
          <w:sz w:val="24"/>
        </w:rPr>
        <w:t>(</w:t>
      </w:r>
      <w:r>
        <w:rPr>
          <w:rFonts w:hAnsi="宋体"/>
          <w:bCs/>
          <w:sz w:val="24"/>
        </w:rPr>
        <w:t>财库〔</w:t>
      </w:r>
      <w:r>
        <w:rPr>
          <w:bCs/>
          <w:sz w:val="24"/>
        </w:rPr>
        <w:t>2016</w:t>
      </w:r>
      <w:r>
        <w:rPr>
          <w:rFonts w:hAnsi="宋体"/>
          <w:bCs/>
          <w:sz w:val="24"/>
        </w:rPr>
        <w:t>〕</w:t>
      </w:r>
      <w:r>
        <w:rPr>
          <w:bCs/>
          <w:sz w:val="24"/>
        </w:rPr>
        <w:t>205</w:t>
      </w:r>
      <w:r>
        <w:rPr>
          <w:rFonts w:hAnsi="宋体"/>
          <w:bCs/>
          <w:sz w:val="24"/>
        </w:rPr>
        <w:t>号</w:t>
      </w:r>
      <w:r>
        <w:rPr>
          <w:bCs/>
          <w:sz w:val="24"/>
        </w:rPr>
        <w:t>)</w:t>
      </w:r>
      <w:r>
        <w:rPr>
          <w:rFonts w:hAnsi="宋体"/>
          <w:bCs/>
          <w:sz w:val="24"/>
        </w:rPr>
        <w:t>的要求进行验收。</w:t>
      </w:r>
    </w:p>
    <w:p>
      <w:pPr>
        <w:spacing w:line="360" w:lineRule="auto"/>
        <w:ind w:firstLine="241" w:firstLineChars="100"/>
        <w:rPr>
          <w:rFonts w:ascii="宋体" w:hAnsi="宋体"/>
          <w:b/>
          <w:sz w:val="24"/>
        </w:rPr>
      </w:pPr>
      <w:r>
        <w:rPr>
          <w:rFonts w:hint="eastAsia" w:ascii="宋体" w:hAnsi="宋体"/>
          <w:b/>
          <w:sz w:val="24"/>
        </w:rPr>
        <w:t>十一、违约责任</w:t>
      </w:r>
      <w:bookmarkEnd w:id="130"/>
    </w:p>
    <w:p>
      <w:pPr>
        <w:spacing w:line="360" w:lineRule="auto"/>
        <w:ind w:firstLine="480" w:firstLineChars="200"/>
        <w:rPr>
          <w:rFonts w:ascii="宋体" w:hAnsi="宋体" w:cs="宋体"/>
          <w:color w:val="000000"/>
          <w:sz w:val="24"/>
        </w:rPr>
      </w:pPr>
      <w:r>
        <w:rPr>
          <w:rFonts w:hint="eastAsia" w:ascii="宋体" w:hAnsi="宋体" w:cs="宋体"/>
          <w:color w:val="000000"/>
          <w:sz w:val="24"/>
        </w:rPr>
        <w:t>1、甲方违约责任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 甲方无正当理由拒收货物的，甲方应偿付合同总价百分之  的违约金；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 甲方逾期支付货款的，除应及时付足货款外，应向乙方偿付欠款总额万分之/天的违约金；逾期付款超过天的，乙方有权终止合同；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（3） 甲方偿付的违约金不足以弥补乙方损失的，还应按乙方损失尚未弥补的部分，支付赔偿金给乙方。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（2）乙方不能交付货物或逾期交付货物而违约的，除应及时交足货物外，应向甲方偿付逾期交货部分货款总额的万分之/天的违约金；逾期交货超过</w:t>
      </w:r>
      <w:r>
        <w:rPr>
          <w:rFonts w:hint="eastAsia" w:ascii="宋体" w:hAnsi="宋体" w:cs="宋体"/>
          <w:color w:val="000000"/>
          <w:sz w:val="24"/>
          <w:szCs w:val="21"/>
        </w:rPr>
        <w:t>XX</w:t>
      </w:r>
      <w:r>
        <w:rPr>
          <w:rFonts w:hint="eastAsia" w:ascii="宋体" w:hAnsi="宋体" w:cs="宋体"/>
          <w:color w:val="000000"/>
          <w:sz w:val="24"/>
        </w:rPr>
        <w:t>天，甲方有权终止合同，乙方则应按合同总价的百分之的款额向甲方偿付赔偿金，并须全额退还甲方已经付给乙方的货款及其利息。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spacing w:line="360" w:lineRule="auto"/>
        <w:ind w:firstLine="480" w:firstLineChars="200"/>
        <w:rPr>
          <w:rFonts w:ascii="宋体" w:hAnsi="宋体" w:cs="宋体"/>
          <w:color w:val="000000"/>
          <w:sz w:val="24"/>
        </w:rPr>
      </w:pPr>
      <w:r>
        <w:rPr>
          <w:rFonts w:hint="eastAsia" w:ascii="宋体" w:hAnsi="宋体" w:cs="宋体"/>
          <w:color w:val="000000"/>
          <w:sz w:val="24"/>
        </w:rPr>
        <w:t>（5）乙方偿付的违约金不足以弥补甲方损失的，还应按甲方损失尚未弥补的部分，支付赔偿金给甲方。</w:t>
      </w:r>
    </w:p>
    <w:p>
      <w:pPr>
        <w:spacing w:line="360" w:lineRule="auto"/>
        <w:rPr>
          <w:rFonts w:ascii="宋体" w:hAnsi="宋体"/>
          <w:b/>
          <w:sz w:val="24"/>
        </w:rPr>
      </w:pPr>
      <w:bookmarkStart w:id="131" w:name="_Toc217446114"/>
      <w:r>
        <w:rPr>
          <w:rFonts w:hint="eastAsia" w:ascii="宋体" w:hAnsi="宋体"/>
          <w:b/>
          <w:sz w:val="24"/>
        </w:rPr>
        <w:t>十一、争议解决办法</w:t>
      </w:r>
      <w:bookmarkEnd w:id="131"/>
    </w:p>
    <w:p>
      <w:pPr>
        <w:spacing w:line="360" w:lineRule="auto"/>
        <w:ind w:firstLine="480" w:firstLineChars="200"/>
        <w:rPr>
          <w:rFonts w:ascii="宋体" w:hAnsi="宋体" w:cs="宋体"/>
          <w:sz w:val="24"/>
        </w:rPr>
      </w:pPr>
      <w:r>
        <w:rPr>
          <w:rFonts w:hint="eastAsia" w:ascii="宋体" w:hAnsi="宋体" w:cs="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cs="宋体"/>
          <w:sz w:val="24"/>
        </w:rPr>
      </w:pPr>
      <w:r>
        <w:rPr>
          <w:rFonts w:hint="eastAsia" w:ascii="宋体" w:hAnsi="宋体" w:cs="宋体"/>
          <w:sz w:val="24"/>
        </w:rPr>
        <w:t>2、合同履行期间,若双方发生争议，可协商或由有关部门调解解决，协商或调解不成的，由当事人依法维护其合法权益。</w:t>
      </w:r>
    </w:p>
    <w:p>
      <w:pPr>
        <w:spacing w:line="360" w:lineRule="auto"/>
        <w:rPr>
          <w:rFonts w:ascii="宋体" w:hAnsi="宋体"/>
          <w:b/>
          <w:sz w:val="24"/>
        </w:rPr>
      </w:pPr>
      <w:r>
        <w:rPr>
          <w:rFonts w:hint="eastAsia" w:ascii="宋体" w:hAnsi="宋体"/>
          <w:b/>
          <w:sz w:val="24"/>
        </w:rPr>
        <w:t>十二、其他</w:t>
      </w:r>
    </w:p>
    <w:p>
      <w:pPr>
        <w:spacing w:line="360" w:lineRule="auto"/>
        <w:ind w:firstLine="480" w:firstLineChars="200"/>
        <w:rPr>
          <w:rFonts w:ascii="宋体" w:hAnsi="宋体" w:cs="宋体"/>
          <w:sz w:val="24"/>
        </w:rPr>
      </w:pPr>
      <w:r>
        <w:rPr>
          <w:rFonts w:hint="eastAsia" w:ascii="宋体" w:hAnsi="宋体" w:cs="宋体"/>
          <w:sz w:val="24"/>
        </w:rPr>
        <w:t>1、如有未尽事宜，由双方依法订立补充合同。</w:t>
      </w:r>
    </w:p>
    <w:p>
      <w:pPr>
        <w:spacing w:line="360" w:lineRule="auto"/>
        <w:ind w:firstLine="480" w:firstLineChars="200"/>
        <w:rPr>
          <w:rFonts w:ascii="宋体" w:hAnsi="宋体" w:cs="宋体"/>
          <w:sz w:val="24"/>
        </w:rPr>
      </w:pPr>
      <w:r>
        <w:rPr>
          <w:rFonts w:hint="eastAsia" w:ascii="宋体" w:hAnsi="宋体" w:cs="宋体"/>
          <w:sz w:val="24"/>
        </w:rPr>
        <w:t>2、本合同一式肆份，自双方签章之日起生效。甲方贰份，乙方、采购代理机构各一份。</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乙方：   （盖章）</w:t>
      </w:r>
    </w:p>
    <w:p>
      <w:pPr>
        <w:spacing w:line="360" w:lineRule="auto"/>
        <w:ind w:firstLine="480" w:firstLineChars="200"/>
        <w:rPr>
          <w:rFonts w:ascii="宋体" w:hAnsi="宋体"/>
          <w:sz w:val="24"/>
        </w:rPr>
      </w:pPr>
      <w:r>
        <w:rPr>
          <w:rFonts w:hint="eastAsia" w:ascii="宋体" w:hAnsi="宋体"/>
          <w:sz w:val="24"/>
        </w:rPr>
        <w:t>法定代表人（被授权人）：            法定代表人（被授权人）：</w:t>
      </w:r>
    </w:p>
    <w:p>
      <w:pPr>
        <w:spacing w:line="360" w:lineRule="auto"/>
        <w:ind w:firstLine="480" w:firstLineChars="200"/>
        <w:rPr>
          <w:rFonts w:ascii="宋体" w:hAnsi="宋体"/>
          <w:sz w:val="24"/>
        </w:rPr>
      </w:pPr>
      <w:r>
        <w:rPr>
          <w:rFonts w:hint="eastAsia" w:ascii="宋体" w:hAnsi="宋体"/>
          <w:sz w:val="24"/>
        </w:rPr>
        <w:t>地    址：                         地    址：</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账号：                             账号：</w:t>
      </w:r>
    </w:p>
    <w:p>
      <w:pPr>
        <w:spacing w:line="360" w:lineRule="auto"/>
        <w:ind w:firstLine="480" w:firstLineChars="200"/>
        <w:rPr>
          <w:rFonts w:ascii="宋体" w:hAnsi="宋体"/>
          <w:sz w:val="24"/>
        </w:rPr>
      </w:pPr>
      <w:r>
        <w:rPr>
          <w:rFonts w:hint="eastAsia" w:ascii="宋体" w:hAnsi="宋体"/>
          <w:sz w:val="24"/>
        </w:rPr>
        <w:t>电    话：                         电    话：</w:t>
      </w:r>
    </w:p>
    <w:p>
      <w:pPr>
        <w:spacing w:line="360" w:lineRule="auto"/>
        <w:ind w:firstLine="480" w:firstLineChars="200"/>
        <w:rPr>
          <w:rFonts w:ascii="宋体" w:hAnsi="宋体"/>
          <w:sz w:val="24"/>
        </w:rPr>
      </w:pPr>
      <w:r>
        <w:rPr>
          <w:rFonts w:hint="eastAsia" w:ascii="宋体" w:hAnsi="宋体"/>
          <w:sz w:val="24"/>
        </w:rPr>
        <w:t>传    真：                         传    真：</w:t>
      </w:r>
    </w:p>
    <w:p>
      <w:pPr>
        <w:spacing w:line="360" w:lineRule="auto"/>
        <w:ind w:firstLine="480" w:firstLineChars="200"/>
        <w:rPr>
          <w:rFonts w:ascii="宋体" w:hAnsi="宋体"/>
          <w:sz w:val="24"/>
        </w:rPr>
      </w:pPr>
      <w:r>
        <w:rPr>
          <w:rFonts w:hint="eastAsia" w:ascii="宋体" w:hAnsi="宋体"/>
          <w:sz w:val="24"/>
        </w:rPr>
        <w:t>签约日期：XX年XX月XX日</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签约日期：XX年XX月XX日</w:t>
      </w:r>
    </w:p>
    <w:p>
      <w:pPr>
        <w:spacing w:after="120"/>
      </w:pPr>
    </w:p>
    <w:p>
      <w:pPr>
        <w:spacing w:after="120"/>
      </w:pPr>
    </w:p>
    <w:p>
      <w:pPr>
        <w:spacing w:after="120"/>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4"/>
        <w:numPr>
          <w:ilvl w:val="0"/>
          <w:numId w:val="0"/>
        </w:numPr>
        <w:spacing w:line="360" w:lineRule="auto"/>
        <w:ind w:firstLine="0"/>
        <w:jc w:val="center"/>
        <w:rPr>
          <w:sz w:val="32"/>
          <w:szCs w:val="28"/>
        </w:rPr>
      </w:pPr>
      <w:bookmarkStart w:id="132" w:name="_Toc28963439"/>
      <w:bookmarkStart w:id="133" w:name="_Toc98334756"/>
      <w:r>
        <w:rPr>
          <w:rFonts w:hint="eastAsia"/>
          <w:sz w:val="32"/>
          <w:szCs w:val="28"/>
        </w:rPr>
        <w:t>第6章 附件</w:t>
      </w:r>
      <w:bookmarkEnd w:id="132"/>
      <w:bookmarkEnd w:id="133"/>
    </w:p>
    <w:p>
      <w:pPr>
        <w:pStyle w:val="3"/>
        <w:ind w:left="0" w:leftChars="0"/>
        <w:rPr>
          <w:rFonts w:ascii="宋体" w:hAnsi="宋体"/>
          <w:b/>
          <w:color w:val="FF0000"/>
          <w:szCs w:val="32"/>
        </w:rPr>
      </w:pPr>
    </w:p>
    <w:p>
      <w:pPr>
        <w:pStyle w:val="3"/>
        <w:ind w:left="0" w:leftChars="0"/>
        <w:rPr>
          <w:b/>
          <w:color w:val="FF0000"/>
          <w:szCs w:val="32"/>
        </w:rPr>
      </w:pPr>
      <w:r>
        <w:rPr>
          <w:rFonts w:ascii="宋体" w:hAnsi="宋体"/>
          <w:b/>
          <w:color w:val="FF0000"/>
          <w:szCs w:val="32"/>
        </w:rPr>
        <w:t>附件</w:t>
      </w:r>
      <w:r>
        <w:rPr>
          <w:rFonts w:hint="eastAsia" w:ascii="宋体" w:hAnsi="宋体"/>
          <w:b/>
          <w:color w:val="FF0000"/>
          <w:szCs w:val="32"/>
        </w:rPr>
        <w:t>1：</w:t>
      </w:r>
      <w:r>
        <w:rPr>
          <w:rFonts w:ascii="宋体" w:hAnsi="宋体"/>
          <w:b/>
          <w:color w:val="FF0000"/>
          <w:szCs w:val="32"/>
        </w:rPr>
        <w:t>质疑</w:t>
      </w:r>
      <w:r>
        <w:rPr>
          <w:rFonts w:hint="eastAsia" w:ascii="宋体" w:hAnsi="宋体"/>
          <w:b/>
          <w:color w:val="FF0000"/>
          <w:szCs w:val="32"/>
        </w:rPr>
        <w:t>函</w:t>
      </w:r>
      <w:r>
        <w:rPr>
          <w:rFonts w:ascii="宋体" w:hAnsi="宋体"/>
          <w:b/>
          <w:color w:val="FF0000"/>
          <w:szCs w:val="32"/>
        </w:rPr>
        <w:t>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ascii="黑体" w:hAnsi="黑体" w:eastAsia="黑体" w:cs="仿宋"/>
          <w:bCs/>
          <w:sz w:val="28"/>
          <w:szCs w:val="28"/>
        </w:rPr>
      </w:pPr>
      <w:r>
        <w:rPr>
          <w:rFonts w:hint="eastAsia" w:ascii="黑体" w:hAnsi="黑体" w:eastAsia="黑体" w:cs="仿宋"/>
          <w:bCs/>
          <w:sz w:val="28"/>
          <w:szCs w:val="28"/>
        </w:rPr>
        <w:t>一、质疑供应商基本信息</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ascii="仿宋" w:hAnsi="仿宋" w:eastAsia="仿宋" w:cs="仿宋"/>
          <w:sz w:val="28"/>
          <w:szCs w:val="28"/>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w:t>
      </w:r>
      <w:r>
        <w:rPr>
          <w:rFonts w:ascii="仿宋" w:hAnsi="仿宋" w:eastAsia="仿宋" w:cs="仿宋"/>
          <w:sz w:val="28"/>
          <w:szCs w:val="28"/>
        </w:rPr>
        <w:t xml:space="preserve">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u w:val="dotted"/>
        </w:rPr>
        <w:t xml:space="preserve">                                                     </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pPr>
        <w:rPr>
          <w:rFonts w:ascii="仿宋_GB2312" w:eastAsia="仿宋_GB2312"/>
          <w:sz w:val="28"/>
          <w:szCs w:val="28"/>
        </w:rPr>
      </w:pPr>
      <w:r>
        <w:rPr>
          <w:rFonts w:hint="eastAsia" w:ascii="仿宋_GB2312" w:eastAsia="仿宋_GB2312"/>
          <w:sz w:val="28"/>
          <w:szCs w:val="28"/>
        </w:rPr>
        <w:t xml:space="preserve">签字(签章)：                   公章：                      </w:t>
      </w:r>
    </w:p>
    <w:p>
      <w:pPr>
        <w:rPr>
          <w:rFonts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560" w:firstLineChars="200"/>
        <w:jc w:val="left"/>
        <w:rPr>
          <w:rFonts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ascii="仿宋_GB2312" w:eastAsia="仿宋_GB2312"/>
          <w:sz w:val="28"/>
          <w:szCs w:val="28"/>
        </w:rPr>
      </w:pPr>
      <w:r>
        <w:rPr>
          <w:rFonts w:hint="eastAsia" w:ascii="仿宋_GB2312" w:eastAsia="仿宋_GB2312"/>
          <w:sz w:val="28"/>
          <w:szCs w:val="28"/>
        </w:rPr>
        <w:t>5.质疑函的质疑请求应与质疑事项相关。</w:t>
      </w:r>
    </w:p>
    <w:p>
      <w:pPr>
        <w:pStyle w:val="3"/>
        <w:rPr>
          <w:b/>
          <w:color w:val="FF0000"/>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pStyle w:val="3"/>
        <w:rPr>
          <w:b/>
          <w:color w:val="FF0000"/>
          <w:szCs w:val="32"/>
        </w:rPr>
      </w:pPr>
    </w:p>
    <w:p>
      <w:pPr>
        <w:pStyle w:val="3"/>
        <w:rPr>
          <w:b/>
          <w:color w:val="FF0000"/>
          <w:szCs w:val="32"/>
        </w:rPr>
      </w:pPr>
    </w:p>
    <w:p>
      <w:pPr>
        <w:pStyle w:val="3"/>
        <w:rPr>
          <w:b/>
          <w:color w:val="FF0000"/>
          <w:szCs w:val="32"/>
        </w:rPr>
      </w:pPr>
    </w:p>
    <w:p>
      <w:pPr>
        <w:pStyle w:val="3"/>
        <w:rPr>
          <w:b/>
          <w:color w:val="FF0000"/>
          <w:szCs w:val="32"/>
        </w:rPr>
      </w:pPr>
    </w:p>
    <w:p>
      <w:pPr>
        <w:pStyle w:val="3"/>
        <w:rPr>
          <w:rFonts w:hint="eastAsia"/>
          <w:b/>
          <w:color w:val="FF0000"/>
          <w:szCs w:val="32"/>
        </w:rPr>
      </w:pPr>
    </w:p>
    <w:p>
      <w:pPr>
        <w:pStyle w:val="3"/>
        <w:rPr>
          <w:rFonts w:hint="eastAsia"/>
          <w:b/>
          <w:color w:val="FF0000"/>
          <w:szCs w:val="32"/>
        </w:rPr>
      </w:pPr>
      <w:r>
        <w:rPr>
          <w:b/>
          <w:color w:val="FF0000"/>
          <w:szCs w:val="32"/>
        </w:rPr>
        <w:t>附件</w:t>
      </w:r>
      <w:r>
        <w:rPr>
          <w:rFonts w:hint="eastAsia"/>
          <w:b/>
          <w:color w:val="FF0000"/>
          <w:szCs w:val="32"/>
        </w:rPr>
        <w:t>2：</w:t>
      </w:r>
      <w:r>
        <w:rPr>
          <w:b/>
          <w:color w:val="FF0000"/>
          <w:szCs w:val="32"/>
        </w:rPr>
        <w:t>投诉书范本</w:t>
      </w:r>
    </w:p>
    <w:p>
      <w:pPr>
        <w:jc w:val="center"/>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28"/>
          <w:szCs w:val="28"/>
        </w:rPr>
      </w:pPr>
      <w:r>
        <w:rPr>
          <w:rFonts w:hint="eastAsia" w:ascii="黑体" w:hAnsi="黑体" w:eastAsia="黑体"/>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黑体" w:hAnsi="黑体" w:eastAsia="黑体"/>
          <w:sz w:val="28"/>
          <w:szCs w:val="28"/>
        </w:rPr>
      </w:pPr>
      <w:r>
        <w:rPr>
          <w:rFonts w:hint="eastAsia" w:ascii="黑体" w:hAnsi="黑体" w:eastAsia="黑体"/>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黑体" w:hAnsi="黑体" w:eastAsia="黑体"/>
          <w:sz w:val="28"/>
          <w:szCs w:val="28"/>
        </w:rPr>
      </w:pPr>
      <w:r>
        <w:rPr>
          <w:rFonts w:hint="eastAsia" w:ascii="黑体" w:hAnsi="黑体" w:eastAsia="黑体"/>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黑体" w:hAnsi="黑体" w:eastAsia="黑体"/>
          <w:sz w:val="28"/>
          <w:szCs w:val="28"/>
        </w:rPr>
      </w:pPr>
      <w:r>
        <w:rPr>
          <w:rFonts w:hint="eastAsia" w:ascii="黑体" w:hAnsi="黑体" w:eastAsia="黑体"/>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黑体" w:hAnsi="黑体" w:eastAsia="黑体"/>
          <w:sz w:val="28"/>
          <w:szCs w:val="28"/>
        </w:rPr>
      </w:pPr>
      <w:r>
        <w:rPr>
          <w:rFonts w:hint="eastAsia" w:ascii="黑体" w:hAnsi="黑体" w:eastAsia="黑体"/>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黑体" w:hAnsi="黑体" w:eastAsia="黑体"/>
          <w:b/>
          <w:sz w:val="28"/>
          <w:szCs w:val="28"/>
        </w:rPr>
      </w:pPr>
    </w:p>
    <w:p>
      <w:pPr>
        <w:rPr>
          <w:rFonts w:hint="eastAsia" w:ascii="黑体" w:hAnsi="黑体" w:eastAsia="黑体"/>
          <w:b/>
          <w:sz w:val="28"/>
          <w:szCs w:val="28"/>
        </w:rPr>
      </w:pPr>
    </w:p>
    <w:p>
      <w:pPr>
        <w:rPr>
          <w:rFonts w:hint="eastAsia" w:ascii="黑体" w:hAnsi="黑体" w:eastAsia="黑体"/>
          <w:b/>
          <w:sz w:val="28"/>
          <w:szCs w:val="28"/>
        </w:rPr>
      </w:pPr>
    </w:p>
    <w:p>
      <w:pPr>
        <w:rPr>
          <w:rFonts w:hint="eastAsia" w:ascii="黑体" w:hAnsi="黑体" w:eastAsia="黑体"/>
          <w:b/>
          <w:sz w:val="28"/>
          <w:szCs w:val="28"/>
        </w:rPr>
      </w:pPr>
      <w:r>
        <w:rPr>
          <w:rFonts w:hint="eastAsia" w:ascii="黑体" w:hAnsi="黑体" w:eastAsia="黑体"/>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ascii="仿宋_GB2312" w:eastAsia="仿宋_GB2312"/>
          <w:sz w:val="28"/>
          <w:szCs w:val="28"/>
        </w:rPr>
      </w:pPr>
      <w:r>
        <w:rPr>
          <w:rFonts w:hint="eastAsia" w:ascii="仿宋_GB2312" w:eastAsia="仿宋_GB2312"/>
          <w:sz w:val="28"/>
          <w:szCs w:val="28"/>
        </w:rPr>
        <w:t>6.投诉书的投诉请求应与投诉事项相关。</w:t>
      </w:r>
    </w:p>
    <w:p>
      <w:pPr>
        <w:spacing w:line="560" w:lineRule="exact"/>
        <w:ind w:right="480" w:firstLine="840" w:firstLineChars="300"/>
        <w:jc w:val="left"/>
        <w:rPr>
          <w:rFonts w:ascii="宋体" w:hAnsi="宋体"/>
          <w:sz w:val="24"/>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pStyle w:val="3"/>
        <w:rPr>
          <w:rFonts w:hint="eastAsia"/>
        </w:rPr>
      </w:pPr>
    </w:p>
    <w:p>
      <w:pPr>
        <w:spacing w:line="360" w:lineRule="auto"/>
        <w:rPr>
          <w:rFonts w:ascii="宋体" w:hAnsi="宋体"/>
          <w:sz w:val="24"/>
        </w:rPr>
      </w:pPr>
    </w:p>
    <w:p>
      <w:pPr>
        <w:spacing w:line="360" w:lineRule="auto"/>
        <w:rPr>
          <w:rFonts w:ascii="宋体" w:hAnsi="宋体"/>
          <w:sz w:val="22"/>
          <w:szCs w:val="22"/>
        </w:rPr>
      </w:pPr>
    </w:p>
    <w:sectPr>
      <w:pgSz w:w="11906" w:h="16838"/>
      <w:pgMar w:top="1134" w:right="1700" w:bottom="1134" w:left="1418" w:header="568"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
    <w:panose1 w:val="00000000000000000000"/>
    <w:charset w:val="00"/>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OMDD E+ Times">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rPr>
        <w:lang w:val="zh-CN"/>
      </w:rPr>
      <w:t>1</w:t>
    </w:r>
    <w:r>
      <w:rPr>
        <w:lang w:val="zh-CN"/>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5"/>
      </w:rPr>
    </w:pPr>
    <w:r>
      <w:fldChar w:fldCharType="begin"/>
    </w:r>
    <w:r>
      <w:rPr>
        <w:rStyle w:val="35"/>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pict>
        <v:shape id="_x0000_s4097" o:spid="_x0000_s4097" o:spt="202" type="#_x0000_t202" style="position:absolute;left:0pt;margin-top:0pt;height:15.05pt;width:11.7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pStyle w:val="23"/>
                  <w:jc w:val="both"/>
                </w:pPr>
                <w:r>
                  <w:fldChar w:fldCharType="begin"/>
                </w:r>
                <w:r>
                  <w:instrText xml:space="preserve"> PAGE   \* MERGEFORMAT </w:instrText>
                </w:r>
                <w:r>
                  <w:fldChar w:fldCharType="separate"/>
                </w:r>
                <w:r>
                  <w:rPr>
                    <w:lang w:val="zh-CN"/>
                  </w:rPr>
                  <w:t>19</w:t>
                </w:r>
                <w:r>
                  <w:rPr>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val="zh-CN"/>
      </w:rPr>
      <w:t xml:space="preserve"> </w:t>
    </w:r>
    <w:r>
      <w:rPr>
        <w:b/>
        <w:bCs/>
        <w:lang w:val="zh-CN"/>
      </w:rPr>
      <w:t xml:space="preserve"> </w:t>
    </w:r>
    <w:r>
      <w:rPr>
        <w:b/>
        <w:bCs/>
      </w:rPr>
      <w:fldChar w:fldCharType="begin"/>
    </w:r>
    <w:r>
      <w:rPr>
        <w:b/>
        <w:bCs/>
      </w:rPr>
      <w:instrText xml:space="preserve">PAGE  \* Arabic  \* MERGEFORMAT</w:instrText>
    </w:r>
    <w:r>
      <w:rPr>
        <w:b/>
        <w:bCs/>
      </w:rPr>
      <w:fldChar w:fldCharType="separate"/>
    </w:r>
    <w:r>
      <w:rPr>
        <w:b/>
        <w:bCs/>
        <w:lang w:val="zh-CN"/>
      </w:rPr>
      <w:t>4</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drawing>
        <wp:inline distT="0" distB="0" distL="0" distR="0">
          <wp:extent cx="685800" cy="419100"/>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
                  <a:srcRect/>
                  <a:stretch>
                    <a:fillRect/>
                  </a:stretch>
                </pic:blipFill>
                <pic:spPr>
                  <a:xfrm>
                    <a:off x="0" y="0"/>
                    <a:ext cx="685800" cy="419100"/>
                  </a:xfrm>
                  <a:prstGeom prst="rect">
                    <a:avLst/>
                  </a:prstGeom>
                  <a:noFill/>
                  <a:ln w="9525">
                    <a:noFill/>
                    <a:miter lim="800000"/>
                    <a:headEnd/>
                    <a:tailEnd/>
                  </a:ln>
                </pic:spPr>
              </pic:pic>
            </a:graphicData>
          </a:graphic>
        </wp:inline>
      </w:drawing>
    </w:r>
    <w:r>
      <w:rPr>
        <w:rFonts w:hint="eastAsia"/>
      </w:rPr>
      <w:t xml:space="preserve">                                                           </w:t>
    </w:r>
    <w:r>
      <w:rPr>
        <w:rFonts w:hint="eastAsia"/>
        <w:b/>
        <w:bCs/>
      </w:rPr>
      <w:t xml:space="preserve"> </w:t>
    </w:r>
    <w:r>
      <w:rPr>
        <w:b/>
        <w:bCs/>
      </w:rPr>
      <w:t xml:space="preserve"> </w:t>
    </w:r>
    <w:r>
      <w:rPr>
        <w:rFonts w:hint="eastAsia"/>
        <w:b/>
        <w:bCs/>
      </w:rP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drawing>
        <wp:inline distT="0" distB="0" distL="0" distR="0">
          <wp:extent cx="685800" cy="41910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
                  <a:srcRect/>
                  <a:stretch>
                    <a:fillRect/>
                  </a:stretch>
                </pic:blipFill>
                <pic:spPr>
                  <a:xfrm>
                    <a:off x="0" y="0"/>
                    <a:ext cx="685800" cy="419100"/>
                  </a:xfrm>
                  <a:prstGeom prst="rect">
                    <a:avLst/>
                  </a:prstGeom>
                  <a:noFill/>
                  <a:ln w="9525">
                    <a:noFill/>
                    <a:miter lim="800000"/>
                    <a:headEnd/>
                    <a:tailEnd/>
                  </a:ln>
                </pic:spPr>
              </pic:pic>
            </a:graphicData>
          </a:graphic>
        </wp:inline>
      </w:drawing>
    </w:r>
    <w:r>
      <w:rPr>
        <w:rFonts w:hint="eastAsia"/>
      </w:rPr>
      <w:t xml:space="preserve">                                                           </w:t>
    </w:r>
    <w:r>
      <w:rPr>
        <w:rFonts w:hint="eastAsia"/>
        <w:b/>
        <w:bCs/>
      </w:rPr>
      <w:t xml:space="preserve"> 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43E79"/>
    <w:multiLevelType w:val="singleLevel"/>
    <w:tmpl w:val="FA243E79"/>
    <w:lvl w:ilvl="0" w:tentative="0">
      <w:start w:val="9"/>
      <w:numFmt w:val="chineseCounting"/>
      <w:suff w:val="nothing"/>
      <w:lvlText w:val="%1、"/>
      <w:lvlJc w:val="left"/>
      <w:rPr>
        <w:rFonts w:hint="eastAsia"/>
      </w:rPr>
    </w:lvl>
  </w:abstractNum>
  <w:abstractNum w:abstractNumId="1">
    <w:nsid w:val="0343447B"/>
    <w:multiLevelType w:val="multilevel"/>
    <w:tmpl w:val="0343447B"/>
    <w:lvl w:ilvl="0" w:tentative="0">
      <w:start w:val="1"/>
      <w:numFmt w:val="decimal"/>
      <w:pStyle w:val="4"/>
      <w:lvlText w:val="第%1章"/>
      <w:lvlJc w:val="left"/>
      <w:pPr>
        <w:tabs>
          <w:tab w:val="left" w:pos="425"/>
        </w:tabs>
        <w:ind w:left="425" w:hanging="425"/>
      </w:pPr>
      <w:rPr>
        <w:rFonts w:hint="default" w:ascii="Times New Roman" w:hAnsi="Times New Roman" w:eastAsia="宋体"/>
        <w:b/>
        <w:i w:val="0"/>
        <w:sz w:val="32"/>
        <w:szCs w:val="32"/>
      </w:rPr>
    </w:lvl>
    <w:lvl w:ilvl="1" w:tentative="0">
      <w:start w:val="1"/>
      <w:numFmt w:val="decimal"/>
      <w:pStyle w:val="5"/>
      <w:lvlText w:val="%1.%2."/>
      <w:lvlJc w:val="left"/>
      <w:pPr>
        <w:tabs>
          <w:tab w:val="left" w:pos="567"/>
        </w:tabs>
        <w:ind w:left="567" w:hanging="567"/>
      </w:pPr>
      <w:rPr>
        <w:rFonts w:hint="default" w:ascii="Times New Roman" w:hAnsi="Times New Roman" w:eastAsia="宋体" w:cs="Times New Roman"/>
        <w:b/>
        <w:i w:val="0"/>
        <w:color w:val="auto"/>
        <w:sz w:val="28"/>
        <w:szCs w:val="28"/>
        <w:lang w:val="en-US"/>
      </w:rPr>
    </w:lvl>
    <w:lvl w:ilvl="2" w:tentative="0">
      <w:start w:val="1"/>
      <w:numFmt w:val="decimal"/>
      <w:lvlText w:val="%1.%2.%3."/>
      <w:lvlJc w:val="left"/>
      <w:pPr>
        <w:tabs>
          <w:tab w:val="left" w:pos="709"/>
        </w:tabs>
        <w:ind w:left="709" w:hanging="709"/>
      </w:pPr>
      <w:rPr>
        <w:rFonts w:hint="default" w:ascii="Times New Roman" w:hAnsi="Times New Roman" w:eastAsia="宋体" w:cs="Times New Roman"/>
        <w:b/>
        <w:i w:val="0"/>
        <w:color w:val="auto"/>
        <w:sz w:val="28"/>
        <w:szCs w:val="28"/>
      </w:rPr>
    </w:lvl>
    <w:lvl w:ilvl="3" w:tentative="0">
      <w:start w:val="1"/>
      <w:numFmt w:val="decimal"/>
      <w:lvlText w:val="%1.%2.%3.%4."/>
      <w:lvlJc w:val="left"/>
      <w:pPr>
        <w:tabs>
          <w:tab w:val="left" w:pos="993"/>
        </w:tabs>
        <w:ind w:left="993"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default" w:ascii="Times New Roman" w:hAnsi="Times New Roman" w:cs="Times New Roman"/>
      </w:rPr>
    </w:lvl>
    <w:lvl w:ilvl="5" w:tentative="0">
      <w:start w:val="1"/>
      <w:numFmt w:val="decimal"/>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default" w:ascii="Times New Roman" w:hAnsi="Times New Roman" w:cs="Times New Roman"/>
        <w:b/>
        <w:sz w:val="28"/>
        <w:szCs w:val="28"/>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DECAC13"/>
    <w:multiLevelType w:val="singleLevel"/>
    <w:tmpl w:val="5DECAC1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子午">
    <w15:presenceInfo w15:providerId="WPS Office" w15:userId="1148258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3D5C"/>
    <w:rsid w:val="00000253"/>
    <w:rsid w:val="0000354C"/>
    <w:rsid w:val="00003EB3"/>
    <w:rsid w:val="00004349"/>
    <w:rsid w:val="000047A4"/>
    <w:rsid w:val="00004BCA"/>
    <w:rsid w:val="000051EE"/>
    <w:rsid w:val="00006FEF"/>
    <w:rsid w:val="00007104"/>
    <w:rsid w:val="00010F0C"/>
    <w:rsid w:val="00013606"/>
    <w:rsid w:val="00014028"/>
    <w:rsid w:val="00016135"/>
    <w:rsid w:val="00017349"/>
    <w:rsid w:val="0001735D"/>
    <w:rsid w:val="00022982"/>
    <w:rsid w:val="00023943"/>
    <w:rsid w:val="00023D7F"/>
    <w:rsid w:val="00030413"/>
    <w:rsid w:val="00030537"/>
    <w:rsid w:val="00034315"/>
    <w:rsid w:val="00034FC8"/>
    <w:rsid w:val="00035A79"/>
    <w:rsid w:val="00035C85"/>
    <w:rsid w:val="00035F1B"/>
    <w:rsid w:val="00036816"/>
    <w:rsid w:val="00036E8B"/>
    <w:rsid w:val="0004007E"/>
    <w:rsid w:val="000408CB"/>
    <w:rsid w:val="00040AD3"/>
    <w:rsid w:val="00040BE6"/>
    <w:rsid w:val="00041C43"/>
    <w:rsid w:val="000426C9"/>
    <w:rsid w:val="00042A8D"/>
    <w:rsid w:val="00045FDD"/>
    <w:rsid w:val="0004667F"/>
    <w:rsid w:val="000477D3"/>
    <w:rsid w:val="00050F01"/>
    <w:rsid w:val="00052D5A"/>
    <w:rsid w:val="00053232"/>
    <w:rsid w:val="00056231"/>
    <w:rsid w:val="000574AA"/>
    <w:rsid w:val="00060617"/>
    <w:rsid w:val="00061B25"/>
    <w:rsid w:val="00061D86"/>
    <w:rsid w:val="000628B6"/>
    <w:rsid w:val="00064B1F"/>
    <w:rsid w:val="000673A3"/>
    <w:rsid w:val="00067C70"/>
    <w:rsid w:val="0007144C"/>
    <w:rsid w:val="00071B74"/>
    <w:rsid w:val="000720C2"/>
    <w:rsid w:val="00072C3C"/>
    <w:rsid w:val="0007604C"/>
    <w:rsid w:val="000766D6"/>
    <w:rsid w:val="00076716"/>
    <w:rsid w:val="00077CB1"/>
    <w:rsid w:val="0008180A"/>
    <w:rsid w:val="00081CF6"/>
    <w:rsid w:val="000829F9"/>
    <w:rsid w:val="000835D9"/>
    <w:rsid w:val="00084D77"/>
    <w:rsid w:val="00087842"/>
    <w:rsid w:val="00087B04"/>
    <w:rsid w:val="00093E8F"/>
    <w:rsid w:val="00094AD3"/>
    <w:rsid w:val="00094EAD"/>
    <w:rsid w:val="00095A73"/>
    <w:rsid w:val="00095F65"/>
    <w:rsid w:val="00095F85"/>
    <w:rsid w:val="000967E1"/>
    <w:rsid w:val="00097212"/>
    <w:rsid w:val="000A0306"/>
    <w:rsid w:val="000A0EFD"/>
    <w:rsid w:val="000A0F28"/>
    <w:rsid w:val="000A3202"/>
    <w:rsid w:val="000A53EE"/>
    <w:rsid w:val="000B01A6"/>
    <w:rsid w:val="000B09A1"/>
    <w:rsid w:val="000B10EC"/>
    <w:rsid w:val="000B1328"/>
    <w:rsid w:val="000B34F4"/>
    <w:rsid w:val="000B3695"/>
    <w:rsid w:val="000B3AEF"/>
    <w:rsid w:val="000B4336"/>
    <w:rsid w:val="000B4C7F"/>
    <w:rsid w:val="000B4CC9"/>
    <w:rsid w:val="000B4E72"/>
    <w:rsid w:val="000C010A"/>
    <w:rsid w:val="000C0A9E"/>
    <w:rsid w:val="000C0BEF"/>
    <w:rsid w:val="000C0F9E"/>
    <w:rsid w:val="000C1910"/>
    <w:rsid w:val="000C2010"/>
    <w:rsid w:val="000C25AD"/>
    <w:rsid w:val="000C36D3"/>
    <w:rsid w:val="000C397F"/>
    <w:rsid w:val="000C3D6A"/>
    <w:rsid w:val="000C3EFB"/>
    <w:rsid w:val="000C48E7"/>
    <w:rsid w:val="000C5F42"/>
    <w:rsid w:val="000C6DDF"/>
    <w:rsid w:val="000D0A71"/>
    <w:rsid w:val="000D4079"/>
    <w:rsid w:val="000D65B7"/>
    <w:rsid w:val="000E4360"/>
    <w:rsid w:val="000E5350"/>
    <w:rsid w:val="000E6B9D"/>
    <w:rsid w:val="000E7241"/>
    <w:rsid w:val="000F0CF8"/>
    <w:rsid w:val="000F1310"/>
    <w:rsid w:val="000F36AA"/>
    <w:rsid w:val="000F6C85"/>
    <w:rsid w:val="000F7796"/>
    <w:rsid w:val="000F783A"/>
    <w:rsid w:val="001012AD"/>
    <w:rsid w:val="001028BA"/>
    <w:rsid w:val="00102EA8"/>
    <w:rsid w:val="00103305"/>
    <w:rsid w:val="001034B9"/>
    <w:rsid w:val="00103EED"/>
    <w:rsid w:val="00104216"/>
    <w:rsid w:val="00104F02"/>
    <w:rsid w:val="00106713"/>
    <w:rsid w:val="00111E7E"/>
    <w:rsid w:val="00112623"/>
    <w:rsid w:val="00113D28"/>
    <w:rsid w:val="001169BA"/>
    <w:rsid w:val="00120206"/>
    <w:rsid w:val="00121424"/>
    <w:rsid w:val="001216BF"/>
    <w:rsid w:val="00121794"/>
    <w:rsid w:val="00121B5F"/>
    <w:rsid w:val="00124D13"/>
    <w:rsid w:val="00130603"/>
    <w:rsid w:val="001309FB"/>
    <w:rsid w:val="0013218D"/>
    <w:rsid w:val="001325DB"/>
    <w:rsid w:val="001335EC"/>
    <w:rsid w:val="00135857"/>
    <w:rsid w:val="00135EDE"/>
    <w:rsid w:val="00135EF8"/>
    <w:rsid w:val="00137466"/>
    <w:rsid w:val="001405A3"/>
    <w:rsid w:val="00140A3C"/>
    <w:rsid w:val="00141DBA"/>
    <w:rsid w:val="00143150"/>
    <w:rsid w:val="001437F7"/>
    <w:rsid w:val="001449FC"/>
    <w:rsid w:val="00144D90"/>
    <w:rsid w:val="00145777"/>
    <w:rsid w:val="00145825"/>
    <w:rsid w:val="00150CAD"/>
    <w:rsid w:val="001512CD"/>
    <w:rsid w:val="0015171C"/>
    <w:rsid w:val="001523F7"/>
    <w:rsid w:val="00152DC7"/>
    <w:rsid w:val="00154635"/>
    <w:rsid w:val="00154777"/>
    <w:rsid w:val="00154B6B"/>
    <w:rsid w:val="0015533D"/>
    <w:rsid w:val="00156839"/>
    <w:rsid w:val="00157013"/>
    <w:rsid w:val="0015739D"/>
    <w:rsid w:val="00162D78"/>
    <w:rsid w:val="0016593C"/>
    <w:rsid w:val="00166259"/>
    <w:rsid w:val="00166758"/>
    <w:rsid w:val="00166F06"/>
    <w:rsid w:val="001704C4"/>
    <w:rsid w:val="0017116B"/>
    <w:rsid w:val="00171BD8"/>
    <w:rsid w:val="00172AAC"/>
    <w:rsid w:val="00173CBF"/>
    <w:rsid w:val="001761BD"/>
    <w:rsid w:val="00176EEB"/>
    <w:rsid w:val="00181DAF"/>
    <w:rsid w:val="00190016"/>
    <w:rsid w:val="00190BC7"/>
    <w:rsid w:val="00193DA2"/>
    <w:rsid w:val="001947E5"/>
    <w:rsid w:val="00194B1A"/>
    <w:rsid w:val="00195111"/>
    <w:rsid w:val="001977AA"/>
    <w:rsid w:val="00197F5B"/>
    <w:rsid w:val="001A011A"/>
    <w:rsid w:val="001A0320"/>
    <w:rsid w:val="001A3DCD"/>
    <w:rsid w:val="001A636A"/>
    <w:rsid w:val="001A65BE"/>
    <w:rsid w:val="001A6EBC"/>
    <w:rsid w:val="001A72A1"/>
    <w:rsid w:val="001A72CA"/>
    <w:rsid w:val="001A7F53"/>
    <w:rsid w:val="001A7F62"/>
    <w:rsid w:val="001B0FE6"/>
    <w:rsid w:val="001B25B1"/>
    <w:rsid w:val="001B41A6"/>
    <w:rsid w:val="001B4B5F"/>
    <w:rsid w:val="001C0BC7"/>
    <w:rsid w:val="001C1C1D"/>
    <w:rsid w:val="001C1CAC"/>
    <w:rsid w:val="001C3618"/>
    <w:rsid w:val="001C396E"/>
    <w:rsid w:val="001C448D"/>
    <w:rsid w:val="001C47FC"/>
    <w:rsid w:val="001C76BA"/>
    <w:rsid w:val="001D128F"/>
    <w:rsid w:val="001D35E9"/>
    <w:rsid w:val="001D40A5"/>
    <w:rsid w:val="001D5E6A"/>
    <w:rsid w:val="001D612B"/>
    <w:rsid w:val="001D69AF"/>
    <w:rsid w:val="001D726F"/>
    <w:rsid w:val="001E20CB"/>
    <w:rsid w:val="001E21A6"/>
    <w:rsid w:val="001E2DCE"/>
    <w:rsid w:val="001E3763"/>
    <w:rsid w:val="001E4D81"/>
    <w:rsid w:val="001E4F8B"/>
    <w:rsid w:val="001E4F93"/>
    <w:rsid w:val="001E4FE5"/>
    <w:rsid w:val="001E6CFD"/>
    <w:rsid w:val="001F0B11"/>
    <w:rsid w:val="001F0DF6"/>
    <w:rsid w:val="001F2175"/>
    <w:rsid w:val="001F3998"/>
    <w:rsid w:val="001F51B9"/>
    <w:rsid w:val="001F5D76"/>
    <w:rsid w:val="001F611A"/>
    <w:rsid w:val="001F6934"/>
    <w:rsid w:val="001F79A7"/>
    <w:rsid w:val="00202674"/>
    <w:rsid w:val="00205C41"/>
    <w:rsid w:val="002063BD"/>
    <w:rsid w:val="00207DE3"/>
    <w:rsid w:val="0021014A"/>
    <w:rsid w:val="0021355A"/>
    <w:rsid w:val="00215052"/>
    <w:rsid w:val="002165AC"/>
    <w:rsid w:val="00216BD3"/>
    <w:rsid w:val="0022025A"/>
    <w:rsid w:val="00220F7A"/>
    <w:rsid w:val="00224016"/>
    <w:rsid w:val="0022592B"/>
    <w:rsid w:val="00225D70"/>
    <w:rsid w:val="00226BEA"/>
    <w:rsid w:val="002275F8"/>
    <w:rsid w:val="0022766B"/>
    <w:rsid w:val="00230737"/>
    <w:rsid w:val="00231008"/>
    <w:rsid w:val="00231464"/>
    <w:rsid w:val="00231C1F"/>
    <w:rsid w:val="00232011"/>
    <w:rsid w:val="00232324"/>
    <w:rsid w:val="00232942"/>
    <w:rsid w:val="00233DB4"/>
    <w:rsid w:val="00234449"/>
    <w:rsid w:val="00234FBF"/>
    <w:rsid w:val="0024058A"/>
    <w:rsid w:val="0024175F"/>
    <w:rsid w:val="00242213"/>
    <w:rsid w:val="002423E0"/>
    <w:rsid w:val="002452A9"/>
    <w:rsid w:val="00245962"/>
    <w:rsid w:val="00247A31"/>
    <w:rsid w:val="00250556"/>
    <w:rsid w:val="00250810"/>
    <w:rsid w:val="0025189B"/>
    <w:rsid w:val="00253301"/>
    <w:rsid w:val="00253B92"/>
    <w:rsid w:val="00254A4C"/>
    <w:rsid w:val="00254B7F"/>
    <w:rsid w:val="002607A2"/>
    <w:rsid w:val="00260D07"/>
    <w:rsid w:val="002626D8"/>
    <w:rsid w:val="00262AC2"/>
    <w:rsid w:val="00262FF7"/>
    <w:rsid w:val="00263513"/>
    <w:rsid w:val="00263F24"/>
    <w:rsid w:val="00263FF9"/>
    <w:rsid w:val="002651A2"/>
    <w:rsid w:val="002655E2"/>
    <w:rsid w:val="00265BE1"/>
    <w:rsid w:val="002702C0"/>
    <w:rsid w:val="00270D95"/>
    <w:rsid w:val="00271FBE"/>
    <w:rsid w:val="00272A20"/>
    <w:rsid w:val="00273911"/>
    <w:rsid w:val="00274390"/>
    <w:rsid w:val="002752FF"/>
    <w:rsid w:val="00275874"/>
    <w:rsid w:val="00275951"/>
    <w:rsid w:val="002759F6"/>
    <w:rsid w:val="00275DA2"/>
    <w:rsid w:val="002774D4"/>
    <w:rsid w:val="00277530"/>
    <w:rsid w:val="00280445"/>
    <w:rsid w:val="00280CA7"/>
    <w:rsid w:val="0028126F"/>
    <w:rsid w:val="00281A0A"/>
    <w:rsid w:val="00282BA5"/>
    <w:rsid w:val="00283CCB"/>
    <w:rsid w:val="002840E2"/>
    <w:rsid w:val="002849AB"/>
    <w:rsid w:val="002852ED"/>
    <w:rsid w:val="002859D5"/>
    <w:rsid w:val="002868BE"/>
    <w:rsid w:val="002903E6"/>
    <w:rsid w:val="0029072C"/>
    <w:rsid w:val="00291955"/>
    <w:rsid w:val="0029250B"/>
    <w:rsid w:val="0029286C"/>
    <w:rsid w:val="002929D1"/>
    <w:rsid w:val="00292CF9"/>
    <w:rsid w:val="00295137"/>
    <w:rsid w:val="00296AB8"/>
    <w:rsid w:val="00297A9E"/>
    <w:rsid w:val="002A2785"/>
    <w:rsid w:val="002A3323"/>
    <w:rsid w:val="002A53AD"/>
    <w:rsid w:val="002A58BA"/>
    <w:rsid w:val="002A77FB"/>
    <w:rsid w:val="002B2376"/>
    <w:rsid w:val="002B2E42"/>
    <w:rsid w:val="002B3E17"/>
    <w:rsid w:val="002B4E61"/>
    <w:rsid w:val="002B5BDE"/>
    <w:rsid w:val="002B67A8"/>
    <w:rsid w:val="002B7230"/>
    <w:rsid w:val="002C097D"/>
    <w:rsid w:val="002C09D8"/>
    <w:rsid w:val="002C114C"/>
    <w:rsid w:val="002C141C"/>
    <w:rsid w:val="002C1A57"/>
    <w:rsid w:val="002C279D"/>
    <w:rsid w:val="002C382B"/>
    <w:rsid w:val="002C38F1"/>
    <w:rsid w:val="002C39AF"/>
    <w:rsid w:val="002C48FF"/>
    <w:rsid w:val="002C55F7"/>
    <w:rsid w:val="002D032B"/>
    <w:rsid w:val="002D3D82"/>
    <w:rsid w:val="002D4E08"/>
    <w:rsid w:val="002D50E8"/>
    <w:rsid w:val="002D64FF"/>
    <w:rsid w:val="002D79B5"/>
    <w:rsid w:val="002E0034"/>
    <w:rsid w:val="002E35E0"/>
    <w:rsid w:val="002E4660"/>
    <w:rsid w:val="002E4677"/>
    <w:rsid w:val="002E4AF9"/>
    <w:rsid w:val="002E4C71"/>
    <w:rsid w:val="002E4D5E"/>
    <w:rsid w:val="002E65BB"/>
    <w:rsid w:val="002E6A45"/>
    <w:rsid w:val="002E6C97"/>
    <w:rsid w:val="002F00AC"/>
    <w:rsid w:val="002F0B0C"/>
    <w:rsid w:val="002F14CA"/>
    <w:rsid w:val="002F2F2E"/>
    <w:rsid w:val="002F4B2B"/>
    <w:rsid w:val="002F5E18"/>
    <w:rsid w:val="002F6125"/>
    <w:rsid w:val="002F6208"/>
    <w:rsid w:val="002F6956"/>
    <w:rsid w:val="002F7CF7"/>
    <w:rsid w:val="003001FD"/>
    <w:rsid w:val="0030340D"/>
    <w:rsid w:val="003047B5"/>
    <w:rsid w:val="003053DC"/>
    <w:rsid w:val="00305CB2"/>
    <w:rsid w:val="00306205"/>
    <w:rsid w:val="0031004A"/>
    <w:rsid w:val="003102AF"/>
    <w:rsid w:val="0031098E"/>
    <w:rsid w:val="00311235"/>
    <w:rsid w:val="003112DD"/>
    <w:rsid w:val="00311E22"/>
    <w:rsid w:val="00314418"/>
    <w:rsid w:val="00317713"/>
    <w:rsid w:val="00320255"/>
    <w:rsid w:val="0032037F"/>
    <w:rsid w:val="003203C2"/>
    <w:rsid w:val="0032058C"/>
    <w:rsid w:val="00320B7B"/>
    <w:rsid w:val="003229B6"/>
    <w:rsid w:val="00323CD1"/>
    <w:rsid w:val="00324A40"/>
    <w:rsid w:val="00325AC1"/>
    <w:rsid w:val="00326DD5"/>
    <w:rsid w:val="0032718C"/>
    <w:rsid w:val="00327731"/>
    <w:rsid w:val="00330262"/>
    <w:rsid w:val="0033126E"/>
    <w:rsid w:val="0033204F"/>
    <w:rsid w:val="00333BC2"/>
    <w:rsid w:val="003355CB"/>
    <w:rsid w:val="00335D7F"/>
    <w:rsid w:val="003360BD"/>
    <w:rsid w:val="003366B3"/>
    <w:rsid w:val="00337BB8"/>
    <w:rsid w:val="00340513"/>
    <w:rsid w:val="0034751C"/>
    <w:rsid w:val="00347FF1"/>
    <w:rsid w:val="00350BCA"/>
    <w:rsid w:val="00351A84"/>
    <w:rsid w:val="0035237D"/>
    <w:rsid w:val="003523A4"/>
    <w:rsid w:val="00353D6D"/>
    <w:rsid w:val="00354D09"/>
    <w:rsid w:val="00355A1F"/>
    <w:rsid w:val="00355F3C"/>
    <w:rsid w:val="00356D60"/>
    <w:rsid w:val="00357165"/>
    <w:rsid w:val="0035752B"/>
    <w:rsid w:val="00360DC3"/>
    <w:rsid w:val="0036151A"/>
    <w:rsid w:val="003618A4"/>
    <w:rsid w:val="0036233F"/>
    <w:rsid w:val="00362420"/>
    <w:rsid w:val="00363439"/>
    <w:rsid w:val="003657E7"/>
    <w:rsid w:val="0037149B"/>
    <w:rsid w:val="0037433C"/>
    <w:rsid w:val="00374764"/>
    <w:rsid w:val="00375CAD"/>
    <w:rsid w:val="003761DC"/>
    <w:rsid w:val="00377447"/>
    <w:rsid w:val="00377C6C"/>
    <w:rsid w:val="00380066"/>
    <w:rsid w:val="003803FA"/>
    <w:rsid w:val="00381FEB"/>
    <w:rsid w:val="00382937"/>
    <w:rsid w:val="003830CF"/>
    <w:rsid w:val="00384ADD"/>
    <w:rsid w:val="00384CE1"/>
    <w:rsid w:val="00386F05"/>
    <w:rsid w:val="00387F7E"/>
    <w:rsid w:val="00387FE9"/>
    <w:rsid w:val="003902E3"/>
    <w:rsid w:val="00390BAE"/>
    <w:rsid w:val="003925E3"/>
    <w:rsid w:val="003940A3"/>
    <w:rsid w:val="003942CC"/>
    <w:rsid w:val="00395111"/>
    <w:rsid w:val="003963E2"/>
    <w:rsid w:val="00396706"/>
    <w:rsid w:val="0039689F"/>
    <w:rsid w:val="00397FE2"/>
    <w:rsid w:val="003A4739"/>
    <w:rsid w:val="003A5531"/>
    <w:rsid w:val="003A5601"/>
    <w:rsid w:val="003B1272"/>
    <w:rsid w:val="003B1847"/>
    <w:rsid w:val="003B2FB3"/>
    <w:rsid w:val="003B6228"/>
    <w:rsid w:val="003B6A1D"/>
    <w:rsid w:val="003C19A2"/>
    <w:rsid w:val="003C3538"/>
    <w:rsid w:val="003C3AF9"/>
    <w:rsid w:val="003C4F3B"/>
    <w:rsid w:val="003C567B"/>
    <w:rsid w:val="003C5D27"/>
    <w:rsid w:val="003C7112"/>
    <w:rsid w:val="003C7D2C"/>
    <w:rsid w:val="003D1144"/>
    <w:rsid w:val="003D121D"/>
    <w:rsid w:val="003D1E8E"/>
    <w:rsid w:val="003D23D3"/>
    <w:rsid w:val="003D2C57"/>
    <w:rsid w:val="003D36F2"/>
    <w:rsid w:val="003D7754"/>
    <w:rsid w:val="003E0244"/>
    <w:rsid w:val="003E1AC8"/>
    <w:rsid w:val="003E2130"/>
    <w:rsid w:val="003E2719"/>
    <w:rsid w:val="003E3234"/>
    <w:rsid w:val="003E3A34"/>
    <w:rsid w:val="003E6747"/>
    <w:rsid w:val="003E75FA"/>
    <w:rsid w:val="003E7CC3"/>
    <w:rsid w:val="003F1773"/>
    <w:rsid w:val="003F29DF"/>
    <w:rsid w:val="003F2CAD"/>
    <w:rsid w:val="003F321A"/>
    <w:rsid w:val="003F3912"/>
    <w:rsid w:val="003F448E"/>
    <w:rsid w:val="003F5225"/>
    <w:rsid w:val="003F6742"/>
    <w:rsid w:val="00403D25"/>
    <w:rsid w:val="00404FBE"/>
    <w:rsid w:val="004053D3"/>
    <w:rsid w:val="004055FC"/>
    <w:rsid w:val="00406996"/>
    <w:rsid w:val="004105F5"/>
    <w:rsid w:val="0041117E"/>
    <w:rsid w:val="00411196"/>
    <w:rsid w:val="004118A2"/>
    <w:rsid w:val="004138CD"/>
    <w:rsid w:val="00416877"/>
    <w:rsid w:val="0041761D"/>
    <w:rsid w:val="00421F87"/>
    <w:rsid w:val="00423212"/>
    <w:rsid w:val="00423824"/>
    <w:rsid w:val="00424716"/>
    <w:rsid w:val="00427500"/>
    <w:rsid w:val="0043019E"/>
    <w:rsid w:val="00437075"/>
    <w:rsid w:val="004373F5"/>
    <w:rsid w:val="00440A2F"/>
    <w:rsid w:val="00443448"/>
    <w:rsid w:val="00443B9B"/>
    <w:rsid w:val="00444600"/>
    <w:rsid w:val="00444D76"/>
    <w:rsid w:val="00446213"/>
    <w:rsid w:val="004462A1"/>
    <w:rsid w:val="004466F6"/>
    <w:rsid w:val="00446809"/>
    <w:rsid w:val="00446C56"/>
    <w:rsid w:val="0044779D"/>
    <w:rsid w:val="00451FC2"/>
    <w:rsid w:val="00451FEE"/>
    <w:rsid w:val="00452234"/>
    <w:rsid w:val="00452F06"/>
    <w:rsid w:val="0045384D"/>
    <w:rsid w:val="00455848"/>
    <w:rsid w:val="004572A9"/>
    <w:rsid w:val="004576FB"/>
    <w:rsid w:val="0046030A"/>
    <w:rsid w:val="00460991"/>
    <w:rsid w:val="004611EA"/>
    <w:rsid w:val="00461B99"/>
    <w:rsid w:val="00462A5F"/>
    <w:rsid w:val="00463EA4"/>
    <w:rsid w:val="00465F36"/>
    <w:rsid w:val="00465F62"/>
    <w:rsid w:val="0046689C"/>
    <w:rsid w:val="0046788F"/>
    <w:rsid w:val="004701A6"/>
    <w:rsid w:val="00470942"/>
    <w:rsid w:val="004713EB"/>
    <w:rsid w:val="004721B0"/>
    <w:rsid w:val="004733EE"/>
    <w:rsid w:val="00474CDC"/>
    <w:rsid w:val="00474E66"/>
    <w:rsid w:val="00475046"/>
    <w:rsid w:val="0047516F"/>
    <w:rsid w:val="0047579E"/>
    <w:rsid w:val="00475F64"/>
    <w:rsid w:val="004767BC"/>
    <w:rsid w:val="004774F9"/>
    <w:rsid w:val="00477B47"/>
    <w:rsid w:val="00477B5D"/>
    <w:rsid w:val="00477C63"/>
    <w:rsid w:val="00480689"/>
    <w:rsid w:val="00480848"/>
    <w:rsid w:val="00480A4F"/>
    <w:rsid w:val="00480F81"/>
    <w:rsid w:val="00481BD9"/>
    <w:rsid w:val="004820D6"/>
    <w:rsid w:val="00482367"/>
    <w:rsid w:val="0048263C"/>
    <w:rsid w:val="00482784"/>
    <w:rsid w:val="0048416C"/>
    <w:rsid w:val="00484C33"/>
    <w:rsid w:val="00485358"/>
    <w:rsid w:val="00486683"/>
    <w:rsid w:val="00486A20"/>
    <w:rsid w:val="004879C6"/>
    <w:rsid w:val="004903AC"/>
    <w:rsid w:val="00491102"/>
    <w:rsid w:val="00491188"/>
    <w:rsid w:val="0049134E"/>
    <w:rsid w:val="00491562"/>
    <w:rsid w:val="004932BD"/>
    <w:rsid w:val="00493533"/>
    <w:rsid w:val="004936D4"/>
    <w:rsid w:val="00493F3C"/>
    <w:rsid w:val="00494522"/>
    <w:rsid w:val="00494B48"/>
    <w:rsid w:val="00494DA7"/>
    <w:rsid w:val="00495651"/>
    <w:rsid w:val="00497DFA"/>
    <w:rsid w:val="004A0706"/>
    <w:rsid w:val="004A09A6"/>
    <w:rsid w:val="004A0F40"/>
    <w:rsid w:val="004A1BC9"/>
    <w:rsid w:val="004A2870"/>
    <w:rsid w:val="004A3CD2"/>
    <w:rsid w:val="004A4495"/>
    <w:rsid w:val="004A517C"/>
    <w:rsid w:val="004A54D0"/>
    <w:rsid w:val="004A5E5E"/>
    <w:rsid w:val="004B0B5A"/>
    <w:rsid w:val="004B12FB"/>
    <w:rsid w:val="004B1803"/>
    <w:rsid w:val="004B1959"/>
    <w:rsid w:val="004B490F"/>
    <w:rsid w:val="004B4B64"/>
    <w:rsid w:val="004B4C1A"/>
    <w:rsid w:val="004B652E"/>
    <w:rsid w:val="004B686A"/>
    <w:rsid w:val="004C011C"/>
    <w:rsid w:val="004C2AF4"/>
    <w:rsid w:val="004C2FE0"/>
    <w:rsid w:val="004C3C6D"/>
    <w:rsid w:val="004C3FFB"/>
    <w:rsid w:val="004C6BC2"/>
    <w:rsid w:val="004C7C29"/>
    <w:rsid w:val="004C7F56"/>
    <w:rsid w:val="004D0383"/>
    <w:rsid w:val="004D152E"/>
    <w:rsid w:val="004D26A5"/>
    <w:rsid w:val="004D5255"/>
    <w:rsid w:val="004E0D8F"/>
    <w:rsid w:val="004E126D"/>
    <w:rsid w:val="004E18FC"/>
    <w:rsid w:val="004E1AB3"/>
    <w:rsid w:val="004E46B5"/>
    <w:rsid w:val="004E5527"/>
    <w:rsid w:val="004F5DEF"/>
    <w:rsid w:val="004F61C8"/>
    <w:rsid w:val="004F6589"/>
    <w:rsid w:val="004F669E"/>
    <w:rsid w:val="004F6777"/>
    <w:rsid w:val="004F7414"/>
    <w:rsid w:val="004F78FE"/>
    <w:rsid w:val="00502A25"/>
    <w:rsid w:val="00503013"/>
    <w:rsid w:val="00503ABA"/>
    <w:rsid w:val="00503EC6"/>
    <w:rsid w:val="00504CA9"/>
    <w:rsid w:val="0050558F"/>
    <w:rsid w:val="00506B3B"/>
    <w:rsid w:val="00513794"/>
    <w:rsid w:val="00513B6E"/>
    <w:rsid w:val="0051524B"/>
    <w:rsid w:val="00517748"/>
    <w:rsid w:val="0052006E"/>
    <w:rsid w:val="00520645"/>
    <w:rsid w:val="00522771"/>
    <w:rsid w:val="00522A8E"/>
    <w:rsid w:val="00523C29"/>
    <w:rsid w:val="00524634"/>
    <w:rsid w:val="00524F81"/>
    <w:rsid w:val="00525BC8"/>
    <w:rsid w:val="00525BDD"/>
    <w:rsid w:val="0052679B"/>
    <w:rsid w:val="0052694D"/>
    <w:rsid w:val="00526E34"/>
    <w:rsid w:val="0052759B"/>
    <w:rsid w:val="00531B22"/>
    <w:rsid w:val="00532853"/>
    <w:rsid w:val="005334AE"/>
    <w:rsid w:val="00533C09"/>
    <w:rsid w:val="00533CC5"/>
    <w:rsid w:val="00534E55"/>
    <w:rsid w:val="0053517A"/>
    <w:rsid w:val="00536474"/>
    <w:rsid w:val="00536CE6"/>
    <w:rsid w:val="00540315"/>
    <w:rsid w:val="0054135A"/>
    <w:rsid w:val="005430EA"/>
    <w:rsid w:val="00543BA6"/>
    <w:rsid w:val="00546D2F"/>
    <w:rsid w:val="005520FC"/>
    <w:rsid w:val="005521BD"/>
    <w:rsid w:val="005545E6"/>
    <w:rsid w:val="0055523F"/>
    <w:rsid w:val="00560FF2"/>
    <w:rsid w:val="0056251C"/>
    <w:rsid w:val="00566272"/>
    <w:rsid w:val="00567682"/>
    <w:rsid w:val="00571238"/>
    <w:rsid w:val="00571FD3"/>
    <w:rsid w:val="00572D45"/>
    <w:rsid w:val="00574507"/>
    <w:rsid w:val="00574D4D"/>
    <w:rsid w:val="005768E4"/>
    <w:rsid w:val="00580103"/>
    <w:rsid w:val="00580430"/>
    <w:rsid w:val="00580C8E"/>
    <w:rsid w:val="005824D4"/>
    <w:rsid w:val="0058264B"/>
    <w:rsid w:val="0058498F"/>
    <w:rsid w:val="00584BA6"/>
    <w:rsid w:val="005851CD"/>
    <w:rsid w:val="00587CD1"/>
    <w:rsid w:val="00592D47"/>
    <w:rsid w:val="00593682"/>
    <w:rsid w:val="00594BC9"/>
    <w:rsid w:val="00595253"/>
    <w:rsid w:val="00596893"/>
    <w:rsid w:val="00597305"/>
    <w:rsid w:val="005A0E84"/>
    <w:rsid w:val="005A15FB"/>
    <w:rsid w:val="005A2803"/>
    <w:rsid w:val="005A3C62"/>
    <w:rsid w:val="005A50CA"/>
    <w:rsid w:val="005A602B"/>
    <w:rsid w:val="005A6A37"/>
    <w:rsid w:val="005A7AAF"/>
    <w:rsid w:val="005A7EB0"/>
    <w:rsid w:val="005A7F30"/>
    <w:rsid w:val="005B1946"/>
    <w:rsid w:val="005B2A12"/>
    <w:rsid w:val="005B30D3"/>
    <w:rsid w:val="005B43BE"/>
    <w:rsid w:val="005B469B"/>
    <w:rsid w:val="005B7E9E"/>
    <w:rsid w:val="005C0B07"/>
    <w:rsid w:val="005C1051"/>
    <w:rsid w:val="005C2F27"/>
    <w:rsid w:val="005C56EC"/>
    <w:rsid w:val="005D0BC0"/>
    <w:rsid w:val="005D0D56"/>
    <w:rsid w:val="005D54BC"/>
    <w:rsid w:val="005D54FA"/>
    <w:rsid w:val="005D5AE2"/>
    <w:rsid w:val="005D6DD4"/>
    <w:rsid w:val="005D7453"/>
    <w:rsid w:val="005E148E"/>
    <w:rsid w:val="005E3910"/>
    <w:rsid w:val="005E4713"/>
    <w:rsid w:val="005E4C89"/>
    <w:rsid w:val="005E71FC"/>
    <w:rsid w:val="005E77DD"/>
    <w:rsid w:val="005F114B"/>
    <w:rsid w:val="005F39B1"/>
    <w:rsid w:val="005F7B37"/>
    <w:rsid w:val="00601CBA"/>
    <w:rsid w:val="00604175"/>
    <w:rsid w:val="006045F2"/>
    <w:rsid w:val="00604D11"/>
    <w:rsid w:val="00605D87"/>
    <w:rsid w:val="0060615D"/>
    <w:rsid w:val="00606D54"/>
    <w:rsid w:val="00611073"/>
    <w:rsid w:val="00611828"/>
    <w:rsid w:val="006129F0"/>
    <w:rsid w:val="00614771"/>
    <w:rsid w:val="006149BA"/>
    <w:rsid w:val="0061637E"/>
    <w:rsid w:val="006169D6"/>
    <w:rsid w:val="0061756F"/>
    <w:rsid w:val="0061780A"/>
    <w:rsid w:val="0062000F"/>
    <w:rsid w:val="00620439"/>
    <w:rsid w:val="00624888"/>
    <w:rsid w:val="0062500E"/>
    <w:rsid w:val="006259C8"/>
    <w:rsid w:val="00625E65"/>
    <w:rsid w:val="00626C2D"/>
    <w:rsid w:val="00627C07"/>
    <w:rsid w:val="00631194"/>
    <w:rsid w:val="0063318D"/>
    <w:rsid w:val="00633EDC"/>
    <w:rsid w:val="00634457"/>
    <w:rsid w:val="0063563E"/>
    <w:rsid w:val="0063603C"/>
    <w:rsid w:val="00636258"/>
    <w:rsid w:val="00636399"/>
    <w:rsid w:val="00640C43"/>
    <w:rsid w:val="00642C77"/>
    <w:rsid w:val="00645110"/>
    <w:rsid w:val="006464AF"/>
    <w:rsid w:val="00647D68"/>
    <w:rsid w:val="00650544"/>
    <w:rsid w:val="00650C82"/>
    <w:rsid w:val="00652637"/>
    <w:rsid w:val="00653B35"/>
    <w:rsid w:val="00656354"/>
    <w:rsid w:val="00656F7A"/>
    <w:rsid w:val="0065795E"/>
    <w:rsid w:val="00661756"/>
    <w:rsid w:val="00664579"/>
    <w:rsid w:val="00666E84"/>
    <w:rsid w:val="00667C02"/>
    <w:rsid w:val="00670140"/>
    <w:rsid w:val="0067033F"/>
    <w:rsid w:val="006710A9"/>
    <w:rsid w:val="00671753"/>
    <w:rsid w:val="00674DB4"/>
    <w:rsid w:val="006763C5"/>
    <w:rsid w:val="00677365"/>
    <w:rsid w:val="00677D5D"/>
    <w:rsid w:val="006824DE"/>
    <w:rsid w:val="00682B8A"/>
    <w:rsid w:val="00683693"/>
    <w:rsid w:val="00684C91"/>
    <w:rsid w:val="00684F36"/>
    <w:rsid w:val="00687865"/>
    <w:rsid w:val="00692EB2"/>
    <w:rsid w:val="0069540D"/>
    <w:rsid w:val="00695838"/>
    <w:rsid w:val="00695A84"/>
    <w:rsid w:val="006A0DD5"/>
    <w:rsid w:val="006A0DF7"/>
    <w:rsid w:val="006A18D1"/>
    <w:rsid w:val="006A2295"/>
    <w:rsid w:val="006A3164"/>
    <w:rsid w:val="006A355C"/>
    <w:rsid w:val="006A4E19"/>
    <w:rsid w:val="006A58DB"/>
    <w:rsid w:val="006A611E"/>
    <w:rsid w:val="006A7D4B"/>
    <w:rsid w:val="006B16E6"/>
    <w:rsid w:val="006B177B"/>
    <w:rsid w:val="006B20B8"/>
    <w:rsid w:val="006B365E"/>
    <w:rsid w:val="006B3B2D"/>
    <w:rsid w:val="006B472E"/>
    <w:rsid w:val="006B47AF"/>
    <w:rsid w:val="006B5BAA"/>
    <w:rsid w:val="006B5C26"/>
    <w:rsid w:val="006B5D1B"/>
    <w:rsid w:val="006B72F0"/>
    <w:rsid w:val="006C0F1B"/>
    <w:rsid w:val="006C1A83"/>
    <w:rsid w:val="006C58F2"/>
    <w:rsid w:val="006C5C47"/>
    <w:rsid w:val="006C62F5"/>
    <w:rsid w:val="006C6AEB"/>
    <w:rsid w:val="006D2804"/>
    <w:rsid w:val="006D3F75"/>
    <w:rsid w:val="006D57A3"/>
    <w:rsid w:val="006D7472"/>
    <w:rsid w:val="006D7C8D"/>
    <w:rsid w:val="006E0BD8"/>
    <w:rsid w:val="006E2B2C"/>
    <w:rsid w:val="006E4CC9"/>
    <w:rsid w:val="006E5EF4"/>
    <w:rsid w:val="006E6A60"/>
    <w:rsid w:val="006E7184"/>
    <w:rsid w:val="006E756F"/>
    <w:rsid w:val="006E7F33"/>
    <w:rsid w:val="006F003B"/>
    <w:rsid w:val="006F2A27"/>
    <w:rsid w:val="006F33D0"/>
    <w:rsid w:val="006F3584"/>
    <w:rsid w:val="006F3BE4"/>
    <w:rsid w:val="006F4D0F"/>
    <w:rsid w:val="006F63C7"/>
    <w:rsid w:val="00700B4A"/>
    <w:rsid w:val="007016A1"/>
    <w:rsid w:val="00701CEE"/>
    <w:rsid w:val="00702F62"/>
    <w:rsid w:val="007039FD"/>
    <w:rsid w:val="007051ED"/>
    <w:rsid w:val="0070607C"/>
    <w:rsid w:val="0070797A"/>
    <w:rsid w:val="0071046F"/>
    <w:rsid w:val="007105A3"/>
    <w:rsid w:val="00710B7D"/>
    <w:rsid w:val="00711627"/>
    <w:rsid w:val="007117CB"/>
    <w:rsid w:val="00711834"/>
    <w:rsid w:val="0071340A"/>
    <w:rsid w:val="00714117"/>
    <w:rsid w:val="0071570C"/>
    <w:rsid w:val="007164B9"/>
    <w:rsid w:val="007167BA"/>
    <w:rsid w:val="00716F37"/>
    <w:rsid w:val="00717829"/>
    <w:rsid w:val="00717D6F"/>
    <w:rsid w:val="0072183B"/>
    <w:rsid w:val="00721901"/>
    <w:rsid w:val="00723553"/>
    <w:rsid w:val="00724012"/>
    <w:rsid w:val="007264AC"/>
    <w:rsid w:val="00726E6D"/>
    <w:rsid w:val="00727BB5"/>
    <w:rsid w:val="0073098F"/>
    <w:rsid w:val="00731378"/>
    <w:rsid w:val="007326D5"/>
    <w:rsid w:val="00732714"/>
    <w:rsid w:val="00733B54"/>
    <w:rsid w:val="0073504F"/>
    <w:rsid w:val="00735634"/>
    <w:rsid w:val="00735E75"/>
    <w:rsid w:val="007366B7"/>
    <w:rsid w:val="00736C69"/>
    <w:rsid w:val="007377F0"/>
    <w:rsid w:val="00744840"/>
    <w:rsid w:val="007464B6"/>
    <w:rsid w:val="007465CD"/>
    <w:rsid w:val="00747C91"/>
    <w:rsid w:val="0075188D"/>
    <w:rsid w:val="00752286"/>
    <w:rsid w:val="0075380E"/>
    <w:rsid w:val="007559E3"/>
    <w:rsid w:val="00755E89"/>
    <w:rsid w:val="0075654D"/>
    <w:rsid w:val="0075670C"/>
    <w:rsid w:val="00756DA3"/>
    <w:rsid w:val="007577D5"/>
    <w:rsid w:val="00761C2D"/>
    <w:rsid w:val="00761E61"/>
    <w:rsid w:val="00762237"/>
    <w:rsid w:val="007631FF"/>
    <w:rsid w:val="007633E4"/>
    <w:rsid w:val="0076412F"/>
    <w:rsid w:val="007642B5"/>
    <w:rsid w:val="00767048"/>
    <w:rsid w:val="00771055"/>
    <w:rsid w:val="00771F4F"/>
    <w:rsid w:val="0077314F"/>
    <w:rsid w:val="00773331"/>
    <w:rsid w:val="007750DF"/>
    <w:rsid w:val="00777998"/>
    <w:rsid w:val="007806F1"/>
    <w:rsid w:val="0078275C"/>
    <w:rsid w:val="00782935"/>
    <w:rsid w:val="0078424D"/>
    <w:rsid w:val="00784A09"/>
    <w:rsid w:val="00785433"/>
    <w:rsid w:val="00786736"/>
    <w:rsid w:val="00790093"/>
    <w:rsid w:val="0079147B"/>
    <w:rsid w:val="00791C88"/>
    <w:rsid w:val="00792565"/>
    <w:rsid w:val="007958D2"/>
    <w:rsid w:val="00795D4D"/>
    <w:rsid w:val="007968B3"/>
    <w:rsid w:val="00796D55"/>
    <w:rsid w:val="007971B7"/>
    <w:rsid w:val="00797871"/>
    <w:rsid w:val="00797F5E"/>
    <w:rsid w:val="007A0281"/>
    <w:rsid w:val="007A08ED"/>
    <w:rsid w:val="007A2CDD"/>
    <w:rsid w:val="007A311B"/>
    <w:rsid w:val="007A3D5C"/>
    <w:rsid w:val="007A4038"/>
    <w:rsid w:val="007A41F9"/>
    <w:rsid w:val="007A496B"/>
    <w:rsid w:val="007A6463"/>
    <w:rsid w:val="007A68DE"/>
    <w:rsid w:val="007A70B7"/>
    <w:rsid w:val="007A7864"/>
    <w:rsid w:val="007B061D"/>
    <w:rsid w:val="007B1752"/>
    <w:rsid w:val="007B3AB4"/>
    <w:rsid w:val="007B427B"/>
    <w:rsid w:val="007B4B98"/>
    <w:rsid w:val="007B709D"/>
    <w:rsid w:val="007B7991"/>
    <w:rsid w:val="007C2909"/>
    <w:rsid w:val="007C2DE8"/>
    <w:rsid w:val="007C3B5E"/>
    <w:rsid w:val="007C3CC4"/>
    <w:rsid w:val="007C4513"/>
    <w:rsid w:val="007C5C6E"/>
    <w:rsid w:val="007D0D5D"/>
    <w:rsid w:val="007D0F85"/>
    <w:rsid w:val="007D1750"/>
    <w:rsid w:val="007D17A1"/>
    <w:rsid w:val="007D2A45"/>
    <w:rsid w:val="007D5DFD"/>
    <w:rsid w:val="007D6670"/>
    <w:rsid w:val="007D74C8"/>
    <w:rsid w:val="007D7C15"/>
    <w:rsid w:val="007E0435"/>
    <w:rsid w:val="007E2806"/>
    <w:rsid w:val="007E2998"/>
    <w:rsid w:val="007E2AF3"/>
    <w:rsid w:val="007E4E7B"/>
    <w:rsid w:val="007E537D"/>
    <w:rsid w:val="007E6DB0"/>
    <w:rsid w:val="007E7597"/>
    <w:rsid w:val="007F023F"/>
    <w:rsid w:val="007F0AA8"/>
    <w:rsid w:val="007F2539"/>
    <w:rsid w:val="007F5B87"/>
    <w:rsid w:val="007F6513"/>
    <w:rsid w:val="007F6538"/>
    <w:rsid w:val="007F69CC"/>
    <w:rsid w:val="00800487"/>
    <w:rsid w:val="00800720"/>
    <w:rsid w:val="00801687"/>
    <w:rsid w:val="00802B6B"/>
    <w:rsid w:val="0080313B"/>
    <w:rsid w:val="008045E6"/>
    <w:rsid w:val="0080531C"/>
    <w:rsid w:val="00805551"/>
    <w:rsid w:val="00813D73"/>
    <w:rsid w:val="00815B19"/>
    <w:rsid w:val="00816C2E"/>
    <w:rsid w:val="00822D72"/>
    <w:rsid w:val="008233F8"/>
    <w:rsid w:val="0082342B"/>
    <w:rsid w:val="008241AB"/>
    <w:rsid w:val="00825FFE"/>
    <w:rsid w:val="008261D3"/>
    <w:rsid w:val="008264FB"/>
    <w:rsid w:val="00826763"/>
    <w:rsid w:val="00826C78"/>
    <w:rsid w:val="00830124"/>
    <w:rsid w:val="00831632"/>
    <w:rsid w:val="008323D3"/>
    <w:rsid w:val="00832933"/>
    <w:rsid w:val="00832F25"/>
    <w:rsid w:val="00834138"/>
    <w:rsid w:val="008358E6"/>
    <w:rsid w:val="0083611E"/>
    <w:rsid w:val="0083773C"/>
    <w:rsid w:val="00837744"/>
    <w:rsid w:val="00837ED3"/>
    <w:rsid w:val="00841952"/>
    <w:rsid w:val="00842EB8"/>
    <w:rsid w:val="00844D46"/>
    <w:rsid w:val="0084520F"/>
    <w:rsid w:val="00846BE9"/>
    <w:rsid w:val="00846D2D"/>
    <w:rsid w:val="0084725E"/>
    <w:rsid w:val="0085045E"/>
    <w:rsid w:val="00852BEF"/>
    <w:rsid w:val="008531BE"/>
    <w:rsid w:val="00853965"/>
    <w:rsid w:val="00853D7A"/>
    <w:rsid w:val="00856AF1"/>
    <w:rsid w:val="00862449"/>
    <w:rsid w:val="008634B9"/>
    <w:rsid w:val="00865A95"/>
    <w:rsid w:val="00866186"/>
    <w:rsid w:val="00866A29"/>
    <w:rsid w:val="00870228"/>
    <w:rsid w:val="00870B1F"/>
    <w:rsid w:val="00870EB7"/>
    <w:rsid w:val="00871F60"/>
    <w:rsid w:val="00872B26"/>
    <w:rsid w:val="00873170"/>
    <w:rsid w:val="008742C4"/>
    <w:rsid w:val="00874C41"/>
    <w:rsid w:val="0087724A"/>
    <w:rsid w:val="00877DA3"/>
    <w:rsid w:val="00881B72"/>
    <w:rsid w:val="0088244A"/>
    <w:rsid w:val="00882A08"/>
    <w:rsid w:val="00882BC7"/>
    <w:rsid w:val="008837D7"/>
    <w:rsid w:val="00885096"/>
    <w:rsid w:val="00885728"/>
    <w:rsid w:val="00887851"/>
    <w:rsid w:val="00890FFA"/>
    <w:rsid w:val="0089131F"/>
    <w:rsid w:val="00894359"/>
    <w:rsid w:val="00894AF2"/>
    <w:rsid w:val="008955D2"/>
    <w:rsid w:val="0089598D"/>
    <w:rsid w:val="008A1680"/>
    <w:rsid w:val="008A1B47"/>
    <w:rsid w:val="008A1FAC"/>
    <w:rsid w:val="008A2510"/>
    <w:rsid w:val="008A2A68"/>
    <w:rsid w:val="008A313D"/>
    <w:rsid w:val="008A3564"/>
    <w:rsid w:val="008A38FD"/>
    <w:rsid w:val="008A3F0A"/>
    <w:rsid w:val="008A4B91"/>
    <w:rsid w:val="008A590A"/>
    <w:rsid w:val="008A7DB4"/>
    <w:rsid w:val="008B22BD"/>
    <w:rsid w:val="008B25EE"/>
    <w:rsid w:val="008B3D22"/>
    <w:rsid w:val="008B4D42"/>
    <w:rsid w:val="008B55E9"/>
    <w:rsid w:val="008B6B67"/>
    <w:rsid w:val="008C1E96"/>
    <w:rsid w:val="008C226B"/>
    <w:rsid w:val="008C52B3"/>
    <w:rsid w:val="008C791E"/>
    <w:rsid w:val="008D02A3"/>
    <w:rsid w:val="008D1E26"/>
    <w:rsid w:val="008D270E"/>
    <w:rsid w:val="008D3CA5"/>
    <w:rsid w:val="008D6EC8"/>
    <w:rsid w:val="008E2B0F"/>
    <w:rsid w:val="008E2B98"/>
    <w:rsid w:val="008E32DE"/>
    <w:rsid w:val="008E4FCA"/>
    <w:rsid w:val="008E57AA"/>
    <w:rsid w:val="008E694D"/>
    <w:rsid w:val="008E6DC7"/>
    <w:rsid w:val="008E778C"/>
    <w:rsid w:val="008F0383"/>
    <w:rsid w:val="008F277C"/>
    <w:rsid w:val="008F59FA"/>
    <w:rsid w:val="008F63A5"/>
    <w:rsid w:val="008F66A7"/>
    <w:rsid w:val="008F6E42"/>
    <w:rsid w:val="00900683"/>
    <w:rsid w:val="00901EA0"/>
    <w:rsid w:val="009040CA"/>
    <w:rsid w:val="009046B0"/>
    <w:rsid w:val="00904702"/>
    <w:rsid w:val="009055A7"/>
    <w:rsid w:val="00905D54"/>
    <w:rsid w:val="009063B8"/>
    <w:rsid w:val="00907485"/>
    <w:rsid w:val="0090792A"/>
    <w:rsid w:val="00911737"/>
    <w:rsid w:val="00911897"/>
    <w:rsid w:val="00911CBA"/>
    <w:rsid w:val="00912428"/>
    <w:rsid w:val="00912B99"/>
    <w:rsid w:val="00913955"/>
    <w:rsid w:val="00915A74"/>
    <w:rsid w:val="00915D6D"/>
    <w:rsid w:val="00916F53"/>
    <w:rsid w:val="009172C7"/>
    <w:rsid w:val="00920E45"/>
    <w:rsid w:val="0092303A"/>
    <w:rsid w:val="0092487C"/>
    <w:rsid w:val="00925868"/>
    <w:rsid w:val="00925CB3"/>
    <w:rsid w:val="00925E32"/>
    <w:rsid w:val="00925F4D"/>
    <w:rsid w:val="00931321"/>
    <w:rsid w:val="009336EF"/>
    <w:rsid w:val="00933FC4"/>
    <w:rsid w:val="00935144"/>
    <w:rsid w:val="00936C84"/>
    <w:rsid w:val="00937619"/>
    <w:rsid w:val="00937EC9"/>
    <w:rsid w:val="009403D2"/>
    <w:rsid w:val="00941B9F"/>
    <w:rsid w:val="00941F15"/>
    <w:rsid w:val="00942805"/>
    <w:rsid w:val="00943041"/>
    <w:rsid w:val="00944B5D"/>
    <w:rsid w:val="0094596A"/>
    <w:rsid w:val="00946BC5"/>
    <w:rsid w:val="00952757"/>
    <w:rsid w:val="009544ED"/>
    <w:rsid w:val="00954C5F"/>
    <w:rsid w:val="0095591F"/>
    <w:rsid w:val="00955D0F"/>
    <w:rsid w:val="00955F63"/>
    <w:rsid w:val="00956A65"/>
    <w:rsid w:val="00956FBF"/>
    <w:rsid w:val="00960FB0"/>
    <w:rsid w:val="009633DD"/>
    <w:rsid w:val="0096750A"/>
    <w:rsid w:val="00967DB2"/>
    <w:rsid w:val="00971887"/>
    <w:rsid w:val="00973222"/>
    <w:rsid w:val="00973EAC"/>
    <w:rsid w:val="009748F1"/>
    <w:rsid w:val="00975DAE"/>
    <w:rsid w:val="0097709A"/>
    <w:rsid w:val="009778F1"/>
    <w:rsid w:val="00977C0F"/>
    <w:rsid w:val="00980F1F"/>
    <w:rsid w:val="00982767"/>
    <w:rsid w:val="0099065A"/>
    <w:rsid w:val="00990F3F"/>
    <w:rsid w:val="00991234"/>
    <w:rsid w:val="009917C5"/>
    <w:rsid w:val="00991B47"/>
    <w:rsid w:val="00991D49"/>
    <w:rsid w:val="0099223E"/>
    <w:rsid w:val="00994EAB"/>
    <w:rsid w:val="00995163"/>
    <w:rsid w:val="009957B0"/>
    <w:rsid w:val="0099713B"/>
    <w:rsid w:val="009A004C"/>
    <w:rsid w:val="009A0FE2"/>
    <w:rsid w:val="009A2430"/>
    <w:rsid w:val="009A40B1"/>
    <w:rsid w:val="009A4104"/>
    <w:rsid w:val="009A5F37"/>
    <w:rsid w:val="009A7442"/>
    <w:rsid w:val="009B1A6D"/>
    <w:rsid w:val="009B29A1"/>
    <w:rsid w:val="009B3DD0"/>
    <w:rsid w:val="009B458D"/>
    <w:rsid w:val="009B4CF1"/>
    <w:rsid w:val="009B7DED"/>
    <w:rsid w:val="009C145F"/>
    <w:rsid w:val="009C170F"/>
    <w:rsid w:val="009C1D1D"/>
    <w:rsid w:val="009C302B"/>
    <w:rsid w:val="009C30E8"/>
    <w:rsid w:val="009C350F"/>
    <w:rsid w:val="009C3615"/>
    <w:rsid w:val="009C3B3C"/>
    <w:rsid w:val="009C3DB7"/>
    <w:rsid w:val="009C4D2A"/>
    <w:rsid w:val="009C6FB9"/>
    <w:rsid w:val="009C7527"/>
    <w:rsid w:val="009D0850"/>
    <w:rsid w:val="009D1273"/>
    <w:rsid w:val="009D1408"/>
    <w:rsid w:val="009D1468"/>
    <w:rsid w:val="009D15BA"/>
    <w:rsid w:val="009D17CA"/>
    <w:rsid w:val="009D3A54"/>
    <w:rsid w:val="009D4C83"/>
    <w:rsid w:val="009D4E83"/>
    <w:rsid w:val="009D5A01"/>
    <w:rsid w:val="009D6B9E"/>
    <w:rsid w:val="009D7096"/>
    <w:rsid w:val="009D7390"/>
    <w:rsid w:val="009E1246"/>
    <w:rsid w:val="009E18C1"/>
    <w:rsid w:val="009E2168"/>
    <w:rsid w:val="009E2D35"/>
    <w:rsid w:val="009E41EF"/>
    <w:rsid w:val="009E52A0"/>
    <w:rsid w:val="009E546B"/>
    <w:rsid w:val="009E63C0"/>
    <w:rsid w:val="009E79C5"/>
    <w:rsid w:val="009E79EE"/>
    <w:rsid w:val="009E7F93"/>
    <w:rsid w:val="009F0D76"/>
    <w:rsid w:val="009F15DD"/>
    <w:rsid w:val="009F16CF"/>
    <w:rsid w:val="009F222E"/>
    <w:rsid w:val="009F478D"/>
    <w:rsid w:val="009F4B32"/>
    <w:rsid w:val="009F63E9"/>
    <w:rsid w:val="009F79B0"/>
    <w:rsid w:val="00A02336"/>
    <w:rsid w:val="00A02533"/>
    <w:rsid w:val="00A02904"/>
    <w:rsid w:val="00A0308E"/>
    <w:rsid w:val="00A03AF8"/>
    <w:rsid w:val="00A0411A"/>
    <w:rsid w:val="00A0479E"/>
    <w:rsid w:val="00A05223"/>
    <w:rsid w:val="00A06377"/>
    <w:rsid w:val="00A074C9"/>
    <w:rsid w:val="00A13585"/>
    <w:rsid w:val="00A13E10"/>
    <w:rsid w:val="00A213AD"/>
    <w:rsid w:val="00A218A4"/>
    <w:rsid w:val="00A22101"/>
    <w:rsid w:val="00A23887"/>
    <w:rsid w:val="00A23991"/>
    <w:rsid w:val="00A26638"/>
    <w:rsid w:val="00A27025"/>
    <w:rsid w:val="00A276F5"/>
    <w:rsid w:val="00A31BA0"/>
    <w:rsid w:val="00A32770"/>
    <w:rsid w:val="00A32F82"/>
    <w:rsid w:val="00A343CC"/>
    <w:rsid w:val="00A35FAB"/>
    <w:rsid w:val="00A3639A"/>
    <w:rsid w:val="00A36C7B"/>
    <w:rsid w:val="00A37BA3"/>
    <w:rsid w:val="00A4062E"/>
    <w:rsid w:val="00A40D96"/>
    <w:rsid w:val="00A42BA4"/>
    <w:rsid w:val="00A42CFF"/>
    <w:rsid w:val="00A42E59"/>
    <w:rsid w:val="00A44A40"/>
    <w:rsid w:val="00A45368"/>
    <w:rsid w:val="00A4774E"/>
    <w:rsid w:val="00A5023E"/>
    <w:rsid w:val="00A50BF0"/>
    <w:rsid w:val="00A5200E"/>
    <w:rsid w:val="00A53232"/>
    <w:rsid w:val="00A535C6"/>
    <w:rsid w:val="00A536C7"/>
    <w:rsid w:val="00A53C92"/>
    <w:rsid w:val="00A54157"/>
    <w:rsid w:val="00A550B8"/>
    <w:rsid w:val="00A5604E"/>
    <w:rsid w:val="00A56C14"/>
    <w:rsid w:val="00A56F09"/>
    <w:rsid w:val="00A57E06"/>
    <w:rsid w:val="00A60497"/>
    <w:rsid w:val="00A60591"/>
    <w:rsid w:val="00A60C7A"/>
    <w:rsid w:val="00A620A1"/>
    <w:rsid w:val="00A62C00"/>
    <w:rsid w:val="00A62EDB"/>
    <w:rsid w:val="00A6516F"/>
    <w:rsid w:val="00A65635"/>
    <w:rsid w:val="00A66901"/>
    <w:rsid w:val="00A67E6D"/>
    <w:rsid w:val="00A67F68"/>
    <w:rsid w:val="00A7010F"/>
    <w:rsid w:val="00A70BD0"/>
    <w:rsid w:val="00A723C5"/>
    <w:rsid w:val="00A743B5"/>
    <w:rsid w:val="00A75AAD"/>
    <w:rsid w:val="00A763C4"/>
    <w:rsid w:val="00A76BAD"/>
    <w:rsid w:val="00A771FF"/>
    <w:rsid w:val="00A80831"/>
    <w:rsid w:val="00A84558"/>
    <w:rsid w:val="00A84595"/>
    <w:rsid w:val="00A86B30"/>
    <w:rsid w:val="00A86E2A"/>
    <w:rsid w:val="00A8744D"/>
    <w:rsid w:val="00A875A6"/>
    <w:rsid w:val="00A87EF8"/>
    <w:rsid w:val="00A9005B"/>
    <w:rsid w:val="00A90510"/>
    <w:rsid w:val="00A9170F"/>
    <w:rsid w:val="00A92473"/>
    <w:rsid w:val="00A92AD0"/>
    <w:rsid w:val="00A92BCD"/>
    <w:rsid w:val="00A946B3"/>
    <w:rsid w:val="00A94F73"/>
    <w:rsid w:val="00A95A04"/>
    <w:rsid w:val="00A96012"/>
    <w:rsid w:val="00AA0757"/>
    <w:rsid w:val="00AA168B"/>
    <w:rsid w:val="00AA1B33"/>
    <w:rsid w:val="00AA228F"/>
    <w:rsid w:val="00AA2423"/>
    <w:rsid w:val="00AA30A7"/>
    <w:rsid w:val="00AA4498"/>
    <w:rsid w:val="00AA473F"/>
    <w:rsid w:val="00AA6FE3"/>
    <w:rsid w:val="00AA75DE"/>
    <w:rsid w:val="00AB1991"/>
    <w:rsid w:val="00AB2E14"/>
    <w:rsid w:val="00AB6C0F"/>
    <w:rsid w:val="00AB72A0"/>
    <w:rsid w:val="00AB72C2"/>
    <w:rsid w:val="00AB7541"/>
    <w:rsid w:val="00AC0D99"/>
    <w:rsid w:val="00AC153C"/>
    <w:rsid w:val="00AC478C"/>
    <w:rsid w:val="00AC4802"/>
    <w:rsid w:val="00AC5F04"/>
    <w:rsid w:val="00AC7AA4"/>
    <w:rsid w:val="00AD28CB"/>
    <w:rsid w:val="00AD2A78"/>
    <w:rsid w:val="00AD3220"/>
    <w:rsid w:val="00AD73EE"/>
    <w:rsid w:val="00AD7428"/>
    <w:rsid w:val="00AD772A"/>
    <w:rsid w:val="00AE06EB"/>
    <w:rsid w:val="00AE1222"/>
    <w:rsid w:val="00AE564D"/>
    <w:rsid w:val="00AF010A"/>
    <w:rsid w:val="00AF0288"/>
    <w:rsid w:val="00AF12C2"/>
    <w:rsid w:val="00AF2415"/>
    <w:rsid w:val="00AF299D"/>
    <w:rsid w:val="00AF365B"/>
    <w:rsid w:val="00AF6877"/>
    <w:rsid w:val="00AF6C45"/>
    <w:rsid w:val="00AF7C43"/>
    <w:rsid w:val="00B00FB1"/>
    <w:rsid w:val="00B03484"/>
    <w:rsid w:val="00B042D1"/>
    <w:rsid w:val="00B05B0A"/>
    <w:rsid w:val="00B05E26"/>
    <w:rsid w:val="00B07575"/>
    <w:rsid w:val="00B10740"/>
    <w:rsid w:val="00B1387A"/>
    <w:rsid w:val="00B158E6"/>
    <w:rsid w:val="00B1695A"/>
    <w:rsid w:val="00B17AB4"/>
    <w:rsid w:val="00B17C71"/>
    <w:rsid w:val="00B207C9"/>
    <w:rsid w:val="00B208CF"/>
    <w:rsid w:val="00B20C80"/>
    <w:rsid w:val="00B21AFE"/>
    <w:rsid w:val="00B221FE"/>
    <w:rsid w:val="00B24D62"/>
    <w:rsid w:val="00B25BF3"/>
    <w:rsid w:val="00B27484"/>
    <w:rsid w:val="00B27660"/>
    <w:rsid w:val="00B27964"/>
    <w:rsid w:val="00B31428"/>
    <w:rsid w:val="00B3180C"/>
    <w:rsid w:val="00B31A6C"/>
    <w:rsid w:val="00B3245C"/>
    <w:rsid w:val="00B33057"/>
    <w:rsid w:val="00B34567"/>
    <w:rsid w:val="00B34E27"/>
    <w:rsid w:val="00B35B4D"/>
    <w:rsid w:val="00B35FB7"/>
    <w:rsid w:val="00B402FA"/>
    <w:rsid w:val="00B4169A"/>
    <w:rsid w:val="00B42644"/>
    <w:rsid w:val="00B42DAD"/>
    <w:rsid w:val="00B44A77"/>
    <w:rsid w:val="00B457B3"/>
    <w:rsid w:val="00B46CB7"/>
    <w:rsid w:val="00B51403"/>
    <w:rsid w:val="00B5161C"/>
    <w:rsid w:val="00B54690"/>
    <w:rsid w:val="00B5633A"/>
    <w:rsid w:val="00B56778"/>
    <w:rsid w:val="00B601AF"/>
    <w:rsid w:val="00B60507"/>
    <w:rsid w:val="00B60E18"/>
    <w:rsid w:val="00B622AE"/>
    <w:rsid w:val="00B62F50"/>
    <w:rsid w:val="00B633DD"/>
    <w:rsid w:val="00B64724"/>
    <w:rsid w:val="00B64A64"/>
    <w:rsid w:val="00B6526C"/>
    <w:rsid w:val="00B664D0"/>
    <w:rsid w:val="00B6719B"/>
    <w:rsid w:val="00B7020B"/>
    <w:rsid w:val="00B70ADE"/>
    <w:rsid w:val="00B71672"/>
    <w:rsid w:val="00B73110"/>
    <w:rsid w:val="00B75C05"/>
    <w:rsid w:val="00B803CF"/>
    <w:rsid w:val="00B81402"/>
    <w:rsid w:val="00B8235F"/>
    <w:rsid w:val="00B83258"/>
    <w:rsid w:val="00B832F7"/>
    <w:rsid w:val="00B85E6F"/>
    <w:rsid w:val="00B87EC1"/>
    <w:rsid w:val="00B90426"/>
    <w:rsid w:val="00B90C86"/>
    <w:rsid w:val="00B90F15"/>
    <w:rsid w:val="00B914A7"/>
    <w:rsid w:val="00B91512"/>
    <w:rsid w:val="00B921F2"/>
    <w:rsid w:val="00B93080"/>
    <w:rsid w:val="00B9734C"/>
    <w:rsid w:val="00BA0A17"/>
    <w:rsid w:val="00BA15AF"/>
    <w:rsid w:val="00BA28EF"/>
    <w:rsid w:val="00BA2D8A"/>
    <w:rsid w:val="00BA30BD"/>
    <w:rsid w:val="00BA3624"/>
    <w:rsid w:val="00BA3B0D"/>
    <w:rsid w:val="00BA4B35"/>
    <w:rsid w:val="00BA53D4"/>
    <w:rsid w:val="00BA65EE"/>
    <w:rsid w:val="00BA6AED"/>
    <w:rsid w:val="00BA7520"/>
    <w:rsid w:val="00BA75F7"/>
    <w:rsid w:val="00BB000A"/>
    <w:rsid w:val="00BB1922"/>
    <w:rsid w:val="00BB639A"/>
    <w:rsid w:val="00BB7024"/>
    <w:rsid w:val="00BC0C4D"/>
    <w:rsid w:val="00BC1C15"/>
    <w:rsid w:val="00BC2B26"/>
    <w:rsid w:val="00BC3E2D"/>
    <w:rsid w:val="00BC7A8C"/>
    <w:rsid w:val="00BD0111"/>
    <w:rsid w:val="00BD3E18"/>
    <w:rsid w:val="00BD4BCC"/>
    <w:rsid w:val="00BD6151"/>
    <w:rsid w:val="00BD69F7"/>
    <w:rsid w:val="00BD6F37"/>
    <w:rsid w:val="00BD7264"/>
    <w:rsid w:val="00BE0AE5"/>
    <w:rsid w:val="00BE0FDC"/>
    <w:rsid w:val="00BE1506"/>
    <w:rsid w:val="00BE1ECD"/>
    <w:rsid w:val="00BE1FA5"/>
    <w:rsid w:val="00BE31BD"/>
    <w:rsid w:val="00BE6587"/>
    <w:rsid w:val="00BE6CFF"/>
    <w:rsid w:val="00BF06F4"/>
    <w:rsid w:val="00BF0AFA"/>
    <w:rsid w:val="00BF1A4A"/>
    <w:rsid w:val="00BF2929"/>
    <w:rsid w:val="00BF4B74"/>
    <w:rsid w:val="00BF77D5"/>
    <w:rsid w:val="00BF7DE4"/>
    <w:rsid w:val="00C00A95"/>
    <w:rsid w:val="00C04DC5"/>
    <w:rsid w:val="00C064A5"/>
    <w:rsid w:val="00C06656"/>
    <w:rsid w:val="00C06723"/>
    <w:rsid w:val="00C076E8"/>
    <w:rsid w:val="00C11784"/>
    <w:rsid w:val="00C12377"/>
    <w:rsid w:val="00C1419F"/>
    <w:rsid w:val="00C171FF"/>
    <w:rsid w:val="00C17D55"/>
    <w:rsid w:val="00C207AB"/>
    <w:rsid w:val="00C20B40"/>
    <w:rsid w:val="00C210DB"/>
    <w:rsid w:val="00C2466C"/>
    <w:rsid w:val="00C255D4"/>
    <w:rsid w:val="00C301A9"/>
    <w:rsid w:val="00C310D2"/>
    <w:rsid w:val="00C31772"/>
    <w:rsid w:val="00C32183"/>
    <w:rsid w:val="00C3264F"/>
    <w:rsid w:val="00C33DD3"/>
    <w:rsid w:val="00C3426C"/>
    <w:rsid w:val="00C3563F"/>
    <w:rsid w:val="00C35FDF"/>
    <w:rsid w:val="00C403D6"/>
    <w:rsid w:val="00C423A4"/>
    <w:rsid w:val="00C443E6"/>
    <w:rsid w:val="00C462BA"/>
    <w:rsid w:val="00C4667C"/>
    <w:rsid w:val="00C46F88"/>
    <w:rsid w:val="00C47D79"/>
    <w:rsid w:val="00C5072D"/>
    <w:rsid w:val="00C50EC5"/>
    <w:rsid w:val="00C51D29"/>
    <w:rsid w:val="00C51E0D"/>
    <w:rsid w:val="00C52D1B"/>
    <w:rsid w:val="00C54306"/>
    <w:rsid w:val="00C54429"/>
    <w:rsid w:val="00C552A6"/>
    <w:rsid w:val="00C55EEC"/>
    <w:rsid w:val="00C56569"/>
    <w:rsid w:val="00C56B99"/>
    <w:rsid w:val="00C575BE"/>
    <w:rsid w:val="00C57CCE"/>
    <w:rsid w:val="00C66193"/>
    <w:rsid w:val="00C664B1"/>
    <w:rsid w:val="00C677D2"/>
    <w:rsid w:val="00C6786A"/>
    <w:rsid w:val="00C67A1C"/>
    <w:rsid w:val="00C703A1"/>
    <w:rsid w:val="00C70FEB"/>
    <w:rsid w:val="00C71EB1"/>
    <w:rsid w:val="00C71FF3"/>
    <w:rsid w:val="00C728FB"/>
    <w:rsid w:val="00C72E67"/>
    <w:rsid w:val="00C73258"/>
    <w:rsid w:val="00C77862"/>
    <w:rsid w:val="00C81F66"/>
    <w:rsid w:val="00C822C8"/>
    <w:rsid w:val="00C8282D"/>
    <w:rsid w:val="00C84227"/>
    <w:rsid w:val="00C84E6A"/>
    <w:rsid w:val="00C853E2"/>
    <w:rsid w:val="00C85988"/>
    <w:rsid w:val="00C911B1"/>
    <w:rsid w:val="00C92ED9"/>
    <w:rsid w:val="00C93356"/>
    <w:rsid w:val="00C9462F"/>
    <w:rsid w:val="00C947D5"/>
    <w:rsid w:val="00C96AF4"/>
    <w:rsid w:val="00C9732C"/>
    <w:rsid w:val="00CA174C"/>
    <w:rsid w:val="00CA1D2B"/>
    <w:rsid w:val="00CA36C2"/>
    <w:rsid w:val="00CA65E7"/>
    <w:rsid w:val="00CB0223"/>
    <w:rsid w:val="00CB04B4"/>
    <w:rsid w:val="00CB0C3E"/>
    <w:rsid w:val="00CB1D4E"/>
    <w:rsid w:val="00CB49A1"/>
    <w:rsid w:val="00CB5E54"/>
    <w:rsid w:val="00CB5FE2"/>
    <w:rsid w:val="00CC0CA1"/>
    <w:rsid w:val="00CC0FA7"/>
    <w:rsid w:val="00CC14B0"/>
    <w:rsid w:val="00CC2A38"/>
    <w:rsid w:val="00CC2A56"/>
    <w:rsid w:val="00CC3AB1"/>
    <w:rsid w:val="00CC54FA"/>
    <w:rsid w:val="00CC6083"/>
    <w:rsid w:val="00CD078D"/>
    <w:rsid w:val="00CD1ED7"/>
    <w:rsid w:val="00CD4F8C"/>
    <w:rsid w:val="00CD51CD"/>
    <w:rsid w:val="00CD5F50"/>
    <w:rsid w:val="00CE0591"/>
    <w:rsid w:val="00CE1947"/>
    <w:rsid w:val="00CE2896"/>
    <w:rsid w:val="00CE2A0F"/>
    <w:rsid w:val="00CE5BCC"/>
    <w:rsid w:val="00CE67A5"/>
    <w:rsid w:val="00CE6E88"/>
    <w:rsid w:val="00CE7D7D"/>
    <w:rsid w:val="00CF216D"/>
    <w:rsid w:val="00CF2C86"/>
    <w:rsid w:val="00CF4C2F"/>
    <w:rsid w:val="00CF5446"/>
    <w:rsid w:val="00CF63E2"/>
    <w:rsid w:val="00CF707B"/>
    <w:rsid w:val="00CF70B2"/>
    <w:rsid w:val="00CF76D9"/>
    <w:rsid w:val="00CF7999"/>
    <w:rsid w:val="00CF7FBA"/>
    <w:rsid w:val="00D00DE8"/>
    <w:rsid w:val="00D02FA5"/>
    <w:rsid w:val="00D06484"/>
    <w:rsid w:val="00D100D1"/>
    <w:rsid w:val="00D11261"/>
    <w:rsid w:val="00D1484F"/>
    <w:rsid w:val="00D15C3C"/>
    <w:rsid w:val="00D21DEB"/>
    <w:rsid w:val="00D22667"/>
    <w:rsid w:val="00D24619"/>
    <w:rsid w:val="00D259E6"/>
    <w:rsid w:val="00D25A8D"/>
    <w:rsid w:val="00D27B83"/>
    <w:rsid w:val="00D30242"/>
    <w:rsid w:val="00D30427"/>
    <w:rsid w:val="00D30608"/>
    <w:rsid w:val="00D307B5"/>
    <w:rsid w:val="00D36570"/>
    <w:rsid w:val="00D37B0D"/>
    <w:rsid w:val="00D405DC"/>
    <w:rsid w:val="00D412BA"/>
    <w:rsid w:val="00D434F0"/>
    <w:rsid w:val="00D434FC"/>
    <w:rsid w:val="00D43BFF"/>
    <w:rsid w:val="00D43DDC"/>
    <w:rsid w:val="00D4450A"/>
    <w:rsid w:val="00D445F4"/>
    <w:rsid w:val="00D44636"/>
    <w:rsid w:val="00D45E16"/>
    <w:rsid w:val="00D46328"/>
    <w:rsid w:val="00D50AF7"/>
    <w:rsid w:val="00D50CEE"/>
    <w:rsid w:val="00D51029"/>
    <w:rsid w:val="00D51C92"/>
    <w:rsid w:val="00D525FB"/>
    <w:rsid w:val="00D52D5C"/>
    <w:rsid w:val="00D605CA"/>
    <w:rsid w:val="00D612A6"/>
    <w:rsid w:val="00D61FD1"/>
    <w:rsid w:val="00D62CF0"/>
    <w:rsid w:val="00D6460C"/>
    <w:rsid w:val="00D648A9"/>
    <w:rsid w:val="00D64D92"/>
    <w:rsid w:val="00D677FD"/>
    <w:rsid w:val="00D6792A"/>
    <w:rsid w:val="00D67FD3"/>
    <w:rsid w:val="00D71FC3"/>
    <w:rsid w:val="00D73216"/>
    <w:rsid w:val="00D73297"/>
    <w:rsid w:val="00D73FA2"/>
    <w:rsid w:val="00D74014"/>
    <w:rsid w:val="00D74561"/>
    <w:rsid w:val="00D75D7F"/>
    <w:rsid w:val="00D76265"/>
    <w:rsid w:val="00D763FF"/>
    <w:rsid w:val="00D77666"/>
    <w:rsid w:val="00D80946"/>
    <w:rsid w:val="00D80A6D"/>
    <w:rsid w:val="00D80F5C"/>
    <w:rsid w:val="00D83439"/>
    <w:rsid w:val="00D84111"/>
    <w:rsid w:val="00D854BC"/>
    <w:rsid w:val="00D85F5B"/>
    <w:rsid w:val="00D87B4C"/>
    <w:rsid w:val="00D904FA"/>
    <w:rsid w:val="00D91648"/>
    <w:rsid w:val="00D919C9"/>
    <w:rsid w:val="00D91DDF"/>
    <w:rsid w:val="00D924D8"/>
    <w:rsid w:val="00D92E83"/>
    <w:rsid w:val="00D94310"/>
    <w:rsid w:val="00D96964"/>
    <w:rsid w:val="00D96E5F"/>
    <w:rsid w:val="00DA112B"/>
    <w:rsid w:val="00DA1EFA"/>
    <w:rsid w:val="00DA2F74"/>
    <w:rsid w:val="00DA344F"/>
    <w:rsid w:val="00DA3F14"/>
    <w:rsid w:val="00DA4B59"/>
    <w:rsid w:val="00DA6EC4"/>
    <w:rsid w:val="00DA7556"/>
    <w:rsid w:val="00DB04F5"/>
    <w:rsid w:val="00DB17CC"/>
    <w:rsid w:val="00DB2C82"/>
    <w:rsid w:val="00DB3BD7"/>
    <w:rsid w:val="00DB45FE"/>
    <w:rsid w:val="00DB4C7E"/>
    <w:rsid w:val="00DB5176"/>
    <w:rsid w:val="00DB5214"/>
    <w:rsid w:val="00DB704C"/>
    <w:rsid w:val="00DC0DB3"/>
    <w:rsid w:val="00DC0F23"/>
    <w:rsid w:val="00DC20A0"/>
    <w:rsid w:val="00DC2347"/>
    <w:rsid w:val="00DC2377"/>
    <w:rsid w:val="00DC6632"/>
    <w:rsid w:val="00DC6779"/>
    <w:rsid w:val="00DD08A7"/>
    <w:rsid w:val="00DD1145"/>
    <w:rsid w:val="00DD1611"/>
    <w:rsid w:val="00DD1D9E"/>
    <w:rsid w:val="00DD2432"/>
    <w:rsid w:val="00DD2F57"/>
    <w:rsid w:val="00DD37D3"/>
    <w:rsid w:val="00DD3FA1"/>
    <w:rsid w:val="00DD5608"/>
    <w:rsid w:val="00DD652D"/>
    <w:rsid w:val="00DD7912"/>
    <w:rsid w:val="00DE2D66"/>
    <w:rsid w:val="00DE365A"/>
    <w:rsid w:val="00DE473C"/>
    <w:rsid w:val="00DE50A8"/>
    <w:rsid w:val="00DE5620"/>
    <w:rsid w:val="00DF0AE1"/>
    <w:rsid w:val="00DF0AE5"/>
    <w:rsid w:val="00DF280F"/>
    <w:rsid w:val="00DF44D7"/>
    <w:rsid w:val="00DF4C25"/>
    <w:rsid w:val="00DF6768"/>
    <w:rsid w:val="00E01835"/>
    <w:rsid w:val="00E025EE"/>
    <w:rsid w:val="00E03595"/>
    <w:rsid w:val="00E0402C"/>
    <w:rsid w:val="00E05B9E"/>
    <w:rsid w:val="00E11DA9"/>
    <w:rsid w:val="00E12052"/>
    <w:rsid w:val="00E128BA"/>
    <w:rsid w:val="00E12BB0"/>
    <w:rsid w:val="00E13FC7"/>
    <w:rsid w:val="00E1556B"/>
    <w:rsid w:val="00E20741"/>
    <w:rsid w:val="00E21463"/>
    <w:rsid w:val="00E22701"/>
    <w:rsid w:val="00E22FA5"/>
    <w:rsid w:val="00E257B0"/>
    <w:rsid w:val="00E25B69"/>
    <w:rsid w:val="00E273D2"/>
    <w:rsid w:val="00E27ADD"/>
    <w:rsid w:val="00E27FA2"/>
    <w:rsid w:val="00E304CA"/>
    <w:rsid w:val="00E30E02"/>
    <w:rsid w:val="00E316F3"/>
    <w:rsid w:val="00E332B9"/>
    <w:rsid w:val="00E343CA"/>
    <w:rsid w:val="00E34544"/>
    <w:rsid w:val="00E34B1A"/>
    <w:rsid w:val="00E35253"/>
    <w:rsid w:val="00E3615E"/>
    <w:rsid w:val="00E40E27"/>
    <w:rsid w:val="00E423B6"/>
    <w:rsid w:val="00E43077"/>
    <w:rsid w:val="00E4439A"/>
    <w:rsid w:val="00E468ED"/>
    <w:rsid w:val="00E51047"/>
    <w:rsid w:val="00E51485"/>
    <w:rsid w:val="00E51BC2"/>
    <w:rsid w:val="00E5215F"/>
    <w:rsid w:val="00E53958"/>
    <w:rsid w:val="00E540BA"/>
    <w:rsid w:val="00E545F2"/>
    <w:rsid w:val="00E564AB"/>
    <w:rsid w:val="00E56D6F"/>
    <w:rsid w:val="00E57E8D"/>
    <w:rsid w:val="00E6051C"/>
    <w:rsid w:val="00E618D3"/>
    <w:rsid w:val="00E64573"/>
    <w:rsid w:val="00E6521C"/>
    <w:rsid w:val="00E65AB6"/>
    <w:rsid w:val="00E65CD7"/>
    <w:rsid w:val="00E73476"/>
    <w:rsid w:val="00E73B7A"/>
    <w:rsid w:val="00E73C63"/>
    <w:rsid w:val="00E73F0D"/>
    <w:rsid w:val="00E743A7"/>
    <w:rsid w:val="00E74783"/>
    <w:rsid w:val="00E749AF"/>
    <w:rsid w:val="00E752BC"/>
    <w:rsid w:val="00E7554B"/>
    <w:rsid w:val="00E76F6D"/>
    <w:rsid w:val="00E77A6C"/>
    <w:rsid w:val="00E80F63"/>
    <w:rsid w:val="00E812C5"/>
    <w:rsid w:val="00E8179F"/>
    <w:rsid w:val="00E81E2F"/>
    <w:rsid w:val="00E82DC6"/>
    <w:rsid w:val="00E83391"/>
    <w:rsid w:val="00E856C5"/>
    <w:rsid w:val="00E908C3"/>
    <w:rsid w:val="00E90E04"/>
    <w:rsid w:val="00E9208D"/>
    <w:rsid w:val="00E93863"/>
    <w:rsid w:val="00E94634"/>
    <w:rsid w:val="00E9530D"/>
    <w:rsid w:val="00EA00C3"/>
    <w:rsid w:val="00EA0278"/>
    <w:rsid w:val="00EA04E9"/>
    <w:rsid w:val="00EA096E"/>
    <w:rsid w:val="00EA10F5"/>
    <w:rsid w:val="00EA13AE"/>
    <w:rsid w:val="00EA1701"/>
    <w:rsid w:val="00EA51A4"/>
    <w:rsid w:val="00EA6897"/>
    <w:rsid w:val="00EA7AED"/>
    <w:rsid w:val="00EB1A5E"/>
    <w:rsid w:val="00EB2728"/>
    <w:rsid w:val="00EB279D"/>
    <w:rsid w:val="00EB4B02"/>
    <w:rsid w:val="00EB5917"/>
    <w:rsid w:val="00EB5A41"/>
    <w:rsid w:val="00EB5D53"/>
    <w:rsid w:val="00EB7F51"/>
    <w:rsid w:val="00EC185F"/>
    <w:rsid w:val="00EC29C1"/>
    <w:rsid w:val="00EC2DD9"/>
    <w:rsid w:val="00EC38CF"/>
    <w:rsid w:val="00EC3A4C"/>
    <w:rsid w:val="00EC5208"/>
    <w:rsid w:val="00EC646F"/>
    <w:rsid w:val="00EC6AA2"/>
    <w:rsid w:val="00EC770F"/>
    <w:rsid w:val="00ED1708"/>
    <w:rsid w:val="00ED2AD2"/>
    <w:rsid w:val="00ED44D8"/>
    <w:rsid w:val="00ED5156"/>
    <w:rsid w:val="00ED54B5"/>
    <w:rsid w:val="00EE0598"/>
    <w:rsid w:val="00EE107E"/>
    <w:rsid w:val="00EE162B"/>
    <w:rsid w:val="00EE1971"/>
    <w:rsid w:val="00EE4807"/>
    <w:rsid w:val="00EE5AB8"/>
    <w:rsid w:val="00EE5F5D"/>
    <w:rsid w:val="00EF1299"/>
    <w:rsid w:val="00EF12A4"/>
    <w:rsid w:val="00EF2007"/>
    <w:rsid w:val="00EF34A4"/>
    <w:rsid w:val="00EF440E"/>
    <w:rsid w:val="00EF6C20"/>
    <w:rsid w:val="00F00AC5"/>
    <w:rsid w:val="00F01D13"/>
    <w:rsid w:val="00F03C2F"/>
    <w:rsid w:val="00F05F89"/>
    <w:rsid w:val="00F0625E"/>
    <w:rsid w:val="00F07564"/>
    <w:rsid w:val="00F07AF6"/>
    <w:rsid w:val="00F1023E"/>
    <w:rsid w:val="00F10331"/>
    <w:rsid w:val="00F10986"/>
    <w:rsid w:val="00F10E18"/>
    <w:rsid w:val="00F123C2"/>
    <w:rsid w:val="00F12658"/>
    <w:rsid w:val="00F12862"/>
    <w:rsid w:val="00F133FF"/>
    <w:rsid w:val="00F1509A"/>
    <w:rsid w:val="00F17098"/>
    <w:rsid w:val="00F207CD"/>
    <w:rsid w:val="00F21876"/>
    <w:rsid w:val="00F2234C"/>
    <w:rsid w:val="00F23AE9"/>
    <w:rsid w:val="00F24DBD"/>
    <w:rsid w:val="00F26943"/>
    <w:rsid w:val="00F30034"/>
    <w:rsid w:val="00F3276F"/>
    <w:rsid w:val="00F33184"/>
    <w:rsid w:val="00F34E7D"/>
    <w:rsid w:val="00F34FA3"/>
    <w:rsid w:val="00F36886"/>
    <w:rsid w:val="00F43B6E"/>
    <w:rsid w:val="00F43BAF"/>
    <w:rsid w:val="00F43F39"/>
    <w:rsid w:val="00F4434A"/>
    <w:rsid w:val="00F4443C"/>
    <w:rsid w:val="00F44B68"/>
    <w:rsid w:val="00F45A3A"/>
    <w:rsid w:val="00F4670F"/>
    <w:rsid w:val="00F46AFA"/>
    <w:rsid w:val="00F47D12"/>
    <w:rsid w:val="00F50253"/>
    <w:rsid w:val="00F537DF"/>
    <w:rsid w:val="00F565B7"/>
    <w:rsid w:val="00F56E82"/>
    <w:rsid w:val="00F60DD3"/>
    <w:rsid w:val="00F6141A"/>
    <w:rsid w:val="00F62ECB"/>
    <w:rsid w:val="00F638DF"/>
    <w:rsid w:val="00F65863"/>
    <w:rsid w:val="00F66EB1"/>
    <w:rsid w:val="00F6731A"/>
    <w:rsid w:val="00F67613"/>
    <w:rsid w:val="00F70A73"/>
    <w:rsid w:val="00F71EF1"/>
    <w:rsid w:val="00F72B02"/>
    <w:rsid w:val="00F73538"/>
    <w:rsid w:val="00F73FE5"/>
    <w:rsid w:val="00F76865"/>
    <w:rsid w:val="00F778C3"/>
    <w:rsid w:val="00F77F62"/>
    <w:rsid w:val="00F802FD"/>
    <w:rsid w:val="00F8081E"/>
    <w:rsid w:val="00F8155B"/>
    <w:rsid w:val="00F81B86"/>
    <w:rsid w:val="00F82F0C"/>
    <w:rsid w:val="00F847AC"/>
    <w:rsid w:val="00F85746"/>
    <w:rsid w:val="00F860FB"/>
    <w:rsid w:val="00F86DD7"/>
    <w:rsid w:val="00F876DB"/>
    <w:rsid w:val="00F87974"/>
    <w:rsid w:val="00F9092B"/>
    <w:rsid w:val="00F92A7E"/>
    <w:rsid w:val="00F92CB7"/>
    <w:rsid w:val="00F932F9"/>
    <w:rsid w:val="00F93380"/>
    <w:rsid w:val="00F95977"/>
    <w:rsid w:val="00F960D4"/>
    <w:rsid w:val="00F973C1"/>
    <w:rsid w:val="00F974F3"/>
    <w:rsid w:val="00F97C99"/>
    <w:rsid w:val="00FA2F06"/>
    <w:rsid w:val="00FA3361"/>
    <w:rsid w:val="00FA7372"/>
    <w:rsid w:val="00FA78B2"/>
    <w:rsid w:val="00FB0FC8"/>
    <w:rsid w:val="00FB1310"/>
    <w:rsid w:val="00FB18E6"/>
    <w:rsid w:val="00FB2042"/>
    <w:rsid w:val="00FB3CA0"/>
    <w:rsid w:val="00FB4019"/>
    <w:rsid w:val="00FB4CDC"/>
    <w:rsid w:val="00FC05BA"/>
    <w:rsid w:val="00FC0E96"/>
    <w:rsid w:val="00FC4113"/>
    <w:rsid w:val="00FC45C8"/>
    <w:rsid w:val="00FC58F4"/>
    <w:rsid w:val="00FC68D4"/>
    <w:rsid w:val="00FD2D98"/>
    <w:rsid w:val="00FD3170"/>
    <w:rsid w:val="00FD3B43"/>
    <w:rsid w:val="00FD3C4B"/>
    <w:rsid w:val="00FD7806"/>
    <w:rsid w:val="00FD7DF6"/>
    <w:rsid w:val="00FE0223"/>
    <w:rsid w:val="00FE1555"/>
    <w:rsid w:val="00FE21CE"/>
    <w:rsid w:val="00FE275D"/>
    <w:rsid w:val="00FE3230"/>
    <w:rsid w:val="00FE3F0F"/>
    <w:rsid w:val="00FE4062"/>
    <w:rsid w:val="00FE5A68"/>
    <w:rsid w:val="00FE5FDD"/>
    <w:rsid w:val="00FE7A6E"/>
    <w:rsid w:val="00FF008C"/>
    <w:rsid w:val="00FF0B1E"/>
    <w:rsid w:val="00FF0F7D"/>
    <w:rsid w:val="00FF114F"/>
    <w:rsid w:val="00FF4918"/>
    <w:rsid w:val="00FF7283"/>
    <w:rsid w:val="016555FD"/>
    <w:rsid w:val="049C057C"/>
    <w:rsid w:val="0611670F"/>
    <w:rsid w:val="06C4438A"/>
    <w:rsid w:val="09655A07"/>
    <w:rsid w:val="0A024DAA"/>
    <w:rsid w:val="0AE25A62"/>
    <w:rsid w:val="0CCC49AE"/>
    <w:rsid w:val="102510DA"/>
    <w:rsid w:val="105739A8"/>
    <w:rsid w:val="1389428C"/>
    <w:rsid w:val="16533722"/>
    <w:rsid w:val="1F500835"/>
    <w:rsid w:val="20FC20A3"/>
    <w:rsid w:val="21B86822"/>
    <w:rsid w:val="27F17B8F"/>
    <w:rsid w:val="2B8F18F4"/>
    <w:rsid w:val="2C8577FD"/>
    <w:rsid w:val="2ED33FFF"/>
    <w:rsid w:val="324238CF"/>
    <w:rsid w:val="326C7C95"/>
    <w:rsid w:val="3378717E"/>
    <w:rsid w:val="33EF193A"/>
    <w:rsid w:val="354F50D0"/>
    <w:rsid w:val="36B23A1B"/>
    <w:rsid w:val="36F67ED3"/>
    <w:rsid w:val="37CC17F2"/>
    <w:rsid w:val="37D31648"/>
    <w:rsid w:val="394E624E"/>
    <w:rsid w:val="39680AEF"/>
    <w:rsid w:val="39B74D51"/>
    <w:rsid w:val="3C1F7EB4"/>
    <w:rsid w:val="3DCF387F"/>
    <w:rsid w:val="3FD96858"/>
    <w:rsid w:val="406F7939"/>
    <w:rsid w:val="427F6C5B"/>
    <w:rsid w:val="4316316E"/>
    <w:rsid w:val="43666E4F"/>
    <w:rsid w:val="45626CB6"/>
    <w:rsid w:val="49876195"/>
    <w:rsid w:val="4A8E14FE"/>
    <w:rsid w:val="4DA65C0A"/>
    <w:rsid w:val="51285A3F"/>
    <w:rsid w:val="52634608"/>
    <w:rsid w:val="568B3EAA"/>
    <w:rsid w:val="572F0416"/>
    <w:rsid w:val="59507964"/>
    <w:rsid w:val="5B017045"/>
    <w:rsid w:val="5BA63F2B"/>
    <w:rsid w:val="60193AE9"/>
    <w:rsid w:val="60C34439"/>
    <w:rsid w:val="65B048F8"/>
    <w:rsid w:val="66A311D8"/>
    <w:rsid w:val="6BBF47F8"/>
    <w:rsid w:val="6D566A99"/>
    <w:rsid w:val="6DFF6DCE"/>
    <w:rsid w:val="70DE62DD"/>
    <w:rsid w:val="7294213D"/>
    <w:rsid w:val="75BD3E66"/>
    <w:rsid w:val="77A21CCC"/>
    <w:rsid w:val="7B9F5763"/>
    <w:rsid w:val="7D6C7AEF"/>
    <w:rsid w:val="7E36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numPr>
        <w:ilvl w:val="0"/>
        <w:numId w:val="1"/>
      </w:numPr>
      <w:tabs>
        <w:tab w:val="left" w:pos="142"/>
      </w:tabs>
      <w:spacing w:line="360" w:lineRule="auto"/>
      <w:jc w:val="center"/>
      <w:outlineLvl w:val="0"/>
    </w:pPr>
    <w:rPr>
      <w:rFonts w:ascii="宋体" w:hAnsi="宋体"/>
      <w:b/>
      <w:bCs/>
      <w:kern w:val="44"/>
      <w:sz w:val="32"/>
      <w:szCs w:val="28"/>
    </w:rPr>
  </w:style>
  <w:style w:type="paragraph" w:styleId="5">
    <w:name w:val="heading 2"/>
    <w:basedOn w:val="1"/>
    <w:next w:val="1"/>
    <w:link w:val="57"/>
    <w:qFormat/>
    <w:uiPriority w:val="0"/>
    <w:pPr>
      <w:keepNext/>
      <w:numPr>
        <w:ilvl w:val="1"/>
        <w:numId w:val="1"/>
      </w:numPr>
      <w:tabs>
        <w:tab w:val="left" w:pos="6521"/>
      </w:tabs>
      <w:spacing w:line="580" w:lineRule="exact"/>
      <w:outlineLvl w:val="1"/>
    </w:pPr>
    <w:rPr>
      <w:rFonts w:ascii="宋体" w:hAnsi="宋体"/>
      <w:b/>
      <w:color w:val="000000"/>
      <w:sz w:val="28"/>
      <w:szCs w:val="28"/>
    </w:rPr>
  </w:style>
  <w:style w:type="paragraph" w:styleId="6">
    <w:name w:val="heading 3"/>
    <w:basedOn w:val="1"/>
    <w:next w:val="1"/>
    <w:link w:val="49"/>
    <w:qFormat/>
    <w:uiPriority w:val="0"/>
    <w:pPr>
      <w:keepNext/>
      <w:keepLines/>
      <w:tabs>
        <w:tab w:val="left" w:pos="-1991"/>
        <w:tab w:val="left" w:pos="709"/>
      </w:tabs>
      <w:spacing w:before="260" w:after="260"/>
      <w:ind w:left="709" w:hanging="709"/>
      <w:outlineLvl w:val="2"/>
    </w:pPr>
    <w:rPr>
      <w:rFonts w:ascii="Calibri" w:hAnsi="Calibri"/>
      <w:b/>
      <w:color w:val="000000"/>
      <w:kern w:val="0"/>
      <w:sz w:val="28"/>
      <w:szCs w:val="32"/>
    </w:rPr>
  </w:style>
  <w:style w:type="paragraph" w:styleId="7">
    <w:name w:val="heading 4"/>
    <w:basedOn w:val="1"/>
    <w:next w:val="1"/>
    <w:link w:val="51"/>
    <w:qFormat/>
    <w:uiPriority w:val="0"/>
    <w:pPr>
      <w:keepNext/>
      <w:keepLines/>
      <w:tabs>
        <w:tab w:val="left" w:pos="993"/>
      </w:tabs>
      <w:spacing w:before="280" w:after="290" w:line="376" w:lineRule="auto"/>
      <w:ind w:left="993" w:hanging="851"/>
      <w:outlineLvl w:val="3"/>
    </w:pPr>
    <w:rPr>
      <w:rFonts w:ascii="Arial" w:hAnsi="Arial" w:eastAsia="黑体"/>
      <w:b/>
      <w:bCs/>
      <w:sz w:val="28"/>
      <w:szCs w:val="28"/>
    </w:rPr>
  </w:style>
  <w:style w:type="paragraph" w:styleId="8">
    <w:name w:val="heading 5"/>
    <w:basedOn w:val="1"/>
    <w:next w:val="1"/>
    <w:link w:val="59"/>
    <w:qFormat/>
    <w:uiPriority w:val="0"/>
    <w:pPr>
      <w:keepNext/>
      <w:keepLines/>
      <w:tabs>
        <w:tab w:val="left" w:pos="992"/>
      </w:tabs>
      <w:spacing w:before="280" w:after="290"/>
      <w:ind w:left="992" w:hanging="992"/>
      <w:outlineLvl w:val="4"/>
    </w:pPr>
    <w:rPr>
      <w:rFonts w:ascii="Calibri" w:hAnsi="Calibri"/>
      <w:b/>
      <w:bCs/>
      <w:sz w:val="28"/>
      <w:szCs w:val="28"/>
    </w:rPr>
  </w:style>
  <w:style w:type="paragraph" w:styleId="9">
    <w:name w:val="heading 6"/>
    <w:basedOn w:val="1"/>
    <w:next w:val="1"/>
    <w:link w:val="63"/>
    <w:qFormat/>
    <w:uiPriority w:val="0"/>
    <w:pPr>
      <w:keepNext/>
      <w:keepLines/>
      <w:tabs>
        <w:tab w:val="left" w:pos="1418"/>
      </w:tabs>
      <w:spacing w:before="240" w:after="64" w:line="320" w:lineRule="auto"/>
      <w:outlineLvl w:val="5"/>
    </w:pPr>
    <w:rPr>
      <w:rFonts w:ascii="Arial" w:hAnsi="Arial"/>
      <w:b/>
      <w:bCs/>
      <w:sz w:val="28"/>
      <w:szCs w:val="18"/>
    </w:rPr>
  </w:style>
  <w:style w:type="paragraph" w:styleId="10">
    <w:name w:val="heading 7"/>
    <w:basedOn w:val="1"/>
    <w:next w:val="1"/>
    <w:link w:val="46"/>
    <w:qFormat/>
    <w:uiPriority w:val="9"/>
    <w:pPr>
      <w:keepNext/>
      <w:keepLines/>
      <w:spacing w:before="240" w:after="64" w:line="320" w:lineRule="auto"/>
      <w:outlineLvl w:val="6"/>
    </w:pPr>
    <w:rPr>
      <w:b/>
      <w:bCs/>
      <w:sz w:val="24"/>
    </w:rPr>
  </w:style>
  <w:style w:type="paragraph" w:styleId="11">
    <w:name w:val="heading 8"/>
    <w:basedOn w:val="1"/>
    <w:next w:val="1"/>
    <w:link w:val="55"/>
    <w:qFormat/>
    <w:uiPriority w:val="9"/>
    <w:pPr>
      <w:keepNext/>
      <w:keepLines/>
      <w:spacing w:before="240" w:after="64" w:line="320" w:lineRule="auto"/>
      <w:outlineLvl w:val="7"/>
    </w:pPr>
    <w:rPr>
      <w:rFonts w:ascii="Calibri Light" w:hAnsi="Calibri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0"/>
    <w:pPr>
      <w:spacing w:after="120"/>
    </w:pPr>
    <w:rPr>
      <w:kern w:val="0"/>
      <w:sz w:val="20"/>
    </w:rPr>
  </w:style>
  <w:style w:type="paragraph" w:styleId="3">
    <w:name w:val="Body Text Indent"/>
    <w:basedOn w:val="1"/>
    <w:link w:val="47"/>
    <w:unhideWhenUsed/>
    <w:qFormat/>
    <w:uiPriority w:val="99"/>
    <w:pPr>
      <w:spacing w:after="120"/>
      <w:ind w:left="420" w:leftChars="200"/>
    </w:pPr>
  </w:style>
  <w:style w:type="paragraph" w:styleId="12">
    <w:name w:val="Normal Indent"/>
    <w:basedOn w:val="1"/>
    <w:link w:val="50"/>
    <w:qFormat/>
    <w:uiPriority w:val="0"/>
    <w:pPr>
      <w:ind w:firstLine="200" w:firstLineChars="200"/>
    </w:pPr>
  </w:style>
  <w:style w:type="paragraph" w:styleId="13">
    <w:name w:val="caption"/>
    <w:basedOn w:val="1"/>
    <w:next w:val="1"/>
    <w:qFormat/>
    <w:uiPriority w:val="35"/>
    <w:pPr>
      <w:spacing w:before="152" w:after="160" w:line="360" w:lineRule="auto"/>
    </w:pPr>
    <w:rPr>
      <w:rFonts w:ascii="Arial" w:hAnsi="Arial" w:eastAsia="黑体" w:cs="Arial"/>
      <w:sz w:val="20"/>
      <w:szCs w:val="20"/>
    </w:rPr>
  </w:style>
  <w:style w:type="paragraph" w:styleId="14">
    <w:name w:val="List Bullet"/>
    <w:basedOn w:val="1"/>
    <w:unhideWhenUsed/>
    <w:qFormat/>
    <w:uiPriority w:val="99"/>
    <w:pPr>
      <w:tabs>
        <w:tab w:val="left" w:pos="360"/>
      </w:tabs>
      <w:ind w:left="360" w:hanging="360"/>
      <w:contextualSpacing/>
    </w:pPr>
  </w:style>
  <w:style w:type="paragraph" w:styleId="15">
    <w:name w:val="Document Map"/>
    <w:basedOn w:val="1"/>
    <w:link w:val="70"/>
    <w:unhideWhenUsed/>
    <w:qFormat/>
    <w:uiPriority w:val="99"/>
    <w:rPr>
      <w:rFonts w:ascii="宋体"/>
      <w:sz w:val="18"/>
      <w:szCs w:val="18"/>
    </w:rPr>
  </w:style>
  <w:style w:type="paragraph" w:styleId="16">
    <w:name w:val="annotation text"/>
    <w:basedOn w:val="1"/>
    <w:link w:val="52"/>
    <w:unhideWhenUsed/>
    <w:qFormat/>
    <w:uiPriority w:val="99"/>
    <w:pPr>
      <w:jc w:val="left"/>
    </w:pPr>
    <w:rPr>
      <w:rFonts w:ascii="Calibri" w:hAnsi="Calibri"/>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link w:val="48"/>
    <w:qFormat/>
    <w:uiPriority w:val="0"/>
    <w:rPr>
      <w:rFonts w:ascii="宋体" w:hAnsi="Courier New"/>
      <w:kern w:val="0"/>
      <w:sz w:val="20"/>
      <w:szCs w:val="20"/>
    </w:rPr>
  </w:style>
  <w:style w:type="paragraph" w:styleId="19">
    <w:name w:val="List Bullet 5"/>
    <w:basedOn w:val="1"/>
    <w:qFormat/>
    <w:uiPriority w:val="0"/>
    <w:pPr>
      <w:widowControl/>
      <w:tabs>
        <w:tab w:val="left" w:pos="873"/>
      </w:tabs>
      <w:spacing w:after="120"/>
      <w:ind w:left="873" w:hanging="360"/>
    </w:pPr>
    <w:rPr>
      <w:rFonts w:ascii="Arial" w:hAnsi="Arial" w:cs="Arial"/>
      <w:kern w:val="0"/>
      <w:sz w:val="20"/>
      <w:szCs w:val="20"/>
      <w:lang w:eastAsia="en-US"/>
    </w:rPr>
  </w:style>
  <w:style w:type="paragraph" w:styleId="20">
    <w:name w:val="Date"/>
    <w:basedOn w:val="1"/>
    <w:next w:val="1"/>
    <w:link w:val="95"/>
    <w:semiHidden/>
    <w:unhideWhenUsed/>
    <w:qFormat/>
    <w:uiPriority w:val="99"/>
    <w:pPr>
      <w:ind w:left="100" w:leftChars="2500"/>
    </w:pPr>
  </w:style>
  <w:style w:type="paragraph" w:styleId="21">
    <w:name w:val="Body Text Indent 2"/>
    <w:basedOn w:val="1"/>
    <w:link w:val="56"/>
    <w:unhideWhenUsed/>
    <w:qFormat/>
    <w:uiPriority w:val="99"/>
    <w:pPr>
      <w:spacing w:after="120" w:line="480" w:lineRule="auto"/>
      <w:ind w:left="420" w:leftChars="200"/>
    </w:pPr>
  </w:style>
  <w:style w:type="paragraph" w:styleId="22">
    <w:name w:val="Balloon Text"/>
    <w:basedOn w:val="1"/>
    <w:link w:val="72"/>
    <w:unhideWhenUsed/>
    <w:qFormat/>
    <w:uiPriority w:val="99"/>
    <w:rPr>
      <w:sz w:val="18"/>
      <w:szCs w:val="18"/>
    </w:rPr>
  </w:style>
  <w:style w:type="paragraph" w:styleId="23">
    <w:name w:val="footer"/>
    <w:basedOn w:val="1"/>
    <w:link w:val="62"/>
    <w:qFormat/>
    <w:uiPriority w:val="99"/>
    <w:pPr>
      <w:tabs>
        <w:tab w:val="center" w:pos="4153"/>
        <w:tab w:val="right" w:pos="8306"/>
      </w:tabs>
      <w:snapToGrid w:val="0"/>
      <w:jc w:val="center"/>
    </w:pPr>
    <w:rPr>
      <w:kern w:val="0"/>
      <w:sz w:val="18"/>
      <w:szCs w:val="18"/>
    </w:rPr>
  </w:style>
  <w:style w:type="paragraph" w:styleId="24">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Body Text Indent 3"/>
    <w:basedOn w:val="1"/>
    <w:link w:val="42"/>
    <w:qFormat/>
    <w:uiPriority w:val="0"/>
    <w:pPr>
      <w:ind w:firstLine="538" w:firstLineChars="192"/>
    </w:pPr>
    <w:rPr>
      <w:kern w:val="0"/>
      <w:sz w:val="28"/>
    </w:rPr>
  </w:style>
  <w:style w:type="paragraph" w:styleId="27">
    <w:name w:val="toc 2"/>
    <w:basedOn w:val="1"/>
    <w:next w:val="1"/>
    <w:qFormat/>
    <w:uiPriority w:val="39"/>
    <w:pPr>
      <w:ind w:left="210"/>
      <w:jc w:val="left"/>
    </w:pPr>
    <w:rPr>
      <w:smallCaps/>
      <w:sz w:val="20"/>
      <w:szCs w:val="20"/>
    </w:rPr>
  </w:style>
  <w:style w:type="paragraph" w:styleId="28">
    <w:name w:val="Body Text 2"/>
    <w:basedOn w:val="1"/>
    <w:link w:val="69"/>
    <w:unhideWhenUsed/>
    <w:qFormat/>
    <w:uiPriority w:val="99"/>
    <w:pPr>
      <w:spacing w:after="120" w:line="480" w:lineRule="auto"/>
    </w:p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41"/>
    <w:qFormat/>
    <w:uiPriority w:val="0"/>
    <w:pPr>
      <w:topLinePunct/>
      <w:autoSpaceDE w:val="0"/>
      <w:autoSpaceDN w:val="0"/>
      <w:snapToGrid w:val="0"/>
      <w:jc w:val="center"/>
      <w:outlineLvl w:val="0"/>
    </w:pPr>
    <w:rPr>
      <w:rFonts w:ascii="Cambria" w:hAnsi="Cambria" w:eastAsia="方正小标宋简体"/>
      <w:bCs/>
      <w:sz w:val="44"/>
      <w:szCs w:val="32"/>
    </w:rPr>
  </w:style>
  <w:style w:type="paragraph" w:styleId="31">
    <w:name w:val="annotation subject"/>
    <w:basedOn w:val="16"/>
    <w:next w:val="16"/>
    <w:link w:val="40"/>
    <w:unhideWhenUsed/>
    <w:qFormat/>
    <w:uiPriority w:val="99"/>
    <w:rPr>
      <w:rFonts w:ascii="Times New Roman" w:hAnsi="Times New Roman"/>
      <w:b/>
      <w:bCs/>
      <w:szCs w:val="24"/>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Hyperlink"/>
    <w:qFormat/>
    <w:uiPriority w:val="99"/>
    <w:rPr>
      <w:color w:val="0000FF"/>
      <w:u w:val="single"/>
    </w:rPr>
  </w:style>
  <w:style w:type="character" w:styleId="37">
    <w:name w:val="annotation reference"/>
    <w:unhideWhenUsed/>
    <w:qFormat/>
    <w:uiPriority w:val="99"/>
    <w:rPr>
      <w:sz w:val="21"/>
      <w:szCs w:val="21"/>
    </w:rPr>
  </w:style>
  <w:style w:type="paragraph" w:customStyle="1" w:styleId="38">
    <w:name w:val="标题 5（有编号）（绿盟科技）"/>
    <w:basedOn w:val="1"/>
    <w:next w:val="39"/>
    <w:qFormat/>
    <w:uiPriority w:val="99"/>
    <w:pPr>
      <w:keepNext/>
      <w:keepLines/>
      <w:numPr>
        <w:ilvl w:val="4"/>
        <w:numId w:val="2"/>
      </w:numPr>
      <w:spacing w:before="280" w:after="156" w:line="377" w:lineRule="auto"/>
      <w:jc w:val="left"/>
      <w:outlineLvl w:val="4"/>
    </w:pPr>
    <w:rPr>
      <w:rFonts w:ascii="Arial" w:hAnsi="Arial" w:eastAsia="黑体" w:cs="Arial"/>
      <w:b/>
      <w:bCs/>
      <w:sz w:val="24"/>
    </w:rPr>
  </w:style>
  <w:style w:type="paragraph" w:customStyle="1" w:styleId="3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40">
    <w:name w:val="批注主题 Char"/>
    <w:link w:val="31"/>
    <w:semiHidden/>
    <w:qFormat/>
    <w:uiPriority w:val="99"/>
    <w:rPr>
      <w:rFonts w:ascii="Times New Roman" w:hAnsi="Times New Roman"/>
      <w:b/>
      <w:bCs/>
      <w:kern w:val="2"/>
      <w:sz w:val="21"/>
      <w:szCs w:val="24"/>
    </w:rPr>
  </w:style>
  <w:style w:type="character" w:customStyle="1" w:styleId="41">
    <w:name w:val="标题 Char"/>
    <w:link w:val="30"/>
    <w:qFormat/>
    <w:uiPriority w:val="0"/>
    <w:rPr>
      <w:rFonts w:ascii="Cambria" w:hAnsi="Cambria" w:eastAsia="方正小标宋简体"/>
      <w:bCs/>
      <w:kern w:val="2"/>
      <w:sz w:val="44"/>
      <w:szCs w:val="32"/>
    </w:rPr>
  </w:style>
  <w:style w:type="character" w:customStyle="1" w:styleId="42">
    <w:name w:val="正文文本缩进 3 Char"/>
    <w:link w:val="26"/>
    <w:qFormat/>
    <w:uiPriority w:val="0"/>
    <w:rPr>
      <w:rFonts w:ascii="Times New Roman" w:hAnsi="Times New Roman" w:eastAsia="宋体" w:cs="Times New Roman"/>
      <w:sz w:val="28"/>
      <w:szCs w:val="24"/>
    </w:rPr>
  </w:style>
  <w:style w:type="character" w:customStyle="1" w:styleId="43">
    <w:name w:val="无间隔 Char"/>
    <w:link w:val="44"/>
    <w:qFormat/>
    <w:uiPriority w:val="1"/>
    <w:rPr>
      <w:sz w:val="22"/>
      <w:szCs w:val="22"/>
      <w:lang w:val="en-US" w:eastAsia="en-US" w:bidi="ar-SA"/>
    </w:rPr>
  </w:style>
  <w:style w:type="paragraph" w:styleId="44">
    <w:name w:val="No Spacing"/>
    <w:link w:val="43"/>
    <w:qFormat/>
    <w:uiPriority w:val="1"/>
    <w:rPr>
      <w:rFonts w:ascii="Calibri" w:hAnsi="Calibri" w:eastAsia="宋体" w:cs="Times New Roman"/>
      <w:sz w:val="22"/>
      <w:szCs w:val="22"/>
      <w:lang w:val="en-US" w:eastAsia="en-US" w:bidi="ar-SA"/>
    </w:rPr>
  </w:style>
  <w:style w:type="character" w:customStyle="1" w:styleId="45">
    <w:name w:val="页眉 Char1"/>
    <w:link w:val="24"/>
    <w:qFormat/>
    <w:uiPriority w:val="99"/>
    <w:rPr>
      <w:rFonts w:ascii="Times New Roman" w:hAnsi="Times New Roman" w:eastAsia="宋体" w:cs="Times New Roman"/>
      <w:sz w:val="18"/>
      <w:szCs w:val="18"/>
    </w:rPr>
  </w:style>
  <w:style w:type="character" w:customStyle="1" w:styleId="46">
    <w:name w:val="标题 7 Char"/>
    <w:link w:val="10"/>
    <w:qFormat/>
    <w:uiPriority w:val="9"/>
    <w:rPr>
      <w:rFonts w:ascii="Times New Roman" w:hAnsi="Times New Roman"/>
      <w:b/>
      <w:bCs/>
      <w:kern w:val="2"/>
      <w:sz w:val="24"/>
      <w:szCs w:val="24"/>
    </w:rPr>
  </w:style>
  <w:style w:type="character" w:customStyle="1" w:styleId="47">
    <w:name w:val="正文文本缩进 Char"/>
    <w:link w:val="3"/>
    <w:qFormat/>
    <w:uiPriority w:val="99"/>
    <w:rPr>
      <w:rFonts w:ascii="Times New Roman" w:hAnsi="Times New Roman"/>
      <w:kern w:val="2"/>
      <w:sz w:val="21"/>
      <w:szCs w:val="24"/>
    </w:rPr>
  </w:style>
  <w:style w:type="character" w:customStyle="1" w:styleId="48">
    <w:name w:val="纯文本 Char"/>
    <w:link w:val="18"/>
    <w:qFormat/>
    <w:uiPriority w:val="0"/>
    <w:rPr>
      <w:rFonts w:ascii="宋体" w:hAnsi="Courier New" w:eastAsia="宋体" w:cs="Times New Roman"/>
      <w:szCs w:val="20"/>
    </w:rPr>
  </w:style>
  <w:style w:type="character" w:customStyle="1" w:styleId="49">
    <w:name w:val="标题 3 Char"/>
    <w:link w:val="6"/>
    <w:qFormat/>
    <w:uiPriority w:val="0"/>
    <w:rPr>
      <w:b/>
      <w:color w:val="000000"/>
      <w:sz w:val="28"/>
      <w:szCs w:val="32"/>
    </w:rPr>
  </w:style>
  <w:style w:type="character" w:customStyle="1" w:styleId="50">
    <w:name w:val="正文缩进 Char"/>
    <w:link w:val="12"/>
    <w:qFormat/>
    <w:uiPriority w:val="0"/>
    <w:rPr>
      <w:rFonts w:ascii="Times New Roman" w:hAnsi="Times New Roman"/>
      <w:kern w:val="2"/>
      <w:sz w:val="21"/>
      <w:szCs w:val="24"/>
    </w:rPr>
  </w:style>
  <w:style w:type="character" w:customStyle="1" w:styleId="51">
    <w:name w:val="标题 4 Char"/>
    <w:link w:val="7"/>
    <w:qFormat/>
    <w:uiPriority w:val="0"/>
    <w:rPr>
      <w:rFonts w:ascii="Arial" w:hAnsi="Arial" w:eastAsia="黑体"/>
      <w:b/>
      <w:bCs/>
      <w:kern w:val="2"/>
      <w:sz w:val="28"/>
      <w:szCs w:val="28"/>
    </w:rPr>
  </w:style>
  <w:style w:type="character" w:customStyle="1" w:styleId="52">
    <w:name w:val="批注文字 Char"/>
    <w:link w:val="16"/>
    <w:qFormat/>
    <w:uiPriority w:val="99"/>
    <w:rPr>
      <w:kern w:val="2"/>
      <w:sz w:val="21"/>
      <w:szCs w:val="22"/>
    </w:rPr>
  </w:style>
  <w:style w:type="character" w:customStyle="1" w:styleId="53">
    <w:name w:val="long_text"/>
    <w:qFormat/>
    <w:uiPriority w:val="0"/>
  </w:style>
  <w:style w:type="character" w:customStyle="1" w:styleId="54">
    <w:name w:val="标题 1 Char"/>
    <w:link w:val="4"/>
    <w:qFormat/>
    <w:uiPriority w:val="0"/>
    <w:rPr>
      <w:rFonts w:ascii="宋体" w:hAnsi="宋体" w:eastAsia="宋体"/>
      <w:b/>
      <w:bCs/>
      <w:kern w:val="44"/>
      <w:sz w:val="32"/>
      <w:szCs w:val="28"/>
    </w:rPr>
  </w:style>
  <w:style w:type="character" w:customStyle="1" w:styleId="55">
    <w:name w:val="标题 8 Char"/>
    <w:link w:val="11"/>
    <w:semiHidden/>
    <w:qFormat/>
    <w:uiPriority w:val="9"/>
    <w:rPr>
      <w:rFonts w:ascii="Calibri Light" w:hAnsi="Calibri Light" w:eastAsia="宋体" w:cs="Times New Roman"/>
      <w:kern w:val="2"/>
      <w:sz w:val="24"/>
      <w:szCs w:val="24"/>
    </w:rPr>
  </w:style>
  <w:style w:type="character" w:customStyle="1" w:styleId="56">
    <w:name w:val="正文文本缩进 2 Char"/>
    <w:link w:val="21"/>
    <w:semiHidden/>
    <w:qFormat/>
    <w:uiPriority w:val="99"/>
    <w:rPr>
      <w:rFonts w:ascii="Times New Roman" w:hAnsi="Times New Roman"/>
      <w:kern w:val="2"/>
      <w:sz w:val="21"/>
      <w:szCs w:val="24"/>
    </w:rPr>
  </w:style>
  <w:style w:type="character" w:customStyle="1" w:styleId="57">
    <w:name w:val="标题 2 Char"/>
    <w:link w:val="5"/>
    <w:qFormat/>
    <w:uiPriority w:val="0"/>
    <w:rPr>
      <w:rFonts w:ascii="宋体" w:hAnsi="宋体"/>
      <w:b/>
      <w:color w:val="000000"/>
      <w:kern w:val="2"/>
      <w:sz w:val="28"/>
      <w:szCs w:val="28"/>
      <w:lang w:val="en-US" w:eastAsia="zh-CN"/>
    </w:rPr>
  </w:style>
  <w:style w:type="character" w:customStyle="1" w:styleId="58">
    <w:name w:val="标题文字"/>
    <w:qFormat/>
    <w:uiPriority w:val="0"/>
    <w:rPr>
      <w:b/>
      <w:bCs/>
    </w:rPr>
  </w:style>
  <w:style w:type="character" w:customStyle="1" w:styleId="59">
    <w:name w:val="标题 5 Char"/>
    <w:link w:val="8"/>
    <w:qFormat/>
    <w:uiPriority w:val="0"/>
    <w:rPr>
      <w:b/>
      <w:bCs/>
      <w:kern w:val="2"/>
      <w:sz w:val="28"/>
      <w:szCs w:val="28"/>
    </w:rPr>
  </w:style>
  <w:style w:type="character" w:customStyle="1" w:styleId="60">
    <w:name w:val="列出段落 Char"/>
    <w:link w:val="61"/>
    <w:qFormat/>
    <w:uiPriority w:val="0"/>
    <w:rPr>
      <w:rFonts w:ascii="Times New Roman" w:hAnsi="Times New Roman"/>
      <w:kern w:val="2"/>
      <w:sz w:val="18"/>
      <w:szCs w:val="18"/>
    </w:rPr>
  </w:style>
  <w:style w:type="paragraph" w:styleId="61">
    <w:name w:val="List Paragraph"/>
    <w:basedOn w:val="1"/>
    <w:link w:val="60"/>
    <w:qFormat/>
    <w:uiPriority w:val="1"/>
    <w:pPr>
      <w:ind w:firstLine="420" w:firstLineChars="200"/>
    </w:pPr>
    <w:rPr>
      <w:sz w:val="18"/>
      <w:szCs w:val="18"/>
    </w:rPr>
  </w:style>
  <w:style w:type="character" w:customStyle="1" w:styleId="62">
    <w:name w:val="页脚 Char1"/>
    <w:link w:val="23"/>
    <w:qFormat/>
    <w:uiPriority w:val="99"/>
    <w:rPr>
      <w:rFonts w:ascii="Times New Roman" w:hAnsi="Times New Roman"/>
      <w:sz w:val="18"/>
      <w:szCs w:val="18"/>
    </w:rPr>
  </w:style>
  <w:style w:type="character" w:customStyle="1" w:styleId="63">
    <w:name w:val="标题 6 Char"/>
    <w:link w:val="9"/>
    <w:qFormat/>
    <w:uiPriority w:val="0"/>
    <w:rPr>
      <w:rFonts w:ascii="Arial" w:hAnsi="Arial"/>
      <w:b/>
      <w:bCs/>
      <w:kern w:val="2"/>
      <w:sz w:val="28"/>
      <w:szCs w:val="18"/>
    </w:rPr>
  </w:style>
  <w:style w:type="character" w:customStyle="1" w:styleId="64">
    <w:name w:val="正文文本 Char"/>
    <w:link w:val="2"/>
    <w:qFormat/>
    <w:uiPriority w:val="0"/>
    <w:rPr>
      <w:rFonts w:ascii="Times New Roman" w:hAnsi="Times New Roman" w:eastAsia="宋体" w:cs="Times New Roman"/>
      <w:szCs w:val="24"/>
    </w:rPr>
  </w:style>
  <w:style w:type="character" w:customStyle="1" w:styleId="65">
    <w:name w:val="*正文 Char Char"/>
    <w:link w:val="66"/>
    <w:qFormat/>
    <w:uiPriority w:val="0"/>
    <w:rPr>
      <w:rFonts w:ascii="宋体" w:hAnsi="宋体"/>
      <w:sz w:val="22"/>
      <w:szCs w:val="24"/>
    </w:rPr>
  </w:style>
  <w:style w:type="paragraph" w:customStyle="1" w:styleId="66">
    <w:name w:val="*正文"/>
    <w:basedOn w:val="1"/>
    <w:link w:val="65"/>
    <w:qFormat/>
    <w:uiPriority w:val="0"/>
    <w:pPr>
      <w:spacing w:line="360" w:lineRule="auto"/>
      <w:ind w:firstLine="200" w:firstLineChars="200"/>
    </w:pPr>
    <w:rPr>
      <w:rFonts w:ascii="宋体" w:hAnsi="宋体"/>
      <w:kern w:val="0"/>
      <w:sz w:val="22"/>
    </w:rPr>
  </w:style>
  <w:style w:type="character" w:customStyle="1" w:styleId="67">
    <w:name w:val="CD正文 Char"/>
    <w:link w:val="68"/>
    <w:qFormat/>
    <w:uiPriority w:val="0"/>
    <w:rPr>
      <w:rFonts w:ascii="Times New Roman" w:hAnsi="Times New Roman" w:eastAsia="宋体" w:cs="Times New Roman"/>
      <w:sz w:val="28"/>
      <w:szCs w:val="28"/>
    </w:rPr>
  </w:style>
  <w:style w:type="paragraph" w:customStyle="1" w:styleId="68">
    <w:name w:val="CD正文"/>
    <w:basedOn w:val="1"/>
    <w:link w:val="67"/>
    <w:qFormat/>
    <w:uiPriority w:val="0"/>
    <w:pPr>
      <w:spacing w:line="360" w:lineRule="auto"/>
      <w:ind w:firstLine="493"/>
    </w:pPr>
    <w:rPr>
      <w:kern w:val="0"/>
      <w:sz w:val="28"/>
      <w:szCs w:val="28"/>
    </w:rPr>
  </w:style>
  <w:style w:type="character" w:customStyle="1" w:styleId="69">
    <w:name w:val="正文文本 2 Char"/>
    <w:link w:val="28"/>
    <w:qFormat/>
    <w:uiPriority w:val="99"/>
    <w:rPr>
      <w:rFonts w:ascii="Times New Roman" w:hAnsi="Times New Roman"/>
      <w:kern w:val="2"/>
      <w:sz w:val="21"/>
      <w:szCs w:val="24"/>
    </w:rPr>
  </w:style>
  <w:style w:type="character" w:customStyle="1" w:styleId="70">
    <w:name w:val="文档结构图 Char"/>
    <w:link w:val="15"/>
    <w:semiHidden/>
    <w:qFormat/>
    <w:uiPriority w:val="99"/>
    <w:rPr>
      <w:rFonts w:ascii="宋体" w:hAnsi="Times New Roman"/>
      <w:kern w:val="2"/>
      <w:sz w:val="18"/>
      <w:szCs w:val="18"/>
    </w:rPr>
  </w:style>
  <w:style w:type="character" w:customStyle="1" w:styleId="71">
    <w:name w:val="*正文 Char"/>
    <w:qFormat/>
    <w:uiPriority w:val="0"/>
    <w:rPr>
      <w:rFonts w:ascii="宋体" w:hAnsi="宋体"/>
      <w:kern w:val="2"/>
      <w:sz w:val="22"/>
      <w:szCs w:val="24"/>
    </w:rPr>
  </w:style>
  <w:style w:type="character" w:customStyle="1" w:styleId="72">
    <w:name w:val="批注框文本 Char"/>
    <w:link w:val="22"/>
    <w:semiHidden/>
    <w:qFormat/>
    <w:uiPriority w:val="99"/>
    <w:rPr>
      <w:rFonts w:ascii="Times New Roman" w:hAnsi="Times New Roman"/>
      <w:kern w:val="2"/>
      <w:sz w:val="18"/>
      <w:szCs w:val="18"/>
    </w:rPr>
  </w:style>
  <w:style w:type="character" w:customStyle="1" w:styleId="73">
    <w:name w:val="样式 正文缩进 + 首行缩进:  2 字符 Char"/>
    <w:link w:val="74"/>
    <w:qFormat/>
    <w:uiPriority w:val="0"/>
    <w:rPr>
      <w:rFonts w:ascii="Times New Roman" w:hAnsi="Times New Roman"/>
      <w:kern w:val="2"/>
      <w:sz w:val="28"/>
    </w:rPr>
  </w:style>
  <w:style w:type="paragraph" w:customStyle="1" w:styleId="74">
    <w:name w:val="样式 正文缩进 + 首行缩进:  2 字符"/>
    <w:basedOn w:val="12"/>
    <w:link w:val="73"/>
    <w:qFormat/>
    <w:uiPriority w:val="0"/>
    <w:pPr>
      <w:spacing w:line="360" w:lineRule="auto"/>
    </w:pPr>
    <w:rPr>
      <w:sz w:val="28"/>
      <w:szCs w:val="20"/>
    </w:rPr>
  </w:style>
  <w:style w:type="character" w:customStyle="1" w:styleId="75">
    <w:name w:val="表格抬头 Char"/>
    <w:link w:val="76"/>
    <w:qFormat/>
    <w:locked/>
    <w:uiPriority w:val="0"/>
    <w:rPr>
      <w:rFonts w:ascii="黑体" w:eastAsia="黑体"/>
      <w:b/>
      <w:kern w:val="2"/>
      <w:sz w:val="21"/>
      <w:szCs w:val="24"/>
    </w:rPr>
  </w:style>
  <w:style w:type="paragraph" w:customStyle="1" w:styleId="76">
    <w:name w:val="表格抬头"/>
    <w:basedOn w:val="1"/>
    <w:link w:val="75"/>
    <w:qFormat/>
    <w:uiPriority w:val="0"/>
    <w:pPr>
      <w:jc w:val="center"/>
    </w:pPr>
    <w:rPr>
      <w:rFonts w:ascii="黑体" w:hAnsi="Calibri" w:eastAsia="黑体"/>
      <w:b/>
    </w:rPr>
  </w:style>
  <w:style w:type="paragraph" w:customStyle="1" w:styleId="77">
    <w:name w:val="列出段落1"/>
    <w:basedOn w:val="1"/>
    <w:qFormat/>
    <w:uiPriority w:val="34"/>
    <w:pPr>
      <w:ind w:firstLine="420" w:firstLineChars="200"/>
    </w:pPr>
    <w:rPr>
      <w:rFonts w:ascii="Calibri" w:hAnsi="Calibri" w:cs="Calibri"/>
      <w:szCs w:val="22"/>
    </w:rPr>
  </w:style>
  <w:style w:type="paragraph" w:customStyle="1" w:styleId="78">
    <w:name w:val="论文正文"/>
    <w:basedOn w:val="1"/>
    <w:qFormat/>
    <w:uiPriority w:val="0"/>
    <w:pPr>
      <w:spacing w:line="300" w:lineRule="auto"/>
      <w:ind w:firstLine="200" w:firstLineChars="200"/>
    </w:pPr>
    <w:rPr>
      <w:sz w:val="24"/>
    </w:rPr>
  </w:style>
  <w:style w:type="paragraph" w:customStyle="1" w:styleId="79">
    <w:name w:val="我的正文"/>
    <w:basedOn w:val="1"/>
    <w:qFormat/>
    <w:uiPriority w:val="0"/>
    <w:pPr>
      <w:spacing w:line="360" w:lineRule="auto"/>
      <w:ind w:firstLine="420" w:firstLineChars="200"/>
    </w:pPr>
    <w:rPr>
      <w:rFonts w:ascii="宋体" w:hAnsi="宋体"/>
    </w:rPr>
  </w:style>
  <w:style w:type="paragraph" w:customStyle="1" w:styleId="80">
    <w:name w:val="文章正文"/>
    <w:basedOn w:val="1"/>
    <w:qFormat/>
    <w:uiPriority w:val="0"/>
    <w:pPr>
      <w:spacing w:line="360" w:lineRule="auto"/>
      <w:ind w:firstLine="420"/>
    </w:pPr>
    <w:rPr>
      <w:sz w:val="24"/>
    </w:rPr>
  </w:style>
  <w:style w:type="paragraph" w:customStyle="1" w:styleId="81">
    <w:name w:val="Char1"/>
    <w:basedOn w:val="1"/>
    <w:qFormat/>
    <w:uiPriority w:val="0"/>
    <w:pPr>
      <w:widowControl/>
      <w:spacing w:after="160" w:line="240" w:lineRule="exact"/>
      <w:jc w:val="left"/>
    </w:pPr>
    <w:rPr>
      <w:rFonts w:ascii="Tahoma" w:hAnsi="Tahoma"/>
      <w:sz w:val="24"/>
      <w:lang w:eastAsia="en-US"/>
    </w:rPr>
  </w:style>
  <w:style w:type="paragraph" w:customStyle="1" w:styleId="82">
    <w:name w:val="TOC 标题1"/>
    <w:basedOn w:val="4"/>
    <w:next w:val="1"/>
    <w:qFormat/>
    <w:uiPriority w:val="39"/>
    <w:pPr>
      <w:numPr>
        <w:numId w:val="0"/>
      </w:numPr>
      <w:spacing w:line="578" w:lineRule="auto"/>
      <w:jc w:val="both"/>
      <w:outlineLvl w:val="9"/>
    </w:pPr>
    <w:rPr>
      <w:sz w:val="44"/>
    </w:rPr>
  </w:style>
  <w:style w:type="paragraph" w:customStyle="1" w:styleId="83">
    <w:name w:val="样式 首行缩进:  2 字符"/>
    <w:basedOn w:val="1"/>
    <w:qFormat/>
    <w:uiPriority w:val="0"/>
    <w:pPr>
      <w:spacing w:line="400" w:lineRule="exact"/>
      <w:ind w:firstLine="200" w:firstLineChars="200"/>
    </w:pPr>
    <w:rPr>
      <w:rFonts w:cs="宋体"/>
      <w:sz w:val="24"/>
    </w:rPr>
  </w:style>
  <w:style w:type="paragraph" w:customStyle="1" w:styleId="84">
    <w:name w:val="表格文字"/>
    <w:basedOn w:val="1"/>
    <w:qFormat/>
    <w:uiPriority w:val="0"/>
    <w:pPr>
      <w:adjustRightInd w:val="0"/>
      <w:spacing w:line="360" w:lineRule="auto"/>
      <w:ind w:firstLine="200" w:firstLineChars="200"/>
      <w:jc w:val="left"/>
      <w:textAlignment w:val="baseline"/>
    </w:pPr>
    <w:rPr>
      <w:rFonts w:ascii="Arial" w:hAnsi="Arial"/>
      <w:kern w:val="0"/>
      <w:sz w:val="24"/>
      <w:szCs w:val="20"/>
    </w:rPr>
  </w:style>
  <w:style w:type="paragraph" w:customStyle="1" w:styleId="85">
    <w:name w:val="表格正文"/>
    <w:basedOn w:val="1"/>
    <w:qFormat/>
    <w:uiPriority w:val="0"/>
    <w:pPr>
      <w:snapToGrid w:val="0"/>
      <w:spacing w:line="300" w:lineRule="auto"/>
    </w:pPr>
  </w:style>
  <w:style w:type="paragraph" w:customStyle="1" w:styleId="86">
    <w:name w:val="Char Char Char Char Char Char Char Char Char Char"/>
    <w:basedOn w:val="1"/>
    <w:qFormat/>
    <w:uiPriority w:val="0"/>
    <w:pPr>
      <w:widowControl/>
      <w:jc w:val="left"/>
    </w:pPr>
    <w:rPr>
      <w:kern w:val="0"/>
      <w:sz w:val="24"/>
    </w:rPr>
  </w:style>
  <w:style w:type="paragraph" w:customStyle="1" w:styleId="87">
    <w:name w:val="bullet2"/>
    <w:basedOn w:val="1"/>
    <w:qFormat/>
    <w:uiPriority w:val="0"/>
    <w:pPr>
      <w:widowControl/>
      <w:tabs>
        <w:tab w:val="left" w:pos="2313"/>
      </w:tabs>
      <w:ind w:left="2313" w:hanging="360"/>
    </w:pPr>
    <w:rPr>
      <w:rFonts w:ascii="Arial" w:hAnsi="Arial" w:cs="Arial"/>
      <w:kern w:val="0"/>
      <w:sz w:val="22"/>
      <w:lang w:eastAsia="en-US"/>
    </w:rPr>
  </w:style>
  <w:style w:type="paragraph" w:customStyle="1" w:styleId="88">
    <w:name w:val="SP.7.315476"/>
    <w:basedOn w:val="1"/>
    <w:next w:val="1"/>
    <w:qFormat/>
    <w:uiPriority w:val="0"/>
    <w:pPr>
      <w:widowControl/>
      <w:autoSpaceDE w:val="0"/>
      <w:autoSpaceDN w:val="0"/>
      <w:adjustRightInd w:val="0"/>
      <w:jc w:val="left"/>
    </w:pPr>
    <w:rPr>
      <w:rFonts w:ascii="POMDD E+ Times" w:eastAsia="POMDD E+ Times"/>
      <w:kern w:val="0"/>
      <w:sz w:val="24"/>
    </w:rPr>
  </w:style>
  <w:style w:type="paragraph" w:customStyle="1" w:styleId="89">
    <w:name w:val="表格首行"/>
    <w:basedOn w:val="1"/>
    <w:qFormat/>
    <w:uiPriority w:val="0"/>
    <w:pPr>
      <w:jc w:val="center"/>
    </w:pPr>
    <w:rPr>
      <w:rFonts w:ascii="宋体" w:hAnsi="宋体"/>
    </w:rPr>
  </w:style>
  <w:style w:type="paragraph" w:customStyle="1" w:styleId="90">
    <w:name w:val="Char Char Char Char Char"/>
    <w:basedOn w:val="1"/>
    <w:qFormat/>
    <w:uiPriority w:val="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列出段落11"/>
    <w:basedOn w:val="1"/>
    <w:qFormat/>
    <w:uiPriority w:val="0"/>
    <w:pPr>
      <w:ind w:firstLine="200" w:firstLineChars="200"/>
    </w:pPr>
    <w:rPr>
      <w:rFonts w:ascii="Calibri" w:hAnsi="Calibri" w:cs="Calibri"/>
      <w:szCs w:val="21"/>
    </w:rPr>
  </w:style>
  <w:style w:type="character" w:customStyle="1" w:styleId="93">
    <w:name w:val="页眉 Char"/>
    <w:qFormat/>
    <w:locked/>
    <w:uiPriority w:val="99"/>
    <w:rPr>
      <w:rFonts w:cs="Times New Roman"/>
      <w:sz w:val="18"/>
      <w:szCs w:val="18"/>
    </w:rPr>
  </w:style>
  <w:style w:type="character" w:customStyle="1" w:styleId="94">
    <w:name w:val="页脚 Char"/>
    <w:qFormat/>
    <w:locked/>
    <w:uiPriority w:val="99"/>
    <w:rPr>
      <w:rFonts w:cs="Times New Roman"/>
      <w:sz w:val="18"/>
      <w:szCs w:val="18"/>
    </w:rPr>
  </w:style>
  <w:style w:type="character" w:customStyle="1" w:styleId="95">
    <w:name w:val="日期 Char"/>
    <w:basedOn w:val="34"/>
    <w:link w:val="20"/>
    <w:semiHidden/>
    <w:qFormat/>
    <w:uiPriority w:val="99"/>
    <w:rPr>
      <w:rFonts w:ascii="Times New Roman" w:hAnsi="Times New Roman"/>
      <w:kern w:val="2"/>
      <w:sz w:val="21"/>
      <w:szCs w:val="24"/>
    </w:rPr>
  </w:style>
  <w:style w:type="paragraph" w:customStyle="1" w:styleId="9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19411</Words>
  <Characters>20305</Characters>
  <Lines>185</Lines>
  <Paragraphs>52</Paragraphs>
  <TotalTime>31</TotalTime>
  <ScaleCrop>false</ScaleCrop>
  <LinksUpToDate>false</LinksUpToDate>
  <CharactersWithSpaces>23543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2017-12-05T03:12:00Z</dcterms:created>
  <dc:creator>BGS</dc:creator>
  <cp:lastModifiedBy>子午</cp:lastModifiedBy>
  <cp:lastPrinted>2021-12-10T08:06:00Z</cp:lastPrinted>
  <dcterms:modified xsi:type="dcterms:W3CDTF">2022-03-17T01:09:26Z</dcterms:modified>
  <dc:title>单一来源采购文件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181810EA623B4A5F8B5DA01EA0538661</vt:lpwstr>
  </property>
</Properties>
</file>