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Fonts w:ascii="宋体" w:hAnsi="宋体"/>
          <w:b/>
          <w:sz w:val="30"/>
          <w:szCs w:val="30"/>
        </w:rPr>
      </w:pPr>
      <w:r>
        <w:rPr>
          <w:rFonts w:hint="eastAsia" w:ascii="宋体" w:hAnsi="宋体"/>
          <w:b/>
          <w:sz w:val="30"/>
          <w:szCs w:val="30"/>
        </w:rPr>
        <w:t>项目编号：[510101202101165]</w:t>
      </w:r>
    </w:p>
    <w:p>
      <w:pPr>
        <w:jc w:val="center"/>
        <w:rPr>
          <w:rFonts w:ascii="宋体" w:hAnsi="宋体"/>
          <w:b/>
          <w:sz w:val="56"/>
          <w:szCs w:val="56"/>
          <w:u w:val="single"/>
        </w:rPr>
      </w:pPr>
    </w:p>
    <w:p>
      <w:pPr>
        <w:pStyle w:val="2"/>
        <w:jc w:val="center"/>
      </w:pPr>
      <w:r>
        <w:rPr>
          <w:rFonts w:hint="eastAsia" w:hAnsi="宋体"/>
          <w:b/>
          <w:sz w:val="56"/>
          <w:szCs w:val="56"/>
          <w:u w:val="single"/>
        </w:rPr>
        <w:t>2021年大运会氛围营造项目-其他及相关辅助项目(电动自行走高空作业升降平台采购项目）</w:t>
      </w:r>
    </w:p>
    <w:p>
      <w:pPr>
        <w:rPr>
          <w:rFonts w:ascii="宋体" w:hAnsi="宋体"/>
          <w:b/>
          <w:sz w:val="52"/>
          <w:szCs w:val="52"/>
        </w:rPr>
      </w:pPr>
    </w:p>
    <w:p>
      <w:pPr>
        <w:tabs>
          <w:tab w:val="left" w:pos="2505"/>
          <w:tab w:val="center" w:pos="4204"/>
        </w:tabs>
        <w:jc w:val="center"/>
        <w:rPr>
          <w:rFonts w:ascii="宋体" w:hAnsi="宋体"/>
          <w:b/>
          <w:sz w:val="52"/>
          <w:szCs w:val="52"/>
        </w:rPr>
      </w:pPr>
    </w:p>
    <w:p>
      <w:pPr>
        <w:tabs>
          <w:tab w:val="left" w:pos="2505"/>
          <w:tab w:val="center" w:pos="4204"/>
        </w:tabs>
        <w:jc w:val="center"/>
        <w:rPr>
          <w:rFonts w:ascii="宋体" w:hAnsi="宋体"/>
          <w:b/>
          <w:sz w:val="52"/>
          <w:szCs w:val="52"/>
        </w:rPr>
      </w:pPr>
      <w:r>
        <w:rPr>
          <w:rFonts w:hint="eastAsia" w:ascii="宋体" w:hAnsi="宋体"/>
          <w:b/>
          <w:sz w:val="52"/>
          <w:szCs w:val="52"/>
        </w:rPr>
        <w:t>招</w:t>
      </w:r>
    </w:p>
    <w:p>
      <w:pPr>
        <w:jc w:val="center"/>
        <w:rPr>
          <w:rFonts w:ascii="宋体" w:hAnsi="宋体"/>
          <w:b/>
          <w:sz w:val="52"/>
          <w:szCs w:val="52"/>
        </w:rPr>
      </w:pPr>
      <w:r>
        <w:rPr>
          <w:rFonts w:hint="eastAsia" w:ascii="宋体" w:hAnsi="宋体"/>
          <w:b/>
          <w:sz w:val="52"/>
          <w:szCs w:val="52"/>
        </w:rPr>
        <w:t>标</w:t>
      </w: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r>
        <w:rPr>
          <w:rFonts w:hint="eastAsia" w:ascii="宋体" w:hAnsi="宋体"/>
          <w:b/>
          <w:sz w:val="52"/>
          <w:szCs w:val="52"/>
        </w:rPr>
        <w:t>件</w:t>
      </w:r>
    </w:p>
    <w:p>
      <w:pPr>
        <w:spacing w:line="360" w:lineRule="auto"/>
        <w:rPr>
          <w:rFonts w:ascii="宋体" w:hAnsi="宋体"/>
          <w:b/>
          <w:sz w:val="32"/>
          <w:szCs w:val="32"/>
        </w:rPr>
      </w:pPr>
    </w:p>
    <w:p>
      <w:pPr>
        <w:pStyle w:val="2"/>
      </w:pPr>
    </w:p>
    <w:p>
      <w:pPr>
        <w:spacing w:line="360" w:lineRule="auto"/>
        <w:rPr>
          <w:rFonts w:ascii="宋体" w:hAnsi="宋体"/>
          <w:b/>
          <w:sz w:val="32"/>
          <w:szCs w:val="32"/>
        </w:rPr>
      </w:pPr>
    </w:p>
    <w:p>
      <w:pPr>
        <w:pStyle w:val="16"/>
        <w:spacing w:line="360" w:lineRule="auto"/>
        <w:jc w:val="center"/>
        <w:rPr>
          <w:rFonts w:ascii="宋体" w:hAnsi="宋体"/>
          <w:b/>
          <w:sz w:val="32"/>
          <w:szCs w:val="32"/>
        </w:rPr>
      </w:pPr>
      <w:r>
        <w:rPr>
          <w:rFonts w:ascii="宋体" w:hAnsi="宋体"/>
          <w:b/>
          <w:sz w:val="32"/>
          <w:szCs w:val="32"/>
        </w:rPr>
        <w:t>中国·四川</w:t>
      </w:r>
    </w:p>
    <w:p>
      <w:pPr>
        <w:pStyle w:val="16"/>
        <w:spacing w:line="360" w:lineRule="auto"/>
        <w:jc w:val="center"/>
        <w:rPr>
          <w:rFonts w:ascii="宋体" w:hAnsi="宋体"/>
          <w:b/>
          <w:sz w:val="32"/>
          <w:szCs w:val="32"/>
        </w:rPr>
      </w:pPr>
      <w:r>
        <w:rPr>
          <w:rFonts w:ascii="宋体" w:hAnsi="宋体"/>
          <w:b/>
          <w:sz w:val="32"/>
          <w:szCs w:val="32"/>
        </w:rPr>
        <w:t>成都市绿化工程队</w:t>
      </w:r>
    </w:p>
    <w:p>
      <w:pPr>
        <w:pStyle w:val="16"/>
        <w:spacing w:line="360" w:lineRule="auto"/>
        <w:jc w:val="center"/>
        <w:rPr>
          <w:rFonts w:ascii="宋体" w:hAnsi="宋体"/>
          <w:b/>
          <w:sz w:val="32"/>
          <w:szCs w:val="32"/>
        </w:rPr>
      </w:pPr>
      <w:r>
        <w:rPr>
          <w:rFonts w:ascii="宋体" w:hAnsi="宋体"/>
          <w:b/>
          <w:sz w:val="32"/>
          <w:szCs w:val="32"/>
        </w:rPr>
        <w:t>成都一问工程技术咨询有限公司</w:t>
      </w:r>
    </w:p>
    <w:p>
      <w:pPr>
        <w:pStyle w:val="16"/>
        <w:spacing w:line="360" w:lineRule="auto"/>
        <w:jc w:val="center"/>
        <w:rPr>
          <w:rFonts w:ascii="宋体" w:hAnsi="宋体"/>
          <w:b/>
          <w:sz w:val="32"/>
          <w:szCs w:val="32"/>
        </w:rPr>
      </w:pPr>
      <w:r>
        <w:rPr>
          <w:rFonts w:ascii="宋体" w:hAnsi="宋体"/>
          <w:b/>
          <w:sz w:val="32"/>
          <w:szCs w:val="32"/>
        </w:rPr>
        <w:t>共同编制</w:t>
      </w:r>
    </w:p>
    <w:p>
      <w:pPr>
        <w:pStyle w:val="16"/>
        <w:spacing w:line="360" w:lineRule="auto"/>
        <w:jc w:val="center"/>
        <w:rPr>
          <w:rFonts w:ascii="宋体" w:hAnsi="宋体"/>
          <w:sz w:val="24"/>
        </w:rPr>
        <w:sectPr>
          <w:headerReference r:id="rId3" w:type="default"/>
          <w:footerReference r:id="rId4" w:type="default"/>
          <w:pgSz w:w="11906" w:h="16838"/>
          <w:pgMar w:top="1418" w:right="1514" w:bottom="1418" w:left="1985" w:header="851" w:footer="992" w:gutter="0"/>
          <w:pgNumType w:start="0"/>
          <w:cols w:space="720" w:num="1"/>
          <w:formProt w:val="0"/>
          <w:docGrid w:linePitch="312" w:charSpace="91954"/>
        </w:sectPr>
      </w:pPr>
      <w:r>
        <w:rPr>
          <w:rFonts w:ascii="宋体" w:hAnsi="宋体"/>
          <w:b/>
          <w:bCs/>
          <w:sz w:val="32"/>
          <w:szCs w:val="32"/>
          <w:u w:val="single"/>
        </w:rPr>
        <w:t>2021</w:t>
      </w:r>
      <w:r>
        <w:rPr>
          <w:rFonts w:ascii="宋体" w:hAnsi="宋体"/>
          <w:b/>
          <w:bCs/>
          <w:sz w:val="32"/>
          <w:szCs w:val="32"/>
          <w:lang w:val="zh-CN"/>
        </w:rPr>
        <w:t>年</w:t>
      </w:r>
      <w:r>
        <w:rPr>
          <w:rFonts w:hint="eastAsia" w:ascii="宋体" w:hAnsi="宋体"/>
          <w:b/>
          <w:bCs/>
          <w:sz w:val="32"/>
          <w:szCs w:val="32"/>
          <w:u w:val="single"/>
        </w:rPr>
        <w:t>8</w:t>
      </w:r>
      <w:r>
        <w:rPr>
          <w:rFonts w:hint="eastAsia" w:ascii="宋体" w:hAnsi="宋体"/>
          <w:b/>
          <w:bCs/>
          <w:sz w:val="32"/>
          <w:szCs w:val="32"/>
        </w:rPr>
        <w:t>月</w:t>
      </w:r>
    </w:p>
    <w:p>
      <w:pPr>
        <w:jc w:val="center"/>
        <w:rPr>
          <w:rFonts w:ascii="宋体" w:hAnsi="宋体"/>
          <w:b/>
          <w:bCs/>
          <w:sz w:val="36"/>
          <w:szCs w:val="36"/>
        </w:rPr>
      </w:pPr>
      <w:bookmarkStart w:id="0" w:name="_Hlt101843627"/>
      <w:bookmarkEnd w:id="0"/>
      <w:bookmarkStart w:id="1" w:name="_Hlt101233737"/>
      <w:bookmarkEnd w:id="1"/>
      <w:r>
        <w:rPr>
          <w:rFonts w:hint="eastAsia" w:ascii="宋体" w:hAnsi="宋体"/>
          <w:b/>
          <w:bCs/>
          <w:sz w:val="36"/>
          <w:szCs w:val="36"/>
        </w:rPr>
        <w:t>目    录</w:t>
      </w:r>
    </w:p>
    <w:p>
      <w:pPr>
        <w:spacing w:line="640" w:lineRule="exact"/>
        <w:jc w:val="center"/>
        <w:rPr>
          <w:rFonts w:ascii="宋体" w:hAnsi="宋体"/>
          <w:b/>
          <w:bCs/>
          <w:sz w:val="24"/>
        </w:rPr>
      </w:pPr>
    </w:p>
    <w:p>
      <w:pPr>
        <w:pStyle w:val="21"/>
        <w:tabs>
          <w:tab w:val="right" w:leader="dot" w:pos="8949"/>
        </w:tabs>
        <w:spacing w:line="480" w:lineRule="auto"/>
        <w:rPr>
          <w:rFonts w:ascii="宋体" w:hAnsi="宋体" w:cstheme="minorBidi"/>
          <w:sz w:val="24"/>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"_Toc56539534" </w:instrText>
      </w:r>
      <w:r>
        <w:fldChar w:fldCharType="separate"/>
      </w:r>
      <w:r>
        <w:rPr>
          <w:rStyle w:val="37"/>
          <w:rFonts w:hint="eastAsia" w:ascii="宋体" w:hAnsi="宋体"/>
          <w:sz w:val="24"/>
        </w:rPr>
        <w:t>第一章</w:t>
      </w:r>
      <w:r>
        <w:rPr>
          <w:rStyle w:val="37"/>
          <w:rFonts w:ascii="宋体" w:hAnsi="宋体"/>
          <w:sz w:val="24"/>
        </w:rPr>
        <w:t xml:space="preserve">  </w:t>
      </w:r>
      <w:r>
        <w:rPr>
          <w:rStyle w:val="37"/>
          <w:rFonts w:hint="eastAsia" w:ascii="宋体" w:hAnsi="宋体"/>
          <w:sz w:val="24"/>
        </w:rPr>
        <w:t>招标公告</w:t>
      </w:r>
      <w:r>
        <w:rPr>
          <w:rFonts w:ascii="宋体" w:hAnsi="宋体"/>
          <w:sz w:val="24"/>
        </w:rPr>
        <w:tab/>
      </w:r>
      <w:r>
        <w:rPr>
          <w:rFonts w:ascii="宋体" w:hAnsi="宋体"/>
          <w:sz w:val="24"/>
        </w:rPr>
        <w:fldChar w:fldCharType="begin"/>
      </w:r>
      <w:r>
        <w:rPr>
          <w:rFonts w:ascii="宋体" w:hAnsi="宋体"/>
          <w:sz w:val="24"/>
        </w:rPr>
        <w:instrText xml:space="preserve"> PAGEREF _Toc56539534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21"/>
        <w:tabs>
          <w:tab w:val="right" w:leader="dot" w:pos="8949"/>
        </w:tabs>
        <w:spacing w:line="480" w:lineRule="auto"/>
        <w:rPr>
          <w:rFonts w:ascii="宋体" w:hAnsi="宋体" w:cstheme="minorBidi"/>
          <w:sz w:val="24"/>
        </w:rPr>
      </w:pPr>
      <w:r>
        <w:fldChar w:fldCharType="begin"/>
      </w:r>
      <w:r>
        <w:instrText xml:space="preserve"> HYPERLINK \l "_Toc56539535" </w:instrText>
      </w:r>
      <w:r>
        <w:fldChar w:fldCharType="separate"/>
      </w:r>
      <w:r>
        <w:rPr>
          <w:rStyle w:val="37"/>
          <w:rFonts w:hint="eastAsia" w:ascii="宋体" w:hAnsi="宋体"/>
          <w:sz w:val="24"/>
        </w:rPr>
        <w:t>第二章</w:t>
      </w:r>
      <w:r>
        <w:rPr>
          <w:rStyle w:val="37"/>
          <w:rFonts w:ascii="宋体" w:hAnsi="宋体"/>
          <w:sz w:val="24"/>
        </w:rPr>
        <w:t xml:space="preserve">  </w:t>
      </w:r>
      <w:r>
        <w:rPr>
          <w:rStyle w:val="37"/>
          <w:rFonts w:hint="eastAsia" w:ascii="宋体" w:hAnsi="宋体"/>
          <w:sz w:val="24"/>
        </w:rPr>
        <w:t>投标人须知</w:t>
      </w:r>
      <w:r>
        <w:rPr>
          <w:rFonts w:ascii="宋体" w:hAnsi="宋体"/>
          <w:sz w:val="24"/>
        </w:rPr>
        <w:tab/>
      </w:r>
      <w:r>
        <w:rPr>
          <w:rFonts w:ascii="宋体" w:hAnsi="宋体"/>
          <w:sz w:val="24"/>
        </w:rPr>
        <w:fldChar w:fldCharType="begin"/>
      </w:r>
      <w:r>
        <w:rPr>
          <w:rFonts w:ascii="宋体" w:hAnsi="宋体"/>
          <w:sz w:val="24"/>
        </w:rPr>
        <w:instrText xml:space="preserve"> PAGEREF _Toc56539535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21"/>
        <w:tabs>
          <w:tab w:val="right" w:leader="dot" w:pos="8949"/>
        </w:tabs>
        <w:spacing w:line="480" w:lineRule="auto"/>
        <w:rPr>
          <w:rFonts w:ascii="宋体" w:hAnsi="宋体" w:cstheme="minorBidi"/>
          <w:sz w:val="24"/>
        </w:rPr>
      </w:pPr>
      <w:r>
        <w:fldChar w:fldCharType="begin"/>
      </w:r>
      <w:r>
        <w:instrText xml:space="preserve"> HYPERLINK \l "_Toc56539536" </w:instrText>
      </w:r>
      <w:r>
        <w:fldChar w:fldCharType="separate"/>
      </w:r>
      <w:r>
        <w:rPr>
          <w:rStyle w:val="37"/>
          <w:rFonts w:hint="eastAsia" w:ascii="宋体" w:hAnsi="宋体"/>
          <w:sz w:val="24"/>
        </w:rPr>
        <w:t>第三章</w:t>
      </w:r>
      <w:r>
        <w:rPr>
          <w:rStyle w:val="37"/>
          <w:rFonts w:ascii="宋体" w:hAnsi="宋体"/>
          <w:sz w:val="24"/>
        </w:rPr>
        <w:t xml:space="preserve">  </w:t>
      </w:r>
      <w:r>
        <w:rPr>
          <w:rStyle w:val="37"/>
          <w:rFonts w:hint="eastAsia" w:ascii="宋体" w:hAnsi="宋体"/>
          <w:sz w:val="24"/>
        </w:rPr>
        <w:t>投标文件格式</w:t>
      </w:r>
      <w:r>
        <w:rPr>
          <w:rFonts w:ascii="宋体" w:hAnsi="宋体"/>
          <w:sz w:val="24"/>
        </w:rPr>
        <w:tab/>
      </w:r>
      <w:r>
        <w:rPr>
          <w:rFonts w:ascii="宋体" w:hAnsi="宋体"/>
          <w:sz w:val="24"/>
        </w:rPr>
        <w:fldChar w:fldCharType="begin"/>
      </w:r>
      <w:r>
        <w:rPr>
          <w:rFonts w:ascii="宋体" w:hAnsi="宋体"/>
          <w:sz w:val="24"/>
        </w:rPr>
        <w:instrText xml:space="preserve"> PAGEREF _Toc56539536 \h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21"/>
        <w:tabs>
          <w:tab w:val="right" w:leader="dot" w:pos="8949"/>
        </w:tabs>
        <w:spacing w:line="480" w:lineRule="auto"/>
        <w:rPr>
          <w:rFonts w:ascii="宋体" w:hAnsi="宋体" w:cstheme="minorBidi"/>
          <w:sz w:val="24"/>
        </w:rPr>
      </w:pPr>
      <w:r>
        <w:fldChar w:fldCharType="begin"/>
      </w:r>
      <w:r>
        <w:instrText xml:space="preserve"> HYPERLINK \l "_Toc56539537" </w:instrText>
      </w:r>
      <w:r>
        <w:fldChar w:fldCharType="separate"/>
      </w:r>
      <w:r>
        <w:rPr>
          <w:rStyle w:val="37"/>
          <w:rFonts w:hint="eastAsia" w:ascii="宋体" w:hAnsi="宋体"/>
          <w:sz w:val="24"/>
        </w:rPr>
        <w:t>第四章</w:t>
      </w:r>
      <w:r>
        <w:rPr>
          <w:rStyle w:val="37"/>
          <w:rFonts w:ascii="宋体" w:hAnsi="宋体"/>
          <w:sz w:val="24"/>
        </w:rPr>
        <w:t xml:space="preserve">  </w:t>
      </w:r>
      <w:r>
        <w:rPr>
          <w:rStyle w:val="37"/>
          <w:rFonts w:hint="eastAsia" w:ascii="宋体" w:hAnsi="宋体"/>
          <w:sz w:val="24"/>
        </w:rPr>
        <w:t>投标人和投标产品的资格、资质性及其他类似效力要求</w:t>
      </w:r>
      <w:r>
        <w:rPr>
          <w:rFonts w:ascii="宋体" w:hAnsi="宋体"/>
          <w:sz w:val="24"/>
        </w:rPr>
        <w:tab/>
      </w:r>
      <w:r>
        <w:rPr>
          <w:rFonts w:ascii="宋体" w:hAnsi="宋体"/>
          <w:sz w:val="24"/>
        </w:rPr>
        <w:fldChar w:fldCharType="begin"/>
      </w:r>
      <w:r>
        <w:rPr>
          <w:rFonts w:ascii="宋体" w:hAnsi="宋体"/>
          <w:sz w:val="24"/>
        </w:rPr>
        <w:instrText xml:space="preserve"> PAGEREF _Toc56539537 \h </w:instrText>
      </w:r>
      <w:r>
        <w:rPr>
          <w:rFonts w:ascii="宋体" w:hAnsi="宋体"/>
          <w:sz w:val="24"/>
        </w:rPr>
        <w:fldChar w:fldCharType="separate"/>
      </w:r>
      <w:r>
        <w:rPr>
          <w:rFonts w:ascii="宋体" w:hAnsi="宋体"/>
          <w:sz w:val="24"/>
        </w:rPr>
        <w:t>47</w:t>
      </w:r>
      <w:r>
        <w:rPr>
          <w:rFonts w:ascii="宋体" w:hAnsi="宋体"/>
          <w:sz w:val="24"/>
        </w:rPr>
        <w:fldChar w:fldCharType="end"/>
      </w:r>
      <w:r>
        <w:rPr>
          <w:rFonts w:ascii="宋体" w:hAnsi="宋体"/>
          <w:sz w:val="24"/>
        </w:rPr>
        <w:fldChar w:fldCharType="end"/>
      </w:r>
    </w:p>
    <w:p>
      <w:pPr>
        <w:pStyle w:val="21"/>
        <w:tabs>
          <w:tab w:val="right" w:leader="dot" w:pos="8949"/>
        </w:tabs>
        <w:spacing w:line="480" w:lineRule="auto"/>
        <w:rPr>
          <w:rFonts w:ascii="宋体" w:hAnsi="宋体" w:cstheme="minorBidi"/>
          <w:sz w:val="24"/>
        </w:rPr>
      </w:pPr>
      <w:r>
        <w:fldChar w:fldCharType="begin"/>
      </w:r>
      <w:r>
        <w:instrText xml:space="preserve"> HYPERLINK \l "_Toc56539538" </w:instrText>
      </w:r>
      <w:r>
        <w:fldChar w:fldCharType="separate"/>
      </w:r>
      <w:r>
        <w:rPr>
          <w:rStyle w:val="37"/>
          <w:rFonts w:hint="eastAsia" w:ascii="宋体" w:hAnsi="宋体"/>
          <w:sz w:val="24"/>
        </w:rPr>
        <w:t>第五章</w:t>
      </w:r>
      <w:r>
        <w:rPr>
          <w:rStyle w:val="37"/>
          <w:rFonts w:ascii="宋体" w:hAnsi="宋体"/>
          <w:sz w:val="24"/>
        </w:rPr>
        <w:t xml:space="preserve">  </w:t>
      </w:r>
      <w:r>
        <w:rPr>
          <w:rStyle w:val="37"/>
          <w:rFonts w:hint="eastAsia" w:ascii="宋体" w:hAnsi="宋体"/>
          <w:sz w:val="24"/>
        </w:rPr>
        <w:t>投标人应当提供的资格、资质性及其他类似效力要求的相关证明材料</w:t>
      </w:r>
      <w:r>
        <w:rPr>
          <w:rFonts w:ascii="宋体" w:hAnsi="宋体"/>
          <w:sz w:val="24"/>
        </w:rPr>
        <w:tab/>
      </w:r>
      <w:r>
        <w:rPr>
          <w:rFonts w:ascii="宋体" w:hAnsi="宋体"/>
          <w:sz w:val="24"/>
        </w:rPr>
        <w:fldChar w:fldCharType="begin"/>
      </w:r>
      <w:r>
        <w:rPr>
          <w:rFonts w:ascii="宋体" w:hAnsi="宋体"/>
          <w:sz w:val="24"/>
        </w:rPr>
        <w:instrText xml:space="preserve"> PAGEREF _Toc56539538 \h </w:instrText>
      </w:r>
      <w:r>
        <w:rPr>
          <w:rFonts w:ascii="宋体" w:hAnsi="宋体"/>
          <w:sz w:val="24"/>
        </w:rPr>
        <w:fldChar w:fldCharType="separate"/>
      </w:r>
      <w:r>
        <w:rPr>
          <w:rFonts w:ascii="宋体" w:hAnsi="宋体"/>
          <w:sz w:val="24"/>
        </w:rPr>
        <w:t>49</w:t>
      </w:r>
      <w:r>
        <w:rPr>
          <w:rFonts w:ascii="宋体" w:hAnsi="宋体"/>
          <w:sz w:val="24"/>
        </w:rPr>
        <w:fldChar w:fldCharType="end"/>
      </w:r>
      <w:r>
        <w:rPr>
          <w:rFonts w:ascii="宋体" w:hAnsi="宋体"/>
          <w:sz w:val="24"/>
        </w:rPr>
        <w:fldChar w:fldCharType="end"/>
      </w:r>
    </w:p>
    <w:p>
      <w:pPr>
        <w:pStyle w:val="21"/>
        <w:tabs>
          <w:tab w:val="right" w:leader="dot" w:pos="8949"/>
        </w:tabs>
        <w:spacing w:line="480" w:lineRule="auto"/>
        <w:rPr>
          <w:rFonts w:ascii="宋体" w:hAnsi="宋体" w:cstheme="minorBidi"/>
          <w:sz w:val="24"/>
        </w:rPr>
      </w:pPr>
      <w:r>
        <w:fldChar w:fldCharType="begin"/>
      </w:r>
      <w:r>
        <w:instrText xml:space="preserve"> HYPERLINK \l "_Toc56539539" </w:instrText>
      </w:r>
      <w:r>
        <w:fldChar w:fldCharType="separate"/>
      </w:r>
      <w:r>
        <w:rPr>
          <w:rStyle w:val="37"/>
          <w:rFonts w:hint="eastAsia" w:ascii="宋体" w:hAnsi="宋体"/>
          <w:sz w:val="24"/>
        </w:rPr>
        <w:t>第六章</w:t>
      </w:r>
      <w:r>
        <w:rPr>
          <w:rStyle w:val="37"/>
          <w:rFonts w:ascii="宋体" w:hAnsi="宋体"/>
          <w:sz w:val="24"/>
        </w:rPr>
        <w:t xml:space="preserve">  </w:t>
      </w:r>
      <w:r>
        <w:rPr>
          <w:rStyle w:val="37"/>
          <w:rFonts w:hint="eastAsia" w:ascii="宋体" w:hAnsi="宋体"/>
          <w:sz w:val="24"/>
        </w:rPr>
        <w:t>招标项目技术、服务、政府采购合同内容条款及其他商务要求</w:t>
      </w:r>
      <w:r>
        <w:rPr>
          <w:rFonts w:ascii="宋体" w:hAnsi="宋体"/>
          <w:sz w:val="24"/>
        </w:rPr>
        <w:tab/>
      </w:r>
      <w:r>
        <w:rPr>
          <w:rFonts w:ascii="宋体" w:hAnsi="宋体"/>
          <w:sz w:val="24"/>
        </w:rPr>
        <w:fldChar w:fldCharType="begin"/>
      </w:r>
      <w:r>
        <w:rPr>
          <w:rFonts w:ascii="宋体" w:hAnsi="宋体"/>
          <w:sz w:val="24"/>
        </w:rPr>
        <w:instrText xml:space="preserve"> PAGEREF _Toc56539539 \h </w:instrText>
      </w:r>
      <w:r>
        <w:rPr>
          <w:rFonts w:ascii="宋体" w:hAnsi="宋体"/>
          <w:sz w:val="24"/>
        </w:rPr>
        <w:fldChar w:fldCharType="separate"/>
      </w:r>
      <w:r>
        <w:rPr>
          <w:rFonts w:ascii="宋体" w:hAnsi="宋体"/>
          <w:sz w:val="24"/>
        </w:rPr>
        <w:t>51</w:t>
      </w:r>
      <w:r>
        <w:rPr>
          <w:rFonts w:ascii="宋体" w:hAnsi="宋体"/>
          <w:sz w:val="24"/>
        </w:rPr>
        <w:fldChar w:fldCharType="end"/>
      </w:r>
      <w:r>
        <w:rPr>
          <w:rFonts w:ascii="宋体" w:hAnsi="宋体"/>
          <w:sz w:val="24"/>
        </w:rPr>
        <w:fldChar w:fldCharType="end"/>
      </w:r>
    </w:p>
    <w:p>
      <w:pPr>
        <w:pStyle w:val="21"/>
        <w:tabs>
          <w:tab w:val="right" w:leader="dot" w:pos="8949"/>
        </w:tabs>
        <w:spacing w:line="480" w:lineRule="auto"/>
        <w:rPr>
          <w:rFonts w:ascii="宋体" w:hAnsi="宋体" w:cstheme="minorBidi"/>
          <w:sz w:val="24"/>
        </w:rPr>
      </w:pPr>
      <w:r>
        <w:fldChar w:fldCharType="begin"/>
      </w:r>
      <w:r>
        <w:instrText xml:space="preserve"> HYPERLINK \l "_Toc56539540" </w:instrText>
      </w:r>
      <w:r>
        <w:fldChar w:fldCharType="separate"/>
      </w:r>
      <w:r>
        <w:rPr>
          <w:rStyle w:val="37"/>
          <w:rFonts w:hint="eastAsia" w:ascii="宋体" w:hAnsi="宋体"/>
          <w:sz w:val="24"/>
        </w:rPr>
        <w:t>第七章</w:t>
      </w:r>
      <w:r>
        <w:rPr>
          <w:rStyle w:val="37"/>
          <w:rFonts w:ascii="宋体" w:hAnsi="宋体"/>
          <w:sz w:val="24"/>
        </w:rPr>
        <w:t xml:space="preserve">  </w:t>
      </w:r>
      <w:r>
        <w:rPr>
          <w:rStyle w:val="37"/>
          <w:rFonts w:hint="eastAsia" w:ascii="宋体" w:hAnsi="宋体"/>
          <w:sz w:val="24"/>
        </w:rPr>
        <w:t>评标办法</w:t>
      </w:r>
      <w:r>
        <w:rPr>
          <w:rFonts w:ascii="宋体" w:hAnsi="宋体"/>
          <w:sz w:val="24"/>
        </w:rPr>
        <w:tab/>
      </w:r>
      <w:r>
        <w:rPr>
          <w:rFonts w:ascii="宋体" w:hAnsi="宋体"/>
          <w:sz w:val="24"/>
        </w:rPr>
        <w:fldChar w:fldCharType="begin"/>
      </w:r>
      <w:r>
        <w:rPr>
          <w:rFonts w:ascii="宋体" w:hAnsi="宋体"/>
          <w:sz w:val="24"/>
        </w:rPr>
        <w:instrText xml:space="preserve"> PAGEREF _Toc56539540 \h </w:instrText>
      </w:r>
      <w:r>
        <w:rPr>
          <w:rFonts w:ascii="宋体" w:hAnsi="宋体"/>
          <w:sz w:val="24"/>
        </w:rPr>
        <w:fldChar w:fldCharType="separate"/>
      </w:r>
      <w:r>
        <w:rPr>
          <w:rFonts w:ascii="宋体" w:hAnsi="宋体"/>
          <w:sz w:val="24"/>
        </w:rPr>
        <w:t>53</w:t>
      </w:r>
      <w:r>
        <w:rPr>
          <w:rFonts w:ascii="宋体" w:hAnsi="宋体"/>
          <w:sz w:val="24"/>
        </w:rPr>
        <w:fldChar w:fldCharType="end"/>
      </w:r>
      <w:r>
        <w:rPr>
          <w:rFonts w:ascii="宋体" w:hAnsi="宋体"/>
          <w:sz w:val="24"/>
        </w:rPr>
        <w:fldChar w:fldCharType="end"/>
      </w:r>
    </w:p>
    <w:p>
      <w:pPr>
        <w:pStyle w:val="21"/>
        <w:tabs>
          <w:tab w:val="right" w:leader="dot" w:pos="8949"/>
        </w:tabs>
        <w:spacing w:line="480" w:lineRule="auto"/>
        <w:rPr>
          <w:rFonts w:ascii="宋体" w:hAnsi="宋体" w:cstheme="minorBidi"/>
          <w:sz w:val="28"/>
          <w:szCs w:val="28"/>
        </w:rPr>
      </w:pPr>
      <w:r>
        <w:fldChar w:fldCharType="begin"/>
      </w:r>
      <w:r>
        <w:instrText xml:space="preserve"> HYPERLINK \l "_Toc56539541" </w:instrText>
      </w:r>
      <w:r>
        <w:fldChar w:fldCharType="separate"/>
      </w:r>
      <w:r>
        <w:rPr>
          <w:rStyle w:val="37"/>
          <w:rFonts w:hint="eastAsia" w:ascii="宋体" w:hAnsi="宋体" w:cs="宋体"/>
          <w:sz w:val="24"/>
        </w:rPr>
        <w:t>第八章</w:t>
      </w:r>
      <w:r>
        <w:rPr>
          <w:rStyle w:val="37"/>
          <w:rFonts w:ascii="宋体" w:hAnsi="宋体" w:cs="宋体"/>
          <w:sz w:val="24"/>
        </w:rPr>
        <w:t xml:space="preserve">  </w:t>
      </w:r>
      <w:r>
        <w:rPr>
          <w:rStyle w:val="37"/>
          <w:rFonts w:hint="eastAsia" w:ascii="宋体" w:hAnsi="宋体" w:cs="宋体"/>
          <w:sz w:val="24"/>
        </w:rPr>
        <w:t>政府采购合同（样例）</w:t>
      </w:r>
      <w:r>
        <w:rPr>
          <w:rFonts w:ascii="宋体" w:hAnsi="宋体"/>
          <w:sz w:val="24"/>
        </w:rPr>
        <w:tab/>
      </w:r>
      <w:r>
        <w:rPr>
          <w:rFonts w:ascii="宋体" w:hAnsi="宋体"/>
          <w:sz w:val="24"/>
        </w:rPr>
        <w:fldChar w:fldCharType="begin"/>
      </w:r>
      <w:r>
        <w:rPr>
          <w:rFonts w:ascii="宋体" w:hAnsi="宋体"/>
          <w:sz w:val="24"/>
        </w:rPr>
        <w:instrText xml:space="preserve"> PAGEREF _Toc56539541 \h </w:instrText>
      </w:r>
      <w:r>
        <w:rPr>
          <w:rFonts w:ascii="宋体" w:hAnsi="宋体"/>
          <w:sz w:val="24"/>
        </w:rPr>
        <w:fldChar w:fldCharType="separate"/>
      </w:r>
      <w:r>
        <w:rPr>
          <w:rFonts w:ascii="宋体" w:hAnsi="宋体"/>
          <w:sz w:val="24"/>
        </w:rPr>
        <w:t>62</w:t>
      </w:r>
      <w:r>
        <w:rPr>
          <w:rFonts w:ascii="宋体" w:hAnsi="宋体"/>
          <w:sz w:val="24"/>
        </w:rPr>
        <w:fldChar w:fldCharType="end"/>
      </w:r>
      <w:r>
        <w:rPr>
          <w:rFonts w:ascii="宋体" w:hAnsi="宋体"/>
          <w:sz w:val="24"/>
        </w:rPr>
        <w:fldChar w:fldCharType="end"/>
      </w:r>
    </w:p>
    <w:p>
      <w:pPr>
        <w:spacing w:line="480" w:lineRule="auto"/>
        <w:rPr>
          <w:rFonts w:ascii="宋体" w:hAnsi="宋体"/>
          <w:sz w:val="24"/>
        </w:rPr>
        <w:sectPr>
          <w:footerReference r:id="rId7" w:type="first"/>
          <w:headerReference r:id="rId5" w:type="default"/>
          <w:footerReference r:id="rId6"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sz w:val="28"/>
          <w:szCs w:val="28"/>
        </w:rPr>
        <w:fldChar w:fldCharType="end"/>
      </w:r>
      <w:bookmarkStart w:id="2" w:name="_Toc24584"/>
    </w:p>
    <w:p>
      <w:pPr>
        <w:pStyle w:val="3"/>
        <w:spacing w:line="240" w:lineRule="atLeast"/>
        <w:jc w:val="center"/>
        <w:rPr>
          <w:rFonts w:ascii="宋体" w:hAnsi="宋体"/>
          <w:sz w:val="36"/>
          <w:szCs w:val="36"/>
        </w:rPr>
      </w:pPr>
      <w:bookmarkStart w:id="3" w:name="_Toc56539534"/>
      <w:r>
        <w:rPr>
          <w:rFonts w:hint="eastAsia" w:ascii="宋体" w:hAnsi="宋体"/>
          <w:sz w:val="36"/>
          <w:szCs w:val="36"/>
        </w:rPr>
        <w:t xml:space="preserve">第一章  </w:t>
      </w:r>
      <w:bookmarkEnd w:id="2"/>
      <w:r>
        <w:rPr>
          <w:rFonts w:hint="eastAsia" w:ascii="宋体" w:hAnsi="宋体"/>
          <w:sz w:val="36"/>
          <w:szCs w:val="36"/>
        </w:rPr>
        <w:t>招标公告</w:t>
      </w:r>
      <w:bookmarkEnd w:id="3"/>
    </w:p>
    <w:p>
      <w:pPr>
        <w:rPr>
          <w:b/>
          <w:sz w:val="24"/>
        </w:rPr>
      </w:pPr>
      <w:bookmarkStart w:id="4" w:name="_Toc35393621"/>
      <w:bookmarkStart w:id="5" w:name="_Toc28359002"/>
      <w:bookmarkStart w:id="6" w:name="_Toc28359079"/>
      <w:bookmarkStart w:id="7" w:name="_Toc35393790"/>
      <w:bookmarkStart w:id="8" w:name="_Hlk24379207"/>
      <w:r>
        <w:rPr>
          <w:rFonts w:hint="eastAsia"/>
          <w:b/>
          <w:sz w:val="24"/>
        </w:rPr>
        <w:t>项目概况</w:t>
      </w:r>
    </w:p>
    <w:p>
      <w:pPr>
        <w:pStyle w:val="16"/>
        <w:spacing w:line="400" w:lineRule="exact"/>
        <w:rPr>
          <w:rFonts w:ascii="宋体" w:hAnsi="宋体"/>
          <w:b/>
          <w:sz w:val="24"/>
        </w:rPr>
      </w:pPr>
      <w:r>
        <w:rPr>
          <w:rFonts w:hint="eastAsia" w:ascii="宋体" w:hAnsi="宋体"/>
          <w:sz w:val="24"/>
          <w:u w:val="single"/>
        </w:rPr>
        <w:t xml:space="preserve"> 2021年大运会氛围营造项目-其他及相关辅助项目(电动自行走高空作业升降平台采购项目）</w:t>
      </w:r>
      <w:r>
        <w:rPr>
          <w:rFonts w:hint="eastAsia" w:ascii="宋体" w:hAnsi="宋体"/>
          <w:sz w:val="24"/>
        </w:rPr>
        <w:t>(项目名称</w:t>
      </w:r>
      <w:r>
        <w:rPr>
          <w:rFonts w:ascii="宋体" w:hAnsi="宋体"/>
          <w:sz w:val="24"/>
        </w:rPr>
        <w:t>)</w:t>
      </w:r>
      <w:r>
        <w:rPr>
          <w:rFonts w:hint="eastAsia" w:ascii="宋体" w:hAnsi="宋体"/>
          <w:sz w:val="24"/>
        </w:rPr>
        <w:t>招标项目的潜在投标人应在</w:t>
      </w:r>
      <w:r>
        <w:rPr>
          <w:rFonts w:hint="eastAsia" w:ascii="宋体" w:hAnsi="宋体"/>
          <w:sz w:val="24"/>
          <w:u w:val="single"/>
        </w:rPr>
        <w:t>成都一问工程技术咨询有限公司官网（http://www.cdywzx.com/）</w:t>
      </w:r>
      <w:r>
        <w:rPr>
          <w:rFonts w:ascii="宋体" w:hAnsi="宋体"/>
          <w:sz w:val="24"/>
        </w:rPr>
        <w:t>（地址）获取招标文件，并于</w:t>
      </w:r>
      <w:r>
        <w:rPr>
          <w:rFonts w:hint="eastAsia" w:ascii="宋体" w:hAnsi="宋体"/>
          <w:sz w:val="24"/>
          <w:u w:val="single"/>
        </w:rPr>
        <w:t>2021</w:t>
      </w:r>
      <w:r>
        <w:rPr>
          <w:rFonts w:ascii="宋体" w:hAnsi="宋体"/>
          <w:bCs/>
          <w:sz w:val="24"/>
          <w:u w:val="single"/>
        </w:rPr>
        <w:t>年</w:t>
      </w:r>
      <w:r>
        <w:rPr>
          <w:rFonts w:hint="eastAsia" w:ascii="宋体" w:hAnsi="宋体"/>
          <w:bCs/>
          <w:sz w:val="24"/>
          <w:u w:val="single"/>
        </w:rPr>
        <w:t>9</w:t>
      </w:r>
      <w:r>
        <w:rPr>
          <w:rFonts w:ascii="宋体" w:hAnsi="宋体"/>
          <w:bCs/>
          <w:sz w:val="24"/>
          <w:u w:val="single"/>
        </w:rPr>
        <w:t>月</w:t>
      </w:r>
      <w:r>
        <w:rPr>
          <w:rFonts w:hint="eastAsia" w:ascii="宋体" w:hAnsi="宋体"/>
          <w:bCs/>
          <w:sz w:val="24"/>
          <w:u w:val="single"/>
          <w:lang w:val="en-US" w:eastAsia="zh-CN"/>
        </w:rPr>
        <w:t>14</w:t>
      </w:r>
      <w:r>
        <w:rPr>
          <w:rFonts w:ascii="宋体" w:hAnsi="宋体"/>
          <w:bCs/>
          <w:sz w:val="24"/>
          <w:u w:val="single"/>
        </w:rPr>
        <w:t>日</w:t>
      </w:r>
      <w:r>
        <w:rPr>
          <w:rFonts w:hint="eastAsia" w:ascii="宋体" w:hAnsi="宋体"/>
          <w:bCs/>
          <w:sz w:val="24"/>
          <w:u w:val="single"/>
        </w:rPr>
        <w:t>1</w:t>
      </w:r>
      <w:r>
        <w:rPr>
          <w:rFonts w:hint="eastAsia" w:ascii="宋体" w:hAnsi="宋体"/>
          <w:bCs/>
          <w:sz w:val="24"/>
          <w:u w:val="single"/>
          <w:lang w:val="en-US" w:eastAsia="zh-CN"/>
        </w:rPr>
        <w:t>1</w:t>
      </w:r>
      <w:r>
        <w:rPr>
          <w:rFonts w:ascii="宋体" w:hAnsi="宋体"/>
          <w:bCs/>
          <w:sz w:val="24"/>
          <w:u w:val="single"/>
        </w:rPr>
        <w:t>点</w:t>
      </w:r>
      <w:r>
        <w:rPr>
          <w:rFonts w:hint="eastAsia" w:ascii="宋体" w:hAnsi="宋体"/>
          <w:bCs/>
          <w:sz w:val="24"/>
          <w:u w:val="single"/>
          <w:lang w:val="en-US" w:eastAsia="zh-CN"/>
        </w:rPr>
        <w:t>0</w:t>
      </w:r>
      <w:r>
        <w:rPr>
          <w:rFonts w:hint="eastAsia" w:ascii="宋体" w:hAnsi="宋体"/>
          <w:bCs/>
          <w:sz w:val="24"/>
          <w:u w:val="single"/>
        </w:rPr>
        <w:t>0</w:t>
      </w:r>
      <w:r>
        <w:rPr>
          <w:rFonts w:ascii="宋体" w:hAnsi="宋体"/>
          <w:bCs/>
          <w:sz w:val="24"/>
          <w:u w:val="single"/>
        </w:rPr>
        <w:t>分</w:t>
      </w:r>
      <w:r>
        <w:rPr>
          <w:rFonts w:ascii="宋体" w:hAnsi="宋体"/>
          <w:bCs/>
          <w:sz w:val="24"/>
        </w:rPr>
        <w:t>（北京时间）前递交投标文件</w:t>
      </w:r>
      <w:r>
        <w:rPr>
          <w:rFonts w:ascii="宋体" w:hAnsi="宋体"/>
          <w:sz w:val="24"/>
        </w:rPr>
        <w:t>。</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一、项目基本情况</w:t>
      </w:r>
      <w:bookmarkEnd w:id="4"/>
      <w:bookmarkEnd w:id="5"/>
      <w:bookmarkEnd w:id="6"/>
      <w:bookmarkEnd w:id="7"/>
    </w:p>
    <w:p>
      <w:pPr>
        <w:spacing w:line="400" w:lineRule="exact"/>
        <w:ind w:firstLine="480" w:firstLineChars="200"/>
        <w:rPr>
          <w:rFonts w:ascii="宋体" w:hAnsi="宋体"/>
          <w:color w:val="FF0000"/>
          <w:sz w:val="24"/>
        </w:rPr>
      </w:pPr>
      <w:r>
        <w:rPr>
          <w:rFonts w:hint="eastAsia" w:ascii="宋体" w:hAnsi="宋体"/>
          <w:sz w:val="24"/>
        </w:rPr>
        <w:t>项目编号：</w:t>
      </w:r>
      <w:r>
        <w:rPr>
          <w:rFonts w:hint="eastAsia" w:ascii="宋体" w:hAnsi="宋体"/>
          <w:sz w:val="24"/>
          <w:u w:val="single"/>
        </w:rPr>
        <w:t>510101202101165</w:t>
      </w:r>
    </w:p>
    <w:p>
      <w:pPr>
        <w:spacing w:line="400" w:lineRule="exact"/>
        <w:ind w:firstLine="480" w:firstLineChars="200"/>
        <w:rPr>
          <w:rFonts w:ascii="宋体" w:hAnsi="宋体"/>
          <w:sz w:val="24"/>
        </w:rPr>
      </w:pPr>
      <w:r>
        <w:rPr>
          <w:rFonts w:hint="eastAsia" w:ascii="宋体" w:hAnsi="宋体"/>
          <w:sz w:val="24"/>
        </w:rPr>
        <w:t>项目名称：</w:t>
      </w:r>
      <w:r>
        <w:rPr>
          <w:rFonts w:hint="eastAsia" w:ascii="宋体" w:hAnsi="宋体"/>
          <w:sz w:val="24"/>
          <w:u w:val="single"/>
        </w:rPr>
        <w:t>2021年大运会氛围营造项目-其他及相关辅助项目(电动自行走高空作业升降平台采购项目）</w:t>
      </w:r>
    </w:p>
    <w:bookmarkEnd w:id="8"/>
    <w:p>
      <w:pPr>
        <w:spacing w:line="400" w:lineRule="exact"/>
        <w:ind w:firstLine="480" w:firstLineChars="200"/>
        <w:rPr>
          <w:rFonts w:ascii="宋体" w:hAnsi="宋体"/>
          <w:sz w:val="24"/>
        </w:rPr>
      </w:pPr>
      <w:r>
        <w:rPr>
          <w:rFonts w:hint="eastAsia" w:ascii="宋体" w:hAnsi="宋体"/>
          <w:sz w:val="24"/>
        </w:rPr>
        <w:t>预算金额：</w:t>
      </w:r>
      <w:r>
        <w:rPr>
          <w:rFonts w:hint="eastAsia" w:ascii="宋体" w:hAnsi="宋体"/>
          <w:sz w:val="24"/>
          <w:u w:val="single"/>
        </w:rPr>
        <w:t>3506000元</w:t>
      </w:r>
    </w:p>
    <w:p>
      <w:pPr>
        <w:spacing w:line="400" w:lineRule="exact"/>
        <w:ind w:firstLine="480" w:firstLineChars="200"/>
        <w:rPr>
          <w:rFonts w:ascii="宋体" w:hAnsi="宋体"/>
          <w:sz w:val="24"/>
        </w:rPr>
      </w:pPr>
      <w:r>
        <w:rPr>
          <w:rFonts w:hint="eastAsia" w:ascii="宋体" w:hAnsi="宋体"/>
          <w:sz w:val="24"/>
        </w:rPr>
        <w:t>最高限价：</w:t>
      </w:r>
      <w:r>
        <w:rPr>
          <w:rFonts w:hint="eastAsia" w:ascii="宋体" w:hAnsi="宋体"/>
          <w:sz w:val="24"/>
          <w:u w:val="single"/>
        </w:rPr>
        <w:t>3500000元；单价限价详见第六章；</w:t>
      </w:r>
    </w:p>
    <w:p>
      <w:pPr>
        <w:spacing w:line="400" w:lineRule="exact"/>
        <w:ind w:firstLine="480" w:firstLineChars="200"/>
        <w:rPr>
          <w:rFonts w:ascii="宋体" w:hAnsi="宋体"/>
          <w:sz w:val="24"/>
          <w:u w:val="single"/>
        </w:rPr>
      </w:pPr>
      <w:r>
        <w:rPr>
          <w:rFonts w:hint="eastAsia" w:ascii="宋体" w:hAnsi="宋体"/>
          <w:sz w:val="24"/>
        </w:rPr>
        <w:t>采购需求：</w:t>
      </w:r>
      <w:r>
        <w:rPr>
          <w:rFonts w:hint="eastAsia" w:ascii="宋体" w:hAnsi="宋体"/>
          <w:sz w:val="24"/>
          <w:u w:val="single"/>
        </w:rPr>
        <w:t xml:space="preserve"> 本项目采购2021年大运会氛围营造项目-其他及相关辅助项目(电动自行走高空作业升降平台采购项目）（具体详见招标文件第六章）。</w:t>
      </w:r>
    </w:p>
    <w:p>
      <w:pPr>
        <w:spacing w:line="400" w:lineRule="exact"/>
        <w:ind w:firstLine="480" w:firstLineChars="200"/>
        <w:rPr>
          <w:rFonts w:ascii="宋体" w:hAnsi="宋体"/>
          <w:sz w:val="24"/>
          <w:highlight w:val="none"/>
          <w:u w:val="single"/>
        </w:rPr>
      </w:pPr>
      <w:r>
        <w:rPr>
          <w:rFonts w:hint="eastAsia" w:ascii="宋体" w:hAnsi="宋体"/>
          <w:sz w:val="24"/>
        </w:rPr>
        <w:t>交货期限：</w:t>
      </w:r>
      <w:r>
        <w:rPr>
          <w:rFonts w:hint="eastAsia" w:ascii="宋体" w:hAnsi="宋体"/>
          <w:sz w:val="24"/>
          <w:highlight w:val="none"/>
          <w:u w:val="single"/>
        </w:rPr>
        <w:t xml:space="preserve"> 签订合同之日起</w:t>
      </w:r>
      <w:r>
        <w:rPr>
          <w:rFonts w:hint="eastAsia" w:ascii="宋体" w:hAnsi="宋体"/>
          <w:sz w:val="24"/>
          <w:highlight w:val="none"/>
          <w:u w:val="single"/>
          <w:lang w:val="en-US" w:eastAsia="zh-CN"/>
        </w:rPr>
        <w:t>45</w:t>
      </w:r>
      <w:r>
        <w:rPr>
          <w:rFonts w:hint="eastAsia" w:ascii="宋体" w:hAnsi="宋体"/>
          <w:sz w:val="24"/>
          <w:highlight w:val="none"/>
          <w:u w:val="single"/>
        </w:rPr>
        <w:t>日历天</w:t>
      </w:r>
    </w:p>
    <w:p>
      <w:pPr>
        <w:spacing w:line="400" w:lineRule="exact"/>
        <w:ind w:firstLine="480" w:firstLineChars="200"/>
        <w:rPr>
          <w:rFonts w:ascii="宋体" w:hAnsi="宋体"/>
          <w:sz w:val="24"/>
          <w:highlight w:val="none"/>
        </w:rPr>
      </w:pPr>
      <w:r>
        <w:rPr>
          <w:rFonts w:hint="eastAsia" w:ascii="宋体" w:hAnsi="宋体"/>
          <w:sz w:val="24"/>
          <w:highlight w:val="none"/>
        </w:rPr>
        <w:t>本项目不接受联合体投标。</w:t>
      </w:r>
    </w:p>
    <w:p>
      <w:pPr>
        <w:spacing w:line="400" w:lineRule="exact"/>
        <w:rPr>
          <w:rFonts w:ascii="宋体" w:hAnsi="宋体"/>
          <w:b/>
          <w:sz w:val="24"/>
        </w:rPr>
      </w:pPr>
      <w:bookmarkStart w:id="9" w:name="_Toc28359080"/>
      <w:bookmarkStart w:id="10" w:name="_Toc35393622"/>
      <w:bookmarkStart w:id="11" w:name="_Toc28359003"/>
      <w:bookmarkStart w:id="12" w:name="_Toc35393791"/>
      <w:r>
        <w:rPr>
          <w:rFonts w:hint="eastAsia" w:ascii="宋体" w:hAnsi="宋体"/>
          <w:b/>
          <w:sz w:val="24"/>
        </w:rPr>
        <w:t>二、申请人的资格要求：</w:t>
      </w:r>
      <w:bookmarkEnd w:id="9"/>
      <w:bookmarkEnd w:id="10"/>
      <w:bookmarkEnd w:id="11"/>
      <w:bookmarkEnd w:id="12"/>
    </w:p>
    <w:p>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(3)具有履行合同所必须的设备和专业技术能力；</w:t>
      </w:r>
    </w:p>
    <w:p>
      <w:pPr>
        <w:spacing w:line="400" w:lineRule="exact"/>
        <w:ind w:firstLine="480" w:firstLineChars="200"/>
        <w:rPr>
          <w:rFonts w:ascii="宋体" w:hAnsi="宋体"/>
          <w:sz w:val="24"/>
        </w:rPr>
      </w:pPr>
      <w:r>
        <w:rPr>
          <w:rFonts w:hint="eastAsia" w:ascii="宋体" w:hAnsi="宋体"/>
          <w:sz w:val="24"/>
        </w:rPr>
        <w:t>(4)具有依法缴纳税收和社会保障资金的良好记录；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(6)符合法律、行政法规规定的其他条件；</w:t>
      </w:r>
    </w:p>
    <w:p>
      <w:pPr>
        <w:spacing w:line="400" w:lineRule="exact"/>
        <w:ind w:firstLine="480" w:firstLineChars="200"/>
        <w:rPr>
          <w:rFonts w:ascii="宋体" w:hAnsi="宋体"/>
          <w:sz w:val="24"/>
        </w:rPr>
      </w:pPr>
      <w:bookmarkStart w:id="13" w:name="_Toc28359004"/>
      <w:bookmarkStart w:id="14" w:name="_Toc28359081"/>
      <w:r>
        <w:rPr>
          <w:rFonts w:ascii="宋体" w:hAnsi="宋体"/>
          <w:sz w:val="24"/>
        </w:rPr>
        <w:t>2</w:t>
      </w:r>
      <w:r>
        <w:rPr>
          <w:rFonts w:hint="eastAsia" w:ascii="宋体" w:hAnsi="宋体"/>
          <w:sz w:val="24"/>
        </w:rPr>
        <w:t>.落实政府采购政策需满足的资格要求：</w:t>
      </w:r>
      <w:r>
        <w:rPr>
          <w:rFonts w:hint="eastAsia" w:ascii="宋体" w:hAnsi="宋体"/>
          <w:iCs/>
          <w:sz w:val="24"/>
          <w:u w:val="single"/>
        </w:rPr>
        <w:t>无</w:t>
      </w:r>
    </w:p>
    <w:p>
      <w:pPr>
        <w:spacing w:line="400" w:lineRule="exact"/>
        <w:ind w:firstLine="480" w:firstLineChars="200"/>
        <w:rPr>
          <w:rFonts w:ascii="宋体" w:hAnsi="宋体"/>
          <w:sz w:val="24"/>
        </w:rPr>
      </w:pPr>
      <w:r>
        <w:rPr>
          <w:rFonts w:hint="eastAsia" w:ascii="宋体" w:hAnsi="宋体"/>
          <w:sz w:val="24"/>
        </w:rPr>
        <w:t>3.本项目的特定资格要求：无</w:t>
      </w:r>
    </w:p>
    <w:p>
      <w:pPr>
        <w:pStyle w:val="11"/>
        <w:ind w:firstLine="480" w:firstLineChars="200"/>
      </w:pPr>
      <w:r>
        <w:rPr>
          <w:rFonts w:hint="eastAsia" w:ascii="宋体" w:hAnsi="宋体"/>
          <w:sz w:val="24"/>
        </w:rPr>
        <w:t>4.本项目其他资格要求：</w:t>
      </w:r>
      <w:r>
        <w:rPr>
          <w:rFonts w:ascii="宋体" w:hAnsi="宋体" w:cs="宋体"/>
          <w:sz w:val="24"/>
        </w:rPr>
        <w:t>投标人及其法定代表人/主要负责人在参加本项目政府采购活动前三年无行贿犯罪记录；</w:t>
      </w:r>
    </w:p>
    <w:p>
      <w:pPr>
        <w:spacing w:line="400" w:lineRule="exact"/>
        <w:rPr>
          <w:rFonts w:ascii="宋体" w:hAnsi="宋体"/>
          <w:b/>
          <w:sz w:val="24"/>
        </w:rPr>
      </w:pPr>
      <w:bookmarkStart w:id="15" w:name="_Toc35393623"/>
      <w:bookmarkStart w:id="16" w:name="_Toc35393792"/>
      <w:r>
        <w:rPr>
          <w:rFonts w:hint="eastAsia" w:ascii="宋体" w:hAnsi="宋体"/>
          <w:b/>
          <w:sz w:val="24"/>
        </w:rPr>
        <w:t>三、获取招标文件</w:t>
      </w:r>
      <w:bookmarkEnd w:id="13"/>
      <w:bookmarkEnd w:id="14"/>
      <w:bookmarkEnd w:id="15"/>
      <w:bookmarkEnd w:id="16"/>
    </w:p>
    <w:p>
      <w:pPr>
        <w:spacing w:line="400" w:lineRule="exact"/>
        <w:ind w:firstLine="540"/>
        <w:rPr>
          <w:rFonts w:ascii="宋体" w:hAnsi="宋体" w:cs="宋体"/>
          <w:sz w:val="24"/>
        </w:rPr>
      </w:pPr>
      <w:r>
        <w:rPr>
          <w:rFonts w:hint="eastAsia" w:ascii="宋体" w:hAnsi="宋体" w:cs="宋体"/>
          <w:sz w:val="24"/>
        </w:rPr>
        <w:t>时间：</w:t>
      </w:r>
      <w:r>
        <w:rPr>
          <w:rFonts w:hint="eastAsia" w:ascii="宋体" w:hAnsi="宋体" w:cs="宋体"/>
          <w:sz w:val="24"/>
          <w:u w:val="single"/>
        </w:rPr>
        <w:t>2021年8月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至2021</w:t>
      </w:r>
      <w:r>
        <w:rPr>
          <w:rFonts w:hint="eastAsia" w:ascii="宋体" w:hAnsi="宋体" w:cs="宋体"/>
          <w:sz w:val="24"/>
          <w:u w:val="single"/>
        </w:rPr>
        <w:t>年8月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rPr>
        <w:t>，每天上午</w:t>
      </w:r>
      <w:r>
        <w:rPr>
          <w:rFonts w:hint="eastAsia" w:ascii="宋体" w:hAnsi="宋体" w:cs="宋体"/>
          <w:sz w:val="24"/>
          <w:u w:val="single"/>
        </w:rPr>
        <w:t>9:00</w:t>
      </w:r>
      <w:r>
        <w:rPr>
          <w:rFonts w:hint="eastAsia" w:ascii="宋体" w:hAnsi="宋体" w:cs="宋体"/>
          <w:sz w:val="24"/>
        </w:rPr>
        <w:t>至</w:t>
      </w:r>
      <w:r>
        <w:rPr>
          <w:rFonts w:hint="eastAsia" w:ascii="宋体" w:hAnsi="宋体" w:cs="宋体"/>
          <w:sz w:val="24"/>
          <w:u w:val="single"/>
        </w:rPr>
        <w:t>12:00</w:t>
      </w:r>
      <w:r>
        <w:rPr>
          <w:rFonts w:hint="eastAsia" w:ascii="宋体" w:hAnsi="宋体" w:cs="宋体"/>
          <w:sz w:val="24"/>
        </w:rPr>
        <w:t>，下午</w:t>
      </w:r>
      <w:r>
        <w:rPr>
          <w:rFonts w:hint="eastAsia" w:ascii="宋体" w:hAnsi="宋体" w:cs="宋体"/>
          <w:sz w:val="24"/>
          <w:u w:val="single"/>
        </w:rPr>
        <w:t>14:00</w:t>
      </w:r>
      <w:r>
        <w:rPr>
          <w:rFonts w:hint="eastAsia" w:ascii="宋体" w:hAnsi="宋体" w:cs="宋体"/>
          <w:sz w:val="24"/>
        </w:rPr>
        <w:t>至</w:t>
      </w:r>
      <w:r>
        <w:rPr>
          <w:rFonts w:hint="eastAsia" w:ascii="宋体" w:hAnsi="宋体" w:cs="宋体"/>
          <w:sz w:val="24"/>
          <w:u w:val="single"/>
        </w:rPr>
        <w:t>17:00</w:t>
      </w:r>
      <w:r>
        <w:rPr>
          <w:rFonts w:hint="eastAsia" w:ascii="宋体" w:hAnsi="宋体" w:cs="宋体"/>
          <w:sz w:val="24"/>
        </w:rPr>
        <w:t>（北京时间，</w:t>
      </w:r>
      <w:r>
        <w:rPr>
          <w:rFonts w:ascii="宋体" w:hAnsi="宋体" w:cs="宋体"/>
          <w:sz w:val="24"/>
        </w:rPr>
        <w:t>法定节假日</w:t>
      </w:r>
      <w:r>
        <w:rPr>
          <w:rFonts w:hint="eastAsia" w:ascii="宋体" w:hAnsi="宋体" w:cs="宋体"/>
          <w:sz w:val="24"/>
        </w:rPr>
        <w:t>除外）</w:t>
      </w:r>
    </w:p>
    <w:p>
      <w:pPr>
        <w:spacing w:after="50" w:line="420" w:lineRule="exact"/>
        <w:ind w:firstLine="480" w:firstLineChars="200"/>
        <w:rPr>
          <w:rFonts w:ascii="宋体" w:hAnsi="宋体" w:cs="宋体"/>
          <w:sz w:val="24"/>
        </w:rPr>
      </w:pPr>
      <w:r>
        <w:rPr>
          <w:rFonts w:hint="eastAsia" w:ascii="宋体" w:hAnsi="宋体" w:cs="宋体"/>
          <w:sz w:val="24"/>
        </w:rPr>
        <w:t>地点：</w:t>
      </w:r>
      <w:r>
        <w:rPr>
          <w:rFonts w:hint="eastAsia" w:ascii="宋体" w:hAnsi="宋体" w:cs="宋体"/>
          <w:sz w:val="24"/>
          <w:u w:val="single"/>
        </w:rPr>
        <w:t>成都一问工程技术咨询有限公司官网（http://www.cdywzx.com/）</w:t>
      </w:r>
    </w:p>
    <w:p>
      <w:pPr>
        <w:spacing w:after="50" w:line="420" w:lineRule="exact"/>
        <w:ind w:firstLine="480" w:firstLineChars="200"/>
        <w:rPr>
          <w:rFonts w:ascii="宋体" w:hAnsi="宋体" w:cs="宋体"/>
          <w:sz w:val="24"/>
        </w:rPr>
      </w:pPr>
      <w:r>
        <w:rPr>
          <w:rFonts w:hint="eastAsia" w:ascii="宋体" w:hAnsi="宋体" w:cs="宋体"/>
          <w:sz w:val="24"/>
        </w:rPr>
        <w:t>方式：</w:t>
      </w:r>
      <w:r>
        <w:rPr>
          <w:rFonts w:hint="eastAsia" w:ascii="宋体" w:hAnsi="宋体" w:cs="宋体"/>
          <w:sz w:val="24"/>
          <w:u w:val="single"/>
        </w:rPr>
        <w:t>登陆成都一问工程技术咨询有限公司官网（http://www.cdywzx.com/）在线</w:t>
      </w:r>
      <w:r>
        <w:rPr>
          <w:rFonts w:hint="eastAsia" w:ascii="宋体" w:hAnsi="宋体" w:cs="宋体"/>
          <w:sz w:val="24"/>
          <w:u w:val="single"/>
          <w:lang w:val="en-US" w:eastAsia="zh-CN"/>
        </w:rPr>
        <w:t>获取</w:t>
      </w:r>
      <w:r>
        <w:rPr>
          <w:rFonts w:hint="eastAsia" w:ascii="宋体" w:hAnsi="宋体" w:cs="宋体"/>
          <w:sz w:val="24"/>
          <w:u w:val="single"/>
        </w:rPr>
        <w:t>，具体流程详见主页的《供应商使用手册》，供应商服务系统注册审核咨询电话：028-83375882转801。</w:t>
      </w:r>
    </w:p>
    <w:p>
      <w:pPr>
        <w:spacing w:line="400" w:lineRule="exact"/>
        <w:ind w:firstLine="540"/>
        <w:rPr>
          <w:rFonts w:ascii="宋体" w:hAnsi="宋体" w:cs="宋体"/>
          <w:sz w:val="24"/>
        </w:rPr>
      </w:pPr>
      <w:r>
        <w:rPr>
          <w:rFonts w:hint="eastAsia" w:ascii="宋体" w:hAnsi="宋体" w:cs="宋体"/>
          <w:sz w:val="24"/>
        </w:rPr>
        <w:t>售价：人民币0元/份（招标文件售后不退，投标资格不能转让）</w:t>
      </w:r>
    </w:p>
    <w:p>
      <w:pPr>
        <w:spacing w:line="400" w:lineRule="exact"/>
        <w:rPr>
          <w:rFonts w:ascii="宋体" w:hAnsi="宋体"/>
          <w:b/>
          <w:sz w:val="24"/>
        </w:rPr>
      </w:pPr>
      <w:bookmarkStart w:id="17" w:name="_Toc28359005"/>
      <w:bookmarkStart w:id="18" w:name="_Toc28359082"/>
      <w:bookmarkStart w:id="19" w:name="_Toc35393624"/>
      <w:bookmarkStart w:id="20" w:name="_Toc35393793"/>
      <w:r>
        <w:rPr>
          <w:rFonts w:hint="eastAsia" w:ascii="宋体" w:hAnsi="宋体"/>
          <w:b/>
          <w:sz w:val="24"/>
        </w:rPr>
        <w:t>四、提交投标文件</w:t>
      </w:r>
      <w:bookmarkEnd w:id="17"/>
      <w:bookmarkEnd w:id="18"/>
      <w:r>
        <w:rPr>
          <w:rFonts w:hint="eastAsia" w:ascii="宋体" w:hAnsi="宋体"/>
          <w:b/>
          <w:sz w:val="24"/>
        </w:rPr>
        <w:t>截止时间、开标时间和地点</w:t>
      </w:r>
      <w:bookmarkEnd w:id="19"/>
      <w:bookmarkEnd w:id="20"/>
    </w:p>
    <w:p>
      <w:pPr>
        <w:spacing w:line="400" w:lineRule="exact"/>
        <w:ind w:firstLine="600" w:firstLineChars="250"/>
        <w:rPr>
          <w:rFonts w:ascii="宋体" w:hAnsi="宋体"/>
          <w:bCs/>
          <w:sz w:val="24"/>
          <w:u w:val="single"/>
        </w:rPr>
      </w:pPr>
      <w:r>
        <w:rPr>
          <w:rFonts w:hint="eastAsia" w:ascii="宋体" w:hAnsi="宋体"/>
          <w:sz w:val="24"/>
          <w:u w:val="single"/>
        </w:rPr>
        <w:t>2021</w:t>
      </w:r>
      <w:r>
        <w:rPr>
          <w:rFonts w:ascii="宋体" w:hAnsi="宋体"/>
          <w:bCs/>
          <w:sz w:val="24"/>
          <w:u w:val="single"/>
        </w:rPr>
        <w:t>年</w:t>
      </w:r>
      <w:r>
        <w:rPr>
          <w:rFonts w:hint="eastAsia" w:ascii="宋体" w:hAnsi="宋体"/>
          <w:bCs/>
          <w:sz w:val="24"/>
          <w:u w:val="single"/>
        </w:rPr>
        <w:t>9</w:t>
      </w:r>
      <w:r>
        <w:rPr>
          <w:rFonts w:ascii="宋体" w:hAnsi="宋体"/>
          <w:bCs/>
          <w:sz w:val="24"/>
          <w:u w:val="single"/>
        </w:rPr>
        <w:t>月</w:t>
      </w:r>
      <w:r>
        <w:rPr>
          <w:rFonts w:hint="eastAsia" w:ascii="宋体" w:hAnsi="宋体"/>
          <w:bCs/>
          <w:sz w:val="24"/>
          <w:u w:val="single"/>
          <w:lang w:val="en-US" w:eastAsia="zh-CN"/>
        </w:rPr>
        <w:t>14</w:t>
      </w:r>
      <w:r>
        <w:rPr>
          <w:rFonts w:ascii="宋体" w:hAnsi="宋体"/>
          <w:bCs/>
          <w:sz w:val="24"/>
          <w:u w:val="single"/>
        </w:rPr>
        <w:t>日</w:t>
      </w:r>
      <w:r>
        <w:rPr>
          <w:rFonts w:hint="eastAsia" w:ascii="宋体" w:hAnsi="宋体"/>
          <w:bCs/>
          <w:sz w:val="24"/>
          <w:u w:val="single"/>
        </w:rPr>
        <w:t>1</w:t>
      </w:r>
      <w:r>
        <w:rPr>
          <w:rFonts w:hint="eastAsia" w:ascii="宋体" w:hAnsi="宋体"/>
          <w:bCs/>
          <w:sz w:val="24"/>
          <w:u w:val="single"/>
          <w:lang w:val="en-US" w:eastAsia="zh-CN"/>
        </w:rPr>
        <w:t>1</w:t>
      </w:r>
      <w:r>
        <w:rPr>
          <w:rFonts w:ascii="宋体" w:hAnsi="宋体"/>
          <w:bCs/>
          <w:sz w:val="24"/>
          <w:u w:val="single"/>
        </w:rPr>
        <w:t>点</w:t>
      </w:r>
      <w:r>
        <w:rPr>
          <w:rFonts w:hint="eastAsia" w:ascii="宋体" w:hAnsi="宋体"/>
          <w:bCs/>
          <w:sz w:val="24"/>
          <w:u w:val="single"/>
          <w:lang w:val="en-US" w:eastAsia="zh-CN"/>
        </w:rPr>
        <w:t>0</w:t>
      </w:r>
      <w:r>
        <w:rPr>
          <w:rFonts w:hint="eastAsia" w:ascii="宋体" w:hAnsi="宋体"/>
          <w:bCs/>
          <w:sz w:val="24"/>
          <w:u w:val="single"/>
        </w:rPr>
        <w:t>0</w:t>
      </w:r>
      <w:r>
        <w:rPr>
          <w:rFonts w:ascii="宋体" w:hAnsi="宋体"/>
          <w:bCs/>
          <w:sz w:val="24"/>
          <w:u w:val="single"/>
        </w:rPr>
        <w:t>分</w:t>
      </w:r>
      <w:r>
        <w:rPr>
          <w:rFonts w:hint="eastAsia" w:ascii="宋体" w:hAnsi="宋体"/>
          <w:bCs/>
          <w:sz w:val="24"/>
        </w:rPr>
        <w:t>（北京时间）</w:t>
      </w:r>
    </w:p>
    <w:p>
      <w:pPr>
        <w:spacing w:line="400" w:lineRule="exact"/>
        <w:ind w:firstLine="480" w:firstLineChars="200"/>
        <w:rPr>
          <w:rFonts w:ascii="宋体" w:hAnsi="宋体"/>
          <w:bCs/>
          <w:sz w:val="24"/>
          <w:u w:val="single"/>
        </w:rPr>
      </w:pPr>
      <w:r>
        <w:rPr>
          <w:rFonts w:hint="eastAsia" w:ascii="宋体" w:hAnsi="宋体"/>
          <w:sz w:val="24"/>
        </w:rPr>
        <w:t>地点：</w:t>
      </w:r>
      <w:r>
        <w:rPr>
          <w:rFonts w:hint="eastAsia" w:ascii="宋体" w:hAnsi="宋体" w:cs="宋体"/>
          <w:sz w:val="24"/>
          <w:u w:val="single"/>
        </w:rPr>
        <w:t>成都市金牛区一品天下大街999号金牛市民中心B座2102号</w:t>
      </w:r>
    </w:p>
    <w:p>
      <w:pPr>
        <w:spacing w:line="400" w:lineRule="exact"/>
        <w:rPr>
          <w:rFonts w:ascii="宋体" w:hAnsi="宋体"/>
          <w:b/>
          <w:sz w:val="24"/>
        </w:rPr>
      </w:pPr>
      <w:bookmarkStart w:id="21" w:name="_Toc28359007"/>
      <w:bookmarkStart w:id="22" w:name="_Toc28359084"/>
      <w:bookmarkStart w:id="23" w:name="_Toc35393625"/>
      <w:bookmarkStart w:id="24" w:name="_Toc35393794"/>
      <w:r>
        <w:rPr>
          <w:rFonts w:hint="eastAsia" w:ascii="宋体" w:hAnsi="宋体"/>
          <w:b/>
          <w:sz w:val="24"/>
        </w:rPr>
        <w:t>五、公告期限</w:t>
      </w:r>
      <w:bookmarkEnd w:id="21"/>
      <w:bookmarkEnd w:id="22"/>
      <w:bookmarkEnd w:id="23"/>
      <w:bookmarkEnd w:id="24"/>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400" w:lineRule="exact"/>
        <w:rPr>
          <w:rFonts w:ascii="宋体" w:hAnsi="宋体"/>
          <w:b/>
          <w:sz w:val="24"/>
        </w:rPr>
      </w:pPr>
      <w:bookmarkStart w:id="25" w:name="_Toc35393626"/>
      <w:bookmarkStart w:id="26" w:name="_Toc35393795"/>
      <w:r>
        <w:rPr>
          <w:rFonts w:hint="eastAsia" w:ascii="宋体" w:hAnsi="宋体"/>
          <w:b/>
          <w:sz w:val="24"/>
        </w:rPr>
        <w:t>六、其他补充事宜</w:t>
      </w:r>
      <w:bookmarkEnd w:id="25"/>
      <w:bookmarkEnd w:id="26"/>
    </w:p>
    <w:p>
      <w:pPr>
        <w:pStyle w:val="56"/>
        <w:spacing w:line="400" w:lineRule="exact"/>
        <w:ind w:left="840"/>
      </w:pPr>
      <w:r>
        <w:rPr>
          <w:rFonts w:hint="eastAsia"/>
          <w:u w:val="single"/>
        </w:rPr>
        <w:t>招标公告在四川政府采购网上以公告形式发布</w:t>
      </w:r>
    </w:p>
    <w:p>
      <w:pPr>
        <w:spacing w:line="400" w:lineRule="exact"/>
        <w:rPr>
          <w:rFonts w:ascii="宋体" w:hAnsi="宋体"/>
          <w:b/>
          <w:sz w:val="24"/>
        </w:rPr>
      </w:pPr>
      <w:bookmarkStart w:id="27" w:name="_Toc35393627"/>
      <w:bookmarkStart w:id="28" w:name="_Toc35393796"/>
      <w:bookmarkStart w:id="29" w:name="_Toc28359085"/>
      <w:bookmarkStart w:id="30" w:name="_Toc28359008"/>
      <w:r>
        <w:rPr>
          <w:rFonts w:hint="eastAsia" w:ascii="宋体" w:hAnsi="宋体"/>
          <w:b/>
          <w:sz w:val="24"/>
        </w:rPr>
        <w:t>七、对本次招标提出询问，请按</w:t>
      </w:r>
      <w:r>
        <w:rPr>
          <w:rFonts w:ascii="宋体" w:hAnsi="宋体"/>
          <w:b/>
          <w:sz w:val="24"/>
        </w:rPr>
        <w:t>以下方式</w:t>
      </w:r>
      <w:r>
        <w:rPr>
          <w:rFonts w:hint="eastAsia" w:ascii="宋体" w:hAnsi="宋体"/>
          <w:b/>
          <w:sz w:val="24"/>
        </w:rPr>
        <w:t>联系。</w:t>
      </w:r>
      <w:bookmarkEnd w:id="27"/>
      <w:bookmarkEnd w:id="28"/>
      <w:bookmarkEnd w:id="29"/>
      <w:bookmarkEnd w:id="30"/>
    </w:p>
    <w:p>
      <w:pPr>
        <w:pStyle w:val="16"/>
        <w:widowControl/>
        <w:spacing w:line="400" w:lineRule="exact"/>
        <w:jc w:val="left"/>
        <w:rPr>
          <w:rFonts w:ascii="宋体" w:hAnsi="宋体"/>
          <w:sz w:val="24"/>
        </w:rPr>
      </w:pPr>
      <w:r>
        <w:rPr>
          <w:rFonts w:hint="eastAsia" w:ascii="宋体" w:hAnsi="宋体" w:cs="宋体"/>
          <w:sz w:val="24"/>
        </w:rPr>
        <w:t>1</w:t>
      </w:r>
      <w:r>
        <w:rPr>
          <w:rFonts w:ascii="宋体" w:hAnsi="宋体" w:cs="宋体"/>
          <w:sz w:val="24"/>
        </w:rPr>
        <w:t>.采购人信息</w:t>
      </w:r>
    </w:p>
    <w:p>
      <w:pPr>
        <w:pStyle w:val="16"/>
        <w:spacing w:line="400" w:lineRule="exact"/>
        <w:jc w:val="left"/>
        <w:rPr>
          <w:rFonts w:ascii="宋体" w:hAnsi="宋体"/>
          <w:sz w:val="24"/>
        </w:rPr>
      </w:pPr>
      <w:r>
        <w:rPr>
          <w:rFonts w:ascii="宋体" w:hAnsi="宋体"/>
          <w:sz w:val="24"/>
        </w:rPr>
        <w:t>名称：</w:t>
      </w:r>
      <w:r>
        <w:rPr>
          <w:rFonts w:ascii="宋体" w:hAnsi="宋体"/>
          <w:sz w:val="24"/>
          <w:u w:val="single"/>
        </w:rPr>
        <w:t xml:space="preserve">成都市绿化工程队 </w:t>
      </w:r>
    </w:p>
    <w:p>
      <w:pPr>
        <w:pStyle w:val="16"/>
        <w:spacing w:line="400" w:lineRule="exact"/>
        <w:jc w:val="left"/>
        <w:rPr>
          <w:rFonts w:ascii="宋体" w:hAnsi="宋体"/>
          <w:sz w:val="24"/>
        </w:rPr>
      </w:pPr>
      <w:r>
        <w:rPr>
          <w:rFonts w:ascii="宋体" w:hAnsi="宋体"/>
          <w:sz w:val="24"/>
        </w:rPr>
        <w:t>地址：</w:t>
      </w:r>
      <w:r>
        <w:rPr>
          <w:rFonts w:ascii="宋体" w:hAnsi="宋体"/>
          <w:sz w:val="24"/>
          <w:u w:val="single"/>
        </w:rPr>
        <w:t>成都市金牛区解颐路6号</w:t>
      </w:r>
    </w:p>
    <w:p>
      <w:pPr>
        <w:pStyle w:val="16"/>
        <w:spacing w:line="400" w:lineRule="exact"/>
        <w:jc w:val="left"/>
        <w:rPr>
          <w:rFonts w:ascii="宋体" w:hAnsi="宋体"/>
          <w:sz w:val="24"/>
          <w:u w:val="single"/>
        </w:rPr>
      </w:pPr>
      <w:r>
        <w:rPr>
          <w:rFonts w:ascii="宋体" w:hAnsi="宋体"/>
          <w:sz w:val="24"/>
        </w:rPr>
        <w:t>联系方式：</w:t>
      </w:r>
      <w:r>
        <w:rPr>
          <w:rFonts w:hint="eastAsia" w:ascii="宋体" w:hAnsi="宋体"/>
          <w:sz w:val="24"/>
          <w:u w:val="single"/>
        </w:rPr>
        <w:t>028-84478874 高</w:t>
      </w:r>
      <w:r>
        <w:rPr>
          <w:rFonts w:ascii="宋体" w:hAnsi="宋体"/>
          <w:sz w:val="24"/>
          <w:u w:val="single"/>
        </w:rPr>
        <w:t>老师</w:t>
      </w:r>
    </w:p>
    <w:p>
      <w:pPr>
        <w:pStyle w:val="2"/>
        <w:rPr>
          <w:rFonts w:hAnsi="宋体"/>
        </w:rPr>
      </w:pPr>
      <w:bookmarkStart w:id="31" w:name="_Toc28359009"/>
      <w:bookmarkEnd w:id="31"/>
      <w:bookmarkStart w:id="32" w:name="_Toc28359086"/>
      <w:bookmarkEnd w:id="32"/>
    </w:p>
    <w:p>
      <w:pPr>
        <w:pStyle w:val="16"/>
        <w:spacing w:line="400" w:lineRule="exact"/>
        <w:jc w:val="left"/>
        <w:rPr>
          <w:rFonts w:ascii="宋体" w:hAnsi="宋体"/>
          <w:sz w:val="24"/>
        </w:rPr>
      </w:pPr>
      <w:r>
        <w:rPr>
          <w:rFonts w:ascii="宋体" w:hAnsi="宋体" w:cs="宋体"/>
          <w:sz w:val="24"/>
        </w:rPr>
        <w:t>2.采购代理机构信息</w:t>
      </w:r>
    </w:p>
    <w:p>
      <w:pPr>
        <w:pStyle w:val="16"/>
        <w:spacing w:line="400" w:lineRule="exact"/>
        <w:rPr>
          <w:rFonts w:ascii="宋体" w:hAnsi="宋体"/>
          <w:sz w:val="24"/>
        </w:rPr>
      </w:pPr>
      <w:r>
        <w:rPr>
          <w:rFonts w:ascii="宋体" w:hAnsi="宋体"/>
          <w:sz w:val="24"/>
        </w:rPr>
        <w:t>名    称：</w:t>
      </w:r>
      <w:r>
        <w:rPr>
          <w:rFonts w:ascii="宋体" w:hAnsi="宋体"/>
          <w:sz w:val="24"/>
          <w:u w:val="single"/>
        </w:rPr>
        <w:t>成都一问工程技术咨询有限公司</w:t>
      </w:r>
    </w:p>
    <w:p>
      <w:pPr>
        <w:pStyle w:val="16"/>
        <w:spacing w:line="400" w:lineRule="exact"/>
        <w:rPr>
          <w:rFonts w:ascii="宋体" w:hAnsi="宋体"/>
          <w:sz w:val="24"/>
        </w:rPr>
      </w:pPr>
      <w:r>
        <w:rPr>
          <w:rFonts w:ascii="宋体" w:hAnsi="宋体"/>
          <w:sz w:val="24"/>
        </w:rPr>
        <w:t>地    址：</w:t>
      </w:r>
      <w:r>
        <w:rPr>
          <w:rFonts w:ascii="宋体" w:hAnsi="宋体"/>
          <w:sz w:val="24"/>
          <w:u w:val="single"/>
        </w:rPr>
        <w:t>成都市金牛区一品天下大街999号金牛市民中心B座2102号</w:t>
      </w:r>
    </w:p>
    <w:p>
      <w:pPr>
        <w:pStyle w:val="16"/>
        <w:spacing w:line="400" w:lineRule="exact"/>
        <w:rPr>
          <w:rFonts w:ascii="宋体" w:hAnsi="宋体"/>
          <w:sz w:val="24"/>
          <w:u w:val="single"/>
        </w:rPr>
      </w:pPr>
      <w:r>
        <w:rPr>
          <w:rFonts w:ascii="宋体" w:hAnsi="宋体"/>
          <w:sz w:val="24"/>
        </w:rPr>
        <w:t>联系方式：</w:t>
      </w:r>
      <w:bookmarkStart w:id="33" w:name="_Toc28359010"/>
      <w:bookmarkStart w:id="34" w:name="_Toc28359087"/>
      <w:r>
        <w:rPr>
          <w:rFonts w:ascii="宋体" w:hAnsi="宋体"/>
          <w:sz w:val="24"/>
          <w:u w:val="single"/>
        </w:rPr>
        <w:t>028-83375882  刘先生</w:t>
      </w:r>
    </w:p>
    <w:p>
      <w:pPr>
        <w:pStyle w:val="2"/>
        <w:rPr>
          <w:rFonts w:hAnsi="宋体"/>
        </w:rPr>
      </w:pPr>
    </w:p>
    <w:p>
      <w:pPr>
        <w:pStyle w:val="16"/>
        <w:spacing w:line="400" w:lineRule="exact"/>
        <w:rPr>
          <w:rFonts w:ascii="宋体" w:hAnsi="宋体"/>
          <w:sz w:val="24"/>
          <w:u w:val="single"/>
        </w:rPr>
      </w:pPr>
      <w:r>
        <w:rPr>
          <w:rFonts w:ascii="宋体" w:hAnsi="宋体" w:cs="宋体"/>
          <w:sz w:val="24"/>
        </w:rPr>
        <w:t>3.项目联系方式</w:t>
      </w:r>
      <w:bookmarkEnd w:id="33"/>
      <w:bookmarkEnd w:id="34"/>
    </w:p>
    <w:p>
      <w:pPr>
        <w:pStyle w:val="15"/>
        <w:spacing w:line="400" w:lineRule="exact"/>
        <w:rPr>
          <w:sz w:val="24"/>
        </w:rPr>
      </w:pPr>
      <w:r>
        <w:rPr>
          <w:sz w:val="24"/>
        </w:rPr>
        <w:t>项目联系人：</w:t>
      </w:r>
      <w:r>
        <w:rPr>
          <w:rFonts w:hAnsi="宋体"/>
          <w:sz w:val="24"/>
          <w:u w:val="single"/>
        </w:rPr>
        <w:t>刘</w:t>
      </w:r>
      <w:r>
        <w:rPr>
          <w:sz w:val="24"/>
          <w:u w:val="single"/>
        </w:rPr>
        <w:t>先生</w:t>
      </w:r>
    </w:p>
    <w:p>
      <w:pPr>
        <w:pStyle w:val="16"/>
        <w:spacing w:line="400" w:lineRule="exact"/>
        <w:rPr>
          <w:rFonts w:ascii="宋体" w:hAnsi="宋体"/>
          <w:sz w:val="24"/>
        </w:rPr>
      </w:pPr>
      <w:r>
        <w:rPr>
          <w:rFonts w:ascii="宋体" w:hAnsi="宋体"/>
          <w:sz w:val="24"/>
        </w:rPr>
        <w:t>电      话：</w:t>
      </w:r>
      <w:r>
        <w:rPr>
          <w:rFonts w:ascii="宋体" w:hAnsi="宋体"/>
          <w:sz w:val="24"/>
          <w:u w:val="single"/>
        </w:rPr>
        <w:t>028-83375882</w:t>
      </w:r>
    </w:p>
    <w:p>
      <w:pPr>
        <w:tabs>
          <w:tab w:val="left" w:pos="7665"/>
        </w:tabs>
        <w:spacing w:line="400" w:lineRule="exact"/>
        <w:ind w:left="210" w:leftChars="100" w:firstLine="360" w:firstLineChars="150"/>
        <w:rPr>
          <w:rFonts w:ascii="宋体" w:hAnsi="宋体"/>
          <w:bCs/>
          <w:sz w:val="24"/>
          <w:u w:val="single"/>
        </w:rPr>
      </w:pPr>
    </w:p>
    <w:p>
      <w:pPr>
        <w:pStyle w:val="2"/>
      </w:pPr>
      <w:bookmarkStart w:id="35" w:name="_Toc12497"/>
      <w:bookmarkStart w:id="36" w:name="_Toc213396945"/>
      <w:bookmarkStart w:id="37" w:name="_Toc213397009"/>
      <w:bookmarkStart w:id="38" w:name="_Toc213396759"/>
      <w:bookmarkStart w:id="39" w:name="_Toc213496267"/>
      <w:bookmarkStart w:id="40" w:name="_Toc217446031"/>
    </w:p>
    <w:p>
      <w:pPr>
        <w:pStyle w:val="26"/>
        <w:spacing w:after="50" w:afterAutospacing="0" w:line="420" w:lineRule="exact"/>
        <w:ind w:right="120" w:firstLine="5640" w:firstLineChars="2350"/>
        <w:jc w:val="right"/>
        <w:rPr>
          <w:rFonts w:hAnsi="宋体"/>
          <w:sz w:val="24"/>
          <w:szCs w:val="24"/>
        </w:rPr>
        <w:sectPr>
          <w:footerReference r:id="rId8" w:type="default"/>
          <w:pgSz w:w="11907" w:h="16840"/>
          <w:pgMar w:top="1440" w:right="1474" w:bottom="1440" w:left="1474" w:header="851" w:footer="992" w:gutter="0"/>
          <w:pgNumType w:start="1"/>
          <w:cols w:space="720" w:num="1"/>
          <w:docGrid w:linePitch="312" w:charSpace="0"/>
        </w:sectPr>
      </w:pPr>
    </w:p>
    <w:p>
      <w:pPr>
        <w:pStyle w:val="3"/>
        <w:spacing w:before="0" w:after="0" w:line="360" w:lineRule="auto"/>
        <w:jc w:val="center"/>
        <w:rPr>
          <w:rFonts w:ascii="宋体" w:hAnsi="宋体"/>
          <w:sz w:val="36"/>
          <w:szCs w:val="36"/>
        </w:rPr>
      </w:pPr>
      <w:bookmarkStart w:id="41" w:name="_Toc56539535"/>
      <w:r>
        <w:rPr>
          <w:rFonts w:hint="eastAsia" w:ascii="宋体" w:hAnsi="宋体"/>
          <w:sz w:val="36"/>
          <w:szCs w:val="36"/>
        </w:rPr>
        <w:t>第二章  投标人须知</w:t>
      </w:r>
      <w:bookmarkEnd w:id="35"/>
      <w:bookmarkEnd w:id="41"/>
    </w:p>
    <w:p>
      <w:pPr>
        <w:pStyle w:val="4"/>
        <w:spacing w:line="360" w:lineRule="auto"/>
        <w:jc w:val="center"/>
        <w:rPr>
          <w:rFonts w:ascii="宋体" w:hAnsi="宋体" w:eastAsia="宋体"/>
        </w:rPr>
      </w:pPr>
      <w:r>
        <w:rPr>
          <w:rFonts w:hint="eastAsia" w:ascii="宋体" w:hAnsi="宋体" w:eastAsia="宋体"/>
        </w:rPr>
        <w:t>一、投标人须知附表</w:t>
      </w:r>
    </w:p>
    <w:bookmarkEnd w:id="36"/>
    <w:bookmarkEnd w:id="37"/>
    <w:bookmarkEnd w:id="38"/>
    <w:bookmarkEnd w:id="39"/>
    <w:bookmarkEnd w:id="40"/>
    <w:tbl>
      <w:tblPr>
        <w:tblStyle w:val="28"/>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7"/>
              <w:spacing w:line="360" w:lineRule="auto"/>
              <w:ind w:left="9"/>
              <w:jc w:val="center"/>
              <w:rPr>
                <w:rFonts w:cs="Times New Roman"/>
                <w:b/>
                <w:kern w:val="2"/>
                <w:sz w:val="21"/>
                <w:szCs w:val="21"/>
              </w:rPr>
            </w:pPr>
            <w:r>
              <w:rPr>
                <w:rFonts w:hint="eastAsia" w:cs="Times New Roman"/>
                <w:b/>
                <w:kern w:val="2"/>
                <w:sz w:val="21"/>
                <w:szCs w:val="21"/>
              </w:rPr>
              <w:t>序号</w:t>
            </w:r>
          </w:p>
        </w:tc>
        <w:tc>
          <w:tcPr>
            <w:tcW w:w="1985" w:type="dxa"/>
            <w:vAlign w:val="center"/>
          </w:tcPr>
          <w:p>
            <w:pPr>
              <w:pStyle w:val="57"/>
              <w:spacing w:line="360" w:lineRule="auto"/>
              <w:ind w:left="38"/>
              <w:jc w:val="center"/>
              <w:rPr>
                <w:rFonts w:cs="Times New Roman"/>
                <w:b/>
                <w:kern w:val="2"/>
                <w:sz w:val="21"/>
                <w:szCs w:val="21"/>
              </w:rPr>
            </w:pPr>
            <w:r>
              <w:rPr>
                <w:rFonts w:hint="eastAsia" w:cs="Times New Roman"/>
                <w:b/>
                <w:kern w:val="2"/>
                <w:sz w:val="21"/>
                <w:szCs w:val="21"/>
              </w:rPr>
              <w:t>条款名称</w:t>
            </w:r>
          </w:p>
        </w:tc>
        <w:tc>
          <w:tcPr>
            <w:tcW w:w="6678" w:type="dxa"/>
            <w:vAlign w:val="center"/>
          </w:tcPr>
          <w:p>
            <w:pPr>
              <w:pStyle w:val="57"/>
              <w:spacing w:after="120" w:afterLines="50" w:line="288" w:lineRule="auto"/>
              <w:ind w:left="105" w:leftChars="50" w:right="105" w:rightChars="50"/>
              <w:jc w:val="center"/>
              <w:rPr>
                <w:rFonts w:cs="Times New Roman"/>
                <w:b/>
                <w:kern w:val="2"/>
                <w:sz w:val="21"/>
                <w:szCs w:val="21"/>
              </w:rPr>
            </w:pPr>
            <w:r>
              <w:rPr>
                <w:rFonts w:hint="eastAsia" w:cs="Times New Roman"/>
                <w:b/>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1</w:t>
            </w:r>
          </w:p>
        </w:tc>
        <w:tc>
          <w:tcPr>
            <w:tcW w:w="1985" w:type="dxa"/>
            <w:vAlign w:val="center"/>
          </w:tcPr>
          <w:p>
            <w:pPr>
              <w:pStyle w:val="57"/>
              <w:spacing w:line="360" w:lineRule="auto"/>
              <w:ind w:left="38"/>
              <w:jc w:val="center"/>
              <w:rPr>
                <w:rFonts w:cs="Times New Roman"/>
                <w:kern w:val="2"/>
                <w:sz w:val="21"/>
                <w:szCs w:val="21"/>
              </w:rPr>
            </w:pPr>
            <w:r>
              <w:rPr>
                <w:rFonts w:hint="eastAsia" w:cs="Times New Roman"/>
                <w:kern w:val="2"/>
                <w:sz w:val="21"/>
                <w:szCs w:val="21"/>
              </w:rPr>
              <w:t>采购人</w:t>
            </w:r>
          </w:p>
        </w:tc>
        <w:tc>
          <w:tcPr>
            <w:tcW w:w="6678" w:type="dxa"/>
            <w:vAlign w:val="center"/>
          </w:tcPr>
          <w:p>
            <w:pPr>
              <w:pStyle w:val="57"/>
              <w:spacing w:after="120" w:afterLines="50" w:line="288" w:lineRule="auto"/>
              <w:ind w:left="105" w:leftChars="50" w:right="105" w:rightChars="50"/>
              <w:rPr>
                <w:rFonts w:cs="Times New Roman"/>
                <w:kern w:val="2"/>
                <w:sz w:val="21"/>
                <w:szCs w:val="21"/>
              </w:rPr>
            </w:pPr>
            <w:r>
              <w:rPr>
                <w:rFonts w:hint="eastAsia" w:cs="Times New Roman"/>
                <w:kern w:val="2"/>
                <w:sz w:val="21"/>
                <w:szCs w:val="21"/>
              </w:rPr>
              <w:t xml:space="preserve">成都市绿化工程队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2</w:t>
            </w:r>
          </w:p>
        </w:tc>
        <w:tc>
          <w:tcPr>
            <w:tcW w:w="1985" w:type="dxa"/>
            <w:vAlign w:val="center"/>
          </w:tcPr>
          <w:p>
            <w:pPr>
              <w:pStyle w:val="57"/>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采购代理机构</w:t>
            </w:r>
          </w:p>
          <w:p>
            <w:pPr>
              <w:pStyle w:val="57"/>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及联系方式</w:t>
            </w:r>
          </w:p>
        </w:tc>
        <w:tc>
          <w:tcPr>
            <w:tcW w:w="6678" w:type="dxa"/>
            <w:vAlign w:val="center"/>
          </w:tcPr>
          <w:p>
            <w:pPr>
              <w:pStyle w:val="57"/>
              <w:spacing w:after="120" w:line="288" w:lineRule="auto"/>
              <w:ind w:left="105" w:right="105"/>
              <w:rPr>
                <w:rFonts w:cs="Times New Roman"/>
                <w:kern w:val="2"/>
                <w:sz w:val="21"/>
                <w:szCs w:val="21"/>
              </w:rPr>
            </w:pPr>
            <w:r>
              <w:rPr>
                <w:rFonts w:cs="Times New Roman"/>
                <w:kern w:val="2"/>
                <w:sz w:val="21"/>
                <w:szCs w:val="21"/>
              </w:rPr>
              <w:t>名称：成都一问工程技术咨询有限公司</w:t>
            </w:r>
          </w:p>
          <w:p>
            <w:pPr>
              <w:pStyle w:val="57"/>
              <w:spacing w:after="120" w:line="288" w:lineRule="auto"/>
              <w:ind w:left="105" w:right="105"/>
              <w:rPr>
                <w:rFonts w:cs="Times New Roman"/>
                <w:kern w:val="2"/>
                <w:sz w:val="21"/>
                <w:szCs w:val="21"/>
              </w:rPr>
            </w:pPr>
            <w:r>
              <w:rPr>
                <w:rFonts w:cs="Times New Roman"/>
                <w:kern w:val="2"/>
                <w:sz w:val="21"/>
                <w:szCs w:val="21"/>
              </w:rPr>
              <w:t>地址：成都市金牛区一品天下大街999号金牛市民中心B座2102号</w:t>
            </w:r>
          </w:p>
          <w:p>
            <w:pPr>
              <w:pStyle w:val="57"/>
              <w:spacing w:after="120" w:line="288" w:lineRule="auto"/>
              <w:ind w:left="105" w:right="105"/>
              <w:rPr>
                <w:rFonts w:cs="Times New Roman"/>
                <w:kern w:val="2"/>
                <w:sz w:val="21"/>
                <w:szCs w:val="21"/>
              </w:rPr>
            </w:pPr>
            <w:r>
              <w:rPr>
                <w:rFonts w:cs="Times New Roman"/>
                <w:kern w:val="2"/>
                <w:sz w:val="21"/>
                <w:szCs w:val="21"/>
              </w:rPr>
              <w:t>标书售卖电话及联系人：028-83375882-801，刘女士</w:t>
            </w:r>
          </w:p>
          <w:p>
            <w:pPr>
              <w:pStyle w:val="57"/>
              <w:spacing w:after="120" w:line="288" w:lineRule="auto"/>
              <w:ind w:left="105" w:right="105"/>
              <w:rPr>
                <w:rFonts w:cs="Times New Roman"/>
                <w:kern w:val="2"/>
                <w:sz w:val="21"/>
                <w:szCs w:val="21"/>
              </w:rPr>
            </w:pPr>
            <w:r>
              <w:rPr>
                <w:rFonts w:cs="Times New Roman"/>
                <w:kern w:val="2"/>
                <w:sz w:val="21"/>
                <w:szCs w:val="21"/>
              </w:rPr>
              <w:t>采购文件、开标、评标工作咨询及中标通知书领取电话及联系人：028-83375882-815，</w:t>
            </w:r>
            <w:r>
              <w:rPr>
                <w:rFonts w:hint="eastAsia"/>
                <w:sz w:val="21"/>
                <w:szCs w:val="21"/>
              </w:rPr>
              <w:t>刘先生</w:t>
            </w:r>
          </w:p>
          <w:p>
            <w:pPr>
              <w:pStyle w:val="57"/>
              <w:spacing w:after="120" w:line="288" w:lineRule="auto"/>
              <w:ind w:left="105" w:right="105"/>
              <w:rPr>
                <w:rFonts w:cs="Times New Roman"/>
                <w:kern w:val="2"/>
                <w:sz w:val="21"/>
                <w:szCs w:val="21"/>
              </w:rPr>
            </w:pPr>
            <w:r>
              <w:rPr>
                <w:rFonts w:cs="Times New Roman"/>
                <w:kern w:val="2"/>
                <w:sz w:val="21"/>
                <w:szCs w:val="21"/>
              </w:rPr>
              <w:t>保证金缴纳及退还联系人：028-83407246，刘女士</w:t>
            </w:r>
          </w:p>
          <w:p>
            <w:pPr>
              <w:pStyle w:val="57"/>
              <w:spacing w:after="120" w:afterLines="50" w:line="288" w:lineRule="auto"/>
              <w:ind w:left="105" w:leftChars="50" w:right="105" w:rightChars="50"/>
              <w:rPr>
                <w:sz w:val="21"/>
                <w:szCs w:val="21"/>
              </w:rPr>
            </w:pPr>
            <w:r>
              <w:rPr>
                <w:rFonts w:cs="Times New Roman"/>
                <w:kern w:val="2"/>
                <w:sz w:val="21"/>
                <w:szCs w:val="21"/>
              </w:rPr>
              <w:t>询问、质疑处理联系人：028-83375882-819，</w:t>
            </w:r>
            <w:r>
              <w:rPr>
                <w:rFonts w:hint="eastAsia" w:cs="Times New Roman"/>
                <w:kern w:val="2"/>
                <w:sz w:val="21"/>
                <w:szCs w:val="21"/>
              </w:rPr>
              <w:t>刘先生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7"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3</w:t>
            </w:r>
          </w:p>
        </w:tc>
        <w:tc>
          <w:tcPr>
            <w:tcW w:w="1985" w:type="dxa"/>
            <w:vAlign w:val="center"/>
          </w:tcPr>
          <w:p>
            <w:pPr>
              <w:pStyle w:val="57"/>
              <w:spacing w:line="360" w:lineRule="auto"/>
              <w:ind w:left="38"/>
              <w:jc w:val="center"/>
              <w:rPr>
                <w:rFonts w:cs="Times New Roman"/>
                <w:kern w:val="2"/>
                <w:sz w:val="21"/>
                <w:szCs w:val="21"/>
              </w:rPr>
            </w:pPr>
            <w:r>
              <w:rPr>
                <w:rFonts w:hint="eastAsia" w:cs="Times New Roman"/>
                <w:kern w:val="2"/>
                <w:sz w:val="21"/>
                <w:szCs w:val="21"/>
              </w:rPr>
              <w:t>拒绝参加本次采购活动的投标人</w:t>
            </w:r>
          </w:p>
        </w:tc>
        <w:tc>
          <w:tcPr>
            <w:tcW w:w="6678" w:type="dxa"/>
            <w:vAlign w:val="center"/>
          </w:tcPr>
          <w:p>
            <w:pPr>
              <w:pStyle w:val="57"/>
              <w:spacing w:after="120" w:afterLines="50" w:line="288" w:lineRule="auto"/>
              <w:ind w:left="105" w:leftChars="50" w:right="105" w:rightChars="50"/>
              <w:rPr>
                <w:rFonts w:cs="Times New Roman"/>
                <w:kern w:val="2"/>
                <w:sz w:val="21"/>
                <w:szCs w:val="21"/>
              </w:rPr>
            </w:pPr>
            <w:r>
              <w:rPr>
                <w:rFonts w:hint="eastAsia" w:cs="Times New Roman"/>
                <w:kern w:val="2"/>
                <w:sz w:val="21"/>
                <w:szCs w:val="21"/>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838" w:type="dxa"/>
            <w:vAlign w:val="center"/>
          </w:tcPr>
          <w:p>
            <w:pPr>
              <w:pStyle w:val="57"/>
              <w:spacing w:line="360" w:lineRule="auto"/>
              <w:ind w:left="9"/>
              <w:jc w:val="center"/>
              <w:rPr>
                <w:rFonts w:cs="Times New Roman"/>
                <w:kern w:val="2"/>
                <w:sz w:val="21"/>
                <w:szCs w:val="21"/>
              </w:rPr>
            </w:pPr>
            <w:r>
              <w:rPr>
                <w:rFonts w:hint="eastAsia" w:cs="Times New Roman"/>
                <w:kern w:val="2"/>
                <w:sz w:val="21"/>
                <w:szCs w:val="21"/>
              </w:rPr>
              <w:t>4</w:t>
            </w:r>
          </w:p>
        </w:tc>
        <w:tc>
          <w:tcPr>
            <w:tcW w:w="1985" w:type="dxa"/>
            <w:vAlign w:val="center"/>
          </w:tcPr>
          <w:p>
            <w:pPr>
              <w:pStyle w:val="57"/>
              <w:spacing w:line="360" w:lineRule="auto"/>
              <w:ind w:left="38"/>
              <w:jc w:val="center"/>
              <w:rPr>
                <w:rFonts w:cs="Times New Roman"/>
                <w:kern w:val="2"/>
                <w:sz w:val="21"/>
                <w:szCs w:val="21"/>
              </w:rPr>
            </w:pPr>
            <w:r>
              <w:rPr>
                <w:rFonts w:hint="eastAsia" w:cs="Times New Roman"/>
                <w:kern w:val="2"/>
                <w:sz w:val="21"/>
                <w:szCs w:val="21"/>
              </w:rPr>
              <w:t>采购方式</w:t>
            </w:r>
          </w:p>
        </w:tc>
        <w:tc>
          <w:tcPr>
            <w:tcW w:w="6678" w:type="dxa"/>
            <w:vAlign w:val="center"/>
          </w:tcPr>
          <w:p>
            <w:pPr>
              <w:pStyle w:val="57"/>
              <w:spacing w:after="120" w:afterLines="50" w:line="288" w:lineRule="auto"/>
              <w:ind w:left="105" w:leftChars="50" w:right="105" w:rightChars="50"/>
              <w:rPr>
                <w:rFonts w:cs="Times New Roman"/>
                <w:kern w:val="2"/>
                <w:sz w:val="21"/>
                <w:szCs w:val="21"/>
              </w:rPr>
            </w:pPr>
            <w:r>
              <w:rPr>
                <w:rFonts w:hint="eastAsia" w:cs="Times New Roman"/>
                <w:kern w:val="2"/>
                <w:sz w:val="21"/>
                <w:szCs w:val="21"/>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57"/>
              <w:spacing w:line="360" w:lineRule="auto"/>
              <w:ind w:left="9"/>
              <w:jc w:val="center"/>
              <w:rPr>
                <w:rFonts w:cs="Times New Roman"/>
                <w:kern w:val="2"/>
                <w:sz w:val="21"/>
                <w:szCs w:val="21"/>
              </w:rPr>
            </w:pPr>
            <w:r>
              <w:rPr>
                <w:rFonts w:hint="eastAsia" w:cs="Times New Roman"/>
                <w:kern w:val="2"/>
                <w:sz w:val="21"/>
                <w:szCs w:val="21"/>
              </w:rPr>
              <w:t>5</w:t>
            </w:r>
          </w:p>
        </w:tc>
        <w:tc>
          <w:tcPr>
            <w:tcW w:w="1985" w:type="dxa"/>
            <w:tcBorders>
              <w:bottom w:val="single" w:color="auto" w:sz="4" w:space="0"/>
            </w:tcBorders>
            <w:vAlign w:val="center"/>
          </w:tcPr>
          <w:p>
            <w:pPr>
              <w:pStyle w:val="57"/>
              <w:spacing w:line="360" w:lineRule="auto"/>
              <w:ind w:left="38"/>
              <w:jc w:val="center"/>
              <w:rPr>
                <w:rFonts w:cs="Times New Roman"/>
                <w:b/>
                <w:kern w:val="2"/>
                <w:sz w:val="21"/>
                <w:szCs w:val="21"/>
              </w:rPr>
            </w:pPr>
            <w:r>
              <w:rPr>
                <w:rFonts w:hint="eastAsia" w:cs="Times New Roman"/>
                <w:b/>
                <w:kern w:val="2"/>
                <w:sz w:val="21"/>
                <w:szCs w:val="21"/>
              </w:rPr>
              <w:t>采购预算</w:t>
            </w:r>
          </w:p>
          <w:p>
            <w:pPr>
              <w:pStyle w:val="57"/>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color="auto" w:sz="4" w:space="0"/>
            </w:tcBorders>
            <w:vAlign w:val="center"/>
          </w:tcPr>
          <w:p>
            <w:pPr>
              <w:pStyle w:val="57"/>
              <w:spacing w:after="120" w:afterLines="50" w:line="288" w:lineRule="auto"/>
              <w:ind w:left="105" w:leftChars="50" w:right="105" w:rightChars="50"/>
              <w:rPr>
                <w:sz w:val="21"/>
                <w:szCs w:val="21"/>
              </w:rPr>
            </w:pPr>
            <w:r>
              <w:rPr>
                <w:rFonts w:hint="eastAsia"/>
                <w:sz w:val="21"/>
                <w:szCs w:val="21"/>
                <w:lang w:val="zh-CN"/>
              </w:rPr>
              <w:t>本项目采购预算品目为</w:t>
            </w:r>
            <w:r>
              <w:rPr>
                <w:rFonts w:hint="eastAsia"/>
                <w:sz w:val="21"/>
                <w:szCs w:val="21"/>
                <w:u w:val="single"/>
              </w:rPr>
              <w:t>A0309工程机械</w:t>
            </w:r>
            <w:r>
              <w:rPr>
                <w:rFonts w:hint="eastAsia"/>
                <w:sz w:val="21"/>
                <w:szCs w:val="21"/>
                <w:lang w:val="zh-CN"/>
              </w:rPr>
              <w:t xml:space="preserve"> ，预算金额为人民币</w:t>
            </w:r>
            <w:r>
              <w:rPr>
                <w:rFonts w:hint="eastAsia"/>
                <w:sz w:val="21"/>
                <w:szCs w:val="21"/>
                <w:u w:val="single"/>
              </w:rPr>
              <w:t>350.6</w:t>
            </w:r>
            <w:r>
              <w:rPr>
                <w:rFonts w:hint="eastAsia"/>
                <w:sz w:val="21"/>
                <w:szCs w:val="21"/>
                <w:lang w:val="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tcBorders>
              <w:top w:val="single" w:color="auto" w:sz="4" w:space="0"/>
            </w:tcBorders>
            <w:vAlign w:val="center"/>
          </w:tcPr>
          <w:p>
            <w:pPr>
              <w:pStyle w:val="57"/>
              <w:spacing w:line="360" w:lineRule="auto"/>
              <w:jc w:val="center"/>
              <w:rPr>
                <w:rFonts w:cs="Times New Roman"/>
                <w:b/>
                <w:kern w:val="2"/>
                <w:sz w:val="21"/>
                <w:szCs w:val="21"/>
              </w:rPr>
            </w:pPr>
            <w:r>
              <w:rPr>
                <w:rFonts w:hint="eastAsia" w:cs="Times New Roman"/>
                <w:b/>
                <w:kern w:val="2"/>
                <w:sz w:val="21"/>
                <w:szCs w:val="21"/>
              </w:rPr>
              <w:t>最高限价</w:t>
            </w:r>
          </w:p>
          <w:p>
            <w:pPr>
              <w:pStyle w:val="57"/>
              <w:spacing w:line="360" w:lineRule="auto"/>
              <w:jc w:val="center"/>
              <w:rPr>
                <w:rFonts w:cs="Times New Roman"/>
                <w:kern w:val="2"/>
                <w:sz w:val="21"/>
                <w:szCs w:val="21"/>
              </w:rPr>
            </w:pPr>
            <w:r>
              <w:rPr>
                <w:rFonts w:hint="eastAsia"/>
                <w:b/>
                <w:sz w:val="21"/>
                <w:szCs w:val="21"/>
              </w:rPr>
              <w:t>（实质性要求）</w:t>
            </w:r>
          </w:p>
        </w:tc>
        <w:tc>
          <w:tcPr>
            <w:tcW w:w="6678" w:type="dxa"/>
            <w:tcBorders>
              <w:top w:val="single" w:color="auto" w:sz="4" w:space="0"/>
            </w:tcBorders>
            <w:vAlign w:val="center"/>
          </w:tcPr>
          <w:p>
            <w:pPr>
              <w:pStyle w:val="57"/>
              <w:spacing w:after="120" w:afterLines="50" w:line="288" w:lineRule="auto"/>
              <w:ind w:left="105" w:leftChars="50" w:right="105" w:rightChars="50"/>
              <w:rPr>
                <w:sz w:val="21"/>
                <w:szCs w:val="21"/>
                <w:lang w:val="zh-CN"/>
              </w:rPr>
            </w:pPr>
            <w:r>
              <w:rPr>
                <w:rFonts w:hint="eastAsia"/>
                <w:sz w:val="21"/>
                <w:szCs w:val="21"/>
                <w:lang w:val="zh-CN"/>
              </w:rPr>
              <w:t>本项目最高限价为人民币</w:t>
            </w:r>
            <w:r>
              <w:rPr>
                <w:rFonts w:hint="eastAsia"/>
                <w:sz w:val="21"/>
                <w:szCs w:val="21"/>
                <w:u w:val="single"/>
              </w:rPr>
              <w:t>350万</w:t>
            </w:r>
            <w:r>
              <w:rPr>
                <w:rFonts w:hint="eastAsia"/>
                <w:sz w:val="21"/>
                <w:szCs w:val="21"/>
                <w:lang w:val="zh-CN"/>
              </w:rPr>
              <w:t>元。</w:t>
            </w:r>
          </w:p>
          <w:p>
            <w:pPr>
              <w:pStyle w:val="57"/>
              <w:spacing w:after="120" w:afterLines="50" w:line="288" w:lineRule="auto"/>
              <w:ind w:left="105" w:leftChars="50" w:right="105" w:rightChars="50"/>
              <w:rPr>
                <w:sz w:val="21"/>
                <w:szCs w:val="21"/>
                <w:lang w:val="zh-CN"/>
              </w:rPr>
            </w:pPr>
            <w:r>
              <w:rPr>
                <w:rFonts w:hint="eastAsia"/>
                <w:sz w:val="21"/>
                <w:szCs w:val="21"/>
                <w:lang w:val="zh-CN"/>
              </w:rPr>
              <w:t>投标报价超过本项目最高限价的作无效投标处理。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6</w:t>
            </w:r>
          </w:p>
        </w:tc>
        <w:tc>
          <w:tcPr>
            <w:tcW w:w="1985" w:type="dxa"/>
            <w:vAlign w:val="center"/>
          </w:tcPr>
          <w:p>
            <w:pPr>
              <w:pStyle w:val="57"/>
              <w:spacing w:line="360" w:lineRule="auto"/>
              <w:ind w:left="38"/>
              <w:jc w:val="center"/>
              <w:rPr>
                <w:rFonts w:cs="Times New Roman"/>
                <w:b/>
                <w:kern w:val="2"/>
                <w:sz w:val="21"/>
                <w:szCs w:val="21"/>
              </w:rPr>
            </w:pPr>
            <w:r>
              <w:rPr>
                <w:rFonts w:hint="eastAsia" w:cs="Times New Roman"/>
                <w:b/>
                <w:kern w:val="2"/>
                <w:sz w:val="21"/>
                <w:szCs w:val="21"/>
              </w:rPr>
              <w:t>低于成本价不正当</w:t>
            </w:r>
          </w:p>
          <w:p>
            <w:pPr>
              <w:pStyle w:val="57"/>
              <w:spacing w:line="360" w:lineRule="auto"/>
              <w:ind w:left="38"/>
              <w:jc w:val="center"/>
              <w:rPr>
                <w:rFonts w:cs="Times New Roman"/>
                <w:b/>
                <w:kern w:val="2"/>
                <w:sz w:val="21"/>
                <w:szCs w:val="21"/>
              </w:rPr>
            </w:pPr>
            <w:r>
              <w:rPr>
                <w:rFonts w:hint="eastAsia" w:cs="Times New Roman"/>
                <w:b/>
                <w:kern w:val="2"/>
                <w:sz w:val="21"/>
                <w:szCs w:val="21"/>
              </w:rPr>
              <w:t>竞争预防措施</w:t>
            </w:r>
          </w:p>
          <w:p>
            <w:pPr>
              <w:pStyle w:val="57"/>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pPr>
              <w:pStyle w:val="57"/>
              <w:spacing w:after="120" w:afterLines="50" w:line="288" w:lineRule="auto"/>
              <w:ind w:left="105" w:leftChars="50" w:right="105" w:rightChars="50"/>
              <w:rPr>
                <w:sz w:val="21"/>
                <w:szCs w:val="21"/>
              </w:rPr>
            </w:pPr>
            <w:r>
              <w:rPr>
                <w:rFonts w:hint="eastAsia"/>
                <w:sz w:val="21"/>
                <w:szCs w:val="21"/>
              </w:rPr>
              <w:t>在评审过程中，评标委员会认为投标人的报价明显低于其他通过符合性审查投标人的报价，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7"/>
              <w:spacing w:after="120" w:afterLines="50" w:line="288" w:lineRule="auto"/>
              <w:ind w:left="105" w:leftChars="50" w:right="105" w:rightChars="50"/>
              <w:rPr>
                <w:sz w:val="21"/>
                <w:szCs w:val="21"/>
              </w:rPr>
            </w:pPr>
            <w:r>
              <w:rPr>
                <w:rFonts w:hint="eastAsia"/>
                <w:sz w:val="21"/>
                <w:szCs w:val="21"/>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pPr>
              <w:pStyle w:val="57"/>
              <w:spacing w:after="120" w:afterLines="50" w:line="288" w:lineRule="auto"/>
              <w:ind w:left="105" w:leftChars="50" w:right="105" w:rightChars="50"/>
              <w:rPr>
                <w:sz w:val="21"/>
                <w:szCs w:val="21"/>
              </w:rPr>
            </w:pPr>
            <w:r>
              <w:rPr>
                <w:rFonts w:hint="eastAsia"/>
                <w:sz w:val="21"/>
                <w:szCs w:val="21"/>
              </w:rPr>
              <w:t>供应商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spacing w:line="360" w:lineRule="auto"/>
              <w:jc w:val="center"/>
              <w:rPr>
                <w:rFonts w:ascii="宋体" w:hAnsi="宋体"/>
                <w:szCs w:val="21"/>
              </w:rPr>
            </w:pPr>
            <w:r>
              <w:rPr>
                <w:rFonts w:hint="eastAsia" w:ascii="宋体" w:hAnsi="宋体"/>
                <w:szCs w:val="21"/>
              </w:rPr>
              <w:t>7</w:t>
            </w:r>
          </w:p>
        </w:tc>
        <w:tc>
          <w:tcPr>
            <w:tcW w:w="1985" w:type="dxa"/>
            <w:vAlign w:val="center"/>
          </w:tcPr>
          <w:p>
            <w:pPr>
              <w:pStyle w:val="57"/>
              <w:ind w:left="38"/>
              <w:jc w:val="center"/>
              <w:rPr>
                <w:rFonts w:cs="Times New Roman"/>
                <w:b/>
                <w:kern w:val="2"/>
                <w:sz w:val="21"/>
                <w:szCs w:val="21"/>
                <w:highlight w:val="green"/>
              </w:rPr>
            </w:pPr>
            <w:r>
              <w:rPr>
                <w:rFonts w:hint="eastAsia" w:cs="Times New Roman"/>
                <w:b/>
                <w:kern w:val="2"/>
                <w:sz w:val="21"/>
                <w:szCs w:val="21"/>
                <w:highlight w:val="green"/>
              </w:rPr>
              <w:t>本项目采购标的对应的中小企业划分标准所属行业</w:t>
            </w:r>
          </w:p>
        </w:tc>
        <w:tc>
          <w:tcPr>
            <w:tcW w:w="6678" w:type="dxa"/>
            <w:vAlign w:val="center"/>
          </w:tcPr>
          <w:p>
            <w:pPr>
              <w:pStyle w:val="57"/>
              <w:spacing w:after="120" w:afterLines="50" w:line="288" w:lineRule="auto"/>
              <w:ind w:left="105" w:leftChars="50" w:right="105" w:rightChars="50"/>
              <w:rPr>
                <w:sz w:val="21"/>
                <w:szCs w:val="21"/>
              </w:rPr>
            </w:pPr>
            <w:r>
              <w:rPr>
                <w:rFonts w:hint="eastAsia"/>
                <w:sz w:val="21"/>
                <w:szCs w:val="21"/>
              </w:rPr>
              <w:t>零售业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vAlign w:val="center"/>
          </w:tcPr>
          <w:p>
            <w:pPr>
              <w:pStyle w:val="57"/>
              <w:ind w:left="38"/>
              <w:jc w:val="center"/>
              <w:rPr>
                <w:rFonts w:cs="Times New Roman"/>
                <w:b/>
                <w:kern w:val="2"/>
                <w:sz w:val="21"/>
                <w:szCs w:val="21"/>
              </w:rPr>
            </w:pPr>
            <w:r>
              <w:rPr>
                <w:rFonts w:hint="eastAsia" w:cs="Times New Roman"/>
                <w:b/>
                <w:kern w:val="2"/>
                <w:sz w:val="21"/>
                <w:szCs w:val="21"/>
              </w:rPr>
              <w:t>小微企业（监狱企业、残疾人福利性单位</w:t>
            </w:r>
            <w:r>
              <w:rPr>
                <w:rFonts w:hint="eastAsia"/>
                <w:b/>
                <w:sz w:val="21"/>
                <w:szCs w:val="21"/>
              </w:rPr>
              <w:t>视同小微企业</w:t>
            </w:r>
            <w:r>
              <w:rPr>
                <w:rFonts w:hint="eastAsia" w:cs="Times New Roman"/>
                <w:b/>
                <w:kern w:val="2"/>
                <w:sz w:val="21"/>
                <w:szCs w:val="21"/>
              </w:rPr>
              <w:t>）价格扣除</w:t>
            </w:r>
          </w:p>
          <w:p>
            <w:pPr>
              <w:pStyle w:val="57"/>
              <w:ind w:left="38"/>
              <w:jc w:val="center"/>
              <w:rPr>
                <w:rFonts w:cs="Times New Roman"/>
                <w:b/>
                <w:kern w:val="2"/>
                <w:sz w:val="21"/>
                <w:szCs w:val="21"/>
              </w:rPr>
            </w:pPr>
            <w:r>
              <w:rPr>
                <w:rFonts w:hint="eastAsia"/>
                <w:b/>
                <w:sz w:val="21"/>
                <w:szCs w:val="21"/>
              </w:rPr>
              <w:t>（实质性要求）</w:t>
            </w:r>
          </w:p>
        </w:tc>
        <w:tc>
          <w:tcPr>
            <w:tcW w:w="6678" w:type="dxa"/>
            <w:vAlign w:val="center"/>
          </w:tcPr>
          <w:p>
            <w:pPr>
              <w:pStyle w:val="57"/>
              <w:spacing w:after="120" w:afterLines="50" w:line="288" w:lineRule="auto"/>
              <w:ind w:left="105" w:leftChars="50" w:right="105" w:rightChars="50"/>
              <w:rPr>
                <w:sz w:val="21"/>
                <w:szCs w:val="21"/>
              </w:rPr>
            </w:pPr>
            <w:r>
              <w:rPr>
                <w:rFonts w:hint="eastAsia"/>
                <w:sz w:val="21"/>
                <w:szCs w:val="21"/>
              </w:rPr>
              <w:t>小微企业（监狱企业、残疾人福利性单位视同小微企业）价格扣除</w:t>
            </w:r>
          </w:p>
          <w:p>
            <w:pPr>
              <w:pStyle w:val="57"/>
              <w:spacing w:after="120" w:afterLines="50" w:line="288" w:lineRule="auto"/>
              <w:ind w:left="105" w:leftChars="50" w:right="105" w:rightChars="50"/>
              <w:rPr>
                <w:sz w:val="21"/>
                <w:szCs w:val="21"/>
              </w:rPr>
            </w:pPr>
            <w:r>
              <w:rPr>
                <w:rFonts w:hint="eastAsia"/>
                <w:sz w:val="21"/>
                <w:szCs w:val="21"/>
              </w:rPr>
              <w:t>1、根据《政府采购促进中小企业发展管理办法》（财库〔2020〕46号）的规定，对符合本办法规定的小微企业报价给予10%的价格扣除，用扣除后的价格参加评审。</w:t>
            </w:r>
          </w:p>
          <w:p>
            <w:pPr>
              <w:pStyle w:val="57"/>
              <w:spacing w:after="120" w:afterLines="50" w:line="288" w:lineRule="auto"/>
              <w:ind w:left="105" w:leftChars="50" w:right="105" w:rightChars="50"/>
              <w:rPr>
                <w:sz w:val="21"/>
                <w:szCs w:val="21"/>
              </w:rPr>
            </w:pPr>
            <w:r>
              <w:rPr>
                <w:rFonts w:hint="eastAsia"/>
                <w:sz w:val="21"/>
                <w:szCs w:val="21"/>
              </w:rPr>
              <w:t>2、以联合体形式参加政府采购活动，联合体各方均为中小企业的，联合体视同中小企业。其中，联合体各方均为小微企业的，联合体视同小微企业。</w:t>
            </w:r>
          </w:p>
          <w:p>
            <w:pPr>
              <w:pStyle w:val="57"/>
              <w:spacing w:after="120" w:afterLines="50" w:line="288" w:lineRule="auto"/>
              <w:ind w:left="105" w:leftChars="50" w:right="105" w:rightChars="50"/>
              <w:rPr>
                <w:sz w:val="21"/>
                <w:szCs w:val="21"/>
              </w:rPr>
            </w:pPr>
            <w:r>
              <w:rPr>
                <w:rFonts w:hint="eastAsia"/>
                <w:sz w:val="21"/>
                <w:szCs w:val="21"/>
              </w:rPr>
              <w:t>3、接受大中型企业与小微企业组成联合体或者允许大中型企业向一家或者多家小微企业分包的采购项目，对于联合协议或者分包意向协议约定小微企业的合同份额占到合同总金额30%以上的，当对联合体或者大中型企业的报价给予3%的扣除，用扣除后的价格参加评审。组成联合体或者接受分包的小微企业与联合体内其他企业、分包企业之间存在直接控股、管理关系的，不享受价格扣除优惠政策。</w:t>
            </w:r>
          </w:p>
          <w:p>
            <w:pPr>
              <w:pStyle w:val="57"/>
              <w:spacing w:after="120" w:afterLines="50" w:line="288" w:lineRule="auto"/>
              <w:ind w:left="105" w:leftChars="50" w:right="105" w:rightChars="50"/>
              <w:rPr>
                <w:sz w:val="21"/>
                <w:szCs w:val="21"/>
              </w:rPr>
            </w:pPr>
            <w:r>
              <w:rPr>
                <w:rFonts w:hint="eastAsia"/>
                <w:sz w:val="21"/>
                <w:szCs w:val="21"/>
              </w:rPr>
              <w:t>4、参加政府采购活动的中小企业应当提供《中小企业声明函》原件，否则不得享受相关中小企业扶持政策；残疾人福利性单位应当提供《残疾人福利性单位声明函》原件；监狱企业应当提供监狱企业的证明文件复印件。</w:t>
            </w:r>
          </w:p>
          <w:p>
            <w:pPr>
              <w:pStyle w:val="57"/>
              <w:spacing w:after="120" w:afterLines="50" w:line="288" w:lineRule="auto"/>
              <w:ind w:left="105" w:leftChars="50" w:right="105" w:rightChars="50"/>
              <w:rPr>
                <w:sz w:val="21"/>
                <w:szCs w:val="21"/>
              </w:rPr>
            </w:pPr>
            <w:r>
              <w:rPr>
                <w:rFonts w:hint="eastAsia"/>
                <w:sz w:val="21"/>
                <w:szCs w:val="21"/>
              </w:rPr>
              <w:t>5、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7"/>
              <w:spacing w:after="120" w:afterLines="50" w:line="288" w:lineRule="auto"/>
              <w:ind w:left="105" w:leftChars="50" w:right="105" w:rightChars="50"/>
              <w:rPr>
                <w:sz w:val="21"/>
                <w:szCs w:val="21"/>
              </w:rPr>
            </w:pPr>
            <w:r>
              <w:rPr>
                <w:rFonts w:hint="eastAsia"/>
                <w:sz w:val="21"/>
                <w:szCs w:val="21"/>
              </w:rPr>
              <w:t>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8</w:t>
            </w:r>
          </w:p>
        </w:tc>
        <w:tc>
          <w:tcPr>
            <w:tcW w:w="1985" w:type="dxa"/>
            <w:vAlign w:val="center"/>
          </w:tcPr>
          <w:p>
            <w:pPr>
              <w:pStyle w:val="57"/>
              <w:ind w:left="38"/>
              <w:jc w:val="center"/>
              <w:rPr>
                <w:rFonts w:cs="Times New Roman"/>
                <w:b/>
                <w:kern w:val="2"/>
                <w:sz w:val="21"/>
                <w:szCs w:val="21"/>
              </w:rPr>
            </w:pPr>
            <w:r>
              <w:rPr>
                <w:rFonts w:hint="eastAsia"/>
                <w:b/>
                <w:bCs/>
                <w:color w:val="000000"/>
                <w:sz w:val="21"/>
                <w:szCs w:val="21"/>
                <w:lang w:val="zh-CN"/>
              </w:rPr>
              <w:t>失信企业报价加成</w:t>
            </w:r>
            <w:r>
              <w:rPr>
                <w:rFonts w:hint="eastAsia"/>
                <w:b/>
                <w:sz w:val="21"/>
                <w:szCs w:val="21"/>
              </w:rPr>
              <w:t>（实质性要求）</w:t>
            </w:r>
          </w:p>
        </w:tc>
        <w:tc>
          <w:tcPr>
            <w:tcW w:w="6678" w:type="dxa"/>
            <w:vAlign w:val="center"/>
          </w:tcPr>
          <w:p>
            <w:pPr>
              <w:spacing w:after="120" w:afterLines="50" w:line="288" w:lineRule="auto"/>
              <w:ind w:left="105" w:leftChars="50" w:right="105" w:rightChars="50"/>
              <w:jc w:val="left"/>
              <w:rPr>
                <w:rFonts w:ascii="宋体" w:hAnsi="宋体"/>
                <w:color w:val="000000"/>
                <w:szCs w:val="21"/>
              </w:rPr>
            </w:pPr>
            <w:r>
              <w:rPr>
                <w:rFonts w:hint="eastAsia" w:ascii="宋体" w:hAnsi="宋体"/>
                <w:color w:val="000000"/>
                <w:szCs w:val="21"/>
              </w:rPr>
              <w:t>1、对记入诚信档案且在有效期内的失信投标人，参加政府采购活动按照10%的报价加成，以加成后报价作为该投标人报价参与评审。投标人失信行为惩戒实行无限制累加制，因其失信行为进行报价加成惩戒后报价超过政府采购预算的，其投标文件按照无效处理。</w:t>
            </w:r>
          </w:p>
          <w:p>
            <w:pPr>
              <w:pStyle w:val="57"/>
              <w:spacing w:after="120" w:afterLines="50" w:line="288" w:lineRule="auto"/>
              <w:ind w:left="105" w:leftChars="50" w:right="105" w:rightChars="50"/>
              <w:rPr>
                <w:sz w:val="21"/>
                <w:szCs w:val="21"/>
              </w:rPr>
            </w:pPr>
            <w:r>
              <w:rPr>
                <w:rFonts w:hint="eastAsia"/>
                <w:color w:val="000000"/>
                <w:sz w:val="21"/>
                <w:szCs w:val="21"/>
              </w:rPr>
              <w:t>2、投标人参加政府采购活动时，应当就自己的诚信情况在投标文件中进行承诺。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9</w:t>
            </w:r>
          </w:p>
        </w:tc>
        <w:tc>
          <w:tcPr>
            <w:tcW w:w="1985" w:type="dxa"/>
            <w:vAlign w:val="center"/>
          </w:tcPr>
          <w:p>
            <w:pPr>
              <w:spacing w:line="360" w:lineRule="auto"/>
              <w:ind w:left="105" w:leftChars="50" w:right="105" w:rightChars="50"/>
              <w:jc w:val="center"/>
              <w:rPr>
                <w:rFonts w:ascii="宋体"/>
                <w:b/>
                <w:kern w:val="0"/>
                <w:szCs w:val="21"/>
              </w:rPr>
            </w:pPr>
            <w:r>
              <w:rPr>
                <w:rFonts w:hint="eastAsia" w:ascii="宋体"/>
                <w:b/>
                <w:kern w:val="0"/>
                <w:szCs w:val="21"/>
                <w:lang w:val="zh-CN"/>
              </w:rPr>
              <w:t>节能、环保及无线局域网产品政府采购政策</w:t>
            </w:r>
          </w:p>
        </w:tc>
        <w:tc>
          <w:tcPr>
            <w:tcW w:w="6678" w:type="dxa"/>
            <w:vAlign w:val="center"/>
          </w:tcPr>
          <w:p>
            <w:pPr>
              <w:spacing w:after="120" w:afterLines="50" w:line="288" w:lineRule="auto"/>
              <w:ind w:left="105" w:leftChars="50" w:right="105" w:rightChars="50"/>
              <w:jc w:val="left"/>
              <w:rPr>
                <w:rFonts w:ascii="宋体" w:hAnsi="宋体"/>
                <w:color w:val="000000"/>
                <w:szCs w:val="21"/>
              </w:rPr>
            </w:pPr>
            <w:bookmarkStart w:id="42" w:name="PO_默认文件内容_5"/>
            <w:r>
              <w:rPr>
                <w:rFonts w:hint="eastAsia" w:ascii="宋体" w:hAnsi="宋体"/>
                <w:color w:val="000000"/>
                <w:szCs w:val="21"/>
              </w:rPr>
              <w:t>一、节能、环保产品政府采购政策：</w:t>
            </w:r>
          </w:p>
          <w:p>
            <w:pPr>
              <w:spacing w:after="120" w:afterLines="50" w:line="288" w:lineRule="auto"/>
              <w:ind w:left="105" w:leftChars="50" w:right="105" w:rightChars="50" w:firstLine="420" w:firstLineChars="200"/>
              <w:jc w:val="left"/>
              <w:rPr>
                <w:rFonts w:ascii="宋体" w:hAnsi="宋体"/>
                <w:color w:val="000000"/>
                <w:szCs w:val="21"/>
              </w:rPr>
            </w:pPr>
            <w:r>
              <w:rPr>
                <w:rFonts w:hint="eastAsia" w:ascii="宋体" w:hAnsi="宋体"/>
                <w:color w:val="000000"/>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after="120" w:afterLines="50" w:line="288" w:lineRule="auto"/>
              <w:ind w:left="105" w:leftChars="50" w:right="105" w:rightChars="50" w:firstLine="420" w:firstLineChars="200"/>
              <w:jc w:val="left"/>
              <w:rPr>
                <w:rFonts w:ascii="宋体" w:hAnsi="宋体"/>
                <w:color w:val="000000"/>
                <w:szCs w:val="21"/>
              </w:rPr>
            </w:pPr>
            <w:r>
              <w:rPr>
                <w:rFonts w:hint="eastAsia" w:ascii="宋体" w:hAnsi="宋体"/>
                <w:color w:val="000000"/>
                <w:szCs w:val="21"/>
              </w:rPr>
              <w:t>本项目采购的产品</w:t>
            </w:r>
            <w:r>
              <w:rPr>
                <w:rFonts w:hint="eastAsia" w:ascii="宋体" w:hAnsi="宋体"/>
                <w:b/>
                <w:color w:val="000000"/>
                <w:szCs w:val="21"/>
              </w:rPr>
              <w:t>属于品目清单范围内强制采购</w:t>
            </w:r>
            <w:r>
              <w:rPr>
                <w:rFonts w:hint="eastAsia" w:ascii="宋体" w:hAnsi="宋体"/>
                <w:color w:val="000000"/>
                <w:szCs w:val="21"/>
              </w:rPr>
              <w:t>的，供应商应按上述要求提供产品认证证书复印件并加盖供应商单位公章（鲜章），否则投标无效。</w:t>
            </w:r>
            <w:r>
              <w:rPr>
                <w:rFonts w:hint="eastAsia" w:ascii="宋体" w:hAnsi="宋体"/>
                <w:b/>
                <w:bCs/>
                <w:color w:val="000000"/>
                <w:szCs w:val="21"/>
              </w:rPr>
              <w:t>（实质性要求）</w:t>
            </w:r>
          </w:p>
          <w:p>
            <w:pPr>
              <w:spacing w:after="120" w:afterLines="50" w:line="288" w:lineRule="auto"/>
              <w:ind w:left="105" w:leftChars="50" w:right="105" w:rightChars="50" w:firstLine="420" w:firstLineChars="200"/>
              <w:jc w:val="left"/>
              <w:rPr>
                <w:rFonts w:ascii="宋体" w:hAnsi="宋体"/>
                <w:color w:val="000000"/>
                <w:szCs w:val="21"/>
              </w:rPr>
            </w:pPr>
            <w:r>
              <w:rPr>
                <w:rFonts w:hint="eastAsia" w:ascii="宋体" w:hAnsi="宋体"/>
                <w:color w:val="000000"/>
                <w:szCs w:val="21"/>
              </w:rPr>
              <w:t>本项目采购的产品</w:t>
            </w:r>
            <w:r>
              <w:rPr>
                <w:rFonts w:hint="eastAsia" w:ascii="宋体" w:hAnsi="宋体"/>
                <w:b/>
                <w:color w:val="000000"/>
                <w:szCs w:val="21"/>
              </w:rPr>
              <w:t>属于品目清单范围内优先采购</w:t>
            </w:r>
            <w:r>
              <w:rPr>
                <w:rFonts w:hint="eastAsia" w:ascii="宋体" w:hAnsi="宋体"/>
                <w:color w:val="000000"/>
                <w:szCs w:val="21"/>
              </w:rPr>
              <w:t>的，按照《综合评分明细表》的规则进行加分。</w:t>
            </w:r>
          </w:p>
          <w:p>
            <w:pPr>
              <w:spacing w:after="120" w:afterLines="50" w:line="288" w:lineRule="auto"/>
              <w:ind w:left="105" w:leftChars="50" w:right="105" w:rightChars="50"/>
              <w:jc w:val="left"/>
              <w:rPr>
                <w:rFonts w:ascii="宋体" w:hAnsi="宋体"/>
                <w:color w:val="000000"/>
                <w:szCs w:val="21"/>
              </w:rPr>
            </w:pPr>
            <w:r>
              <w:rPr>
                <w:rFonts w:hint="eastAsia" w:ascii="宋体" w:hAnsi="宋体"/>
                <w:color w:val="000000"/>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after="120" w:afterLines="50" w:line="288" w:lineRule="auto"/>
              <w:ind w:left="105" w:leftChars="50" w:right="105" w:rightChars="50"/>
              <w:jc w:val="left"/>
              <w:rPr>
                <w:rFonts w:ascii="宋体" w:hAnsi="宋体"/>
                <w:color w:val="000000"/>
                <w:szCs w:val="21"/>
              </w:rPr>
            </w:pPr>
            <w:r>
              <w:rPr>
                <w:rFonts w:hint="eastAsia" w:ascii="宋体" w:hAnsi="宋体"/>
                <w:color w:val="000000"/>
                <w:szCs w:val="21"/>
              </w:rPr>
              <w:t>二、无线局域网产品政府采购政策：</w:t>
            </w:r>
          </w:p>
          <w:p>
            <w:pPr>
              <w:spacing w:after="120" w:afterLines="50" w:line="288" w:lineRule="auto"/>
              <w:ind w:left="105" w:leftChars="50" w:right="105" w:rightChars="50"/>
              <w:jc w:val="left"/>
              <w:rPr>
                <w:rFonts w:ascii="宋体"/>
                <w:kern w:val="0"/>
                <w:szCs w:val="21"/>
              </w:rPr>
            </w:pPr>
            <w:r>
              <w:rPr>
                <w:rFonts w:hint="eastAsia" w:ascii="宋体" w:hAnsi="宋体"/>
                <w:color w:val="000000"/>
                <w:szCs w:val="21"/>
              </w:rPr>
              <w:t>本项目采购的产品属于中国政府采购网公布的《无线局域网认证产品政府采购清单》的，将按照《综合评分明细表》的规则进行加分。</w:t>
            </w:r>
            <w:bookmarkEnd w:id="4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10</w:t>
            </w:r>
          </w:p>
        </w:tc>
        <w:tc>
          <w:tcPr>
            <w:tcW w:w="1985" w:type="dxa"/>
            <w:vAlign w:val="center"/>
          </w:tcPr>
          <w:p>
            <w:pPr>
              <w:pStyle w:val="57"/>
              <w:spacing w:line="360" w:lineRule="auto"/>
              <w:ind w:left="96"/>
              <w:jc w:val="center"/>
              <w:rPr>
                <w:b/>
                <w:sz w:val="21"/>
                <w:szCs w:val="21"/>
                <w:lang w:val="zh-CN"/>
              </w:rPr>
            </w:pPr>
            <w:r>
              <w:rPr>
                <w:rFonts w:hint="eastAsia"/>
                <w:b/>
                <w:sz w:val="21"/>
                <w:szCs w:val="21"/>
                <w:lang w:val="zh-CN"/>
              </w:rPr>
              <w:t>投标保证金</w:t>
            </w:r>
          </w:p>
          <w:p>
            <w:pPr>
              <w:pStyle w:val="57"/>
              <w:spacing w:line="360" w:lineRule="auto"/>
              <w:ind w:left="96"/>
              <w:jc w:val="center"/>
              <w:rPr>
                <w:b/>
                <w:sz w:val="21"/>
                <w:szCs w:val="21"/>
                <w:lang w:val="zh-CN"/>
              </w:rPr>
            </w:pPr>
            <w:r>
              <w:rPr>
                <w:rFonts w:hint="eastAsia"/>
                <w:b/>
                <w:sz w:val="21"/>
                <w:szCs w:val="21"/>
                <w:lang w:val="zh-CN"/>
              </w:rPr>
              <w:t>（实质性要求）</w:t>
            </w:r>
          </w:p>
        </w:tc>
        <w:tc>
          <w:tcPr>
            <w:tcW w:w="6678" w:type="dxa"/>
            <w:vAlign w:val="center"/>
          </w:tcPr>
          <w:p>
            <w:pPr>
              <w:pStyle w:val="57"/>
              <w:spacing w:after="120" w:afterLines="50" w:line="288" w:lineRule="auto"/>
              <w:ind w:left="105" w:leftChars="50" w:right="105" w:rightChars="50" w:firstLine="210" w:firstLineChars="100"/>
              <w:rPr>
                <w:b/>
                <w:sz w:val="21"/>
                <w:szCs w:val="21"/>
                <w:lang w:val="zh-CN"/>
              </w:rPr>
            </w:pPr>
            <w:r>
              <w:rPr>
                <w:rFonts w:hint="eastAsia"/>
                <w:sz w:val="21"/>
                <w:szCs w:val="21"/>
                <w:highlight w:val="green"/>
                <w:lang w:val="zh-CN"/>
              </w:rPr>
              <w:t>响应川财采[2020]28号文件本项目</w:t>
            </w:r>
            <w:r>
              <w:rPr>
                <w:rFonts w:hint="eastAsia"/>
                <w:sz w:val="21"/>
                <w:szCs w:val="21"/>
                <w:highlight w:val="green"/>
              </w:rPr>
              <w:t>不缴纳</w:t>
            </w:r>
            <w:r>
              <w:rPr>
                <w:rFonts w:hint="eastAsia"/>
                <w:sz w:val="21"/>
                <w:szCs w:val="21"/>
                <w:highlight w:val="green"/>
                <w:lang w:val="zh-CN"/>
              </w:rPr>
              <w:t>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11</w:t>
            </w:r>
          </w:p>
        </w:tc>
        <w:tc>
          <w:tcPr>
            <w:tcW w:w="1985" w:type="dxa"/>
            <w:vAlign w:val="center"/>
          </w:tcPr>
          <w:p>
            <w:pPr>
              <w:spacing w:line="360" w:lineRule="auto"/>
              <w:jc w:val="center"/>
              <w:rPr>
                <w:rFonts w:ascii="宋体" w:hAnsi="宋体"/>
                <w:szCs w:val="21"/>
              </w:rPr>
            </w:pPr>
            <w:r>
              <w:rPr>
                <w:rFonts w:hint="eastAsia" w:ascii="宋体" w:hAnsi="宋体"/>
                <w:szCs w:val="21"/>
              </w:rPr>
              <w:t>保证金退还所需资料</w:t>
            </w:r>
          </w:p>
        </w:tc>
        <w:tc>
          <w:tcPr>
            <w:tcW w:w="6678" w:type="dxa"/>
            <w:vAlign w:val="center"/>
          </w:tcPr>
          <w:p>
            <w:pPr>
              <w:spacing w:after="120" w:afterLines="50" w:line="288" w:lineRule="auto"/>
              <w:ind w:left="105" w:right="105" w:rightChars="50"/>
              <w:jc w:val="left"/>
            </w:pPr>
            <w:r>
              <w:rPr>
                <w:rFonts w:hint="eastAsia"/>
              </w:rPr>
              <w:t>本项目不缴纳投标保证金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12</w:t>
            </w:r>
          </w:p>
        </w:tc>
        <w:tc>
          <w:tcPr>
            <w:tcW w:w="1985" w:type="dxa"/>
            <w:vAlign w:val="center"/>
          </w:tcPr>
          <w:p>
            <w:pPr>
              <w:pStyle w:val="57"/>
              <w:spacing w:line="360" w:lineRule="auto"/>
              <w:ind w:left="96"/>
              <w:jc w:val="center"/>
              <w:rPr>
                <w:sz w:val="21"/>
                <w:szCs w:val="21"/>
                <w:lang w:val="zh-CN"/>
              </w:rPr>
            </w:pPr>
            <w:r>
              <w:rPr>
                <w:rFonts w:hint="eastAsia"/>
                <w:sz w:val="21"/>
                <w:szCs w:val="21"/>
                <w:lang w:val="zh-CN"/>
              </w:rPr>
              <w:t>履约保证金</w:t>
            </w:r>
          </w:p>
        </w:tc>
        <w:tc>
          <w:tcPr>
            <w:tcW w:w="6678" w:type="dxa"/>
            <w:vAlign w:val="center"/>
          </w:tcPr>
          <w:p>
            <w:pPr>
              <w:pStyle w:val="57"/>
              <w:spacing w:after="120" w:line="288" w:lineRule="auto"/>
              <w:ind w:left="105" w:right="105"/>
              <w:rPr>
                <w:sz w:val="21"/>
                <w:szCs w:val="21"/>
              </w:rPr>
            </w:pPr>
            <w:r>
              <w:rPr>
                <w:sz w:val="21"/>
                <w:szCs w:val="21"/>
              </w:rPr>
              <w:t>不缴纳</w:t>
            </w:r>
            <w:r>
              <w:rPr>
                <w:rFonts w:hint="eastAsia"/>
                <w:sz w:val="21"/>
                <w:szCs w:val="21"/>
              </w:rPr>
              <w:t>□</w:t>
            </w:r>
          </w:p>
          <w:p>
            <w:pPr>
              <w:pStyle w:val="57"/>
              <w:spacing w:after="120" w:line="288" w:lineRule="auto"/>
              <w:ind w:left="105" w:right="105"/>
              <w:rPr>
                <w:sz w:val="21"/>
                <w:szCs w:val="21"/>
              </w:rPr>
            </w:pPr>
            <w:r>
              <w:rPr>
                <w:sz w:val="21"/>
                <w:szCs w:val="21"/>
              </w:rPr>
              <w:t>缴  纳</w:t>
            </w:r>
            <w:r>
              <w:rPr>
                <w:rFonts w:hint="eastAsia"/>
                <w:sz w:val="21"/>
                <w:szCs w:val="21"/>
              </w:rPr>
              <w:t>☑</w:t>
            </w:r>
          </w:p>
          <w:p>
            <w:pPr>
              <w:pStyle w:val="57"/>
              <w:spacing w:after="120" w:line="288" w:lineRule="auto"/>
              <w:ind w:left="105" w:right="105"/>
              <w:rPr>
                <w:sz w:val="21"/>
                <w:szCs w:val="21"/>
              </w:rPr>
            </w:pPr>
            <w:r>
              <w:rPr>
                <w:sz w:val="21"/>
                <w:szCs w:val="21"/>
              </w:rPr>
              <w:t>缴纳金额：</w:t>
            </w:r>
            <w:r>
              <w:rPr>
                <w:sz w:val="21"/>
                <w:szCs w:val="21"/>
                <w:highlight w:val="yellow"/>
              </w:rPr>
              <w:t>合同金额的</w:t>
            </w:r>
            <w:r>
              <w:rPr>
                <w:rFonts w:hint="eastAsia"/>
                <w:sz w:val="21"/>
                <w:szCs w:val="21"/>
                <w:highlight w:val="yellow"/>
              </w:rPr>
              <w:t>5</w:t>
            </w:r>
            <w:r>
              <w:rPr>
                <w:sz w:val="21"/>
                <w:szCs w:val="21"/>
                <w:highlight w:val="yellow"/>
              </w:rPr>
              <w:t>%</w:t>
            </w:r>
          </w:p>
          <w:p>
            <w:pPr>
              <w:pStyle w:val="57"/>
              <w:spacing w:after="120" w:line="288" w:lineRule="auto"/>
              <w:ind w:left="105" w:right="105"/>
              <w:rPr>
                <w:sz w:val="21"/>
                <w:szCs w:val="21"/>
              </w:rPr>
            </w:pPr>
            <w:r>
              <w:rPr>
                <w:sz w:val="21"/>
                <w:szCs w:val="21"/>
              </w:rPr>
              <w:t>缴纳方式：履约保证金可以以支票、汇票、本票或者金融机构出具的保函等非现金形式提交（包括网银转账，电汇等方式）。</w:t>
            </w:r>
          </w:p>
          <w:p>
            <w:pPr>
              <w:pStyle w:val="57"/>
              <w:spacing w:after="120" w:line="288" w:lineRule="auto"/>
              <w:ind w:left="105" w:right="105"/>
              <w:rPr>
                <w:sz w:val="21"/>
                <w:szCs w:val="21"/>
              </w:rPr>
            </w:pPr>
            <w:r>
              <w:rPr>
                <w:sz w:val="21"/>
                <w:szCs w:val="21"/>
              </w:rPr>
              <w:t>收款单位：</w:t>
            </w:r>
            <w:r>
              <w:rPr>
                <w:rFonts w:hint="eastAsia"/>
                <w:sz w:val="21"/>
                <w:szCs w:val="21"/>
              </w:rPr>
              <w:t>成都市绿化工程队</w:t>
            </w:r>
          </w:p>
          <w:p>
            <w:pPr>
              <w:pStyle w:val="57"/>
              <w:spacing w:after="120" w:line="288" w:lineRule="auto"/>
              <w:ind w:left="105" w:right="105"/>
              <w:rPr>
                <w:sz w:val="21"/>
                <w:szCs w:val="21"/>
              </w:rPr>
            </w:pPr>
            <w:r>
              <w:rPr>
                <w:sz w:val="21"/>
                <w:szCs w:val="21"/>
              </w:rPr>
              <w:t>开户行：</w:t>
            </w:r>
            <w:r>
              <w:rPr>
                <w:rFonts w:hint="eastAsia"/>
                <w:sz w:val="21"/>
                <w:szCs w:val="21"/>
              </w:rPr>
              <w:t>成都银行解放路支行</w:t>
            </w:r>
          </w:p>
          <w:p>
            <w:pPr>
              <w:pStyle w:val="57"/>
              <w:spacing w:after="120" w:line="288" w:lineRule="auto"/>
              <w:ind w:left="105" w:right="105"/>
              <w:rPr>
                <w:sz w:val="21"/>
                <w:szCs w:val="21"/>
              </w:rPr>
            </w:pPr>
            <w:r>
              <w:rPr>
                <w:sz w:val="21"/>
                <w:szCs w:val="21"/>
              </w:rPr>
              <w:t>银行账号：</w:t>
            </w:r>
            <w:r>
              <w:rPr>
                <w:rFonts w:hint="eastAsia"/>
                <w:sz w:val="21"/>
                <w:szCs w:val="21"/>
              </w:rPr>
              <w:t>16012012210954000012</w:t>
            </w:r>
          </w:p>
          <w:p>
            <w:pPr>
              <w:pStyle w:val="57"/>
              <w:spacing w:after="120" w:line="288" w:lineRule="auto"/>
              <w:ind w:left="105" w:right="105"/>
              <w:rPr>
                <w:sz w:val="21"/>
                <w:szCs w:val="21"/>
              </w:rPr>
            </w:pPr>
            <w:r>
              <w:rPr>
                <w:sz w:val="21"/>
                <w:szCs w:val="21"/>
              </w:rPr>
              <w:t>缴纳时间：中标通知书领取后，合同签订前。</w:t>
            </w:r>
          </w:p>
          <w:p>
            <w:pPr>
              <w:pStyle w:val="57"/>
              <w:spacing w:after="120" w:line="288" w:lineRule="auto"/>
              <w:ind w:left="105" w:right="105"/>
              <w:rPr>
                <w:sz w:val="21"/>
                <w:szCs w:val="21"/>
              </w:rPr>
            </w:pPr>
            <w:r>
              <w:rPr>
                <w:sz w:val="21"/>
                <w:szCs w:val="21"/>
              </w:rPr>
              <w:t>注：提供保函的的担保机构必须是依法成立的具有相关资质和偿付能力的担保机构。保函是银行等金融机构出具的，保函必须要在中国人民银行征信系统能够进行查询，否则将取消成交资格，采购人将重新确定成交中标人，并依法追究法律责任。</w:t>
            </w:r>
          </w:p>
          <w:p>
            <w:pPr>
              <w:pStyle w:val="57"/>
              <w:spacing w:after="120" w:line="288" w:lineRule="auto"/>
              <w:ind w:left="105" w:right="105"/>
              <w:rPr>
                <w:sz w:val="21"/>
                <w:szCs w:val="21"/>
              </w:rPr>
            </w:pPr>
            <w:r>
              <w:rPr>
                <w:sz w:val="21"/>
                <w:szCs w:val="21"/>
              </w:rPr>
              <w:t>履约保证金退还方式：</w:t>
            </w:r>
            <w:r>
              <w:rPr>
                <w:sz w:val="21"/>
                <w:szCs w:val="21"/>
                <w:u w:val="single"/>
              </w:rPr>
              <w:t>根据中标人履约保证金提交方式原路退回</w:t>
            </w:r>
            <w:r>
              <w:rPr>
                <w:sz w:val="21"/>
                <w:szCs w:val="21"/>
              </w:rPr>
              <w:t>。</w:t>
            </w:r>
          </w:p>
          <w:p>
            <w:pPr>
              <w:pStyle w:val="57"/>
              <w:spacing w:after="120" w:line="288" w:lineRule="auto"/>
              <w:ind w:left="105" w:right="105"/>
              <w:rPr>
                <w:sz w:val="21"/>
                <w:szCs w:val="21"/>
              </w:rPr>
            </w:pPr>
            <w:r>
              <w:rPr>
                <w:sz w:val="21"/>
                <w:szCs w:val="21"/>
              </w:rPr>
              <w:t>履约保证金退还时间：</w:t>
            </w:r>
            <w:r>
              <w:rPr>
                <w:sz w:val="21"/>
                <w:szCs w:val="21"/>
                <w:highlight w:val="yellow"/>
                <w:u w:val="single"/>
              </w:rPr>
              <w:t>项目验收合格后</w:t>
            </w:r>
            <w:r>
              <w:rPr>
                <w:rFonts w:hint="eastAsia"/>
                <w:sz w:val="21"/>
                <w:szCs w:val="21"/>
                <w:highlight w:val="yellow"/>
                <w:u w:val="single"/>
              </w:rPr>
              <w:t>，履约保证金自动转换为质量保证金</w:t>
            </w:r>
            <w:r>
              <w:rPr>
                <w:sz w:val="21"/>
                <w:szCs w:val="21"/>
                <w:highlight w:val="yellow"/>
              </w:rPr>
              <w:t>。</w:t>
            </w:r>
          </w:p>
          <w:p>
            <w:pPr>
              <w:pStyle w:val="57"/>
              <w:spacing w:after="120" w:line="288" w:lineRule="auto"/>
              <w:ind w:left="105" w:right="105"/>
              <w:rPr>
                <w:sz w:val="21"/>
                <w:szCs w:val="21"/>
              </w:rPr>
            </w:pPr>
            <w:r>
              <w:rPr>
                <w:sz w:val="21"/>
                <w:szCs w:val="21"/>
              </w:rPr>
              <w:t>履约保证金不予退还情形：</w:t>
            </w:r>
            <w:r>
              <w:rPr>
                <w:sz w:val="21"/>
                <w:szCs w:val="21"/>
                <w:u w:val="single"/>
              </w:rPr>
              <w:t>中标人不履行与采购人订立的合同的，履约保证金不予退还</w:t>
            </w:r>
            <w:r>
              <w:rPr>
                <w:sz w:val="21"/>
                <w:szCs w:val="21"/>
              </w:rPr>
              <w:t>。</w:t>
            </w:r>
          </w:p>
          <w:p>
            <w:pPr>
              <w:pStyle w:val="57"/>
              <w:spacing w:after="120" w:afterLines="50" w:line="288" w:lineRule="auto"/>
              <w:ind w:left="105" w:leftChars="50" w:right="105" w:rightChars="50"/>
              <w:rPr>
                <w:sz w:val="21"/>
                <w:szCs w:val="21"/>
              </w:rPr>
            </w:pPr>
            <w:r>
              <w:rPr>
                <w:sz w:val="21"/>
                <w:szCs w:val="21"/>
              </w:rPr>
              <w:t>履约保证金不予退还的，将按照有关规定上缴国库。逾期退还履约保证金的，将依法承担法律责任，并赔偿中标人损失。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1985" w:type="dxa"/>
            <w:tcBorders>
              <w:top w:val="single" w:color="auto" w:sz="4" w:space="0"/>
              <w:bottom w:val="single" w:color="auto" w:sz="4" w:space="0"/>
            </w:tcBorders>
            <w:vAlign w:val="center"/>
          </w:tcPr>
          <w:p>
            <w:pPr>
              <w:pStyle w:val="57"/>
              <w:spacing w:line="360" w:lineRule="auto"/>
              <w:jc w:val="center"/>
              <w:rPr>
                <w:rFonts w:cs="Times New Roman"/>
                <w:kern w:val="2"/>
                <w:sz w:val="21"/>
                <w:szCs w:val="21"/>
              </w:rPr>
            </w:pPr>
            <w:r>
              <w:rPr>
                <w:rFonts w:hint="eastAsia" w:cs="Times New Roman"/>
                <w:bCs/>
                <w:kern w:val="2"/>
                <w:sz w:val="21"/>
                <w:szCs w:val="21"/>
              </w:rPr>
              <w:t>采购文件内容咨询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1985" w:type="dxa"/>
            <w:tcBorders>
              <w:top w:val="single" w:color="auto" w:sz="4" w:space="0"/>
              <w:bottom w:val="single" w:color="auto" w:sz="4" w:space="0"/>
            </w:tcBorders>
            <w:vAlign w:val="center"/>
          </w:tcPr>
          <w:p>
            <w:pPr>
              <w:pStyle w:val="57"/>
              <w:spacing w:line="360" w:lineRule="auto"/>
              <w:jc w:val="center"/>
              <w:rPr>
                <w:rFonts w:cs="Times New Roman"/>
                <w:kern w:val="2"/>
                <w:sz w:val="21"/>
                <w:szCs w:val="21"/>
              </w:rPr>
            </w:pPr>
            <w:r>
              <w:rPr>
                <w:rFonts w:hint="eastAsia" w:cs="Times New Roman"/>
                <w:kern w:val="2"/>
                <w:sz w:val="21"/>
                <w:szCs w:val="21"/>
              </w:rPr>
              <w:t>开标、评标工作咨询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1985" w:type="dxa"/>
            <w:tcBorders>
              <w:top w:val="single" w:color="auto" w:sz="4" w:space="0"/>
              <w:bottom w:val="single" w:color="auto" w:sz="4" w:space="0"/>
            </w:tcBorders>
            <w:vAlign w:val="center"/>
          </w:tcPr>
          <w:p>
            <w:pPr>
              <w:pStyle w:val="57"/>
              <w:spacing w:line="360" w:lineRule="auto"/>
              <w:jc w:val="center"/>
              <w:rPr>
                <w:sz w:val="21"/>
                <w:szCs w:val="21"/>
              </w:rPr>
            </w:pPr>
            <w:r>
              <w:rPr>
                <w:rFonts w:hint="eastAsia"/>
                <w:sz w:val="21"/>
                <w:szCs w:val="21"/>
              </w:rPr>
              <w:t>评标情况公告</w:t>
            </w:r>
          </w:p>
        </w:tc>
        <w:tc>
          <w:tcPr>
            <w:tcW w:w="6678" w:type="dxa"/>
            <w:tcBorders>
              <w:top w:val="single" w:color="auto" w:sz="4" w:space="0"/>
              <w:bottom w:val="single" w:color="auto" w:sz="4" w:space="0"/>
            </w:tcBorders>
            <w:vAlign w:val="center"/>
          </w:tcPr>
          <w:p>
            <w:pPr>
              <w:pStyle w:val="57"/>
              <w:spacing w:after="120" w:afterLines="50" w:line="288" w:lineRule="auto"/>
              <w:ind w:left="105" w:leftChars="50" w:right="105" w:rightChars="50"/>
              <w:rPr>
                <w:sz w:val="21"/>
                <w:szCs w:val="21"/>
              </w:rPr>
            </w:pPr>
            <w:r>
              <w:rPr>
                <w:rFonts w:hint="eastAsia"/>
                <w:sz w:val="21"/>
                <w:szCs w:val="21"/>
              </w:rPr>
              <w:t>所有投标人投标文件资格性、符合性检查情况、采用综合评分法时的总得分和分项汇总得分情况、评标结果等将在四川政府采购网上采购结果公告栏中予以公告。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1985" w:type="dxa"/>
            <w:tcBorders>
              <w:top w:val="single" w:color="auto" w:sz="4" w:space="0"/>
            </w:tcBorders>
            <w:vAlign w:val="center"/>
          </w:tcPr>
          <w:p>
            <w:pPr>
              <w:spacing w:line="360" w:lineRule="auto"/>
              <w:ind w:left="105" w:leftChars="50" w:right="105" w:rightChars="50"/>
              <w:jc w:val="center"/>
              <w:rPr>
                <w:rFonts w:ascii="宋体" w:hAnsi="宋体"/>
                <w:szCs w:val="21"/>
              </w:rPr>
            </w:pPr>
            <w:r>
              <w:rPr>
                <w:rFonts w:hint="eastAsia" w:ascii="宋体" w:hAnsi="宋体"/>
                <w:szCs w:val="21"/>
              </w:rPr>
              <w:t>中标通知书领取</w:t>
            </w:r>
          </w:p>
        </w:tc>
        <w:tc>
          <w:tcPr>
            <w:tcW w:w="6678" w:type="dxa"/>
            <w:tcBorders>
              <w:top w:val="single" w:color="auto" w:sz="4" w:space="0"/>
            </w:tcBorders>
            <w:vAlign w:val="center"/>
          </w:tcPr>
          <w:p>
            <w:pPr>
              <w:tabs>
                <w:tab w:val="left" w:pos="7665"/>
              </w:tabs>
              <w:spacing w:after="120" w:afterLines="50" w:line="288" w:lineRule="auto"/>
              <w:ind w:left="105" w:leftChars="50" w:right="105" w:rightChars="50"/>
              <w:jc w:val="left"/>
              <w:rPr>
                <w:rFonts w:ascii="宋体" w:hAnsi="宋体"/>
                <w:szCs w:val="21"/>
              </w:rPr>
            </w:pPr>
            <w:r>
              <w:rPr>
                <w:rFonts w:hint="eastAsia" w:ascii="宋体" w:hAnsi="宋体"/>
                <w:szCs w:val="21"/>
              </w:rPr>
              <w:t>中标公告在四川政府采购网上公告后，请中标人凭有效身份证明证件到</w:t>
            </w:r>
            <w:r>
              <w:rPr>
                <w:rFonts w:hint="eastAsia" w:ascii="宋体" w:hAnsi="宋体"/>
                <w:szCs w:val="21"/>
                <w:lang w:val="zh-CN"/>
              </w:rPr>
              <w:t>采购代理机构</w:t>
            </w:r>
            <w:r>
              <w:rPr>
                <w:rFonts w:hint="eastAsia" w:ascii="宋体" w:hAnsi="宋体"/>
                <w:szCs w:val="21"/>
              </w:rPr>
              <w:t>领取中标通知书。</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联系人及联系电话详见本表第2项。</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highlight w:val="yellow"/>
                <w:lang w:val="zh-CN"/>
              </w:rPr>
              <w:t>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1985" w:type="dxa"/>
            <w:tcBorders>
              <w:top w:val="single" w:color="auto" w:sz="4" w:space="0"/>
            </w:tcBorders>
            <w:vAlign w:val="center"/>
          </w:tcPr>
          <w:p>
            <w:pPr>
              <w:pStyle w:val="57"/>
              <w:spacing w:line="360" w:lineRule="auto"/>
              <w:jc w:val="center"/>
              <w:rPr>
                <w:rFonts w:cs="Times New Roman"/>
                <w:kern w:val="2"/>
                <w:sz w:val="21"/>
                <w:szCs w:val="21"/>
              </w:rPr>
            </w:pPr>
            <w:r>
              <w:rPr>
                <w:rFonts w:hint="eastAsia" w:cs="Times New Roman"/>
                <w:kern w:val="2"/>
                <w:sz w:val="21"/>
                <w:szCs w:val="21"/>
              </w:rPr>
              <w:t>投标人询问</w:t>
            </w:r>
          </w:p>
        </w:tc>
        <w:tc>
          <w:tcPr>
            <w:tcW w:w="6678" w:type="dxa"/>
            <w:tcBorders>
              <w:top w:val="single" w:color="auto" w:sz="4" w:space="0"/>
            </w:tcBorders>
            <w:vAlign w:val="center"/>
          </w:tcPr>
          <w:p>
            <w:pPr>
              <w:spacing w:after="120" w:afterLines="50" w:line="288" w:lineRule="auto"/>
              <w:ind w:left="105" w:leftChars="50" w:right="105" w:rightChars="50"/>
              <w:jc w:val="left"/>
              <w:rPr>
                <w:rFonts w:ascii="宋体" w:hAnsi="宋体"/>
                <w:szCs w:val="21"/>
                <w:lang w:val="zh-CN"/>
              </w:rPr>
            </w:pPr>
            <w:r>
              <w:rPr>
                <w:rFonts w:hint="eastAsia" w:ascii="宋体" w:hAnsi="宋体"/>
                <w:szCs w:val="21"/>
              </w:rPr>
              <w:t>根据《中华人民共和国财政部令第94号--政府采购质疑和投诉办法》、委托代理协议约定，投标人询问由</w:t>
            </w:r>
            <w:r>
              <w:rPr>
                <w:rFonts w:hint="eastAsia" w:ascii="宋体" w:hAnsi="宋体"/>
                <w:szCs w:val="21"/>
                <w:lang w:val="zh-CN"/>
              </w:rPr>
              <w:t>采购代理机构负责答复。</w:t>
            </w:r>
            <w:r>
              <w:rPr>
                <w:rFonts w:hint="eastAsia"/>
                <w:b/>
              </w:rPr>
              <w:t>询问必须以书面形式（原件）提出，以其他形式提出的询问均不接受和回复。</w:t>
            </w:r>
          </w:p>
          <w:p>
            <w:pPr>
              <w:spacing w:after="120" w:afterLines="50" w:line="288" w:lineRule="auto"/>
              <w:ind w:left="105" w:leftChars="50" w:right="105" w:rightChars="50"/>
              <w:jc w:val="left"/>
              <w:rPr>
                <w:rFonts w:ascii="宋体" w:hAnsi="宋体"/>
                <w:szCs w:val="21"/>
              </w:rPr>
            </w:pPr>
            <w:r>
              <w:rPr>
                <w:rFonts w:hint="eastAsia" w:ascii="宋体" w:hAnsi="宋体"/>
                <w:szCs w:val="21"/>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18</w:t>
            </w:r>
          </w:p>
        </w:tc>
        <w:tc>
          <w:tcPr>
            <w:tcW w:w="1985" w:type="dxa"/>
            <w:vAlign w:val="center"/>
          </w:tcPr>
          <w:p>
            <w:pPr>
              <w:pStyle w:val="57"/>
              <w:spacing w:line="360" w:lineRule="auto"/>
              <w:jc w:val="center"/>
              <w:rPr>
                <w:rFonts w:cs="Times New Roman"/>
                <w:kern w:val="2"/>
                <w:sz w:val="21"/>
                <w:szCs w:val="21"/>
              </w:rPr>
            </w:pPr>
            <w:r>
              <w:rPr>
                <w:rFonts w:hint="eastAsia" w:cs="Times New Roman"/>
                <w:kern w:val="2"/>
                <w:sz w:val="21"/>
                <w:szCs w:val="21"/>
              </w:rPr>
              <w:t>投标人质疑</w:t>
            </w:r>
          </w:p>
        </w:tc>
        <w:tc>
          <w:tcPr>
            <w:tcW w:w="6678" w:type="dxa"/>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根据《中华人民共和国财政部令第94号--政府采购质疑和投诉办法》、委托代理协议约定，投标人质疑由</w:t>
            </w:r>
            <w:r>
              <w:rPr>
                <w:rFonts w:hint="eastAsia" w:ascii="宋体" w:hAnsi="宋体"/>
                <w:szCs w:val="21"/>
                <w:lang w:val="zh-CN"/>
              </w:rPr>
              <w:t>采购代理机构负责答复。</w:t>
            </w:r>
            <w:r>
              <w:rPr>
                <w:rFonts w:hint="eastAsia"/>
                <w:b/>
              </w:rPr>
              <w:t>质疑必须以书面形式（原件）提出，以其他形式提出的质疑均不接受和回复。</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联系人、联系电话及地址详见本表第2项。</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注：</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1.根据《中华人民共和国政府采购法》的规定，投标人质疑不得超出采购文件、采购过程、采购结果的范围。</w:t>
            </w:r>
          </w:p>
          <w:p>
            <w:pPr>
              <w:spacing w:after="120" w:afterLines="50" w:line="288" w:lineRule="auto"/>
              <w:ind w:left="105" w:leftChars="50" w:right="105" w:rightChars="50"/>
              <w:jc w:val="left"/>
              <w:rPr>
                <w:rFonts w:ascii="宋体" w:hAnsi="宋体"/>
                <w:szCs w:val="21"/>
              </w:rPr>
            </w:pPr>
            <w:r>
              <w:rPr>
                <w:rFonts w:hint="eastAsia" w:ascii="宋体" w:hAnsi="宋体"/>
                <w:szCs w:val="21"/>
              </w:rPr>
              <w:t>2.投标人应当在法定质疑期内一次性提出针对同一采购程序环节的质疑。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6"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19</w:t>
            </w:r>
          </w:p>
        </w:tc>
        <w:tc>
          <w:tcPr>
            <w:tcW w:w="1985" w:type="dxa"/>
            <w:vAlign w:val="center"/>
          </w:tcPr>
          <w:p>
            <w:pPr>
              <w:pStyle w:val="57"/>
              <w:spacing w:line="360" w:lineRule="auto"/>
              <w:jc w:val="center"/>
              <w:rPr>
                <w:rFonts w:cs="Times New Roman"/>
                <w:kern w:val="2"/>
                <w:sz w:val="21"/>
                <w:szCs w:val="21"/>
              </w:rPr>
            </w:pPr>
            <w:r>
              <w:rPr>
                <w:rFonts w:hint="eastAsia" w:cs="Times New Roman"/>
                <w:kern w:val="2"/>
                <w:sz w:val="21"/>
                <w:szCs w:val="21"/>
              </w:rPr>
              <w:t>投标人投诉</w:t>
            </w:r>
          </w:p>
        </w:tc>
        <w:tc>
          <w:tcPr>
            <w:tcW w:w="6678" w:type="dxa"/>
            <w:vAlign w:val="center"/>
          </w:tcPr>
          <w:p>
            <w:pPr>
              <w:pStyle w:val="16"/>
              <w:spacing w:after="120" w:line="288" w:lineRule="auto"/>
              <w:ind w:left="105" w:right="105"/>
              <w:jc w:val="left"/>
              <w:rPr>
                <w:rFonts w:ascii="宋体" w:hAnsi="宋体" w:cs="宋体"/>
                <w:sz w:val="24"/>
              </w:rPr>
            </w:pPr>
            <w:r>
              <w:rPr>
                <w:rFonts w:hint="eastAsia" w:ascii="宋体" w:hAnsi="宋体" w:cs="宋体"/>
                <w:kern w:val="0"/>
                <w:sz w:val="24"/>
                <w:lang w:bidi="hi-IN"/>
              </w:rPr>
              <w:t>投诉受理单位：本采购项目同级财政部门，即成都市财政局。</w:t>
            </w:r>
          </w:p>
          <w:p>
            <w:pPr>
              <w:pStyle w:val="16"/>
              <w:spacing w:after="120" w:line="288" w:lineRule="auto"/>
              <w:ind w:left="105" w:right="105"/>
              <w:jc w:val="left"/>
              <w:rPr>
                <w:rFonts w:ascii="宋体" w:hAnsi="宋体" w:cs="宋体"/>
                <w:sz w:val="24"/>
              </w:rPr>
            </w:pPr>
            <w:r>
              <w:rPr>
                <w:rFonts w:hint="eastAsia" w:ascii="宋体" w:hAnsi="宋体" w:cs="宋体"/>
                <w:kern w:val="0"/>
                <w:sz w:val="24"/>
                <w:lang w:bidi="hi-IN"/>
              </w:rPr>
              <w:t>联系电话：028-61882648。</w:t>
            </w:r>
          </w:p>
          <w:p>
            <w:pPr>
              <w:pStyle w:val="16"/>
              <w:spacing w:after="120" w:line="288" w:lineRule="auto"/>
              <w:ind w:left="105" w:right="105"/>
              <w:jc w:val="left"/>
              <w:rPr>
                <w:rFonts w:ascii="宋体" w:hAnsi="宋体" w:cs="宋体"/>
                <w:sz w:val="24"/>
              </w:rPr>
            </w:pPr>
            <w:r>
              <w:rPr>
                <w:rFonts w:hint="eastAsia" w:ascii="宋体" w:hAnsi="宋体" w:cs="宋体"/>
                <w:kern w:val="0"/>
                <w:sz w:val="24"/>
                <w:lang w:bidi="hi-IN"/>
              </w:rPr>
              <w:t>地址：成都市高新区锦城大道366号。</w:t>
            </w:r>
          </w:p>
          <w:p>
            <w:pPr>
              <w:spacing w:after="120" w:afterLines="50" w:line="288" w:lineRule="auto"/>
              <w:ind w:left="105" w:leftChars="50" w:right="105" w:rightChars="50"/>
              <w:jc w:val="left"/>
              <w:rPr>
                <w:szCs w:val="21"/>
              </w:rPr>
            </w:pPr>
            <w:r>
              <w:rPr>
                <w:rFonts w:hint="eastAsia" w:ascii="宋体" w:hAnsi="宋体" w:cs="宋体"/>
                <w:kern w:val="0"/>
                <w:sz w:val="24"/>
                <w:lang w:bidi="hi-IN"/>
              </w:rPr>
              <w:t>注：根据《中华人民共和国政府采购法实施条例》的规定，投标人投诉事项不得超出已质疑事项的范围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20</w:t>
            </w:r>
          </w:p>
        </w:tc>
        <w:tc>
          <w:tcPr>
            <w:tcW w:w="1985" w:type="dxa"/>
            <w:tcBorders>
              <w:right w:val="single" w:color="auto" w:sz="4" w:space="0"/>
            </w:tcBorders>
            <w:vAlign w:val="center"/>
          </w:tcPr>
          <w:p>
            <w:pPr>
              <w:spacing w:line="360" w:lineRule="auto"/>
              <w:ind w:firstLine="105" w:firstLineChars="50"/>
              <w:jc w:val="center"/>
              <w:rPr>
                <w:rFonts w:ascii="宋体" w:hAnsi="宋体"/>
                <w:szCs w:val="21"/>
              </w:rPr>
            </w:pPr>
            <w:r>
              <w:rPr>
                <w:rFonts w:hint="eastAsia" w:ascii="宋体" w:hAnsi="宋体"/>
                <w:szCs w:val="21"/>
              </w:rPr>
              <w:t>政府采购合同</w:t>
            </w:r>
          </w:p>
          <w:p>
            <w:pPr>
              <w:spacing w:line="360" w:lineRule="auto"/>
              <w:ind w:firstLine="105" w:firstLineChars="50"/>
              <w:jc w:val="center"/>
              <w:rPr>
                <w:rFonts w:ascii="宋体" w:hAnsi="宋体"/>
                <w:szCs w:val="21"/>
              </w:rPr>
            </w:pPr>
            <w:r>
              <w:rPr>
                <w:rFonts w:hint="eastAsia" w:ascii="宋体" w:hAnsi="宋体"/>
                <w:szCs w:val="21"/>
              </w:rPr>
              <w:t>公告备案</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21</w:t>
            </w:r>
          </w:p>
        </w:tc>
        <w:tc>
          <w:tcPr>
            <w:tcW w:w="1985" w:type="dxa"/>
            <w:tcBorders>
              <w:right w:val="single" w:color="auto" w:sz="4" w:space="0"/>
            </w:tcBorders>
            <w:vAlign w:val="center"/>
          </w:tcPr>
          <w:p>
            <w:pPr>
              <w:pStyle w:val="57"/>
              <w:spacing w:line="360" w:lineRule="auto"/>
              <w:ind w:left="96"/>
              <w:jc w:val="center"/>
              <w:rPr>
                <w:sz w:val="21"/>
                <w:szCs w:val="21"/>
              </w:rPr>
            </w:pPr>
            <w:r>
              <w:rPr>
                <w:rFonts w:hint="eastAsia"/>
                <w:sz w:val="21"/>
                <w:szCs w:val="21"/>
                <w:lang w:val="zh-CN"/>
              </w:rPr>
              <w:t>采购代理服务费</w:t>
            </w:r>
          </w:p>
        </w:tc>
        <w:tc>
          <w:tcPr>
            <w:tcW w:w="6678" w:type="dxa"/>
            <w:tcBorders>
              <w:left w:val="single" w:color="auto" w:sz="4" w:space="0"/>
            </w:tcBorders>
            <w:vAlign w:val="center"/>
          </w:tcPr>
          <w:p>
            <w:pPr>
              <w:pStyle w:val="57"/>
              <w:spacing w:after="120" w:afterLines="50" w:line="288" w:lineRule="auto"/>
              <w:ind w:left="105" w:leftChars="50" w:right="105" w:rightChars="50"/>
              <w:rPr>
                <w:sz w:val="21"/>
                <w:szCs w:val="21"/>
                <w:highlight w:val="yellow"/>
                <w:lang w:val="zh-CN"/>
              </w:rPr>
            </w:pPr>
            <w:r>
              <w:rPr>
                <w:rFonts w:hint="eastAsia"/>
                <w:kern w:val="0"/>
                <w:sz w:val="21"/>
                <w:szCs w:val="21"/>
                <w:highlight w:val="none"/>
                <w:lang w:val="zh-CN"/>
              </w:rPr>
              <w:t>以中标金额作为计算基数,100万（含）以下部分乘以1.5%计算收取，100-500万（含）部分乘以</w:t>
            </w:r>
            <w:r>
              <w:rPr>
                <w:rFonts w:hint="eastAsia"/>
                <w:kern w:val="0"/>
                <w:sz w:val="21"/>
                <w:szCs w:val="21"/>
                <w:highlight w:val="none"/>
                <w:lang w:val="en-US" w:eastAsia="zh-CN"/>
              </w:rPr>
              <w:t>0.8</w:t>
            </w:r>
            <w:r>
              <w:rPr>
                <w:rFonts w:hint="eastAsia"/>
                <w:kern w:val="0"/>
                <w:sz w:val="21"/>
                <w:szCs w:val="21"/>
                <w:highlight w:val="none"/>
                <w:lang w:val="zh-CN"/>
              </w:rPr>
              <w:t>%计算收取，</w:t>
            </w:r>
            <w:r>
              <w:rPr>
                <w:rFonts w:hint="eastAsia"/>
                <w:kern w:val="0"/>
                <w:sz w:val="21"/>
                <w:szCs w:val="21"/>
                <w:highlight w:val="none"/>
                <w:lang w:val="en-US" w:eastAsia="zh-CN"/>
              </w:rPr>
              <w:t>500-1000万（含）部分乘以0.45%计算收取；</w:t>
            </w:r>
            <w:r>
              <w:rPr>
                <w:rFonts w:hint="eastAsia"/>
                <w:kern w:val="0"/>
                <w:sz w:val="21"/>
                <w:szCs w:val="21"/>
                <w:highlight w:val="none"/>
                <w:lang w:val="zh-CN"/>
              </w:rPr>
              <w:t>按以上各项结果累计计算后乘以80%计算收取。</w:t>
            </w:r>
            <w:r>
              <w:rPr>
                <w:kern w:val="0"/>
                <w:sz w:val="21"/>
                <w:szCs w:val="21"/>
                <w:highlight w:val="none"/>
                <w:lang w:val="zh-CN"/>
              </w:rPr>
              <w:t>由中标人在领取中标通知书前向招标代理机构交纳招标代理服务费。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22</w:t>
            </w:r>
          </w:p>
        </w:tc>
        <w:tc>
          <w:tcPr>
            <w:tcW w:w="1985"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其他要求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中标人在合同签订之后三个工作日内，将签订的合同（一份原件）送采购代理机构。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23</w:t>
            </w:r>
          </w:p>
        </w:tc>
        <w:tc>
          <w:tcPr>
            <w:tcW w:w="1985" w:type="dxa"/>
            <w:tcBorders>
              <w:right w:val="single" w:color="auto" w:sz="4" w:space="0"/>
            </w:tcBorders>
            <w:vAlign w:val="center"/>
          </w:tcPr>
          <w:p>
            <w:pPr>
              <w:spacing w:line="360" w:lineRule="auto"/>
              <w:jc w:val="center"/>
              <w:rPr>
                <w:rFonts w:ascii="宋体" w:hAnsi="宋体"/>
                <w:b/>
                <w:szCs w:val="21"/>
              </w:rPr>
            </w:pPr>
            <w:r>
              <w:rPr>
                <w:rFonts w:hint="eastAsia" w:ascii="宋体" w:hAnsi="宋体"/>
                <w:b/>
                <w:szCs w:val="21"/>
              </w:rPr>
              <w:t>进口产品</w:t>
            </w:r>
          </w:p>
          <w:p>
            <w:pPr>
              <w:spacing w:line="360" w:lineRule="auto"/>
              <w:jc w:val="center"/>
              <w:rPr>
                <w:rFonts w:ascii="宋体" w:hAnsi="宋体"/>
                <w:szCs w:val="21"/>
              </w:rPr>
            </w:pPr>
            <w:r>
              <w:rPr>
                <w:rFonts w:hint="eastAsia" w:ascii="宋体" w:hAnsi="宋体"/>
                <w:b/>
                <w:szCs w:val="21"/>
              </w:rPr>
              <w:t>（实质性要求）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除非招标文件允许采购进口设备，否则只能用国内产品投标报价；招标文件中明确规定允许采购进口产品的，若因信息不对称等原因，国内产品的质量、技术和服务均能满足需求，按照公平竞争原则，可以参与采购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24</w:t>
            </w:r>
          </w:p>
        </w:tc>
        <w:tc>
          <w:tcPr>
            <w:tcW w:w="1985" w:type="dxa"/>
            <w:tcBorders>
              <w:right w:val="single" w:color="auto" w:sz="4" w:space="0"/>
            </w:tcBorders>
            <w:vAlign w:val="center"/>
          </w:tcPr>
          <w:p>
            <w:pPr>
              <w:spacing w:line="300" w:lineRule="exact"/>
              <w:jc w:val="center"/>
              <w:rPr>
                <w:rFonts w:ascii="宋体" w:hAnsi="宋体"/>
                <w:b/>
                <w:szCs w:val="21"/>
              </w:rPr>
            </w:pPr>
            <w:r>
              <w:rPr>
                <w:rFonts w:hint="eastAsia" w:ascii="宋体" w:hAnsi="宋体" w:cs="宋体"/>
                <w:szCs w:val="21"/>
              </w:rPr>
              <w:t>信用融资政策</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rPr>
            </w:pPr>
            <w:r>
              <w:rPr>
                <w:rFonts w:hint="eastAsia"/>
              </w:rPr>
              <w:t>根据《四川省财政厅关于推进四川省政府采购供应商信用融资工作的通知》(川财采(2018)123号)等有关规定。本项目可开展中小企业政府采购信用融资政策。</w:t>
            </w:r>
          </w:p>
          <w:p>
            <w:pPr>
              <w:pStyle w:val="2"/>
            </w:pPr>
            <w:r>
              <w:rPr>
                <w:rFonts w:hint="eastAsia" w:ascii="Times New Roman" w:hAnsi="Times New Roman" w:eastAsia="宋体" w:cs="Times New Roman"/>
                <w:color w:val="auto"/>
                <w:kern w:val="2"/>
                <w:sz w:val="21"/>
                <w:szCs w:val="24"/>
                <w:lang w:val="en-US" w:eastAsia="zh-CN" w:bidi="ar-SA"/>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p>
        </w:tc>
      </w:tr>
    </w:tbl>
    <w:p>
      <w:pPr>
        <w:rPr>
          <w:rFonts w:ascii="宋体" w:hAnsi="宋体"/>
        </w:rPr>
      </w:pPr>
    </w:p>
    <w:p>
      <w:pPr>
        <w:pStyle w:val="4"/>
        <w:spacing w:line="400" w:lineRule="exact"/>
        <w:jc w:val="center"/>
        <w:rPr>
          <w:rFonts w:ascii="宋体" w:hAnsi="宋体" w:eastAsia="宋体"/>
          <w:bCs w:val="0"/>
        </w:rPr>
      </w:pPr>
      <w:r>
        <w:rPr>
          <w:rFonts w:hint="eastAsia" w:ascii="宋体" w:hAnsi="宋体" w:eastAsia="宋体"/>
          <w:bCs w:val="0"/>
        </w:rPr>
        <w:t>二、总  则</w:t>
      </w:r>
    </w:p>
    <w:p>
      <w:pPr>
        <w:pStyle w:val="5"/>
        <w:spacing w:before="0" w:after="0" w:line="400" w:lineRule="exact"/>
        <w:ind w:firstLine="482" w:firstLineChars="200"/>
        <w:rPr>
          <w:rFonts w:ascii="宋体" w:hAnsi="宋体"/>
          <w:sz w:val="24"/>
          <w:szCs w:val="24"/>
        </w:rPr>
      </w:pPr>
      <w:bookmarkStart w:id="43" w:name="_Toc183582205"/>
      <w:bookmarkStart w:id="44" w:name="_Toc183682342"/>
      <w:bookmarkStart w:id="45" w:name="_Toc217446034"/>
      <w:r>
        <w:rPr>
          <w:rFonts w:hint="eastAsia" w:ascii="宋体" w:hAnsi="宋体"/>
          <w:sz w:val="24"/>
          <w:szCs w:val="24"/>
        </w:rPr>
        <w:t>1.</w:t>
      </w:r>
      <w:bookmarkEnd w:id="43"/>
      <w:bookmarkEnd w:id="44"/>
      <w:r>
        <w:rPr>
          <w:rFonts w:hint="eastAsia" w:ascii="宋体" w:hAnsi="宋体"/>
          <w:sz w:val="24"/>
          <w:szCs w:val="24"/>
        </w:rPr>
        <w:t xml:space="preserve"> 适用范围</w:t>
      </w:r>
      <w:bookmarkEnd w:id="45"/>
    </w:p>
    <w:p>
      <w:pPr>
        <w:tabs>
          <w:tab w:val="left" w:pos="7665"/>
        </w:tabs>
        <w:spacing w:line="400" w:lineRule="exact"/>
        <w:ind w:firstLine="480" w:firstLineChars="200"/>
        <w:rPr>
          <w:rFonts w:ascii="宋体" w:hAnsi="宋体"/>
          <w:sz w:val="24"/>
        </w:rPr>
      </w:pPr>
      <w:r>
        <w:rPr>
          <w:rFonts w:hint="eastAsia" w:ascii="宋体" w:hAnsi="宋体"/>
          <w:sz w:val="24"/>
        </w:rPr>
        <w:t>1.1 本招标文件仅适用于本次招标采购项目。</w:t>
      </w:r>
    </w:p>
    <w:p>
      <w:pPr>
        <w:pStyle w:val="5"/>
        <w:spacing w:before="0" w:after="0" w:line="400" w:lineRule="exact"/>
        <w:ind w:firstLine="482" w:firstLineChars="200"/>
        <w:rPr>
          <w:rFonts w:ascii="宋体" w:hAnsi="宋体"/>
          <w:sz w:val="24"/>
        </w:rPr>
      </w:pPr>
      <w:bookmarkStart w:id="46" w:name="_Toc183682343"/>
      <w:bookmarkStart w:id="47" w:name="_Toc183582206"/>
      <w:bookmarkStart w:id="48" w:name="_Toc217446035"/>
      <w:r>
        <w:rPr>
          <w:rFonts w:hint="eastAsia" w:ascii="宋体" w:hAnsi="宋体"/>
          <w:sz w:val="24"/>
        </w:rPr>
        <w:t xml:space="preserve">2. </w:t>
      </w:r>
      <w:bookmarkEnd w:id="46"/>
      <w:bookmarkEnd w:id="47"/>
      <w:r>
        <w:rPr>
          <w:rFonts w:hint="eastAsia" w:ascii="宋体" w:hAnsi="宋体"/>
          <w:sz w:val="24"/>
        </w:rPr>
        <w:t>有关</w:t>
      </w:r>
      <w:r>
        <w:rPr>
          <w:rFonts w:hint="eastAsia" w:ascii="宋体" w:hAnsi="宋体"/>
          <w:sz w:val="24"/>
          <w:szCs w:val="24"/>
        </w:rPr>
        <w:t>定义</w:t>
      </w:r>
      <w:bookmarkEnd w:id="48"/>
    </w:p>
    <w:p>
      <w:pPr>
        <w:tabs>
          <w:tab w:val="left" w:pos="7665"/>
        </w:tabs>
        <w:spacing w:line="400" w:lineRule="exact"/>
        <w:ind w:firstLine="480" w:firstLineChars="200"/>
        <w:rPr>
          <w:rFonts w:ascii="宋体" w:hAnsi="宋体"/>
          <w:sz w:val="24"/>
        </w:rPr>
      </w:pPr>
      <w:r>
        <w:rPr>
          <w:rFonts w:hint="eastAsia" w:ascii="宋体" w:hAnsi="宋体"/>
          <w:sz w:val="24"/>
        </w:rPr>
        <w:t>2.1 “采购人”系指依法进行政府采购的国家机关、事业单位、团体组织。本次招标的采购人</w:t>
      </w:r>
      <w:r>
        <w:rPr>
          <w:rFonts w:hint="eastAsia" w:ascii="宋体" w:hAnsi="宋体"/>
          <w:sz w:val="24"/>
          <w:highlight w:val="yellow"/>
        </w:rPr>
        <w:t>是</w:t>
      </w:r>
      <w:r>
        <w:rPr>
          <w:rFonts w:ascii="宋体" w:hAnsi="宋体"/>
          <w:sz w:val="24"/>
          <w:u w:val="single"/>
        </w:rPr>
        <w:t xml:space="preserve"> </w:t>
      </w:r>
      <w:r>
        <w:rPr>
          <w:rFonts w:ascii="宋体" w:hAnsi="宋体"/>
          <w:b/>
          <w:bCs/>
          <w:sz w:val="24"/>
          <w:u w:val="single"/>
          <w:lang w:eastAsia="zh-Hans"/>
        </w:rPr>
        <w:t>成都市绿化工程队</w:t>
      </w:r>
      <w:r>
        <w:rPr>
          <w:rFonts w:hint="eastAsia" w:ascii="宋体" w:hAnsi="宋体"/>
          <w:b/>
          <w:bCs/>
          <w:sz w:val="24"/>
        </w:rPr>
        <w:t>。</w:t>
      </w:r>
    </w:p>
    <w:p>
      <w:pPr>
        <w:tabs>
          <w:tab w:val="left" w:pos="7665"/>
        </w:tabs>
        <w:spacing w:line="400" w:lineRule="exact"/>
        <w:ind w:firstLine="480" w:firstLineChars="200"/>
        <w:rPr>
          <w:rFonts w:ascii="宋体" w:hAnsi="宋体"/>
          <w:sz w:val="24"/>
        </w:rPr>
      </w:pPr>
      <w:r>
        <w:rPr>
          <w:rFonts w:hint="eastAsia" w:ascii="宋体" w:hAnsi="宋体"/>
          <w:sz w:val="24"/>
        </w:rPr>
        <w:t>2.2 “采购代理机构” 系指根据采购人的委托依法办理招标事宜的采购机构。本次招标的采购代理机构是</w:t>
      </w:r>
      <w:r>
        <w:rPr>
          <w:rFonts w:hint="eastAsia" w:ascii="宋体" w:hAnsi="宋体"/>
          <w:b/>
          <w:bCs/>
          <w:sz w:val="24"/>
          <w:u w:val="single"/>
        </w:rPr>
        <w:t>成都一问工程技术咨询有限公司</w:t>
      </w:r>
      <w:r>
        <w:rPr>
          <w:rFonts w:hint="eastAsia" w:ascii="宋体" w:hAnsi="宋体"/>
          <w:sz w:val="24"/>
        </w:rPr>
        <w:t>。</w:t>
      </w:r>
    </w:p>
    <w:p>
      <w:pPr>
        <w:tabs>
          <w:tab w:val="left" w:pos="7665"/>
        </w:tabs>
        <w:spacing w:line="400" w:lineRule="exact"/>
        <w:ind w:firstLine="480" w:firstLineChars="200"/>
        <w:rPr>
          <w:rFonts w:ascii="宋体" w:hAnsi="宋体"/>
          <w:sz w:val="24"/>
        </w:rPr>
      </w:pPr>
      <w:r>
        <w:rPr>
          <w:rFonts w:hint="eastAsia" w:ascii="宋体" w:hAnsi="宋体"/>
          <w:sz w:val="24"/>
        </w:rPr>
        <w:t>2.3 “招标采购单位”系指“采购人”和“采购代理机构”的统称。</w:t>
      </w:r>
    </w:p>
    <w:p>
      <w:pPr>
        <w:tabs>
          <w:tab w:val="left" w:pos="7665"/>
        </w:tabs>
        <w:spacing w:line="400" w:lineRule="exact"/>
        <w:ind w:firstLine="480" w:firstLineChars="200"/>
        <w:rPr>
          <w:rFonts w:ascii="宋体" w:hAnsi="宋体"/>
          <w:sz w:val="24"/>
        </w:rPr>
      </w:pPr>
      <w:r>
        <w:rPr>
          <w:rFonts w:hint="eastAsia" w:ascii="宋体" w:hAnsi="宋体"/>
          <w:sz w:val="24"/>
        </w:rPr>
        <w:t>2.4 “投标人”系指购买了招标文件拟参加投标和向采购人提供货物及相应服务的投标人。</w:t>
      </w:r>
    </w:p>
    <w:p>
      <w:pPr>
        <w:pStyle w:val="5"/>
        <w:spacing w:before="0" w:after="0" w:line="400" w:lineRule="exact"/>
        <w:ind w:firstLine="482" w:firstLineChars="200"/>
        <w:rPr>
          <w:rFonts w:ascii="宋体" w:hAnsi="宋体"/>
          <w:sz w:val="24"/>
        </w:rPr>
      </w:pPr>
      <w:bookmarkStart w:id="49" w:name="_Toc217446036"/>
      <w:bookmarkStart w:id="50" w:name="_Toc183682344"/>
      <w:bookmarkStart w:id="51" w:name="_Toc217390843"/>
      <w:bookmarkStart w:id="52" w:name="_Toc183582207"/>
      <w:r>
        <w:rPr>
          <w:rFonts w:hint="eastAsia" w:ascii="宋体" w:hAnsi="宋体"/>
          <w:sz w:val="24"/>
        </w:rPr>
        <w:t>3. 合格的投标人</w:t>
      </w:r>
      <w:bookmarkEnd w:id="49"/>
      <w:bookmarkEnd w:id="50"/>
      <w:bookmarkEnd w:id="51"/>
      <w:bookmarkEnd w:id="52"/>
      <w:r>
        <w:rPr>
          <w:rFonts w:hint="eastAsia" w:ascii="宋体" w:hAnsi="宋体"/>
          <w:sz w:val="24"/>
          <w:szCs w:val="24"/>
        </w:rPr>
        <w:t>（实质性要求）</w:t>
      </w:r>
    </w:p>
    <w:p>
      <w:pPr>
        <w:tabs>
          <w:tab w:val="left" w:pos="7665"/>
        </w:tabs>
        <w:spacing w:line="400" w:lineRule="exact"/>
        <w:ind w:firstLine="480" w:firstLineChars="200"/>
        <w:rPr>
          <w:rFonts w:ascii="宋体" w:hAnsi="宋体"/>
          <w:sz w:val="24"/>
        </w:rPr>
      </w:pPr>
      <w:r>
        <w:rPr>
          <w:rFonts w:hint="eastAsia" w:ascii="宋体" w:hAnsi="宋体"/>
          <w:sz w:val="24"/>
        </w:rPr>
        <w:t>合格的投标人应具备以下条件：</w:t>
      </w:r>
    </w:p>
    <w:p>
      <w:pPr>
        <w:tabs>
          <w:tab w:val="left" w:pos="7665"/>
        </w:tabs>
        <w:spacing w:line="400" w:lineRule="exact"/>
        <w:ind w:firstLine="480" w:firstLineChars="200"/>
        <w:rPr>
          <w:rFonts w:ascii="宋体" w:hAnsi="宋体"/>
          <w:spacing w:val="-4"/>
          <w:sz w:val="24"/>
        </w:rPr>
      </w:pPr>
      <w:r>
        <w:rPr>
          <w:rFonts w:hint="eastAsia" w:ascii="宋体" w:hAnsi="宋体"/>
          <w:sz w:val="24"/>
        </w:rPr>
        <w:t>（1）本招标文件规定的投标人资格条件</w:t>
      </w:r>
      <w:r>
        <w:rPr>
          <w:rFonts w:hint="eastAsia" w:ascii="宋体" w:hAnsi="宋体"/>
          <w:spacing w:val="-4"/>
          <w:sz w:val="24"/>
        </w:rPr>
        <w:t>；</w:t>
      </w:r>
    </w:p>
    <w:p>
      <w:pPr>
        <w:tabs>
          <w:tab w:val="left" w:pos="7665"/>
        </w:tabs>
        <w:spacing w:line="400" w:lineRule="exact"/>
        <w:ind w:firstLine="480" w:firstLineChars="200"/>
        <w:rPr>
          <w:rFonts w:ascii="宋体" w:hAnsi="宋体"/>
          <w:sz w:val="24"/>
        </w:rPr>
      </w:pPr>
      <w:r>
        <w:rPr>
          <w:rFonts w:hint="eastAsia" w:ascii="宋体" w:hAnsi="宋体"/>
          <w:sz w:val="24"/>
        </w:rPr>
        <w:t>（2）遵守国家有关的法律、法规、规章和其他政策制度；</w:t>
      </w:r>
    </w:p>
    <w:p>
      <w:pPr>
        <w:tabs>
          <w:tab w:val="left" w:pos="7665"/>
        </w:tabs>
        <w:spacing w:line="400" w:lineRule="exact"/>
        <w:ind w:firstLine="480" w:firstLineChars="200"/>
        <w:rPr>
          <w:rFonts w:ascii="宋体" w:hAnsi="宋体"/>
          <w:sz w:val="24"/>
        </w:rPr>
      </w:pPr>
      <w:r>
        <w:rPr>
          <w:rFonts w:hint="eastAsia" w:ascii="宋体" w:hAnsi="宋体"/>
          <w:sz w:val="24"/>
        </w:rPr>
        <w:t>（3）向采购代理机构购买了招标文件。</w:t>
      </w:r>
    </w:p>
    <w:p>
      <w:pPr>
        <w:pStyle w:val="5"/>
        <w:spacing w:before="0" w:after="0" w:line="400" w:lineRule="exact"/>
        <w:ind w:firstLine="482" w:firstLineChars="200"/>
        <w:rPr>
          <w:rFonts w:ascii="宋体" w:hAnsi="宋体"/>
          <w:sz w:val="24"/>
        </w:rPr>
      </w:pPr>
      <w:bookmarkStart w:id="53" w:name="_Toc183582208"/>
      <w:bookmarkStart w:id="54" w:name="_Toc183682345"/>
      <w:bookmarkStart w:id="55" w:name="_Toc217446037"/>
      <w:r>
        <w:rPr>
          <w:rFonts w:hint="eastAsia" w:ascii="宋体" w:hAnsi="宋体"/>
          <w:sz w:val="24"/>
        </w:rPr>
        <w:t>4. 投标费用</w:t>
      </w:r>
      <w:bookmarkEnd w:id="53"/>
      <w:bookmarkEnd w:id="54"/>
      <w:bookmarkEnd w:id="55"/>
      <w:r>
        <w:rPr>
          <w:rFonts w:hint="eastAsia" w:ascii="宋体" w:hAnsi="宋体"/>
          <w:sz w:val="24"/>
          <w:szCs w:val="24"/>
        </w:rPr>
        <w:t>（实质性要求）</w:t>
      </w:r>
    </w:p>
    <w:p>
      <w:pPr>
        <w:tabs>
          <w:tab w:val="left" w:pos="7665"/>
        </w:tabs>
        <w:spacing w:line="400" w:lineRule="exact"/>
        <w:ind w:firstLine="480"/>
        <w:rPr>
          <w:rFonts w:ascii="宋体" w:hAnsi="宋体"/>
          <w:sz w:val="24"/>
        </w:rPr>
      </w:pPr>
      <w:r>
        <w:rPr>
          <w:rFonts w:hint="eastAsia" w:ascii="宋体" w:hAnsi="宋体"/>
          <w:sz w:val="24"/>
        </w:rPr>
        <w:t>投标人参加投标的有关费用由投标人自行承担。</w:t>
      </w:r>
    </w:p>
    <w:p>
      <w:pPr>
        <w:pStyle w:val="5"/>
        <w:spacing w:before="0" w:after="0" w:line="400" w:lineRule="exact"/>
        <w:ind w:firstLine="482" w:firstLineChars="200"/>
        <w:rPr>
          <w:rFonts w:ascii="宋体" w:hAnsi="宋体"/>
          <w:sz w:val="24"/>
        </w:rPr>
      </w:pPr>
      <w:r>
        <w:rPr>
          <w:rFonts w:hint="eastAsia" w:ascii="宋体" w:hAnsi="宋体"/>
          <w:sz w:val="24"/>
        </w:rPr>
        <w:t>5. 充分、公平竞争保障措施</w:t>
      </w:r>
      <w:r>
        <w:rPr>
          <w:rFonts w:hint="eastAsia" w:ascii="宋体" w:hAnsi="宋体"/>
          <w:sz w:val="24"/>
          <w:szCs w:val="24"/>
        </w:rPr>
        <w:t>（实质性要求）</w:t>
      </w:r>
    </w:p>
    <w:p>
      <w:pPr>
        <w:pStyle w:val="58"/>
        <w:spacing w:line="460" w:lineRule="exact"/>
        <w:ind w:left="1" w:firstLine="482" w:firstLineChars="200"/>
        <w:rPr>
          <w:sz w:val="24"/>
          <w:szCs w:val="24"/>
        </w:rPr>
      </w:pPr>
      <w:r>
        <w:rPr>
          <w:rFonts w:hint="eastAsia" w:hAnsi="宋体"/>
          <w:b/>
          <w:sz w:val="24"/>
        </w:rPr>
        <w:t>5.1</w:t>
      </w:r>
      <w:r>
        <w:rPr>
          <w:rFonts w:hint="eastAsia" w:hAnsi="宋体"/>
          <w:b/>
          <w:sz w:val="24"/>
          <w:szCs w:val="24"/>
        </w:rPr>
        <w:t>提供相同品牌产品处理。</w:t>
      </w:r>
      <w:r>
        <w:rPr>
          <w:rFonts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8"/>
        <w:spacing w:line="400" w:lineRule="exact"/>
        <w:ind w:left="1" w:firstLine="480" w:firstLineChars="200"/>
        <w:rPr>
          <w:rFonts w:hAnsi="宋体"/>
          <w:sz w:val="24"/>
          <w:szCs w:val="24"/>
        </w:rPr>
      </w:pPr>
      <w:r>
        <w:rPr>
          <w:rFonts w:hint="eastAsia"/>
          <w:sz w:val="24"/>
          <w:szCs w:val="24"/>
        </w:rPr>
        <w:t>非单一产品采购项目中，多家投标人提供的部分或所有核心产品品牌相同的，视为提供相同品牌产品。</w:t>
      </w:r>
    </w:p>
    <w:p>
      <w:pPr>
        <w:pStyle w:val="58"/>
        <w:spacing w:line="400" w:lineRule="exact"/>
        <w:ind w:left="1" w:firstLine="482" w:firstLineChars="200"/>
        <w:rPr>
          <w:rFonts w:hAnsi="宋体"/>
          <w:sz w:val="24"/>
          <w:szCs w:val="24"/>
        </w:rPr>
      </w:pPr>
      <w:r>
        <w:rPr>
          <w:rFonts w:hint="eastAsia" w:hAnsi="宋体"/>
          <w:b/>
          <w:sz w:val="24"/>
          <w:szCs w:val="24"/>
        </w:rPr>
        <w:t>5.2提供相同制造厂商不同品牌产品处理。</w:t>
      </w:r>
      <w:r>
        <w:rPr>
          <w:rFonts w:hint="eastAsia" w:hAnsi="宋体"/>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pPr>
        <w:pStyle w:val="58"/>
        <w:spacing w:line="400" w:lineRule="exact"/>
        <w:ind w:left="1" w:firstLine="482" w:firstLineChars="200"/>
        <w:rPr>
          <w:rFonts w:hAnsi="宋体"/>
          <w:b/>
          <w:sz w:val="24"/>
        </w:rPr>
      </w:pPr>
      <w:r>
        <w:rPr>
          <w:rFonts w:hint="eastAsia" w:hAnsi="宋体"/>
          <w:b/>
          <w:sz w:val="24"/>
          <w:szCs w:val="24"/>
        </w:rPr>
        <w:t>5.3</w:t>
      </w:r>
      <w:r>
        <w:rPr>
          <w:rFonts w:hint="eastAsia" w:hAnsi="宋体"/>
          <w:b/>
          <w:sz w:val="24"/>
        </w:rPr>
        <w:t>利害关系投标人处理。</w:t>
      </w:r>
      <w:r>
        <w:rPr>
          <w:rFonts w:hint="eastAsia" w:hAnsi="宋体"/>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58"/>
        <w:spacing w:line="400" w:lineRule="exact"/>
        <w:ind w:left="1" w:firstLine="482" w:firstLineChars="200"/>
        <w:rPr>
          <w:rFonts w:hAnsi="宋体"/>
          <w:sz w:val="24"/>
        </w:rPr>
      </w:pPr>
      <w:r>
        <w:rPr>
          <w:rFonts w:hint="eastAsia" w:hAnsi="宋体"/>
          <w:b/>
          <w:sz w:val="24"/>
        </w:rPr>
        <w:t>5.4前期参与投标人处理。</w:t>
      </w:r>
      <w:r>
        <w:rPr>
          <w:rFonts w:hint="eastAsia" w:hAnsi="宋体"/>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58"/>
        <w:spacing w:line="400" w:lineRule="exact"/>
        <w:ind w:left="1" w:firstLine="482" w:firstLineChars="200"/>
        <w:rPr>
          <w:rFonts w:hAnsi="宋体"/>
          <w:sz w:val="24"/>
        </w:rPr>
      </w:pPr>
      <w:r>
        <w:rPr>
          <w:rFonts w:hint="eastAsia" w:hAnsi="宋体"/>
          <w:b/>
          <w:sz w:val="24"/>
        </w:rPr>
        <w:t>5.5利害关系代理人处理。</w:t>
      </w:r>
      <w:r>
        <w:rPr>
          <w:rFonts w:hint="eastAsia" w:hAnsi="宋体"/>
          <w:sz w:val="24"/>
        </w:rPr>
        <w:t>2家以上的投标人不得在同一合同项下的采购项目中，同时委托同一个自然人、同一家庭的人员、同一单位的人员作为其代理人，否则，其投标文件作为无效处理。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bCs w:val="0"/>
        </w:rPr>
      </w:pPr>
      <w:bookmarkStart w:id="56" w:name="_Toc89075875"/>
      <w:bookmarkStart w:id="57" w:name="_Toc217446038"/>
      <w:bookmarkStart w:id="58" w:name="_Toc77400779"/>
      <w:bookmarkStart w:id="59" w:name="_Toc183682346"/>
      <w:bookmarkStart w:id="60" w:name="_Toc183582209"/>
      <w:r>
        <w:rPr>
          <w:rFonts w:hint="eastAsia" w:ascii="宋体" w:hAnsi="宋体" w:eastAsia="宋体"/>
          <w:bCs w:val="0"/>
        </w:rPr>
        <w:t>三、招标文件</w:t>
      </w:r>
      <w:bookmarkEnd w:id="56"/>
      <w:bookmarkEnd w:id="57"/>
      <w:bookmarkEnd w:id="58"/>
      <w:bookmarkEnd w:id="59"/>
      <w:bookmarkEnd w:id="60"/>
    </w:p>
    <w:p>
      <w:pPr>
        <w:pStyle w:val="5"/>
        <w:spacing w:before="0" w:after="0" w:line="400" w:lineRule="exact"/>
        <w:ind w:firstLine="482" w:firstLineChars="200"/>
        <w:rPr>
          <w:rFonts w:ascii="宋体" w:hAnsi="宋体"/>
          <w:sz w:val="24"/>
        </w:rPr>
      </w:pPr>
      <w:bookmarkStart w:id="61" w:name="_Toc183682347"/>
      <w:bookmarkStart w:id="62" w:name="_Toc183582210"/>
      <w:bookmarkStart w:id="63" w:name="_Toc217446039"/>
      <w:r>
        <w:rPr>
          <w:rFonts w:hint="eastAsia" w:ascii="宋体" w:hAnsi="宋体"/>
          <w:sz w:val="24"/>
        </w:rPr>
        <w:t>6．招标文件的构成</w:t>
      </w:r>
      <w:bookmarkEnd w:id="61"/>
      <w:bookmarkEnd w:id="62"/>
      <w:bookmarkEnd w:id="63"/>
    </w:p>
    <w:p>
      <w:pPr>
        <w:tabs>
          <w:tab w:val="left" w:pos="7665"/>
        </w:tabs>
        <w:spacing w:line="400" w:lineRule="exact"/>
        <w:ind w:firstLine="480" w:firstLineChars="200"/>
        <w:rPr>
          <w:rFonts w:ascii="宋体" w:hAnsi="宋体"/>
          <w:kern w:val="0"/>
          <w:sz w:val="24"/>
          <w:szCs w:val="22"/>
        </w:rPr>
      </w:pPr>
      <w:r>
        <w:rPr>
          <w:rFonts w:hint="eastAsia" w:ascii="宋体" w:hAnsi="宋体"/>
          <w:kern w:val="0"/>
          <w:sz w:val="24"/>
          <w:szCs w:val="22"/>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sz w:val="24"/>
        </w:rPr>
      </w:pPr>
      <w:r>
        <w:rPr>
          <w:rFonts w:hint="eastAsia" w:ascii="宋体" w:hAnsi="宋体"/>
          <w:kern w:val="0"/>
          <w:sz w:val="24"/>
          <w:szCs w:val="22"/>
        </w:rPr>
        <w:t>（一）招标公告</w:t>
      </w:r>
      <w:r>
        <w:rPr>
          <w:rFonts w:hint="eastAsia" w:ascii="宋体" w:hAnsi="宋体"/>
          <w:sz w:val="24"/>
        </w:rPr>
        <w:t>；</w:t>
      </w:r>
    </w:p>
    <w:p>
      <w:pPr>
        <w:tabs>
          <w:tab w:val="left" w:pos="720"/>
        </w:tabs>
        <w:spacing w:line="400" w:lineRule="exact"/>
        <w:ind w:firstLine="480" w:firstLineChars="200"/>
        <w:rPr>
          <w:rFonts w:ascii="宋体" w:hAnsi="宋体"/>
          <w:sz w:val="24"/>
        </w:rPr>
      </w:pPr>
      <w:r>
        <w:rPr>
          <w:rFonts w:hint="eastAsia" w:ascii="宋体" w:hAnsi="宋体"/>
          <w:sz w:val="24"/>
        </w:rPr>
        <w:t>（二）投标人须知；</w:t>
      </w:r>
    </w:p>
    <w:p>
      <w:pPr>
        <w:tabs>
          <w:tab w:val="left" w:pos="720"/>
        </w:tabs>
        <w:spacing w:line="400" w:lineRule="exact"/>
        <w:ind w:firstLine="480" w:firstLineChars="200"/>
        <w:rPr>
          <w:rFonts w:ascii="宋体" w:hAnsi="宋体"/>
          <w:sz w:val="24"/>
        </w:rPr>
      </w:pPr>
      <w:r>
        <w:rPr>
          <w:rFonts w:hint="eastAsia" w:ascii="宋体" w:hAnsi="宋体"/>
          <w:sz w:val="24"/>
        </w:rPr>
        <w:t>（三）投标文件格式；</w:t>
      </w:r>
    </w:p>
    <w:p>
      <w:pPr>
        <w:tabs>
          <w:tab w:val="left" w:pos="720"/>
        </w:tabs>
        <w:spacing w:line="400" w:lineRule="exact"/>
        <w:ind w:firstLine="480" w:firstLineChars="200"/>
        <w:rPr>
          <w:rFonts w:ascii="宋体" w:hAnsi="宋体"/>
          <w:sz w:val="24"/>
        </w:rPr>
      </w:pPr>
      <w:r>
        <w:rPr>
          <w:rFonts w:hint="eastAsia" w:ascii="宋体" w:hAnsi="宋体"/>
          <w:sz w:val="24"/>
        </w:rPr>
        <w:t>（四）投标人和投标产品的资格、资质性及其他类似效力要求；</w:t>
      </w:r>
    </w:p>
    <w:p>
      <w:pPr>
        <w:tabs>
          <w:tab w:val="left" w:pos="720"/>
        </w:tabs>
        <w:spacing w:line="400" w:lineRule="exact"/>
        <w:ind w:firstLine="480" w:firstLineChars="200"/>
        <w:rPr>
          <w:rFonts w:ascii="宋体" w:hAnsi="宋体"/>
          <w:sz w:val="24"/>
        </w:rPr>
      </w:pPr>
      <w:r>
        <w:rPr>
          <w:rFonts w:hint="eastAsia" w:ascii="宋体" w:hAnsi="宋体"/>
          <w:sz w:val="24"/>
        </w:rPr>
        <w:t>（五）投标人应当提供的资格、资质性及其他类似效力要求的相关证明材料；</w:t>
      </w:r>
    </w:p>
    <w:p>
      <w:pPr>
        <w:tabs>
          <w:tab w:val="left" w:pos="720"/>
        </w:tabs>
        <w:spacing w:line="400" w:lineRule="exact"/>
        <w:ind w:firstLine="480" w:firstLineChars="200"/>
        <w:rPr>
          <w:rFonts w:ascii="宋体" w:hAnsi="宋体"/>
          <w:sz w:val="24"/>
        </w:rPr>
      </w:pPr>
      <w:r>
        <w:rPr>
          <w:rFonts w:hint="eastAsia" w:ascii="宋体" w:hAnsi="宋体"/>
          <w:sz w:val="24"/>
        </w:rPr>
        <w:t>（六）招标项目技术、商务及其他要求；</w:t>
      </w:r>
    </w:p>
    <w:p>
      <w:pPr>
        <w:tabs>
          <w:tab w:val="left" w:pos="720"/>
        </w:tabs>
        <w:spacing w:line="400" w:lineRule="exact"/>
        <w:ind w:firstLine="480" w:firstLineChars="200"/>
        <w:rPr>
          <w:rFonts w:ascii="宋体" w:hAnsi="宋体"/>
          <w:sz w:val="24"/>
        </w:rPr>
      </w:pPr>
      <w:r>
        <w:rPr>
          <w:rFonts w:hint="eastAsia" w:ascii="宋体" w:hAnsi="宋体"/>
          <w:sz w:val="24"/>
        </w:rPr>
        <w:t>（七）评标办法；</w:t>
      </w:r>
    </w:p>
    <w:p>
      <w:pPr>
        <w:tabs>
          <w:tab w:val="left" w:pos="720"/>
        </w:tabs>
        <w:spacing w:line="400" w:lineRule="exact"/>
        <w:ind w:firstLine="480" w:firstLineChars="200"/>
        <w:rPr>
          <w:rFonts w:ascii="宋体" w:hAnsi="宋体"/>
          <w:sz w:val="24"/>
        </w:rPr>
      </w:pPr>
      <w:r>
        <w:rPr>
          <w:rFonts w:hint="eastAsia" w:ascii="宋体" w:hAnsi="宋体"/>
          <w:sz w:val="24"/>
        </w:rPr>
        <w:t>（八）合同主要条款。</w:t>
      </w:r>
    </w:p>
    <w:p>
      <w:pPr>
        <w:pStyle w:val="5"/>
        <w:spacing w:before="0" w:after="0" w:line="400" w:lineRule="exact"/>
        <w:ind w:firstLine="482" w:firstLineChars="200"/>
        <w:rPr>
          <w:rFonts w:ascii="宋体" w:hAnsi="宋体"/>
          <w:sz w:val="24"/>
        </w:rPr>
      </w:pPr>
      <w:bookmarkStart w:id="64" w:name="_Toc183582211"/>
      <w:bookmarkStart w:id="65" w:name="_Toc183682348"/>
      <w:bookmarkStart w:id="66" w:name="_Toc217446040"/>
      <w:r>
        <w:rPr>
          <w:rFonts w:hint="eastAsia" w:ascii="宋体" w:hAnsi="宋体"/>
          <w:sz w:val="24"/>
        </w:rPr>
        <w:t>7. 招标文件的澄清</w:t>
      </w:r>
      <w:bookmarkEnd w:id="64"/>
      <w:bookmarkEnd w:id="65"/>
      <w:r>
        <w:rPr>
          <w:rFonts w:hint="eastAsia" w:ascii="宋体" w:hAnsi="宋体"/>
          <w:sz w:val="24"/>
        </w:rPr>
        <w:t>和修改</w:t>
      </w:r>
      <w:bookmarkEnd w:id="66"/>
    </w:p>
    <w:p>
      <w:pPr>
        <w:tabs>
          <w:tab w:val="left" w:pos="7665"/>
        </w:tabs>
        <w:spacing w:line="400" w:lineRule="exact"/>
        <w:ind w:firstLine="480" w:firstLineChars="200"/>
        <w:rPr>
          <w:rFonts w:ascii="宋体" w:hAnsi="宋体"/>
          <w:sz w:val="24"/>
        </w:rPr>
      </w:pPr>
      <w:r>
        <w:rPr>
          <w:rFonts w:hint="eastAsia" w:ascii="宋体" w:hAnsi="宋体"/>
          <w:sz w:val="24"/>
        </w:rPr>
        <w:t>7.1 招标采购单位可以依法对招标文件进行澄清或者修改。</w:t>
      </w:r>
    </w:p>
    <w:p>
      <w:pPr>
        <w:tabs>
          <w:tab w:val="left" w:pos="7665"/>
        </w:tabs>
        <w:spacing w:line="400" w:lineRule="exact"/>
        <w:ind w:firstLine="480" w:firstLineChars="200"/>
        <w:rPr>
          <w:rFonts w:ascii="宋体" w:hAnsi="宋体"/>
          <w:sz w:val="24"/>
        </w:rPr>
      </w:pPr>
      <w:r>
        <w:rPr>
          <w:rFonts w:hint="eastAsia" w:ascii="宋体" w:hAnsi="宋体"/>
          <w:sz w:val="24"/>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pPr>
        <w:tabs>
          <w:tab w:val="left" w:pos="7665"/>
        </w:tabs>
        <w:spacing w:line="400" w:lineRule="exact"/>
        <w:ind w:firstLine="480" w:firstLineChars="200"/>
        <w:rPr>
          <w:rFonts w:ascii="宋体" w:hAnsi="宋体"/>
          <w:sz w:val="24"/>
        </w:rPr>
      </w:pPr>
      <w:r>
        <w:rPr>
          <w:rFonts w:hint="eastAsia" w:ascii="宋体" w:hAnsi="宋体"/>
          <w:sz w:val="24"/>
        </w:rPr>
        <w:t>7.3 投标人应于投标文件递交截止时间之前在四川政府采购网和《供应商服务系统》查询本项目的更正公告，以保证其对招标文件做出正确的响应。更正公告通过《供应商服务系统》推送至所有购买招标文件的投标人，投标人自行下载使用。投标人未按要求下载相关文件，或由于未及时关注更正公告的信息造成的后果，其责任由投标人自行负责。</w:t>
      </w:r>
    </w:p>
    <w:p>
      <w:pPr>
        <w:tabs>
          <w:tab w:val="left" w:pos="7665"/>
        </w:tabs>
        <w:spacing w:line="400" w:lineRule="exact"/>
        <w:ind w:firstLine="480" w:firstLineChars="200"/>
        <w:rPr>
          <w:rFonts w:ascii="宋体" w:hAnsi="宋体"/>
          <w:sz w:val="24"/>
        </w:rPr>
      </w:pPr>
      <w:r>
        <w:rPr>
          <w:rFonts w:hint="eastAsia" w:ascii="宋体" w:hAnsi="宋体"/>
          <w:sz w:val="24"/>
        </w:rPr>
        <w:t>7.4 投标人认为需要对招标文件进行澄清或者修改的，可以以书面形式向招标采购单位构提出申请，但招标采购单位可以决定是否采纳投标人的申请事项。</w:t>
      </w:r>
    </w:p>
    <w:p>
      <w:pPr>
        <w:pStyle w:val="5"/>
        <w:spacing w:before="0" w:after="0" w:line="400" w:lineRule="exact"/>
        <w:ind w:firstLine="482" w:firstLineChars="200"/>
        <w:rPr>
          <w:rFonts w:ascii="宋体" w:hAnsi="宋体"/>
          <w:sz w:val="24"/>
        </w:rPr>
      </w:pPr>
      <w:bookmarkStart w:id="67" w:name="_Toc208848971"/>
      <w:bookmarkStart w:id="68" w:name="_Toc217446041"/>
      <w:r>
        <w:rPr>
          <w:rFonts w:hint="eastAsia" w:ascii="宋体" w:hAnsi="宋体"/>
          <w:sz w:val="24"/>
        </w:rPr>
        <w:t>8. 答疑会和现场考察</w:t>
      </w:r>
      <w:bookmarkEnd w:id="67"/>
      <w:bookmarkEnd w:id="68"/>
    </w:p>
    <w:p>
      <w:pPr>
        <w:tabs>
          <w:tab w:val="left" w:pos="7665"/>
        </w:tabs>
        <w:spacing w:line="400" w:lineRule="exact"/>
        <w:ind w:firstLine="480" w:firstLineChars="200"/>
        <w:rPr>
          <w:rFonts w:ascii="宋体" w:hAnsi="宋体"/>
          <w:sz w:val="24"/>
        </w:rPr>
      </w:pPr>
      <w:r>
        <w:rPr>
          <w:rFonts w:hint="eastAsia" w:ascii="宋体" w:hAnsi="宋体"/>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sz w:val="24"/>
        </w:rPr>
      </w:pPr>
      <w:r>
        <w:rPr>
          <w:rFonts w:hint="eastAsia" w:ascii="宋体" w:hAnsi="宋体"/>
          <w:sz w:val="24"/>
        </w:rPr>
        <w:t>现场考察或标前答疑会时间及地点：若组织现场考察或者召开答疑会的，将以书面形式通知所有获取招标文件的潜在投标人。</w:t>
      </w:r>
    </w:p>
    <w:p>
      <w:pPr>
        <w:tabs>
          <w:tab w:val="left" w:pos="7665"/>
        </w:tabs>
        <w:spacing w:line="400" w:lineRule="exact"/>
        <w:ind w:firstLine="480" w:firstLineChars="200"/>
        <w:rPr>
          <w:rFonts w:ascii="宋体" w:hAnsi="宋体"/>
          <w:sz w:val="24"/>
        </w:rPr>
      </w:pPr>
      <w:r>
        <w:rPr>
          <w:rFonts w:hint="eastAsia" w:ascii="宋体" w:hAnsi="宋体"/>
          <w:sz w:val="24"/>
        </w:rPr>
        <w:t>8.2 投标人考察现场所发生的一切费用由投标人自己承担。</w:t>
      </w:r>
    </w:p>
    <w:p>
      <w:pPr>
        <w:pStyle w:val="4"/>
        <w:spacing w:line="400" w:lineRule="exact"/>
        <w:jc w:val="center"/>
        <w:rPr>
          <w:rFonts w:ascii="宋体" w:hAnsi="宋体" w:eastAsia="宋体"/>
          <w:bCs w:val="0"/>
        </w:rPr>
      </w:pPr>
      <w:bookmarkStart w:id="69" w:name="_Toc183582214"/>
      <w:bookmarkStart w:id="70" w:name="_Toc217446042"/>
      <w:bookmarkStart w:id="71" w:name="_Toc77400780"/>
      <w:bookmarkStart w:id="72" w:name="_Toc183682351"/>
      <w:bookmarkStart w:id="73" w:name="_Toc89075876"/>
      <w:r>
        <w:rPr>
          <w:rFonts w:hint="eastAsia" w:ascii="宋体" w:hAnsi="宋体" w:eastAsia="宋体"/>
          <w:bCs w:val="0"/>
        </w:rPr>
        <w:t>四、投标文件</w:t>
      </w:r>
      <w:bookmarkEnd w:id="69"/>
      <w:bookmarkEnd w:id="70"/>
      <w:bookmarkEnd w:id="71"/>
      <w:bookmarkEnd w:id="72"/>
      <w:bookmarkEnd w:id="73"/>
    </w:p>
    <w:p>
      <w:pPr>
        <w:pStyle w:val="5"/>
        <w:spacing w:before="0" w:after="0" w:line="400" w:lineRule="exact"/>
        <w:ind w:firstLine="482" w:firstLineChars="200"/>
        <w:rPr>
          <w:rFonts w:ascii="宋体" w:hAnsi="宋体"/>
          <w:bCs w:val="0"/>
          <w:sz w:val="24"/>
        </w:rPr>
      </w:pPr>
      <w:bookmarkStart w:id="74" w:name="_Toc183582215"/>
      <w:bookmarkStart w:id="75" w:name="_Toc217446043"/>
      <w:bookmarkStart w:id="76" w:name="_Toc183682352"/>
      <w:r>
        <w:rPr>
          <w:rFonts w:hint="eastAsia" w:ascii="宋体" w:hAnsi="宋体"/>
          <w:bCs w:val="0"/>
          <w:sz w:val="24"/>
        </w:rPr>
        <w:t>9．投标文件的语言</w:t>
      </w:r>
      <w:bookmarkEnd w:id="74"/>
      <w:bookmarkEnd w:id="75"/>
      <w:bookmarkEnd w:id="76"/>
      <w:r>
        <w:rPr>
          <w:rFonts w:hint="eastAsia" w:ascii="宋体" w:hAnsi="宋体"/>
          <w:sz w:val="24"/>
          <w:szCs w:val="24"/>
        </w:rPr>
        <w:t>（实质性要求）</w:t>
      </w:r>
    </w:p>
    <w:p>
      <w:pPr>
        <w:tabs>
          <w:tab w:val="left" w:pos="1134"/>
        </w:tabs>
        <w:spacing w:line="400" w:lineRule="exact"/>
        <w:ind w:firstLine="480" w:firstLineChars="200"/>
        <w:jc w:val="left"/>
        <w:rPr>
          <w:rFonts w:ascii="宋体" w:hAnsi="宋体"/>
          <w:sz w:val="24"/>
        </w:rPr>
      </w:pPr>
      <w:bookmarkStart w:id="77" w:name="_Toc183682353"/>
      <w:bookmarkStart w:id="78" w:name="_Toc183582216"/>
      <w:bookmarkStart w:id="79" w:name="_Toc217446044"/>
      <w:r>
        <w:rPr>
          <w:rFonts w:hint="eastAsia" w:ascii="宋体" w:hAnsi="宋体"/>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400" w:lineRule="exact"/>
        <w:ind w:firstLine="480" w:firstLineChars="200"/>
        <w:jc w:val="left"/>
        <w:rPr>
          <w:rFonts w:ascii="宋体" w:hAnsi="宋体"/>
          <w:sz w:val="24"/>
        </w:rPr>
      </w:pPr>
      <w:r>
        <w:rPr>
          <w:rFonts w:hint="eastAsia" w:ascii="宋体" w:hAnsi="宋体"/>
          <w:sz w:val="24"/>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sz w:val="24"/>
        </w:rPr>
      </w:pPr>
      <w:r>
        <w:rPr>
          <w:rFonts w:hint="eastAsia" w:ascii="宋体" w:hAnsi="宋体" w:cs="宋体"/>
          <w:sz w:val="24"/>
        </w:rPr>
        <w:t>9.3 如因未翻译而造成的废标，由投标人承担。</w:t>
      </w:r>
    </w:p>
    <w:p>
      <w:pPr>
        <w:pStyle w:val="5"/>
        <w:spacing w:before="0" w:after="0" w:line="400" w:lineRule="exact"/>
        <w:ind w:firstLine="482" w:firstLineChars="200"/>
        <w:rPr>
          <w:rFonts w:ascii="宋体" w:hAnsi="宋体"/>
          <w:sz w:val="24"/>
        </w:rPr>
      </w:pPr>
      <w:r>
        <w:rPr>
          <w:rFonts w:hint="eastAsia" w:ascii="宋体" w:hAnsi="宋体"/>
          <w:sz w:val="24"/>
        </w:rPr>
        <w:t>10．计量单位</w:t>
      </w:r>
      <w:bookmarkEnd w:id="77"/>
      <w:bookmarkEnd w:id="78"/>
      <w:bookmarkEnd w:id="79"/>
      <w:r>
        <w:rPr>
          <w:rFonts w:hint="eastAsia" w:ascii="宋体" w:hAnsi="宋体"/>
          <w:sz w:val="24"/>
          <w:szCs w:val="24"/>
        </w:rPr>
        <w:t>（实质性要求）</w:t>
      </w:r>
    </w:p>
    <w:p>
      <w:pPr>
        <w:spacing w:line="400" w:lineRule="exact"/>
        <w:ind w:firstLine="470" w:firstLineChars="196"/>
        <w:rPr>
          <w:rFonts w:ascii="宋体" w:hAnsi="宋体"/>
          <w:sz w:val="24"/>
        </w:rPr>
      </w:pPr>
      <w:r>
        <w:rPr>
          <w:rFonts w:hint="eastAsia" w:ascii="宋体" w:hAnsi="宋体"/>
          <w:sz w:val="24"/>
        </w:rPr>
        <w:t>除招标文件中另有规定外，本次采购项目所有合同项下的投标均采用国家法定的计量单位。</w:t>
      </w:r>
    </w:p>
    <w:p>
      <w:pPr>
        <w:pStyle w:val="5"/>
        <w:spacing w:before="0" w:after="0" w:line="400" w:lineRule="exact"/>
        <w:ind w:firstLine="482" w:firstLineChars="200"/>
        <w:rPr>
          <w:rFonts w:ascii="宋体" w:hAnsi="宋体"/>
          <w:sz w:val="24"/>
        </w:rPr>
      </w:pPr>
      <w:bookmarkStart w:id="80" w:name="_Toc217446045"/>
      <w:r>
        <w:rPr>
          <w:rFonts w:hint="eastAsia" w:ascii="宋体" w:hAnsi="宋体"/>
          <w:sz w:val="24"/>
        </w:rPr>
        <w:t>11. 投标货币</w:t>
      </w:r>
      <w:bookmarkEnd w:id="80"/>
      <w:r>
        <w:rPr>
          <w:rFonts w:hint="eastAsia" w:ascii="宋体" w:hAnsi="宋体"/>
          <w:sz w:val="24"/>
        </w:rPr>
        <w:t>（实质性要求）</w:t>
      </w:r>
    </w:p>
    <w:p>
      <w:pPr>
        <w:spacing w:line="400" w:lineRule="exact"/>
        <w:ind w:firstLine="470" w:firstLineChars="196"/>
        <w:rPr>
          <w:rFonts w:ascii="宋体" w:hAnsi="宋体"/>
          <w:sz w:val="24"/>
        </w:rPr>
      </w:pPr>
      <w:r>
        <w:rPr>
          <w:rFonts w:hint="eastAsia" w:ascii="宋体" w:hAnsi="宋体"/>
          <w:sz w:val="24"/>
        </w:rPr>
        <w:t>本次招标项目的投标均以人民币报价。</w:t>
      </w:r>
    </w:p>
    <w:p>
      <w:pPr>
        <w:pStyle w:val="5"/>
        <w:spacing w:before="0" w:after="0" w:line="400" w:lineRule="exact"/>
        <w:ind w:firstLine="482" w:firstLineChars="200"/>
      </w:pPr>
      <w:bookmarkStart w:id="81" w:name="_Toc217446046"/>
      <w:r>
        <w:rPr>
          <w:rFonts w:hint="eastAsia" w:ascii="宋体" w:hAnsi="宋体"/>
          <w:sz w:val="24"/>
        </w:rPr>
        <w:t>12. 联合体投标</w:t>
      </w:r>
      <w:bookmarkEnd w:id="81"/>
      <w:r>
        <w:rPr>
          <w:rFonts w:hint="eastAsia" w:ascii="宋体" w:hAnsi="宋体"/>
          <w:sz w:val="24"/>
        </w:rPr>
        <w:t>（实质性要求）（本项目是否接受联合体投标以第一章为准。）</w:t>
      </w:r>
    </w:p>
    <w:p>
      <w:pPr>
        <w:spacing w:line="400" w:lineRule="exact"/>
        <w:ind w:firstLine="468" w:firstLineChars="195"/>
        <w:rPr>
          <w:rFonts w:ascii="宋体" w:hAnsi="宋体"/>
          <w:sz w:val="24"/>
        </w:rPr>
      </w:pPr>
      <w:bookmarkStart w:id="82" w:name="_Toc217446047"/>
      <w:r>
        <w:rPr>
          <w:rFonts w:hint="eastAsia" w:ascii="宋体" w:hAnsi="宋体"/>
          <w:sz w:val="24"/>
        </w:rPr>
        <w:t>12.1 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spacing w:line="400" w:lineRule="exact"/>
        <w:ind w:firstLine="468" w:firstLineChars="195"/>
        <w:rPr>
          <w:rFonts w:ascii="宋体" w:hAnsi="宋体"/>
          <w:sz w:val="24"/>
        </w:rPr>
      </w:pPr>
      <w:r>
        <w:rPr>
          <w:rFonts w:hint="eastAsia" w:ascii="宋体" w:hAnsi="宋体"/>
          <w:sz w:val="24"/>
        </w:rPr>
        <w:t>12.2 联合体各方之间应当签订联合体协议书，明确约定联合体各方承担的工作和相应的责任，并将共同联合体投标协议连同投标文件一并提交招标采购单位。</w:t>
      </w:r>
    </w:p>
    <w:p>
      <w:pPr>
        <w:spacing w:line="400" w:lineRule="exact"/>
        <w:ind w:firstLine="470" w:firstLineChars="196"/>
        <w:rPr>
          <w:rFonts w:ascii="宋体" w:hAnsi="宋体"/>
          <w:sz w:val="24"/>
        </w:rPr>
      </w:pPr>
      <w:r>
        <w:rPr>
          <w:rFonts w:hint="eastAsia" w:ascii="宋体" w:hAnsi="宋体"/>
          <w:sz w:val="24"/>
        </w:rPr>
        <w:t>12.3 联合体应当确定其中一个单位为投标的牵头人，负责参加投标的一切事务，并承担投标及履约中应承担的全部责任与义务。</w:t>
      </w:r>
    </w:p>
    <w:p>
      <w:pPr>
        <w:spacing w:line="400" w:lineRule="exact"/>
        <w:ind w:firstLine="470" w:firstLineChars="196"/>
        <w:rPr>
          <w:rFonts w:ascii="宋体" w:hAnsi="宋体"/>
          <w:sz w:val="24"/>
        </w:rPr>
      </w:pPr>
      <w:r>
        <w:rPr>
          <w:rFonts w:hint="eastAsia" w:ascii="宋体" w:hAnsi="宋体"/>
          <w:sz w:val="24"/>
        </w:rPr>
        <w:t>12.4 联合体各方应当共同与采购人签订采购合同，就采购合同约定的事项对采购人承担连带责任。</w:t>
      </w:r>
    </w:p>
    <w:p>
      <w:pPr>
        <w:spacing w:line="400" w:lineRule="exact"/>
        <w:ind w:firstLine="470" w:firstLineChars="196"/>
        <w:rPr>
          <w:rFonts w:ascii="宋体" w:hAnsi="宋体"/>
          <w:sz w:val="24"/>
        </w:rPr>
      </w:pPr>
      <w:r>
        <w:rPr>
          <w:rFonts w:hint="eastAsia" w:ascii="宋体" w:hAnsi="宋体"/>
          <w:sz w:val="24"/>
        </w:rPr>
        <w:t>12.5 联合体中有同类资质的投标人按照联合体分工承担相同工作的，应当按照资质等级较低的投标人确定资质等级。</w:t>
      </w:r>
    </w:p>
    <w:p>
      <w:pPr>
        <w:spacing w:line="400" w:lineRule="exact"/>
        <w:ind w:firstLine="470" w:firstLineChars="196"/>
        <w:rPr>
          <w:rFonts w:ascii="宋体" w:hAnsi="宋体"/>
          <w:sz w:val="24"/>
        </w:rPr>
      </w:pPr>
      <w:r>
        <w:rPr>
          <w:rFonts w:hint="eastAsia" w:ascii="宋体" w:hAnsi="宋体"/>
          <w:sz w:val="24"/>
        </w:rPr>
        <w:t>12.6 以联合体形式参加政府采购活动的，联合体各方不得再单独参加或者与其他投标人另外组成联合体参加同一合同项下的政府采购活动。</w:t>
      </w:r>
    </w:p>
    <w:p>
      <w:pPr>
        <w:pStyle w:val="5"/>
        <w:spacing w:before="0" w:after="0" w:line="400" w:lineRule="exact"/>
        <w:ind w:firstLine="482" w:firstLineChars="200"/>
        <w:rPr>
          <w:rFonts w:ascii="宋体" w:hAnsi="宋体"/>
          <w:sz w:val="24"/>
        </w:rPr>
      </w:pPr>
      <w:bookmarkStart w:id="83" w:name="_Toc308164797"/>
      <w:r>
        <w:rPr>
          <w:rFonts w:hint="eastAsia" w:ascii="宋体" w:hAnsi="宋体"/>
          <w:sz w:val="24"/>
        </w:rPr>
        <w:t>13. 知识产权</w:t>
      </w:r>
      <w:bookmarkEnd w:id="82"/>
      <w:bookmarkEnd w:id="83"/>
      <w:r>
        <w:rPr>
          <w:rFonts w:hint="eastAsia" w:ascii="宋体" w:hAnsi="宋体"/>
          <w:sz w:val="24"/>
        </w:rPr>
        <w:t>（实质性要求）</w:t>
      </w:r>
    </w:p>
    <w:p>
      <w:pPr>
        <w:pStyle w:val="12"/>
        <w:spacing w:line="400" w:lineRule="exact"/>
        <w:ind w:firstLine="480" w:firstLineChars="200"/>
        <w:rPr>
          <w:rFonts w:ascii="宋体" w:hAnsi="宋体"/>
          <w:sz w:val="24"/>
          <w:szCs w:val="24"/>
        </w:rPr>
      </w:pPr>
      <w:r>
        <w:rPr>
          <w:rFonts w:hint="eastAsia" w:ascii="宋体" w:hAnsi="宋体"/>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400" w:lineRule="exact"/>
        <w:ind w:firstLine="480" w:firstLineChars="200"/>
        <w:rPr>
          <w:rFonts w:ascii="宋体" w:hAnsi="宋体"/>
          <w:sz w:val="24"/>
          <w:szCs w:val="24"/>
        </w:rPr>
      </w:pPr>
      <w:r>
        <w:rPr>
          <w:rFonts w:hint="eastAsia" w:ascii="宋体" w:hAnsi="宋体"/>
          <w:sz w:val="24"/>
          <w:szCs w:val="24"/>
        </w:rPr>
        <w:t>13.2 采购人享有本项目实施过程中产生的知识成果及知识产权。</w:t>
      </w:r>
    </w:p>
    <w:p>
      <w:pPr>
        <w:spacing w:line="400" w:lineRule="exact"/>
        <w:ind w:firstLine="480" w:firstLineChars="200"/>
        <w:rPr>
          <w:rFonts w:ascii="宋体" w:hAnsi="宋体"/>
          <w:sz w:val="24"/>
        </w:rPr>
      </w:pPr>
      <w:r>
        <w:rPr>
          <w:rFonts w:hint="eastAsia" w:ascii="宋体" w:hAnsi="宋体"/>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sz w:val="24"/>
        </w:rPr>
      </w:pPr>
      <w:r>
        <w:rPr>
          <w:rFonts w:hint="eastAsia" w:ascii="宋体" w:hAnsi="宋体"/>
          <w:sz w:val="24"/>
        </w:rPr>
        <w:t xml:space="preserve">13.4 如采用投标人所不拥有的知识产权，则在投标报价中必须包括合法获取该知识产权的相关费用。 </w:t>
      </w:r>
    </w:p>
    <w:p>
      <w:pPr>
        <w:pStyle w:val="5"/>
        <w:spacing w:before="0" w:after="0" w:line="400" w:lineRule="exact"/>
        <w:ind w:firstLine="482" w:firstLineChars="200"/>
        <w:rPr>
          <w:rFonts w:ascii="宋体" w:hAnsi="宋体"/>
          <w:sz w:val="24"/>
        </w:rPr>
      </w:pPr>
      <w:bookmarkStart w:id="84" w:name="_Toc183682354"/>
      <w:bookmarkStart w:id="85" w:name="_Toc183582217"/>
      <w:bookmarkStart w:id="86" w:name="_Toc308164798"/>
      <w:bookmarkStart w:id="87" w:name="_Toc217446048"/>
      <w:r>
        <w:rPr>
          <w:rFonts w:hint="eastAsia" w:ascii="宋体" w:hAnsi="宋体"/>
          <w:sz w:val="24"/>
        </w:rPr>
        <w:t>14．投标文件的组成</w:t>
      </w:r>
      <w:bookmarkEnd w:id="84"/>
      <w:bookmarkEnd w:id="85"/>
      <w:bookmarkEnd w:id="86"/>
      <w:bookmarkEnd w:id="87"/>
    </w:p>
    <w:p>
      <w:pPr>
        <w:spacing w:line="400" w:lineRule="exact"/>
        <w:ind w:firstLine="480" w:firstLineChars="200"/>
        <w:rPr>
          <w:rFonts w:ascii="宋体" w:hAnsi="宋体"/>
          <w:sz w:val="24"/>
        </w:rPr>
      </w:pPr>
      <w:r>
        <w:rPr>
          <w:rFonts w:hint="eastAsia" w:ascii="宋体" w:hAnsi="宋体"/>
          <w:sz w:val="24"/>
        </w:rPr>
        <w:t>投标人应按照招标文件的规定和要求编制投标文件。投标人拟在中标后将中标项目的非主体、非关键性工作交由他人分包完成的，应当在投标文件中载明承担主体，分包承担主体应当具备相应资质条件且不得再次分包。投标人编写的投标文件应包括下列部分：</w:t>
      </w:r>
    </w:p>
    <w:p>
      <w:pPr>
        <w:spacing w:before="100" w:after="100" w:line="288" w:lineRule="auto"/>
        <w:ind w:firstLine="472" w:firstLineChars="196"/>
        <w:rPr>
          <w:rFonts w:ascii="宋体" w:hAnsi="宋体"/>
          <w:sz w:val="24"/>
        </w:rPr>
      </w:pPr>
      <w:r>
        <w:rPr>
          <w:rFonts w:hint="eastAsia" w:ascii="宋体" w:hAnsi="宋体"/>
          <w:b/>
          <w:sz w:val="24"/>
        </w:rPr>
        <w:t>14.1 开标一览表。</w:t>
      </w:r>
      <w:r>
        <w:rPr>
          <w:rFonts w:hint="eastAsia" w:ascii="宋体" w:hAnsi="宋体"/>
          <w:bCs/>
          <w:sz w:val="24"/>
        </w:rPr>
        <w:t>投标人</w:t>
      </w:r>
      <w:r>
        <w:rPr>
          <w:rFonts w:hint="eastAsia" w:ascii="宋体" w:hAnsi="宋体"/>
          <w:sz w:val="24"/>
        </w:rPr>
        <w:t>按照招标文件要求填写的“开标一览表”。本次招标报价要求：</w:t>
      </w:r>
    </w:p>
    <w:p>
      <w:pPr>
        <w:spacing w:before="100" w:after="100" w:line="288" w:lineRule="auto"/>
        <w:ind w:firstLine="480" w:firstLineChars="200"/>
        <w:rPr>
          <w:rFonts w:ascii="宋体" w:hAnsi="宋体"/>
          <w:sz w:val="24"/>
        </w:rPr>
      </w:pPr>
      <w:r>
        <w:rPr>
          <w:rFonts w:hint="eastAsia" w:ascii="宋体" w:hAnsi="宋体"/>
          <w:sz w:val="24"/>
        </w:rPr>
        <w:t>（1）投标人的报价是投标人响应招标项目要求的全部工作内容的价格体现，包括投标人完成本项目所需的一切费用（实质性要求）。</w:t>
      </w:r>
    </w:p>
    <w:p>
      <w:pPr>
        <w:spacing w:before="100" w:after="100" w:line="288" w:lineRule="auto"/>
        <w:ind w:left="2" w:firstLine="352" w:firstLineChars="147"/>
        <w:rPr>
          <w:rFonts w:ascii="宋体" w:hAnsi="宋体"/>
          <w:sz w:val="24"/>
        </w:rPr>
      </w:pPr>
      <w:r>
        <w:rPr>
          <w:rFonts w:hint="eastAsia" w:ascii="宋体" w:hAnsi="宋体"/>
          <w:sz w:val="24"/>
        </w:rPr>
        <w:t xml:space="preserve"> （2）投标人只允许有一个报价，并且在合同履行过程中是固定不变的，任何有选择或可调整的报价将不予接受，并按无效投标处理（实质性要求）。</w:t>
      </w:r>
    </w:p>
    <w:p>
      <w:pPr>
        <w:spacing w:line="400" w:lineRule="exact"/>
        <w:ind w:firstLine="480" w:firstLineChars="200"/>
        <w:rPr>
          <w:rFonts w:ascii="宋体"/>
          <w:sz w:val="24"/>
        </w:rPr>
      </w:pPr>
      <w:r>
        <w:rPr>
          <w:rFonts w:hint="eastAsia" w:ascii="宋体"/>
          <w:sz w:val="24"/>
        </w:rPr>
        <w:t>（3）在本次投标之前一周年内，投标人本次投标中对同一品牌同一型号相同配置的产品报价与其在中国境内其他地方的最低报价比例不得高于</w:t>
      </w:r>
      <w:r>
        <w:rPr>
          <w:rFonts w:hint="eastAsia" w:ascii="宋体"/>
          <w:sz w:val="24"/>
          <w:highlight w:val="yellow"/>
        </w:rPr>
        <w:t>10%</w:t>
      </w:r>
    </w:p>
    <w:p>
      <w:pPr>
        <w:spacing w:line="400" w:lineRule="exact"/>
        <w:ind w:firstLine="482" w:firstLineChars="200"/>
        <w:rPr>
          <w:rFonts w:ascii="宋体" w:hAnsi="宋体"/>
          <w:sz w:val="24"/>
        </w:rPr>
      </w:pPr>
      <w:r>
        <w:rPr>
          <w:rFonts w:hint="eastAsia" w:ascii="宋体" w:hAnsi="宋体"/>
          <w:b/>
          <w:bCs/>
          <w:sz w:val="24"/>
        </w:rPr>
        <w:t>14.2 资格性审查投标文件。</w:t>
      </w:r>
      <w:r>
        <w:rPr>
          <w:rFonts w:hint="eastAsia" w:ascii="宋体" w:hAnsi="宋体"/>
          <w:bCs/>
          <w:sz w:val="24"/>
        </w:rPr>
        <w:t>提供资格、资质性及其他类似效力证明材料 (用于资</w:t>
      </w:r>
      <w:r>
        <w:rPr>
          <w:rFonts w:hint="eastAsia" w:ascii="宋体" w:hAnsi="宋体"/>
          <w:sz w:val="24"/>
        </w:rPr>
        <w:t>格审查)</w:t>
      </w:r>
    </w:p>
    <w:p>
      <w:pPr>
        <w:ind w:firstLine="480" w:firstLineChars="200"/>
        <w:rPr>
          <w:sz w:val="24"/>
        </w:rPr>
      </w:pPr>
      <w:r>
        <w:rPr>
          <w:rFonts w:hint="eastAsia"/>
          <w:sz w:val="24"/>
        </w:rPr>
        <w:t>按照招标文件第四、五章要求提供相关资格、资质性及其他类似效力要求的相关证明材料。</w:t>
      </w:r>
    </w:p>
    <w:p>
      <w:pPr>
        <w:ind w:firstLine="482" w:firstLineChars="200"/>
      </w:pPr>
      <w:r>
        <w:rPr>
          <w:rFonts w:hint="eastAsia" w:ascii="宋体" w:hAnsi="宋体"/>
          <w:b/>
          <w:sz w:val="24"/>
        </w:rPr>
        <w:t>14.3 其他投标文件。</w:t>
      </w:r>
      <w:r>
        <w:rPr>
          <w:rFonts w:hint="eastAsia" w:ascii="宋体" w:hAnsi="宋体"/>
          <w:sz w:val="24"/>
        </w:rPr>
        <w:t>提供除资格、资质性及其他类似效力证明材料的其他资料。（用于资格审查以外的评审）。</w:t>
      </w:r>
    </w:p>
    <w:p>
      <w:pPr>
        <w:pStyle w:val="5"/>
        <w:tabs>
          <w:tab w:val="left" w:pos="3480"/>
        </w:tabs>
        <w:spacing w:before="0" w:after="0" w:line="400" w:lineRule="exact"/>
        <w:ind w:firstLine="482" w:firstLineChars="200"/>
        <w:rPr>
          <w:rFonts w:ascii="宋体" w:hAnsi="宋体"/>
          <w:sz w:val="24"/>
        </w:rPr>
      </w:pPr>
      <w:bookmarkStart w:id="88" w:name="_Toc308164799"/>
      <w:bookmarkStart w:id="89" w:name="_Toc183582218"/>
      <w:bookmarkStart w:id="90" w:name="_Toc217446049"/>
      <w:bookmarkStart w:id="91" w:name="_Toc183682355"/>
      <w:r>
        <w:rPr>
          <w:rFonts w:hint="eastAsia" w:ascii="宋体" w:hAnsi="宋体"/>
          <w:sz w:val="24"/>
        </w:rPr>
        <w:t>15．投标文件格式</w:t>
      </w:r>
      <w:bookmarkEnd w:id="88"/>
      <w:bookmarkEnd w:id="89"/>
      <w:bookmarkEnd w:id="90"/>
      <w:bookmarkEnd w:id="91"/>
    </w:p>
    <w:p>
      <w:pPr>
        <w:tabs>
          <w:tab w:val="left" w:pos="7665"/>
        </w:tabs>
        <w:spacing w:line="400" w:lineRule="exact"/>
        <w:ind w:left="13" w:leftChars="6" w:firstLine="480" w:firstLineChars="200"/>
        <w:rPr>
          <w:rFonts w:ascii="宋体" w:hAnsi="宋体"/>
          <w:sz w:val="24"/>
        </w:rPr>
      </w:pPr>
      <w:r>
        <w:rPr>
          <w:rFonts w:hint="eastAsia" w:ascii="宋体" w:hAnsi="宋体"/>
          <w:sz w:val="24"/>
        </w:rPr>
        <w:t>15.1 投标人应执行招标文件第三章的规定要求。第三章格式中“注”的内容，投标人可自行决定是否保留在投标文件中。</w:t>
      </w:r>
    </w:p>
    <w:p>
      <w:pPr>
        <w:tabs>
          <w:tab w:val="left" w:pos="7665"/>
        </w:tabs>
        <w:spacing w:line="400" w:lineRule="exact"/>
        <w:ind w:left="13" w:leftChars="6" w:firstLine="480" w:firstLineChars="200"/>
        <w:rPr>
          <w:rFonts w:ascii="宋体" w:hAnsi="宋体"/>
          <w:sz w:val="24"/>
        </w:rPr>
      </w:pPr>
      <w:r>
        <w:rPr>
          <w:rFonts w:hint="eastAsia" w:ascii="宋体" w:hAnsi="宋体"/>
          <w:sz w:val="24"/>
        </w:rPr>
        <w:t>15.2 对于没有格式要求的投标文件由投标人自行编写。</w:t>
      </w:r>
    </w:p>
    <w:p>
      <w:pPr>
        <w:spacing w:line="400" w:lineRule="exact"/>
        <w:ind w:firstLine="470" w:firstLineChars="196"/>
        <w:rPr>
          <w:rFonts w:ascii="宋体" w:hAnsi="宋体"/>
          <w:sz w:val="24"/>
          <w:highlight w:val="green"/>
        </w:rPr>
      </w:pPr>
      <w:bookmarkStart w:id="92" w:name="_Toc183682360"/>
      <w:bookmarkStart w:id="93" w:name="_Toc217446050"/>
      <w:bookmarkStart w:id="94" w:name="_Toc183582223"/>
      <w:bookmarkStart w:id="95" w:name="_Toc308164800"/>
      <w:r>
        <w:rPr>
          <w:rFonts w:hint="eastAsia" w:ascii="宋体" w:hAnsi="宋体"/>
          <w:sz w:val="24"/>
        </w:rPr>
        <w:t>16．投标保证金</w:t>
      </w:r>
      <w:bookmarkEnd w:id="92"/>
      <w:bookmarkEnd w:id="93"/>
      <w:bookmarkEnd w:id="94"/>
      <w:bookmarkEnd w:id="95"/>
    </w:p>
    <w:p>
      <w:pPr>
        <w:spacing w:line="400" w:lineRule="exact"/>
        <w:ind w:firstLine="470" w:firstLineChars="196"/>
        <w:rPr>
          <w:rFonts w:ascii="宋体" w:hAnsi="宋体"/>
          <w:sz w:val="24"/>
        </w:rPr>
      </w:pPr>
      <w:r>
        <w:rPr>
          <w:rFonts w:hint="eastAsia" w:ascii="宋体" w:hAnsi="宋体"/>
          <w:sz w:val="24"/>
        </w:rPr>
        <w:t>本项目不缴纳投标保证金</w:t>
      </w:r>
    </w:p>
    <w:p>
      <w:pPr>
        <w:pStyle w:val="5"/>
        <w:spacing w:before="0" w:after="0" w:line="400" w:lineRule="exact"/>
        <w:ind w:firstLine="482" w:firstLineChars="200"/>
        <w:rPr>
          <w:rFonts w:ascii="宋体" w:hAnsi="宋体"/>
          <w:bCs w:val="0"/>
          <w:sz w:val="24"/>
        </w:rPr>
      </w:pPr>
      <w:bookmarkStart w:id="96" w:name="_Toc183682361"/>
      <w:bookmarkStart w:id="97" w:name="_Toc308164801"/>
      <w:bookmarkStart w:id="98" w:name="_Toc217446051"/>
      <w:bookmarkStart w:id="99" w:name="_Toc183582224"/>
      <w:r>
        <w:rPr>
          <w:rFonts w:hint="eastAsia" w:ascii="宋体" w:hAnsi="宋体"/>
          <w:bCs w:val="0"/>
          <w:sz w:val="24"/>
        </w:rPr>
        <w:t>17．投标有效期</w:t>
      </w:r>
      <w:bookmarkEnd w:id="96"/>
      <w:bookmarkEnd w:id="97"/>
      <w:bookmarkEnd w:id="98"/>
      <w:bookmarkEnd w:id="99"/>
      <w:r>
        <w:rPr>
          <w:rFonts w:hint="eastAsia" w:ascii="宋体" w:hAnsi="宋体"/>
          <w:sz w:val="24"/>
          <w:szCs w:val="24"/>
        </w:rPr>
        <w:t>（实质性要求）</w:t>
      </w:r>
    </w:p>
    <w:p>
      <w:pPr>
        <w:tabs>
          <w:tab w:val="left" w:pos="7665"/>
        </w:tabs>
        <w:spacing w:line="400" w:lineRule="exact"/>
        <w:ind w:left="13" w:leftChars="6" w:firstLine="480" w:firstLineChars="200"/>
        <w:rPr>
          <w:rFonts w:ascii="宋体" w:hAnsi="宋体"/>
          <w:sz w:val="24"/>
        </w:rPr>
      </w:pPr>
      <w:r>
        <w:rPr>
          <w:rFonts w:hint="eastAsia" w:ascii="宋体" w:hAnsi="宋体"/>
          <w:sz w:val="24"/>
        </w:rPr>
        <w:t>17.1</w:t>
      </w:r>
      <w:r>
        <w:rPr>
          <w:rFonts w:hint="eastAsia" w:ascii="宋体"/>
          <w:b/>
          <w:sz w:val="24"/>
        </w:rPr>
        <w:t>本项目投标有效期为投标截止之日起90天</w:t>
      </w:r>
      <w:r>
        <w:rPr>
          <w:rFonts w:hint="eastAsia" w:ascii="宋体" w:hAnsi="宋体"/>
          <w:sz w:val="24"/>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sz w:val="24"/>
        </w:rPr>
      </w:pPr>
      <w:r>
        <w:rPr>
          <w:rFonts w:hint="eastAsia" w:ascii="宋体" w:hAnsi="宋体"/>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sz w:val="24"/>
        </w:rPr>
      </w:pPr>
      <w:r>
        <w:rPr>
          <w:rFonts w:hint="eastAsia" w:ascii="宋体" w:hAnsi="宋体"/>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400" w:lineRule="exact"/>
        <w:ind w:firstLine="482" w:firstLineChars="200"/>
        <w:rPr>
          <w:rFonts w:ascii="宋体" w:hAnsi="宋体"/>
          <w:bCs w:val="0"/>
          <w:sz w:val="24"/>
        </w:rPr>
      </w:pPr>
      <w:bookmarkStart w:id="100" w:name="_Toc183582225"/>
      <w:bookmarkStart w:id="101" w:name="_Toc217446052"/>
      <w:bookmarkStart w:id="102" w:name="_Toc308164802"/>
      <w:bookmarkStart w:id="103" w:name="_Toc183682362"/>
      <w:r>
        <w:rPr>
          <w:rFonts w:hint="eastAsia" w:ascii="宋体" w:hAnsi="宋体"/>
          <w:bCs w:val="0"/>
          <w:sz w:val="24"/>
        </w:rPr>
        <w:t>18．投标文件的印制和签署</w:t>
      </w:r>
      <w:bookmarkEnd w:id="100"/>
      <w:bookmarkEnd w:id="101"/>
      <w:bookmarkEnd w:id="102"/>
      <w:bookmarkEnd w:id="103"/>
    </w:p>
    <w:p>
      <w:pPr>
        <w:tabs>
          <w:tab w:val="left" w:pos="7665"/>
        </w:tabs>
        <w:spacing w:line="400" w:lineRule="exact"/>
        <w:ind w:left="13" w:leftChars="6" w:firstLine="360" w:firstLineChars="150"/>
        <w:rPr>
          <w:rFonts w:ascii="宋体"/>
          <w:sz w:val="24"/>
        </w:rPr>
      </w:pPr>
      <w:r>
        <w:rPr>
          <w:rFonts w:hint="eastAsia" w:ascii="宋体"/>
          <w:sz w:val="24"/>
        </w:rPr>
        <w:t>18.1“资格性审查投标文件”和“其他投标文件”均为正本1份副本</w:t>
      </w:r>
      <w:r>
        <w:rPr>
          <w:rFonts w:hint="eastAsia" w:ascii="宋体"/>
          <w:bCs/>
          <w:sz w:val="24"/>
          <w:highlight w:val="green"/>
        </w:rPr>
        <w:t>1</w:t>
      </w:r>
      <w:r>
        <w:rPr>
          <w:rFonts w:hint="eastAsia" w:ascii="宋体"/>
          <w:sz w:val="24"/>
        </w:rPr>
        <w:t>份，并在其封面上清楚地标明资格性审查投标文件/其他投标文件、项目名称、项目编号、包件号及名称（若有）、投标人名称以及其封面右上角清楚地标明“正本”或“副本”字样。若正本和副本有不一致的内容，以正本书面投标文件为准，但副本和正本内容不一致造成的评标差错由投标人自行承担。</w:t>
      </w:r>
    </w:p>
    <w:p>
      <w:pPr>
        <w:tabs>
          <w:tab w:val="left" w:pos="7665"/>
        </w:tabs>
        <w:spacing w:line="400" w:lineRule="exact"/>
        <w:ind w:left="13" w:leftChars="6" w:firstLine="360" w:firstLineChars="150"/>
        <w:rPr>
          <w:rFonts w:ascii="宋体" w:hAnsi="宋体"/>
          <w:sz w:val="24"/>
        </w:rPr>
      </w:pPr>
      <w:r>
        <w:rPr>
          <w:rFonts w:hint="eastAsia" w:ascii="宋体" w:hAnsi="宋体"/>
          <w:sz w:val="24"/>
        </w:rPr>
        <w:t>18.2</w:t>
      </w:r>
      <w:r>
        <w:rPr>
          <w:rFonts w:hint="eastAsia" w:ascii="宋体"/>
          <w:sz w:val="24"/>
        </w:rPr>
        <w:t>电子文档1份，采用U盘制作，应包含“资格性审查投标文件”、“其他投标文件”和“</w:t>
      </w:r>
      <w:r>
        <w:rPr>
          <w:rFonts w:hint="eastAsia" w:ascii="宋体" w:hAnsi="宋体"/>
          <w:sz w:val="24"/>
        </w:rPr>
        <w:t>开标一览表</w:t>
      </w:r>
      <w:r>
        <w:rPr>
          <w:rFonts w:hint="eastAsia" w:ascii="宋体"/>
          <w:sz w:val="24"/>
        </w:rPr>
        <w:t>”签字盖章后的正本扫描件。</w:t>
      </w:r>
    </w:p>
    <w:p>
      <w:pPr>
        <w:tabs>
          <w:tab w:val="left" w:pos="7665"/>
        </w:tabs>
        <w:spacing w:line="400" w:lineRule="exact"/>
        <w:ind w:left="13" w:leftChars="6" w:firstLine="360" w:firstLineChars="150"/>
        <w:rPr>
          <w:rFonts w:ascii="宋体" w:hAnsi="宋体"/>
          <w:sz w:val="24"/>
        </w:rPr>
      </w:pPr>
      <w:r>
        <w:rPr>
          <w:rFonts w:hint="eastAsia" w:ascii="宋体"/>
          <w:sz w:val="24"/>
        </w:rPr>
        <w:t>18.3用于开标唱标单独提交的“开标一览表”原件1份。除此之外，</w:t>
      </w:r>
      <w:r>
        <w:rPr>
          <w:rFonts w:hint="eastAsia" w:ascii="宋体" w:hAnsi="宋体"/>
          <w:sz w:val="24"/>
        </w:rPr>
        <w:t>还应编制于</w:t>
      </w:r>
      <w:r>
        <w:rPr>
          <w:rFonts w:hint="eastAsia" w:ascii="宋体"/>
          <w:sz w:val="24"/>
        </w:rPr>
        <w:t>“其他投标文件”</w:t>
      </w:r>
      <w:r>
        <w:rPr>
          <w:rFonts w:hint="eastAsia" w:ascii="宋体" w:hAnsi="宋体"/>
          <w:sz w:val="24"/>
        </w:rPr>
        <w:t>正副本内，如有遗漏，将视为无效投标。投标人提供的所有“</w:t>
      </w:r>
      <w:r>
        <w:rPr>
          <w:rFonts w:hint="eastAsia" w:ascii="宋体"/>
          <w:sz w:val="24"/>
        </w:rPr>
        <w:t>开标一览表</w:t>
      </w:r>
      <w:r>
        <w:rPr>
          <w:rFonts w:hint="eastAsia" w:ascii="宋体" w:hAnsi="宋体"/>
          <w:sz w:val="24"/>
        </w:rPr>
        <w:t>”应当一致，若出现不一致时，以单独提交的开标一览表为准，</w:t>
      </w:r>
      <w:r>
        <w:rPr>
          <w:rFonts w:hint="eastAsia" w:ascii="宋体"/>
          <w:sz w:val="24"/>
        </w:rPr>
        <w:t>但因不一致造成的评标差错由投标人自行承担。</w:t>
      </w:r>
      <w:r>
        <w:rPr>
          <w:rFonts w:hint="eastAsia" w:ascii="宋体" w:hAnsi="宋体"/>
          <w:b/>
          <w:sz w:val="24"/>
        </w:rPr>
        <w:t>（实质性要求）</w:t>
      </w:r>
      <w:r>
        <w:rPr>
          <w:rFonts w:hint="eastAsia" w:ascii="宋体" w:hAnsi="宋体"/>
          <w:sz w:val="24"/>
        </w:rPr>
        <w:t>。</w:t>
      </w:r>
    </w:p>
    <w:p>
      <w:pPr>
        <w:tabs>
          <w:tab w:val="left" w:pos="1095"/>
        </w:tabs>
        <w:spacing w:line="400" w:lineRule="exact"/>
        <w:ind w:firstLine="460" w:firstLineChars="192"/>
        <w:rPr>
          <w:rFonts w:ascii="宋体" w:hAnsi="宋体"/>
          <w:sz w:val="24"/>
        </w:rPr>
      </w:pPr>
      <w:r>
        <w:rPr>
          <w:rFonts w:hint="eastAsia" w:ascii="宋体" w:hAnsi="宋体"/>
          <w:sz w:val="24"/>
        </w:rPr>
        <w:t>18.4 投标文件的正本和副本均需打印或用不褪色、不变质的墨水书写，并由投标人的法定代表人（单位负责人）或其授权代表在规定签章处签字或盖章。投标文件副本可采用正本的复印件。</w:t>
      </w:r>
    </w:p>
    <w:p>
      <w:pPr>
        <w:tabs>
          <w:tab w:val="left" w:pos="1095"/>
        </w:tabs>
        <w:spacing w:line="400" w:lineRule="exact"/>
        <w:ind w:firstLine="460" w:firstLineChars="192"/>
        <w:rPr>
          <w:rFonts w:ascii="宋体" w:hAnsi="宋体"/>
          <w:sz w:val="24"/>
        </w:rPr>
      </w:pPr>
      <w:r>
        <w:rPr>
          <w:rFonts w:hint="eastAsia" w:ascii="宋体" w:hAnsi="宋体"/>
          <w:sz w:val="24"/>
        </w:rPr>
        <w:t>18.5 投标文件的打印和书写应清楚工整，任何行间插字、涂改或增删，必须由投标人的法定代表人（单位负责人）或其授权代表签字。</w:t>
      </w:r>
    </w:p>
    <w:p>
      <w:pPr>
        <w:tabs>
          <w:tab w:val="left" w:pos="1080"/>
        </w:tabs>
        <w:spacing w:line="400" w:lineRule="exact"/>
        <w:ind w:firstLine="460" w:firstLineChars="192"/>
        <w:rPr>
          <w:rFonts w:ascii="宋体" w:hAnsi="宋体"/>
          <w:sz w:val="24"/>
        </w:rPr>
      </w:pPr>
      <w:r>
        <w:rPr>
          <w:rFonts w:hint="eastAsia" w:ascii="宋体" w:hAnsi="宋体"/>
          <w:sz w:val="24"/>
        </w:rPr>
        <w:t>18.6 投标文件正本和副本应当采取胶装方式装订成册，不得散装或者合页装订</w:t>
      </w:r>
      <w:r>
        <w:rPr>
          <w:rFonts w:hint="eastAsia" w:ascii="宋体" w:hAnsi="宋体"/>
          <w:b/>
          <w:sz w:val="24"/>
        </w:rPr>
        <w:t>（实质性要求）</w:t>
      </w:r>
      <w:r>
        <w:rPr>
          <w:rFonts w:hint="eastAsia" w:ascii="宋体" w:hAnsi="宋体"/>
          <w:sz w:val="24"/>
        </w:rPr>
        <w:t>。</w:t>
      </w:r>
    </w:p>
    <w:p>
      <w:pPr>
        <w:tabs>
          <w:tab w:val="left" w:pos="1080"/>
        </w:tabs>
        <w:spacing w:line="400" w:lineRule="exact"/>
        <w:ind w:firstLine="460" w:firstLineChars="192"/>
        <w:rPr>
          <w:rFonts w:ascii="宋体" w:hAnsi="宋体"/>
          <w:sz w:val="24"/>
        </w:rPr>
      </w:pPr>
      <w:r>
        <w:rPr>
          <w:rFonts w:hint="eastAsia" w:ascii="宋体" w:hAnsi="宋体"/>
          <w:sz w:val="24"/>
        </w:rPr>
        <w:t>18.7 投标文件应根据招标文件的要求制作，签署、盖章和内容应完整。</w:t>
      </w:r>
    </w:p>
    <w:p>
      <w:pPr>
        <w:tabs>
          <w:tab w:val="left" w:pos="1080"/>
        </w:tabs>
        <w:spacing w:line="400" w:lineRule="exact"/>
        <w:ind w:firstLine="460" w:firstLineChars="192"/>
        <w:rPr>
          <w:rFonts w:ascii="宋体" w:hAnsi="宋体"/>
          <w:sz w:val="24"/>
        </w:rPr>
      </w:pPr>
      <w:r>
        <w:rPr>
          <w:rFonts w:hint="eastAsia" w:ascii="宋体" w:hAnsi="宋体"/>
          <w:sz w:val="24"/>
        </w:rPr>
        <w:t>18.8 投标文件统一用A4幅面纸印制，逐页编码。</w:t>
      </w:r>
    </w:p>
    <w:p>
      <w:pPr>
        <w:tabs>
          <w:tab w:val="left" w:pos="1080"/>
        </w:tabs>
        <w:spacing w:line="400" w:lineRule="exact"/>
        <w:ind w:firstLine="460" w:firstLineChars="192"/>
        <w:rPr>
          <w:rFonts w:ascii="宋体" w:hAnsi="宋体"/>
          <w:sz w:val="24"/>
        </w:rPr>
      </w:pPr>
      <w:r>
        <w:rPr>
          <w:rFonts w:hint="eastAsia" w:ascii="宋体" w:hAnsi="宋体"/>
          <w:sz w:val="24"/>
        </w:rPr>
        <w:t>18.9 本次招标要求的复印件是指对图文进行复制后的文件，包括扫描、复印、影印等方式复制的材料。</w:t>
      </w:r>
    </w:p>
    <w:p>
      <w:pPr>
        <w:pStyle w:val="5"/>
        <w:spacing w:before="0" w:after="0" w:line="400" w:lineRule="exact"/>
        <w:ind w:firstLine="482" w:firstLineChars="200"/>
        <w:rPr>
          <w:rFonts w:ascii="宋体" w:hAnsi="宋体"/>
          <w:sz w:val="24"/>
          <w:szCs w:val="24"/>
        </w:rPr>
      </w:pPr>
      <w:bookmarkStart w:id="104" w:name="_Toc89075877"/>
      <w:bookmarkStart w:id="105" w:name="_Toc183682363"/>
      <w:bookmarkStart w:id="106" w:name="_Toc183582226"/>
      <w:bookmarkStart w:id="107" w:name="_Toc77400781"/>
      <w:bookmarkStart w:id="108" w:name="_Toc308164803"/>
      <w:bookmarkStart w:id="109" w:name="_Toc217446053"/>
      <w:r>
        <w:rPr>
          <w:rFonts w:hint="eastAsia" w:ascii="宋体" w:hAnsi="宋体"/>
          <w:bCs w:val="0"/>
          <w:sz w:val="24"/>
          <w:szCs w:val="24"/>
        </w:rPr>
        <w:t>19.</w:t>
      </w:r>
      <w:r>
        <w:rPr>
          <w:rFonts w:hint="eastAsia" w:ascii="宋体" w:hAnsi="宋体"/>
          <w:sz w:val="24"/>
          <w:szCs w:val="24"/>
        </w:rPr>
        <w:t>投标文件的密封和标</w:t>
      </w:r>
      <w:bookmarkEnd w:id="104"/>
      <w:bookmarkEnd w:id="105"/>
      <w:bookmarkEnd w:id="106"/>
      <w:bookmarkEnd w:id="107"/>
      <w:r>
        <w:rPr>
          <w:rFonts w:hint="eastAsia" w:ascii="宋体" w:hAnsi="宋体"/>
          <w:sz w:val="24"/>
          <w:szCs w:val="24"/>
        </w:rPr>
        <w:t>注</w:t>
      </w:r>
      <w:bookmarkEnd w:id="108"/>
      <w:bookmarkEnd w:id="109"/>
    </w:p>
    <w:p>
      <w:pPr>
        <w:tabs>
          <w:tab w:val="left" w:pos="1080"/>
        </w:tabs>
        <w:spacing w:line="400" w:lineRule="exact"/>
        <w:ind w:firstLine="480" w:firstLineChars="200"/>
        <w:rPr>
          <w:rFonts w:ascii="宋体" w:hAnsi="宋体"/>
          <w:sz w:val="24"/>
        </w:rPr>
      </w:pPr>
      <w:r>
        <w:rPr>
          <w:rFonts w:hint="eastAsia" w:ascii="宋体" w:hAnsi="宋体"/>
          <w:sz w:val="24"/>
        </w:rPr>
        <w:t>19.1 “资格性审查投标文件”、“其他投标文件”、“开标一览表”和“电子文档”四者应当单独密封。</w:t>
      </w:r>
    </w:p>
    <w:p>
      <w:pPr>
        <w:tabs>
          <w:tab w:val="left" w:pos="1080"/>
        </w:tabs>
        <w:spacing w:line="400" w:lineRule="exact"/>
        <w:ind w:firstLine="480" w:firstLineChars="200"/>
        <w:rPr>
          <w:rFonts w:ascii="宋体" w:hAnsi="宋体"/>
          <w:sz w:val="24"/>
        </w:rPr>
      </w:pPr>
      <w:r>
        <w:rPr>
          <w:rFonts w:hint="eastAsia" w:ascii="宋体" w:hAnsi="宋体"/>
          <w:sz w:val="24"/>
        </w:rPr>
        <w:t xml:space="preserve">19.2 </w:t>
      </w:r>
      <w:r>
        <w:rPr>
          <w:rFonts w:hint="eastAsia" w:ascii="宋体"/>
          <w:sz w:val="24"/>
        </w:rPr>
        <w:t>密封袋上应当注明“资格性审查投标文件”或“其他投标文件”或“开标一览表”或“电子文档”、投标人名称、项目编号、项目名称及分包号（如有分包）。</w:t>
      </w:r>
    </w:p>
    <w:p>
      <w:pPr>
        <w:pStyle w:val="5"/>
        <w:spacing w:before="0" w:after="0" w:line="400" w:lineRule="exact"/>
        <w:ind w:firstLine="482" w:firstLineChars="200"/>
        <w:rPr>
          <w:rFonts w:ascii="宋体" w:hAnsi="宋体"/>
          <w:bCs w:val="0"/>
          <w:sz w:val="24"/>
          <w:szCs w:val="24"/>
        </w:rPr>
      </w:pPr>
      <w:bookmarkStart w:id="110" w:name="_Toc183682364"/>
      <w:bookmarkStart w:id="111" w:name="_Toc183582227"/>
      <w:bookmarkStart w:id="112" w:name="_Toc217446054"/>
      <w:bookmarkStart w:id="113" w:name="_Toc308164804"/>
      <w:r>
        <w:rPr>
          <w:rFonts w:hint="eastAsia" w:ascii="宋体" w:hAnsi="宋体"/>
          <w:bCs w:val="0"/>
          <w:sz w:val="24"/>
          <w:szCs w:val="24"/>
        </w:rPr>
        <w:t>20</w:t>
      </w:r>
      <w:r>
        <w:rPr>
          <w:rFonts w:hint="eastAsia" w:ascii="宋体" w:hAnsi="宋体"/>
          <w:bCs w:val="0"/>
          <w:sz w:val="28"/>
          <w:szCs w:val="28"/>
        </w:rPr>
        <w:t>．</w:t>
      </w:r>
      <w:r>
        <w:rPr>
          <w:rFonts w:hint="eastAsia" w:ascii="宋体" w:hAnsi="宋体"/>
          <w:bCs w:val="0"/>
          <w:sz w:val="24"/>
          <w:szCs w:val="24"/>
        </w:rPr>
        <w:t>投标文件的</w:t>
      </w:r>
      <w:bookmarkEnd w:id="110"/>
      <w:bookmarkEnd w:id="111"/>
      <w:r>
        <w:rPr>
          <w:rFonts w:hint="eastAsia" w:ascii="宋体" w:hAnsi="宋体"/>
          <w:bCs w:val="0"/>
          <w:sz w:val="24"/>
          <w:szCs w:val="24"/>
        </w:rPr>
        <w:t>递交</w:t>
      </w:r>
      <w:bookmarkEnd w:id="112"/>
      <w:bookmarkEnd w:id="113"/>
    </w:p>
    <w:p>
      <w:pPr>
        <w:tabs>
          <w:tab w:val="left" w:pos="1095"/>
        </w:tabs>
        <w:spacing w:line="400" w:lineRule="exact"/>
        <w:ind w:firstLine="460" w:firstLineChars="192"/>
      </w:pPr>
      <w:r>
        <w:rPr>
          <w:rFonts w:hint="eastAsia" w:ascii="宋体" w:hAnsi="宋体"/>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ascii="宋体" w:hAnsi="宋体"/>
          <w:sz w:val="24"/>
        </w:rPr>
      </w:pPr>
      <w:r>
        <w:rPr>
          <w:rFonts w:hint="eastAsia" w:ascii="宋体" w:hAnsi="宋体"/>
          <w:sz w:val="24"/>
        </w:rPr>
        <w:t>20.2递交投标文件时，报名投标人名称和分包号（如有分包）应当与投标人名称和分包号（如有分包）一致。但是，投标文件实质内容报名投标人名称和分包号（如有分包）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宋体" w:hAnsi="宋体"/>
          <w:sz w:val="24"/>
        </w:rPr>
      </w:pPr>
      <w:r>
        <w:rPr>
          <w:rFonts w:hint="eastAsia" w:ascii="宋体" w:hAnsi="宋体"/>
          <w:sz w:val="24"/>
        </w:rPr>
        <w:t>20.3本次招标不接收邮寄的投标文件。</w:t>
      </w:r>
    </w:p>
    <w:p>
      <w:pPr>
        <w:pStyle w:val="5"/>
        <w:spacing w:before="0" w:after="0" w:line="400" w:lineRule="exact"/>
        <w:ind w:firstLine="482" w:firstLineChars="200"/>
        <w:rPr>
          <w:rFonts w:ascii="宋体" w:hAnsi="宋体"/>
          <w:bCs w:val="0"/>
          <w:sz w:val="24"/>
          <w:szCs w:val="24"/>
        </w:rPr>
      </w:pPr>
      <w:bookmarkStart w:id="114" w:name="_Toc183582228"/>
      <w:bookmarkStart w:id="115" w:name="_Toc183682365"/>
      <w:bookmarkStart w:id="116" w:name="_Toc217446055"/>
      <w:r>
        <w:rPr>
          <w:rFonts w:hint="eastAsia" w:ascii="宋体" w:hAnsi="宋体"/>
          <w:bCs w:val="0"/>
          <w:sz w:val="24"/>
          <w:szCs w:val="24"/>
        </w:rPr>
        <w:t>21．投标文件的修改和撤</w:t>
      </w:r>
      <w:bookmarkEnd w:id="114"/>
      <w:bookmarkEnd w:id="115"/>
      <w:r>
        <w:rPr>
          <w:rFonts w:hint="eastAsia" w:ascii="宋体" w:hAnsi="宋体"/>
          <w:bCs w:val="0"/>
          <w:sz w:val="24"/>
          <w:szCs w:val="24"/>
        </w:rPr>
        <w:t>回</w:t>
      </w:r>
      <w:bookmarkEnd w:id="116"/>
    </w:p>
    <w:p>
      <w:pPr>
        <w:spacing w:line="400" w:lineRule="exact"/>
        <w:ind w:firstLine="470" w:firstLineChars="196"/>
        <w:rPr>
          <w:rFonts w:ascii="宋体" w:hAnsi="宋体"/>
          <w:sz w:val="24"/>
        </w:rPr>
      </w:pPr>
      <w:r>
        <w:rPr>
          <w:rFonts w:hint="eastAsia" w:ascii="宋体" w:hAnsi="宋体"/>
          <w:sz w:val="24"/>
        </w:rPr>
        <w:t>21.1 投标人在递交了投标文件后，可以修改或撤回其投标文件，但必须在规定的投标截止时间前，以书面形式通知采购代理机构。</w:t>
      </w:r>
    </w:p>
    <w:p>
      <w:pPr>
        <w:spacing w:line="400" w:lineRule="exact"/>
        <w:ind w:firstLine="470" w:firstLineChars="196"/>
        <w:rPr>
          <w:rFonts w:ascii="宋体" w:hAnsi="宋体"/>
          <w:sz w:val="24"/>
        </w:rPr>
      </w:pPr>
      <w:r>
        <w:rPr>
          <w:rFonts w:hint="eastAsia" w:ascii="宋体" w:hAnsi="宋体"/>
          <w:sz w:val="24"/>
        </w:rPr>
        <w:t>21.2 投标人的修改书或撤回通知书，应由其法定代表人或授权代表签署并盖单位印章。修改书应按投标须知第19条规定进行密封和标注，并在密封袋上标注“修改”字样。</w:t>
      </w:r>
    </w:p>
    <w:p>
      <w:pPr>
        <w:spacing w:line="400" w:lineRule="exact"/>
        <w:ind w:firstLine="480"/>
        <w:rPr>
          <w:rFonts w:ascii="宋体" w:hAnsi="宋体"/>
          <w:sz w:val="24"/>
        </w:rPr>
      </w:pPr>
      <w:r>
        <w:rPr>
          <w:rFonts w:hint="eastAsia" w:ascii="宋体" w:hAnsi="宋体"/>
          <w:sz w:val="24"/>
        </w:rPr>
        <w:t>21.3 在投标截止时间之后，投标人不得对其递交的投标文件做任何修改，撤回投标的，将按照有关规定进行相应处理。</w:t>
      </w:r>
    </w:p>
    <w:p>
      <w:pPr>
        <w:pStyle w:val="4"/>
        <w:spacing w:line="400" w:lineRule="exact"/>
        <w:jc w:val="center"/>
        <w:rPr>
          <w:rFonts w:ascii="宋体" w:hAnsi="宋体" w:eastAsia="宋体"/>
        </w:rPr>
      </w:pPr>
      <w:bookmarkStart w:id="117" w:name="_Toc183582231"/>
      <w:bookmarkStart w:id="118" w:name="_Toc89075878"/>
      <w:bookmarkStart w:id="119" w:name="_Toc183682368"/>
      <w:bookmarkStart w:id="120" w:name="_Toc308164805"/>
      <w:bookmarkStart w:id="121" w:name="_Toc77400782"/>
      <w:bookmarkStart w:id="122" w:name="_Toc217446056"/>
      <w:r>
        <w:rPr>
          <w:rFonts w:hint="eastAsia" w:ascii="宋体" w:hAnsi="宋体" w:eastAsia="宋体"/>
        </w:rPr>
        <w:t>五、开标和中标</w:t>
      </w:r>
      <w:bookmarkEnd w:id="117"/>
      <w:bookmarkEnd w:id="118"/>
      <w:bookmarkEnd w:id="119"/>
      <w:bookmarkEnd w:id="120"/>
      <w:bookmarkEnd w:id="121"/>
      <w:bookmarkEnd w:id="122"/>
    </w:p>
    <w:p>
      <w:pPr>
        <w:pStyle w:val="5"/>
        <w:spacing w:before="0" w:after="0" w:line="400" w:lineRule="exact"/>
        <w:ind w:firstLine="482" w:firstLineChars="200"/>
        <w:rPr>
          <w:rFonts w:ascii="宋体" w:hAnsi="宋体"/>
          <w:bCs w:val="0"/>
          <w:sz w:val="24"/>
        </w:rPr>
      </w:pPr>
      <w:bookmarkStart w:id="123" w:name="_Toc308164806"/>
      <w:bookmarkStart w:id="124" w:name="_Toc183682369"/>
      <w:bookmarkStart w:id="125" w:name="_Toc217446057"/>
      <w:bookmarkStart w:id="126" w:name="_Toc183582232"/>
      <w:r>
        <w:rPr>
          <w:rFonts w:hint="eastAsia" w:ascii="宋体" w:hAnsi="宋体"/>
          <w:bCs w:val="0"/>
          <w:sz w:val="24"/>
        </w:rPr>
        <w:t>22．开标</w:t>
      </w:r>
      <w:bookmarkEnd w:id="123"/>
      <w:bookmarkEnd w:id="124"/>
      <w:bookmarkEnd w:id="125"/>
      <w:bookmarkEnd w:id="126"/>
    </w:p>
    <w:p>
      <w:pPr>
        <w:spacing w:line="400" w:lineRule="exact"/>
        <w:ind w:firstLine="480" w:firstLineChars="200"/>
        <w:rPr>
          <w:rFonts w:ascii="宋体" w:hAnsi="宋体"/>
          <w:sz w:val="24"/>
        </w:rPr>
      </w:pPr>
      <w:r>
        <w:rPr>
          <w:rFonts w:hint="eastAsia" w:ascii="宋体" w:hAnsi="宋体"/>
          <w:sz w:val="24"/>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ascii="宋体" w:hAnsi="宋体"/>
          <w:sz w:val="24"/>
        </w:rPr>
      </w:pPr>
      <w:r>
        <w:rPr>
          <w:rFonts w:hint="eastAsia" w:ascii="宋体" w:hAnsi="宋体"/>
          <w:sz w:val="24"/>
        </w:rPr>
        <w:t>22.2 开标时，可根据具体情况邀请有关监督管理部门对开标活动进行现场监督。</w:t>
      </w:r>
    </w:p>
    <w:p>
      <w:pPr>
        <w:spacing w:line="400" w:lineRule="exact"/>
        <w:ind w:firstLine="480" w:firstLineChars="200"/>
        <w:rPr>
          <w:rFonts w:ascii="宋体" w:hAnsi="宋体"/>
          <w:sz w:val="24"/>
        </w:rPr>
      </w:pPr>
      <w:r>
        <w:rPr>
          <w:rFonts w:hint="eastAsia" w:ascii="宋体" w:hAnsi="宋体"/>
          <w:sz w:val="24"/>
        </w:rPr>
        <w:t>22.3 开标时，由投标人或者其推选的代表检查其自己递交的投标文件的密封情况，经确认无误后，由招标工作人员将投标人单独递交的“开标一览表”当众拆封，并由唱标人员按照招标文件规定的内容进行宣读。</w:t>
      </w:r>
    </w:p>
    <w:p>
      <w:pPr>
        <w:spacing w:line="400" w:lineRule="exact"/>
        <w:ind w:firstLine="480" w:firstLineChars="200"/>
        <w:rPr>
          <w:rFonts w:ascii="宋体" w:hAnsi="宋体"/>
          <w:sz w:val="24"/>
        </w:rPr>
      </w:pPr>
      <w:r>
        <w:rPr>
          <w:rFonts w:hint="eastAsia" w:ascii="宋体" w:hAnsi="宋体"/>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ascii="宋体" w:hAnsi="宋体"/>
          <w:sz w:val="24"/>
        </w:rPr>
      </w:pPr>
      <w:r>
        <w:rPr>
          <w:rFonts w:hint="eastAsia" w:ascii="宋体" w:hAnsi="宋体"/>
          <w:sz w:val="24"/>
        </w:rPr>
        <w:t>22.4 投标文件中相关内容与“开标一览表”不一致的，以“开标一览表”为准。对不同文字文本投标文件的解释发生异议的，以中文文本为准。</w:t>
      </w:r>
    </w:p>
    <w:p>
      <w:pPr>
        <w:spacing w:line="400" w:lineRule="exact"/>
        <w:ind w:firstLine="480" w:firstLineChars="200"/>
        <w:rPr>
          <w:rFonts w:ascii="宋体" w:hAnsi="宋体"/>
          <w:sz w:val="24"/>
        </w:rPr>
      </w:pPr>
      <w:r>
        <w:rPr>
          <w:rFonts w:hint="eastAsia" w:ascii="宋体" w:hAnsi="宋体"/>
          <w:sz w:val="24"/>
        </w:rPr>
        <w:t>22.5 所有投标唱标完毕，如投标人代表对宣读的“开标一览表”上的内容有异议的，应在获得开标会主持人同意后当场提出。如确实属于唱标人员宣读错了的，经现场监督人员核实后，当场予以更正。</w:t>
      </w:r>
    </w:p>
    <w:p>
      <w:pPr>
        <w:spacing w:line="400" w:lineRule="exact"/>
        <w:ind w:firstLine="480" w:firstLineChars="200"/>
        <w:rPr>
          <w:rFonts w:ascii="宋体" w:hAnsi="宋体"/>
          <w:sz w:val="24"/>
        </w:rPr>
      </w:pPr>
      <w:r>
        <w:rPr>
          <w:rFonts w:hint="eastAsia" w:ascii="宋体" w:hAnsi="宋体"/>
          <w:sz w:val="24"/>
        </w:rPr>
        <w:t>22.6 投标人未参加开标的，视同认可开标结果。</w:t>
      </w:r>
    </w:p>
    <w:p>
      <w:pPr>
        <w:pStyle w:val="5"/>
        <w:spacing w:before="0" w:after="0" w:line="400" w:lineRule="exact"/>
        <w:ind w:firstLine="482" w:firstLineChars="200"/>
        <w:rPr>
          <w:rFonts w:ascii="宋体" w:hAnsi="宋体"/>
          <w:sz w:val="24"/>
        </w:rPr>
      </w:pPr>
      <w:bookmarkStart w:id="127" w:name="_Toc308164807"/>
      <w:bookmarkStart w:id="128" w:name="_Toc217446058"/>
      <w:r>
        <w:rPr>
          <w:rFonts w:hint="eastAsia" w:ascii="宋体" w:hAnsi="宋体"/>
          <w:sz w:val="24"/>
        </w:rPr>
        <w:t>23. 开标程序</w:t>
      </w:r>
      <w:bookmarkEnd w:id="127"/>
      <w:bookmarkEnd w:id="128"/>
    </w:p>
    <w:p>
      <w:pPr>
        <w:spacing w:line="400" w:lineRule="exact"/>
        <w:ind w:firstLine="480" w:firstLineChars="200"/>
        <w:rPr>
          <w:rFonts w:ascii="宋体" w:hAnsi="宋体"/>
          <w:sz w:val="24"/>
        </w:rPr>
      </w:pPr>
      <w:r>
        <w:rPr>
          <w:rFonts w:hint="eastAsia" w:ascii="宋体" w:hAnsi="宋体"/>
          <w:sz w:val="24"/>
        </w:rPr>
        <w:t>23.1 开标会主持人按照招标文件规定的开标时间宣布开标，按照规定要求主持开标会。开标将按以下程序进行：</w:t>
      </w:r>
    </w:p>
    <w:p>
      <w:pPr>
        <w:spacing w:line="400" w:lineRule="exact"/>
        <w:ind w:firstLine="480" w:firstLineChars="200"/>
        <w:rPr>
          <w:rFonts w:ascii="宋体" w:hAnsi="宋体"/>
          <w:sz w:val="24"/>
        </w:rPr>
      </w:pPr>
      <w:r>
        <w:rPr>
          <w:rFonts w:hint="eastAsia" w:ascii="宋体" w:hAnsi="宋体"/>
          <w:sz w:val="24"/>
        </w:rPr>
        <w:t>（1）宣布开标会开始。当众宣布参加开标会主持人、唱标人、会议记录人以及根据情况邀请的现场监督人等工作人员，根据“投标人签到表”宣布参加投标的投标人名单。</w:t>
      </w:r>
    </w:p>
    <w:p>
      <w:pPr>
        <w:spacing w:line="400" w:lineRule="exact"/>
        <w:ind w:firstLine="480" w:firstLineChars="200"/>
        <w:rPr>
          <w:rFonts w:ascii="宋体" w:hAnsi="宋体"/>
          <w:sz w:val="24"/>
        </w:rPr>
      </w:pPr>
      <w:r>
        <w:rPr>
          <w:rFonts w:hint="eastAsia" w:ascii="宋体" w:hAnsi="宋体"/>
          <w:sz w:val="24"/>
        </w:rPr>
        <w:t>（2）根据投标人或者其推选的代表对投标文件密封的检查结果，当众宣布投标文件的密封情况。</w:t>
      </w:r>
    </w:p>
    <w:p>
      <w:pPr>
        <w:spacing w:line="400" w:lineRule="exact"/>
        <w:ind w:firstLine="480" w:firstLineChars="200"/>
        <w:rPr>
          <w:rFonts w:ascii="宋体" w:hAnsi="宋体"/>
          <w:sz w:val="24"/>
        </w:rPr>
      </w:pPr>
      <w:r>
        <w:rPr>
          <w:rFonts w:hint="eastAsia" w:ascii="宋体" w:hAnsi="宋体"/>
          <w:sz w:val="24"/>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ascii="宋体" w:hAnsi="宋体"/>
          <w:sz w:val="24"/>
        </w:rPr>
      </w:pPr>
      <w:r>
        <w:rPr>
          <w:rFonts w:hint="eastAsia" w:ascii="宋体" w:hAnsi="宋体"/>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pStyle w:val="5"/>
        <w:spacing w:before="0" w:after="0" w:line="400" w:lineRule="exact"/>
        <w:ind w:firstLine="482" w:firstLineChars="200"/>
        <w:rPr>
          <w:rFonts w:ascii="宋体" w:hAnsi="宋体"/>
          <w:sz w:val="24"/>
        </w:rPr>
      </w:pPr>
      <w:bookmarkStart w:id="129" w:name="_Toc183682375"/>
      <w:bookmarkStart w:id="130" w:name="_Toc183582238"/>
      <w:bookmarkStart w:id="131" w:name="_Toc308164809"/>
      <w:bookmarkStart w:id="132" w:name="_Toc217446063"/>
      <w:r>
        <w:rPr>
          <w:rFonts w:hint="eastAsia" w:ascii="宋体" w:hAnsi="宋体"/>
          <w:sz w:val="24"/>
        </w:rPr>
        <w:t>24．开评标过程存档</w:t>
      </w:r>
    </w:p>
    <w:p>
      <w:pPr>
        <w:spacing w:line="400" w:lineRule="exact"/>
        <w:ind w:firstLine="480" w:firstLineChars="200"/>
        <w:rPr>
          <w:rFonts w:ascii="宋体" w:hAnsi="宋体"/>
          <w:sz w:val="24"/>
        </w:rPr>
      </w:pPr>
      <w:r>
        <w:rPr>
          <w:rFonts w:hint="eastAsia" w:ascii="宋体" w:hAnsi="宋体"/>
          <w:sz w:val="24"/>
        </w:rPr>
        <w:t>开标和评标过程进行全过程电子监控，并将电子监控资料存储介质留存归档。</w:t>
      </w:r>
    </w:p>
    <w:p>
      <w:pPr>
        <w:pStyle w:val="5"/>
        <w:spacing w:before="0" w:after="0" w:line="400" w:lineRule="exact"/>
        <w:ind w:firstLine="482" w:firstLineChars="200"/>
        <w:rPr>
          <w:rFonts w:ascii="宋体" w:hAnsi="宋体"/>
          <w:sz w:val="24"/>
        </w:rPr>
      </w:pPr>
      <w:r>
        <w:rPr>
          <w:rFonts w:hint="eastAsia" w:ascii="宋体" w:hAnsi="宋体"/>
          <w:sz w:val="24"/>
        </w:rPr>
        <w:t>25.评标情况公告</w:t>
      </w:r>
    </w:p>
    <w:p>
      <w:pPr>
        <w:spacing w:line="400" w:lineRule="exact"/>
        <w:ind w:firstLine="480" w:firstLineChars="200"/>
        <w:rPr>
          <w:rFonts w:ascii="宋体" w:hAnsi="宋体"/>
          <w:sz w:val="24"/>
        </w:rPr>
      </w:pPr>
      <w:r>
        <w:rPr>
          <w:rFonts w:hint="eastAsia" w:ascii="宋体" w:hAnsi="宋体"/>
          <w:sz w:val="24"/>
        </w:rPr>
        <w:t>所有投标人投标文件资格性、符合性检查情况、采用综合评分法时的总得分和分项汇总得分情况、评标结果等将在四川政府采购网上采购结果公告栏中予以公告。</w:t>
      </w:r>
    </w:p>
    <w:p>
      <w:pPr>
        <w:pStyle w:val="5"/>
        <w:spacing w:before="0" w:after="0" w:line="400" w:lineRule="exact"/>
        <w:ind w:firstLine="482" w:firstLineChars="200"/>
        <w:rPr>
          <w:rFonts w:ascii="宋体" w:hAnsi="宋体"/>
          <w:bCs w:val="0"/>
          <w:sz w:val="24"/>
          <w:szCs w:val="24"/>
        </w:rPr>
      </w:pPr>
      <w:r>
        <w:rPr>
          <w:rFonts w:hint="eastAsia" w:ascii="宋体" w:hAnsi="宋体"/>
          <w:bCs w:val="0"/>
          <w:sz w:val="24"/>
          <w:szCs w:val="24"/>
        </w:rPr>
        <w:t>26.中标通知</w:t>
      </w:r>
      <w:bookmarkEnd w:id="129"/>
      <w:bookmarkEnd w:id="130"/>
      <w:r>
        <w:rPr>
          <w:rFonts w:hint="eastAsia" w:ascii="宋体" w:hAnsi="宋体"/>
          <w:bCs w:val="0"/>
          <w:sz w:val="24"/>
          <w:szCs w:val="24"/>
        </w:rPr>
        <w:t>书</w:t>
      </w:r>
      <w:bookmarkEnd w:id="131"/>
      <w:bookmarkEnd w:id="132"/>
    </w:p>
    <w:p>
      <w:pPr>
        <w:tabs>
          <w:tab w:val="left" w:pos="7665"/>
        </w:tabs>
        <w:spacing w:line="400" w:lineRule="exact"/>
        <w:ind w:firstLine="480" w:firstLineChars="200"/>
        <w:rPr>
          <w:rFonts w:ascii="宋体" w:hAnsi="宋体"/>
          <w:sz w:val="24"/>
        </w:rPr>
      </w:pPr>
      <w:r>
        <w:rPr>
          <w:rFonts w:hint="eastAsia" w:ascii="宋体" w:hAnsi="宋体"/>
          <w:sz w:val="24"/>
        </w:rPr>
        <w:t>26</w:t>
      </w:r>
      <w:r>
        <w:rPr>
          <w:rFonts w:hint="eastAsia" w:ascii="宋体" w:hAnsi="宋体"/>
          <w:bCs/>
          <w:sz w:val="24"/>
        </w:rPr>
        <w:t>.</w:t>
      </w:r>
      <w:r>
        <w:rPr>
          <w:rFonts w:hint="eastAsia" w:ascii="宋体" w:hAnsi="宋体"/>
          <w:sz w:val="24"/>
        </w:rPr>
        <w:t>1 中标通知书为签订政府采购合同的依据之一，是合同的有效组成部分。</w:t>
      </w:r>
    </w:p>
    <w:p>
      <w:pPr>
        <w:tabs>
          <w:tab w:val="left" w:pos="7665"/>
        </w:tabs>
        <w:spacing w:line="400" w:lineRule="exact"/>
        <w:ind w:firstLine="480"/>
        <w:rPr>
          <w:rFonts w:ascii="宋体" w:hAnsi="宋体"/>
          <w:sz w:val="24"/>
        </w:rPr>
      </w:pPr>
      <w:r>
        <w:rPr>
          <w:rFonts w:hint="eastAsia" w:ascii="宋体" w:hAnsi="宋体"/>
          <w:sz w:val="24"/>
        </w:rPr>
        <w:t>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sz w:val="24"/>
        </w:rPr>
      </w:pPr>
      <w:r>
        <w:rPr>
          <w:rFonts w:hint="eastAsia" w:ascii="宋体" w:hAnsi="宋体"/>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pPr>
        <w:tabs>
          <w:tab w:val="left" w:pos="7665"/>
        </w:tabs>
        <w:spacing w:line="400" w:lineRule="exact"/>
        <w:ind w:firstLine="480"/>
        <w:rPr>
          <w:rFonts w:ascii="宋体" w:hAnsi="宋体"/>
          <w:sz w:val="24"/>
        </w:rPr>
      </w:pPr>
      <w:r>
        <w:rPr>
          <w:rFonts w:hint="eastAsia" w:ascii="宋体" w:hAnsi="宋体"/>
          <w:sz w:val="24"/>
        </w:rPr>
        <w:t>26.4中标公告发出后，中标人自行领取中标通知书的，可凭有效身份证明证件到采购代理机构办理。（联系方式详见须知附表中）</w:t>
      </w:r>
    </w:p>
    <w:p>
      <w:pPr>
        <w:pStyle w:val="4"/>
        <w:spacing w:line="400" w:lineRule="exact"/>
        <w:jc w:val="center"/>
        <w:rPr>
          <w:rFonts w:ascii="宋体" w:hAnsi="宋体" w:eastAsia="宋体"/>
          <w:szCs w:val="28"/>
        </w:rPr>
      </w:pPr>
      <w:bookmarkStart w:id="133" w:name="_Toc308164810"/>
      <w:bookmarkStart w:id="134" w:name="_Toc217446064"/>
      <w:bookmarkStart w:id="135" w:name="_Toc183682377"/>
      <w:bookmarkStart w:id="136" w:name="_Toc183582240"/>
      <w:r>
        <w:rPr>
          <w:rFonts w:hint="eastAsia" w:ascii="宋体" w:hAnsi="宋体" w:eastAsia="宋体"/>
          <w:szCs w:val="28"/>
        </w:rPr>
        <w:t>六、签订及履行合同和验收</w:t>
      </w:r>
      <w:bookmarkEnd w:id="133"/>
      <w:bookmarkEnd w:id="134"/>
    </w:p>
    <w:p>
      <w:pPr>
        <w:pStyle w:val="5"/>
        <w:spacing w:before="0" w:after="0" w:line="400" w:lineRule="exact"/>
        <w:ind w:firstLine="482" w:firstLineChars="200"/>
        <w:rPr>
          <w:rFonts w:ascii="宋体" w:hAnsi="宋体"/>
          <w:b w:val="0"/>
          <w:sz w:val="24"/>
          <w:szCs w:val="24"/>
        </w:rPr>
      </w:pPr>
      <w:bookmarkStart w:id="137" w:name="_Toc217446065"/>
      <w:bookmarkStart w:id="138" w:name="_Toc308164811"/>
      <w:r>
        <w:rPr>
          <w:rFonts w:hint="eastAsia" w:ascii="宋体" w:hAnsi="宋体"/>
          <w:sz w:val="24"/>
        </w:rPr>
        <w:t>27.</w:t>
      </w:r>
      <w:r>
        <w:rPr>
          <w:rFonts w:hint="eastAsia" w:ascii="宋体" w:hAnsi="宋体"/>
          <w:b w:val="0"/>
          <w:sz w:val="24"/>
        </w:rPr>
        <w:t xml:space="preserve"> </w:t>
      </w:r>
      <w:r>
        <w:rPr>
          <w:rFonts w:hint="eastAsia" w:ascii="宋体" w:hAnsi="宋体"/>
          <w:sz w:val="24"/>
          <w:szCs w:val="24"/>
        </w:rPr>
        <w:t>签订合同</w:t>
      </w:r>
      <w:bookmarkEnd w:id="137"/>
      <w:bookmarkEnd w:id="138"/>
    </w:p>
    <w:p>
      <w:pPr>
        <w:spacing w:line="400" w:lineRule="exact"/>
        <w:ind w:firstLine="480" w:firstLineChars="200"/>
        <w:rPr>
          <w:rFonts w:ascii="宋体" w:hAnsi="宋体"/>
          <w:sz w:val="24"/>
        </w:rPr>
      </w:pPr>
      <w:r>
        <w:rPr>
          <w:rFonts w:hint="eastAsia" w:ascii="宋体" w:hAnsi="宋体"/>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sz w:val="24"/>
        </w:rPr>
      </w:pPr>
      <w:r>
        <w:rPr>
          <w:rFonts w:hint="eastAsia" w:ascii="宋体" w:hAnsi="宋体"/>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sz w:val="24"/>
        </w:rPr>
      </w:pPr>
      <w:r>
        <w:rPr>
          <w:rFonts w:hint="eastAsia" w:ascii="宋体" w:hAnsi="宋体"/>
          <w:sz w:val="24"/>
        </w:rPr>
        <w:t>27.3 中标人拒绝与采购人签订合同的，采购人可以按照评审报告推荐的中标候选人名单排序，确定下一候选人为中标人，也可以重新开展政府采购活动。</w:t>
      </w:r>
    </w:p>
    <w:p>
      <w:pPr>
        <w:spacing w:line="400" w:lineRule="exact"/>
        <w:ind w:firstLine="420" w:firstLineChars="175"/>
        <w:rPr>
          <w:rFonts w:ascii="宋体" w:hAnsi="宋体"/>
          <w:sz w:val="24"/>
        </w:rPr>
      </w:pPr>
      <w:r>
        <w:rPr>
          <w:rFonts w:hint="eastAsia" w:ascii="宋体" w:hAnsi="宋体"/>
          <w:sz w:val="24"/>
        </w:rPr>
        <w:t>27.4 中标人在合同签订之后三个工作日内，将签订的合同（一式壹份）送采购代理机构。中标人应及时到采购代理机构办理。（联系方式详见须知附表中）</w:t>
      </w:r>
    </w:p>
    <w:p>
      <w:pPr>
        <w:pStyle w:val="4"/>
        <w:spacing w:before="0" w:after="0" w:line="400" w:lineRule="exact"/>
        <w:ind w:firstLine="482" w:firstLineChars="200"/>
        <w:rPr>
          <w:rFonts w:ascii="宋体" w:hAnsi="宋体" w:eastAsia="宋体"/>
          <w:sz w:val="24"/>
          <w:szCs w:val="24"/>
        </w:rPr>
      </w:pPr>
      <w:r>
        <w:rPr>
          <w:rFonts w:hint="eastAsia" w:ascii="宋体" w:hAnsi="宋体" w:eastAsia="宋体"/>
          <w:sz w:val="24"/>
          <w:szCs w:val="24"/>
        </w:rPr>
        <w:t>28. 合同分包（实质性要求）</w:t>
      </w:r>
    </w:p>
    <w:p>
      <w:pPr>
        <w:spacing w:line="400" w:lineRule="exact"/>
        <w:ind w:firstLine="480" w:firstLineChars="200"/>
        <w:rPr>
          <w:rFonts w:ascii="宋体" w:hAnsi="宋体"/>
          <w:sz w:val="24"/>
        </w:rPr>
      </w:pPr>
      <w:r>
        <w:rPr>
          <w:rFonts w:hint="eastAsia" w:ascii="宋体" w:hAnsi="宋体"/>
          <w:sz w:val="24"/>
        </w:rPr>
        <w:t>28.1 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80" w:firstLineChars="200"/>
        <w:rPr>
          <w:rFonts w:ascii="宋体" w:hAnsi="宋体"/>
          <w:sz w:val="24"/>
        </w:rPr>
      </w:pPr>
      <w:r>
        <w:rPr>
          <w:rFonts w:hint="eastAsia" w:ascii="宋体" w:hAnsi="宋体"/>
          <w:sz w:val="24"/>
        </w:rPr>
        <w:t>分包履行合同的部分应当为采购项目的非主体、非关键性工作，不属于中标人的主要合同义务。</w:t>
      </w:r>
    </w:p>
    <w:p>
      <w:pPr>
        <w:spacing w:line="400" w:lineRule="exact"/>
        <w:ind w:firstLine="480" w:firstLineChars="200"/>
        <w:rPr>
          <w:rFonts w:ascii="宋体" w:hAnsi="宋体"/>
          <w:sz w:val="24"/>
        </w:rPr>
      </w:pPr>
      <w:r>
        <w:rPr>
          <w:rFonts w:hint="eastAsia" w:ascii="宋体" w:hAnsi="宋体"/>
          <w:sz w:val="24"/>
        </w:rPr>
        <w:t>28.2 采购合同实行分包履行的，中标人就采购项目和分包项目向采购人负责，分包供应商就分包项目承担责任。</w:t>
      </w:r>
    </w:p>
    <w:p>
      <w:pPr>
        <w:spacing w:line="400" w:lineRule="exact"/>
        <w:ind w:firstLine="540" w:firstLineChars="225"/>
        <w:rPr>
          <w:rFonts w:ascii="宋体" w:hAnsi="宋体"/>
          <w:sz w:val="24"/>
        </w:rPr>
      </w:pPr>
      <w:r>
        <w:rPr>
          <w:rFonts w:hint="eastAsia" w:ascii="宋体" w:hAnsi="宋体"/>
          <w:sz w:val="24"/>
        </w:rPr>
        <w:t>28.3中小企业依据《政府采购促进中小企业发展管理办法》（财库〔2020〕46号）规定享受扶持政策获得政府采购合同的，小微企业不得将合同分包给大中型企业，中型企业不得将合同分包给大型企业。</w:t>
      </w:r>
    </w:p>
    <w:p>
      <w:pPr>
        <w:pStyle w:val="4"/>
        <w:spacing w:before="0" w:after="0" w:line="400" w:lineRule="exact"/>
        <w:ind w:firstLine="482" w:firstLineChars="200"/>
        <w:rPr>
          <w:rFonts w:ascii="宋体" w:hAnsi="宋体" w:eastAsia="宋体"/>
          <w:sz w:val="24"/>
          <w:szCs w:val="24"/>
        </w:rPr>
      </w:pPr>
      <w:r>
        <w:rPr>
          <w:rFonts w:hint="eastAsia" w:ascii="宋体" w:hAnsi="宋体" w:eastAsia="宋体"/>
          <w:sz w:val="24"/>
          <w:szCs w:val="24"/>
        </w:rPr>
        <w:t>29.合同转包（实质性要求）</w:t>
      </w:r>
    </w:p>
    <w:p>
      <w:pPr>
        <w:spacing w:line="400" w:lineRule="exact"/>
        <w:ind w:firstLine="540" w:firstLineChars="225"/>
        <w:rPr>
          <w:rFonts w:ascii="宋体" w:hAnsi="宋体"/>
          <w:sz w:val="24"/>
        </w:rPr>
      </w:pPr>
      <w:r>
        <w:rPr>
          <w:rFonts w:hint="eastAsia" w:ascii="宋体" w:hAnsi="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sz w:val="24"/>
        </w:rPr>
      </w:pPr>
      <w:r>
        <w:rPr>
          <w:rFonts w:hint="eastAsia" w:ascii="宋体" w:hAnsi="宋体"/>
          <w:sz w:val="24"/>
        </w:rPr>
        <w:t>中标人转包的，视同拒绝履行政府采购合同义务，将依法追究法律责任。</w:t>
      </w:r>
    </w:p>
    <w:p>
      <w:pPr>
        <w:pStyle w:val="4"/>
        <w:spacing w:before="0" w:after="0" w:line="400" w:lineRule="exact"/>
        <w:ind w:firstLine="482" w:firstLineChars="200"/>
        <w:rPr>
          <w:rFonts w:ascii="宋体" w:hAnsi="宋体" w:eastAsia="宋体"/>
          <w:sz w:val="24"/>
          <w:szCs w:val="24"/>
        </w:rPr>
      </w:pPr>
      <w:bookmarkStart w:id="139" w:name="_Toc217446066"/>
      <w:r>
        <w:rPr>
          <w:rFonts w:hint="eastAsia" w:ascii="宋体" w:hAnsi="宋体" w:eastAsia="宋体"/>
          <w:sz w:val="24"/>
          <w:szCs w:val="24"/>
        </w:rPr>
        <w:t>30.</w:t>
      </w:r>
      <w:bookmarkEnd w:id="139"/>
      <w:r>
        <w:rPr>
          <w:rFonts w:hint="eastAsia" w:ascii="宋体" w:hAnsi="宋体" w:eastAsia="宋体"/>
          <w:sz w:val="24"/>
          <w:szCs w:val="24"/>
        </w:rPr>
        <w:t xml:space="preserve"> 补充合同</w:t>
      </w:r>
    </w:p>
    <w:p>
      <w:pPr>
        <w:spacing w:line="400" w:lineRule="exact"/>
        <w:ind w:firstLine="480" w:firstLineChars="200"/>
        <w:rPr>
          <w:rFonts w:ascii="宋体" w:hAnsi="宋体"/>
          <w:sz w:val="24"/>
        </w:rPr>
      </w:pPr>
      <w:r>
        <w:rPr>
          <w:rFonts w:hint="eastAsia" w:ascii="宋体" w:hAnsi="宋体"/>
          <w:sz w:val="24"/>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before="0" w:after="0" w:line="400" w:lineRule="exact"/>
        <w:ind w:firstLine="482" w:firstLineChars="200"/>
        <w:rPr>
          <w:rFonts w:ascii="宋体" w:hAnsi="宋体"/>
          <w:b w:val="0"/>
          <w:sz w:val="24"/>
          <w:szCs w:val="24"/>
        </w:rPr>
      </w:pPr>
      <w:bookmarkStart w:id="140" w:name="_Toc217446068"/>
      <w:bookmarkStart w:id="141" w:name="_Toc308164812"/>
      <w:r>
        <w:rPr>
          <w:rFonts w:hint="eastAsia" w:ascii="宋体" w:hAnsi="宋体"/>
          <w:sz w:val="24"/>
          <w:szCs w:val="24"/>
        </w:rPr>
        <w:t>31</w:t>
      </w:r>
      <w:r>
        <w:rPr>
          <w:rFonts w:hint="eastAsia" w:ascii="宋体" w:hAnsi="宋体"/>
          <w:b w:val="0"/>
          <w:sz w:val="24"/>
          <w:szCs w:val="24"/>
        </w:rPr>
        <w:t xml:space="preserve">. </w:t>
      </w:r>
      <w:r>
        <w:rPr>
          <w:rFonts w:hint="eastAsia" w:ascii="宋体" w:hAnsi="宋体"/>
          <w:sz w:val="24"/>
          <w:szCs w:val="24"/>
        </w:rPr>
        <w:t>履约保证金</w:t>
      </w:r>
      <w:bookmarkEnd w:id="140"/>
      <w:bookmarkEnd w:id="141"/>
      <w:r>
        <w:rPr>
          <w:rFonts w:hint="eastAsia" w:ascii="宋体" w:hAnsi="宋体"/>
          <w:sz w:val="24"/>
          <w:szCs w:val="24"/>
        </w:rPr>
        <w:t>（如需缴纳）</w:t>
      </w:r>
    </w:p>
    <w:p>
      <w:pPr>
        <w:spacing w:line="400" w:lineRule="exact"/>
        <w:ind w:firstLine="480" w:firstLineChars="200"/>
        <w:rPr>
          <w:rFonts w:ascii="宋体" w:hAnsi="宋体"/>
          <w:sz w:val="24"/>
        </w:rPr>
      </w:pPr>
      <w:r>
        <w:rPr>
          <w:rFonts w:hint="eastAsia" w:ascii="宋体" w:hAnsi="宋体"/>
          <w:sz w:val="24"/>
        </w:rPr>
        <w:t>31.1 如招标文件规定须交纳履约保证金，中标人应在合同签订之前交纳招标文件规定数额的履约保证金。</w:t>
      </w:r>
    </w:p>
    <w:p>
      <w:pPr>
        <w:spacing w:line="400" w:lineRule="exact"/>
        <w:ind w:firstLine="480" w:firstLineChars="200"/>
        <w:rPr>
          <w:rFonts w:ascii="宋体" w:hAnsi="宋体"/>
          <w:sz w:val="24"/>
        </w:rPr>
      </w:pPr>
      <w:r>
        <w:rPr>
          <w:rFonts w:hint="eastAsia" w:ascii="宋体" w:hAnsi="宋体"/>
          <w:sz w:val="24"/>
        </w:rPr>
        <w:t>31.2 如果中标人在规定的合同签订时间内，没有按照招标文件的规定交纳履约保证金，且又无正当理由的，将视为放弃中标。</w:t>
      </w:r>
    </w:p>
    <w:p>
      <w:pPr>
        <w:pStyle w:val="5"/>
        <w:spacing w:before="0" w:after="0" w:line="400" w:lineRule="exact"/>
        <w:ind w:firstLine="482" w:firstLineChars="200"/>
        <w:rPr>
          <w:rFonts w:ascii="宋体" w:hAnsi="宋体"/>
          <w:sz w:val="24"/>
          <w:szCs w:val="24"/>
        </w:rPr>
      </w:pPr>
      <w:bookmarkStart w:id="142" w:name="_Toc308164813"/>
      <w:bookmarkStart w:id="143" w:name="_Toc217446069"/>
      <w:r>
        <w:rPr>
          <w:rFonts w:hint="eastAsia" w:ascii="宋体" w:hAnsi="宋体"/>
          <w:sz w:val="24"/>
          <w:szCs w:val="24"/>
        </w:rPr>
        <w:t>32.合同公告</w:t>
      </w:r>
    </w:p>
    <w:p>
      <w:pPr>
        <w:spacing w:line="400" w:lineRule="exact"/>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before="0" w:after="0" w:line="400" w:lineRule="exact"/>
        <w:ind w:firstLine="482" w:firstLineChars="200"/>
        <w:rPr>
          <w:rFonts w:ascii="宋体" w:hAnsi="宋体"/>
          <w:sz w:val="24"/>
          <w:szCs w:val="24"/>
        </w:rPr>
      </w:pPr>
      <w:r>
        <w:rPr>
          <w:rFonts w:hint="eastAsia" w:ascii="宋体" w:hAnsi="宋体"/>
          <w:sz w:val="24"/>
          <w:szCs w:val="24"/>
        </w:rPr>
        <w:t>33.合同备案</w:t>
      </w:r>
    </w:p>
    <w:p>
      <w:pPr>
        <w:spacing w:line="400" w:lineRule="exact"/>
        <w:ind w:firstLine="480" w:firstLineChars="200"/>
        <w:rPr>
          <w:rFonts w:ascii="宋体" w:hAnsi="宋体"/>
          <w:sz w:val="24"/>
        </w:rPr>
      </w:pPr>
      <w:r>
        <w:rPr>
          <w:rFonts w:hint="eastAsia" w:ascii="宋体" w:hAnsi="宋体"/>
          <w:sz w:val="24"/>
        </w:rPr>
        <w:t>采购人应当将政府采购合同副本自签订（双方当事人均已签字盖章）之日起七个工作日内通过四川政府采购网报同级财政部门备案。</w:t>
      </w:r>
    </w:p>
    <w:p>
      <w:pPr>
        <w:pStyle w:val="5"/>
        <w:spacing w:before="0" w:after="0" w:line="400" w:lineRule="exact"/>
        <w:ind w:firstLine="482" w:firstLineChars="200"/>
        <w:rPr>
          <w:rFonts w:ascii="宋体" w:hAnsi="宋体"/>
          <w:b w:val="0"/>
          <w:sz w:val="24"/>
          <w:szCs w:val="24"/>
        </w:rPr>
      </w:pPr>
      <w:r>
        <w:rPr>
          <w:rFonts w:hint="eastAsia" w:ascii="宋体" w:hAnsi="宋体"/>
          <w:sz w:val="24"/>
          <w:szCs w:val="24"/>
        </w:rPr>
        <w:t>34. 履行合同</w:t>
      </w:r>
      <w:bookmarkEnd w:id="142"/>
      <w:bookmarkEnd w:id="143"/>
    </w:p>
    <w:p>
      <w:pPr>
        <w:spacing w:line="400" w:lineRule="exact"/>
        <w:ind w:firstLine="480" w:firstLineChars="200"/>
        <w:rPr>
          <w:rFonts w:ascii="宋体" w:hAnsi="宋体"/>
          <w:sz w:val="24"/>
        </w:rPr>
      </w:pPr>
      <w:r>
        <w:rPr>
          <w:rFonts w:hint="eastAsia" w:ascii="宋体" w:hAnsi="宋体"/>
          <w:sz w:val="24"/>
        </w:rPr>
        <w:t>34.1 中标人与采购人签订合同后，合同双方应严格执行合同条款，履行合同规定的义务，保证合同的顺利完成。</w:t>
      </w:r>
    </w:p>
    <w:p>
      <w:pPr>
        <w:spacing w:line="400" w:lineRule="exact"/>
        <w:ind w:firstLine="480" w:firstLineChars="200"/>
        <w:rPr>
          <w:rFonts w:ascii="宋体" w:hAnsi="宋体"/>
          <w:sz w:val="24"/>
        </w:rPr>
      </w:pPr>
      <w:r>
        <w:rPr>
          <w:rFonts w:hint="eastAsia" w:ascii="宋体" w:hAnsi="宋体"/>
          <w:sz w:val="24"/>
        </w:rPr>
        <w:t>34.2 在合同履行过程中，如发生合同纠纷，合同双方应按照《中华人民共和国民法典》的有关规定进行处理。</w:t>
      </w:r>
    </w:p>
    <w:p>
      <w:pPr>
        <w:pStyle w:val="5"/>
        <w:spacing w:before="0" w:after="0" w:line="400" w:lineRule="exact"/>
        <w:ind w:firstLine="482" w:firstLineChars="200"/>
        <w:rPr>
          <w:rFonts w:ascii="宋体" w:hAnsi="宋体"/>
          <w:b w:val="0"/>
          <w:sz w:val="24"/>
          <w:szCs w:val="24"/>
        </w:rPr>
      </w:pPr>
      <w:bookmarkStart w:id="144" w:name="_Toc308164814"/>
      <w:bookmarkStart w:id="145" w:name="_Toc217446070"/>
      <w:r>
        <w:rPr>
          <w:rFonts w:hint="eastAsia" w:ascii="宋体" w:hAnsi="宋体"/>
          <w:sz w:val="24"/>
          <w:szCs w:val="24"/>
        </w:rPr>
        <w:t>35. 验收</w:t>
      </w:r>
      <w:bookmarkEnd w:id="144"/>
      <w:bookmarkEnd w:id="145"/>
    </w:p>
    <w:p>
      <w:pPr>
        <w:spacing w:line="400" w:lineRule="exact"/>
        <w:ind w:firstLine="480" w:firstLineChars="200"/>
        <w:rPr>
          <w:rFonts w:ascii="宋体" w:hAnsi="宋体"/>
          <w:sz w:val="24"/>
        </w:rPr>
      </w:pPr>
      <w:r>
        <w:rPr>
          <w:rFonts w:hint="eastAsia" w:ascii="宋体" w:hAnsi="宋体"/>
          <w:sz w:val="24"/>
        </w:rPr>
        <w:t>35.1本项目采购人及其委托的采购代理机构将严格按照政府采购相关法律法规以及</w:t>
      </w:r>
      <w:r>
        <w:rPr>
          <w:rFonts w:hint="eastAsia" w:ascii="宋体" w:hAnsi="宋体" w:cs="仿宋"/>
          <w:sz w:val="24"/>
        </w:rPr>
        <w:t>《财政部关于进一步加强政府采购需求和履约验收管理的指导意见》（财库[2016]205号</w:t>
      </w:r>
      <w:r>
        <w:rPr>
          <w:rFonts w:hint="eastAsia" w:ascii="宋体" w:hAnsi="宋体"/>
          <w:sz w:val="24"/>
        </w:rPr>
        <w:t>的要求进行验收。</w:t>
      </w:r>
    </w:p>
    <w:p>
      <w:pPr>
        <w:spacing w:line="400" w:lineRule="exact"/>
        <w:ind w:firstLine="480" w:firstLineChars="200"/>
        <w:rPr>
          <w:rFonts w:ascii="宋体" w:hAnsi="宋体"/>
          <w:sz w:val="24"/>
        </w:rPr>
      </w:pPr>
      <w:r>
        <w:rPr>
          <w:rFonts w:hint="eastAsia" w:ascii="宋体" w:hAnsi="宋体"/>
          <w:sz w:val="24"/>
        </w:rPr>
        <w:t>35.2 验收结果合格的，中标人凭验收报告办理相关手续；验收结果不合格的，履约保证金将不予退还，也将不予支付采购资金，还可能会报告本项目同级财政部门按照政府采购法律法规及《四川省政府采购当事人诚信管理办法》（川财采〔2015〕33号）等有关规定给予行政处罚或者以失信行为记入诚信档案。</w:t>
      </w:r>
      <w:bookmarkStart w:id="146" w:name="_Toc217446071"/>
    </w:p>
    <w:p>
      <w:pPr>
        <w:pStyle w:val="5"/>
        <w:spacing w:before="0" w:after="0" w:line="400" w:lineRule="exact"/>
        <w:ind w:firstLine="482" w:firstLineChars="200"/>
        <w:rPr>
          <w:rFonts w:ascii="宋体" w:hAnsi="宋体"/>
          <w:sz w:val="24"/>
          <w:szCs w:val="24"/>
        </w:rPr>
      </w:pPr>
      <w:bookmarkStart w:id="147" w:name="_Toc308164818"/>
      <w:bookmarkStart w:id="148" w:name="_Toc217446077"/>
      <w:r>
        <w:rPr>
          <w:rFonts w:hint="eastAsia" w:ascii="宋体" w:hAnsi="宋体"/>
          <w:sz w:val="24"/>
          <w:szCs w:val="24"/>
        </w:rPr>
        <w:t>36.资金支付</w:t>
      </w:r>
      <w:bookmarkEnd w:id="147"/>
      <w:bookmarkEnd w:id="148"/>
    </w:p>
    <w:p>
      <w:pPr>
        <w:spacing w:line="400" w:lineRule="exact"/>
        <w:ind w:firstLine="480" w:firstLineChars="200"/>
        <w:rPr>
          <w:rFonts w:ascii="宋体" w:hAnsi="宋体"/>
          <w:sz w:val="24"/>
        </w:rPr>
      </w:pPr>
      <w:r>
        <w:rPr>
          <w:rFonts w:hint="eastAsia" w:ascii="宋体" w:hAnsi="宋体"/>
          <w:sz w:val="24"/>
        </w:rPr>
        <w:t>采购人将按照政府采购合同规定，及时向中标人支付采购资金。本项目采购资金付款详见第六章商务要求中付款方式或在签订合同时商定。</w:t>
      </w:r>
    </w:p>
    <w:bookmarkEnd w:id="135"/>
    <w:bookmarkEnd w:id="136"/>
    <w:bookmarkEnd w:id="146"/>
    <w:p>
      <w:pPr>
        <w:pStyle w:val="4"/>
        <w:spacing w:line="400" w:lineRule="exact"/>
        <w:jc w:val="center"/>
        <w:rPr>
          <w:rFonts w:ascii="宋体" w:hAnsi="宋体" w:eastAsia="宋体"/>
          <w:szCs w:val="28"/>
        </w:rPr>
      </w:pPr>
      <w:bookmarkStart w:id="149" w:name="_Toc217446074"/>
      <w:bookmarkStart w:id="150" w:name="_Toc308164815"/>
      <w:bookmarkStart w:id="151" w:name="_Toc183582243"/>
      <w:bookmarkStart w:id="152" w:name="_Toc183682380"/>
      <w:r>
        <w:rPr>
          <w:rFonts w:hint="eastAsia" w:ascii="宋体" w:hAnsi="宋体" w:eastAsia="宋体"/>
          <w:szCs w:val="28"/>
        </w:rPr>
        <w:t>七、投标纪律要求</w:t>
      </w:r>
      <w:bookmarkEnd w:id="149"/>
      <w:bookmarkEnd w:id="150"/>
    </w:p>
    <w:p>
      <w:pPr>
        <w:pStyle w:val="5"/>
        <w:spacing w:before="0" w:after="0" w:line="400" w:lineRule="exact"/>
        <w:ind w:firstLine="482" w:firstLineChars="200"/>
        <w:rPr>
          <w:rFonts w:ascii="宋体" w:hAnsi="宋体"/>
          <w:bCs w:val="0"/>
          <w:sz w:val="24"/>
          <w:szCs w:val="24"/>
        </w:rPr>
      </w:pPr>
      <w:bookmarkStart w:id="153" w:name="_Toc308164816"/>
      <w:bookmarkStart w:id="154" w:name="_Toc217446075"/>
      <w:r>
        <w:rPr>
          <w:rFonts w:hint="eastAsia" w:ascii="宋体" w:hAnsi="宋体"/>
          <w:sz w:val="24"/>
        </w:rPr>
        <w:t xml:space="preserve">37. </w:t>
      </w:r>
      <w:r>
        <w:rPr>
          <w:rFonts w:hint="eastAsia" w:ascii="宋体" w:hAnsi="宋体"/>
          <w:bCs w:val="0"/>
          <w:sz w:val="24"/>
          <w:szCs w:val="24"/>
        </w:rPr>
        <w:t>投标人</w:t>
      </w:r>
      <w:bookmarkEnd w:id="153"/>
      <w:bookmarkEnd w:id="154"/>
      <w:r>
        <w:rPr>
          <w:rFonts w:hint="eastAsia" w:ascii="宋体" w:hAnsi="宋体"/>
          <w:bCs w:val="0"/>
          <w:sz w:val="24"/>
          <w:szCs w:val="24"/>
        </w:rPr>
        <w:t>纪律要求</w:t>
      </w:r>
    </w:p>
    <w:p>
      <w:pPr>
        <w:pStyle w:val="7"/>
        <w:spacing w:line="400" w:lineRule="exact"/>
        <w:ind w:firstLine="480"/>
        <w:rPr>
          <w:rFonts w:ascii="宋体" w:hAnsi="宋体"/>
          <w:sz w:val="24"/>
        </w:rPr>
      </w:pPr>
      <w:r>
        <w:rPr>
          <w:rFonts w:hint="eastAsia" w:ascii="宋体" w:hAnsi="宋体"/>
          <w:sz w:val="24"/>
        </w:rPr>
        <w:t>投标人应当遵循公平竞争的原则，不得恶意串通，不得妨碍其他投标人的竞争行为，不得损害采购人或者其他投标人的合法权益。</w:t>
      </w:r>
    </w:p>
    <w:p>
      <w:pPr>
        <w:pStyle w:val="7"/>
        <w:spacing w:line="400" w:lineRule="exact"/>
        <w:ind w:firstLine="480"/>
        <w:rPr>
          <w:rFonts w:ascii="宋体" w:hAnsi="宋体"/>
          <w:sz w:val="24"/>
        </w:rPr>
      </w:pPr>
      <w:r>
        <w:rPr>
          <w:rFonts w:hint="eastAsia" w:ascii="宋体" w:hAnsi="宋体"/>
          <w:sz w:val="24"/>
        </w:rPr>
        <w:t>在评标过程中发现投标人有上述情形的，评标委员会应当认定其投标无效，并书面报告本级财政部门。</w:t>
      </w:r>
    </w:p>
    <w:p>
      <w:pPr>
        <w:spacing w:line="400" w:lineRule="exact"/>
        <w:ind w:firstLine="480" w:firstLineChars="200"/>
        <w:rPr>
          <w:rFonts w:ascii="宋体" w:hAnsi="宋体"/>
          <w:sz w:val="24"/>
        </w:rPr>
      </w:pPr>
      <w:r>
        <w:rPr>
          <w:rFonts w:hint="eastAsia" w:ascii="宋体" w:hAnsi="宋体"/>
          <w:sz w:val="24"/>
        </w:rPr>
        <w:t>37.1 投标人参加本项目投标不得有下列情形：</w:t>
      </w:r>
    </w:p>
    <w:p>
      <w:pPr>
        <w:spacing w:line="400" w:lineRule="exact"/>
        <w:ind w:firstLine="480" w:firstLineChars="200"/>
        <w:rPr>
          <w:rFonts w:ascii="宋体" w:hAnsi="宋体"/>
          <w:sz w:val="24"/>
        </w:rPr>
      </w:pPr>
      <w:r>
        <w:rPr>
          <w:rFonts w:hint="eastAsia" w:ascii="宋体" w:hAnsi="宋体"/>
          <w:sz w:val="24"/>
        </w:rPr>
        <w:t>（1）提供虚假材料谋取中标；</w:t>
      </w:r>
    </w:p>
    <w:p>
      <w:pPr>
        <w:spacing w:line="400" w:lineRule="exact"/>
        <w:ind w:firstLine="480" w:firstLineChars="200"/>
        <w:rPr>
          <w:rFonts w:ascii="宋体" w:hAnsi="宋体"/>
          <w:sz w:val="24"/>
        </w:rPr>
      </w:pPr>
      <w:r>
        <w:rPr>
          <w:rFonts w:hint="eastAsia" w:ascii="宋体" w:hAnsi="宋体"/>
          <w:sz w:val="24"/>
        </w:rPr>
        <w:t>（2）采取不正当手段诋毁、排挤其他投标人；</w:t>
      </w:r>
    </w:p>
    <w:p>
      <w:pPr>
        <w:spacing w:line="400" w:lineRule="exact"/>
        <w:ind w:firstLine="480" w:firstLineChars="200"/>
        <w:rPr>
          <w:rFonts w:ascii="宋体" w:hAnsi="宋体"/>
          <w:sz w:val="24"/>
        </w:rPr>
      </w:pPr>
      <w:r>
        <w:rPr>
          <w:rFonts w:hint="eastAsia" w:ascii="宋体" w:hAnsi="宋体"/>
          <w:sz w:val="24"/>
        </w:rPr>
        <w:t>（3）与招标采购单位、其他投标人恶意串通；</w:t>
      </w:r>
    </w:p>
    <w:p>
      <w:pPr>
        <w:spacing w:line="400" w:lineRule="exact"/>
        <w:ind w:firstLine="480" w:firstLineChars="200"/>
        <w:rPr>
          <w:rFonts w:ascii="宋体" w:hAnsi="宋体"/>
          <w:sz w:val="24"/>
        </w:rPr>
      </w:pPr>
      <w:r>
        <w:rPr>
          <w:rFonts w:hint="eastAsia" w:ascii="宋体" w:hAnsi="宋体"/>
          <w:sz w:val="24"/>
        </w:rPr>
        <w:t>（4）向招标采购单位、评标委员会成员行贿或者提供其他不正当利益；</w:t>
      </w:r>
    </w:p>
    <w:p>
      <w:pPr>
        <w:spacing w:line="400" w:lineRule="exact"/>
        <w:ind w:firstLine="480" w:firstLineChars="200"/>
        <w:rPr>
          <w:rFonts w:ascii="宋体" w:hAnsi="宋体"/>
          <w:sz w:val="24"/>
        </w:rPr>
      </w:pPr>
      <w:r>
        <w:rPr>
          <w:rFonts w:hint="eastAsia" w:ascii="宋体" w:hAnsi="宋体"/>
          <w:sz w:val="24"/>
        </w:rPr>
        <w:t>（5）在招标过程中与招标采购单位进行协商谈判；</w:t>
      </w:r>
    </w:p>
    <w:p>
      <w:pPr>
        <w:spacing w:line="400" w:lineRule="exact"/>
        <w:ind w:firstLine="480" w:firstLineChars="200"/>
        <w:rPr>
          <w:rFonts w:ascii="宋体" w:hAnsi="宋体"/>
          <w:sz w:val="24"/>
        </w:rPr>
      </w:pPr>
      <w:r>
        <w:rPr>
          <w:rFonts w:hint="eastAsia" w:ascii="宋体" w:hAnsi="宋体"/>
          <w:sz w:val="24"/>
        </w:rPr>
        <w:t>（6）中标或者成交后无正当理由拒不与采购人签订政府采购合同；</w:t>
      </w:r>
    </w:p>
    <w:p>
      <w:pPr>
        <w:spacing w:line="400" w:lineRule="exact"/>
        <w:ind w:firstLine="480" w:firstLineChars="200"/>
        <w:rPr>
          <w:rFonts w:ascii="宋体" w:hAnsi="宋体"/>
          <w:sz w:val="24"/>
        </w:rPr>
      </w:pPr>
      <w:r>
        <w:rPr>
          <w:rFonts w:hint="eastAsia" w:ascii="宋体" w:hAnsi="宋体"/>
          <w:sz w:val="24"/>
        </w:rPr>
        <w:t>（7）未按照采购文件确定的事项签订政府采购合同；</w:t>
      </w:r>
    </w:p>
    <w:p>
      <w:pPr>
        <w:spacing w:line="400" w:lineRule="exact"/>
        <w:ind w:firstLine="480" w:firstLineChars="200"/>
        <w:rPr>
          <w:rFonts w:ascii="宋体" w:hAnsi="宋体"/>
          <w:sz w:val="24"/>
        </w:rPr>
      </w:pPr>
      <w:r>
        <w:rPr>
          <w:rFonts w:hint="eastAsia" w:ascii="宋体" w:hAnsi="宋体"/>
          <w:sz w:val="24"/>
        </w:rPr>
        <w:t>（8）将政府采购合同转包或者违规分包；</w:t>
      </w:r>
    </w:p>
    <w:p>
      <w:pPr>
        <w:spacing w:line="400" w:lineRule="exact"/>
        <w:ind w:firstLine="480" w:firstLineChars="200"/>
        <w:rPr>
          <w:rFonts w:ascii="宋体" w:hAnsi="宋体"/>
          <w:sz w:val="24"/>
        </w:rPr>
      </w:pPr>
      <w:r>
        <w:rPr>
          <w:rFonts w:hint="eastAsia" w:ascii="宋体" w:hAnsi="宋体"/>
          <w:sz w:val="24"/>
        </w:rPr>
        <w:t>（9）提供假冒伪劣产品；</w:t>
      </w:r>
    </w:p>
    <w:p>
      <w:pPr>
        <w:spacing w:line="400" w:lineRule="exact"/>
        <w:ind w:firstLine="480" w:firstLineChars="200"/>
        <w:rPr>
          <w:rFonts w:ascii="宋体" w:hAnsi="宋体"/>
          <w:sz w:val="24"/>
        </w:rPr>
      </w:pPr>
      <w:r>
        <w:rPr>
          <w:rFonts w:hint="eastAsia" w:ascii="宋体" w:hAnsi="宋体"/>
          <w:sz w:val="24"/>
        </w:rPr>
        <w:t>（10）擅自变更、中止或者终止政府采购合同；</w:t>
      </w:r>
    </w:p>
    <w:p>
      <w:pPr>
        <w:spacing w:line="400" w:lineRule="exact"/>
        <w:ind w:firstLine="480" w:firstLineChars="200"/>
        <w:rPr>
          <w:rFonts w:ascii="宋体" w:hAnsi="宋体"/>
          <w:sz w:val="24"/>
        </w:rPr>
      </w:pPr>
      <w:r>
        <w:rPr>
          <w:rFonts w:hint="eastAsia" w:ascii="宋体" w:hAnsi="宋体"/>
          <w:sz w:val="24"/>
        </w:rPr>
        <w:t>（11）拒绝有关部门的监督检查或者向监督检查部门提供虚假情况；</w:t>
      </w:r>
    </w:p>
    <w:p>
      <w:pPr>
        <w:spacing w:line="400" w:lineRule="exact"/>
        <w:ind w:firstLine="480" w:firstLineChars="200"/>
        <w:rPr>
          <w:rFonts w:ascii="宋体" w:hAnsi="宋体"/>
          <w:sz w:val="24"/>
        </w:rPr>
      </w:pPr>
      <w:r>
        <w:rPr>
          <w:rFonts w:hint="eastAsia" w:ascii="宋体" w:hAnsi="宋体"/>
          <w:sz w:val="24"/>
        </w:rPr>
        <w:t>（12）法律法规规定的其他情形。</w:t>
      </w:r>
    </w:p>
    <w:p>
      <w:pPr>
        <w:spacing w:line="400" w:lineRule="exact"/>
        <w:ind w:firstLine="480" w:firstLineChars="200"/>
        <w:rPr>
          <w:rFonts w:ascii="宋体" w:hAnsi="宋体"/>
          <w:sz w:val="24"/>
        </w:rPr>
      </w:pPr>
      <w:r>
        <w:rPr>
          <w:rFonts w:hint="eastAsia" w:ascii="宋体" w:hAnsi="宋体"/>
          <w:sz w:val="24"/>
        </w:rPr>
        <w:t>投标人有上述情形的，按照规定追究法律责任，具备（1）-（10）条情形之一的，同时将取消中标资格或者认定中标无效。</w:t>
      </w:r>
    </w:p>
    <w:p>
      <w:pPr>
        <w:spacing w:line="400" w:lineRule="exact"/>
        <w:ind w:firstLine="480" w:firstLineChars="200"/>
        <w:rPr>
          <w:rFonts w:ascii="宋体" w:hAnsi="宋体"/>
          <w:sz w:val="24"/>
        </w:rPr>
      </w:pPr>
      <w:r>
        <w:rPr>
          <w:rFonts w:hint="eastAsia" w:ascii="宋体" w:hAnsi="宋体"/>
          <w:sz w:val="24"/>
        </w:rPr>
        <w:t>37.2 投标人有下列情形之一的，视为投标人串通投标，其投标无效：</w:t>
      </w:r>
    </w:p>
    <w:p>
      <w:pPr>
        <w:spacing w:line="400" w:lineRule="exact"/>
        <w:ind w:firstLine="480" w:firstLineChars="200"/>
        <w:rPr>
          <w:rFonts w:ascii="宋体" w:hAnsi="宋体"/>
          <w:sz w:val="24"/>
        </w:rPr>
      </w:pPr>
      <w:r>
        <w:rPr>
          <w:rFonts w:hint="eastAsia" w:ascii="宋体" w:hAnsi="宋体"/>
          <w:sz w:val="24"/>
        </w:rPr>
        <w:t>（1）不同投标人的投标文件由同一单位或者个人编制；</w:t>
      </w:r>
    </w:p>
    <w:p>
      <w:pPr>
        <w:spacing w:line="400" w:lineRule="exact"/>
        <w:ind w:firstLine="480" w:firstLineChars="200"/>
        <w:rPr>
          <w:rFonts w:ascii="宋体" w:hAnsi="宋体"/>
          <w:sz w:val="24"/>
        </w:rPr>
      </w:pPr>
      <w:r>
        <w:rPr>
          <w:rFonts w:hint="eastAsia" w:ascii="宋体" w:hAnsi="宋体"/>
          <w:sz w:val="24"/>
        </w:rPr>
        <w:t>（2）不同投标人委托同一单位或者个人办理投标事宜；</w:t>
      </w:r>
    </w:p>
    <w:p>
      <w:pPr>
        <w:spacing w:line="400" w:lineRule="exact"/>
        <w:ind w:firstLine="480" w:firstLineChars="200"/>
        <w:rPr>
          <w:rFonts w:ascii="宋体" w:hAnsi="宋体"/>
          <w:sz w:val="24"/>
        </w:rPr>
      </w:pPr>
      <w:r>
        <w:rPr>
          <w:rFonts w:hint="eastAsia" w:ascii="宋体" w:hAnsi="宋体"/>
          <w:sz w:val="24"/>
        </w:rPr>
        <w:t>（3）不同投标人的投标文件载明的项目管理成员或者联系人员为同一人；</w:t>
      </w:r>
    </w:p>
    <w:p>
      <w:pPr>
        <w:spacing w:line="400" w:lineRule="exact"/>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400" w:lineRule="exact"/>
        <w:ind w:firstLine="480" w:firstLineChars="200"/>
        <w:rPr>
          <w:rFonts w:ascii="宋体" w:hAnsi="宋体"/>
          <w:sz w:val="24"/>
        </w:rPr>
      </w:pPr>
      <w:r>
        <w:rPr>
          <w:rFonts w:hint="eastAsia" w:ascii="宋体" w:hAnsi="宋体"/>
          <w:sz w:val="24"/>
        </w:rPr>
        <w:t>（5）不同投标人的投标文件相互混装；</w:t>
      </w:r>
    </w:p>
    <w:p>
      <w:pPr>
        <w:spacing w:line="400" w:lineRule="exact"/>
        <w:ind w:firstLine="480" w:firstLineChars="200"/>
        <w:rPr>
          <w:rFonts w:ascii="宋体" w:hAnsi="宋体"/>
          <w:sz w:val="24"/>
        </w:rPr>
      </w:pPr>
      <w:r>
        <w:rPr>
          <w:rFonts w:hint="eastAsia" w:ascii="宋体" w:hAnsi="宋体"/>
          <w:sz w:val="24"/>
        </w:rPr>
        <w:t>（6）不同投标人的投标保证金从同一单位或者个人的账户转出。</w:t>
      </w:r>
    </w:p>
    <w:p>
      <w:pPr>
        <w:pStyle w:val="4"/>
        <w:spacing w:line="400" w:lineRule="exact"/>
        <w:jc w:val="center"/>
        <w:rPr>
          <w:rFonts w:ascii="宋体" w:hAnsi="宋体" w:eastAsia="宋体"/>
          <w:bCs w:val="0"/>
          <w:szCs w:val="28"/>
        </w:rPr>
      </w:pPr>
      <w:bookmarkStart w:id="155" w:name="_Toc217446078"/>
      <w:bookmarkStart w:id="156" w:name="_Toc308164819"/>
      <w:r>
        <w:rPr>
          <w:rFonts w:hint="eastAsia" w:ascii="宋体" w:hAnsi="宋体" w:eastAsia="宋体"/>
          <w:bCs w:val="0"/>
          <w:szCs w:val="28"/>
        </w:rPr>
        <w:t>八、询问、质疑和投诉</w:t>
      </w:r>
      <w:bookmarkEnd w:id="155"/>
      <w:bookmarkEnd w:id="156"/>
      <w:bookmarkStart w:id="157" w:name="_Toc217446079"/>
    </w:p>
    <w:bookmarkEnd w:id="157"/>
    <w:p>
      <w:pPr>
        <w:widowControl/>
        <w:spacing w:line="400" w:lineRule="atLeast"/>
        <w:ind w:firstLine="472" w:firstLineChars="196"/>
        <w:jc w:val="left"/>
        <w:outlineLvl w:val="1"/>
        <w:rPr>
          <w:rFonts w:ascii="宋体" w:hAnsi="宋体"/>
          <w:sz w:val="24"/>
        </w:rPr>
      </w:pPr>
      <w:r>
        <w:rPr>
          <w:rFonts w:hint="eastAsia" w:ascii="宋体" w:hAnsi="宋体"/>
          <w:b/>
          <w:sz w:val="24"/>
        </w:rPr>
        <w:t>3</w:t>
      </w:r>
      <w:bookmarkEnd w:id="151"/>
      <w:bookmarkEnd w:id="152"/>
      <w:r>
        <w:rPr>
          <w:rFonts w:hint="eastAsia" w:ascii="宋体" w:hAnsi="宋体"/>
          <w:b/>
          <w:sz w:val="24"/>
        </w:rPr>
        <w:t>8．</w:t>
      </w:r>
      <w:r>
        <w:rPr>
          <w:rFonts w:hint="eastAsia" w:ascii="宋体" w:hAnsi="宋体"/>
          <w:sz w:val="24"/>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宋体" w:hAnsi="宋体" w:eastAsia="宋体"/>
          <w:bCs w:val="0"/>
          <w:szCs w:val="28"/>
        </w:rPr>
      </w:pPr>
      <w:r>
        <w:rPr>
          <w:rFonts w:hint="eastAsia" w:ascii="宋体" w:hAnsi="宋体" w:eastAsia="宋体"/>
          <w:bCs w:val="0"/>
          <w:szCs w:val="28"/>
        </w:rPr>
        <w:t>九、其他</w:t>
      </w:r>
    </w:p>
    <w:p>
      <w:pPr>
        <w:widowControl/>
        <w:spacing w:line="400" w:lineRule="atLeast"/>
        <w:ind w:firstLine="482" w:firstLineChars="200"/>
        <w:jc w:val="left"/>
        <w:outlineLvl w:val="1"/>
        <w:rPr>
          <w:rFonts w:ascii="宋体" w:hAnsi="宋体"/>
          <w:sz w:val="24"/>
        </w:rPr>
      </w:pPr>
      <w:r>
        <w:rPr>
          <w:rFonts w:hint="eastAsia" w:ascii="宋体" w:hAnsi="宋体"/>
          <w:b/>
          <w:sz w:val="24"/>
        </w:rPr>
        <w:t>39.</w:t>
      </w:r>
      <w:r>
        <w:rPr>
          <w:rFonts w:hint="eastAsia" w:ascii="宋体" w:hAnsi="宋体"/>
          <w:sz w:val="24"/>
        </w:rPr>
        <w:t>本招标文件中所引相关法律制度规定，在政府采购中有变化的，按照变化后的相关法律制度规定执行。</w:t>
      </w:r>
    </w:p>
    <w:p>
      <w:pPr>
        <w:widowControl/>
        <w:spacing w:line="360" w:lineRule="atLeast"/>
        <w:jc w:val="center"/>
        <w:outlineLvl w:val="1"/>
        <w:rPr>
          <w:rFonts w:ascii="宋体" w:hAnsi="宋体"/>
          <w:b/>
          <w:sz w:val="24"/>
        </w:rPr>
      </w:pPr>
      <w:bookmarkStart w:id="158" w:name="_Toc217446083"/>
    </w:p>
    <w:p>
      <w:pPr>
        <w:pStyle w:val="3"/>
        <w:jc w:val="center"/>
        <w:rPr>
          <w:rFonts w:ascii="宋体" w:hAnsi="宋体"/>
          <w:sz w:val="36"/>
          <w:szCs w:val="36"/>
        </w:rPr>
        <w:sectPr>
          <w:pgSz w:w="11907" w:h="16840"/>
          <w:pgMar w:top="1440" w:right="1474" w:bottom="1440" w:left="1474" w:header="851" w:footer="992" w:gutter="0"/>
          <w:cols w:space="720" w:num="1"/>
          <w:docGrid w:linePitch="312" w:charSpace="0"/>
        </w:sectPr>
      </w:pPr>
      <w:bookmarkStart w:id="159" w:name="_Toc1368"/>
    </w:p>
    <w:p>
      <w:pPr>
        <w:pStyle w:val="3"/>
        <w:jc w:val="center"/>
        <w:rPr>
          <w:rFonts w:ascii="宋体" w:hAnsi="宋体"/>
          <w:sz w:val="36"/>
          <w:szCs w:val="36"/>
        </w:rPr>
      </w:pPr>
      <w:bookmarkStart w:id="160" w:name="_Toc56539536"/>
      <w:r>
        <w:rPr>
          <w:rFonts w:hint="eastAsia" w:ascii="宋体" w:hAnsi="宋体"/>
          <w:sz w:val="36"/>
          <w:szCs w:val="36"/>
        </w:rPr>
        <w:t>第三章  投标文件格式</w:t>
      </w:r>
      <w:bookmarkEnd w:id="159"/>
      <w:bookmarkEnd w:id="160"/>
      <w:bookmarkStart w:id="161" w:name="_Toc308164821"/>
      <w:bookmarkStart w:id="162" w:name="_Toc217446082"/>
    </w:p>
    <w:p>
      <w:pPr>
        <w:widowControl/>
        <w:spacing w:line="360" w:lineRule="atLeast"/>
        <w:ind w:firstLine="470" w:firstLineChars="196"/>
        <w:jc w:val="left"/>
        <w:outlineLvl w:val="1"/>
        <w:rPr>
          <w:rFonts w:ascii="宋体"/>
          <w:sz w:val="24"/>
        </w:rPr>
      </w:pPr>
      <w:r>
        <w:rPr>
          <w:rFonts w:hint="eastAsia" w:ascii="宋体"/>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jc w:val="left"/>
        <w:outlineLvl w:val="1"/>
        <w:rPr>
          <w:rFonts w:ascii="宋体"/>
          <w:sz w:val="24"/>
        </w:rPr>
      </w:pPr>
      <w:r>
        <w:rPr>
          <w:rFonts w:hint="eastAsia" w:ascii="宋体"/>
          <w:sz w:val="24"/>
        </w:rPr>
        <w:t>二、本章所制投标文件格式有关表格中的备注栏，由投标人根据自身投标情况作解释性说明，不作为必填项。</w:t>
      </w:r>
    </w:p>
    <w:p>
      <w:pPr>
        <w:tabs>
          <w:tab w:val="left" w:pos="900"/>
        </w:tabs>
        <w:spacing w:line="360" w:lineRule="auto"/>
        <w:jc w:val="left"/>
        <w:rPr>
          <w:rFonts w:ascii="宋体" w:hAnsi="宋体"/>
          <w:b/>
          <w:sz w:val="32"/>
        </w:rPr>
      </w:pPr>
      <w:r>
        <w:rPr>
          <w:rFonts w:hint="eastAsia" w:ascii="宋体"/>
          <w:sz w:val="24"/>
        </w:rPr>
        <w:t>三、本章所制投标文件格式中需要填写的相关内容事项，可能会与本采购项目无关，在不改变投标文件原义、不影响本项目采购需求的情况下，投标人可以不予填写，但应当注明</w:t>
      </w:r>
    </w:p>
    <w:p>
      <w:pPr>
        <w:widowControl/>
        <w:jc w:val="left"/>
        <w:rPr>
          <w:rFonts w:ascii="宋体" w:hAnsi="宋体"/>
          <w:b/>
          <w:sz w:val="32"/>
        </w:rPr>
      </w:pPr>
      <w:r>
        <w:rPr>
          <w:rFonts w:ascii="宋体" w:hAnsi="宋体"/>
          <w:b/>
          <w:sz w:val="32"/>
        </w:rPr>
        <w:br w:type="page"/>
      </w:r>
    </w:p>
    <w:p>
      <w:pPr>
        <w:tabs>
          <w:tab w:val="left" w:pos="900"/>
        </w:tabs>
        <w:spacing w:line="360" w:lineRule="auto"/>
        <w:jc w:val="center"/>
        <w:rPr>
          <w:rFonts w:ascii="宋体" w:hAnsi="宋体"/>
          <w:b/>
          <w:sz w:val="34"/>
        </w:rPr>
      </w:pPr>
      <w:r>
        <w:rPr>
          <w:rFonts w:ascii="宋体" w:hAnsi="宋体"/>
          <w:b/>
          <w:sz w:val="32"/>
        </w:rPr>
        <w:t>第一部分</w:t>
      </w:r>
      <w:r>
        <w:rPr>
          <w:rFonts w:hint="eastAsia" w:ascii="宋体" w:hAnsi="宋体"/>
          <w:b/>
          <w:sz w:val="32"/>
        </w:rPr>
        <w:t>:</w:t>
      </w:r>
      <w:r>
        <w:rPr>
          <w:rFonts w:hint="eastAsia" w:ascii="宋体" w:hAnsi="宋体"/>
          <w:b/>
          <w:sz w:val="32"/>
          <w:szCs w:val="32"/>
        </w:rPr>
        <w:t xml:space="preserve"> “开标一览表”格式</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480" w:lineRule="exact"/>
        <w:ind w:firstLine="436" w:firstLineChars="182"/>
        <w:rPr>
          <w:rFonts w:ascii="宋体" w:hAnsi="宋体"/>
          <w:b/>
          <w:sz w:val="32"/>
          <w:u w:val="single"/>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pStyle w:val="11"/>
      </w:pPr>
    </w:p>
    <w:tbl>
      <w:tblPr>
        <w:tblStyle w:val="28"/>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70"/>
        <w:gridCol w:w="1197"/>
        <w:gridCol w:w="1710"/>
        <w:gridCol w:w="1768"/>
        <w:gridCol w:w="1682"/>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序号</w:t>
            </w:r>
          </w:p>
        </w:tc>
        <w:tc>
          <w:tcPr>
            <w:tcW w:w="2170" w:type="dxa"/>
            <w:shd w:val="clear" w:color="auto" w:fill="auto"/>
            <w:vAlign w:val="center"/>
          </w:tcPr>
          <w:p>
            <w:pPr>
              <w:jc w:val="center"/>
              <w:rPr>
                <w:rFonts w:ascii="宋体" w:hAnsi="宋体"/>
                <w:sz w:val="24"/>
              </w:rPr>
            </w:pPr>
            <w:r>
              <w:rPr>
                <w:rFonts w:hint="eastAsia" w:ascii="宋体" w:hAnsi="宋体"/>
                <w:sz w:val="24"/>
              </w:rPr>
              <w:t>产品名称</w:t>
            </w:r>
          </w:p>
        </w:tc>
        <w:tc>
          <w:tcPr>
            <w:tcW w:w="1197" w:type="dxa"/>
            <w:shd w:val="clear" w:color="auto" w:fill="auto"/>
            <w:vAlign w:val="center"/>
          </w:tcPr>
          <w:p>
            <w:pPr>
              <w:jc w:val="center"/>
              <w:rPr>
                <w:rFonts w:ascii="宋体" w:hAnsi="宋体"/>
                <w:sz w:val="24"/>
              </w:rPr>
            </w:pPr>
            <w:r>
              <w:rPr>
                <w:rFonts w:hint="eastAsia" w:ascii="宋体" w:hAnsi="宋体"/>
                <w:sz w:val="24"/>
              </w:rPr>
              <w:t>数量（台）</w:t>
            </w:r>
          </w:p>
        </w:tc>
        <w:tc>
          <w:tcPr>
            <w:tcW w:w="1710" w:type="dxa"/>
            <w:shd w:val="clear" w:color="auto" w:fill="auto"/>
            <w:vAlign w:val="center"/>
          </w:tcPr>
          <w:p>
            <w:pPr>
              <w:jc w:val="center"/>
              <w:rPr>
                <w:rFonts w:ascii="宋体" w:hAnsi="宋体"/>
                <w:sz w:val="24"/>
              </w:rPr>
            </w:pPr>
            <w:r>
              <w:rPr>
                <w:rFonts w:hint="eastAsia" w:ascii="宋体" w:hAnsi="宋体"/>
                <w:sz w:val="24"/>
              </w:rPr>
              <w:t>品牌</w:t>
            </w:r>
          </w:p>
        </w:tc>
        <w:tc>
          <w:tcPr>
            <w:tcW w:w="1768" w:type="dxa"/>
            <w:shd w:val="clear" w:color="auto" w:fill="auto"/>
            <w:vAlign w:val="center"/>
          </w:tcPr>
          <w:p>
            <w:pPr>
              <w:jc w:val="center"/>
              <w:rPr>
                <w:rFonts w:ascii="宋体" w:hAnsi="宋体"/>
                <w:sz w:val="24"/>
              </w:rPr>
            </w:pPr>
            <w:r>
              <w:rPr>
                <w:rFonts w:hint="eastAsia" w:ascii="宋体" w:hAnsi="宋体"/>
                <w:sz w:val="24"/>
              </w:rPr>
              <w:t>单价报价（万元）</w:t>
            </w:r>
          </w:p>
        </w:tc>
        <w:tc>
          <w:tcPr>
            <w:tcW w:w="1682" w:type="dxa"/>
            <w:shd w:val="clear" w:color="auto" w:fill="auto"/>
            <w:vAlign w:val="center"/>
          </w:tcPr>
          <w:p>
            <w:pPr>
              <w:jc w:val="center"/>
              <w:rPr>
                <w:rFonts w:ascii="宋体" w:hAnsi="宋体"/>
                <w:sz w:val="24"/>
              </w:rPr>
            </w:pPr>
            <w:r>
              <w:rPr>
                <w:rFonts w:hint="eastAsia" w:ascii="宋体" w:hAnsi="宋体"/>
                <w:sz w:val="24"/>
              </w:rPr>
              <w:t>合价报价（万元）</w:t>
            </w:r>
          </w:p>
        </w:tc>
        <w:tc>
          <w:tcPr>
            <w:tcW w:w="1146" w:type="dxa"/>
            <w:shd w:val="clear" w:color="auto" w:fill="auto"/>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1</w:t>
            </w:r>
          </w:p>
        </w:tc>
        <w:tc>
          <w:tcPr>
            <w:tcW w:w="2170" w:type="dxa"/>
            <w:shd w:val="clear" w:color="auto" w:fill="auto"/>
            <w:vAlign w:val="center"/>
          </w:tcPr>
          <w:p>
            <w:pPr>
              <w:jc w:val="center"/>
              <w:rPr>
                <w:rFonts w:ascii="宋体" w:hAnsi="宋体"/>
                <w:sz w:val="24"/>
              </w:rPr>
            </w:pPr>
            <w:r>
              <w:rPr>
                <w:rFonts w:hint="eastAsia" w:ascii="宋体" w:hAnsi="宋体"/>
                <w:sz w:val="24"/>
              </w:rPr>
              <w:t>电动自行走高空作业升降平台18米</w:t>
            </w:r>
          </w:p>
        </w:tc>
        <w:tc>
          <w:tcPr>
            <w:tcW w:w="1197" w:type="dxa"/>
            <w:shd w:val="clear" w:color="auto" w:fill="auto"/>
            <w:vAlign w:val="center"/>
          </w:tcPr>
          <w:p>
            <w:pPr>
              <w:jc w:val="center"/>
              <w:rPr>
                <w:rFonts w:ascii="宋体" w:hAnsi="宋体"/>
                <w:sz w:val="24"/>
              </w:rPr>
            </w:pPr>
            <w:r>
              <w:rPr>
                <w:rFonts w:hint="eastAsia" w:ascii="宋体" w:hAnsi="宋体"/>
                <w:sz w:val="24"/>
              </w:rPr>
              <w:t>4</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2</w:t>
            </w:r>
          </w:p>
        </w:tc>
        <w:tc>
          <w:tcPr>
            <w:tcW w:w="2170" w:type="dxa"/>
            <w:shd w:val="clear" w:color="auto" w:fill="auto"/>
            <w:vAlign w:val="center"/>
          </w:tcPr>
          <w:p>
            <w:pPr>
              <w:jc w:val="center"/>
              <w:rPr>
                <w:rFonts w:ascii="宋体" w:hAnsi="宋体"/>
                <w:sz w:val="24"/>
              </w:rPr>
            </w:pPr>
            <w:r>
              <w:rPr>
                <w:rFonts w:hint="eastAsia" w:ascii="宋体" w:hAnsi="宋体"/>
                <w:sz w:val="24"/>
              </w:rPr>
              <w:t>电动自行走高空作业升降平台24米</w:t>
            </w:r>
          </w:p>
        </w:tc>
        <w:tc>
          <w:tcPr>
            <w:tcW w:w="1197" w:type="dxa"/>
            <w:shd w:val="clear" w:color="auto" w:fill="auto"/>
            <w:vAlign w:val="center"/>
          </w:tcPr>
          <w:p>
            <w:pPr>
              <w:jc w:val="center"/>
              <w:rPr>
                <w:rFonts w:ascii="宋体" w:hAnsi="宋体"/>
                <w:sz w:val="24"/>
              </w:rPr>
            </w:pPr>
            <w:r>
              <w:rPr>
                <w:rFonts w:hint="eastAsia" w:ascii="宋体" w:hAnsi="宋体"/>
                <w:sz w:val="24"/>
              </w:rPr>
              <w:t>2</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3</w:t>
            </w:r>
          </w:p>
        </w:tc>
        <w:tc>
          <w:tcPr>
            <w:tcW w:w="2170" w:type="dxa"/>
            <w:shd w:val="clear" w:color="auto" w:fill="auto"/>
            <w:vAlign w:val="center"/>
          </w:tcPr>
          <w:p>
            <w:pPr>
              <w:jc w:val="center"/>
              <w:rPr>
                <w:rFonts w:ascii="宋体" w:hAnsi="宋体"/>
                <w:sz w:val="24"/>
              </w:rPr>
            </w:pPr>
            <w:r>
              <w:rPr>
                <w:rFonts w:hint="eastAsia" w:ascii="宋体" w:hAnsi="宋体"/>
                <w:sz w:val="24"/>
              </w:rPr>
              <w:t>电动自行走高空作业升降平台28米</w:t>
            </w:r>
          </w:p>
        </w:tc>
        <w:tc>
          <w:tcPr>
            <w:tcW w:w="1197" w:type="dxa"/>
            <w:shd w:val="clear" w:color="auto" w:fill="auto"/>
            <w:vAlign w:val="center"/>
          </w:tcPr>
          <w:p>
            <w:pPr>
              <w:jc w:val="center"/>
              <w:rPr>
                <w:rFonts w:ascii="宋体" w:hAnsi="宋体"/>
                <w:sz w:val="24"/>
              </w:rPr>
            </w:pPr>
            <w:r>
              <w:rPr>
                <w:rFonts w:hint="eastAsia" w:ascii="宋体" w:hAnsi="宋体"/>
                <w:sz w:val="24"/>
              </w:rPr>
              <w:t>1</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4</w:t>
            </w:r>
          </w:p>
        </w:tc>
        <w:tc>
          <w:tcPr>
            <w:tcW w:w="2170" w:type="dxa"/>
            <w:shd w:val="clear" w:color="auto" w:fill="auto"/>
            <w:vAlign w:val="center"/>
          </w:tcPr>
          <w:p>
            <w:pPr>
              <w:jc w:val="center"/>
              <w:rPr>
                <w:rFonts w:ascii="宋体" w:hAnsi="宋体"/>
                <w:sz w:val="24"/>
              </w:rPr>
            </w:pPr>
            <w:r>
              <w:rPr>
                <w:rFonts w:hint="eastAsia" w:ascii="宋体" w:hAnsi="宋体"/>
                <w:sz w:val="24"/>
              </w:rPr>
              <w:t>充电桩</w:t>
            </w:r>
          </w:p>
        </w:tc>
        <w:tc>
          <w:tcPr>
            <w:tcW w:w="1197" w:type="dxa"/>
            <w:shd w:val="clear" w:color="auto" w:fill="auto"/>
            <w:vAlign w:val="center"/>
          </w:tcPr>
          <w:p>
            <w:pPr>
              <w:jc w:val="center"/>
              <w:rPr>
                <w:rFonts w:ascii="宋体" w:hAnsi="宋体"/>
                <w:sz w:val="24"/>
              </w:rPr>
            </w:pPr>
            <w:r>
              <w:rPr>
                <w:rFonts w:hint="eastAsia" w:ascii="宋体" w:hAnsi="宋体"/>
                <w:sz w:val="24"/>
              </w:rPr>
              <w:t>2</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240" w:type="dxa"/>
            <w:gridSpan w:val="7"/>
            <w:shd w:val="clear" w:color="auto" w:fill="auto"/>
            <w:vAlign w:val="center"/>
          </w:tcPr>
          <w:p>
            <w:pPr>
              <w:jc w:val="center"/>
              <w:rPr>
                <w:rFonts w:hint="default" w:ascii="宋体" w:hAnsi="宋体" w:eastAsia="宋体"/>
                <w:sz w:val="24"/>
                <w:lang w:val="en-US" w:eastAsia="zh-CN"/>
              </w:rPr>
            </w:pPr>
            <w:r>
              <w:rPr>
                <w:rFonts w:hint="eastAsia" w:ascii="宋体" w:hAnsi="宋体"/>
                <w:sz w:val="24"/>
              </w:rPr>
              <w:t>总合计</w:t>
            </w:r>
            <w:r>
              <w:rPr>
                <w:rFonts w:hint="eastAsia" w:ascii="宋体" w:hAnsi="宋体"/>
                <w:sz w:val="24"/>
                <w:lang w:eastAsia="zh-CN"/>
              </w:rPr>
              <w:t>：</w:t>
            </w:r>
            <w:r>
              <w:rPr>
                <w:rFonts w:hint="eastAsia" w:ascii="宋体" w:hAnsi="宋体"/>
                <w:sz w:val="24"/>
                <w:lang w:val="en-US" w:eastAsia="zh-CN"/>
              </w:rPr>
              <w:t xml:space="preserve">             元（大写：             ）</w:t>
            </w:r>
          </w:p>
        </w:tc>
      </w:tr>
    </w:tbl>
    <w:p>
      <w:pPr>
        <w:widowControl/>
        <w:spacing w:line="360" w:lineRule="atLeast"/>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注：1. 报价应是最终用户验收合格后的总价，包括设备的运输、保险、安装调试、培训、税费、系统集成等费用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sz w:val="24"/>
        </w:rPr>
      </w:pPr>
      <w:r>
        <w:rPr>
          <w:rFonts w:hint="eastAsia" w:ascii="宋体" w:hAnsi="宋体"/>
          <w:sz w:val="24"/>
        </w:rPr>
        <w:t>2.“开标一览表”为多页的，每页均需由法定代表人或授权代表签字并盖投标人印章。</w:t>
      </w:r>
    </w:p>
    <w:p>
      <w:pPr>
        <w:spacing w:line="400" w:lineRule="exact"/>
        <w:ind w:firstLine="480" w:firstLineChars="200"/>
        <w:rPr>
          <w:rFonts w:ascii="宋体" w:hAnsi="宋体"/>
          <w:sz w:val="24"/>
        </w:rPr>
      </w:pPr>
      <w:r>
        <w:rPr>
          <w:rFonts w:hint="eastAsia" w:ascii="宋体" w:hAnsi="宋体"/>
          <w:sz w:val="24"/>
        </w:rPr>
        <w:t>3、如是进口设备，须在表格中标明“进口”。招标文件未明确“允许进口”的，投标人以进口产品进行投标时，将视为无效投标。</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pStyle w:val="2"/>
      </w:pPr>
    </w:p>
    <w:p>
      <w:pPr>
        <w:pStyle w:val="2"/>
      </w:pPr>
      <w:r>
        <w:br w:type="page"/>
      </w:r>
    </w:p>
    <w:p>
      <w:pPr>
        <w:spacing w:line="360" w:lineRule="auto"/>
        <w:jc w:val="center"/>
        <w:rPr>
          <w:rFonts w:ascii="宋体" w:hAnsi="宋体"/>
          <w:b/>
          <w:sz w:val="32"/>
        </w:rPr>
      </w:pPr>
      <w:r>
        <w:rPr>
          <w:rFonts w:hint="eastAsia" w:ascii="宋体" w:hAnsi="宋体"/>
          <w:b/>
          <w:sz w:val="32"/>
        </w:rPr>
        <w:t>第二部分：“资格性审查投标文件”格式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spacing w:line="360" w:lineRule="auto"/>
        <w:jc w:val="center"/>
        <w:rPr>
          <w:rFonts w:ascii="宋体" w:hAnsi="宋体"/>
          <w:b/>
          <w:sz w:val="32"/>
          <w:szCs w:val="32"/>
        </w:rPr>
      </w:pPr>
      <w:r>
        <w:rPr>
          <w:rFonts w:hint="eastAsia" w:ascii="宋体" w:hAnsi="宋体"/>
          <w:b/>
          <w:sz w:val="52"/>
          <w:szCs w:val="52"/>
        </w:rPr>
        <w:t>资格性审查投标文件</w:t>
      </w:r>
    </w:p>
    <w:p>
      <w:pPr>
        <w:spacing w:line="360" w:lineRule="auto"/>
        <w:rPr>
          <w:rFonts w:ascii="宋体" w:hAnsi="宋体"/>
          <w:b/>
          <w:sz w:val="36"/>
        </w:rPr>
      </w:pPr>
    </w:p>
    <w:p>
      <w:pPr>
        <w:spacing w:line="360" w:lineRule="auto"/>
        <w:rPr>
          <w:rFonts w:ascii="宋体" w:hAnsi="宋体"/>
          <w:b/>
          <w:sz w:val="36"/>
        </w:rPr>
      </w:pPr>
    </w:p>
    <w:p>
      <w:pPr>
        <w:spacing w:line="360" w:lineRule="auto"/>
        <w:ind w:firstLine="964" w:firstLineChars="300"/>
        <w:jc w:val="left"/>
        <w:rPr>
          <w:rFonts w:ascii="宋体" w:hAnsi="宋体"/>
          <w:b/>
          <w:sz w:val="32"/>
          <w:u w:val="single"/>
        </w:rPr>
      </w:pPr>
      <w:r>
        <w:rPr>
          <w:rFonts w:hint="eastAsia" w:ascii="宋体" w:hAnsi="宋体"/>
          <w:b/>
          <w:sz w:val="32"/>
        </w:rPr>
        <w:t>投标人</w:t>
      </w:r>
      <w:r>
        <w:rPr>
          <w:rFonts w:ascii="宋体" w:hAnsi="宋体"/>
          <w:b/>
          <w:sz w:val="32"/>
        </w:rPr>
        <w:t>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964" w:firstLineChars="300"/>
        <w:jc w:val="left"/>
        <w:rPr>
          <w:rFonts w:ascii="宋体" w:hAnsi="宋体"/>
          <w:b/>
          <w:sz w:val="32"/>
          <w:u w:val="single"/>
        </w:rPr>
      </w:pPr>
      <w:r>
        <w:rPr>
          <w:rFonts w:hint="eastAsia" w:ascii="宋体" w:hAnsi="宋体"/>
          <w:b/>
          <w:sz w:val="32"/>
        </w:rPr>
        <w:t>项 目 编号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投标日期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widowControl/>
        <w:jc w:val="left"/>
        <w:rPr>
          <w:rFonts w:ascii="宋体" w:hAnsi="宋体"/>
          <w:b/>
          <w:sz w:val="32"/>
          <w:szCs w:val="32"/>
        </w:rPr>
      </w:pPr>
      <w:r>
        <w:rPr>
          <w:rFonts w:ascii="宋体" w:hAnsi="宋体"/>
          <w:b/>
          <w:sz w:val="32"/>
          <w:szCs w:val="32"/>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一、法定代表人/单位负责人授权书</w:t>
      </w:r>
    </w:p>
    <w:p>
      <w:pPr>
        <w:widowControl/>
        <w:spacing w:line="360" w:lineRule="atLeast"/>
        <w:ind w:firstLine="472" w:firstLineChars="196"/>
        <w:jc w:val="left"/>
        <w:outlineLvl w:val="1"/>
        <w:rPr>
          <w:rFonts w:ascii="宋体" w:hAnsi="宋体"/>
          <w:b/>
          <w:sz w:val="24"/>
        </w:rPr>
      </w:pPr>
    </w:p>
    <w:p>
      <w:pPr>
        <w:widowControl/>
        <w:spacing w:line="360" w:lineRule="atLeast"/>
        <w:ind w:firstLine="472" w:firstLineChars="196"/>
        <w:jc w:val="left"/>
        <w:outlineLvl w:val="1"/>
        <w:rPr>
          <w:rFonts w:ascii="宋体" w:hAnsi="宋体"/>
          <w:b/>
          <w:sz w:val="24"/>
        </w:rPr>
      </w:pPr>
    </w:p>
    <w:p>
      <w:pPr>
        <w:widowControl/>
        <w:spacing w:line="360" w:lineRule="auto"/>
        <w:jc w:val="left"/>
        <w:outlineLvl w:val="1"/>
        <w:rPr>
          <w:rFonts w:ascii="宋体" w:hAnsi="宋体"/>
          <w:sz w:val="24"/>
        </w:rPr>
      </w:pPr>
      <w:bookmarkStart w:id="163" w:name="_Toc217446084"/>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（采购代理机构名称）：</w:t>
      </w:r>
    </w:p>
    <w:p>
      <w:pPr>
        <w:widowControl/>
        <w:spacing w:line="360" w:lineRule="auto"/>
        <w:ind w:firstLine="470" w:firstLineChars="196"/>
        <w:jc w:val="left"/>
        <w:outlineLvl w:val="1"/>
        <w:rPr>
          <w:rFonts w:ascii="宋体" w:hAnsi="宋体"/>
          <w:sz w:val="24"/>
        </w:rPr>
      </w:pPr>
      <w:r>
        <w:rPr>
          <w:rFonts w:hint="eastAsia" w:ascii="宋体" w:hAnsi="宋体"/>
          <w:sz w:val="24"/>
        </w:rPr>
        <w:t>本授权声明：</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（法定代表人/单位负责人姓名、职务）授权</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（被授权人姓名、职务）为我方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”（项目名称）（项目编号：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）投标活动的合法代表，以我方名义全权处理该项目有关投标、签订合同以及执行合同等一切事宜。</w:t>
      </w:r>
    </w:p>
    <w:p>
      <w:pPr>
        <w:widowControl/>
        <w:spacing w:line="360" w:lineRule="auto"/>
        <w:ind w:firstLine="470" w:firstLineChars="196"/>
        <w:jc w:val="left"/>
        <w:outlineLvl w:val="1"/>
        <w:rPr>
          <w:rFonts w:ascii="宋体" w:hAnsi="宋体"/>
          <w:sz w:val="24"/>
        </w:rPr>
      </w:pPr>
      <w:r>
        <w:rPr>
          <w:rFonts w:hint="eastAsia" w:ascii="宋体" w:hAnsi="宋体"/>
          <w:sz w:val="24"/>
        </w:rPr>
        <w:t>特此声明。</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法定代表人/单位负责人（委托人）签字或加盖个人印章：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授权代表（被授权人）签字：</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1、投标人为法人单位时提供“法定代表人授权书”，投标人为其他组织时提供“单位负责人授权书”，投标人为自然人时提供“自然人身份证明材料”。</w:t>
      </w:r>
    </w:p>
    <w:p>
      <w:pPr>
        <w:spacing w:line="400" w:lineRule="exact"/>
        <w:ind w:firstLine="480" w:firstLineChars="200"/>
        <w:rPr>
          <w:rFonts w:ascii="宋体" w:hAnsi="宋体"/>
          <w:sz w:val="24"/>
        </w:rPr>
      </w:pPr>
      <w:r>
        <w:rPr>
          <w:rFonts w:hint="eastAsia" w:ascii="宋体" w:hAnsi="宋体"/>
          <w:sz w:val="24"/>
        </w:rPr>
        <w:t>2、应附法定代表人身份证明材料复印件和授权代表身份证明材料复印件。</w:t>
      </w:r>
    </w:p>
    <w:p>
      <w:pPr>
        <w:spacing w:line="400" w:lineRule="exact"/>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400" w:lineRule="exact"/>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400" w:lineRule="exact"/>
        <w:jc w:val="center"/>
        <w:rPr>
          <w:rFonts w:ascii="宋体" w:hAnsi="宋体"/>
          <w:sz w:val="24"/>
        </w:rPr>
      </w:pPr>
      <w:r>
        <w:rPr>
          <w:rFonts w:ascii="宋体" w:hAnsi="宋体"/>
          <w:sz w:val="24"/>
        </w:rPr>
        <w:br w:type="page"/>
      </w:r>
      <w:r>
        <w:rPr>
          <w:rFonts w:ascii="宋体" w:hAnsi="宋体"/>
          <w:b/>
          <w:sz w:val="32"/>
          <w:szCs w:val="32"/>
        </w:rPr>
        <w:t>二</w:t>
      </w:r>
      <w:r>
        <w:rPr>
          <w:rFonts w:hint="eastAsia" w:ascii="宋体" w:hAnsi="宋体"/>
          <w:b/>
          <w:sz w:val="32"/>
          <w:szCs w:val="32"/>
        </w:rPr>
        <w:t>、法定代表人/单位负责人身份证明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（采购代理机构名称）</w:t>
      </w:r>
      <w:r>
        <w:rPr>
          <w:rFonts w:hint="eastAsia" w:ascii="宋体" w:hAnsi="宋体"/>
          <w:sz w:val="24"/>
          <w:lang w:val="zh-CN"/>
        </w:rPr>
        <w:t>：</w:t>
      </w:r>
    </w:p>
    <w:p>
      <w:pPr>
        <w:tabs>
          <w:tab w:val="left" w:pos="6300"/>
        </w:tabs>
        <w:spacing w:line="520" w:lineRule="exact"/>
        <w:ind w:firstLine="573"/>
        <w:rPr>
          <w:rFonts w:ascii="宋体" w:hAnsi="宋体"/>
          <w:sz w:val="24"/>
          <w:lang w:val="zh-CN"/>
        </w:rPr>
      </w:pP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（法定代表人/单位负责人姓名）在</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（投标人名称）处任</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（职务名称）职务，是</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（投标人名称）的法定代表人/单位负责人。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spacing w:line="520" w:lineRule="exact"/>
        <w:ind w:firstLine="480"/>
        <w:jc w:val="left"/>
        <w:rPr>
          <w:rFonts w:ascii="宋体" w:hAnsi="宋体"/>
          <w:sz w:val="24"/>
        </w:rPr>
      </w:pPr>
      <w:r>
        <w:rPr>
          <w:rFonts w:hint="eastAsia" w:ascii="宋体" w:hAnsi="宋体"/>
          <w:sz w:val="24"/>
        </w:rPr>
        <w:t>法定代表人/单位负责人（签字）：</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520" w:lineRule="exact"/>
        <w:ind w:firstLine="480" w:firstLineChars="200"/>
        <w:rPr>
          <w:rFonts w:ascii="宋体" w:hAnsi="宋体"/>
          <w:sz w:val="24"/>
          <w:lang w:val="zh-CN"/>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520" w:lineRule="exact"/>
        <w:ind w:firstLine="240" w:firstLineChars="100"/>
        <w:rPr>
          <w:rFonts w:ascii="宋体" w:hAnsi="宋体"/>
          <w:sz w:val="24"/>
          <w:lang w:val="zh-CN"/>
        </w:rPr>
      </w:pPr>
      <w:r>
        <w:rPr>
          <w:rFonts w:ascii="宋体" w:hAnsi="宋体"/>
          <w:sz w:val="24"/>
        </w:rPr>
        <w:t xml:space="preserve"> </w:t>
      </w:r>
      <w:r>
        <w:rPr>
          <w:rFonts w:ascii="宋体" w:hAnsi="宋体"/>
          <w:sz w:val="24"/>
          <w:lang w:val="zh-CN"/>
        </w:rPr>
        <w:t xml:space="preserve"> </w:t>
      </w:r>
    </w:p>
    <w:p>
      <w:pPr>
        <w:tabs>
          <w:tab w:val="left" w:pos="720"/>
          <w:tab w:val="left" w:pos="6300"/>
        </w:tabs>
        <w:spacing w:line="520" w:lineRule="exact"/>
        <w:ind w:firstLine="573"/>
        <w:rPr>
          <w:rFonts w:ascii="宋体" w:hAnsi="宋体"/>
          <w:b/>
          <w:sz w:val="24"/>
          <w:lang w:val="zh-CN"/>
        </w:rPr>
      </w:pPr>
      <w:r>
        <w:rPr>
          <w:rFonts w:hint="eastAsia" w:ascii="宋体" w:hAnsi="宋体"/>
          <w:b/>
          <w:sz w:val="24"/>
          <w:lang w:val="zh-CN"/>
        </w:rPr>
        <w:t>注：1、法定代表人/单位负责人亲自参加投标时提供此证明，授权代表参加投标时无须提供；</w:t>
      </w:r>
    </w:p>
    <w:p>
      <w:pPr>
        <w:tabs>
          <w:tab w:val="left" w:pos="720"/>
          <w:tab w:val="left" w:pos="6300"/>
        </w:tabs>
        <w:spacing w:line="520" w:lineRule="exact"/>
        <w:ind w:firstLine="573"/>
        <w:rPr>
          <w:rFonts w:ascii="宋体" w:hAnsi="宋体"/>
          <w:b/>
          <w:sz w:val="24"/>
          <w:lang w:val="zh-CN"/>
        </w:rPr>
      </w:pPr>
      <w:r>
        <w:rPr>
          <w:rFonts w:hint="eastAsia" w:ascii="宋体" w:hAnsi="宋体"/>
          <w:b/>
          <w:sz w:val="24"/>
        </w:rPr>
        <w:t xml:space="preserve">    2、投标人为法人单位时提供“法定代表人身份证明”，投标人为其他组织时提供“单位负责人身份证明”，投标人为自然人时无须提供。</w:t>
      </w:r>
    </w:p>
    <w:p>
      <w:pPr>
        <w:tabs>
          <w:tab w:val="left" w:pos="720"/>
          <w:tab w:val="left" w:pos="6300"/>
        </w:tabs>
        <w:spacing w:line="520" w:lineRule="exact"/>
        <w:ind w:firstLine="573"/>
        <w:rPr>
          <w:rFonts w:ascii="宋体" w:hAnsi="宋体"/>
          <w:b/>
          <w:sz w:val="24"/>
        </w:rPr>
      </w:pPr>
      <w:r>
        <w:rPr>
          <w:rFonts w:hint="eastAsia" w:ascii="宋体" w:hAnsi="宋体"/>
          <w:b/>
          <w:sz w:val="24"/>
          <w:lang w:val="zh-CN"/>
        </w:rPr>
        <w:t xml:space="preserve">    3、上述证明文件在投标文件中附有法定代表人/单位负责人身份证复印件（身份证两面均应复印）时才能生效,不允许粘贴。</w:t>
      </w:r>
    </w:p>
    <w:p>
      <w:pPr>
        <w:tabs>
          <w:tab w:val="left" w:pos="720"/>
          <w:tab w:val="left" w:pos="6300"/>
        </w:tabs>
        <w:ind w:firstLine="573"/>
        <w:rPr>
          <w:rFonts w:ascii="宋体" w:hAnsi="宋体"/>
          <w:b/>
          <w:sz w:val="24"/>
          <w:lang w:val="zh-CN"/>
        </w:rPr>
      </w:pPr>
      <w:r>
        <w:rPr>
          <w:rFonts w:ascii="宋体" w:hAnsi="宋体"/>
          <w:b/>
          <w:sz w:val="24"/>
        </w:rPr>
        <mc:AlternateContent>
          <mc:Choice Requires="wps">
            <w:drawing>
              <wp:anchor distT="0" distB="0" distL="114300" distR="114300" simplePos="0" relativeHeight="251663360"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3360;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FOAvZAAAA&#10;CgEAAA8AAAAAAAAAAQAgAAAAIgAAAGRycy9kb3ducmV2LnhtbFBLAQIUABQAAAAIAIdO4kCC+/rD&#10;VQIAAK4EAAAOAAAAAAAAAAEAIAAAACgBAABkcnMvZTJvRG9jLnhtbFBLBQYAAAAABgAGAFkBAADv&#10;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sz w:val="24"/>
        </w:rPr>
        <mc:AlternateContent>
          <mc:Choice Requires="wps">
            <w:drawing>
              <wp:anchor distT="0" distB="0" distL="114300" distR="114300" simplePos="0" relativeHeight="251662336"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62336;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Mit32AAAAAkB&#10;AAAPAAAAAAAAAAEAIAAAACIAAABkcnMvZG93bnJldi54bWxQSwECFAAUAAAACACHTuJAISSuwFQC&#10;AACuBAAADgAAAAAAAAABACAAAAAnAQAAZHJzL2Uyb0RvYy54bWxQSwUGAAAAAAYABgBZAQAA7QUA&#10;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r>
        <w:rPr>
          <w:rFonts w:hint="eastAsia" w:ascii="宋体" w:hAnsi="宋体"/>
          <w:b/>
          <w:sz w:val="24"/>
          <w:lang w:val="zh-CN"/>
        </w:rPr>
        <w:t>法定代表人/单位负责人身份证样式(仅供参考)：</w:t>
      </w: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bookmarkEnd w:id="163"/>
    <w:p>
      <w:pPr>
        <w:spacing w:line="360" w:lineRule="auto"/>
        <w:rPr>
          <w:rFonts w:ascii="宋体" w:hAnsi="宋体"/>
          <w:b/>
          <w:sz w:val="32"/>
          <w:szCs w:val="32"/>
        </w:rPr>
      </w:pPr>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三、承诺函</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（采购代理机构名称）：</w:t>
      </w:r>
    </w:p>
    <w:p>
      <w:pPr>
        <w:widowControl/>
        <w:spacing w:line="360" w:lineRule="atLeast"/>
        <w:ind w:firstLine="480" w:firstLineChars="200"/>
        <w:jc w:val="left"/>
        <w:outlineLvl w:val="1"/>
        <w:rPr>
          <w:rFonts w:ascii="宋体" w:hAnsi="宋体"/>
          <w:sz w:val="24"/>
        </w:rPr>
      </w:pPr>
      <w:r>
        <w:rPr>
          <w:rFonts w:hint="eastAsia" w:ascii="宋体" w:hAnsi="宋体"/>
          <w:sz w:val="24"/>
        </w:rPr>
        <w:t>我单位作为本次采购项目的投标人，根据招标文件要求，现郑重承诺如下：</w:t>
      </w:r>
    </w:p>
    <w:p>
      <w:pPr>
        <w:widowControl/>
        <w:spacing w:line="360" w:lineRule="atLeast"/>
        <w:ind w:firstLine="480" w:firstLineChars="200"/>
        <w:jc w:val="left"/>
        <w:outlineLvl w:val="1"/>
        <w:rPr>
          <w:rFonts w:ascii="宋体" w:hAnsi="宋体"/>
          <w:sz w:val="24"/>
        </w:rPr>
      </w:pPr>
      <w:r>
        <w:rPr>
          <w:rFonts w:hint="eastAsia" w:ascii="宋体" w:hAnsi="宋体"/>
          <w:sz w:val="24"/>
        </w:rPr>
        <w:t>一、具备《中华人民共和国政府采购法》第二十二条第一款和本项目规定的条件：</w:t>
      </w:r>
    </w:p>
    <w:p>
      <w:pPr>
        <w:widowControl/>
        <w:spacing w:line="360" w:lineRule="atLeast"/>
        <w:ind w:firstLine="480" w:firstLineChars="200"/>
        <w:jc w:val="left"/>
        <w:outlineLvl w:val="1"/>
        <w:rPr>
          <w:rFonts w:ascii="宋体" w:hAnsi="宋体"/>
          <w:sz w:val="24"/>
        </w:rPr>
      </w:pPr>
      <w:r>
        <w:rPr>
          <w:rFonts w:hint="eastAsia" w:ascii="宋体" w:hAnsi="宋体"/>
          <w:sz w:val="24"/>
        </w:rPr>
        <w:t>（一）具有独立承担民事责任的能力；</w:t>
      </w:r>
    </w:p>
    <w:p>
      <w:pPr>
        <w:widowControl/>
        <w:spacing w:line="360" w:lineRule="atLeast"/>
        <w:ind w:firstLine="480" w:firstLineChars="200"/>
        <w:jc w:val="left"/>
        <w:outlineLvl w:val="1"/>
        <w:rPr>
          <w:rFonts w:ascii="宋体" w:hAnsi="宋体"/>
          <w:sz w:val="24"/>
        </w:rPr>
      </w:pPr>
      <w:r>
        <w:rPr>
          <w:rFonts w:hint="eastAsia" w:ascii="宋体" w:hAnsi="宋体"/>
          <w:sz w:val="24"/>
        </w:rPr>
        <w:t>（二）具有良好的商业信誉和健全的财务会计制度；</w:t>
      </w:r>
    </w:p>
    <w:p>
      <w:pPr>
        <w:widowControl/>
        <w:spacing w:line="360" w:lineRule="atLeast"/>
        <w:ind w:firstLine="480" w:firstLineChars="200"/>
        <w:jc w:val="left"/>
        <w:outlineLvl w:val="1"/>
        <w:rPr>
          <w:rFonts w:ascii="宋体" w:hAnsi="宋体"/>
          <w:sz w:val="24"/>
        </w:rPr>
      </w:pPr>
      <w:r>
        <w:rPr>
          <w:rFonts w:hint="eastAsia" w:ascii="宋体" w:hAnsi="宋体"/>
          <w:sz w:val="24"/>
        </w:rPr>
        <w:t>（三）具有履行合同所必需的设备和专业技术能力；</w:t>
      </w:r>
    </w:p>
    <w:p>
      <w:pPr>
        <w:widowControl/>
        <w:spacing w:line="360" w:lineRule="atLeast"/>
        <w:ind w:firstLine="480" w:firstLineChars="200"/>
        <w:jc w:val="left"/>
        <w:outlineLvl w:val="1"/>
        <w:rPr>
          <w:rFonts w:ascii="宋体" w:hAnsi="宋体"/>
          <w:sz w:val="24"/>
        </w:rPr>
      </w:pPr>
      <w:r>
        <w:rPr>
          <w:rFonts w:hint="eastAsia" w:ascii="宋体" w:hAnsi="宋体"/>
          <w:sz w:val="24"/>
        </w:rPr>
        <w:t>（四）有依法缴纳税收和社会保障资金的良好记录；</w:t>
      </w:r>
    </w:p>
    <w:p>
      <w:pPr>
        <w:widowControl/>
        <w:spacing w:line="360" w:lineRule="atLeast"/>
        <w:ind w:firstLine="480" w:firstLineChars="200"/>
        <w:jc w:val="left"/>
        <w:outlineLvl w:val="1"/>
        <w:rPr>
          <w:rFonts w:ascii="宋体" w:hAnsi="宋体"/>
          <w:sz w:val="24"/>
        </w:rPr>
      </w:pPr>
      <w:r>
        <w:rPr>
          <w:rFonts w:hint="eastAsia" w:ascii="宋体" w:hAnsi="宋体"/>
          <w:sz w:val="24"/>
        </w:rPr>
        <w:t>（五）参加政府采购活动前三年内，在经营活动中没有重大违法记录；</w:t>
      </w:r>
    </w:p>
    <w:p>
      <w:pPr>
        <w:widowControl/>
        <w:spacing w:line="360" w:lineRule="atLeast"/>
        <w:ind w:firstLine="480" w:firstLineChars="200"/>
        <w:jc w:val="left"/>
        <w:outlineLvl w:val="1"/>
        <w:rPr>
          <w:rFonts w:ascii="宋体" w:hAnsi="宋体"/>
          <w:sz w:val="24"/>
        </w:rPr>
      </w:pPr>
      <w:r>
        <w:rPr>
          <w:rFonts w:hint="eastAsia" w:ascii="宋体" w:hAnsi="宋体"/>
          <w:sz w:val="24"/>
        </w:rPr>
        <w:t>（六）法律、行政法规规定的其他条件；</w:t>
      </w:r>
    </w:p>
    <w:p>
      <w:pPr>
        <w:widowControl/>
        <w:spacing w:line="360" w:lineRule="atLeast"/>
        <w:ind w:firstLine="480" w:firstLineChars="200"/>
        <w:jc w:val="left"/>
        <w:outlineLvl w:val="1"/>
        <w:rPr>
          <w:rFonts w:ascii="宋体" w:hAnsi="宋体"/>
          <w:sz w:val="24"/>
        </w:rPr>
      </w:pPr>
      <w:r>
        <w:rPr>
          <w:rFonts w:hint="eastAsia" w:ascii="宋体" w:hAnsi="宋体"/>
          <w:sz w:val="24"/>
        </w:rPr>
        <w:t>（七）我单位及现任法定代表人/单位负责人参加本次政府采购活动前三年无行贿犯罪记录；</w:t>
      </w:r>
    </w:p>
    <w:p>
      <w:pPr>
        <w:widowControl/>
        <w:spacing w:line="360" w:lineRule="atLeast"/>
        <w:ind w:firstLine="480" w:firstLineChars="200"/>
        <w:jc w:val="left"/>
        <w:outlineLvl w:val="1"/>
        <w:rPr>
          <w:rFonts w:ascii="宋体" w:hAnsi="宋体"/>
          <w:sz w:val="24"/>
        </w:rPr>
      </w:pPr>
      <w:r>
        <w:rPr>
          <w:rFonts w:hint="eastAsia" w:ascii="宋体" w:hAnsi="宋体"/>
          <w:sz w:val="24"/>
        </w:rPr>
        <w:t>（八）根据采购项目提出的特殊条件</w:t>
      </w:r>
      <w:r>
        <w:rPr>
          <w:rFonts w:ascii="宋体" w:hAnsi="宋体"/>
          <w:sz w:val="24"/>
        </w:rPr>
        <w:t>。</w:t>
      </w:r>
    </w:p>
    <w:p>
      <w:pPr>
        <w:widowControl/>
        <w:spacing w:line="360" w:lineRule="atLeast"/>
        <w:ind w:firstLine="480" w:firstLineChars="200"/>
        <w:jc w:val="left"/>
        <w:outlineLvl w:val="1"/>
        <w:rPr>
          <w:rFonts w:ascii="宋体"/>
          <w:sz w:val="24"/>
        </w:rPr>
      </w:pPr>
      <w:r>
        <w:rPr>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宋体"/>
          <w:sz w:val="24"/>
        </w:rPr>
      </w:pPr>
      <w:r>
        <w:rPr>
          <w:rFonts w:hint="eastAsia" w:ascii="宋体"/>
          <w:sz w:val="24"/>
        </w:rPr>
        <w:t>三、参加本次招标采购活动，不存在与单位负责人为同一人或者存在直接控股、管理关系的其他供应商参与同一合同项下的政府采购活动的行为。</w:t>
      </w:r>
    </w:p>
    <w:p>
      <w:pPr>
        <w:widowControl/>
        <w:spacing w:line="360" w:lineRule="atLeast"/>
        <w:ind w:firstLine="480" w:firstLineChars="200"/>
        <w:jc w:val="left"/>
        <w:outlineLvl w:val="1"/>
        <w:rPr>
          <w:rFonts w:ascii="宋体"/>
          <w:sz w:val="24"/>
        </w:rPr>
      </w:pPr>
      <w:r>
        <w:rPr>
          <w:rFonts w:hint="eastAsia" w:ascii="宋体"/>
          <w:sz w:val="24"/>
        </w:rPr>
        <w:t>四、参加本次招标采购活动，不存在和其他供应商在同一合同项下的采购项目中，同时委托同一个自然人、同一家庭的人员、同一单位的人员作为代理人的行为。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sz w:val="24"/>
        </w:rPr>
      </w:pPr>
      <w:r>
        <w:rPr>
          <w:rFonts w:hint="eastAsia" w:ascii="宋体"/>
          <w:sz w:val="24"/>
        </w:rPr>
        <w:t>五、如果有《四川省政府采购当事人诚信管理办法》（川财采[2015]33号）规定的记入诚信档案的失信行为，将在投标文件中全面如实反映。</w:t>
      </w:r>
    </w:p>
    <w:p>
      <w:pPr>
        <w:widowControl/>
        <w:spacing w:line="360" w:lineRule="atLeast"/>
        <w:ind w:firstLine="480" w:firstLineChars="200"/>
        <w:jc w:val="left"/>
        <w:outlineLvl w:val="1"/>
        <w:rPr>
          <w:rFonts w:ascii="宋体"/>
          <w:sz w:val="24"/>
        </w:rPr>
      </w:pPr>
      <w:r>
        <w:rPr>
          <w:rFonts w:hint="eastAsia" w:ascii="宋体"/>
          <w:sz w:val="24"/>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ascii="宋体"/>
          <w:sz w:val="24"/>
        </w:rPr>
      </w:pPr>
      <w:r>
        <w:rPr>
          <w:rFonts w:hint="eastAsia" w:ascii="宋体"/>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pPr>
      <w:r>
        <w:rPr>
          <w:rFonts w:hint="eastAsia" w:ascii="宋体" w:hAnsi="宋体"/>
          <w:color w:val="000000"/>
          <w:sz w:val="24"/>
        </w:rPr>
        <w:t>八、截至投标截止日未被列入失信被执行人、重大税收违法案件当事人名单、政府采购严重违法失信行为记录名单。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sz w:val="24"/>
        </w:rPr>
      </w:pPr>
      <w:r>
        <w:rPr>
          <w:rFonts w:hint="eastAsia" w:ascii="宋体" w:hAnsi="宋体"/>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sz w:val="24"/>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四、投标人和投标产品其他资格、资质性及其他类似效力要求的相关证明材料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注：投标人应按招标文件第五章相关要求提供佐证材料，有格式要求的从其要求，无格式要求的格式自拟。</w:t>
      </w:r>
    </w:p>
    <w:p>
      <w:pPr>
        <w:spacing w:line="360" w:lineRule="auto"/>
        <w:rPr>
          <w:rFonts w:ascii="宋体" w:hAnsi="宋体" w:cs="宋体"/>
          <w:bCs/>
          <w:sz w:val="24"/>
        </w:rPr>
      </w:pPr>
    </w:p>
    <w:p>
      <w:pPr>
        <w:tabs>
          <w:tab w:val="left" w:pos="900"/>
        </w:tabs>
        <w:spacing w:line="360" w:lineRule="auto"/>
        <w:jc w:val="center"/>
        <w:rPr>
          <w:rFonts w:ascii="宋体" w:hAnsi="宋体"/>
          <w:b/>
          <w:sz w:val="32"/>
        </w:rPr>
      </w:pPr>
      <w:r>
        <w:rPr>
          <w:rFonts w:hint="eastAsia" w:ascii="宋体" w:hAnsi="宋体"/>
          <w:b/>
          <w:sz w:val="32"/>
          <w:szCs w:val="32"/>
        </w:rPr>
        <w:br w:type="page"/>
      </w:r>
      <w:r>
        <w:rPr>
          <w:rFonts w:hint="eastAsia" w:ascii="宋体" w:hAnsi="宋体"/>
          <w:b/>
          <w:sz w:val="32"/>
        </w:rPr>
        <w:t>第三部分：“其他投标文件”格式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spacing w:line="360" w:lineRule="auto"/>
        <w:jc w:val="center"/>
        <w:rPr>
          <w:rFonts w:ascii="宋体" w:hAnsi="宋体"/>
          <w:b/>
          <w:sz w:val="36"/>
        </w:rPr>
      </w:pPr>
      <w:r>
        <w:rPr>
          <w:rFonts w:hint="eastAsia" w:ascii="宋体" w:hAnsi="宋体"/>
          <w:b/>
          <w:sz w:val="52"/>
          <w:szCs w:val="52"/>
        </w:rPr>
        <w:t>其他投标文件</w:t>
      </w:r>
    </w:p>
    <w:p>
      <w:pPr>
        <w:spacing w:line="360" w:lineRule="auto"/>
        <w:rPr>
          <w:rFonts w:ascii="宋体" w:hAnsi="宋体"/>
          <w:b/>
          <w:sz w:val="36"/>
        </w:rPr>
      </w:pPr>
    </w:p>
    <w:p>
      <w:pPr>
        <w:spacing w:line="360" w:lineRule="auto"/>
        <w:ind w:firstLine="643" w:firstLineChars="200"/>
        <w:jc w:val="left"/>
        <w:rPr>
          <w:rFonts w:ascii="宋体" w:hAnsi="宋体"/>
          <w:b/>
          <w:sz w:val="32"/>
          <w:u w:val="single"/>
        </w:rPr>
      </w:pPr>
      <w:r>
        <w:rPr>
          <w:rFonts w:hint="eastAsia" w:ascii="宋体" w:hAnsi="宋体"/>
          <w:b/>
          <w:sz w:val="32"/>
        </w:rPr>
        <w:t>投标人</w:t>
      </w:r>
      <w:r>
        <w:rPr>
          <w:rFonts w:ascii="宋体" w:hAnsi="宋体"/>
          <w:b/>
          <w:sz w:val="32"/>
        </w:rPr>
        <w:t>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643" w:firstLineChars="200"/>
        <w:jc w:val="left"/>
        <w:rPr>
          <w:rFonts w:ascii="宋体" w:hAnsi="宋体"/>
          <w:b/>
          <w:sz w:val="32"/>
          <w:u w:val="single"/>
        </w:rPr>
      </w:pPr>
      <w:r>
        <w:rPr>
          <w:rFonts w:hint="eastAsia" w:ascii="宋体" w:hAnsi="宋体"/>
          <w:b/>
          <w:sz w:val="32"/>
        </w:rPr>
        <w:t>项 目 编号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投标日期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360" w:lineRule="auto"/>
        <w:rPr>
          <w:rFonts w:ascii="宋体" w:hAnsi="宋体"/>
          <w:b/>
          <w:sz w:val="32"/>
          <w:szCs w:val="32"/>
        </w:rPr>
      </w:pPr>
      <w:r>
        <w:rPr>
          <w:rFonts w:ascii="宋体" w:hAnsi="宋体"/>
          <w:b/>
          <w:sz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一、投 标 函</w:t>
      </w:r>
      <w:bookmarkEnd w:id="161"/>
      <w:bookmarkEnd w:id="162"/>
    </w:p>
    <w:p>
      <w:pPr>
        <w:widowControl/>
        <w:spacing w:line="360" w:lineRule="auto"/>
        <w:jc w:val="center"/>
        <w:outlineLvl w:val="1"/>
        <w:rPr>
          <w:rFonts w:ascii="宋体" w:hAnsi="宋体"/>
          <w:b/>
          <w:sz w:val="24"/>
        </w:rPr>
      </w:pPr>
    </w:p>
    <w:p>
      <w:pPr>
        <w:widowControl/>
        <w:spacing w:line="360" w:lineRule="auto"/>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（采购代理机构名称）：</w:t>
      </w:r>
    </w:p>
    <w:p>
      <w:pPr>
        <w:widowControl/>
        <w:spacing w:line="360" w:lineRule="auto"/>
        <w:ind w:firstLine="470" w:firstLineChars="196"/>
        <w:jc w:val="left"/>
        <w:outlineLvl w:val="1"/>
        <w:rPr>
          <w:rFonts w:ascii="宋体" w:hAnsi="宋体"/>
          <w:sz w:val="24"/>
        </w:rPr>
      </w:pPr>
      <w:r>
        <w:rPr>
          <w:rFonts w:hint="eastAsia" w:ascii="宋体" w:hAnsi="宋体"/>
          <w:sz w:val="24"/>
        </w:rPr>
        <w:t>我方全面研究了“</w:t>
      </w:r>
      <w:r>
        <w:rPr>
          <w:rFonts w:hint="eastAsia" w:ascii="宋体" w:hAnsi="宋体"/>
          <w:b/>
          <w:sz w:val="40"/>
          <w:szCs w:val="48"/>
          <w:u w:val="single"/>
        </w:rPr>
        <w:t xml:space="preserve">      </w:t>
      </w:r>
      <w:r>
        <w:rPr>
          <w:rFonts w:hint="eastAsia" w:ascii="宋体" w:hAnsi="宋体"/>
          <w:sz w:val="24"/>
        </w:rPr>
        <w:t>”（项目名称）（项目编号：</w:t>
      </w:r>
      <w:r>
        <w:rPr>
          <w:rFonts w:hint="eastAsia" w:ascii="宋体" w:hAnsi="宋体"/>
          <w:b/>
          <w:sz w:val="40"/>
          <w:szCs w:val="48"/>
          <w:u w:val="single"/>
        </w:rPr>
        <w:t xml:space="preserve">      </w:t>
      </w:r>
      <w:r>
        <w:rPr>
          <w:rFonts w:hint="eastAsia" w:ascii="宋体" w:hAnsi="宋体"/>
          <w:sz w:val="24"/>
        </w:rPr>
        <w:t>）招标文件，决定参加贵单位组织的本项目投标。我方授权</w:t>
      </w:r>
      <w:r>
        <w:rPr>
          <w:rFonts w:hint="eastAsia" w:ascii="宋体" w:hAnsi="宋体"/>
          <w:b/>
          <w:sz w:val="40"/>
          <w:szCs w:val="48"/>
          <w:u w:val="single"/>
        </w:rPr>
        <w:t xml:space="preserve">      </w:t>
      </w:r>
      <w:r>
        <w:rPr>
          <w:rFonts w:hint="eastAsia" w:ascii="宋体" w:hAnsi="宋体"/>
          <w:sz w:val="24"/>
        </w:rPr>
        <w:t>（姓名、职务）代表我方</w:t>
      </w:r>
      <w:r>
        <w:rPr>
          <w:rFonts w:hint="eastAsia" w:ascii="宋体" w:hAnsi="宋体"/>
          <w:b/>
          <w:sz w:val="40"/>
          <w:szCs w:val="48"/>
          <w:u w:val="single"/>
        </w:rPr>
        <w:t xml:space="preserve">      </w:t>
      </w:r>
      <w:r>
        <w:rPr>
          <w:rFonts w:hint="eastAsia" w:ascii="宋体" w:hAnsi="宋体"/>
          <w:sz w:val="24"/>
        </w:rPr>
        <w:t>（投标单位的名称）全权处理本项目投标的有关事宜。</w:t>
      </w:r>
    </w:p>
    <w:p>
      <w:pPr>
        <w:widowControl/>
        <w:spacing w:line="360" w:lineRule="auto"/>
        <w:ind w:firstLine="470" w:firstLineChars="196"/>
        <w:jc w:val="left"/>
        <w:outlineLvl w:val="1"/>
        <w:rPr>
          <w:rFonts w:ascii="宋体"/>
          <w:sz w:val="24"/>
        </w:rPr>
      </w:pPr>
      <w:r>
        <w:rPr>
          <w:rFonts w:hint="eastAsia" w:ascii="宋体" w:hAnsi="宋体"/>
          <w:sz w:val="24"/>
        </w:rPr>
        <w:t>一、我方自愿按照招标文件规定的各项要求向采购人提供所需</w:t>
      </w:r>
      <w:r>
        <w:rPr>
          <w:rFonts w:hint="eastAsia" w:ascii="宋体" w:hAnsi="宋体"/>
          <w:b/>
          <w:sz w:val="24"/>
          <w:u w:val="single"/>
        </w:rPr>
        <w:t>货物</w:t>
      </w:r>
      <w:r>
        <w:rPr>
          <w:rFonts w:hint="eastAsia" w:ascii="宋体" w:hAnsi="宋体"/>
          <w:sz w:val="24"/>
        </w:rPr>
        <w:t>，总投标价为人民币</w:t>
      </w:r>
      <w:r>
        <w:rPr>
          <w:rFonts w:hint="eastAsia" w:ascii="宋体"/>
          <w:sz w:val="24"/>
          <w:u w:val="single"/>
        </w:rPr>
        <w:t xml:space="preserve">          </w:t>
      </w:r>
      <w:r>
        <w:rPr>
          <w:rFonts w:hint="eastAsia" w:ascii="宋体"/>
          <w:sz w:val="24"/>
        </w:rPr>
        <w:t>元（大写：</w:t>
      </w:r>
      <w:r>
        <w:rPr>
          <w:rFonts w:hint="eastAsia" w:ascii="宋体"/>
          <w:sz w:val="24"/>
          <w:u w:val="single"/>
        </w:rPr>
        <w:t xml:space="preserve">            </w:t>
      </w:r>
      <w:r>
        <w:rPr>
          <w:rFonts w:hint="eastAsia" w:asci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二、一旦我方中标，我方将严格履行政府采购合同规定的责任和义务。</w:t>
      </w:r>
    </w:p>
    <w:p>
      <w:pPr>
        <w:widowControl/>
        <w:spacing w:line="360" w:lineRule="auto"/>
        <w:ind w:firstLine="470" w:firstLineChars="196"/>
        <w:jc w:val="left"/>
        <w:outlineLvl w:val="1"/>
        <w:rPr>
          <w:rFonts w:ascii="宋体" w:hAnsi="宋体"/>
          <w:sz w:val="24"/>
        </w:rPr>
      </w:pPr>
      <w:r>
        <w:rPr>
          <w:rFonts w:hint="eastAsia" w:ascii="宋体" w:hAnsi="宋体"/>
          <w:sz w:val="24"/>
        </w:rPr>
        <w:t>三、我方同意本招标文件依据《四川省政府采购当事人诚信管理办法》（川财采【2015】33号文件）对我方可能存在的失信行为进行的惩戒。</w:t>
      </w:r>
    </w:p>
    <w:p>
      <w:pPr>
        <w:widowControl/>
        <w:spacing w:line="360" w:lineRule="auto"/>
        <w:ind w:firstLine="470" w:firstLineChars="196"/>
        <w:jc w:val="left"/>
        <w:outlineLvl w:val="1"/>
        <w:rPr>
          <w:rFonts w:ascii="宋体" w:hAnsi="宋体"/>
          <w:sz w:val="24"/>
        </w:rPr>
      </w:pPr>
      <w:r>
        <w:rPr>
          <w:rFonts w:hint="eastAsia" w:ascii="宋体" w:hAnsi="宋体"/>
          <w:sz w:val="24"/>
        </w:rPr>
        <w:t>四、我方为本项目提交的投标文件正本</w:t>
      </w:r>
      <w:r>
        <w:rPr>
          <w:rFonts w:hint="eastAsia" w:ascii="宋体" w:hAnsi="宋体"/>
          <w:b/>
          <w:sz w:val="40"/>
          <w:szCs w:val="48"/>
          <w:u w:val="single"/>
        </w:rPr>
        <w:t xml:space="preserve">  </w:t>
      </w:r>
      <w:r>
        <w:rPr>
          <w:rFonts w:hint="eastAsia" w:ascii="宋体" w:hAnsi="宋体"/>
          <w:sz w:val="24"/>
        </w:rPr>
        <w:t>份，副本</w:t>
      </w:r>
      <w:r>
        <w:rPr>
          <w:rFonts w:hint="eastAsia" w:ascii="宋体" w:hAnsi="宋体"/>
          <w:b/>
          <w:sz w:val="40"/>
          <w:szCs w:val="48"/>
          <w:u w:val="single"/>
        </w:rPr>
        <w:t xml:space="preserve">  </w:t>
      </w:r>
      <w:r>
        <w:rPr>
          <w:rFonts w:hint="eastAsia" w:ascii="宋体" w:hAnsi="宋体"/>
          <w:sz w:val="24"/>
        </w:rPr>
        <w:t>份，电子文档</w:t>
      </w:r>
      <w:r>
        <w:rPr>
          <w:rFonts w:hint="eastAsia" w:ascii="宋体" w:hAnsi="宋体"/>
          <w:b/>
          <w:sz w:val="40"/>
          <w:szCs w:val="48"/>
          <w:u w:val="single"/>
        </w:rPr>
        <w:t xml:space="preserve">  </w:t>
      </w:r>
      <w:r>
        <w:rPr>
          <w:rFonts w:hint="eastAsia" w:ascii="宋体" w:hAnsi="宋体"/>
          <w:sz w:val="24"/>
        </w:rPr>
        <w:t>份，用于开标唱标的“开标一览表”一式</w:t>
      </w:r>
      <w:r>
        <w:rPr>
          <w:rFonts w:hint="eastAsia" w:ascii="宋体" w:hAnsi="宋体"/>
          <w:sz w:val="24"/>
          <w:u w:val="single"/>
        </w:rPr>
        <w:t xml:space="preserve">   </w:t>
      </w:r>
      <w:r>
        <w:rPr>
          <w:rFonts w:hint="eastAsia" w:ascii="宋体" w:hAnsi="宋体"/>
          <w:sz w:val="24"/>
        </w:rPr>
        <w:t>份。</w:t>
      </w:r>
    </w:p>
    <w:p>
      <w:pPr>
        <w:widowControl/>
        <w:spacing w:line="360" w:lineRule="auto"/>
        <w:ind w:firstLine="470" w:firstLineChars="196"/>
        <w:jc w:val="left"/>
        <w:outlineLvl w:val="1"/>
        <w:rPr>
          <w:rFonts w:ascii="宋体" w:hAnsi="宋体"/>
          <w:sz w:val="24"/>
        </w:rPr>
      </w:pPr>
      <w:r>
        <w:rPr>
          <w:rFonts w:hint="eastAsia" w:ascii="宋体" w:hAnsi="宋体"/>
          <w:sz w:val="24"/>
        </w:rPr>
        <w:t>五、我方同意本次招标的投标有效期为投标截止时间届满后</w:t>
      </w:r>
      <w:r>
        <w:rPr>
          <w:rFonts w:hint="eastAsia" w:ascii="宋体" w:hAnsi="宋体"/>
          <w:b/>
          <w:sz w:val="40"/>
          <w:szCs w:val="48"/>
          <w:u w:val="single"/>
        </w:rPr>
        <w:t xml:space="preserve">  </w:t>
      </w:r>
      <w:r>
        <w:rPr>
          <w:rFonts w:hint="eastAsia" w:ascii="宋体" w:hAnsi="宋体"/>
          <w:sz w:val="24"/>
        </w:rPr>
        <w:t>天。</w:t>
      </w:r>
    </w:p>
    <w:p>
      <w:pPr>
        <w:widowControl/>
        <w:spacing w:line="360" w:lineRule="auto"/>
        <w:ind w:firstLine="470" w:firstLineChars="196"/>
        <w:jc w:val="left"/>
        <w:outlineLvl w:val="1"/>
        <w:rPr>
          <w:rFonts w:ascii="宋体" w:hAnsi="宋体"/>
          <w:sz w:val="24"/>
        </w:rPr>
      </w:pPr>
      <w:r>
        <w:rPr>
          <w:rFonts w:hint="eastAsia" w:ascii="宋体" w:hAnsi="宋体"/>
          <w:sz w:val="24"/>
        </w:rPr>
        <w:t>六、我方愿意提供贵单位可能另外要求的，与投标有关的文件资料，并保证我方已提供和将要提供的文件资料是真实、准确的。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通讯地址：</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邮政编码：</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联系电话：</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传    真：</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hint="eastAsia" w:ascii="宋体" w:hAnsi="宋体"/>
          <w:b/>
          <w:sz w:val="40"/>
          <w:szCs w:val="48"/>
          <w:u w:val="single"/>
        </w:rPr>
        <w:t xml:space="preserve">      </w:t>
      </w:r>
      <w:r>
        <w:rPr>
          <w:rFonts w:hint="eastAsia" w:ascii="宋体" w:hAnsi="宋体"/>
          <w:sz w:val="24"/>
        </w:rPr>
        <w:t>。</w:t>
      </w:r>
    </w:p>
    <w:p>
      <w:pPr>
        <w:spacing w:line="360" w:lineRule="auto"/>
        <w:rPr>
          <w:rFonts w:ascii="宋体" w:hAnsi="宋体"/>
          <w:b/>
          <w:sz w:val="32"/>
          <w:szCs w:val="32"/>
        </w:rPr>
      </w:pPr>
      <w:bookmarkStart w:id="164" w:name="_Toc308164824"/>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二、承诺函（实质性要求）</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（采购代理机构名称）：</w:t>
      </w:r>
    </w:p>
    <w:p>
      <w:pPr>
        <w:widowControl/>
        <w:spacing w:line="360" w:lineRule="auto"/>
        <w:ind w:firstLine="480" w:firstLineChars="200"/>
        <w:jc w:val="left"/>
        <w:outlineLvl w:val="1"/>
        <w:rPr>
          <w:rFonts w:ascii="宋体" w:hAnsi="宋体"/>
          <w:sz w:val="24"/>
        </w:rPr>
      </w:pPr>
      <w:r>
        <w:rPr>
          <w:rFonts w:hint="eastAsia" w:ascii="宋体" w:hAnsi="宋体"/>
          <w:sz w:val="24"/>
        </w:rPr>
        <w:t>我单位作为本次采购项目的投标人，根据招标文件要求，现郑重承诺如下：</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二、参加本次招标采购活动，不存在与单位负责人为同一人或者存在直接控股、管理关系的其他投标人参与同一合同项下的政府采购活动的行为。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三、为采购项目提供整体设计、规范编制或者项目管理、监理、检测等服务的投标人，不得再参加该采购项目的其他采购活动，我方承诺不属于此类禁止参加本项目的投标人。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四、参加本次招标采购活动，不存在和其他投标人在同一合同项下的采购项目中，同时委托同一个自然人、同一家庭的人员、同一单位的人员作为代理人的行为。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五、如果有《四川省政府采购当事人诚信管理办法》（川财采[2015]33号）规定的记入诚信档案的失信行为，将在投标文件中全面如实反映。</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六、投标文件中提供的能够给予我方带来优惠、好处的任何材料资料和技术、服务、商务、响应产品等响应承诺情况都是真实的、有效的、合法的。</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八、国家或行业主管部门对采购产品的技术标准、质量标准和资格资质条件等有强制性规定的，我方承诺符合其要求。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九、参加本次招标采购活动，我方完全同意招标文件第二章关于“投标费用”、“合同分包”、“合同转包”、“履约保证金”的实质性要求，并承诺严格按照招标文件要求履行。</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十、在本次投标之前一周年内，投标人本次投标中对同一品牌同一型号相同配置的产品报价与其在中国境内其他地方的最低报价比例不得高于10%，我方承诺符合该要求。</w:t>
      </w:r>
    </w:p>
    <w:p>
      <w:pPr>
        <w:widowControl/>
        <w:spacing w:line="360" w:lineRule="auto"/>
        <w:ind w:firstLine="480" w:firstLineChars="200"/>
        <w:jc w:val="left"/>
        <w:outlineLvl w:val="1"/>
        <w:rPr>
          <w:rFonts w:ascii="宋体" w:hAnsi="宋体"/>
          <w:sz w:val="24"/>
        </w:rPr>
      </w:pPr>
      <w:r>
        <w:rPr>
          <w:rFonts w:hint="eastAsia" w:ascii="宋体" w:hAnsi="宋体" w:cs="宋体"/>
          <w:sz w:val="24"/>
        </w:rPr>
        <w:t>十一、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line="360" w:lineRule="auto"/>
        <w:ind w:firstLine="480" w:firstLineChars="200"/>
        <w:jc w:val="left"/>
        <w:outlineLvl w:val="1"/>
        <w:rPr>
          <w:rFonts w:ascii="宋体" w:hAnsi="宋体"/>
          <w:sz w:val="24"/>
        </w:rPr>
      </w:pPr>
      <w:r>
        <w:rPr>
          <w:rFonts w:hint="eastAsia" w:ascii="宋体" w:hAnsi="宋体"/>
          <w:sz w:val="24"/>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b/>
          <w:sz w:val="32"/>
          <w:szCs w:val="32"/>
        </w:rPr>
        <w:br w:type="page"/>
      </w:r>
    </w:p>
    <w:bookmarkEnd w:id="158"/>
    <w:bookmarkEnd w:id="164"/>
    <w:p>
      <w:pPr>
        <w:spacing w:line="400" w:lineRule="exact"/>
        <w:ind w:firstLine="643" w:firstLineChars="200"/>
        <w:jc w:val="center"/>
        <w:rPr>
          <w:rFonts w:ascii="宋体" w:hAnsi="宋体"/>
          <w:b/>
          <w:sz w:val="32"/>
          <w:szCs w:val="32"/>
        </w:rPr>
      </w:pPr>
      <w:bookmarkStart w:id="165" w:name="_Toc217446085"/>
      <w:r>
        <w:rPr>
          <w:rFonts w:hint="eastAsia" w:ascii="宋体" w:hAnsi="宋体"/>
          <w:b/>
          <w:sz w:val="32"/>
          <w:szCs w:val="32"/>
        </w:rPr>
        <w:t>三、开标一览表</w:t>
      </w:r>
      <w:bookmarkEnd w:id="165"/>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480" w:lineRule="exact"/>
        <w:ind w:firstLine="436" w:firstLineChars="182"/>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8"/>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70"/>
        <w:gridCol w:w="1197"/>
        <w:gridCol w:w="1710"/>
        <w:gridCol w:w="1768"/>
        <w:gridCol w:w="1682"/>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序号</w:t>
            </w:r>
          </w:p>
        </w:tc>
        <w:tc>
          <w:tcPr>
            <w:tcW w:w="2170" w:type="dxa"/>
            <w:shd w:val="clear" w:color="auto" w:fill="auto"/>
            <w:vAlign w:val="center"/>
          </w:tcPr>
          <w:p>
            <w:pPr>
              <w:jc w:val="center"/>
              <w:rPr>
                <w:rFonts w:ascii="宋体" w:hAnsi="宋体"/>
                <w:sz w:val="24"/>
              </w:rPr>
            </w:pPr>
            <w:r>
              <w:rPr>
                <w:rFonts w:hint="eastAsia" w:ascii="宋体" w:hAnsi="宋体"/>
                <w:sz w:val="24"/>
              </w:rPr>
              <w:t>产品名称</w:t>
            </w:r>
          </w:p>
        </w:tc>
        <w:tc>
          <w:tcPr>
            <w:tcW w:w="1197" w:type="dxa"/>
            <w:shd w:val="clear" w:color="auto" w:fill="auto"/>
            <w:vAlign w:val="center"/>
          </w:tcPr>
          <w:p>
            <w:pPr>
              <w:jc w:val="center"/>
              <w:rPr>
                <w:rFonts w:ascii="宋体" w:hAnsi="宋体"/>
                <w:sz w:val="24"/>
              </w:rPr>
            </w:pPr>
            <w:r>
              <w:rPr>
                <w:rFonts w:hint="eastAsia" w:ascii="宋体" w:hAnsi="宋体"/>
                <w:sz w:val="24"/>
              </w:rPr>
              <w:t>数量（台）</w:t>
            </w:r>
          </w:p>
        </w:tc>
        <w:tc>
          <w:tcPr>
            <w:tcW w:w="1710" w:type="dxa"/>
            <w:shd w:val="clear" w:color="auto" w:fill="auto"/>
            <w:vAlign w:val="center"/>
          </w:tcPr>
          <w:p>
            <w:pPr>
              <w:jc w:val="center"/>
              <w:rPr>
                <w:rFonts w:ascii="宋体" w:hAnsi="宋体"/>
                <w:sz w:val="24"/>
              </w:rPr>
            </w:pPr>
            <w:r>
              <w:rPr>
                <w:rFonts w:hint="eastAsia" w:ascii="宋体" w:hAnsi="宋体"/>
                <w:sz w:val="24"/>
              </w:rPr>
              <w:t>品牌</w:t>
            </w:r>
          </w:p>
        </w:tc>
        <w:tc>
          <w:tcPr>
            <w:tcW w:w="1768" w:type="dxa"/>
            <w:shd w:val="clear" w:color="auto" w:fill="auto"/>
            <w:vAlign w:val="center"/>
          </w:tcPr>
          <w:p>
            <w:pPr>
              <w:jc w:val="center"/>
              <w:rPr>
                <w:rFonts w:ascii="宋体" w:hAnsi="宋体"/>
                <w:sz w:val="24"/>
              </w:rPr>
            </w:pPr>
            <w:r>
              <w:rPr>
                <w:rFonts w:hint="eastAsia" w:ascii="宋体" w:hAnsi="宋体"/>
                <w:sz w:val="24"/>
              </w:rPr>
              <w:t>单价报价（万元）</w:t>
            </w:r>
          </w:p>
        </w:tc>
        <w:tc>
          <w:tcPr>
            <w:tcW w:w="1682" w:type="dxa"/>
            <w:shd w:val="clear" w:color="auto" w:fill="auto"/>
            <w:vAlign w:val="center"/>
          </w:tcPr>
          <w:p>
            <w:pPr>
              <w:jc w:val="center"/>
              <w:rPr>
                <w:rFonts w:ascii="宋体" w:hAnsi="宋体"/>
                <w:sz w:val="24"/>
              </w:rPr>
            </w:pPr>
            <w:r>
              <w:rPr>
                <w:rFonts w:hint="eastAsia" w:ascii="宋体" w:hAnsi="宋体"/>
                <w:sz w:val="24"/>
              </w:rPr>
              <w:t>合价报价（万元）</w:t>
            </w:r>
          </w:p>
        </w:tc>
        <w:tc>
          <w:tcPr>
            <w:tcW w:w="1146" w:type="dxa"/>
            <w:shd w:val="clear" w:color="auto" w:fill="auto"/>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1</w:t>
            </w:r>
          </w:p>
        </w:tc>
        <w:tc>
          <w:tcPr>
            <w:tcW w:w="2170" w:type="dxa"/>
            <w:shd w:val="clear" w:color="auto" w:fill="auto"/>
            <w:vAlign w:val="center"/>
          </w:tcPr>
          <w:p>
            <w:pPr>
              <w:jc w:val="center"/>
              <w:rPr>
                <w:rFonts w:ascii="宋体" w:hAnsi="宋体"/>
                <w:sz w:val="24"/>
              </w:rPr>
            </w:pPr>
            <w:r>
              <w:rPr>
                <w:rFonts w:hint="eastAsia" w:ascii="宋体" w:hAnsi="宋体"/>
                <w:sz w:val="24"/>
              </w:rPr>
              <w:t>电动自行走高空作业升降平台18米</w:t>
            </w:r>
          </w:p>
        </w:tc>
        <w:tc>
          <w:tcPr>
            <w:tcW w:w="1197" w:type="dxa"/>
            <w:shd w:val="clear" w:color="auto" w:fill="auto"/>
            <w:vAlign w:val="center"/>
          </w:tcPr>
          <w:p>
            <w:pPr>
              <w:jc w:val="center"/>
              <w:rPr>
                <w:rFonts w:ascii="宋体" w:hAnsi="宋体"/>
                <w:sz w:val="24"/>
              </w:rPr>
            </w:pPr>
            <w:r>
              <w:rPr>
                <w:rFonts w:hint="eastAsia" w:ascii="宋体" w:hAnsi="宋体"/>
                <w:sz w:val="24"/>
              </w:rPr>
              <w:t>4</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2</w:t>
            </w:r>
          </w:p>
        </w:tc>
        <w:tc>
          <w:tcPr>
            <w:tcW w:w="2170" w:type="dxa"/>
            <w:shd w:val="clear" w:color="auto" w:fill="auto"/>
            <w:vAlign w:val="center"/>
          </w:tcPr>
          <w:p>
            <w:pPr>
              <w:jc w:val="center"/>
              <w:rPr>
                <w:rFonts w:ascii="宋体" w:hAnsi="宋体"/>
                <w:sz w:val="24"/>
              </w:rPr>
            </w:pPr>
            <w:r>
              <w:rPr>
                <w:rFonts w:hint="eastAsia" w:ascii="宋体" w:hAnsi="宋体"/>
                <w:sz w:val="24"/>
              </w:rPr>
              <w:t>电动自行走高空作业升降平台24米</w:t>
            </w:r>
          </w:p>
        </w:tc>
        <w:tc>
          <w:tcPr>
            <w:tcW w:w="1197" w:type="dxa"/>
            <w:shd w:val="clear" w:color="auto" w:fill="auto"/>
            <w:vAlign w:val="center"/>
          </w:tcPr>
          <w:p>
            <w:pPr>
              <w:jc w:val="center"/>
              <w:rPr>
                <w:rFonts w:ascii="宋体" w:hAnsi="宋体"/>
                <w:sz w:val="24"/>
              </w:rPr>
            </w:pPr>
            <w:r>
              <w:rPr>
                <w:rFonts w:hint="eastAsia" w:ascii="宋体" w:hAnsi="宋体"/>
                <w:sz w:val="24"/>
              </w:rPr>
              <w:t>2</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3</w:t>
            </w:r>
          </w:p>
        </w:tc>
        <w:tc>
          <w:tcPr>
            <w:tcW w:w="2170" w:type="dxa"/>
            <w:shd w:val="clear" w:color="auto" w:fill="auto"/>
            <w:vAlign w:val="center"/>
          </w:tcPr>
          <w:p>
            <w:pPr>
              <w:jc w:val="center"/>
              <w:rPr>
                <w:rFonts w:ascii="宋体" w:hAnsi="宋体"/>
                <w:sz w:val="24"/>
              </w:rPr>
            </w:pPr>
            <w:r>
              <w:rPr>
                <w:rFonts w:hint="eastAsia" w:ascii="宋体" w:hAnsi="宋体"/>
                <w:sz w:val="24"/>
              </w:rPr>
              <w:t>电动自行走高空作业升降平台28米</w:t>
            </w:r>
          </w:p>
        </w:tc>
        <w:tc>
          <w:tcPr>
            <w:tcW w:w="1197" w:type="dxa"/>
            <w:shd w:val="clear" w:color="auto" w:fill="auto"/>
            <w:vAlign w:val="center"/>
          </w:tcPr>
          <w:p>
            <w:pPr>
              <w:jc w:val="center"/>
              <w:rPr>
                <w:rFonts w:ascii="宋体" w:hAnsi="宋体"/>
                <w:sz w:val="24"/>
              </w:rPr>
            </w:pPr>
            <w:r>
              <w:rPr>
                <w:rFonts w:hint="eastAsia" w:ascii="宋体" w:hAnsi="宋体"/>
                <w:sz w:val="24"/>
              </w:rPr>
              <w:t>1</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7" w:type="dxa"/>
            <w:shd w:val="clear" w:color="auto" w:fill="auto"/>
            <w:vAlign w:val="center"/>
          </w:tcPr>
          <w:p>
            <w:pPr>
              <w:jc w:val="center"/>
              <w:rPr>
                <w:rFonts w:ascii="宋体" w:hAnsi="宋体"/>
                <w:sz w:val="24"/>
              </w:rPr>
            </w:pPr>
            <w:r>
              <w:rPr>
                <w:rFonts w:hint="eastAsia" w:ascii="宋体" w:hAnsi="宋体"/>
                <w:sz w:val="24"/>
              </w:rPr>
              <w:t>4</w:t>
            </w:r>
          </w:p>
        </w:tc>
        <w:tc>
          <w:tcPr>
            <w:tcW w:w="2170" w:type="dxa"/>
            <w:shd w:val="clear" w:color="auto" w:fill="auto"/>
            <w:vAlign w:val="center"/>
          </w:tcPr>
          <w:p>
            <w:pPr>
              <w:jc w:val="center"/>
              <w:rPr>
                <w:rFonts w:ascii="宋体" w:hAnsi="宋体"/>
                <w:sz w:val="24"/>
              </w:rPr>
            </w:pPr>
            <w:r>
              <w:rPr>
                <w:rFonts w:hint="eastAsia" w:ascii="宋体" w:hAnsi="宋体"/>
                <w:sz w:val="24"/>
              </w:rPr>
              <w:t>充电桩</w:t>
            </w:r>
          </w:p>
        </w:tc>
        <w:tc>
          <w:tcPr>
            <w:tcW w:w="1197" w:type="dxa"/>
            <w:shd w:val="clear" w:color="auto" w:fill="auto"/>
            <w:vAlign w:val="center"/>
          </w:tcPr>
          <w:p>
            <w:pPr>
              <w:jc w:val="center"/>
              <w:rPr>
                <w:rFonts w:ascii="宋体" w:hAnsi="宋体"/>
                <w:sz w:val="24"/>
              </w:rPr>
            </w:pPr>
            <w:r>
              <w:rPr>
                <w:rFonts w:hint="eastAsia" w:ascii="宋体" w:hAnsi="宋体"/>
                <w:sz w:val="24"/>
              </w:rPr>
              <w:t>2</w:t>
            </w:r>
          </w:p>
        </w:tc>
        <w:tc>
          <w:tcPr>
            <w:tcW w:w="1710" w:type="dxa"/>
            <w:shd w:val="clear" w:color="auto" w:fill="auto"/>
            <w:vAlign w:val="center"/>
          </w:tcPr>
          <w:p>
            <w:pPr>
              <w:jc w:val="center"/>
              <w:rPr>
                <w:rFonts w:ascii="宋体" w:hAnsi="宋体"/>
                <w:sz w:val="24"/>
              </w:rPr>
            </w:pPr>
          </w:p>
        </w:tc>
        <w:tc>
          <w:tcPr>
            <w:tcW w:w="1768" w:type="dxa"/>
            <w:shd w:val="clear" w:color="auto" w:fill="auto"/>
            <w:vAlign w:val="center"/>
          </w:tcPr>
          <w:p>
            <w:pPr>
              <w:jc w:val="center"/>
              <w:rPr>
                <w:rFonts w:ascii="宋体" w:hAnsi="宋体"/>
                <w:sz w:val="24"/>
              </w:rPr>
            </w:pPr>
          </w:p>
        </w:tc>
        <w:tc>
          <w:tcPr>
            <w:tcW w:w="1682" w:type="dxa"/>
            <w:shd w:val="clear" w:color="auto" w:fill="auto"/>
            <w:vAlign w:val="center"/>
          </w:tcPr>
          <w:p>
            <w:pPr>
              <w:jc w:val="center"/>
              <w:rPr>
                <w:rFonts w:ascii="宋体" w:hAnsi="宋体"/>
                <w:sz w:val="24"/>
              </w:rPr>
            </w:pPr>
          </w:p>
        </w:tc>
        <w:tc>
          <w:tcPr>
            <w:tcW w:w="1146"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240" w:type="dxa"/>
            <w:gridSpan w:val="7"/>
            <w:shd w:val="clear" w:color="auto" w:fill="auto"/>
            <w:vAlign w:val="center"/>
          </w:tcPr>
          <w:p>
            <w:pPr>
              <w:jc w:val="center"/>
              <w:rPr>
                <w:rFonts w:ascii="宋体" w:hAnsi="宋体"/>
                <w:sz w:val="24"/>
              </w:rPr>
            </w:pPr>
            <w:r>
              <w:rPr>
                <w:rFonts w:hint="eastAsia" w:ascii="宋体" w:hAnsi="宋体"/>
                <w:sz w:val="24"/>
              </w:rPr>
              <w:t>总合计</w:t>
            </w:r>
            <w:r>
              <w:rPr>
                <w:rFonts w:hint="eastAsia" w:ascii="宋体" w:hAnsi="宋体"/>
                <w:sz w:val="24"/>
                <w:lang w:eastAsia="zh-CN"/>
              </w:rPr>
              <w:t>：</w:t>
            </w:r>
            <w:r>
              <w:rPr>
                <w:rFonts w:hint="eastAsia" w:ascii="宋体" w:hAnsi="宋体"/>
                <w:sz w:val="24"/>
                <w:lang w:val="en-US" w:eastAsia="zh-CN"/>
              </w:rPr>
              <w:t xml:space="preserve">             元（大写：             ）</w:t>
            </w:r>
          </w:p>
        </w:tc>
      </w:tr>
    </w:tbl>
    <w:p>
      <w:pPr>
        <w:widowControl/>
        <w:spacing w:line="360" w:lineRule="atLeast"/>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注：1. 报价应是最终用户验收合格后的总价，包括设备的运输、保险、安装调试、培训、税费、系统集成等费用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sz w:val="24"/>
        </w:rPr>
      </w:pPr>
      <w:r>
        <w:rPr>
          <w:rFonts w:hint="eastAsia" w:ascii="宋体" w:hAnsi="宋体"/>
          <w:sz w:val="24"/>
        </w:rPr>
        <w:t>2.“开标一览表”为多页的，每页均需由法定代表人或授权代表签字并盖投标人印章。</w:t>
      </w:r>
    </w:p>
    <w:p>
      <w:pPr>
        <w:spacing w:line="400" w:lineRule="exact"/>
        <w:ind w:firstLine="480" w:firstLineChars="200"/>
        <w:rPr>
          <w:rFonts w:ascii="宋体" w:hAnsi="宋体"/>
          <w:sz w:val="24"/>
        </w:rPr>
      </w:pPr>
      <w:r>
        <w:rPr>
          <w:rFonts w:hint="eastAsia" w:ascii="宋体" w:hAnsi="宋体"/>
          <w:sz w:val="24"/>
        </w:rPr>
        <w:t>3、“开标一览表”以包为单位填写。</w:t>
      </w:r>
    </w:p>
    <w:p>
      <w:pPr>
        <w:spacing w:line="400" w:lineRule="exact"/>
        <w:ind w:firstLine="480" w:firstLineChars="200"/>
        <w:rPr>
          <w:rFonts w:ascii="宋体" w:hAnsi="宋体"/>
          <w:sz w:val="24"/>
        </w:rPr>
      </w:pPr>
      <w:r>
        <w:rPr>
          <w:rFonts w:hint="eastAsia" w:ascii="宋体" w:hAnsi="宋体"/>
          <w:sz w:val="24"/>
        </w:rPr>
        <w:t>4、如是进口设备，须在表格中标明“进口”。招标文件未明确“允许进口”的，投标人以进口产品进行投标时，将视为无效投标。</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w:t>
      </w:r>
      <w:r>
        <w:rPr>
          <w:rFonts w:hint="eastAsia" w:ascii="宋体" w:hAnsi="宋体"/>
          <w:b/>
          <w:sz w:val="40"/>
          <w:szCs w:val="48"/>
          <w:u w:val="single"/>
        </w:rPr>
        <w:t xml:space="preserve">      </w:t>
      </w:r>
      <w:r>
        <w:rPr>
          <w:rFonts w:hint="eastAsia" w:ascii="宋体" w:hAnsi="宋体"/>
          <w:sz w:val="24"/>
        </w:rPr>
        <w:t>。</w:t>
      </w:r>
    </w:p>
    <w:p>
      <w:pPr>
        <w:pStyle w:val="2"/>
      </w:pPr>
    </w:p>
    <w:p>
      <w:pPr>
        <w:pStyle w:val="2"/>
      </w:pPr>
    </w:p>
    <w:p>
      <w:pPr>
        <w:pStyle w:val="2"/>
        <w:sectPr>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b/>
          <w:sz w:val="32"/>
          <w:szCs w:val="32"/>
        </w:rPr>
      </w:pPr>
      <w:bookmarkStart w:id="166" w:name="_Toc217446086"/>
      <w:r>
        <w:rPr>
          <w:rFonts w:hint="eastAsia" w:ascii="宋体" w:hAnsi="宋体"/>
          <w:b/>
          <w:sz w:val="32"/>
          <w:szCs w:val="32"/>
        </w:rPr>
        <w:t>四、分项报价明细表</w:t>
      </w:r>
      <w:bookmarkEnd w:id="166"/>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32"/>
          <w:u w:val="single"/>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8"/>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outlineLvl w:val="1"/>
              <w:rPr>
                <w:rFonts w:ascii="宋体"/>
                <w:sz w:val="24"/>
              </w:rPr>
            </w:pPr>
            <w:r>
              <w:rPr>
                <w:rFonts w:hint="eastAsia" w:ascii="宋体"/>
                <w:sz w:val="24"/>
              </w:rPr>
              <w:t>序号</w:t>
            </w:r>
          </w:p>
        </w:tc>
        <w:tc>
          <w:tcPr>
            <w:tcW w:w="1275" w:type="dxa"/>
            <w:vAlign w:val="center"/>
          </w:tcPr>
          <w:p>
            <w:pPr>
              <w:widowControl/>
              <w:spacing w:line="360" w:lineRule="atLeast"/>
              <w:jc w:val="center"/>
              <w:outlineLvl w:val="1"/>
              <w:rPr>
                <w:rFonts w:ascii="宋体"/>
                <w:sz w:val="24"/>
              </w:rPr>
            </w:pPr>
            <w:r>
              <w:rPr>
                <w:rFonts w:hint="eastAsia" w:ascii="宋体"/>
                <w:sz w:val="24"/>
              </w:rPr>
              <w:t>产品名称</w:t>
            </w:r>
          </w:p>
        </w:tc>
        <w:tc>
          <w:tcPr>
            <w:tcW w:w="1360" w:type="dxa"/>
            <w:vAlign w:val="center"/>
          </w:tcPr>
          <w:p>
            <w:pPr>
              <w:widowControl/>
              <w:spacing w:line="360" w:lineRule="atLeast"/>
              <w:jc w:val="center"/>
              <w:outlineLvl w:val="1"/>
              <w:rPr>
                <w:rFonts w:ascii="宋体"/>
                <w:sz w:val="24"/>
              </w:rPr>
            </w:pPr>
            <w:r>
              <w:rPr>
                <w:rFonts w:hint="eastAsia" w:ascii="宋体"/>
                <w:sz w:val="24"/>
              </w:rPr>
              <w:t>规格型号</w:t>
            </w:r>
          </w:p>
        </w:tc>
        <w:tc>
          <w:tcPr>
            <w:tcW w:w="888" w:type="dxa"/>
            <w:vAlign w:val="center"/>
          </w:tcPr>
          <w:p>
            <w:pPr>
              <w:widowControl/>
              <w:spacing w:line="360" w:lineRule="atLeast"/>
              <w:jc w:val="center"/>
              <w:outlineLvl w:val="1"/>
              <w:rPr>
                <w:rFonts w:ascii="宋体"/>
                <w:sz w:val="24"/>
              </w:rPr>
            </w:pPr>
            <w:r>
              <w:rPr>
                <w:rFonts w:hint="eastAsia" w:ascii="宋体"/>
                <w:sz w:val="24"/>
              </w:rPr>
              <w:t>品牌</w:t>
            </w:r>
          </w:p>
        </w:tc>
        <w:tc>
          <w:tcPr>
            <w:tcW w:w="1212" w:type="dxa"/>
            <w:vAlign w:val="center"/>
          </w:tcPr>
          <w:p>
            <w:pPr>
              <w:widowControl/>
              <w:spacing w:line="360" w:lineRule="atLeast"/>
              <w:jc w:val="center"/>
              <w:outlineLvl w:val="1"/>
              <w:rPr>
                <w:rFonts w:ascii="宋体"/>
                <w:sz w:val="24"/>
              </w:rPr>
            </w:pPr>
            <w:r>
              <w:rPr>
                <w:rFonts w:hint="eastAsia" w:ascii="宋体"/>
                <w:sz w:val="24"/>
              </w:rPr>
              <w:t>单位</w:t>
            </w:r>
          </w:p>
        </w:tc>
        <w:tc>
          <w:tcPr>
            <w:tcW w:w="840" w:type="dxa"/>
            <w:vAlign w:val="center"/>
          </w:tcPr>
          <w:p>
            <w:pPr>
              <w:widowControl/>
              <w:spacing w:line="360" w:lineRule="atLeast"/>
              <w:jc w:val="center"/>
              <w:outlineLvl w:val="1"/>
              <w:rPr>
                <w:rFonts w:ascii="宋体"/>
                <w:sz w:val="24"/>
              </w:rPr>
            </w:pPr>
            <w:r>
              <w:rPr>
                <w:rFonts w:hint="eastAsia" w:ascii="宋体"/>
                <w:sz w:val="24"/>
              </w:rPr>
              <w:t>数量</w:t>
            </w:r>
          </w:p>
        </w:tc>
        <w:tc>
          <w:tcPr>
            <w:tcW w:w="841" w:type="dxa"/>
            <w:vAlign w:val="center"/>
          </w:tcPr>
          <w:p>
            <w:pPr>
              <w:widowControl/>
              <w:spacing w:line="360" w:lineRule="atLeast"/>
              <w:jc w:val="center"/>
              <w:outlineLvl w:val="1"/>
              <w:rPr>
                <w:rFonts w:ascii="宋体"/>
                <w:sz w:val="24"/>
              </w:rPr>
            </w:pPr>
            <w:r>
              <w:rPr>
                <w:rFonts w:hint="eastAsia" w:ascii="宋体"/>
                <w:sz w:val="24"/>
              </w:rPr>
              <w:t>单价</w:t>
            </w:r>
          </w:p>
        </w:tc>
        <w:tc>
          <w:tcPr>
            <w:tcW w:w="876" w:type="dxa"/>
            <w:vAlign w:val="center"/>
          </w:tcPr>
          <w:p>
            <w:pPr>
              <w:widowControl/>
              <w:spacing w:line="360" w:lineRule="atLeast"/>
              <w:jc w:val="center"/>
              <w:outlineLvl w:val="1"/>
              <w:rPr>
                <w:rFonts w:ascii="宋体"/>
                <w:sz w:val="24"/>
              </w:rPr>
            </w:pPr>
            <w:r>
              <w:rPr>
                <w:rFonts w:hint="eastAsia" w:ascii="宋体"/>
                <w:sz w:val="24"/>
              </w:rPr>
              <w:t>金额</w:t>
            </w:r>
          </w:p>
        </w:tc>
        <w:tc>
          <w:tcPr>
            <w:tcW w:w="843" w:type="dxa"/>
            <w:vAlign w:val="center"/>
          </w:tcPr>
          <w:p>
            <w:pPr>
              <w:widowControl/>
              <w:spacing w:line="360" w:lineRule="atLeast"/>
              <w:outlineLvl w:val="1"/>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ascii="宋体"/>
                <w:sz w:val="24"/>
              </w:rPr>
            </w:pPr>
          </w:p>
        </w:tc>
        <w:tc>
          <w:tcPr>
            <w:tcW w:w="1275" w:type="dxa"/>
            <w:vAlign w:val="center"/>
          </w:tcPr>
          <w:p>
            <w:pPr>
              <w:widowControl/>
              <w:spacing w:line="360" w:lineRule="atLeast"/>
              <w:ind w:firstLine="470" w:firstLineChars="196"/>
              <w:jc w:val="left"/>
              <w:outlineLvl w:val="1"/>
              <w:rPr>
                <w:rFonts w:ascii="宋体"/>
                <w:sz w:val="24"/>
              </w:rPr>
            </w:pPr>
          </w:p>
        </w:tc>
        <w:tc>
          <w:tcPr>
            <w:tcW w:w="1360" w:type="dxa"/>
            <w:vAlign w:val="center"/>
          </w:tcPr>
          <w:p>
            <w:pPr>
              <w:widowControl/>
              <w:spacing w:line="360" w:lineRule="atLeast"/>
              <w:ind w:firstLine="470" w:firstLineChars="196"/>
              <w:jc w:val="left"/>
              <w:outlineLvl w:val="1"/>
              <w:rPr>
                <w:rFonts w:ascii="宋体"/>
                <w:sz w:val="24"/>
              </w:rPr>
            </w:pPr>
          </w:p>
        </w:tc>
        <w:tc>
          <w:tcPr>
            <w:tcW w:w="888" w:type="dxa"/>
            <w:vAlign w:val="center"/>
          </w:tcPr>
          <w:p>
            <w:pPr>
              <w:widowControl/>
              <w:spacing w:line="360" w:lineRule="atLeast"/>
              <w:ind w:firstLine="470" w:firstLineChars="196"/>
              <w:jc w:val="left"/>
              <w:outlineLvl w:val="1"/>
              <w:rPr>
                <w:rFonts w:ascii="宋体"/>
                <w:sz w:val="24"/>
              </w:rPr>
            </w:pPr>
          </w:p>
        </w:tc>
        <w:tc>
          <w:tcPr>
            <w:tcW w:w="1212" w:type="dxa"/>
            <w:vAlign w:val="center"/>
          </w:tcPr>
          <w:p>
            <w:pPr>
              <w:widowControl/>
              <w:spacing w:line="360" w:lineRule="atLeast"/>
              <w:ind w:firstLine="470" w:firstLineChars="196"/>
              <w:jc w:val="left"/>
              <w:outlineLvl w:val="1"/>
              <w:rPr>
                <w:rFonts w:ascii="宋体"/>
                <w:sz w:val="24"/>
              </w:rPr>
            </w:pPr>
          </w:p>
        </w:tc>
        <w:tc>
          <w:tcPr>
            <w:tcW w:w="840" w:type="dxa"/>
            <w:vAlign w:val="center"/>
          </w:tcPr>
          <w:p>
            <w:pPr>
              <w:widowControl/>
              <w:spacing w:line="360" w:lineRule="atLeast"/>
              <w:ind w:firstLine="470" w:firstLineChars="196"/>
              <w:jc w:val="left"/>
              <w:outlineLvl w:val="1"/>
              <w:rPr>
                <w:rFonts w:ascii="宋体"/>
                <w:sz w:val="24"/>
              </w:rPr>
            </w:pPr>
          </w:p>
        </w:tc>
        <w:tc>
          <w:tcPr>
            <w:tcW w:w="841" w:type="dxa"/>
            <w:vAlign w:val="center"/>
          </w:tcPr>
          <w:p>
            <w:pPr>
              <w:widowControl/>
              <w:spacing w:line="360" w:lineRule="atLeast"/>
              <w:ind w:firstLine="470" w:firstLineChars="196"/>
              <w:jc w:val="left"/>
              <w:outlineLvl w:val="1"/>
              <w:rPr>
                <w:rFonts w:ascii="宋体"/>
                <w:sz w:val="24"/>
              </w:rPr>
            </w:pPr>
          </w:p>
        </w:tc>
        <w:tc>
          <w:tcPr>
            <w:tcW w:w="876" w:type="dxa"/>
            <w:vAlign w:val="center"/>
          </w:tcPr>
          <w:p>
            <w:pPr>
              <w:widowControl/>
              <w:spacing w:line="360" w:lineRule="atLeast"/>
              <w:ind w:firstLine="470" w:firstLineChars="196"/>
              <w:jc w:val="left"/>
              <w:outlineLvl w:val="1"/>
              <w:rPr>
                <w:rFonts w:ascii="宋体"/>
                <w:sz w:val="24"/>
              </w:rPr>
            </w:pPr>
          </w:p>
        </w:tc>
        <w:tc>
          <w:tcPr>
            <w:tcW w:w="843"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ascii="宋体"/>
                <w:sz w:val="24"/>
              </w:rPr>
            </w:pPr>
          </w:p>
        </w:tc>
        <w:tc>
          <w:tcPr>
            <w:tcW w:w="1275" w:type="dxa"/>
            <w:vAlign w:val="center"/>
          </w:tcPr>
          <w:p>
            <w:pPr>
              <w:widowControl/>
              <w:spacing w:line="360" w:lineRule="atLeast"/>
              <w:ind w:firstLine="470" w:firstLineChars="196"/>
              <w:jc w:val="left"/>
              <w:outlineLvl w:val="1"/>
              <w:rPr>
                <w:rFonts w:ascii="宋体"/>
                <w:sz w:val="24"/>
              </w:rPr>
            </w:pPr>
          </w:p>
        </w:tc>
        <w:tc>
          <w:tcPr>
            <w:tcW w:w="1360" w:type="dxa"/>
            <w:vAlign w:val="center"/>
          </w:tcPr>
          <w:p>
            <w:pPr>
              <w:widowControl/>
              <w:spacing w:line="360" w:lineRule="atLeast"/>
              <w:ind w:firstLine="470" w:firstLineChars="196"/>
              <w:jc w:val="left"/>
              <w:outlineLvl w:val="1"/>
              <w:rPr>
                <w:rFonts w:ascii="宋体"/>
                <w:sz w:val="24"/>
              </w:rPr>
            </w:pPr>
          </w:p>
        </w:tc>
        <w:tc>
          <w:tcPr>
            <w:tcW w:w="888" w:type="dxa"/>
            <w:vAlign w:val="center"/>
          </w:tcPr>
          <w:p>
            <w:pPr>
              <w:widowControl/>
              <w:spacing w:line="360" w:lineRule="atLeast"/>
              <w:ind w:firstLine="470" w:firstLineChars="196"/>
              <w:jc w:val="left"/>
              <w:outlineLvl w:val="1"/>
              <w:rPr>
                <w:rFonts w:ascii="宋体"/>
                <w:sz w:val="24"/>
              </w:rPr>
            </w:pPr>
          </w:p>
        </w:tc>
        <w:tc>
          <w:tcPr>
            <w:tcW w:w="1212" w:type="dxa"/>
            <w:vAlign w:val="center"/>
          </w:tcPr>
          <w:p>
            <w:pPr>
              <w:widowControl/>
              <w:spacing w:line="360" w:lineRule="atLeast"/>
              <w:ind w:firstLine="470" w:firstLineChars="196"/>
              <w:jc w:val="left"/>
              <w:outlineLvl w:val="1"/>
              <w:rPr>
                <w:rFonts w:ascii="宋体"/>
                <w:sz w:val="24"/>
              </w:rPr>
            </w:pPr>
          </w:p>
        </w:tc>
        <w:tc>
          <w:tcPr>
            <w:tcW w:w="840" w:type="dxa"/>
            <w:vAlign w:val="center"/>
          </w:tcPr>
          <w:p>
            <w:pPr>
              <w:widowControl/>
              <w:spacing w:line="360" w:lineRule="atLeast"/>
              <w:ind w:firstLine="470" w:firstLineChars="196"/>
              <w:jc w:val="left"/>
              <w:outlineLvl w:val="1"/>
              <w:rPr>
                <w:rFonts w:ascii="宋体"/>
                <w:sz w:val="24"/>
              </w:rPr>
            </w:pPr>
          </w:p>
        </w:tc>
        <w:tc>
          <w:tcPr>
            <w:tcW w:w="841" w:type="dxa"/>
            <w:vAlign w:val="center"/>
          </w:tcPr>
          <w:p>
            <w:pPr>
              <w:widowControl/>
              <w:spacing w:line="360" w:lineRule="atLeast"/>
              <w:ind w:firstLine="470" w:firstLineChars="196"/>
              <w:jc w:val="left"/>
              <w:outlineLvl w:val="1"/>
              <w:rPr>
                <w:rFonts w:ascii="宋体"/>
                <w:sz w:val="24"/>
              </w:rPr>
            </w:pPr>
          </w:p>
        </w:tc>
        <w:tc>
          <w:tcPr>
            <w:tcW w:w="876" w:type="dxa"/>
            <w:vAlign w:val="center"/>
          </w:tcPr>
          <w:p>
            <w:pPr>
              <w:widowControl/>
              <w:spacing w:line="360" w:lineRule="atLeast"/>
              <w:ind w:firstLine="470" w:firstLineChars="196"/>
              <w:jc w:val="left"/>
              <w:outlineLvl w:val="1"/>
              <w:rPr>
                <w:rFonts w:ascii="宋体"/>
                <w:sz w:val="24"/>
              </w:rPr>
            </w:pPr>
          </w:p>
        </w:tc>
        <w:tc>
          <w:tcPr>
            <w:tcW w:w="843"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ascii="宋体"/>
                <w:sz w:val="24"/>
              </w:rPr>
            </w:pPr>
          </w:p>
        </w:tc>
        <w:tc>
          <w:tcPr>
            <w:tcW w:w="1275" w:type="dxa"/>
            <w:vAlign w:val="center"/>
          </w:tcPr>
          <w:p>
            <w:pPr>
              <w:widowControl/>
              <w:spacing w:line="360" w:lineRule="atLeast"/>
              <w:ind w:firstLine="470" w:firstLineChars="196"/>
              <w:jc w:val="left"/>
              <w:outlineLvl w:val="1"/>
              <w:rPr>
                <w:rFonts w:ascii="宋体"/>
                <w:sz w:val="24"/>
              </w:rPr>
            </w:pPr>
          </w:p>
        </w:tc>
        <w:tc>
          <w:tcPr>
            <w:tcW w:w="1360" w:type="dxa"/>
            <w:vAlign w:val="center"/>
          </w:tcPr>
          <w:p>
            <w:pPr>
              <w:widowControl/>
              <w:spacing w:line="360" w:lineRule="atLeast"/>
              <w:ind w:firstLine="470" w:firstLineChars="196"/>
              <w:jc w:val="left"/>
              <w:outlineLvl w:val="1"/>
              <w:rPr>
                <w:rFonts w:ascii="宋体"/>
                <w:sz w:val="24"/>
              </w:rPr>
            </w:pPr>
          </w:p>
        </w:tc>
        <w:tc>
          <w:tcPr>
            <w:tcW w:w="888" w:type="dxa"/>
            <w:vAlign w:val="center"/>
          </w:tcPr>
          <w:p>
            <w:pPr>
              <w:widowControl/>
              <w:spacing w:line="360" w:lineRule="atLeast"/>
              <w:ind w:firstLine="470" w:firstLineChars="196"/>
              <w:jc w:val="left"/>
              <w:outlineLvl w:val="1"/>
              <w:rPr>
                <w:rFonts w:ascii="宋体"/>
                <w:sz w:val="24"/>
              </w:rPr>
            </w:pPr>
          </w:p>
        </w:tc>
        <w:tc>
          <w:tcPr>
            <w:tcW w:w="1212" w:type="dxa"/>
            <w:vAlign w:val="center"/>
          </w:tcPr>
          <w:p>
            <w:pPr>
              <w:widowControl/>
              <w:spacing w:line="360" w:lineRule="atLeast"/>
              <w:ind w:firstLine="470" w:firstLineChars="196"/>
              <w:jc w:val="left"/>
              <w:outlineLvl w:val="1"/>
              <w:rPr>
                <w:rFonts w:ascii="宋体"/>
                <w:sz w:val="24"/>
              </w:rPr>
            </w:pPr>
          </w:p>
        </w:tc>
        <w:tc>
          <w:tcPr>
            <w:tcW w:w="840" w:type="dxa"/>
            <w:vAlign w:val="center"/>
          </w:tcPr>
          <w:p>
            <w:pPr>
              <w:widowControl/>
              <w:spacing w:line="360" w:lineRule="atLeast"/>
              <w:ind w:firstLine="470" w:firstLineChars="196"/>
              <w:jc w:val="left"/>
              <w:outlineLvl w:val="1"/>
              <w:rPr>
                <w:rFonts w:ascii="宋体"/>
                <w:sz w:val="24"/>
              </w:rPr>
            </w:pPr>
          </w:p>
        </w:tc>
        <w:tc>
          <w:tcPr>
            <w:tcW w:w="841" w:type="dxa"/>
            <w:vAlign w:val="center"/>
          </w:tcPr>
          <w:p>
            <w:pPr>
              <w:widowControl/>
              <w:spacing w:line="360" w:lineRule="atLeast"/>
              <w:ind w:firstLine="470" w:firstLineChars="196"/>
              <w:jc w:val="left"/>
              <w:outlineLvl w:val="1"/>
              <w:rPr>
                <w:rFonts w:ascii="宋体"/>
                <w:sz w:val="24"/>
              </w:rPr>
            </w:pPr>
          </w:p>
        </w:tc>
        <w:tc>
          <w:tcPr>
            <w:tcW w:w="876" w:type="dxa"/>
            <w:vAlign w:val="center"/>
          </w:tcPr>
          <w:p>
            <w:pPr>
              <w:widowControl/>
              <w:spacing w:line="360" w:lineRule="atLeast"/>
              <w:ind w:firstLine="470" w:firstLineChars="196"/>
              <w:jc w:val="left"/>
              <w:outlineLvl w:val="1"/>
              <w:rPr>
                <w:rFonts w:ascii="宋体"/>
                <w:sz w:val="24"/>
              </w:rPr>
            </w:pPr>
          </w:p>
        </w:tc>
        <w:tc>
          <w:tcPr>
            <w:tcW w:w="843"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c>
          <w:tcPr>
            <w:tcW w:w="1275" w:type="dxa"/>
            <w:vAlign w:val="center"/>
          </w:tcPr>
          <w:p>
            <w:pPr>
              <w:widowControl/>
              <w:spacing w:line="360" w:lineRule="atLeast"/>
              <w:ind w:firstLine="470" w:firstLineChars="196"/>
              <w:jc w:val="left"/>
              <w:outlineLvl w:val="1"/>
              <w:rPr>
                <w:rFonts w:ascii="宋体"/>
                <w:sz w:val="24"/>
              </w:rPr>
            </w:pPr>
          </w:p>
        </w:tc>
        <w:tc>
          <w:tcPr>
            <w:tcW w:w="1360" w:type="dxa"/>
            <w:vAlign w:val="center"/>
          </w:tcPr>
          <w:p>
            <w:pPr>
              <w:widowControl/>
              <w:spacing w:line="360" w:lineRule="atLeast"/>
              <w:ind w:firstLine="470" w:firstLineChars="196"/>
              <w:jc w:val="left"/>
              <w:outlineLvl w:val="1"/>
              <w:rPr>
                <w:rFonts w:ascii="宋体"/>
                <w:sz w:val="24"/>
              </w:rPr>
            </w:pPr>
          </w:p>
        </w:tc>
        <w:tc>
          <w:tcPr>
            <w:tcW w:w="888" w:type="dxa"/>
            <w:vAlign w:val="center"/>
          </w:tcPr>
          <w:p>
            <w:pPr>
              <w:widowControl/>
              <w:spacing w:line="360" w:lineRule="atLeast"/>
              <w:ind w:firstLine="470" w:firstLineChars="196"/>
              <w:jc w:val="left"/>
              <w:outlineLvl w:val="1"/>
              <w:rPr>
                <w:rFonts w:ascii="宋体"/>
                <w:sz w:val="24"/>
              </w:rPr>
            </w:pPr>
          </w:p>
        </w:tc>
        <w:tc>
          <w:tcPr>
            <w:tcW w:w="1212" w:type="dxa"/>
            <w:vAlign w:val="center"/>
          </w:tcPr>
          <w:p>
            <w:pPr>
              <w:widowControl/>
              <w:spacing w:line="360" w:lineRule="atLeast"/>
              <w:ind w:firstLine="470" w:firstLineChars="196"/>
              <w:jc w:val="left"/>
              <w:outlineLvl w:val="1"/>
              <w:rPr>
                <w:rFonts w:ascii="宋体"/>
                <w:sz w:val="24"/>
              </w:rPr>
            </w:pPr>
          </w:p>
        </w:tc>
        <w:tc>
          <w:tcPr>
            <w:tcW w:w="840" w:type="dxa"/>
            <w:vAlign w:val="center"/>
          </w:tcPr>
          <w:p>
            <w:pPr>
              <w:widowControl/>
              <w:spacing w:line="360" w:lineRule="atLeast"/>
              <w:ind w:firstLine="470" w:firstLineChars="196"/>
              <w:jc w:val="left"/>
              <w:outlineLvl w:val="1"/>
              <w:rPr>
                <w:rFonts w:ascii="宋体"/>
                <w:sz w:val="24"/>
              </w:rPr>
            </w:pPr>
          </w:p>
        </w:tc>
        <w:tc>
          <w:tcPr>
            <w:tcW w:w="841" w:type="dxa"/>
            <w:vAlign w:val="center"/>
          </w:tcPr>
          <w:p>
            <w:pPr>
              <w:widowControl/>
              <w:spacing w:line="360" w:lineRule="atLeast"/>
              <w:ind w:firstLine="470" w:firstLineChars="196"/>
              <w:jc w:val="left"/>
              <w:outlineLvl w:val="1"/>
              <w:rPr>
                <w:rFonts w:ascii="宋体"/>
                <w:sz w:val="24"/>
              </w:rPr>
            </w:pPr>
          </w:p>
        </w:tc>
        <w:tc>
          <w:tcPr>
            <w:tcW w:w="876" w:type="dxa"/>
            <w:vAlign w:val="center"/>
          </w:tcPr>
          <w:p>
            <w:pPr>
              <w:widowControl/>
              <w:spacing w:line="360" w:lineRule="atLeast"/>
              <w:ind w:firstLine="470" w:firstLineChars="196"/>
              <w:jc w:val="left"/>
              <w:outlineLvl w:val="1"/>
              <w:rPr>
                <w:rFonts w:ascii="宋体"/>
                <w:sz w:val="24"/>
              </w:rPr>
            </w:pPr>
          </w:p>
        </w:tc>
        <w:tc>
          <w:tcPr>
            <w:tcW w:w="843"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ascii="宋体"/>
                <w:sz w:val="24"/>
              </w:rPr>
            </w:pPr>
          </w:p>
        </w:tc>
        <w:tc>
          <w:tcPr>
            <w:tcW w:w="1275" w:type="dxa"/>
            <w:vAlign w:val="center"/>
          </w:tcPr>
          <w:p>
            <w:pPr>
              <w:widowControl/>
              <w:spacing w:line="360" w:lineRule="atLeast"/>
              <w:ind w:firstLine="470" w:firstLineChars="196"/>
              <w:jc w:val="left"/>
              <w:outlineLvl w:val="1"/>
              <w:rPr>
                <w:rFonts w:ascii="宋体"/>
                <w:sz w:val="24"/>
              </w:rPr>
            </w:pPr>
          </w:p>
        </w:tc>
        <w:tc>
          <w:tcPr>
            <w:tcW w:w="1360" w:type="dxa"/>
            <w:vAlign w:val="center"/>
          </w:tcPr>
          <w:p>
            <w:pPr>
              <w:widowControl/>
              <w:spacing w:line="360" w:lineRule="atLeast"/>
              <w:ind w:firstLine="470" w:firstLineChars="196"/>
              <w:jc w:val="left"/>
              <w:outlineLvl w:val="1"/>
              <w:rPr>
                <w:rFonts w:ascii="宋体"/>
                <w:sz w:val="24"/>
              </w:rPr>
            </w:pPr>
          </w:p>
        </w:tc>
        <w:tc>
          <w:tcPr>
            <w:tcW w:w="888" w:type="dxa"/>
            <w:vAlign w:val="center"/>
          </w:tcPr>
          <w:p>
            <w:pPr>
              <w:widowControl/>
              <w:spacing w:line="360" w:lineRule="atLeast"/>
              <w:ind w:firstLine="470" w:firstLineChars="196"/>
              <w:jc w:val="left"/>
              <w:outlineLvl w:val="1"/>
              <w:rPr>
                <w:rFonts w:ascii="宋体"/>
                <w:sz w:val="24"/>
              </w:rPr>
            </w:pPr>
          </w:p>
        </w:tc>
        <w:tc>
          <w:tcPr>
            <w:tcW w:w="1212" w:type="dxa"/>
            <w:vAlign w:val="center"/>
          </w:tcPr>
          <w:p>
            <w:pPr>
              <w:widowControl/>
              <w:spacing w:line="360" w:lineRule="atLeast"/>
              <w:ind w:firstLine="470" w:firstLineChars="196"/>
              <w:jc w:val="left"/>
              <w:outlineLvl w:val="1"/>
              <w:rPr>
                <w:rFonts w:ascii="宋体"/>
                <w:sz w:val="24"/>
              </w:rPr>
            </w:pPr>
          </w:p>
        </w:tc>
        <w:tc>
          <w:tcPr>
            <w:tcW w:w="840" w:type="dxa"/>
            <w:vAlign w:val="center"/>
          </w:tcPr>
          <w:p>
            <w:pPr>
              <w:widowControl/>
              <w:spacing w:line="360" w:lineRule="atLeast"/>
              <w:ind w:firstLine="470" w:firstLineChars="196"/>
              <w:jc w:val="left"/>
              <w:outlineLvl w:val="1"/>
              <w:rPr>
                <w:rFonts w:ascii="宋体"/>
                <w:sz w:val="24"/>
              </w:rPr>
            </w:pPr>
          </w:p>
        </w:tc>
        <w:tc>
          <w:tcPr>
            <w:tcW w:w="841" w:type="dxa"/>
            <w:vAlign w:val="center"/>
          </w:tcPr>
          <w:p>
            <w:pPr>
              <w:widowControl/>
              <w:spacing w:line="360" w:lineRule="atLeast"/>
              <w:ind w:firstLine="470" w:firstLineChars="196"/>
              <w:jc w:val="left"/>
              <w:outlineLvl w:val="1"/>
              <w:rPr>
                <w:rFonts w:ascii="宋体"/>
                <w:sz w:val="24"/>
              </w:rPr>
            </w:pPr>
          </w:p>
        </w:tc>
        <w:tc>
          <w:tcPr>
            <w:tcW w:w="876" w:type="dxa"/>
            <w:vAlign w:val="center"/>
          </w:tcPr>
          <w:p>
            <w:pPr>
              <w:widowControl/>
              <w:spacing w:line="360" w:lineRule="atLeast"/>
              <w:ind w:firstLine="470" w:firstLineChars="196"/>
              <w:jc w:val="left"/>
              <w:outlineLvl w:val="1"/>
              <w:rPr>
                <w:rFonts w:ascii="宋体"/>
                <w:sz w:val="24"/>
              </w:rPr>
            </w:pPr>
          </w:p>
        </w:tc>
        <w:tc>
          <w:tcPr>
            <w:tcW w:w="843"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outlineLvl w:val="1"/>
              <w:rPr>
                <w:rFonts w:ascii="宋体"/>
                <w:sz w:val="24"/>
              </w:rPr>
            </w:pPr>
          </w:p>
        </w:tc>
        <w:tc>
          <w:tcPr>
            <w:tcW w:w="1275" w:type="dxa"/>
            <w:vAlign w:val="center"/>
          </w:tcPr>
          <w:p>
            <w:pPr>
              <w:widowControl/>
              <w:spacing w:line="360" w:lineRule="atLeast"/>
              <w:ind w:firstLine="470" w:firstLineChars="196"/>
              <w:jc w:val="left"/>
              <w:outlineLvl w:val="1"/>
              <w:rPr>
                <w:rFonts w:ascii="宋体"/>
                <w:sz w:val="24"/>
              </w:rPr>
            </w:pPr>
          </w:p>
        </w:tc>
        <w:tc>
          <w:tcPr>
            <w:tcW w:w="1360" w:type="dxa"/>
            <w:vAlign w:val="center"/>
          </w:tcPr>
          <w:p>
            <w:pPr>
              <w:widowControl/>
              <w:spacing w:line="360" w:lineRule="atLeast"/>
              <w:ind w:firstLine="470" w:firstLineChars="196"/>
              <w:jc w:val="left"/>
              <w:outlineLvl w:val="1"/>
              <w:rPr>
                <w:rFonts w:ascii="宋体"/>
                <w:sz w:val="24"/>
              </w:rPr>
            </w:pPr>
          </w:p>
        </w:tc>
        <w:tc>
          <w:tcPr>
            <w:tcW w:w="888" w:type="dxa"/>
            <w:vAlign w:val="center"/>
          </w:tcPr>
          <w:p>
            <w:pPr>
              <w:widowControl/>
              <w:spacing w:line="360" w:lineRule="atLeast"/>
              <w:ind w:firstLine="470" w:firstLineChars="196"/>
              <w:jc w:val="left"/>
              <w:outlineLvl w:val="1"/>
              <w:rPr>
                <w:rFonts w:ascii="宋体"/>
                <w:sz w:val="24"/>
              </w:rPr>
            </w:pPr>
          </w:p>
        </w:tc>
        <w:tc>
          <w:tcPr>
            <w:tcW w:w="1212" w:type="dxa"/>
            <w:vAlign w:val="center"/>
          </w:tcPr>
          <w:p>
            <w:pPr>
              <w:widowControl/>
              <w:spacing w:line="360" w:lineRule="atLeast"/>
              <w:ind w:firstLine="470" w:firstLineChars="196"/>
              <w:jc w:val="left"/>
              <w:outlineLvl w:val="1"/>
              <w:rPr>
                <w:rFonts w:ascii="宋体"/>
                <w:sz w:val="24"/>
              </w:rPr>
            </w:pPr>
          </w:p>
        </w:tc>
        <w:tc>
          <w:tcPr>
            <w:tcW w:w="840" w:type="dxa"/>
            <w:vAlign w:val="center"/>
          </w:tcPr>
          <w:p>
            <w:pPr>
              <w:widowControl/>
              <w:spacing w:line="360" w:lineRule="atLeast"/>
              <w:ind w:firstLine="470" w:firstLineChars="196"/>
              <w:jc w:val="left"/>
              <w:outlineLvl w:val="1"/>
              <w:rPr>
                <w:rFonts w:ascii="宋体"/>
                <w:sz w:val="24"/>
              </w:rPr>
            </w:pPr>
          </w:p>
        </w:tc>
        <w:tc>
          <w:tcPr>
            <w:tcW w:w="841" w:type="dxa"/>
            <w:vAlign w:val="center"/>
          </w:tcPr>
          <w:p>
            <w:pPr>
              <w:widowControl/>
              <w:spacing w:line="360" w:lineRule="atLeast"/>
              <w:ind w:firstLine="470" w:firstLineChars="196"/>
              <w:jc w:val="left"/>
              <w:outlineLvl w:val="1"/>
              <w:rPr>
                <w:rFonts w:ascii="宋体"/>
                <w:sz w:val="24"/>
              </w:rPr>
            </w:pPr>
          </w:p>
        </w:tc>
        <w:tc>
          <w:tcPr>
            <w:tcW w:w="876" w:type="dxa"/>
            <w:vAlign w:val="center"/>
          </w:tcPr>
          <w:p>
            <w:pPr>
              <w:widowControl/>
              <w:spacing w:line="360" w:lineRule="atLeast"/>
              <w:ind w:firstLine="470" w:firstLineChars="196"/>
              <w:jc w:val="left"/>
              <w:outlineLvl w:val="1"/>
              <w:rPr>
                <w:rFonts w:ascii="宋体"/>
                <w:sz w:val="24"/>
              </w:rPr>
            </w:pPr>
          </w:p>
        </w:tc>
        <w:tc>
          <w:tcPr>
            <w:tcW w:w="843"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012" w:type="dxa"/>
            <w:gridSpan w:val="9"/>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sz w:val="24"/>
              </w:rPr>
            </w:pPr>
            <w:r>
              <w:rPr>
                <w:rFonts w:hint="eastAsia" w:ascii="宋体"/>
                <w:sz w:val="24"/>
              </w:rPr>
              <w:t>分项报价合计（元）：</w:t>
            </w:r>
            <w:r>
              <w:rPr>
                <w:rFonts w:hint="eastAsia" w:ascii="宋体"/>
                <w:sz w:val="24"/>
                <w:u w:val="single"/>
              </w:rPr>
              <w:t xml:space="preserve">            </w:t>
            </w:r>
            <w:r>
              <w:rPr>
                <w:rFonts w:hint="eastAsia" w:ascii="宋体"/>
                <w:sz w:val="24"/>
              </w:rPr>
              <w:t xml:space="preserve">   大写：</w:t>
            </w:r>
            <w:r>
              <w:rPr>
                <w:rFonts w:hint="eastAsia" w:ascii="宋体"/>
                <w:sz w:val="24"/>
                <w:u w:val="single"/>
              </w:rPr>
              <w:t xml:space="preserve">          </w:t>
            </w:r>
          </w:p>
        </w:tc>
      </w:tr>
    </w:tbl>
    <w:p>
      <w:pPr>
        <w:spacing w:line="520" w:lineRule="exact"/>
        <w:rPr>
          <w:rFonts w:ascii="宋体" w:hAnsi="宋体"/>
          <w:sz w:val="24"/>
        </w:rPr>
      </w:pPr>
      <w:r>
        <w:rPr>
          <w:rFonts w:hint="eastAsia" w:ascii="宋体" w:hAnsi="宋体"/>
          <w:sz w:val="24"/>
        </w:rPr>
        <w:t>注：</w:t>
      </w:r>
    </w:p>
    <w:p>
      <w:pPr>
        <w:spacing w:line="520" w:lineRule="exact"/>
        <w:ind w:left="1319" w:leftChars="228" w:hanging="840" w:hangingChars="350"/>
        <w:rPr>
          <w:rFonts w:ascii="宋体" w:hAnsi="宋体"/>
          <w:sz w:val="24"/>
        </w:rPr>
      </w:pPr>
      <w:r>
        <w:rPr>
          <w:rFonts w:hint="eastAsia" w:ascii="宋体" w:hAnsi="宋体"/>
          <w:sz w:val="24"/>
        </w:rPr>
        <w:t>1.以上表格格式行可增减。</w:t>
      </w:r>
    </w:p>
    <w:p>
      <w:pPr>
        <w:spacing w:line="520" w:lineRule="exact"/>
        <w:ind w:firstLine="480" w:firstLineChars="200"/>
        <w:rPr>
          <w:rFonts w:ascii="宋体" w:hAnsi="宋体"/>
          <w:sz w:val="24"/>
        </w:rPr>
      </w:pPr>
      <w:r>
        <w:rPr>
          <w:rFonts w:hint="eastAsia" w:ascii="宋体" w:hAnsi="宋体"/>
          <w:sz w:val="24"/>
        </w:rPr>
        <w:t>2.投标人必须按“</w:t>
      </w:r>
      <w:r>
        <w:rPr>
          <w:rFonts w:hint="eastAsia" w:ascii="宋体" w:hAnsi="宋体"/>
          <w:bCs/>
          <w:sz w:val="24"/>
        </w:rPr>
        <w:t>分项报价明细表”的格式及招标所需货物（含相关服务）（招标文件第六章）</w:t>
      </w:r>
      <w:r>
        <w:rPr>
          <w:rFonts w:hint="eastAsia" w:ascii="宋体" w:hAnsi="宋体"/>
          <w:sz w:val="24"/>
        </w:rPr>
        <w:t>详细报出各类货物及服务的价格，</w:t>
      </w:r>
      <w:r>
        <w:rPr>
          <w:rFonts w:hint="eastAsia" w:ascii="宋体" w:hAnsi="宋体"/>
          <w:bCs/>
          <w:sz w:val="24"/>
        </w:rPr>
        <w:t>不得漏报，否则视为投标人免费提供漏报货物及服务并承诺完全按照招标文件要求提供相关货物及服务，但不影响投标有效性。</w:t>
      </w:r>
    </w:p>
    <w:p>
      <w:pPr>
        <w:spacing w:line="520" w:lineRule="exact"/>
        <w:ind w:firstLine="480" w:firstLineChars="200"/>
        <w:rPr>
          <w:rFonts w:ascii="宋体" w:hAnsi="宋体"/>
          <w:sz w:val="24"/>
        </w:rPr>
      </w:pPr>
      <w:r>
        <w:rPr>
          <w:rFonts w:hint="eastAsia" w:ascii="宋体" w:hAnsi="宋体"/>
          <w:sz w:val="24"/>
        </w:rPr>
        <w:t>3.报价应是招标文件（相应包件）要求的全部货物及服务的最终报价，包括人工费、国内税费、培训等费用以及一切其它相关费用。</w:t>
      </w:r>
    </w:p>
    <w:p>
      <w:pPr>
        <w:widowControl/>
        <w:spacing w:line="360" w:lineRule="atLeast"/>
        <w:ind w:firstLine="470" w:firstLineChars="196"/>
        <w:jc w:val="left"/>
        <w:outlineLvl w:val="1"/>
        <w:rPr>
          <w:rFonts w:ascii="宋体" w:hAnsi="宋体"/>
          <w:sz w:val="24"/>
        </w:rPr>
      </w:pPr>
      <w:r>
        <w:rPr>
          <w:rFonts w:hint="eastAsia" w:ascii="宋体" w:hAnsi="宋体"/>
          <w:sz w:val="24"/>
        </w:rPr>
        <w:t>4.“分项报价明细表”</w:t>
      </w:r>
      <w:r>
        <w:rPr>
          <w:rFonts w:hint="eastAsia" w:ascii="宋体"/>
          <w:sz w:val="24"/>
        </w:rPr>
        <w:t xml:space="preserve"> 各分项报价</w:t>
      </w:r>
      <w:r>
        <w:rPr>
          <w:rFonts w:hint="eastAsia" w:ascii="宋体" w:hAnsi="宋体"/>
          <w:sz w:val="24"/>
        </w:rPr>
        <w:t>合计应当与“开标一览表”的报价合计相等。</w:t>
      </w:r>
    </w:p>
    <w:p>
      <w:pPr>
        <w:widowControl/>
        <w:spacing w:line="360" w:lineRule="atLeast"/>
        <w:ind w:firstLine="470" w:firstLineChars="196"/>
        <w:jc w:val="left"/>
        <w:outlineLvl w:val="1"/>
        <w:rPr>
          <w:rFonts w:ascii="宋体" w:hAnsi="宋体"/>
          <w:sz w:val="24"/>
        </w:rPr>
      </w:pPr>
      <w:bookmarkStart w:id="167" w:name="_Toc217446087"/>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b/>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b/>
          <w:sz w:val="32"/>
          <w:szCs w:val="32"/>
        </w:rPr>
      </w:pPr>
      <w:r>
        <w:rPr>
          <w:rFonts w:hint="eastAsia" w:ascii="宋体" w:hAnsi="宋体"/>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五、商务应答表</w:t>
      </w:r>
      <w:bookmarkEnd w:id="167"/>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8"/>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728"/>
        <w:gridCol w:w="268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0" w:type="dxa"/>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2728" w:type="dxa"/>
            <w:vAlign w:val="center"/>
          </w:tcPr>
          <w:p>
            <w:pPr>
              <w:widowControl/>
              <w:spacing w:line="360" w:lineRule="atLeast"/>
              <w:jc w:val="center"/>
              <w:outlineLvl w:val="1"/>
              <w:rPr>
                <w:rFonts w:ascii="宋体" w:hAnsi="宋体"/>
                <w:sz w:val="24"/>
              </w:rPr>
            </w:pPr>
            <w:r>
              <w:rPr>
                <w:rFonts w:hint="eastAsia" w:ascii="宋体" w:hAnsi="宋体"/>
                <w:sz w:val="24"/>
              </w:rPr>
              <w:t>招标要求</w:t>
            </w:r>
          </w:p>
        </w:tc>
        <w:tc>
          <w:tcPr>
            <w:tcW w:w="2683" w:type="dxa"/>
            <w:vAlign w:val="center"/>
          </w:tcPr>
          <w:p>
            <w:pPr>
              <w:widowControl/>
              <w:spacing w:line="360" w:lineRule="atLeast"/>
              <w:jc w:val="center"/>
              <w:outlineLvl w:val="1"/>
              <w:rPr>
                <w:rFonts w:ascii="宋体" w:hAnsi="宋体"/>
                <w:sz w:val="24"/>
              </w:rPr>
            </w:pPr>
            <w:r>
              <w:rPr>
                <w:rFonts w:hint="eastAsia" w:ascii="宋体" w:hAnsi="宋体"/>
                <w:sz w:val="24"/>
              </w:rPr>
              <w:t>投标应答</w:t>
            </w:r>
          </w:p>
        </w:tc>
        <w:tc>
          <w:tcPr>
            <w:tcW w:w="2237" w:type="dxa"/>
            <w:vAlign w:val="center"/>
          </w:tcPr>
          <w:p>
            <w:pPr>
              <w:widowControl/>
              <w:spacing w:line="360" w:lineRule="atLeast"/>
              <w:jc w:val="center"/>
              <w:outlineLvl w:val="1"/>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70" w:type="dxa"/>
            <w:vAlign w:val="center"/>
          </w:tcPr>
          <w:p>
            <w:pPr>
              <w:widowControl/>
              <w:spacing w:line="360" w:lineRule="atLeast"/>
              <w:jc w:val="center"/>
              <w:outlineLvl w:val="1"/>
              <w:rPr>
                <w:rFonts w:ascii="宋体" w:hAnsi="宋体"/>
                <w:sz w:val="24"/>
              </w:rPr>
            </w:pPr>
            <w:r>
              <w:rPr>
                <w:rFonts w:hint="eastAsia" w:ascii="宋体" w:hAnsi="宋体"/>
                <w:sz w:val="24"/>
              </w:rPr>
              <w:t>……</w:t>
            </w: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bl>
    <w:p>
      <w:pPr>
        <w:spacing w:line="400" w:lineRule="exact"/>
        <w:rPr>
          <w:rFonts w:ascii="宋体" w:hAnsi="宋体"/>
          <w:b/>
          <w:bCs/>
          <w:sz w:val="24"/>
        </w:rPr>
      </w:pPr>
      <w:r>
        <w:rPr>
          <w:rFonts w:hint="eastAsia" w:ascii="宋体" w:hAnsi="宋体"/>
          <w:sz w:val="24"/>
        </w:rPr>
        <w:t>注：</w:t>
      </w:r>
      <w:r>
        <w:rPr>
          <w:rFonts w:hint="eastAsia" w:ascii="宋体" w:hAnsi="宋体"/>
          <w:b/>
          <w:bCs/>
          <w:sz w:val="24"/>
        </w:rPr>
        <w:t>1、本表只填写投标文件中与招标文件有偏离（包括正偏离和负偏离）的内容，若投标文件中商务响应与招标文件要求完全一致的，则无须在此表中应答，视为默认完全响应和接受招标文件相应商务要求，投标人不得以未作应答而拒不接受。</w:t>
      </w:r>
    </w:p>
    <w:p>
      <w:pPr>
        <w:widowControl/>
        <w:spacing w:line="360" w:lineRule="atLeast"/>
        <w:ind w:firstLine="472" w:firstLineChars="196"/>
        <w:jc w:val="left"/>
        <w:outlineLvl w:val="1"/>
        <w:rPr>
          <w:rFonts w:ascii="宋体" w:hAnsi="宋体"/>
          <w:sz w:val="24"/>
        </w:rPr>
      </w:pPr>
      <w:bookmarkStart w:id="168" w:name="_Toc485222414"/>
      <w:bookmarkStart w:id="169" w:name="_Toc21274"/>
      <w:bookmarkStart w:id="170" w:name="_Toc2935"/>
      <w:r>
        <w:rPr>
          <w:rFonts w:hint="eastAsia" w:ascii="宋体" w:hAnsi="宋体"/>
          <w:b/>
          <w:bCs/>
          <w:sz w:val="24"/>
        </w:rPr>
        <w:t>2、投标人必须据实填写，不得虚假响应，否则将取消其投标或中标资格，并按有关规定进行处罚。</w:t>
      </w:r>
      <w:bookmarkEnd w:id="168"/>
      <w:bookmarkEnd w:id="169"/>
      <w:bookmarkEnd w:id="170"/>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b/>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sz w:val="24"/>
        </w:rPr>
        <w:br w:type="page"/>
      </w:r>
    </w:p>
    <w:p>
      <w:pPr>
        <w:widowControl/>
        <w:jc w:val="center"/>
        <w:rPr>
          <w:rFonts w:ascii="宋体" w:hAnsi="宋体"/>
          <w:b/>
          <w:sz w:val="32"/>
          <w:szCs w:val="32"/>
        </w:rPr>
      </w:pPr>
      <w:r>
        <w:rPr>
          <w:rFonts w:hint="eastAsia" w:ascii="宋体" w:hAnsi="宋体"/>
          <w:b/>
          <w:sz w:val="32"/>
          <w:szCs w:val="32"/>
        </w:rPr>
        <w:t>六、</w:t>
      </w:r>
      <w:bookmarkStart w:id="171" w:name="_Toc217446088"/>
      <w:r>
        <w:rPr>
          <w:rFonts w:hint="eastAsia" w:ascii="宋体" w:hAnsi="宋体"/>
          <w:b/>
          <w:sz w:val="32"/>
          <w:szCs w:val="32"/>
        </w:rPr>
        <w:t>投标人基本情况表</w:t>
      </w:r>
      <w:bookmarkEnd w:id="171"/>
    </w:p>
    <w:tbl>
      <w:tblPr>
        <w:tblStyle w:val="28"/>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投标人名称</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注册地址</w:t>
            </w:r>
          </w:p>
        </w:tc>
        <w:tc>
          <w:tcPr>
            <w:tcW w:w="3443" w:type="dxa"/>
            <w:gridSpan w:val="3"/>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jc w:val="left"/>
              <w:outlineLvl w:val="1"/>
              <w:rPr>
                <w:rFonts w:ascii="宋体" w:hAnsi="宋体"/>
                <w:sz w:val="24"/>
              </w:rPr>
            </w:pPr>
            <w:r>
              <w:rPr>
                <w:rFonts w:hint="eastAsia" w:ascii="宋体" w:hAnsi="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sz w:val="24"/>
              </w:rPr>
            </w:pPr>
            <w:r>
              <w:rPr>
                <w:rFonts w:hint="eastAsia" w:ascii="宋体" w:hAnsi="宋体"/>
                <w:sz w:val="24"/>
              </w:rPr>
              <w:t>联系方式</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联系人</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rPr>
            </w:pP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传真</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组织结构</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法定代表人</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技术负责人</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成立时间</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4497" w:type="dxa"/>
            <w:gridSpan w:val="5"/>
            <w:vAlign w:val="center"/>
          </w:tcPr>
          <w:p>
            <w:pPr>
              <w:widowControl/>
              <w:spacing w:line="360" w:lineRule="atLeast"/>
              <w:jc w:val="left"/>
              <w:outlineLvl w:val="1"/>
              <w:rPr>
                <w:rFonts w:ascii="宋体" w:hAnsi="宋体"/>
                <w:sz w:val="24"/>
              </w:rPr>
            </w:pPr>
            <w:r>
              <w:rPr>
                <w:rFonts w:hint="eastAsia" w:ascii="宋体"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restart"/>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其中</w:t>
            </w: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项目经理</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营业执照号</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高级职称人员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注册资金</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中级职称人员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开户银行</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初级职称人员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账号</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技工</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经营范围</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sz w:val="24"/>
              </w:rPr>
            </w:pPr>
            <w:r>
              <w:rPr>
                <w:rFonts w:hint="eastAsia" w:ascii="宋体" w:hAnsi="宋体"/>
                <w:sz w:val="24"/>
              </w:rPr>
              <w:t>备注</w:t>
            </w:r>
          </w:p>
        </w:tc>
        <w:tc>
          <w:tcPr>
            <w:tcW w:w="6693" w:type="dxa"/>
            <w:gridSpan w:val="7"/>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w:t>
      </w:r>
      <w:r>
        <w:rPr>
          <w:rFonts w:hint="eastAsia" w:ascii="宋体" w:hAnsi="宋体"/>
          <w:b/>
          <w:sz w:val="40"/>
          <w:szCs w:val="48"/>
          <w:u w:val="single"/>
        </w:rPr>
        <w:t xml:space="preserve">      </w:t>
      </w:r>
      <w:r>
        <w:rPr>
          <w:rFonts w:hint="eastAsia" w:ascii="宋体" w:hAnsi="宋体"/>
          <w:sz w:val="24"/>
        </w:rPr>
        <w:t>。</w:t>
      </w:r>
    </w:p>
    <w:p>
      <w:pPr>
        <w:spacing w:line="360" w:lineRule="auto"/>
        <w:rPr>
          <w:rFonts w:ascii="宋体" w:hAnsi="宋体"/>
          <w:b/>
          <w:sz w:val="32"/>
          <w:szCs w:val="32"/>
        </w:rPr>
      </w:pPr>
      <w:bookmarkStart w:id="172" w:name="_Toc217446089"/>
      <w:r>
        <w:rPr>
          <w:rFonts w:hint="eastAsia" w:ascii="宋体" w:hAnsi="宋体"/>
          <w:b/>
          <w:sz w:val="36"/>
          <w:szCs w:val="36"/>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七、类似项目业绩一览表</w:t>
      </w:r>
      <w:bookmarkEnd w:id="172"/>
    </w:p>
    <w:p>
      <w:pPr>
        <w:widowControl/>
        <w:spacing w:line="360" w:lineRule="atLeast"/>
        <w:ind w:firstLine="472" w:firstLineChars="196"/>
        <w:jc w:val="left"/>
        <w:outlineLvl w:val="1"/>
        <w:rPr>
          <w:rFonts w:ascii="宋体" w:hAnsi="宋体"/>
          <w:b/>
          <w:sz w:val="24"/>
        </w:rPr>
      </w:pPr>
    </w:p>
    <w:tbl>
      <w:tblPr>
        <w:tblStyle w:val="28"/>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9"/>
        <w:gridCol w:w="1919"/>
        <w:gridCol w:w="1759"/>
        <w:gridCol w:w="1547"/>
        <w:gridCol w:w="1553"/>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tcBorders>
              <w:top w:val="single" w:color="auto" w:sz="4" w:space="0"/>
            </w:tcBorders>
            <w:vAlign w:val="center"/>
          </w:tcPr>
          <w:p>
            <w:pPr>
              <w:widowControl/>
              <w:spacing w:line="360" w:lineRule="atLeast"/>
              <w:jc w:val="center"/>
              <w:outlineLvl w:val="1"/>
              <w:rPr>
                <w:rFonts w:ascii="宋体" w:hAnsi="宋体"/>
                <w:sz w:val="24"/>
              </w:rPr>
            </w:pPr>
            <w:r>
              <w:rPr>
                <w:rFonts w:hint="eastAsia" w:ascii="宋体" w:hAnsi="宋体"/>
                <w:sz w:val="24"/>
              </w:rPr>
              <w:t>年份</w:t>
            </w:r>
          </w:p>
        </w:tc>
        <w:tc>
          <w:tcPr>
            <w:tcW w:w="1919" w:type="dxa"/>
            <w:vAlign w:val="center"/>
          </w:tcPr>
          <w:p>
            <w:pPr>
              <w:widowControl/>
              <w:spacing w:line="360" w:lineRule="atLeast"/>
              <w:jc w:val="center"/>
              <w:outlineLvl w:val="1"/>
              <w:rPr>
                <w:rFonts w:ascii="宋体" w:hAnsi="宋体"/>
                <w:sz w:val="24"/>
              </w:rPr>
            </w:pPr>
            <w:r>
              <w:rPr>
                <w:rFonts w:hint="eastAsia" w:ascii="宋体" w:hAnsi="宋体"/>
                <w:sz w:val="24"/>
              </w:rPr>
              <w:t>用户名称</w:t>
            </w:r>
          </w:p>
        </w:tc>
        <w:tc>
          <w:tcPr>
            <w:tcW w:w="1759" w:type="dxa"/>
            <w:vAlign w:val="center"/>
          </w:tcPr>
          <w:p>
            <w:pPr>
              <w:widowControl/>
              <w:spacing w:line="360" w:lineRule="atLeast"/>
              <w:jc w:val="center"/>
              <w:outlineLvl w:val="1"/>
              <w:rPr>
                <w:rFonts w:ascii="宋体" w:hAnsi="宋体"/>
                <w:sz w:val="24"/>
              </w:rPr>
            </w:pPr>
            <w:r>
              <w:rPr>
                <w:rFonts w:hint="eastAsia" w:ascii="宋体" w:hAnsi="宋体"/>
                <w:sz w:val="24"/>
              </w:rPr>
              <w:t>项目名称</w:t>
            </w:r>
          </w:p>
        </w:tc>
        <w:tc>
          <w:tcPr>
            <w:tcW w:w="1547" w:type="dxa"/>
            <w:vAlign w:val="center"/>
          </w:tcPr>
          <w:p>
            <w:pPr>
              <w:widowControl/>
              <w:spacing w:line="360" w:lineRule="atLeast"/>
              <w:jc w:val="center"/>
              <w:outlineLvl w:val="1"/>
              <w:rPr>
                <w:rFonts w:ascii="宋体" w:hAnsi="宋体"/>
                <w:sz w:val="24"/>
              </w:rPr>
            </w:pPr>
            <w:r>
              <w:rPr>
                <w:rFonts w:hint="eastAsia" w:ascii="宋体" w:hAnsi="宋体"/>
                <w:sz w:val="24"/>
              </w:rPr>
              <w:t>完成时间</w:t>
            </w:r>
          </w:p>
        </w:tc>
        <w:tc>
          <w:tcPr>
            <w:tcW w:w="1553" w:type="dxa"/>
            <w:vAlign w:val="center"/>
          </w:tcPr>
          <w:p>
            <w:pPr>
              <w:widowControl/>
              <w:spacing w:line="360" w:lineRule="atLeast"/>
              <w:jc w:val="center"/>
              <w:outlineLvl w:val="1"/>
              <w:rPr>
                <w:rFonts w:ascii="宋体" w:hAnsi="宋体"/>
                <w:sz w:val="24"/>
              </w:rPr>
            </w:pPr>
            <w:r>
              <w:rPr>
                <w:rFonts w:hint="eastAsia" w:ascii="宋体" w:hAnsi="宋体"/>
                <w:sz w:val="24"/>
              </w:rPr>
              <w:t>合同金额</w:t>
            </w:r>
          </w:p>
        </w:tc>
        <w:tc>
          <w:tcPr>
            <w:tcW w:w="1322" w:type="dxa"/>
            <w:tcBorders>
              <w:left w:val="single" w:color="auto" w:sz="4" w:space="0"/>
            </w:tcBorders>
            <w:vAlign w:val="center"/>
          </w:tcPr>
          <w:p>
            <w:pPr>
              <w:widowControl/>
              <w:spacing w:line="360" w:lineRule="atLeast"/>
              <w:jc w:val="center"/>
              <w:outlineLvl w:val="1"/>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9" w:hRule="atLeast"/>
          <w:jc w:val="center"/>
        </w:trPr>
        <w:tc>
          <w:tcPr>
            <w:tcW w:w="95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7"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2" w:hRule="atLeast"/>
          <w:jc w:val="center"/>
        </w:trPr>
        <w:tc>
          <w:tcPr>
            <w:tcW w:w="95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注：以上业绩需提供招标文件要求的有关书面证明材料。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bookmarkStart w:id="173" w:name="_Toc217446090"/>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jc w:val="left"/>
        <w:outlineLvl w:val="1"/>
        <w:rPr>
          <w:rFonts w:ascii="宋体" w:hAnsi="宋体"/>
          <w:b/>
          <w:sz w:val="24"/>
        </w:rPr>
      </w:pPr>
    </w:p>
    <w:p>
      <w:pPr>
        <w:spacing w:line="360" w:lineRule="auto"/>
        <w:rPr>
          <w:rFonts w:ascii="宋体" w:hAnsi="宋体"/>
          <w:b/>
          <w:sz w:val="32"/>
          <w:szCs w:val="32"/>
        </w:rPr>
      </w:pPr>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八、技术应答表</w:t>
      </w:r>
      <w:bookmarkEnd w:id="173"/>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32"/>
          <w:u w:val="single"/>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317"/>
        <w:gridCol w:w="2126"/>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44" w:type="dxa"/>
            <w:vAlign w:val="center"/>
          </w:tcPr>
          <w:p>
            <w:pPr>
              <w:pStyle w:val="7"/>
              <w:tabs>
                <w:tab w:val="left" w:pos="6880"/>
              </w:tabs>
              <w:spacing w:line="360" w:lineRule="auto"/>
              <w:ind w:firstLine="0" w:firstLineChars="0"/>
              <w:rPr>
                <w:rFonts w:ascii="宋体" w:hAnsi="宋体" w:cs="宋体"/>
                <w:b/>
                <w:kern w:val="0"/>
                <w:sz w:val="24"/>
              </w:rPr>
            </w:pPr>
            <w:r>
              <w:rPr>
                <w:rFonts w:hint="eastAsia" w:ascii="宋体" w:hAnsi="宋体" w:cs="宋体"/>
                <w:b/>
                <w:kern w:val="0"/>
                <w:sz w:val="24"/>
              </w:rPr>
              <w:t>序号</w:t>
            </w:r>
          </w:p>
        </w:tc>
        <w:tc>
          <w:tcPr>
            <w:tcW w:w="2317" w:type="dxa"/>
            <w:vAlign w:val="center"/>
          </w:tcPr>
          <w:p>
            <w:pPr>
              <w:widowControl/>
              <w:spacing w:line="360" w:lineRule="atLeast"/>
              <w:jc w:val="center"/>
              <w:outlineLvl w:val="1"/>
              <w:rPr>
                <w:rFonts w:ascii="宋体"/>
                <w:b/>
                <w:sz w:val="24"/>
              </w:rPr>
            </w:pPr>
            <w:r>
              <w:rPr>
                <w:rFonts w:hint="eastAsia" w:ascii="宋体"/>
                <w:b/>
                <w:sz w:val="24"/>
              </w:rPr>
              <w:t>产品名称</w:t>
            </w:r>
          </w:p>
        </w:tc>
        <w:tc>
          <w:tcPr>
            <w:tcW w:w="2126" w:type="dxa"/>
            <w:vAlign w:val="center"/>
          </w:tcPr>
          <w:p>
            <w:pPr>
              <w:pStyle w:val="7"/>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招标文件要求</w:t>
            </w:r>
          </w:p>
        </w:tc>
        <w:tc>
          <w:tcPr>
            <w:tcW w:w="2835" w:type="dxa"/>
            <w:vAlign w:val="center"/>
          </w:tcPr>
          <w:p>
            <w:pPr>
              <w:pStyle w:val="7"/>
              <w:tabs>
                <w:tab w:val="left" w:pos="6880"/>
              </w:tabs>
              <w:spacing w:line="360" w:lineRule="auto"/>
              <w:ind w:firstLine="482"/>
              <w:jc w:val="center"/>
              <w:rPr>
                <w:rFonts w:ascii="宋体" w:hAnsi="宋体" w:cs="宋体"/>
                <w:b/>
                <w:kern w:val="0"/>
                <w:sz w:val="24"/>
              </w:rPr>
            </w:pPr>
            <w:r>
              <w:rPr>
                <w:rFonts w:hint="eastAsia" w:ascii="宋体" w:hAnsi="宋体" w:cs="宋体"/>
                <w:b/>
                <w:kern w:val="0"/>
                <w:sz w:val="24"/>
              </w:rPr>
              <w:t>投标产品技术参数</w:t>
            </w:r>
          </w:p>
        </w:tc>
        <w:tc>
          <w:tcPr>
            <w:tcW w:w="1418" w:type="dxa"/>
            <w:vAlign w:val="center"/>
          </w:tcPr>
          <w:p>
            <w:pPr>
              <w:pStyle w:val="7"/>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1</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2</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3</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4</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5</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bl>
    <w:p>
      <w:pPr>
        <w:spacing w:line="520" w:lineRule="exact"/>
        <w:jc w:val="left"/>
        <w:rPr>
          <w:rFonts w:ascii="宋体" w:hAnsi="宋体"/>
          <w:sz w:val="24"/>
        </w:rPr>
      </w:pPr>
      <w:r>
        <w:rPr>
          <w:rFonts w:hint="eastAsia" w:ascii="宋体" w:hAnsi="宋体"/>
          <w:sz w:val="24"/>
        </w:rPr>
        <w:t>注：1.以上表格格式行可增减。</w:t>
      </w:r>
    </w:p>
    <w:p>
      <w:pPr>
        <w:widowControl/>
        <w:spacing w:line="360" w:lineRule="atLeast"/>
        <w:ind w:firstLine="470" w:firstLineChars="196"/>
        <w:jc w:val="left"/>
        <w:outlineLvl w:val="1"/>
        <w:rPr>
          <w:rFonts w:ascii="宋体" w:hAnsi="宋体"/>
          <w:sz w:val="24"/>
        </w:rPr>
      </w:pPr>
      <w:r>
        <w:rPr>
          <w:rFonts w:hint="eastAsia" w:ascii="宋体" w:hAnsi="宋体"/>
          <w:sz w:val="24"/>
        </w:rPr>
        <w:t>2.按照招标项目技术要求的顺序对应填写。投标人必须据实填写，不得虚假响应，否则将取消其投标或中标资格。</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spacing w:line="360" w:lineRule="auto"/>
        <w:rPr>
          <w:rFonts w:ascii="宋体" w:hAnsi="宋体"/>
          <w:b/>
          <w:sz w:val="32"/>
          <w:szCs w:val="32"/>
        </w:rPr>
      </w:pPr>
      <w:bookmarkStart w:id="174" w:name="_Toc217446091"/>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九、投标人本项目管理、技术、服务人员情况表</w:t>
      </w:r>
      <w:bookmarkEnd w:id="174"/>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职务</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职称</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常住地</w:t>
            </w:r>
          </w:p>
        </w:tc>
        <w:tc>
          <w:tcPr>
            <w:tcW w:w="4412" w:type="dxa"/>
            <w:gridSpan w:val="4"/>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107" w:type="dxa"/>
            <w:vAlign w:val="center"/>
          </w:tcPr>
          <w:p>
            <w:pPr>
              <w:widowControl/>
              <w:spacing w:line="360" w:lineRule="atLeast"/>
              <w:jc w:val="center"/>
              <w:outlineLvl w:val="1"/>
              <w:rPr>
                <w:rFonts w:ascii="宋体" w:hAnsi="宋体"/>
                <w:sz w:val="24"/>
              </w:rPr>
            </w:pPr>
            <w:r>
              <w:rPr>
                <w:rFonts w:hint="eastAsia" w:ascii="宋体" w:hAnsi="宋体"/>
                <w:sz w:val="24"/>
              </w:rPr>
              <w:t>证书</w:t>
            </w:r>
          </w:p>
          <w:p>
            <w:pPr>
              <w:widowControl/>
              <w:spacing w:line="360" w:lineRule="atLeast"/>
              <w:jc w:val="center"/>
              <w:outlineLvl w:val="1"/>
              <w:rPr>
                <w:rFonts w:ascii="宋体" w:hAnsi="宋体"/>
                <w:sz w:val="24"/>
              </w:rPr>
            </w:pPr>
            <w:r>
              <w:rPr>
                <w:rFonts w:hint="eastAsia" w:ascii="宋体" w:hAnsi="宋体"/>
                <w:sz w:val="24"/>
              </w:rPr>
              <w:t>名称</w:t>
            </w:r>
          </w:p>
        </w:tc>
        <w:tc>
          <w:tcPr>
            <w:tcW w:w="1249" w:type="dxa"/>
            <w:vAlign w:val="center"/>
          </w:tcPr>
          <w:p>
            <w:pPr>
              <w:widowControl/>
              <w:spacing w:line="360" w:lineRule="atLeast"/>
              <w:jc w:val="center"/>
              <w:outlineLvl w:val="1"/>
              <w:rPr>
                <w:rFonts w:ascii="宋体" w:hAnsi="宋体"/>
                <w:sz w:val="24"/>
              </w:rPr>
            </w:pPr>
            <w:r>
              <w:rPr>
                <w:rFonts w:hint="eastAsia" w:ascii="宋体" w:hAnsi="宋体"/>
                <w:sz w:val="24"/>
              </w:rPr>
              <w:t>级别</w:t>
            </w:r>
          </w:p>
        </w:tc>
        <w:tc>
          <w:tcPr>
            <w:tcW w:w="1102" w:type="dxa"/>
            <w:vAlign w:val="center"/>
          </w:tcPr>
          <w:p>
            <w:pPr>
              <w:widowControl/>
              <w:spacing w:line="360" w:lineRule="atLeast"/>
              <w:jc w:val="center"/>
              <w:outlineLvl w:val="1"/>
              <w:rPr>
                <w:rFonts w:ascii="宋体" w:hAnsi="宋体"/>
                <w:sz w:val="24"/>
              </w:rPr>
            </w:pPr>
            <w:r>
              <w:rPr>
                <w:rFonts w:hint="eastAsia" w:ascii="宋体" w:hAnsi="宋体"/>
                <w:sz w:val="24"/>
              </w:rPr>
              <w:t>证号</w:t>
            </w:r>
          </w:p>
        </w:tc>
        <w:tc>
          <w:tcPr>
            <w:tcW w:w="954" w:type="dxa"/>
            <w:vAlign w:val="center"/>
          </w:tcPr>
          <w:p>
            <w:pPr>
              <w:widowControl/>
              <w:spacing w:line="360" w:lineRule="atLeast"/>
              <w:jc w:val="center"/>
              <w:outlineLvl w:val="1"/>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b/>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十、投标人诚信情况承诺函</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bCs/>
          <w:sz w:val="24"/>
        </w:rPr>
        <w:t xml:space="preserve">（采购代理机构）： </w:t>
      </w:r>
    </w:p>
    <w:p>
      <w:pPr>
        <w:spacing w:line="360" w:lineRule="auto"/>
        <w:rPr>
          <w:rFonts w:ascii="宋体" w:hAnsi="宋体"/>
          <w:sz w:val="24"/>
        </w:rPr>
      </w:pPr>
      <w:r>
        <w:rPr>
          <w:rFonts w:hint="eastAsia" w:ascii="宋体" w:hAnsi="宋体"/>
          <w:bCs/>
          <w:sz w:val="24"/>
        </w:rPr>
        <w:t xml:space="preserve">    本单位</w:t>
      </w:r>
      <w:r>
        <w:rPr>
          <w:rFonts w:hint="eastAsia" w:ascii="宋体" w:hAnsi="宋体"/>
          <w:bCs/>
          <w:sz w:val="24"/>
          <w:u w:val="single"/>
        </w:rPr>
        <w:t xml:space="preserve">                   </w:t>
      </w:r>
      <w:r>
        <w:rPr>
          <w:rFonts w:hint="eastAsia" w:ascii="宋体" w:hAnsi="宋体"/>
          <w:bCs/>
          <w:sz w:val="24"/>
        </w:rPr>
        <w:t>（投标人名称）参加“</w:t>
      </w:r>
      <w:r>
        <w:rPr>
          <w:rFonts w:hint="eastAsia" w:ascii="宋体" w:hAnsi="宋体"/>
          <w:bCs/>
          <w:sz w:val="24"/>
          <w:u w:val="single"/>
        </w:rPr>
        <w:t xml:space="preserve">                </w:t>
      </w:r>
      <w:r>
        <w:rPr>
          <w:rFonts w:hint="eastAsia" w:ascii="宋体" w:hAnsi="宋体"/>
          <w:bCs/>
          <w:sz w:val="24"/>
        </w:rPr>
        <w:t>”项目（项目编号：</w:t>
      </w:r>
      <w:r>
        <w:rPr>
          <w:rFonts w:hint="eastAsia" w:ascii="宋体" w:hAnsi="宋体"/>
          <w:bCs/>
          <w:sz w:val="24"/>
          <w:u w:val="single"/>
        </w:rPr>
        <w:t xml:space="preserve">                </w:t>
      </w:r>
      <w:r>
        <w:rPr>
          <w:rFonts w:hint="eastAsia" w:ascii="宋体" w:hAnsi="宋体"/>
          <w:bCs/>
          <w:sz w:val="24"/>
        </w:rPr>
        <w:t>）的政府采购活动，</w:t>
      </w:r>
      <w:r>
        <w:rPr>
          <w:rFonts w:hint="eastAsia" w:ascii="宋体" w:hAnsi="宋体"/>
          <w:sz w:val="24"/>
        </w:rPr>
        <w:t>现根据《</w:t>
      </w:r>
      <w:r>
        <w:rPr>
          <w:rFonts w:ascii="宋体" w:hAnsi="宋体"/>
          <w:sz w:val="24"/>
        </w:rPr>
        <w:t>四川省政府采购当事人诚信管理办法</w:t>
      </w:r>
      <w:r>
        <w:rPr>
          <w:rFonts w:hint="eastAsia" w:ascii="宋体" w:hAnsi="宋体"/>
          <w:sz w:val="24"/>
        </w:rPr>
        <w:t>》川财采〔2015〕33号的相关规定，针</w:t>
      </w:r>
      <w:r>
        <w:rPr>
          <w:rFonts w:hint="eastAsia" w:ascii="宋体" w:hAnsi="宋体"/>
          <w:bCs/>
          <w:sz w:val="24"/>
        </w:rPr>
        <w:t>对本单位的诚信情况作出以下承诺：</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我单位具有</w:t>
      </w:r>
      <w:r>
        <w:rPr>
          <w:rFonts w:hint="eastAsia" w:ascii="宋体" w:hAnsi="宋体"/>
          <w:sz w:val="24"/>
        </w:rPr>
        <w:t>《四川省政府采购当事人诚信管理办法》（川财采[2015]33号）所规定的失信行为</w:t>
      </w:r>
      <w:r>
        <w:rPr>
          <w:rFonts w:hint="eastAsia" w:ascii="宋体" w:hAnsi="宋体"/>
          <w:sz w:val="24"/>
          <w:u w:val="single"/>
        </w:rPr>
        <w:t xml:space="preserve">      </w:t>
      </w:r>
      <w:r>
        <w:rPr>
          <w:rFonts w:hint="eastAsia" w:ascii="宋体" w:hAnsi="宋体"/>
          <w:sz w:val="24"/>
        </w:rPr>
        <w:t>次（填写失信行为的次数时，建议使用大写数字，如零、壹、贰、叁、肆等。）；</w:t>
      </w:r>
      <w:r>
        <w:rPr>
          <w:rFonts w:hint="eastAsia" w:ascii="宋体" w:hAnsi="宋体"/>
          <w:bCs/>
          <w:sz w:val="24"/>
        </w:rPr>
        <w:t>（仅限投标截止当日仍在有效期的次数）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对以上填写信息的真实性负责。如有不实，本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注：</w:t>
      </w:r>
    </w:p>
    <w:p>
      <w:pPr>
        <w:rPr>
          <w:rFonts w:ascii="宋体" w:hAnsi="宋体"/>
          <w:bCs/>
          <w:sz w:val="24"/>
        </w:rPr>
      </w:pPr>
      <w:r>
        <w:rPr>
          <w:rFonts w:hint="eastAsia" w:ascii="宋体" w:hAnsi="宋体"/>
          <w:bCs/>
          <w:sz w:val="24"/>
        </w:rPr>
        <w:t>1、本表格式及内容仅供参考，投标人也可提供自己的格式；</w:t>
      </w:r>
    </w:p>
    <w:p>
      <w:pPr>
        <w:rPr>
          <w:rFonts w:ascii="宋体" w:hAnsi="宋体"/>
          <w:bCs/>
          <w:sz w:val="24"/>
        </w:rPr>
      </w:pPr>
      <w:r>
        <w:rPr>
          <w:rFonts w:hint="eastAsia" w:ascii="宋体" w:hAnsi="宋体"/>
          <w:bCs/>
          <w:sz w:val="24"/>
        </w:rPr>
        <w:t>2、投标人存在以上所述失信行为的，将按照</w:t>
      </w:r>
      <w:r>
        <w:rPr>
          <w:rFonts w:hint="eastAsia" w:ascii="宋体" w:hAnsi="宋体"/>
          <w:sz w:val="24"/>
        </w:rPr>
        <w:t>第二章投标人须知附表的要求进行处理；</w:t>
      </w:r>
    </w:p>
    <w:p>
      <w:pPr>
        <w:rPr>
          <w:rFonts w:ascii="宋体" w:hAnsi="宋体"/>
          <w:kern w:val="0"/>
          <w:sz w:val="24"/>
        </w:rPr>
      </w:pPr>
      <w:r>
        <w:rPr>
          <w:rFonts w:hint="eastAsia" w:ascii="宋体" w:hAnsi="宋体"/>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kern w:val="0"/>
          <w:sz w:val="24"/>
        </w:rPr>
        <w:t>确了有效期的，不再重复计算。</w:t>
      </w:r>
    </w:p>
    <w:p>
      <w:pPr>
        <w:rPr>
          <w:rFonts w:ascii="宋体" w:hAnsi="宋体"/>
          <w:bCs/>
          <w:sz w:val="24"/>
        </w:rPr>
      </w:pPr>
      <w:r>
        <w:rPr>
          <w:rFonts w:hint="eastAsia" w:ascii="宋体" w:hAnsi="宋体"/>
          <w:kern w:val="0"/>
          <w:sz w:val="24"/>
        </w:rPr>
        <w:t>4、</w:t>
      </w:r>
      <w:r>
        <w:rPr>
          <w:rFonts w:hint="eastAsia" w:ascii="宋体" w:hAnsi="宋体"/>
          <w:bCs/>
          <w:sz w:val="24"/>
        </w:rPr>
        <w:t>投标人的失信行为受到行政处罚或司法惩处的，评审时不再对其以价格加成进行惩戒。</w:t>
      </w:r>
    </w:p>
    <w:p>
      <w:pPr>
        <w:spacing w:line="360" w:lineRule="auto"/>
        <w:rPr>
          <w:rFonts w:ascii="宋体" w:hAnsi="宋体"/>
          <w:b/>
          <w:sz w:val="32"/>
          <w:szCs w:val="32"/>
        </w:rPr>
      </w:pPr>
      <w:r>
        <w:rPr>
          <w:rFonts w:hint="eastAsia" w:ascii="宋体" w:hAnsi="宋体"/>
          <w:bCs/>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十一、中小企业声明函</w:t>
      </w:r>
    </w:p>
    <w:p>
      <w:pPr>
        <w:spacing w:line="360" w:lineRule="auto"/>
        <w:ind w:firstLine="480" w:firstLineChars="200"/>
        <w:jc w:val="left"/>
        <w:rPr>
          <w:rFonts w:ascii="宋体" w:hAnsi="宋体"/>
          <w:sz w:val="24"/>
        </w:rPr>
      </w:pPr>
    </w:p>
    <w:p>
      <w:pPr>
        <w:pStyle w:val="11"/>
        <w:kinsoku w:val="0"/>
        <w:overflowPunct w:val="0"/>
        <w:spacing w:line="360" w:lineRule="auto"/>
        <w:ind w:firstLine="480" w:firstLineChars="200"/>
        <w:rPr>
          <w:rFonts w:hint="eastAsia" w:ascii="宋体" w:hAnsi="宋体"/>
          <w:sz w:val="24"/>
        </w:rPr>
      </w:pPr>
    </w:p>
    <w:p>
      <w:pPr>
        <w:pStyle w:val="11"/>
        <w:kinsoku w:val="0"/>
        <w:overflowPunct w:val="0"/>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w:t>
      </w:r>
      <w:r>
        <w:rPr>
          <w:rFonts w:ascii="宋体" w:hAnsi="宋体"/>
          <w:sz w:val="24"/>
        </w:rPr>
        <w:t>2020</w:t>
      </w:r>
      <w:r>
        <w:rPr>
          <w:rFonts w:hint="eastAsia" w:ascii="宋体" w:hAnsi="宋体"/>
          <w:sz w:val="24"/>
        </w:rPr>
        <w:t>﹞</w:t>
      </w:r>
      <w:r>
        <w:rPr>
          <w:rFonts w:ascii="宋体" w:hAnsi="宋体"/>
          <w:sz w:val="24"/>
        </w:rPr>
        <w:t>46</w:t>
      </w:r>
      <w:r>
        <w:rPr>
          <w:rFonts w:hint="eastAsia" w:ascii="宋体" w:hAnsi="宋体"/>
          <w:sz w:val="24"/>
        </w:rPr>
        <w:t>号）的规定，本公司（联合体）参加</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（单位名称）</w:t>
      </w:r>
      <w:r>
        <w:rPr>
          <w:rFonts w:hint="eastAsia" w:ascii="宋体" w:hAnsi="宋体"/>
          <w:spacing w:val="-16"/>
          <w:sz w:val="24"/>
        </w:rPr>
        <w:t>的</w:t>
      </w:r>
      <w:r>
        <w:rPr>
          <w:rFonts w:ascii="宋体" w:hAnsi="宋体"/>
          <w:sz w:val="24"/>
          <w:u w:val="single"/>
        </w:rPr>
        <w:tab/>
      </w:r>
      <w:r>
        <w:rPr>
          <w:rFonts w:ascii="宋体" w:hAnsi="宋体"/>
          <w:sz w:val="24"/>
          <w:u w:val="single"/>
        </w:rPr>
        <w:tab/>
      </w:r>
      <w:r>
        <w:rPr>
          <w:rFonts w:hint="eastAsia" w:ascii="宋体" w:hAnsi="宋体"/>
          <w:spacing w:val="-107"/>
          <w:sz w:val="24"/>
          <w:u w:val="single"/>
        </w:rPr>
        <w:t>（</w:t>
      </w:r>
      <w:r>
        <w:rPr>
          <w:rFonts w:hint="eastAsia" w:ascii="宋体" w:hAnsi="宋体"/>
          <w:sz w:val="24"/>
          <w:u w:val="single"/>
        </w:rPr>
        <w:t>项目名称）</w:t>
      </w:r>
      <w:r>
        <w:rPr>
          <w:rFonts w:hint="eastAsia" w:ascii="宋体" w:hAnsi="宋体"/>
          <w:sz w:val="24"/>
        </w:rPr>
        <w:t>采</w:t>
      </w:r>
      <w:r>
        <w:rPr>
          <w:rFonts w:hint="eastAsia" w:ascii="宋体" w:hAnsi="宋体"/>
          <w:spacing w:val="2"/>
          <w:sz w:val="24"/>
        </w:rPr>
        <w:t>购</w:t>
      </w:r>
      <w:r>
        <w:rPr>
          <w:rFonts w:hint="eastAsia" w:ascii="宋体" w:hAnsi="宋体"/>
          <w:sz w:val="24"/>
        </w:rPr>
        <w:t>活</w:t>
      </w:r>
      <w:r>
        <w:rPr>
          <w:rFonts w:hint="eastAsia" w:ascii="宋体" w:hAnsi="宋体"/>
          <w:spacing w:val="2"/>
          <w:sz w:val="24"/>
        </w:rPr>
        <w:t>动</w:t>
      </w:r>
      <w:r>
        <w:rPr>
          <w:rFonts w:hint="eastAsia" w:ascii="宋体" w:hAnsi="宋体"/>
          <w:spacing w:val="-3"/>
          <w:sz w:val="24"/>
        </w:rPr>
        <w:t>，</w:t>
      </w:r>
      <w:r>
        <w:rPr>
          <w:rFonts w:hint="eastAsia" w:ascii="宋体" w:hAnsi="宋体"/>
          <w:sz w:val="24"/>
        </w:rPr>
        <w:t>提供的货物全部由符合政策要求的中小企业制造。相关企业（含联合体中的中小企业、签订分包意向协议的中小企业）的具体情况如下：</w:t>
      </w:r>
    </w:p>
    <w:p>
      <w:pPr>
        <w:pStyle w:val="11"/>
        <w:kinsoku w:val="0"/>
        <w:overflowPunct w:val="0"/>
        <w:spacing w:line="360" w:lineRule="auto"/>
        <w:ind w:firstLine="456" w:firstLineChars="200"/>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hint="eastAsia" w:ascii="宋体" w:hAnsi="宋体"/>
          <w:sz w:val="24"/>
          <w:u w:val="single"/>
        </w:rPr>
        <w:t>（标的名称），属于</w:t>
      </w:r>
      <w:r>
        <w:rPr>
          <w:rFonts w:ascii="宋体" w:hAnsi="宋体"/>
          <w:sz w:val="24"/>
          <w:u w:val="single"/>
        </w:rPr>
        <w:tab/>
      </w:r>
      <w:r>
        <w:rPr>
          <w:rFonts w:ascii="宋体" w:hAnsi="宋体"/>
          <w:sz w:val="24"/>
          <w:u w:val="single"/>
        </w:rPr>
        <w:tab/>
      </w:r>
      <w:r>
        <w:rPr>
          <w:rFonts w:hint="eastAsia" w:ascii="宋体" w:hAnsi="宋体"/>
          <w:sz w:val="24"/>
          <w:u w:val="single"/>
        </w:rPr>
        <w:t>（采购文件中明确的所属行业）行业</w:t>
      </w:r>
      <w:r>
        <w:rPr>
          <w:rFonts w:hint="eastAsia" w:ascii="宋体" w:hAnsi="宋体"/>
          <w:sz w:val="24"/>
        </w:rPr>
        <w:t>；制造商为</w:t>
      </w:r>
      <w:r>
        <w:rPr>
          <w:rFonts w:ascii="宋体" w:hAnsi="宋体"/>
          <w:sz w:val="24"/>
          <w:u w:val="single"/>
        </w:rPr>
        <w:tab/>
      </w:r>
      <w:r>
        <w:rPr>
          <w:rFonts w:ascii="宋体" w:hAnsi="宋体"/>
          <w:sz w:val="24"/>
          <w:u w:val="single"/>
        </w:rPr>
        <w:tab/>
      </w:r>
      <w:r>
        <w:rPr>
          <w:rFonts w:hint="eastAsia" w:ascii="宋体" w:hAnsi="宋体"/>
          <w:sz w:val="24"/>
          <w:u w:val="single"/>
        </w:rPr>
        <w:t>（企业名称）</w:t>
      </w:r>
      <w:r>
        <w:rPr>
          <w:rFonts w:hint="eastAsia" w:ascii="宋体" w:hAnsi="宋体"/>
          <w:sz w:val="24"/>
        </w:rPr>
        <w:t>，从业人员</w:t>
      </w:r>
      <w:r>
        <w:rPr>
          <w:rFonts w:ascii="宋体" w:hAnsi="宋体"/>
          <w:sz w:val="24"/>
          <w:u w:val="single"/>
        </w:rPr>
        <w:tab/>
      </w:r>
      <w:r>
        <w:rPr>
          <w:rFonts w:hint="eastAsia" w:ascii="宋体" w:hAnsi="宋体"/>
          <w:sz w:val="24"/>
        </w:rPr>
        <w:t>人，营业收入为</w:t>
      </w:r>
      <w:r>
        <w:rPr>
          <w:rFonts w:ascii="宋体" w:hAnsi="宋体"/>
          <w:sz w:val="24"/>
          <w:u w:val="single"/>
        </w:rPr>
        <w:tab/>
      </w:r>
      <w:r>
        <w:rPr>
          <w:rFonts w:ascii="宋体" w:hAnsi="宋体"/>
          <w:sz w:val="24"/>
          <w:u w:val="single"/>
        </w:rPr>
        <w:tab/>
      </w:r>
      <w:r>
        <w:rPr>
          <w:rFonts w:hint="eastAsia" w:ascii="宋体" w:hAnsi="宋体"/>
          <w:sz w:val="24"/>
        </w:rPr>
        <w:t>万元，资产总额为</w:t>
      </w:r>
      <w:r>
        <w:rPr>
          <w:rFonts w:ascii="宋体" w:hAnsi="宋体"/>
          <w:sz w:val="24"/>
          <w:u w:val="single"/>
        </w:rPr>
        <w:tab/>
      </w:r>
      <w:r>
        <w:rPr>
          <w:rFonts w:hint="eastAsia" w:ascii="宋体" w:hAnsi="宋体"/>
          <w:sz w:val="24"/>
        </w:rPr>
        <w:t>万元，属于</w:t>
      </w:r>
      <w:r>
        <w:rPr>
          <w:rFonts w:ascii="宋体" w:hAnsi="宋体"/>
          <w:sz w:val="24"/>
          <w:u w:val="single"/>
        </w:rPr>
        <w:tab/>
      </w:r>
      <w:r>
        <w:rPr>
          <w:rFonts w:ascii="宋体" w:hAnsi="宋体"/>
          <w:sz w:val="24"/>
          <w:u w:val="single"/>
        </w:rPr>
        <w:tab/>
      </w:r>
      <w:r>
        <w:rPr>
          <w:rFonts w:hint="eastAsia" w:ascii="宋体" w:hAnsi="宋体"/>
          <w:sz w:val="24"/>
          <w:u w:val="single"/>
        </w:rPr>
        <w:t>（中型企业、小</w:t>
      </w:r>
      <w:r>
        <w:rPr>
          <w:rFonts w:ascii="宋体" w:hAnsi="宋体"/>
          <w:sz w:val="24"/>
          <w:u w:val="single"/>
        </w:rPr>
        <w:t xml:space="preserve"> </w:t>
      </w:r>
      <w:r>
        <w:rPr>
          <w:rFonts w:hint="eastAsia" w:ascii="宋体" w:hAnsi="宋体"/>
          <w:sz w:val="24"/>
          <w:u w:val="single"/>
        </w:rPr>
        <w:t>型企业、微型企业）</w:t>
      </w:r>
      <w:r>
        <w:rPr>
          <w:rFonts w:hint="eastAsia" w:ascii="宋体" w:hAnsi="宋体"/>
          <w:sz w:val="24"/>
        </w:rPr>
        <w:t>；</w:t>
      </w:r>
    </w:p>
    <w:p>
      <w:pPr>
        <w:pStyle w:val="11"/>
        <w:kinsoku w:val="0"/>
        <w:overflowPunct w:val="0"/>
        <w:spacing w:line="360" w:lineRule="auto"/>
        <w:ind w:firstLine="480" w:firstLineChars="20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hint="eastAsia" w:ascii="宋体" w:hAnsi="宋体"/>
          <w:sz w:val="24"/>
          <w:u w:val="single"/>
        </w:rPr>
        <w:t>（标的名称）</w:t>
      </w:r>
      <w:r>
        <w:rPr>
          <w:rFonts w:hint="eastAsia" w:ascii="宋体" w:hAnsi="宋体"/>
          <w:sz w:val="24"/>
        </w:rPr>
        <w:t>，属于</w:t>
      </w:r>
      <w:r>
        <w:rPr>
          <w:rFonts w:ascii="宋体" w:hAnsi="宋体"/>
          <w:sz w:val="24"/>
          <w:u w:val="single"/>
        </w:rPr>
        <w:tab/>
      </w:r>
      <w:r>
        <w:rPr>
          <w:rFonts w:ascii="宋体" w:hAnsi="宋体"/>
          <w:sz w:val="24"/>
          <w:u w:val="single"/>
        </w:rPr>
        <w:tab/>
      </w:r>
      <w:r>
        <w:rPr>
          <w:rFonts w:hint="eastAsia" w:ascii="宋体" w:hAnsi="宋体"/>
          <w:sz w:val="24"/>
          <w:u w:val="single"/>
        </w:rPr>
        <w:t>（采购文件中明确的所属行业）行业</w:t>
      </w:r>
      <w:r>
        <w:rPr>
          <w:rFonts w:hint="eastAsia" w:ascii="宋体" w:hAnsi="宋体"/>
          <w:sz w:val="24"/>
        </w:rPr>
        <w:t>；制造商为</w:t>
      </w:r>
      <w:r>
        <w:rPr>
          <w:rFonts w:ascii="宋体" w:hAnsi="宋体"/>
          <w:sz w:val="24"/>
          <w:u w:val="single"/>
        </w:rPr>
        <w:tab/>
      </w:r>
      <w:r>
        <w:rPr>
          <w:rFonts w:ascii="宋体" w:hAnsi="宋体"/>
          <w:sz w:val="24"/>
          <w:u w:val="single"/>
        </w:rPr>
        <w:tab/>
      </w:r>
      <w:r>
        <w:rPr>
          <w:rFonts w:hint="eastAsia" w:ascii="宋体" w:hAnsi="宋体"/>
          <w:sz w:val="24"/>
          <w:u w:val="single"/>
        </w:rPr>
        <w:t>（企业名称</w:t>
      </w:r>
      <w:r>
        <w:rPr>
          <w:rFonts w:hint="eastAsia" w:ascii="宋体" w:hAnsi="宋体"/>
          <w:sz w:val="24"/>
        </w:rPr>
        <w:t>），从业人员</w:t>
      </w:r>
      <w:r>
        <w:rPr>
          <w:rFonts w:ascii="宋体" w:hAnsi="宋体"/>
          <w:sz w:val="24"/>
          <w:u w:val="single"/>
        </w:rPr>
        <w:tab/>
      </w:r>
      <w:r>
        <w:rPr>
          <w:rFonts w:hint="eastAsia" w:ascii="宋体" w:hAnsi="宋体"/>
          <w:sz w:val="24"/>
        </w:rPr>
        <w:t>人，营业收入为</w:t>
      </w:r>
      <w:r>
        <w:rPr>
          <w:rFonts w:ascii="宋体" w:hAnsi="宋体"/>
          <w:sz w:val="24"/>
          <w:u w:val="single"/>
        </w:rPr>
        <w:tab/>
      </w:r>
      <w:r>
        <w:rPr>
          <w:rFonts w:ascii="宋体" w:hAnsi="宋体"/>
          <w:sz w:val="24"/>
          <w:u w:val="single"/>
        </w:rPr>
        <w:tab/>
      </w:r>
      <w:r>
        <w:rPr>
          <w:rFonts w:hint="eastAsia" w:ascii="宋体" w:hAnsi="宋体"/>
          <w:sz w:val="24"/>
        </w:rPr>
        <w:t>万元，资产总额为</w:t>
      </w:r>
      <w:r>
        <w:rPr>
          <w:rFonts w:ascii="宋体" w:hAnsi="宋体"/>
          <w:sz w:val="24"/>
          <w:u w:val="single"/>
        </w:rPr>
        <w:tab/>
      </w:r>
      <w:r>
        <w:rPr>
          <w:rFonts w:hint="eastAsia" w:ascii="宋体" w:hAnsi="宋体"/>
          <w:sz w:val="24"/>
        </w:rPr>
        <w:t>万元，属于</w:t>
      </w:r>
      <w:r>
        <w:rPr>
          <w:rFonts w:ascii="宋体" w:hAnsi="宋体"/>
          <w:sz w:val="24"/>
          <w:u w:val="single"/>
        </w:rPr>
        <w:tab/>
      </w:r>
      <w:r>
        <w:rPr>
          <w:rFonts w:ascii="宋体" w:hAnsi="宋体"/>
          <w:sz w:val="24"/>
          <w:u w:val="single"/>
        </w:rPr>
        <w:tab/>
      </w:r>
      <w:r>
        <w:rPr>
          <w:rFonts w:hint="eastAsia" w:ascii="宋体" w:hAnsi="宋体"/>
          <w:sz w:val="24"/>
          <w:u w:val="single"/>
        </w:rPr>
        <w:t>（中型企</w:t>
      </w:r>
      <w:bookmarkStart w:id="213" w:name="_GoBack"/>
      <w:bookmarkEnd w:id="213"/>
      <w:r>
        <w:rPr>
          <w:rFonts w:hint="eastAsia" w:ascii="宋体" w:hAnsi="宋体"/>
          <w:sz w:val="24"/>
          <w:u w:val="single"/>
        </w:rPr>
        <w:t>业、小</w:t>
      </w:r>
      <w:r>
        <w:rPr>
          <w:rFonts w:ascii="宋体" w:hAnsi="宋体"/>
          <w:sz w:val="24"/>
          <w:u w:val="single"/>
        </w:rPr>
        <w:t xml:space="preserve"> </w:t>
      </w:r>
      <w:r>
        <w:rPr>
          <w:rFonts w:hint="eastAsia" w:ascii="宋体" w:hAnsi="宋体"/>
          <w:sz w:val="24"/>
          <w:u w:val="single"/>
        </w:rPr>
        <w:t>型企业、微型企业）</w:t>
      </w:r>
      <w:r>
        <w:rPr>
          <w:rFonts w:hint="eastAsia" w:ascii="宋体" w:hAnsi="宋体"/>
          <w:sz w:val="24"/>
        </w:rPr>
        <w:t>；</w:t>
      </w:r>
    </w:p>
    <w:p>
      <w:pPr>
        <w:pStyle w:val="11"/>
        <w:kinsoku w:val="0"/>
        <w:overflowPunct w:val="0"/>
        <w:spacing w:line="360" w:lineRule="auto"/>
        <w:ind w:firstLine="480" w:firstLineChars="200"/>
        <w:rPr>
          <w:rFonts w:ascii="宋体" w:hAnsi="宋体"/>
          <w:sz w:val="24"/>
        </w:rPr>
      </w:pPr>
      <w:r>
        <w:rPr>
          <w:rFonts w:hint="eastAsia" w:ascii="宋体" w:hAnsi="宋体"/>
          <w:sz w:val="24"/>
        </w:rPr>
        <w:t>……</w:t>
      </w:r>
    </w:p>
    <w:p>
      <w:pPr>
        <w:pStyle w:val="11"/>
        <w:kinsoku w:val="0"/>
        <w:overflowPunct w:val="0"/>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1"/>
        <w:kinsoku w:val="0"/>
        <w:overflowPunct w:val="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spacing w:line="360" w:lineRule="auto"/>
        <w:ind w:firstLine="480" w:firstLineChars="200"/>
        <w:jc w:val="left"/>
        <w:rPr>
          <w:rFonts w:ascii="宋体" w:hAnsi="宋体"/>
          <w:sz w:val="24"/>
        </w:rPr>
      </w:pPr>
    </w:p>
    <w:p>
      <w:pPr>
        <w:pStyle w:val="11"/>
        <w:kinsoku w:val="0"/>
        <w:overflowPunct w:val="0"/>
        <w:spacing w:line="419" w:lineRule="exact"/>
        <w:ind w:firstLine="480" w:firstLineChars="200"/>
        <w:rPr>
          <w:rFonts w:ascii="宋体" w:hAnsi="宋体"/>
          <w:sz w:val="24"/>
        </w:rPr>
      </w:pPr>
      <w:r>
        <w:rPr>
          <w:rFonts w:hint="eastAsia" w:ascii="宋体" w:hAnsi="宋体"/>
          <w:sz w:val="24"/>
        </w:rPr>
        <w:t>企业名称（盖章）：_________________</w:t>
      </w:r>
    </w:p>
    <w:p>
      <w:pPr>
        <w:pStyle w:val="11"/>
        <w:kinsoku w:val="0"/>
        <w:overflowPunct w:val="0"/>
        <w:spacing w:line="419" w:lineRule="exact"/>
        <w:ind w:firstLine="480" w:firstLineChars="200"/>
        <w:rPr>
          <w:rFonts w:ascii="宋体" w:hAnsi="宋体"/>
          <w:sz w:val="24"/>
        </w:rPr>
      </w:pPr>
      <w:r>
        <w:rPr>
          <w:rFonts w:hint="eastAsia" w:ascii="宋体" w:hAnsi="宋体"/>
          <w:sz w:val="24"/>
        </w:rPr>
        <w:t>日期：_________________</w:t>
      </w:r>
    </w:p>
    <w:p>
      <w:pPr>
        <w:spacing w:line="360" w:lineRule="auto"/>
        <w:ind w:firstLine="480" w:firstLineChars="200"/>
        <w:jc w:val="left"/>
        <w:rPr>
          <w:rFonts w:ascii="宋体" w:hAnsi="宋体"/>
          <w:sz w:val="24"/>
        </w:rPr>
      </w:pPr>
    </w:p>
    <w:p>
      <w:pPr>
        <w:spacing w:line="360" w:lineRule="auto"/>
        <w:rPr>
          <w:rFonts w:ascii="宋体" w:hAnsi="宋体"/>
          <w:b/>
          <w:sz w:val="32"/>
          <w:szCs w:val="32"/>
        </w:rPr>
      </w:pPr>
      <w:bookmarkStart w:id="175" w:name="_Toc28495"/>
      <w:r>
        <w:rPr>
          <w:rFonts w:hint="eastAsia" w:ascii="宋体" w:hAnsi="宋体" w:cs="宋体"/>
          <w:sz w:val="24"/>
        </w:rPr>
        <w:br w:type="page"/>
      </w:r>
    </w:p>
    <w:p>
      <w:pPr>
        <w:jc w:val="center"/>
        <w:rPr>
          <w:rFonts w:ascii="宋体" w:hAnsi="宋体"/>
          <w:b/>
          <w:sz w:val="32"/>
          <w:szCs w:val="32"/>
        </w:rPr>
      </w:pPr>
      <w:r>
        <w:rPr>
          <w:rFonts w:hint="eastAsia" w:ascii="宋体" w:hAnsi="宋体"/>
          <w:b/>
          <w:sz w:val="32"/>
          <w:szCs w:val="32"/>
        </w:rPr>
        <w:t>十二、</w:t>
      </w:r>
      <w:bookmarkStart w:id="176" w:name="OLE_LINK14"/>
      <w:bookmarkStart w:id="177" w:name="OLE_LINK13"/>
      <w:r>
        <w:rPr>
          <w:rFonts w:hint="eastAsia" w:ascii="宋体" w:hAnsi="宋体"/>
          <w:b/>
          <w:sz w:val="32"/>
          <w:szCs w:val="32"/>
        </w:rPr>
        <w:t>残疾人福利性单位声明函</w:t>
      </w:r>
    </w:p>
    <w:bookmarkEnd w:id="176"/>
    <w:bookmarkEnd w:id="177"/>
    <w:p>
      <w:pPr>
        <w:spacing w:line="588" w:lineRule="exact"/>
        <w:rPr>
          <w:rFonts w:ascii="宋体" w:hAnsi="宋体" w:cs="宋体"/>
          <w:b/>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widowControl/>
        <w:spacing w:line="360" w:lineRule="atLeast"/>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rPr>
          <w:rFonts w:ascii="宋体" w:hAnsi="宋体" w:cs="宋体"/>
          <w:spacing w:val="6"/>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2"/>
        </w:numPr>
        <w:spacing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60" w:lineRule="auto"/>
        <w:rPr>
          <w:rFonts w:ascii="宋体" w:hAnsi="宋体" w:cs="宋体"/>
          <w:sz w:val="24"/>
        </w:rPr>
      </w:pPr>
      <w:r>
        <w:rPr>
          <w:rFonts w:hint="eastAsia" w:ascii="宋体" w:hAnsi="宋体" w:cs="宋体"/>
          <w:sz w:val="24"/>
        </w:rPr>
        <w:t>投标人为非残疾人福利性单位的，可不提供此声明。</w:t>
      </w:r>
    </w:p>
    <w:p>
      <w:pPr>
        <w:widowControl/>
        <w:jc w:val="left"/>
        <w:rPr>
          <w:rFonts w:ascii="宋体" w:cs="宋体"/>
          <w:color w:val="000000"/>
          <w:kern w:val="0"/>
          <w:sz w:val="24"/>
        </w:rPr>
      </w:pPr>
      <w:r>
        <w:br w:type="page"/>
      </w:r>
    </w:p>
    <w:p>
      <w:pPr>
        <w:autoSpaceDE w:val="0"/>
        <w:autoSpaceDN w:val="0"/>
        <w:adjustRightInd w:val="0"/>
        <w:jc w:val="center"/>
        <w:rPr>
          <w:rFonts w:ascii="宋体" w:hAnsi="宋体"/>
          <w:b/>
          <w:spacing w:val="6"/>
          <w:sz w:val="32"/>
          <w:szCs w:val="32"/>
        </w:rPr>
      </w:pPr>
      <w:r>
        <w:rPr>
          <w:rFonts w:hint="eastAsia" w:ascii="宋体" w:hAnsi="宋体"/>
          <w:b/>
          <w:sz w:val="32"/>
          <w:szCs w:val="32"/>
        </w:rPr>
        <w:t>十三、</w:t>
      </w:r>
      <w:r>
        <w:rPr>
          <w:rFonts w:hint="eastAsia" w:ascii="宋体" w:hAnsi="宋体"/>
          <w:b/>
          <w:spacing w:val="6"/>
          <w:sz w:val="32"/>
          <w:szCs w:val="32"/>
        </w:rPr>
        <w:t>监狱企业证明材料</w:t>
      </w:r>
    </w:p>
    <w:p>
      <w:pPr>
        <w:pStyle w:val="2"/>
      </w:pPr>
    </w:p>
    <w:p>
      <w:pPr>
        <w:spacing w:line="360" w:lineRule="auto"/>
        <w:ind w:firstLine="480" w:firstLineChars="200"/>
        <w:jc w:val="left"/>
        <w:rPr>
          <w:rFonts w:ascii="宋体" w:hAnsi="宋体"/>
          <w:b/>
          <w:sz w:val="32"/>
          <w:szCs w:val="32"/>
        </w:rPr>
      </w:pPr>
      <w:r>
        <w:rPr>
          <w:rFonts w:hint="eastAsia" w:ascii="宋体" w:hAnsi="宋体" w:cs="宋体"/>
          <w:sz w:val="24"/>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b/>
          <w:sz w:val="32"/>
          <w:szCs w:val="32"/>
        </w:rPr>
      </w:pPr>
      <w:r>
        <w:rPr>
          <w:rFonts w:hint="eastAsia" w:ascii="宋体" w:hAnsi="宋体" w:cs="宋体"/>
          <w:sz w:val="24"/>
        </w:rPr>
        <w:t>注：在政府采购活动中，监狱企业视同小型、微型企业，享受预留份额、评审中价格扣除等政府采购促进中小企业发展的政府采购政策。</w:t>
      </w:r>
    </w:p>
    <w:p>
      <w:pPr>
        <w:spacing w:line="360" w:lineRule="auto"/>
        <w:jc w:val="center"/>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十四、关于采购代理服务费的支付承诺</w:t>
      </w:r>
    </w:p>
    <w:p>
      <w:pPr>
        <w:widowControl/>
        <w:spacing w:line="360" w:lineRule="auto"/>
        <w:jc w:val="left"/>
        <w:outlineLvl w:val="1"/>
        <w:rPr>
          <w:rFonts w:ascii="宋体" w:hAnsi="宋体"/>
          <w:sz w:val="24"/>
        </w:rPr>
      </w:pPr>
      <w:r>
        <w:rPr>
          <w:rFonts w:hint="eastAsia" w:ascii="宋体" w:hAnsi="宋体"/>
          <w:sz w:val="24"/>
          <w:u w:val="single"/>
        </w:rPr>
        <w:t xml:space="preserve">                        </w:t>
      </w:r>
      <w:r>
        <w:rPr>
          <w:rFonts w:hint="eastAsia" w:ascii="宋体" w:hAnsi="宋体"/>
          <w:sz w:val="24"/>
        </w:rPr>
        <w:t>（采购代理机构名称）：</w:t>
      </w:r>
    </w:p>
    <w:p>
      <w:pPr>
        <w:widowControl/>
        <w:spacing w:line="360" w:lineRule="auto"/>
        <w:ind w:firstLine="480" w:firstLineChars="200"/>
        <w:jc w:val="left"/>
        <w:outlineLvl w:val="1"/>
        <w:rPr>
          <w:rFonts w:ascii="宋体" w:hAnsi="宋体"/>
          <w:sz w:val="24"/>
        </w:rPr>
      </w:pPr>
      <w:r>
        <w:rPr>
          <w:rFonts w:hint="eastAsia" w:ascii="宋体" w:hAnsi="宋体"/>
          <w:sz w:val="24"/>
        </w:rPr>
        <w:t>我公司作为本次采购项目的投标人，参与贵单位组织的“</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投标，若我公司有幸中标，我公司承诺在领取中标通知书的同时，向贵公司一次性支付招标文件规定的采购代理服务费。如因我公司自身原因造成取消中标资格或自愿放弃中标资格的，我公司支付的采购代理服务费不予退还，由此造成的损失由我方自行承担。</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jc w:val="center"/>
        <w:rPr>
          <w:rFonts w:ascii="宋体" w:hAnsi="宋体"/>
          <w:b/>
          <w:sz w:val="24"/>
        </w:rPr>
      </w:pPr>
    </w:p>
    <w:p>
      <w:pPr>
        <w:spacing w:line="360" w:lineRule="auto"/>
        <w:ind w:firstLine="480" w:firstLineChars="200"/>
        <w:jc w:val="left"/>
        <w:rPr>
          <w:rFonts w:ascii="宋体" w:hAnsi="宋体"/>
          <w:sz w:val="24"/>
        </w:rPr>
      </w:pPr>
      <w:r>
        <w:rPr>
          <w:rFonts w:hint="eastAsia" w:ascii="宋体" w:hAnsi="宋体"/>
          <w:sz w:val="24"/>
        </w:rPr>
        <w:t>投标人名称：</w:t>
      </w:r>
      <w:r>
        <w:rPr>
          <w:rFonts w:hint="eastAsia" w:ascii="宋体" w:hAnsi="宋体" w:cs="宋体"/>
          <w:kern w:val="0"/>
          <w:sz w:val="24"/>
          <w:u w:val="single"/>
        </w:rPr>
        <w:t xml:space="preserve">                          </w:t>
      </w:r>
      <w:r>
        <w:rPr>
          <w:rFonts w:hint="eastAsia" w:ascii="宋体" w:hAnsi="宋体"/>
          <w:sz w:val="24"/>
        </w:rPr>
        <w:t>（盖单位公章）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法定代表人或授权代表（签字或加盖个人印章）：</w:t>
      </w:r>
      <w:r>
        <w:rPr>
          <w:rFonts w:hint="eastAsia" w:ascii="宋体" w:hAnsi="宋体" w:cs="宋体"/>
          <w:kern w:val="0"/>
          <w:sz w:val="24"/>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hint="eastAsia" w:ascii="宋体" w:hAnsi="宋体" w:cs="宋体"/>
          <w:kern w:val="0"/>
          <w:sz w:val="24"/>
          <w:u w:val="single"/>
        </w:rPr>
        <w:t xml:space="preserve">            </w:t>
      </w:r>
      <w:r>
        <w:rPr>
          <w:rFonts w:hint="eastAsia" w:ascii="宋体" w:hAnsi="宋体"/>
          <w:sz w:val="24"/>
        </w:rPr>
        <w:t>。</w:t>
      </w:r>
    </w:p>
    <w:p>
      <w:pPr>
        <w:spacing w:line="360" w:lineRule="auto"/>
        <w:rPr>
          <w:rFonts w:ascii="宋体" w:hAnsi="宋体"/>
          <w:b/>
          <w:sz w:val="32"/>
          <w:szCs w:val="32"/>
        </w:rPr>
      </w:pPr>
    </w:p>
    <w:p>
      <w:pPr>
        <w:pStyle w:val="2"/>
      </w:pPr>
    </w:p>
    <w:p>
      <w:pPr>
        <w:pStyle w:val="2"/>
      </w:pPr>
      <w:r>
        <w:rPr>
          <w:rFonts w:hint="eastAsia"/>
        </w:rPr>
        <w:t>注：适用于第二章投标人须知附表中规定采购代理服务费由中标人支付，由采购人支付的，可不提供此承诺。</w:t>
      </w: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十五、联合体协议书</w:t>
      </w:r>
    </w:p>
    <w:p>
      <w:pPr>
        <w:spacing w:line="360" w:lineRule="auto"/>
        <w:ind w:firstLine="723" w:firstLineChars="300"/>
        <w:rPr>
          <w:rFonts w:ascii="宋体" w:hAnsi="宋体"/>
          <w:b/>
          <w:sz w:val="24"/>
        </w:rPr>
      </w:pP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（所有成员单位名称）自愿组成</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（联合体名称）联合体，共同参加</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（项目名称）投标。现就联合体投标事宜订立如下协议。</w:t>
      </w:r>
    </w:p>
    <w:p>
      <w:pPr>
        <w:spacing w:line="360" w:lineRule="auto"/>
        <w:ind w:firstLine="480" w:firstLineChars="200"/>
        <w:rPr>
          <w:rFonts w:ascii="宋体" w:hAnsi="宋体"/>
          <w:sz w:val="24"/>
        </w:rPr>
      </w:pPr>
      <w:r>
        <w:rPr>
          <w:rFonts w:hint="eastAsia" w:ascii="宋体" w:hAnsi="宋体"/>
          <w:sz w:val="24"/>
        </w:rPr>
        <w:t>1、</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（某成员单位名称）为</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（联合体名称）牵头人。</w:t>
      </w:r>
    </w:p>
    <w:p>
      <w:pPr>
        <w:spacing w:line="360" w:lineRule="auto"/>
        <w:ind w:firstLine="480" w:firstLineChars="200"/>
        <w:rPr>
          <w:rFonts w:ascii="宋体" w:hAnsi="宋体"/>
          <w:sz w:val="24"/>
        </w:rPr>
      </w:pPr>
      <w:r>
        <w:rPr>
          <w:rFonts w:hint="eastAsia" w:ascii="宋体" w:hAnsi="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rPr>
          <w:rFonts w:ascii="宋体" w:hAnsi="宋体"/>
          <w:sz w:val="24"/>
        </w:rPr>
      </w:pPr>
      <w:r>
        <w:rPr>
          <w:rFonts w:hint="eastAsia" w:ascii="宋体" w:hAnsi="宋体"/>
          <w:sz w:val="24"/>
        </w:rPr>
        <w:t>3、联合体将严格按照招标文件的各项要求，递交投标文件，履行合同，并对外承担连带责任。</w:t>
      </w:r>
    </w:p>
    <w:p>
      <w:pPr>
        <w:spacing w:line="360" w:lineRule="auto"/>
        <w:ind w:firstLine="480" w:firstLineChars="200"/>
        <w:rPr>
          <w:rFonts w:ascii="宋体" w:hAnsi="宋体"/>
          <w:sz w:val="24"/>
        </w:rPr>
      </w:pPr>
      <w:r>
        <w:rPr>
          <w:rFonts w:hint="eastAsia" w:ascii="宋体" w:hAnsi="宋体"/>
          <w:sz w:val="24"/>
        </w:rPr>
        <w:t>4、联合体各成员单位内部的职责分工如下：</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5、本协议书自签署之日起生效，合同履行完毕后自动失效。</w:t>
      </w:r>
    </w:p>
    <w:p>
      <w:pPr>
        <w:spacing w:line="360" w:lineRule="auto"/>
        <w:ind w:firstLine="480" w:firstLineChars="200"/>
        <w:rPr>
          <w:rFonts w:ascii="宋体" w:hAnsi="宋体"/>
          <w:sz w:val="24"/>
        </w:rPr>
      </w:pPr>
      <w:r>
        <w:rPr>
          <w:rFonts w:hint="eastAsia" w:ascii="宋体" w:hAnsi="宋体"/>
          <w:sz w:val="24"/>
        </w:rPr>
        <w:t>6、本协议书一式</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份，联合体成员和采购人各执一份。</w:t>
      </w:r>
    </w:p>
    <w:p>
      <w:pPr>
        <w:spacing w:line="360" w:lineRule="auto"/>
        <w:ind w:firstLine="480" w:firstLineChars="200"/>
        <w:rPr>
          <w:rFonts w:ascii="宋体" w:hAnsi="宋体"/>
          <w:sz w:val="24"/>
        </w:rPr>
      </w:pPr>
      <w:r>
        <w:rPr>
          <w:rFonts w:hint="eastAsia" w:ascii="宋体" w:hAnsi="宋体"/>
          <w:sz w:val="24"/>
        </w:rPr>
        <w:t>注：本协议书由委托代理人签字的，应附法定代表人签字的授权委托书。</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（盖单位章）</w:t>
      </w:r>
    </w:p>
    <w:p>
      <w:pPr>
        <w:spacing w:line="360" w:lineRule="auto"/>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成员一名称：</w:t>
      </w:r>
      <w:r>
        <w:rPr>
          <w:rFonts w:hint="eastAsia" w:ascii="宋体" w:hAnsi="宋体"/>
          <w:sz w:val="24"/>
          <w:u w:val="single"/>
        </w:rPr>
        <w:t xml:space="preserve">                       </w:t>
      </w:r>
      <w:r>
        <w:rPr>
          <w:rFonts w:hint="eastAsia" w:ascii="宋体" w:hAnsi="宋体"/>
          <w:sz w:val="24"/>
        </w:rPr>
        <w:t>（盖单位章）</w:t>
      </w:r>
    </w:p>
    <w:p>
      <w:pPr>
        <w:spacing w:line="360" w:lineRule="auto"/>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成员二名称：</w:t>
      </w:r>
      <w:r>
        <w:rPr>
          <w:rFonts w:hint="eastAsia" w:ascii="宋体" w:hAnsi="宋体"/>
          <w:sz w:val="24"/>
          <w:u w:val="single"/>
        </w:rPr>
        <w:t xml:space="preserve">                       </w:t>
      </w:r>
      <w:r>
        <w:rPr>
          <w:rFonts w:hint="eastAsia" w:ascii="宋体" w:hAnsi="宋体"/>
          <w:sz w:val="24"/>
        </w:rPr>
        <w:t>（盖单位章）</w:t>
      </w:r>
    </w:p>
    <w:p>
      <w:pPr>
        <w:spacing w:line="360" w:lineRule="auto"/>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u w:val="single"/>
        </w:rPr>
      </w:pPr>
    </w:p>
    <w:p>
      <w:pPr>
        <w:ind w:right="420" w:firstLine="360" w:firstLineChars="15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right="420" w:firstLine="360" w:firstLineChars="150"/>
        <w:jc w:val="right"/>
        <w:rPr>
          <w:rFonts w:ascii="宋体" w:hAnsi="宋体"/>
          <w:sz w:val="24"/>
        </w:rPr>
      </w:pPr>
    </w:p>
    <w:p>
      <w:pPr>
        <w:spacing w:line="360" w:lineRule="auto"/>
        <w:jc w:val="left"/>
        <w:rPr>
          <w:rFonts w:ascii="宋体" w:hAnsi="宋体"/>
          <w:sz w:val="24"/>
        </w:rPr>
      </w:pPr>
      <w:r>
        <w:rPr>
          <w:rFonts w:hint="eastAsia" w:ascii="宋体" w:hAnsi="宋体"/>
          <w:sz w:val="24"/>
        </w:rPr>
        <w:t>注：1、由代理人投标的，联合体牵头人应按投标文件格式中的要求提供法定代表人身份证明书和法定代表人授权委托书。</w:t>
      </w:r>
    </w:p>
    <w:p>
      <w:pPr>
        <w:spacing w:line="360" w:lineRule="auto"/>
        <w:jc w:val="left"/>
        <w:rPr>
          <w:rFonts w:ascii="宋体" w:hAnsi="宋体"/>
          <w:sz w:val="24"/>
        </w:rPr>
      </w:pPr>
      <w:r>
        <w:rPr>
          <w:rFonts w:hint="eastAsia" w:ascii="宋体" w:hAnsi="宋体"/>
          <w:sz w:val="24"/>
        </w:rPr>
        <w:t>2、联合体各方签订共同投标协议书后，不得以自己的名义单独在同一项目中投标，也不得组成新的联合体参加同一项目的投标。</w:t>
      </w:r>
    </w:p>
    <w:p>
      <w:pPr>
        <w:spacing w:line="360" w:lineRule="auto"/>
        <w:jc w:val="left"/>
        <w:rPr>
          <w:rFonts w:ascii="宋体" w:hAnsi="宋体"/>
          <w:sz w:val="24"/>
        </w:rPr>
      </w:pPr>
      <w:r>
        <w:rPr>
          <w:rFonts w:hint="eastAsia" w:ascii="宋体" w:hAnsi="宋体"/>
          <w:sz w:val="24"/>
        </w:rPr>
        <w:t>3、联合体应当确定其中一个单位为投标的全权代表（牵头人），负责参加投标的一切事务，并承担投标及履约中应承担的全部责任与义务。</w:t>
      </w:r>
    </w:p>
    <w:p>
      <w:pPr>
        <w:spacing w:line="360" w:lineRule="auto"/>
        <w:jc w:val="left"/>
        <w:rPr>
          <w:rFonts w:ascii="宋体" w:hAnsi="宋体"/>
          <w:sz w:val="24"/>
        </w:rPr>
      </w:pPr>
      <w:r>
        <w:rPr>
          <w:rFonts w:hint="eastAsia" w:ascii="宋体" w:hAnsi="宋体"/>
          <w:sz w:val="24"/>
        </w:rPr>
        <w:t>4、为联合体投标的，联合体各方均应满足投标人应具备的资格条件中第1条至第6条的要求，并按要求提供相关证明材料。</w:t>
      </w:r>
    </w:p>
    <w:p>
      <w:pPr>
        <w:spacing w:line="360" w:lineRule="auto"/>
        <w:jc w:val="left"/>
        <w:rPr>
          <w:rFonts w:ascii="宋体" w:hAnsi="宋体"/>
          <w:sz w:val="24"/>
        </w:rPr>
      </w:pPr>
      <w:r>
        <w:rPr>
          <w:rFonts w:hint="eastAsia" w:ascii="宋体" w:hAnsi="宋体"/>
          <w:sz w:val="24"/>
        </w:rPr>
        <w:t>5、联合体中有同类资质的投标人按照联合体分工承担相同工作的，应当按照资质等级较低的投标人确定资质等级。</w:t>
      </w:r>
    </w:p>
    <w:p>
      <w:pPr>
        <w:pStyle w:val="2"/>
      </w:pPr>
      <w:r>
        <w:rPr>
          <w:rFonts w:hint="eastAsia" w:hAnsi="宋体"/>
        </w:rPr>
        <w:t>6、若未组成联合体，可不提供此协议书。</w:t>
      </w:r>
    </w:p>
    <w:p>
      <w:pPr>
        <w:widowControl/>
        <w:jc w:val="left"/>
        <w:rPr>
          <w:rFonts w:ascii="宋体" w:hAnsi="宋体" w:cs="宋体"/>
          <w:sz w:val="24"/>
        </w:rPr>
      </w:pPr>
      <w:r>
        <w:rPr>
          <w:rFonts w:ascii="宋体" w:hAnsi="宋体" w:cs="宋体"/>
          <w:sz w:val="24"/>
        </w:rPr>
        <w:br w:type="page"/>
      </w:r>
    </w:p>
    <w:p>
      <w:pPr>
        <w:spacing w:line="360" w:lineRule="auto"/>
        <w:jc w:val="center"/>
        <w:rPr>
          <w:rFonts w:ascii="宋体" w:hAnsi="宋体"/>
          <w:b/>
          <w:sz w:val="32"/>
          <w:szCs w:val="32"/>
        </w:rPr>
      </w:pPr>
      <w:r>
        <w:rPr>
          <w:rFonts w:hint="eastAsia" w:ascii="宋体" w:hAnsi="宋体"/>
          <w:b/>
          <w:sz w:val="32"/>
          <w:szCs w:val="32"/>
        </w:rPr>
        <w:t>十六、其他材料</w:t>
      </w: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r>
        <w:rPr>
          <w:rFonts w:hint="eastAsia" w:ascii="宋体"/>
          <w:sz w:val="24"/>
        </w:rPr>
        <w:t>注：投标人在投标时可以提供以上本章格式未列明其他材料。</w:t>
      </w:r>
    </w:p>
    <w:p>
      <w:pPr>
        <w:spacing w:line="300" w:lineRule="exact"/>
        <w:rPr>
          <w:rFonts w:ascii="宋体" w:hAnsi="宋体" w:cs="宋体"/>
          <w:sz w:val="24"/>
        </w:rPr>
      </w:pPr>
    </w:p>
    <w:p>
      <w:pPr>
        <w:spacing w:line="300" w:lineRule="exact"/>
        <w:rPr>
          <w:rFonts w:ascii="宋体" w:hAnsi="宋体" w:cs="宋体"/>
          <w:sz w:val="24"/>
        </w:rPr>
      </w:pPr>
    </w:p>
    <w:p>
      <w:pPr>
        <w:spacing w:line="300" w:lineRule="exact"/>
        <w:rPr>
          <w:rFonts w:ascii="宋体" w:hAnsi="宋体" w:cs="宋体"/>
          <w:sz w:val="24"/>
        </w:rPr>
      </w:pPr>
    </w:p>
    <w:p>
      <w:pPr>
        <w:spacing w:line="300" w:lineRule="exact"/>
        <w:rPr>
          <w:rFonts w:ascii="宋体" w:hAnsi="宋体" w:cs="宋体"/>
          <w:sz w:val="24"/>
        </w:rPr>
        <w:sectPr>
          <w:footerReference r:id="rId9" w:type="default"/>
          <w:pgSz w:w="11906" w:h="16838"/>
          <w:pgMar w:top="1440" w:right="1800" w:bottom="1440" w:left="1800" w:header="851" w:footer="992" w:gutter="0"/>
          <w:cols w:space="720" w:num="1"/>
          <w:docGrid w:type="lines" w:linePitch="312" w:charSpace="0"/>
        </w:sectPr>
      </w:pPr>
      <w:r>
        <w:rPr>
          <w:rFonts w:ascii="宋体" w:hAnsi="宋体" w:cs="宋体"/>
          <w:sz w:val="24"/>
        </w:rPr>
        <w:br w:type="page"/>
      </w:r>
    </w:p>
    <w:p>
      <w:pPr>
        <w:pStyle w:val="3"/>
        <w:spacing w:line="240" w:lineRule="auto"/>
        <w:jc w:val="center"/>
        <w:rPr>
          <w:rFonts w:ascii="宋体" w:hAnsi="宋体"/>
          <w:sz w:val="36"/>
          <w:szCs w:val="36"/>
        </w:rPr>
      </w:pPr>
      <w:bookmarkStart w:id="178" w:name="_Toc56539537"/>
      <w:r>
        <w:rPr>
          <w:rFonts w:hint="eastAsia" w:ascii="宋体" w:hAnsi="宋体"/>
          <w:sz w:val="36"/>
          <w:szCs w:val="36"/>
        </w:rPr>
        <w:t>第四章  投标人和投标产品的资格、资质性及其他类似效力要求</w:t>
      </w:r>
      <w:bookmarkEnd w:id="175"/>
      <w:bookmarkEnd w:id="178"/>
    </w:p>
    <w:p>
      <w:pPr>
        <w:pStyle w:val="4"/>
        <w:spacing w:line="360" w:lineRule="auto"/>
        <w:rPr>
          <w:rFonts w:ascii="宋体" w:hAnsi="宋体" w:eastAsia="宋体"/>
          <w:sz w:val="24"/>
          <w:szCs w:val="24"/>
        </w:rPr>
      </w:pPr>
      <w:r>
        <w:rPr>
          <w:rFonts w:hint="eastAsia" w:ascii="宋体" w:hAnsi="宋体" w:eastAsia="宋体"/>
          <w:sz w:val="24"/>
          <w:szCs w:val="24"/>
        </w:rPr>
        <w:t>一、投标人资格、资质性及其他类似效力要求</w:t>
      </w:r>
    </w:p>
    <w:p>
      <w:pPr>
        <w:pStyle w:val="54"/>
        <w:spacing w:line="420" w:lineRule="exact"/>
        <w:ind w:firstLine="0" w:firstLineChars="0"/>
        <w:rPr>
          <w:rFonts w:ascii="宋体" w:hAnsi="宋体"/>
          <w:b/>
          <w:bCs/>
          <w:sz w:val="24"/>
        </w:rPr>
      </w:pPr>
      <w:bookmarkStart w:id="179" w:name="_Toc1588"/>
      <w:r>
        <w:rPr>
          <w:rFonts w:ascii="宋体" w:hAnsi="宋体"/>
          <w:b/>
          <w:bCs/>
          <w:sz w:val="24"/>
        </w:rPr>
        <w:t>（一）</w:t>
      </w:r>
      <w:r>
        <w:rPr>
          <w:rFonts w:hint="eastAsia" w:ascii="宋体" w:hAnsi="宋体"/>
          <w:b/>
          <w:bCs/>
          <w:sz w:val="24"/>
        </w:rPr>
        <w:t>资格要求：</w:t>
      </w:r>
    </w:p>
    <w:p>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u w:val="single"/>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(3)具有履行合同所必须的设备和专业技术能力；</w:t>
      </w:r>
    </w:p>
    <w:p>
      <w:pPr>
        <w:spacing w:line="400" w:lineRule="exact"/>
        <w:ind w:firstLine="480" w:firstLineChars="200"/>
        <w:rPr>
          <w:rFonts w:ascii="宋体" w:hAnsi="宋体"/>
          <w:sz w:val="24"/>
        </w:rPr>
      </w:pPr>
      <w:r>
        <w:rPr>
          <w:rFonts w:hint="eastAsia" w:ascii="宋体" w:hAnsi="宋体"/>
          <w:sz w:val="24"/>
        </w:rPr>
        <w:t>(4)具有依法缴纳税收和社会保障资金的良好记录；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(6)符合法律、行政法规规定的其他条件；</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.落实政府采购政策需满足的资格要求：</w:t>
      </w:r>
      <w:r>
        <w:rPr>
          <w:rFonts w:hint="eastAsia" w:ascii="宋体" w:hAnsi="宋体"/>
          <w:iCs/>
          <w:sz w:val="24"/>
          <w:u w:val="single"/>
        </w:rPr>
        <w:t>无</w:t>
      </w:r>
      <w:r>
        <w:rPr>
          <w:rFonts w:hint="eastAsia" w:ascii="宋体" w:hAnsi="宋体"/>
          <w:sz w:val="24"/>
          <w:u w:val="single"/>
        </w:rPr>
        <w:t>。</w:t>
      </w:r>
    </w:p>
    <w:p>
      <w:pPr>
        <w:spacing w:line="400" w:lineRule="exact"/>
        <w:ind w:firstLine="480" w:firstLineChars="200"/>
        <w:rPr>
          <w:rFonts w:ascii="宋体" w:hAnsi="宋体"/>
          <w:sz w:val="24"/>
          <w:u w:val="single"/>
        </w:rPr>
      </w:pPr>
      <w:r>
        <w:rPr>
          <w:rFonts w:hint="eastAsia" w:ascii="宋体" w:hAnsi="宋体"/>
          <w:sz w:val="24"/>
        </w:rPr>
        <w:t>3.本项目的特定资格要求：</w:t>
      </w:r>
      <w:r>
        <w:rPr>
          <w:rFonts w:hint="eastAsia" w:ascii="宋体" w:hAnsi="宋体"/>
          <w:sz w:val="24"/>
          <w:u w:val="single"/>
        </w:rPr>
        <w:t>无</w:t>
      </w:r>
    </w:p>
    <w:p>
      <w:pPr>
        <w:pStyle w:val="11"/>
        <w:ind w:firstLine="480" w:firstLineChars="200"/>
      </w:pPr>
      <w:r>
        <w:rPr>
          <w:rFonts w:hint="eastAsia" w:ascii="宋体" w:hAnsi="宋体"/>
          <w:sz w:val="24"/>
          <w:u w:val="single"/>
        </w:rPr>
        <w:t>4.本项目其他资格条件：</w:t>
      </w:r>
      <w:r>
        <w:rPr>
          <w:rFonts w:hint="eastAsia" w:ascii="宋体" w:hAnsi="宋体"/>
          <w:sz w:val="24"/>
        </w:rPr>
        <w:t>投标单位及其法定代表人/主要负责人在参加本项目政府采购活动前三年无行贿犯罪记录</w:t>
      </w:r>
    </w:p>
    <w:p>
      <w:pPr>
        <w:pStyle w:val="54"/>
        <w:spacing w:line="420" w:lineRule="exact"/>
        <w:ind w:firstLine="0" w:firstLineChars="0"/>
        <w:rPr>
          <w:rFonts w:ascii="宋体" w:hAnsi="宋体"/>
          <w:b/>
          <w:bCs/>
          <w:sz w:val="24"/>
        </w:rPr>
      </w:pPr>
      <w:r>
        <w:rPr>
          <w:rFonts w:hint="eastAsia" w:ascii="宋体" w:hAnsi="宋体"/>
          <w:b/>
          <w:bCs/>
          <w:sz w:val="24"/>
        </w:rPr>
        <w:t>（二）其他类似效力要求：</w:t>
      </w:r>
    </w:p>
    <w:p>
      <w:pPr>
        <w:spacing w:line="400" w:lineRule="exact"/>
        <w:ind w:firstLine="480" w:firstLineChars="200"/>
        <w:rPr>
          <w:rFonts w:ascii="宋体" w:hAnsi="宋体"/>
          <w:sz w:val="24"/>
        </w:rPr>
      </w:pPr>
      <w:r>
        <w:rPr>
          <w:rFonts w:hint="eastAsia" w:ascii="宋体" w:hAnsi="宋体"/>
          <w:sz w:val="24"/>
        </w:rPr>
        <w:t>1.法定代表人/单位负责人身份证明文件或授权参加本次投标活动的授权代表证明材料。</w:t>
      </w:r>
    </w:p>
    <w:p>
      <w:pPr>
        <w:pStyle w:val="54"/>
        <w:spacing w:line="420" w:lineRule="exact"/>
        <w:ind w:firstLine="0" w:firstLineChars="0"/>
        <w:rPr>
          <w:rFonts w:ascii="宋体" w:hAnsi="宋体"/>
          <w:sz w:val="24"/>
        </w:rPr>
      </w:pPr>
    </w:p>
    <w:p>
      <w:pPr>
        <w:pStyle w:val="54"/>
        <w:spacing w:line="420" w:lineRule="exact"/>
        <w:ind w:firstLine="0" w:firstLineChars="0"/>
        <w:rPr>
          <w:rFonts w:ascii="宋体" w:hAnsi="宋体"/>
          <w:b/>
          <w:sz w:val="24"/>
        </w:rPr>
      </w:pPr>
      <w:r>
        <w:rPr>
          <w:rFonts w:hint="eastAsia" w:ascii="宋体" w:hAnsi="宋体"/>
          <w:b/>
          <w:sz w:val="24"/>
        </w:rPr>
        <w:t>注：</w:t>
      </w:r>
    </w:p>
    <w:p>
      <w:pPr>
        <w:pStyle w:val="54"/>
        <w:spacing w:line="420" w:lineRule="exact"/>
        <w:ind w:firstLine="482"/>
        <w:rPr>
          <w:rFonts w:ascii="宋体" w:hAnsi="宋体"/>
          <w:b/>
          <w:sz w:val="24"/>
        </w:rPr>
      </w:pPr>
      <w:r>
        <w:rPr>
          <w:rFonts w:hint="eastAsia" w:ascii="宋体" w:hAnsi="宋体"/>
          <w:b/>
          <w:sz w:val="24"/>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54"/>
        <w:spacing w:line="420" w:lineRule="exact"/>
        <w:ind w:firstLine="482"/>
        <w:rPr>
          <w:rFonts w:ascii="宋体" w:hAnsi="宋体"/>
          <w:b/>
          <w:sz w:val="24"/>
        </w:rPr>
      </w:pPr>
      <w:r>
        <w:rPr>
          <w:rFonts w:hint="eastAsia" w:ascii="宋体" w:hAnsi="宋体"/>
          <w:b/>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jc w:val="center"/>
        <w:rPr>
          <w:rFonts w:ascii="宋体" w:hAnsi="宋体"/>
          <w:sz w:val="36"/>
          <w:szCs w:val="36"/>
        </w:rPr>
      </w:pPr>
      <w:r>
        <w:rPr>
          <w:rFonts w:hint="eastAsia" w:ascii="宋体" w:hAnsi="宋体"/>
          <w:sz w:val="36"/>
          <w:szCs w:val="36"/>
        </w:rPr>
        <w:br w:type="page"/>
      </w:r>
      <w:bookmarkStart w:id="180" w:name="_Toc56539538"/>
      <w:r>
        <w:rPr>
          <w:rFonts w:hint="eastAsia" w:ascii="宋体" w:hAnsi="宋体"/>
          <w:sz w:val="36"/>
          <w:szCs w:val="36"/>
        </w:rPr>
        <w:t>第五章  投标人应当提供的资格、资质性及其他类似效力要求的相关证明材料</w:t>
      </w:r>
      <w:bookmarkEnd w:id="179"/>
      <w:bookmarkEnd w:id="180"/>
    </w:p>
    <w:p>
      <w:pPr>
        <w:rPr>
          <w:rFonts w:ascii="宋体" w:hAnsi="宋体"/>
        </w:rPr>
      </w:pPr>
    </w:p>
    <w:p>
      <w:pPr>
        <w:pStyle w:val="4"/>
        <w:spacing w:line="360" w:lineRule="exact"/>
        <w:rPr>
          <w:rFonts w:ascii="宋体" w:hAnsi="宋体" w:eastAsia="宋体"/>
          <w:sz w:val="24"/>
          <w:szCs w:val="24"/>
        </w:rPr>
      </w:pPr>
      <w:bookmarkStart w:id="181" w:name="_Toc217446093"/>
      <w:r>
        <w:rPr>
          <w:rFonts w:hint="eastAsia" w:ascii="宋体" w:hAnsi="宋体" w:eastAsia="宋体"/>
          <w:sz w:val="24"/>
          <w:szCs w:val="24"/>
        </w:rPr>
        <w:t>一、应当提供的投标人资格、资质性及其他类似效力要求的相关证明材料</w:t>
      </w:r>
    </w:p>
    <w:p>
      <w:pPr>
        <w:rPr>
          <w:rFonts w:ascii="宋体" w:hAnsi="宋体"/>
          <w:b/>
          <w:bCs/>
          <w:sz w:val="24"/>
        </w:rPr>
      </w:pPr>
      <w:r>
        <w:rPr>
          <w:rFonts w:hint="eastAsia" w:ascii="宋体" w:hAnsi="宋体"/>
          <w:b/>
          <w:bCs/>
          <w:sz w:val="24"/>
        </w:rPr>
        <w:t>（一）资格要求相关证明材料：</w:t>
      </w:r>
    </w:p>
    <w:p>
      <w:pPr>
        <w:pStyle w:val="54"/>
        <w:spacing w:line="420" w:lineRule="exact"/>
        <w:ind w:firstLine="480"/>
        <w:rPr>
          <w:rFonts w:ascii="宋体" w:hAnsi="宋体"/>
          <w:sz w:val="24"/>
        </w:rPr>
      </w:pPr>
      <w:r>
        <w:rPr>
          <w:rFonts w:hint="eastAsia" w:ascii="宋体" w:hAnsi="宋体"/>
          <w:sz w:val="24"/>
        </w:rPr>
        <w:t>1.具有独立承担民事责任的能力。</w:t>
      </w:r>
    </w:p>
    <w:p>
      <w:pPr>
        <w:spacing w:line="312" w:lineRule="auto"/>
        <w:ind w:firstLine="540" w:firstLineChars="225"/>
        <w:rPr>
          <w:rFonts w:ascii="宋体" w:hAnsi="宋体"/>
          <w:sz w:val="24"/>
        </w:rPr>
      </w:pPr>
      <w:r>
        <w:rPr>
          <w:rFonts w:hint="eastAsia" w:ascii="宋体" w:hAnsi="宋体"/>
          <w:sz w:val="24"/>
        </w:rPr>
        <w:t>（1）若为企业法人：提供“统一社会信用代码营业执照”；</w:t>
      </w:r>
    </w:p>
    <w:p>
      <w:pPr>
        <w:spacing w:line="312" w:lineRule="auto"/>
        <w:ind w:firstLine="540" w:firstLineChars="225"/>
        <w:rPr>
          <w:rFonts w:ascii="宋体" w:hAnsi="宋体"/>
          <w:sz w:val="24"/>
        </w:rPr>
      </w:pPr>
      <w:r>
        <w:rPr>
          <w:rFonts w:hint="eastAsia" w:ascii="宋体" w:hAnsi="宋体"/>
          <w:sz w:val="24"/>
        </w:rPr>
        <w:t>（2）若为事业法人：提供“统一社会信用代码法人登记证书”；</w:t>
      </w:r>
    </w:p>
    <w:p>
      <w:pPr>
        <w:spacing w:line="312" w:lineRule="auto"/>
        <w:ind w:firstLine="540" w:firstLineChars="225"/>
        <w:rPr>
          <w:rFonts w:ascii="宋体" w:hAnsi="宋体"/>
          <w:sz w:val="24"/>
        </w:rPr>
      </w:pPr>
      <w:r>
        <w:rPr>
          <w:rFonts w:hint="eastAsia" w:ascii="宋体" w:hAnsi="宋体"/>
          <w:sz w:val="24"/>
        </w:rPr>
        <w:t>（3）若为其他组织：提供“对应主管部门颁发的准许执业证明文件或营业执照”；</w:t>
      </w:r>
    </w:p>
    <w:p>
      <w:pPr>
        <w:spacing w:line="312" w:lineRule="auto"/>
        <w:ind w:firstLine="540" w:firstLineChars="225"/>
        <w:rPr>
          <w:rFonts w:ascii="宋体" w:hAnsi="宋体"/>
          <w:sz w:val="24"/>
        </w:rPr>
      </w:pPr>
      <w:r>
        <w:rPr>
          <w:rFonts w:hint="eastAsia" w:ascii="宋体" w:hAnsi="宋体"/>
          <w:sz w:val="24"/>
        </w:rPr>
        <w:t>（4）若为自然人：提供“身份证明材料”；</w:t>
      </w:r>
    </w:p>
    <w:p>
      <w:pPr>
        <w:pStyle w:val="54"/>
        <w:spacing w:line="420" w:lineRule="exact"/>
        <w:ind w:firstLine="480"/>
        <w:rPr>
          <w:rFonts w:ascii="宋体" w:hAnsi="宋体"/>
          <w:sz w:val="24"/>
        </w:rPr>
      </w:pPr>
      <w:r>
        <w:rPr>
          <w:rFonts w:hint="eastAsia" w:ascii="宋体" w:hAnsi="宋体"/>
          <w:sz w:val="24"/>
        </w:rPr>
        <w:t>注：投标人根据自身情况选择提供以上（1）-（4）项其中之一复印件。</w:t>
      </w:r>
    </w:p>
    <w:p>
      <w:pPr>
        <w:pStyle w:val="54"/>
        <w:spacing w:line="420" w:lineRule="exact"/>
        <w:ind w:firstLine="480"/>
        <w:rPr>
          <w:rFonts w:ascii="宋体" w:hAnsi="宋体"/>
          <w:sz w:val="24"/>
        </w:rPr>
      </w:pPr>
      <w:r>
        <w:rPr>
          <w:rFonts w:hint="eastAsia" w:ascii="宋体" w:hAnsi="宋体"/>
          <w:sz w:val="24"/>
        </w:rPr>
        <w:t>2. 具有良好的商业信誉和健全的财务会计制度。</w:t>
      </w:r>
    </w:p>
    <w:p>
      <w:pPr>
        <w:pStyle w:val="54"/>
        <w:spacing w:line="420" w:lineRule="exact"/>
        <w:ind w:firstLine="480"/>
        <w:rPr>
          <w:rFonts w:ascii="宋体" w:hAnsi="宋体"/>
          <w:sz w:val="24"/>
        </w:rPr>
      </w:pPr>
      <w:r>
        <w:rPr>
          <w:rFonts w:hint="eastAsia" w:ascii="宋体" w:hAnsi="宋体"/>
          <w:sz w:val="24"/>
        </w:rPr>
        <w:t>（1）提供具有良好的商业信誉的承诺函原件（格式详见第三章）。</w:t>
      </w:r>
    </w:p>
    <w:p>
      <w:pPr>
        <w:pStyle w:val="54"/>
        <w:spacing w:line="420" w:lineRule="exact"/>
        <w:ind w:firstLine="480"/>
        <w:rPr>
          <w:rFonts w:ascii="宋体" w:hAnsi="宋体"/>
          <w:sz w:val="24"/>
        </w:rPr>
      </w:pPr>
      <w:r>
        <w:rPr>
          <w:rFonts w:hint="eastAsia" w:ascii="宋体" w:hAnsi="宋体"/>
          <w:sz w:val="24"/>
        </w:rPr>
        <w:t>（2）具备健全的财务会计制度的证明材料。</w:t>
      </w:r>
    </w:p>
    <w:p>
      <w:pPr>
        <w:pStyle w:val="54"/>
        <w:spacing w:line="420" w:lineRule="exact"/>
        <w:ind w:firstLine="480"/>
        <w:rPr>
          <w:rFonts w:ascii="宋体" w:hAnsi="宋体"/>
          <w:sz w:val="24"/>
        </w:rPr>
      </w:pPr>
      <w:r>
        <w:rPr>
          <w:rFonts w:hint="eastAsia" w:ascii="宋体" w:hAnsi="宋体"/>
          <w:sz w:val="24"/>
        </w:rPr>
        <w:t>①提供2019年度或2020年度经审计的财务报告复印件（包含审计报告和审计报告中所涉及的财务报表和报表附注）；</w:t>
      </w:r>
    </w:p>
    <w:p>
      <w:pPr>
        <w:pStyle w:val="54"/>
        <w:spacing w:line="420" w:lineRule="exact"/>
        <w:ind w:firstLine="480"/>
        <w:rPr>
          <w:rFonts w:ascii="宋体" w:hAnsi="宋体"/>
          <w:sz w:val="24"/>
        </w:rPr>
      </w:pPr>
      <w:r>
        <w:rPr>
          <w:rFonts w:hint="eastAsia" w:ascii="宋体" w:hAnsi="宋体"/>
          <w:sz w:val="24"/>
        </w:rPr>
        <w:t>②提供2019年度或2020年度投标人内部的财务报表复印件（至少包含资产负债表、利润表、现金流量表）；</w:t>
      </w:r>
    </w:p>
    <w:p>
      <w:pPr>
        <w:pStyle w:val="54"/>
        <w:spacing w:line="420" w:lineRule="exact"/>
        <w:ind w:firstLine="480"/>
        <w:rPr>
          <w:rFonts w:ascii="宋体" w:hAnsi="宋体"/>
          <w:sz w:val="24"/>
        </w:rPr>
      </w:pPr>
      <w:r>
        <w:rPr>
          <w:rFonts w:hint="eastAsia" w:ascii="宋体" w:hAnsi="宋体"/>
          <w:sz w:val="24"/>
        </w:rPr>
        <w:t>③提供截至投标文件递交截止日一年内银行出具的资信证明（复印件）；</w:t>
      </w:r>
    </w:p>
    <w:p>
      <w:pPr>
        <w:pStyle w:val="54"/>
        <w:spacing w:line="420" w:lineRule="exact"/>
        <w:ind w:firstLine="480"/>
        <w:rPr>
          <w:rFonts w:ascii="宋体" w:hAnsi="宋体"/>
          <w:sz w:val="24"/>
        </w:rPr>
      </w:pPr>
      <w:r>
        <w:rPr>
          <w:rFonts w:hint="eastAsia" w:ascii="宋体" w:hAnsi="宋体"/>
          <w:sz w:val="24"/>
        </w:rPr>
        <w:t>④投标人注册时间截至投标文件递交截止日不足一年的，提供在工商备案的公司章程（复印件）。</w:t>
      </w:r>
    </w:p>
    <w:p>
      <w:pPr>
        <w:pStyle w:val="54"/>
        <w:spacing w:line="420" w:lineRule="exact"/>
        <w:ind w:firstLine="480"/>
        <w:rPr>
          <w:rFonts w:ascii="宋体" w:hAnsi="宋体"/>
          <w:sz w:val="24"/>
        </w:rPr>
      </w:pPr>
      <w:r>
        <w:rPr>
          <w:rFonts w:hint="eastAsia" w:ascii="宋体" w:hAnsi="宋体"/>
          <w:sz w:val="24"/>
        </w:rPr>
        <w:t>注：投标人根据自身情况选择提供以上①-④项其中之一。</w:t>
      </w:r>
    </w:p>
    <w:p>
      <w:pPr>
        <w:pStyle w:val="54"/>
        <w:spacing w:line="420" w:lineRule="exact"/>
        <w:ind w:firstLine="480"/>
        <w:rPr>
          <w:rFonts w:ascii="宋体" w:hAnsi="宋体"/>
          <w:sz w:val="24"/>
        </w:rPr>
      </w:pPr>
      <w:r>
        <w:rPr>
          <w:rFonts w:hint="eastAsia" w:ascii="宋体" w:hAnsi="宋体"/>
          <w:sz w:val="24"/>
        </w:rPr>
        <w:t>3.具有履行合同所必须的设备和专业技术能力；</w:t>
      </w:r>
    </w:p>
    <w:p>
      <w:pPr>
        <w:pStyle w:val="54"/>
        <w:spacing w:line="420" w:lineRule="exact"/>
        <w:ind w:firstLine="480"/>
        <w:rPr>
          <w:rFonts w:ascii="宋体" w:hAnsi="宋体"/>
          <w:sz w:val="24"/>
        </w:rPr>
      </w:pPr>
      <w:r>
        <w:rPr>
          <w:rFonts w:hint="eastAsia" w:ascii="宋体" w:hAnsi="宋体"/>
          <w:sz w:val="24"/>
        </w:rPr>
        <w:t>提供承诺函原件，格式详见第三章</w:t>
      </w:r>
    </w:p>
    <w:p>
      <w:pPr>
        <w:pStyle w:val="54"/>
        <w:spacing w:line="420" w:lineRule="exact"/>
        <w:ind w:firstLine="480"/>
        <w:rPr>
          <w:rFonts w:ascii="宋体" w:hAnsi="宋体"/>
          <w:sz w:val="24"/>
        </w:rPr>
      </w:pPr>
      <w:r>
        <w:rPr>
          <w:rFonts w:hint="eastAsia" w:ascii="宋体" w:hAnsi="宋体"/>
          <w:sz w:val="24"/>
        </w:rPr>
        <w:t>4.具有依法缴纳税收和社会保障资金的良好记录；</w:t>
      </w:r>
    </w:p>
    <w:p>
      <w:pPr>
        <w:pStyle w:val="54"/>
        <w:spacing w:line="420" w:lineRule="exact"/>
        <w:ind w:firstLine="480"/>
        <w:rPr>
          <w:rFonts w:ascii="宋体" w:hAnsi="宋体"/>
          <w:sz w:val="24"/>
        </w:rPr>
      </w:pPr>
      <w:r>
        <w:rPr>
          <w:rFonts w:hint="eastAsia" w:ascii="宋体" w:hAnsi="宋体"/>
          <w:sz w:val="24"/>
        </w:rPr>
        <w:t>提供承诺函原件，格式详见第三章</w:t>
      </w:r>
    </w:p>
    <w:p>
      <w:pPr>
        <w:pStyle w:val="54"/>
        <w:spacing w:line="420" w:lineRule="exact"/>
        <w:ind w:firstLine="480"/>
        <w:rPr>
          <w:rFonts w:ascii="宋体" w:hAnsi="宋体"/>
          <w:sz w:val="24"/>
        </w:rPr>
      </w:pPr>
      <w:r>
        <w:rPr>
          <w:rFonts w:hint="eastAsia" w:ascii="宋体" w:hAnsi="宋体"/>
          <w:sz w:val="24"/>
        </w:rPr>
        <w:t>5.参加政府采购活动前三年内，在经营活动中没有重大违法记录；</w:t>
      </w:r>
    </w:p>
    <w:p>
      <w:pPr>
        <w:pStyle w:val="54"/>
        <w:spacing w:line="420" w:lineRule="exact"/>
        <w:ind w:firstLine="480"/>
        <w:rPr>
          <w:rFonts w:ascii="宋体" w:hAnsi="宋体"/>
          <w:sz w:val="24"/>
        </w:rPr>
      </w:pPr>
      <w:r>
        <w:rPr>
          <w:rFonts w:hint="eastAsia" w:ascii="宋体" w:hAnsi="宋体"/>
          <w:sz w:val="24"/>
        </w:rPr>
        <w:t>提供承诺函原件，格式详见第三章</w:t>
      </w:r>
    </w:p>
    <w:p>
      <w:pPr>
        <w:spacing w:line="312" w:lineRule="auto"/>
        <w:ind w:firstLine="542" w:firstLineChars="225"/>
        <w:rPr>
          <w:rFonts w:ascii="宋体" w:hAnsi="宋体"/>
          <w:b/>
          <w:sz w:val="24"/>
        </w:rPr>
      </w:pPr>
      <w:r>
        <w:rPr>
          <w:rFonts w:hint="eastAsia" w:ascii="宋体" w:hAnsi="宋体"/>
          <w:b/>
          <w:sz w:val="24"/>
        </w:rPr>
        <w:t>（二）落实政府采购政策需满足的资格要求：</w:t>
      </w:r>
    </w:p>
    <w:p>
      <w:pPr>
        <w:spacing w:line="312" w:lineRule="auto"/>
        <w:ind w:firstLine="540" w:firstLineChars="225"/>
        <w:rPr>
          <w:rFonts w:ascii="宋体" w:hAnsi="宋体"/>
          <w:sz w:val="24"/>
        </w:rPr>
      </w:pPr>
      <w:r>
        <w:rPr>
          <w:rFonts w:hint="eastAsia" w:ascii="宋体" w:hAnsi="宋体"/>
          <w:sz w:val="24"/>
        </w:rPr>
        <w:t>无</w:t>
      </w:r>
    </w:p>
    <w:p>
      <w:pPr>
        <w:spacing w:line="312" w:lineRule="auto"/>
        <w:ind w:firstLine="542" w:firstLineChars="225"/>
        <w:rPr>
          <w:rFonts w:ascii="宋体" w:hAnsi="宋体"/>
          <w:b/>
          <w:sz w:val="24"/>
        </w:rPr>
      </w:pPr>
      <w:r>
        <w:rPr>
          <w:rFonts w:hint="eastAsia" w:ascii="宋体" w:hAnsi="宋体"/>
          <w:b/>
          <w:sz w:val="24"/>
        </w:rPr>
        <w:t>（三）本项目的特定资格要求：</w:t>
      </w:r>
    </w:p>
    <w:p>
      <w:pPr>
        <w:spacing w:line="312" w:lineRule="auto"/>
        <w:ind w:firstLine="540" w:firstLineChars="225"/>
        <w:rPr>
          <w:rFonts w:ascii="宋体" w:hAnsi="宋体"/>
          <w:sz w:val="24"/>
        </w:rPr>
      </w:pPr>
      <w:r>
        <w:rPr>
          <w:rFonts w:hint="eastAsia" w:ascii="宋体" w:hAnsi="宋体"/>
          <w:sz w:val="24"/>
        </w:rPr>
        <w:t>无</w:t>
      </w:r>
    </w:p>
    <w:p>
      <w:pPr>
        <w:pStyle w:val="11"/>
        <w:ind w:firstLine="482" w:firstLineChars="200"/>
        <w:rPr>
          <w:rFonts w:ascii="宋体" w:hAnsi="宋体"/>
          <w:b/>
          <w:sz w:val="24"/>
        </w:rPr>
      </w:pPr>
      <w:r>
        <w:rPr>
          <w:rFonts w:hint="eastAsia" w:ascii="宋体" w:hAnsi="宋体"/>
          <w:b/>
          <w:sz w:val="24"/>
        </w:rPr>
        <w:t>（四）本项目其他资格条件：</w:t>
      </w:r>
    </w:p>
    <w:p>
      <w:pPr>
        <w:pStyle w:val="54"/>
        <w:spacing w:line="420" w:lineRule="exact"/>
        <w:ind w:firstLine="480"/>
        <w:rPr>
          <w:rFonts w:ascii="宋体" w:hAnsi="宋体"/>
          <w:sz w:val="24"/>
        </w:rPr>
      </w:pPr>
      <w:r>
        <w:rPr>
          <w:rFonts w:hint="eastAsia" w:ascii="宋体" w:hAnsi="宋体"/>
          <w:sz w:val="24"/>
        </w:rPr>
        <w:t>投标单位及其法定代表人/主要负责人在参加本项目政府采购活动前三年无行贿犯罪记录。</w:t>
      </w:r>
    </w:p>
    <w:p>
      <w:pPr>
        <w:pStyle w:val="54"/>
        <w:spacing w:line="420" w:lineRule="exact"/>
        <w:ind w:firstLine="480"/>
        <w:rPr>
          <w:rFonts w:ascii="宋体" w:hAnsi="宋体"/>
          <w:sz w:val="24"/>
        </w:rPr>
      </w:pPr>
      <w:r>
        <w:rPr>
          <w:rFonts w:hint="eastAsia" w:ascii="宋体" w:hAnsi="宋体"/>
          <w:sz w:val="24"/>
        </w:rPr>
        <w:t>提供承诺函，格式详见第三章；</w:t>
      </w:r>
    </w:p>
    <w:p/>
    <w:p>
      <w:pPr>
        <w:pStyle w:val="4"/>
        <w:spacing w:line="360" w:lineRule="exact"/>
        <w:rPr>
          <w:rFonts w:ascii="宋体" w:eastAsia="宋体"/>
          <w:sz w:val="24"/>
          <w:szCs w:val="24"/>
        </w:rPr>
      </w:pPr>
      <w:r>
        <w:rPr>
          <w:rFonts w:hint="eastAsia"/>
          <w:b w:val="0"/>
          <w:bCs w:val="0"/>
          <w:sz w:val="24"/>
          <w:szCs w:val="24"/>
        </w:rPr>
        <w:t>二、</w:t>
      </w:r>
      <w:r>
        <w:rPr>
          <w:rFonts w:hint="eastAsia" w:ascii="宋体" w:eastAsia="宋体"/>
          <w:sz w:val="24"/>
          <w:szCs w:val="24"/>
        </w:rPr>
        <w:t>应当提供的投标产品的资格、资质性及其他类似效力要求的相关证明材料</w:t>
      </w:r>
    </w:p>
    <w:p>
      <w:pPr>
        <w:spacing w:line="42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法定代表人/单位负责人身份证明原件及附件。（法定代表人/单位负责人亲自投标适用）</w:t>
      </w:r>
    </w:p>
    <w:p>
      <w:pPr>
        <w:spacing w:line="42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法定代表人/单位负责人授权书原件及附件（授权代表投标适用）。</w:t>
      </w:r>
    </w:p>
    <w:p>
      <w:pPr>
        <w:spacing w:line="420" w:lineRule="exact"/>
        <w:rPr>
          <w:rFonts w:ascii="宋体" w:hAnsi="宋体"/>
        </w:rPr>
      </w:pPr>
    </w:p>
    <w:p>
      <w:pPr>
        <w:spacing w:line="420" w:lineRule="exact"/>
        <w:rPr>
          <w:rFonts w:ascii="宋体" w:hAnsi="宋体"/>
          <w:b/>
          <w:bCs/>
          <w:sz w:val="24"/>
        </w:rPr>
      </w:pPr>
      <w:r>
        <w:rPr>
          <w:rFonts w:hint="eastAsia" w:ascii="宋体" w:hAnsi="宋体"/>
          <w:b/>
          <w:bCs/>
          <w:sz w:val="24"/>
        </w:rPr>
        <w:t>注：以上要求的资料复印件（身份证明材料除外）均须加盖投标人的公章（鲜章）。</w:t>
      </w:r>
    </w:p>
    <w:p>
      <w:pPr>
        <w:spacing w:line="360" w:lineRule="auto"/>
        <w:rPr>
          <w:rFonts w:ascii="宋体" w:hAnsi="宋体"/>
          <w:sz w:val="36"/>
          <w:szCs w:val="36"/>
        </w:rPr>
      </w:pPr>
    </w:p>
    <w:p>
      <w:pPr>
        <w:pStyle w:val="2"/>
        <w:sectPr>
          <w:pgSz w:w="11906" w:h="16838"/>
          <w:pgMar w:top="1440" w:right="1800" w:bottom="1440" w:left="1800" w:header="851" w:footer="992" w:gutter="0"/>
          <w:cols w:space="720" w:num="1"/>
          <w:docGrid w:type="lines" w:linePitch="312" w:charSpace="0"/>
        </w:sectPr>
      </w:pPr>
    </w:p>
    <w:bookmarkEnd w:id="181"/>
    <w:p>
      <w:pPr>
        <w:pStyle w:val="3"/>
        <w:jc w:val="center"/>
        <w:rPr>
          <w:rFonts w:ascii="宋体" w:hAnsi="宋体"/>
          <w:sz w:val="36"/>
          <w:szCs w:val="36"/>
        </w:rPr>
      </w:pPr>
      <w:bookmarkStart w:id="182" w:name="_Toc30297"/>
      <w:bookmarkStart w:id="183" w:name="_Toc56539539"/>
      <w:bookmarkStart w:id="184" w:name="_Toc24786"/>
      <w:r>
        <w:rPr>
          <w:rFonts w:hint="eastAsia" w:ascii="宋体" w:hAnsi="宋体"/>
          <w:sz w:val="36"/>
          <w:szCs w:val="36"/>
        </w:rPr>
        <w:t>第六章  招标项目技术、服务、政府采购合同内容条款及其他商务要求</w:t>
      </w:r>
      <w:bookmarkEnd w:id="182"/>
      <w:bookmarkEnd w:id="183"/>
    </w:p>
    <w:p>
      <w:pPr>
        <w:pStyle w:val="4"/>
        <w:spacing w:line="400" w:lineRule="exact"/>
        <w:ind w:firstLine="236" w:firstLineChars="98"/>
        <w:rPr>
          <w:rFonts w:ascii="宋体" w:hAnsi="宋体" w:eastAsia="宋体"/>
          <w:sz w:val="24"/>
          <w:szCs w:val="24"/>
        </w:rPr>
      </w:pPr>
      <w:r>
        <w:rPr>
          <w:rFonts w:hint="eastAsia" w:ascii="宋体" w:hAnsi="宋体" w:eastAsia="宋体"/>
          <w:sz w:val="24"/>
          <w:szCs w:val="24"/>
        </w:rPr>
        <w:t>（一）项目概述</w:t>
      </w:r>
    </w:p>
    <w:p>
      <w:pPr>
        <w:pStyle w:val="4"/>
        <w:spacing w:line="400" w:lineRule="exact"/>
        <w:ind w:firstLine="235" w:firstLineChars="98"/>
        <w:rPr>
          <w:rFonts w:ascii="宋体" w:hAnsi="宋体" w:eastAsia="宋体"/>
          <w:b w:val="0"/>
          <w:bCs w:val="0"/>
          <w:sz w:val="24"/>
          <w:szCs w:val="24"/>
        </w:rPr>
      </w:pPr>
      <w:bookmarkStart w:id="185" w:name="_Toc217446095"/>
      <w:r>
        <w:rPr>
          <w:rFonts w:hint="eastAsia" w:ascii="宋体" w:hAnsi="宋体" w:eastAsia="宋体"/>
          <w:b w:val="0"/>
          <w:bCs w:val="0"/>
          <w:sz w:val="24"/>
          <w:szCs w:val="24"/>
        </w:rPr>
        <w:t>项目名称：2021年大运会氛围营造项目-其他及相关辅助项目(电动自行走高空作业升降平台采购项目）</w:t>
      </w:r>
    </w:p>
    <w:p>
      <w:pPr>
        <w:pStyle w:val="4"/>
        <w:spacing w:line="400" w:lineRule="exact"/>
        <w:ind w:firstLine="235" w:firstLineChars="98"/>
        <w:rPr>
          <w:rFonts w:ascii="宋体" w:hAnsi="宋体" w:eastAsia="宋体"/>
          <w:b w:val="0"/>
          <w:bCs w:val="0"/>
          <w:sz w:val="24"/>
          <w:szCs w:val="24"/>
        </w:rPr>
      </w:pPr>
      <w:r>
        <w:rPr>
          <w:rFonts w:hint="eastAsia" w:ascii="宋体" w:hAnsi="宋体" w:eastAsia="宋体"/>
          <w:b w:val="0"/>
          <w:bCs w:val="0"/>
          <w:sz w:val="24"/>
          <w:szCs w:val="24"/>
        </w:rPr>
        <w:t>采购人：成都市绿化工程队。</w:t>
      </w:r>
    </w:p>
    <w:p>
      <w:pPr>
        <w:pStyle w:val="4"/>
        <w:spacing w:line="400" w:lineRule="exact"/>
        <w:ind w:firstLine="236" w:firstLineChars="98"/>
        <w:rPr>
          <w:rFonts w:ascii="宋体" w:hAnsi="宋体" w:eastAsia="宋体"/>
          <w:sz w:val="24"/>
          <w:szCs w:val="24"/>
        </w:rPr>
      </w:pPr>
      <w:r>
        <w:rPr>
          <w:rFonts w:hint="eastAsia" w:ascii="宋体" w:hAnsi="宋体" w:eastAsia="宋体"/>
          <w:sz w:val="24"/>
          <w:szCs w:val="24"/>
        </w:rPr>
        <w:t>（二）技术服务要求</w:t>
      </w:r>
      <w:bookmarkEnd w:id="185"/>
    </w:p>
    <w:p>
      <w:pPr>
        <w:rPr>
          <w:rFonts w:ascii="宋体" w:hAnsi="宋体"/>
          <w:sz w:val="24"/>
        </w:rPr>
      </w:pPr>
      <w:r>
        <w:rPr>
          <w:rFonts w:hint="eastAsia" w:ascii="宋体" w:hAnsi="宋体"/>
          <w:sz w:val="24"/>
        </w:rPr>
        <w:t>1.产品清单：</w:t>
      </w:r>
      <w:r>
        <w:rPr>
          <w:rStyle w:val="39"/>
          <w:rFonts w:hint="eastAsia"/>
          <w:sz w:val="24"/>
          <w:szCs w:val="24"/>
        </w:rPr>
        <w:t>（实质性要求）</w:t>
      </w:r>
    </w:p>
    <w:tbl>
      <w:tblPr>
        <w:tblStyle w:val="28"/>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29"/>
        <w:gridCol w:w="1855"/>
        <w:gridCol w:w="2309"/>
        <w:gridCol w:w="182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5" w:type="dxa"/>
            <w:shd w:val="clear" w:color="auto" w:fill="auto"/>
            <w:vAlign w:val="center"/>
          </w:tcPr>
          <w:p>
            <w:pPr>
              <w:jc w:val="center"/>
              <w:rPr>
                <w:rFonts w:ascii="宋体" w:hAnsi="宋体"/>
                <w:sz w:val="24"/>
              </w:rPr>
            </w:pPr>
            <w:r>
              <w:rPr>
                <w:rFonts w:hint="eastAsia" w:ascii="宋体" w:hAnsi="宋体"/>
                <w:sz w:val="24"/>
              </w:rPr>
              <w:t>序号</w:t>
            </w:r>
          </w:p>
        </w:tc>
        <w:tc>
          <w:tcPr>
            <w:tcW w:w="1429" w:type="dxa"/>
            <w:shd w:val="clear" w:color="auto" w:fill="auto"/>
            <w:vAlign w:val="center"/>
          </w:tcPr>
          <w:p>
            <w:pPr>
              <w:jc w:val="center"/>
              <w:rPr>
                <w:rFonts w:ascii="宋体" w:hAnsi="宋体"/>
                <w:sz w:val="24"/>
              </w:rPr>
            </w:pPr>
            <w:r>
              <w:rPr>
                <w:rFonts w:hint="eastAsia" w:ascii="宋体" w:hAnsi="宋体"/>
                <w:sz w:val="24"/>
              </w:rPr>
              <w:t>产品名称</w:t>
            </w:r>
          </w:p>
        </w:tc>
        <w:tc>
          <w:tcPr>
            <w:tcW w:w="1855" w:type="dxa"/>
            <w:shd w:val="clear" w:color="auto" w:fill="auto"/>
            <w:vAlign w:val="center"/>
          </w:tcPr>
          <w:p>
            <w:pPr>
              <w:jc w:val="center"/>
              <w:rPr>
                <w:rFonts w:ascii="宋体" w:hAnsi="宋体"/>
                <w:sz w:val="24"/>
              </w:rPr>
            </w:pPr>
            <w:r>
              <w:rPr>
                <w:rFonts w:hint="eastAsia" w:ascii="宋体" w:hAnsi="宋体"/>
                <w:sz w:val="24"/>
              </w:rPr>
              <w:t>数量（台）</w:t>
            </w:r>
          </w:p>
        </w:tc>
        <w:tc>
          <w:tcPr>
            <w:tcW w:w="2309" w:type="dxa"/>
            <w:shd w:val="clear" w:color="auto" w:fill="auto"/>
            <w:vAlign w:val="center"/>
          </w:tcPr>
          <w:p>
            <w:pPr>
              <w:jc w:val="center"/>
              <w:rPr>
                <w:rFonts w:ascii="宋体" w:hAnsi="宋体"/>
                <w:sz w:val="24"/>
              </w:rPr>
            </w:pPr>
            <w:r>
              <w:rPr>
                <w:rFonts w:hint="eastAsia" w:ascii="宋体" w:hAnsi="宋体"/>
                <w:sz w:val="24"/>
              </w:rPr>
              <w:t>单价限价（万元）</w:t>
            </w:r>
          </w:p>
        </w:tc>
        <w:tc>
          <w:tcPr>
            <w:tcW w:w="1822" w:type="dxa"/>
            <w:shd w:val="clear" w:color="auto" w:fill="auto"/>
            <w:vAlign w:val="center"/>
          </w:tcPr>
          <w:p>
            <w:pPr>
              <w:jc w:val="center"/>
              <w:rPr>
                <w:rFonts w:ascii="宋体" w:hAnsi="宋体"/>
                <w:sz w:val="24"/>
              </w:rPr>
            </w:pPr>
            <w:r>
              <w:rPr>
                <w:rFonts w:hint="eastAsia" w:ascii="宋体" w:hAnsi="宋体"/>
                <w:sz w:val="24"/>
              </w:rPr>
              <w:t>合价限价（万元）</w:t>
            </w:r>
          </w:p>
        </w:tc>
        <w:tc>
          <w:tcPr>
            <w:tcW w:w="1822" w:type="dxa"/>
            <w:shd w:val="clear" w:color="auto" w:fill="auto"/>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5" w:type="dxa"/>
            <w:shd w:val="clear" w:color="auto" w:fill="auto"/>
            <w:vAlign w:val="center"/>
          </w:tcPr>
          <w:p>
            <w:pPr>
              <w:jc w:val="center"/>
              <w:rPr>
                <w:rFonts w:ascii="宋体" w:hAnsi="宋体"/>
                <w:sz w:val="24"/>
              </w:rPr>
            </w:pPr>
            <w:r>
              <w:rPr>
                <w:rFonts w:hint="eastAsia" w:ascii="宋体" w:hAnsi="宋体"/>
                <w:sz w:val="24"/>
              </w:rPr>
              <w:t>1</w:t>
            </w:r>
          </w:p>
        </w:tc>
        <w:tc>
          <w:tcPr>
            <w:tcW w:w="1429" w:type="dxa"/>
            <w:shd w:val="clear" w:color="auto" w:fill="auto"/>
            <w:vAlign w:val="center"/>
          </w:tcPr>
          <w:p>
            <w:pPr>
              <w:jc w:val="center"/>
              <w:rPr>
                <w:rFonts w:ascii="宋体" w:hAnsi="宋体"/>
                <w:sz w:val="24"/>
              </w:rPr>
            </w:pPr>
            <w:r>
              <w:rPr>
                <w:rFonts w:hint="eastAsia" w:ascii="宋体" w:hAnsi="宋体"/>
                <w:sz w:val="24"/>
              </w:rPr>
              <w:t>电动自行走高空作业升降平台18米</w:t>
            </w:r>
          </w:p>
        </w:tc>
        <w:tc>
          <w:tcPr>
            <w:tcW w:w="1855" w:type="dxa"/>
            <w:shd w:val="clear" w:color="auto" w:fill="auto"/>
            <w:vAlign w:val="center"/>
          </w:tcPr>
          <w:p>
            <w:pPr>
              <w:jc w:val="center"/>
              <w:rPr>
                <w:rFonts w:ascii="宋体" w:hAnsi="宋体"/>
                <w:sz w:val="24"/>
              </w:rPr>
            </w:pPr>
            <w:r>
              <w:rPr>
                <w:rFonts w:hint="eastAsia" w:ascii="宋体" w:hAnsi="宋体"/>
                <w:sz w:val="24"/>
              </w:rPr>
              <w:t>4</w:t>
            </w:r>
          </w:p>
        </w:tc>
        <w:tc>
          <w:tcPr>
            <w:tcW w:w="2309" w:type="dxa"/>
            <w:shd w:val="clear" w:color="auto" w:fill="auto"/>
            <w:vAlign w:val="center"/>
          </w:tcPr>
          <w:p>
            <w:pPr>
              <w:jc w:val="center"/>
              <w:rPr>
                <w:rFonts w:ascii="宋体" w:hAnsi="宋体"/>
                <w:sz w:val="24"/>
              </w:rPr>
            </w:pPr>
            <w:r>
              <w:rPr>
                <w:rFonts w:hint="eastAsia" w:ascii="宋体" w:hAnsi="宋体"/>
                <w:sz w:val="24"/>
              </w:rPr>
              <w:t>36</w:t>
            </w:r>
          </w:p>
        </w:tc>
        <w:tc>
          <w:tcPr>
            <w:tcW w:w="1822" w:type="dxa"/>
            <w:shd w:val="clear" w:color="auto" w:fill="auto"/>
            <w:vAlign w:val="center"/>
          </w:tcPr>
          <w:p>
            <w:pPr>
              <w:jc w:val="center"/>
              <w:rPr>
                <w:rFonts w:ascii="宋体" w:hAnsi="宋体"/>
                <w:sz w:val="24"/>
              </w:rPr>
            </w:pPr>
            <w:r>
              <w:rPr>
                <w:rFonts w:hint="eastAsia" w:ascii="宋体" w:hAnsi="宋体"/>
                <w:sz w:val="24"/>
              </w:rPr>
              <w:t>144</w:t>
            </w:r>
          </w:p>
        </w:tc>
        <w:tc>
          <w:tcPr>
            <w:tcW w:w="1822"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5" w:type="dxa"/>
            <w:shd w:val="clear" w:color="auto" w:fill="auto"/>
            <w:vAlign w:val="center"/>
          </w:tcPr>
          <w:p>
            <w:pPr>
              <w:jc w:val="center"/>
              <w:rPr>
                <w:rFonts w:ascii="宋体" w:hAnsi="宋体"/>
                <w:sz w:val="24"/>
              </w:rPr>
            </w:pPr>
            <w:r>
              <w:rPr>
                <w:rFonts w:hint="eastAsia" w:ascii="宋体" w:hAnsi="宋体"/>
                <w:sz w:val="24"/>
              </w:rPr>
              <w:t>2</w:t>
            </w:r>
          </w:p>
        </w:tc>
        <w:tc>
          <w:tcPr>
            <w:tcW w:w="1429" w:type="dxa"/>
            <w:shd w:val="clear" w:color="auto" w:fill="auto"/>
            <w:vAlign w:val="center"/>
          </w:tcPr>
          <w:p>
            <w:pPr>
              <w:jc w:val="center"/>
              <w:rPr>
                <w:rFonts w:ascii="宋体" w:hAnsi="宋体"/>
                <w:sz w:val="24"/>
              </w:rPr>
            </w:pPr>
            <w:r>
              <w:rPr>
                <w:rFonts w:hint="eastAsia" w:ascii="宋体" w:hAnsi="宋体"/>
                <w:sz w:val="24"/>
              </w:rPr>
              <w:t>电动自行走高空作业升降平台24米</w:t>
            </w:r>
          </w:p>
        </w:tc>
        <w:tc>
          <w:tcPr>
            <w:tcW w:w="1855" w:type="dxa"/>
            <w:shd w:val="clear" w:color="auto" w:fill="auto"/>
            <w:vAlign w:val="center"/>
          </w:tcPr>
          <w:p>
            <w:pPr>
              <w:jc w:val="center"/>
              <w:rPr>
                <w:rFonts w:ascii="宋体" w:hAnsi="宋体"/>
                <w:sz w:val="24"/>
              </w:rPr>
            </w:pPr>
            <w:r>
              <w:rPr>
                <w:rFonts w:hint="eastAsia" w:ascii="宋体" w:hAnsi="宋体"/>
                <w:sz w:val="24"/>
              </w:rPr>
              <w:t>2</w:t>
            </w:r>
          </w:p>
        </w:tc>
        <w:tc>
          <w:tcPr>
            <w:tcW w:w="2309" w:type="dxa"/>
            <w:shd w:val="clear" w:color="auto" w:fill="auto"/>
            <w:vAlign w:val="center"/>
          </w:tcPr>
          <w:p>
            <w:pPr>
              <w:jc w:val="center"/>
              <w:rPr>
                <w:rFonts w:ascii="宋体" w:hAnsi="宋体"/>
                <w:sz w:val="24"/>
              </w:rPr>
            </w:pPr>
            <w:r>
              <w:rPr>
                <w:rFonts w:hint="eastAsia" w:ascii="宋体" w:hAnsi="宋体"/>
                <w:sz w:val="24"/>
              </w:rPr>
              <w:t>60</w:t>
            </w:r>
          </w:p>
        </w:tc>
        <w:tc>
          <w:tcPr>
            <w:tcW w:w="1822" w:type="dxa"/>
            <w:shd w:val="clear" w:color="auto" w:fill="auto"/>
            <w:vAlign w:val="center"/>
          </w:tcPr>
          <w:p>
            <w:pPr>
              <w:jc w:val="center"/>
              <w:rPr>
                <w:rFonts w:ascii="宋体" w:hAnsi="宋体"/>
                <w:sz w:val="24"/>
              </w:rPr>
            </w:pPr>
            <w:r>
              <w:rPr>
                <w:rFonts w:hint="eastAsia" w:ascii="宋体" w:hAnsi="宋体"/>
                <w:sz w:val="24"/>
              </w:rPr>
              <w:t>120</w:t>
            </w:r>
          </w:p>
        </w:tc>
        <w:tc>
          <w:tcPr>
            <w:tcW w:w="1822"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5" w:type="dxa"/>
            <w:shd w:val="clear" w:color="auto" w:fill="auto"/>
            <w:vAlign w:val="center"/>
          </w:tcPr>
          <w:p>
            <w:pPr>
              <w:jc w:val="center"/>
              <w:rPr>
                <w:rFonts w:ascii="宋体" w:hAnsi="宋体"/>
                <w:sz w:val="24"/>
              </w:rPr>
            </w:pPr>
            <w:r>
              <w:rPr>
                <w:rFonts w:hint="eastAsia" w:ascii="宋体" w:hAnsi="宋体"/>
                <w:sz w:val="24"/>
              </w:rPr>
              <w:t>3</w:t>
            </w:r>
          </w:p>
        </w:tc>
        <w:tc>
          <w:tcPr>
            <w:tcW w:w="1429" w:type="dxa"/>
            <w:shd w:val="clear" w:color="auto" w:fill="auto"/>
            <w:vAlign w:val="center"/>
          </w:tcPr>
          <w:p>
            <w:pPr>
              <w:jc w:val="center"/>
              <w:rPr>
                <w:rFonts w:ascii="宋体" w:hAnsi="宋体"/>
                <w:sz w:val="24"/>
              </w:rPr>
            </w:pPr>
            <w:r>
              <w:rPr>
                <w:rFonts w:hint="eastAsia" w:ascii="宋体" w:hAnsi="宋体"/>
                <w:sz w:val="24"/>
              </w:rPr>
              <w:t>电动自行走高空作业升降平台28米</w:t>
            </w:r>
          </w:p>
        </w:tc>
        <w:tc>
          <w:tcPr>
            <w:tcW w:w="1855" w:type="dxa"/>
            <w:shd w:val="clear" w:color="auto" w:fill="auto"/>
            <w:vAlign w:val="center"/>
          </w:tcPr>
          <w:p>
            <w:pPr>
              <w:jc w:val="center"/>
              <w:rPr>
                <w:rFonts w:ascii="宋体" w:hAnsi="宋体"/>
                <w:sz w:val="24"/>
              </w:rPr>
            </w:pPr>
            <w:r>
              <w:rPr>
                <w:rFonts w:hint="eastAsia" w:ascii="宋体" w:hAnsi="宋体"/>
                <w:sz w:val="24"/>
              </w:rPr>
              <w:t>1</w:t>
            </w:r>
          </w:p>
        </w:tc>
        <w:tc>
          <w:tcPr>
            <w:tcW w:w="2309" w:type="dxa"/>
            <w:shd w:val="clear" w:color="auto" w:fill="auto"/>
            <w:vAlign w:val="center"/>
          </w:tcPr>
          <w:p>
            <w:pPr>
              <w:jc w:val="center"/>
              <w:rPr>
                <w:rFonts w:ascii="宋体" w:hAnsi="宋体"/>
                <w:sz w:val="24"/>
              </w:rPr>
            </w:pPr>
            <w:r>
              <w:rPr>
                <w:rFonts w:hint="eastAsia" w:ascii="宋体" w:hAnsi="宋体"/>
                <w:sz w:val="24"/>
              </w:rPr>
              <w:t>80</w:t>
            </w:r>
          </w:p>
        </w:tc>
        <w:tc>
          <w:tcPr>
            <w:tcW w:w="1822" w:type="dxa"/>
            <w:shd w:val="clear" w:color="auto" w:fill="auto"/>
            <w:vAlign w:val="center"/>
          </w:tcPr>
          <w:p>
            <w:pPr>
              <w:jc w:val="center"/>
              <w:rPr>
                <w:rFonts w:ascii="宋体" w:hAnsi="宋体"/>
                <w:sz w:val="24"/>
              </w:rPr>
            </w:pPr>
            <w:r>
              <w:rPr>
                <w:rFonts w:hint="eastAsia" w:ascii="宋体" w:hAnsi="宋体"/>
                <w:sz w:val="24"/>
              </w:rPr>
              <w:t>80</w:t>
            </w:r>
          </w:p>
        </w:tc>
        <w:tc>
          <w:tcPr>
            <w:tcW w:w="1822"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15" w:type="dxa"/>
            <w:shd w:val="clear" w:color="auto" w:fill="auto"/>
            <w:vAlign w:val="center"/>
          </w:tcPr>
          <w:p>
            <w:pPr>
              <w:jc w:val="center"/>
              <w:rPr>
                <w:rFonts w:ascii="宋体" w:hAnsi="宋体"/>
                <w:sz w:val="24"/>
              </w:rPr>
            </w:pPr>
            <w:r>
              <w:rPr>
                <w:rFonts w:hint="eastAsia" w:ascii="宋体" w:hAnsi="宋体"/>
                <w:sz w:val="24"/>
              </w:rPr>
              <w:t>4</w:t>
            </w:r>
          </w:p>
        </w:tc>
        <w:tc>
          <w:tcPr>
            <w:tcW w:w="1429" w:type="dxa"/>
            <w:shd w:val="clear" w:color="auto" w:fill="auto"/>
            <w:vAlign w:val="center"/>
          </w:tcPr>
          <w:p>
            <w:pPr>
              <w:jc w:val="center"/>
              <w:rPr>
                <w:rFonts w:ascii="宋体" w:hAnsi="宋体"/>
                <w:sz w:val="24"/>
              </w:rPr>
            </w:pPr>
            <w:r>
              <w:rPr>
                <w:rFonts w:hint="eastAsia" w:ascii="宋体" w:hAnsi="宋体"/>
                <w:sz w:val="24"/>
              </w:rPr>
              <w:t>充电桩</w:t>
            </w:r>
          </w:p>
        </w:tc>
        <w:tc>
          <w:tcPr>
            <w:tcW w:w="1855" w:type="dxa"/>
            <w:shd w:val="clear" w:color="auto" w:fill="auto"/>
            <w:vAlign w:val="center"/>
          </w:tcPr>
          <w:p>
            <w:pPr>
              <w:jc w:val="center"/>
              <w:rPr>
                <w:rFonts w:ascii="宋体" w:hAnsi="宋体"/>
                <w:sz w:val="24"/>
              </w:rPr>
            </w:pPr>
            <w:r>
              <w:rPr>
                <w:rFonts w:hint="eastAsia" w:ascii="宋体" w:hAnsi="宋体"/>
                <w:sz w:val="24"/>
              </w:rPr>
              <w:t>2</w:t>
            </w:r>
          </w:p>
        </w:tc>
        <w:tc>
          <w:tcPr>
            <w:tcW w:w="2309" w:type="dxa"/>
            <w:shd w:val="clear" w:color="auto" w:fill="auto"/>
            <w:vAlign w:val="center"/>
          </w:tcPr>
          <w:p>
            <w:pPr>
              <w:jc w:val="center"/>
              <w:rPr>
                <w:rFonts w:ascii="宋体" w:hAnsi="宋体"/>
                <w:sz w:val="24"/>
              </w:rPr>
            </w:pPr>
            <w:r>
              <w:rPr>
                <w:rFonts w:hint="eastAsia" w:ascii="宋体" w:hAnsi="宋体"/>
                <w:sz w:val="24"/>
              </w:rPr>
              <w:t>3</w:t>
            </w:r>
          </w:p>
        </w:tc>
        <w:tc>
          <w:tcPr>
            <w:tcW w:w="1822" w:type="dxa"/>
            <w:shd w:val="clear" w:color="auto" w:fill="auto"/>
            <w:vAlign w:val="center"/>
          </w:tcPr>
          <w:p>
            <w:pPr>
              <w:jc w:val="center"/>
              <w:rPr>
                <w:rFonts w:ascii="宋体" w:hAnsi="宋体"/>
                <w:sz w:val="24"/>
              </w:rPr>
            </w:pPr>
            <w:r>
              <w:rPr>
                <w:rFonts w:hint="eastAsia" w:ascii="宋体" w:hAnsi="宋体"/>
                <w:sz w:val="24"/>
              </w:rPr>
              <w:t>6</w:t>
            </w:r>
          </w:p>
        </w:tc>
        <w:tc>
          <w:tcPr>
            <w:tcW w:w="1822" w:type="dxa"/>
            <w:shd w:val="clear" w:color="auto" w:fill="auto"/>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208" w:type="dxa"/>
            <w:gridSpan w:val="4"/>
            <w:shd w:val="clear" w:color="auto" w:fill="auto"/>
            <w:vAlign w:val="center"/>
          </w:tcPr>
          <w:p>
            <w:pPr>
              <w:jc w:val="center"/>
              <w:rPr>
                <w:rFonts w:ascii="宋体" w:hAnsi="宋体"/>
                <w:sz w:val="24"/>
              </w:rPr>
            </w:pPr>
            <w:r>
              <w:rPr>
                <w:rFonts w:hint="eastAsia" w:ascii="宋体" w:hAnsi="宋体"/>
                <w:sz w:val="24"/>
              </w:rPr>
              <w:t>总合计（万元）</w:t>
            </w:r>
          </w:p>
        </w:tc>
        <w:tc>
          <w:tcPr>
            <w:tcW w:w="1822" w:type="dxa"/>
            <w:shd w:val="clear" w:color="auto" w:fill="auto"/>
            <w:vAlign w:val="center"/>
          </w:tcPr>
          <w:p>
            <w:pPr>
              <w:jc w:val="center"/>
              <w:rPr>
                <w:rFonts w:ascii="宋体" w:hAnsi="宋体"/>
                <w:sz w:val="24"/>
              </w:rPr>
            </w:pPr>
            <w:r>
              <w:rPr>
                <w:rFonts w:hint="eastAsia" w:ascii="宋体" w:hAnsi="宋体"/>
                <w:sz w:val="24"/>
              </w:rPr>
              <w:t>350</w:t>
            </w:r>
          </w:p>
        </w:tc>
        <w:tc>
          <w:tcPr>
            <w:tcW w:w="1822" w:type="dxa"/>
            <w:shd w:val="clear" w:color="auto" w:fill="auto"/>
            <w:vAlign w:val="center"/>
          </w:tcPr>
          <w:p>
            <w:pPr>
              <w:jc w:val="center"/>
              <w:rPr>
                <w:rFonts w:ascii="宋体" w:hAnsi="宋体"/>
                <w:sz w:val="24"/>
              </w:rPr>
            </w:pPr>
          </w:p>
        </w:tc>
      </w:tr>
    </w:tbl>
    <w:p/>
    <w:p>
      <w:pPr>
        <w:spacing w:line="500" w:lineRule="exact"/>
      </w:pPr>
      <w:r>
        <w:rPr>
          <w:rFonts w:hint="eastAsia" w:ascii="宋体" w:hAnsi="宋体"/>
          <w:bCs/>
          <w:sz w:val="24"/>
        </w:rPr>
        <w:t>2.技术参数表：</w:t>
      </w:r>
    </w:p>
    <w:p>
      <w:pPr>
        <w:pStyle w:val="2"/>
        <w:rPr>
          <w:rFonts w:hAnsi="宋体"/>
        </w:rPr>
      </w:pPr>
      <w:r>
        <w:rPr>
          <w:rFonts w:hint="eastAsia" w:hAnsi="宋体"/>
        </w:rPr>
        <w:t>2.1电动自行走高空作业升降平台18米</w:t>
      </w:r>
    </w:p>
    <w:tbl>
      <w:tblPr>
        <w:tblStyle w:val="28"/>
        <w:tblW w:w="7975" w:type="dxa"/>
        <w:tblInd w:w="96" w:type="dxa"/>
        <w:tblLayout w:type="fixed"/>
        <w:tblCellMar>
          <w:top w:w="0" w:type="dxa"/>
          <w:left w:w="108" w:type="dxa"/>
          <w:bottom w:w="0" w:type="dxa"/>
          <w:right w:w="108" w:type="dxa"/>
        </w:tblCellMar>
      </w:tblPr>
      <w:tblGrid>
        <w:gridCol w:w="4510"/>
        <w:gridCol w:w="3465"/>
      </w:tblGrid>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最大工作高度</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≥18.00m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最大平台高度</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≥16.00m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最大水平伸距</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≥8.00m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最大跨越高度</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≥8.90m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整机长度(收拢状态)</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≤8.00m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整机长度(装箱状态)</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≤6.50m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整机宽度(收拢状态)</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≤1.73m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整机高度(收拢状态)</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≤2.30m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工作平台尺寸(长×宽)</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≥1.40m×0.60m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最小离地间隙</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≤0.20m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轴距</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≤2.00m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安全工作载荷</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≥230kg</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最大工作人数</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最小转弯半径(内轮/外轮)</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≤3m/6m</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转台回转角度</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360°不连续</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平台摆动角度</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180°</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小臂变幅角度</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+70°/-60°</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机器行驶速度（收拢状态）</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≤6.00km/h</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机器行驶速度（起升状态）</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≤1.00km/h</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最大爬坡能力</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工作最大允许角度</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X-3°/Y-3°</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蓄电池</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8×6V/420Ah</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充电器</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48V/25A</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驱动电机</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≥AC 48V/3.3kW</w:t>
            </w:r>
          </w:p>
        </w:tc>
      </w:tr>
      <w:tr>
        <w:tblPrEx>
          <w:tblCellMar>
            <w:top w:w="0" w:type="dxa"/>
            <w:left w:w="108" w:type="dxa"/>
            <w:bottom w:w="0" w:type="dxa"/>
            <w:right w:w="108" w:type="dxa"/>
          </w:tblCellMar>
        </w:tblPrEx>
        <w:trPr>
          <w:trHeight w:val="90" w:hRule="atLeast"/>
        </w:trPr>
        <w:tc>
          <w:tcPr>
            <w:tcW w:w="4510"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起升电机</w:t>
            </w:r>
          </w:p>
        </w:tc>
        <w:tc>
          <w:tcPr>
            <w:tcW w:w="3465" w:type="dxa"/>
            <w:tcBorders>
              <w:top w:val="single" w:color="auto" w:sz="4" w:space="0"/>
              <w:left w:val="single" w:color="auto" w:sz="4" w:space="0"/>
              <w:bottom w:val="single" w:color="auto" w:sz="4" w:space="0"/>
              <w:right w:val="single" w:color="auto" w:sz="4" w:space="0"/>
            </w:tcBorders>
            <w:shd w:val="clear" w:color="auto" w:fill="F5F5F5"/>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≥48V4.5kw</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液压油箱容积</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≥30L</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整机重量</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≥7400kg</w:t>
            </w:r>
          </w:p>
        </w:tc>
      </w:tr>
      <w:tr>
        <w:tblPrEx>
          <w:tblCellMar>
            <w:top w:w="0" w:type="dxa"/>
            <w:left w:w="108" w:type="dxa"/>
            <w:bottom w:w="0" w:type="dxa"/>
            <w:right w:w="108" w:type="dxa"/>
          </w:tblCellMar>
        </w:tblPrEx>
        <w:trPr>
          <w:trHeight w:val="260" w:hRule="atLeast"/>
        </w:trPr>
        <w:tc>
          <w:tcPr>
            <w:tcW w:w="4510"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szCs w:val="21"/>
              </w:rPr>
              <w:t>★</w:t>
            </w:r>
            <w:r>
              <w:rPr>
                <w:rFonts w:hint="eastAsia" w:ascii="宋体" w:hAnsi="宋体" w:cs="宋体"/>
                <w:color w:val="000000"/>
                <w:kern w:val="0"/>
                <w:sz w:val="24"/>
                <w:lang w:bidi="ar"/>
              </w:rPr>
              <w:t>驱动方式</w:t>
            </w:r>
          </w:p>
        </w:tc>
        <w:tc>
          <w:tcPr>
            <w:tcW w:w="3465" w:type="dxa"/>
            <w:tcBorders>
              <w:top w:val="single" w:color="auto" w:sz="4" w:space="0"/>
              <w:left w:val="single" w:color="auto" w:sz="4" w:space="0"/>
              <w:bottom w:val="single" w:color="auto" w:sz="4" w:space="0"/>
              <w:right w:val="single" w:color="auto" w:sz="4" w:space="0"/>
            </w:tcBorders>
            <w:shd w:val="clear" w:color="auto" w:fill="F0F1F2"/>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电池驱动</w:t>
            </w:r>
          </w:p>
        </w:tc>
      </w:tr>
    </w:tbl>
    <w:p/>
    <w:p>
      <w:pPr>
        <w:pStyle w:val="2"/>
        <w:rPr>
          <w:rFonts w:hAnsi="宋体"/>
        </w:rPr>
      </w:pPr>
      <w:r>
        <w:rPr>
          <w:rFonts w:hint="eastAsia"/>
        </w:rPr>
        <w:t>2.2</w:t>
      </w:r>
      <w:r>
        <w:rPr>
          <w:rFonts w:hint="eastAsia" w:hAnsi="宋体"/>
        </w:rPr>
        <w:t>电动自行走高空作业升降平台24米</w:t>
      </w:r>
    </w:p>
    <w:tbl>
      <w:tblPr>
        <w:tblStyle w:val="28"/>
        <w:tblW w:w="8095" w:type="dxa"/>
        <w:tblInd w:w="96" w:type="dxa"/>
        <w:tblLayout w:type="fixed"/>
        <w:tblCellMar>
          <w:top w:w="0" w:type="dxa"/>
          <w:left w:w="108" w:type="dxa"/>
          <w:bottom w:w="0" w:type="dxa"/>
          <w:right w:w="108" w:type="dxa"/>
        </w:tblCellMar>
      </w:tblPr>
      <w:tblGrid>
        <w:gridCol w:w="4510"/>
        <w:gridCol w:w="3585"/>
      </w:tblGrid>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最大工作高度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≥24.00m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最大平台高度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≥22.00m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最大水平伸距</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≥17.00m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整机长度（收拢状态）</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≤11.00m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整机长度（装箱状态）</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≤11.00m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整机宽度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整机宽度(运输状态)</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≤2.28m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整机高度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整机高度(运输状态)</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工作平台尺寸(长×宽)</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≤2.50m×1.00m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最小离地间隙</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≤0.41m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轴距</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≤2.80m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安全工作载荷</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≥450kg</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最大工作人数</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转台尾摆</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≥1.61m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最小转弯半径(内轮/外轮)</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≤3m/6m</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转台回转角度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360°连续</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平台摆动角度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180°</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小臂变幅角度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≥135°</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行驶速度(收拢状态)</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≤6.0m/h</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行驶速度(工作状态)</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≤1.1km/h</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最大爬坡能力</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最大允许工作角度</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X-5°/Y-5°</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锂电池</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520Ah/80V</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充电器</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5kW/80V,12V</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液压油箱</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150L</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整机重量</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≤14500kg</w:t>
            </w:r>
          </w:p>
        </w:tc>
      </w:tr>
      <w:tr>
        <w:tblPrEx>
          <w:tblCellMar>
            <w:top w:w="0" w:type="dxa"/>
            <w:left w:w="108" w:type="dxa"/>
            <w:bottom w:w="0" w:type="dxa"/>
            <w:right w:w="108" w:type="dxa"/>
          </w:tblCellMar>
        </w:tblPrEx>
        <w:trPr>
          <w:trHeight w:val="300" w:hRule="atLeast"/>
        </w:trPr>
        <w:tc>
          <w:tcPr>
            <w:tcW w:w="4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szCs w:val="21"/>
              </w:rPr>
              <w:t>★</w:t>
            </w:r>
            <w:r>
              <w:rPr>
                <w:rFonts w:hint="eastAsia" w:ascii="宋体" w:hAnsi="宋体" w:cs="宋体"/>
                <w:color w:val="000000"/>
                <w:kern w:val="0"/>
                <w:sz w:val="24"/>
                <w:lang w:bidi="ar"/>
              </w:rPr>
              <w:t>驱动方式</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电池驱动</w:t>
            </w:r>
          </w:p>
        </w:tc>
      </w:tr>
    </w:tbl>
    <w:p/>
    <w:p>
      <w:pPr>
        <w:pStyle w:val="2"/>
      </w:pPr>
    </w:p>
    <w:p>
      <w:r>
        <w:rPr>
          <w:rFonts w:hint="eastAsia" w:ascii="宋体" w:hAnsi="宋体"/>
          <w:sz w:val="24"/>
        </w:rPr>
        <w:t>2.3电动自行走高空作业升降平台28米</w:t>
      </w:r>
    </w:p>
    <w:tbl>
      <w:tblPr>
        <w:tblStyle w:val="28"/>
        <w:tblpPr w:leftFromText="180" w:rightFromText="180" w:vertAnchor="text" w:horzAnchor="page" w:tblpX="1517" w:tblpY="345"/>
        <w:tblOverlap w:val="never"/>
        <w:tblW w:w="8873" w:type="dxa"/>
        <w:tblInd w:w="0" w:type="dxa"/>
        <w:tblLayout w:type="fixed"/>
        <w:tblCellMar>
          <w:top w:w="0" w:type="dxa"/>
          <w:left w:w="108" w:type="dxa"/>
          <w:bottom w:w="0" w:type="dxa"/>
          <w:right w:w="108" w:type="dxa"/>
        </w:tblCellMar>
      </w:tblPr>
      <w:tblGrid>
        <w:gridCol w:w="3915"/>
        <w:gridCol w:w="4958"/>
      </w:tblGrid>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最大工作高度</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≥28.00m</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最大平台高度</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≥26.00m</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最大水平伸距</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≥21.00m</w:t>
            </w:r>
          </w:p>
        </w:tc>
      </w:tr>
      <w:tr>
        <w:tblPrEx>
          <w:tblCellMar>
            <w:top w:w="0" w:type="dxa"/>
            <w:left w:w="108" w:type="dxa"/>
            <w:bottom w:w="0" w:type="dxa"/>
            <w:right w:w="108" w:type="dxa"/>
          </w:tblCellMar>
        </w:tblPrEx>
        <w:trPr>
          <w:trHeight w:val="384"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整机长度（收拢状态）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≤12.00m</w:t>
            </w:r>
          </w:p>
        </w:tc>
      </w:tr>
      <w:tr>
        <w:tblPrEx>
          <w:tblCellMar>
            <w:top w:w="0" w:type="dxa"/>
            <w:left w:w="108" w:type="dxa"/>
            <w:bottom w:w="0" w:type="dxa"/>
            <w:right w:w="108" w:type="dxa"/>
          </w:tblCellMar>
        </w:tblPrEx>
        <w:trPr>
          <w:trHeight w:val="396"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整机长度（装箱状态）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≤12.00m</w:t>
            </w:r>
          </w:p>
        </w:tc>
      </w:tr>
      <w:tr>
        <w:tblPrEx>
          <w:tblCellMar>
            <w:top w:w="0" w:type="dxa"/>
            <w:left w:w="108" w:type="dxa"/>
            <w:bottom w:w="0" w:type="dxa"/>
            <w:right w:w="108" w:type="dxa"/>
          </w:tblCellMar>
        </w:tblPrEx>
        <w:trPr>
          <w:trHeight w:val="360"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整机宽度（收拢状态）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≤3.00m</w:t>
            </w:r>
          </w:p>
        </w:tc>
      </w:tr>
      <w:tr>
        <w:tblPrEx>
          <w:tblCellMar>
            <w:top w:w="0" w:type="dxa"/>
            <w:left w:w="108" w:type="dxa"/>
            <w:bottom w:w="0" w:type="dxa"/>
            <w:right w:w="108" w:type="dxa"/>
          </w:tblCellMar>
        </w:tblPrEx>
        <w:trPr>
          <w:trHeight w:val="396"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整机宽度（装箱状态）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≤2.28m</w:t>
            </w:r>
          </w:p>
        </w:tc>
      </w:tr>
      <w:tr>
        <w:tblPrEx>
          <w:tblCellMar>
            <w:top w:w="0" w:type="dxa"/>
            <w:left w:w="108" w:type="dxa"/>
            <w:bottom w:w="0" w:type="dxa"/>
            <w:right w:w="108" w:type="dxa"/>
          </w:tblCellMar>
        </w:tblPrEx>
        <w:trPr>
          <w:trHeight w:val="444"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整机高度（收拢状态）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≤3.00m</w:t>
            </w:r>
          </w:p>
        </w:tc>
      </w:tr>
      <w:tr>
        <w:tblPrEx>
          <w:tblCellMar>
            <w:top w:w="0" w:type="dxa"/>
            <w:left w:w="108" w:type="dxa"/>
            <w:bottom w:w="0" w:type="dxa"/>
            <w:right w:w="108" w:type="dxa"/>
          </w:tblCellMar>
        </w:tblPrEx>
        <w:trPr>
          <w:trHeight w:val="43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w:t>
            </w:r>
            <w:r>
              <w:rPr>
                <w:rStyle w:val="68"/>
                <w:rFonts w:hint="default" w:ascii="宋体" w:hAnsi="宋体" w:eastAsia="宋体" w:cs="宋体"/>
                <w:sz w:val="24"/>
                <w:szCs w:val="24"/>
                <w:lang w:bidi="ar"/>
              </w:rPr>
              <w:t>高度（装箱状态）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≤3.00m</w:t>
            </w:r>
          </w:p>
        </w:tc>
      </w:tr>
      <w:tr>
        <w:tblPrEx>
          <w:tblCellMar>
            <w:top w:w="0" w:type="dxa"/>
            <w:left w:w="108" w:type="dxa"/>
            <w:bottom w:w="0" w:type="dxa"/>
            <w:right w:w="108" w:type="dxa"/>
          </w:tblCellMar>
        </w:tblPrEx>
        <w:trPr>
          <w:trHeight w:val="456"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工作平台尺寸(长×宽)</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≥2.40m×0.90m</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最小离地间隙</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≤0.41m</w:t>
            </w:r>
          </w:p>
        </w:tc>
      </w:tr>
      <w:tr>
        <w:tblPrEx>
          <w:tblCellMar>
            <w:top w:w="0" w:type="dxa"/>
            <w:left w:w="108" w:type="dxa"/>
            <w:bottom w:w="0" w:type="dxa"/>
            <w:right w:w="108" w:type="dxa"/>
          </w:tblCellMar>
        </w:tblPrEx>
        <w:trPr>
          <w:trHeight w:val="25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轴距</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≤2.80m</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安全工作载荷</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≥450kg</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最大工作人数</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转台尾摆</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≥1.60m</w:t>
            </w:r>
          </w:p>
        </w:tc>
      </w:tr>
      <w:tr>
        <w:tblPrEx>
          <w:tblCellMar>
            <w:top w:w="0" w:type="dxa"/>
            <w:left w:w="108" w:type="dxa"/>
            <w:bottom w:w="0" w:type="dxa"/>
            <w:right w:w="108" w:type="dxa"/>
          </w:tblCellMar>
        </w:tblPrEx>
        <w:trPr>
          <w:trHeight w:val="324"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最小转弯半径(内轮/外轮)</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≤3.00m/6.00m</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转台回转角度</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360°连续</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平台摆动角度</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180°</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小臂变幅角度</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≥135°</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行驶速度(收拢状态)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≤6.0km/h</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行驶速度(工作状态)</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≤1.1km/h</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最大爬坡能力</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szCs w:val="21"/>
              </w:rPr>
              <w:t>★</w:t>
            </w:r>
            <w:r>
              <w:rPr>
                <w:rFonts w:hint="eastAsia" w:ascii="宋体" w:hAnsi="宋体" w:cs="宋体"/>
                <w:color w:val="000000"/>
                <w:kern w:val="0"/>
                <w:sz w:val="24"/>
                <w:lang w:bidi="ar"/>
              </w:rPr>
              <w:t>最大允许工作角度</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X-5°/Y-5°</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锂电池</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520Ah/80V</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充电器</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5kW/80V,12V</w:t>
            </w:r>
          </w:p>
        </w:tc>
      </w:tr>
      <w:tr>
        <w:tblPrEx>
          <w:tblCellMar>
            <w:top w:w="0" w:type="dxa"/>
            <w:left w:w="108" w:type="dxa"/>
            <w:bottom w:w="0" w:type="dxa"/>
            <w:right w:w="108" w:type="dxa"/>
          </w:tblCellMar>
        </w:tblPrEx>
        <w:trPr>
          <w:trHeight w:val="312"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液压油箱</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150L</w:t>
            </w:r>
          </w:p>
        </w:tc>
      </w:tr>
      <w:tr>
        <w:tblPrEx>
          <w:tblCellMar>
            <w:top w:w="0" w:type="dxa"/>
            <w:left w:w="108" w:type="dxa"/>
            <w:bottom w:w="0" w:type="dxa"/>
            <w:right w:w="108" w:type="dxa"/>
          </w:tblCellMar>
        </w:tblPrEx>
        <w:trPr>
          <w:trHeight w:val="456"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整机重量</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18400kg</w:t>
            </w:r>
          </w:p>
        </w:tc>
      </w:tr>
      <w:tr>
        <w:tblPrEx>
          <w:tblCellMar>
            <w:top w:w="0" w:type="dxa"/>
            <w:left w:w="108" w:type="dxa"/>
            <w:bottom w:w="0" w:type="dxa"/>
            <w:right w:w="108" w:type="dxa"/>
          </w:tblCellMar>
        </w:tblPrEx>
        <w:trPr>
          <w:trHeight w:val="456" w:hRule="atLeast"/>
        </w:trPr>
        <w:tc>
          <w:tcPr>
            <w:tcW w:w="39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szCs w:val="21"/>
              </w:rPr>
              <w:t>★</w:t>
            </w:r>
            <w:r>
              <w:rPr>
                <w:rFonts w:hint="eastAsia" w:ascii="宋体" w:hAnsi="宋体" w:cs="宋体"/>
                <w:color w:val="000000"/>
                <w:kern w:val="0"/>
                <w:sz w:val="24"/>
                <w:lang w:bidi="ar"/>
              </w:rPr>
              <w:t>驱动方式</w:t>
            </w:r>
          </w:p>
        </w:tc>
        <w:tc>
          <w:tcPr>
            <w:tcW w:w="49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电池驱动</w:t>
            </w:r>
          </w:p>
        </w:tc>
      </w:tr>
    </w:tbl>
    <w:p>
      <w:pPr>
        <w:rPr>
          <w:rFonts w:ascii="宋体" w:hAnsi="宋体"/>
          <w:sz w:val="24"/>
        </w:rPr>
      </w:pPr>
    </w:p>
    <w:p>
      <w:pPr>
        <w:rPr>
          <w:rFonts w:ascii="宋体" w:hAnsi="宋体"/>
          <w:sz w:val="24"/>
        </w:rPr>
      </w:pPr>
      <w:r>
        <w:rPr>
          <w:rFonts w:hint="eastAsia" w:ascii="宋体" w:hAnsi="宋体"/>
          <w:sz w:val="24"/>
        </w:rPr>
        <w:t>2.4充电桩参数：</w:t>
      </w:r>
    </w:p>
    <w:tbl>
      <w:tblPr>
        <w:tblStyle w:val="29"/>
        <w:tblW w:w="8935"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830"/>
        <w:gridCol w:w="330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85" w:type="dxa"/>
            <w:vMerge w:val="restart"/>
            <w:vAlign w:val="center"/>
          </w:tcPr>
          <w:p>
            <w:pPr>
              <w:jc w:val="center"/>
            </w:pPr>
            <w:r>
              <w:rPr>
                <w:rFonts w:hint="eastAsia"/>
              </w:rPr>
              <w:t>输入特性</w:t>
            </w:r>
          </w:p>
        </w:tc>
        <w:tc>
          <w:tcPr>
            <w:tcW w:w="1830" w:type="dxa"/>
          </w:tcPr>
          <w:p>
            <w:r>
              <w:rPr>
                <w:rFonts w:hint="eastAsia"/>
              </w:rPr>
              <w:t>输入电压</w:t>
            </w:r>
          </w:p>
        </w:tc>
        <w:tc>
          <w:tcPr>
            <w:tcW w:w="5520" w:type="dxa"/>
            <w:gridSpan w:val="2"/>
          </w:tcPr>
          <w:p>
            <w:r>
              <w:rPr>
                <w:rFonts w:hint="eastAsia"/>
              </w:rPr>
              <w:t>AC380V±15%三相五线制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交流频率</w:t>
            </w:r>
          </w:p>
        </w:tc>
        <w:tc>
          <w:tcPr>
            <w:tcW w:w="5520" w:type="dxa"/>
            <w:gridSpan w:val="2"/>
          </w:tcPr>
          <w:p>
            <w:r>
              <w:rPr>
                <w:rFonts w:hint="eastAsia"/>
              </w:rPr>
              <w:t>50±1Hz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功率因数</w:t>
            </w:r>
          </w:p>
        </w:tc>
        <w:tc>
          <w:tcPr>
            <w:tcW w:w="5520" w:type="dxa"/>
            <w:gridSpan w:val="2"/>
          </w:tcPr>
          <w:p>
            <w:r>
              <w:rPr>
                <w:rFonts w:hint="eastAsia"/>
              </w:rPr>
              <w:t>≥0.98（额定工况）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电流谐波畸变率</w:t>
            </w:r>
          </w:p>
        </w:tc>
        <w:tc>
          <w:tcPr>
            <w:tcW w:w="5520" w:type="dxa"/>
            <w:gridSpan w:val="2"/>
          </w:tcPr>
          <w:p>
            <w:r>
              <w:rPr>
                <w:rFonts w:hint="eastAsia"/>
              </w:rPr>
              <w:t>THDi≤5%（额定工况）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满载效率</w:t>
            </w:r>
          </w:p>
        </w:tc>
        <w:tc>
          <w:tcPr>
            <w:tcW w:w="5520" w:type="dxa"/>
            <w:gridSpan w:val="2"/>
          </w:tcPr>
          <w:p>
            <w:r>
              <w:rPr>
                <w:rFonts w:hint="eastAsia"/>
              </w:rPr>
              <w:t>≥94%（额定工况）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restart"/>
            <w:vAlign w:val="center"/>
          </w:tcPr>
          <w:p>
            <w:pPr>
              <w:jc w:val="center"/>
            </w:pPr>
            <w:r>
              <w:rPr>
                <w:rFonts w:hint="eastAsia"/>
              </w:rPr>
              <w:t>输出特性</w:t>
            </w:r>
          </w:p>
        </w:tc>
        <w:tc>
          <w:tcPr>
            <w:tcW w:w="1830" w:type="dxa"/>
          </w:tcPr>
          <w:p>
            <w:r>
              <w:rPr>
                <w:rFonts w:hint="eastAsia"/>
              </w:rPr>
              <w:t>额定输出功率</w:t>
            </w:r>
          </w:p>
        </w:tc>
        <w:tc>
          <w:tcPr>
            <w:tcW w:w="5520" w:type="dxa"/>
            <w:gridSpan w:val="2"/>
          </w:tcPr>
          <w:p>
            <w:r>
              <w:rPr>
                <w:rFonts w:hint="eastAsia"/>
              </w:rPr>
              <w:t>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输出电压范围</w:t>
            </w:r>
          </w:p>
        </w:tc>
        <w:tc>
          <w:tcPr>
            <w:tcW w:w="5520" w:type="dxa"/>
            <w:gridSpan w:val="2"/>
          </w:tcPr>
          <w:p>
            <w:r>
              <w:rPr>
                <w:rFonts w:hint="eastAsia"/>
              </w:rPr>
              <w:t>40-100V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输出电流范围</w:t>
            </w:r>
          </w:p>
        </w:tc>
        <w:tc>
          <w:tcPr>
            <w:tcW w:w="5520" w:type="dxa"/>
            <w:gridSpan w:val="2"/>
          </w:tcPr>
          <w:p>
            <w:r>
              <w:rPr>
                <w:rFonts w:hint="eastAsia"/>
              </w:rPr>
              <w:t>0-200A</w:t>
            </w:r>
          </w:p>
        </w:tc>
      </w:tr>
      <w:tr>
        <w:tblPrEx>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限流调节范围</w:t>
            </w:r>
          </w:p>
        </w:tc>
        <w:tc>
          <w:tcPr>
            <w:tcW w:w="5520" w:type="dxa"/>
            <w:gridSpan w:val="2"/>
          </w:tcPr>
          <w:p>
            <w:r>
              <w:rPr>
                <w:rFonts w:hint="eastAsia"/>
              </w:rPr>
              <w:t>20%~100%额定值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稳压精度</w:t>
            </w:r>
          </w:p>
        </w:tc>
        <w:tc>
          <w:tcPr>
            <w:tcW w:w="5520" w:type="dxa"/>
            <w:gridSpan w:val="2"/>
          </w:tcPr>
          <w:p>
            <w:r>
              <w:rPr>
                <w:rFonts w:hint="eastAsia"/>
              </w:rPr>
              <w:t>≤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稳流精度</w:t>
            </w:r>
          </w:p>
        </w:tc>
        <w:tc>
          <w:tcPr>
            <w:tcW w:w="5520" w:type="dxa"/>
            <w:gridSpan w:val="2"/>
          </w:tcPr>
          <w:p>
            <w:r>
              <w:rPr>
                <w:rFonts w:hint="eastAsia"/>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纹波系数</w:t>
            </w:r>
          </w:p>
        </w:tc>
        <w:tc>
          <w:tcPr>
            <w:tcW w:w="3309" w:type="dxa"/>
          </w:tcPr>
          <w:p>
            <w:r>
              <w:rPr>
                <w:rFonts w:hint="eastAsia"/>
              </w:rPr>
              <w:t>有效值系数：≤ 0.5%</w:t>
            </w:r>
          </w:p>
        </w:tc>
        <w:tc>
          <w:tcPr>
            <w:tcW w:w="2211" w:type="dxa"/>
          </w:tcPr>
          <w:p>
            <w:r>
              <w:rPr>
                <w:rFonts w:hint="eastAsia"/>
              </w:rPr>
              <w:t>峰值系数：≤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restart"/>
            <w:vAlign w:val="center"/>
          </w:tcPr>
          <w:p>
            <w:pPr>
              <w:jc w:val="center"/>
            </w:pPr>
            <w:r>
              <w:rPr>
                <w:rFonts w:hint="eastAsia"/>
              </w:rPr>
              <w:t>保护特性</w:t>
            </w:r>
          </w:p>
        </w:tc>
        <w:tc>
          <w:tcPr>
            <w:tcW w:w="1830" w:type="dxa"/>
          </w:tcPr>
          <w:p>
            <w:r>
              <w:rPr>
                <w:rFonts w:hint="eastAsia"/>
              </w:rPr>
              <w:t>输入过压保护</w:t>
            </w:r>
          </w:p>
        </w:tc>
        <w:tc>
          <w:tcPr>
            <w:tcW w:w="5520" w:type="dxa"/>
            <w:gridSpan w:val="2"/>
          </w:tcPr>
          <w:p>
            <w:r>
              <w:rPr>
                <w:rFonts w:hint="eastAsia"/>
              </w:rPr>
              <w:t>输入电压高于过压保护设定值时，充电机可以自动保护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输入欠压保护</w:t>
            </w:r>
          </w:p>
        </w:tc>
        <w:tc>
          <w:tcPr>
            <w:tcW w:w="5520" w:type="dxa"/>
            <w:gridSpan w:val="2"/>
          </w:tcPr>
          <w:p>
            <w:r>
              <w:rPr>
                <w:rFonts w:hint="eastAsia"/>
              </w:rPr>
              <w:t>输入电压低于欠压保护设定值时，充电机可以自动保护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输出过压保护</w:t>
            </w:r>
          </w:p>
        </w:tc>
        <w:tc>
          <w:tcPr>
            <w:tcW w:w="5520" w:type="dxa"/>
            <w:gridSpan w:val="2"/>
          </w:tcPr>
          <w:p>
            <w:r>
              <w:rPr>
                <w:rFonts w:hint="eastAsia"/>
              </w:rPr>
              <w:t>输出电压超过过压设定值时，充电机可以自动保护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85" w:type="dxa"/>
            <w:vMerge w:val="continue"/>
          </w:tcPr>
          <w:p/>
        </w:tc>
        <w:tc>
          <w:tcPr>
            <w:tcW w:w="1830" w:type="dxa"/>
          </w:tcPr>
          <w:p>
            <w:r>
              <w:rPr>
                <w:rFonts w:hint="eastAsia"/>
              </w:rPr>
              <w:t>输出短路保护</w:t>
            </w:r>
          </w:p>
        </w:tc>
        <w:tc>
          <w:tcPr>
            <w:tcW w:w="5520" w:type="dxa"/>
            <w:gridSpan w:val="2"/>
          </w:tcPr>
          <w:p>
            <w:r>
              <w:rPr>
                <w:rFonts w:hint="eastAsia"/>
              </w:rPr>
              <w:t>当输出短路时，充电机可以自动保护，故障点切除时，自动恢复。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85" w:type="dxa"/>
            <w:vMerge w:val="continue"/>
          </w:tcPr>
          <w:p/>
        </w:tc>
        <w:tc>
          <w:tcPr>
            <w:tcW w:w="1830" w:type="dxa"/>
          </w:tcPr>
          <w:p>
            <w:r>
              <w:rPr>
                <w:rFonts w:hint="eastAsia"/>
              </w:rPr>
              <w:t>过温保护</w:t>
            </w:r>
          </w:p>
        </w:tc>
        <w:tc>
          <w:tcPr>
            <w:tcW w:w="5520" w:type="dxa"/>
            <w:gridSpan w:val="2"/>
          </w:tcPr>
          <w:p>
            <w:r>
              <w:rPr>
                <w:rFonts w:hint="eastAsia"/>
              </w:rPr>
              <w:t>充电机内部温度超过过温设定值时，充电机可以自动保护</w:t>
            </w:r>
          </w:p>
        </w:tc>
      </w:tr>
      <w:tr>
        <w:tblPrEx>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通信保护</w:t>
            </w:r>
          </w:p>
        </w:tc>
        <w:tc>
          <w:tcPr>
            <w:tcW w:w="5520" w:type="dxa"/>
            <w:gridSpan w:val="2"/>
          </w:tcPr>
          <w:p>
            <w:r>
              <w:rPr>
                <w:rFonts w:hint="eastAsia"/>
              </w:rPr>
              <w:t>对电动汽车通信失败关机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restart"/>
            <w:vAlign w:val="center"/>
          </w:tcPr>
          <w:p>
            <w:pPr>
              <w:jc w:val="center"/>
            </w:pPr>
            <w:r>
              <w:rPr>
                <w:rFonts w:hint="eastAsia"/>
              </w:rPr>
              <w:t>人机界面</w:t>
            </w:r>
          </w:p>
        </w:tc>
        <w:tc>
          <w:tcPr>
            <w:tcW w:w="1830" w:type="dxa"/>
          </w:tcPr>
          <w:p>
            <w:r>
              <w:rPr>
                <w:rFonts w:hint="eastAsia"/>
              </w:rPr>
              <w:t>工作指示灯</w:t>
            </w:r>
          </w:p>
        </w:tc>
        <w:tc>
          <w:tcPr>
            <w:tcW w:w="5520" w:type="dxa"/>
            <w:gridSpan w:val="2"/>
          </w:tcPr>
          <w:p>
            <w:r>
              <w:rPr>
                <w:rFonts w:hint="eastAsia"/>
              </w:rPr>
              <w:t>至少显示待机、充电、告警状态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85" w:type="dxa"/>
            <w:vMerge w:val="continue"/>
          </w:tcPr>
          <w:p/>
        </w:tc>
        <w:tc>
          <w:tcPr>
            <w:tcW w:w="1830" w:type="dxa"/>
          </w:tcPr>
          <w:p>
            <w:r>
              <w:rPr>
                <w:rFonts w:hint="eastAsia"/>
              </w:rPr>
              <w:t>人机操作单元</w:t>
            </w:r>
          </w:p>
        </w:tc>
        <w:tc>
          <w:tcPr>
            <w:tcW w:w="5520" w:type="dxa"/>
            <w:gridSpan w:val="2"/>
          </w:tcPr>
          <w:p>
            <w:r>
              <w:rPr>
                <w:rFonts w:hint="eastAsia"/>
              </w:rPr>
              <w:t>配备≥4.3英寸彩色液晶触摸屏：显示充电信息、电池信息、人机操作界面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restart"/>
            <w:vAlign w:val="center"/>
          </w:tcPr>
          <w:p>
            <w:pPr>
              <w:jc w:val="center"/>
            </w:pPr>
            <w:r>
              <w:rPr>
                <w:rFonts w:hint="eastAsia"/>
              </w:rPr>
              <w:t>其他</w:t>
            </w:r>
          </w:p>
        </w:tc>
        <w:tc>
          <w:tcPr>
            <w:tcW w:w="1830" w:type="dxa"/>
          </w:tcPr>
          <w:p>
            <w:r>
              <w:rPr>
                <w:rFonts w:hint="eastAsia"/>
              </w:rPr>
              <w:t>辅助电源规格</w:t>
            </w:r>
          </w:p>
        </w:tc>
        <w:tc>
          <w:tcPr>
            <w:tcW w:w="5520" w:type="dxa"/>
            <w:gridSpan w:val="2"/>
          </w:tcPr>
          <w:p>
            <w:r>
              <w:rPr>
                <w:rFonts w:hint="eastAsia"/>
              </w:rPr>
              <w:t>DC 12V/10A</w:t>
            </w:r>
          </w:p>
        </w:tc>
      </w:tr>
      <w:tr>
        <w:tblPrEx>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使用环境温度</w:t>
            </w:r>
          </w:p>
        </w:tc>
        <w:tc>
          <w:tcPr>
            <w:tcW w:w="5520" w:type="dxa"/>
            <w:gridSpan w:val="2"/>
          </w:tcPr>
          <w:p>
            <w:r>
              <w:rPr>
                <w:rFonts w:hint="eastAsia"/>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5" w:type="dxa"/>
            <w:vMerge w:val="continue"/>
          </w:tcPr>
          <w:p/>
        </w:tc>
        <w:tc>
          <w:tcPr>
            <w:tcW w:w="1830" w:type="dxa"/>
          </w:tcPr>
          <w:p>
            <w:r>
              <w:rPr>
                <w:rFonts w:hint="eastAsia"/>
              </w:rPr>
              <w:t>音响噪声</w:t>
            </w:r>
          </w:p>
        </w:tc>
        <w:tc>
          <w:tcPr>
            <w:tcW w:w="5520" w:type="dxa"/>
            <w:gridSpan w:val="2"/>
          </w:tcPr>
          <w:p>
            <w:r>
              <w:rPr>
                <w:rFonts w:hint="eastAsia"/>
              </w:rPr>
              <w:t>≤ 65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85" w:type="dxa"/>
            <w:vMerge w:val="continue"/>
          </w:tcPr>
          <w:p/>
        </w:tc>
        <w:tc>
          <w:tcPr>
            <w:tcW w:w="1830" w:type="dxa"/>
          </w:tcPr>
          <w:p>
            <w:r>
              <w:rPr>
                <w:rFonts w:hint="eastAsia"/>
              </w:rPr>
              <w:t>防护等级</w:t>
            </w:r>
          </w:p>
        </w:tc>
        <w:tc>
          <w:tcPr>
            <w:tcW w:w="5520" w:type="dxa"/>
            <w:gridSpan w:val="2"/>
          </w:tcPr>
          <w:p>
            <w:r>
              <w:rPr>
                <w:rFonts w:hint="eastAsia"/>
              </w:rPr>
              <w:t>≥ IP54</w:t>
            </w:r>
          </w:p>
        </w:tc>
      </w:tr>
    </w:tbl>
    <w:p>
      <w:pPr>
        <w:pStyle w:val="2"/>
      </w:pPr>
    </w:p>
    <w:p>
      <w:pPr>
        <w:pStyle w:val="7"/>
        <w:spacing w:line="360" w:lineRule="auto"/>
        <w:ind w:firstLine="240" w:firstLineChars="100"/>
        <w:rPr>
          <w:rFonts w:cs="宋体"/>
          <w:b/>
          <w:bCs/>
          <w:color w:val="000000"/>
          <w:sz w:val="28"/>
          <w:szCs w:val="28"/>
        </w:rPr>
      </w:pPr>
      <w:r>
        <w:rPr>
          <w:rFonts w:hint="eastAsia" w:ascii="宋体" w:hAnsi="宋体"/>
          <w:sz w:val="24"/>
        </w:rPr>
        <w:t>注：带★为重要参数。</w:t>
      </w:r>
    </w:p>
    <w:p>
      <w:pPr>
        <w:pStyle w:val="2"/>
      </w:pPr>
    </w:p>
    <w:p>
      <w:pPr>
        <w:pStyle w:val="4"/>
        <w:spacing w:line="400" w:lineRule="exact"/>
        <w:ind w:firstLine="236" w:firstLineChars="98"/>
        <w:rPr>
          <w:rFonts w:ascii="宋体" w:hAnsi="宋体" w:eastAsia="宋体"/>
          <w:sz w:val="24"/>
          <w:szCs w:val="24"/>
        </w:rPr>
      </w:pPr>
      <w:r>
        <w:rPr>
          <w:rFonts w:hint="eastAsia" w:ascii="宋体" w:hAnsi="宋体" w:eastAsia="宋体"/>
          <w:sz w:val="24"/>
          <w:szCs w:val="24"/>
        </w:rPr>
        <w:t>（三）商务要求（实质性要求）</w:t>
      </w:r>
    </w:p>
    <w:p>
      <w:pPr>
        <w:spacing w:line="500" w:lineRule="exact"/>
        <w:rPr>
          <w:rFonts w:ascii="宋体" w:hAnsi="宋体"/>
          <w:bCs/>
          <w:sz w:val="24"/>
        </w:rPr>
      </w:pPr>
      <w:r>
        <w:rPr>
          <w:rFonts w:hint="eastAsia" w:ascii="宋体" w:hAnsi="宋体"/>
          <w:bCs/>
          <w:sz w:val="24"/>
        </w:rPr>
        <w:t>1．交货期限及地点</w:t>
      </w:r>
    </w:p>
    <w:p>
      <w:pPr>
        <w:spacing w:line="520" w:lineRule="exact"/>
        <w:rPr>
          <w:rFonts w:ascii="宋体" w:hAnsi="宋体"/>
          <w:sz w:val="24"/>
        </w:rPr>
      </w:pPr>
      <w:r>
        <w:rPr>
          <w:rFonts w:hint="eastAsia" w:ascii="宋体" w:hAnsi="宋体"/>
          <w:sz w:val="24"/>
        </w:rPr>
        <w:t xml:space="preserve">1.1 </w:t>
      </w:r>
      <w:r>
        <w:rPr>
          <w:rFonts w:hint="eastAsia" w:ascii="宋体" w:hAnsi="宋体"/>
          <w:bCs/>
          <w:sz w:val="24"/>
        </w:rPr>
        <w:t>交货</w:t>
      </w:r>
      <w:r>
        <w:rPr>
          <w:rFonts w:hint="eastAsia" w:ascii="宋体" w:hAnsi="宋体"/>
          <w:sz w:val="24"/>
        </w:rPr>
        <w:t>期限： 签订合同之日起</w:t>
      </w:r>
      <w:r>
        <w:rPr>
          <w:rFonts w:hint="eastAsia" w:ascii="宋体" w:hAnsi="宋体"/>
          <w:sz w:val="24"/>
          <w:lang w:val="en-US" w:eastAsia="zh-CN"/>
        </w:rPr>
        <w:t>45</w:t>
      </w:r>
      <w:r>
        <w:rPr>
          <w:rFonts w:hint="eastAsia" w:ascii="宋体" w:hAnsi="宋体"/>
          <w:sz w:val="24"/>
        </w:rPr>
        <w:t>日历天</w:t>
      </w:r>
    </w:p>
    <w:p>
      <w:pPr>
        <w:spacing w:line="520" w:lineRule="exact"/>
        <w:rPr>
          <w:rFonts w:ascii="宋体" w:hAnsi="宋体"/>
          <w:sz w:val="24"/>
        </w:rPr>
      </w:pPr>
      <w:r>
        <w:rPr>
          <w:rFonts w:hint="eastAsia" w:ascii="宋体" w:hAnsi="宋体"/>
          <w:sz w:val="24"/>
        </w:rPr>
        <w:t xml:space="preserve">1.2 </w:t>
      </w:r>
      <w:r>
        <w:rPr>
          <w:rFonts w:hint="eastAsia" w:ascii="宋体" w:hAnsi="宋体"/>
          <w:bCs/>
          <w:sz w:val="24"/>
        </w:rPr>
        <w:t>交货</w:t>
      </w:r>
      <w:r>
        <w:rPr>
          <w:rFonts w:hint="eastAsia" w:ascii="宋体" w:hAnsi="宋体"/>
          <w:sz w:val="24"/>
        </w:rPr>
        <w:t>地点: 采购人指定地点（成都市市区内）</w:t>
      </w:r>
    </w:p>
    <w:p>
      <w:pPr>
        <w:spacing w:line="500" w:lineRule="exact"/>
        <w:rPr>
          <w:rFonts w:ascii="宋体" w:hAnsi="宋体"/>
          <w:bCs/>
          <w:sz w:val="24"/>
        </w:rPr>
      </w:pPr>
      <w:r>
        <w:rPr>
          <w:rFonts w:hint="eastAsia" w:ascii="宋体" w:hAnsi="宋体"/>
          <w:bCs/>
          <w:sz w:val="24"/>
        </w:rPr>
        <w:t>2．付款方法和条件：</w:t>
      </w:r>
      <w:r>
        <w:rPr>
          <w:rFonts w:hint="eastAsia" w:ascii="宋体" w:hAnsi="宋体" w:cs="宋体"/>
          <w:color w:val="000000"/>
          <w:sz w:val="24"/>
          <w:szCs w:val="28"/>
        </w:rPr>
        <w:t>货物到场后并通过验收后</w:t>
      </w:r>
      <w:r>
        <w:rPr>
          <w:rFonts w:hint="eastAsia" w:ascii="宋体" w:hAnsi="宋体" w:cs="宋体"/>
          <w:sz w:val="24"/>
        </w:rPr>
        <w:t>根据财政资金到位情况</w:t>
      </w:r>
      <w:r>
        <w:rPr>
          <w:rFonts w:hint="eastAsia" w:ascii="宋体" w:hAnsi="宋体" w:cs="宋体"/>
          <w:color w:val="000000"/>
          <w:sz w:val="24"/>
          <w:szCs w:val="28"/>
        </w:rPr>
        <w:t>一次性支付全部合同款项。</w:t>
      </w:r>
    </w:p>
    <w:p>
      <w:pPr>
        <w:spacing w:line="360" w:lineRule="auto"/>
        <w:rPr>
          <w:rFonts w:hint="eastAsia" w:ascii="宋体" w:hAnsi="宋体"/>
          <w:sz w:val="24"/>
        </w:rPr>
      </w:pPr>
      <w:r>
        <w:rPr>
          <w:rFonts w:hint="eastAsia" w:ascii="宋体" w:hAnsi="宋体"/>
          <w:bCs/>
          <w:sz w:val="24"/>
        </w:rPr>
        <w:t>3.质保期及维保期：3年</w:t>
      </w:r>
      <w:r>
        <w:rPr>
          <w:rFonts w:hint="eastAsia" w:ascii="宋体" w:hAnsi="宋体"/>
          <w:sz w:val="24"/>
        </w:rPr>
        <w:t xml:space="preserve"> </w:t>
      </w:r>
    </w:p>
    <w:p>
      <w:pPr>
        <w:pStyle w:val="2"/>
      </w:pPr>
      <w:r>
        <w:rPr>
          <w:rFonts w:hint="eastAsia"/>
        </w:rPr>
        <w:t>4.质量保证金：项目验收合格后履约保证金转为质量保证金，在质保期满一年后，由采购人对中标人在这一年中的售后服务质量做判定，</w:t>
      </w:r>
      <w:r>
        <w:rPr>
          <w:rFonts w:hint="eastAsia"/>
          <w:lang w:val="en-US" w:eastAsia="zh-CN"/>
        </w:rPr>
        <w:t>达到售后服务要求</w:t>
      </w:r>
      <w:r>
        <w:rPr>
          <w:rFonts w:hint="eastAsia"/>
        </w:rPr>
        <w:t>，则无息退还质量保证金；若</w:t>
      </w:r>
      <w:r>
        <w:rPr>
          <w:rFonts w:hint="eastAsia"/>
          <w:lang w:val="en-US" w:eastAsia="zh-CN"/>
        </w:rPr>
        <w:t>未达到售后服务要求</w:t>
      </w:r>
      <w:r>
        <w:rPr>
          <w:rFonts w:hint="eastAsia"/>
        </w:rPr>
        <w:t>，则质量保证金退还时间延长至三年。</w:t>
      </w:r>
    </w:p>
    <w:p>
      <w:pPr>
        <w:snapToGrid w:val="0"/>
        <w:spacing w:line="360" w:lineRule="auto"/>
        <w:outlineLvl w:val="1"/>
      </w:pPr>
      <w:r>
        <w:rPr>
          <w:rFonts w:hint="eastAsia" w:ascii="宋体" w:hAnsi="宋体" w:cs="宋体"/>
          <w:sz w:val="24"/>
        </w:rPr>
        <w:t>5、验收：严格按照《财政部关于进一步加强政府采购需求和履约验收管理的指导意见》（财库[2016]205号）文件的要求进行。</w:t>
      </w:r>
    </w:p>
    <w:p>
      <w:pPr>
        <w:spacing w:line="500" w:lineRule="exact"/>
        <w:rPr>
          <w:rFonts w:ascii="宋体" w:hAnsi="宋体"/>
          <w:sz w:val="36"/>
          <w:szCs w:val="36"/>
        </w:rPr>
      </w:pPr>
    </w:p>
    <w:p>
      <w:pPr>
        <w:spacing w:line="500" w:lineRule="exact"/>
        <w:rPr>
          <w:rFonts w:ascii="宋体" w:hAnsi="宋体"/>
          <w:sz w:val="36"/>
          <w:szCs w:val="36"/>
        </w:rPr>
      </w:pPr>
      <w:r>
        <w:rPr>
          <w:rFonts w:hint="eastAsia" w:ascii="宋体" w:hAnsi="宋体"/>
          <w:b/>
          <w:bCs/>
          <w:sz w:val="24"/>
        </w:rPr>
        <w:t>（四）服务方案：</w:t>
      </w:r>
      <w:r>
        <w:rPr>
          <w:rFonts w:hint="eastAsia" w:ascii="宋体" w:hAnsi="宋体" w:cs="宋体"/>
          <w:color w:val="000000"/>
          <w:sz w:val="24"/>
          <w:szCs w:val="28"/>
        </w:rPr>
        <w:t>包含但不限于：售后服务；供货方案。</w:t>
      </w:r>
      <w:r>
        <w:rPr>
          <w:rFonts w:ascii="宋体" w:hAnsi="宋体"/>
          <w:sz w:val="36"/>
          <w:szCs w:val="36"/>
        </w:rPr>
        <w:br w:type="page"/>
      </w:r>
    </w:p>
    <w:p>
      <w:pPr>
        <w:pStyle w:val="3"/>
        <w:spacing w:line="400" w:lineRule="exact"/>
        <w:jc w:val="center"/>
        <w:rPr>
          <w:rFonts w:ascii="宋体" w:hAnsi="宋体"/>
          <w:sz w:val="36"/>
          <w:szCs w:val="36"/>
        </w:rPr>
      </w:pPr>
      <w:bookmarkStart w:id="186" w:name="_Toc56539540"/>
      <w:r>
        <w:rPr>
          <w:rFonts w:hint="eastAsia" w:ascii="宋体" w:hAnsi="宋体"/>
          <w:sz w:val="36"/>
          <w:szCs w:val="36"/>
        </w:rPr>
        <w:t>第七章  评标办法</w:t>
      </w:r>
      <w:bookmarkEnd w:id="184"/>
      <w:bookmarkEnd w:id="186"/>
      <w:bookmarkStart w:id="187" w:name="_Hlt101846155"/>
      <w:bookmarkEnd w:id="187"/>
      <w:bookmarkStart w:id="188" w:name="_Toc183582280"/>
      <w:bookmarkStart w:id="189" w:name="_Toc208849007"/>
      <w:bookmarkStart w:id="190" w:name="_Toc183682415"/>
      <w:bookmarkStart w:id="191" w:name="_Toc217446097"/>
    </w:p>
    <w:p>
      <w:pPr>
        <w:pStyle w:val="4"/>
        <w:rPr>
          <w:rFonts w:ascii="宋体" w:hAnsi="宋体" w:eastAsia="宋体"/>
          <w:sz w:val="24"/>
          <w:szCs w:val="24"/>
        </w:rPr>
      </w:pPr>
      <w:r>
        <w:rPr>
          <w:rFonts w:hint="eastAsia" w:ascii="宋体" w:hAnsi="宋体" w:eastAsia="宋体"/>
          <w:sz w:val="24"/>
          <w:szCs w:val="24"/>
        </w:rPr>
        <w:t>1. 总则</w:t>
      </w:r>
      <w:bookmarkEnd w:id="188"/>
      <w:bookmarkEnd w:id="189"/>
      <w:bookmarkEnd w:id="190"/>
      <w:bookmarkEnd w:id="191"/>
    </w:p>
    <w:p>
      <w:pPr>
        <w:spacing w:line="400" w:lineRule="exact"/>
        <w:ind w:firstLine="480" w:firstLineChars="200"/>
        <w:rPr>
          <w:rFonts w:ascii="宋体" w:hAnsi="宋体"/>
          <w:sz w:val="24"/>
        </w:rPr>
      </w:pPr>
      <w:r>
        <w:rPr>
          <w:rFonts w:hint="eastAsia" w:ascii="宋体" w:hAnsi="宋体"/>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sz w:val="24"/>
        </w:rPr>
      </w:pPr>
      <w:r>
        <w:rPr>
          <w:rFonts w:hint="eastAsia" w:ascii="宋体" w:hAnsi="宋体"/>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pPr>
        <w:spacing w:line="400" w:lineRule="exact"/>
        <w:ind w:firstLine="480" w:firstLineChars="200"/>
        <w:rPr>
          <w:rFonts w:ascii="宋体" w:hAnsi="宋体"/>
          <w:sz w:val="24"/>
        </w:rPr>
      </w:pPr>
      <w:r>
        <w:rPr>
          <w:rFonts w:hint="eastAsia" w:ascii="宋体" w:hAnsi="宋体"/>
          <w:sz w:val="24"/>
        </w:rPr>
        <w:t>合格投标人不足三家的，不得评标。</w:t>
      </w:r>
    </w:p>
    <w:p>
      <w:pPr>
        <w:spacing w:line="400" w:lineRule="exact"/>
        <w:ind w:firstLine="480" w:firstLineChars="200"/>
        <w:rPr>
          <w:rFonts w:ascii="宋体" w:hAnsi="宋体"/>
          <w:sz w:val="24"/>
        </w:rPr>
      </w:pPr>
      <w:r>
        <w:rPr>
          <w:rFonts w:hint="eastAsia" w:ascii="宋体" w:hAnsi="宋体"/>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sz w:val="24"/>
        </w:rPr>
      </w:pPr>
      <w:r>
        <w:rPr>
          <w:rFonts w:hint="eastAsia" w:ascii="宋体" w:hAnsi="宋体"/>
          <w:sz w:val="24"/>
        </w:rPr>
        <w:t>1.3 评标工作应遵循公平、公正、科学及择优的原则，并以相同的评标程序和标准对待所有的投标人。</w:t>
      </w:r>
    </w:p>
    <w:p>
      <w:pPr>
        <w:spacing w:line="400" w:lineRule="exact"/>
        <w:ind w:firstLine="480" w:firstLineChars="200"/>
        <w:rPr>
          <w:rFonts w:ascii="宋体" w:hAnsi="宋体"/>
          <w:sz w:val="24"/>
        </w:rPr>
      </w:pPr>
      <w:r>
        <w:rPr>
          <w:rFonts w:hint="eastAsia" w:ascii="宋体" w:hAnsi="宋体"/>
          <w:sz w:val="24"/>
        </w:rPr>
        <w:t>1.4 评标委员会按照招标文件规定的评标方法和标准进行评标，并独立履行下列职责：</w:t>
      </w:r>
    </w:p>
    <w:p>
      <w:pPr>
        <w:spacing w:line="400" w:lineRule="exact"/>
        <w:ind w:firstLine="480" w:firstLineChars="200"/>
        <w:rPr>
          <w:rFonts w:ascii="宋体" w:hAnsi="宋体"/>
          <w:sz w:val="24"/>
        </w:rPr>
      </w:pPr>
      <w:bookmarkStart w:id="192" w:name="_Toc217446098"/>
      <w:r>
        <w:rPr>
          <w:rFonts w:hint="eastAsia" w:ascii="宋体" w:hAnsi="宋体"/>
          <w:sz w:val="24"/>
        </w:rPr>
        <w:t>（一）熟悉和理解招标文件；</w:t>
      </w:r>
    </w:p>
    <w:p>
      <w:pPr>
        <w:spacing w:line="400" w:lineRule="exact"/>
        <w:ind w:firstLine="480" w:firstLineChars="200"/>
        <w:rPr>
          <w:rFonts w:ascii="宋体" w:hAnsi="宋体"/>
          <w:sz w:val="24"/>
        </w:rPr>
      </w:pPr>
      <w:r>
        <w:rPr>
          <w:rFonts w:hint="eastAsia" w:ascii="宋体" w:hAnsi="宋体"/>
          <w:sz w:val="24"/>
        </w:rPr>
        <w:t>（二）审查供应商（已通过资格审查）的投标文件是否满足招标文件要求，并作出评价；</w:t>
      </w:r>
    </w:p>
    <w:p>
      <w:pPr>
        <w:spacing w:line="400" w:lineRule="exact"/>
        <w:ind w:firstLine="480" w:firstLineChars="200"/>
        <w:rPr>
          <w:rFonts w:ascii="宋体" w:hAnsi="宋体"/>
          <w:sz w:val="24"/>
        </w:rPr>
      </w:pPr>
      <w:r>
        <w:rPr>
          <w:rFonts w:hint="eastAsia" w:ascii="宋体" w:hAnsi="宋体"/>
          <w:sz w:val="24"/>
        </w:rPr>
        <w:t>（三）根据需要要求招标采购单位对招标文件作出解释；根据需要要求供应商对投标文件有关事项作出澄清、说明或者更正；</w:t>
      </w:r>
    </w:p>
    <w:p>
      <w:pPr>
        <w:spacing w:line="400" w:lineRule="exact"/>
        <w:ind w:firstLine="480" w:firstLineChars="200"/>
        <w:rPr>
          <w:rFonts w:ascii="宋体" w:hAnsi="宋体"/>
          <w:sz w:val="24"/>
        </w:rPr>
      </w:pPr>
      <w:r>
        <w:rPr>
          <w:rFonts w:hint="eastAsia" w:ascii="宋体" w:hAnsi="宋体"/>
          <w:sz w:val="24"/>
        </w:rPr>
        <w:t>（四）推荐中标候选人，或者受采购人委托确定中标人；</w:t>
      </w:r>
    </w:p>
    <w:p>
      <w:pPr>
        <w:spacing w:line="400" w:lineRule="exact"/>
        <w:ind w:firstLine="480" w:firstLineChars="200"/>
        <w:rPr>
          <w:rFonts w:ascii="宋体" w:hAnsi="宋体"/>
          <w:sz w:val="24"/>
        </w:rPr>
      </w:pPr>
      <w:r>
        <w:rPr>
          <w:rFonts w:hint="eastAsia" w:ascii="宋体" w:hAnsi="宋体"/>
          <w:sz w:val="24"/>
        </w:rPr>
        <w:t>（五）起草评标报告并进行签署；</w:t>
      </w:r>
    </w:p>
    <w:p>
      <w:pPr>
        <w:spacing w:line="400" w:lineRule="exact"/>
        <w:ind w:firstLine="480" w:firstLineChars="200"/>
        <w:rPr>
          <w:rFonts w:ascii="宋体" w:hAnsi="宋体"/>
          <w:sz w:val="24"/>
        </w:rPr>
      </w:pPr>
      <w:r>
        <w:rPr>
          <w:rFonts w:hint="eastAsia" w:ascii="宋体" w:hAnsi="宋体"/>
          <w:sz w:val="24"/>
        </w:rPr>
        <w:t>（六）向招标采购单位、财政部门或者其他监督部门报告非法干预评标工作的行为；</w:t>
      </w:r>
    </w:p>
    <w:p>
      <w:pPr>
        <w:spacing w:line="400" w:lineRule="exact"/>
        <w:ind w:firstLine="480" w:firstLineChars="200"/>
        <w:rPr>
          <w:rFonts w:ascii="宋体" w:hAnsi="宋体"/>
          <w:sz w:val="24"/>
        </w:rPr>
      </w:pPr>
      <w:r>
        <w:rPr>
          <w:rFonts w:hint="eastAsia" w:ascii="宋体" w:hAnsi="宋体"/>
          <w:sz w:val="24"/>
        </w:rPr>
        <w:t>（七）法律、法规和规章规定的其他职责。</w:t>
      </w:r>
    </w:p>
    <w:p>
      <w:pPr>
        <w:spacing w:line="400" w:lineRule="exact"/>
        <w:ind w:firstLine="480" w:firstLineChars="200"/>
        <w:rPr>
          <w:rFonts w:ascii="宋体" w:hAnsi="宋体"/>
          <w:sz w:val="24"/>
        </w:rPr>
      </w:pPr>
      <w:r>
        <w:rPr>
          <w:rFonts w:hint="eastAsia" w:ascii="宋体" w:hAnsi="宋体"/>
          <w:sz w:val="24"/>
        </w:rPr>
        <w:t>1.5 评标过程独立、保密。投标人非法干预评标过程的行为将导致其投标文件作为无效处理。</w:t>
      </w:r>
    </w:p>
    <w:p>
      <w:pPr>
        <w:spacing w:line="400" w:lineRule="exact"/>
        <w:ind w:firstLine="480" w:firstLineChars="200"/>
        <w:rPr>
          <w:rFonts w:ascii="宋体" w:hAnsi="宋体"/>
          <w:sz w:val="24"/>
        </w:rPr>
      </w:pPr>
      <w:r>
        <w:rPr>
          <w:rFonts w:hint="eastAsia" w:ascii="宋体" w:hAnsi="宋体"/>
          <w:sz w:val="24"/>
        </w:rPr>
        <w:t>1.6 评标委员会评价投标文件的响应性，对于投标人而言，除评标委员会要求其澄清、说明或者更正而提供的资料外，仅依据投标文件本身的内容，不寻求其他外部证据。</w:t>
      </w:r>
    </w:p>
    <w:p>
      <w:pPr>
        <w:pStyle w:val="4"/>
        <w:rPr>
          <w:rFonts w:ascii="宋体" w:hAnsi="宋体" w:eastAsia="宋体"/>
          <w:sz w:val="24"/>
          <w:szCs w:val="24"/>
        </w:rPr>
      </w:pPr>
      <w:r>
        <w:rPr>
          <w:rFonts w:hint="eastAsia" w:ascii="宋体" w:hAnsi="宋体" w:eastAsia="宋体"/>
          <w:sz w:val="24"/>
          <w:szCs w:val="24"/>
        </w:rPr>
        <w:t>2、 评标</w:t>
      </w:r>
      <w:bookmarkEnd w:id="192"/>
      <w:r>
        <w:rPr>
          <w:rFonts w:hint="eastAsia" w:ascii="宋体" w:hAnsi="宋体" w:eastAsia="宋体"/>
          <w:sz w:val="24"/>
          <w:szCs w:val="24"/>
        </w:rPr>
        <w:t>方法</w:t>
      </w:r>
    </w:p>
    <w:p>
      <w:pPr>
        <w:spacing w:line="360" w:lineRule="auto"/>
        <w:ind w:firstLine="480" w:firstLineChars="200"/>
        <w:rPr>
          <w:rFonts w:ascii="宋体" w:hAnsi="宋体"/>
          <w:sz w:val="24"/>
        </w:rPr>
      </w:pPr>
      <w:bookmarkStart w:id="193" w:name="_Toc217446103"/>
      <w:bookmarkStart w:id="194" w:name="_Toc217446099"/>
      <w:r>
        <w:rPr>
          <w:rFonts w:hint="eastAsia" w:ascii="宋体" w:hAnsi="宋体"/>
          <w:sz w:val="24"/>
        </w:rPr>
        <w:t>2.1本项目评标方法为：</w:t>
      </w:r>
      <w:r>
        <w:rPr>
          <w:rFonts w:hint="eastAsia" w:ascii="宋体" w:hAnsi="宋体"/>
          <w:b/>
          <w:bCs/>
          <w:sz w:val="24"/>
        </w:rPr>
        <w:t>综合评分法</w:t>
      </w:r>
      <w:r>
        <w:rPr>
          <w:rFonts w:hint="eastAsia" w:ascii="宋体" w:hAnsi="宋体"/>
          <w:sz w:val="24"/>
        </w:rPr>
        <w:t>。</w:t>
      </w:r>
    </w:p>
    <w:p>
      <w:pPr>
        <w:pStyle w:val="4"/>
        <w:rPr>
          <w:rFonts w:ascii="宋体" w:hAnsi="宋体" w:eastAsia="宋体"/>
          <w:sz w:val="24"/>
          <w:szCs w:val="24"/>
        </w:rPr>
      </w:pPr>
      <w:r>
        <w:rPr>
          <w:rFonts w:hint="eastAsia" w:ascii="宋体" w:hAnsi="宋体" w:eastAsia="宋体"/>
          <w:sz w:val="24"/>
          <w:szCs w:val="24"/>
        </w:rPr>
        <w:t>3、 评标程序</w:t>
      </w:r>
    </w:p>
    <w:p>
      <w:pPr>
        <w:spacing w:line="400" w:lineRule="exact"/>
        <w:ind w:firstLine="480" w:firstLineChars="200"/>
        <w:rPr>
          <w:rFonts w:ascii="宋体" w:hAnsi="宋体"/>
          <w:sz w:val="24"/>
        </w:rPr>
      </w:pPr>
      <w:r>
        <w:rPr>
          <w:rFonts w:hint="eastAsia" w:ascii="宋体" w:hAnsi="宋体"/>
          <w:sz w:val="24"/>
        </w:rPr>
        <w:t>3.1熟悉和理解招标文件和停止评标。</w:t>
      </w:r>
    </w:p>
    <w:p>
      <w:pPr>
        <w:spacing w:line="400" w:lineRule="exact"/>
        <w:ind w:firstLine="480" w:firstLineChars="200"/>
        <w:rPr>
          <w:rFonts w:ascii="宋体" w:hAnsi="宋体"/>
          <w:sz w:val="24"/>
        </w:rPr>
      </w:pPr>
      <w:r>
        <w:rPr>
          <w:rFonts w:hint="eastAsia" w:ascii="宋体" w:hAnsi="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sz w:val="24"/>
        </w:rPr>
      </w:pPr>
      <w:r>
        <w:rPr>
          <w:rFonts w:hint="eastAsia" w:ascii="宋体" w:hAnsi="宋体"/>
          <w:sz w:val="24"/>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sz w:val="24"/>
        </w:rPr>
      </w:pPr>
      <w:r>
        <w:rPr>
          <w:rFonts w:hint="eastAsia" w:ascii="宋体" w:hAnsi="宋体"/>
          <w:sz w:val="24"/>
        </w:rPr>
        <w:t>（1）招标文件的规定存在歧义、重大缺陷的；</w:t>
      </w:r>
    </w:p>
    <w:p>
      <w:pPr>
        <w:spacing w:line="400" w:lineRule="exact"/>
        <w:ind w:firstLine="480" w:firstLineChars="200"/>
        <w:rPr>
          <w:rFonts w:ascii="宋体" w:hAnsi="宋体"/>
          <w:sz w:val="24"/>
        </w:rPr>
      </w:pPr>
      <w:r>
        <w:rPr>
          <w:rFonts w:hint="eastAsia" w:ascii="宋体" w:hAnsi="宋体"/>
          <w:sz w:val="24"/>
        </w:rPr>
        <w:t>（2）招标文件明显以不合理条件对供应商实行差别待遇或者歧视待遇的；</w:t>
      </w:r>
    </w:p>
    <w:p>
      <w:pPr>
        <w:spacing w:line="400" w:lineRule="exact"/>
        <w:ind w:firstLine="480" w:firstLineChars="200"/>
        <w:rPr>
          <w:rFonts w:ascii="宋体" w:hAnsi="宋体"/>
          <w:sz w:val="24"/>
        </w:rPr>
      </w:pPr>
      <w:r>
        <w:rPr>
          <w:rFonts w:hint="eastAsia" w:ascii="宋体" w:hAnsi="宋体"/>
          <w:sz w:val="24"/>
        </w:rPr>
        <w:t>（3）采购项目属于国家规定的优先、强制采购范围，但是招标文件未依法体现优先、强制采购相关规定的；</w:t>
      </w:r>
    </w:p>
    <w:p>
      <w:pPr>
        <w:spacing w:line="400" w:lineRule="exact"/>
        <w:ind w:firstLine="480" w:firstLineChars="200"/>
        <w:rPr>
          <w:rFonts w:ascii="宋体" w:hAnsi="宋体"/>
          <w:sz w:val="24"/>
        </w:rPr>
      </w:pPr>
      <w:r>
        <w:rPr>
          <w:rFonts w:hint="eastAsia" w:ascii="宋体" w:hAnsi="宋体"/>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sz w:val="24"/>
        </w:rPr>
      </w:pPr>
      <w:r>
        <w:rPr>
          <w:rFonts w:hint="eastAsia" w:ascii="宋体" w:hAnsi="宋体"/>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sz w:val="24"/>
        </w:rPr>
      </w:pPr>
      <w:r>
        <w:rPr>
          <w:rFonts w:hint="eastAsia" w:ascii="宋体" w:hAnsi="宋体"/>
          <w:sz w:val="24"/>
        </w:rPr>
        <w:t>（6）招标文件将投标人的资格条件列为评分因素的；</w:t>
      </w:r>
    </w:p>
    <w:p>
      <w:pPr>
        <w:spacing w:line="400" w:lineRule="exact"/>
        <w:ind w:firstLine="480" w:firstLineChars="200"/>
        <w:rPr>
          <w:rFonts w:ascii="宋体" w:hAnsi="宋体"/>
          <w:sz w:val="24"/>
        </w:rPr>
      </w:pPr>
      <w:r>
        <w:rPr>
          <w:rFonts w:hint="eastAsia" w:ascii="宋体" w:hAnsi="宋体"/>
          <w:sz w:val="24"/>
        </w:rPr>
        <w:t>（7）招标文件有违反国家其他有关强制性规定的情形。</w:t>
      </w:r>
    </w:p>
    <w:p>
      <w:pPr>
        <w:spacing w:line="400" w:lineRule="exact"/>
        <w:ind w:firstLine="480" w:firstLineChars="200"/>
        <w:rPr>
          <w:rFonts w:ascii="宋体" w:hAnsi="宋体"/>
          <w:sz w:val="24"/>
        </w:rPr>
      </w:pPr>
      <w:r>
        <w:rPr>
          <w:rFonts w:hint="eastAsia" w:ascii="宋体" w:hAnsi="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sz w:val="24"/>
        </w:rPr>
      </w:pPr>
      <w:r>
        <w:rPr>
          <w:rFonts w:hint="eastAsia" w:ascii="宋体" w:hAnsi="宋体"/>
          <w:sz w:val="24"/>
        </w:rPr>
        <w:t>3.2符合性检查。</w:t>
      </w:r>
    </w:p>
    <w:p>
      <w:pPr>
        <w:spacing w:line="400" w:lineRule="exact"/>
        <w:ind w:firstLine="480" w:firstLineChars="200"/>
        <w:rPr>
          <w:rFonts w:ascii="宋体" w:hAnsi="宋体"/>
          <w:sz w:val="24"/>
        </w:rPr>
      </w:pPr>
      <w:r>
        <w:rPr>
          <w:rFonts w:hint="eastAsia" w:ascii="宋体" w:hAnsi="宋体"/>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sz w:val="24"/>
        </w:rPr>
      </w:pPr>
      <w:r>
        <w:rPr>
          <w:rFonts w:hint="eastAsia" w:ascii="宋体" w:hAnsi="宋体"/>
          <w:sz w:val="24"/>
        </w:rPr>
        <w:t>3.2.2投标文件（包括单独递交的开标一览表）有下列情形的，本项目不作为实质性要求进行规定，即不作为符合性审查事项，不得作为无效投标处理：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sz w:val="24"/>
        </w:rPr>
      </w:pPr>
      <w:r>
        <w:rPr>
          <w:rFonts w:hint="eastAsia" w:ascii="宋体" w:hAnsi="宋体"/>
          <w:sz w:val="24"/>
        </w:rPr>
        <w:t>（一）正副本数量齐全、密封完好，只是未按照招标文件要求进行分装或者统装的；</w:t>
      </w:r>
    </w:p>
    <w:p>
      <w:pPr>
        <w:spacing w:line="400" w:lineRule="exact"/>
        <w:ind w:firstLine="480" w:firstLineChars="200"/>
        <w:rPr>
          <w:rFonts w:ascii="宋体" w:hAnsi="宋体"/>
          <w:sz w:val="24"/>
        </w:rPr>
      </w:pPr>
      <w:r>
        <w:rPr>
          <w:rFonts w:hint="eastAsia" w:ascii="宋体" w:hAnsi="宋体"/>
          <w:sz w:val="24"/>
        </w:rPr>
        <w:t>（二）存在个别地方（不超过2个）没有法定代表人签字，但有法定代表人的私人印章或者有效授权代理人签字的；</w:t>
      </w:r>
    </w:p>
    <w:p>
      <w:pPr>
        <w:spacing w:line="400" w:lineRule="exact"/>
        <w:ind w:firstLine="480" w:firstLineChars="200"/>
        <w:rPr>
          <w:rFonts w:ascii="宋体" w:hAnsi="宋体"/>
          <w:sz w:val="24"/>
        </w:rPr>
      </w:pPr>
      <w:r>
        <w:rPr>
          <w:rFonts w:hint="eastAsia" w:ascii="宋体" w:hAnsi="宋体"/>
          <w:sz w:val="24"/>
        </w:rPr>
        <w:t>（三）除招标文件明确要求加盖单位(法人)公章的以外，其他地方以相关专用章加盖的；</w:t>
      </w:r>
    </w:p>
    <w:p>
      <w:pPr>
        <w:spacing w:line="400" w:lineRule="exact"/>
        <w:ind w:firstLine="480" w:firstLineChars="200"/>
        <w:rPr>
          <w:rFonts w:ascii="宋体" w:hAnsi="宋体"/>
          <w:sz w:val="24"/>
        </w:rPr>
      </w:pPr>
      <w:r>
        <w:rPr>
          <w:rFonts w:hint="eastAsia" w:ascii="宋体" w:hAnsi="宋体"/>
          <w:sz w:val="24"/>
        </w:rPr>
        <w:t>（四）以骑缝章的形式代替投标文件内容逐页盖章的（但是骑缝章模糊不清，印章名称无法辨认的除外）；</w:t>
      </w:r>
    </w:p>
    <w:p>
      <w:pPr>
        <w:spacing w:line="400" w:lineRule="exact"/>
        <w:ind w:firstLine="480" w:firstLineChars="200"/>
        <w:rPr>
          <w:rFonts w:ascii="宋体" w:hAnsi="宋体"/>
          <w:sz w:val="24"/>
        </w:rPr>
      </w:pPr>
      <w:r>
        <w:rPr>
          <w:rFonts w:hint="eastAsia" w:ascii="宋体" w:hAnsi="宋体"/>
          <w:sz w:val="24"/>
        </w:rPr>
        <w:t>（五）其他不影响采购项目实质性要求的情形。</w:t>
      </w:r>
    </w:p>
    <w:p>
      <w:pPr>
        <w:spacing w:line="400" w:lineRule="exact"/>
        <w:ind w:firstLine="480" w:firstLineChars="200"/>
        <w:rPr>
          <w:rFonts w:ascii="宋体" w:hAnsi="宋体"/>
          <w:sz w:val="24"/>
        </w:rPr>
      </w:pPr>
      <w:r>
        <w:rPr>
          <w:rFonts w:hint="eastAsia" w:ascii="宋体" w:hAnsi="宋体"/>
          <w:sz w:val="24"/>
        </w:rPr>
        <w:t>3.2.3除政府采购法律制度规定的情形外，本项目投标人或者其投标文件有下列情形之一的，作为无效投标处理：</w:t>
      </w:r>
    </w:p>
    <w:p>
      <w:pPr>
        <w:spacing w:line="400" w:lineRule="exact"/>
        <w:ind w:firstLine="480" w:firstLineChars="200"/>
        <w:rPr>
          <w:rFonts w:ascii="宋体" w:hAnsi="宋体"/>
          <w:sz w:val="24"/>
        </w:rPr>
      </w:pPr>
      <w:r>
        <w:rPr>
          <w:rFonts w:hint="eastAsia" w:ascii="宋体" w:hAnsi="宋体"/>
          <w:sz w:val="24"/>
        </w:rPr>
        <w:t>（一）投标文件正副本数量不足的；</w:t>
      </w:r>
    </w:p>
    <w:p>
      <w:pPr>
        <w:spacing w:line="400" w:lineRule="exact"/>
        <w:ind w:firstLine="480" w:firstLineChars="200"/>
        <w:rPr>
          <w:rFonts w:ascii="宋体" w:hAnsi="宋体"/>
          <w:sz w:val="24"/>
        </w:rPr>
      </w:pPr>
      <w:r>
        <w:rPr>
          <w:rFonts w:hint="eastAsia" w:ascii="宋体" w:hAnsi="宋体"/>
          <w:sz w:val="24"/>
        </w:rPr>
        <w:t>（二）投标文件组成明显不符合招标文件的规定要求，影响评标委员会评判的；</w:t>
      </w:r>
    </w:p>
    <w:p>
      <w:pPr>
        <w:spacing w:line="400" w:lineRule="exact"/>
        <w:ind w:firstLine="480" w:firstLineChars="200"/>
        <w:rPr>
          <w:rFonts w:ascii="宋体" w:hAnsi="宋体"/>
          <w:sz w:val="24"/>
        </w:rPr>
      </w:pPr>
      <w:r>
        <w:rPr>
          <w:rFonts w:hint="eastAsia" w:ascii="宋体" w:hAnsi="宋体"/>
          <w:sz w:val="24"/>
        </w:rPr>
        <w:t>（三）投标文件的格式、语言、计量单位、报价货币、知识产权、投标有效期等不符合招标文件的规定，影响评标委员会评判的；</w:t>
      </w:r>
    </w:p>
    <w:p>
      <w:pPr>
        <w:spacing w:line="400" w:lineRule="exact"/>
        <w:ind w:firstLine="480" w:firstLineChars="200"/>
        <w:rPr>
          <w:rFonts w:ascii="宋体" w:hAnsi="宋体"/>
          <w:sz w:val="24"/>
        </w:rPr>
      </w:pPr>
      <w:r>
        <w:rPr>
          <w:rFonts w:hint="eastAsia" w:ascii="宋体" w:hAnsi="宋体"/>
          <w:sz w:val="24"/>
        </w:rPr>
        <w:t>（四）投标报价不符合招标文件规定的采购预算或限价或其他报价规定的；</w:t>
      </w:r>
    </w:p>
    <w:p>
      <w:pPr>
        <w:spacing w:line="400" w:lineRule="exact"/>
        <w:ind w:firstLine="480" w:firstLineChars="200"/>
        <w:rPr>
          <w:rFonts w:ascii="宋体" w:hAnsi="宋体"/>
          <w:sz w:val="24"/>
        </w:rPr>
      </w:pPr>
      <w:r>
        <w:rPr>
          <w:rFonts w:hint="eastAsia" w:ascii="宋体" w:hAnsi="宋体"/>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400" w:lineRule="exact"/>
        <w:ind w:firstLine="480" w:firstLineChars="200"/>
        <w:rPr>
          <w:rFonts w:ascii="宋体" w:hAnsi="宋体"/>
          <w:sz w:val="24"/>
        </w:rPr>
      </w:pPr>
      <w:r>
        <w:rPr>
          <w:rFonts w:hint="eastAsia" w:ascii="宋体" w:hAnsi="宋体"/>
          <w:sz w:val="24"/>
        </w:rPr>
        <w:t>（六）商务、技术、服务应答内容没有完全响应招标文件的实质性要求的；</w:t>
      </w:r>
    </w:p>
    <w:p>
      <w:pPr>
        <w:spacing w:line="400" w:lineRule="exact"/>
        <w:ind w:firstLine="480" w:firstLineChars="200"/>
        <w:rPr>
          <w:rFonts w:ascii="宋体" w:hAnsi="宋体"/>
          <w:sz w:val="24"/>
        </w:rPr>
      </w:pPr>
      <w:r>
        <w:rPr>
          <w:rFonts w:hint="eastAsia" w:ascii="宋体" w:hAnsi="宋体"/>
          <w:sz w:val="24"/>
        </w:rPr>
        <w:t>（七）未载明或者载明的招标项目履约时间、方式、数量及其他政府采购合同实质性内容与招标文件要求不一致，且招标采购单位无法接受的。</w:t>
      </w:r>
    </w:p>
    <w:p>
      <w:pPr>
        <w:spacing w:line="400" w:lineRule="exact"/>
        <w:ind w:firstLine="480" w:firstLineChars="200"/>
        <w:rPr>
          <w:rFonts w:ascii="宋体" w:hAnsi="宋体"/>
          <w:sz w:val="24"/>
        </w:rPr>
      </w:pPr>
      <w:r>
        <w:rPr>
          <w:rFonts w:hint="eastAsia" w:ascii="宋体" w:hAnsi="宋体"/>
          <w:sz w:val="24"/>
        </w:rPr>
        <w:t>（八）没有完全响应招标文件的其他实质性要求或属于招标文件中投标无效情形的。</w:t>
      </w:r>
    </w:p>
    <w:p>
      <w:pPr>
        <w:spacing w:line="400" w:lineRule="exact"/>
        <w:ind w:firstLine="480" w:firstLineChars="200"/>
        <w:rPr>
          <w:rFonts w:ascii="宋体" w:hAnsi="宋体"/>
          <w:sz w:val="24"/>
        </w:rPr>
      </w:pPr>
      <w:r>
        <w:rPr>
          <w:rFonts w:hint="eastAsia" w:ascii="宋体" w:hAnsi="宋体"/>
          <w:sz w:val="24"/>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sz w:val="24"/>
        </w:rPr>
      </w:pPr>
      <w:r>
        <w:rPr>
          <w:rFonts w:hint="eastAsia" w:ascii="宋体" w:hAnsi="宋体"/>
          <w:sz w:val="24"/>
        </w:rPr>
        <w:t>3.4复核。评分汇总结束后，评标委员会应当进行复核，特别要对拟推荐为中标候选人的、报价最低的、投标文件被认定为无效的进行重点复核。</w:t>
      </w:r>
    </w:p>
    <w:p>
      <w:pPr>
        <w:spacing w:line="400" w:lineRule="exact"/>
        <w:ind w:firstLine="480" w:firstLineChars="200"/>
        <w:rPr>
          <w:rFonts w:ascii="宋体" w:hAnsi="宋体"/>
          <w:sz w:val="24"/>
        </w:rPr>
      </w:pPr>
      <w:r>
        <w:rPr>
          <w:rFonts w:hint="eastAsia" w:ascii="宋体" w:hAnsi="宋体"/>
          <w:sz w:val="24"/>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0" w:firstLineChars="200"/>
        <w:rPr>
          <w:rFonts w:ascii="宋体" w:hAnsi="宋体"/>
          <w:sz w:val="24"/>
        </w:rPr>
      </w:pPr>
      <w:r>
        <w:rPr>
          <w:rFonts w:hint="eastAsia" w:ascii="宋体" w:hAnsi="宋体"/>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400" w:lineRule="exact"/>
        <w:ind w:firstLine="480" w:firstLineChars="200"/>
        <w:rPr>
          <w:rFonts w:ascii="宋体" w:hAnsi="宋体"/>
          <w:sz w:val="24"/>
        </w:rPr>
      </w:pPr>
      <w:r>
        <w:rPr>
          <w:rFonts w:hint="eastAsia" w:ascii="宋体" w:hAnsi="宋体"/>
          <w:sz w:val="24"/>
        </w:rPr>
        <w:t>3.6出具评标报告。评标委员会推荐中标候选人后，应当向招标采购单位出具评标报告。评标报告应当包括下列内容：</w:t>
      </w:r>
    </w:p>
    <w:p>
      <w:pPr>
        <w:spacing w:line="400" w:lineRule="exact"/>
        <w:ind w:firstLine="480" w:firstLineChars="200"/>
        <w:rPr>
          <w:rFonts w:ascii="宋体" w:hAnsi="宋体"/>
          <w:sz w:val="24"/>
        </w:rPr>
      </w:pPr>
      <w:r>
        <w:rPr>
          <w:rFonts w:hint="eastAsia" w:ascii="宋体" w:hAnsi="宋体"/>
          <w:sz w:val="24"/>
        </w:rPr>
        <w:t>（一）招标公告刊登的媒体名称、开标日期和地点；</w:t>
      </w:r>
    </w:p>
    <w:p>
      <w:pPr>
        <w:spacing w:line="400" w:lineRule="exact"/>
        <w:ind w:firstLine="480" w:firstLineChars="200"/>
        <w:rPr>
          <w:rFonts w:ascii="宋体" w:hAnsi="宋体"/>
          <w:sz w:val="24"/>
        </w:rPr>
      </w:pPr>
      <w:r>
        <w:rPr>
          <w:rFonts w:hint="eastAsia" w:ascii="宋体" w:hAnsi="宋体"/>
          <w:sz w:val="24"/>
        </w:rPr>
        <w:t>（二）获取招标文件的投标人名单和评标委员会成员名单；</w:t>
      </w:r>
    </w:p>
    <w:p>
      <w:pPr>
        <w:spacing w:line="400" w:lineRule="exact"/>
        <w:ind w:firstLine="480" w:firstLineChars="200"/>
        <w:rPr>
          <w:rFonts w:ascii="宋体" w:hAnsi="宋体"/>
          <w:sz w:val="24"/>
        </w:rPr>
      </w:pPr>
      <w:r>
        <w:rPr>
          <w:rFonts w:hint="eastAsia" w:ascii="宋体" w:hAnsi="宋体"/>
          <w:sz w:val="24"/>
        </w:rPr>
        <w:t>（三）评标方法和标准；</w:t>
      </w:r>
    </w:p>
    <w:p>
      <w:pPr>
        <w:spacing w:line="400" w:lineRule="exact"/>
        <w:ind w:firstLine="480" w:firstLineChars="200"/>
        <w:rPr>
          <w:rFonts w:ascii="宋体" w:hAnsi="宋体"/>
          <w:sz w:val="24"/>
        </w:rPr>
      </w:pPr>
      <w:r>
        <w:rPr>
          <w:rFonts w:hint="eastAsia" w:ascii="宋体" w:hAnsi="宋体"/>
          <w:sz w:val="24"/>
        </w:rPr>
        <w:t>（四）开标记录和评标情况及说明，包括无效投标人名单及原因；</w:t>
      </w:r>
    </w:p>
    <w:p>
      <w:pPr>
        <w:spacing w:line="400" w:lineRule="exact"/>
        <w:ind w:firstLine="480" w:firstLineChars="200"/>
        <w:rPr>
          <w:rFonts w:ascii="宋体" w:hAnsi="宋体"/>
          <w:sz w:val="24"/>
        </w:rPr>
      </w:pPr>
      <w:r>
        <w:rPr>
          <w:rFonts w:hint="eastAsia" w:ascii="宋体" w:hAnsi="宋体"/>
          <w:sz w:val="24"/>
        </w:rPr>
        <w:t>（五）评标结果和中标候选人排序表；</w:t>
      </w:r>
    </w:p>
    <w:p>
      <w:pPr>
        <w:spacing w:line="400" w:lineRule="exact"/>
        <w:ind w:firstLine="480" w:firstLineChars="200"/>
        <w:rPr>
          <w:rFonts w:ascii="宋体" w:hAnsi="宋体"/>
          <w:sz w:val="24"/>
        </w:rPr>
      </w:pPr>
      <w:r>
        <w:rPr>
          <w:rFonts w:hint="eastAsia" w:ascii="宋体" w:hAnsi="宋体"/>
          <w:sz w:val="24"/>
        </w:rPr>
        <w:t>（六）评标委员会授标建议；</w:t>
      </w:r>
    </w:p>
    <w:p>
      <w:pPr>
        <w:spacing w:line="400" w:lineRule="exact"/>
        <w:ind w:firstLine="480" w:firstLineChars="200"/>
        <w:rPr>
          <w:rFonts w:ascii="宋体" w:hAnsi="宋体"/>
          <w:sz w:val="24"/>
        </w:rPr>
      </w:pPr>
      <w:r>
        <w:rPr>
          <w:rFonts w:hint="eastAsia" w:ascii="宋体" w:hAnsi="宋体"/>
          <w:sz w:val="24"/>
        </w:rPr>
        <w:t>（七）报价最高的投标人为中标候选人的，评标委员会应当对其报价的合理性予以特别说明。</w:t>
      </w:r>
    </w:p>
    <w:p>
      <w:pPr>
        <w:spacing w:line="400" w:lineRule="exact"/>
        <w:ind w:firstLine="480" w:firstLineChars="200"/>
        <w:rPr>
          <w:rFonts w:ascii="宋体" w:hAnsi="宋体"/>
          <w:sz w:val="24"/>
        </w:rPr>
      </w:pPr>
      <w:r>
        <w:rPr>
          <w:rFonts w:hint="eastAsia" w:ascii="宋体" w:hAnsi="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sz w:val="24"/>
        </w:rPr>
      </w:pPr>
      <w:r>
        <w:rPr>
          <w:rFonts w:hint="eastAsia" w:ascii="宋体" w:hAnsi="宋体"/>
          <w:sz w:val="24"/>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sz w:val="24"/>
        </w:rPr>
      </w:pPr>
      <w:r>
        <w:rPr>
          <w:rFonts w:hint="eastAsia" w:ascii="宋体" w:hAnsi="宋体"/>
          <w:sz w:val="24"/>
        </w:rPr>
        <w:t>3.8投标人应当书面澄清、说明或者更正。</w:t>
      </w:r>
    </w:p>
    <w:p>
      <w:pPr>
        <w:spacing w:line="400" w:lineRule="exact"/>
        <w:ind w:firstLine="480" w:firstLineChars="200"/>
        <w:rPr>
          <w:rFonts w:ascii="宋体" w:hAnsi="宋体"/>
          <w:sz w:val="24"/>
        </w:rPr>
      </w:pPr>
      <w:r>
        <w:rPr>
          <w:rFonts w:hint="eastAsia" w:ascii="宋体" w:hAnsi="宋体"/>
          <w:sz w:val="24"/>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400" w:lineRule="exact"/>
        <w:ind w:firstLine="480" w:firstLineChars="200"/>
        <w:rPr>
          <w:rFonts w:ascii="宋体" w:hAnsi="宋体"/>
          <w:sz w:val="24"/>
        </w:rPr>
      </w:pPr>
      <w:r>
        <w:rPr>
          <w:rFonts w:hint="eastAsia" w:ascii="宋体" w:hAnsi="宋体"/>
          <w:sz w:val="24"/>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sz w:val="24"/>
        </w:rPr>
      </w:pPr>
      <w:r>
        <w:rPr>
          <w:rFonts w:hint="eastAsia" w:ascii="宋体" w:hAnsi="宋体"/>
          <w:sz w:val="24"/>
        </w:rPr>
        <w:t>3.8.3评标委员会要求投标人澄清、说明或者更正，不得超出招标文件的范围，不得以此让投标人实质改变投标文件的内容，不得影响投标人公平竞争。本项目下列内容不得澄清：</w:t>
      </w:r>
    </w:p>
    <w:p>
      <w:pPr>
        <w:spacing w:line="400" w:lineRule="exact"/>
        <w:ind w:firstLine="480" w:firstLineChars="200"/>
        <w:rPr>
          <w:rFonts w:ascii="宋体" w:hAnsi="宋体"/>
          <w:sz w:val="24"/>
        </w:rPr>
      </w:pPr>
      <w:r>
        <w:rPr>
          <w:rFonts w:hint="eastAsia" w:ascii="宋体" w:hAnsi="宋体"/>
          <w:sz w:val="24"/>
        </w:rPr>
        <w:t>（一）按财政部规定应当在评标时不予承认的投标文件内容事项；</w:t>
      </w:r>
    </w:p>
    <w:p>
      <w:pPr>
        <w:spacing w:line="400" w:lineRule="exact"/>
        <w:ind w:firstLine="480" w:firstLineChars="200"/>
        <w:rPr>
          <w:rFonts w:ascii="宋体" w:hAnsi="宋体"/>
          <w:sz w:val="24"/>
        </w:rPr>
      </w:pPr>
      <w:r>
        <w:rPr>
          <w:rFonts w:hint="eastAsia" w:ascii="宋体" w:hAnsi="宋体"/>
          <w:sz w:val="24"/>
        </w:rPr>
        <w:t>（二）投标文件中已经明确的内容事项；</w:t>
      </w:r>
    </w:p>
    <w:p>
      <w:pPr>
        <w:spacing w:line="400" w:lineRule="exact"/>
        <w:ind w:firstLine="480" w:firstLineChars="200"/>
      </w:pPr>
      <w:r>
        <w:rPr>
          <w:rFonts w:hint="eastAsia" w:ascii="宋体"/>
          <w:sz w:val="24"/>
        </w:rPr>
        <w:t>（三）投标文件未提供的材料。</w:t>
      </w:r>
    </w:p>
    <w:p>
      <w:pPr>
        <w:spacing w:line="400" w:lineRule="exact"/>
        <w:ind w:firstLine="480" w:firstLineChars="200"/>
        <w:rPr>
          <w:rFonts w:ascii="宋体" w:hAnsi="宋体"/>
          <w:sz w:val="24"/>
        </w:rPr>
      </w:pPr>
      <w:r>
        <w:rPr>
          <w:rFonts w:hint="eastAsia" w:ascii="宋体" w:hAnsi="宋体"/>
          <w:sz w:val="24"/>
        </w:rPr>
        <w:t>3.8.4 本项目采购过程中，投标文件报价出现前后不一致的，按照下列规定修正：</w:t>
      </w:r>
    </w:p>
    <w:p>
      <w:pPr>
        <w:spacing w:line="40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pPr>
        <w:spacing w:line="400" w:lineRule="exact"/>
        <w:ind w:firstLine="480" w:firstLineChars="200"/>
        <w:rPr>
          <w:rFonts w:ascii="宋体" w:hAnsi="宋体"/>
          <w:sz w:val="24"/>
        </w:rPr>
      </w:pPr>
      <w:r>
        <w:rPr>
          <w:rFonts w:hint="eastAsia" w:ascii="宋体" w:hAnsi="宋体"/>
          <w:sz w:val="24"/>
        </w:rPr>
        <w:t>（二）大写金额和小写金额不一致的，以大写金额为准；</w:t>
      </w:r>
    </w:p>
    <w:p>
      <w:pPr>
        <w:spacing w:line="400" w:lineRule="exact"/>
        <w:ind w:firstLine="480" w:firstLineChars="200"/>
        <w:rPr>
          <w:rFonts w:ascii="宋体" w:hAnsi="宋体"/>
          <w:sz w:val="24"/>
        </w:rPr>
      </w:pPr>
      <w:r>
        <w:rPr>
          <w:rFonts w:hint="eastAsia" w:ascii="宋体" w:hAnsi="宋体"/>
          <w:sz w:val="24"/>
        </w:rPr>
        <w:t>（三）总价金额与按单价汇总金额不一致的，以单价汇总金额计算结果为准，但单价金额小数点明显错位的除外。</w:t>
      </w:r>
    </w:p>
    <w:p>
      <w:pPr>
        <w:spacing w:line="400" w:lineRule="exact"/>
        <w:ind w:firstLine="480" w:firstLineChars="200"/>
        <w:rPr>
          <w:rFonts w:ascii="宋体" w:hAnsi="宋体"/>
          <w:sz w:val="24"/>
        </w:rPr>
      </w:pPr>
      <w:r>
        <w:rPr>
          <w:rFonts w:hint="eastAsia" w:ascii="宋体" w:hAnsi="宋体"/>
          <w:sz w:val="24"/>
        </w:rPr>
        <w:t>（四）单价金额小数点有明显错位的，以开标一览表的总价为准，并修改单价；</w:t>
      </w:r>
    </w:p>
    <w:p>
      <w:pPr>
        <w:spacing w:line="400" w:lineRule="exact"/>
        <w:ind w:firstLine="480" w:firstLineChars="200"/>
        <w:rPr>
          <w:rFonts w:ascii="宋体"/>
          <w:sz w:val="24"/>
        </w:rPr>
      </w:pPr>
      <w:r>
        <w:rPr>
          <w:rFonts w:hint="eastAsia" w:ascii="宋体"/>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4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宋体" w:hAnsi="宋体"/>
          <w:b/>
          <w:sz w:val="24"/>
        </w:rPr>
      </w:pPr>
      <w:r>
        <w:rPr>
          <w:rFonts w:hint="eastAsia" w:ascii="宋体" w:hAnsi="宋体"/>
          <w:b/>
          <w:sz w:val="24"/>
        </w:rPr>
        <w:t>注：评标委员会当积极履行澄清、说明或者更正的职责，不得滥用权力。投标人的投标文件应当要求澄清、说明或者更正的，不得未经澄清、说明或者更正而直接作无效投标处理。</w:t>
      </w:r>
    </w:p>
    <w:p>
      <w:pPr>
        <w:pStyle w:val="57"/>
        <w:spacing w:line="400" w:lineRule="exact"/>
        <w:ind w:firstLine="480" w:firstLineChars="200"/>
        <w:jc w:val="both"/>
      </w:pPr>
      <w:r>
        <w:rPr>
          <w:rFonts w:hint="eastAsia"/>
        </w:rPr>
        <w:t>3.9 低于成本价投标处理。按第二章投标人须知附表处理。</w:t>
      </w:r>
    </w:p>
    <w:p>
      <w:pPr>
        <w:pStyle w:val="57"/>
        <w:spacing w:line="400" w:lineRule="exact"/>
        <w:ind w:firstLine="480" w:firstLineChars="200"/>
        <w:jc w:val="both"/>
      </w:pPr>
      <w:r>
        <w:rPr>
          <w:rFonts w:hint="eastAsia"/>
        </w:rPr>
        <w:t>3.10招标采购单位现场复核评标结果。</w:t>
      </w:r>
    </w:p>
    <w:p>
      <w:pPr>
        <w:pStyle w:val="57"/>
        <w:spacing w:line="400" w:lineRule="exact"/>
        <w:ind w:firstLine="480" w:firstLineChars="200"/>
        <w:jc w:val="both"/>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57"/>
        <w:spacing w:line="400" w:lineRule="exact"/>
        <w:ind w:firstLine="480" w:firstLineChars="200"/>
        <w:jc w:val="both"/>
      </w:pPr>
      <w:r>
        <w:rPr>
          <w:rFonts w:hint="eastAsia"/>
        </w:rPr>
        <w:t>（一）分值汇总计算错误的；</w:t>
      </w:r>
    </w:p>
    <w:p>
      <w:pPr>
        <w:pStyle w:val="57"/>
        <w:spacing w:line="400" w:lineRule="exact"/>
        <w:ind w:firstLine="480" w:firstLineChars="200"/>
        <w:jc w:val="both"/>
      </w:pPr>
      <w:r>
        <w:rPr>
          <w:rFonts w:hint="eastAsia"/>
        </w:rPr>
        <w:t>（二）分项评分超出评分标准范围的；</w:t>
      </w:r>
    </w:p>
    <w:p>
      <w:pPr>
        <w:pStyle w:val="57"/>
        <w:spacing w:line="400" w:lineRule="exact"/>
        <w:ind w:firstLine="480" w:firstLineChars="200"/>
        <w:jc w:val="both"/>
      </w:pPr>
      <w:r>
        <w:rPr>
          <w:rFonts w:hint="eastAsia"/>
        </w:rPr>
        <w:t>（三）客观评分不一致的；</w:t>
      </w:r>
    </w:p>
    <w:p>
      <w:pPr>
        <w:pStyle w:val="57"/>
        <w:spacing w:line="400" w:lineRule="exact"/>
        <w:ind w:firstLine="480" w:firstLineChars="200"/>
        <w:jc w:val="both"/>
      </w:pPr>
      <w:r>
        <w:rPr>
          <w:rFonts w:hint="eastAsia"/>
        </w:rPr>
        <w:t>（四）经评标委员会认定评分畸高畸低的。</w:t>
      </w:r>
    </w:p>
    <w:p>
      <w:pPr>
        <w:pStyle w:val="57"/>
        <w:spacing w:line="400" w:lineRule="exact"/>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7"/>
        <w:spacing w:line="400" w:lineRule="exact"/>
        <w:ind w:firstLine="480" w:firstLineChars="200"/>
        <w:jc w:val="both"/>
      </w:pPr>
      <w:r>
        <w:rPr>
          <w:rFonts w:hint="eastAsia"/>
        </w:rPr>
        <w:t>3.10.2有下列情形之一的，不得修改评标结果或者重新评审：</w:t>
      </w:r>
    </w:p>
    <w:p>
      <w:pPr>
        <w:pStyle w:val="57"/>
        <w:spacing w:line="400" w:lineRule="exact"/>
        <w:ind w:firstLine="480" w:firstLineChars="200"/>
        <w:jc w:val="both"/>
      </w:pPr>
      <w:r>
        <w:rPr>
          <w:rFonts w:hint="eastAsia"/>
        </w:rPr>
        <w:t>（一）评标委员会已经出具评标报告并且离开评标现场的；</w:t>
      </w:r>
    </w:p>
    <w:p>
      <w:pPr>
        <w:pStyle w:val="57"/>
        <w:spacing w:line="400" w:lineRule="exact"/>
        <w:ind w:firstLine="480" w:firstLineChars="200"/>
        <w:jc w:val="both"/>
      </w:pPr>
      <w:r>
        <w:rPr>
          <w:rFonts w:hint="eastAsia"/>
        </w:rPr>
        <w:t>（二）招标采购单位现场复核时，复核工作人员数量不足的；</w:t>
      </w:r>
    </w:p>
    <w:p>
      <w:pPr>
        <w:pStyle w:val="57"/>
        <w:spacing w:line="400" w:lineRule="exact"/>
        <w:ind w:firstLine="480" w:firstLineChars="200"/>
        <w:jc w:val="both"/>
      </w:pPr>
      <w:r>
        <w:rPr>
          <w:rFonts w:hint="eastAsia"/>
        </w:rPr>
        <w:t>（三）招标采购单位现场复核时，没有采购监督人员现场监督的；</w:t>
      </w:r>
    </w:p>
    <w:p>
      <w:pPr>
        <w:pStyle w:val="57"/>
        <w:spacing w:line="400" w:lineRule="exact"/>
        <w:ind w:firstLine="480" w:firstLineChars="200"/>
        <w:jc w:val="both"/>
      </w:pPr>
      <w:r>
        <w:rPr>
          <w:rFonts w:hint="eastAsia"/>
        </w:rPr>
        <w:t>（四）招标采购单位现场复核内容超出规定范围的；</w:t>
      </w:r>
    </w:p>
    <w:p>
      <w:pPr>
        <w:pStyle w:val="57"/>
        <w:spacing w:line="400" w:lineRule="exact"/>
        <w:ind w:firstLine="480" w:firstLineChars="200"/>
        <w:jc w:val="both"/>
      </w:pPr>
      <w:r>
        <w:rPr>
          <w:rFonts w:hint="eastAsia"/>
        </w:rPr>
        <w:t>（五）招标采购单位未提供书面建议的。</w:t>
      </w:r>
    </w:p>
    <w:p>
      <w:pPr>
        <w:pStyle w:val="4"/>
        <w:rPr>
          <w:rFonts w:ascii="宋体" w:hAnsi="宋体" w:eastAsia="宋体"/>
          <w:sz w:val="24"/>
          <w:szCs w:val="24"/>
        </w:rPr>
      </w:pPr>
      <w:r>
        <w:rPr>
          <w:rFonts w:hint="eastAsia" w:ascii="宋体" w:hAnsi="宋体" w:eastAsia="宋体"/>
          <w:sz w:val="24"/>
          <w:szCs w:val="24"/>
        </w:rPr>
        <w:t>4. 评标细则及标准</w:t>
      </w:r>
      <w:bookmarkEnd w:id="193"/>
    </w:p>
    <w:p>
      <w:pPr>
        <w:spacing w:line="400" w:lineRule="exact"/>
        <w:ind w:firstLine="480" w:firstLineChars="200"/>
        <w:rPr>
          <w:rFonts w:ascii="宋体" w:hAnsi="宋体"/>
          <w:sz w:val="24"/>
        </w:rPr>
      </w:pPr>
      <w:r>
        <w:rPr>
          <w:rFonts w:hint="eastAsia" w:ascii="宋体" w:hAnsi="宋体"/>
          <w:sz w:val="24"/>
        </w:rPr>
        <w:t>4.1本项目采用综合评分法，评分因素详见综合评分明细表。</w:t>
      </w:r>
    </w:p>
    <w:p>
      <w:pPr>
        <w:pStyle w:val="57"/>
        <w:spacing w:line="400" w:lineRule="exact"/>
        <w:ind w:firstLine="480" w:firstLineChars="200"/>
        <w:jc w:val="both"/>
      </w:pPr>
      <w:r>
        <w:rPr>
          <w:rFonts w:hint="eastAsia"/>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2"/>
        <w:tabs>
          <w:tab w:val="left" w:pos="600"/>
        </w:tabs>
        <w:spacing w:line="400" w:lineRule="exact"/>
        <w:ind w:firstLine="480" w:firstLineChars="200"/>
        <w:rPr>
          <w:rFonts w:ascii="宋体" w:hAnsi="宋体"/>
          <w:sz w:val="24"/>
          <w:szCs w:val="24"/>
        </w:rPr>
      </w:pPr>
      <w:r>
        <w:rPr>
          <w:rFonts w:hint="eastAsia" w:ascii="宋体" w:hAnsi="宋体"/>
          <w:sz w:val="24"/>
          <w:szCs w:val="24"/>
        </w:rPr>
        <w:t>4.3综合评分明细表</w:t>
      </w:r>
    </w:p>
    <w:p>
      <w:pPr>
        <w:pStyle w:val="12"/>
        <w:tabs>
          <w:tab w:val="left" w:pos="600"/>
        </w:tabs>
        <w:spacing w:line="400" w:lineRule="exact"/>
        <w:ind w:firstLine="480" w:firstLineChars="200"/>
        <w:rPr>
          <w:rFonts w:ascii="宋体" w:hAnsi="宋体"/>
          <w:sz w:val="24"/>
          <w:szCs w:val="24"/>
        </w:rPr>
      </w:pPr>
      <w:r>
        <w:rPr>
          <w:rFonts w:hint="eastAsia" w:ascii="宋体" w:hAnsi="宋体"/>
          <w:sz w:val="24"/>
          <w:szCs w:val="24"/>
        </w:rPr>
        <w:t>4.3.1综合评分明细表的制定以科学合理、降低评委会自由裁量权为原则。</w:t>
      </w:r>
    </w:p>
    <w:p>
      <w:pPr>
        <w:widowControl/>
        <w:spacing w:line="400" w:lineRule="exact"/>
        <w:ind w:firstLine="480" w:firstLineChars="200"/>
        <w:jc w:val="left"/>
        <w:rPr>
          <w:rFonts w:ascii="宋体" w:hAnsi="宋体"/>
          <w:sz w:val="24"/>
        </w:rPr>
      </w:pPr>
      <w:r>
        <w:rPr>
          <w:rFonts w:hint="eastAsia" w:ascii="宋体" w:hAnsi="宋体"/>
          <w:sz w:val="24"/>
        </w:rPr>
        <w:t>4.3.2 综合评分明细表按须知表中的相关要求进行价格调整，再参与价格分评审。</w:t>
      </w:r>
    </w:p>
    <w:p>
      <w:pPr>
        <w:pStyle w:val="12"/>
        <w:tabs>
          <w:tab w:val="left" w:pos="600"/>
        </w:tabs>
        <w:spacing w:line="400" w:lineRule="exact"/>
        <w:ind w:firstLine="480" w:firstLineChars="200"/>
        <w:rPr>
          <w:rFonts w:ascii="宋体" w:hAnsi="宋体"/>
          <w:b/>
          <w:sz w:val="24"/>
          <w:szCs w:val="24"/>
        </w:rPr>
      </w:pPr>
      <w:r>
        <w:rPr>
          <w:rFonts w:hint="eastAsia" w:ascii="宋体" w:hAnsi="宋体"/>
          <w:sz w:val="24"/>
          <w:szCs w:val="24"/>
        </w:rPr>
        <w:t>4.3.3综合评分明细表</w:t>
      </w:r>
    </w:p>
    <w:tbl>
      <w:tblPr>
        <w:tblStyle w:val="2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35"/>
        <w:gridCol w:w="709"/>
        <w:gridCol w:w="340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vAlign w:val="center"/>
          </w:tcPr>
          <w:p>
            <w:pPr>
              <w:spacing w:line="400" w:lineRule="exact"/>
              <w:ind w:firstLine="28"/>
              <w:jc w:val="center"/>
              <w:rPr>
                <w:rFonts w:ascii="宋体" w:hAnsi="宋体"/>
                <w:szCs w:val="21"/>
              </w:rPr>
            </w:pPr>
            <w:r>
              <w:rPr>
                <w:rFonts w:hint="eastAsia" w:ascii="宋体" w:hAnsi="宋体"/>
                <w:szCs w:val="21"/>
              </w:rPr>
              <w:t>序号</w:t>
            </w:r>
          </w:p>
        </w:tc>
        <w:tc>
          <w:tcPr>
            <w:tcW w:w="1935" w:type="dxa"/>
            <w:vAlign w:val="center"/>
          </w:tcPr>
          <w:p>
            <w:pPr>
              <w:spacing w:line="400" w:lineRule="exact"/>
              <w:ind w:firstLine="28"/>
              <w:jc w:val="center"/>
              <w:rPr>
                <w:rFonts w:ascii="宋体" w:hAnsi="宋体"/>
                <w:szCs w:val="21"/>
              </w:rPr>
            </w:pPr>
            <w:r>
              <w:rPr>
                <w:rFonts w:hint="eastAsia" w:ascii="宋体" w:hAnsi="宋体"/>
                <w:szCs w:val="21"/>
              </w:rPr>
              <w:t>评分因素</w:t>
            </w:r>
          </w:p>
          <w:p>
            <w:pPr>
              <w:spacing w:line="400" w:lineRule="exact"/>
              <w:ind w:firstLine="28"/>
              <w:jc w:val="center"/>
              <w:rPr>
                <w:rFonts w:ascii="宋体" w:hAnsi="宋体"/>
                <w:szCs w:val="21"/>
              </w:rPr>
            </w:pPr>
            <w:r>
              <w:rPr>
                <w:rFonts w:hint="eastAsia" w:ascii="宋体" w:hAnsi="宋体"/>
                <w:szCs w:val="21"/>
              </w:rPr>
              <w:t>及权重</w:t>
            </w:r>
          </w:p>
        </w:tc>
        <w:tc>
          <w:tcPr>
            <w:tcW w:w="709" w:type="dxa"/>
            <w:vAlign w:val="center"/>
          </w:tcPr>
          <w:p>
            <w:pPr>
              <w:spacing w:line="400" w:lineRule="exact"/>
              <w:ind w:firstLine="28"/>
              <w:jc w:val="center"/>
              <w:rPr>
                <w:rFonts w:ascii="宋体" w:hAnsi="宋体"/>
                <w:szCs w:val="21"/>
              </w:rPr>
            </w:pPr>
            <w:r>
              <w:rPr>
                <w:rFonts w:hint="eastAsia" w:ascii="宋体" w:hAnsi="宋体"/>
                <w:szCs w:val="21"/>
              </w:rPr>
              <w:t>分值</w:t>
            </w:r>
          </w:p>
        </w:tc>
        <w:tc>
          <w:tcPr>
            <w:tcW w:w="3402" w:type="dxa"/>
            <w:vAlign w:val="center"/>
          </w:tcPr>
          <w:p>
            <w:pPr>
              <w:spacing w:line="400" w:lineRule="exact"/>
              <w:ind w:firstLine="28"/>
              <w:jc w:val="center"/>
              <w:rPr>
                <w:rFonts w:ascii="宋体" w:hAnsi="宋体"/>
                <w:szCs w:val="21"/>
              </w:rPr>
            </w:pPr>
            <w:r>
              <w:rPr>
                <w:rFonts w:hint="eastAsia" w:ascii="宋体" w:hAnsi="宋体"/>
                <w:szCs w:val="21"/>
              </w:rPr>
              <w:t>评分标准</w:t>
            </w:r>
          </w:p>
        </w:tc>
        <w:tc>
          <w:tcPr>
            <w:tcW w:w="3118" w:type="dxa"/>
            <w:vAlign w:val="center"/>
          </w:tcPr>
          <w:p>
            <w:pPr>
              <w:spacing w:line="400" w:lineRule="exact"/>
              <w:jc w:val="center"/>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vAlign w:val="center"/>
          </w:tcPr>
          <w:p>
            <w:pPr>
              <w:spacing w:line="400" w:lineRule="exact"/>
              <w:ind w:firstLine="28"/>
              <w:jc w:val="center"/>
              <w:rPr>
                <w:rFonts w:ascii="宋体" w:hAnsi="宋体"/>
                <w:szCs w:val="21"/>
              </w:rPr>
            </w:pPr>
            <w:r>
              <w:rPr>
                <w:rFonts w:hint="eastAsia" w:ascii="宋体" w:hAnsi="宋体"/>
                <w:szCs w:val="21"/>
              </w:rPr>
              <w:t>1</w:t>
            </w:r>
          </w:p>
        </w:tc>
        <w:tc>
          <w:tcPr>
            <w:tcW w:w="1935" w:type="dxa"/>
            <w:vAlign w:val="center"/>
          </w:tcPr>
          <w:p>
            <w:pPr>
              <w:jc w:val="center"/>
              <w:rPr>
                <w:rFonts w:ascii="宋体" w:hAnsi="宋体"/>
                <w:szCs w:val="21"/>
              </w:rPr>
            </w:pPr>
            <w:r>
              <w:rPr>
                <w:rFonts w:hint="eastAsia" w:ascii="宋体" w:hAnsi="宋体"/>
                <w:szCs w:val="21"/>
              </w:rPr>
              <w:t>报价30%</w:t>
            </w:r>
          </w:p>
          <w:p>
            <w:pPr>
              <w:jc w:val="center"/>
              <w:rPr>
                <w:rFonts w:ascii="宋体" w:hAnsi="宋体"/>
                <w:b/>
                <w:szCs w:val="21"/>
              </w:rPr>
            </w:pPr>
          </w:p>
        </w:tc>
        <w:tc>
          <w:tcPr>
            <w:tcW w:w="709" w:type="dxa"/>
            <w:vAlign w:val="center"/>
          </w:tcPr>
          <w:p>
            <w:pPr>
              <w:spacing w:line="400" w:lineRule="exact"/>
              <w:ind w:firstLine="28"/>
              <w:jc w:val="center"/>
              <w:rPr>
                <w:rFonts w:ascii="宋体" w:hAnsi="宋体"/>
                <w:szCs w:val="21"/>
              </w:rPr>
            </w:pPr>
            <w:r>
              <w:rPr>
                <w:rFonts w:hint="eastAsia" w:ascii="宋体" w:hAnsi="宋体"/>
                <w:szCs w:val="21"/>
              </w:rPr>
              <w:t>30分</w:t>
            </w:r>
          </w:p>
        </w:tc>
        <w:tc>
          <w:tcPr>
            <w:tcW w:w="3402" w:type="dxa"/>
            <w:vAlign w:val="center"/>
          </w:tcPr>
          <w:p>
            <w:pPr>
              <w:spacing w:line="400" w:lineRule="exact"/>
              <w:rPr>
                <w:rFonts w:ascii="宋体" w:hAnsi="宋体"/>
                <w:szCs w:val="21"/>
              </w:rPr>
            </w:pPr>
            <w:r>
              <w:rPr>
                <w:rFonts w:hint="eastAsia" w:ascii="宋体" w:hAnsi="宋体"/>
                <w:szCs w:val="21"/>
              </w:rPr>
              <w:t>以本次有效的最低投标报价为基准价，投标报价得分=(基准价／投标报价)* 30分*100%</w:t>
            </w:r>
          </w:p>
        </w:tc>
        <w:tc>
          <w:tcPr>
            <w:tcW w:w="3118" w:type="dxa"/>
            <w:vAlign w:val="center"/>
          </w:tcPr>
          <w:p>
            <w:pPr>
              <w:spacing w:line="400" w:lineRule="exact"/>
              <w:ind w:left="-38"/>
              <w:rPr>
                <w:rFonts w:ascii="宋体" w:hAnsi="宋体"/>
                <w:kern w:val="0"/>
                <w:szCs w:val="21"/>
              </w:rPr>
            </w:pPr>
            <w:r>
              <w:rPr>
                <w:rFonts w:hint="eastAsia" w:ascii="宋体" w:hAnsi="宋体"/>
                <w:kern w:val="0"/>
                <w:szCs w:val="21"/>
              </w:rPr>
              <w:t>小微企业</w:t>
            </w:r>
            <w:r>
              <w:rPr>
                <w:rFonts w:hint="eastAsia"/>
                <w:b/>
                <w:szCs w:val="21"/>
              </w:rPr>
              <w:t>（监狱企业、残疾人福利性单位视同小微企业）</w:t>
            </w:r>
            <w:r>
              <w:rPr>
                <w:rFonts w:hint="eastAsia" w:ascii="宋体" w:hAnsi="宋体"/>
                <w:kern w:val="0"/>
                <w:szCs w:val="21"/>
              </w:rPr>
              <w:t>价格扣除按照本招标文件投标须知附表规定执行。</w:t>
            </w:r>
          </w:p>
          <w:p>
            <w:pPr>
              <w:spacing w:line="400" w:lineRule="exact"/>
              <w:ind w:left="-38"/>
              <w:rPr>
                <w:rFonts w:ascii="宋体" w:hAnsi="宋体"/>
                <w:szCs w:val="21"/>
              </w:rPr>
            </w:pPr>
            <w:r>
              <w:rPr>
                <w:rFonts w:hint="eastAsia" w:ascii="宋体" w:hAnsi="宋体"/>
                <w:b/>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vAlign w:val="center"/>
          </w:tcPr>
          <w:p>
            <w:pPr>
              <w:spacing w:line="400" w:lineRule="exact"/>
              <w:ind w:firstLine="28"/>
              <w:jc w:val="center"/>
              <w:rPr>
                <w:rFonts w:ascii="宋体" w:hAnsi="宋体"/>
                <w:szCs w:val="21"/>
              </w:rPr>
            </w:pPr>
            <w:r>
              <w:rPr>
                <w:rFonts w:hint="eastAsia" w:ascii="宋体" w:hAnsi="宋体"/>
                <w:szCs w:val="21"/>
              </w:rPr>
              <w:t>2</w:t>
            </w:r>
          </w:p>
        </w:tc>
        <w:tc>
          <w:tcPr>
            <w:tcW w:w="1935" w:type="dxa"/>
            <w:vAlign w:val="center"/>
          </w:tcPr>
          <w:p>
            <w:pPr>
              <w:jc w:val="center"/>
              <w:rPr>
                <w:rFonts w:ascii="宋体" w:hAnsi="宋体"/>
                <w:szCs w:val="21"/>
              </w:rPr>
            </w:pPr>
            <w:r>
              <w:rPr>
                <w:rFonts w:hint="eastAsia" w:ascii="宋体" w:hAnsi="宋体"/>
                <w:szCs w:val="21"/>
              </w:rPr>
              <w:t>技术参数36%</w:t>
            </w:r>
          </w:p>
          <w:p>
            <w:pPr>
              <w:jc w:val="center"/>
              <w:rPr>
                <w:rFonts w:ascii="宋体" w:hAnsi="宋体"/>
                <w:b/>
                <w:szCs w:val="21"/>
              </w:rPr>
            </w:pPr>
          </w:p>
        </w:tc>
        <w:tc>
          <w:tcPr>
            <w:tcW w:w="709" w:type="dxa"/>
            <w:vAlign w:val="center"/>
          </w:tcPr>
          <w:p>
            <w:pPr>
              <w:spacing w:line="400" w:lineRule="exact"/>
              <w:ind w:firstLine="28"/>
              <w:jc w:val="center"/>
              <w:rPr>
                <w:rFonts w:ascii="宋体" w:hAnsi="宋体"/>
                <w:szCs w:val="21"/>
              </w:rPr>
            </w:pPr>
            <w:r>
              <w:rPr>
                <w:rFonts w:hint="eastAsia" w:ascii="宋体" w:hAnsi="宋体"/>
                <w:szCs w:val="21"/>
              </w:rPr>
              <w:t>36分</w:t>
            </w:r>
          </w:p>
        </w:tc>
        <w:tc>
          <w:tcPr>
            <w:tcW w:w="3402" w:type="dxa"/>
            <w:vAlign w:val="center"/>
          </w:tcPr>
          <w:p>
            <w:pPr>
              <w:pStyle w:val="10"/>
              <w:spacing w:line="360" w:lineRule="auto"/>
              <w:jc w:val="both"/>
              <w:rPr>
                <w:rFonts w:ascii="宋体" w:hAnsi="宋体" w:cs="宋体"/>
                <w:color w:val="000000"/>
                <w:szCs w:val="21"/>
              </w:rPr>
            </w:pPr>
            <w:r>
              <w:rPr>
                <w:rFonts w:hint="eastAsia" w:ascii="宋体" w:hAnsi="宋体" w:cs="宋体"/>
                <w:color w:val="000000"/>
                <w:szCs w:val="21"/>
              </w:rPr>
              <w:t>完全满足招标文件技术要求的得36分；“★”参数条款（18项）每有一项负偏离的扣1分，非“★”参数（90项）每有一项负偏离扣0.2分，扣完为止。</w:t>
            </w:r>
          </w:p>
          <w:p>
            <w:pPr>
              <w:spacing w:line="400" w:lineRule="exact"/>
              <w:rPr>
                <w:rFonts w:ascii="宋体" w:hAnsi="宋体"/>
                <w:szCs w:val="21"/>
              </w:rPr>
            </w:pPr>
            <w:r>
              <w:rPr>
                <w:rFonts w:hint="eastAsia" w:ascii="宋体" w:hAnsi="宋体" w:cs="宋体"/>
                <w:color w:val="000000"/>
                <w:szCs w:val="21"/>
              </w:rPr>
              <w:t>备注:投标人响应招标文件技术参数由投标人自行提供产品简介或者相关材料佐证，未提供的视为负偏离。</w:t>
            </w:r>
          </w:p>
        </w:tc>
        <w:tc>
          <w:tcPr>
            <w:tcW w:w="3118" w:type="dxa"/>
            <w:vAlign w:val="center"/>
          </w:tcPr>
          <w:p>
            <w:pPr>
              <w:spacing w:line="400" w:lineRule="exact"/>
              <w:rPr>
                <w:rFonts w:ascii="宋体" w:hAnsi="宋体"/>
                <w:szCs w:val="21"/>
              </w:rPr>
            </w:pPr>
            <w:r>
              <w:rPr>
                <w:rFonts w:hint="eastAsia" w:ascii="宋体" w:hAnsi="宋体"/>
                <w:b/>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725" w:type="dxa"/>
            <w:vMerge w:val="restart"/>
            <w:vAlign w:val="center"/>
          </w:tcPr>
          <w:p>
            <w:pPr>
              <w:spacing w:line="400" w:lineRule="exact"/>
              <w:ind w:firstLine="28"/>
              <w:jc w:val="center"/>
              <w:rPr>
                <w:rFonts w:ascii="宋体" w:hAnsi="宋体"/>
                <w:szCs w:val="21"/>
              </w:rPr>
            </w:pPr>
            <w:r>
              <w:rPr>
                <w:rFonts w:hint="eastAsia" w:ascii="宋体" w:hAnsi="宋体"/>
                <w:szCs w:val="21"/>
              </w:rPr>
              <w:t>3</w:t>
            </w:r>
          </w:p>
        </w:tc>
        <w:tc>
          <w:tcPr>
            <w:tcW w:w="1935" w:type="dxa"/>
            <w:vMerge w:val="restart"/>
            <w:vAlign w:val="center"/>
          </w:tcPr>
          <w:p>
            <w:pPr>
              <w:spacing w:line="400" w:lineRule="exact"/>
              <w:ind w:firstLine="28"/>
              <w:jc w:val="center"/>
              <w:rPr>
                <w:rFonts w:ascii="宋体" w:hAnsi="宋体"/>
                <w:szCs w:val="21"/>
              </w:rPr>
            </w:pPr>
            <w:r>
              <w:rPr>
                <w:rFonts w:hint="eastAsia" w:ascii="宋体" w:hAnsi="宋体"/>
                <w:szCs w:val="21"/>
              </w:rPr>
              <w:t>服务方案25%</w:t>
            </w:r>
          </w:p>
          <w:p>
            <w:pPr>
              <w:spacing w:line="400" w:lineRule="exact"/>
              <w:ind w:firstLine="28"/>
              <w:jc w:val="center"/>
              <w:rPr>
                <w:rFonts w:ascii="宋体" w:hAnsi="宋体"/>
                <w:szCs w:val="21"/>
              </w:rPr>
            </w:pPr>
          </w:p>
        </w:tc>
        <w:tc>
          <w:tcPr>
            <w:tcW w:w="709" w:type="dxa"/>
            <w:vAlign w:val="center"/>
          </w:tcPr>
          <w:p>
            <w:pPr>
              <w:pStyle w:val="10"/>
              <w:spacing w:line="360" w:lineRule="auto"/>
              <w:jc w:val="both"/>
              <w:rPr>
                <w:rFonts w:ascii="宋体" w:hAnsi="宋体"/>
                <w:szCs w:val="21"/>
              </w:rPr>
            </w:pPr>
            <w:r>
              <w:rPr>
                <w:rFonts w:hint="eastAsia" w:ascii="宋体" w:hAnsi="宋体" w:cs="宋体"/>
                <w:color w:val="000000"/>
                <w:szCs w:val="21"/>
              </w:rPr>
              <w:t>供货方案</w:t>
            </w:r>
            <w:r>
              <w:rPr>
                <w:rFonts w:hint="eastAsia"/>
                <w:color w:val="000000"/>
              </w:rPr>
              <w:t>13分</w:t>
            </w:r>
          </w:p>
        </w:tc>
        <w:tc>
          <w:tcPr>
            <w:tcW w:w="3402" w:type="dxa"/>
            <w:vAlign w:val="center"/>
          </w:tcPr>
          <w:p>
            <w:pPr>
              <w:pStyle w:val="10"/>
              <w:spacing w:line="360" w:lineRule="auto"/>
              <w:jc w:val="both"/>
              <w:rPr>
                <w:rFonts w:ascii="宋体" w:hAnsi="宋体"/>
                <w:szCs w:val="21"/>
              </w:rPr>
            </w:pPr>
            <w:r>
              <w:rPr>
                <w:rFonts w:hint="eastAsia"/>
                <w:color w:val="000000"/>
              </w:rPr>
              <w:t>投标人提供针对本项目的供货方案（至少包括产品质量保证措施；交货时间；运输方案等）能完全满足招标文件要求且与整体服务实施方案无矛盾、符合实际情况、无缺陷漏项得基本分9分。投标人每有一项有利于项目实施、具有针对性的增项的加2分，最多加4分。每有一处不满足招标文件要求或与整体服务实施方案矛盾、不符合实际情况的扣1.5分；有缺陷漏项的扣3分，扣完为止。无方案不得分。本项最多的13分</w:t>
            </w:r>
          </w:p>
        </w:tc>
        <w:tc>
          <w:tcPr>
            <w:tcW w:w="3118" w:type="dxa"/>
            <w:vMerge w:val="restart"/>
            <w:vAlign w:val="center"/>
          </w:tcPr>
          <w:p>
            <w:pPr>
              <w:spacing w:line="400" w:lineRule="exact"/>
              <w:ind w:left="-38"/>
              <w:rPr>
                <w:rFonts w:ascii="宋体" w:hAnsi="宋体"/>
                <w:szCs w:val="21"/>
              </w:rPr>
            </w:pPr>
            <w:r>
              <w:rPr>
                <w:rFonts w:hint="eastAsia" w:ascii="宋体" w:hAnsi="宋体"/>
                <w:b/>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725" w:type="dxa"/>
            <w:vMerge w:val="continue"/>
            <w:vAlign w:val="center"/>
          </w:tcPr>
          <w:p>
            <w:pPr>
              <w:spacing w:line="400" w:lineRule="exact"/>
              <w:ind w:firstLine="28"/>
              <w:jc w:val="center"/>
            </w:pPr>
          </w:p>
        </w:tc>
        <w:tc>
          <w:tcPr>
            <w:tcW w:w="1935" w:type="dxa"/>
            <w:vMerge w:val="continue"/>
            <w:vAlign w:val="center"/>
          </w:tcPr>
          <w:p>
            <w:pPr>
              <w:spacing w:line="400" w:lineRule="exact"/>
              <w:ind w:firstLine="28"/>
              <w:jc w:val="center"/>
            </w:pPr>
          </w:p>
        </w:tc>
        <w:tc>
          <w:tcPr>
            <w:tcW w:w="709" w:type="dxa"/>
            <w:vAlign w:val="center"/>
          </w:tcPr>
          <w:p>
            <w:pPr>
              <w:pStyle w:val="10"/>
              <w:spacing w:line="360" w:lineRule="auto"/>
              <w:jc w:val="both"/>
              <w:rPr>
                <w:rFonts w:ascii="宋体" w:hAnsi="宋体"/>
                <w:szCs w:val="21"/>
              </w:rPr>
            </w:pPr>
            <w:r>
              <w:rPr>
                <w:rFonts w:hint="eastAsia" w:ascii="宋体" w:hAnsi="宋体" w:cs="宋体"/>
                <w:bCs/>
                <w:color w:val="000000"/>
                <w:szCs w:val="21"/>
              </w:rPr>
              <w:t>售后服务12分</w:t>
            </w:r>
          </w:p>
        </w:tc>
        <w:tc>
          <w:tcPr>
            <w:tcW w:w="3402" w:type="dxa"/>
            <w:vAlign w:val="center"/>
          </w:tcPr>
          <w:p>
            <w:pPr>
              <w:pStyle w:val="10"/>
              <w:spacing w:line="360" w:lineRule="auto"/>
              <w:jc w:val="both"/>
              <w:rPr>
                <w:rFonts w:ascii="宋体" w:hAnsi="宋体"/>
                <w:szCs w:val="21"/>
              </w:rPr>
            </w:pPr>
            <w:r>
              <w:rPr>
                <w:rFonts w:hint="eastAsia" w:ascii="宋体" w:hAnsi="宋体" w:cs="宋体"/>
                <w:color w:val="000000"/>
                <w:szCs w:val="21"/>
              </w:rPr>
              <w:t>投标人提供针对本项目售后服务方案（至少包括售后服务质量保证；售后服务的要求；故障响应时间；应急响应机制等）</w:t>
            </w:r>
            <w:r>
              <w:rPr>
                <w:rFonts w:hint="eastAsia"/>
                <w:color w:val="000000"/>
              </w:rPr>
              <w:t>能完全满足招标文件要求且与整体服务实施方案无矛盾、符合实际情况、无缺陷漏项得8分。投标人每有一项有利于项目实施、具有针对性的增项的加2分，最多加4分。每有一处不满足招标文件要求或与整体服务实施方案矛盾、不符合实际情况的扣1分；有缺陷漏项的缺陷漏项扣2分，扣完为止。无方案不得分。本项最多的12分</w:t>
            </w:r>
          </w:p>
        </w:tc>
        <w:tc>
          <w:tcPr>
            <w:tcW w:w="3118" w:type="dxa"/>
            <w:vMerge w:val="continue"/>
            <w:vAlign w:val="center"/>
          </w:tcPr>
          <w:p>
            <w:pPr>
              <w:spacing w:line="400" w:lineRule="exact"/>
              <w:ind w:firstLine="2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trPr>
        <w:tc>
          <w:tcPr>
            <w:tcW w:w="725" w:type="dxa"/>
            <w:vAlign w:val="center"/>
          </w:tcPr>
          <w:p>
            <w:pPr>
              <w:spacing w:line="400" w:lineRule="exact"/>
              <w:ind w:firstLine="28"/>
              <w:jc w:val="center"/>
              <w:rPr>
                <w:rFonts w:ascii="宋体" w:hAnsi="宋体"/>
                <w:szCs w:val="21"/>
              </w:rPr>
            </w:pPr>
            <w:r>
              <w:rPr>
                <w:rFonts w:hint="eastAsia" w:ascii="宋体" w:hAnsi="宋体"/>
                <w:szCs w:val="21"/>
              </w:rPr>
              <w:t>4</w:t>
            </w:r>
          </w:p>
        </w:tc>
        <w:tc>
          <w:tcPr>
            <w:tcW w:w="1935" w:type="dxa"/>
            <w:vAlign w:val="center"/>
          </w:tcPr>
          <w:p>
            <w:pPr>
              <w:pStyle w:val="10"/>
              <w:spacing w:line="360" w:lineRule="auto"/>
              <w:jc w:val="center"/>
              <w:rPr>
                <w:rFonts w:ascii="宋体" w:hAnsi="宋体"/>
                <w:b/>
                <w:szCs w:val="21"/>
              </w:rPr>
            </w:pPr>
            <w:r>
              <w:rPr>
                <w:rFonts w:hint="eastAsia" w:ascii="宋体" w:hAnsi="宋体"/>
                <w:color w:val="000000"/>
                <w:szCs w:val="21"/>
              </w:rPr>
              <w:t>履约能力9</w:t>
            </w:r>
            <w:r>
              <w:rPr>
                <w:rFonts w:hint="eastAsia" w:ascii="宋体" w:hAnsi="宋体" w:cs="宋体"/>
                <w:color w:val="000000"/>
                <w:szCs w:val="21"/>
              </w:rPr>
              <w:t>%</w:t>
            </w:r>
          </w:p>
        </w:tc>
        <w:tc>
          <w:tcPr>
            <w:tcW w:w="709" w:type="dxa"/>
            <w:vAlign w:val="center"/>
          </w:tcPr>
          <w:p>
            <w:pPr>
              <w:pStyle w:val="10"/>
              <w:spacing w:line="360" w:lineRule="auto"/>
              <w:jc w:val="center"/>
              <w:rPr>
                <w:rFonts w:ascii="宋体" w:hAnsi="宋体"/>
                <w:szCs w:val="21"/>
              </w:rPr>
            </w:pPr>
            <w:r>
              <w:rPr>
                <w:rFonts w:hint="eastAsia" w:ascii="宋体" w:hAnsi="宋体" w:cs="宋体"/>
                <w:bCs/>
                <w:color w:val="000000"/>
                <w:szCs w:val="21"/>
              </w:rPr>
              <w:t>9分</w:t>
            </w:r>
          </w:p>
        </w:tc>
        <w:tc>
          <w:tcPr>
            <w:tcW w:w="3402" w:type="dxa"/>
            <w:vAlign w:val="center"/>
          </w:tcPr>
          <w:p>
            <w:pPr>
              <w:pStyle w:val="10"/>
              <w:spacing w:line="360" w:lineRule="auto"/>
              <w:rPr>
                <w:rFonts w:ascii="宋体" w:hAnsi="宋体"/>
                <w:szCs w:val="21"/>
              </w:rPr>
            </w:pPr>
            <w:r>
              <w:rPr>
                <w:rFonts w:hint="eastAsia" w:ascii="宋体" w:hAnsi="宋体"/>
                <w:color w:val="000000"/>
                <w:szCs w:val="21"/>
              </w:rPr>
              <w:t>投标人提供2018年1月1日以来每完成一个类似项目业绩的得3分，本项最多得9分。</w:t>
            </w:r>
          </w:p>
        </w:tc>
        <w:tc>
          <w:tcPr>
            <w:tcW w:w="3118" w:type="dxa"/>
            <w:vAlign w:val="center"/>
          </w:tcPr>
          <w:p>
            <w:pPr>
              <w:spacing w:line="400" w:lineRule="exact"/>
              <w:ind w:left="-38"/>
              <w:jc w:val="center"/>
              <w:rPr>
                <w:rFonts w:ascii="宋体" w:hAnsi="宋体"/>
                <w:color w:val="000000"/>
                <w:szCs w:val="21"/>
              </w:rPr>
            </w:pPr>
            <w:r>
              <w:rPr>
                <w:rFonts w:hint="eastAsia" w:ascii="宋体" w:hAnsi="宋体"/>
                <w:color w:val="000000"/>
                <w:szCs w:val="21"/>
              </w:rPr>
              <w:t>（提供成交（中标）通知书或合同复印件加盖公章）</w:t>
            </w:r>
          </w:p>
          <w:p>
            <w:pPr>
              <w:spacing w:line="400" w:lineRule="exact"/>
              <w:ind w:left="-38"/>
              <w:jc w:val="center"/>
              <w:rPr>
                <w:rFonts w:ascii="宋体" w:hAnsi="宋体"/>
                <w:szCs w:val="21"/>
              </w:rPr>
            </w:pPr>
            <w:r>
              <w:rPr>
                <w:rFonts w:hint="eastAsia" w:ascii="宋体" w:hAnsi="宋体"/>
                <w:b/>
                <w:szCs w:val="21"/>
              </w:rPr>
              <w:t>（共同评分因素）</w:t>
            </w:r>
          </w:p>
        </w:tc>
      </w:tr>
    </w:tbl>
    <w:p>
      <w:pPr>
        <w:spacing w:line="400" w:lineRule="exact"/>
        <w:rPr>
          <w:rFonts w:ascii="宋体" w:hAnsi="宋体"/>
          <w:sz w:val="24"/>
        </w:rPr>
      </w:pPr>
      <w:bookmarkStart w:id="195" w:name="_Toc217446060"/>
      <w:r>
        <w:rPr>
          <w:rFonts w:hint="eastAsia" w:ascii="宋体" w:hAnsi="宋体" w:cs="宋体"/>
          <w:sz w:val="24"/>
        </w:rPr>
        <w:t>注：评分的取值按四舍五入法，保留小数点后两位。</w:t>
      </w:r>
    </w:p>
    <w:p>
      <w:pPr>
        <w:pStyle w:val="4"/>
        <w:spacing w:line="400" w:lineRule="exact"/>
        <w:ind w:firstLine="472" w:firstLineChars="196"/>
        <w:rPr>
          <w:rFonts w:ascii="宋体" w:hAnsi="宋体" w:eastAsia="宋体"/>
          <w:sz w:val="24"/>
          <w:szCs w:val="24"/>
        </w:rPr>
      </w:pPr>
      <w:r>
        <w:rPr>
          <w:rFonts w:hint="eastAsia" w:ascii="宋体" w:hAnsi="宋体" w:eastAsia="宋体"/>
          <w:sz w:val="24"/>
          <w:szCs w:val="24"/>
        </w:rPr>
        <w:t>5、 废 标</w:t>
      </w:r>
    </w:p>
    <w:p>
      <w:pPr>
        <w:spacing w:line="400" w:lineRule="exact"/>
        <w:ind w:firstLine="480" w:firstLineChars="200"/>
        <w:rPr>
          <w:rFonts w:ascii="宋体" w:hAnsi="宋体"/>
          <w:sz w:val="24"/>
        </w:rPr>
      </w:pPr>
      <w:r>
        <w:rPr>
          <w:rFonts w:hint="eastAsia" w:ascii="宋体" w:hAnsi="宋体"/>
          <w:sz w:val="24"/>
        </w:rPr>
        <w:t>5.1本次政府采购活动中，出现下列情形之一的，予以废标：</w:t>
      </w:r>
    </w:p>
    <w:p>
      <w:pPr>
        <w:spacing w:line="400" w:lineRule="exact"/>
        <w:ind w:firstLine="480" w:firstLineChars="200"/>
        <w:rPr>
          <w:rFonts w:ascii="宋体" w:hAnsi="宋体"/>
          <w:sz w:val="24"/>
        </w:rPr>
      </w:pPr>
      <w:r>
        <w:rPr>
          <w:rFonts w:hint="eastAsia" w:ascii="宋体" w:hAnsi="宋体"/>
          <w:sz w:val="24"/>
        </w:rPr>
        <w:t>（1）符合专业条件的投标人或者对招标文件作实质响应的投标人不足三家的；</w:t>
      </w:r>
    </w:p>
    <w:p>
      <w:pPr>
        <w:spacing w:line="400" w:lineRule="exact"/>
        <w:ind w:firstLine="480" w:firstLineChars="200"/>
        <w:rPr>
          <w:rFonts w:ascii="宋体" w:hAnsi="宋体"/>
          <w:sz w:val="24"/>
        </w:rPr>
      </w:pPr>
      <w:r>
        <w:rPr>
          <w:rFonts w:hint="eastAsia" w:ascii="宋体" w:hAnsi="宋体"/>
          <w:sz w:val="24"/>
        </w:rPr>
        <w:t>（2）出现影响采购公正的违法、违规行为的；</w:t>
      </w:r>
    </w:p>
    <w:p>
      <w:pPr>
        <w:spacing w:line="400" w:lineRule="exact"/>
        <w:ind w:firstLine="480" w:firstLineChars="200"/>
        <w:rPr>
          <w:rFonts w:ascii="宋体" w:hAnsi="宋体"/>
          <w:sz w:val="24"/>
        </w:rPr>
      </w:pPr>
      <w:r>
        <w:rPr>
          <w:rFonts w:hint="eastAsia" w:ascii="宋体" w:hAnsi="宋体"/>
          <w:sz w:val="24"/>
        </w:rPr>
        <w:t>（3）投标人的报价均超过了采购预算，采购人不能支付的；</w:t>
      </w:r>
    </w:p>
    <w:p>
      <w:pPr>
        <w:spacing w:line="400" w:lineRule="exact"/>
        <w:ind w:firstLine="480" w:firstLineChars="200"/>
        <w:rPr>
          <w:rFonts w:ascii="宋体" w:hAnsi="宋体"/>
          <w:sz w:val="24"/>
        </w:rPr>
      </w:pPr>
      <w:r>
        <w:rPr>
          <w:rFonts w:hint="eastAsia" w:ascii="宋体" w:hAnsi="宋体"/>
          <w:sz w:val="24"/>
        </w:rPr>
        <w:t>（4）因重大变故，采购任务取消的。</w:t>
      </w:r>
    </w:p>
    <w:p>
      <w:pPr>
        <w:spacing w:line="400" w:lineRule="exact"/>
        <w:ind w:firstLine="480" w:firstLineChars="200"/>
        <w:rPr>
          <w:rFonts w:ascii="宋体" w:hAnsi="宋体"/>
          <w:sz w:val="24"/>
        </w:rPr>
      </w:pPr>
      <w:r>
        <w:rPr>
          <w:rFonts w:hint="eastAsia" w:ascii="宋体" w:hAnsi="宋体"/>
          <w:sz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sz w:val="24"/>
        </w:rPr>
      </w:pPr>
      <w:r>
        <w:rPr>
          <w:rFonts w:hint="eastAsia" w:ascii="宋体" w:hAnsi="宋体"/>
          <w:sz w:val="24"/>
        </w:rPr>
        <w:t>5.2对于评标过程中废标的采购项目，评标委员会应当对招标文件是否存在倾向性和歧视性、是否存在不合理条款进行论证，并出具书面论证意见。</w:t>
      </w:r>
    </w:p>
    <w:p>
      <w:pPr>
        <w:pStyle w:val="4"/>
        <w:spacing w:line="400" w:lineRule="exact"/>
        <w:ind w:firstLine="472" w:firstLineChars="196"/>
        <w:rPr>
          <w:rFonts w:ascii="宋体" w:hAnsi="宋体" w:eastAsia="宋体"/>
          <w:sz w:val="24"/>
          <w:szCs w:val="24"/>
        </w:rPr>
      </w:pPr>
      <w:r>
        <w:rPr>
          <w:rFonts w:hint="eastAsia" w:ascii="宋体" w:hAnsi="宋体" w:eastAsia="宋体"/>
          <w:sz w:val="24"/>
          <w:szCs w:val="24"/>
        </w:rPr>
        <w:t>6、定标</w:t>
      </w:r>
      <w:bookmarkEnd w:id="195"/>
      <w:bookmarkStart w:id="196" w:name="_Toc217446061"/>
    </w:p>
    <w:p>
      <w:pPr>
        <w:spacing w:line="400" w:lineRule="exact"/>
        <w:ind w:firstLine="480" w:firstLineChars="200"/>
        <w:rPr>
          <w:rFonts w:ascii="宋体" w:hAnsi="宋体"/>
          <w:sz w:val="24"/>
        </w:rPr>
      </w:pPr>
      <w:r>
        <w:rPr>
          <w:rFonts w:hint="eastAsia" w:ascii="宋体" w:hAnsi="宋体"/>
          <w:sz w:val="24"/>
        </w:rPr>
        <w:t>6.1. 定标原则</w:t>
      </w:r>
      <w:bookmarkEnd w:id="196"/>
      <w:r>
        <w:rPr>
          <w:rFonts w:hint="eastAsia" w:ascii="宋体" w:hAnsi="宋体"/>
          <w:sz w:val="24"/>
        </w:rPr>
        <w:t>：本项目根据评标委员会推荐的中标候选人名单，按顺序确定中标人。</w:t>
      </w:r>
    </w:p>
    <w:p>
      <w:pPr>
        <w:spacing w:line="400" w:lineRule="exact"/>
        <w:ind w:firstLine="480" w:firstLineChars="200"/>
        <w:rPr>
          <w:rFonts w:ascii="宋体" w:hAnsi="宋体"/>
          <w:sz w:val="24"/>
        </w:rPr>
      </w:pPr>
      <w:bookmarkStart w:id="197" w:name="_Toc217446062"/>
      <w:r>
        <w:rPr>
          <w:rFonts w:hint="eastAsia" w:ascii="宋体" w:hAnsi="宋体"/>
          <w:sz w:val="24"/>
        </w:rPr>
        <w:t>6.2. 定标程序</w:t>
      </w:r>
      <w:bookmarkEnd w:id="197"/>
    </w:p>
    <w:p>
      <w:pPr>
        <w:spacing w:line="400" w:lineRule="exact"/>
        <w:ind w:firstLine="480" w:firstLineChars="200"/>
        <w:rPr>
          <w:rFonts w:ascii="宋体" w:hAnsi="宋体"/>
          <w:sz w:val="24"/>
        </w:rPr>
      </w:pPr>
      <w:r>
        <w:rPr>
          <w:rFonts w:hint="eastAsia" w:ascii="宋体" w:hAnsi="宋体"/>
          <w:sz w:val="24"/>
        </w:rPr>
        <w:t>6.2.1 评标委员会将评标情况写出书面报告，推荐中标候选人。</w:t>
      </w:r>
      <w:r>
        <w:rPr>
          <w:rFonts w:ascii="宋体" w:hAnsi="宋体"/>
          <w:sz w:val="24"/>
        </w:rPr>
        <w:t>评标委员会将评标情况写出书面报告，推荐中标候选人。</w:t>
      </w:r>
      <w:r>
        <w:rPr>
          <w:rFonts w:hint="eastAsia" w:ascii="宋体" w:hAnsi="宋体"/>
          <w:sz w:val="24"/>
        </w:rPr>
        <w:t>中标候选人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宋体" w:hAnsi="宋体"/>
          <w:sz w:val="24"/>
        </w:rPr>
      </w:pPr>
      <w:r>
        <w:rPr>
          <w:rFonts w:hint="eastAsia" w:ascii="宋体" w:hAnsi="宋体"/>
          <w:sz w:val="24"/>
        </w:rPr>
        <w:t>6.2.2 采购代理机构在评标结束后2个工作日内将评标报告送采购人。</w:t>
      </w:r>
    </w:p>
    <w:p>
      <w:pPr>
        <w:spacing w:line="400" w:lineRule="exact"/>
        <w:ind w:firstLine="480" w:firstLineChars="200"/>
        <w:rPr>
          <w:rFonts w:ascii="宋体" w:hAnsi="宋体"/>
          <w:sz w:val="24"/>
        </w:rPr>
      </w:pPr>
      <w:r>
        <w:rPr>
          <w:rFonts w:hint="eastAsia" w:ascii="宋体" w:hAnsi="宋体"/>
          <w:sz w:val="24"/>
        </w:rPr>
        <w:t>6.2.3 采购人在收到评标报告后3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2" w:firstLineChars="200"/>
        <w:rPr>
          <w:rFonts w:ascii="宋体" w:hAnsi="宋体"/>
          <w:b/>
          <w:sz w:val="24"/>
        </w:rPr>
      </w:pPr>
      <w:r>
        <w:rPr>
          <w:rFonts w:hint="eastAsia" w:ascii="宋体" w:hAnsi="宋体"/>
          <w:b/>
          <w:sz w:val="24"/>
        </w:rPr>
        <w:t>注意，采购人按照推荐的中标候选人顺序确定中标人，不能认为采购人只能确定第一中标候选人为中标人，采购人有正当理由的，可以确定后一顺序中标候选人为中标人，依次类推。</w:t>
      </w:r>
    </w:p>
    <w:p>
      <w:pPr>
        <w:spacing w:line="400" w:lineRule="exact"/>
        <w:ind w:firstLine="480" w:firstLineChars="200"/>
        <w:rPr>
          <w:rFonts w:ascii="宋体" w:hAnsi="宋体"/>
          <w:sz w:val="24"/>
        </w:rPr>
      </w:pPr>
      <w:r>
        <w:rPr>
          <w:rFonts w:hint="eastAsia" w:ascii="宋体" w:hAnsi="宋体"/>
          <w:sz w:val="24"/>
        </w:rPr>
        <w:t>6.2.4 根据采购人确定的中标人，采购代理机构在四川政府采购网上发布中标公告，并自采购人确定中标之日起2个工作日内向中标人发出中标通知书。</w:t>
      </w:r>
    </w:p>
    <w:p>
      <w:pPr>
        <w:spacing w:line="400" w:lineRule="exact"/>
        <w:ind w:firstLine="480" w:firstLineChars="200"/>
        <w:rPr>
          <w:rFonts w:ascii="宋体" w:hAnsi="宋体"/>
          <w:sz w:val="24"/>
        </w:rPr>
      </w:pPr>
      <w:r>
        <w:rPr>
          <w:rFonts w:hint="eastAsia" w:ascii="宋体" w:hAnsi="宋体"/>
          <w:sz w:val="24"/>
        </w:rPr>
        <w:t>6.2.5 招标采购单位不退回投标人投标文件和其他投标资料。</w:t>
      </w:r>
    </w:p>
    <w:bookmarkEnd w:id="194"/>
    <w:p>
      <w:pPr>
        <w:pStyle w:val="4"/>
        <w:spacing w:line="400" w:lineRule="exact"/>
        <w:ind w:firstLine="482" w:firstLineChars="200"/>
        <w:rPr>
          <w:rFonts w:ascii="宋体" w:hAnsi="宋体" w:eastAsia="宋体"/>
          <w:bCs w:val="0"/>
          <w:sz w:val="24"/>
          <w:szCs w:val="24"/>
        </w:rPr>
      </w:pPr>
      <w:bookmarkStart w:id="198" w:name="_Toc208849022"/>
      <w:bookmarkStart w:id="199" w:name="_Toc217446105"/>
      <w:bookmarkStart w:id="200" w:name="_Toc183682432"/>
      <w:bookmarkStart w:id="201" w:name="_Toc183582297"/>
      <w:r>
        <w:rPr>
          <w:rFonts w:hint="eastAsia" w:ascii="宋体" w:hAnsi="宋体" w:eastAsia="宋体"/>
          <w:bCs w:val="0"/>
          <w:sz w:val="24"/>
          <w:szCs w:val="24"/>
        </w:rPr>
        <w:t xml:space="preserve">7. </w:t>
      </w:r>
      <w:bookmarkEnd w:id="198"/>
      <w:bookmarkEnd w:id="199"/>
      <w:bookmarkEnd w:id="200"/>
      <w:bookmarkEnd w:id="201"/>
      <w:r>
        <w:rPr>
          <w:rFonts w:hint="eastAsia" w:ascii="宋体" w:hAnsi="宋体" w:eastAsia="宋体"/>
          <w:sz w:val="24"/>
          <w:szCs w:val="24"/>
        </w:rPr>
        <w:t>评标专家在</w:t>
      </w:r>
      <w:r>
        <w:rPr>
          <w:rFonts w:hint="eastAsia" w:ascii="宋体" w:hAnsi="宋体" w:eastAsia="宋体"/>
          <w:sz w:val="24"/>
        </w:rPr>
        <w:t>政府采购活动</w:t>
      </w:r>
      <w:r>
        <w:rPr>
          <w:rFonts w:hint="eastAsia" w:ascii="宋体" w:hAnsi="宋体" w:eastAsia="宋体"/>
          <w:sz w:val="24"/>
          <w:szCs w:val="24"/>
        </w:rPr>
        <w:t>中承担以下义务：</w:t>
      </w:r>
    </w:p>
    <w:p>
      <w:pPr>
        <w:spacing w:line="400" w:lineRule="exact"/>
        <w:ind w:firstLine="480" w:firstLineChars="200"/>
        <w:rPr>
          <w:rFonts w:ascii="宋体" w:hAnsi="宋体"/>
          <w:sz w:val="24"/>
        </w:rPr>
      </w:pPr>
      <w:r>
        <w:rPr>
          <w:rFonts w:hint="eastAsia" w:ascii="宋体" w:hAnsi="宋体"/>
          <w:sz w:val="24"/>
        </w:rPr>
        <w:t xml:space="preserve">（一）遵守评审工作纪律； </w:t>
      </w:r>
    </w:p>
    <w:p>
      <w:pPr>
        <w:spacing w:line="400" w:lineRule="exact"/>
        <w:ind w:firstLine="480" w:firstLineChars="200"/>
        <w:rPr>
          <w:rFonts w:ascii="宋体" w:hAnsi="宋体"/>
          <w:sz w:val="24"/>
        </w:rPr>
      </w:pPr>
      <w:r>
        <w:rPr>
          <w:rFonts w:hint="eastAsia" w:ascii="宋体" w:hAnsi="宋体"/>
          <w:sz w:val="24"/>
        </w:rPr>
        <w:t>（二）按照客观、公正、审慎的原则，根据采购文件规定的评审程序、评审方法和评审标准进行独立评审；</w:t>
      </w:r>
    </w:p>
    <w:p>
      <w:pPr>
        <w:spacing w:line="400" w:lineRule="exact"/>
        <w:ind w:firstLine="480" w:firstLineChars="200"/>
        <w:rPr>
          <w:rFonts w:ascii="宋体" w:hAnsi="宋体"/>
          <w:sz w:val="24"/>
        </w:rPr>
      </w:pPr>
      <w:r>
        <w:rPr>
          <w:rFonts w:hint="eastAsia" w:ascii="宋体" w:hAnsi="宋体"/>
          <w:sz w:val="24"/>
        </w:rPr>
        <w:t>（三）不得泄露评审文件、评审情况和在评审过程中获悉的商业秘密；</w:t>
      </w:r>
    </w:p>
    <w:p>
      <w:pPr>
        <w:spacing w:line="400" w:lineRule="exact"/>
        <w:ind w:firstLine="480" w:firstLineChars="200"/>
        <w:rPr>
          <w:rFonts w:ascii="宋体" w:hAnsi="宋体"/>
          <w:sz w:val="24"/>
        </w:rPr>
      </w:pPr>
      <w:r>
        <w:rPr>
          <w:rFonts w:hint="eastAsia" w:ascii="宋体" w:hAnsi="宋体"/>
          <w:sz w:val="24"/>
        </w:rPr>
        <w:t>（四）及时向监督部门报告评审过程中采购组织单位向评审专家做倾向性、误导性的解释或者说明，投标人行贿、提供虚假材料或者串通、受到的非法干预情况等违法违规行为；</w:t>
      </w:r>
    </w:p>
    <w:p>
      <w:pPr>
        <w:spacing w:line="400" w:lineRule="exact"/>
        <w:ind w:firstLine="480" w:firstLineChars="200"/>
        <w:rPr>
          <w:rFonts w:ascii="宋体" w:hAnsi="宋体"/>
          <w:sz w:val="24"/>
        </w:rPr>
      </w:pPr>
      <w:r>
        <w:rPr>
          <w:rFonts w:hint="eastAsia" w:ascii="宋体" w:hAnsi="宋体"/>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sz w:val="24"/>
        </w:rPr>
      </w:pPr>
      <w:r>
        <w:rPr>
          <w:rFonts w:hint="eastAsia" w:ascii="宋体" w:hAnsi="宋体"/>
          <w:sz w:val="24"/>
        </w:rPr>
        <w:t>（六）配合答复处理投标人的询问、质疑和投诉等事项；</w:t>
      </w:r>
    </w:p>
    <w:p>
      <w:pPr>
        <w:spacing w:line="400" w:lineRule="exact"/>
        <w:ind w:firstLine="480" w:firstLineChars="200"/>
        <w:rPr>
          <w:rFonts w:ascii="宋体" w:hAnsi="宋体"/>
          <w:sz w:val="24"/>
        </w:rPr>
      </w:pPr>
      <w:r>
        <w:rPr>
          <w:rFonts w:hint="eastAsia" w:ascii="宋体" w:hAnsi="宋体"/>
          <w:sz w:val="24"/>
        </w:rPr>
        <w:t>（七）法律、法规和规章规定的其他义务。</w:t>
      </w:r>
    </w:p>
    <w:p>
      <w:pPr>
        <w:pStyle w:val="4"/>
        <w:spacing w:line="400" w:lineRule="exact"/>
        <w:ind w:firstLine="482" w:firstLineChars="200"/>
        <w:rPr>
          <w:rFonts w:ascii="宋体" w:hAnsi="宋体" w:eastAsia="宋体"/>
          <w:bCs w:val="0"/>
          <w:sz w:val="24"/>
          <w:szCs w:val="24"/>
        </w:rPr>
      </w:pPr>
      <w:r>
        <w:rPr>
          <w:rFonts w:hint="eastAsia" w:ascii="宋体" w:hAnsi="宋体" w:eastAsia="宋体"/>
          <w:bCs w:val="0"/>
          <w:sz w:val="24"/>
          <w:szCs w:val="24"/>
        </w:rPr>
        <w:t>8.评标专家在政府采购活动中应当遵守以下工作纪律：</w:t>
      </w:r>
    </w:p>
    <w:p>
      <w:pPr>
        <w:spacing w:line="400" w:lineRule="exact"/>
        <w:ind w:firstLine="480" w:firstLineChars="200"/>
        <w:rPr>
          <w:rFonts w:ascii="宋体" w:hAnsi="宋体"/>
          <w:sz w:val="24"/>
        </w:rPr>
      </w:pPr>
      <w:r>
        <w:rPr>
          <w:rFonts w:hint="eastAsia" w:ascii="宋体" w:hAnsi="宋体"/>
          <w:sz w:val="24"/>
        </w:rPr>
        <w:t>（一）遵行《政府采购法》第十二条和《政府采购法实施条例》第九条及财政部关于回避的规定。</w:t>
      </w:r>
    </w:p>
    <w:p>
      <w:pPr>
        <w:spacing w:line="400" w:lineRule="exact"/>
        <w:ind w:firstLine="480" w:firstLineChars="200"/>
        <w:rPr>
          <w:rFonts w:ascii="宋体" w:hAnsi="宋体"/>
          <w:sz w:val="24"/>
        </w:rPr>
      </w:pPr>
      <w:r>
        <w:rPr>
          <w:rFonts w:hint="eastAsia" w:ascii="宋体" w:hAnsi="宋体"/>
          <w:sz w:val="24"/>
        </w:rPr>
        <w:t>（二）评标前，应当将通讯工具或者相关电子设备交由招标采购单位统一保管。</w:t>
      </w:r>
    </w:p>
    <w:p>
      <w:pPr>
        <w:spacing w:line="400" w:lineRule="exact"/>
        <w:ind w:firstLine="480" w:firstLineChars="200"/>
        <w:rPr>
          <w:rFonts w:ascii="宋体" w:hAnsi="宋体"/>
          <w:sz w:val="24"/>
        </w:rPr>
      </w:pPr>
      <w:r>
        <w:rPr>
          <w:rFonts w:hint="eastAsia" w:ascii="宋体" w:hAnsi="宋体"/>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sz w:val="24"/>
        </w:rPr>
      </w:pPr>
      <w:r>
        <w:rPr>
          <w:rFonts w:hint="eastAsia" w:ascii="宋体" w:hAnsi="宋体"/>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sz w:val="24"/>
        </w:rPr>
      </w:pPr>
      <w:r>
        <w:rPr>
          <w:rFonts w:hint="eastAsia" w:ascii="宋体" w:hAnsi="宋体"/>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sz w:val="24"/>
        </w:rPr>
      </w:pPr>
      <w:r>
        <w:rPr>
          <w:rFonts w:hint="eastAsia" w:ascii="宋体" w:hAnsi="宋体"/>
          <w:sz w:val="24"/>
        </w:rPr>
        <w:t>（六）服从评标现场招标采购单位的现场秩序管理，接受评标现场监督人员的合法监督。</w:t>
      </w:r>
    </w:p>
    <w:p>
      <w:pPr>
        <w:spacing w:line="400" w:lineRule="exact"/>
        <w:ind w:firstLine="480" w:firstLineChars="200"/>
        <w:rPr>
          <w:rFonts w:ascii="宋体" w:hAnsi="宋体"/>
          <w:sz w:val="24"/>
        </w:rPr>
      </w:pPr>
      <w:r>
        <w:rPr>
          <w:rFonts w:hint="eastAsia" w:ascii="宋体" w:hAnsi="宋体"/>
          <w:sz w:val="24"/>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s="宋体"/>
          <w:sz w:val="36"/>
          <w:szCs w:val="36"/>
        </w:rPr>
      </w:pPr>
      <w:bookmarkStart w:id="202" w:name="_Toc23042"/>
      <w:r>
        <w:rPr>
          <w:rFonts w:hint="eastAsia" w:ascii="宋体" w:hAnsi="宋体"/>
          <w:sz w:val="36"/>
          <w:szCs w:val="36"/>
        </w:rPr>
        <w:br w:type="page"/>
      </w:r>
      <w:bookmarkStart w:id="203" w:name="_Toc56539541"/>
      <w:r>
        <w:rPr>
          <w:rFonts w:hint="eastAsia" w:ascii="宋体" w:hAnsi="宋体" w:cs="宋体"/>
          <w:sz w:val="36"/>
          <w:szCs w:val="36"/>
        </w:rPr>
        <w:t>第八章  政府采购合同（样例）</w:t>
      </w:r>
      <w:bookmarkEnd w:id="202"/>
      <w:bookmarkEnd w:id="203"/>
    </w:p>
    <w:p>
      <w:pPr>
        <w:spacing w:line="360" w:lineRule="auto"/>
        <w:ind w:firstLine="480" w:firstLineChars="200"/>
        <w:rPr>
          <w:rFonts w:ascii="宋体" w:hAnsi="宋体" w:cs="宋体"/>
          <w:sz w:val="24"/>
        </w:rPr>
      </w:pPr>
      <w:r>
        <w:rPr>
          <w:rFonts w:hint="eastAsia" w:ascii="宋体" w:hAnsi="宋体" w:cs="宋体"/>
          <w:sz w:val="24"/>
        </w:rPr>
        <w:t>合同编号：</w:t>
      </w:r>
      <w:r>
        <w:rPr>
          <w:rFonts w:hint="eastAsia" w:ascii="宋体" w:hAnsi="宋体" w:cs="宋体"/>
          <w:sz w:val="24"/>
          <w:u w:val="single"/>
        </w:rPr>
        <w:t xml:space="preserve">        </w:t>
      </w:r>
      <w:r>
        <w:rPr>
          <w:rFonts w:hint="eastAsia" w:ascii="宋体" w:hAnsi="宋体" w:cs="宋体"/>
          <w:szCs w:val="21"/>
        </w:rPr>
        <w:t>。</w:t>
      </w:r>
    </w:p>
    <w:p>
      <w:pPr>
        <w:spacing w:line="360" w:lineRule="auto"/>
        <w:ind w:firstLine="480" w:firstLineChars="200"/>
        <w:rPr>
          <w:rFonts w:ascii="宋体" w:hAnsi="宋体" w:cs="宋体"/>
          <w:sz w:val="24"/>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Cs w:val="21"/>
        </w:rPr>
        <w:t>。</w:t>
      </w:r>
    </w:p>
    <w:p>
      <w:pPr>
        <w:spacing w:line="360" w:lineRule="auto"/>
        <w:ind w:firstLine="480" w:firstLineChars="200"/>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rPr>
        <w:t xml:space="preserve">                                       </w:t>
      </w:r>
    </w:p>
    <w:p>
      <w:pPr>
        <w:spacing w:line="400" w:lineRule="exact"/>
        <w:rPr>
          <w:rFonts w:ascii="宋体" w:hAnsi="宋体" w:cs="宋体"/>
          <w:sz w:val="24"/>
        </w:rPr>
      </w:pPr>
    </w:p>
    <w:p>
      <w:pPr>
        <w:pStyle w:val="55"/>
        <w:ind w:firstLine="480"/>
        <w:rPr>
          <w:rFonts w:ascii="宋体" w:hAnsi="宋体"/>
        </w:rPr>
      </w:pPr>
      <w:r>
        <w:rPr>
          <w:rFonts w:hint="eastAsia" w:ascii="宋体" w:hAnsi="宋体"/>
        </w:rPr>
        <w:t>根据《中华人民共和国政府采购法》、《中华人民共和国民法典》及</w:t>
      </w:r>
      <w:r>
        <w:rPr>
          <w:rFonts w:hint="eastAsia" w:ascii="宋体" w:hAnsi="宋体"/>
          <w:u w:val="single"/>
        </w:rPr>
        <w:t xml:space="preserve">        </w:t>
      </w:r>
      <w:r>
        <w:rPr>
          <w:rFonts w:hint="eastAsia" w:ascii="宋体" w:hAnsi="宋体"/>
        </w:rPr>
        <w:t>采购项目（项目编号：</w:t>
      </w:r>
      <w:r>
        <w:rPr>
          <w:rFonts w:hint="eastAsia" w:ascii="宋体" w:hAnsi="宋体"/>
          <w:u w:val="single"/>
        </w:rPr>
        <w:t xml:space="preserve">        </w:t>
      </w:r>
      <w:r>
        <w:rPr>
          <w:rFonts w:hint="eastAsia" w:ascii="宋体" w:hAnsi="宋体"/>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ascii="宋体" w:hAnsi="宋体" w:eastAsia="宋体" w:cs="宋体"/>
          <w:sz w:val="24"/>
          <w:szCs w:val="24"/>
        </w:rPr>
      </w:pPr>
      <w:bookmarkStart w:id="204" w:name="_Toc217446107"/>
      <w:r>
        <w:rPr>
          <w:rFonts w:hint="eastAsia" w:ascii="宋体" w:hAnsi="宋体" w:eastAsia="宋体" w:cs="宋体"/>
          <w:sz w:val="24"/>
          <w:szCs w:val="24"/>
        </w:rPr>
        <w:t>一、合同货物</w:t>
      </w:r>
      <w:bookmarkEnd w:id="204"/>
    </w:p>
    <w:tbl>
      <w:tblPr>
        <w:tblStyle w:val="28"/>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sz w:val="24"/>
              </w:rPr>
            </w:pPr>
            <w:r>
              <w:rPr>
                <w:rFonts w:hint="eastAsia" w:ascii="宋体" w:hAnsi="宋体" w:cs="宋体"/>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规格</w:t>
            </w:r>
          </w:p>
          <w:p>
            <w:pPr>
              <w:spacing w:line="400" w:lineRule="exact"/>
              <w:jc w:val="center"/>
              <w:rPr>
                <w:rFonts w:ascii="宋体" w:hAnsi="宋体" w:cs="宋体"/>
                <w:sz w:val="24"/>
              </w:rPr>
            </w:pPr>
            <w:r>
              <w:rPr>
                <w:rFonts w:hint="eastAsia" w:ascii="宋体" w:hAnsi="宋体" w:cs="宋体"/>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sz w:val="24"/>
              </w:rPr>
            </w:pPr>
            <w:r>
              <w:rPr>
                <w:rFonts w:hint="eastAsia" w:ascii="宋体" w:hAnsi="宋体" w:cs="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宋体" w:hAnsi="宋体" w:cs="宋体"/>
                <w:sz w:val="24"/>
              </w:rPr>
            </w:pPr>
            <w:r>
              <w:rPr>
                <w:rFonts w:hint="eastAsia" w:ascii="宋体" w:hAnsi="宋体" w:cs="宋体"/>
                <w:sz w:val="24"/>
              </w:rPr>
              <w:t>单价</w:t>
            </w:r>
          </w:p>
          <w:p>
            <w:pPr>
              <w:spacing w:line="400" w:lineRule="exact"/>
              <w:jc w:val="center"/>
              <w:rPr>
                <w:rFonts w:ascii="宋体" w:hAnsi="宋体" w:cs="宋体"/>
                <w:sz w:val="24"/>
              </w:rPr>
            </w:pPr>
            <w:r>
              <w:rPr>
                <w:rFonts w:hint="eastAsia" w:ascii="宋体" w:hAnsi="宋体" w:cs="宋体"/>
                <w:sz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sz w:val="24"/>
              </w:rPr>
            </w:pPr>
            <w:r>
              <w:rPr>
                <w:rFonts w:hint="eastAsia" w:ascii="宋体" w:hAnsi="宋体" w:cs="宋体"/>
                <w:sz w:val="24"/>
              </w:rPr>
              <w:t>总价</w:t>
            </w:r>
          </w:p>
          <w:p>
            <w:pPr>
              <w:spacing w:line="400" w:lineRule="exact"/>
              <w:rPr>
                <w:rFonts w:ascii="宋体" w:hAnsi="宋体" w:cs="宋体"/>
                <w:sz w:val="24"/>
              </w:rPr>
            </w:pPr>
            <w:r>
              <w:rPr>
                <w:rFonts w:hint="eastAsia" w:ascii="宋体" w:hAnsi="宋体" w:cs="宋体"/>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随机</w:t>
            </w:r>
          </w:p>
          <w:p>
            <w:pPr>
              <w:spacing w:line="400" w:lineRule="exact"/>
              <w:jc w:val="center"/>
              <w:rPr>
                <w:rFonts w:ascii="宋体" w:hAnsi="宋体" w:cs="宋体"/>
                <w:sz w:val="24"/>
              </w:rPr>
            </w:pPr>
            <w:r>
              <w:rPr>
                <w:rFonts w:hint="eastAsia" w:ascii="宋体" w:hAnsi="宋体" w:cs="宋体"/>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sz w:val="24"/>
              </w:rPr>
            </w:pPr>
            <w:r>
              <w:rPr>
                <w:rFonts w:hint="eastAsia" w:ascii="宋体" w:hAnsi="宋体" w:cs="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r>
    </w:tbl>
    <w:p>
      <w:pPr>
        <w:pStyle w:val="4"/>
        <w:spacing w:line="400" w:lineRule="exact"/>
        <w:ind w:firstLine="482" w:firstLineChars="200"/>
        <w:rPr>
          <w:rFonts w:ascii="宋体" w:hAnsi="宋体" w:eastAsia="宋体" w:cs="宋体"/>
          <w:sz w:val="24"/>
          <w:szCs w:val="24"/>
        </w:rPr>
      </w:pPr>
      <w:bookmarkStart w:id="205" w:name="_Toc217446108"/>
      <w:r>
        <w:rPr>
          <w:rFonts w:hint="eastAsia" w:ascii="宋体" w:hAnsi="宋体" w:eastAsia="宋体" w:cs="宋体"/>
          <w:sz w:val="24"/>
          <w:szCs w:val="24"/>
        </w:rPr>
        <w:t>二、合同总价</w:t>
      </w:r>
      <w:bookmarkEnd w:id="205"/>
    </w:p>
    <w:p>
      <w:pPr>
        <w:pStyle w:val="7"/>
        <w:spacing w:line="400" w:lineRule="exact"/>
        <w:ind w:firstLine="420" w:firstLineChars="175"/>
        <w:rPr>
          <w:rFonts w:ascii="宋体" w:hAnsi="宋体" w:cs="宋体"/>
          <w:sz w:val="24"/>
        </w:rPr>
      </w:pPr>
      <w:r>
        <w:rPr>
          <w:rFonts w:hint="eastAsia" w:ascii="宋体" w:hAnsi="宋体" w:cs="宋体"/>
          <w:sz w:val="24"/>
        </w:rPr>
        <w:t>合同总价为人民币大写：</w:t>
      </w:r>
      <w:r>
        <w:rPr>
          <w:rFonts w:hint="eastAsia" w:ascii="宋体" w:hAnsi="宋体" w:cs="宋体"/>
          <w:sz w:val="24"/>
          <w:u w:val="single"/>
        </w:rPr>
        <w:t xml:space="preserve">                </w:t>
      </w:r>
      <w:r>
        <w:rPr>
          <w:rFonts w:hint="eastAsia" w:ascii="宋体" w:hAnsi="宋体" w:cs="宋体"/>
          <w:sz w:val="24"/>
        </w:rPr>
        <w:t>元，即RMB￥</w:t>
      </w:r>
      <w:r>
        <w:rPr>
          <w:rFonts w:hint="eastAsia" w:ascii="宋体" w:hAnsi="宋体" w:cs="宋体"/>
          <w:sz w:val="24"/>
          <w:u w:val="single"/>
        </w:rPr>
        <w:t xml:space="preserve">        </w:t>
      </w:r>
      <w:r>
        <w:rPr>
          <w:rFonts w:hint="eastAsia" w:ascii="宋体" w:hAnsi="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ascii="宋体" w:hAnsi="宋体" w:eastAsia="宋体" w:cs="宋体"/>
          <w:sz w:val="24"/>
          <w:szCs w:val="24"/>
        </w:rPr>
      </w:pPr>
      <w:bookmarkStart w:id="206" w:name="_Toc217446109"/>
      <w:r>
        <w:rPr>
          <w:rFonts w:hint="eastAsia" w:ascii="宋体" w:hAnsi="宋体" w:eastAsia="宋体" w:cs="宋体"/>
          <w:sz w:val="24"/>
          <w:szCs w:val="24"/>
        </w:rPr>
        <w:t>三、质量要求</w:t>
      </w:r>
      <w:bookmarkEnd w:id="206"/>
    </w:p>
    <w:p>
      <w:pPr>
        <w:pStyle w:val="55"/>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55"/>
        <w:ind w:firstLine="480"/>
        <w:rPr>
          <w:rFonts w:ascii="宋体" w:hAnsi="宋体"/>
        </w:rPr>
      </w:pPr>
      <w:r>
        <w:rPr>
          <w:rFonts w:hint="eastAsia" w:ascii="宋体" w:hAnsi="宋体"/>
        </w:rPr>
        <w:t>2、货物必须符合或优于国家（行业）</w:t>
      </w:r>
      <w:r>
        <w:rPr>
          <w:rFonts w:hint="eastAsia" w:ascii="宋体" w:hAnsi="宋体"/>
          <w:u w:val="single"/>
        </w:rPr>
        <w:t xml:space="preserve">          </w:t>
      </w:r>
      <w:r>
        <w:rPr>
          <w:rFonts w:hint="eastAsia" w:ascii="宋体" w:hAnsi="宋体"/>
        </w:rPr>
        <w:t>标准，以及本项目招标文件的质量要求和技术指标与出厂标准。</w:t>
      </w:r>
    </w:p>
    <w:p>
      <w:pPr>
        <w:pStyle w:val="55"/>
        <w:ind w:firstLine="480"/>
        <w:rPr>
          <w:rFonts w:ascii="宋体" w:hAnsi="宋体"/>
        </w:rPr>
      </w:pPr>
      <w:r>
        <w:rPr>
          <w:rFonts w:hint="eastAsia" w:ascii="宋体" w:hAnsi="宋体"/>
        </w:rPr>
        <w:t>3、乙方须在本合同签订之日起</w:t>
      </w:r>
      <w:r>
        <w:rPr>
          <w:rFonts w:hint="eastAsia" w:ascii="宋体" w:hAnsi="宋体"/>
          <w:u w:val="single"/>
        </w:rPr>
        <w:t xml:space="preserve">   </w:t>
      </w:r>
      <w:r>
        <w:rPr>
          <w:rFonts w:hint="eastAsia" w:ascii="宋体" w:hAnsi="宋体"/>
        </w:rPr>
        <w:t>日内送交货物成品样品给甲方确认，在甲方出具样品确认书并封存成品样品外观尺寸后，乙方才能按样生产，并以此样品作为验收样品；每台货物上均应有产品质量检验合格标志。</w:t>
      </w:r>
    </w:p>
    <w:p>
      <w:pPr>
        <w:pStyle w:val="55"/>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55"/>
        <w:ind w:firstLine="480"/>
        <w:rPr>
          <w:rFonts w:ascii="宋体" w:hAnsi="宋体"/>
        </w:rPr>
      </w:pPr>
      <w:r>
        <w:rPr>
          <w:rFonts w:hint="eastAsia" w:ascii="宋体" w:hAnsi="宋体"/>
        </w:rPr>
        <w:t>5、货到现场后由于甲方保管不当造成的质量问题，乙方亦应负责修理，但费用由甲方负担。</w:t>
      </w:r>
    </w:p>
    <w:p>
      <w:pPr>
        <w:pStyle w:val="4"/>
        <w:spacing w:line="400" w:lineRule="exact"/>
        <w:ind w:firstLine="482" w:firstLineChars="200"/>
        <w:rPr>
          <w:rFonts w:ascii="宋体" w:hAnsi="宋体" w:eastAsia="宋体" w:cs="宋体"/>
          <w:sz w:val="24"/>
          <w:szCs w:val="24"/>
        </w:rPr>
      </w:pPr>
      <w:bookmarkStart w:id="207" w:name="_Toc217446110"/>
      <w:r>
        <w:rPr>
          <w:rFonts w:hint="eastAsia" w:ascii="宋体" w:hAnsi="宋体" w:eastAsia="宋体" w:cs="宋体"/>
          <w:sz w:val="24"/>
          <w:szCs w:val="24"/>
        </w:rPr>
        <w:t>四、交货及验收</w:t>
      </w:r>
      <w:bookmarkEnd w:id="207"/>
    </w:p>
    <w:p>
      <w:pPr>
        <w:pStyle w:val="55"/>
        <w:ind w:firstLine="480"/>
        <w:rPr>
          <w:rFonts w:ascii="宋体" w:hAnsi="宋体"/>
        </w:rPr>
      </w:pPr>
      <w:r>
        <w:rPr>
          <w:rFonts w:hint="eastAsia" w:ascii="宋体" w:hAnsi="宋体"/>
        </w:rPr>
        <w:t>1、乙方交货期限为合同签订生效后的</w:t>
      </w:r>
      <w:r>
        <w:rPr>
          <w:rFonts w:hint="eastAsia" w:ascii="宋体" w:hAnsi="宋体"/>
          <w:u w:val="single"/>
        </w:rPr>
        <w:t xml:space="preserve">    </w:t>
      </w:r>
      <w:r>
        <w:rPr>
          <w:rFonts w:hint="eastAsia" w:ascii="宋体" w:hAnsi="宋体"/>
        </w:rPr>
        <w:t>日内，在合同签订生效之日起</w:t>
      </w:r>
    </w:p>
    <w:p>
      <w:pPr>
        <w:pStyle w:val="55"/>
        <w:ind w:firstLine="0" w:firstLineChars="0"/>
        <w:rPr>
          <w:rFonts w:ascii="宋体" w:hAnsi="宋体"/>
        </w:rPr>
      </w:pPr>
      <w:r>
        <w:rPr>
          <w:rFonts w:hint="eastAsia" w:ascii="宋体" w:hAnsi="宋体"/>
          <w:u w:val="single"/>
        </w:rPr>
        <w:t xml:space="preserve">    </w:t>
      </w:r>
      <w:r>
        <w:rPr>
          <w:rFonts w:hint="eastAsia" w:ascii="宋体" w:hAnsi="宋体"/>
        </w:rPr>
        <w:t>天内交货到甲方指定地点，随即在</w:t>
      </w:r>
      <w:r>
        <w:rPr>
          <w:rFonts w:hint="eastAsia" w:ascii="宋体" w:hAnsi="宋体"/>
          <w:u w:val="single"/>
        </w:rPr>
        <w:t xml:space="preserve">    </w:t>
      </w:r>
      <w:r>
        <w:rPr>
          <w:rFonts w:hint="eastAsia" w:ascii="宋体" w:hAnsi="宋体"/>
        </w:rPr>
        <w:t>日内全部完成安装调试验收合格交付使用，并且最迟应在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日前全部完成安装调试验收合格交付使用(如由于采购人的原因造成合同延迟签订或验收的，时间顺延)。交货验收时须提供产品质检部门从同类产品中抽样检查合格的检测报告。</w:t>
      </w:r>
    </w:p>
    <w:p>
      <w:pPr>
        <w:pStyle w:val="55"/>
        <w:ind w:firstLine="480"/>
        <w:rPr>
          <w:rFonts w:ascii="宋体" w:hAnsi="宋体"/>
        </w:rPr>
      </w:pPr>
      <w:r>
        <w:rPr>
          <w:rFonts w:hint="eastAsia" w:ascii="宋体" w:hAnsi="宋体"/>
        </w:rPr>
        <w:t>2、验收由甲方组织，乙方配合进行：</w:t>
      </w:r>
    </w:p>
    <w:p>
      <w:pPr>
        <w:pStyle w:val="55"/>
        <w:ind w:firstLine="480"/>
        <w:rPr>
          <w:rFonts w:ascii="宋体" w:hAnsi="宋体"/>
        </w:rPr>
      </w:pPr>
      <w:r>
        <w:rPr>
          <w:rFonts w:hint="eastAsia" w:ascii="宋体" w:hAnsi="宋体"/>
        </w:rPr>
        <w:t>(1) 货物在乙方通知安装调试完毕后</w:t>
      </w:r>
      <w:r>
        <w:rPr>
          <w:rFonts w:hint="eastAsia" w:ascii="宋体" w:hAnsi="宋体"/>
          <w:u w:val="single"/>
        </w:rPr>
        <w:t xml:space="preserve">    </w:t>
      </w:r>
      <w:r>
        <w:rPr>
          <w:rFonts w:hint="eastAsia" w:ascii="宋体" w:hAnsi="宋体"/>
        </w:rPr>
        <w:t>日内初步验收。初步验收合格后，进入</w:t>
      </w:r>
      <w:r>
        <w:rPr>
          <w:rFonts w:hint="eastAsia" w:ascii="宋体" w:hAnsi="宋体"/>
          <w:u w:val="single"/>
        </w:rPr>
        <w:t xml:space="preserve">    </w:t>
      </w:r>
      <w:r>
        <w:rPr>
          <w:rFonts w:hint="eastAsia" w:ascii="宋体" w:hAnsi="宋体"/>
        </w:rPr>
        <w:t>试用期；试用期间发生重大质量问题，修复后试用相应顺延；试用期结束后</w:t>
      </w:r>
      <w:r>
        <w:rPr>
          <w:rFonts w:hint="eastAsia" w:ascii="宋体" w:hAnsi="宋体"/>
          <w:u w:val="single"/>
        </w:rPr>
        <w:t xml:space="preserve">    </w:t>
      </w:r>
      <w:r>
        <w:rPr>
          <w:rFonts w:hint="eastAsia" w:ascii="宋体" w:hAnsi="宋体"/>
        </w:rPr>
        <w:t>日内完成最终验收；</w:t>
      </w:r>
    </w:p>
    <w:p>
      <w:pPr>
        <w:pStyle w:val="55"/>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55"/>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55"/>
        <w:ind w:firstLine="480"/>
        <w:rPr>
          <w:rFonts w:ascii="宋体" w:hAnsi="宋体"/>
        </w:rPr>
      </w:pPr>
      <w:r>
        <w:rPr>
          <w:rFonts w:hint="eastAsia" w:ascii="宋体" w:hAnsi="宋体"/>
        </w:rPr>
        <w:t>(4) 如质量验收合格，双方签署质量验收报告。</w:t>
      </w:r>
    </w:p>
    <w:p>
      <w:pPr>
        <w:pStyle w:val="55"/>
        <w:ind w:firstLine="480"/>
        <w:rPr>
          <w:rFonts w:ascii="宋体" w:hAnsi="宋体"/>
        </w:rPr>
      </w:pPr>
      <w:r>
        <w:rPr>
          <w:rFonts w:hint="eastAsia" w:ascii="宋体" w:hAnsi="宋体"/>
        </w:rPr>
        <w:t>3、货物安装完成后</w:t>
      </w:r>
      <w:r>
        <w:rPr>
          <w:rFonts w:hint="eastAsia" w:ascii="宋体" w:hAnsi="宋体"/>
          <w:u w:val="single"/>
        </w:rPr>
        <w:t xml:space="preserve">     </w:t>
      </w:r>
      <w:r>
        <w:rPr>
          <w:rFonts w:hint="eastAsia" w:ascii="宋体" w:hAnsi="宋体"/>
        </w:rPr>
        <w:t>日内，甲方无故不进行验收工作并已使用货物的，视同已安装调试完成并验收合格。</w:t>
      </w:r>
    </w:p>
    <w:p>
      <w:pPr>
        <w:pStyle w:val="55"/>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55"/>
        <w:ind w:firstLine="480"/>
        <w:rPr>
          <w:rFonts w:ascii="宋体" w:hAnsi="宋体"/>
        </w:rPr>
      </w:pPr>
      <w:r>
        <w:rPr>
          <w:rFonts w:hint="eastAsia" w:ascii="宋体" w:hAnsi="宋体"/>
        </w:rPr>
        <w:t>5、如货物经乙方</w:t>
      </w:r>
      <w:r>
        <w:rPr>
          <w:rFonts w:hint="eastAsia" w:ascii="宋体" w:hAnsi="宋体"/>
          <w:u w:val="single"/>
        </w:rPr>
        <w:t xml:space="preserve">   </w:t>
      </w:r>
      <w:r>
        <w:rPr>
          <w:rFonts w:hint="eastAsia" w:ascii="宋体" w:hAnsi="宋体"/>
        </w:rPr>
        <w:t>次维修仍不能达到合同约定的质量标准，甲方有权退货，并视作乙方不能交付货物而须支付违约赔偿金给甲方，甲方还可依法追究乙方的违约责任。 </w:t>
      </w:r>
    </w:p>
    <w:p>
      <w:pPr>
        <w:pStyle w:val="55"/>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4"/>
        <w:spacing w:line="400" w:lineRule="exact"/>
        <w:ind w:firstLine="482" w:firstLineChars="200"/>
        <w:rPr>
          <w:rFonts w:ascii="宋体" w:hAnsi="宋体" w:eastAsia="宋体" w:cs="宋体"/>
          <w:sz w:val="24"/>
          <w:szCs w:val="24"/>
        </w:rPr>
      </w:pPr>
      <w:bookmarkStart w:id="208" w:name="_Toc217446111"/>
      <w:r>
        <w:rPr>
          <w:rFonts w:hint="eastAsia" w:ascii="宋体" w:hAnsi="宋体" w:eastAsia="宋体" w:cs="宋体"/>
          <w:sz w:val="24"/>
          <w:szCs w:val="24"/>
        </w:rPr>
        <w:t>五、付款方式</w:t>
      </w:r>
      <w:bookmarkEnd w:id="208"/>
    </w:p>
    <w:p>
      <w:pPr>
        <w:pStyle w:val="55"/>
        <w:ind w:firstLine="480"/>
        <w:rPr>
          <w:rFonts w:ascii="宋体" w:hAnsi="宋体"/>
        </w:rPr>
      </w:pPr>
      <w:r>
        <w:rPr>
          <w:rFonts w:hint="eastAsia" w:ascii="宋体" w:hAnsi="宋体"/>
        </w:rPr>
        <w:t>（一）适用于无预付款采购项目</w:t>
      </w:r>
    </w:p>
    <w:p>
      <w:pPr>
        <w:pStyle w:val="55"/>
        <w:ind w:firstLine="480"/>
        <w:rPr>
          <w:rFonts w:ascii="宋体" w:hAnsi="宋体"/>
        </w:rPr>
      </w:pPr>
      <w:r>
        <w:rPr>
          <w:rFonts w:hint="eastAsia" w:ascii="宋体" w:hAnsi="宋体"/>
        </w:rPr>
        <w:t>1、全部货物安装调试完毕并验收合格之日起，甲方接到乙方通知与票据凭证资料以后的</w:t>
      </w:r>
      <w:r>
        <w:rPr>
          <w:rFonts w:hint="eastAsia" w:ascii="宋体" w:hAnsi="宋体"/>
          <w:u w:val="single"/>
        </w:rPr>
        <w:t xml:space="preserve">      </w:t>
      </w:r>
      <w:r>
        <w:rPr>
          <w:rFonts w:hint="eastAsia" w:ascii="宋体" w:hAnsi="宋体"/>
        </w:rPr>
        <w:t>日内，按照财政性资金支付有关规定，向乙方支付合同价款￥</w:t>
      </w:r>
      <w:r>
        <w:rPr>
          <w:rFonts w:hint="eastAsia" w:ascii="宋体" w:hAnsi="宋体"/>
          <w:u w:val="single"/>
        </w:rPr>
        <w:t xml:space="preserve">     </w:t>
      </w:r>
      <w:r>
        <w:rPr>
          <w:rFonts w:hint="eastAsia" w:ascii="宋体" w:hAnsi="宋体"/>
        </w:rPr>
        <w:t>元，人民币大写</w:t>
      </w:r>
      <w:r>
        <w:rPr>
          <w:rFonts w:hint="eastAsia" w:ascii="宋体" w:hAnsi="宋体"/>
          <w:u w:val="single"/>
        </w:rPr>
        <w:t xml:space="preserve">    </w:t>
      </w:r>
      <w:r>
        <w:rPr>
          <w:rFonts w:hint="eastAsia" w:ascii="宋体" w:hAnsi="宋体"/>
        </w:rPr>
        <w:t>元整；</w:t>
      </w:r>
    </w:p>
    <w:p>
      <w:pPr>
        <w:pStyle w:val="55"/>
        <w:ind w:firstLine="480"/>
        <w:rPr>
          <w:rFonts w:ascii="宋体" w:hAnsi="宋体"/>
        </w:rPr>
      </w:pPr>
      <w:r>
        <w:rPr>
          <w:rFonts w:hint="eastAsia" w:ascii="宋体" w:hAnsi="宋体"/>
        </w:rPr>
        <w:t>2、履约保证金退还：在货物验收合格满</w:t>
      </w:r>
      <w:r>
        <w:rPr>
          <w:rFonts w:hint="eastAsia" w:ascii="宋体" w:hAnsi="宋体"/>
          <w:u w:val="single"/>
        </w:rPr>
        <w:t xml:space="preserve">    </w:t>
      </w:r>
      <w:r>
        <w:rPr>
          <w:rFonts w:hint="eastAsia" w:ascii="宋体" w:hAnsi="宋体"/>
        </w:rPr>
        <w:t>后，甲方接到乙方通知和支付凭证资料文件，以及由甲方确认本合同货物质量与服务等约定事项已经履行完毕的正式书面文件后的</w:t>
      </w:r>
      <w:r>
        <w:rPr>
          <w:rFonts w:hint="eastAsia" w:ascii="宋体" w:hAnsi="宋体"/>
          <w:u w:val="single"/>
        </w:rPr>
        <w:t xml:space="preserve">     </w:t>
      </w:r>
      <w:r>
        <w:rPr>
          <w:rFonts w:hint="eastAsia" w:ascii="宋体" w:hAnsi="宋体"/>
        </w:rPr>
        <w:t>日内，递交结算凭证资料给银行并由其向乙方支付价款￥</w:t>
      </w:r>
      <w:r>
        <w:rPr>
          <w:rFonts w:hint="eastAsia" w:ascii="宋体" w:hAnsi="宋体"/>
          <w:u w:val="single"/>
        </w:rPr>
        <w:t xml:space="preserve">      </w:t>
      </w:r>
      <w:r>
        <w:rPr>
          <w:rFonts w:hint="eastAsia" w:ascii="宋体" w:hAnsi="宋体"/>
        </w:rPr>
        <w:t>元， 人民币大写：</w:t>
      </w:r>
      <w:r>
        <w:rPr>
          <w:rFonts w:hint="eastAsia" w:ascii="宋体" w:hAnsi="宋体"/>
          <w:u w:val="single"/>
        </w:rPr>
        <w:t xml:space="preserve">              </w:t>
      </w:r>
      <w:r>
        <w:rPr>
          <w:rFonts w:hint="eastAsia" w:ascii="宋体" w:hAnsi="宋体"/>
        </w:rPr>
        <w:t>元整；乙方履约不合格的，履约保证金不予退还。</w:t>
      </w:r>
    </w:p>
    <w:p>
      <w:pPr>
        <w:pStyle w:val="55"/>
        <w:ind w:firstLine="480"/>
        <w:rPr>
          <w:rFonts w:ascii="宋体" w:hAnsi="宋体"/>
        </w:rPr>
      </w:pPr>
      <w:r>
        <w:rPr>
          <w:rFonts w:hint="eastAsia" w:ascii="宋体" w:hAnsi="宋体"/>
        </w:rPr>
        <w:t>3、乙方须向甲方出具合法有效完整的完税发票及凭证资料进行支付结算。</w:t>
      </w:r>
    </w:p>
    <w:p>
      <w:pPr>
        <w:pStyle w:val="55"/>
        <w:ind w:firstLine="480"/>
        <w:rPr>
          <w:rFonts w:ascii="宋体" w:hAnsi="宋体"/>
        </w:rPr>
      </w:pPr>
      <w:r>
        <w:rPr>
          <w:rFonts w:hint="eastAsia" w:ascii="宋体" w:hAnsi="宋体"/>
        </w:rPr>
        <w:t>（二）适用于有预付款采购项目（预付款建议不超过政府采购合同金额的30%）</w:t>
      </w:r>
    </w:p>
    <w:p>
      <w:pPr>
        <w:pStyle w:val="55"/>
        <w:ind w:firstLine="480"/>
        <w:rPr>
          <w:rFonts w:ascii="宋体" w:hAnsi="宋体"/>
        </w:rPr>
      </w:pPr>
      <w:r>
        <w:rPr>
          <w:rFonts w:hint="eastAsia" w:ascii="宋体" w:hAnsi="宋体"/>
        </w:rPr>
        <w:t>1、甲方在本合同签订生效之日起接到乙方通知和票据凭证资料以及乙方交给甲方的合同履约保证金（按合同总价的百分之  计算款额￥</w:t>
      </w:r>
      <w:r>
        <w:rPr>
          <w:rFonts w:hint="eastAsia" w:ascii="宋体" w:hAnsi="宋体"/>
          <w:u w:val="single"/>
        </w:rPr>
        <w:t xml:space="preserve">             </w:t>
      </w:r>
      <w:r>
        <w:rPr>
          <w:rFonts w:hint="eastAsia" w:ascii="宋体" w:hAnsi="宋体"/>
        </w:rPr>
        <w:t>元，人民币大写：</w:t>
      </w:r>
      <w:r>
        <w:rPr>
          <w:rFonts w:hint="eastAsia" w:ascii="宋体" w:hAnsi="宋体"/>
          <w:u w:val="single"/>
        </w:rPr>
        <w:t xml:space="preserve">                            </w:t>
      </w:r>
      <w:r>
        <w:rPr>
          <w:rFonts w:hint="eastAsia" w:ascii="宋体" w:hAnsi="宋体"/>
        </w:rPr>
        <w:t>元整）后的</w:t>
      </w:r>
      <w:r>
        <w:rPr>
          <w:rFonts w:hint="eastAsia" w:ascii="宋体" w:hAnsi="宋体"/>
          <w:u w:val="single"/>
        </w:rPr>
        <w:t xml:space="preserve">    </w:t>
      </w:r>
      <w:r>
        <w:rPr>
          <w:rFonts w:hint="eastAsia" w:ascii="宋体" w:hAnsi="宋体"/>
        </w:rPr>
        <w:t>日内支付合同金额百分之</w:t>
      </w:r>
      <w:r>
        <w:rPr>
          <w:rFonts w:hint="eastAsia" w:ascii="宋体" w:hAnsi="宋体"/>
          <w:u w:val="single"/>
        </w:rPr>
        <w:t xml:space="preserve">     </w:t>
      </w:r>
      <w:r>
        <w:rPr>
          <w:rFonts w:hint="eastAsia" w:ascii="宋体" w:hAnsi="宋体"/>
        </w:rPr>
        <w:t>的价款；</w:t>
      </w:r>
    </w:p>
    <w:p>
      <w:pPr>
        <w:pStyle w:val="55"/>
        <w:ind w:firstLine="480"/>
        <w:rPr>
          <w:rFonts w:ascii="宋体" w:hAnsi="宋体"/>
        </w:rPr>
      </w:pPr>
      <w:r>
        <w:rPr>
          <w:rFonts w:hint="eastAsia" w:ascii="宋体" w:hAnsi="宋体"/>
        </w:rPr>
        <w:t>2、全部货物安装调试完毕并验收合格之日起，甲方接到乙方通知与票据凭证资料以后的</w:t>
      </w:r>
      <w:r>
        <w:rPr>
          <w:rFonts w:hint="eastAsia" w:ascii="宋体" w:hAnsi="宋体"/>
          <w:u w:val="single"/>
        </w:rPr>
        <w:t xml:space="preserve">      </w:t>
      </w:r>
      <w:r>
        <w:rPr>
          <w:rFonts w:hint="eastAsia" w:ascii="宋体" w:hAnsi="宋体"/>
        </w:rPr>
        <w:t>日内，提交支付凭证资料给</w:t>
      </w:r>
      <w:r>
        <w:rPr>
          <w:rFonts w:hint="eastAsia" w:ascii="宋体" w:hAnsi="宋体"/>
          <w:u w:val="single"/>
        </w:rPr>
        <w:t xml:space="preserve">       </w:t>
      </w:r>
      <w:r>
        <w:rPr>
          <w:rFonts w:hint="eastAsia" w:ascii="宋体" w:hAnsi="宋体"/>
        </w:rPr>
        <w:t>财政国库支付执行机构办理财政国库支付手续，并由其向乙方核拨合同总价的百分之</w:t>
      </w:r>
      <w:r>
        <w:rPr>
          <w:rFonts w:hint="eastAsia" w:ascii="宋体" w:hAnsi="宋体"/>
          <w:u w:val="single"/>
        </w:rPr>
        <w:t xml:space="preserve">   </w:t>
      </w:r>
      <w:r>
        <w:rPr>
          <w:rFonts w:hint="eastAsia" w:ascii="宋体" w:hAnsi="宋体"/>
        </w:rPr>
        <w:t>款项：￥</w:t>
      </w:r>
      <w:r>
        <w:rPr>
          <w:rFonts w:hint="eastAsia" w:ascii="宋体" w:hAnsi="宋体"/>
          <w:u w:val="single"/>
        </w:rPr>
        <w:t xml:space="preserve">     </w:t>
      </w:r>
      <w:r>
        <w:rPr>
          <w:rFonts w:hint="eastAsia" w:ascii="宋体" w:hAnsi="宋体"/>
        </w:rPr>
        <w:t>元，人民币大写</w:t>
      </w:r>
      <w:r>
        <w:rPr>
          <w:rFonts w:hint="eastAsia" w:ascii="宋体" w:hAnsi="宋体"/>
          <w:u w:val="single"/>
        </w:rPr>
        <w:t xml:space="preserve">    </w:t>
      </w:r>
      <w:r>
        <w:rPr>
          <w:rFonts w:hint="eastAsia" w:ascii="宋体" w:hAnsi="宋体"/>
        </w:rPr>
        <w:t>元整；</w:t>
      </w:r>
    </w:p>
    <w:p>
      <w:pPr>
        <w:pStyle w:val="55"/>
        <w:ind w:firstLine="480"/>
        <w:rPr>
          <w:rFonts w:ascii="宋体" w:hAnsi="宋体"/>
        </w:rPr>
      </w:pPr>
      <w:r>
        <w:rPr>
          <w:rFonts w:hint="eastAsia" w:ascii="宋体" w:hAnsi="宋体"/>
        </w:rPr>
        <w:t>3、履约保证金退还：在货物验收合格满</w:t>
      </w:r>
      <w:r>
        <w:rPr>
          <w:rFonts w:hint="eastAsia" w:ascii="宋体" w:hAnsi="宋体"/>
          <w:u w:val="single"/>
        </w:rPr>
        <w:t xml:space="preserve">    </w:t>
      </w:r>
      <w:r>
        <w:rPr>
          <w:rFonts w:hint="eastAsia" w:ascii="宋体" w:hAnsi="宋体"/>
        </w:rPr>
        <w:t>后，甲方接到乙方通知和支付凭证资料文件，以及由甲方确认本合同货物质量与服务等约定事项已经履行完毕的正式书面文件后的</w:t>
      </w:r>
      <w:r>
        <w:rPr>
          <w:rFonts w:hint="eastAsia" w:ascii="宋体" w:hAnsi="宋体"/>
          <w:u w:val="single"/>
        </w:rPr>
        <w:t xml:space="preserve">     </w:t>
      </w:r>
      <w:r>
        <w:rPr>
          <w:rFonts w:hint="eastAsia" w:ascii="宋体" w:hAnsi="宋体"/>
        </w:rPr>
        <w:t>日内，递交结算凭证资料给银行并由其向乙方支付价款￥</w:t>
      </w:r>
      <w:r>
        <w:rPr>
          <w:rFonts w:hint="eastAsia" w:ascii="宋体" w:hAnsi="宋体"/>
          <w:u w:val="single"/>
        </w:rPr>
        <w:t xml:space="preserve">      </w:t>
      </w:r>
      <w:r>
        <w:rPr>
          <w:rFonts w:hint="eastAsia" w:ascii="宋体" w:hAnsi="宋体"/>
        </w:rPr>
        <w:t>元， 人民币大写：</w:t>
      </w:r>
      <w:r>
        <w:rPr>
          <w:rFonts w:hint="eastAsia" w:ascii="宋体" w:hAnsi="宋体"/>
          <w:u w:val="single"/>
        </w:rPr>
        <w:t xml:space="preserve">              </w:t>
      </w:r>
      <w:r>
        <w:rPr>
          <w:rFonts w:hint="eastAsia" w:ascii="宋体" w:hAnsi="宋体"/>
        </w:rPr>
        <w:t>元整；乙方履约不合格的，履约保证金不予退还。</w:t>
      </w:r>
    </w:p>
    <w:p>
      <w:pPr>
        <w:pStyle w:val="55"/>
        <w:ind w:firstLine="480"/>
        <w:rPr>
          <w:rFonts w:ascii="宋体" w:hAnsi="宋体"/>
        </w:rPr>
      </w:pPr>
      <w:r>
        <w:rPr>
          <w:rFonts w:hint="eastAsia" w:ascii="宋体" w:hAnsi="宋体"/>
        </w:rPr>
        <w:t>4、乙方须向甲方出具合法有效完整的完税发票及凭证资料进行支付结算。</w:t>
      </w:r>
    </w:p>
    <w:p>
      <w:pPr>
        <w:pStyle w:val="4"/>
        <w:spacing w:line="400" w:lineRule="exact"/>
        <w:ind w:firstLine="482" w:firstLineChars="200"/>
        <w:rPr>
          <w:rFonts w:ascii="宋体" w:hAnsi="宋体" w:eastAsia="宋体" w:cs="宋体"/>
          <w:sz w:val="24"/>
          <w:szCs w:val="24"/>
        </w:rPr>
      </w:pPr>
      <w:bookmarkStart w:id="209" w:name="_Toc217446112"/>
      <w:r>
        <w:rPr>
          <w:rFonts w:hint="eastAsia" w:ascii="宋体" w:hAnsi="宋体" w:eastAsia="宋体" w:cs="宋体"/>
          <w:sz w:val="24"/>
          <w:szCs w:val="24"/>
        </w:rPr>
        <w:t>六、售后服务</w:t>
      </w:r>
      <w:bookmarkEnd w:id="209"/>
    </w:p>
    <w:p>
      <w:pPr>
        <w:pStyle w:val="55"/>
        <w:ind w:firstLine="480"/>
        <w:rPr>
          <w:rFonts w:ascii="宋体" w:hAnsi="宋体"/>
        </w:rPr>
      </w:pPr>
      <w:r>
        <w:rPr>
          <w:rFonts w:hint="eastAsia" w:ascii="宋体" w:hAnsi="宋体"/>
        </w:rPr>
        <w:t>1、质保期为验收合格后</w:t>
      </w:r>
      <w:r>
        <w:rPr>
          <w:rFonts w:hint="eastAsia" w:ascii="宋体" w:hAnsi="宋体"/>
          <w:u w:val="single"/>
        </w:rPr>
        <w:t xml:space="preserve">    </w:t>
      </w:r>
      <w:r>
        <w:rPr>
          <w:rFonts w:hint="eastAsia" w:ascii="宋体" w:hAnsi="宋体"/>
        </w:rPr>
        <w:t>年，质保期内出现质量问题，乙方在接到通知后</w:t>
      </w:r>
      <w:r>
        <w:rPr>
          <w:rFonts w:hint="eastAsia" w:ascii="宋体" w:hAnsi="宋体"/>
          <w:u w:val="single"/>
        </w:rPr>
        <w:t xml:space="preserve">   </w:t>
      </w:r>
      <w:r>
        <w:rPr>
          <w:rFonts w:hint="eastAsia" w:ascii="宋体" w:hAnsi="宋体"/>
        </w:rPr>
        <w:t>小时内响应到场，</w:t>
      </w:r>
      <w:r>
        <w:rPr>
          <w:rFonts w:hint="eastAsia" w:ascii="宋体" w:hAnsi="宋体"/>
          <w:u w:val="single"/>
        </w:rPr>
        <w:t xml:space="preserve">    </w:t>
      </w:r>
      <w:r>
        <w:rPr>
          <w:rFonts w:hint="eastAsia" w:ascii="宋体" w:hAnsi="宋体"/>
        </w:rPr>
        <w:t>小时内完成维修或更换，并承担修理调换的费用；如货物经乙方</w:t>
      </w:r>
      <w:r>
        <w:rPr>
          <w:rFonts w:hint="eastAsia" w:ascii="宋体" w:hAnsi="宋体"/>
          <w:u w:val="single"/>
        </w:rPr>
        <w:t xml:space="preserve">   </w:t>
      </w:r>
      <w:r>
        <w:rPr>
          <w:rFonts w:hint="eastAsia" w:ascii="宋体" w:hAnsi="宋体"/>
        </w:rPr>
        <w:t>次维修仍不能达到本合同约定的质量标准，视作乙方未能按时交货，甲方有权退货并追究乙方的违约责任。货到现场后由于甲方保管不当造成的问题，乙方亦应负责修复，但费用由甲方负担。</w:t>
      </w:r>
    </w:p>
    <w:p>
      <w:pPr>
        <w:pStyle w:val="55"/>
        <w:ind w:firstLine="480"/>
        <w:rPr>
          <w:rFonts w:ascii="宋体" w:hAnsi="宋体"/>
        </w:rPr>
      </w:pPr>
      <w:r>
        <w:rPr>
          <w:rFonts w:hint="eastAsia" w:ascii="宋体" w:hAnsi="宋体"/>
        </w:rPr>
        <w:t>2、乙方须指派专人负责与甲方联系售后服务事宜。 </w:t>
      </w:r>
    </w:p>
    <w:p>
      <w:pPr>
        <w:pStyle w:val="4"/>
        <w:spacing w:line="400" w:lineRule="exact"/>
        <w:ind w:firstLine="482" w:firstLineChars="200"/>
        <w:rPr>
          <w:rFonts w:ascii="宋体" w:hAnsi="宋体" w:eastAsia="宋体" w:cs="宋体"/>
          <w:sz w:val="24"/>
          <w:szCs w:val="24"/>
        </w:rPr>
      </w:pPr>
      <w:bookmarkStart w:id="210" w:name="_Toc217446113"/>
      <w:r>
        <w:rPr>
          <w:rFonts w:hint="eastAsia" w:ascii="宋体" w:hAnsi="宋体" w:eastAsia="宋体" w:cs="宋体"/>
          <w:sz w:val="24"/>
          <w:szCs w:val="24"/>
        </w:rPr>
        <w:t>七、违约责任</w:t>
      </w:r>
      <w:bookmarkEnd w:id="210"/>
    </w:p>
    <w:p>
      <w:pPr>
        <w:pStyle w:val="55"/>
        <w:ind w:firstLine="480"/>
        <w:rPr>
          <w:rFonts w:ascii="宋体" w:hAnsi="宋体"/>
        </w:rPr>
      </w:pPr>
      <w:r>
        <w:rPr>
          <w:rFonts w:hint="eastAsia" w:ascii="宋体" w:hAnsi="宋体"/>
        </w:rPr>
        <w:t>1、甲方违约责任</w:t>
      </w:r>
    </w:p>
    <w:p>
      <w:pPr>
        <w:pStyle w:val="55"/>
        <w:ind w:firstLine="480"/>
        <w:rPr>
          <w:rFonts w:ascii="宋体" w:hAnsi="宋体"/>
        </w:rPr>
      </w:pPr>
      <w:r>
        <w:rPr>
          <w:rFonts w:hint="eastAsia" w:ascii="宋体" w:hAnsi="宋体"/>
        </w:rPr>
        <w:t>（1） 甲方无正当理由拒收货物的，甲方应偿付合同总价百分之  的违约金；</w:t>
      </w:r>
    </w:p>
    <w:p>
      <w:pPr>
        <w:pStyle w:val="55"/>
        <w:ind w:firstLine="480"/>
        <w:rPr>
          <w:rFonts w:ascii="宋体" w:hAnsi="宋体"/>
        </w:rPr>
      </w:pPr>
      <w:r>
        <w:rPr>
          <w:rFonts w:hint="eastAsia" w:ascii="宋体" w:hAnsi="宋体"/>
        </w:rPr>
        <w:t>（2） 甲方逾期支付货款的，除应及时付足货款外，应向乙方偿付欠款总额万分之</w:t>
      </w:r>
      <w:r>
        <w:rPr>
          <w:rFonts w:hint="eastAsia" w:ascii="宋体" w:hAnsi="宋体"/>
          <w:u w:val="single"/>
        </w:rPr>
        <w:t xml:space="preserve">   </w:t>
      </w:r>
      <w:r>
        <w:rPr>
          <w:rFonts w:hint="eastAsia" w:ascii="宋体" w:hAnsi="宋体"/>
        </w:rPr>
        <w:t>/天的违约金；逾期付款超过</w:t>
      </w:r>
      <w:r>
        <w:rPr>
          <w:rFonts w:hint="eastAsia" w:ascii="宋体" w:hAnsi="宋体"/>
          <w:u w:val="single"/>
        </w:rPr>
        <w:t xml:space="preserve">  </w:t>
      </w:r>
      <w:r>
        <w:rPr>
          <w:rFonts w:hint="eastAsia" w:ascii="宋体" w:hAnsi="宋体"/>
        </w:rPr>
        <w:t>天的，乙方有权终止合同；</w:t>
      </w:r>
    </w:p>
    <w:p>
      <w:pPr>
        <w:pStyle w:val="55"/>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55"/>
        <w:ind w:firstLine="480"/>
        <w:rPr>
          <w:rFonts w:ascii="宋体" w:hAnsi="宋体"/>
        </w:rPr>
      </w:pPr>
      <w:r>
        <w:rPr>
          <w:rFonts w:hint="eastAsia" w:ascii="宋体" w:hAnsi="宋体"/>
        </w:rPr>
        <w:t>2、乙方违约责任</w:t>
      </w:r>
    </w:p>
    <w:p>
      <w:pPr>
        <w:pStyle w:val="55"/>
        <w:ind w:firstLine="480"/>
        <w:rPr>
          <w:rFonts w:ascii="宋体" w:hAnsi="宋体"/>
        </w:rPr>
      </w:pPr>
      <w:r>
        <w:rPr>
          <w:rFonts w:hint="eastAsia" w:ascii="宋体" w:hAnsi="宋体"/>
        </w:rPr>
        <w:t>（1）乙方交付的货物质量不符合合同规定的，乙方应向甲方支付合同总价的百分之</w:t>
      </w:r>
      <w:r>
        <w:rPr>
          <w:rFonts w:hint="eastAsia" w:ascii="宋体" w:hAnsi="宋体"/>
          <w:u w:val="single"/>
        </w:rPr>
        <w:t xml:space="preserve">  </w:t>
      </w:r>
      <w:r>
        <w:rPr>
          <w:rFonts w:hint="eastAsia" w:ascii="宋体" w:hAnsi="宋体"/>
        </w:rPr>
        <w:t>的违约金，并须在合同规定的交货时间内更换合格的货物给甲方，否则，视作乙方不能交付货物而违约，按本条本款下述第“（2）”项规定由乙方偿付违约赔偿金给甲方。</w:t>
      </w:r>
    </w:p>
    <w:p>
      <w:pPr>
        <w:pStyle w:val="55"/>
        <w:ind w:firstLine="480"/>
        <w:rPr>
          <w:rFonts w:ascii="宋体" w:hAnsi="宋体"/>
        </w:rPr>
      </w:pPr>
      <w:r>
        <w:rPr>
          <w:rFonts w:hint="eastAsia" w:ascii="宋体" w:hAnsi="宋体"/>
        </w:rPr>
        <w:t>（2）乙方不能交付货物或逾期交付货物而违约的，除应及时交足货物外，应向甲方偿付逾期交货部分货款总额的万分之</w:t>
      </w:r>
      <w:r>
        <w:rPr>
          <w:rFonts w:hint="eastAsia" w:ascii="宋体" w:hAnsi="宋体"/>
          <w:u w:val="single"/>
        </w:rPr>
        <w:t xml:space="preserve">   </w:t>
      </w:r>
      <w:r>
        <w:rPr>
          <w:rFonts w:hint="eastAsia" w:ascii="宋体" w:hAnsi="宋体"/>
        </w:rPr>
        <w:t>/天的违约金；逾期交货超过</w:t>
      </w:r>
    </w:p>
    <w:p>
      <w:pPr>
        <w:pStyle w:val="55"/>
        <w:ind w:firstLine="0" w:firstLineChars="0"/>
        <w:rPr>
          <w:rFonts w:ascii="宋体" w:hAnsi="宋体"/>
          <w:u w:val="single"/>
        </w:rPr>
      </w:pPr>
      <w:r>
        <w:rPr>
          <w:rFonts w:hint="eastAsia" w:ascii="宋体" w:hAnsi="宋体"/>
          <w:u w:val="single"/>
        </w:rPr>
        <w:t xml:space="preserve">    </w:t>
      </w:r>
      <w:r>
        <w:rPr>
          <w:rFonts w:hint="eastAsia" w:ascii="宋体" w:hAnsi="宋体"/>
        </w:rPr>
        <w:t>天，甲方有权终止合同，乙方则应按合同总价的百分之</w:t>
      </w:r>
      <w:r>
        <w:rPr>
          <w:rFonts w:hint="eastAsia" w:ascii="宋体" w:hAnsi="宋体"/>
          <w:u w:val="single"/>
        </w:rPr>
        <w:t xml:space="preserve">   </w:t>
      </w:r>
      <w:r>
        <w:rPr>
          <w:rFonts w:hint="eastAsia" w:ascii="宋体" w:hAnsi="宋体"/>
        </w:rPr>
        <w:t>的款额向甲方偿付赔偿金，并须全额退还甲方已经付给乙方的货款及其利息。</w:t>
      </w:r>
    </w:p>
    <w:p>
      <w:pPr>
        <w:pStyle w:val="55"/>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w:t>
      </w:r>
      <w:r>
        <w:rPr>
          <w:rFonts w:hint="eastAsia" w:ascii="宋体" w:hAnsi="宋体"/>
          <w:u w:val="single"/>
        </w:rPr>
        <w:t xml:space="preserve">   </w:t>
      </w:r>
      <w:r>
        <w:rPr>
          <w:rFonts w:hint="eastAsia" w:ascii="宋体" w:hAnsi="宋体"/>
        </w:rPr>
        <w:t>天内无条件更换合格的货物，如逾期不能更换合格的货物，甲方有权终止本合同，乙方应另付合同总价的百分之</w:t>
      </w:r>
      <w:r>
        <w:rPr>
          <w:rFonts w:hint="eastAsia" w:ascii="宋体" w:hAnsi="宋体"/>
          <w:u w:val="single"/>
        </w:rPr>
        <w:t xml:space="preserve">   </w:t>
      </w:r>
      <w:r>
        <w:rPr>
          <w:rFonts w:hint="eastAsia" w:ascii="宋体" w:hAnsi="宋体"/>
        </w:rPr>
        <w:t>的赔偿金给甲方。</w:t>
      </w:r>
    </w:p>
    <w:p>
      <w:pPr>
        <w:pStyle w:val="55"/>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u w:val="single"/>
        </w:rPr>
        <w:t xml:space="preserve">   </w:t>
      </w:r>
      <w:r>
        <w:rPr>
          <w:rFonts w:hint="eastAsia" w:ascii="宋体" w:hAnsi="宋体"/>
        </w:rPr>
        <w:t>向甲方支付违约金并赔偿因此给甲方造成的一切损失。</w:t>
      </w:r>
    </w:p>
    <w:p>
      <w:pPr>
        <w:pStyle w:val="55"/>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4"/>
        <w:spacing w:line="400" w:lineRule="exact"/>
        <w:ind w:firstLine="482" w:firstLineChars="200"/>
        <w:rPr>
          <w:rFonts w:ascii="宋体" w:hAnsi="宋体" w:eastAsia="宋体" w:cs="宋体"/>
          <w:sz w:val="24"/>
          <w:szCs w:val="24"/>
        </w:rPr>
      </w:pPr>
      <w:bookmarkStart w:id="211" w:name="_Toc217446114"/>
      <w:r>
        <w:rPr>
          <w:rFonts w:hint="eastAsia" w:ascii="宋体" w:hAnsi="宋体" w:eastAsia="宋体" w:cs="宋体"/>
          <w:sz w:val="24"/>
          <w:szCs w:val="24"/>
        </w:rPr>
        <w:t>八、争议解决办法</w:t>
      </w:r>
      <w:bookmarkEnd w:id="211"/>
    </w:p>
    <w:p>
      <w:pPr>
        <w:pStyle w:val="55"/>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55"/>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4"/>
        <w:spacing w:line="400" w:lineRule="exact"/>
        <w:ind w:firstLine="482" w:firstLineChars="200"/>
        <w:rPr>
          <w:rFonts w:ascii="宋体" w:hAnsi="宋体" w:eastAsia="宋体" w:cs="宋体"/>
          <w:sz w:val="24"/>
          <w:szCs w:val="24"/>
        </w:rPr>
      </w:pPr>
      <w:bookmarkStart w:id="212" w:name="_Toc217446115"/>
      <w:r>
        <w:rPr>
          <w:rFonts w:hint="eastAsia" w:ascii="宋体" w:hAnsi="宋体" w:eastAsia="宋体" w:cs="宋体"/>
          <w:sz w:val="24"/>
          <w:szCs w:val="24"/>
        </w:rPr>
        <w:t>九、其他</w:t>
      </w:r>
      <w:bookmarkEnd w:id="212"/>
    </w:p>
    <w:p>
      <w:pPr>
        <w:pStyle w:val="55"/>
        <w:ind w:firstLine="480"/>
        <w:rPr>
          <w:rFonts w:ascii="宋体" w:hAnsi="宋体"/>
        </w:rPr>
      </w:pPr>
      <w:r>
        <w:rPr>
          <w:rFonts w:hint="eastAsia" w:ascii="宋体" w:hAnsi="宋体"/>
        </w:rPr>
        <w:t>1、如有未尽事宜，由双方依法订立补充合同。</w:t>
      </w:r>
    </w:p>
    <w:p>
      <w:pPr>
        <w:pStyle w:val="55"/>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400" w:lineRule="exact"/>
        <w:ind w:firstLine="480" w:firstLineChars="200"/>
        <w:rPr>
          <w:rFonts w:ascii="宋体" w:hAnsi="宋体" w:cs="宋体"/>
          <w:sz w:val="24"/>
        </w:rPr>
      </w:pPr>
      <w:r>
        <w:rPr>
          <w:rFonts w:hint="eastAsia" w:ascii="宋体" w:hAnsi="宋体" w:cs="宋体"/>
          <w:sz w:val="24"/>
        </w:rPr>
        <w:t>法定代表人（授权代表）：            法定代表人（授权代表）：</w:t>
      </w:r>
    </w:p>
    <w:p>
      <w:pPr>
        <w:spacing w:line="400" w:lineRule="exact"/>
        <w:ind w:firstLine="480" w:firstLineChars="200"/>
        <w:rPr>
          <w:rFonts w:ascii="宋体" w:hAnsi="宋体" w:cs="宋体"/>
          <w:sz w:val="24"/>
        </w:rPr>
      </w:pPr>
      <w:r>
        <w:rPr>
          <w:rFonts w:hint="eastAsia" w:ascii="宋体" w:hAnsi="宋体" w:cs="宋体"/>
          <w:sz w:val="24"/>
        </w:rPr>
        <w:t>地    址：                         地    址：</w:t>
      </w:r>
    </w:p>
    <w:p>
      <w:pPr>
        <w:spacing w:line="400" w:lineRule="exact"/>
        <w:ind w:firstLine="480" w:firstLineChars="200"/>
        <w:rPr>
          <w:rFonts w:ascii="宋体" w:hAnsi="宋体" w:cs="宋体"/>
          <w:sz w:val="24"/>
        </w:rPr>
      </w:pPr>
      <w:r>
        <w:rPr>
          <w:rFonts w:hint="eastAsia" w:ascii="宋体" w:hAnsi="宋体" w:cs="宋体"/>
          <w:sz w:val="24"/>
        </w:rPr>
        <w:t>开户银行：                         开户银行：</w:t>
      </w:r>
    </w:p>
    <w:p>
      <w:pPr>
        <w:spacing w:line="400" w:lineRule="exact"/>
        <w:ind w:firstLine="480" w:firstLineChars="200"/>
        <w:rPr>
          <w:rFonts w:ascii="宋体" w:hAnsi="宋体" w:cs="宋体"/>
          <w:sz w:val="24"/>
        </w:rPr>
      </w:pPr>
      <w:r>
        <w:rPr>
          <w:rFonts w:hint="eastAsia" w:ascii="宋体" w:hAnsi="宋体" w:cs="宋体"/>
          <w:sz w:val="24"/>
        </w:rPr>
        <w:t>账号：                             账号：</w:t>
      </w:r>
    </w:p>
    <w:p>
      <w:pPr>
        <w:spacing w:line="400" w:lineRule="exact"/>
        <w:ind w:firstLine="480" w:firstLineChars="200"/>
        <w:rPr>
          <w:rFonts w:ascii="宋体" w:hAnsi="宋体" w:cs="宋体"/>
          <w:sz w:val="24"/>
        </w:rPr>
      </w:pPr>
      <w:r>
        <w:rPr>
          <w:rFonts w:hint="eastAsia" w:ascii="宋体" w:hAnsi="宋体" w:cs="宋体"/>
          <w:sz w:val="24"/>
        </w:rPr>
        <w:t>电    话：                         电    话：</w:t>
      </w:r>
    </w:p>
    <w:p>
      <w:pPr>
        <w:spacing w:line="400" w:lineRule="exact"/>
        <w:ind w:firstLine="480" w:firstLineChars="200"/>
        <w:rPr>
          <w:rFonts w:ascii="宋体" w:hAnsi="宋体" w:cs="宋体"/>
          <w:sz w:val="24"/>
        </w:rPr>
      </w:pPr>
      <w:r>
        <w:rPr>
          <w:rFonts w:hint="eastAsia" w:ascii="宋体" w:hAnsi="宋体" w:cs="宋体"/>
          <w:sz w:val="24"/>
        </w:rPr>
        <w:t>传    真：                         传    真：</w:t>
      </w:r>
    </w:p>
    <w:p>
      <w:pPr>
        <w:spacing w:line="400" w:lineRule="exact"/>
        <w:ind w:firstLine="420" w:firstLineChars="200"/>
        <w:rPr>
          <w:rFonts w:ascii="宋体" w:hAnsi="宋体" w:cs="宋体"/>
          <w:sz w:val="24"/>
        </w:rPr>
      </w:pPr>
      <w:r>
        <w:rPr>
          <w:rFonts w:hint="eastAsia" w:ascii="宋体" w:hAnsi="宋体" w:cs="宋体"/>
        </w:rPr>
        <w:t>签约日期：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签约日期：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szCs w:val="21"/>
        </w:rPr>
        <w:t>日</w:t>
      </w:r>
    </w:p>
    <w:p>
      <w:pPr>
        <w:spacing w:line="360" w:lineRule="auto"/>
        <w:ind w:firstLine="482" w:firstLineChars="200"/>
        <w:rPr>
          <w:rFonts w:ascii="宋体" w:hAnsi="宋体" w:cs="宋体"/>
          <w:sz w:val="24"/>
        </w:rPr>
      </w:pPr>
      <w:r>
        <w:rPr>
          <w:rFonts w:hint="eastAsia" w:ascii="宋体" w:hAnsi="宋体" w:cs="宋体"/>
          <w:b/>
          <w:sz w:val="24"/>
        </w:rPr>
        <w:t>注：其他合同专用条款在合同签订时另商签订。</w:t>
      </w:r>
    </w:p>
    <w:p>
      <w:pPr>
        <w:pStyle w:val="2"/>
        <w:rPr>
          <w:rFonts w:hAnsi="宋体"/>
        </w:rPr>
      </w:pPr>
    </w:p>
    <w:p>
      <w:pPr>
        <w:spacing w:line="400" w:lineRule="exact"/>
        <w:ind w:firstLine="562" w:firstLineChars="200"/>
        <w:rPr>
          <w:rFonts w:ascii="宋体" w:hAnsi="宋体" w:cs="宋体"/>
          <w:szCs w:val="21"/>
        </w:rPr>
      </w:pPr>
      <w:r>
        <w:rPr>
          <w:rFonts w:hint="eastAsia" w:ascii="宋体" w:hAnsi="宋体" w:cs="宋体"/>
          <w:b/>
          <w:sz w:val="28"/>
          <w:szCs w:val="28"/>
        </w:rPr>
        <w:t>双方签订合同后，招标人应按相关规定及时进行合同公示及合同备案。</w:t>
      </w:r>
    </w:p>
    <w:sectPr>
      <w:headerReference r:id="rId10"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jc w:val="center"/>
    </w:pPr>
  </w:p>
  <w:p>
    <w:pPr>
      <w:pStyle w:val="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rFonts w:hint="eastAsia"/>
      </w:rPr>
      <w:t xml:space="preserve">    </w: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both"/>
    </w:pPr>
    <w:r>
      <w:drawing>
        <wp:anchor distT="0" distB="0" distL="0" distR="0" simplePos="0" relativeHeight="251660288" behindDoc="1" locked="0" layoutInCell="0" allowOverlap="1">
          <wp:simplePos x="0" y="0"/>
          <wp:positionH relativeFrom="margin">
            <wp:posOffset>-20320</wp:posOffset>
          </wp:positionH>
          <wp:positionV relativeFrom="paragraph">
            <wp:posOffset>3175</wp:posOffset>
          </wp:positionV>
          <wp:extent cx="2726055" cy="288290"/>
          <wp:effectExtent l="0" t="0" r="17145" b="16510"/>
          <wp:wrapNone/>
          <wp:docPr id="2" name="图像1"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像1" descr="未命名 -3"/>
                  <pic:cNvPicPr>
                    <a:picLocks noChangeAspect="1" noChangeArrowheads="1"/>
                  </pic:cNvPicPr>
                </pic:nvPicPr>
                <pic:blipFill>
                  <a:blip r:embed="rId1"/>
                  <a:stretch>
                    <a:fillRect/>
                  </a:stretch>
                </pic:blipFill>
                <pic:spPr>
                  <a:xfrm>
                    <a:off x="0" y="0"/>
                    <a:ext cx="2726055" cy="288290"/>
                  </a:xfrm>
                  <a:prstGeom prst="rect">
                    <a:avLst/>
                  </a:prstGeom>
                </pic:spPr>
              </pic:pic>
            </a:graphicData>
          </a:graphic>
        </wp:anchor>
      </w:drawing>
    </w:r>
  </w:p>
  <w:p>
    <w:pPr>
      <w:pStyle w:val="6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anchor distT="0" distB="0" distL="0" distR="0" simplePos="0" relativeHeight="251662336" behindDoc="1" locked="0" layoutInCell="0" allowOverlap="1">
          <wp:simplePos x="0" y="0"/>
          <wp:positionH relativeFrom="margin">
            <wp:posOffset>-20320</wp:posOffset>
          </wp:positionH>
          <wp:positionV relativeFrom="paragraph">
            <wp:posOffset>3175</wp:posOffset>
          </wp:positionV>
          <wp:extent cx="2726055" cy="288290"/>
          <wp:effectExtent l="0" t="0" r="17145" b="16510"/>
          <wp:wrapNone/>
          <wp:docPr id="1" name="图像1"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像1" descr="未命名 -3"/>
                  <pic:cNvPicPr>
                    <a:picLocks noChangeAspect="1" noChangeArrowheads="1"/>
                  </pic:cNvPicPr>
                </pic:nvPicPr>
                <pic:blipFill>
                  <a:blip r:embed="rId1"/>
                  <a:stretch>
                    <a:fillRect/>
                  </a:stretch>
                </pic:blipFill>
                <pic:spPr>
                  <a:xfrm>
                    <a:off x="0" y="0"/>
                    <a:ext cx="2726055" cy="288290"/>
                  </a:xfrm>
                  <a:prstGeom prst="rect">
                    <a:avLst/>
                  </a:prstGeom>
                </pic:spPr>
              </pic:pic>
            </a:graphicData>
          </a:graphic>
        </wp:anchor>
      </w:drawing>
    </w:r>
  </w:p>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p>
    <w:pPr>
      <w:pStyle w:val="20"/>
      <w:jc w:val="both"/>
    </w:pPr>
  </w:p>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9C07086"/>
    <w:multiLevelType w:val="singleLevel"/>
    <w:tmpl w:val="59C0708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10F41"/>
    <w:rsid w:val="00022E65"/>
    <w:rsid w:val="0002767B"/>
    <w:rsid w:val="00036EEF"/>
    <w:rsid w:val="00057868"/>
    <w:rsid w:val="000668AA"/>
    <w:rsid w:val="000760D5"/>
    <w:rsid w:val="000762DA"/>
    <w:rsid w:val="000764BE"/>
    <w:rsid w:val="00080C12"/>
    <w:rsid w:val="00085894"/>
    <w:rsid w:val="0009110A"/>
    <w:rsid w:val="00097766"/>
    <w:rsid w:val="000A246A"/>
    <w:rsid w:val="000A33BB"/>
    <w:rsid w:val="000A70F2"/>
    <w:rsid w:val="000B37D8"/>
    <w:rsid w:val="000B511F"/>
    <w:rsid w:val="000C297C"/>
    <w:rsid w:val="000C6FE5"/>
    <w:rsid w:val="000D22E0"/>
    <w:rsid w:val="000D3392"/>
    <w:rsid w:val="000D717B"/>
    <w:rsid w:val="000E7A71"/>
    <w:rsid w:val="000F084F"/>
    <w:rsid w:val="000F60E1"/>
    <w:rsid w:val="000F7620"/>
    <w:rsid w:val="000F7AB1"/>
    <w:rsid w:val="00103355"/>
    <w:rsid w:val="0010430B"/>
    <w:rsid w:val="001068FD"/>
    <w:rsid w:val="00112A3E"/>
    <w:rsid w:val="00114138"/>
    <w:rsid w:val="00124924"/>
    <w:rsid w:val="001261FC"/>
    <w:rsid w:val="001300AD"/>
    <w:rsid w:val="001324D0"/>
    <w:rsid w:val="00167585"/>
    <w:rsid w:val="001774BE"/>
    <w:rsid w:val="001808A0"/>
    <w:rsid w:val="0018580B"/>
    <w:rsid w:val="0018586C"/>
    <w:rsid w:val="00186892"/>
    <w:rsid w:val="001A17CF"/>
    <w:rsid w:val="001A34F3"/>
    <w:rsid w:val="001A6131"/>
    <w:rsid w:val="001B0555"/>
    <w:rsid w:val="001B1735"/>
    <w:rsid w:val="001C03A0"/>
    <w:rsid w:val="001C4B70"/>
    <w:rsid w:val="001C6ECA"/>
    <w:rsid w:val="001D777B"/>
    <w:rsid w:val="001E2945"/>
    <w:rsid w:val="001E3EB3"/>
    <w:rsid w:val="001E7DDD"/>
    <w:rsid w:val="001F150C"/>
    <w:rsid w:val="001F425D"/>
    <w:rsid w:val="001F5E62"/>
    <w:rsid w:val="00200661"/>
    <w:rsid w:val="0020132D"/>
    <w:rsid w:val="002057B1"/>
    <w:rsid w:val="00210A75"/>
    <w:rsid w:val="002120E1"/>
    <w:rsid w:val="002129B6"/>
    <w:rsid w:val="00221861"/>
    <w:rsid w:val="0024028B"/>
    <w:rsid w:val="00242CA9"/>
    <w:rsid w:val="002636ED"/>
    <w:rsid w:val="00266EE9"/>
    <w:rsid w:val="002703ED"/>
    <w:rsid w:val="00275F06"/>
    <w:rsid w:val="00286FBA"/>
    <w:rsid w:val="00290C5C"/>
    <w:rsid w:val="00291A7E"/>
    <w:rsid w:val="00292726"/>
    <w:rsid w:val="00293D65"/>
    <w:rsid w:val="002A1E4E"/>
    <w:rsid w:val="002A6316"/>
    <w:rsid w:val="002B2897"/>
    <w:rsid w:val="002B3F90"/>
    <w:rsid w:val="002B734E"/>
    <w:rsid w:val="002C2D29"/>
    <w:rsid w:val="002D2BF7"/>
    <w:rsid w:val="002E0062"/>
    <w:rsid w:val="002E10C5"/>
    <w:rsid w:val="002E1C90"/>
    <w:rsid w:val="002F2EF2"/>
    <w:rsid w:val="002F5CF1"/>
    <w:rsid w:val="00312FF9"/>
    <w:rsid w:val="00314A71"/>
    <w:rsid w:val="00340727"/>
    <w:rsid w:val="00343237"/>
    <w:rsid w:val="00344992"/>
    <w:rsid w:val="0035550A"/>
    <w:rsid w:val="0036303D"/>
    <w:rsid w:val="00363398"/>
    <w:rsid w:val="003651A1"/>
    <w:rsid w:val="0036590B"/>
    <w:rsid w:val="003724C6"/>
    <w:rsid w:val="00373575"/>
    <w:rsid w:val="003738E0"/>
    <w:rsid w:val="003820C8"/>
    <w:rsid w:val="00390B79"/>
    <w:rsid w:val="003922E7"/>
    <w:rsid w:val="003947D1"/>
    <w:rsid w:val="003A64D0"/>
    <w:rsid w:val="003B0DCF"/>
    <w:rsid w:val="003C43A1"/>
    <w:rsid w:val="003C6641"/>
    <w:rsid w:val="003C6D0D"/>
    <w:rsid w:val="003D2AE1"/>
    <w:rsid w:val="003E1ABC"/>
    <w:rsid w:val="003E635F"/>
    <w:rsid w:val="003F05DE"/>
    <w:rsid w:val="003F186A"/>
    <w:rsid w:val="00402ECE"/>
    <w:rsid w:val="00421BDA"/>
    <w:rsid w:val="00423CDA"/>
    <w:rsid w:val="00425834"/>
    <w:rsid w:val="00433E2A"/>
    <w:rsid w:val="0043432B"/>
    <w:rsid w:val="004343A7"/>
    <w:rsid w:val="00441BDA"/>
    <w:rsid w:val="0044394E"/>
    <w:rsid w:val="00445E84"/>
    <w:rsid w:val="00453EC9"/>
    <w:rsid w:val="00457357"/>
    <w:rsid w:val="00460537"/>
    <w:rsid w:val="004608D5"/>
    <w:rsid w:val="004631E4"/>
    <w:rsid w:val="004642F2"/>
    <w:rsid w:val="00481E73"/>
    <w:rsid w:val="00486E43"/>
    <w:rsid w:val="00492E18"/>
    <w:rsid w:val="004A0CFC"/>
    <w:rsid w:val="004B0037"/>
    <w:rsid w:val="004B1CDA"/>
    <w:rsid w:val="004B6029"/>
    <w:rsid w:val="004B6EDE"/>
    <w:rsid w:val="004C645B"/>
    <w:rsid w:val="004D1906"/>
    <w:rsid w:val="004E01C2"/>
    <w:rsid w:val="004F28A6"/>
    <w:rsid w:val="004F456A"/>
    <w:rsid w:val="004F60C8"/>
    <w:rsid w:val="00504988"/>
    <w:rsid w:val="00510798"/>
    <w:rsid w:val="00511C93"/>
    <w:rsid w:val="00535CBC"/>
    <w:rsid w:val="00547030"/>
    <w:rsid w:val="00550AED"/>
    <w:rsid w:val="00561799"/>
    <w:rsid w:val="005717CE"/>
    <w:rsid w:val="005830BA"/>
    <w:rsid w:val="005853E3"/>
    <w:rsid w:val="00585478"/>
    <w:rsid w:val="00590D5D"/>
    <w:rsid w:val="005923F9"/>
    <w:rsid w:val="0059366C"/>
    <w:rsid w:val="00593882"/>
    <w:rsid w:val="00594F49"/>
    <w:rsid w:val="005A3B30"/>
    <w:rsid w:val="005A56ED"/>
    <w:rsid w:val="005B0CDD"/>
    <w:rsid w:val="005C5F85"/>
    <w:rsid w:val="005D5289"/>
    <w:rsid w:val="005F6D08"/>
    <w:rsid w:val="006028A4"/>
    <w:rsid w:val="006165E7"/>
    <w:rsid w:val="006243C6"/>
    <w:rsid w:val="006263B8"/>
    <w:rsid w:val="00630280"/>
    <w:rsid w:val="00631EF8"/>
    <w:rsid w:val="0063491D"/>
    <w:rsid w:val="00636F16"/>
    <w:rsid w:val="00643F3D"/>
    <w:rsid w:val="00645529"/>
    <w:rsid w:val="0066052F"/>
    <w:rsid w:val="00660A32"/>
    <w:rsid w:val="0066755A"/>
    <w:rsid w:val="006702AD"/>
    <w:rsid w:val="006720E6"/>
    <w:rsid w:val="0067309C"/>
    <w:rsid w:val="006738D3"/>
    <w:rsid w:val="006853DD"/>
    <w:rsid w:val="00690DF4"/>
    <w:rsid w:val="006964AE"/>
    <w:rsid w:val="006A05AB"/>
    <w:rsid w:val="006A3394"/>
    <w:rsid w:val="006A3B09"/>
    <w:rsid w:val="006B21F2"/>
    <w:rsid w:val="006B6D27"/>
    <w:rsid w:val="006B7071"/>
    <w:rsid w:val="006C07CC"/>
    <w:rsid w:val="006C20FE"/>
    <w:rsid w:val="006D729A"/>
    <w:rsid w:val="006F1ACB"/>
    <w:rsid w:val="006F2FC8"/>
    <w:rsid w:val="007014F1"/>
    <w:rsid w:val="00701DD9"/>
    <w:rsid w:val="00703843"/>
    <w:rsid w:val="00707412"/>
    <w:rsid w:val="00723896"/>
    <w:rsid w:val="00723C4D"/>
    <w:rsid w:val="007304D9"/>
    <w:rsid w:val="00731BCA"/>
    <w:rsid w:val="00734518"/>
    <w:rsid w:val="007422CC"/>
    <w:rsid w:val="0074400B"/>
    <w:rsid w:val="00750034"/>
    <w:rsid w:val="0075249C"/>
    <w:rsid w:val="00760E20"/>
    <w:rsid w:val="007831F4"/>
    <w:rsid w:val="007910BF"/>
    <w:rsid w:val="007A093C"/>
    <w:rsid w:val="007A2CAB"/>
    <w:rsid w:val="007A2DB0"/>
    <w:rsid w:val="007A503A"/>
    <w:rsid w:val="007A683D"/>
    <w:rsid w:val="007A6B90"/>
    <w:rsid w:val="007B37D1"/>
    <w:rsid w:val="007B7BCE"/>
    <w:rsid w:val="007C05FA"/>
    <w:rsid w:val="007D1567"/>
    <w:rsid w:val="007E0F68"/>
    <w:rsid w:val="007E4F69"/>
    <w:rsid w:val="007E6831"/>
    <w:rsid w:val="008120D6"/>
    <w:rsid w:val="00814FCC"/>
    <w:rsid w:val="00821B2F"/>
    <w:rsid w:val="00826940"/>
    <w:rsid w:val="00827C4C"/>
    <w:rsid w:val="00834A2F"/>
    <w:rsid w:val="00835F45"/>
    <w:rsid w:val="008409EF"/>
    <w:rsid w:val="00842237"/>
    <w:rsid w:val="0084526A"/>
    <w:rsid w:val="008609BC"/>
    <w:rsid w:val="00870D97"/>
    <w:rsid w:val="008715A0"/>
    <w:rsid w:val="00877F72"/>
    <w:rsid w:val="0088578D"/>
    <w:rsid w:val="0088728B"/>
    <w:rsid w:val="00893DAE"/>
    <w:rsid w:val="00894053"/>
    <w:rsid w:val="008A7445"/>
    <w:rsid w:val="008D19EC"/>
    <w:rsid w:val="008D3A4E"/>
    <w:rsid w:val="008D6B34"/>
    <w:rsid w:val="008E2FF6"/>
    <w:rsid w:val="009014CB"/>
    <w:rsid w:val="0090419B"/>
    <w:rsid w:val="00904A04"/>
    <w:rsid w:val="009069BA"/>
    <w:rsid w:val="00906E67"/>
    <w:rsid w:val="00907E27"/>
    <w:rsid w:val="009145E7"/>
    <w:rsid w:val="00914934"/>
    <w:rsid w:val="009168D9"/>
    <w:rsid w:val="00916F97"/>
    <w:rsid w:val="00920AC6"/>
    <w:rsid w:val="00924F00"/>
    <w:rsid w:val="00943652"/>
    <w:rsid w:val="0094454A"/>
    <w:rsid w:val="00953246"/>
    <w:rsid w:val="00963A8C"/>
    <w:rsid w:val="00972699"/>
    <w:rsid w:val="0097416A"/>
    <w:rsid w:val="00974C36"/>
    <w:rsid w:val="00976061"/>
    <w:rsid w:val="00985909"/>
    <w:rsid w:val="00992DFA"/>
    <w:rsid w:val="009939D5"/>
    <w:rsid w:val="00996F31"/>
    <w:rsid w:val="009979FD"/>
    <w:rsid w:val="009A321F"/>
    <w:rsid w:val="009B2575"/>
    <w:rsid w:val="009D1026"/>
    <w:rsid w:val="009D5790"/>
    <w:rsid w:val="009D67ED"/>
    <w:rsid w:val="009E257F"/>
    <w:rsid w:val="009E3E09"/>
    <w:rsid w:val="009F4374"/>
    <w:rsid w:val="009F4F1C"/>
    <w:rsid w:val="00A11C28"/>
    <w:rsid w:val="00A1432F"/>
    <w:rsid w:val="00A144EB"/>
    <w:rsid w:val="00A16ABD"/>
    <w:rsid w:val="00A2514C"/>
    <w:rsid w:val="00A44B42"/>
    <w:rsid w:val="00A46939"/>
    <w:rsid w:val="00A63261"/>
    <w:rsid w:val="00A7160E"/>
    <w:rsid w:val="00A74305"/>
    <w:rsid w:val="00A9028D"/>
    <w:rsid w:val="00AA0052"/>
    <w:rsid w:val="00AA036B"/>
    <w:rsid w:val="00AC0B1F"/>
    <w:rsid w:val="00AC56BD"/>
    <w:rsid w:val="00AD0386"/>
    <w:rsid w:val="00AF15BA"/>
    <w:rsid w:val="00AF2603"/>
    <w:rsid w:val="00B2007F"/>
    <w:rsid w:val="00B21B61"/>
    <w:rsid w:val="00B27E55"/>
    <w:rsid w:val="00B40A73"/>
    <w:rsid w:val="00B40ACA"/>
    <w:rsid w:val="00B41A55"/>
    <w:rsid w:val="00B5518B"/>
    <w:rsid w:val="00B645FA"/>
    <w:rsid w:val="00B714C3"/>
    <w:rsid w:val="00B77F61"/>
    <w:rsid w:val="00B8011F"/>
    <w:rsid w:val="00B80536"/>
    <w:rsid w:val="00B80581"/>
    <w:rsid w:val="00B87AB6"/>
    <w:rsid w:val="00B90035"/>
    <w:rsid w:val="00B90B32"/>
    <w:rsid w:val="00B91900"/>
    <w:rsid w:val="00B941F4"/>
    <w:rsid w:val="00B969D5"/>
    <w:rsid w:val="00B97136"/>
    <w:rsid w:val="00BB1D55"/>
    <w:rsid w:val="00BC1700"/>
    <w:rsid w:val="00BD19A0"/>
    <w:rsid w:val="00BD1CE2"/>
    <w:rsid w:val="00BD389F"/>
    <w:rsid w:val="00BD5C33"/>
    <w:rsid w:val="00BF5F29"/>
    <w:rsid w:val="00C0042D"/>
    <w:rsid w:val="00C049EB"/>
    <w:rsid w:val="00C06829"/>
    <w:rsid w:val="00C0773F"/>
    <w:rsid w:val="00C100C3"/>
    <w:rsid w:val="00C1182B"/>
    <w:rsid w:val="00C26BD3"/>
    <w:rsid w:val="00C31AD8"/>
    <w:rsid w:val="00C421B6"/>
    <w:rsid w:val="00C508C1"/>
    <w:rsid w:val="00C54267"/>
    <w:rsid w:val="00C6026C"/>
    <w:rsid w:val="00C605E3"/>
    <w:rsid w:val="00C63B15"/>
    <w:rsid w:val="00C64B57"/>
    <w:rsid w:val="00C67FBB"/>
    <w:rsid w:val="00C70D49"/>
    <w:rsid w:val="00C725F0"/>
    <w:rsid w:val="00C75A71"/>
    <w:rsid w:val="00C853A5"/>
    <w:rsid w:val="00C85C70"/>
    <w:rsid w:val="00C90668"/>
    <w:rsid w:val="00C90B88"/>
    <w:rsid w:val="00C941C9"/>
    <w:rsid w:val="00C9521E"/>
    <w:rsid w:val="00CA0A3A"/>
    <w:rsid w:val="00CA7A38"/>
    <w:rsid w:val="00CB3126"/>
    <w:rsid w:val="00CB5635"/>
    <w:rsid w:val="00CC5538"/>
    <w:rsid w:val="00CC71E6"/>
    <w:rsid w:val="00CD07C3"/>
    <w:rsid w:val="00CE1776"/>
    <w:rsid w:val="00CE4310"/>
    <w:rsid w:val="00CE4557"/>
    <w:rsid w:val="00CE4D93"/>
    <w:rsid w:val="00CF27A1"/>
    <w:rsid w:val="00CF2A59"/>
    <w:rsid w:val="00D02615"/>
    <w:rsid w:val="00D05321"/>
    <w:rsid w:val="00D2322C"/>
    <w:rsid w:val="00D247A1"/>
    <w:rsid w:val="00D3284C"/>
    <w:rsid w:val="00D356BF"/>
    <w:rsid w:val="00D37C31"/>
    <w:rsid w:val="00D453B3"/>
    <w:rsid w:val="00D51A7B"/>
    <w:rsid w:val="00D574E5"/>
    <w:rsid w:val="00D650E5"/>
    <w:rsid w:val="00D67157"/>
    <w:rsid w:val="00D7091B"/>
    <w:rsid w:val="00D71B0E"/>
    <w:rsid w:val="00D7323B"/>
    <w:rsid w:val="00D7332A"/>
    <w:rsid w:val="00D73B4C"/>
    <w:rsid w:val="00D7441E"/>
    <w:rsid w:val="00D805D4"/>
    <w:rsid w:val="00D83843"/>
    <w:rsid w:val="00DA18CC"/>
    <w:rsid w:val="00DA4A29"/>
    <w:rsid w:val="00DA4AF8"/>
    <w:rsid w:val="00DA51BA"/>
    <w:rsid w:val="00DB1EFB"/>
    <w:rsid w:val="00DB3FCE"/>
    <w:rsid w:val="00DC0CE3"/>
    <w:rsid w:val="00DC1A76"/>
    <w:rsid w:val="00DC2F1D"/>
    <w:rsid w:val="00DD2332"/>
    <w:rsid w:val="00DD4C4F"/>
    <w:rsid w:val="00DD6F44"/>
    <w:rsid w:val="00DE1931"/>
    <w:rsid w:val="00DE674C"/>
    <w:rsid w:val="00E01326"/>
    <w:rsid w:val="00E06C92"/>
    <w:rsid w:val="00E07B32"/>
    <w:rsid w:val="00E13197"/>
    <w:rsid w:val="00E148FF"/>
    <w:rsid w:val="00E22E7C"/>
    <w:rsid w:val="00E30582"/>
    <w:rsid w:val="00E327CE"/>
    <w:rsid w:val="00E46283"/>
    <w:rsid w:val="00E545C8"/>
    <w:rsid w:val="00E55CA7"/>
    <w:rsid w:val="00E56B0E"/>
    <w:rsid w:val="00E62C64"/>
    <w:rsid w:val="00E63583"/>
    <w:rsid w:val="00E64F68"/>
    <w:rsid w:val="00E66EBB"/>
    <w:rsid w:val="00E742F8"/>
    <w:rsid w:val="00E83AF9"/>
    <w:rsid w:val="00E8533C"/>
    <w:rsid w:val="00E91C13"/>
    <w:rsid w:val="00E91E3E"/>
    <w:rsid w:val="00EA30CA"/>
    <w:rsid w:val="00EA54BF"/>
    <w:rsid w:val="00EA73A3"/>
    <w:rsid w:val="00EB24F0"/>
    <w:rsid w:val="00EB6A49"/>
    <w:rsid w:val="00EE38CD"/>
    <w:rsid w:val="00EF1C2B"/>
    <w:rsid w:val="00EF39C5"/>
    <w:rsid w:val="00EF4CBF"/>
    <w:rsid w:val="00EF6588"/>
    <w:rsid w:val="00EF766C"/>
    <w:rsid w:val="00F028A6"/>
    <w:rsid w:val="00F13954"/>
    <w:rsid w:val="00F225C5"/>
    <w:rsid w:val="00F23E3D"/>
    <w:rsid w:val="00F26FBC"/>
    <w:rsid w:val="00F34E0A"/>
    <w:rsid w:val="00F42F63"/>
    <w:rsid w:val="00F43BA0"/>
    <w:rsid w:val="00F61041"/>
    <w:rsid w:val="00F62F67"/>
    <w:rsid w:val="00F63562"/>
    <w:rsid w:val="00F65043"/>
    <w:rsid w:val="00F67E3B"/>
    <w:rsid w:val="00F75689"/>
    <w:rsid w:val="00F75B12"/>
    <w:rsid w:val="00F80E7B"/>
    <w:rsid w:val="00F85109"/>
    <w:rsid w:val="00F937A2"/>
    <w:rsid w:val="00FB40C7"/>
    <w:rsid w:val="00FB6B6E"/>
    <w:rsid w:val="00FC07C9"/>
    <w:rsid w:val="00FC5AC5"/>
    <w:rsid w:val="00FD5E91"/>
    <w:rsid w:val="00FE1280"/>
    <w:rsid w:val="00FE31E8"/>
    <w:rsid w:val="00FF1A99"/>
    <w:rsid w:val="01256538"/>
    <w:rsid w:val="016B3CA6"/>
    <w:rsid w:val="01CD7511"/>
    <w:rsid w:val="01D51089"/>
    <w:rsid w:val="02430B2B"/>
    <w:rsid w:val="027410CC"/>
    <w:rsid w:val="0306313E"/>
    <w:rsid w:val="03386882"/>
    <w:rsid w:val="03786FBA"/>
    <w:rsid w:val="03974857"/>
    <w:rsid w:val="03A746C3"/>
    <w:rsid w:val="03AF3A20"/>
    <w:rsid w:val="03CF276F"/>
    <w:rsid w:val="03DB72A5"/>
    <w:rsid w:val="04127805"/>
    <w:rsid w:val="05052E25"/>
    <w:rsid w:val="05450B69"/>
    <w:rsid w:val="054A4CFA"/>
    <w:rsid w:val="05610639"/>
    <w:rsid w:val="05B72C43"/>
    <w:rsid w:val="0662250D"/>
    <w:rsid w:val="068C74DE"/>
    <w:rsid w:val="069756C9"/>
    <w:rsid w:val="06AF72DC"/>
    <w:rsid w:val="06EA41D2"/>
    <w:rsid w:val="06F82B78"/>
    <w:rsid w:val="071A250C"/>
    <w:rsid w:val="072E42E3"/>
    <w:rsid w:val="07551E5D"/>
    <w:rsid w:val="0784507A"/>
    <w:rsid w:val="07AE6295"/>
    <w:rsid w:val="07C11975"/>
    <w:rsid w:val="086118B3"/>
    <w:rsid w:val="087636AB"/>
    <w:rsid w:val="08D3679E"/>
    <w:rsid w:val="091115D3"/>
    <w:rsid w:val="0968446C"/>
    <w:rsid w:val="09880AD8"/>
    <w:rsid w:val="09B56552"/>
    <w:rsid w:val="09C55135"/>
    <w:rsid w:val="09D2005A"/>
    <w:rsid w:val="09E457A6"/>
    <w:rsid w:val="0A4326AC"/>
    <w:rsid w:val="0A594469"/>
    <w:rsid w:val="0A9B0A35"/>
    <w:rsid w:val="0AA5328F"/>
    <w:rsid w:val="0AE12F18"/>
    <w:rsid w:val="0AEB1B75"/>
    <w:rsid w:val="0B134589"/>
    <w:rsid w:val="0B471EDF"/>
    <w:rsid w:val="0B561DCB"/>
    <w:rsid w:val="0B5C78CC"/>
    <w:rsid w:val="0B7E48FD"/>
    <w:rsid w:val="0BA311EC"/>
    <w:rsid w:val="0BB374CF"/>
    <w:rsid w:val="0BF877A0"/>
    <w:rsid w:val="0BFB0153"/>
    <w:rsid w:val="0CB6308D"/>
    <w:rsid w:val="0CF92C66"/>
    <w:rsid w:val="0CFC2EE8"/>
    <w:rsid w:val="0D1942A7"/>
    <w:rsid w:val="0D20616C"/>
    <w:rsid w:val="0D24133C"/>
    <w:rsid w:val="0D417D41"/>
    <w:rsid w:val="0DB2478D"/>
    <w:rsid w:val="0DCB6995"/>
    <w:rsid w:val="0E044AD0"/>
    <w:rsid w:val="0E545AFA"/>
    <w:rsid w:val="0E7C2258"/>
    <w:rsid w:val="0EBC73AB"/>
    <w:rsid w:val="0F4628FA"/>
    <w:rsid w:val="0F594D76"/>
    <w:rsid w:val="0FA44575"/>
    <w:rsid w:val="0FAB0A3A"/>
    <w:rsid w:val="0FB34829"/>
    <w:rsid w:val="10224F7E"/>
    <w:rsid w:val="105B51DC"/>
    <w:rsid w:val="10B02E63"/>
    <w:rsid w:val="10C14D02"/>
    <w:rsid w:val="115C78ED"/>
    <w:rsid w:val="1168606F"/>
    <w:rsid w:val="11C22947"/>
    <w:rsid w:val="11C96F3F"/>
    <w:rsid w:val="12322363"/>
    <w:rsid w:val="1308440F"/>
    <w:rsid w:val="13404493"/>
    <w:rsid w:val="135607B7"/>
    <w:rsid w:val="13780EB1"/>
    <w:rsid w:val="13906880"/>
    <w:rsid w:val="13B664F1"/>
    <w:rsid w:val="14537884"/>
    <w:rsid w:val="14593BBF"/>
    <w:rsid w:val="14D56C28"/>
    <w:rsid w:val="151C338A"/>
    <w:rsid w:val="152D3690"/>
    <w:rsid w:val="1565002B"/>
    <w:rsid w:val="15855B9E"/>
    <w:rsid w:val="15B2779C"/>
    <w:rsid w:val="15E55D4C"/>
    <w:rsid w:val="16490B40"/>
    <w:rsid w:val="164973BC"/>
    <w:rsid w:val="1686757C"/>
    <w:rsid w:val="172A082C"/>
    <w:rsid w:val="173D66F2"/>
    <w:rsid w:val="173E3C56"/>
    <w:rsid w:val="17430389"/>
    <w:rsid w:val="175C0959"/>
    <w:rsid w:val="177941D0"/>
    <w:rsid w:val="17A52DDC"/>
    <w:rsid w:val="17DC532F"/>
    <w:rsid w:val="184C7796"/>
    <w:rsid w:val="18800267"/>
    <w:rsid w:val="18CE0750"/>
    <w:rsid w:val="19264B65"/>
    <w:rsid w:val="194A6033"/>
    <w:rsid w:val="19731B79"/>
    <w:rsid w:val="19A06E4C"/>
    <w:rsid w:val="19A341FB"/>
    <w:rsid w:val="19A830EA"/>
    <w:rsid w:val="1A024AC4"/>
    <w:rsid w:val="1A0D063E"/>
    <w:rsid w:val="1AA57B5F"/>
    <w:rsid w:val="1AC507CB"/>
    <w:rsid w:val="1AF023DE"/>
    <w:rsid w:val="1B112FC2"/>
    <w:rsid w:val="1B260840"/>
    <w:rsid w:val="1B573E09"/>
    <w:rsid w:val="1B6E091D"/>
    <w:rsid w:val="1BE67F3A"/>
    <w:rsid w:val="1C057357"/>
    <w:rsid w:val="1C2407D2"/>
    <w:rsid w:val="1C392717"/>
    <w:rsid w:val="1C771C32"/>
    <w:rsid w:val="1D314742"/>
    <w:rsid w:val="1DA86821"/>
    <w:rsid w:val="1DB16F63"/>
    <w:rsid w:val="1DD875A1"/>
    <w:rsid w:val="1E063852"/>
    <w:rsid w:val="1E1865E3"/>
    <w:rsid w:val="1E3C3EC7"/>
    <w:rsid w:val="1E44082C"/>
    <w:rsid w:val="1E5006DD"/>
    <w:rsid w:val="1E626810"/>
    <w:rsid w:val="1E7844D8"/>
    <w:rsid w:val="1E7C1444"/>
    <w:rsid w:val="1E7C28F5"/>
    <w:rsid w:val="1EA40187"/>
    <w:rsid w:val="1EE44777"/>
    <w:rsid w:val="1F3A1F0D"/>
    <w:rsid w:val="1F515A41"/>
    <w:rsid w:val="1F9963A9"/>
    <w:rsid w:val="1FCE5D71"/>
    <w:rsid w:val="20A66D92"/>
    <w:rsid w:val="21432F64"/>
    <w:rsid w:val="215E345B"/>
    <w:rsid w:val="21631CA7"/>
    <w:rsid w:val="21987D15"/>
    <w:rsid w:val="21D218F6"/>
    <w:rsid w:val="21EB58B3"/>
    <w:rsid w:val="21EE38EF"/>
    <w:rsid w:val="21EE763B"/>
    <w:rsid w:val="222C73FB"/>
    <w:rsid w:val="224A72AF"/>
    <w:rsid w:val="22547760"/>
    <w:rsid w:val="22723839"/>
    <w:rsid w:val="231C4C14"/>
    <w:rsid w:val="23C823BC"/>
    <w:rsid w:val="23CA4B15"/>
    <w:rsid w:val="24057464"/>
    <w:rsid w:val="24386F5D"/>
    <w:rsid w:val="24900FF1"/>
    <w:rsid w:val="249A41D0"/>
    <w:rsid w:val="24A123C8"/>
    <w:rsid w:val="24A42D4D"/>
    <w:rsid w:val="24CC4700"/>
    <w:rsid w:val="24F46692"/>
    <w:rsid w:val="24F96510"/>
    <w:rsid w:val="255A6FCD"/>
    <w:rsid w:val="25D673DA"/>
    <w:rsid w:val="26D60601"/>
    <w:rsid w:val="26E51EF5"/>
    <w:rsid w:val="26FE01DA"/>
    <w:rsid w:val="27343C9B"/>
    <w:rsid w:val="274D2EAB"/>
    <w:rsid w:val="2782130A"/>
    <w:rsid w:val="27D525A6"/>
    <w:rsid w:val="27FB0E00"/>
    <w:rsid w:val="28012834"/>
    <w:rsid w:val="28017784"/>
    <w:rsid w:val="282A7305"/>
    <w:rsid w:val="287F157E"/>
    <w:rsid w:val="28DD78F7"/>
    <w:rsid w:val="28E13AEA"/>
    <w:rsid w:val="291B171C"/>
    <w:rsid w:val="296001D2"/>
    <w:rsid w:val="2964526F"/>
    <w:rsid w:val="29795487"/>
    <w:rsid w:val="29833A55"/>
    <w:rsid w:val="29874879"/>
    <w:rsid w:val="2AC46C46"/>
    <w:rsid w:val="2AD1599C"/>
    <w:rsid w:val="2AE33EE5"/>
    <w:rsid w:val="2AF3254C"/>
    <w:rsid w:val="2B170837"/>
    <w:rsid w:val="2B187CEF"/>
    <w:rsid w:val="2B243D1C"/>
    <w:rsid w:val="2B7A199A"/>
    <w:rsid w:val="2BB97180"/>
    <w:rsid w:val="2C5258B1"/>
    <w:rsid w:val="2C5300D5"/>
    <w:rsid w:val="2CCE49E8"/>
    <w:rsid w:val="2CD44FAC"/>
    <w:rsid w:val="2CF040BC"/>
    <w:rsid w:val="2D2864D4"/>
    <w:rsid w:val="2D4F15AE"/>
    <w:rsid w:val="2D5E4AE2"/>
    <w:rsid w:val="2D6405B3"/>
    <w:rsid w:val="2D82279C"/>
    <w:rsid w:val="2D982CB3"/>
    <w:rsid w:val="2D9975D8"/>
    <w:rsid w:val="2DAA40C0"/>
    <w:rsid w:val="2DCC3E54"/>
    <w:rsid w:val="2DD32383"/>
    <w:rsid w:val="2DE50909"/>
    <w:rsid w:val="2E8A18A9"/>
    <w:rsid w:val="2EB1759E"/>
    <w:rsid w:val="2EE72320"/>
    <w:rsid w:val="2EE8455C"/>
    <w:rsid w:val="2EEF344A"/>
    <w:rsid w:val="2FC414F3"/>
    <w:rsid w:val="2FDD3282"/>
    <w:rsid w:val="2FE60929"/>
    <w:rsid w:val="30715D36"/>
    <w:rsid w:val="30CA43A1"/>
    <w:rsid w:val="30D70117"/>
    <w:rsid w:val="30E75086"/>
    <w:rsid w:val="310D6C4C"/>
    <w:rsid w:val="31274B61"/>
    <w:rsid w:val="314B29C9"/>
    <w:rsid w:val="31FE22A9"/>
    <w:rsid w:val="32395DAD"/>
    <w:rsid w:val="32586A94"/>
    <w:rsid w:val="32A658AF"/>
    <w:rsid w:val="32A81084"/>
    <w:rsid w:val="32C10056"/>
    <w:rsid w:val="32D70991"/>
    <w:rsid w:val="330655CD"/>
    <w:rsid w:val="33155257"/>
    <w:rsid w:val="336D74DC"/>
    <w:rsid w:val="338375F6"/>
    <w:rsid w:val="33DC14FA"/>
    <w:rsid w:val="33E47CF9"/>
    <w:rsid w:val="33EF06B2"/>
    <w:rsid w:val="34176C24"/>
    <w:rsid w:val="34476171"/>
    <w:rsid w:val="344A78B9"/>
    <w:rsid w:val="346B4083"/>
    <w:rsid w:val="3494364D"/>
    <w:rsid w:val="34C9249A"/>
    <w:rsid w:val="34F34C56"/>
    <w:rsid w:val="350E60F3"/>
    <w:rsid w:val="35154ADA"/>
    <w:rsid w:val="357A5788"/>
    <w:rsid w:val="35B64728"/>
    <w:rsid w:val="36530971"/>
    <w:rsid w:val="36561BAE"/>
    <w:rsid w:val="36610C56"/>
    <w:rsid w:val="366B24CA"/>
    <w:rsid w:val="36EF28AF"/>
    <w:rsid w:val="371B0264"/>
    <w:rsid w:val="371E4610"/>
    <w:rsid w:val="376916D4"/>
    <w:rsid w:val="37730E27"/>
    <w:rsid w:val="379B2738"/>
    <w:rsid w:val="379B3582"/>
    <w:rsid w:val="380370DF"/>
    <w:rsid w:val="38095396"/>
    <w:rsid w:val="382B3A26"/>
    <w:rsid w:val="385666E5"/>
    <w:rsid w:val="38703866"/>
    <w:rsid w:val="38A73EEE"/>
    <w:rsid w:val="38DB70E7"/>
    <w:rsid w:val="38E42D35"/>
    <w:rsid w:val="391151AB"/>
    <w:rsid w:val="3A0D41FC"/>
    <w:rsid w:val="3A1649BB"/>
    <w:rsid w:val="3A9C789E"/>
    <w:rsid w:val="3ABE3DDA"/>
    <w:rsid w:val="3AD16F1E"/>
    <w:rsid w:val="3ADF4BD2"/>
    <w:rsid w:val="3B192EFF"/>
    <w:rsid w:val="3BB63565"/>
    <w:rsid w:val="3BCE25E6"/>
    <w:rsid w:val="3BCE3BB9"/>
    <w:rsid w:val="3C1B106D"/>
    <w:rsid w:val="3C447D2D"/>
    <w:rsid w:val="3C68364E"/>
    <w:rsid w:val="3CEA2ACF"/>
    <w:rsid w:val="3D0C77C5"/>
    <w:rsid w:val="3DEE4B01"/>
    <w:rsid w:val="3EA7753D"/>
    <w:rsid w:val="3EE228A1"/>
    <w:rsid w:val="3F006C63"/>
    <w:rsid w:val="3F0C0848"/>
    <w:rsid w:val="3F3618F0"/>
    <w:rsid w:val="3F496BBF"/>
    <w:rsid w:val="3F522E9C"/>
    <w:rsid w:val="3FC14E74"/>
    <w:rsid w:val="40275E65"/>
    <w:rsid w:val="404A6865"/>
    <w:rsid w:val="40BD25B1"/>
    <w:rsid w:val="41A706E7"/>
    <w:rsid w:val="41BC1F10"/>
    <w:rsid w:val="41CC7778"/>
    <w:rsid w:val="42016324"/>
    <w:rsid w:val="424B3AFB"/>
    <w:rsid w:val="42A20461"/>
    <w:rsid w:val="42E250CC"/>
    <w:rsid w:val="42EC3262"/>
    <w:rsid w:val="431E7C90"/>
    <w:rsid w:val="43237782"/>
    <w:rsid w:val="43535B87"/>
    <w:rsid w:val="435A0895"/>
    <w:rsid w:val="43765341"/>
    <w:rsid w:val="43AC0596"/>
    <w:rsid w:val="443F2A3F"/>
    <w:rsid w:val="4491174F"/>
    <w:rsid w:val="451B0620"/>
    <w:rsid w:val="4596640E"/>
    <w:rsid w:val="45E60474"/>
    <w:rsid w:val="46724F27"/>
    <w:rsid w:val="46886E13"/>
    <w:rsid w:val="46981D6F"/>
    <w:rsid w:val="46A91F25"/>
    <w:rsid w:val="46CE0949"/>
    <w:rsid w:val="47202EC6"/>
    <w:rsid w:val="476756F9"/>
    <w:rsid w:val="47756B56"/>
    <w:rsid w:val="478F3EA7"/>
    <w:rsid w:val="47F3788B"/>
    <w:rsid w:val="47FC2668"/>
    <w:rsid w:val="482B5C12"/>
    <w:rsid w:val="484D050E"/>
    <w:rsid w:val="48B63C31"/>
    <w:rsid w:val="48CF5749"/>
    <w:rsid w:val="48FD3D7D"/>
    <w:rsid w:val="492C3528"/>
    <w:rsid w:val="4937272B"/>
    <w:rsid w:val="494F2161"/>
    <w:rsid w:val="496B4DCD"/>
    <w:rsid w:val="4972010E"/>
    <w:rsid w:val="49B4651F"/>
    <w:rsid w:val="49E329B9"/>
    <w:rsid w:val="4A21244D"/>
    <w:rsid w:val="4A2C2FEF"/>
    <w:rsid w:val="4A5A0CB0"/>
    <w:rsid w:val="4A9C1DE8"/>
    <w:rsid w:val="4AAF700B"/>
    <w:rsid w:val="4BF239E6"/>
    <w:rsid w:val="4C4B10C2"/>
    <w:rsid w:val="4CDD3134"/>
    <w:rsid w:val="4CE6400E"/>
    <w:rsid w:val="4CF906E8"/>
    <w:rsid w:val="4D5670A7"/>
    <w:rsid w:val="4D5D1F52"/>
    <w:rsid w:val="4D624AC6"/>
    <w:rsid w:val="4DE4196A"/>
    <w:rsid w:val="4E057A27"/>
    <w:rsid w:val="4E540763"/>
    <w:rsid w:val="4E8A6C14"/>
    <w:rsid w:val="4EA130FB"/>
    <w:rsid w:val="4EB0364A"/>
    <w:rsid w:val="4F5D7111"/>
    <w:rsid w:val="4F745997"/>
    <w:rsid w:val="4F802507"/>
    <w:rsid w:val="4F8E0781"/>
    <w:rsid w:val="4F8E36B5"/>
    <w:rsid w:val="4FA45F82"/>
    <w:rsid w:val="4FC20AA7"/>
    <w:rsid w:val="4FE80B78"/>
    <w:rsid w:val="505F1EFD"/>
    <w:rsid w:val="50B70587"/>
    <w:rsid w:val="512942C9"/>
    <w:rsid w:val="513D1102"/>
    <w:rsid w:val="51903945"/>
    <w:rsid w:val="519A03E7"/>
    <w:rsid w:val="523978C1"/>
    <w:rsid w:val="524E6B1F"/>
    <w:rsid w:val="52D42BBE"/>
    <w:rsid w:val="52EC7E76"/>
    <w:rsid w:val="53B034DF"/>
    <w:rsid w:val="54327744"/>
    <w:rsid w:val="546537F0"/>
    <w:rsid w:val="54A21C39"/>
    <w:rsid w:val="54DE0F4F"/>
    <w:rsid w:val="54E53259"/>
    <w:rsid w:val="55777819"/>
    <w:rsid w:val="558D175E"/>
    <w:rsid w:val="55B769EE"/>
    <w:rsid w:val="55BB7B80"/>
    <w:rsid w:val="560B1770"/>
    <w:rsid w:val="563D07A6"/>
    <w:rsid w:val="567A73D2"/>
    <w:rsid w:val="56B57F62"/>
    <w:rsid w:val="57112A14"/>
    <w:rsid w:val="573E02EA"/>
    <w:rsid w:val="57770792"/>
    <w:rsid w:val="57787D9B"/>
    <w:rsid w:val="577C1E80"/>
    <w:rsid w:val="57C14EA6"/>
    <w:rsid w:val="57FA6209"/>
    <w:rsid w:val="58237198"/>
    <w:rsid w:val="58645568"/>
    <w:rsid w:val="58F05AD9"/>
    <w:rsid w:val="59150D70"/>
    <w:rsid w:val="592B4B02"/>
    <w:rsid w:val="59350BFC"/>
    <w:rsid w:val="59674D22"/>
    <w:rsid w:val="59BA7E85"/>
    <w:rsid w:val="5A812E59"/>
    <w:rsid w:val="5ABA7460"/>
    <w:rsid w:val="5AF779F8"/>
    <w:rsid w:val="5B3E2AC4"/>
    <w:rsid w:val="5B423DE4"/>
    <w:rsid w:val="5B660D75"/>
    <w:rsid w:val="5B9C24F1"/>
    <w:rsid w:val="5BB46CAC"/>
    <w:rsid w:val="5BE07D32"/>
    <w:rsid w:val="5C457969"/>
    <w:rsid w:val="5CBA2C8D"/>
    <w:rsid w:val="5CD033D7"/>
    <w:rsid w:val="5CFA1CEF"/>
    <w:rsid w:val="5CFC6D26"/>
    <w:rsid w:val="5D2C49EA"/>
    <w:rsid w:val="5DB73653"/>
    <w:rsid w:val="5DD86408"/>
    <w:rsid w:val="5DE44F8E"/>
    <w:rsid w:val="5E0F7C71"/>
    <w:rsid w:val="5E17184E"/>
    <w:rsid w:val="5E1E0FE7"/>
    <w:rsid w:val="5E241359"/>
    <w:rsid w:val="5E2F576D"/>
    <w:rsid w:val="5E4274C8"/>
    <w:rsid w:val="5E9F2768"/>
    <w:rsid w:val="5F091E1A"/>
    <w:rsid w:val="5F0F7BBF"/>
    <w:rsid w:val="5F111906"/>
    <w:rsid w:val="5F230F76"/>
    <w:rsid w:val="5F2447E2"/>
    <w:rsid w:val="5F284907"/>
    <w:rsid w:val="5F4C7E23"/>
    <w:rsid w:val="5F9722BA"/>
    <w:rsid w:val="5FFD723B"/>
    <w:rsid w:val="602A170A"/>
    <w:rsid w:val="605A28BD"/>
    <w:rsid w:val="60B10868"/>
    <w:rsid w:val="610B183C"/>
    <w:rsid w:val="61613AC5"/>
    <w:rsid w:val="61A71260"/>
    <w:rsid w:val="61AF54CA"/>
    <w:rsid w:val="61C07CB7"/>
    <w:rsid w:val="61D640C8"/>
    <w:rsid w:val="61E71147"/>
    <w:rsid w:val="620010AA"/>
    <w:rsid w:val="621D5FD0"/>
    <w:rsid w:val="62553A9B"/>
    <w:rsid w:val="6262635A"/>
    <w:rsid w:val="62A954D2"/>
    <w:rsid w:val="62C855B8"/>
    <w:rsid w:val="63015398"/>
    <w:rsid w:val="63671C2E"/>
    <w:rsid w:val="63CC4F62"/>
    <w:rsid w:val="6445786C"/>
    <w:rsid w:val="64625F41"/>
    <w:rsid w:val="648A5F4B"/>
    <w:rsid w:val="64CB159F"/>
    <w:rsid w:val="654A3277"/>
    <w:rsid w:val="65A7106E"/>
    <w:rsid w:val="65C02314"/>
    <w:rsid w:val="663F2988"/>
    <w:rsid w:val="66BA54AF"/>
    <w:rsid w:val="6737768F"/>
    <w:rsid w:val="67993B01"/>
    <w:rsid w:val="67AC14B0"/>
    <w:rsid w:val="67D92C18"/>
    <w:rsid w:val="68567627"/>
    <w:rsid w:val="68AE4213"/>
    <w:rsid w:val="68C54EE3"/>
    <w:rsid w:val="68DD2AE7"/>
    <w:rsid w:val="68F22024"/>
    <w:rsid w:val="69247457"/>
    <w:rsid w:val="698A4060"/>
    <w:rsid w:val="6995186A"/>
    <w:rsid w:val="69C566EB"/>
    <w:rsid w:val="69C570DF"/>
    <w:rsid w:val="69D32674"/>
    <w:rsid w:val="69E14866"/>
    <w:rsid w:val="6A4A7A2B"/>
    <w:rsid w:val="6A8D75D8"/>
    <w:rsid w:val="6A9918A9"/>
    <w:rsid w:val="6ACA0F1B"/>
    <w:rsid w:val="6ADA27C6"/>
    <w:rsid w:val="6AF13AFD"/>
    <w:rsid w:val="6B31380E"/>
    <w:rsid w:val="6B342B86"/>
    <w:rsid w:val="6B89487A"/>
    <w:rsid w:val="6BA90006"/>
    <w:rsid w:val="6BB043A7"/>
    <w:rsid w:val="6BD933FC"/>
    <w:rsid w:val="6BDD6295"/>
    <w:rsid w:val="6BF477A1"/>
    <w:rsid w:val="6C161E18"/>
    <w:rsid w:val="6C672114"/>
    <w:rsid w:val="6CBB08C6"/>
    <w:rsid w:val="6CFC4AAF"/>
    <w:rsid w:val="6D2A351D"/>
    <w:rsid w:val="6D2C5AA6"/>
    <w:rsid w:val="6DA036B3"/>
    <w:rsid w:val="6DB8701C"/>
    <w:rsid w:val="6DD44D5D"/>
    <w:rsid w:val="6E22181C"/>
    <w:rsid w:val="6E2E0B6D"/>
    <w:rsid w:val="6E3431D3"/>
    <w:rsid w:val="6E815E20"/>
    <w:rsid w:val="6E864969"/>
    <w:rsid w:val="6F452AEE"/>
    <w:rsid w:val="6F827E1F"/>
    <w:rsid w:val="6FBE33DD"/>
    <w:rsid w:val="6FCD0AE2"/>
    <w:rsid w:val="70645B42"/>
    <w:rsid w:val="70695629"/>
    <w:rsid w:val="707E27D0"/>
    <w:rsid w:val="709E2C66"/>
    <w:rsid w:val="70A46918"/>
    <w:rsid w:val="715071FC"/>
    <w:rsid w:val="71755AC5"/>
    <w:rsid w:val="719D46E4"/>
    <w:rsid w:val="71C9438B"/>
    <w:rsid w:val="71E963AD"/>
    <w:rsid w:val="71EB232F"/>
    <w:rsid w:val="71F22395"/>
    <w:rsid w:val="726B6466"/>
    <w:rsid w:val="72C00AC2"/>
    <w:rsid w:val="72E2588D"/>
    <w:rsid w:val="730C517B"/>
    <w:rsid w:val="73113CCB"/>
    <w:rsid w:val="731E39DE"/>
    <w:rsid w:val="7321107D"/>
    <w:rsid w:val="732F3A9D"/>
    <w:rsid w:val="73521971"/>
    <w:rsid w:val="735E79C5"/>
    <w:rsid w:val="736E713E"/>
    <w:rsid w:val="73821076"/>
    <w:rsid w:val="73AA2969"/>
    <w:rsid w:val="73B0761F"/>
    <w:rsid w:val="73B22405"/>
    <w:rsid w:val="73CF1F2D"/>
    <w:rsid w:val="73FC1BEE"/>
    <w:rsid w:val="741B674C"/>
    <w:rsid w:val="74315E8A"/>
    <w:rsid w:val="74822716"/>
    <w:rsid w:val="749E5105"/>
    <w:rsid w:val="74A77D79"/>
    <w:rsid w:val="74BB2C8C"/>
    <w:rsid w:val="74EE2280"/>
    <w:rsid w:val="750D3D28"/>
    <w:rsid w:val="754943B7"/>
    <w:rsid w:val="756176A1"/>
    <w:rsid w:val="75C42CC4"/>
    <w:rsid w:val="75D97900"/>
    <w:rsid w:val="76D45B66"/>
    <w:rsid w:val="76E8509D"/>
    <w:rsid w:val="76FE2417"/>
    <w:rsid w:val="770C776D"/>
    <w:rsid w:val="771E653D"/>
    <w:rsid w:val="774B3CD5"/>
    <w:rsid w:val="7840735D"/>
    <w:rsid w:val="78494A04"/>
    <w:rsid w:val="784B6D67"/>
    <w:rsid w:val="787871D0"/>
    <w:rsid w:val="787E2110"/>
    <w:rsid w:val="788E700F"/>
    <w:rsid w:val="78B34E88"/>
    <w:rsid w:val="7949154B"/>
    <w:rsid w:val="79D85CE8"/>
    <w:rsid w:val="7A1E0BB7"/>
    <w:rsid w:val="7A2C638B"/>
    <w:rsid w:val="7A322C02"/>
    <w:rsid w:val="7A6374EA"/>
    <w:rsid w:val="7A9F6B3A"/>
    <w:rsid w:val="7AF65F04"/>
    <w:rsid w:val="7B025D61"/>
    <w:rsid w:val="7B072853"/>
    <w:rsid w:val="7B611B49"/>
    <w:rsid w:val="7B706966"/>
    <w:rsid w:val="7BA10F88"/>
    <w:rsid w:val="7BB35030"/>
    <w:rsid w:val="7BC46440"/>
    <w:rsid w:val="7BE74DE8"/>
    <w:rsid w:val="7C0E1662"/>
    <w:rsid w:val="7CA44252"/>
    <w:rsid w:val="7D2846D4"/>
    <w:rsid w:val="7D33690E"/>
    <w:rsid w:val="7D4877D4"/>
    <w:rsid w:val="7DAD6BCA"/>
    <w:rsid w:val="7DB479EE"/>
    <w:rsid w:val="7DCD6635"/>
    <w:rsid w:val="7DCF0612"/>
    <w:rsid w:val="7E7E160A"/>
    <w:rsid w:val="7EE36967"/>
    <w:rsid w:val="7F307B11"/>
    <w:rsid w:val="7F4108E0"/>
    <w:rsid w:val="7F940265"/>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20" w:after="320" w:line="579"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7"/>
    <w:basedOn w:val="1"/>
    <w:next w:val="1"/>
    <w:qFormat/>
    <w:uiPriority w:val="0"/>
    <w:pPr>
      <w:ind w:left="2520" w:leftChars="1200"/>
    </w:pPr>
  </w:style>
  <w:style w:type="paragraph" w:styleId="7">
    <w:name w:val="Normal Indent"/>
    <w:basedOn w:val="1"/>
    <w:link w:val="50"/>
    <w:qFormat/>
    <w:uiPriority w:val="0"/>
    <w:pPr>
      <w:ind w:firstLine="200" w:firstLineChars="200"/>
    </w:pPr>
  </w:style>
  <w:style w:type="paragraph" w:styleId="8">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9">
    <w:name w:val="Document Map"/>
    <w:basedOn w:val="1"/>
    <w:link w:val="42"/>
    <w:qFormat/>
    <w:uiPriority w:val="0"/>
    <w:rPr>
      <w:rFonts w:ascii="宋体"/>
      <w:sz w:val="18"/>
      <w:szCs w:val="18"/>
    </w:rPr>
  </w:style>
  <w:style w:type="paragraph" w:styleId="10">
    <w:name w:val="annotation text"/>
    <w:basedOn w:val="1"/>
    <w:link w:val="43"/>
    <w:qFormat/>
    <w:uiPriority w:val="0"/>
    <w:pPr>
      <w:jc w:val="left"/>
    </w:pPr>
  </w:style>
  <w:style w:type="paragraph" w:styleId="11">
    <w:name w:val="Body Text"/>
    <w:basedOn w:val="1"/>
    <w:next w:val="1"/>
    <w:qFormat/>
    <w:uiPriority w:val="0"/>
    <w:pPr>
      <w:spacing w:after="120"/>
    </w:pPr>
  </w:style>
  <w:style w:type="paragraph" w:styleId="12">
    <w:name w:val="Body Text Indent"/>
    <w:basedOn w:val="1"/>
    <w:link w:val="45"/>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6"/>
    <w:link w:val="64"/>
    <w:qFormat/>
    <w:uiPriority w:val="0"/>
    <w:rPr>
      <w:rFonts w:ascii="宋体" w:hAnsi="Courier New"/>
    </w:rPr>
  </w:style>
  <w:style w:type="paragraph" w:customStyle="1" w:styleId="16">
    <w:name w:val="正文11"/>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toc 8"/>
    <w:basedOn w:val="1"/>
    <w:next w:val="1"/>
    <w:qFormat/>
    <w:uiPriority w:val="0"/>
    <w:pPr>
      <w:ind w:left="2940" w:leftChars="1400"/>
    </w:pPr>
  </w:style>
  <w:style w:type="paragraph" w:styleId="18">
    <w:name w:val="Balloon Text"/>
    <w:basedOn w:val="1"/>
    <w:link w:val="47"/>
    <w:qFormat/>
    <w:uiPriority w:val="0"/>
    <w:rPr>
      <w:sz w:val="18"/>
      <w:szCs w:val="18"/>
    </w:rPr>
  </w:style>
  <w:style w:type="paragraph" w:styleId="19">
    <w:name w:val="footer"/>
    <w:basedOn w:val="1"/>
    <w:link w:val="62"/>
    <w:qFormat/>
    <w:uiPriority w:val="99"/>
    <w:pPr>
      <w:tabs>
        <w:tab w:val="center" w:pos="4153"/>
        <w:tab w:val="right" w:pos="8306"/>
      </w:tabs>
      <w:snapToGrid w:val="0"/>
      <w:jc w:val="left"/>
    </w:pPr>
    <w:rPr>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10"/>
    <w:next w:val="10"/>
    <w:link w:val="48"/>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rPr>
  </w:style>
  <w:style w:type="character" w:styleId="32">
    <w:name w:val="page number"/>
    <w:qFormat/>
    <w:uiPriority w:val="0"/>
  </w:style>
  <w:style w:type="character" w:styleId="33">
    <w:name w:val="FollowedHyperlink"/>
    <w:qFormat/>
    <w:uiPriority w:val="0"/>
    <w:rPr>
      <w:color w:val="333333"/>
      <w:u w:val="none"/>
    </w:rPr>
  </w:style>
  <w:style w:type="character" w:styleId="34">
    <w:name w:val="Emphasis"/>
    <w:qFormat/>
    <w:uiPriority w:val="0"/>
  </w:style>
  <w:style w:type="character" w:styleId="35">
    <w:name w:val="HTML Definition"/>
    <w:qFormat/>
    <w:uiPriority w:val="0"/>
  </w:style>
  <w:style w:type="character" w:styleId="36">
    <w:name w:val="HTML Variable"/>
    <w:qFormat/>
    <w:uiPriority w:val="0"/>
  </w:style>
  <w:style w:type="character" w:styleId="37">
    <w:name w:val="Hyperlink"/>
    <w:qFormat/>
    <w:uiPriority w:val="99"/>
    <w:rPr>
      <w:color w:val="333333"/>
      <w:u w:val="none"/>
    </w:rPr>
  </w:style>
  <w:style w:type="character" w:styleId="38">
    <w:name w:val="HTML Code"/>
    <w:qFormat/>
    <w:uiPriority w:val="0"/>
    <w:rPr>
      <w:rFonts w:ascii="Courier New" w:hAnsi="Courier New"/>
      <w:sz w:val="20"/>
    </w:rPr>
  </w:style>
  <w:style w:type="character" w:styleId="39">
    <w:name w:val="annotation reference"/>
    <w:qFormat/>
    <w:uiPriority w:val="0"/>
    <w:rPr>
      <w:sz w:val="21"/>
      <w:szCs w:val="21"/>
    </w:rPr>
  </w:style>
  <w:style w:type="character" w:styleId="40">
    <w:name w:val="HTML Cite"/>
    <w:qFormat/>
    <w:uiPriority w:val="0"/>
  </w:style>
  <w:style w:type="character" w:customStyle="1" w:styleId="41">
    <w:name w:val="font101"/>
    <w:qFormat/>
    <w:uiPriority w:val="0"/>
    <w:rPr>
      <w:rFonts w:hint="eastAsia" w:ascii="宋体" w:hAnsi="宋体" w:eastAsia="宋体" w:cs="宋体"/>
      <w:color w:val="000000"/>
      <w:sz w:val="21"/>
      <w:szCs w:val="21"/>
      <w:u w:val="single"/>
    </w:rPr>
  </w:style>
  <w:style w:type="character" w:customStyle="1" w:styleId="42">
    <w:name w:val="文档结构图 Char"/>
    <w:link w:val="9"/>
    <w:qFormat/>
    <w:uiPriority w:val="0"/>
    <w:rPr>
      <w:rFonts w:ascii="宋体"/>
      <w:kern w:val="2"/>
      <w:sz w:val="18"/>
      <w:szCs w:val="18"/>
    </w:rPr>
  </w:style>
  <w:style w:type="character" w:customStyle="1" w:styleId="43">
    <w:name w:val="批注文字 Char"/>
    <w:link w:val="10"/>
    <w:qFormat/>
    <w:uiPriority w:val="0"/>
    <w:rPr>
      <w:kern w:val="2"/>
      <w:sz w:val="21"/>
      <w:szCs w:val="24"/>
    </w:rPr>
  </w:style>
  <w:style w:type="character" w:customStyle="1" w:styleId="44">
    <w:name w:val="font91"/>
    <w:qFormat/>
    <w:uiPriority w:val="0"/>
    <w:rPr>
      <w:rFonts w:hint="eastAsia" w:ascii="宋体" w:hAnsi="宋体" w:eastAsia="宋体" w:cs="宋体"/>
      <w:color w:val="FF0000"/>
      <w:sz w:val="21"/>
      <w:szCs w:val="21"/>
      <w:u w:val="single"/>
    </w:rPr>
  </w:style>
  <w:style w:type="character" w:customStyle="1" w:styleId="45">
    <w:name w:val="正文文本缩进 Char"/>
    <w:link w:val="12"/>
    <w:qFormat/>
    <w:uiPriority w:val="0"/>
    <w:rPr>
      <w:kern w:val="2"/>
      <w:sz w:val="32"/>
    </w:rPr>
  </w:style>
  <w:style w:type="character" w:customStyle="1" w:styleId="46">
    <w:name w:val="font111"/>
    <w:qFormat/>
    <w:uiPriority w:val="0"/>
    <w:rPr>
      <w:rFonts w:hint="default" w:ascii="Eʩ" w:hAnsi="Eʩ" w:eastAsia="Eʩ" w:cs="Eʩ"/>
      <w:color w:val="000000"/>
      <w:sz w:val="21"/>
      <w:szCs w:val="21"/>
      <w:u w:val="single"/>
    </w:rPr>
  </w:style>
  <w:style w:type="character" w:customStyle="1" w:styleId="47">
    <w:name w:val="批注框文本 Char"/>
    <w:link w:val="18"/>
    <w:qFormat/>
    <w:uiPriority w:val="0"/>
    <w:rPr>
      <w:kern w:val="2"/>
      <w:sz w:val="18"/>
      <w:szCs w:val="18"/>
    </w:rPr>
  </w:style>
  <w:style w:type="character" w:customStyle="1" w:styleId="48">
    <w:name w:val="批注主题 Char"/>
    <w:link w:val="27"/>
    <w:qFormat/>
    <w:uiPriority w:val="0"/>
    <w:rPr>
      <w:b/>
      <w:bCs/>
      <w:kern w:val="2"/>
      <w:sz w:val="21"/>
      <w:szCs w:val="24"/>
    </w:rPr>
  </w:style>
  <w:style w:type="character" w:customStyle="1" w:styleId="49">
    <w:name w:val="标题 1 Char"/>
    <w:link w:val="3"/>
    <w:qFormat/>
    <w:uiPriority w:val="0"/>
    <w:rPr>
      <w:rFonts w:ascii="Times New Roman" w:hAnsi="Times New Roman" w:eastAsia="宋体"/>
      <w:b/>
      <w:bCs/>
      <w:kern w:val="44"/>
      <w:sz w:val="44"/>
      <w:szCs w:val="44"/>
    </w:rPr>
  </w:style>
  <w:style w:type="character" w:customStyle="1" w:styleId="50">
    <w:name w:val="正文缩进 Char"/>
    <w:link w:val="7"/>
    <w:qFormat/>
    <w:uiPriority w:val="0"/>
    <w:rPr>
      <w:kern w:val="2"/>
      <w:sz w:val="21"/>
      <w:szCs w:val="24"/>
    </w:rPr>
  </w:style>
  <w:style w:type="character" w:customStyle="1" w:styleId="51">
    <w:name w:val="font31"/>
    <w:qFormat/>
    <w:uiPriority w:val="0"/>
    <w:rPr>
      <w:rFonts w:hint="eastAsia" w:ascii="宋体" w:hAnsi="宋体" w:eastAsia="宋体" w:cs="宋体"/>
      <w:color w:val="000000"/>
      <w:sz w:val="21"/>
      <w:szCs w:val="21"/>
      <w:u w:val="none"/>
    </w:rPr>
  </w:style>
  <w:style w:type="character" w:customStyle="1" w:styleId="52">
    <w:name w:val="label"/>
    <w:qFormat/>
    <w:uiPriority w:val="0"/>
    <w:rPr>
      <w:color w:val="555555"/>
    </w:rPr>
  </w:style>
  <w:style w:type="character" w:customStyle="1" w:styleId="53">
    <w:name w:val="modifier"/>
    <w:qFormat/>
    <w:uiPriority w:val="0"/>
    <w:rPr>
      <w:color w:val="FF0000"/>
    </w:rPr>
  </w:style>
  <w:style w:type="paragraph" w:customStyle="1" w:styleId="54">
    <w:name w:val="正文首行缩进两字符"/>
    <w:basedOn w:val="1"/>
    <w:qFormat/>
    <w:uiPriority w:val="0"/>
    <w:pPr>
      <w:spacing w:line="360" w:lineRule="auto"/>
      <w:ind w:firstLine="200" w:firstLineChars="200"/>
    </w:p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styleId="56">
    <w:name w:val="List Paragraph"/>
    <w:basedOn w:val="1"/>
    <w:qFormat/>
    <w:uiPriority w:val="34"/>
    <w:pPr>
      <w:spacing w:line="360" w:lineRule="auto"/>
      <w:jc w:val="left"/>
    </w:pPr>
    <w:rPr>
      <w:rFonts w:ascii="宋体" w:hAnsi="宋体"/>
      <w:sz w:val="24"/>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9">
    <w:name w:val="_Style 2"/>
    <w:basedOn w:val="1"/>
    <w:qFormat/>
    <w:uiPriority w:val="0"/>
    <w:pPr>
      <w:ind w:firstLine="420" w:firstLineChars="200"/>
    </w:pPr>
    <w:rPr>
      <w:sz w:val="18"/>
      <w:szCs w:val="18"/>
    </w:rPr>
  </w:style>
  <w:style w:type="paragraph" w:customStyle="1" w:styleId="60">
    <w:name w:val="样式2"/>
    <w:basedOn w:val="1"/>
    <w:qFormat/>
    <w:uiPriority w:val="0"/>
    <w:pPr>
      <w:spacing w:line="560" w:lineRule="exact"/>
      <w:ind w:firstLine="200" w:firstLineChars="200"/>
      <w:jc w:val="left"/>
    </w:pPr>
    <w:rPr>
      <w:rFonts w:eastAsia="仿宋_GB2312"/>
      <w:sz w:val="28"/>
      <w:szCs w:val="20"/>
    </w:rPr>
  </w:style>
  <w:style w:type="paragraph" w:customStyle="1" w:styleId="61">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62">
    <w:name w:val="页脚 Char"/>
    <w:link w:val="19"/>
    <w:qFormat/>
    <w:uiPriority w:val="99"/>
    <w:rPr>
      <w:kern w:val="2"/>
      <w:sz w:val="18"/>
    </w:rPr>
  </w:style>
  <w:style w:type="paragraph" w:customStyle="1" w:styleId="63">
    <w:name w:val="msolistparagraph"/>
    <w:basedOn w:val="1"/>
    <w:qFormat/>
    <w:uiPriority w:val="0"/>
    <w:pPr>
      <w:ind w:firstLine="420" w:firstLineChars="200"/>
    </w:pPr>
    <w:rPr>
      <w:szCs w:val="22"/>
    </w:rPr>
  </w:style>
  <w:style w:type="character" w:customStyle="1" w:styleId="64">
    <w:name w:val="纯文本 Char"/>
    <w:basedOn w:val="30"/>
    <w:link w:val="15"/>
    <w:qFormat/>
    <w:uiPriority w:val="0"/>
    <w:rPr>
      <w:rFonts w:ascii="宋体" w:hAnsi="Courier New"/>
      <w:kern w:val="2"/>
      <w:sz w:val="21"/>
      <w:szCs w:val="24"/>
    </w:rPr>
  </w:style>
  <w:style w:type="character" w:customStyle="1" w:styleId="65">
    <w:name w:val="正文缩进 Char1"/>
    <w:qFormat/>
    <w:uiPriority w:val="0"/>
    <w:rPr>
      <w:kern w:val="2"/>
      <w:sz w:val="21"/>
      <w:szCs w:val="24"/>
    </w:rPr>
  </w:style>
  <w:style w:type="paragraph" w:customStyle="1" w:styleId="66">
    <w:name w:val="页眉1"/>
    <w:basedOn w:val="16"/>
    <w:qFormat/>
    <w:uiPriority w:val="0"/>
    <w:pPr>
      <w:pBdr>
        <w:bottom w:val="single" w:color="000000" w:sz="6" w:space="1"/>
      </w:pBdr>
      <w:tabs>
        <w:tab w:val="center" w:pos="4153"/>
        <w:tab w:val="right" w:pos="8306"/>
      </w:tabs>
      <w:snapToGrid w:val="0"/>
      <w:jc w:val="center"/>
    </w:pPr>
    <w:rPr>
      <w:sz w:val="18"/>
      <w:szCs w:val="20"/>
    </w:rPr>
  </w:style>
  <w:style w:type="paragraph" w:customStyle="1" w:styleId="67">
    <w:name w:val="页脚1"/>
    <w:basedOn w:val="16"/>
    <w:qFormat/>
    <w:uiPriority w:val="99"/>
    <w:pPr>
      <w:tabs>
        <w:tab w:val="center" w:pos="4153"/>
        <w:tab w:val="right" w:pos="8306"/>
      </w:tabs>
      <w:snapToGrid w:val="0"/>
      <w:jc w:val="left"/>
    </w:pPr>
    <w:rPr>
      <w:sz w:val="18"/>
      <w:szCs w:val="20"/>
    </w:rPr>
  </w:style>
  <w:style w:type="character" w:customStyle="1" w:styleId="68">
    <w:name w:val="font01"/>
    <w:basedOn w:val="30"/>
    <w:qFormat/>
    <w:uiPriority w:val="0"/>
    <w:rPr>
      <w:rFonts w:hint="eastAsia" w:ascii="微软雅黑" w:hAnsi="微软雅黑" w:eastAsia="微软雅黑" w:cs="微软雅黑"/>
      <w:color w:val="000000"/>
      <w:sz w:val="16"/>
      <w:szCs w:val="16"/>
      <w:u w:val="none"/>
    </w:rPr>
  </w:style>
  <w:style w:type="paragraph" w:customStyle="1" w:styleId="69">
    <w:name w:val="标题 5（有编号）（绿盟科技）"/>
    <w:basedOn w:val="1"/>
    <w:next w:val="70"/>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70">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BFCE9-883C-4931-BE88-59FB54E193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36322</Words>
  <Characters>6427</Characters>
  <Lines>53</Lines>
  <Paragraphs>85</Paragraphs>
  <TotalTime>16</TotalTime>
  <ScaleCrop>false</ScaleCrop>
  <LinksUpToDate>false</LinksUpToDate>
  <CharactersWithSpaces>42664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成都西米/*</cp:lastModifiedBy>
  <cp:lastPrinted>2018-05-10T07:30:00Z</cp:lastPrinted>
  <dcterms:modified xsi:type="dcterms:W3CDTF">2021-08-24T07:21:02Z</dcterms:modified>
  <dc:title>成都一问范本</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066BC8D086C54277BC70A576D8DC4341</vt:lpwstr>
  </property>
</Properties>
</file>