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auto"/>
        <w:jc w:val="right"/>
        <w:rPr>
          <w:rFonts w:ascii="宋体" w:hAnsi="宋体"/>
          <w:b/>
          <w:color w:val="auto"/>
          <w:sz w:val="30"/>
          <w:szCs w:val="30"/>
          <w:highlight w:val="none"/>
        </w:rPr>
      </w:pPr>
      <w:r>
        <w:rPr>
          <w:rFonts w:hint="eastAsia" w:ascii="宋体" w:hAnsi="宋体"/>
          <w:b/>
          <w:color w:val="auto"/>
          <w:sz w:val="30"/>
          <w:szCs w:val="30"/>
          <w:highlight w:val="none"/>
        </w:rPr>
        <w:t>项目编号：[510108202100084]</w:t>
      </w:r>
    </w:p>
    <w:p>
      <w:pPr>
        <w:shd w:val="clear"/>
        <w:rPr>
          <w:rFonts w:ascii="宋体" w:hAnsi="宋体"/>
          <w:b/>
          <w:color w:val="auto"/>
          <w:sz w:val="52"/>
          <w:szCs w:val="52"/>
          <w:highlight w:val="none"/>
        </w:rPr>
      </w:pPr>
    </w:p>
    <w:p>
      <w:pPr>
        <w:shd w:val="clear"/>
        <w:jc w:val="center"/>
        <w:rPr>
          <w:rFonts w:ascii="宋体" w:hAnsi="宋体"/>
          <w:b/>
          <w:color w:val="auto"/>
          <w:sz w:val="56"/>
          <w:szCs w:val="56"/>
          <w:highlight w:val="none"/>
          <w:u w:val="single"/>
        </w:rPr>
      </w:pPr>
    </w:p>
    <w:p>
      <w:pPr>
        <w:shd w:val="clear"/>
        <w:jc w:val="center"/>
        <w:rPr>
          <w:rFonts w:ascii="宋体" w:hAnsi="宋体"/>
          <w:b/>
          <w:color w:val="auto"/>
          <w:sz w:val="48"/>
          <w:szCs w:val="48"/>
          <w:highlight w:val="none"/>
        </w:rPr>
      </w:pPr>
      <w:r>
        <w:rPr>
          <w:rFonts w:hint="eastAsia" w:ascii="宋体" w:hAnsi="宋体"/>
          <w:b/>
          <w:color w:val="auto"/>
          <w:sz w:val="56"/>
          <w:szCs w:val="56"/>
          <w:highlight w:val="none"/>
          <w:u w:val="single"/>
        </w:rPr>
        <w:t>2021成华区美食节采购项目</w:t>
      </w:r>
    </w:p>
    <w:p>
      <w:pPr>
        <w:shd w:val="clear"/>
        <w:rPr>
          <w:rFonts w:ascii="宋体" w:hAnsi="宋体"/>
          <w:b/>
          <w:color w:val="auto"/>
          <w:sz w:val="52"/>
          <w:szCs w:val="52"/>
          <w:highlight w:val="none"/>
        </w:rPr>
      </w:pPr>
    </w:p>
    <w:p>
      <w:pPr>
        <w:shd w:val="clear"/>
        <w:tabs>
          <w:tab w:val="left" w:pos="2505"/>
          <w:tab w:val="center" w:pos="4204"/>
        </w:tabs>
        <w:jc w:val="center"/>
        <w:rPr>
          <w:rFonts w:ascii="宋体" w:hAnsi="宋体"/>
          <w:b/>
          <w:color w:val="auto"/>
          <w:sz w:val="52"/>
          <w:szCs w:val="52"/>
          <w:highlight w:val="none"/>
        </w:rPr>
      </w:pP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竞</w:t>
      </w: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争</w:t>
      </w: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性</w:t>
      </w: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磋</w:t>
      </w: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商</w:t>
      </w:r>
    </w:p>
    <w:p>
      <w:pPr>
        <w:shd w:val="clear"/>
        <w:jc w:val="center"/>
        <w:rPr>
          <w:rFonts w:ascii="宋体" w:hAnsi="宋体"/>
          <w:b/>
          <w:color w:val="auto"/>
          <w:sz w:val="52"/>
          <w:szCs w:val="52"/>
          <w:highlight w:val="none"/>
        </w:rPr>
      </w:pPr>
      <w:r>
        <w:rPr>
          <w:rFonts w:hint="eastAsia" w:ascii="宋体" w:hAnsi="宋体"/>
          <w:b/>
          <w:color w:val="auto"/>
          <w:sz w:val="52"/>
          <w:szCs w:val="52"/>
          <w:highlight w:val="none"/>
        </w:rPr>
        <w:t>文</w:t>
      </w:r>
    </w:p>
    <w:p>
      <w:pPr>
        <w:shd w:val="clear"/>
        <w:jc w:val="center"/>
        <w:rPr>
          <w:rFonts w:ascii="宋体" w:hAnsi="宋体"/>
          <w:b/>
          <w:color w:val="auto"/>
          <w:sz w:val="32"/>
          <w:szCs w:val="32"/>
          <w:highlight w:val="none"/>
        </w:rPr>
      </w:pPr>
      <w:r>
        <w:rPr>
          <w:rFonts w:hint="eastAsia" w:ascii="宋体" w:hAnsi="宋体"/>
          <w:b/>
          <w:color w:val="auto"/>
          <w:sz w:val="52"/>
          <w:szCs w:val="52"/>
          <w:highlight w:val="none"/>
        </w:rPr>
        <w:t>件</w:t>
      </w:r>
    </w:p>
    <w:p>
      <w:pPr>
        <w:pStyle w:val="2"/>
        <w:shd w:val="clear"/>
        <w:rPr>
          <w:color w:val="auto"/>
          <w:highlight w:val="none"/>
        </w:rPr>
      </w:pPr>
    </w:p>
    <w:p>
      <w:pPr>
        <w:shd w:val="clear"/>
        <w:spacing w:line="360" w:lineRule="auto"/>
        <w:rPr>
          <w:rFonts w:ascii="宋体" w:hAnsi="宋体"/>
          <w:b/>
          <w:color w:val="auto"/>
          <w:sz w:val="32"/>
          <w:szCs w:val="32"/>
          <w:highlight w:val="none"/>
        </w:rPr>
      </w:pPr>
    </w:p>
    <w:p>
      <w:pPr>
        <w:shd w:val="clear"/>
        <w:spacing w:line="360" w:lineRule="auto"/>
        <w:rPr>
          <w:rFonts w:ascii="宋体" w:hAnsi="宋体"/>
          <w:b/>
          <w:color w:val="auto"/>
          <w:sz w:val="32"/>
          <w:szCs w:val="32"/>
          <w:highlight w:val="none"/>
        </w:rPr>
      </w:pP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中国·四川</w:t>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成都市成华区商务局</w:t>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成都一问工程技术咨询有限公司</w:t>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hd w:val="clear"/>
        <w:spacing w:line="360" w:lineRule="auto"/>
        <w:jc w:val="center"/>
        <w:rPr>
          <w:rFonts w:ascii="宋体" w:hAnsi="宋体"/>
          <w:color w:val="auto"/>
          <w:sz w:val="24"/>
          <w:highlight w:val="none"/>
        </w:rPr>
      </w:pPr>
      <w:r>
        <w:rPr>
          <w:rFonts w:hint="eastAsia" w:ascii="宋体" w:hAnsi="宋体"/>
          <w:b/>
          <w:bCs/>
          <w:color w:val="auto"/>
          <w:sz w:val="32"/>
          <w:szCs w:val="32"/>
          <w:highlight w:val="none"/>
          <w:u w:val="single"/>
        </w:rPr>
        <w:t>2021</w:t>
      </w:r>
      <w:r>
        <w:rPr>
          <w:rFonts w:ascii="宋体" w:hAnsi="宋体"/>
          <w:b/>
          <w:bCs/>
          <w:color w:val="auto"/>
          <w:sz w:val="32"/>
          <w:szCs w:val="32"/>
          <w:highlight w:val="none"/>
          <w:lang w:val="zh-CN"/>
        </w:rPr>
        <w:t>年</w:t>
      </w:r>
      <w:r>
        <w:rPr>
          <w:rFonts w:hint="eastAsia" w:ascii="宋体" w:hAnsi="宋体"/>
          <w:b/>
          <w:bCs/>
          <w:color w:val="auto"/>
          <w:sz w:val="32"/>
          <w:szCs w:val="32"/>
          <w:highlight w:val="none"/>
          <w:u w:val="single"/>
        </w:rPr>
        <w:t>6</w:t>
      </w:r>
      <w:r>
        <w:rPr>
          <w:rFonts w:ascii="宋体" w:hAnsi="宋体"/>
          <w:b/>
          <w:bCs/>
          <w:color w:val="auto"/>
          <w:sz w:val="32"/>
          <w:szCs w:val="32"/>
          <w:highlight w:val="none"/>
          <w:lang w:val="zh-CN"/>
        </w:rPr>
        <w:t>月</w:t>
      </w:r>
    </w:p>
    <w:p>
      <w:pPr>
        <w:shd w:val="clear"/>
        <w:spacing w:line="400" w:lineRule="exact"/>
        <w:rPr>
          <w:rFonts w:ascii="宋体" w:hAnsi="宋体"/>
          <w:color w:val="auto"/>
          <w:sz w:val="32"/>
          <w:highlight w:val="none"/>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pPr>
        <w:shd w:val="clear"/>
        <w:jc w:val="center"/>
        <w:rPr>
          <w:rFonts w:ascii="宋体" w:hAnsi="宋体"/>
          <w:b/>
          <w:bCs/>
          <w:color w:val="auto"/>
          <w:sz w:val="36"/>
          <w:szCs w:val="36"/>
          <w:highlight w:val="none"/>
        </w:rPr>
      </w:pPr>
      <w:bookmarkStart w:id="0" w:name="_Hlt101843627"/>
      <w:bookmarkEnd w:id="0"/>
      <w:bookmarkStart w:id="1" w:name="_Hlt101233737"/>
      <w:bookmarkEnd w:id="1"/>
      <w:r>
        <w:rPr>
          <w:rFonts w:hint="eastAsia" w:ascii="宋体" w:hAnsi="宋体"/>
          <w:b/>
          <w:bCs/>
          <w:color w:val="auto"/>
          <w:sz w:val="36"/>
          <w:szCs w:val="36"/>
          <w:highlight w:val="none"/>
        </w:rPr>
        <w:t>目    录</w:t>
      </w:r>
    </w:p>
    <w:p>
      <w:pPr>
        <w:shd w:val="clear"/>
        <w:spacing w:line="640" w:lineRule="exact"/>
        <w:jc w:val="center"/>
        <w:rPr>
          <w:rFonts w:ascii="宋体" w:hAnsi="宋体"/>
          <w:b/>
          <w:bCs/>
          <w:color w:val="auto"/>
          <w:sz w:val="24"/>
          <w:highlight w:val="none"/>
        </w:rPr>
      </w:pPr>
    </w:p>
    <w:p>
      <w:pPr>
        <w:pStyle w:val="29"/>
        <w:shd w:val="clear"/>
        <w:tabs>
          <w:tab w:val="right" w:leader="dot" w:pos="8949"/>
        </w:tabs>
        <w:spacing w:line="480" w:lineRule="auto"/>
        <w:rPr>
          <w:rFonts w:ascii="宋体" w:hAnsi="宋体" w:cstheme="minorBidi"/>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"1-1" \h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"_Toc53267581" </w:instrText>
      </w:r>
      <w:r>
        <w:rPr>
          <w:color w:val="auto"/>
          <w:highlight w:val="none"/>
        </w:rPr>
        <w:fldChar w:fldCharType="separate"/>
      </w:r>
      <w:r>
        <w:rPr>
          <w:rStyle w:val="46"/>
          <w:rFonts w:hint="eastAsia" w:ascii="宋体" w:hAnsi="宋体"/>
          <w:color w:val="auto"/>
          <w:sz w:val="24"/>
          <w:highlight w:val="none"/>
        </w:rPr>
        <w:t>第一章</w:t>
      </w:r>
      <w:r>
        <w:rPr>
          <w:rStyle w:val="46"/>
          <w:rFonts w:ascii="宋体" w:hAnsi="宋体"/>
          <w:color w:val="auto"/>
          <w:sz w:val="24"/>
          <w:highlight w:val="none"/>
        </w:rPr>
        <w:t xml:space="preserve">  </w:t>
      </w:r>
      <w:r>
        <w:rPr>
          <w:rStyle w:val="46"/>
          <w:rFonts w:hint="eastAsia" w:ascii="宋体" w:hAnsi="宋体"/>
          <w:color w:val="auto"/>
          <w:sz w:val="24"/>
          <w:highlight w:val="none"/>
        </w:rPr>
        <w:t>竞争性磋商公告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_Toc53267581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"_Toc53267582" </w:instrText>
      </w:r>
      <w:r>
        <w:rPr>
          <w:color w:val="auto"/>
          <w:highlight w:val="none"/>
        </w:rPr>
        <w:fldChar w:fldCharType="separate"/>
      </w:r>
      <w:r>
        <w:rPr>
          <w:rStyle w:val="46"/>
          <w:rFonts w:hint="eastAsia" w:ascii="宋体" w:hAnsi="宋体"/>
          <w:color w:val="auto"/>
          <w:sz w:val="24"/>
          <w:highlight w:val="none"/>
        </w:rPr>
        <w:t>第二章</w:t>
      </w:r>
      <w:r>
        <w:rPr>
          <w:rStyle w:val="46"/>
          <w:rFonts w:ascii="宋体" w:hAnsi="宋体"/>
          <w:color w:val="auto"/>
          <w:sz w:val="24"/>
          <w:highlight w:val="none"/>
        </w:rPr>
        <w:t xml:space="preserve">  </w:t>
      </w:r>
      <w:r>
        <w:rPr>
          <w:rStyle w:val="46"/>
          <w:rFonts w:hint="eastAsia" w:ascii="宋体" w:hAnsi="宋体"/>
          <w:color w:val="auto"/>
          <w:sz w:val="24"/>
          <w:highlight w:val="none"/>
        </w:rPr>
        <w:t>磋商须知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_Toc53267582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"_Toc53267583" </w:instrText>
      </w:r>
      <w:r>
        <w:rPr>
          <w:color w:val="auto"/>
          <w:highlight w:val="none"/>
        </w:rPr>
        <w:fldChar w:fldCharType="separate"/>
      </w:r>
      <w:r>
        <w:rPr>
          <w:rStyle w:val="46"/>
          <w:rFonts w:hint="eastAsia" w:ascii="宋体" w:hAnsi="宋体"/>
          <w:color w:val="auto"/>
          <w:sz w:val="24"/>
          <w:highlight w:val="none"/>
        </w:rPr>
        <w:t>第三章</w:t>
      </w:r>
      <w:r>
        <w:rPr>
          <w:rStyle w:val="46"/>
          <w:rFonts w:ascii="宋体" w:hAnsi="宋体"/>
          <w:color w:val="auto"/>
          <w:sz w:val="24"/>
          <w:highlight w:val="none"/>
        </w:rPr>
        <w:t xml:space="preserve">  </w:t>
      </w:r>
      <w:r>
        <w:rPr>
          <w:rStyle w:val="46"/>
          <w:rFonts w:hint="eastAsia" w:ascii="宋体" w:hAnsi="宋体"/>
          <w:color w:val="auto"/>
          <w:sz w:val="24"/>
          <w:highlight w:val="none"/>
        </w:rPr>
        <w:t>供应商资格条件要求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_Toc53267583 \h </w:instrText>
      </w:r>
      <w:r>
        <w:rPr>
          <w:rFonts w:ascii="宋体" w:hAnsi="宋体"/>
          <w:color w:val="auto"/>
          <w:sz w:val="24"/>
          <w:highlight w:val="none"/>
        </w:rPr>
        <w:fldChar w:fldCharType="separate"/>
      </w:r>
      <w:r>
        <w:rPr>
          <w:rFonts w:ascii="宋体" w:hAnsi="宋体"/>
          <w:color w:val="auto"/>
          <w:sz w:val="24"/>
          <w:highlight w:val="none"/>
        </w:rPr>
        <w:t>20</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"_Toc53267584" </w:instrText>
      </w:r>
      <w:r>
        <w:rPr>
          <w:color w:val="auto"/>
          <w:highlight w:val="none"/>
        </w:rPr>
        <w:fldChar w:fldCharType="separate"/>
      </w:r>
      <w:r>
        <w:rPr>
          <w:rStyle w:val="46"/>
          <w:rFonts w:hint="eastAsia" w:ascii="宋体" w:hAnsi="宋体"/>
          <w:color w:val="auto"/>
          <w:sz w:val="24"/>
          <w:highlight w:val="none"/>
        </w:rPr>
        <w:t>第四章</w:t>
      </w:r>
      <w:r>
        <w:rPr>
          <w:rStyle w:val="46"/>
          <w:rFonts w:ascii="宋体" w:hAnsi="宋体"/>
          <w:color w:val="auto"/>
          <w:sz w:val="24"/>
          <w:highlight w:val="none"/>
        </w:rPr>
        <w:t xml:space="preserve">  </w:t>
      </w:r>
      <w:r>
        <w:rPr>
          <w:rStyle w:val="46"/>
          <w:rFonts w:hint="eastAsia" w:ascii="宋体" w:hAnsi="宋体"/>
          <w:color w:val="auto"/>
          <w:sz w:val="24"/>
          <w:highlight w:val="none"/>
        </w:rPr>
        <w:t>供应商资格证明材料</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_Toc53267584 \h </w:instrText>
      </w:r>
      <w:r>
        <w:rPr>
          <w:rFonts w:ascii="宋体" w:hAnsi="宋体"/>
          <w:color w:val="auto"/>
          <w:sz w:val="24"/>
          <w:highlight w:val="none"/>
        </w:rPr>
        <w:fldChar w:fldCharType="separate"/>
      </w:r>
      <w:r>
        <w:rPr>
          <w:rFonts w:ascii="宋体" w:hAnsi="宋体"/>
          <w:color w:val="auto"/>
          <w:sz w:val="24"/>
          <w:highlight w:val="none"/>
        </w:rPr>
        <w:t>21</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"_Toc53267585" </w:instrText>
      </w:r>
      <w:r>
        <w:rPr>
          <w:color w:val="auto"/>
          <w:highlight w:val="none"/>
        </w:rPr>
        <w:fldChar w:fldCharType="separate"/>
      </w:r>
      <w:r>
        <w:rPr>
          <w:rStyle w:val="46"/>
          <w:rFonts w:hint="eastAsia" w:ascii="宋体" w:hAnsi="宋体"/>
          <w:color w:val="auto"/>
          <w:sz w:val="24"/>
          <w:highlight w:val="none"/>
        </w:rPr>
        <w:t>第五章</w:t>
      </w:r>
      <w:r>
        <w:rPr>
          <w:rStyle w:val="46"/>
          <w:rFonts w:ascii="宋体" w:hAnsi="宋体"/>
          <w:color w:val="auto"/>
          <w:sz w:val="24"/>
          <w:highlight w:val="none"/>
        </w:rPr>
        <w:t xml:space="preserve">  </w:t>
      </w:r>
      <w:r>
        <w:rPr>
          <w:rStyle w:val="46"/>
          <w:rFonts w:hint="eastAsia" w:ascii="宋体" w:hAnsi="宋体"/>
          <w:color w:val="auto"/>
          <w:sz w:val="24"/>
          <w:highlight w:val="none"/>
        </w:rPr>
        <w:t>采购项目技术、服务、政府采购合同内容条款及其他商务要求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_Toc53267585 \h </w:instrText>
      </w:r>
      <w:r>
        <w:rPr>
          <w:rFonts w:ascii="宋体" w:hAnsi="宋体"/>
          <w:color w:val="auto"/>
          <w:sz w:val="24"/>
          <w:highlight w:val="none"/>
        </w:rPr>
        <w:fldChar w:fldCharType="separate"/>
      </w:r>
      <w:r>
        <w:rPr>
          <w:rFonts w:ascii="宋体" w:hAnsi="宋体"/>
          <w:color w:val="auto"/>
          <w:sz w:val="24"/>
          <w:highlight w:val="none"/>
        </w:rPr>
        <w:t>23</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"_Toc53267586" </w:instrText>
      </w:r>
      <w:r>
        <w:rPr>
          <w:color w:val="auto"/>
          <w:highlight w:val="none"/>
        </w:rPr>
        <w:fldChar w:fldCharType="separate"/>
      </w:r>
      <w:r>
        <w:rPr>
          <w:rStyle w:val="46"/>
          <w:rFonts w:hint="eastAsia" w:ascii="宋体" w:hAnsi="宋体"/>
          <w:color w:val="auto"/>
          <w:sz w:val="24"/>
          <w:highlight w:val="none"/>
        </w:rPr>
        <w:t>第六章</w:t>
      </w:r>
      <w:r>
        <w:rPr>
          <w:rStyle w:val="46"/>
          <w:rFonts w:ascii="宋体" w:hAnsi="宋体"/>
          <w:color w:val="auto"/>
          <w:sz w:val="24"/>
          <w:highlight w:val="none"/>
        </w:rPr>
        <w:t xml:space="preserve">  </w:t>
      </w:r>
      <w:r>
        <w:rPr>
          <w:rStyle w:val="46"/>
          <w:rFonts w:hint="eastAsia" w:ascii="宋体" w:hAnsi="宋体"/>
          <w:color w:val="auto"/>
          <w:sz w:val="24"/>
          <w:highlight w:val="none"/>
        </w:rPr>
        <w:t>采购项目实质性要求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_Toc53267586 \h </w:instrText>
      </w:r>
      <w:r>
        <w:rPr>
          <w:rFonts w:ascii="宋体" w:hAnsi="宋体"/>
          <w:color w:val="auto"/>
          <w:sz w:val="24"/>
          <w:highlight w:val="none"/>
        </w:rPr>
        <w:fldChar w:fldCharType="separate"/>
      </w:r>
      <w:r>
        <w:rPr>
          <w:rFonts w:ascii="宋体" w:hAnsi="宋体"/>
          <w:color w:val="auto"/>
          <w:sz w:val="24"/>
          <w:highlight w:val="none"/>
        </w:rPr>
        <w:t>24</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"_Toc53267587" </w:instrText>
      </w:r>
      <w:r>
        <w:rPr>
          <w:color w:val="auto"/>
          <w:highlight w:val="none"/>
        </w:rPr>
        <w:fldChar w:fldCharType="separate"/>
      </w:r>
      <w:r>
        <w:rPr>
          <w:rStyle w:val="46"/>
          <w:rFonts w:hint="eastAsia" w:ascii="宋体" w:hAnsi="宋体"/>
          <w:color w:val="auto"/>
          <w:sz w:val="24"/>
          <w:highlight w:val="none"/>
        </w:rPr>
        <w:t>第七章</w:t>
      </w:r>
      <w:r>
        <w:rPr>
          <w:rStyle w:val="46"/>
          <w:rFonts w:ascii="宋体" w:hAnsi="宋体"/>
          <w:color w:val="auto"/>
          <w:sz w:val="24"/>
          <w:highlight w:val="none"/>
        </w:rPr>
        <w:t xml:space="preserve">  </w:t>
      </w:r>
      <w:r>
        <w:rPr>
          <w:rStyle w:val="46"/>
          <w:rFonts w:hint="eastAsia" w:ascii="宋体" w:hAnsi="宋体"/>
          <w:color w:val="auto"/>
          <w:sz w:val="24"/>
          <w:highlight w:val="none"/>
        </w:rPr>
        <w:t>磋商内容、磋商过程中可实质性变动的内容</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_Toc53267587 \h </w:instrText>
      </w:r>
      <w:r>
        <w:rPr>
          <w:rFonts w:ascii="宋体" w:hAnsi="宋体"/>
          <w:color w:val="auto"/>
          <w:sz w:val="24"/>
          <w:highlight w:val="none"/>
        </w:rPr>
        <w:fldChar w:fldCharType="separate"/>
      </w:r>
      <w:r>
        <w:rPr>
          <w:rFonts w:ascii="宋体" w:hAnsi="宋体"/>
          <w:color w:val="auto"/>
          <w:sz w:val="24"/>
          <w:highlight w:val="none"/>
        </w:rPr>
        <w:t>25</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"_Toc53267588" </w:instrText>
      </w:r>
      <w:r>
        <w:rPr>
          <w:color w:val="auto"/>
          <w:highlight w:val="none"/>
        </w:rPr>
        <w:fldChar w:fldCharType="separate"/>
      </w:r>
      <w:r>
        <w:rPr>
          <w:rStyle w:val="46"/>
          <w:rFonts w:hint="eastAsia" w:ascii="宋体" w:hAnsi="宋体"/>
          <w:color w:val="auto"/>
          <w:sz w:val="24"/>
          <w:highlight w:val="none"/>
        </w:rPr>
        <w:t>第八章</w:t>
      </w:r>
      <w:r>
        <w:rPr>
          <w:rStyle w:val="46"/>
          <w:rFonts w:ascii="宋体" w:hAnsi="宋体"/>
          <w:color w:val="auto"/>
          <w:sz w:val="24"/>
          <w:highlight w:val="none"/>
        </w:rPr>
        <w:t xml:space="preserve">  </w:t>
      </w:r>
      <w:r>
        <w:rPr>
          <w:rStyle w:val="46"/>
          <w:rFonts w:hint="eastAsia" w:ascii="宋体" w:hAnsi="宋体"/>
          <w:color w:val="auto"/>
          <w:sz w:val="24"/>
          <w:highlight w:val="none"/>
        </w:rPr>
        <w:t>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_Toc53267588 \h </w:instrText>
      </w:r>
      <w:r>
        <w:rPr>
          <w:rFonts w:ascii="宋体" w:hAnsi="宋体"/>
          <w:color w:val="auto"/>
          <w:sz w:val="24"/>
          <w:highlight w:val="none"/>
        </w:rPr>
        <w:fldChar w:fldCharType="separate"/>
      </w:r>
      <w:r>
        <w:rPr>
          <w:rFonts w:ascii="宋体" w:hAnsi="宋体"/>
          <w:color w:val="auto"/>
          <w:sz w:val="24"/>
          <w:highlight w:val="none"/>
        </w:rPr>
        <w:t>26</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"_Toc53267589" </w:instrText>
      </w:r>
      <w:r>
        <w:rPr>
          <w:color w:val="auto"/>
          <w:highlight w:val="none"/>
        </w:rPr>
        <w:fldChar w:fldCharType="separate"/>
      </w:r>
      <w:r>
        <w:rPr>
          <w:rStyle w:val="46"/>
          <w:rFonts w:hint="eastAsia" w:ascii="宋体" w:hAnsi="宋体"/>
          <w:color w:val="auto"/>
          <w:sz w:val="24"/>
          <w:highlight w:val="none"/>
        </w:rPr>
        <w:t>第九章</w:t>
      </w:r>
      <w:r>
        <w:rPr>
          <w:rStyle w:val="46"/>
          <w:rFonts w:ascii="宋体" w:hAnsi="宋体"/>
          <w:color w:val="auto"/>
          <w:sz w:val="24"/>
          <w:highlight w:val="none"/>
        </w:rPr>
        <w:t xml:space="preserve">  </w:t>
      </w:r>
      <w:r>
        <w:rPr>
          <w:rStyle w:val="46"/>
          <w:rFonts w:hint="eastAsia" w:ascii="宋体" w:hAnsi="宋体"/>
          <w:color w:val="auto"/>
          <w:sz w:val="24"/>
          <w:highlight w:val="none"/>
        </w:rPr>
        <w:t>评审方法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_Toc53267589 \h </w:instrText>
      </w:r>
      <w:r>
        <w:rPr>
          <w:rFonts w:ascii="宋体" w:hAnsi="宋体"/>
          <w:color w:val="auto"/>
          <w:sz w:val="24"/>
          <w:highlight w:val="none"/>
        </w:rPr>
        <w:fldChar w:fldCharType="separate"/>
      </w:r>
      <w:r>
        <w:rPr>
          <w:rFonts w:ascii="宋体" w:hAnsi="宋体"/>
          <w:color w:val="auto"/>
          <w:sz w:val="24"/>
          <w:highlight w:val="none"/>
        </w:rPr>
        <w:t>52</w:t>
      </w:r>
      <w:r>
        <w:rPr>
          <w:rFonts w:ascii="宋体" w:hAnsi="宋体"/>
          <w:color w:val="auto"/>
          <w:sz w:val="24"/>
          <w:highlight w:val="none"/>
        </w:rPr>
        <w:fldChar w:fldCharType="end"/>
      </w:r>
      <w:r>
        <w:rPr>
          <w:rFonts w:ascii="宋体" w:hAnsi="宋体"/>
          <w:color w:val="auto"/>
          <w:sz w:val="24"/>
          <w:highlight w:val="none"/>
        </w:rPr>
        <w:fldChar w:fldCharType="end"/>
      </w:r>
    </w:p>
    <w:p>
      <w:pPr>
        <w:pStyle w:val="29"/>
        <w:shd w:val="clear"/>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"_Toc53267590" </w:instrText>
      </w:r>
      <w:r>
        <w:rPr>
          <w:color w:val="auto"/>
          <w:highlight w:val="none"/>
        </w:rPr>
        <w:fldChar w:fldCharType="separate"/>
      </w:r>
      <w:r>
        <w:rPr>
          <w:rStyle w:val="46"/>
          <w:rFonts w:hint="eastAsia" w:ascii="宋体" w:hAnsi="宋体" w:cs="宋体"/>
          <w:color w:val="auto"/>
          <w:sz w:val="24"/>
          <w:highlight w:val="none"/>
        </w:rPr>
        <w:t>第十章</w:t>
      </w:r>
      <w:r>
        <w:rPr>
          <w:rStyle w:val="46"/>
          <w:rFonts w:ascii="宋体" w:hAnsi="宋体" w:cs="宋体"/>
          <w:color w:val="auto"/>
          <w:sz w:val="24"/>
          <w:highlight w:val="none"/>
        </w:rPr>
        <w:t xml:space="preserve">  </w:t>
      </w:r>
      <w:r>
        <w:rPr>
          <w:rStyle w:val="46"/>
          <w:rFonts w:hint="eastAsia" w:ascii="宋体" w:hAnsi="宋体" w:cs="宋体"/>
          <w:color w:val="auto"/>
          <w:sz w:val="24"/>
          <w:highlight w:val="none"/>
        </w:rPr>
        <w:t>政府采购合同（草案）</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_Toc53267590 \h </w:instrText>
      </w:r>
      <w:r>
        <w:rPr>
          <w:rFonts w:ascii="宋体" w:hAnsi="宋体"/>
          <w:color w:val="auto"/>
          <w:sz w:val="24"/>
          <w:highlight w:val="none"/>
        </w:rPr>
        <w:fldChar w:fldCharType="separate"/>
      </w:r>
      <w:r>
        <w:rPr>
          <w:rFonts w:ascii="宋体" w:hAnsi="宋体"/>
          <w:color w:val="auto"/>
          <w:sz w:val="24"/>
          <w:highlight w:val="none"/>
        </w:rPr>
        <w:t>60</w:t>
      </w:r>
      <w:r>
        <w:rPr>
          <w:rFonts w:ascii="宋体" w:hAnsi="宋体"/>
          <w:color w:val="auto"/>
          <w:sz w:val="24"/>
          <w:highlight w:val="none"/>
        </w:rPr>
        <w:fldChar w:fldCharType="end"/>
      </w:r>
      <w:r>
        <w:rPr>
          <w:rFonts w:ascii="宋体" w:hAnsi="宋体"/>
          <w:color w:val="auto"/>
          <w:sz w:val="24"/>
          <w:highlight w:val="none"/>
        </w:rPr>
        <w:fldChar w:fldCharType="end"/>
      </w:r>
    </w:p>
    <w:p>
      <w:pPr>
        <w:shd w:val="clear"/>
        <w:spacing w:line="640" w:lineRule="exact"/>
        <w:rPr>
          <w:rFonts w:ascii="宋体" w:hAnsi="宋体"/>
          <w:color w:val="auto"/>
          <w:sz w:val="24"/>
          <w:highlight w:val="none"/>
        </w:rPr>
        <w:sectPr>
          <w:footerReference r:id="rId9" w:type="first"/>
          <w:footerReference r:id="rId8"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color w:val="auto"/>
          <w:sz w:val="24"/>
          <w:highlight w:val="none"/>
        </w:rPr>
        <w:fldChar w:fldCharType="end"/>
      </w:r>
      <w:bookmarkStart w:id="2" w:name="_Toc24584"/>
    </w:p>
    <w:p>
      <w:pPr>
        <w:pStyle w:val="3"/>
        <w:shd w:val="clear"/>
        <w:spacing w:line="240" w:lineRule="atLeast"/>
        <w:jc w:val="center"/>
        <w:rPr>
          <w:rFonts w:ascii="宋体" w:hAnsi="宋体"/>
          <w:color w:val="auto"/>
          <w:sz w:val="36"/>
          <w:szCs w:val="36"/>
          <w:highlight w:val="none"/>
        </w:rPr>
      </w:pPr>
      <w:bookmarkStart w:id="3" w:name="_Toc53267581"/>
      <w:r>
        <w:rPr>
          <w:rFonts w:hint="eastAsia" w:ascii="宋体" w:hAnsi="宋体"/>
          <w:color w:val="auto"/>
          <w:sz w:val="36"/>
          <w:szCs w:val="36"/>
          <w:highlight w:val="none"/>
        </w:rPr>
        <w:t xml:space="preserve">第一章  </w:t>
      </w:r>
      <w:bookmarkEnd w:id="2"/>
      <w:r>
        <w:rPr>
          <w:rFonts w:hint="eastAsia" w:ascii="宋体" w:hAnsi="宋体"/>
          <w:color w:val="auto"/>
          <w:sz w:val="36"/>
          <w:szCs w:val="36"/>
          <w:highlight w:val="none"/>
        </w:rPr>
        <w:t>竞争性磋商公告</w:t>
      </w:r>
      <w:bookmarkEnd w:id="3"/>
    </w:p>
    <w:p>
      <w:pPr>
        <w:shd w:val="clear"/>
        <w:rPr>
          <w:b/>
          <w:color w:val="auto"/>
          <w:sz w:val="24"/>
          <w:highlight w:val="none"/>
        </w:rPr>
      </w:pPr>
      <w:bookmarkStart w:id="4" w:name="_Toc28359079"/>
      <w:bookmarkStart w:id="5" w:name="_Toc35393790"/>
      <w:bookmarkStart w:id="6" w:name="_Toc35393621"/>
      <w:bookmarkStart w:id="7" w:name="_Toc28359002"/>
      <w:bookmarkStart w:id="8" w:name="_Hlk24379207"/>
      <w:r>
        <w:rPr>
          <w:rFonts w:hint="eastAsia"/>
          <w:b/>
          <w:color w:val="auto"/>
          <w:sz w:val="24"/>
          <w:highlight w:val="none"/>
        </w:rPr>
        <w:t>项目概况</w:t>
      </w:r>
    </w:p>
    <w:p>
      <w:pPr>
        <w:shd w:val="clear"/>
        <w:spacing w:after="50" w:line="420" w:lineRule="exact"/>
        <w:ind w:firstLine="480" w:firstLineChars="200"/>
        <w:rPr>
          <w:rFonts w:ascii="宋体" w:hAnsi="宋体"/>
          <w:b/>
          <w:color w:val="auto"/>
          <w:sz w:val="24"/>
          <w:highlight w:val="none"/>
        </w:rPr>
      </w:pPr>
      <w:r>
        <w:rPr>
          <w:rFonts w:hint="eastAsia" w:ascii="宋体" w:hAnsi="宋体"/>
          <w:color w:val="auto"/>
          <w:sz w:val="24"/>
          <w:highlight w:val="none"/>
          <w:u w:val="single"/>
        </w:rPr>
        <w:t>2021成华区美食节采购项目</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rPr>
        <w:t>采购项目的潜在供应商应在</w:t>
      </w:r>
      <w:r>
        <w:rPr>
          <w:rFonts w:hint="eastAsia" w:ascii="宋体" w:hAnsi="宋体" w:cs="宋体"/>
          <w:color w:val="auto"/>
          <w:sz w:val="24"/>
          <w:highlight w:val="none"/>
          <w:u w:val="single"/>
        </w:rPr>
        <w:t>成都一问工程技术咨询有限公司官网（http://www.cdywzx.com/）</w:t>
      </w:r>
      <w:r>
        <w:rPr>
          <w:rFonts w:hint="eastAsia" w:ascii="宋体" w:hAnsi="宋体"/>
          <w:color w:val="auto"/>
          <w:sz w:val="24"/>
          <w:highlight w:val="none"/>
        </w:rPr>
        <w:t>（地址）获取采购文件，并于</w:t>
      </w:r>
      <w:r>
        <w:rPr>
          <w:rFonts w:ascii="宋体" w:hAnsi="宋体"/>
          <w:color w:val="auto"/>
          <w:sz w:val="24"/>
          <w:highlight w:val="none"/>
          <w:u w:val="single"/>
        </w:rPr>
        <w:t xml:space="preserve"> </w:t>
      </w:r>
      <w:r>
        <w:rPr>
          <w:rFonts w:hint="eastAsia" w:ascii="宋体" w:hAnsi="宋体"/>
          <w:color w:val="auto"/>
          <w:sz w:val="24"/>
          <w:highlight w:val="none"/>
          <w:u w:val="single"/>
        </w:rPr>
        <w:t>2021</w:t>
      </w:r>
      <w:r>
        <w:rPr>
          <w:rFonts w:hint="eastAsia" w:ascii="宋体" w:hAnsi="宋体"/>
          <w:bCs/>
          <w:color w:val="auto"/>
          <w:sz w:val="24"/>
          <w:highlight w:val="none"/>
          <w:u w:val="single"/>
        </w:rPr>
        <w:t>年6月21日10点30分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shd w:val="clear"/>
        <w:spacing w:line="400" w:lineRule="exact"/>
        <w:rPr>
          <w:rFonts w:ascii="宋体" w:hAnsi="宋体"/>
          <w:b/>
          <w:color w:val="auto"/>
          <w:sz w:val="24"/>
          <w:highlight w:val="none"/>
        </w:rPr>
      </w:pPr>
      <w:r>
        <w:rPr>
          <w:rFonts w:hint="eastAsia" w:ascii="宋体" w:hAnsi="宋体"/>
          <w:b/>
          <w:color w:val="auto"/>
          <w:sz w:val="24"/>
          <w:highlight w:val="none"/>
        </w:rPr>
        <w:t>一、项目基本情况</w:t>
      </w:r>
      <w:bookmarkEnd w:id="4"/>
      <w:bookmarkEnd w:id="5"/>
      <w:bookmarkEnd w:id="6"/>
      <w:bookmarkEnd w:id="7"/>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510108202100084</w:t>
      </w:r>
    </w:p>
    <w:p>
      <w:pPr>
        <w:shd w:val="clea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2021成华区美食节采购项目</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采购方式：</w:t>
      </w:r>
      <w:r>
        <w:rPr>
          <w:rFonts w:hint="eastAsia" w:ascii="宋体" w:hAnsi="宋体"/>
          <w:color w:val="auto"/>
          <w:sz w:val="24"/>
          <w:highlight w:val="none"/>
          <w:u w:val="single"/>
        </w:rPr>
        <w:t>竞争性磋商</w:t>
      </w:r>
    </w:p>
    <w:bookmarkEnd w:id="8"/>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rPr>
        <w:t>450000元</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u w:val="single"/>
        </w:rPr>
        <w:t>450000元</w:t>
      </w:r>
    </w:p>
    <w:p>
      <w:pPr>
        <w:shd w:val="clea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采购需求：</w:t>
      </w:r>
      <w:r>
        <w:rPr>
          <w:rFonts w:hint="eastAsia" w:ascii="宋体" w:hAnsi="宋体"/>
          <w:color w:val="auto"/>
          <w:sz w:val="24"/>
          <w:highlight w:val="none"/>
          <w:u w:val="single"/>
        </w:rPr>
        <w:t xml:space="preserve"> 本项目采购2021成华区美食节（具体详见第五章）。</w:t>
      </w:r>
    </w:p>
    <w:p>
      <w:pPr>
        <w:shd w:val="clea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合同履行期限：</w:t>
      </w:r>
      <w:r>
        <w:rPr>
          <w:rFonts w:hint="eastAsia" w:ascii="宋体" w:hAnsi="宋体"/>
          <w:color w:val="auto"/>
          <w:sz w:val="24"/>
          <w:highlight w:val="none"/>
          <w:u w:val="single"/>
        </w:rPr>
        <w:t>签订合同之日起15日历天</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hd w:val="clear"/>
        <w:spacing w:line="400" w:lineRule="exact"/>
        <w:rPr>
          <w:rFonts w:ascii="宋体" w:hAnsi="宋体"/>
          <w:b/>
          <w:color w:val="auto"/>
          <w:sz w:val="24"/>
          <w:highlight w:val="none"/>
        </w:rPr>
      </w:pPr>
      <w:bookmarkStart w:id="9" w:name="_Toc28359080"/>
      <w:bookmarkStart w:id="10" w:name="_Toc35393791"/>
      <w:bookmarkStart w:id="11" w:name="_Toc28359003"/>
      <w:bookmarkStart w:id="12" w:name="_Toc35393622"/>
      <w:r>
        <w:rPr>
          <w:rFonts w:hint="eastAsia" w:ascii="宋体" w:hAnsi="宋体"/>
          <w:b/>
          <w:color w:val="auto"/>
          <w:sz w:val="24"/>
          <w:highlight w:val="none"/>
        </w:rPr>
        <w:t>二、申请人的资格要求：</w:t>
      </w:r>
      <w:bookmarkEnd w:id="9"/>
      <w:bookmarkEnd w:id="10"/>
      <w:bookmarkEnd w:id="11"/>
      <w:bookmarkEnd w:id="12"/>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hd w:val="clear"/>
        <w:spacing w:line="400" w:lineRule="exact"/>
        <w:ind w:firstLine="480" w:firstLineChars="200"/>
        <w:rPr>
          <w:rFonts w:ascii="宋体" w:hAnsi="宋体"/>
          <w:color w:val="auto"/>
          <w:sz w:val="24"/>
          <w:highlight w:val="none"/>
        </w:rPr>
      </w:pPr>
      <w:bookmarkStart w:id="13" w:name="_Toc28359004"/>
      <w:bookmarkStart w:id="14" w:name="_Toc28359081"/>
      <w:r>
        <w:rPr>
          <w:rFonts w:ascii="宋体" w:hAnsi="宋体"/>
          <w:color w:val="auto"/>
          <w:sz w:val="24"/>
          <w:highlight w:val="none"/>
        </w:rPr>
        <w:t>2</w:t>
      </w:r>
      <w:r>
        <w:rPr>
          <w:rFonts w:hint="eastAsia" w:ascii="宋体" w:hAnsi="宋体"/>
          <w:color w:val="auto"/>
          <w:sz w:val="24"/>
          <w:highlight w:val="none"/>
        </w:rPr>
        <w:t>.落实政府采购政策需满足的资格要求：</w:t>
      </w:r>
      <w:r>
        <w:rPr>
          <w:rFonts w:hint="eastAsia" w:ascii="宋体" w:hAnsi="宋体"/>
          <w:iCs/>
          <w:color w:val="auto"/>
          <w:sz w:val="24"/>
          <w:highlight w:val="none"/>
          <w:u w:val="single"/>
        </w:rPr>
        <w:t>本项目属于专门面向中小企业采购的项目,供应商应为中小微企业、监狱企业、残疾人福利性单位</w:t>
      </w:r>
      <w:r>
        <w:rPr>
          <w:rFonts w:hint="eastAsia" w:ascii="宋体" w:hAnsi="宋体"/>
          <w:color w:val="auto"/>
          <w:sz w:val="24"/>
          <w:highlight w:val="none"/>
          <w:u w:val="single"/>
        </w:rPr>
        <w:t>。</w:t>
      </w:r>
    </w:p>
    <w:p>
      <w:pPr>
        <w:shd w:val="clea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3.本项目的特定资格要求：</w:t>
      </w:r>
      <w:r>
        <w:rPr>
          <w:rFonts w:hint="eastAsia" w:ascii="宋体" w:hAnsi="宋体"/>
          <w:color w:val="auto"/>
          <w:sz w:val="24"/>
          <w:highlight w:val="none"/>
          <w:lang w:val="en-US" w:eastAsia="zh-CN"/>
        </w:rPr>
        <w:t>无</w:t>
      </w:r>
    </w:p>
    <w:p>
      <w:pPr>
        <w:pStyle w:val="2"/>
        <w:shd w:val="clear"/>
        <w:ind w:firstLine="480" w:firstLineChars="200"/>
        <w:rPr>
          <w:rFonts w:hint="default"/>
          <w:color w:val="auto"/>
          <w:highlight w:val="none"/>
          <w:lang w:val="en-US" w:eastAsia="zh-CN"/>
        </w:rPr>
      </w:pPr>
      <w:r>
        <w:rPr>
          <w:rFonts w:hint="eastAsia" w:hAnsi="宋体"/>
          <w:color w:val="auto"/>
          <w:sz w:val="24"/>
          <w:highlight w:val="none"/>
          <w:lang w:val="en-US" w:eastAsia="zh-CN"/>
        </w:rPr>
        <w:t>4.本项目其他资格要求：</w:t>
      </w:r>
      <w:r>
        <w:rPr>
          <w:rFonts w:hint="eastAsia" w:ascii="宋体" w:hAnsi="宋体"/>
          <w:color w:val="auto"/>
          <w:sz w:val="24"/>
          <w:highlight w:val="none"/>
        </w:rPr>
        <w:t>供应商单位及其法定代表人/主要负责人在参加本项目政府采购活动前三年无行贿犯罪记录</w:t>
      </w:r>
    </w:p>
    <w:p>
      <w:pPr>
        <w:shd w:val="clear"/>
        <w:spacing w:line="400" w:lineRule="exact"/>
        <w:rPr>
          <w:rFonts w:ascii="宋体" w:hAnsi="宋体"/>
          <w:b/>
          <w:color w:val="auto"/>
          <w:sz w:val="24"/>
          <w:highlight w:val="none"/>
        </w:rPr>
      </w:pPr>
      <w:bookmarkStart w:id="15" w:name="_Toc35393623"/>
      <w:bookmarkStart w:id="16" w:name="_Toc35393792"/>
      <w:r>
        <w:rPr>
          <w:rFonts w:hint="eastAsia" w:ascii="宋体" w:hAnsi="宋体"/>
          <w:b/>
          <w:color w:val="auto"/>
          <w:sz w:val="24"/>
          <w:highlight w:val="none"/>
        </w:rPr>
        <w:t>三、获取采购文件</w:t>
      </w:r>
      <w:bookmarkEnd w:id="13"/>
      <w:bookmarkEnd w:id="14"/>
      <w:bookmarkEnd w:id="15"/>
      <w:bookmarkEnd w:id="16"/>
    </w:p>
    <w:p>
      <w:pPr>
        <w:shd w:val="clea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2021年6月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 2021年6月1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14:00</w:t>
      </w:r>
      <w:r>
        <w:rPr>
          <w:rFonts w:hint="eastAsia" w:ascii="宋体" w:hAnsi="宋体" w:cs="宋体"/>
          <w:color w:val="auto"/>
          <w:sz w:val="24"/>
          <w:highlight w:val="none"/>
        </w:rPr>
        <w:t>至</w:t>
      </w:r>
      <w:r>
        <w:rPr>
          <w:rFonts w:hint="eastAsia" w:ascii="宋体" w:hAnsi="宋体" w:cs="宋体"/>
          <w:color w:val="auto"/>
          <w:sz w:val="24"/>
          <w:highlight w:val="none"/>
          <w:u w:val="single"/>
        </w:rPr>
        <w:t>17:00</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w:t>
      </w:r>
    </w:p>
    <w:p>
      <w:pPr>
        <w:shd w:val="clear"/>
        <w:spacing w:after="50" w:line="420" w:lineRule="exact"/>
        <w:ind w:firstLine="480" w:firstLineChars="200"/>
        <w:rPr>
          <w:rFonts w:ascii="宋体" w:hAnsi="宋体" w:cs="宋体"/>
          <w:color w:val="auto"/>
          <w:sz w:val="24"/>
          <w:highlight w:val="none"/>
        </w:rPr>
      </w:pPr>
      <w:bookmarkStart w:id="17" w:name="_Toc35393624"/>
      <w:bookmarkStart w:id="18" w:name="_Toc28359005"/>
      <w:bookmarkStart w:id="19" w:name="_Toc35393793"/>
      <w:bookmarkStart w:id="20" w:name="_Toc28359082"/>
      <w:r>
        <w:rPr>
          <w:rFonts w:hint="eastAsia" w:ascii="宋体" w:hAnsi="宋体" w:cs="宋体"/>
          <w:color w:val="auto"/>
          <w:sz w:val="24"/>
          <w:highlight w:val="none"/>
        </w:rPr>
        <w:t>地点：</w:t>
      </w:r>
      <w:r>
        <w:rPr>
          <w:rFonts w:hint="eastAsia" w:ascii="宋体" w:hAnsi="宋体" w:cs="宋体"/>
          <w:color w:val="auto"/>
          <w:sz w:val="24"/>
          <w:highlight w:val="none"/>
          <w:u w:val="single"/>
        </w:rPr>
        <w:t>成都一问工程技术咨询有限公司官网（http://www.cdywzx.com/）</w:t>
      </w:r>
    </w:p>
    <w:p>
      <w:pPr>
        <w:shd w:val="clear"/>
        <w:spacing w:after="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w:t>
      </w:r>
      <w:r>
        <w:rPr>
          <w:rFonts w:hint="eastAsia" w:ascii="宋体" w:hAnsi="宋体" w:cs="宋体"/>
          <w:color w:val="auto"/>
          <w:sz w:val="24"/>
          <w:highlight w:val="none"/>
          <w:u w:val="single"/>
        </w:rPr>
        <w:t>登陆成都一问工程技术咨询有限公司官网（http://www.cdywzx.com/）在线</w:t>
      </w:r>
      <w:r>
        <w:rPr>
          <w:rFonts w:hint="eastAsia" w:ascii="宋体" w:hAnsi="宋体" w:cs="宋体"/>
          <w:color w:val="auto"/>
          <w:sz w:val="24"/>
          <w:highlight w:val="none"/>
          <w:u w:val="single"/>
          <w:lang w:val="en-US" w:eastAsia="zh-CN"/>
        </w:rPr>
        <w:t>获取</w:t>
      </w:r>
      <w:r>
        <w:rPr>
          <w:rFonts w:hint="eastAsia" w:ascii="宋体" w:hAnsi="宋体" w:cs="宋体"/>
          <w:color w:val="auto"/>
          <w:sz w:val="24"/>
          <w:highlight w:val="none"/>
          <w:u w:val="single"/>
        </w:rPr>
        <w:t>，具体流程详见主页的《供应商使用手册》，供应商服务系统注册审核咨询电话：028-83375882转801。</w:t>
      </w:r>
    </w:p>
    <w:p>
      <w:pPr>
        <w:shd w:val="clea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售价：人民币0元/份（采购文件售后不退,磋商资格不能转让）。</w:t>
      </w:r>
    </w:p>
    <w:p>
      <w:pPr>
        <w:shd w:val="clear"/>
        <w:spacing w:line="400" w:lineRule="exact"/>
        <w:rPr>
          <w:rFonts w:ascii="宋体" w:hAnsi="宋体"/>
          <w:b/>
          <w:color w:val="auto"/>
          <w:sz w:val="24"/>
          <w:highlight w:val="none"/>
        </w:rPr>
      </w:pPr>
      <w:r>
        <w:rPr>
          <w:rFonts w:hint="eastAsia" w:ascii="宋体" w:hAnsi="宋体"/>
          <w:b/>
          <w:color w:val="auto"/>
          <w:sz w:val="24"/>
          <w:highlight w:val="none"/>
        </w:rPr>
        <w:t>四、</w:t>
      </w:r>
      <w:bookmarkEnd w:id="17"/>
      <w:bookmarkEnd w:id="18"/>
      <w:bookmarkEnd w:id="19"/>
      <w:bookmarkEnd w:id="20"/>
      <w:r>
        <w:rPr>
          <w:rFonts w:hint="eastAsia" w:ascii="宋体" w:hAnsi="宋体"/>
          <w:b/>
          <w:color w:val="auto"/>
          <w:sz w:val="24"/>
          <w:highlight w:val="none"/>
        </w:rPr>
        <w:t>响应文件提交</w:t>
      </w:r>
    </w:p>
    <w:p>
      <w:pPr>
        <w:shd w:val="clear"/>
        <w:spacing w:line="400" w:lineRule="exact"/>
        <w:ind w:firstLine="600" w:firstLineChars="250"/>
        <w:rPr>
          <w:rFonts w:ascii="宋体" w:hAnsi="宋体"/>
          <w:bCs/>
          <w:color w:val="auto"/>
          <w:sz w:val="24"/>
          <w:highlight w:val="none"/>
          <w:u w:val="single"/>
        </w:rPr>
      </w:pPr>
      <w:r>
        <w:rPr>
          <w:rFonts w:hint="eastAsia" w:ascii="宋体" w:hAnsi="宋体"/>
          <w:bCs/>
          <w:color w:val="auto"/>
          <w:sz w:val="24"/>
          <w:highlight w:val="none"/>
          <w:u w:val="single"/>
        </w:rPr>
        <w:t>2021年6月21日10点30分</w:t>
      </w:r>
      <w:r>
        <w:rPr>
          <w:rFonts w:hint="eastAsia" w:ascii="宋体" w:hAnsi="宋体"/>
          <w:bCs/>
          <w:color w:val="auto"/>
          <w:sz w:val="24"/>
          <w:highlight w:val="none"/>
        </w:rPr>
        <w:t>（北京时间）</w:t>
      </w:r>
    </w:p>
    <w:p>
      <w:pPr>
        <w:shd w:val="clear"/>
        <w:spacing w:line="400" w:lineRule="exact"/>
        <w:ind w:firstLine="480" w:firstLineChars="200"/>
        <w:rPr>
          <w:rFonts w:ascii="宋体" w:hAnsi="宋体"/>
          <w:bCs/>
          <w:color w:val="auto"/>
          <w:sz w:val="24"/>
          <w:highlight w:val="none"/>
          <w:u w:val="single"/>
        </w:rPr>
      </w:pPr>
      <w:r>
        <w:rPr>
          <w:rFonts w:hint="eastAsia" w:ascii="宋体" w:hAnsi="宋体"/>
          <w:color w:val="auto"/>
          <w:sz w:val="24"/>
          <w:highlight w:val="none"/>
        </w:rPr>
        <w:t>地点：</w:t>
      </w:r>
      <w:r>
        <w:rPr>
          <w:rFonts w:hint="eastAsia" w:ascii="宋体" w:hAnsi="宋体" w:cs="宋体"/>
          <w:color w:val="auto"/>
          <w:sz w:val="24"/>
          <w:highlight w:val="none"/>
          <w:u w:val="single"/>
        </w:rPr>
        <w:t>成都市金牛区一品天下大街999号金牛市民中心B座2102号</w:t>
      </w:r>
    </w:p>
    <w:p>
      <w:pPr>
        <w:shd w:val="clear"/>
        <w:spacing w:line="400" w:lineRule="exact"/>
        <w:rPr>
          <w:rFonts w:ascii="宋体" w:hAnsi="宋体"/>
          <w:b/>
          <w:color w:val="auto"/>
          <w:sz w:val="24"/>
          <w:highlight w:val="none"/>
        </w:rPr>
      </w:pPr>
      <w:bookmarkStart w:id="21" w:name="_Toc28359007"/>
      <w:bookmarkStart w:id="22" w:name="_Toc35393794"/>
      <w:bookmarkStart w:id="23" w:name="_Toc35393625"/>
      <w:bookmarkStart w:id="24" w:name="_Toc28359084"/>
      <w:r>
        <w:rPr>
          <w:rFonts w:hint="eastAsia" w:ascii="宋体" w:hAnsi="宋体"/>
          <w:b/>
          <w:color w:val="auto"/>
          <w:sz w:val="24"/>
          <w:highlight w:val="none"/>
        </w:rPr>
        <w:t>五、开启</w:t>
      </w:r>
    </w:p>
    <w:p>
      <w:pPr>
        <w:shd w:val="clear"/>
        <w:spacing w:after="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bCs/>
          <w:color w:val="auto"/>
          <w:sz w:val="24"/>
          <w:highlight w:val="none"/>
          <w:u w:val="single"/>
        </w:rPr>
        <w:t>2021年6月21日10点30分</w:t>
      </w:r>
      <w:r>
        <w:rPr>
          <w:rFonts w:hint="eastAsia" w:ascii="宋体" w:hAnsi="宋体" w:cs="宋体"/>
          <w:color w:val="auto"/>
          <w:sz w:val="24"/>
          <w:highlight w:val="none"/>
        </w:rPr>
        <w:t>（北京时间）</w:t>
      </w:r>
    </w:p>
    <w:p>
      <w:pPr>
        <w:shd w:val="clear"/>
        <w:spacing w:after="50" w:line="420" w:lineRule="exact"/>
        <w:ind w:firstLine="480" w:firstLineChars="200"/>
        <w:rPr>
          <w:color w:val="auto"/>
          <w:highlight w:val="none"/>
        </w:rPr>
      </w:pPr>
      <w:r>
        <w:rPr>
          <w:rFonts w:hint="eastAsia" w:ascii="宋体" w:hAnsi="宋体" w:cs="宋体"/>
          <w:color w:val="auto"/>
          <w:sz w:val="24"/>
          <w:highlight w:val="none"/>
        </w:rPr>
        <w:t>地点：</w:t>
      </w:r>
      <w:r>
        <w:rPr>
          <w:rFonts w:hint="eastAsia" w:ascii="宋体" w:hAnsi="宋体" w:cs="宋体"/>
          <w:color w:val="auto"/>
          <w:sz w:val="24"/>
          <w:highlight w:val="none"/>
          <w:u w:val="single"/>
        </w:rPr>
        <w:t>成都市金牛区一品天下大街999号金牛市民中心B座2102号</w:t>
      </w:r>
    </w:p>
    <w:p>
      <w:pPr>
        <w:shd w:val="clear"/>
        <w:spacing w:line="400" w:lineRule="exact"/>
        <w:rPr>
          <w:rFonts w:ascii="宋体" w:hAnsi="宋体"/>
          <w:b/>
          <w:color w:val="auto"/>
          <w:sz w:val="24"/>
          <w:highlight w:val="none"/>
        </w:rPr>
      </w:pPr>
      <w:r>
        <w:rPr>
          <w:rFonts w:hint="eastAsia" w:ascii="宋体" w:hAnsi="宋体"/>
          <w:b/>
          <w:color w:val="auto"/>
          <w:sz w:val="24"/>
          <w:highlight w:val="none"/>
        </w:rPr>
        <w:t>六、公告期限</w:t>
      </w:r>
      <w:bookmarkEnd w:id="21"/>
      <w:bookmarkEnd w:id="22"/>
      <w:bookmarkEnd w:id="23"/>
      <w:bookmarkEnd w:id="24"/>
    </w:p>
    <w:p>
      <w:pPr>
        <w:shd w:val="clea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shd w:val="clear"/>
        <w:spacing w:line="400" w:lineRule="exact"/>
        <w:rPr>
          <w:rFonts w:ascii="宋体" w:hAnsi="宋体"/>
          <w:b/>
          <w:color w:val="auto"/>
          <w:sz w:val="24"/>
          <w:highlight w:val="none"/>
        </w:rPr>
      </w:pPr>
      <w:bookmarkStart w:id="25" w:name="_Toc35393626"/>
      <w:bookmarkStart w:id="26" w:name="_Toc35393795"/>
      <w:r>
        <w:rPr>
          <w:rFonts w:hint="eastAsia" w:ascii="宋体" w:hAnsi="宋体"/>
          <w:b/>
          <w:color w:val="auto"/>
          <w:sz w:val="24"/>
          <w:highlight w:val="none"/>
        </w:rPr>
        <w:t>七、其他补充事宜</w:t>
      </w:r>
      <w:bookmarkEnd w:id="25"/>
      <w:bookmarkEnd w:id="26"/>
    </w:p>
    <w:p>
      <w:pPr>
        <w:pStyle w:val="65"/>
        <w:shd w:val="clear"/>
        <w:spacing w:line="400" w:lineRule="exact"/>
        <w:ind w:left="840"/>
        <w:rPr>
          <w:color w:val="auto"/>
          <w:highlight w:val="none"/>
        </w:rPr>
      </w:pPr>
      <w:r>
        <w:rPr>
          <w:rFonts w:hint="eastAsia"/>
          <w:color w:val="auto"/>
          <w:highlight w:val="none"/>
          <w:u w:val="single"/>
        </w:rPr>
        <w:t>本公告在四川政府采购网上发布</w:t>
      </w:r>
    </w:p>
    <w:p>
      <w:pPr>
        <w:shd w:val="clear"/>
        <w:spacing w:line="400" w:lineRule="exact"/>
        <w:rPr>
          <w:rFonts w:ascii="宋体" w:hAnsi="宋体"/>
          <w:b/>
          <w:color w:val="auto"/>
          <w:sz w:val="24"/>
          <w:highlight w:val="none"/>
        </w:rPr>
      </w:pPr>
      <w:bookmarkStart w:id="27" w:name="_Toc35393627"/>
      <w:bookmarkStart w:id="28" w:name="_Toc28359008"/>
      <w:bookmarkStart w:id="29" w:name="_Toc35393796"/>
      <w:bookmarkStart w:id="30" w:name="_Toc28359085"/>
      <w:r>
        <w:rPr>
          <w:rFonts w:hint="eastAsia" w:ascii="宋体" w:hAnsi="宋体"/>
          <w:b/>
          <w:color w:val="auto"/>
          <w:sz w:val="24"/>
          <w:highlight w:val="none"/>
        </w:rPr>
        <w:t>八、凡对本次采购提出询问，请按以下方式联系。</w:t>
      </w:r>
      <w:bookmarkEnd w:id="27"/>
      <w:bookmarkEnd w:id="28"/>
      <w:bookmarkEnd w:id="29"/>
      <w:bookmarkEnd w:id="30"/>
    </w:p>
    <w:p>
      <w:pPr>
        <w:widowControl/>
        <w:shd w:val="clear"/>
        <w:spacing w:line="400" w:lineRule="exact"/>
        <w:ind w:firstLine="840" w:firstLineChars="350"/>
        <w:jc w:val="left"/>
        <w:rPr>
          <w:rFonts w:ascii="宋体" w:hAnsi="宋体"/>
          <w:color w:val="auto"/>
          <w:sz w:val="24"/>
          <w:highlight w:val="none"/>
        </w:rPr>
      </w:pPr>
      <w:bookmarkStart w:id="31" w:name="_Toc12497"/>
      <w:bookmarkStart w:id="32" w:name="_Toc213396759"/>
      <w:bookmarkStart w:id="33" w:name="_Toc213496267"/>
      <w:bookmarkStart w:id="34" w:name="_Toc213397009"/>
      <w:bookmarkStart w:id="35" w:name="_Toc213396945"/>
      <w:bookmarkStart w:id="36" w:name="_Toc217446031"/>
      <w:r>
        <w:rPr>
          <w:rFonts w:hint="eastAsia" w:ascii="宋体" w:hAnsi="宋体" w:cs="宋体"/>
          <w:color w:val="auto"/>
          <w:sz w:val="24"/>
          <w:highlight w:val="none"/>
        </w:rPr>
        <w:t>1.采购人信息</w:t>
      </w:r>
    </w:p>
    <w:p>
      <w:pPr>
        <w:shd w:val="clear"/>
        <w:spacing w:line="400" w:lineRule="exact"/>
        <w:ind w:left="1079" w:leftChars="371" w:hanging="300" w:hangingChars="125"/>
        <w:jc w:val="left"/>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u w:val="single"/>
        </w:rPr>
        <w:t>成都市成华区商务局</w:t>
      </w:r>
    </w:p>
    <w:p>
      <w:pPr>
        <w:shd w:val="clear"/>
        <w:spacing w:line="400" w:lineRule="exact"/>
        <w:ind w:left="1079" w:leftChars="371" w:hanging="300" w:hangingChars="125"/>
        <w:jc w:val="left"/>
        <w:rPr>
          <w:rFonts w:ascii="宋体" w:hAnsi="宋体"/>
          <w:color w:val="auto"/>
          <w:sz w:val="24"/>
          <w:highlight w:val="none"/>
        </w:rPr>
      </w:pPr>
      <w:r>
        <w:rPr>
          <w:rFonts w:hint="eastAsia" w:ascii="宋体" w:hAnsi="宋体"/>
          <w:color w:val="auto"/>
          <w:sz w:val="24"/>
          <w:highlight w:val="none"/>
        </w:rPr>
        <w:t>地址：</w:t>
      </w:r>
      <w:r>
        <w:rPr>
          <w:rFonts w:hint="eastAsia" w:ascii="宋体" w:hAnsi="宋体"/>
          <w:bCs/>
          <w:color w:val="auto"/>
          <w:sz w:val="24"/>
          <w:highlight w:val="none"/>
          <w:u w:val="single"/>
        </w:rPr>
        <w:t>成都市成华区航天路50号国机西南大厦A座5楼</w:t>
      </w:r>
      <w:r>
        <w:rPr>
          <w:rFonts w:ascii="宋体" w:hAnsi="宋体"/>
          <w:color w:val="auto"/>
          <w:sz w:val="24"/>
          <w:highlight w:val="none"/>
        </w:rPr>
        <w:t xml:space="preserve"> </w:t>
      </w:r>
    </w:p>
    <w:p>
      <w:pPr>
        <w:shd w:val="clear"/>
        <w:spacing w:line="400" w:lineRule="exact"/>
        <w:ind w:left="1079" w:leftChars="371" w:hanging="300" w:hangingChars="125"/>
        <w:jc w:val="left"/>
        <w:rPr>
          <w:rFonts w:ascii="宋体" w:hAnsi="宋体"/>
          <w:color w:val="auto"/>
          <w:sz w:val="24"/>
          <w:highlight w:val="none"/>
          <w:u w:val="single"/>
        </w:rPr>
      </w:pPr>
      <w:r>
        <w:rPr>
          <w:rFonts w:hint="eastAsia" w:ascii="宋体" w:hAnsi="宋体"/>
          <w:color w:val="auto"/>
          <w:sz w:val="24"/>
          <w:highlight w:val="none"/>
        </w:rPr>
        <w:t>联系方式：</w:t>
      </w:r>
      <w:bookmarkStart w:id="37" w:name="_Toc28359009"/>
      <w:bookmarkStart w:id="38" w:name="_Toc28359086"/>
      <w:r>
        <w:rPr>
          <w:rFonts w:ascii="宋体" w:hAnsi="宋体"/>
          <w:color w:val="auto"/>
          <w:sz w:val="24"/>
          <w:highlight w:val="none"/>
          <w:u w:val="single"/>
        </w:rPr>
        <w:t>028-84313976</w:t>
      </w:r>
      <w:r>
        <w:rPr>
          <w:rFonts w:hint="eastAsia" w:ascii="宋体" w:hAnsi="宋体"/>
          <w:color w:val="auto"/>
          <w:sz w:val="24"/>
          <w:highlight w:val="none"/>
          <w:u w:val="single"/>
        </w:rPr>
        <w:t xml:space="preserve">  秦老师</w:t>
      </w:r>
    </w:p>
    <w:p>
      <w:pPr>
        <w:pStyle w:val="2"/>
        <w:shd w:val="clear"/>
        <w:rPr>
          <w:color w:val="auto"/>
          <w:highlight w:val="none"/>
        </w:rPr>
      </w:pPr>
    </w:p>
    <w:p>
      <w:pPr>
        <w:shd w:val="clear"/>
        <w:spacing w:line="400" w:lineRule="exact"/>
        <w:ind w:left="1079" w:leftChars="371" w:hanging="300" w:hangingChars="125"/>
        <w:jc w:val="left"/>
        <w:rPr>
          <w:rFonts w:ascii="宋体" w:hAnsi="宋体"/>
          <w:color w:val="auto"/>
          <w:sz w:val="24"/>
          <w:highlight w:val="none"/>
        </w:rPr>
      </w:pPr>
      <w:r>
        <w:rPr>
          <w:rFonts w:hint="eastAsia" w:ascii="宋体" w:hAnsi="宋体" w:cs="宋体"/>
          <w:color w:val="auto"/>
          <w:sz w:val="24"/>
          <w:highlight w:val="none"/>
        </w:rPr>
        <w:t>2.采购代理机构信息</w:t>
      </w:r>
      <w:bookmarkEnd w:id="37"/>
      <w:bookmarkEnd w:id="38"/>
    </w:p>
    <w:p>
      <w:pPr>
        <w:shd w:val="clea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成都一问工程技术咨询有限公司</w:t>
      </w:r>
    </w:p>
    <w:p>
      <w:pPr>
        <w:shd w:val="clea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成都市金牛区一品天下大街999号金牛市民中心B座2102号</w:t>
      </w:r>
    </w:p>
    <w:p>
      <w:pPr>
        <w:shd w:val="clear"/>
        <w:spacing w:line="400" w:lineRule="exact"/>
        <w:ind w:firstLine="720" w:firstLineChars="300"/>
        <w:rPr>
          <w:rFonts w:ascii="宋体" w:hAnsi="宋体"/>
          <w:color w:val="auto"/>
          <w:sz w:val="24"/>
          <w:highlight w:val="none"/>
          <w:u w:val="single"/>
        </w:rPr>
      </w:pPr>
      <w:r>
        <w:rPr>
          <w:rFonts w:hint="eastAsia" w:ascii="宋体" w:hAnsi="宋体"/>
          <w:color w:val="auto"/>
          <w:sz w:val="24"/>
          <w:highlight w:val="none"/>
        </w:rPr>
        <w:t>联系方式：</w:t>
      </w:r>
      <w:bookmarkStart w:id="39" w:name="_Toc28359010"/>
      <w:bookmarkStart w:id="40" w:name="_Toc28359087"/>
      <w:r>
        <w:rPr>
          <w:rFonts w:ascii="宋体" w:hAnsi="宋体"/>
          <w:color w:val="auto"/>
          <w:sz w:val="24"/>
          <w:highlight w:val="none"/>
          <w:u w:val="single"/>
        </w:rPr>
        <w:t>028-83375882</w:t>
      </w:r>
      <w:r>
        <w:rPr>
          <w:rFonts w:hint="eastAsia" w:ascii="宋体" w:hAnsi="宋体"/>
          <w:color w:val="auto"/>
          <w:sz w:val="24"/>
          <w:highlight w:val="none"/>
          <w:u w:val="single"/>
        </w:rPr>
        <w:t xml:space="preserve">  刘女士</w:t>
      </w:r>
    </w:p>
    <w:p>
      <w:pPr>
        <w:shd w:val="clear"/>
        <w:spacing w:line="400" w:lineRule="exact"/>
        <w:ind w:firstLine="720" w:firstLineChars="300"/>
        <w:rPr>
          <w:rFonts w:ascii="宋体" w:hAnsi="宋体"/>
          <w:color w:val="auto"/>
          <w:sz w:val="24"/>
          <w:highlight w:val="none"/>
        </w:rPr>
      </w:pPr>
    </w:p>
    <w:p>
      <w:pPr>
        <w:shd w:val="clear"/>
        <w:spacing w:line="400" w:lineRule="exact"/>
        <w:ind w:firstLine="720" w:firstLineChars="300"/>
        <w:rPr>
          <w:rFonts w:ascii="宋体" w:hAnsi="宋体"/>
          <w:color w:val="auto"/>
          <w:sz w:val="24"/>
          <w:highlight w:val="none"/>
          <w:u w:val="single"/>
        </w:rPr>
      </w:pPr>
      <w:r>
        <w:rPr>
          <w:rFonts w:hint="eastAsia" w:ascii="宋体" w:hAnsi="宋体" w:cs="宋体"/>
          <w:color w:val="auto"/>
          <w:sz w:val="24"/>
          <w:highlight w:val="none"/>
        </w:rPr>
        <w:t>3.项目</w:t>
      </w:r>
      <w:r>
        <w:rPr>
          <w:rFonts w:ascii="宋体" w:hAnsi="宋体" w:cs="宋体"/>
          <w:color w:val="auto"/>
          <w:sz w:val="24"/>
          <w:highlight w:val="none"/>
        </w:rPr>
        <w:t>联系方式</w:t>
      </w:r>
      <w:bookmarkEnd w:id="39"/>
      <w:bookmarkEnd w:id="40"/>
    </w:p>
    <w:p>
      <w:pPr>
        <w:pStyle w:val="23"/>
        <w:shd w:val="clear"/>
        <w:spacing w:line="400" w:lineRule="exact"/>
        <w:ind w:firstLine="720" w:firstLineChars="300"/>
        <w:rPr>
          <w:rFonts w:hAnsi="宋体"/>
          <w:color w:val="auto"/>
          <w:sz w:val="24"/>
          <w:highlight w:val="none"/>
        </w:rPr>
      </w:pPr>
      <w:r>
        <w:rPr>
          <w:rFonts w:hint="eastAsia" w:hAnsi="宋体"/>
          <w:color w:val="auto"/>
          <w:sz w:val="24"/>
          <w:highlight w:val="none"/>
        </w:rPr>
        <w:t>项目联系人：</w:t>
      </w:r>
      <w:r>
        <w:rPr>
          <w:rFonts w:hint="eastAsia" w:hAnsi="宋体"/>
          <w:color w:val="auto"/>
          <w:sz w:val="24"/>
          <w:highlight w:val="none"/>
          <w:u w:val="single"/>
        </w:rPr>
        <w:t>刘先生</w:t>
      </w:r>
    </w:p>
    <w:p>
      <w:pPr>
        <w:shd w:val="clear"/>
        <w:spacing w:line="400" w:lineRule="exact"/>
        <w:ind w:firstLine="720" w:firstLineChars="300"/>
        <w:rPr>
          <w:color w:val="auto"/>
          <w:highlight w:val="none"/>
        </w:rPr>
      </w:pPr>
      <w:r>
        <w:rPr>
          <w:rFonts w:hint="eastAsia" w:ascii="宋体" w:hAnsi="宋体"/>
          <w:color w:val="auto"/>
          <w:sz w:val="24"/>
          <w:highlight w:val="none"/>
        </w:rPr>
        <w:t>电      话：</w:t>
      </w:r>
      <w:r>
        <w:rPr>
          <w:rFonts w:ascii="宋体" w:hAnsi="宋体"/>
          <w:color w:val="auto"/>
          <w:sz w:val="24"/>
          <w:highlight w:val="none"/>
          <w:u w:val="single"/>
        </w:rPr>
        <w:t>028-83375882</w:t>
      </w:r>
    </w:p>
    <w:p>
      <w:pPr>
        <w:shd w:val="clear"/>
        <w:spacing w:line="400" w:lineRule="exact"/>
        <w:ind w:firstLine="630" w:firstLineChars="300"/>
        <w:rPr>
          <w:color w:val="auto"/>
          <w:highlight w:val="none"/>
        </w:rPr>
      </w:pPr>
    </w:p>
    <w:p>
      <w:pPr>
        <w:pStyle w:val="35"/>
        <w:shd w:val="clear"/>
        <w:spacing w:after="50" w:afterAutospacing="0" w:line="420" w:lineRule="exact"/>
        <w:ind w:right="120" w:firstLine="5640" w:firstLineChars="2350"/>
        <w:jc w:val="right"/>
        <w:rPr>
          <w:rFonts w:hAnsi="宋体"/>
          <w:color w:val="auto"/>
          <w:sz w:val="24"/>
          <w:szCs w:val="24"/>
          <w:highlight w:val="none"/>
        </w:rPr>
        <w:sectPr>
          <w:footerReference r:id="rId10" w:type="default"/>
          <w:pgSz w:w="11907" w:h="16840"/>
          <w:pgMar w:top="1440" w:right="1474" w:bottom="1440" w:left="1474" w:header="851" w:footer="992" w:gutter="0"/>
          <w:pgNumType w:start="1"/>
          <w:cols w:space="720" w:num="1"/>
          <w:docGrid w:linePitch="312" w:charSpace="0"/>
        </w:sectPr>
      </w:pPr>
    </w:p>
    <w:p>
      <w:pPr>
        <w:pStyle w:val="3"/>
        <w:shd w:val="clear"/>
        <w:spacing w:before="0" w:after="0" w:line="360" w:lineRule="auto"/>
        <w:jc w:val="center"/>
        <w:rPr>
          <w:rFonts w:ascii="宋体" w:hAnsi="宋体"/>
          <w:color w:val="auto"/>
          <w:sz w:val="36"/>
          <w:szCs w:val="36"/>
          <w:highlight w:val="none"/>
        </w:rPr>
      </w:pPr>
      <w:bookmarkStart w:id="41" w:name="_Toc53267582"/>
      <w:r>
        <w:rPr>
          <w:rFonts w:hint="eastAsia" w:ascii="宋体" w:hAnsi="宋体"/>
          <w:color w:val="auto"/>
          <w:sz w:val="36"/>
          <w:szCs w:val="36"/>
          <w:highlight w:val="none"/>
        </w:rPr>
        <w:t xml:space="preserve">第二章  </w:t>
      </w:r>
      <w:bookmarkEnd w:id="31"/>
      <w:r>
        <w:rPr>
          <w:rFonts w:hint="eastAsia" w:ascii="宋体" w:hAnsi="宋体"/>
          <w:color w:val="auto"/>
          <w:sz w:val="36"/>
          <w:szCs w:val="36"/>
          <w:highlight w:val="none"/>
        </w:rPr>
        <w:t>磋商须知</w:t>
      </w:r>
      <w:bookmarkEnd w:id="41"/>
    </w:p>
    <w:p>
      <w:pPr>
        <w:pStyle w:val="4"/>
        <w:shd w:val="clear"/>
        <w:spacing w:line="360" w:lineRule="auto"/>
        <w:jc w:val="center"/>
        <w:rPr>
          <w:rFonts w:ascii="宋体" w:hAnsi="宋体" w:eastAsia="宋体"/>
          <w:color w:val="auto"/>
          <w:highlight w:val="none"/>
        </w:rPr>
      </w:pPr>
      <w:r>
        <w:rPr>
          <w:rFonts w:hint="eastAsia" w:ascii="宋体" w:hAnsi="宋体" w:eastAsia="宋体"/>
          <w:color w:val="auto"/>
          <w:highlight w:val="none"/>
        </w:rPr>
        <w:t>一、供应商须知附表</w:t>
      </w:r>
    </w:p>
    <w:bookmarkEnd w:id="32"/>
    <w:bookmarkEnd w:id="33"/>
    <w:bookmarkEnd w:id="34"/>
    <w:bookmarkEnd w:id="35"/>
    <w:bookmarkEnd w:id="36"/>
    <w:tbl>
      <w:tblPr>
        <w:tblStyle w:val="38"/>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66"/>
              <w:shd w:val="clear"/>
              <w:spacing w:line="360" w:lineRule="auto"/>
              <w:ind w:left="9"/>
              <w:jc w:val="center"/>
              <w:rPr>
                <w:rFonts w:cs="Times New Roman"/>
                <w:b/>
                <w:color w:val="auto"/>
                <w:kern w:val="2"/>
                <w:sz w:val="21"/>
                <w:szCs w:val="21"/>
                <w:highlight w:val="none"/>
              </w:rPr>
            </w:pPr>
            <w:r>
              <w:rPr>
                <w:rFonts w:hint="eastAsia" w:cs="Times New Roman"/>
                <w:b/>
                <w:color w:val="auto"/>
                <w:kern w:val="2"/>
                <w:sz w:val="21"/>
                <w:szCs w:val="21"/>
                <w:highlight w:val="none"/>
              </w:rPr>
              <w:t>序号</w:t>
            </w:r>
          </w:p>
        </w:tc>
        <w:tc>
          <w:tcPr>
            <w:tcW w:w="1985" w:type="dxa"/>
            <w:vAlign w:val="center"/>
          </w:tcPr>
          <w:p>
            <w:pPr>
              <w:pStyle w:val="66"/>
              <w:shd w:val="clear"/>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条款名称</w:t>
            </w:r>
          </w:p>
        </w:tc>
        <w:tc>
          <w:tcPr>
            <w:tcW w:w="6678" w:type="dxa"/>
            <w:vAlign w:val="center"/>
          </w:tcPr>
          <w:p>
            <w:pPr>
              <w:pStyle w:val="66"/>
              <w:shd w:val="clear"/>
              <w:spacing w:after="120" w:afterLines="50" w:line="288" w:lineRule="auto"/>
              <w:ind w:left="105" w:leftChars="50" w:right="105" w:rightChars="50"/>
              <w:jc w:val="center"/>
              <w:rPr>
                <w:rFonts w:cs="Times New Roman"/>
                <w:b/>
                <w:color w:val="auto"/>
                <w:kern w:val="2"/>
                <w:sz w:val="21"/>
                <w:szCs w:val="21"/>
                <w:highlight w:val="none"/>
              </w:rPr>
            </w:pPr>
            <w:r>
              <w:rPr>
                <w:rFonts w:hint="eastAsia" w:cs="Times New Roman"/>
                <w:b/>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tblHeader/>
          <w:jc w:val="center"/>
        </w:trPr>
        <w:tc>
          <w:tcPr>
            <w:tcW w:w="838" w:type="dxa"/>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1</w:t>
            </w:r>
          </w:p>
        </w:tc>
        <w:tc>
          <w:tcPr>
            <w:tcW w:w="1985" w:type="dxa"/>
            <w:vAlign w:val="center"/>
          </w:tcPr>
          <w:p>
            <w:pPr>
              <w:pStyle w:val="66"/>
              <w:shd w:val="clear"/>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采购人</w:t>
            </w:r>
          </w:p>
        </w:tc>
        <w:tc>
          <w:tcPr>
            <w:tcW w:w="6678" w:type="dxa"/>
            <w:vAlign w:val="center"/>
          </w:tcPr>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成都市成华区商务局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2</w:t>
            </w:r>
          </w:p>
        </w:tc>
        <w:tc>
          <w:tcPr>
            <w:tcW w:w="1985" w:type="dxa"/>
            <w:vAlign w:val="center"/>
          </w:tcPr>
          <w:p>
            <w:pPr>
              <w:pStyle w:val="66"/>
              <w:shd w:val="clear"/>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采购代理机构</w:t>
            </w:r>
          </w:p>
          <w:p>
            <w:pPr>
              <w:pStyle w:val="66"/>
              <w:shd w:val="clear"/>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及联系方式</w:t>
            </w:r>
          </w:p>
        </w:tc>
        <w:tc>
          <w:tcPr>
            <w:tcW w:w="6678" w:type="dxa"/>
            <w:vAlign w:val="center"/>
          </w:tcPr>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名称：成都一问工程技术咨询有限公司</w:t>
            </w:r>
          </w:p>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地址：成都市金牛区一品天下大街999号金牛市民中心B座2102号</w:t>
            </w:r>
          </w:p>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标书售卖电话及联系人：028-83375882-801，刘女士</w:t>
            </w:r>
          </w:p>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采购文件、开标、评标工作咨询及中标通知书领取电话及联系人：028-83375882-815，</w:t>
            </w:r>
            <w:r>
              <w:rPr>
                <w:rFonts w:hint="eastAsia"/>
                <w:color w:val="auto"/>
                <w:sz w:val="21"/>
                <w:szCs w:val="21"/>
                <w:highlight w:val="none"/>
              </w:rPr>
              <w:t>刘先生</w:t>
            </w:r>
          </w:p>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保证金缴纳及退还联系人：028-83407246，刘女士</w:t>
            </w:r>
          </w:p>
          <w:p>
            <w:pPr>
              <w:pStyle w:val="66"/>
              <w:shd w:val="clear"/>
              <w:spacing w:after="120" w:afterLines="50" w:line="288" w:lineRule="auto"/>
              <w:ind w:left="105" w:leftChars="50" w:right="105" w:rightChars="50"/>
              <w:rPr>
                <w:color w:val="auto"/>
                <w:sz w:val="21"/>
                <w:szCs w:val="21"/>
                <w:highlight w:val="none"/>
              </w:rPr>
            </w:pPr>
            <w:r>
              <w:rPr>
                <w:rFonts w:hint="eastAsia" w:cs="Times New Roman"/>
                <w:color w:val="auto"/>
                <w:kern w:val="2"/>
                <w:sz w:val="21"/>
                <w:szCs w:val="21"/>
                <w:highlight w:val="none"/>
              </w:rPr>
              <w:t>询问、质疑处理联系人：028-83375882-819，李先生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3</w:t>
            </w:r>
          </w:p>
        </w:tc>
        <w:tc>
          <w:tcPr>
            <w:tcW w:w="1985" w:type="dxa"/>
            <w:vAlign w:val="center"/>
          </w:tcPr>
          <w:p>
            <w:pPr>
              <w:pStyle w:val="66"/>
              <w:shd w:val="clear"/>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供应商邀请方式</w:t>
            </w:r>
          </w:p>
        </w:tc>
        <w:tc>
          <w:tcPr>
            <w:tcW w:w="6678" w:type="dxa"/>
            <w:vAlign w:val="center"/>
          </w:tcPr>
          <w:p>
            <w:pPr>
              <w:pStyle w:val="2"/>
              <w:shd w:val="clear"/>
              <w:spacing w:line="420" w:lineRule="exact"/>
              <w:rPr>
                <w:rFonts w:cs="Times New Roman"/>
                <w:color w:val="auto"/>
                <w:kern w:val="2"/>
                <w:sz w:val="21"/>
                <w:szCs w:val="21"/>
                <w:highlight w:val="none"/>
              </w:rPr>
            </w:pPr>
            <w:r>
              <w:rPr>
                <w:rFonts w:hint="eastAsia" w:hAnsi="宋体"/>
                <w:bCs/>
                <w:color w:val="auto"/>
                <w:sz w:val="21"/>
                <w:szCs w:val="21"/>
                <w:highlight w:val="none"/>
              </w:rPr>
              <w:t>公告方式：本次竞争性磋商邀请在四川政府采购网上以公告形式发布。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5" w:hRule="atLeast"/>
          <w:tblHeader/>
          <w:jc w:val="center"/>
        </w:trPr>
        <w:tc>
          <w:tcPr>
            <w:tcW w:w="838" w:type="dxa"/>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4</w:t>
            </w:r>
          </w:p>
        </w:tc>
        <w:tc>
          <w:tcPr>
            <w:tcW w:w="1985" w:type="dxa"/>
            <w:vAlign w:val="center"/>
          </w:tcPr>
          <w:p>
            <w:pPr>
              <w:pStyle w:val="66"/>
              <w:shd w:val="clear"/>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拒绝参加本次采购活动的供应商</w:t>
            </w:r>
          </w:p>
        </w:tc>
        <w:tc>
          <w:tcPr>
            <w:tcW w:w="6678" w:type="dxa"/>
            <w:vAlign w:val="center"/>
          </w:tcPr>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5</w:t>
            </w:r>
          </w:p>
        </w:tc>
        <w:tc>
          <w:tcPr>
            <w:tcW w:w="1985" w:type="dxa"/>
            <w:vAlign w:val="center"/>
          </w:tcPr>
          <w:p>
            <w:pPr>
              <w:pStyle w:val="66"/>
              <w:shd w:val="clear"/>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采购方式</w:t>
            </w:r>
          </w:p>
        </w:tc>
        <w:tc>
          <w:tcPr>
            <w:tcW w:w="6678" w:type="dxa"/>
            <w:vAlign w:val="center"/>
          </w:tcPr>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66"/>
              <w:shd w:val="clear"/>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6</w:t>
            </w:r>
          </w:p>
        </w:tc>
        <w:tc>
          <w:tcPr>
            <w:tcW w:w="1985" w:type="dxa"/>
            <w:tcBorders>
              <w:bottom w:val="single" w:color="auto" w:sz="4" w:space="0"/>
            </w:tcBorders>
            <w:vAlign w:val="center"/>
          </w:tcPr>
          <w:p>
            <w:pPr>
              <w:pStyle w:val="66"/>
              <w:shd w:val="clear"/>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采购预算</w:t>
            </w:r>
          </w:p>
          <w:p>
            <w:pPr>
              <w:pStyle w:val="66"/>
              <w:shd w:val="clear"/>
              <w:spacing w:line="360" w:lineRule="auto"/>
              <w:ind w:left="38"/>
              <w:jc w:val="center"/>
              <w:rPr>
                <w:rFonts w:cs="Times New Roman"/>
                <w:b/>
                <w:color w:val="auto"/>
                <w:kern w:val="2"/>
                <w:sz w:val="21"/>
                <w:szCs w:val="21"/>
                <w:highlight w:val="none"/>
              </w:rPr>
            </w:pPr>
            <w:r>
              <w:rPr>
                <w:rFonts w:hint="eastAsia"/>
                <w:b/>
                <w:color w:val="auto"/>
                <w:sz w:val="21"/>
                <w:szCs w:val="21"/>
                <w:highlight w:val="none"/>
              </w:rPr>
              <w:t>（实质性要求）</w:t>
            </w:r>
          </w:p>
        </w:tc>
        <w:tc>
          <w:tcPr>
            <w:tcW w:w="6678" w:type="dxa"/>
            <w:tcBorders>
              <w:bottom w:val="single" w:color="auto" w:sz="4" w:space="0"/>
            </w:tcBorders>
            <w:vAlign w:val="center"/>
          </w:tcPr>
          <w:p>
            <w:pPr>
              <w:pStyle w:val="66"/>
              <w:shd w:val="clear"/>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本项目采购预算品目为</w:t>
            </w:r>
            <w:r>
              <w:rPr>
                <w:rFonts w:hint="eastAsia"/>
                <w:color w:val="auto"/>
                <w:sz w:val="21"/>
                <w:szCs w:val="21"/>
                <w:highlight w:val="none"/>
                <w:u w:val="single"/>
              </w:rPr>
              <w:t>C060102</w:t>
            </w:r>
            <w:r>
              <w:rPr>
                <w:rFonts w:hint="eastAsia"/>
                <w:color w:val="auto"/>
                <w:sz w:val="21"/>
                <w:szCs w:val="21"/>
                <w:highlight w:val="none"/>
                <w:lang w:val="zh-CN"/>
              </w:rPr>
              <w:t xml:space="preserve"> ，预算金额为人民币</w:t>
            </w:r>
            <w:r>
              <w:rPr>
                <w:rFonts w:hint="eastAsia"/>
                <w:color w:val="auto"/>
                <w:sz w:val="21"/>
                <w:szCs w:val="21"/>
                <w:highlight w:val="none"/>
                <w:u w:val="single"/>
              </w:rPr>
              <w:t>450000</w:t>
            </w:r>
            <w:r>
              <w:rPr>
                <w:rFonts w:hint="eastAsia"/>
                <w:color w:val="auto"/>
                <w:sz w:val="21"/>
                <w:szCs w:val="21"/>
                <w:highlight w:val="none"/>
                <w:lang w:val="zh-CN"/>
              </w:rPr>
              <w:t>元</w:t>
            </w:r>
          </w:p>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hd w:val="clear"/>
              <w:spacing w:line="360" w:lineRule="auto"/>
              <w:jc w:val="center"/>
              <w:rPr>
                <w:rFonts w:ascii="宋体" w:hAnsi="宋体"/>
                <w:color w:val="auto"/>
                <w:szCs w:val="21"/>
                <w:highlight w:val="none"/>
              </w:rPr>
            </w:pPr>
          </w:p>
        </w:tc>
        <w:tc>
          <w:tcPr>
            <w:tcW w:w="1985" w:type="dxa"/>
            <w:tcBorders>
              <w:top w:val="single" w:color="auto" w:sz="4" w:space="0"/>
            </w:tcBorders>
            <w:vAlign w:val="center"/>
          </w:tcPr>
          <w:p>
            <w:pPr>
              <w:pStyle w:val="66"/>
              <w:shd w:val="clear"/>
              <w:spacing w:line="360" w:lineRule="auto"/>
              <w:jc w:val="center"/>
              <w:rPr>
                <w:rFonts w:cs="Times New Roman"/>
                <w:b/>
                <w:color w:val="auto"/>
                <w:kern w:val="2"/>
                <w:sz w:val="21"/>
                <w:szCs w:val="21"/>
                <w:highlight w:val="none"/>
              </w:rPr>
            </w:pPr>
            <w:r>
              <w:rPr>
                <w:rFonts w:hint="eastAsia" w:cs="Times New Roman"/>
                <w:b/>
                <w:color w:val="auto"/>
                <w:kern w:val="2"/>
                <w:sz w:val="21"/>
                <w:szCs w:val="21"/>
                <w:highlight w:val="none"/>
              </w:rPr>
              <w:t>最高限价</w:t>
            </w:r>
          </w:p>
          <w:p>
            <w:pPr>
              <w:pStyle w:val="66"/>
              <w:shd w:val="clear"/>
              <w:spacing w:line="360" w:lineRule="auto"/>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tcBorders>
              <w:top w:val="single" w:color="auto" w:sz="4" w:space="0"/>
            </w:tcBorders>
            <w:vAlign w:val="center"/>
          </w:tcPr>
          <w:p>
            <w:pPr>
              <w:pStyle w:val="66"/>
              <w:shd w:val="clear"/>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本项目最高限价为人民币</w:t>
            </w:r>
            <w:r>
              <w:rPr>
                <w:rFonts w:hint="eastAsia"/>
                <w:color w:val="auto"/>
                <w:sz w:val="21"/>
                <w:szCs w:val="21"/>
                <w:highlight w:val="none"/>
                <w:u w:val="single"/>
              </w:rPr>
              <w:t>450000</w:t>
            </w:r>
            <w:r>
              <w:rPr>
                <w:rFonts w:hint="eastAsia"/>
                <w:color w:val="auto"/>
                <w:sz w:val="21"/>
                <w:szCs w:val="21"/>
                <w:highlight w:val="none"/>
                <w:lang w:val="zh-CN"/>
              </w:rPr>
              <w:t>元。</w:t>
            </w:r>
          </w:p>
          <w:p>
            <w:pPr>
              <w:pStyle w:val="66"/>
              <w:shd w:val="clear"/>
              <w:spacing w:after="120" w:afterLines="50" w:line="288" w:lineRule="auto"/>
              <w:ind w:right="105" w:rightChars="50"/>
              <w:rPr>
                <w:color w:val="auto"/>
                <w:sz w:val="21"/>
                <w:szCs w:val="21"/>
                <w:highlight w:val="none"/>
                <w:lang w:val="zh-CN"/>
              </w:rPr>
            </w:pPr>
            <w:r>
              <w:rPr>
                <w:rFonts w:hint="eastAsia"/>
                <w:color w:val="auto"/>
                <w:sz w:val="21"/>
                <w:szCs w:val="21"/>
                <w:highlight w:val="none"/>
                <w:lang w:val="zh-CN"/>
              </w:rPr>
              <w:t>最后报价超过最高限价,其响应文件按无效处理。</w:t>
            </w:r>
          </w:p>
          <w:p>
            <w:pPr>
              <w:pStyle w:val="66"/>
              <w:shd w:val="clear"/>
              <w:spacing w:after="120" w:afterLines="50" w:line="288" w:lineRule="auto"/>
              <w:ind w:right="105" w:rightChars="50"/>
              <w:rPr>
                <w:color w:val="auto"/>
                <w:sz w:val="21"/>
                <w:szCs w:val="21"/>
                <w:highlight w:val="none"/>
                <w:lang w:val="zh-CN"/>
              </w:rPr>
            </w:pPr>
            <w:r>
              <w:rPr>
                <w:rFonts w:hint="eastAsia"/>
                <w:color w:val="auto"/>
                <w:sz w:val="21"/>
                <w:szCs w:val="21"/>
                <w:highlight w:val="none"/>
                <w:lang w:val="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1985" w:type="dxa"/>
            <w:vAlign w:val="center"/>
          </w:tcPr>
          <w:p>
            <w:pPr>
              <w:pStyle w:val="66"/>
              <w:shd w:val="clear"/>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低于成本价不正当</w:t>
            </w:r>
          </w:p>
          <w:p>
            <w:pPr>
              <w:pStyle w:val="66"/>
              <w:shd w:val="clear"/>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竞争预防措施</w:t>
            </w:r>
          </w:p>
          <w:p>
            <w:pPr>
              <w:pStyle w:val="66"/>
              <w:shd w:val="clear"/>
              <w:spacing w:line="360" w:lineRule="auto"/>
              <w:ind w:left="38"/>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在评审过程中，磋商小组认为供应商的报价明显低于其他通过符合性审查供应商的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供应商书面说明应当签字确认或者加盖公章，否则无效。供应商为法人的，由其法定代表人/单位负责人或者代理人签字确认；供应商为其他组织的，由其主要负责人或者代理人签字确认；供应商为自然人的，由其本人或者代理人签字确认。</w:t>
            </w:r>
          </w:p>
          <w:p>
            <w:pPr>
              <w:pStyle w:val="66"/>
              <w:shd w:val="clear"/>
              <w:spacing w:after="120" w:afterLines="50" w:line="288" w:lineRule="auto"/>
              <w:ind w:left="105" w:leftChars="50" w:right="105" w:rightChars="50"/>
              <w:rPr>
                <w:rFonts w:cs="Times New Roman"/>
                <w:color w:val="auto"/>
                <w:kern w:val="2"/>
                <w:sz w:val="21"/>
                <w:szCs w:val="21"/>
                <w:highlight w:val="none"/>
              </w:rPr>
            </w:pPr>
            <w:r>
              <w:rPr>
                <w:rFonts w:hint="eastAsia"/>
                <w:color w:val="auto"/>
                <w:sz w:val="21"/>
                <w:szCs w:val="21"/>
                <w:highlight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2"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1985" w:type="dxa"/>
            <w:vAlign w:val="center"/>
          </w:tcPr>
          <w:p>
            <w:pPr>
              <w:pStyle w:val="66"/>
              <w:shd w:val="clear"/>
              <w:ind w:left="38"/>
              <w:jc w:val="center"/>
              <w:rPr>
                <w:rFonts w:cs="Times New Roman"/>
                <w:b/>
                <w:color w:val="auto"/>
                <w:kern w:val="2"/>
                <w:sz w:val="21"/>
                <w:szCs w:val="21"/>
                <w:highlight w:val="none"/>
              </w:rPr>
            </w:pPr>
            <w:r>
              <w:rPr>
                <w:rFonts w:hint="eastAsia" w:cs="Times New Roman"/>
                <w:b/>
                <w:color w:val="auto"/>
                <w:kern w:val="2"/>
                <w:sz w:val="21"/>
                <w:szCs w:val="21"/>
                <w:highlight w:val="none"/>
              </w:rPr>
              <w:t>本项目采购标的对应的中小企业划分标准所属行业</w:t>
            </w:r>
          </w:p>
        </w:tc>
        <w:tc>
          <w:tcPr>
            <w:tcW w:w="6678" w:type="dxa"/>
            <w:vAlign w:val="center"/>
          </w:tcPr>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1985" w:type="dxa"/>
            <w:vAlign w:val="center"/>
          </w:tcPr>
          <w:p>
            <w:pPr>
              <w:pStyle w:val="66"/>
              <w:shd w:val="clear"/>
              <w:ind w:left="38"/>
              <w:jc w:val="center"/>
              <w:rPr>
                <w:rFonts w:cs="Times New Roman"/>
                <w:b/>
                <w:color w:val="auto"/>
                <w:kern w:val="2"/>
                <w:sz w:val="21"/>
                <w:szCs w:val="21"/>
                <w:highlight w:val="none"/>
              </w:rPr>
            </w:pPr>
            <w:r>
              <w:rPr>
                <w:rFonts w:hint="eastAsia"/>
                <w:b/>
                <w:bCs/>
                <w:color w:val="auto"/>
                <w:sz w:val="21"/>
                <w:szCs w:val="21"/>
                <w:highlight w:val="none"/>
                <w:lang w:val="zh-CN"/>
              </w:rPr>
              <w:t>失信企业报价加成</w:t>
            </w:r>
            <w:r>
              <w:rPr>
                <w:rFonts w:hint="eastAsia"/>
                <w:b/>
                <w:color w:val="auto"/>
                <w:sz w:val="21"/>
                <w:szCs w:val="21"/>
                <w:highlight w:val="none"/>
              </w:rPr>
              <w:t>（实质性要求）</w:t>
            </w:r>
          </w:p>
        </w:tc>
        <w:tc>
          <w:tcPr>
            <w:tcW w:w="6678" w:type="dxa"/>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1985" w:type="dxa"/>
            <w:vAlign w:val="center"/>
          </w:tcPr>
          <w:p>
            <w:pPr>
              <w:shd w:val="clear"/>
              <w:spacing w:line="360" w:lineRule="auto"/>
              <w:ind w:left="105" w:leftChars="50" w:right="105" w:rightChars="50"/>
              <w:jc w:val="center"/>
              <w:rPr>
                <w:rFonts w:ascii="宋体"/>
                <w:b/>
                <w:color w:val="auto"/>
                <w:kern w:val="0"/>
                <w:szCs w:val="21"/>
                <w:highlight w:val="none"/>
              </w:rPr>
            </w:pPr>
            <w:r>
              <w:rPr>
                <w:rFonts w:hint="eastAsia" w:ascii="宋体"/>
                <w:b/>
                <w:color w:val="auto"/>
                <w:kern w:val="0"/>
                <w:szCs w:val="21"/>
                <w:highlight w:val="none"/>
                <w:lang w:val="zh-CN"/>
              </w:rPr>
              <w:t>节能、环保及无线局域网产品政府采购政策</w:t>
            </w:r>
          </w:p>
        </w:tc>
        <w:tc>
          <w:tcPr>
            <w:tcW w:w="6678" w:type="dxa"/>
            <w:vAlign w:val="center"/>
          </w:tcPr>
          <w:p>
            <w:pPr>
              <w:pStyle w:val="4"/>
              <w:shd w:val="clear"/>
              <w:rPr>
                <w:color w:val="auto"/>
                <w:highlight w:val="none"/>
              </w:rPr>
            </w:pPr>
            <w:r>
              <w:rPr>
                <w:rFonts w:hint="eastAsia" w:ascii="宋体" w:hAnsi="宋体" w:eastAsia="宋体"/>
                <w:b w:val="0"/>
                <w:bCs w:val="0"/>
                <w:color w:val="auto"/>
                <w:sz w:val="21"/>
                <w:szCs w:val="21"/>
                <w:highlight w:val="none"/>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11</w:t>
            </w:r>
          </w:p>
        </w:tc>
        <w:tc>
          <w:tcPr>
            <w:tcW w:w="1985" w:type="dxa"/>
            <w:vAlign w:val="center"/>
          </w:tcPr>
          <w:p>
            <w:pPr>
              <w:pStyle w:val="66"/>
              <w:shd w:val="clear"/>
              <w:spacing w:line="300" w:lineRule="exact"/>
              <w:ind w:left="96"/>
              <w:jc w:val="center"/>
              <w:rPr>
                <w:b/>
                <w:color w:val="auto"/>
                <w:sz w:val="21"/>
                <w:szCs w:val="21"/>
                <w:highlight w:val="none"/>
                <w:lang w:val="zh-CN"/>
              </w:rPr>
            </w:pPr>
            <w:r>
              <w:rPr>
                <w:rFonts w:hint="eastAsia"/>
                <w:b/>
                <w:color w:val="auto"/>
                <w:sz w:val="21"/>
                <w:szCs w:val="21"/>
                <w:highlight w:val="none"/>
                <w:lang w:val="zh-CN"/>
              </w:rPr>
              <w:t>磋商保证金</w:t>
            </w:r>
          </w:p>
          <w:p>
            <w:pPr>
              <w:pStyle w:val="66"/>
              <w:shd w:val="clear"/>
              <w:spacing w:line="300" w:lineRule="exact"/>
              <w:ind w:left="96"/>
              <w:jc w:val="center"/>
              <w:rPr>
                <w:b/>
                <w:color w:val="auto"/>
                <w:sz w:val="21"/>
                <w:szCs w:val="21"/>
                <w:highlight w:val="none"/>
                <w:lang w:val="zh-CN"/>
              </w:rPr>
            </w:pPr>
            <w:r>
              <w:rPr>
                <w:rFonts w:hint="eastAsia"/>
                <w:b/>
                <w:color w:val="auto"/>
                <w:sz w:val="21"/>
                <w:szCs w:val="21"/>
                <w:highlight w:val="none"/>
                <w:lang w:val="zh-CN"/>
              </w:rPr>
              <w:t>（实质性要求）</w:t>
            </w:r>
          </w:p>
        </w:tc>
        <w:tc>
          <w:tcPr>
            <w:tcW w:w="6678" w:type="dxa"/>
            <w:vAlign w:val="center"/>
          </w:tcPr>
          <w:p>
            <w:pPr>
              <w:pStyle w:val="66"/>
              <w:widowControl/>
              <w:shd w:val="clear"/>
              <w:spacing w:after="120" w:afterLines="50" w:line="288" w:lineRule="auto"/>
              <w:ind w:left="105" w:leftChars="50" w:right="105" w:rightChars="50" w:firstLine="210" w:firstLineChars="100"/>
              <w:rPr>
                <w:color w:val="auto"/>
                <w:szCs w:val="21"/>
                <w:highlight w:val="none"/>
              </w:rPr>
            </w:pPr>
            <w:r>
              <w:rPr>
                <w:rFonts w:hint="eastAsia"/>
                <w:color w:val="auto"/>
                <w:sz w:val="21"/>
                <w:szCs w:val="21"/>
                <w:highlight w:val="none"/>
                <w:lang w:val="zh-CN"/>
              </w:rPr>
              <w:t>响应川财采[2020]28号文件本项目</w:t>
            </w:r>
            <w:r>
              <w:rPr>
                <w:rFonts w:hint="eastAsia"/>
                <w:color w:val="auto"/>
                <w:sz w:val="21"/>
                <w:szCs w:val="21"/>
                <w:highlight w:val="none"/>
              </w:rPr>
              <w:t>不缴纳</w:t>
            </w:r>
            <w:r>
              <w:rPr>
                <w:rFonts w:hint="eastAsia"/>
                <w:color w:val="auto"/>
                <w:sz w:val="21"/>
                <w:szCs w:val="21"/>
                <w:highlight w:val="none"/>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12</w:t>
            </w:r>
          </w:p>
        </w:tc>
        <w:tc>
          <w:tcPr>
            <w:tcW w:w="1985"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保证金退还所需资料</w:t>
            </w:r>
          </w:p>
        </w:tc>
        <w:tc>
          <w:tcPr>
            <w:tcW w:w="6678" w:type="dxa"/>
            <w:vAlign w:val="center"/>
          </w:tcPr>
          <w:p>
            <w:pPr>
              <w:shd w:val="clear"/>
              <w:spacing w:after="120" w:afterLines="50" w:line="288" w:lineRule="auto"/>
              <w:ind w:left="105" w:right="105" w:rightChars="50"/>
              <w:jc w:val="left"/>
              <w:rPr>
                <w:color w:val="auto"/>
                <w:highlight w:val="none"/>
              </w:rPr>
            </w:pPr>
            <w:r>
              <w:rPr>
                <w:rFonts w:hint="eastAsia"/>
                <w:color w:val="auto"/>
                <w:highlight w:val="none"/>
              </w:rPr>
              <w:t>本项目不缴纳投标保证金。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1985" w:type="dxa"/>
            <w:vAlign w:val="center"/>
          </w:tcPr>
          <w:p>
            <w:pPr>
              <w:pStyle w:val="66"/>
              <w:shd w:val="clear"/>
              <w:spacing w:line="360" w:lineRule="auto"/>
              <w:ind w:left="96"/>
              <w:jc w:val="center"/>
              <w:rPr>
                <w:color w:val="auto"/>
                <w:sz w:val="21"/>
                <w:szCs w:val="21"/>
                <w:highlight w:val="none"/>
                <w:lang w:val="zh-CN"/>
              </w:rPr>
            </w:pPr>
            <w:r>
              <w:rPr>
                <w:rFonts w:hint="eastAsia"/>
                <w:color w:val="auto"/>
                <w:sz w:val="21"/>
                <w:szCs w:val="21"/>
                <w:highlight w:val="none"/>
                <w:lang w:val="zh-CN"/>
              </w:rPr>
              <w:t>履约保证金</w:t>
            </w:r>
          </w:p>
        </w:tc>
        <w:tc>
          <w:tcPr>
            <w:tcW w:w="6678" w:type="dxa"/>
            <w:vAlign w:val="center"/>
          </w:tcPr>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不缴纳☑</w:t>
            </w:r>
          </w:p>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  纳□</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1985" w:type="dxa"/>
            <w:tcBorders>
              <w:top w:val="single" w:color="auto" w:sz="4" w:space="0"/>
              <w:bottom w:val="single" w:color="auto" w:sz="4" w:space="0"/>
            </w:tcBorders>
            <w:vAlign w:val="center"/>
          </w:tcPr>
          <w:p>
            <w:pPr>
              <w:pStyle w:val="66"/>
              <w:shd w:val="clear"/>
              <w:spacing w:line="360" w:lineRule="auto"/>
              <w:jc w:val="center"/>
              <w:rPr>
                <w:rFonts w:cs="Times New Roman"/>
                <w:color w:val="auto"/>
                <w:kern w:val="2"/>
                <w:sz w:val="21"/>
                <w:szCs w:val="21"/>
                <w:highlight w:val="none"/>
              </w:rPr>
            </w:pPr>
            <w:r>
              <w:rPr>
                <w:rFonts w:hint="eastAsia" w:cs="Times New Roman"/>
                <w:bCs/>
                <w:color w:val="auto"/>
                <w:kern w:val="2"/>
                <w:sz w:val="21"/>
                <w:szCs w:val="21"/>
                <w:highlight w:val="none"/>
              </w:rPr>
              <w:t>采购文件内容咨询</w:t>
            </w:r>
          </w:p>
        </w:tc>
        <w:tc>
          <w:tcPr>
            <w:tcW w:w="6678" w:type="dxa"/>
            <w:tcBorders>
              <w:top w:val="single" w:color="auto" w:sz="4" w:space="0"/>
              <w:bottom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985" w:type="dxa"/>
            <w:tcBorders>
              <w:top w:val="single" w:color="auto" w:sz="4" w:space="0"/>
              <w:bottom w:val="single" w:color="auto" w:sz="4" w:space="0"/>
            </w:tcBorders>
            <w:vAlign w:val="center"/>
          </w:tcPr>
          <w:p>
            <w:pPr>
              <w:pStyle w:val="66"/>
              <w:shd w:val="clear"/>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开标、评标工作咨询</w:t>
            </w:r>
          </w:p>
        </w:tc>
        <w:tc>
          <w:tcPr>
            <w:tcW w:w="6678" w:type="dxa"/>
            <w:tcBorders>
              <w:top w:val="single" w:color="auto" w:sz="4" w:space="0"/>
              <w:bottom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1985" w:type="dxa"/>
            <w:tcBorders>
              <w:top w:val="single" w:color="auto" w:sz="4" w:space="0"/>
              <w:bottom w:val="single" w:color="auto" w:sz="4" w:space="0"/>
            </w:tcBorders>
            <w:vAlign w:val="center"/>
          </w:tcPr>
          <w:p>
            <w:pPr>
              <w:pStyle w:val="66"/>
              <w:shd w:val="clear"/>
              <w:spacing w:line="360" w:lineRule="auto"/>
              <w:jc w:val="center"/>
              <w:rPr>
                <w:color w:val="auto"/>
                <w:sz w:val="21"/>
                <w:szCs w:val="21"/>
                <w:highlight w:val="none"/>
              </w:rPr>
            </w:pPr>
            <w:r>
              <w:rPr>
                <w:rFonts w:hint="eastAsia"/>
                <w:color w:val="auto"/>
                <w:sz w:val="21"/>
                <w:szCs w:val="21"/>
                <w:highlight w:val="none"/>
              </w:rPr>
              <w:t>磋商情况公告</w:t>
            </w:r>
          </w:p>
        </w:tc>
        <w:tc>
          <w:tcPr>
            <w:tcW w:w="6678" w:type="dxa"/>
            <w:tcBorders>
              <w:top w:val="single" w:color="auto" w:sz="4" w:space="0"/>
              <w:bottom w:val="single" w:color="auto" w:sz="4" w:space="0"/>
            </w:tcBorders>
            <w:vAlign w:val="center"/>
          </w:tcPr>
          <w:p>
            <w:pPr>
              <w:pStyle w:val="66"/>
              <w:shd w:val="clear"/>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1985" w:type="dxa"/>
            <w:tcBorders>
              <w:top w:val="single" w:color="auto" w:sz="4" w:space="0"/>
            </w:tcBorders>
            <w:vAlign w:val="center"/>
          </w:tcPr>
          <w:p>
            <w:pPr>
              <w:shd w:val="clear"/>
              <w:spacing w:line="360" w:lineRule="auto"/>
              <w:ind w:left="105" w:leftChars="50" w:right="105" w:rightChars="50"/>
              <w:jc w:val="center"/>
              <w:rPr>
                <w:rFonts w:ascii="宋体" w:hAnsi="宋体"/>
                <w:color w:val="auto"/>
                <w:szCs w:val="21"/>
                <w:highlight w:val="none"/>
              </w:rPr>
            </w:pPr>
            <w:r>
              <w:rPr>
                <w:rFonts w:hint="eastAsia" w:ascii="宋体" w:hAnsi="宋体"/>
                <w:color w:val="auto"/>
                <w:szCs w:val="21"/>
                <w:highlight w:val="none"/>
              </w:rPr>
              <w:t>成交通知书领取</w:t>
            </w:r>
          </w:p>
        </w:tc>
        <w:tc>
          <w:tcPr>
            <w:tcW w:w="6678" w:type="dxa"/>
            <w:tcBorders>
              <w:top w:val="single" w:color="auto" w:sz="4" w:space="0"/>
            </w:tcBorders>
            <w:vAlign w:val="center"/>
          </w:tcPr>
          <w:p>
            <w:pPr>
              <w:shd w:val="clear"/>
              <w:tabs>
                <w:tab w:val="left" w:pos="7665"/>
              </w:tabs>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结果公告在四川政府采购网上公告后，请成交人凭有效身份证明证件到</w:t>
            </w:r>
            <w:r>
              <w:rPr>
                <w:rFonts w:hint="eastAsia" w:ascii="宋体" w:hAnsi="宋体"/>
                <w:color w:val="auto"/>
                <w:szCs w:val="21"/>
                <w:highlight w:val="none"/>
                <w:lang w:val="zh-CN"/>
              </w:rPr>
              <w:t>采购代理机构</w:t>
            </w:r>
            <w:r>
              <w:rPr>
                <w:rFonts w:hint="eastAsia" w:ascii="宋体" w:hAnsi="宋体"/>
                <w:color w:val="auto"/>
                <w:szCs w:val="21"/>
                <w:highlight w:val="none"/>
              </w:rPr>
              <w:t>领取成交通知书。</w:t>
            </w:r>
          </w:p>
          <w:p>
            <w:pPr>
              <w:shd w:val="clea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联系人及联系电话详见本表第2项。</w:t>
            </w:r>
          </w:p>
          <w:p>
            <w:pPr>
              <w:shd w:val="clea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18</w:t>
            </w:r>
          </w:p>
        </w:tc>
        <w:tc>
          <w:tcPr>
            <w:tcW w:w="1985" w:type="dxa"/>
            <w:tcBorders>
              <w:top w:val="single" w:color="auto" w:sz="4" w:space="0"/>
            </w:tcBorders>
            <w:vAlign w:val="center"/>
          </w:tcPr>
          <w:p>
            <w:pPr>
              <w:pStyle w:val="66"/>
              <w:shd w:val="clear"/>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供应商询问</w:t>
            </w:r>
          </w:p>
        </w:tc>
        <w:tc>
          <w:tcPr>
            <w:tcW w:w="6678" w:type="dxa"/>
            <w:tcBorders>
              <w:top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rPr>
              <w:t>根据《中华人民共和国财政部令第94号--政府采购质疑和投诉办法》、委托代理协议约定，供应商询问由</w:t>
            </w:r>
            <w:r>
              <w:rPr>
                <w:rFonts w:hint="eastAsia" w:ascii="宋体" w:hAnsi="宋体"/>
                <w:color w:val="auto"/>
                <w:szCs w:val="21"/>
                <w:highlight w:val="none"/>
                <w:lang w:val="zh-CN"/>
              </w:rPr>
              <w:t>采购代理机构负责答复。</w:t>
            </w:r>
            <w:r>
              <w:rPr>
                <w:rFonts w:hint="eastAsia"/>
                <w:b/>
                <w:color w:val="auto"/>
                <w:highlight w:val="none"/>
              </w:rPr>
              <w:t>询问必须以书面形式（原件）提出，以其他形式提出的询问均不接受和回复。</w:t>
            </w:r>
          </w:p>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1985" w:type="dxa"/>
            <w:vAlign w:val="center"/>
          </w:tcPr>
          <w:p>
            <w:pPr>
              <w:pStyle w:val="66"/>
              <w:shd w:val="clear"/>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供应商质疑</w:t>
            </w:r>
          </w:p>
        </w:tc>
        <w:tc>
          <w:tcPr>
            <w:tcW w:w="6678" w:type="dxa"/>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根据《中华人民共和国财政部令第94号--政府采购质疑和投诉办法》、委托代理协议约定，供应商质疑由</w:t>
            </w:r>
            <w:r>
              <w:rPr>
                <w:rFonts w:hint="eastAsia" w:ascii="宋体" w:hAnsi="宋体"/>
                <w:color w:val="auto"/>
                <w:szCs w:val="21"/>
                <w:highlight w:val="none"/>
                <w:lang w:val="zh-CN"/>
              </w:rPr>
              <w:t>采购代理机构负责答复。</w:t>
            </w:r>
            <w:r>
              <w:rPr>
                <w:rFonts w:hint="eastAsia"/>
                <w:b/>
                <w:color w:val="auto"/>
                <w:highlight w:val="none"/>
              </w:rPr>
              <w:t>质疑必须以书面形式（原件）提出，以其他形式提出的质疑均不接受和回复。</w:t>
            </w:r>
          </w:p>
          <w:p>
            <w:pPr>
              <w:shd w:val="clea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联系人、联系电话及地址详见本表第2项。</w:t>
            </w:r>
          </w:p>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lang w:val="zh-CN"/>
              </w:rPr>
              <w:t>注：根据《中华人民共和国政府采购法》等规定，供应商质疑不得超出磋商文件、磋商过程、磋商结果的范围，供应商针对同一采购程序环节的质疑应在法定质疑期内一次性提出。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1985" w:type="dxa"/>
            <w:vAlign w:val="center"/>
          </w:tcPr>
          <w:p>
            <w:pPr>
              <w:pStyle w:val="66"/>
              <w:shd w:val="clear"/>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供应商投诉</w:t>
            </w:r>
          </w:p>
        </w:tc>
        <w:tc>
          <w:tcPr>
            <w:tcW w:w="6678" w:type="dxa"/>
            <w:vAlign w:val="center"/>
          </w:tcPr>
          <w:p>
            <w:pPr>
              <w:shd w:val="clear"/>
              <w:spacing w:after="120" w:afterLines="50" w:line="288" w:lineRule="auto"/>
              <w:ind w:left="105" w:leftChars="50" w:right="105" w:rightChars="50"/>
              <w:jc w:val="left"/>
              <w:rPr>
                <w:color w:val="auto"/>
                <w:szCs w:val="21"/>
                <w:highlight w:val="none"/>
              </w:rPr>
            </w:pPr>
            <w:r>
              <w:rPr>
                <w:rFonts w:hint="eastAsia"/>
                <w:color w:val="auto"/>
                <w:szCs w:val="21"/>
                <w:highlight w:val="none"/>
              </w:rPr>
              <w:t>投诉受理单位：本采购项目同级财政部门，即</w:t>
            </w:r>
            <w:r>
              <w:rPr>
                <w:rFonts w:hint="eastAsia" w:ascii="宋体" w:hAnsi="宋体"/>
                <w:color w:val="auto"/>
                <w:szCs w:val="21"/>
                <w:highlight w:val="none"/>
                <w:u w:val="single"/>
              </w:rPr>
              <w:t>成都市成华区财政局</w:t>
            </w:r>
            <w:r>
              <w:rPr>
                <w:rFonts w:hint="eastAsia"/>
                <w:color w:val="auto"/>
                <w:szCs w:val="21"/>
                <w:highlight w:val="none"/>
              </w:rPr>
              <w:t>。</w:t>
            </w:r>
          </w:p>
          <w:p>
            <w:pPr>
              <w:shd w:val="clear"/>
              <w:spacing w:after="120" w:afterLines="50" w:line="288" w:lineRule="auto"/>
              <w:ind w:left="105" w:leftChars="50" w:right="105" w:rightChars="50"/>
              <w:jc w:val="left"/>
              <w:rPr>
                <w:color w:val="auto"/>
                <w:szCs w:val="21"/>
                <w:highlight w:val="none"/>
              </w:rPr>
            </w:pPr>
            <w:r>
              <w:rPr>
                <w:rFonts w:hint="eastAsia"/>
                <w:color w:val="auto"/>
                <w:szCs w:val="21"/>
                <w:highlight w:val="none"/>
              </w:rPr>
              <w:t>联系电话：</w:t>
            </w:r>
            <w:r>
              <w:rPr>
                <w:rFonts w:hint="eastAsia"/>
                <w:color w:val="auto"/>
                <w:szCs w:val="21"/>
                <w:highlight w:val="none"/>
                <w:u w:val="single"/>
              </w:rPr>
              <w:t>028-84356267</w:t>
            </w:r>
            <w:r>
              <w:rPr>
                <w:rFonts w:hint="eastAsia"/>
                <w:color w:val="auto"/>
                <w:szCs w:val="21"/>
                <w:highlight w:val="none"/>
              </w:rPr>
              <w:t>。</w:t>
            </w:r>
          </w:p>
          <w:p>
            <w:pPr>
              <w:shd w:val="clear"/>
              <w:spacing w:after="120" w:afterLines="50" w:line="288" w:lineRule="auto"/>
              <w:ind w:left="105" w:leftChars="50" w:right="105" w:rightChars="50"/>
              <w:jc w:val="left"/>
              <w:rPr>
                <w:color w:val="auto"/>
                <w:szCs w:val="21"/>
                <w:highlight w:val="none"/>
              </w:rPr>
            </w:pPr>
            <w:r>
              <w:rPr>
                <w:rFonts w:hint="eastAsia"/>
                <w:color w:val="auto"/>
                <w:szCs w:val="21"/>
                <w:highlight w:val="none"/>
              </w:rPr>
              <w:t>联系地址：</w:t>
            </w:r>
            <w:r>
              <w:rPr>
                <w:rFonts w:hint="eastAsia"/>
                <w:color w:val="auto"/>
                <w:szCs w:val="21"/>
                <w:highlight w:val="none"/>
                <w:u w:val="single"/>
              </w:rPr>
              <w:t>四川省成都市一环路东三段148号</w:t>
            </w:r>
            <w:r>
              <w:rPr>
                <w:rFonts w:hint="eastAsia"/>
                <w:color w:val="auto"/>
                <w:szCs w:val="21"/>
                <w:highlight w:val="none"/>
              </w:rPr>
              <w:t>。</w:t>
            </w:r>
          </w:p>
          <w:p>
            <w:pPr>
              <w:shd w:val="clear"/>
              <w:spacing w:after="120" w:afterLines="50" w:line="288" w:lineRule="auto"/>
              <w:ind w:left="105" w:leftChars="50" w:right="105" w:rightChars="50"/>
              <w:jc w:val="left"/>
              <w:rPr>
                <w:color w:val="auto"/>
                <w:szCs w:val="21"/>
                <w:highlight w:val="none"/>
              </w:rPr>
            </w:pPr>
            <w:r>
              <w:rPr>
                <w:rFonts w:hint="eastAsia" w:ascii="宋体" w:hAnsi="宋体"/>
                <w:color w:val="auto"/>
                <w:szCs w:val="21"/>
                <w:highlight w:val="none"/>
              </w:rPr>
              <w:t>注：根据《中华人民共和国政府采购法实施条例》的规定，</w:t>
            </w:r>
            <w:r>
              <w:rPr>
                <w:rFonts w:hint="eastAsia" w:hAnsi="宋体"/>
                <w:color w:val="auto"/>
                <w:szCs w:val="21"/>
                <w:highlight w:val="none"/>
              </w:rPr>
              <w:t>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21</w:t>
            </w:r>
          </w:p>
        </w:tc>
        <w:tc>
          <w:tcPr>
            <w:tcW w:w="1985" w:type="dxa"/>
            <w:tcBorders>
              <w:right w:val="single" w:color="auto" w:sz="4" w:space="0"/>
            </w:tcBorders>
            <w:vAlign w:val="center"/>
          </w:tcPr>
          <w:p>
            <w:pPr>
              <w:shd w:val="clea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政府采购合同</w:t>
            </w:r>
          </w:p>
          <w:p>
            <w:pPr>
              <w:shd w:val="clea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公告备案</w:t>
            </w:r>
          </w:p>
        </w:tc>
        <w:tc>
          <w:tcPr>
            <w:tcW w:w="6678" w:type="dxa"/>
            <w:tcBorders>
              <w:left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color w:val="auto"/>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1985" w:type="dxa"/>
            <w:tcBorders>
              <w:right w:val="single" w:color="auto" w:sz="4" w:space="0"/>
            </w:tcBorders>
            <w:vAlign w:val="center"/>
          </w:tcPr>
          <w:p>
            <w:pPr>
              <w:pStyle w:val="66"/>
              <w:shd w:val="clear"/>
              <w:spacing w:line="360" w:lineRule="auto"/>
              <w:ind w:left="96"/>
              <w:jc w:val="center"/>
              <w:rPr>
                <w:color w:val="auto"/>
                <w:sz w:val="21"/>
                <w:szCs w:val="21"/>
                <w:highlight w:val="none"/>
              </w:rPr>
            </w:pPr>
            <w:r>
              <w:rPr>
                <w:rFonts w:hint="eastAsia"/>
                <w:color w:val="auto"/>
                <w:sz w:val="21"/>
                <w:szCs w:val="21"/>
                <w:highlight w:val="none"/>
                <w:lang w:val="zh-CN"/>
              </w:rPr>
              <w:t>采购代理服务费</w:t>
            </w:r>
          </w:p>
        </w:tc>
        <w:tc>
          <w:tcPr>
            <w:tcW w:w="6678" w:type="dxa"/>
            <w:tcBorders>
              <w:left w:val="single" w:color="auto" w:sz="4" w:space="0"/>
            </w:tcBorders>
            <w:vAlign w:val="center"/>
          </w:tcPr>
          <w:p>
            <w:pPr>
              <w:pStyle w:val="66"/>
              <w:shd w:val="clear"/>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en-US" w:eastAsia="zh-CN"/>
              </w:rPr>
              <w:t>定额收取5000元，</w:t>
            </w:r>
            <w:r>
              <w:rPr>
                <w:rFonts w:hint="eastAsia"/>
                <w:color w:val="auto"/>
                <w:sz w:val="21"/>
                <w:szCs w:val="21"/>
                <w:highlight w:val="none"/>
                <w:lang w:val="zh-CN"/>
              </w:rPr>
              <w:t>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1985" w:type="dxa"/>
            <w:tcBorders>
              <w:right w:val="single" w:color="auto" w:sz="4" w:space="0"/>
            </w:tcBorders>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6678" w:type="dxa"/>
            <w:tcBorders>
              <w:left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hd w:val="clear"/>
              <w:spacing w:line="360" w:lineRule="auto"/>
              <w:jc w:val="center"/>
              <w:rPr>
                <w:rFonts w:ascii="宋体" w:hAnsi="宋体"/>
                <w:color w:val="auto"/>
                <w:szCs w:val="21"/>
                <w:highlight w:val="none"/>
              </w:rPr>
            </w:pPr>
            <w:r>
              <w:rPr>
                <w:rFonts w:hint="eastAsia" w:ascii="宋体" w:hAnsi="宋体"/>
                <w:color w:val="auto"/>
                <w:szCs w:val="21"/>
                <w:highlight w:val="none"/>
              </w:rPr>
              <w:t>24</w:t>
            </w:r>
          </w:p>
        </w:tc>
        <w:tc>
          <w:tcPr>
            <w:tcW w:w="1985" w:type="dxa"/>
            <w:tcBorders>
              <w:right w:val="single" w:color="auto" w:sz="4" w:space="0"/>
            </w:tcBorders>
            <w:vAlign w:val="center"/>
          </w:tcPr>
          <w:p>
            <w:pPr>
              <w:shd w:val="clear"/>
              <w:spacing w:line="300" w:lineRule="exact"/>
              <w:jc w:val="center"/>
              <w:rPr>
                <w:rFonts w:ascii="宋体" w:hAnsi="宋体"/>
                <w:b/>
                <w:color w:val="auto"/>
                <w:szCs w:val="21"/>
                <w:highlight w:val="none"/>
              </w:rPr>
            </w:pPr>
            <w:r>
              <w:rPr>
                <w:rFonts w:hint="eastAsia" w:ascii="宋体" w:hAnsi="宋体" w:cs="宋体"/>
                <w:color w:val="auto"/>
                <w:szCs w:val="21"/>
                <w:highlight w:val="none"/>
              </w:rPr>
              <w:t>信用融资政策</w:t>
            </w:r>
          </w:p>
        </w:tc>
        <w:tc>
          <w:tcPr>
            <w:tcW w:w="6678" w:type="dxa"/>
            <w:tcBorders>
              <w:left w:val="single" w:color="auto" w:sz="4" w:space="0"/>
            </w:tcBorders>
            <w:vAlign w:val="center"/>
          </w:tcPr>
          <w:p>
            <w:pPr>
              <w:shd w:val="clea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根据《四川省财政厅关于推进四川省政府采购供应商信用融资工作的通知》(川财采(2018)123号)等有关规定。本项目可开展中小企业政府采购信用融资政策。</w:t>
            </w:r>
          </w:p>
          <w:p>
            <w:pPr>
              <w:shd w:val="clear"/>
              <w:spacing w:after="120" w:afterLines="50" w:line="288" w:lineRule="auto"/>
              <w:ind w:left="105" w:leftChars="50" w:right="105" w:rightChars="50"/>
              <w:jc w:val="left"/>
              <w:rPr>
                <w:color w:val="auto"/>
                <w:highlight w:val="none"/>
              </w:rPr>
            </w:pPr>
            <w:r>
              <w:rPr>
                <w:rFonts w:hint="eastAsia" w:ascii="宋体" w:hAnsi="宋体"/>
                <w:color w:val="auto"/>
                <w:szCs w:val="21"/>
                <w:highlight w:val="none"/>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 (成都市项目适用）</w:t>
            </w:r>
          </w:p>
        </w:tc>
      </w:tr>
    </w:tbl>
    <w:p>
      <w:pPr>
        <w:shd w:val="clear"/>
        <w:rPr>
          <w:rFonts w:ascii="宋体" w:hAnsi="宋体"/>
          <w:color w:val="auto"/>
          <w:highlight w:val="none"/>
        </w:rPr>
      </w:pP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二、总  则</w:t>
      </w:r>
    </w:p>
    <w:p>
      <w:pPr>
        <w:pStyle w:val="7"/>
        <w:keepNext w:val="0"/>
        <w:keepLines w:val="0"/>
        <w:shd w:val="clear"/>
        <w:spacing w:before="0" w:after="0" w:line="360" w:lineRule="auto"/>
        <w:ind w:firstLine="482" w:firstLineChars="200"/>
        <w:rPr>
          <w:rFonts w:ascii="宋体" w:hAnsi="宋体"/>
          <w:color w:val="auto"/>
          <w:sz w:val="24"/>
          <w:szCs w:val="24"/>
          <w:highlight w:val="none"/>
        </w:rPr>
      </w:pPr>
      <w:bookmarkStart w:id="42" w:name="PO_默认文件内容_23"/>
      <w:r>
        <w:rPr>
          <w:rFonts w:ascii="宋体" w:hAnsi="宋体" w:cs="仿宋"/>
          <w:color w:val="auto"/>
          <w:sz w:val="24"/>
          <w:szCs w:val="24"/>
          <w:highlight w:val="none"/>
        </w:rPr>
        <w:t>1.</w:t>
      </w:r>
      <w:r>
        <w:rPr>
          <w:rFonts w:hint="eastAsia" w:ascii="宋体" w:hAnsi="宋体" w:cs="仿宋"/>
          <w:color w:val="auto"/>
          <w:sz w:val="24"/>
          <w:szCs w:val="24"/>
          <w:highlight w:val="none"/>
        </w:rPr>
        <w:t>适用范围</w:t>
      </w:r>
    </w:p>
    <w:p>
      <w:pPr>
        <w:shd w:val="clear"/>
        <w:tabs>
          <w:tab w:val="left" w:pos="7665"/>
        </w:tabs>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1.1 </w:t>
      </w:r>
      <w:r>
        <w:rPr>
          <w:rFonts w:hint="eastAsia" w:ascii="宋体" w:hAnsi="宋体" w:cs="仿宋"/>
          <w:color w:val="auto"/>
          <w:sz w:val="24"/>
          <w:highlight w:val="none"/>
        </w:rPr>
        <w:t>本磋商文件仅适用于本次磋商采购项目。</w:t>
      </w:r>
    </w:p>
    <w:p>
      <w:pPr>
        <w:shd w:val="clear"/>
        <w:tabs>
          <w:tab w:val="left" w:pos="7665"/>
        </w:tabs>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1.2 </w:t>
      </w:r>
      <w:r>
        <w:rPr>
          <w:rFonts w:hint="eastAsia" w:ascii="宋体" w:hAnsi="宋体" w:cs="仿宋"/>
          <w:color w:val="auto"/>
          <w:sz w:val="24"/>
          <w:highlight w:val="none"/>
        </w:rPr>
        <w:t>本磋商文件的解释权归采购人和采购代理机构所有。</w:t>
      </w:r>
      <w:bookmarkEnd w:id="42"/>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2.</w:t>
      </w:r>
      <w:r>
        <w:rPr>
          <w:rFonts w:hint="eastAsia" w:ascii="宋体" w:hAnsi="宋体" w:cs="仿宋"/>
          <w:color w:val="auto"/>
          <w:sz w:val="24"/>
          <w:szCs w:val="24"/>
          <w:highlight w:val="none"/>
        </w:rPr>
        <w:t>采购主体</w:t>
      </w:r>
    </w:p>
    <w:p>
      <w:pPr>
        <w:shd w:val="clear"/>
        <w:tabs>
          <w:tab w:val="left" w:pos="7665"/>
        </w:tabs>
        <w:spacing w:line="360" w:lineRule="auto"/>
        <w:ind w:firstLine="480" w:firstLineChars="200"/>
        <w:rPr>
          <w:rFonts w:ascii="宋体" w:hAnsi="宋体"/>
          <w:color w:val="auto"/>
          <w:sz w:val="24"/>
          <w:highlight w:val="none"/>
        </w:rPr>
      </w:pPr>
      <w:r>
        <w:rPr>
          <w:rFonts w:ascii="宋体" w:hAnsi="宋体" w:cs="仿宋"/>
          <w:color w:val="auto"/>
          <w:sz w:val="24"/>
          <w:highlight w:val="none"/>
        </w:rPr>
        <w:t>2.1</w:t>
      </w:r>
      <w:r>
        <w:rPr>
          <w:rFonts w:hint="eastAsia" w:ascii="宋体" w:hAnsi="宋体" w:cs="仿宋"/>
          <w:color w:val="auto"/>
          <w:sz w:val="24"/>
          <w:highlight w:val="none"/>
        </w:rPr>
        <w:t>本次磋商的采购人是</w:t>
      </w:r>
      <w:r>
        <w:rPr>
          <w:rFonts w:hint="eastAsia" w:ascii="宋体" w:hAnsi="宋体"/>
          <w:color w:val="auto"/>
          <w:sz w:val="24"/>
          <w:highlight w:val="none"/>
          <w:u w:val="single"/>
        </w:rPr>
        <w:t>成都市成华区商务局</w:t>
      </w:r>
      <w:r>
        <w:rPr>
          <w:rFonts w:hint="eastAsia" w:ascii="宋体" w:hAnsi="宋体"/>
          <w:color w:val="auto"/>
          <w:sz w:val="24"/>
          <w:highlight w:val="none"/>
        </w:rPr>
        <w:t>。</w:t>
      </w:r>
    </w:p>
    <w:p>
      <w:pPr>
        <w:shd w:val="clear"/>
        <w:tabs>
          <w:tab w:val="left" w:pos="7665"/>
        </w:tabs>
        <w:spacing w:line="360" w:lineRule="auto"/>
        <w:ind w:firstLine="480" w:firstLineChars="200"/>
        <w:rPr>
          <w:rFonts w:ascii="宋体" w:hAnsi="宋体"/>
          <w:color w:val="auto"/>
          <w:sz w:val="24"/>
          <w:highlight w:val="none"/>
        </w:rPr>
      </w:pPr>
      <w:bookmarkStart w:id="43" w:name="PO_默认文件内容_24"/>
      <w:r>
        <w:rPr>
          <w:rFonts w:ascii="宋体" w:hAnsi="宋体" w:cs="仿宋"/>
          <w:color w:val="auto"/>
          <w:sz w:val="24"/>
          <w:highlight w:val="none"/>
        </w:rPr>
        <w:t>2.2</w:t>
      </w:r>
      <w:r>
        <w:rPr>
          <w:rFonts w:hint="eastAsia" w:ascii="宋体" w:hAnsi="宋体" w:cs="仿宋"/>
          <w:color w:val="auto"/>
          <w:sz w:val="24"/>
          <w:highlight w:val="none"/>
        </w:rPr>
        <w:t>本次磋商的采购代理机构是</w:t>
      </w:r>
      <w:r>
        <w:rPr>
          <w:rFonts w:hint="eastAsia" w:ascii="宋体" w:hAnsi="宋体" w:cs="黑体"/>
          <w:color w:val="auto"/>
          <w:sz w:val="24"/>
          <w:highlight w:val="none"/>
          <w:u w:val="single"/>
        </w:rPr>
        <w:t>成都一问工程技术咨询有限公司</w:t>
      </w:r>
      <w:r>
        <w:rPr>
          <w:rFonts w:hint="eastAsia" w:ascii="宋体" w:hAnsi="宋体" w:cs="仿宋"/>
          <w:color w:val="auto"/>
          <w:sz w:val="24"/>
          <w:highlight w:val="none"/>
        </w:rPr>
        <w:t>。</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 xml:space="preserve">3. </w:t>
      </w:r>
      <w:r>
        <w:rPr>
          <w:rFonts w:hint="eastAsia" w:ascii="宋体" w:hAnsi="宋体" w:cs="仿宋"/>
          <w:color w:val="auto"/>
          <w:sz w:val="24"/>
          <w:szCs w:val="24"/>
          <w:highlight w:val="none"/>
        </w:rPr>
        <w:t>合格供应商</w:t>
      </w:r>
    </w:p>
    <w:p>
      <w:pPr>
        <w:shd w:val="clear"/>
        <w:tabs>
          <w:tab w:val="left" w:pos="7665"/>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合格供应商应具备以下条件：</w:t>
      </w:r>
    </w:p>
    <w:p>
      <w:pPr>
        <w:shd w:val="clear"/>
        <w:tabs>
          <w:tab w:val="left" w:pos="7665"/>
        </w:tabs>
        <w:spacing w:line="360" w:lineRule="auto"/>
        <w:ind w:firstLine="480" w:firstLineChars="200"/>
        <w:rPr>
          <w:rFonts w:ascii="宋体" w:hAnsi="宋体"/>
          <w:color w:val="auto"/>
          <w:spacing w:val="-4"/>
          <w:sz w:val="24"/>
          <w:highlight w:val="none"/>
        </w:rPr>
      </w:pPr>
      <w:r>
        <w:rPr>
          <w:rFonts w:ascii="宋体" w:hAnsi="宋体" w:cs="仿宋"/>
          <w:color w:val="auto"/>
          <w:sz w:val="24"/>
          <w:highlight w:val="none"/>
        </w:rPr>
        <w:t xml:space="preserve">3.1 </w:t>
      </w:r>
      <w:r>
        <w:rPr>
          <w:rFonts w:hint="eastAsia" w:ascii="宋体" w:hAnsi="宋体" w:cs="仿宋"/>
          <w:color w:val="auto"/>
          <w:sz w:val="24"/>
          <w:highlight w:val="none"/>
        </w:rPr>
        <w:t>具备法律法规和本采购文件规定的资格条件</w:t>
      </w:r>
      <w:r>
        <w:rPr>
          <w:rFonts w:hint="eastAsia" w:ascii="宋体" w:hAnsi="宋体" w:cs="仿宋"/>
          <w:color w:val="auto"/>
          <w:spacing w:val="-4"/>
          <w:sz w:val="24"/>
          <w:highlight w:val="none"/>
        </w:rPr>
        <w:t>；</w:t>
      </w:r>
    </w:p>
    <w:p>
      <w:pPr>
        <w:shd w:val="clear"/>
        <w:tabs>
          <w:tab w:val="left" w:pos="7665"/>
        </w:tabs>
        <w:spacing w:line="360" w:lineRule="auto"/>
        <w:ind w:firstLine="464" w:firstLineChars="200"/>
        <w:rPr>
          <w:rFonts w:ascii="宋体" w:hAnsi="宋体" w:cs="仿宋"/>
          <w:color w:val="auto"/>
          <w:spacing w:val="-4"/>
          <w:sz w:val="24"/>
          <w:highlight w:val="none"/>
        </w:rPr>
      </w:pPr>
      <w:r>
        <w:rPr>
          <w:rFonts w:ascii="宋体" w:hAnsi="宋体" w:cs="仿宋"/>
          <w:color w:val="auto"/>
          <w:spacing w:val="-4"/>
          <w:sz w:val="24"/>
          <w:highlight w:val="none"/>
        </w:rPr>
        <w:t xml:space="preserve">3.2 </w:t>
      </w:r>
      <w:r>
        <w:rPr>
          <w:rFonts w:hint="eastAsia" w:ascii="宋体" w:hAnsi="宋体" w:cs="仿宋"/>
          <w:color w:val="auto"/>
          <w:spacing w:val="-4"/>
          <w:sz w:val="24"/>
          <w:highlight w:val="none"/>
        </w:rPr>
        <w:t>不属于禁止参加本项目采购活动的供应商。</w:t>
      </w:r>
    </w:p>
    <w:p>
      <w:pPr>
        <w:pStyle w:val="7"/>
        <w:keepNext w:val="0"/>
        <w:keepLines w:val="0"/>
        <w:shd w:val="clear"/>
        <w:spacing w:before="0" w:after="0" w:line="360" w:lineRule="auto"/>
        <w:ind w:firstLine="480" w:firstLineChars="200"/>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3.3 按照规定获取了磋商文件，属于实质性参加政府采购活动的供应商。</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 xml:space="preserve">4. </w:t>
      </w:r>
      <w:r>
        <w:rPr>
          <w:rFonts w:hint="eastAsia" w:ascii="宋体" w:hAnsi="宋体" w:cs="仿宋"/>
          <w:color w:val="auto"/>
          <w:sz w:val="24"/>
          <w:szCs w:val="24"/>
          <w:highlight w:val="none"/>
        </w:rPr>
        <w:t>磋商费用</w:t>
      </w:r>
    </w:p>
    <w:p>
      <w:pPr>
        <w:shd w:val="clear"/>
        <w:tabs>
          <w:tab w:val="left" w:pos="7665"/>
        </w:tabs>
        <w:spacing w:line="360" w:lineRule="auto"/>
        <w:ind w:firstLine="480"/>
        <w:rPr>
          <w:rFonts w:ascii="宋体" w:hAnsi="宋体"/>
          <w:color w:val="auto"/>
          <w:sz w:val="24"/>
          <w:highlight w:val="none"/>
        </w:rPr>
      </w:pPr>
      <w:r>
        <w:rPr>
          <w:rFonts w:hint="eastAsia" w:ascii="宋体" w:hAnsi="宋体" w:cs="仿宋"/>
          <w:color w:val="auto"/>
          <w:sz w:val="24"/>
          <w:highlight w:val="none"/>
        </w:rPr>
        <w:t>供应商应自行承担参加磋商活动的全部费用。</w:t>
      </w:r>
    </w:p>
    <w:p>
      <w:pPr>
        <w:pStyle w:val="67"/>
        <w:shd w:val="clear"/>
        <w:spacing w:line="360" w:lineRule="auto"/>
        <w:ind w:left="1" w:firstLine="482" w:firstLineChars="200"/>
        <w:rPr>
          <w:rFonts w:hAnsi="宋体"/>
          <w:b/>
          <w:bCs/>
          <w:color w:val="auto"/>
          <w:sz w:val="24"/>
          <w:szCs w:val="24"/>
          <w:highlight w:val="none"/>
        </w:rPr>
      </w:pPr>
      <w:r>
        <w:rPr>
          <w:rFonts w:hAnsi="宋体" w:cs="仿宋"/>
          <w:b/>
          <w:bCs/>
          <w:color w:val="auto"/>
          <w:sz w:val="24"/>
          <w:szCs w:val="24"/>
          <w:highlight w:val="none"/>
        </w:rPr>
        <w:t>5.</w:t>
      </w:r>
      <w:r>
        <w:rPr>
          <w:rFonts w:hint="eastAsia" w:hAnsi="宋体" w:cs="仿宋"/>
          <w:b/>
          <w:bCs/>
          <w:color w:val="auto"/>
          <w:sz w:val="24"/>
          <w:szCs w:val="24"/>
          <w:highlight w:val="none"/>
        </w:rPr>
        <w:t>充分、公平竞争保障措施（实质性要求）</w:t>
      </w:r>
    </w:p>
    <w:p>
      <w:pPr>
        <w:pStyle w:val="67"/>
        <w:shd w:val="clear"/>
        <w:spacing w:line="360" w:lineRule="auto"/>
        <w:ind w:left="1" w:firstLine="480" w:firstLineChars="200"/>
        <w:rPr>
          <w:rFonts w:hAnsi="宋体"/>
          <w:color w:val="auto"/>
          <w:sz w:val="24"/>
          <w:szCs w:val="24"/>
          <w:highlight w:val="none"/>
        </w:rPr>
      </w:pPr>
      <w:r>
        <w:rPr>
          <w:rFonts w:hAnsi="宋体" w:cs="仿宋"/>
          <w:color w:val="auto"/>
          <w:sz w:val="24"/>
          <w:szCs w:val="24"/>
          <w:highlight w:val="none"/>
        </w:rPr>
        <w:t>5.1</w:t>
      </w:r>
      <w:r>
        <w:rPr>
          <w:rFonts w:hint="eastAsia" w:hAnsi="宋体" w:cs="仿宋"/>
          <w:color w:val="auto"/>
          <w:sz w:val="24"/>
          <w:szCs w:val="24"/>
          <w:highlight w:val="none"/>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7"/>
        <w:shd w:val="clear"/>
        <w:spacing w:line="360" w:lineRule="auto"/>
        <w:ind w:left="1" w:firstLine="480" w:firstLineChars="200"/>
        <w:rPr>
          <w:rFonts w:hAnsi="宋体"/>
          <w:color w:val="auto"/>
          <w:sz w:val="24"/>
          <w:szCs w:val="24"/>
          <w:highlight w:val="none"/>
        </w:rPr>
      </w:pPr>
      <w:r>
        <w:rPr>
          <w:rFonts w:hAnsi="宋体" w:cs="仿宋"/>
          <w:color w:val="auto"/>
          <w:sz w:val="24"/>
          <w:szCs w:val="24"/>
          <w:highlight w:val="none"/>
        </w:rPr>
        <w:t>5.2</w:t>
      </w:r>
      <w:r>
        <w:rPr>
          <w:rFonts w:hint="eastAsia" w:hAnsi="宋体" w:cs="仿宋"/>
          <w:color w:val="auto"/>
          <w:sz w:val="24"/>
          <w:szCs w:val="24"/>
          <w:highlight w:val="none"/>
        </w:rPr>
        <w:t>利害关系授权代表处理。两家以上的供应商不得在同一合同项下的采购项目中，委托同一个自然人、同一家庭的人员、同一单位的人员作为其授权代表，否则，其响应文件作为无效处理。</w:t>
      </w:r>
    </w:p>
    <w:p>
      <w:pPr>
        <w:pStyle w:val="67"/>
        <w:shd w:val="clear"/>
        <w:spacing w:line="360" w:lineRule="auto"/>
        <w:ind w:left="1" w:firstLine="480" w:firstLineChars="200"/>
        <w:rPr>
          <w:rFonts w:hAnsi="宋体"/>
          <w:color w:val="auto"/>
          <w:sz w:val="24"/>
          <w:szCs w:val="24"/>
          <w:highlight w:val="none"/>
        </w:rPr>
      </w:pPr>
      <w:r>
        <w:rPr>
          <w:rFonts w:hAnsi="宋体" w:cs="仿宋"/>
          <w:color w:val="auto"/>
          <w:sz w:val="24"/>
          <w:szCs w:val="24"/>
          <w:highlight w:val="none"/>
        </w:rPr>
        <w:t>5.3</w:t>
      </w:r>
      <w:r>
        <w:rPr>
          <w:rFonts w:hint="eastAsia" w:hAnsi="宋体" w:cs="仿宋"/>
          <w:color w:val="auto"/>
          <w:sz w:val="24"/>
          <w:szCs w:val="24"/>
          <w:highlight w:val="none"/>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7"/>
        <w:shd w:val="clear"/>
        <w:spacing w:line="360" w:lineRule="auto"/>
        <w:ind w:left="1" w:firstLine="480" w:firstLineChars="200"/>
        <w:rPr>
          <w:rFonts w:hAnsi="宋体"/>
          <w:color w:val="auto"/>
          <w:sz w:val="24"/>
          <w:szCs w:val="24"/>
          <w:highlight w:val="none"/>
        </w:rPr>
      </w:pPr>
      <w:r>
        <w:rPr>
          <w:rFonts w:hAnsi="宋体" w:cs="仿宋"/>
          <w:color w:val="auto"/>
          <w:sz w:val="24"/>
          <w:szCs w:val="24"/>
          <w:highlight w:val="none"/>
        </w:rPr>
        <w:t>5.4</w:t>
      </w:r>
      <w:r>
        <w:rPr>
          <w:rFonts w:hint="eastAsia" w:hAnsi="宋体" w:cs="仿宋"/>
          <w:color w:val="auto"/>
          <w:sz w:val="24"/>
          <w:szCs w:val="24"/>
          <w:highlight w:val="none"/>
        </w:rPr>
        <w:t>供应商实际控制人或者中高级管理人员，同时是采购代理机构工作人员，不得参与本项目政府采购活动。</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5.5</w:t>
      </w:r>
      <w:r>
        <w:rPr>
          <w:rFonts w:hint="eastAsia" w:ascii="宋体" w:hAnsi="宋体" w:cs="仿宋"/>
          <w:color w:val="auto"/>
          <w:sz w:val="24"/>
          <w:highlight w:val="none"/>
        </w:rPr>
        <w:t>同一母公司的两家以上的子公司只能组成联合体参加本项目同一合同项下的采购活动，不得以不同供应商身份同时参加本项目同一合同项下的采购活动。</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5.6</w:t>
      </w:r>
      <w:r>
        <w:rPr>
          <w:rFonts w:hint="eastAsia" w:ascii="宋体" w:hAnsi="宋体" w:cs="仿宋"/>
          <w:color w:val="auto"/>
          <w:sz w:val="24"/>
          <w:highlight w:val="none"/>
        </w:rPr>
        <w:t>供应商与采购代理机构存在关联关系，或者是采购代理机构的母公司或子公司，不得参加本项目政府采购活动。</w:t>
      </w:r>
    </w:p>
    <w:p>
      <w:pPr>
        <w:pStyle w:val="67"/>
        <w:shd w:val="clear"/>
        <w:spacing w:line="360" w:lineRule="auto"/>
        <w:ind w:left="1" w:firstLine="480" w:firstLineChars="200"/>
        <w:rPr>
          <w:rFonts w:hAnsi="宋体"/>
          <w:color w:val="auto"/>
          <w:sz w:val="24"/>
          <w:szCs w:val="24"/>
          <w:highlight w:val="none"/>
        </w:rPr>
      </w:pPr>
      <w:r>
        <w:rPr>
          <w:rFonts w:hAnsi="宋体" w:cs="仿宋"/>
          <w:color w:val="auto"/>
          <w:sz w:val="24"/>
          <w:szCs w:val="24"/>
          <w:highlight w:val="none"/>
        </w:rPr>
        <w:t>5.7</w:t>
      </w:r>
      <w:r>
        <w:rPr>
          <w:rFonts w:hint="eastAsia" w:hAnsi="宋体" w:cs="仿宋"/>
          <w:color w:val="auto"/>
          <w:sz w:val="24"/>
          <w:szCs w:val="24"/>
          <w:highlight w:val="none"/>
        </w:rPr>
        <w:t>回避。政府采购活动中，采购人员及相关人员与供应商有下列利害关系之一的，应当回避：</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1</w:t>
      </w:r>
      <w:r>
        <w:rPr>
          <w:rFonts w:hint="eastAsia" w:hAnsi="宋体" w:cs="仿宋"/>
          <w:color w:val="auto"/>
          <w:sz w:val="24"/>
          <w:szCs w:val="24"/>
          <w:highlight w:val="none"/>
        </w:rPr>
        <w:t>）参加采购活动前</w:t>
      </w:r>
      <w:r>
        <w:rPr>
          <w:rFonts w:hAnsi="宋体" w:cs="仿宋"/>
          <w:color w:val="auto"/>
          <w:sz w:val="24"/>
          <w:szCs w:val="24"/>
          <w:highlight w:val="none"/>
        </w:rPr>
        <w:t>3</w:t>
      </w:r>
      <w:r>
        <w:rPr>
          <w:rFonts w:hint="eastAsia" w:hAnsi="宋体" w:cs="仿宋"/>
          <w:color w:val="auto"/>
          <w:sz w:val="24"/>
          <w:szCs w:val="24"/>
          <w:highlight w:val="none"/>
        </w:rPr>
        <w:t>年内与供应商存在劳动关系；</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2</w:t>
      </w:r>
      <w:r>
        <w:rPr>
          <w:rFonts w:hint="eastAsia" w:hAnsi="宋体" w:cs="仿宋"/>
          <w:color w:val="auto"/>
          <w:sz w:val="24"/>
          <w:szCs w:val="24"/>
          <w:highlight w:val="none"/>
        </w:rPr>
        <w:t>）参加采购活动前</w:t>
      </w:r>
      <w:r>
        <w:rPr>
          <w:rFonts w:hAnsi="宋体" w:cs="仿宋"/>
          <w:color w:val="auto"/>
          <w:sz w:val="24"/>
          <w:szCs w:val="24"/>
          <w:highlight w:val="none"/>
        </w:rPr>
        <w:t>3</w:t>
      </w:r>
      <w:r>
        <w:rPr>
          <w:rFonts w:hint="eastAsia" w:hAnsi="宋体" w:cs="仿宋"/>
          <w:color w:val="auto"/>
          <w:sz w:val="24"/>
          <w:szCs w:val="24"/>
          <w:highlight w:val="none"/>
        </w:rPr>
        <w:t>年内担任供应商的董事、监事；</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3</w:t>
      </w:r>
      <w:r>
        <w:rPr>
          <w:rFonts w:hint="eastAsia" w:hAnsi="宋体" w:cs="仿宋"/>
          <w:color w:val="auto"/>
          <w:sz w:val="24"/>
          <w:szCs w:val="24"/>
          <w:highlight w:val="none"/>
        </w:rPr>
        <w:t>）参加采购活动前</w:t>
      </w:r>
      <w:r>
        <w:rPr>
          <w:rFonts w:hAnsi="宋体" w:cs="仿宋"/>
          <w:color w:val="auto"/>
          <w:sz w:val="24"/>
          <w:szCs w:val="24"/>
          <w:highlight w:val="none"/>
        </w:rPr>
        <w:t>3</w:t>
      </w:r>
      <w:r>
        <w:rPr>
          <w:rFonts w:hint="eastAsia" w:hAnsi="宋体" w:cs="仿宋"/>
          <w:color w:val="auto"/>
          <w:sz w:val="24"/>
          <w:szCs w:val="24"/>
          <w:highlight w:val="none"/>
        </w:rPr>
        <w:t>年内是供应商的控股股东或者实际控制人；</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4</w:t>
      </w:r>
      <w:r>
        <w:rPr>
          <w:rFonts w:hint="eastAsia" w:hAnsi="宋体" w:cs="仿宋"/>
          <w:color w:val="auto"/>
          <w:sz w:val="24"/>
          <w:szCs w:val="24"/>
          <w:highlight w:val="none"/>
        </w:rPr>
        <w:t>）与供应商的法定代表人或者负责人有夫妻、直系血亲、三代以内旁系血亲或者近姻亲关系；</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w:t>
      </w:r>
      <w:r>
        <w:rPr>
          <w:rFonts w:hAnsi="宋体" w:cs="仿宋"/>
          <w:color w:val="auto"/>
          <w:sz w:val="24"/>
          <w:szCs w:val="24"/>
          <w:highlight w:val="none"/>
        </w:rPr>
        <w:t>5</w:t>
      </w:r>
      <w:r>
        <w:rPr>
          <w:rFonts w:hint="eastAsia" w:hAnsi="宋体" w:cs="仿宋"/>
          <w:color w:val="auto"/>
          <w:sz w:val="24"/>
          <w:szCs w:val="24"/>
          <w:highlight w:val="none"/>
        </w:rPr>
        <w:t>）与供应商有其他可能影响政府采购活动公平、公正进行的关系。</w:t>
      </w:r>
    </w:p>
    <w:p>
      <w:pPr>
        <w:pStyle w:val="67"/>
        <w:shd w:val="clear"/>
        <w:spacing w:line="360" w:lineRule="auto"/>
        <w:ind w:left="1" w:firstLine="480" w:firstLineChars="200"/>
        <w:rPr>
          <w:rFonts w:hAnsi="宋体"/>
          <w:color w:val="auto"/>
          <w:sz w:val="24"/>
          <w:szCs w:val="24"/>
          <w:highlight w:val="none"/>
        </w:rPr>
      </w:pPr>
      <w:r>
        <w:rPr>
          <w:rFonts w:hint="eastAsia" w:hAnsi="宋体"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7"/>
        <w:shd w:val="clear"/>
        <w:spacing w:line="360" w:lineRule="auto"/>
        <w:ind w:left="1" w:firstLine="480" w:firstLineChars="200"/>
        <w:rPr>
          <w:rFonts w:hAnsi="宋体"/>
          <w:b/>
          <w:bCs/>
          <w:color w:val="auto"/>
          <w:sz w:val="24"/>
          <w:szCs w:val="24"/>
          <w:highlight w:val="none"/>
        </w:rPr>
      </w:pPr>
      <w:r>
        <w:rPr>
          <w:rFonts w:hint="eastAsia" w:hAnsi="宋体"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7"/>
        <w:shd w:val="clear"/>
        <w:spacing w:line="360" w:lineRule="auto"/>
        <w:ind w:left="1" w:firstLine="482" w:firstLineChars="200"/>
        <w:rPr>
          <w:rFonts w:hAnsi="宋体"/>
          <w:b/>
          <w:bCs/>
          <w:color w:val="auto"/>
          <w:sz w:val="24"/>
          <w:szCs w:val="24"/>
          <w:highlight w:val="none"/>
        </w:rPr>
      </w:pPr>
      <w:r>
        <w:rPr>
          <w:rFonts w:hAnsi="宋体" w:cs="仿宋"/>
          <w:b/>
          <w:bCs/>
          <w:color w:val="auto"/>
          <w:sz w:val="24"/>
          <w:szCs w:val="24"/>
          <w:highlight w:val="none"/>
        </w:rPr>
        <w:t>6.</w:t>
      </w:r>
      <w:r>
        <w:rPr>
          <w:rFonts w:hint="eastAsia" w:hAnsi="宋体" w:cs="仿宋"/>
          <w:b/>
          <w:bCs/>
          <w:color w:val="auto"/>
          <w:sz w:val="24"/>
          <w:szCs w:val="24"/>
          <w:highlight w:val="none"/>
        </w:rPr>
        <w:t>联合体竞争性磋商（本项目是否接受联合体以第一章为准。）</w:t>
      </w:r>
    </w:p>
    <w:p>
      <w:pPr>
        <w:pStyle w:val="67"/>
        <w:shd w:val="clear"/>
        <w:spacing w:line="360" w:lineRule="auto"/>
        <w:ind w:left="1" w:firstLine="480" w:firstLineChars="200"/>
        <w:rPr>
          <w:rFonts w:hAnsi="宋体"/>
          <w:color w:val="auto"/>
          <w:sz w:val="24"/>
          <w:highlight w:val="none"/>
        </w:rPr>
      </w:pPr>
      <w:r>
        <w:rPr>
          <w:rFonts w:hint="eastAsia" w:hAnsi="宋体" w:cs="仿宋"/>
          <w:color w:val="auto"/>
          <w:sz w:val="24"/>
          <w:szCs w:val="24"/>
          <w:highlight w:val="none"/>
        </w:rPr>
        <w:t>联合体各方应当共同与采购人签订采购合同，就采购合同约定的事项对采购人承担连带责任。</w:t>
      </w:r>
    </w:p>
    <w:p>
      <w:pPr>
        <w:pStyle w:val="67"/>
        <w:numPr>
          <w:ilvl w:val="0"/>
          <w:numId w:val="1"/>
        </w:numPr>
        <w:shd w:val="clear"/>
        <w:spacing w:line="360" w:lineRule="auto"/>
        <w:ind w:left="1" w:firstLine="482" w:firstLineChars="200"/>
        <w:rPr>
          <w:rFonts w:hAnsi="宋体" w:cs="仿宋"/>
          <w:b/>
          <w:bCs/>
          <w:color w:val="auto"/>
          <w:sz w:val="24"/>
          <w:szCs w:val="24"/>
          <w:highlight w:val="none"/>
        </w:rPr>
      </w:pPr>
      <w:r>
        <w:rPr>
          <w:rFonts w:hint="eastAsia" w:hAnsi="宋体" w:cs="仿宋"/>
          <w:b/>
          <w:bCs/>
          <w:color w:val="auto"/>
          <w:sz w:val="24"/>
          <w:szCs w:val="24"/>
          <w:highlight w:val="none"/>
        </w:rPr>
        <w:t>磋商保证金</w:t>
      </w:r>
    </w:p>
    <w:p>
      <w:pPr>
        <w:pStyle w:val="67"/>
        <w:shd w:val="clear"/>
        <w:spacing w:line="360" w:lineRule="auto"/>
        <w:ind w:left="420" w:leftChars="200"/>
        <w:rPr>
          <w:rFonts w:hAnsi="宋体" w:cs="仿宋"/>
          <w:color w:val="auto"/>
          <w:sz w:val="24"/>
          <w:szCs w:val="24"/>
          <w:highlight w:val="none"/>
        </w:rPr>
      </w:pPr>
      <w:r>
        <w:rPr>
          <w:rFonts w:hint="eastAsia" w:hAnsi="宋体"/>
          <w:color w:val="auto"/>
          <w:sz w:val="24"/>
          <w:szCs w:val="24"/>
          <w:highlight w:val="none"/>
        </w:rPr>
        <w:t>本项目不缴纳磋商保证金</w:t>
      </w:r>
    </w:p>
    <w:p>
      <w:pPr>
        <w:shd w:val="clear"/>
        <w:spacing w:line="360" w:lineRule="auto"/>
        <w:ind w:firstLine="472" w:firstLineChars="196"/>
        <w:rPr>
          <w:rFonts w:ascii="宋体" w:hAnsi="宋体"/>
          <w:b/>
          <w:bCs/>
          <w:color w:val="auto"/>
          <w:sz w:val="24"/>
          <w:highlight w:val="none"/>
        </w:rPr>
      </w:pPr>
      <w:r>
        <w:rPr>
          <w:rFonts w:hint="eastAsia" w:ascii="宋体" w:hAnsi="宋体" w:cs="仿宋"/>
          <w:b/>
          <w:bCs/>
          <w:color w:val="auto"/>
          <w:sz w:val="24"/>
          <w:highlight w:val="none"/>
        </w:rPr>
        <w:t>8.响应文件有效期（实质性要求）</w:t>
      </w:r>
    </w:p>
    <w:p>
      <w:pPr>
        <w:shd w:val="clear"/>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本项目响应文件有效期为递交磋商响应文件截止之日起</w:t>
      </w:r>
      <w:r>
        <w:rPr>
          <w:rFonts w:ascii="宋体" w:hAnsi="宋体" w:cs="仿宋"/>
          <w:color w:val="auto"/>
          <w:sz w:val="24"/>
          <w:highlight w:val="none"/>
          <w:u w:val="single"/>
        </w:rPr>
        <w:t>90</w:t>
      </w:r>
      <w:r>
        <w:rPr>
          <w:rFonts w:hint="eastAsia" w:ascii="宋体" w:hAnsi="宋体" w:cs="仿宋"/>
          <w:color w:val="auto"/>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pStyle w:val="19"/>
        <w:shd w:val="clear"/>
        <w:spacing w:line="400" w:lineRule="exact"/>
        <w:ind w:firstLine="482" w:firstLineChars="200"/>
        <w:rPr>
          <w:rFonts w:ascii="宋体" w:hAnsi="宋体"/>
          <w:b/>
          <w:bCs/>
          <w:color w:val="auto"/>
          <w:sz w:val="24"/>
          <w:szCs w:val="24"/>
          <w:highlight w:val="none"/>
        </w:rPr>
      </w:pPr>
      <w:r>
        <w:rPr>
          <w:rFonts w:hint="eastAsia" w:ascii="宋体" w:hAnsi="宋体"/>
          <w:b/>
          <w:color w:val="auto"/>
          <w:sz w:val="24"/>
          <w:highlight w:val="none"/>
        </w:rPr>
        <w:t>9.</w:t>
      </w:r>
      <w:r>
        <w:rPr>
          <w:rFonts w:hint="eastAsia" w:ascii="宋体" w:hAnsi="宋体"/>
          <w:b/>
          <w:bCs/>
          <w:color w:val="auto"/>
          <w:sz w:val="24"/>
          <w:szCs w:val="24"/>
          <w:highlight w:val="none"/>
        </w:rPr>
        <w:t>知识产权（实质性要求）</w:t>
      </w:r>
    </w:p>
    <w:p>
      <w:pPr>
        <w:shd w:val="clear"/>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9</w:t>
      </w:r>
      <w:r>
        <w:rPr>
          <w:rFonts w:ascii="宋体" w:hAnsi="宋体" w:cs="仿宋"/>
          <w:color w:val="auto"/>
          <w:sz w:val="24"/>
          <w:highlight w:val="none"/>
        </w:rPr>
        <w:t>.1</w:t>
      </w:r>
      <w:r>
        <w:rPr>
          <w:rFonts w:hint="eastAsia" w:ascii="宋体" w:hAnsi="宋体" w:cs="仿宋"/>
          <w:color w:val="auto"/>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hd w:val="clear"/>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9</w:t>
      </w:r>
      <w:r>
        <w:rPr>
          <w:rFonts w:ascii="宋体" w:hAnsi="宋体" w:cs="仿宋"/>
          <w:color w:val="auto"/>
          <w:sz w:val="24"/>
          <w:highlight w:val="none"/>
        </w:rPr>
        <w:t>.2</w:t>
      </w:r>
      <w:r>
        <w:rPr>
          <w:rFonts w:hint="eastAsia" w:ascii="宋体" w:hAnsi="宋体" w:cs="仿宋"/>
          <w:color w:val="auto"/>
          <w:sz w:val="24"/>
          <w:highlight w:val="none"/>
        </w:rPr>
        <w:t xml:space="preserve"> 除非磋商文件特别规定，采购人享有本项目实施过程中产生的知识成果及知识产权。</w:t>
      </w:r>
    </w:p>
    <w:p>
      <w:pPr>
        <w:shd w:val="clear"/>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9</w:t>
      </w:r>
      <w:r>
        <w:rPr>
          <w:rFonts w:ascii="宋体" w:hAnsi="宋体" w:cs="仿宋"/>
          <w:color w:val="auto"/>
          <w:sz w:val="24"/>
          <w:highlight w:val="none"/>
        </w:rPr>
        <w:t>.3</w:t>
      </w:r>
      <w:r>
        <w:rPr>
          <w:rFonts w:hint="eastAsia" w:ascii="宋体" w:hAnsi="宋体" w:cs="仿宋"/>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hd w:val="clear"/>
        <w:spacing w:line="360" w:lineRule="auto"/>
        <w:ind w:firstLine="470" w:firstLineChars="196"/>
        <w:rPr>
          <w:rFonts w:ascii="宋体" w:hAnsi="宋体"/>
          <w:color w:val="auto"/>
          <w:sz w:val="24"/>
          <w:highlight w:val="none"/>
        </w:rPr>
      </w:pPr>
      <w:r>
        <w:rPr>
          <w:rFonts w:hint="eastAsia" w:ascii="宋体" w:hAnsi="宋体" w:cs="仿宋"/>
          <w:color w:val="auto"/>
          <w:sz w:val="24"/>
          <w:highlight w:val="none"/>
        </w:rPr>
        <w:t>9</w:t>
      </w:r>
      <w:r>
        <w:rPr>
          <w:rFonts w:ascii="宋体" w:hAnsi="宋体" w:cs="仿宋"/>
          <w:color w:val="auto"/>
          <w:sz w:val="24"/>
          <w:highlight w:val="none"/>
        </w:rPr>
        <w:t>.4</w:t>
      </w:r>
      <w:r>
        <w:rPr>
          <w:rFonts w:hint="eastAsia" w:ascii="宋体" w:hAnsi="宋体" w:cs="仿宋"/>
          <w:color w:val="auto"/>
          <w:sz w:val="24"/>
          <w:highlight w:val="none"/>
        </w:rPr>
        <w:t xml:space="preserve"> 如采用供应商所不拥有的知识产权，则在报价中必须包括合法获取该知识产权的相关费用。</w:t>
      </w:r>
      <w:bookmarkEnd w:id="43"/>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三、磋商文件</w:t>
      </w:r>
    </w:p>
    <w:p>
      <w:pPr>
        <w:pStyle w:val="7"/>
        <w:keepNext w:val="0"/>
        <w:keepLines w:val="0"/>
        <w:shd w:val="clear"/>
        <w:spacing w:before="0" w:after="0" w:line="360" w:lineRule="auto"/>
        <w:ind w:firstLine="482" w:firstLineChars="200"/>
        <w:rPr>
          <w:rFonts w:ascii="宋体" w:hAnsi="宋体"/>
          <w:color w:val="auto"/>
          <w:sz w:val="24"/>
          <w:szCs w:val="24"/>
          <w:highlight w:val="none"/>
        </w:rPr>
      </w:pPr>
      <w:bookmarkStart w:id="44" w:name="PO_默认文件内容_25"/>
      <w:r>
        <w:rPr>
          <w:rFonts w:ascii="宋体" w:hAnsi="宋体" w:cs="仿宋"/>
          <w:color w:val="auto"/>
          <w:sz w:val="24"/>
          <w:szCs w:val="24"/>
          <w:highlight w:val="none"/>
        </w:rPr>
        <w:t>10</w:t>
      </w:r>
      <w:r>
        <w:rPr>
          <w:rFonts w:hint="eastAsia" w:ascii="宋体" w:hAnsi="宋体" w:cs="仿宋"/>
          <w:color w:val="auto"/>
          <w:sz w:val="24"/>
          <w:szCs w:val="24"/>
          <w:highlight w:val="none"/>
        </w:rPr>
        <w:t>．磋商文件的构成（实质性要求）</w:t>
      </w:r>
    </w:p>
    <w:p>
      <w:pPr>
        <w:shd w:val="clear"/>
        <w:tabs>
          <w:tab w:val="left" w:pos="720"/>
        </w:tabs>
        <w:spacing w:line="360" w:lineRule="auto"/>
        <w:ind w:firstLine="480" w:firstLineChars="200"/>
        <w:rPr>
          <w:rFonts w:ascii="宋体" w:hAnsi="宋体"/>
          <w:color w:val="auto"/>
          <w:sz w:val="24"/>
          <w:highlight w:val="none"/>
        </w:rPr>
      </w:pPr>
      <w:r>
        <w:rPr>
          <w:rFonts w:ascii="宋体" w:hAnsi="宋体" w:cs="仿宋"/>
          <w:color w:val="auto"/>
          <w:sz w:val="24"/>
          <w:highlight w:val="none"/>
        </w:rPr>
        <w:t>10</w:t>
      </w:r>
      <w:r>
        <w:rPr>
          <w:rFonts w:ascii="宋体" w:hAnsi="宋体" w:cs="仿宋"/>
          <w:b/>
          <w:bCs/>
          <w:color w:val="auto"/>
          <w:sz w:val="24"/>
          <w:highlight w:val="none"/>
        </w:rPr>
        <w:t>.</w:t>
      </w:r>
      <w:r>
        <w:rPr>
          <w:rFonts w:ascii="宋体" w:hAnsi="宋体" w:cs="仿宋"/>
          <w:color w:val="auto"/>
          <w:sz w:val="24"/>
          <w:highlight w:val="none"/>
        </w:rPr>
        <w:t xml:space="preserve">1 </w:t>
      </w:r>
      <w:r>
        <w:rPr>
          <w:rFonts w:hint="eastAsia" w:ascii="宋体" w:hAnsi="宋体" w:cs="仿宋"/>
          <w:color w:val="auto"/>
          <w:sz w:val="24"/>
          <w:highlight w:val="none"/>
        </w:rPr>
        <w:t>磋商文件是供应商准备响应文件和参加磋商的依据，同时也是磋商的重要依据。磋商文件用以阐明磋商项目所需的资质、技术、服务及报价等要求、磋商程序、有关规定和注意事项以及合同主要条款等。</w:t>
      </w:r>
    </w:p>
    <w:p>
      <w:pPr>
        <w:shd w:val="clear"/>
        <w:tabs>
          <w:tab w:val="left" w:pos="7665"/>
        </w:tabs>
        <w:spacing w:line="360" w:lineRule="auto"/>
        <w:ind w:firstLine="480" w:firstLineChars="200"/>
        <w:rPr>
          <w:rFonts w:ascii="宋体" w:hAnsi="宋体"/>
          <w:color w:val="auto"/>
          <w:sz w:val="24"/>
          <w:highlight w:val="none"/>
        </w:rPr>
      </w:pPr>
      <w:r>
        <w:rPr>
          <w:rFonts w:ascii="宋体" w:hAnsi="宋体" w:cs="仿宋"/>
          <w:color w:val="auto"/>
          <w:sz w:val="24"/>
          <w:highlight w:val="none"/>
        </w:rPr>
        <w:t>10</w:t>
      </w:r>
      <w:r>
        <w:rPr>
          <w:rFonts w:ascii="宋体" w:hAnsi="宋体" w:cs="仿宋"/>
          <w:b/>
          <w:bCs/>
          <w:color w:val="auto"/>
          <w:sz w:val="24"/>
          <w:highlight w:val="none"/>
        </w:rPr>
        <w:t>.</w:t>
      </w:r>
      <w:r>
        <w:rPr>
          <w:rFonts w:ascii="宋体" w:hAnsi="宋体" w:cs="仿宋"/>
          <w:color w:val="auto"/>
          <w:sz w:val="24"/>
          <w:highlight w:val="none"/>
        </w:rPr>
        <w:t xml:space="preserve">2 </w:t>
      </w:r>
      <w:r>
        <w:rPr>
          <w:rFonts w:hint="eastAsia" w:ascii="宋体" w:hAnsi="宋体" w:cs="仿宋"/>
          <w:color w:val="auto"/>
          <w:sz w:val="24"/>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 xml:space="preserve">11. </w:t>
      </w:r>
      <w:r>
        <w:rPr>
          <w:rFonts w:hint="eastAsia" w:ascii="宋体" w:hAnsi="宋体" w:cs="仿宋"/>
          <w:color w:val="auto"/>
          <w:sz w:val="24"/>
          <w:szCs w:val="24"/>
          <w:highlight w:val="none"/>
        </w:rPr>
        <w:t>磋商文件的澄清和修改</w:t>
      </w:r>
    </w:p>
    <w:p>
      <w:pPr>
        <w:shd w:val="clear"/>
        <w:tabs>
          <w:tab w:val="left" w:pos="720"/>
        </w:tabs>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11.1 </w:t>
      </w:r>
      <w:r>
        <w:rPr>
          <w:rFonts w:hint="eastAsia" w:ascii="宋体" w:hAnsi="宋体" w:cs="仿宋"/>
          <w:color w:val="auto"/>
          <w:sz w:val="24"/>
          <w:highlight w:val="none"/>
        </w:rPr>
        <w:t>在递交响应文件截止时间前，采购人、采购代理机构可以对磋商文件进行澄清或者修改。</w:t>
      </w:r>
    </w:p>
    <w:p>
      <w:pPr>
        <w:shd w:val="clear"/>
        <w:tabs>
          <w:tab w:val="left" w:pos="720"/>
        </w:tabs>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11.2 </w:t>
      </w:r>
      <w:r>
        <w:rPr>
          <w:rFonts w:hint="eastAsia" w:ascii="宋体" w:hAnsi="宋体" w:cs="仿宋"/>
          <w:color w:val="auto"/>
          <w:sz w:val="24"/>
          <w:highlight w:val="none"/>
        </w:rPr>
        <w:t>采购代理机构对已发出的磋商文件进行澄清或者修改，应当以书面形式将澄清或者修改的内容通知所有按照规定获得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首次提交响应文件截止之日起</w:t>
      </w:r>
      <w:r>
        <w:rPr>
          <w:rFonts w:ascii="宋体" w:hAnsi="宋体" w:cs="仿宋"/>
          <w:color w:val="auto"/>
          <w:sz w:val="24"/>
          <w:highlight w:val="none"/>
        </w:rPr>
        <w:t>5</w:t>
      </w:r>
      <w:r>
        <w:rPr>
          <w:rFonts w:hint="eastAsia" w:ascii="宋体" w:hAnsi="宋体" w:cs="仿宋"/>
          <w:color w:val="auto"/>
          <w:sz w:val="24"/>
          <w:highlight w:val="none"/>
        </w:rPr>
        <w:t>日前；不足上述时间的，应当顺延递交响应文件的截止时间。</w:t>
      </w:r>
    </w:p>
    <w:p>
      <w:pPr>
        <w:shd w:val="clear"/>
        <w:tabs>
          <w:tab w:val="left" w:pos="720"/>
        </w:tabs>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11.3 </w:t>
      </w:r>
      <w:r>
        <w:rPr>
          <w:rFonts w:hint="eastAsia" w:ascii="宋体" w:hAnsi="宋体" w:cs="仿宋"/>
          <w:color w:val="auto"/>
          <w:sz w:val="24"/>
          <w:highlight w:val="none"/>
        </w:rPr>
        <w:t>供应商应于递交响应文件截止前，在四川政府采购网和《供应商服务系统》查询本项目的更正公告，以保证其对磋商文件做出正确的响应。更正公告通过《供应商服务系统》推送至所有购买采购文件的供应商，供应商自行下载使用。供应商未按要求下载相关文件，或由于未及时关注更正公告的信息造成的后果，其责任由供应商自行负责。</w:t>
      </w:r>
    </w:p>
    <w:p>
      <w:pPr>
        <w:shd w:val="clear"/>
        <w:tabs>
          <w:tab w:val="left" w:pos="720"/>
        </w:tabs>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11.4</w:t>
      </w:r>
      <w:r>
        <w:rPr>
          <w:rFonts w:hint="eastAsia" w:ascii="宋体" w:hAnsi="宋体" w:cs="仿宋"/>
          <w:color w:val="auto"/>
          <w:sz w:val="24"/>
          <w:highlight w:val="none"/>
        </w:rPr>
        <w:t>供应商认为需要对磋商文件进行澄清或者修改的，可以以书面形式向采购人或采购代理机构提出申请，由采购人或采购代理机构决定是否采纳供应商的申请事项。</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 xml:space="preserve">12. </w:t>
      </w:r>
      <w:r>
        <w:rPr>
          <w:rFonts w:hint="eastAsia" w:ascii="宋体" w:hAnsi="宋体" w:cs="仿宋"/>
          <w:color w:val="auto"/>
          <w:sz w:val="24"/>
          <w:szCs w:val="24"/>
          <w:highlight w:val="none"/>
        </w:rPr>
        <w:t>答疑会和现场考察</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12.1 </w:t>
      </w:r>
      <w:r>
        <w:rPr>
          <w:rFonts w:hint="eastAsia" w:ascii="宋体" w:hAnsi="宋体" w:cs="仿宋"/>
          <w:color w:val="auto"/>
          <w:sz w:val="24"/>
          <w:highlight w:val="none"/>
        </w:rPr>
        <w:t>根据采购项目和具体情况，采购人、采购代理机构认为有必要，可以在磋商文件提供期限截止后响应文件提交截止前，组织已获取磋商文件的潜在供应商现场考察或者召开答疑会。</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12.2</w:t>
      </w:r>
      <w:r>
        <w:rPr>
          <w:rFonts w:hint="eastAsia" w:ascii="宋体" w:hAnsi="宋体" w:cs="仿宋"/>
          <w:color w:val="auto"/>
          <w:sz w:val="24"/>
          <w:highlight w:val="none"/>
        </w:rPr>
        <w:t>采购人、采购代理机构组织现场考察或者召开答疑会的，将以书面形式通知所有按照规定获取了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hd w:val="clear"/>
        <w:adjustRightInd w:val="0"/>
        <w:snapToGrid w:val="0"/>
        <w:spacing w:line="360" w:lineRule="auto"/>
        <w:ind w:firstLine="420" w:firstLineChars="175"/>
        <w:rPr>
          <w:rFonts w:ascii="宋体" w:hAnsi="宋体"/>
          <w:color w:val="auto"/>
          <w:sz w:val="24"/>
          <w:highlight w:val="none"/>
        </w:rPr>
      </w:pPr>
      <w:r>
        <w:rPr>
          <w:rFonts w:ascii="宋体" w:hAnsi="宋体" w:cs="仿宋"/>
          <w:color w:val="auto"/>
          <w:sz w:val="24"/>
          <w:highlight w:val="none"/>
        </w:rPr>
        <w:t xml:space="preserve">12.3 </w:t>
      </w:r>
      <w:r>
        <w:rPr>
          <w:rFonts w:hint="eastAsia" w:ascii="宋体" w:hAnsi="宋体" w:cs="仿宋"/>
          <w:color w:val="auto"/>
          <w:sz w:val="24"/>
          <w:highlight w:val="none"/>
        </w:rPr>
        <w:t>供应商考察现场或者参加答疑会所发生的一切费用由供应商自己承担。</w:t>
      </w:r>
      <w:bookmarkEnd w:id="44"/>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四、响应文件</w:t>
      </w:r>
    </w:p>
    <w:p>
      <w:pPr>
        <w:shd w:val="clear"/>
        <w:spacing w:line="400" w:lineRule="exact"/>
        <w:ind w:firstLine="482" w:firstLineChars="200"/>
        <w:outlineLvl w:val="2"/>
        <w:rPr>
          <w:rFonts w:ascii="宋体" w:hAnsi="宋体"/>
          <w:b/>
          <w:bCs/>
          <w:color w:val="auto"/>
          <w:sz w:val="24"/>
          <w:highlight w:val="none"/>
        </w:rPr>
      </w:pPr>
      <w:r>
        <w:rPr>
          <w:rFonts w:ascii="宋体" w:hAnsi="宋体" w:cs="仿宋"/>
          <w:b/>
          <w:bCs/>
          <w:color w:val="auto"/>
          <w:sz w:val="24"/>
          <w:highlight w:val="none"/>
        </w:rPr>
        <w:t>13.</w:t>
      </w:r>
      <w:r>
        <w:rPr>
          <w:rFonts w:hint="eastAsia" w:ascii="宋体" w:hAnsi="宋体" w:cs="仿宋"/>
          <w:b/>
          <w:bCs/>
          <w:color w:val="auto"/>
          <w:sz w:val="24"/>
          <w:highlight w:val="none"/>
        </w:rPr>
        <w:t>响应文件的组成（实质性要求）</w:t>
      </w:r>
    </w:p>
    <w:p>
      <w:pPr>
        <w:shd w:val="clear"/>
        <w:spacing w:line="400" w:lineRule="exact"/>
        <w:ind w:left="2" w:leftChars="1" w:firstLine="480" w:firstLineChars="200"/>
        <w:rPr>
          <w:rFonts w:ascii="宋体" w:hAnsi="宋体"/>
          <w:color w:val="auto"/>
          <w:sz w:val="24"/>
          <w:highlight w:val="none"/>
        </w:rPr>
      </w:pPr>
      <w:r>
        <w:rPr>
          <w:rFonts w:ascii="宋体" w:hAnsi="宋体" w:cs="仿宋"/>
          <w:color w:val="auto"/>
          <w:sz w:val="24"/>
          <w:highlight w:val="none"/>
        </w:rPr>
        <w:t>13.1</w:t>
      </w:r>
      <w:r>
        <w:rPr>
          <w:rFonts w:hint="eastAsia" w:ascii="宋体" w:hAnsi="宋体" w:cs="仿宋"/>
          <w:color w:val="auto"/>
          <w:sz w:val="24"/>
          <w:highlight w:val="none"/>
        </w:rPr>
        <w:t>供应商应按照磋商文件的规定和要求编制响应文件。供应商在成交后将成交项目的非主体、非关键性工作分包他人完成的，应当在响应文件中载明或磋商过程中澄清。</w:t>
      </w:r>
    </w:p>
    <w:p>
      <w:pPr>
        <w:shd w:val="clear"/>
        <w:spacing w:line="400" w:lineRule="exact"/>
        <w:ind w:left="2" w:leftChars="1" w:firstLine="480" w:firstLineChars="200"/>
        <w:rPr>
          <w:rFonts w:ascii="宋体" w:hAnsi="宋体"/>
          <w:color w:val="auto"/>
          <w:sz w:val="24"/>
          <w:highlight w:val="none"/>
        </w:rPr>
      </w:pPr>
      <w:r>
        <w:rPr>
          <w:rFonts w:ascii="宋体" w:hAnsi="宋体" w:cs="仿宋"/>
          <w:color w:val="auto"/>
          <w:sz w:val="24"/>
          <w:highlight w:val="none"/>
        </w:rPr>
        <w:t>13.2</w:t>
      </w:r>
      <w:r>
        <w:rPr>
          <w:rFonts w:hint="eastAsia" w:ascii="宋体" w:hAnsi="宋体" w:cs="仿宋"/>
          <w:color w:val="auto"/>
          <w:sz w:val="24"/>
          <w:highlight w:val="none"/>
        </w:rPr>
        <w:t>供应商编写的响应文件应包括资格性响应文件和其他响应文件两部分，分册装订。</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14.</w:t>
      </w:r>
      <w:r>
        <w:rPr>
          <w:rFonts w:hint="eastAsia" w:ascii="宋体" w:hAnsi="宋体" w:cs="仿宋"/>
          <w:color w:val="auto"/>
          <w:sz w:val="24"/>
          <w:szCs w:val="24"/>
          <w:highlight w:val="none"/>
        </w:rPr>
        <w:t>响应文件的语言（实质性要求）</w:t>
      </w:r>
    </w:p>
    <w:p>
      <w:pPr>
        <w:shd w:val="clear"/>
        <w:tabs>
          <w:tab w:val="left" w:pos="1134"/>
        </w:tabs>
        <w:spacing w:line="360" w:lineRule="auto"/>
        <w:ind w:firstLine="480" w:firstLineChars="200"/>
        <w:jc w:val="left"/>
        <w:rPr>
          <w:rFonts w:ascii="宋体" w:hAnsi="宋体"/>
          <w:color w:val="auto"/>
          <w:sz w:val="24"/>
          <w:highlight w:val="none"/>
        </w:rPr>
      </w:pPr>
      <w:r>
        <w:rPr>
          <w:rFonts w:ascii="宋体" w:hAnsi="宋体" w:cs="仿宋"/>
          <w:color w:val="auto"/>
          <w:sz w:val="24"/>
          <w:highlight w:val="none"/>
        </w:rPr>
        <w:t>14.1</w:t>
      </w:r>
      <w:r>
        <w:rPr>
          <w:rFonts w:hint="eastAsia" w:ascii="宋体" w:hAnsi="宋体" w:cs="仿宋"/>
          <w:color w:val="auto"/>
          <w:sz w:val="24"/>
          <w:highlight w:val="none"/>
        </w:rPr>
        <w:t>供应商提交的响应文件以及供应商与采购组织单位就有关磋商采购的所有来往书面文件均须使用中文。响应文件中如附有外文资料，主要部分要对应翻译成中文并加盖供应商公章后附在相关外文资料后面。</w:t>
      </w:r>
    </w:p>
    <w:p>
      <w:pPr>
        <w:shd w:val="clear"/>
        <w:tabs>
          <w:tab w:val="left" w:pos="1134"/>
        </w:tabs>
        <w:spacing w:line="360" w:lineRule="auto"/>
        <w:ind w:firstLine="480" w:firstLineChars="200"/>
        <w:jc w:val="left"/>
        <w:rPr>
          <w:rFonts w:ascii="宋体" w:hAnsi="宋体"/>
          <w:color w:val="auto"/>
          <w:sz w:val="24"/>
          <w:highlight w:val="none"/>
        </w:rPr>
      </w:pPr>
      <w:r>
        <w:rPr>
          <w:rFonts w:ascii="宋体" w:hAnsi="宋体" w:cs="仿宋"/>
          <w:color w:val="auto"/>
          <w:sz w:val="24"/>
          <w:highlight w:val="none"/>
        </w:rPr>
        <w:t xml:space="preserve">14.2 </w:t>
      </w:r>
      <w:r>
        <w:rPr>
          <w:rFonts w:hint="eastAsia" w:ascii="宋体" w:hAnsi="宋体" w:cs="仿宋"/>
          <w:color w:val="auto"/>
          <w:sz w:val="24"/>
          <w:highlight w:val="none"/>
        </w:rPr>
        <w:t>翻译的中文资料与外文资料如果出现差异和矛盾时，以中文为准。涉嫌提供虚假材料的按照相关法律法规处理。</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14.3 </w:t>
      </w:r>
      <w:r>
        <w:rPr>
          <w:rFonts w:hint="eastAsia" w:ascii="宋体" w:hAnsi="宋体" w:cs="仿宋"/>
          <w:color w:val="auto"/>
          <w:sz w:val="24"/>
          <w:highlight w:val="none"/>
        </w:rPr>
        <w:t>如因未翻译而造成对供应商的不利后果，由供应商承担。</w:t>
      </w:r>
    </w:p>
    <w:p>
      <w:pPr>
        <w:pStyle w:val="7"/>
        <w:keepNext w:val="0"/>
        <w:keepLines w:val="0"/>
        <w:shd w:val="clear"/>
        <w:spacing w:before="0" w:after="0" w:line="360" w:lineRule="auto"/>
        <w:ind w:firstLine="482" w:firstLineChars="200"/>
        <w:rPr>
          <w:rFonts w:ascii="宋体" w:hAnsi="宋体"/>
          <w:color w:val="auto"/>
          <w:sz w:val="24"/>
          <w:szCs w:val="24"/>
          <w:highlight w:val="none"/>
        </w:rPr>
      </w:pPr>
      <w:r>
        <w:rPr>
          <w:rFonts w:ascii="宋体" w:hAnsi="宋体" w:cs="仿宋"/>
          <w:color w:val="auto"/>
          <w:sz w:val="24"/>
          <w:szCs w:val="24"/>
          <w:highlight w:val="none"/>
        </w:rPr>
        <w:t>15</w:t>
      </w:r>
      <w:r>
        <w:rPr>
          <w:rFonts w:hint="eastAsia" w:ascii="宋体" w:hAnsi="宋体" w:cs="仿宋"/>
          <w:color w:val="auto"/>
          <w:sz w:val="24"/>
          <w:szCs w:val="24"/>
          <w:highlight w:val="none"/>
        </w:rPr>
        <w:t>．计量单位（实质性要求）</w:t>
      </w:r>
    </w:p>
    <w:p>
      <w:pPr>
        <w:shd w:val="clear"/>
        <w:spacing w:line="360" w:lineRule="auto"/>
        <w:ind w:firstLine="470" w:firstLineChars="196"/>
        <w:rPr>
          <w:rFonts w:ascii="宋体" w:hAnsi="宋体"/>
          <w:b/>
          <w:bCs/>
          <w:color w:val="auto"/>
          <w:sz w:val="24"/>
          <w:highlight w:val="none"/>
        </w:rPr>
      </w:pPr>
      <w:r>
        <w:rPr>
          <w:rFonts w:hint="eastAsia" w:ascii="宋体" w:hAnsi="宋体" w:cs="仿宋"/>
          <w:color w:val="auto"/>
          <w:sz w:val="24"/>
          <w:highlight w:val="none"/>
        </w:rPr>
        <w:t>除磋商文件中另有规定外，本次采购项目所有合同项下的报价均采用国家法定的计量单位。</w:t>
      </w:r>
    </w:p>
    <w:p>
      <w:pPr>
        <w:shd w:val="clear"/>
        <w:spacing w:line="360" w:lineRule="auto"/>
        <w:ind w:firstLine="470" w:firstLineChars="195"/>
        <w:rPr>
          <w:rFonts w:ascii="宋体" w:hAnsi="宋体" w:cs="仿宋"/>
          <w:b/>
          <w:bCs/>
          <w:color w:val="auto"/>
          <w:sz w:val="24"/>
          <w:highlight w:val="none"/>
        </w:rPr>
      </w:pPr>
      <w:r>
        <w:rPr>
          <w:rFonts w:ascii="宋体" w:hAnsi="宋体" w:cs="仿宋"/>
          <w:b/>
          <w:bCs/>
          <w:color w:val="auto"/>
          <w:sz w:val="24"/>
          <w:highlight w:val="none"/>
        </w:rPr>
        <w:t xml:space="preserve">16. </w:t>
      </w:r>
      <w:r>
        <w:rPr>
          <w:rFonts w:hint="eastAsia" w:ascii="宋体" w:hAnsi="宋体" w:cs="仿宋"/>
          <w:b/>
          <w:bCs/>
          <w:color w:val="auto"/>
          <w:sz w:val="24"/>
          <w:highlight w:val="none"/>
        </w:rPr>
        <w:t>报价货币（实质性要求）</w:t>
      </w:r>
    </w:p>
    <w:p>
      <w:pPr>
        <w:shd w:val="clear"/>
        <w:spacing w:line="360" w:lineRule="auto"/>
        <w:ind w:left="2" w:leftChars="1" w:firstLine="480" w:firstLineChars="200"/>
        <w:rPr>
          <w:rFonts w:ascii="宋体" w:hAnsi="宋体" w:cs="仿宋"/>
          <w:color w:val="auto"/>
          <w:sz w:val="24"/>
          <w:highlight w:val="none"/>
        </w:rPr>
      </w:pPr>
      <w:r>
        <w:rPr>
          <w:rFonts w:hint="eastAsia" w:ascii="宋体" w:hAnsi="宋体" w:cs="仿宋"/>
          <w:color w:val="auto"/>
          <w:sz w:val="24"/>
          <w:highlight w:val="none"/>
        </w:rPr>
        <w:t>本次磋商项目的报价货币为人民币，报价以磋商文件规定为准。</w:t>
      </w:r>
    </w:p>
    <w:p>
      <w:pPr>
        <w:shd w:val="clear"/>
        <w:spacing w:line="360" w:lineRule="auto"/>
        <w:ind w:left="2" w:leftChars="1" w:firstLine="482" w:firstLineChars="200"/>
        <w:rPr>
          <w:rFonts w:ascii="宋体" w:hAnsi="宋体"/>
          <w:b/>
          <w:bCs/>
          <w:color w:val="auto"/>
          <w:sz w:val="24"/>
          <w:highlight w:val="none"/>
        </w:rPr>
      </w:pPr>
      <w:r>
        <w:rPr>
          <w:rFonts w:ascii="宋体" w:hAnsi="宋体" w:cs="仿宋"/>
          <w:b/>
          <w:bCs/>
          <w:color w:val="auto"/>
          <w:sz w:val="24"/>
          <w:highlight w:val="none"/>
        </w:rPr>
        <w:t>17.</w:t>
      </w:r>
      <w:r>
        <w:rPr>
          <w:rFonts w:hint="eastAsia" w:ascii="宋体" w:hAnsi="宋体" w:cs="仿宋"/>
          <w:b/>
          <w:bCs/>
          <w:color w:val="auto"/>
          <w:sz w:val="24"/>
          <w:highlight w:val="none"/>
        </w:rPr>
        <w:t>响应文件格式</w:t>
      </w:r>
    </w:p>
    <w:p>
      <w:pPr>
        <w:shd w:val="clear"/>
        <w:spacing w:line="360" w:lineRule="auto"/>
        <w:ind w:left="2" w:leftChars="1" w:firstLine="480" w:firstLineChars="200"/>
        <w:rPr>
          <w:rFonts w:ascii="宋体" w:hAnsi="宋体"/>
          <w:color w:val="auto"/>
          <w:sz w:val="24"/>
          <w:highlight w:val="none"/>
        </w:rPr>
      </w:pPr>
      <w:r>
        <w:rPr>
          <w:rFonts w:ascii="宋体" w:hAnsi="宋体" w:cs="仿宋"/>
          <w:color w:val="auto"/>
          <w:sz w:val="24"/>
          <w:highlight w:val="none"/>
        </w:rPr>
        <w:t xml:space="preserve">17.1 </w:t>
      </w:r>
      <w:r>
        <w:rPr>
          <w:rFonts w:hint="eastAsia" w:ascii="宋体" w:hAnsi="宋体" w:cs="仿宋"/>
          <w:color w:val="auto"/>
          <w:sz w:val="24"/>
          <w:highlight w:val="none"/>
        </w:rPr>
        <w:t>供应商应执行磋商文件第八章的规定要求。</w:t>
      </w:r>
    </w:p>
    <w:p>
      <w:pPr>
        <w:shd w:val="clear"/>
        <w:spacing w:line="360" w:lineRule="auto"/>
        <w:ind w:left="2" w:leftChars="1" w:firstLine="480" w:firstLineChars="200"/>
        <w:rPr>
          <w:rFonts w:ascii="宋体" w:hAnsi="宋体"/>
          <w:color w:val="auto"/>
          <w:sz w:val="24"/>
          <w:highlight w:val="none"/>
        </w:rPr>
      </w:pPr>
      <w:r>
        <w:rPr>
          <w:rFonts w:ascii="宋体" w:hAnsi="宋体" w:cs="仿宋"/>
          <w:color w:val="auto"/>
          <w:sz w:val="24"/>
          <w:highlight w:val="none"/>
        </w:rPr>
        <w:t xml:space="preserve">17.2 </w:t>
      </w:r>
      <w:r>
        <w:rPr>
          <w:rFonts w:hint="eastAsia" w:ascii="宋体" w:hAnsi="宋体" w:cs="仿宋"/>
          <w:color w:val="auto"/>
          <w:sz w:val="24"/>
          <w:highlight w:val="none"/>
        </w:rPr>
        <w:t>对于磋商文件没有格式要求的由供应商自行编写。</w:t>
      </w:r>
    </w:p>
    <w:p>
      <w:pPr>
        <w:shd w:val="clear"/>
        <w:spacing w:line="360" w:lineRule="auto"/>
        <w:ind w:firstLine="472" w:firstLineChars="196"/>
        <w:rPr>
          <w:rFonts w:ascii="宋体" w:hAnsi="宋体"/>
          <w:b/>
          <w:bCs/>
          <w:color w:val="auto"/>
          <w:sz w:val="24"/>
          <w:highlight w:val="none"/>
        </w:rPr>
      </w:pPr>
      <w:r>
        <w:rPr>
          <w:rFonts w:ascii="宋体" w:hAnsi="宋体" w:cs="仿宋"/>
          <w:b/>
          <w:bCs/>
          <w:color w:val="auto"/>
          <w:sz w:val="24"/>
          <w:highlight w:val="none"/>
        </w:rPr>
        <w:t>18.</w:t>
      </w:r>
      <w:r>
        <w:rPr>
          <w:rFonts w:hint="eastAsia" w:ascii="宋体" w:hAnsi="宋体" w:cs="仿宋"/>
          <w:b/>
          <w:bCs/>
          <w:color w:val="auto"/>
          <w:sz w:val="24"/>
          <w:highlight w:val="none"/>
        </w:rPr>
        <w:t>响应文件的编制和签署</w:t>
      </w:r>
    </w:p>
    <w:p>
      <w:pPr>
        <w:shd w:val="clear"/>
        <w:spacing w:line="360" w:lineRule="auto"/>
        <w:ind w:firstLine="468" w:firstLineChars="195"/>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1</w:t>
      </w:r>
      <w:r>
        <w:rPr>
          <w:rFonts w:ascii="宋体" w:hAnsi="宋体" w:cs="仿宋"/>
          <w:color w:val="auto"/>
          <w:sz w:val="24"/>
          <w:highlight w:val="none"/>
        </w:rPr>
        <w:t xml:space="preserve"> </w:t>
      </w:r>
      <w:r>
        <w:rPr>
          <w:rFonts w:hint="eastAsia" w:ascii="宋体" w:hAnsi="宋体"/>
          <w:bCs/>
          <w:color w:val="auto"/>
          <w:sz w:val="24"/>
          <w:highlight w:val="none"/>
        </w:rPr>
        <w:t>资格性</w:t>
      </w:r>
      <w:r>
        <w:rPr>
          <w:rFonts w:hint="eastAsia" w:ascii="宋体" w:hAnsi="宋体" w:cs="仿宋"/>
          <w:color w:val="auto"/>
          <w:sz w:val="24"/>
          <w:highlight w:val="none"/>
        </w:rPr>
        <w:t>响应文件正本</w:t>
      </w:r>
      <w:r>
        <w:rPr>
          <w:rFonts w:ascii="宋体" w:hAnsi="宋体" w:cs="仿宋"/>
          <w:color w:val="auto"/>
          <w:sz w:val="24"/>
          <w:highlight w:val="none"/>
        </w:rPr>
        <w:t>1</w:t>
      </w:r>
      <w:r>
        <w:rPr>
          <w:rFonts w:hint="eastAsia" w:ascii="宋体" w:hAnsi="宋体" w:cs="仿宋"/>
          <w:color w:val="auto"/>
          <w:sz w:val="24"/>
          <w:highlight w:val="none"/>
        </w:rPr>
        <w:t>份副本1份，并在其封面上清楚地标明</w:t>
      </w:r>
      <w:r>
        <w:rPr>
          <w:rFonts w:hint="eastAsia" w:ascii="宋体" w:hAnsi="宋体"/>
          <w:bCs/>
          <w:color w:val="auto"/>
          <w:sz w:val="24"/>
          <w:highlight w:val="none"/>
        </w:rPr>
        <w:t>资格性</w:t>
      </w:r>
      <w:r>
        <w:rPr>
          <w:rFonts w:hint="eastAsia" w:ascii="宋体" w:hAnsi="宋体" w:cs="仿宋"/>
          <w:color w:val="auto"/>
          <w:sz w:val="24"/>
          <w:highlight w:val="none"/>
        </w:rPr>
        <w:t>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hd w:val="clear"/>
        <w:spacing w:line="360" w:lineRule="auto"/>
        <w:ind w:firstLine="468" w:firstLineChars="195"/>
        <w:rPr>
          <w:rFonts w:ascii="宋体" w:hAnsi="宋体"/>
          <w:color w:val="auto"/>
          <w:sz w:val="24"/>
          <w:highlight w:val="none"/>
        </w:rPr>
      </w:pPr>
      <w:r>
        <w:rPr>
          <w:rFonts w:ascii="宋体" w:hAnsi="宋体" w:cs="仿宋"/>
          <w:color w:val="auto"/>
          <w:sz w:val="24"/>
          <w:highlight w:val="none"/>
        </w:rPr>
        <w:t xml:space="preserve">18.2 </w:t>
      </w:r>
      <w:r>
        <w:rPr>
          <w:rFonts w:hint="eastAsia" w:ascii="宋体" w:hAnsi="宋体"/>
          <w:bCs/>
          <w:color w:val="auto"/>
          <w:sz w:val="24"/>
          <w:highlight w:val="none"/>
        </w:rPr>
        <w:t>其他</w:t>
      </w:r>
      <w:r>
        <w:rPr>
          <w:rFonts w:hint="eastAsia" w:ascii="宋体" w:hAnsi="宋体" w:cs="仿宋"/>
          <w:color w:val="auto"/>
          <w:sz w:val="24"/>
          <w:highlight w:val="none"/>
        </w:rPr>
        <w:t>响应文件正本</w:t>
      </w:r>
      <w:r>
        <w:rPr>
          <w:rFonts w:ascii="宋体" w:hAnsi="宋体" w:cs="仿宋"/>
          <w:color w:val="auto"/>
          <w:sz w:val="24"/>
          <w:highlight w:val="none"/>
        </w:rPr>
        <w:t>1</w:t>
      </w:r>
      <w:r>
        <w:rPr>
          <w:rFonts w:hint="eastAsia" w:ascii="宋体" w:hAnsi="宋体" w:cs="仿宋"/>
          <w:color w:val="auto"/>
          <w:sz w:val="24"/>
          <w:highlight w:val="none"/>
        </w:rPr>
        <w:t>份副本1份，并在其封面上清楚地标明其他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hd w:val="clear"/>
        <w:spacing w:line="360" w:lineRule="auto"/>
        <w:ind w:firstLine="468" w:firstLineChars="195"/>
        <w:rPr>
          <w:rFonts w:ascii="宋体" w:hAnsi="宋体" w:cs="仿宋"/>
          <w:color w:val="auto"/>
          <w:sz w:val="24"/>
          <w:highlight w:val="none"/>
        </w:rPr>
      </w:pPr>
      <w:r>
        <w:rPr>
          <w:rFonts w:ascii="宋体" w:hAnsi="宋体" w:cs="仿宋"/>
          <w:color w:val="auto"/>
          <w:sz w:val="24"/>
          <w:highlight w:val="none"/>
        </w:rPr>
        <w:t>18.3</w:t>
      </w:r>
      <w:r>
        <w:rPr>
          <w:rFonts w:hint="eastAsia" w:ascii="宋体" w:hAnsi="宋体" w:cs="仿宋"/>
          <w:color w:val="auto"/>
          <w:sz w:val="24"/>
          <w:highlight w:val="none"/>
        </w:rPr>
        <w:t xml:space="preserve"> 响应文件电子文档1份，采用U盘制作，</w:t>
      </w:r>
      <w:r>
        <w:rPr>
          <w:rFonts w:hint="eastAsia" w:ascii="宋体"/>
          <w:color w:val="auto"/>
          <w:sz w:val="24"/>
          <w:highlight w:val="none"/>
        </w:rPr>
        <w:t>应包含资格性响应文件和</w:t>
      </w:r>
      <w:r>
        <w:rPr>
          <w:rFonts w:hint="eastAsia" w:ascii="宋体" w:hAnsi="宋体"/>
          <w:bCs/>
          <w:color w:val="auto"/>
          <w:sz w:val="24"/>
          <w:highlight w:val="none"/>
        </w:rPr>
        <w:t>其他</w:t>
      </w:r>
      <w:r>
        <w:rPr>
          <w:rFonts w:hint="eastAsia" w:ascii="宋体" w:hAnsi="宋体" w:cs="仿宋"/>
          <w:color w:val="auto"/>
          <w:sz w:val="24"/>
          <w:highlight w:val="none"/>
        </w:rPr>
        <w:t>响应文件签字盖章后的正本扫描件。</w:t>
      </w:r>
    </w:p>
    <w:p>
      <w:pPr>
        <w:shd w:val="clear"/>
        <w:spacing w:line="360" w:lineRule="auto"/>
        <w:ind w:firstLine="468" w:firstLineChars="195"/>
        <w:rPr>
          <w:rFonts w:ascii="宋体" w:hAnsi="宋体"/>
          <w:color w:val="auto"/>
          <w:sz w:val="24"/>
          <w:highlight w:val="none"/>
        </w:rPr>
      </w:pPr>
      <w:r>
        <w:rPr>
          <w:rFonts w:hint="eastAsia" w:ascii="宋体" w:hAnsi="宋体" w:cs="仿宋"/>
          <w:color w:val="auto"/>
          <w:sz w:val="24"/>
          <w:highlight w:val="none"/>
        </w:rPr>
        <w:t>18.4响应文件正本和副本均需打印或用不褪色、不变质的墨水书写，并在规定签章处签字和盖章。响应文件副本可采用正本的复印件。本项目响应文件提供纸质响应文件。</w:t>
      </w:r>
    </w:p>
    <w:p>
      <w:pPr>
        <w:shd w:val="clear"/>
        <w:spacing w:line="360" w:lineRule="auto"/>
        <w:ind w:firstLine="468" w:firstLineChars="195"/>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5响应文件的打印和书写应清楚工整，任何行间插字、涂改或增删，必须由供应商的法定代表人</w:t>
      </w:r>
      <w:r>
        <w:rPr>
          <w:rFonts w:ascii="宋体" w:hAnsi="宋体" w:cs="仿宋"/>
          <w:color w:val="auto"/>
          <w:sz w:val="24"/>
          <w:highlight w:val="none"/>
        </w:rPr>
        <w:t>/</w:t>
      </w:r>
      <w:r>
        <w:rPr>
          <w:rFonts w:hint="eastAsia" w:ascii="宋体" w:hAnsi="宋体" w:cs="仿宋"/>
          <w:color w:val="auto"/>
          <w:sz w:val="24"/>
          <w:highlight w:val="none"/>
        </w:rPr>
        <w:t>单位负责人或其授权代表签字并盖供应商公章。</w:t>
      </w:r>
    </w:p>
    <w:p>
      <w:pPr>
        <w:shd w:val="clear"/>
        <w:spacing w:line="360" w:lineRule="auto"/>
        <w:ind w:firstLine="468" w:firstLineChars="195"/>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6</w:t>
      </w:r>
      <w:r>
        <w:rPr>
          <w:rFonts w:hint="eastAsia" w:ascii="宋体" w:hAnsi="宋体" w:cs="仿宋"/>
          <w:b/>
          <w:bCs/>
          <w:color w:val="auto"/>
          <w:sz w:val="24"/>
          <w:highlight w:val="none"/>
        </w:rPr>
        <w:t>（实质性要求）</w:t>
      </w:r>
      <w:r>
        <w:rPr>
          <w:rFonts w:hint="eastAsia" w:ascii="宋体" w:hAnsi="宋体" w:cs="仿宋"/>
          <w:color w:val="auto"/>
          <w:sz w:val="24"/>
          <w:highlight w:val="none"/>
        </w:rPr>
        <w:t>响应文件应由供应商法定代表人</w:t>
      </w:r>
      <w:r>
        <w:rPr>
          <w:rFonts w:ascii="宋体" w:hAnsi="宋体" w:cs="仿宋"/>
          <w:color w:val="auto"/>
          <w:sz w:val="24"/>
          <w:highlight w:val="none"/>
        </w:rPr>
        <w:t>/</w:t>
      </w:r>
      <w:r>
        <w:rPr>
          <w:rFonts w:hint="eastAsia" w:ascii="宋体" w:hAnsi="宋体" w:cs="仿宋"/>
          <w:color w:val="auto"/>
          <w:sz w:val="24"/>
          <w:highlight w:val="none"/>
        </w:rPr>
        <w:t>主要负责人</w:t>
      </w:r>
      <w:r>
        <w:rPr>
          <w:rFonts w:ascii="宋体" w:hAnsi="宋体" w:cs="仿宋"/>
          <w:color w:val="auto"/>
          <w:sz w:val="24"/>
          <w:highlight w:val="none"/>
        </w:rPr>
        <w:t>/</w:t>
      </w:r>
      <w:r>
        <w:rPr>
          <w:rFonts w:hint="eastAsia" w:ascii="宋体" w:hAnsi="宋体" w:cs="仿宋"/>
          <w:color w:val="auto"/>
          <w:sz w:val="24"/>
          <w:highlight w:val="none"/>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hd w:val="clear"/>
        <w:spacing w:line="360" w:lineRule="auto"/>
        <w:ind w:firstLine="468" w:firstLineChars="195"/>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7响应文件正本和副本需要逐页编目编码。</w:t>
      </w:r>
    </w:p>
    <w:p>
      <w:pPr>
        <w:shd w:val="clear"/>
        <w:tabs>
          <w:tab w:val="left" w:pos="1080"/>
        </w:tabs>
        <w:spacing w:line="360" w:lineRule="auto"/>
        <w:ind w:firstLine="460" w:firstLineChars="192"/>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8要求提供纸质响应文件的，响应文件正本和副本应当采用胶装方式装订成册，不得散装或者合页装订。</w:t>
      </w:r>
    </w:p>
    <w:p>
      <w:pPr>
        <w:shd w:val="clear"/>
        <w:tabs>
          <w:tab w:val="left" w:pos="1080"/>
        </w:tabs>
        <w:spacing w:line="360" w:lineRule="auto"/>
        <w:ind w:firstLine="460" w:firstLineChars="192"/>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9</w:t>
      </w:r>
      <w:r>
        <w:rPr>
          <w:rFonts w:hint="eastAsia" w:ascii="宋体" w:hAnsi="宋体" w:cs="仿宋"/>
          <w:b/>
          <w:bCs/>
          <w:color w:val="auto"/>
          <w:sz w:val="24"/>
          <w:highlight w:val="none"/>
        </w:rPr>
        <w:t>（实质性要求）</w:t>
      </w:r>
      <w:r>
        <w:rPr>
          <w:rFonts w:hint="eastAsia" w:ascii="宋体" w:hAnsi="宋体" w:cs="仿宋"/>
          <w:color w:val="auto"/>
          <w:sz w:val="24"/>
          <w:highlight w:val="none"/>
        </w:rPr>
        <w:t>响应文件应按磋商文件的要求签署、盖章。</w:t>
      </w:r>
    </w:p>
    <w:p>
      <w:pPr>
        <w:shd w:val="clear"/>
        <w:tabs>
          <w:tab w:val="left" w:pos="1080"/>
        </w:tabs>
        <w:spacing w:line="360" w:lineRule="auto"/>
        <w:ind w:firstLine="460" w:firstLineChars="192"/>
        <w:rPr>
          <w:rFonts w:ascii="宋体" w:hAnsi="宋体"/>
          <w:color w:val="auto"/>
          <w:sz w:val="24"/>
          <w:highlight w:val="none"/>
        </w:rPr>
      </w:pPr>
      <w:r>
        <w:rPr>
          <w:rFonts w:ascii="宋体" w:hAnsi="宋体" w:cs="仿宋"/>
          <w:color w:val="auto"/>
          <w:sz w:val="24"/>
          <w:highlight w:val="none"/>
        </w:rPr>
        <w:t>18.</w:t>
      </w:r>
      <w:r>
        <w:rPr>
          <w:rFonts w:hint="eastAsia" w:ascii="宋体" w:hAnsi="宋体" w:cs="仿宋"/>
          <w:color w:val="auto"/>
          <w:sz w:val="24"/>
          <w:highlight w:val="none"/>
        </w:rPr>
        <w:t>10提供纸质响应文件的，响应文件统一用</w:t>
      </w:r>
      <w:r>
        <w:rPr>
          <w:rFonts w:ascii="宋体" w:hAnsi="宋体" w:cs="仿宋"/>
          <w:color w:val="auto"/>
          <w:sz w:val="24"/>
          <w:highlight w:val="none"/>
        </w:rPr>
        <w:t>A4</w:t>
      </w:r>
      <w:r>
        <w:rPr>
          <w:rFonts w:hint="eastAsia" w:ascii="宋体" w:hAnsi="宋体" w:cs="仿宋"/>
          <w:color w:val="auto"/>
          <w:sz w:val="24"/>
          <w:highlight w:val="none"/>
        </w:rPr>
        <w:t>幅面纸印制，除另有规定外。</w:t>
      </w:r>
    </w:p>
    <w:p>
      <w:pPr>
        <w:shd w:val="clear"/>
        <w:tabs>
          <w:tab w:val="left" w:pos="1080"/>
        </w:tabs>
        <w:spacing w:line="360" w:lineRule="auto"/>
        <w:ind w:firstLine="463" w:firstLineChars="192"/>
        <w:rPr>
          <w:rFonts w:ascii="宋体" w:hAnsi="宋体"/>
          <w:b/>
          <w:bCs/>
          <w:color w:val="auto"/>
          <w:sz w:val="24"/>
          <w:highlight w:val="none"/>
        </w:rPr>
      </w:pPr>
      <w:r>
        <w:rPr>
          <w:rFonts w:ascii="宋体" w:hAnsi="宋体" w:cs="仿宋"/>
          <w:b/>
          <w:bCs/>
          <w:color w:val="auto"/>
          <w:sz w:val="24"/>
          <w:highlight w:val="none"/>
        </w:rPr>
        <w:t>19.</w:t>
      </w:r>
      <w:r>
        <w:rPr>
          <w:rFonts w:hint="eastAsia" w:ascii="宋体" w:hAnsi="宋体" w:cs="仿宋"/>
          <w:b/>
          <w:bCs/>
          <w:color w:val="auto"/>
          <w:sz w:val="24"/>
          <w:highlight w:val="none"/>
        </w:rPr>
        <w:t>响应文件的密封和标注（不属于本项目磋商小组评审范畴，由采购人、采购代理机构在接收响应文件时及时处理）</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19.1 响应文件可以单独密封包装，也可以所有响应文件密封包装在一个密封袋内。电子文档可单独密封，也可与响应文件一起密封。</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19.2 响应文件密封袋的最外层应清楚地标明采购项目名称、项目编号、包件号及名称（若有）、供应商名称。</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19.3 所有外层密封袋的封口处应粘贴牢固。</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19.4 未按以上要求进行密封和标注的响应文件，采购人、采购代理机构将拒收或者在时间允许的范围内，要求修改完善后接收。</w:t>
      </w:r>
    </w:p>
    <w:p>
      <w:pPr>
        <w:shd w:val="clear"/>
        <w:tabs>
          <w:tab w:val="left" w:pos="1080"/>
        </w:tabs>
        <w:spacing w:line="360" w:lineRule="auto"/>
        <w:ind w:firstLine="463" w:firstLineChars="192"/>
        <w:rPr>
          <w:rFonts w:ascii="宋体" w:hAnsi="宋体"/>
          <w:b/>
          <w:bCs/>
          <w:color w:val="auto"/>
          <w:sz w:val="24"/>
          <w:highlight w:val="none"/>
        </w:rPr>
      </w:pPr>
      <w:r>
        <w:rPr>
          <w:rFonts w:ascii="宋体" w:hAnsi="宋体" w:cs="仿宋"/>
          <w:b/>
          <w:bCs/>
          <w:color w:val="auto"/>
          <w:sz w:val="24"/>
          <w:highlight w:val="none"/>
        </w:rPr>
        <w:t>20.</w:t>
      </w:r>
      <w:r>
        <w:rPr>
          <w:rFonts w:hint="eastAsia" w:ascii="宋体" w:hAnsi="宋体" w:cs="仿宋"/>
          <w:b/>
          <w:bCs/>
          <w:color w:val="auto"/>
          <w:sz w:val="24"/>
          <w:highlight w:val="none"/>
        </w:rPr>
        <w:t>响应文件的递交</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20.1 资格性响应文件和其他响应文件应于递交响应文件截止时间前送达指定地点，采购代理机构拒绝接收截止时间后送达的响应文件。</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20.2 采购代理机构将向通过资格审查的供应商发出磋商邀请；告知未通过资格审查的供应商未通过的原因。</w:t>
      </w:r>
    </w:p>
    <w:p>
      <w:pPr>
        <w:shd w:val="clear"/>
        <w:tabs>
          <w:tab w:val="left" w:pos="1080"/>
        </w:tabs>
        <w:spacing w:line="360" w:lineRule="auto"/>
        <w:ind w:firstLine="460" w:firstLineChars="192"/>
        <w:rPr>
          <w:rFonts w:ascii="宋体" w:hAnsi="宋体" w:cs="仿宋"/>
          <w:color w:val="auto"/>
          <w:sz w:val="24"/>
          <w:highlight w:val="none"/>
        </w:rPr>
      </w:pPr>
      <w:r>
        <w:rPr>
          <w:rFonts w:hint="eastAsia" w:ascii="宋体" w:hAnsi="宋体" w:cs="仿宋"/>
          <w:color w:val="auto"/>
          <w:sz w:val="24"/>
          <w:highlight w:val="none"/>
        </w:rPr>
        <w:t>20.3 报价表在磋商后，磋商小组要求供应商进行最后报价时递交。</w:t>
      </w:r>
    </w:p>
    <w:p>
      <w:pPr>
        <w:shd w:val="clear"/>
        <w:tabs>
          <w:tab w:val="left" w:pos="1080"/>
        </w:tabs>
        <w:spacing w:line="360" w:lineRule="auto"/>
        <w:ind w:firstLine="460" w:firstLineChars="192"/>
        <w:rPr>
          <w:rFonts w:ascii="宋体" w:hAnsi="宋体"/>
          <w:color w:val="auto"/>
          <w:sz w:val="24"/>
          <w:highlight w:val="none"/>
        </w:rPr>
      </w:pPr>
      <w:r>
        <w:rPr>
          <w:rFonts w:hint="eastAsia" w:ascii="宋体" w:hAnsi="宋体" w:cs="仿宋"/>
          <w:color w:val="auto"/>
          <w:sz w:val="24"/>
          <w:highlight w:val="none"/>
        </w:rPr>
        <w:t>20.4 本次采购不接收邮寄的响应文件。</w:t>
      </w:r>
    </w:p>
    <w:p>
      <w:pPr>
        <w:shd w:val="clear"/>
        <w:tabs>
          <w:tab w:val="left" w:pos="1080"/>
        </w:tabs>
        <w:spacing w:line="360" w:lineRule="auto"/>
        <w:ind w:firstLine="463" w:firstLineChars="192"/>
        <w:rPr>
          <w:rFonts w:ascii="宋体" w:hAnsi="宋体"/>
          <w:b/>
          <w:bCs/>
          <w:color w:val="auto"/>
          <w:sz w:val="24"/>
          <w:highlight w:val="none"/>
        </w:rPr>
      </w:pPr>
      <w:r>
        <w:rPr>
          <w:rFonts w:ascii="宋体" w:hAnsi="宋体" w:cs="仿宋"/>
          <w:b/>
          <w:bCs/>
          <w:color w:val="auto"/>
          <w:sz w:val="24"/>
          <w:highlight w:val="none"/>
        </w:rPr>
        <w:t>21.</w:t>
      </w:r>
      <w:r>
        <w:rPr>
          <w:rFonts w:hint="eastAsia" w:ascii="宋体" w:hAnsi="宋体" w:cs="仿宋"/>
          <w:b/>
          <w:bCs/>
          <w:color w:val="auto"/>
          <w:sz w:val="24"/>
          <w:highlight w:val="none"/>
        </w:rPr>
        <w:t>响应文件的修改和撤回（补充、修改响应文件的密封和标注按照本章“</w:t>
      </w:r>
      <w:r>
        <w:rPr>
          <w:rFonts w:ascii="宋体" w:hAnsi="宋体" w:cs="仿宋"/>
          <w:b/>
          <w:bCs/>
          <w:color w:val="auto"/>
          <w:sz w:val="24"/>
          <w:highlight w:val="none"/>
        </w:rPr>
        <w:t>19.</w:t>
      </w:r>
      <w:r>
        <w:rPr>
          <w:rFonts w:hint="eastAsia" w:ascii="宋体" w:hAnsi="宋体" w:cs="仿宋"/>
          <w:b/>
          <w:bCs/>
          <w:color w:val="auto"/>
          <w:sz w:val="24"/>
          <w:highlight w:val="none"/>
        </w:rPr>
        <w:t>响应文件的密封和标注”规定处理）</w:t>
      </w:r>
    </w:p>
    <w:p>
      <w:pPr>
        <w:pStyle w:val="15"/>
        <w:shd w:val="clear"/>
        <w:spacing w:line="360" w:lineRule="auto"/>
        <w:ind w:firstLine="480"/>
        <w:rPr>
          <w:rFonts w:ascii="宋体" w:hAnsi="宋体"/>
          <w:color w:val="auto"/>
          <w:sz w:val="24"/>
          <w:highlight w:val="none"/>
        </w:rPr>
      </w:pPr>
      <w:r>
        <w:rPr>
          <w:rFonts w:ascii="宋体" w:hAnsi="宋体" w:cs="仿宋"/>
          <w:color w:val="auto"/>
          <w:sz w:val="24"/>
          <w:highlight w:val="none"/>
        </w:rPr>
        <w:t>21.1</w:t>
      </w:r>
      <w:r>
        <w:rPr>
          <w:rFonts w:hint="eastAsia" w:ascii="宋体" w:hAnsi="宋体"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hd w:val="clear"/>
        <w:adjustRightInd w:val="0"/>
        <w:snapToGrid w:val="0"/>
        <w:spacing w:line="360" w:lineRule="auto"/>
        <w:ind w:firstLine="480" w:firstLineChars="200"/>
        <w:rPr>
          <w:rFonts w:ascii="宋体" w:hAnsi="宋体"/>
          <w:color w:val="auto"/>
          <w:sz w:val="24"/>
          <w:highlight w:val="none"/>
        </w:rPr>
      </w:pPr>
      <w:r>
        <w:rPr>
          <w:rFonts w:ascii="宋体" w:hAnsi="宋体" w:cs="仿宋"/>
          <w:color w:val="auto"/>
          <w:sz w:val="24"/>
          <w:highlight w:val="none"/>
        </w:rPr>
        <w:t>21.2</w:t>
      </w:r>
      <w:r>
        <w:rPr>
          <w:rFonts w:hint="eastAsia" w:ascii="宋体" w:hAnsi="宋体" w:cs="仿宋"/>
          <w:color w:val="auto"/>
          <w:sz w:val="24"/>
          <w:highlight w:val="none"/>
        </w:rPr>
        <w:t>供应商对响应文件修改的书面材料或撤回的通知应该按规定进行编写、密封、标注和递送，并注明“修改响应文件”字样。</w:t>
      </w:r>
    </w:p>
    <w:p>
      <w:pPr>
        <w:shd w:val="clear"/>
        <w:adjustRightInd w:val="0"/>
        <w:snapToGrid w:val="0"/>
        <w:spacing w:line="360" w:lineRule="auto"/>
        <w:ind w:firstLine="480" w:firstLineChars="200"/>
        <w:rPr>
          <w:rFonts w:ascii="宋体" w:hAnsi="宋体"/>
          <w:color w:val="auto"/>
          <w:sz w:val="24"/>
          <w:highlight w:val="none"/>
        </w:rPr>
      </w:pPr>
      <w:r>
        <w:rPr>
          <w:rFonts w:ascii="宋体" w:hAnsi="宋体" w:cs="仿宋"/>
          <w:color w:val="auto"/>
          <w:sz w:val="24"/>
          <w:highlight w:val="none"/>
        </w:rPr>
        <w:t>21.3</w:t>
      </w:r>
      <w:r>
        <w:rPr>
          <w:rFonts w:hint="eastAsia" w:ascii="宋体" w:hAnsi="宋体" w:cs="仿宋"/>
          <w:color w:val="auto"/>
          <w:sz w:val="24"/>
          <w:highlight w:val="none"/>
        </w:rPr>
        <w:t>供应商不得在递交截止时间起至响应文件有效期期满前撤销其响应文件，否则将认定其响应文件有效期的承诺为虚假承诺，并依法追究其法律责任。</w:t>
      </w:r>
    </w:p>
    <w:p>
      <w:pPr>
        <w:shd w:val="clear"/>
        <w:spacing w:line="360" w:lineRule="auto"/>
        <w:ind w:firstLine="480"/>
        <w:rPr>
          <w:rFonts w:ascii="宋体" w:hAnsi="宋体" w:cs="仿宋"/>
          <w:color w:val="auto"/>
          <w:sz w:val="24"/>
          <w:highlight w:val="none"/>
        </w:rPr>
      </w:pPr>
      <w:r>
        <w:rPr>
          <w:rFonts w:ascii="宋体" w:hAnsi="宋体" w:cs="仿宋"/>
          <w:color w:val="auto"/>
          <w:sz w:val="24"/>
          <w:highlight w:val="none"/>
        </w:rPr>
        <w:t>21.4</w:t>
      </w:r>
      <w:r>
        <w:rPr>
          <w:rFonts w:hint="eastAsia" w:ascii="宋体" w:hAnsi="宋体" w:cs="仿宋"/>
          <w:color w:val="auto"/>
          <w:sz w:val="24"/>
          <w:highlight w:val="none"/>
        </w:rPr>
        <w:t>响应文件中报价如果出现下列不一致的，可按以下原则进行修改：</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（一）大写金额和小写金额不一致的，以大写金额为准，但大写金额文字存在错误的，应当先对大写金额的文字错误进行澄清、说明或者更正，再行修正。</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（三）单价金额小数点或者百分比有明显错位的，以总价为准，修正单价。</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hd w:val="clear"/>
        <w:spacing w:line="360" w:lineRule="auto"/>
        <w:ind w:firstLine="480"/>
        <w:rPr>
          <w:rFonts w:ascii="宋体" w:hAnsi="宋体"/>
          <w:color w:val="auto"/>
          <w:sz w:val="24"/>
          <w:highlight w:val="none"/>
        </w:rPr>
      </w:pPr>
      <w:r>
        <w:rPr>
          <w:rFonts w:hint="eastAsia" w:ascii="宋体" w:hAnsi="宋体" w:cs="仿宋"/>
          <w:color w:val="auto"/>
          <w:sz w:val="24"/>
          <w:highlight w:val="none"/>
        </w:rPr>
        <w:t>21.5供应商对其提交的响应文件的真实性、合法性承担法律责任。</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五、评审</w:t>
      </w:r>
    </w:p>
    <w:p>
      <w:pPr>
        <w:shd w:val="clear"/>
        <w:spacing w:line="360" w:lineRule="auto"/>
        <w:ind w:firstLine="480"/>
        <w:rPr>
          <w:rFonts w:ascii="宋体" w:hAnsi="宋体" w:cs="仿宋"/>
          <w:b/>
          <w:bCs/>
          <w:color w:val="auto"/>
          <w:sz w:val="24"/>
          <w:highlight w:val="none"/>
        </w:rPr>
      </w:pPr>
      <w:r>
        <w:rPr>
          <w:rFonts w:ascii="宋体" w:hAnsi="宋体" w:cs="仿宋"/>
          <w:b/>
          <w:bCs/>
          <w:color w:val="auto"/>
          <w:sz w:val="24"/>
          <w:highlight w:val="none"/>
        </w:rPr>
        <w:t>22</w:t>
      </w:r>
      <w:r>
        <w:rPr>
          <w:rFonts w:hint="eastAsia" w:ascii="宋体" w:hAnsi="宋体" w:cs="仿宋"/>
          <w:b/>
          <w:bCs/>
          <w:color w:val="auto"/>
          <w:sz w:val="24"/>
          <w:highlight w:val="none"/>
        </w:rPr>
        <w:t>.评审</w:t>
      </w:r>
    </w:p>
    <w:p>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磋商小组的组建及其评审工作按照有关法律制度和本文件第九章的规定进行。</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六、成交事项</w:t>
      </w:r>
    </w:p>
    <w:p>
      <w:pPr>
        <w:pStyle w:val="4"/>
        <w:keepNext w:val="0"/>
        <w:keepLines w:val="0"/>
        <w:shd w:val="clear"/>
        <w:spacing w:after="0" w:line="360" w:lineRule="auto"/>
        <w:ind w:firstLine="482" w:firstLineChars="200"/>
        <w:rPr>
          <w:rFonts w:ascii="宋体" w:hAnsi="宋体" w:eastAsia="宋体"/>
          <w:color w:val="auto"/>
          <w:sz w:val="24"/>
          <w:szCs w:val="24"/>
          <w:highlight w:val="none"/>
        </w:rPr>
      </w:pPr>
      <w:r>
        <w:rPr>
          <w:rFonts w:ascii="宋体" w:hAnsi="宋体" w:eastAsia="宋体" w:cs="仿宋"/>
          <w:color w:val="auto"/>
          <w:sz w:val="24"/>
          <w:szCs w:val="24"/>
          <w:highlight w:val="none"/>
        </w:rPr>
        <w:t>23.</w:t>
      </w:r>
      <w:r>
        <w:rPr>
          <w:rFonts w:hint="eastAsia" w:ascii="宋体" w:hAnsi="宋体" w:eastAsia="宋体" w:cs="仿宋"/>
          <w:color w:val="auto"/>
          <w:sz w:val="24"/>
          <w:szCs w:val="24"/>
          <w:highlight w:val="none"/>
        </w:rPr>
        <w:t>确定成交供应商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23.1</w:t>
      </w:r>
      <w:r>
        <w:rPr>
          <w:rFonts w:hint="eastAsia" w:ascii="宋体" w:hAnsi="宋体" w:eastAsia="宋体" w:cs="仿宋"/>
          <w:b w:val="0"/>
          <w:bCs w:val="0"/>
          <w:color w:val="auto"/>
          <w:sz w:val="24"/>
          <w:szCs w:val="24"/>
          <w:highlight w:val="none"/>
        </w:rPr>
        <w:t>本项目采购人将按磋商小组推荐的成交候选供应商顺序确定成交供应商。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23.2</w:t>
      </w:r>
      <w:r>
        <w:rPr>
          <w:rFonts w:hint="eastAsia" w:ascii="宋体" w:hAnsi="宋体" w:eastAsia="宋体" w:cs="仿宋"/>
          <w:b w:val="0"/>
          <w:bCs w:val="0"/>
          <w:color w:val="auto"/>
          <w:sz w:val="24"/>
          <w:szCs w:val="24"/>
          <w:highlight w:val="none"/>
        </w:rPr>
        <w:t>采购代理机构自评审结束后</w:t>
      </w: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个工作日内将磋商报告及有关资料送交采购人确定成交供应商。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23.3</w:t>
      </w:r>
      <w:r>
        <w:rPr>
          <w:rFonts w:hint="eastAsia" w:ascii="宋体" w:hAnsi="宋体" w:eastAsia="宋体" w:cs="仿宋"/>
          <w:b w:val="0"/>
          <w:bCs w:val="0"/>
          <w:color w:val="auto"/>
          <w:sz w:val="24"/>
          <w:szCs w:val="24"/>
          <w:highlight w:val="none"/>
        </w:rPr>
        <w:t>采购人收到磋商报告及有关资料后，将在</w:t>
      </w:r>
      <w:r>
        <w:rPr>
          <w:rFonts w:ascii="宋体" w:hAnsi="宋体" w:eastAsia="宋体" w:cs="仿宋"/>
          <w:b w:val="0"/>
          <w:bCs w:val="0"/>
          <w:color w:val="auto"/>
          <w:sz w:val="24"/>
          <w:szCs w:val="24"/>
          <w:highlight w:val="none"/>
        </w:rPr>
        <w:t>5</w:t>
      </w:r>
      <w:r>
        <w:rPr>
          <w:rFonts w:hint="eastAsia" w:ascii="宋体" w:hAnsi="宋体" w:eastAsia="宋体" w:cs="仿宋"/>
          <w:b w:val="0"/>
          <w:bCs w:val="0"/>
          <w:color w:val="auto"/>
          <w:sz w:val="24"/>
          <w:szCs w:val="24"/>
          <w:highlight w:val="none"/>
        </w:rPr>
        <w:t>个工作日内按照磋商报告中推荐的成交候选供应商顺序确定成交供应商。评审得分且最后报价且技术指标得分均相同的，成交候选供应商并列，由采购人随机抽签确定成交供应商。采购人逾期未确定成交供应商且不提出异议的，视为确定磋商报告提出的排序第一的供应商为成交供应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23.4</w:t>
      </w:r>
      <w:r>
        <w:rPr>
          <w:rFonts w:hint="eastAsia" w:ascii="宋体" w:hAnsi="宋体" w:eastAsia="宋体" w:cs="仿宋"/>
          <w:b w:val="0"/>
          <w:bCs w:val="0"/>
          <w:color w:val="auto"/>
          <w:sz w:val="24"/>
          <w:szCs w:val="24"/>
          <w:highlight w:val="none"/>
        </w:rPr>
        <w:t>采购人确定成交供应商过程中，发现成交候选供应商有下列情形之一的，不予确定其为成交供应商：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1</w:t>
      </w:r>
      <w:r>
        <w:rPr>
          <w:rFonts w:hint="eastAsia" w:ascii="宋体" w:hAnsi="宋体" w:eastAsia="宋体" w:cs="仿宋"/>
          <w:b w:val="0"/>
          <w:bCs w:val="0"/>
          <w:color w:val="auto"/>
          <w:sz w:val="24"/>
          <w:szCs w:val="24"/>
          <w:highlight w:val="none"/>
        </w:rPr>
        <w:t>）成交候选供应商属于禁止参加本项目采购活动的；</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2</w:t>
      </w:r>
      <w:r>
        <w:rPr>
          <w:rFonts w:hint="eastAsia" w:ascii="宋体" w:hAnsi="宋体" w:eastAsia="宋体" w:cs="仿宋"/>
          <w:b w:val="0"/>
          <w:bCs w:val="0"/>
          <w:color w:val="auto"/>
          <w:sz w:val="24"/>
          <w:szCs w:val="24"/>
          <w:highlight w:val="none"/>
        </w:rPr>
        <w:t>）成交候选供应商因不可抗力，不能继续参加政府采购活动；</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3</w:t>
      </w:r>
      <w:r>
        <w:rPr>
          <w:rFonts w:hint="eastAsia" w:ascii="宋体" w:hAnsi="宋体" w:eastAsia="宋体" w:cs="仿宋"/>
          <w:b w:val="0"/>
          <w:bCs w:val="0"/>
          <w:color w:val="auto"/>
          <w:sz w:val="24"/>
          <w:szCs w:val="24"/>
          <w:highlight w:val="none"/>
        </w:rPr>
        <w:t>）成交候选供应商无偿赠与或者低于成本价竞争；</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4</w:t>
      </w:r>
      <w:r>
        <w:rPr>
          <w:rFonts w:hint="eastAsia" w:ascii="宋体" w:hAnsi="宋体" w:eastAsia="宋体" w:cs="仿宋"/>
          <w:b w:val="0"/>
          <w:bCs w:val="0"/>
          <w:color w:val="auto"/>
          <w:sz w:val="24"/>
          <w:szCs w:val="24"/>
          <w:highlight w:val="none"/>
        </w:rPr>
        <w:t>）成交候选供应商提供虚假材料；</w:t>
      </w:r>
    </w:p>
    <w:p>
      <w:pPr>
        <w:pStyle w:val="4"/>
        <w:keepNext w:val="0"/>
        <w:keepLines w:val="0"/>
        <w:shd w:val="clear"/>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w:t>
      </w:r>
      <w:r>
        <w:rPr>
          <w:rFonts w:ascii="宋体" w:hAnsi="宋体" w:eastAsia="宋体" w:cs="仿宋"/>
          <w:b w:val="0"/>
          <w:bCs w:val="0"/>
          <w:color w:val="auto"/>
          <w:sz w:val="24"/>
          <w:szCs w:val="24"/>
          <w:highlight w:val="none"/>
        </w:rPr>
        <w:t>5</w:t>
      </w:r>
      <w:r>
        <w:rPr>
          <w:rFonts w:hint="eastAsia" w:ascii="宋体" w:hAnsi="宋体" w:eastAsia="宋体" w:cs="仿宋"/>
          <w:b w:val="0"/>
          <w:bCs w:val="0"/>
          <w:color w:val="auto"/>
          <w:sz w:val="24"/>
          <w:szCs w:val="24"/>
          <w:highlight w:val="none"/>
        </w:rPr>
        <w:t>）成交候选供应商恶意串通。</w:t>
      </w:r>
    </w:p>
    <w:p>
      <w:pPr>
        <w:pStyle w:val="4"/>
        <w:keepNext w:val="0"/>
        <w:keepLines w:val="0"/>
        <w:shd w:val="clear"/>
        <w:spacing w:before="0" w:after="0" w:line="360" w:lineRule="auto"/>
        <w:ind w:firstLine="480" w:firstLineChars="200"/>
        <w:rPr>
          <w:color w:val="auto"/>
          <w:highlight w:val="none"/>
        </w:rPr>
      </w:pPr>
      <w:r>
        <w:rPr>
          <w:rFonts w:hint="eastAsia" w:ascii="宋体" w:hAnsi="宋体" w:eastAsia="宋体" w:cs="仿宋"/>
          <w:b w:val="0"/>
          <w:bCs w:val="0"/>
          <w:color w:val="auto"/>
          <w:sz w:val="24"/>
          <w:szCs w:val="24"/>
          <w:highlight w:val="none"/>
        </w:rPr>
        <w:t>成交候选供应商有本条情形之一的，采购人可以确定后一位成交候选供应商为成交供应商，依次类推。无法确定成交供应商的，应当重新组织采购。</w:t>
      </w:r>
    </w:p>
    <w:p>
      <w:pPr>
        <w:pStyle w:val="4"/>
        <w:keepNext w:val="0"/>
        <w:keepLines w:val="0"/>
        <w:shd w:val="clear"/>
        <w:spacing w:before="0" w:after="0" w:line="360" w:lineRule="auto"/>
        <w:ind w:firstLine="482" w:firstLineChars="200"/>
        <w:rPr>
          <w:rFonts w:ascii="宋体" w:hAnsi="宋体" w:eastAsia="宋体"/>
          <w:color w:val="auto"/>
          <w:sz w:val="24"/>
          <w:szCs w:val="24"/>
          <w:highlight w:val="none"/>
        </w:rPr>
      </w:pPr>
      <w:r>
        <w:rPr>
          <w:rFonts w:ascii="宋体" w:hAnsi="宋体" w:eastAsia="宋体" w:cs="仿宋"/>
          <w:color w:val="auto"/>
          <w:sz w:val="24"/>
          <w:szCs w:val="24"/>
          <w:highlight w:val="none"/>
        </w:rPr>
        <w:t>24.</w:t>
      </w:r>
      <w:r>
        <w:rPr>
          <w:rFonts w:hint="eastAsia" w:ascii="宋体" w:hAnsi="宋体" w:eastAsia="宋体" w:cs="仿宋"/>
          <w:color w:val="auto"/>
          <w:sz w:val="24"/>
          <w:szCs w:val="24"/>
          <w:highlight w:val="none"/>
        </w:rPr>
        <w:t>成交结果</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24.1</w:t>
      </w:r>
      <w:r>
        <w:rPr>
          <w:rFonts w:hint="eastAsia" w:ascii="宋体" w:hAnsi="宋体" w:eastAsia="宋体" w:cs="仿宋"/>
          <w:b w:val="0"/>
          <w:bCs w:val="0"/>
          <w:color w:val="auto"/>
          <w:sz w:val="24"/>
          <w:szCs w:val="24"/>
          <w:highlight w:val="none"/>
        </w:rPr>
        <w:t>采购人确定成交供应商后，将及时书面通知采购代理机构，由采购代理机构发出成交通知书并发布成交结果公告。</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24.2</w:t>
      </w:r>
      <w:r>
        <w:rPr>
          <w:rFonts w:hint="eastAsia" w:ascii="宋体" w:hAnsi="宋体" w:cs="仿宋"/>
          <w:color w:val="auto"/>
          <w:sz w:val="24"/>
          <w:highlight w:val="none"/>
        </w:rPr>
        <w:t>成交供应商应当及时领取成交通知书。本项目需要交纳履约保证金的，成交供应商应当及时向采购人交纳。</w:t>
      </w:r>
    </w:p>
    <w:p>
      <w:pPr>
        <w:pStyle w:val="4"/>
        <w:keepNext w:val="0"/>
        <w:keepLines w:val="0"/>
        <w:shd w:val="clear"/>
        <w:spacing w:before="0" w:after="0" w:line="360" w:lineRule="auto"/>
        <w:ind w:firstLine="482" w:firstLineChars="200"/>
        <w:rPr>
          <w:rFonts w:ascii="宋体" w:hAnsi="宋体" w:eastAsia="宋体"/>
          <w:color w:val="auto"/>
          <w:sz w:val="24"/>
          <w:szCs w:val="24"/>
          <w:highlight w:val="none"/>
        </w:rPr>
      </w:pPr>
      <w:r>
        <w:rPr>
          <w:rFonts w:ascii="宋体" w:hAnsi="宋体" w:eastAsia="宋体" w:cs="仿宋"/>
          <w:color w:val="auto"/>
          <w:sz w:val="24"/>
          <w:szCs w:val="24"/>
          <w:highlight w:val="none"/>
        </w:rPr>
        <w:t>25.</w:t>
      </w:r>
      <w:r>
        <w:rPr>
          <w:rFonts w:hint="eastAsia" w:ascii="宋体" w:hAnsi="宋体" w:eastAsia="宋体" w:cs="仿宋"/>
          <w:color w:val="auto"/>
          <w:sz w:val="24"/>
          <w:szCs w:val="24"/>
          <w:highlight w:val="none"/>
        </w:rPr>
        <w:t>成交通知书</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25.1</w:t>
      </w:r>
      <w:r>
        <w:rPr>
          <w:rFonts w:hint="eastAsia" w:ascii="宋体" w:hAnsi="宋体" w:eastAsia="宋体" w:cs="仿宋"/>
          <w:b w:val="0"/>
          <w:bCs w:val="0"/>
          <w:color w:val="auto"/>
          <w:sz w:val="24"/>
          <w:szCs w:val="24"/>
          <w:highlight w:val="none"/>
        </w:rPr>
        <w:t>成交通知书为签订政府采购合同的依据之一，是合同的有效组成部分。</w:t>
      </w:r>
    </w:p>
    <w:p>
      <w:pPr>
        <w:pStyle w:val="4"/>
        <w:keepNext w:val="0"/>
        <w:keepLines w:val="0"/>
        <w:shd w:val="clear"/>
        <w:spacing w:before="0" w:after="0" w:line="360" w:lineRule="auto"/>
        <w:ind w:firstLine="480" w:firstLineChars="200"/>
        <w:rPr>
          <w:rFonts w:ascii="宋体" w:hAnsi="宋体" w:eastAsia="宋体"/>
          <w:b w:val="0"/>
          <w:bCs w:val="0"/>
          <w:color w:val="auto"/>
          <w:sz w:val="24"/>
          <w:szCs w:val="24"/>
          <w:highlight w:val="none"/>
        </w:rPr>
      </w:pPr>
      <w:r>
        <w:rPr>
          <w:rFonts w:ascii="宋体" w:hAnsi="宋体" w:eastAsia="宋体" w:cs="仿宋"/>
          <w:b w:val="0"/>
          <w:bCs w:val="0"/>
          <w:color w:val="auto"/>
          <w:sz w:val="24"/>
          <w:szCs w:val="24"/>
          <w:highlight w:val="none"/>
        </w:rPr>
        <w:t>25.2</w:t>
      </w:r>
      <w:r>
        <w:rPr>
          <w:rFonts w:hint="eastAsia" w:ascii="宋体" w:hAnsi="宋体" w:eastAsia="宋体" w:cs="仿宋"/>
          <w:b w:val="0"/>
          <w:bCs w:val="0"/>
          <w:color w:val="auto"/>
          <w:sz w:val="24"/>
          <w:szCs w:val="24"/>
          <w:highlight w:val="none"/>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hd w:val="clear"/>
        <w:spacing w:before="0" w:after="0" w:line="360" w:lineRule="auto"/>
        <w:ind w:firstLine="480" w:firstLineChars="200"/>
        <w:rPr>
          <w:rFonts w:ascii="宋体" w:hAnsi="宋体"/>
          <w:color w:val="auto"/>
          <w:sz w:val="24"/>
          <w:highlight w:val="none"/>
        </w:rPr>
      </w:pPr>
      <w:r>
        <w:rPr>
          <w:rFonts w:ascii="宋体" w:hAnsi="宋体" w:eastAsia="宋体" w:cs="仿宋"/>
          <w:b w:val="0"/>
          <w:bCs w:val="0"/>
          <w:color w:val="auto"/>
          <w:sz w:val="24"/>
          <w:szCs w:val="24"/>
          <w:highlight w:val="none"/>
        </w:rPr>
        <w:t>25.3</w:t>
      </w:r>
      <w:r>
        <w:rPr>
          <w:rFonts w:hint="eastAsia" w:ascii="宋体" w:hAnsi="宋体" w:eastAsia="宋体" w:cs="仿宋"/>
          <w:b w:val="0"/>
          <w:bCs w:val="0"/>
          <w:color w:val="auto"/>
          <w:sz w:val="24"/>
          <w:szCs w:val="24"/>
          <w:highlight w:val="none"/>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七、合同事项</w:t>
      </w:r>
    </w:p>
    <w:p>
      <w:pPr>
        <w:pStyle w:val="4"/>
        <w:keepNext w:val="0"/>
        <w:keepLines w:val="0"/>
        <w:shd w:val="clear"/>
        <w:spacing w:before="0" w:after="0" w:line="360" w:lineRule="auto"/>
        <w:ind w:firstLine="472" w:firstLineChars="196"/>
        <w:rPr>
          <w:rFonts w:ascii="宋体" w:hAnsi="宋体" w:eastAsia="宋体"/>
          <w:color w:val="auto"/>
          <w:sz w:val="24"/>
          <w:szCs w:val="24"/>
          <w:highlight w:val="none"/>
        </w:rPr>
      </w:pPr>
      <w:bookmarkStart w:id="45" w:name="_Toc430773927"/>
      <w:bookmarkStart w:id="46" w:name="_Toc101338364"/>
      <w:bookmarkStart w:id="47" w:name="_Toc101250646"/>
      <w:bookmarkStart w:id="48" w:name="_Toc101174151"/>
      <w:bookmarkStart w:id="49" w:name="_Toc209847069"/>
      <w:r>
        <w:rPr>
          <w:rFonts w:ascii="宋体" w:hAnsi="宋体" w:eastAsia="宋体" w:cs="仿宋"/>
          <w:color w:val="auto"/>
          <w:sz w:val="24"/>
          <w:szCs w:val="24"/>
          <w:highlight w:val="none"/>
        </w:rPr>
        <w:t>26.</w:t>
      </w:r>
      <w:r>
        <w:rPr>
          <w:rFonts w:hint="eastAsia" w:ascii="宋体" w:hAnsi="宋体" w:eastAsia="宋体" w:cs="仿宋"/>
          <w:color w:val="auto"/>
          <w:sz w:val="24"/>
          <w:szCs w:val="24"/>
          <w:highlight w:val="none"/>
        </w:rPr>
        <w:t>签订合同</w:t>
      </w:r>
      <w:bookmarkEnd w:id="45"/>
      <w:bookmarkEnd w:id="46"/>
      <w:bookmarkEnd w:id="47"/>
      <w:bookmarkEnd w:id="48"/>
      <w:bookmarkEnd w:id="49"/>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26.1 </w:t>
      </w:r>
      <w:r>
        <w:rPr>
          <w:rFonts w:hint="eastAsia" w:ascii="宋体" w:hAnsi="宋体" w:cs="仿宋"/>
          <w:color w:val="auto"/>
          <w:sz w:val="24"/>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26.2 </w:t>
      </w:r>
      <w:r>
        <w:rPr>
          <w:rFonts w:hint="eastAsia" w:ascii="宋体" w:hAnsi="宋体" w:cs="仿宋"/>
          <w:color w:val="auto"/>
          <w:sz w:val="24"/>
          <w:highlight w:val="none"/>
        </w:rPr>
        <w:t>磋商文件、成交供应商的响应文件及双方确认的澄清文件等，均为有法律约束力的合同组成部分。</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26.3 </w:t>
      </w:r>
      <w:r>
        <w:rPr>
          <w:rFonts w:hint="eastAsia" w:ascii="宋体" w:hAnsi="宋体" w:cs="仿宋"/>
          <w:color w:val="auto"/>
          <w:sz w:val="24"/>
          <w:highlight w:val="none"/>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26.4 </w:t>
      </w:r>
      <w:r>
        <w:rPr>
          <w:rFonts w:hint="eastAsia" w:ascii="宋体" w:hAnsi="宋体" w:cs="仿宋"/>
          <w:color w:val="auto"/>
          <w:sz w:val="24"/>
          <w:highlight w:val="none"/>
        </w:rPr>
        <w:t>成交供应商因不可抗力原因不能履行采购合同或放弃成交的，采购人可以与后一位序的成交候选供应商签订采购合同，依此类推。</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26.5</w:t>
      </w:r>
      <w:r>
        <w:rPr>
          <w:rFonts w:hint="eastAsia" w:ascii="宋体" w:hAnsi="宋体" w:cs="仿宋"/>
          <w:color w:val="auto"/>
          <w:sz w:val="24"/>
          <w:highlight w:val="none"/>
        </w:rPr>
        <w:t>竞争性磋商文件、成交供应商提交的响应文件、磋商中的最后报价、成交供应商承诺书、成交通知书等均称为有法律约束力的合同组成内容。</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27.</w:t>
      </w:r>
      <w:r>
        <w:rPr>
          <w:rFonts w:hint="eastAsia" w:ascii="宋体" w:hAnsi="宋体" w:cs="仿宋"/>
          <w:b/>
          <w:bCs/>
          <w:color w:val="auto"/>
          <w:sz w:val="24"/>
          <w:highlight w:val="none"/>
        </w:rPr>
        <w:t>合同分包（实质性要求）</w:t>
      </w:r>
    </w:p>
    <w:p>
      <w:pPr>
        <w:pStyle w:val="4"/>
        <w:keepNext w:val="0"/>
        <w:keepLines w:val="0"/>
        <w:shd w:val="clear"/>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keepNext w:val="0"/>
        <w:keepLines w:val="0"/>
        <w:shd w:val="clear"/>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分包履行合同的部分应当为采购项目的非主体、非关键性工作，不属于成交供应商的主要合同义务。</w:t>
      </w:r>
    </w:p>
    <w:p>
      <w:pPr>
        <w:pStyle w:val="4"/>
        <w:keepNext w:val="0"/>
        <w:keepLines w:val="0"/>
        <w:shd w:val="clear"/>
        <w:spacing w:before="0" w:after="0" w:line="360" w:lineRule="auto"/>
        <w:ind w:firstLine="480" w:firstLineChars="200"/>
        <w:rPr>
          <w:rFonts w:ascii="宋体" w:hAnsi="宋体" w:eastAsia="宋体" w:cs="仿宋"/>
          <w:b w:val="0"/>
          <w:bCs w:val="0"/>
          <w:color w:val="auto"/>
          <w:sz w:val="24"/>
          <w:szCs w:val="24"/>
          <w:highlight w:val="none"/>
        </w:rPr>
      </w:pPr>
      <w:r>
        <w:rPr>
          <w:rFonts w:hint="eastAsia" w:ascii="宋体" w:hAnsi="宋体" w:eastAsia="宋体" w:cs="仿宋"/>
          <w:b w:val="0"/>
          <w:bCs w:val="0"/>
          <w:color w:val="auto"/>
          <w:sz w:val="24"/>
          <w:szCs w:val="24"/>
          <w:highlight w:val="none"/>
        </w:rPr>
        <w:t>27.2 采购合同实行分包履行的，成交供应商就采购项目和分包项目向采购人负责，分包供应商就分包项目承担责任。</w:t>
      </w:r>
    </w:p>
    <w:p>
      <w:pPr>
        <w:pStyle w:val="4"/>
        <w:keepNext w:val="0"/>
        <w:keepLines w:val="0"/>
        <w:shd w:val="clear"/>
        <w:spacing w:before="0" w:after="0" w:line="360" w:lineRule="auto"/>
        <w:ind w:firstLine="480" w:firstLineChars="200"/>
        <w:rPr>
          <w:rFonts w:ascii="宋体" w:hAnsi="宋体"/>
          <w:color w:val="auto"/>
          <w:sz w:val="24"/>
          <w:highlight w:val="none"/>
        </w:rPr>
      </w:pPr>
      <w:r>
        <w:rPr>
          <w:rFonts w:hint="eastAsia" w:ascii="宋体" w:hAnsi="宋体" w:eastAsia="宋体" w:cs="仿宋"/>
          <w:b w:val="0"/>
          <w:bCs w:val="0"/>
          <w:color w:val="auto"/>
          <w:sz w:val="24"/>
          <w:szCs w:val="24"/>
          <w:highlight w:val="none"/>
        </w:rPr>
        <w:t>27.3中小企业依据《政府采购促进中小企业发展管理办法》（财库〔2020〕46号）规定享受扶持政策获得政府采购合同的，小微企业不得将合同分包给大中型企业，中型企业不得将合同分包给大型企业。</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28.</w:t>
      </w:r>
      <w:r>
        <w:rPr>
          <w:rFonts w:hint="eastAsia" w:ascii="宋体" w:hAnsi="宋体" w:cs="仿宋"/>
          <w:b/>
          <w:bCs/>
          <w:color w:val="auto"/>
          <w:sz w:val="24"/>
          <w:highlight w:val="none"/>
        </w:rPr>
        <w:t>合同转包（实质性要求）</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成交供应商转包的，视同拒绝履行政府采购合同义务，将依法追究法律责任。</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29.</w:t>
      </w:r>
      <w:r>
        <w:rPr>
          <w:rFonts w:hint="eastAsia" w:ascii="宋体" w:hAnsi="宋体" w:cs="仿宋"/>
          <w:b/>
          <w:bCs/>
          <w:color w:val="auto"/>
          <w:sz w:val="24"/>
          <w:highlight w:val="none"/>
        </w:rPr>
        <w:t>补充合同</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30.</w:t>
      </w:r>
      <w:r>
        <w:rPr>
          <w:rFonts w:hint="eastAsia" w:ascii="宋体" w:hAnsi="宋体" w:cs="仿宋"/>
          <w:b/>
          <w:bCs/>
          <w:color w:val="auto"/>
          <w:sz w:val="24"/>
          <w:highlight w:val="none"/>
        </w:rPr>
        <w:t>履约保证金（实质性要求）</w:t>
      </w:r>
    </w:p>
    <w:p>
      <w:pPr>
        <w:shd w:val="clea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本项目不缴纳履约保证金</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31.</w:t>
      </w:r>
      <w:r>
        <w:rPr>
          <w:rFonts w:hint="eastAsia" w:ascii="宋体" w:hAnsi="宋体" w:cs="仿宋"/>
          <w:b/>
          <w:bCs/>
          <w:color w:val="auto"/>
          <w:sz w:val="24"/>
          <w:highlight w:val="none"/>
        </w:rPr>
        <w:t>合同公告</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采购人应当自政府采购合同签订（双方当事人均已签字盖章）之日起</w:t>
      </w:r>
      <w:r>
        <w:rPr>
          <w:rFonts w:ascii="宋体" w:hAnsi="宋体" w:cs="仿宋"/>
          <w:color w:val="auto"/>
          <w:sz w:val="24"/>
          <w:highlight w:val="none"/>
        </w:rPr>
        <w:t>2</w:t>
      </w:r>
      <w:r>
        <w:rPr>
          <w:rFonts w:hint="eastAsia" w:ascii="宋体" w:hAnsi="宋体" w:cs="仿宋"/>
          <w:color w:val="auto"/>
          <w:sz w:val="24"/>
          <w:highlight w:val="none"/>
        </w:rPr>
        <w:t>个工作日内，将政府采购合同在四川政府采购网上公告，但政府采购合同中涉及国家秘密、商业秘密的内容除外。</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32.</w:t>
      </w:r>
      <w:r>
        <w:rPr>
          <w:rFonts w:hint="eastAsia" w:ascii="宋体" w:hAnsi="宋体" w:cs="仿宋"/>
          <w:b/>
          <w:bCs/>
          <w:color w:val="auto"/>
          <w:sz w:val="24"/>
          <w:highlight w:val="none"/>
        </w:rPr>
        <w:t>合同备案</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采购人应当将政府采购合同副本自签订（双方当事人均已签字盖章）之日起七个工作日内通过四川政府采购网报同级财政部门备案。</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33.</w:t>
      </w:r>
      <w:r>
        <w:rPr>
          <w:rFonts w:hint="eastAsia" w:ascii="宋体" w:hAnsi="宋体" w:cs="仿宋"/>
          <w:b/>
          <w:bCs/>
          <w:color w:val="auto"/>
          <w:sz w:val="24"/>
          <w:highlight w:val="none"/>
        </w:rPr>
        <w:t>履行合同</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33.1 </w:t>
      </w:r>
      <w:r>
        <w:rPr>
          <w:rFonts w:hint="eastAsia" w:ascii="宋体" w:hAnsi="宋体" w:cs="仿宋"/>
          <w:color w:val="auto"/>
          <w:sz w:val="24"/>
          <w:highlight w:val="none"/>
        </w:rPr>
        <w:t>成交供应商与采购人签订合同后，合同双方应严格执行合同条款，履行合同规定的义务，保证合同的顺利完成。</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33.2 </w:t>
      </w:r>
      <w:r>
        <w:rPr>
          <w:rFonts w:hint="eastAsia" w:ascii="宋体" w:hAnsi="宋体" w:cs="仿宋"/>
          <w:color w:val="auto"/>
          <w:sz w:val="24"/>
          <w:highlight w:val="none"/>
        </w:rPr>
        <w:t>在合同履行过程中，如发生合同纠纷，合同双方应按照合同约定及《中华人民共和国民法典》的有关规定进行处理。</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34.</w:t>
      </w:r>
      <w:r>
        <w:rPr>
          <w:rFonts w:hint="eastAsia" w:ascii="宋体" w:hAnsi="宋体" w:cs="仿宋"/>
          <w:b/>
          <w:bCs/>
          <w:color w:val="auto"/>
          <w:sz w:val="24"/>
          <w:highlight w:val="none"/>
        </w:rPr>
        <w:t>验收</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34.1</w:t>
      </w:r>
      <w:r>
        <w:rPr>
          <w:rFonts w:hint="eastAsia" w:ascii="宋体" w:hAnsi="宋体"/>
          <w:color w:val="auto"/>
          <w:sz w:val="24"/>
          <w:highlight w:val="none"/>
        </w:rPr>
        <w:t>本项目采购人及其委托的采购代理机构将严格按照政府采购相关法律法规以及</w:t>
      </w:r>
      <w:r>
        <w:rPr>
          <w:rFonts w:hint="eastAsia" w:ascii="宋体" w:hAnsi="宋体" w:cs="仿宋"/>
          <w:color w:val="auto"/>
          <w:sz w:val="24"/>
          <w:highlight w:val="none"/>
        </w:rPr>
        <w:t>《财政部关于进一步加强政府采购需求和履约验收管理的指导意见》（财库[2016]205号</w:t>
      </w:r>
      <w:r>
        <w:rPr>
          <w:rFonts w:hint="eastAsia" w:ascii="宋体" w:hAnsi="宋体"/>
          <w:color w:val="auto"/>
          <w:sz w:val="24"/>
          <w:highlight w:val="none"/>
        </w:rPr>
        <w:t>的要求进行验收。</w:t>
      </w:r>
    </w:p>
    <w:p>
      <w:pPr>
        <w:shd w:val="clear"/>
        <w:spacing w:line="360" w:lineRule="auto"/>
        <w:ind w:firstLine="480" w:firstLineChars="200"/>
        <w:rPr>
          <w:rFonts w:ascii="宋体" w:hAnsi="宋体"/>
          <w:color w:val="auto"/>
          <w:sz w:val="24"/>
          <w:highlight w:val="none"/>
        </w:rPr>
      </w:pPr>
      <w:r>
        <w:rPr>
          <w:rFonts w:ascii="宋体" w:hAnsi="宋体" w:cs="仿宋"/>
          <w:color w:val="auto"/>
          <w:sz w:val="24"/>
          <w:highlight w:val="none"/>
        </w:rPr>
        <w:t xml:space="preserve">34.2 </w:t>
      </w:r>
      <w:r>
        <w:rPr>
          <w:rFonts w:hint="eastAsia" w:ascii="宋体" w:hAnsi="宋体" w:cs="仿宋"/>
          <w:color w:val="auto"/>
          <w:sz w:val="24"/>
          <w:highlight w:val="none"/>
        </w:rPr>
        <w:t>验收结果合格的，成交供应商凭验收报告办理相关手续；验收结果不合格的，将不予支付采购资金，还可能会报本项目同级财政部门按照政府采购法律法规及《四川省政府采购当事人诚信管理办法》（川财采〔</w:t>
      </w:r>
      <w:r>
        <w:rPr>
          <w:rFonts w:ascii="宋体" w:hAnsi="宋体" w:cs="仿宋"/>
          <w:color w:val="auto"/>
          <w:sz w:val="24"/>
          <w:highlight w:val="none"/>
        </w:rPr>
        <w:t>2015</w:t>
      </w:r>
      <w:r>
        <w:rPr>
          <w:rFonts w:hint="eastAsia" w:ascii="宋体" w:hAnsi="宋体" w:cs="仿宋"/>
          <w:color w:val="auto"/>
          <w:sz w:val="24"/>
          <w:highlight w:val="none"/>
        </w:rPr>
        <w:t>〕</w:t>
      </w:r>
      <w:r>
        <w:rPr>
          <w:rFonts w:ascii="宋体" w:hAnsi="宋体" w:cs="仿宋"/>
          <w:color w:val="auto"/>
          <w:sz w:val="24"/>
          <w:highlight w:val="none"/>
        </w:rPr>
        <w:t>33</w:t>
      </w:r>
      <w:r>
        <w:rPr>
          <w:rFonts w:hint="eastAsia" w:ascii="宋体" w:hAnsi="宋体" w:cs="仿宋"/>
          <w:color w:val="auto"/>
          <w:sz w:val="24"/>
          <w:highlight w:val="none"/>
        </w:rPr>
        <w:t>号）等有关规定给予行政处罚或者以失信行为记入诚信档案。</w:t>
      </w:r>
    </w:p>
    <w:p>
      <w:pPr>
        <w:shd w:val="clear"/>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35.</w:t>
      </w:r>
      <w:r>
        <w:rPr>
          <w:rFonts w:hint="eastAsia" w:ascii="宋体" w:hAnsi="宋体" w:cs="仿宋"/>
          <w:b/>
          <w:bCs/>
          <w:color w:val="auto"/>
          <w:sz w:val="24"/>
          <w:highlight w:val="none"/>
        </w:rPr>
        <w:t>资金支付</w:t>
      </w:r>
    </w:p>
    <w:p>
      <w:pPr>
        <w:shd w:val="clear"/>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采购人将按照政府采购合同规定，及时向成交供应商支付采购资金。</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八、磋商纪律要求</w:t>
      </w:r>
    </w:p>
    <w:p>
      <w:pPr>
        <w:shd w:val="clear"/>
        <w:tabs>
          <w:tab w:val="left" w:pos="851"/>
        </w:tabs>
        <w:spacing w:line="360" w:lineRule="auto"/>
        <w:ind w:firstLine="482" w:firstLineChars="200"/>
        <w:rPr>
          <w:rFonts w:ascii="宋体" w:hAnsi="宋体"/>
          <w:b/>
          <w:bCs/>
          <w:color w:val="auto"/>
          <w:sz w:val="24"/>
          <w:highlight w:val="none"/>
        </w:rPr>
      </w:pPr>
      <w:r>
        <w:rPr>
          <w:rFonts w:ascii="宋体" w:hAnsi="宋体" w:cs="仿宋"/>
          <w:b/>
          <w:bCs/>
          <w:color w:val="auto"/>
          <w:sz w:val="24"/>
          <w:highlight w:val="none"/>
        </w:rPr>
        <w:t>36.</w:t>
      </w:r>
      <w:r>
        <w:rPr>
          <w:rFonts w:hint="eastAsia" w:ascii="宋体" w:hAnsi="宋体" w:cs="仿宋"/>
          <w:b/>
          <w:bCs/>
          <w:color w:val="auto"/>
          <w:sz w:val="24"/>
          <w:highlight w:val="none"/>
        </w:rPr>
        <w:t>供应商不得具有的情形</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供应商参加本项目磋商不得有下列情形：</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w:t>
      </w:r>
      <w:r>
        <w:rPr>
          <w:rFonts w:hint="eastAsia" w:ascii="宋体" w:hAnsi="宋体" w:cs="仿宋"/>
          <w:color w:val="auto"/>
          <w:sz w:val="24"/>
          <w:highlight w:val="none"/>
        </w:rPr>
        <w:t>）提供虚假材料谋取成交；</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w:t>
      </w:r>
      <w:r>
        <w:rPr>
          <w:rFonts w:hint="eastAsia" w:ascii="宋体" w:hAnsi="宋体" w:cs="仿宋"/>
          <w:color w:val="auto"/>
          <w:sz w:val="24"/>
          <w:highlight w:val="none"/>
        </w:rPr>
        <w:t>）采取不正当手段诋毁、排挤其他供应商；</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w:t>
      </w:r>
      <w:r>
        <w:rPr>
          <w:rFonts w:hint="eastAsia" w:ascii="宋体" w:hAnsi="宋体" w:cs="仿宋"/>
          <w:color w:val="auto"/>
          <w:sz w:val="24"/>
          <w:highlight w:val="none"/>
        </w:rPr>
        <w:t>）与采购人、采购代理机构、或其他供应商恶意串通；</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4</w:t>
      </w:r>
      <w:r>
        <w:rPr>
          <w:rFonts w:hint="eastAsia" w:ascii="宋体" w:hAnsi="宋体" w:cs="仿宋"/>
          <w:color w:val="auto"/>
          <w:sz w:val="24"/>
          <w:highlight w:val="none"/>
        </w:rPr>
        <w:t>）向采购人、采购代理机构、磋商小组成员行贿或者提供其他不正当利益；</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5</w:t>
      </w:r>
      <w:r>
        <w:rPr>
          <w:rFonts w:hint="eastAsia" w:ascii="宋体" w:hAnsi="宋体" w:cs="仿宋"/>
          <w:color w:val="auto"/>
          <w:sz w:val="24"/>
          <w:highlight w:val="none"/>
        </w:rPr>
        <w:t>）在磋商过程中与采购人、采购代理机构进行协商；</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6</w:t>
      </w:r>
      <w:r>
        <w:rPr>
          <w:rFonts w:hint="eastAsia" w:ascii="宋体" w:hAnsi="宋体" w:cs="仿宋"/>
          <w:color w:val="auto"/>
          <w:sz w:val="24"/>
          <w:highlight w:val="none"/>
        </w:rPr>
        <w:t>）成交后无正当理由拒不与采购人签订政府采购合同；</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7</w:t>
      </w:r>
      <w:r>
        <w:rPr>
          <w:rFonts w:hint="eastAsia" w:ascii="宋体" w:hAnsi="宋体" w:cs="仿宋"/>
          <w:color w:val="auto"/>
          <w:sz w:val="24"/>
          <w:highlight w:val="none"/>
        </w:rPr>
        <w:t>）未按照磋商文件确定的事项签订政府采购合同；</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8</w:t>
      </w:r>
      <w:r>
        <w:rPr>
          <w:rFonts w:hint="eastAsia" w:ascii="宋体" w:hAnsi="宋体" w:cs="仿宋"/>
          <w:color w:val="auto"/>
          <w:sz w:val="24"/>
          <w:highlight w:val="none"/>
        </w:rPr>
        <w:t>）将政府采购合同转包或者违规分包；</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9</w:t>
      </w:r>
      <w:r>
        <w:rPr>
          <w:rFonts w:hint="eastAsia" w:ascii="宋体" w:hAnsi="宋体" w:cs="仿宋"/>
          <w:color w:val="auto"/>
          <w:sz w:val="24"/>
          <w:highlight w:val="none"/>
        </w:rPr>
        <w:t>）提供假冒伪劣产品；</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10</w:t>
      </w:r>
      <w:r>
        <w:rPr>
          <w:rFonts w:hint="eastAsia" w:ascii="宋体" w:hAnsi="宋体" w:cs="仿宋"/>
          <w:color w:val="auto"/>
          <w:sz w:val="24"/>
          <w:highlight w:val="none"/>
        </w:rPr>
        <w:t>）擅自变更、中止或者终止政府采购合同；</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11</w:t>
      </w:r>
      <w:r>
        <w:rPr>
          <w:rFonts w:hint="eastAsia" w:ascii="宋体" w:hAnsi="宋体" w:cs="仿宋"/>
          <w:color w:val="auto"/>
          <w:sz w:val="24"/>
          <w:highlight w:val="none"/>
        </w:rPr>
        <w:t>）拒绝有关部门的监督检查或者向监督检查部门提供虚假情况；</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12</w:t>
      </w:r>
      <w:r>
        <w:rPr>
          <w:rFonts w:hint="eastAsia" w:ascii="宋体" w:hAnsi="宋体" w:cs="仿宋"/>
          <w:color w:val="auto"/>
          <w:sz w:val="24"/>
          <w:highlight w:val="none"/>
        </w:rPr>
        <w:t>）法律法规规定的其他情形。</w:t>
      </w:r>
    </w:p>
    <w:p>
      <w:pPr>
        <w:shd w:val="clear"/>
        <w:tabs>
          <w:tab w:val="left" w:pos="851"/>
        </w:tabs>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供应商有上述情形的，按照规定追究法律责任，具备（</w:t>
      </w:r>
      <w:r>
        <w:rPr>
          <w:rFonts w:ascii="宋体" w:hAnsi="宋体" w:cs="仿宋"/>
          <w:color w:val="auto"/>
          <w:sz w:val="24"/>
          <w:highlight w:val="none"/>
        </w:rPr>
        <w:t>1</w:t>
      </w:r>
      <w:r>
        <w:rPr>
          <w:rFonts w:hint="eastAsia" w:ascii="宋体" w:hAnsi="宋体" w:cs="仿宋"/>
          <w:color w:val="auto"/>
          <w:sz w:val="24"/>
          <w:highlight w:val="none"/>
        </w:rPr>
        <w:t>）</w:t>
      </w:r>
      <w:r>
        <w:rPr>
          <w:rFonts w:ascii="宋体" w:hAnsi="宋体" w:cs="仿宋"/>
          <w:color w:val="auto"/>
          <w:sz w:val="24"/>
          <w:highlight w:val="none"/>
        </w:rPr>
        <w:t>-</w:t>
      </w:r>
      <w:r>
        <w:rPr>
          <w:rFonts w:hint="eastAsia" w:ascii="宋体" w:hAnsi="宋体" w:cs="仿宋"/>
          <w:color w:val="auto"/>
          <w:sz w:val="24"/>
          <w:highlight w:val="none"/>
        </w:rPr>
        <w:t>（10）条情形之一的，同时将取消成交资格或者认定成交无效。</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九、询问、质疑和投诉</w:t>
      </w:r>
    </w:p>
    <w:p>
      <w:pPr>
        <w:shd w:val="clear"/>
        <w:tabs>
          <w:tab w:val="left" w:pos="851"/>
        </w:tabs>
        <w:spacing w:line="360" w:lineRule="auto"/>
        <w:ind w:firstLine="495"/>
        <w:rPr>
          <w:rFonts w:ascii="宋体" w:hAnsi="宋体"/>
          <w:color w:val="auto"/>
          <w:sz w:val="24"/>
          <w:highlight w:val="none"/>
        </w:rPr>
      </w:pPr>
      <w:r>
        <w:rPr>
          <w:rFonts w:ascii="宋体" w:hAnsi="宋体" w:cs="仿宋"/>
          <w:color w:val="auto"/>
          <w:sz w:val="24"/>
          <w:highlight w:val="none"/>
        </w:rPr>
        <w:t>37.</w:t>
      </w:r>
      <w:r>
        <w:rPr>
          <w:rFonts w:hint="eastAsia" w:ascii="宋体" w:hAnsi="宋体" w:cs="仿宋"/>
          <w:color w:val="auto"/>
          <w:sz w:val="24"/>
          <w:highlight w:val="none"/>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pStyle w:val="4"/>
        <w:shd w:val="clear"/>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十、其他</w:t>
      </w:r>
    </w:p>
    <w:p>
      <w:pPr>
        <w:shd w:val="clear"/>
        <w:tabs>
          <w:tab w:val="left" w:pos="851"/>
        </w:tabs>
        <w:spacing w:line="360" w:lineRule="auto"/>
        <w:jc w:val="center"/>
        <w:rPr>
          <w:rFonts w:ascii="宋体" w:hAnsi="宋体"/>
          <w:color w:val="auto"/>
          <w:sz w:val="24"/>
          <w:highlight w:val="none"/>
        </w:rPr>
      </w:pPr>
    </w:p>
    <w:p>
      <w:pPr>
        <w:shd w:val="clear"/>
        <w:tabs>
          <w:tab w:val="left" w:pos="851"/>
        </w:tabs>
        <w:spacing w:line="360" w:lineRule="auto"/>
        <w:ind w:firstLine="480" w:firstLineChars="200"/>
        <w:rPr>
          <w:rFonts w:ascii="宋体" w:hAnsi="宋体"/>
          <w:color w:val="auto"/>
          <w:sz w:val="24"/>
          <w:highlight w:val="none"/>
        </w:rPr>
      </w:pPr>
      <w:r>
        <w:rPr>
          <w:rFonts w:ascii="宋体" w:hAnsi="宋体" w:cs="仿宋"/>
          <w:color w:val="auto"/>
          <w:sz w:val="24"/>
          <w:highlight w:val="none"/>
        </w:rPr>
        <w:t>38.</w:t>
      </w:r>
      <w:r>
        <w:rPr>
          <w:rFonts w:hint="eastAsia" w:ascii="宋体" w:hAnsi="宋体" w:cs="仿宋"/>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hd w:val="clear"/>
        <w:spacing w:line="360" w:lineRule="auto"/>
        <w:ind w:firstLine="480" w:firstLineChars="200"/>
        <w:rPr>
          <w:rFonts w:ascii="宋体" w:hAnsi="宋体"/>
          <w:b/>
          <w:color w:val="auto"/>
          <w:sz w:val="24"/>
          <w:highlight w:val="none"/>
        </w:rPr>
      </w:pPr>
      <w:r>
        <w:rPr>
          <w:rFonts w:ascii="宋体" w:hAnsi="宋体" w:cs="仿宋"/>
          <w:color w:val="auto"/>
          <w:sz w:val="24"/>
          <w:highlight w:val="none"/>
        </w:rPr>
        <w:t>39.</w:t>
      </w:r>
      <w:r>
        <w:rPr>
          <w:rFonts w:hint="eastAsia" w:ascii="宋体" w:hAnsi="宋体" w:cs="仿宋"/>
          <w:b/>
          <w:bCs/>
          <w:color w:val="auto"/>
          <w:sz w:val="24"/>
          <w:highlight w:val="none"/>
        </w:rPr>
        <w:t>（实质性要求）</w:t>
      </w:r>
      <w:r>
        <w:rPr>
          <w:rFonts w:hint="eastAsia" w:ascii="宋体" w:hAnsi="宋体" w:cs="仿宋"/>
          <w:color w:val="auto"/>
          <w:sz w:val="24"/>
          <w:highlight w:val="none"/>
        </w:rPr>
        <w:t>国家或行业主管部门对工程项目的技术标准、质量标准和资格资质条件等有强制性规定的，必须符合其要求。</w:t>
      </w:r>
      <w:bookmarkStart w:id="50" w:name="_Toc217446083"/>
    </w:p>
    <w:p>
      <w:pPr>
        <w:pStyle w:val="3"/>
        <w:shd w:val="clear"/>
        <w:jc w:val="center"/>
        <w:rPr>
          <w:rFonts w:ascii="宋体" w:hAnsi="宋体"/>
          <w:color w:val="auto"/>
          <w:sz w:val="36"/>
          <w:szCs w:val="36"/>
          <w:highlight w:val="none"/>
        </w:rPr>
        <w:sectPr>
          <w:pgSz w:w="11907" w:h="16840"/>
          <w:pgMar w:top="1440" w:right="1474" w:bottom="1440" w:left="1474" w:header="851" w:footer="992" w:gutter="0"/>
          <w:cols w:space="720" w:num="1"/>
          <w:docGrid w:linePitch="312" w:charSpace="0"/>
        </w:sectPr>
      </w:pPr>
      <w:bookmarkStart w:id="51" w:name="_Toc1368"/>
    </w:p>
    <w:p>
      <w:pPr>
        <w:pStyle w:val="3"/>
        <w:shd w:val="clear"/>
        <w:spacing w:line="240" w:lineRule="auto"/>
        <w:jc w:val="center"/>
        <w:rPr>
          <w:rFonts w:ascii="宋体" w:hAnsi="宋体"/>
          <w:color w:val="auto"/>
          <w:sz w:val="36"/>
          <w:szCs w:val="36"/>
          <w:highlight w:val="none"/>
        </w:rPr>
      </w:pPr>
      <w:bookmarkStart w:id="52" w:name="_Toc53267583"/>
      <w:r>
        <w:rPr>
          <w:rFonts w:hint="eastAsia" w:ascii="宋体" w:hAnsi="宋体"/>
          <w:color w:val="auto"/>
          <w:sz w:val="36"/>
          <w:szCs w:val="36"/>
          <w:highlight w:val="none"/>
        </w:rPr>
        <w:t xml:space="preserve">第三章  </w:t>
      </w:r>
      <w:bookmarkEnd w:id="51"/>
      <w:bookmarkStart w:id="53" w:name="_Toc217446082"/>
      <w:bookmarkStart w:id="54" w:name="_Toc308164821"/>
      <w:r>
        <w:rPr>
          <w:rFonts w:hint="eastAsia" w:ascii="宋体" w:hAnsi="宋体"/>
          <w:color w:val="auto"/>
          <w:sz w:val="36"/>
          <w:szCs w:val="36"/>
          <w:highlight w:val="none"/>
        </w:rPr>
        <w:t>供应商资格条件要求</w:t>
      </w:r>
      <w:bookmarkEnd w:id="52"/>
    </w:p>
    <w:p>
      <w:pPr>
        <w:pStyle w:val="63"/>
        <w:shd w:val="clear"/>
        <w:spacing w:line="420" w:lineRule="exact"/>
        <w:ind w:firstLine="0" w:firstLineChars="0"/>
        <w:rPr>
          <w:rFonts w:ascii="宋体" w:hAnsi="宋体"/>
          <w:b/>
          <w:bCs/>
          <w:color w:val="auto"/>
          <w:sz w:val="24"/>
          <w:highlight w:val="none"/>
        </w:rPr>
      </w:pPr>
      <w:r>
        <w:rPr>
          <w:rFonts w:ascii="宋体" w:hAnsi="宋体"/>
          <w:b/>
          <w:bCs/>
          <w:color w:val="auto"/>
          <w:sz w:val="24"/>
          <w:highlight w:val="none"/>
        </w:rPr>
        <w:t>（一）</w:t>
      </w:r>
      <w:r>
        <w:rPr>
          <w:rFonts w:hint="eastAsia" w:ascii="宋体" w:hAnsi="宋体"/>
          <w:b/>
          <w:bCs/>
          <w:color w:val="auto"/>
          <w:sz w:val="24"/>
          <w:highlight w:val="none"/>
        </w:rPr>
        <w:t>资格要求：</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.落实政府采购政策需满足的资格要求：</w:t>
      </w:r>
      <w:r>
        <w:rPr>
          <w:rFonts w:hint="eastAsia" w:ascii="宋体" w:hAnsi="宋体"/>
          <w:iCs/>
          <w:color w:val="auto"/>
          <w:sz w:val="24"/>
          <w:highlight w:val="none"/>
          <w:u w:val="single"/>
        </w:rPr>
        <w:t>本项目属于专门面向中小企业采购的项目,供应商应为中小微企业、监狱企业、残疾人福利性单位</w:t>
      </w:r>
      <w:r>
        <w:rPr>
          <w:rFonts w:hint="eastAsia" w:ascii="宋体" w:hAnsi="宋体"/>
          <w:color w:val="auto"/>
          <w:sz w:val="24"/>
          <w:highlight w:val="none"/>
          <w:u w:val="single"/>
        </w:rPr>
        <w:t>。</w:t>
      </w:r>
    </w:p>
    <w:p>
      <w:pPr>
        <w:shd w:val="clear"/>
        <w:spacing w:line="400" w:lineRule="exact"/>
        <w:ind w:firstLine="480" w:firstLineChars="200"/>
        <w:rPr>
          <w:rStyle w:val="48"/>
          <w:rFonts w:hint="eastAsia" w:eastAsia="宋体"/>
          <w:color w:val="auto"/>
          <w:highlight w:val="none"/>
          <w:lang w:eastAsia="zh-CN"/>
        </w:rPr>
      </w:pPr>
      <w:r>
        <w:rPr>
          <w:rFonts w:hint="eastAsia" w:ascii="宋体" w:hAnsi="宋体"/>
          <w:color w:val="auto"/>
          <w:sz w:val="24"/>
          <w:highlight w:val="none"/>
        </w:rPr>
        <w:t>3.本项目的特定资格要求：</w:t>
      </w:r>
      <w:r>
        <w:rPr>
          <w:rFonts w:hint="eastAsia" w:ascii="宋体" w:hAnsi="宋体"/>
          <w:color w:val="auto"/>
          <w:sz w:val="24"/>
          <w:highlight w:val="none"/>
          <w:u w:val="single"/>
          <w:lang w:val="en-US" w:eastAsia="zh-CN"/>
        </w:rPr>
        <w:t>无</w:t>
      </w:r>
    </w:p>
    <w:p>
      <w:pPr>
        <w:pStyle w:val="2"/>
        <w:shd w:val="clear"/>
        <w:ind w:firstLine="480" w:firstLineChars="200"/>
        <w:rPr>
          <w:rFonts w:hint="default"/>
          <w:color w:val="auto"/>
          <w:highlight w:val="none"/>
          <w:lang w:val="en-US" w:eastAsia="zh-CN"/>
        </w:rPr>
      </w:pPr>
      <w:r>
        <w:rPr>
          <w:rFonts w:hint="eastAsia" w:hAnsi="宋体"/>
          <w:color w:val="auto"/>
          <w:sz w:val="24"/>
          <w:highlight w:val="none"/>
          <w:lang w:val="en-US" w:eastAsia="zh-CN"/>
        </w:rPr>
        <w:t>4、本项目其他资格要求：</w:t>
      </w:r>
      <w:r>
        <w:rPr>
          <w:rFonts w:hint="eastAsia" w:ascii="宋体" w:hAnsi="宋体"/>
          <w:color w:val="auto"/>
          <w:sz w:val="24"/>
          <w:highlight w:val="none"/>
        </w:rPr>
        <w:t>供应商单位及其法定代表人/主要负责人在参加本项目政府采购活动前三年无行贿犯罪记录</w:t>
      </w:r>
    </w:p>
    <w:p>
      <w:pPr>
        <w:pStyle w:val="2"/>
        <w:shd w:val="clear"/>
        <w:rPr>
          <w:color w:val="auto"/>
          <w:highlight w:val="none"/>
        </w:rPr>
      </w:pPr>
    </w:p>
    <w:p>
      <w:pPr>
        <w:pStyle w:val="63"/>
        <w:shd w:val="clear"/>
        <w:spacing w:line="420" w:lineRule="exact"/>
        <w:ind w:firstLine="0" w:firstLineChars="0"/>
        <w:rPr>
          <w:rFonts w:ascii="宋体" w:hAnsi="宋体"/>
          <w:b/>
          <w:bCs/>
          <w:color w:val="auto"/>
          <w:sz w:val="24"/>
          <w:highlight w:val="none"/>
        </w:rPr>
      </w:pPr>
      <w:r>
        <w:rPr>
          <w:rFonts w:hint="eastAsia" w:ascii="宋体" w:hAnsi="宋体"/>
          <w:b/>
          <w:bCs/>
          <w:color w:val="auto"/>
          <w:sz w:val="24"/>
          <w:highlight w:val="none"/>
        </w:rPr>
        <w:t>（二）其他类似效力要求：</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1.法定代表人/单位负责人身份证明文件或授权参加本次采购活动的授权代表证明材料。</w:t>
      </w:r>
    </w:p>
    <w:p>
      <w:pPr>
        <w:widowControl/>
        <w:shd w:val="clear"/>
        <w:jc w:val="left"/>
        <w:rPr>
          <w:rFonts w:ascii="宋体" w:hAnsi="宋体"/>
          <w:b/>
          <w:color w:val="auto"/>
          <w:sz w:val="32"/>
          <w:highlight w:val="none"/>
        </w:rPr>
      </w:pPr>
    </w:p>
    <w:p>
      <w:pPr>
        <w:pStyle w:val="63"/>
        <w:shd w:val="clear"/>
        <w:spacing w:line="420" w:lineRule="exact"/>
        <w:ind w:firstLine="0" w:firstLineChars="0"/>
        <w:rPr>
          <w:rFonts w:ascii="宋体" w:hAnsi="宋体"/>
          <w:b/>
          <w:color w:val="auto"/>
          <w:szCs w:val="21"/>
          <w:highlight w:val="none"/>
        </w:rPr>
      </w:pPr>
      <w:r>
        <w:rPr>
          <w:rFonts w:hint="eastAsia" w:ascii="宋体" w:hAnsi="宋体"/>
          <w:b/>
          <w:color w:val="auto"/>
          <w:szCs w:val="21"/>
          <w:highlight w:val="none"/>
        </w:rPr>
        <w:t>注：</w:t>
      </w:r>
    </w:p>
    <w:p>
      <w:pPr>
        <w:pStyle w:val="63"/>
        <w:shd w:val="clear"/>
        <w:spacing w:line="420" w:lineRule="exact"/>
        <w:ind w:firstLine="422"/>
        <w:rPr>
          <w:rFonts w:ascii="宋体" w:hAnsi="宋体"/>
          <w:b/>
          <w:color w:val="auto"/>
          <w:szCs w:val="21"/>
          <w:highlight w:val="none"/>
        </w:rPr>
      </w:pPr>
      <w:r>
        <w:rPr>
          <w:rFonts w:hint="eastAsia" w:ascii="宋体" w:hAnsi="宋体"/>
          <w:b/>
          <w:color w:val="auto"/>
          <w:szCs w:val="21"/>
          <w:highlight w:val="none"/>
        </w:rPr>
        <w:t>1.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widowControl/>
        <w:shd w:val="clear"/>
        <w:jc w:val="left"/>
        <w:rPr>
          <w:rFonts w:ascii="宋体" w:hAnsi="宋体"/>
          <w:b/>
          <w:color w:val="auto"/>
          <w:szCs w:val="21"/>
          <w:highlight w:val="none"/>
        </w:rPr>
      </w:pPr>
      <w:r>
        <w:rPr>
          <w:rFonts w:hint="eastAsia" w:ascii="宋体" w:hAnsi="宋体"/>
          <w:b/>
          <w:color w:val="auto"/>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宋体" w:hAnsi="宋体"/>
          <w:b/>
          <w:color w:val="auto"/>
          <w:szCs w:val="21"/>
          <w:highlight w:val="none"/>
        </w:rPr>
        <w:br w:type="page"/>
      </w:r>
    </w:p>
    <w:p>
      <w:pPr>
        <w:pStyle w:val="3"/>
        <w:shd w:val="clear"/>
        <w:spacing w:line="240" w:lineRule="auto"/>
        <w:jc w:val="center"/>
        <w:rPr>
          <w:rFonts w:ascii="宋体" w:hAnsi="宋体"/>
          <w:color w:val="auto"/>
          <w:sz w:val="36"/>
          <w:szCs w:val="36"/>
          <w:highlight w:val="none"/>
        </w:rPr>
      </w:pPr>
      <w:bookmarkStart w:id="55" w:name="_Toc53267584"/>
      <w:r>
        <w:rPr>
          <w:rFonts w:hint="eastAsia" w:ascii="宋体" w:hAnsi="宋体"/>
          <w:color w:val="auto"/>
          <w:sz w:val="36"/>
          <w:szCs w:val="36"/>
          <w:highlight w:val="none"/>
        </w:rPr>
        <w:t>第四章  供应商资格证明材料</w:t>
      </w:r>
      <w:bookmarkEnd w:id="55"/>
    </w:p>
    <w:p>
      <w:pPr>
        <w:pStyle w:val="4"/>
        <w:shd w:val="clear"/>
        <w:spacing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一、供应商应提交的资格证明材料</w:t>
      </w:r>
    </w:p>
    <w:p>
      <w:pPr>
        <w:shd w:val="clear"/>
        <w:rPr>
          <w:rFonts w:ascii="宋体" w:hAnsi="宋体"/>
          <w:b/>
          <w:bCs/>
          <w:color w:val="auto"/>
          <w:sz w:val="24"/>
          <w:highlight w:val="none"/>
        </w:rPr>
      </w:pPr>
      <w:r>
        <w:rPr>
          <w:rFonts w:hint="eastAsia" w:ascii="宋体" w:hAnsi="宋体"/>
          <w:b/>
          <w:bCs/>
          <w:color w:val="auto"/>
          <w:sz w:val="24"/>
          <w:highlight w:val="none"/>
        </w:rPr>
        <w:t>（一）资格要求相关证明材料：</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1.具有独立承担民事责任的能力。</w:t>
      </w:r>
    </w:p>
    <w:p>
      <w:pPr>
        <w:shd w:val="clear"/>
        <w:spacing w:line="312" w:lineRule="auto"/>
        <w:ind w:firstLine="540" w:firstLineChars="225"/>
        <w:rPr>
          <w:rFonts w:ascii="宋体" w:hAnsi="宋体"/>
          <w:color w:val="auto"/>
          <w:sz w:val="24"/>
          <w:highlight w:val="none"/>
        </w:rPr>
      </w:pPr>
      <w:r>
        <w:rPr>
          <w:rFonts w:hint="eastAsia" w:ascii="宋体" w:hAnsi="宋体"/>
          <w:color w:val="auto"/>
          <w:sz w:val="24"/>
          <w:highlight w:val="none"/>
        </w:rPr>
        <w:t>（1）若为企业法人：提供“统一社会信用代码营业执照”；</w:t>
      </w:r>
    </w:p>
    <w:p>
      <w:pPr>
        <w:shd w:val="clear"/>
        <w:spacing w:line="312" w:lineRule="auto"/>
        <w:ind w:firstLine="540" w:firstLineChars="225"/>
        <w:rPr>
          <w:rFonts w:ascii="宋体" w:hAnsi="宋体"/>
          <w:color w:val="auto"/>
          <w:sz w:val="24"/>
          <w:highlight w:val="none"/>
        </w:rPr>
      </w:pPr>
      <w:r>
        <w:rPr>
          <w:rFonts w:hint="eastAsia" w:ascii="宋体" w:hAnsi="宋体"/>
          <w:color w:val="auto"/>
          <w:sz w:val="24"/>
          <w:highlight w:val="none"/>
        </w:rPr>
        <w:t>（2）若为事业法人：提供“统一社会信用代码法人登记证书”；</w:t>
      </w:r>
    </w:p>
    <w:p>
      <w:pPr>
        <w:shd w:val="clear"/>
        <w:spacing w:line="312" w:lineRule="auto"/>
        <w:ind w:firstLine="540" w:firstLineChars="225"/>
        <w:rPr>
          <w:rFonts w:ascii="宋体" w:hAnsi="宋体"/>
          <w:color w:val="auto"/>
          <w:sz w:val="24"/>
          <w:highlight w:val="none"/>
        </w:rPr>
      </w:pPr>
      <w:r>
        <w:rPr>
          <w:rFonts w:hint="eastAsia" w:ascii="宋体" w:hAnsi="宋体"/>
          <w:color w:val="auto"/>
          <w:sz w:val="24"/>
          <w:highlight w:val="none"/>
        </w:rPr>
        <w:t>（3）若为其他组织：提供“对应主管部门颁发的准许执业证明文件或营业执照”；</w:t>
      </w:r>
    </w:p>
    <w:p>
      <w:pPr>
        <w:shd w:val="clear"/>
        <w:spacing w:line="312" w:lineRule="auto"/>
        <w:ind w:firstLine="540" w:firstLineChars="225"/>
        <w:rPr>
          <w:rFonts w:ascii="宋体" w:hAnsi="宋体"/>
          <w:color w:val="auto"/>
          <w:sz w:val="24"/>
          <w:highlight w:val="none"/>
        </w:rPr>
      </w:pPr>
      <w:r>
        <w:rPr>
          <w:rFonts w:hint="eastAsia" w:ascii="宋体" w:hAnsi="宋体"/>
          <w:color w:val="auto"/>
          <w:sz w:val="24"/>
          <w:highlight w:val="none"/>
        </w:rPr>
        <w:t>（4）若为自然人：提供“身份证明材料”；</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注：供应商根据自身情况选择提供以上（1）-（4）项其中之一复印件。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2. 具有良好的商业信誉和健全的财务会计制度。</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（1）提供具有良好的商业信誉的承诺函原件。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（2）具备健全的财务会计制度的证明材料。</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①提供2019年度或2020年度经审计的财务报告复印件（包含审计报告和审计报告中所涉及的财务报表和报表附注）；</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②提供2019年度或2020年度供应商内部的财务报表复印件（至少包含资产负债表、利润表、现金流量表）；</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③提供截至响应文件递交截止日一年内银行出具的资信证明（复印件）；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④供应商注册时间截至响应文件递交截止日不足一年的，提供在工商备案的公司章程（复印件）。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注：供应商根据自身情况选择提供以上①-④项其中之一。</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3. 具备履行合同所必需的设备和专业技术能力的证明材料；</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w:t>
      </w:r>
    </w:p>
    <w:p>
      <w:pPr>
        <w:shd w:val="clea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（二）落实政府采购政策需满足的资格要求：</w:t>
      </w:r>
    </w:p>
    <w:p>
      <w:pPr>
        <w:pStyle w:val="63"/>
        <w:shd w:val="clear"/>
        <w:spacing w:line="420" w:lineRule="exact"/>
        <w:ind w:firstLine="480"/>
        <w:rPr>
          <w:rFonts w:ascii="宋体" w:hAnsi="宋体"/>
          <w:color w:val="auto"/>
          <w:sz w:val="24"/>
          <w:highlight w:val="none"/>
        </w:rPr>
      </w:pPr>
      <w:r>
        <w:rPr>
          <w:rFonts w:hint="eastAsia" w:ascii="宋体" w:hAnsi="宋体"/>
          <w:color w:val="auto"/>
          <w:sz w:val="24"/>
          <w:highlight w:val="none"/>
        </w:rPr>
        <w:t>落实政府采购政策需满足的资格要求：</w:t>
      </w:r>
      <w:r>
        <w:rPr>
          <w:rFonts w:hint="eastAsia" w:ascii="宋体" w:hAnsi="宋体"/>
          <w:iCs/>
          <w:color w:val="auto"/>
          <w:sz w:val="24"/>
          <w:highlight w:val="none"/>
          <w:u w:val="single"/>
        </w:rPr>
        <w:t>本项目属于专门面向中小企业采购的项目</w:t>
      </w:r>
      <w:r>
        <w:rPr>
          <w:rFonts w:hint="eastAsia" w:ascii="宋体" w:hAnsi="宋体"/>
          <w:color w:val="auto"/>
          <w:sz w:val="24"/>
          <w:highlight w:val="none"/>
        </w:rPr>
        <w:t>。</w:t>
      </w:r>
    </w:p>
    <w:p>
      <w:pPr>
        <w:pStyle w:val="63"/>
        <w:numPr>
          <w:ilvl w:val="0"/>
          <w:numId w:val="2"/>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提供中小企业声明函原件；</w:t>
      </w:r>
    </w:p>
    <w:p>
      <w:pPr>
        <w:pStyle w:val="63"/>
        <w:numPr>
          <w:ilvl w:val="0"/>
          <w:numId w:val="2"/>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提供残疾人福利性单位声明函原件；</w:t>
      </w:r>
    </w:p>
    <w:p>
      <w:pPr>
        <w:pStyle w:val="63"/>
        <w:numPr>
          <w:ilvl w:val="0"/>
          <w:numId w:val="2"/>
        </w:numPr>
        <w:shd w:val="clear"/>
        <w:spacing w:line="420" w:lineRule="exact"/>
        <w:ind w:firstLineChars="0"/>
        <w:rPr>
          <w:rFonts w:ascii="宋体" w:hAnsi="宋体"/>
          <w:color w:val="auto"/>
          <w:sz w:val="24"/>
          <w:highlight w:val="none"/>
        </w:rPr>
      </w:pPr>
      <w:r>
        <w:rPr>
          <w:rFonts w:hint="eastAsia" w:ascii="宋体" w:hAnsi="宋体"/>
          <w:color w:val="auto"/>
          <w:sz w:val="24"/>
          <w:highlight w:val="none"/>
        </w:rPr>
        <w:t>提供监狱企业证明材料复印件</w:t>
      </w:r>
    </w:p>
    <w:p>
      <w:pPr>
        <w:pStyle w:val="63"/>
        <w:shd w:val="clear"/>
        <w:spacing w:line="420" w:lineRule="exact"/>
        <w:ind w:left="480" w:firstLine="0" w:firstLineChars="0"/>
        <w:rPr>
          <w:rFonts w:ascii="宋体" w:hAnsi="宋体"/>
          <w:color w:val="auto"/>
          <w:sz w:val="24"/>
          <w:highlight w:val="none"/>
        </w:rPr>
      </w:pPr>
      <w:r>
        <w:rPr>
          <w:rFonts w:hint="eastAsia" w:ascii="宋体" w:hAnsi="宋体"/>
          <w:color w:val="auto"/>
          <w:sz w:val="24"/>
          <w:highlight w:val="none"/>
        </w:rPr>
        <w:t>注：供应商根据自身情况选择提供以上（1）-（3）项其中之一。</w:t>
      </w:r>
    </w:p>
    <w:p>
      <w:pPr>
        <w:numPr>
          <w:ilvl w:val="0"/>
          <w:numId w:val="3"/>
        </w:numPr>
        <w:shd w:val="clear"/>
        <w:spacing w:line="312" w:lineRule="auto"/>
        <w:ind w:firstLine="542" w:firstLineChars="225"/>
        <w:rPr>
          <w:rFonts w:hint="eastAsia" w:ascii="宋体" w:hAnsi="宋体"/>
          <w:b/>
          <w:color w:val="auto"/>
          <w:sz w:val="24"/>
          <w:highlight w:val="none"/>
          <w:lang w:val="en-US" w:eastAsia="zh-CN"/>
        </w:rPr>
      </w:pPr>
      <w:r>
        <w:rPr>
          <w:rFonts w:hint="eastAsia" w:ascii="宋体" w:hAnsi="宋体"/>
          <w:b/>
          <w:color w:val="auto"/>
          <w:sz w:val="24"/>
          <w:highlight w:val="none"/>
        </w:rPr>
        <w:t>本项目的特定资格要求：</w:t>
      </w:r>
      <w:r>
        <w:rPr>
          <w:rFonts w:hint="eastAsia" w:ascii="宋体" w:hAnsi="宋体"/>
          <w:b w:val="0"/>
          <w:bCs/>
          <w:color w:val="auto"/>
          <w:sz w:val="24"/>
          <w:highlight w:val="none"/>
          <w:lang w:val="en-US" w:eastAsia="zh-CN"/>
        </w:rPr>
        <w:t>无</w:t>
      </w:r>
    </w:p>
    <w:p>
      <w:pPr>
        <w:pStyle w:val="2"/>
        <w:numPr>
          <w:ilvl w:val="0"/>
          <w:numId w:val="0"/>
        </w:numPr>
        <w:shd w:val="clear"/>
        <w:ind w:firstLine="482" w:firstLineChars="200"/>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（四）本项目其他资格</w:t>
      </w:r>
      <w:r>
        <w:rPr>
          <w:rFonts w:hint="eastAsia" w:hAnsi="宋体" w:cs="Times New Roman"/>
          <w:b/>
          <w:color w:val="auto"/>
          <w:kern w:val="2"/>
          <w:sz w:val="24"/>
          <w:szCs w:val="24"/>
          <w:highlight w:val="none"/>
          <w:lang w:val="en-US" w:eastAsia="zh-CN" w:bidi="ar-SA"/>
        </w:rPr>
        <w:t>要求</w:t>
      </w:r>
      <w:r>
        <w:rPr>
          <w:rFonts w:hint="eastAsia" w:ascii="宋体" w:hAnsi="宋体" w:eastAsia="宋体" w:cs="Times New Roman"/>
          <w:b/>
          <w:color w:val="auto"/>
          <w:kern w:val="2"/>
          <w:sz w:val="24"/>
          <w:szCs w:val="24"/>
          <w:highlight w:val="none"/>
          <w:lang w:val="en-US" w:eastAsia="zh-CN" w:bidi="ar-SA"/>
        </w:rPr>
        <w:t>：</w:t>
      </w:r>
    </w:p>
    <w:p>
      <w:pPr>
        <w:pStyle w:val="63"/>
        <w:shd w:val="clear"/>
        <w:ind w:firstLine="480"/>
        <w:rPr>
          <w:rFonts w:ascii="宋体" w:hAnsi="宋体"/>
          <w:color w:val="auto"/>
          <w:sz w:val="24"/>
          <w:highlight w:val="none"/>
        </w:rPr>
      </w:pPr>
      <w:r>
        <w:rPr>
          <w:rFonts w:hint="eastAsia" w:ascii="宋体" w:hAnsi="宋体"/>
          <w:color w:val="auto"/>
          <w:sz w:val="24"/>
          <w:highlight w:val="none"/>
        </w:rPr>
        <w:t>1.</w:t>
      </w:r>
      <w:r>
        <w:rPr>
          <w:rFonts w:hint="eastAsia"/>
          <w:color w:val="auto"/>
          <w:highlight w:val="none"/>
        </w:rPr>
        <w:t xml:space="preserve"> </w:t>
      </w:r>
      <w:r>
        <w:rPr>
          <w:rFonts w:hint="eastAsia" w:ascii="宋体" w:hAnsi="宋体"/>
          <w:color w:val="auto"/>
          <w:sz w:val="24"/>
          <w:highlight w:val="none"/>
        </w:rPr>
        <w:t>供应商单位及其法定代表人/主要负责人在参加本项目政府采购活动前三年无行贿犯罪记录。</w:t>
      </w:r>
    </w:p>
    <w:p>
      <w:pPr>
        <w:pStyle w:val="63"/>
        <w:shd w:val="clear"/>
        <w:ind w:firstLine="480"/>
        <w:rPr>
          <w:rFonts w:ascii="宋体" w:hAnsi="宋体"/>
          <w:color w:val="auto"/>
          <w:sz w:val="24"/>
          <w:highlight w:val="none"/>
        </w:rPr>
      </w:pPr>
      <w:r>
        <w:rPr>
          <w:rFonts w:hint="eastAsia" w:ascii="宋体" w:hAnsi="宋体"/>
          <w:color w:val="auto"/>
          <w:sz w:val="24"/>
          <w:highlight w:val="none"/>
        </w:rPr>
        <w:t>提供承诺函原件；</w:t>
      </w:r>
    </w:p>
    <w:p>
      <w:pPr>
        <w:pStyle w:val="4"/>
        <w:shd w:val="clear"/>
        <w:spacing w:line="360" w:lineRule="exact"/>
        <w:rPr>
          <w:rFonts w:ascii="宋体" w:eastAsia="宋体"/>
          <w:color w:val="auto"/>
          <w:sz w:val="24"/>
          <w:szCs w:val="24"/>
          <w:highlight w:val="none"/>
        </w:rPr>
      </w:pPr>
      <w:r>
        <w:rPr>
          <w:rFonts w:hint="eastAsia"/>
          <w:b w:val="0"/>
          <w:bCs w:val="0"/>
          <w:color w:val="auto"/>
          <w:sz w:val="24"/>
          <w:szCs w:val="24"/>
          <w:highlight w:val="none"/>
        </w:rPr>
        <w:t>二、</w:t>
      </w:r>
      <w:r>
        <w:rPr>
          <w:rFonts w:hint="eastAsia" w:ascii="宋体" w:eastAsia="宋体"/>
          <w:color w:val="auto"/>
          <w:sz w:val="24"/>
          <w:szCs w:val="24"/>
          <w:highlight w:val="none"/>
        </w:rPr>
        <w:t>应当提供相关服务的资格、资质性及其他类似效力要求的相关证明材料</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法定代表人/单位负责人身份证明原件及附件。（法定代表人/单位负责人亲自参加适用）</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法定代表人/单位负责人授权书原件及附件（授权代表参加适用）。</w:t>
      </w:r>
    </w:p>
    <w:p>
      <w:pPr>
        <w:shd w:val="clear"/>
        <w:spacing w:line="420" w:lineRule="exact"/>
        <w:rPr>
          <w:rFonts w:ascii="宋体" w:hAnsi="宋体"/>
          <w:color w:val="auto"/>
          <w:highlight w:val="none"/>
        </w:rPr>
      </w:pPr>
    </w:p>
    <w:p>
      <w:pPr>
        <w:widowControl/>
        <w:shd w:val="clear"/>
        <w:jc w:val="left"/>
        <w:rPr>
          <w:rFonts w:ascii="宋体" w:hAnsi="宋体"/>
          <w:b/>
          <w:color w:val="auto"/>
          <w:sz w:val="32"/>
          <w:highlight w:val="none"/>
        </w:rPr>
      </w:pPr>
      <w:r>
        <w:rPr>
          <w:rFonts w:hint="eastAsia" w:ascii="宋体" w:hAnsi="宋体"/>
          <w:b/>
          <w:bCs/>
          <w:color w:val="auto"/>
          <w:sz w:val="24"/>
          <w:highlight w:val="none"/>
        </w:rPr>
        <w:t>注：以上要求的资料复印件（身份证明材料除外）均须加盖供应商的公章（鲜章）。</w:t>
      </w:r>
    </w:p>
    <w:p>
      <w:pPr>
        <w:widowControl/>
        <w:shd w:val="clear"/>
        <w:jc w:val="left"/>
        <w:rPr>
          <w:rFonts w:ascii="宋体" w:hAnsi="宋体"/>
          <w:b/>
          <w:color w:val="auto"/>
          <w:sz w:val="32"/>
          <w:highlight w:val="none"/>
        </w:rPr>
      </w:pPr>
      <w:r>
        <w:rPr>
          <w:rFonts w:ascii="宋体" w:hAnsi="宋体"/>
          <w:b/>
          <w:color w:val="auto"/>
          <w:sz w:val="32"/>
          <w:highlight w:val="none"/>
        </w:rPr>
        <w:br w:type="page"/>
      </w:r>
    </w:p>
    <w:p>
      <w:pPr>
        <w:pStyle w:val="3"/>
        <w:shd w:val="clear"/>
        <w:spacing w:line="240" w:lineRule="auto"/>
        <w:jc w:val="center"/>
        <w:rPr>
          <w:rFonts w:ascii="宋体" w:hAnsi="宋体"/>
          <w:color w:val="auto"/>
          <w:sz w:val="36"/>
          <w:szCs w:val="36"/>
          <w:highlight w:val="none"/>
        </w:rPr>
      </w:pPr>
      <w:bookmarkStart w:id="56" w:name="_Toc53267585"/>
      <w:r>
        <w:rPr>
          <w:rFonts w:hint="eastAsia" w:ascii="宋体" w:hAnsi="宋体"/>
          <w:color w:val="auto"/>
          <w:sz w:val="36"/>
          <w:szCs w:val="36"/>
          <w:highlight w:val="none"/>
        </w:rPr>
        <w:t>第五章  采购项目技术、服务、政府采购合同内容条款及其他商务要求</w:t>
      </w:r>
      <w:bookmarkEnd w:id="56"/>
    </w:p>
    <w:p>
      <w:pPr>
        <w:pStyle w:val="4"/>
        <w:shd w:val="clear"/>
        <w:spacing w:line="400" w:lineRule="exact"/>
        <w:ind w:firstLine="236" w:firstLineChars="98"/>
        <w:rPr>
          <w:rFonts w:ascii="宋体" w:hAnsi="宋体" w:eastAsia="宋体"/>
          <w:color w:val="auto"/>
          <w:sz w:val="24"/>
          <w:szCs w:val="24"/>
          <w:highlight w:val="none"/>
        </w:rPr>
      </w:pPr>
      <w:r>
        <w:rPr>
          <w:rFonts w:hint="eastAsia" w:ascii="宋体" w:hAnsi="宋体" w:eastAsia="宋体"/>
          <w:color w:val="auto"/>
          <w:sz w:val="24"/>
          <w:szCs w:val="24"/>
          <w:highlight w:val="none"/>
        </w:rPr>
        <w:t>一、项目概述</w:t>
      </w:r>
    </w:p>
    <w:p>
      <w:pPr>
        <w:pStyle w:val="4"/>
        <w:shd w:val="clear"/>
        <w:spacing w:line="360" w:lineRule="auto"/>
        <w:ind w:firstLine="475" w:firstLineChars="198"/>
        <w:rPr>
          <w:rFonts w:hint="eastAsia" w:ascii="宋体" w:hAnsi="宋体" w:eastAsia="宋体"/>
          <w:b w:val="0"/>
          <w:bCs w:val="0"/>
          <w:color w:val="auto"/>
          <w:sz w:val="24"/>
          <w:szCs w:val="24"/>
          <w:highlight w:val="none"/>
          <w:lang w:eastAsia="zh-CN"/>
        </w:rPr>
      </w:pPr>
      <w:bookmarkStart w:id="57" w:name="_Toc217446095"/>
      <w:r>
        <w:rPr>
          <w:rFonts w:hint="eastAsia" w:ascii="宋体" w:hAnsi="宋体" w:eastAsia="宋体"/>
          <w:b w:val="0"/>
          <w:bCs w:val="0"/>
          <w:color w:val="auto"/>
          <w:sz w:val="24"/>
          <w:szCs w:val="24"/>
          <w:highlight w:val="none"/>
        </w:rPr>
        <w:t>为深入贯彻落实党的十九届五中全会和全省服务业发展大会精神，加快构建“4+6”现代服务业体系，结合“爱成都·迎大运”和国际美食之都建设，发挥节庆会展对促进商业街产业集聚、营销品牌、聚集商气、带动人气等方面的积极作用，商务中心拟在永立星城都举办“2021成华区美食节”</w:t>
      </w:r>
      <w:r>
        <w:rPr>
          <w:rFonts w:hint="eastAsia" w:ascii="宋体" w:hAnsi="宋体" w:eastAsia="宋体"/>
          <w:b w:val="0"/>
          <w:bCs w:val="0"/>
          <w:color w:val="auto"/>
          <w:sz w:val="24"/>
          <w:szCs w:val="24"/>
          <w:highlight w:val="none"/>
          <w:lang w:eastAsia="zh-CN"/>
        </w:rPr>
        <w:t>。</w:t>
      </w:r>
    </w:p>
    <w:p>
      <w:pPr>
        <w:pStyle w:val="4"/>
        <w:shd w:val="clea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二、活动目的</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更好地满足人民群众日益增长的美好生活需要，推动生活性服务业向精细化和高品质转变，深入推进商圈建设的同时充分发挥消费对成华区经济增长的基础性作用；加快推进我市国际美食之都建设，扩大餐饮产业规模，传承弘扬美食文化积极打造生活服务载体；创造消费新模式，生活新场景，促进永立·星城都提档升级，聚集人气，带动商气，提升知名度，扩大餐饮消费，激发城市活力。</w:t>
      </w:r>
    </w:p>
    <w:p>
      <w:pPr>
        <w:pStyle w:val="5"/>
        <w:shd w:val="clear"/>
        <w:ind w:left="206" w:leftChars="98"/>
        <w:rPr>
          <w:rFonts w:ascii="宋体" w:hAnsi="宋体"/>
          <w:b/>
          <w:bCs/>
          <w:color w:val="auto"/>
          <w:sz w:val="24"/>
          <w:highlight w:val="none"/>
        </w:rPr>
      </w:pPr>
    </w:p>
    <w:p>
      <w:pPr>
        <w:pStyle w:val="5"/>
        <w:shd w:val="clear"/>
        <w:ind w:left="206" w:leftChars="98"/>
        <w:rPr>
          <w:rFonts w:ascii="宋体" w:hAnsi="宋体"/>
          <w:color w:val="auto"/>
          <w:sz w:val="24"/>
          <w:highlight w:val="none"/>
        </w:rPr>
      </w:pPr>
      <w:r>
        <w:rPr>
          <w:rFonts w:hint="eastAsia" w:ascii="宋体" w:hAnsi="宋体"/>
          <w:b/>
          <w:bCs/>
          <w:color w:val="auto"/>
          <w:sz w:val="24"/>
          <w:highlight w:val="none"/>
        </w:rPr>
        <w:t>三、服务内容及要求（实质性要求）</w:t>
      </w:r>
    </w:p>
    <w:p>
      <w:pPr>
        <w:pStyle w:val="5"/>
        <w:keepNext w:val="0"/>
        <w:keepLines w:val="0"/>
        <w:pageBreakBefore w:val="0"/>
        <w:widowControl w:val="0"/>
        <w:shd w:val="clear"/>
        <w:kinsoku/>
        <w:wordWrap/>
        <w:overflowPunct/>
        <w:topLinePunct w:val="0"/>
        <w:autoSpaceDE/>
        <w:autoSpaceDN/>
        <w:bidi w:val="0"/>
        <w:adjustRightInd/>
        <w:snapToGrid/>
        <w:spacing w:after="0" w:line="360" w:lineRule="auto"/>
        <w:ind w:left="206" w:leftChars="98"/>
        <w:textAlignment w:val="auto"/>
        <w:rPr>
          <w:rFonts w:ascii="宋体" w:hAnsi="宋体"/>
          <w:color w:val="auto"/>
          <w:sz w:val="24"/>
          <w:highlight w:val="none"/>
        </w:rPr>
      </w:pPr>
      <w:r>
        <w:rPr>
          <w:rFonts w:hint="eastAsia" w:ascii="宋体" w:hAnsi="宋体"/>
          <w:color w:val="auto"/>
          <w:sz w:val="24"/>
          <w:highlight w:val="none"/>
        </w:rPr>
        <w:t>（一）活动时间</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2021年6月25日（周五）——29日（周二）</w:t>
      </w:r>
    </w:p>
    <w:p>
      <w:pPr>
        <w:pStyle w:val="6"/>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firstLine="235" w:firstLineChars="98"/>
        <w:textAlignment w:val="auto"/>
        <w:rPr>
          <w:rFonts w:ascii="宋体" w:hAnsi="宋体"/>
          <w:color w:val="auto"/>
          <w:sz w:val="24"/>
          <w:highlight w:val="none"/>
        </w:rPr>
      </w:pPr>
      <w:r>
        <w:rPr>
          <w:rFonts w:hint="eastAsia" w:ascii="宋体" w:hAnsi="宋体"/>
          <w:color w:val="auto"/>
          <w:sz w:val="24"/>
          <w:highlight w:val="none"/>
        </w:rPr>
        <w:t>活动地点</w:t>
      </w:r>
    </w:p>
    <w:p>
      <w:pPr>
        <w:pStyle w:val="6"/>
        <w:keepNext w:val="0"/>
        <w:keepLines w:val="0"/>
        <w:pageBreakBefore w:val="0"/>
        <w:widowControl w:val="0"/>
        <w:shd w:val="clear"/>
        <w:kinsoku/>
        <w:wordWrap/>
        <w:overflowPunct/>
        <w:topLinePunct w:val="0"/>
        <w:autoSpaceDE/>
        <w:autoSpaceDN/>
        <w:bidi w:val="0"/>
        <w:adjustRightInd/>
        <w:snapToGrid/>
        <w:spacing w:after="0" w:line="360" w:lineRule="auto"/>
        <w:ind w:left="206" w:leftChars="98" w:firstLine="0" w:firstLineChars="0"/>
        <w:textAlignment w:val="auto"/>
        <w:rPr>
          <w:rFonts w:ascii="宋体" w:hAnsi="宋体"/>
          <w:color w:val="auto"/>
          <w:sz w:val="24"/>
          <w:highlight w:val="none"/>
        </w:rPr>
      </w:pPr>
      <w:r>
        <w:rPr>
          <w:rFonts w:ascii="宋体" w:hAnsi="宋体"/>
          <w:color w:val="auto"/>
          <w:sz w:val="24"/>
          <w:highlight w:val="none"/>
        </w:rPr>
        <w:t>永立·星城都（成华区二环路北四段）</w:t>
      </w:r>
    </w:p>
    <w:p>
      <w:pPr>
        <w:pStyle w:val="6"/>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firstLine="235" w:firstLineChars="98"/>
        <w:textAlignment w:val="auto"/>
        <w:rPr>
          <w:rFonts w:ascii="宋体" w:hAnsi="宋体"/>
          <w:color w:val="auto"/>
          <w:sz w:val="24"/>
          <w:highlight w:val="none"/>
        </w:rPr>
      </w:pPr>
      <w:r>
        <w:rPr>
          <w:rFonts w:hint="eastAsia" w:ascii="宋体" w:hAnsi="宋体"/>
          <w:color w:val="auto"/>
          <w:sz w:val="24"/>
          <w:highlight w:val="none"/>
        </w:rPr>
        <w:t>服务内容</w:t>
      </w:r>
    </w:p>
    <w:p>
      <w:pPr>
        <w:pStyle w:val="6"/>
        <w:keepNext w:val="0"/>
        <w:keepLines w:val="0"/>
        <w:pageBreakBefore w:val="0"/>
        <w:widowControl w:val="0"/>
        <w:shd w:val="clear"/>
        <w:kinsoku/>
        <w:wordWrap/>
        <w:overflowPunct/>
        <w:topLinePunct w:val="0"/>
        <w:autoSpaceDE/>
        <w:autoSpaceDN/>
        <w:bidi w:val="0"/>
        <w:adjustRightInd/>
        <w:snapToGrid/>
        <w:spacing w:after="0" w:line="360" w:lineRule="auto"/>
        <w:ind w:left="206" w:leftChars="98" w:firstLine="0" w:firstLineChars="0"/>
        <w:textAlignment w:val="auto"/>
        <w:rPr>
          <w:rFonts w:ascii="宋体" w:hAnsi="宋体"/>
          <w:color w:val="auto"/>
          <w:sz w:val="24"/>
          <w:highlight w:val="none"/>
        </w:rPr>
      </w:pPr>
      <w:r>
        <w:rPr>
          <w:rFonts w:hint="eastAsia" w:ascii="宋体" w:hAnsi="宋体"/>
          <w:color w:val="auto"/>
          <w:sz w:val="24"/>
          <w:highlight w:val="none"/>
        </w:rPr>
        <w:t>2021成华区美食节启动仪式及相关活动仪式。</w:t>
      </w:r>
    </w:p>
    <w:p>
      <w:pPr>
        <w:pStyle w:val="125"/>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235" w:firstLineChars="98"/>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服务要求：</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left="206" w:leftChars="98" w:firstLine="0" w:firstLineChars="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借势王府井6月中旬开业人气，联动永立·星城都品牌商家资源，举办“2021成华</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区美食节”，结合商圈商家业态举办活动。</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（1）负责</w:t>
      </w:r>
      <w:r>
        <w:rPr>
          <w:rFonts w:hint="eastAsia" w:ascii="宋体" w:hAnsi="宋体"/>
          <w:color w:val="auto"/>
          <w:sz w:val="24"/>
          <w:szCs w:val="24"/>
          <w:highlight w:val="none"/>
        </w:rPr>
        <w:t>2021成华区美食节</w:t>
      </w:r>
      <w:r>
        <w:rPr>
          <w:rFonts w:hint="eastAsia" w:ascii="宋体" w:hAnsi="宋体" w:cs="宋体"/>
          <w:color w:val="auto"/>
          <w:sz w:val="24"/>
          <w:szCs w:val="24"/>
          <w:highlight w:val="none"/>
        </w:rPr>
        <w:t>开幕式的筹划、组织、实施、宣传等全部工作。</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（2）负责</w:t>
      </w:r>
      <w:r>
        <w:rPr>
          <w:rFonts w:hint="eastAsia" w:ascii="宋体" w:hAnsi="宋体"/>
          <w:color w:val="auto"/>
          <w:sz w:val="24"/>
          <w:szCs w:val="24"/>
          <w:highlight w:val="none"/>
        </w:rPr>
        <w:t>2021成华区美食节各项亮点活动的</w:t>
      </w:r>
      <w:r>
        <w:rPr>
          <w:rFonts w:hint="eastAsia" w:ascii="宋体" w:hAnsi="宋体" w:cs="宋体"/>
          <w:color w:val="auto"/>
          <w:sz w:val="24"/>
          <w:szCs w:val="24"/>
          <w:highlight w:val="none"/>
        </w:rPr>
        <w:t>筹划、组织、实施、宣传等全部工作。且各项亮点活动不少于4场。</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（3）负责</w:t>
      </w:r>
      <w:r>
        <w:rPr>
          <w:rFonts w:hint="eastAsia" w:ascii="宋体" w:hAnsi="宋体"/>
          <w:color w:val="auto"/>
          <w:sz w:val="24"/>
          <w:szCs w:val="24"/>
          <w:highlight w:val="none"/>
        </w:rPr>
        <w:t>2021成华区美食节</w:t>
      </w:r>
      <w:r>
        <w:rPr>
          <w:rFonts w:hint="eastAsia" w:ascii="宋体" w:hAnsi="宋体" w:cs="宋体"/>
          <w:color w:val="auto"/>
          <w:sz w:val="24"/>
          <w:szCs w:val="24"/>
          <w:highlight w:val="none"/>
        </w:rPr>
        <w:t>主画面设计、活动相关物料的设计和制作及提供。</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（4）负责现场舞美布置及演艺人员的提供。</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舞台、现场氛围和打卡点围绕“2021成华区美食节”的特色进行设置，注重氛围装置的艺术性、趣味性和实用性，充分展示活动内容。</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（5）负责做好活动相关的政务协调、活动报批等工作。</w:t>
      </w:r>
    </w:p>
    <w:p>
      <w:pPr>
        <w:pStyle w:val="125"/>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（6）负责本项目整体宣传工作并实施。</w:t>
      </w:r>
    </w:p>
    <w:p>
      <w:pPr>
        <w:pStyle w:val="6"/>
        <w:keepNext w:val="0"/>
        <w:keepLines w:val="0"/>
        <w:pageBreakBefore w:val="0"/>
        <w:widowControl w:val="0"/>
        <w:shd w:val="clear"/>
        <w:kinsoku/>
        <w:wordWrap/>
        <w:overflowPunct/>
        <w:topLinePunct w:val="0"/>
        <w:autoSpaceDE/>
        <w:autoSpaceDN/>
        <w:bidi w:val="0"/>
        <w:adjustRightInd/>
        <w:snapToGrid/>
        <w:spacing w:after="0" w:line="360" w:lineRule="auto"/>
        <w:ind w:left="206" w:leftChars="98" w:firstLine="0" w:firstLineChars="0"/>
        <w:textAlignment w:val="auto"/>
        <w:rPr>
          <w:rFonts w:ascii="宋体" w:hAnsi="宋体"/>
          <w:color w:val="auto"/>
          <w:sz w:val="24"/>
          <w:highlight w:val="none"/>
        </w:rPr>
      </w:pPr>
      <w:r>
        <w:rPr>
          <w:rFonts w:hint="eastAsia" w:ascii="宋体" w:hAnsi="宋体"/>
          <w:color w:val="auto"/>
          <w:sz w:val="24"/>
          <w:highlight w:val="none"/>
        </w:rPr>
        <w:t>（7）负责现场疫情防控。</w:t>
      </w:r>
    </w:p>
    <w:p>
      <w:pPr>
        <w:pStyle w:val="6"/>
        <w:keepNext w:val="0"/>
        <w:keepLines w:val="0"/>
        <w:pageBreakBefore w:val="0"/>
        <w:widowControl w:val="0"/>
        <w:shd w:val="clear"/>
        <w:kinsoku/>
        <w:wordWrap/>
        <w:overflowPunct/>
        <w:topLinePunct w:val="0"/>
        <w:autoSpaceDE/>
        <w:autoSpaceDN/>
        <w:bidi w:val="0"/>
        <w:adjustRightInd/>
        <w:snapToGrid/>
        <w:spacing w:after="0" w:line="360" w:lineRule="auto"/>
        <w:ind w:left="206" w:leftChars="98" w:firstLine="240"/>
        <w:textAlignment w:val="auto"/>
        <w:rPr>
          <w:rFonts w:ascii="宋体" w:hAnsi="宋体"/>
          <w:color w:val="auto"/>
          <w:sz w:val="24"/>
          <w:highlight w:val="none"/>
        </w:rPr>
      </w:pPr>
      <w:r>
        <w:rPr>
          <w:rFonts w:ascii="宋体" w:hAnsi="宋体"/>
          <w:color w:val="auto"/>
          <w:sz w:val="24"/>
          <w:highlight w:val="none"/>
        </w:rPr>
        <w:t>为科学、有效地应对突发新型冠状病毒感染的肺炎疫情，最大限度地降低危害，</w:t>
      </w:r>
    </w:p>
    <w:p>
      <w:pPr>
        <w:pStyle w:val="6"/>
        <w:keepNext w:val="0"/>
        <w:keepLines w:val="0"/>
        <w:pageBreakBefore w:val="0"/>
        <w:widowControl w:val="0"/>
        <w:shd w:val="clear"/>
        <w:kinsoku/>
        <w:wordWrap/>
        <w:overflowPunct/>
        <w:topLinePunct w:val="0"/>
        <w:autoSpaceDE/>
        <w:autoSpaceDN/>
        <w:bidi w:val="0"/>
        <w:adjustRightInd/>
        <w:snapToGrid/>
        <w:spacing w:after="0" w:line="360" w:lineRule="auto"/>
        <w:ind w:firstLine="0" w:firstLineChars="0"/>
        <w:textAlignment w:val="auto"/>
        <w:rPr>
          <w:rFonts w:ascii="宋体" w:hAnsi="宋体"/>
          <w:color w:val="auto"/>
          <w:sz w:val="24"/>
          <w:highlight w:val="none"/>
        </w:rPr>
      </w:pPr>
      <w:r>
        <w:rPr>
          <w:rFonts w:ascii="宋体" w:hAnsi="宋体"/>
          <w:color w:val="auto"/>
          <w:sz w:val="24"/>
          <w:highlight w:val="none"/>
        </w:rPr>
        <w:t>确保活动参与人员的身体健康、生命安全，保证“2021成华区美食节”正常举行，根据《中华人民共和国传染病防治法》、《突发公共卫生事件应急预案》及上级相关文件精神，结合本次活动实际，制定预案</w:t>
      </w:r>
      <w:r>
        <w:rPr>
          <w:rFonts w:hint="eastAsia" w:ascii="宋体" w:hAnsi="宋体"/>
          <w:color w:val="auto"/>
          <w:sz w:val="24"/>
          <w:highlight w:val="none"/>
        </w:rPr>
        <w:t>。</w:t>
      </w:r>
    </w:p>
    <w:p>
      <w:pPr>
        <w:pStyle w:val="4"/>
        <w:numPr>
          <w:ilvl w:val="0"/>
          <w:numId w:val="4"/>
        </w:numPr>
        <w:shd w:val="clear"/>
        <w:spacing w:line="400" w:lineRule="exact"/>
        <w:ind w:firstLine="236" w:firstLineChars="98"/>
        <w:rPr>
          <w:rFonts w:ascii="宋体" w:hAnsi="宋体" w:eastAsia="宋体"/>
          <w:color w:val="auto"/>
          <w:sz w:val="24"/>
          <w:szCs w:val="24"/>
          <w:highlight w:val="none"/>
        </w:rPr>
      </w:pPr>
      <w:r>
        <w:rPr>
          <w:rFonts w:hint="eastAsia" w:ascii="宋体" w:hAnsi="宋体" w:eastAsia="宋体"/>
          <w:color w:val="auto"/>
          <w:sz w:val="24"/>
          <w:szCs w:val="24"/>
          <w:highlight w:val="none"/>
        </w:rPr>
        <w:t>其他要求：</w:t>
      </w:r>
    </w:p>
    <w:p>
      <w:pPr>
        <w:pStyle w:val="125"/>
        <w:shd w:val="clea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1、供应商应配备足够的人员和设备开展工作，以满足工作进展需要；</w:t>
      </w:r>
    </w:p>
    <w:p>
      <w:pPr>
        <w:pStyle w:val="125"/>
        <w:shd w:val="clea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2、人员配置：组建专业团队，团队负责人和团队工作人员要有类似工作经验（提供承诺函）。</w:t>
      </w:r>
    </w:p>
    <w:p>
      <w:pPr>
        <w:pStyle w:val="125"/>
        <w:shd w:val="clea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3、供应商及时向采购人汇报活动进程情况。并派专人负责项目整个实施期间的联络工作。</w:t>
      </w:r>
    </w:p>
    <w:p>
      <w:pPr>
        <w:pStyle w:val="125"/>
        <w:shd w:val="clear"/>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4、供应商活动过程中发生的人身及设备事故由供应商自行负责。</w:t>
      </w:r>
    </w:p>
    <w:p>
      <w:pPr>
        <w:pStyle w:val="5"/>
        <w:shd w:val="clear"/>
        <w:ind w:left="206" w:leftChars="98" w:firstLine="240" w:firstLineChars="100"/>
        <w:rPr>
          <w:rFonts w:ascii="宋体" w:hAnsi="宋体" w:cs="宋体"/>
          <w:color w:val="auto"/>
          <w:sz w:val="24"/>
          <w:highlight w:val="none"/>
        </w:rPr>
      </w:pPr>
      <w:r>
        <w:rPr>
          <w:rFonts w:hint="eastAsia" w:ascii="宋体" w:hAnsi="宋体" w:cs="宋体"/>
          <w:color w:val="auto"/>
          <w:sz w:val="24"/>
          <w:highlight w:val="none"/>
        </w:rPr>
        <w:t>5、报价包含本项目策划实施的所有费用。</w:t>
      </w:r>
    </w:p>
    <w:p>
      <w:pPr>
        <w:pStyle w:val="4"/>
        <w:shd w:val="clear"/>
        <w:spacing w:line="400" w:lineRule="exact"/>
        <w:ind w:firstLine="236" w:firstLineChars="98"/>
        <w:rPr>
          <w:rFonts w:ascii="宋体" w:hAnsi="宋体" w:eastAsia="宋体"/>
          <w:color w:val="auto"/>
          <w:sz w:val="24"/>
          <w:szCs w:val="24"/>
          <w:highlight w:val="none"/>
        </w:rPr>
      </w:pPr>
      <w:r>
        <w:rPr>
          <w:rFonts w:hint="eastAsia" w:ascii="宋体" w:hAnsi="宋体" w:eastAsia="宋体"/>
          <w:color w:val="auto"/>
          <w:sz w:val="24"/>
          <w:szCs w:val="24"/>
          <w:highlight w:val="none"/>
        </w:rPr>
        <w:t>四、商务要求（实质性要求）</w:t>
      </w:r>
    </w:p>
    <w:p>
      <w:pPr>
        <w:shd w:val="clear"/>
        <w:spacing w:line="500" w:lineRule="exact"/>
        <w:rPr>
          <w:rFonts w:ascii="宋体" w:hAnsi="宋体"/>
          <w:bCs/>
          <w:color w:val="auto"/>
          <w:sz w:val="24"/>
          <w:highlight w:val="none"/>
        </w:rPr>
      </w:pPr>
      <w:r>
        <w:rPr>
          <w:rFonts w:hint="eastAsia" w:ascii="宋体" w:hAnsi="宋体"/>
          <w:bCs/>
          <w:color w:val="auto"/>
          <w:sz w:val="24"/>
          <w:highlight w:val="none"/>
        </w:rPr>
        <w:t>1．服务期限及地点</w:t>
      </w:r>
    </w:p>
    <w:p>
      <w:pPr>
        <w:shd w:val="clear"/>
        <w:spacing w:line="520" w:lineRule="exact"/>
        <w:rPr>
          <w:rFonts w:ascii="宋体" w:hAnsi="宋体"/>
          <w:color w:val="auto"/>
          <w:sz w:val="24"/>
          <w:highlight w:val="none"/>
        </w:rPr>
      </w:pPr>
      <w:r>
        <w:rPr>
          <w:rFonts w:hint="eastAsia" w:ascii="宋体" w:hAnsi="宋体"/>
          <w:color w:val="auto"/>
          <w:sz w:val="24"/>
          <w:highlight w:val="none"/>
        </w:rPr>
        <w:t xml:space="preserve">1.1 服务期限：签订合同之日起15个日历天 </w:t>
      </w:r>
    </w:p>
    <w:p>
      <w:pPr>
        <w:shd w:val="clear"/>
        <w:spacing w:line="520" w:lineRule="exact"/>
        <w:rPr>
          <w:rFonts w:ascii="宋体" w:hAnsi="宋体"/>
          <w:color w:val="auto"/>
          <w:sz w:val="24"/>
          <w:highlight w:val="none"/>
        </w:rPr>
      </w:pPr>
      <w:r>
        <w:rPr>
          <w:rFonts w:hint="eastAsia" w:ascii="宋体" w:hAnsi="宋体"/>
          <w:color w:val="auto"/>
          <w:sz w:val="24"/>
          <w:highlight w:val="none"/>
        </w:rPr>
        <w:t>1.2 服务地点: 采购人指定地点（成都市成华区内）</w:t>
      </w:r>
    </w:p>
    <w:p>
      <w:pPr>
        <w:shd w:val="clear"/>
        <w:spacing w:line="500" w:lineRule="exact"/>
        <w:rPr>
          <w:rFonts w:ascii="宋体" w:hAnsi="宋体"/>
          <w:bCs/>
          <w:color w:val="auto"/>
          <w:sz w:val="24"/>
          <w:highlight w:val="none"/>
        </w:rPr>
      </w:pPr>
      <w:r>
        <w:rPr>
          <w:rFonts w:hint="eastAsia" w:ascii="宋体" w:hAnsi="宋体"/>
          <w:bCs/>
          <w:color w:val="auto"/>
          <w:sz w:val="24"/>
          <w:highlight w:val="none"/>
        </w:rPr>
        <w:t>2．付款方法：</w:t>
      </w:r>
      <w:r>
        <w:rPr>
          <w:rFonts w:hint="eastAsia" w:ascii="宋体" w:hAnsi="宋体" w:cs="宋体"/>
          <w:color w:val="auto"/>
          <w:sz w:val="24"/>
          <w:highlight w:val="none"/>
        </w:rPr>
        <w:t>采购合同签订后采购人在7日历天内支付成交金额的50%，项目验收合格后采购人在7日历天内支付剩余全部金额。</w:t>
      </w:r>
    </w:p>
    <w:p>
      <w:pPr>
        <w:pStyle w:val="2"/>
        <w:numPr>
          <w:ilvl w:val="255"/>
          <w:numId w:val="0"/>
        </w:numPr>
        <w:shd w:val="clear"/>
        <w:rPr>
          <w:color w:val="auto"/>
          <w:highlight w:val="none"/>
        </w:rPr>
      </w:pPr>
    </w:p>
    <w:p>
      <w:pPr>
        <w:shd w:val="clear"/>
        <w:spacing w:line="360" w:lineRule="auto"/>
        <w:rPr>
          <w:rFonts w:ascii="宋体" w:hAnsi="宋体" w:cs="微软雅黑"/>
          <w:b/>
          <w:color w:val="auto"/>
          <w:sz w:val="24"/>
          <w:highlight w:val="none"/>
        </w:rPr>
      </w:pPr>
      <w:r>
        <w:rPr>
          <w:rFonts w:hint="eastAsia" w:ascii="宋体" w:hAnsi="宋体" w:cs="宋体"/>
          <w:color w:val="auto"/>
          <w:sz w:val="24"/>
          <w:highlight w:val="none"/>
        </w:rPr>
        <w:t>3、验收标准：本项目采购人将严格按照政府采购相关法律法规以及《财政部关于进一步加强政府采购需求和履约验收管理的指导意见》（财库〔2016〕205号）的要求进行验收。验收结果合格的，成交供应商凭验收报告办理相关手续；验收结果不合格的，将不予支付采购资金，还可能会报告本项目同级财政部门参照政府采购法律法规及《四川省政府采购当事人诚信管理办法》（川财采〔2015〕33号）等有关规定给予行政处罚或者以失信行为记入诚信档案。</w:t>
      </w:r>
      <w:bookmarkEnd w:id="57"/>
    </w:p>
    <w:p>
      <w:pPr>
        <w:pStyle w:val="35"/>
        <w:widowControl w:val="0"/>
        <w:shd w:val="clear"/>
        <w:ind w:firstLine="281" w:firstLineChars="100"/>
        <w:jc w:val="both"/>
        <w:rPr>
          <w:rFonts w:hAnsi="宋体"/>
          <w:b/>
          <w:bCs/>
          <w:color w:val="auto"/>
          <w:sz w:val="28"/>
          <w:szCs w:val="28"/>
          <w:highlight w:val="none"/>
        </w:rPr>
      </w:pPr>
      <w:r>
        <w:rPr>
          <w:rFonts w:hint="eastAsia" w:hAnsi="宋体"/>
          <w:b/>
          <w:bCs/>
          <w:color w:val="auto"/>
          <w:sz w:val="28"/>
          <w:szCs w:val="28"/>
          <w:highlight w:val="none"/>
        </w:rPr>
        <w:t>五、供应商根据磋商文件要求提供针对本项目的服务方案：</w:t>
      </w:r>
    </w:p>
    <w:p>
      <w:pPr>
        <w:pStyle w:val="35"/>
        <w:widowControl w:val="0"/>
        <w:shd w:val="clear"/>
        <w:ind w:firstLine="240" w:firstLineChars="100"/>
        <w:jc w:val="both"/>
        <w:rPr>
          <w:rFonts w:hAnsi="宋体" w:cs="宋体"/>
          <w:color w:val="auto"/>
          <w:kern w:val="2"/>
          <w:sz w:val="24"/>
          <w:szCs w:val="24"/>
          <w:highlight w:val="none"/>
        </w:rPr>
      </w:pPr>
      <w:r>
        <w:rPr>
          <w:rFonts w:hint="eastAsia" w:hAnsi="宋体" w:cs="宋体"/>
          <w:color w:val="auto"/>
          <w:kern w:val="2"/>
          <w:sz w:val="24"/>
          <w:szCs w:val="24"/>
          <w:highlight w:val="none"/>
        </w:rPr>
        <w:t>包含但不限于：机构设置及管理制度；项目策划；服务实施方案；售后服务；项目应急方案。</w:t>
      </w:r>
    </w:p>
    <w:p>
      <w:pPr>
        <w:pStyle w:val="3"/>
        <w:shd w:val="clear"/>
        <w:spacing w:line="240" w:lineRule="auto"/>
        <w:jc w:val="center"/>
        <w:rPr>
          <w:rFonts w:ascii="宋体" w:hAnsi="宋体"/>
          <w:color w:val="auto"/>
          <w:sz w:val="36"/>
          <w:szCs w:val="36"/>
          <w:highlight w:val="none"/>
        </w:rPr>
      </w:pPr>
      <w:r>
        <w:rPr>
          <w:rFonts w:ascii="宋体" w:hAnsi="宋体"/>
          <w:b w:val="0"/>
          <w:color w:val="auto"/>
          <w:sz w:val="32"/>
          <w:highlight w:val="none"/>
        </w:rPr>
        <w:br w:type="page"/>
      </w:r>
      <w:bookmarkStart w:id="58" w:name="_Toc53267586"/>
      <w:r>
        <w:rPr>
          <w:rFonts w:hint="eastAsia" w:ascii="宋体" w:hAnsi="宋体"/>
          <w:color w:val="auto"/>
          <w:sz w:val="36"/>
          <w:szCs w:val="36"/>
          <w:highlight w:val="none"/>
        </w:rPr>
        <w:t>第六章  采购项目实质性要求</w:t>
      </w:r>
      <w:bookmarkEnd w:id="58"/>
    </w:p>
    <w:p>
      <w:pPr>
        <w:shd w:val="clear"/>
        <w:rPr>
          <w:color w:val="auto"/>
          <w:highlight w:val="none"/>
        </w:rPr>
      </w:pPr>
    </w:p>
    <w:p>
      <w:pPr>
        <w:widowControl/>
        <w:shd w:val="clear"/>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pPr>
        <w:shd w:val="clear"/>
        <w:rPr>
          <w:color w:val="auto"/>
          <w:highlight w:val="none"/>
        </w:rPr>
      </w:pPr>
    </w:p>
    <w:p>
      <w:pPr>
        <w:widowControl/>
        <w:shd w:val="clear"/>
        <w:jc w:val="left"/>
        <w:rPr>
          <w:rFonts w:ascii="宋体" w:hAnsi="宋体"/>
          <w:b/>
          <w:bCs/>
          <w:color w:val="auto"/>
          <w:kern w:val="44"/>
          <w:sz w:val="36"/>
          <w:szCs w:val="36"/>
          <w:highlight w:val="none"/>
        </w:rPr>
      </w:pPr>
      <w:r>
        <w:rPr>
          <w:rFonts w:ascii="宋体" w:hAnsi="宋体"/>
          <w:color w:val="auto"/>
          <w:sz w:val="36"/>
          <w:szCs w:val="36"/>
          <w:highlight w:val="none"/>
        </w:rPr>
        <w:br w:type="page"/>
      </w:r>
    </w:p>
    <w:p>
      <w:pPr>
        <w:pStyle w:val="3"/>
        <w:shd w:val="clear"/>
        <w:spacing w:line="240" w:lineRule="auto"/>
        <w:jc w:val="center"/>
        <w:rPr>
          <w:rFonts w:ascii="宋体" w:hAnsi="宋体"/>
          <w:color w:val="auto"/>
          <w:sz w:val="36"/>
          <w:szCs w:val="36"/>
          <w:highlight w:val="none"/>
        </w:rPr>
      </w:pPr>
      <w:bookmarkStart w:id="59" w:name="_Toc53267587"/>
      <w:r>
        <w:rPr>
          <w:rFonts w:hint="eastAsia" w:ascii="宋体" w:hAnsi="宋体"/>
          <w:color w:val="auto"/>
          <w:sz w:val="36"/>
          <w:szCs w:val="36"/>
          <w:highlight w:val="none"/>
        </w:rPr>
        <w:t>第七章  磋商内容、磋商过程中可实质性变动的内容</w:t>
      </w:r>
      <w:bookmarkEnd w:id="59"/>
    </w:p>
    <w:p>
      <w:pPr>
        <w:widowControl/>
        <w:shd w:val="clear"/>
        <w:spacing w:line="360" w:lineRule="auto"/>
        <w:ind w:firstLine="480" w:firstLineChars="200"/>
        <w:jc w:val="left"/>
        <w:rPr>
          <w:rFonts w:ascii="宋体" w:hAnsi="宋体" w:cs="微软雅黑"/>
          <w:color w:val="auto"/>
          <w:sz w:val="24"/>
          <w:highlight w:val="none"/>
        </w:rPr>
      </w:pPr>
    </w:p>
    <w:p>
      <w:pPr>
        <w:shd w:val="clear"/>
        <w:tabs>
          <w:tab w:val="left" w:pos="7665"/>
        </w:tabs>
        <w:spacing w:line="480" w:lineRule="auto"/>
        <w:ind w:firstLine="480"/>
        <w:rPr>
          <w:rFonts w:ascii="宋体" w:hAnsi="宋体"/>
          <w:bCs/>
          <w:color w:val="auto"/>
          <w:sz w:val="24"/>
          <w:highlight w:val="none"/>
        </w:rPr>
      </w:pPr>
      <w:r>
        <w:rPr>
          <w:rFonts w:hint="eastAsia" w:ascii="宋体" w:hAnsi="宋体"/>
          <w:bCs/>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jc w:val="left"/>
        <w:rPr>
          <w:rFonts w:ascii="宋体" w:hAnsi="宋体"/>
          <w:b/>
          <w:color w:val="auto"/>
          <w:sz w:val="32"/>
          <w:highlight w:val="none"/>
        </w:rPr>
      </w:pPr>
    </w:p>
    <w:p>
      <w:pPr>
        <w:widowControl/>
        <w:shd w:val="clear"/>
        <w:jc w:val="left"/>
        <w:rPr>
          <w:rFonts w:ascii="宋体" w:hAnsi="宋体"/>
          <w:b/>
          <w:color w:val="auto"/>
          <w:sz w:val="32"/>
          <w:highlight w:val="none"/>
        </w:rPr>
      </w:pPr>
      <w:r>
        <w:rPr>
          <w:rFonts w:ascii="宋体" w:hAnsi="宋体"/>
          <w:b/>
          <w:color w:val="auto"/>
          <w:sz w:val="32"/>
          <w:highlight w:val="none"/>
        </w:rPr>
        <w:br w:type="page"/>
      </w:r>
    </w:p>
    <w:p>
      <w:pPr>
        <w:pStyle w:val="3"/>
        <w:shd w:val="clear"/>
        <w:spacing w:line="240" w:lineRule="auto"/>
        <w:jc w:val="center"/>
        <w:rPr>
          <w:rFonts w:ascii="宋体" w:hAnsi="宋体"/>
          <w:color w:val="auto"/>
          <w:sz w:val="36"/>
          <w:szCs w:val="36"/>
          <w:highlight w:val="none"/>
        </w:rPr>
      </w:pPr>
      <w:bookmarkStart w:id="60" w:name="_Toc53267588"/>
      <w:r>
        <w:rPr>
          <w:rFonts w:hint="eastAsia" w:ascii="宋体" w:hAnsi="宋体"/>
          <w:color w:val="auto"/>
          <w:sz w:val="36"/>
          <w:szCs w:val="36"/>
          <w:highlight w:val="none"/>
        </w:rPr>
        <w:t>第八章  响应文件格式</w:t>
      </w:r>
      <w:bookmarkEnd w:id="60"/>
    </w:p>
    <w:p>
      <w:pPr>
        <w:shd w:val="clear"/>
        <w:tabs>
          <w:tab w:val="left" w:pos="900"/>
        </w:tabs>
        <w:spacing w:line="360" w:lineRule="auto"/>
        <w:jc w:val="center"/>
        <w:rPr>
          <w:rFonts w:ascii="宋体" w:hAnsi="宋体"/>
          <w:b/>
          <w:color w:val="auto"/>
          <w:sz w:val="32"/>
          <w:highlight w:val="none"/>
        </w:rPr>
      </w:pPr>
    </w:p>
    <w:p>
      <w:pPr>
        <w:shd w:val="clea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hd w:val="clea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二、本章所制响应文件格式有关表格中的备注栏，由供应商根据自身响应情况作解释性说明，不作为必填项。</w:t>
      </w:r>
    </w:p>
    <w:p>
      <w:pPr>
        <w:shd w:val="clear"/>
        <w:spacing w:line="360" w:lineRule="auto"/>
        <w:ind w:firstLine="480" w:firstLineChars="200"/>
        <w:rPr>
          <w:rFonts w:ascii="宋体" w:hAnsi="宋体" w:cstheme="minorEastAsia"/>
          <w:color w:val="auto"/>
          <w:sz w:val="24"/>
          <w:highlight w:val="none"/>
        </w:rPr>
      </w:pPr>
      <w:r>
        <w:rPr>
          <w:rFonts w:hint="eastAsia" w:ascii="宋体" w:hAnsi="宋体" w:cstheme="minor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shd w:val="clear"/>
        <w:tabs>
          <w:tab w:val="left" w:pos="900"/>
        </w:tabs>
        <w:spacing w:line="360" w:lineRule="auto"/>
        <w:jc w:val="center"/>
        <w:rPr>
          <w:rFonts w:ascii="宋体" w:hAnsi="宋体"/>
          <w:b/>
          <w:color w:val="auto"/>
          <w:sz w:val="32"/>
          <w:highlight w:val="none"/>
        </w:rPr>
      </w:pPr>
    </w:p>
    <w:p>
      <w:pPr>
        <w:shd w:val="clear"/>
        <w:tabs>
          <w:tab w:val="left" w:pos="900"/>
        </w:tabs>
        <w:spacing w:line="360" w:lineRule="auto"/>
        <w:jc w:val="center"/>
        <w:rPr>
          <w:rFonts w:ascii="宋体" w:hAnsi="宋体"/>
          <w:b/>
          <w:color w:val="auto"/>
          <w:sz w:val="32"/>
          <w:highlight w:val="none"/>
        </w:rPr>
      </w:pPr>
    </w:p>
    <w:p>
      <w:pPr>
        <w:shd w:val="clear"/>
        <w:tabs>
          <w:tab w:val="left" w:pos="900"/>
        </w:tabs>
        <w:spacing w:line="360" w:lineRule="auto"/>
        <w:jc w:val="center"/>
        <w:rPr>
          <w:rFonts w:ascii="宋体" w:hAnsi="宋体"/>
          <w:b/>
          <w:color w:val="auto"/>
          <w:sz w:val="32"/>
          <w:highlight w:val="none"/>
        </w:rPr>
      </w:pPr>
    </w:p>
    <w:p>
      <w:pPr>
        <w:shd w:val="clear"/>
        <w:tabs>
          <w:tab w:val="left" w:pos="900"/>
        </w:tabs>
        <w:spacing w:line="360" w:lineRule="auto"/>
        <w:jc w:val="center"/>
        <w:rPr>
          <w:rFonts w:ascii="宋体" w:hAnsi="宋体"/>
          <w:b/>
          <w:color w:val="auto"/>
          <w:sz w:val="32"/>
          <w:highlight w:val="none"/>
        </w:rPr>
      </w:pP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shd w:val="clear"/>
        <w:tabs>
          <w:tab w:val="left" w:pos="900"/>
        </w:tabs>
        <w:spacing w:line="360" w:lineRule="auto"/>
        <w:jc w:val="center"/>
        <w:rPr>
          <w:rFonts w:ascii="宋体" w:hAnsi="宋体"/>
          <w:b/>
          <w:color w:val="auto"/>
          <w:sz w:val="32"/>
          <w:highlight w:val="none"/>
        </w:rPr>
      </w:pPr>
    </w:p>
    <w:p>
      <w:pPr>
        <w:shd w:val="clear"/>
        <w:tabs>
          <w:tab w:val="left" w:pos="900"/>
        </w:tabs>
        <w:spacing w:line="360" w:lineRule="auto"/>
        <w:jc w:val="center"/>
        <w:rPr>
          <w:rFonts w:ascii="宋体" w:hAnsi="宋体"/>
          <w:b/>
          <w:color w:val="auto"/>
          <w:sz w:val="32"/>
          <w:highlight w:val="none"/>
        </w:rPr>
      </w:pPr>
      <w:r>
        <w:rPr>
          <w:rFonts w:ascii="宋体" w:hAnsi="宋体"/>
          <w:b/>
          <w:color w:val="auto"/>
          <w:sz w:val="32"/>
          <w:highlight w:val="none"/>
        </w:rPr>
        <w:t xml:space="preserve">第一部分     </w:t>
      </w:r>
      <w:r>
        <w:rPr>
          <w:rFonts w:hint="eastAsia" w:ascii="宋体" w:hAnsi="宋体"/>
          <w:b/>
          <w:color w:val="auto"/>
          <w:sz w:val="32"/>
          <w:highlight w:val="none"/>
        </w:rPr>
        <w:t>“</w:t>
      </w:r>
      <w:r>
        <w:rPr>
          <w:rFonts w:ascii="宋体" w:hAnsi="宋体"/>
          <w:b/>
          <w:color w:val="auto"/>
          <w:sz w:val="32"/>
          <w:highlight w:val="none"/>
        </w:rPr>
        <w:t>资格性响应文件</w:t>
      </w:r>
      <w:r>
        <w:rPr>
          <w:rFonts w:hint="eastAsia" w:ascii="宋体" w:hAnsi="宋体"/>
          <w:b/>
          <w:color w:val="auto"/>
          <w:sz w:val="32"/>
          <w:highlight w:val="none"/>
        </w:rPr>
        <w:t>”</w:t>
      </w:r>
      <w:r>
        <w:rPr>
          <w:rFonts w:ascii="宋体" w:hAnsi="宋体"/>
          <w:b/>
          <w:color w:val="auto"/>
          <w:sz w:val="32"/>
          <w:highlight w:val="none"/>
        </w:rPr>
        <w:t>格式</w:t>
      </w:r>
    </w:p>
    <w:p>
      <w:pPr>
        <w:shd w:val="clear"/>
        <w:spacing w:line="360" w:lineRule="auto"/>
        <w:rPr>
          <w:rFonts w:ascii="宋体" w:hAnsi="宋体"/>
          <w:b/>
          <w:color w:val="auto"/>
          <w:sz w:val="32"/>
          <w:szCs w:val="32"/>
          <w:highlight w:val="none"/>
        </w:rPr>
      </w:pPr>
    </w:p>
    <w:p>
      <w:pPr>
        <w:shd w:val="clea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hd w:val="clear"/>
        <w:spacing w:line="360" w:lineRule="auto"/>
        <w:jc w:val="right"/>
        <w:rPr>
          <w:rFonts w:ascii="宋体" w:hAnsi="宋体"/>
          <w:b/>
          <w:color w:val="auto"/>
          <w:sz w:val="36"/>
          <w:highlight w:val="none"/>
        </w:rPr>
      </w:pPr>
      <w:r>
        <w:rPr>
          <w:rFonts w:ascii="宋体" w:hAnsi="宋体"/>
          <w:b/>
          <w:color w:val="auto"/>
          <w:sz w:val="36"/>
          <w:highlight w:val="none"/>
        </w:rPr>
        <w:t>（正本/副本）</w:t>
      </w:r>
    </w:p>
    <w:p>
      <w:pPr>
        <w:shd w:val="clear"/>
        <w:spacing w:line="360" w:lineRule="auto"/>
        <w:rPr>
          <w:rFonts w:ascii="宋体" w:hAnsi="宋体"/>
          <w:b/>
          <w:color w:val="auto"/>
          <w:sz w:val="32"/>
          <w:szCs w:val="32"/>
          <w:highlight w:val="none"/>
        </w:rPr>
      </w:pPr>
    </w:p>
    <w:p>
      <w:pPr>
        <w:shd w:val="clear"/>
        <w:spacing w:line="360" w:lineRule="auto"/>
        <w:rPr>
          <w:rFonts w:ascii="宋体" w:hAnsi="宋体"/>
          <w:b/>
          <w:color w:val="auto"/>
          <w:sz w:val="32"/>
          <w:szCs w:val="32"/>
          <w:highlight w:val="none"/>
        </w:rPr>
      </w:pPr>
    </w:p>
    <w:p>
      <w:pPr>
        <w:shd w:val="clear"/>
        <w:spacing w:line="360" w:lineRule="auto"/>
        <w:jc w:val="center"/>
        <w:rPr>
          <w:rFonts w:ascii="宋体" w:hAnsi="宋体"/>
          <w:b/>
          <w:color w:val="auto"/>
          <w:sz w:val="72"/>
          <w:highlight w:val="none"/>
        </w:rPr>
      </w:pPr>
      <w:r>
        <w:rPr>
          <w:rFonts w:hint="eastAsia" w:ascii="宋体" w:hAnsi="宋体"/>
          <w:b/>
          <w:color w:val="auto"/>
          <w:sz w:val="40"/>
          <w:szCs w:val="48"/>
          <w:highlight w:val="none"/>
          <w:u w:val="single"/>
        </w:rPr>
        <w:t xml:space="preserve">                      </w:t>
      </w:r>
      <w:r>
        <w:rPr>
          <w:rFonts w:hint="eastAsia" w:ascii="宋体" w:hAnsi="宋体"/>
          <w:b/>
          <w:color w:val="auto"/>
          <w:sz w:val="40"/>
          <w:szCs w:val="48"/>
          <w:highlight w:val="none"/>
        </w:rPr>
        <w:t>项目</w:t>
      </w:r>
    </w:p>
    <w:p>
      <w:pPr>
        <w:shd w:val="clear"/>
        <w:spacing w:line="360" w:lineRule="auto"/>
        <w:rPr>
          <w:rFonts w:ascii="宋体" w:hAnsi="宋体"/>
          <w:b/>
          <w:color w:val="auto"/>
          <w:sz w:val="52"/>
          <w:szCs w:val="52"/>
          <w:highlight w:val="none"/>
        </w:rPr>
      </w:pPr>
    </w:p>
    <w:p>
      <w:pPr>
        <w:pStyle w:val="2"/>
        <w:shd w:val="clear"/>
        <w:jc w:val="center"/>
        <w:rPr>
          <w:color w:val="auto"/>
          <w:highlight w:val="none"/>
        </w:rPr>
      </w:pPr>
      <w:r>
        <w:rPr>
          <w:rFonts w:hint="eastAsia" w:hAnsi="宋体" w:cs="Times New Roman"/>
          <w:b/>
          <w:color w:val="auto"/>
          <w:kern w:val="2"/>
          <w:sz w:val="52"/>
          <w:szCs w:val="52"/>
          <w:highlight w:val="none"/>
        </w:rPr>
        <w:t>资格性响应文件</w:t>
      </w: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shd w:val="clear"/>
        <w:spacing w:line="360" w:lineRule="auto"/>
        <w:ind w:firstLine="643" w:firstLineChars="200"/>
        <w:jc w:val="left"/>
        <w:rPr>
          <w:rFonts w:ascii="宋体" w:hAnsi="宋体"/>
          <w:b/>
          <w:color w:val="auto"/>
          <w:sz w:val="32"/>
          <w:highlight w:val="none"/>
          <w:u w:val="single"/>
        </w:rPr>
      </w:pPr>
      <w:r>
        <w:rPr>
          <w:rFonts w:hint="eastAsia" w:ascii="宋体" w:hAnsi="宋体"/>
          <w:b/>
          <w:color w:val="auto"/>
          <w:sz w:val="32"/>
          <w:highlight w:val="none"/>
        </w:rPr>
        <w:t>供应商</w:t>
      </w:r>
      <w:r>
        <w:rPr>
          <w:rFonts w:ascii="宋体" w:hAnsi="宋体"/>
          <w:b/>
          <w:color w:val="auto"/>
          <w:sz w:val="32"/>
          <w:highlight w:val="none"/>
        </w:rPr>
        <w:t>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shd w:val="clear"/>
        <w:spacing w:line="360" w:lineRule="auto"/>
        <w:ind w:firstLine="643" w:firstLineChars="200"/>
        <w:jc w:val="left"/>
        <w:rPr>
          <w:rFonts w:ascii="宋体" w:hAnsi="宋体"/>
          <w:b/>
          <w:color w:val="auto"/>
          <w:sz w:val="32"/>
          <w:highlight w:val="none"/>
          <w:u w:val="single"/>
        </w:rPr>
      </w:pPr>
      <w:r>
        <w:rPr>
          <w:rFonts w:hint="eastAsia" w:ascii="宋体" w:hAnsi="宋体"/>
          <w:b/>
          <w:color w:val="auto"/>
          <w:sz w:val="32"/>
          <w:highlight w:val="none"/>
        </w:rPr>
        <w:t>项 目 编号</w:t>
      </w:r>
      <w:r>
        <w:rPr>
          <w:rFonts w:ascii="宋体" w:hAnsi="宋体"/>
          <w:b/>
          <w:color w:val="auto"/>
          <w:sz w:val="32"/>
          <w:highlight w:val="none"/>
        </w:rPr>
        <w:t>：</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shd w:val="clear"/>
        <w:spacing w:line="360" w:lineRule="auto"/>
        <w:ind w:firstLine="790" w:firstLineChars="246"/>
        <w:jc w:val="center"/>
        <w:rPr>
          <w:rFonts w:ascii="宋体" w:hAnsi="宋体"/>
          <w:b/>
          <w:color w:val="auto"/>
          <w:sz w:val="32"/>
          <w:highlight w:val="none"/>
        </w:rPr>
      </w:pPr>
    </w:p>
    <w:p>
      <w:pPr>
        <w:shd w:val="clear"/>
        <w:spacing w:line="360" w:lineRule="auto"/>
        <w:ind w:firstLine="790" w:firstLineChars="246"/>
        <w:jc w:val="center"/>
        <w:rPr>
          <w:rFonts w:ascii="宋体" w:hAnsi="宋体"/>
          <w:b/>
          <w:color w:val="auto"/>
          <w:sz w:val="32"/>
          <w:highlight w:val="none"/>
        </w:rPr>
      </w:pPr>
    </w:p>
    <w:p>
      <w:pPr>
        <w:shd w:val="clea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日期</w:t>
      </w:r>
      <w:r>
        <w:rPr>
          <w:rFonts w:ascii="宋体" w:hAnsi="宋体"/>
          <w:b/>
          <w:color w:val="auto"/>
          <w:sz w:val="32"/>
          <w:highlight w:val="none"/>
        </w:rPr>
        <w:t>：</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ascii="宋体" w:hAnsi="宋体"/>
          <w:b/>
          <w:color w:val="auto"/>
          <w:sz w:val="32"/>
          <w:highlight w:val="none"/>
        </w:rPr>
        <w:t>年</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ascii="宋体" w:hAnsi="宋体"/>
          <w:b/>
          <w:color w:val="auto"/>
          <w:sz w:val="32"/>
          <w:highlight w:val="none"/>
        </w:rPr>
        <w:t>月</w:t>
      </w:r>
      <w:r>
        <w:rPr>
          <w:rFonts w:ascii="宋体" w:hAnsi="宋体"/>
          <w:b/>
          <w:color w:val="auto"/>
          <w:sz w:val="32"/>
          <w:highlight w:val="none"/>
          <w:u w:val="single"/>
        </w:rPr>
        <w:t xml:space="preserve">    </w:t>
      </w:r>
      <w:r>
        <w:rPr>
          <w:rFonts w:ascii="宋体" w:hAnsi="宋体"/>
          <w:b/>
          <w:color w:val="auto"/>
          <w:sz w:val="32"/>
          <w:highlight w:val="none"/>
        </w:rPr>
        <w:t>日</w:t>
      </w:r>
    </w:p>
    <w:p>
      <w:pPr>
        <w:shd w:val="clear"/>
        <w:spacing w:line="360" w:lineRule="auto"/>
        <w:rPr>
          <w:rFonts w:ascii="宋体" w:hAnsi="宋体"/>
          <w:b/>
          <w:color w:val="auto"/>
          <w:sz w:val="32"/>
          <w:szCs w:val="32"/>
          <w:highlight w:val="none"/>
        </w:rPr>
      </w:pPr>
      <w:r>
        <w:rPr>
          <w:rFonts w:ascii="宋体" w:hAnsi="宋体"/>
          <w:b/>
          <w:color w:val="auto"/>
          <w:sz w:val="32"/>
          <w:highlight w:val="none"/>
        </w:rPr>
        <w:br w:type="page"/>
      </w:r>
    </w:p>
    <w:p>
      <w:pPr>
        <w:shd w:val="clea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一、法定代表人/单位负责人授权书</w:t>
      </w:r>
    </w:p>
    <w:p>
      <w:pPr>
        <w:widowControl/>
        <w:shd w:val="clear"/>
        <w:spacing w:line="360" w:lineRule="atLeast"/>
        <w:ind w:firstLine="472" w:firstLineChars="196"/>
        <w:jc w:val="left"/>
        <w:outlineLvl w:val="1"/>
        <w:rPr>
          <w:rFonts w:ascii="宋体" w:hAnsi="宋体"/>
          <w:b/>
          <w:color w:val="auto"/>
          <w:sz w:val="24"/>
          <w:highlight w:val="none"/>
        </w:rPr>
      </w:pPr>
    </w:p>
    <w:p>
      <w:pPr>
        <w:widowControl/>
        <w:shd w:val="clear"/>
        <w:spacing w:line="360" w:lineRule="atLeast"/>
        <w:ind w:firstLine="472" w:firstLineChars="196"/>
        <w:jc w:val="left"/>
        <w:outlineLvl w:val="1"/>
        <w:rPr>
          <w:rFonts w:ascii="宋体" w:hAnsi="宋体"/>
          <w:b/>
          <w:color w:val="auto"/>
          <w:sz w:val="24"/>
          <w:highlight w:val="none"/>
        </w:rPr>
      </w:pPr>
    </w:p>
    <w:p>
      <w:pPr>
        <w:widowControl/>
        <w:shd w:val="clear"/>
        <w:spacing w:line="360" w:lineRule="auto"/>
        <w:jc w:val="left"/>
        <w:outlineLvl w:val="1"/>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 xml:space="preserve">            </w:t>
      </w: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hint="eastAsia" w:ascii="宋体" w:hAnsi="宋体"/>
          <w:color w:val="auto"/>
          <w:sz w:val="24"/>
          <w:highlight w:val="none"/>
        </w:rPr>
        <w:t>（法定代表人/单位负责人姓名、职务）授权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（被授权人姓名、职务）为我方 “</w:t>
      </w:r>
      <w:r>
        <w:rPr>
          <w:rFonts w:hint="eastAsia" w:ascii="宋体" w:hAnsi="宋体"/>
          <w:color w:val="auto"/>
          <w:sz w:val="24"/>
          <w:highlight w:val="none"/>
          <w:u w:val="single"/>
        </w:rPr>
        <w:t xml:space="preserve">              </w:t>
      </w:r>
      <w:r>
        <w:rPr>
          <w:rFonts w:hint="eastAsia" w:ascii="宋体" w:hAnsi="宋体"/>
          <w:color w:val="auto"/>
          <w:sz w:val="24"/>
          <w:highlight w:val="none"/>
        </w:rPr>
        <w:t>” （项目名称）（项目编号：</w:t>
      </w:r>
      <w:r>
        <w:rPr>
          <w:rFonts w:hint="eastAsia" w:ascii="宋体" w:hAnsi="宋体"/>
          <w:color w:val="auto"/>
          <w:sz w:val="24"/>
          <w:highlight w:val="none"/>
          <w:u w:val="single"/>
        </w:rPr>
        <w:t xml:space="preserve">             </w:t>
      </w:r>
      <w:r>
        <w:rPr>
          <w:rFonts w:hint="eastAsia" w:ascii="宋体" w:hAnsi="宋体"/>
          <w:color w:val="auto"/>
          <w:sz w:val="24"/>
          <w:highlight w:val="none"/>
        </w:rPr>
        <w:t>）磋商采购活动的合法代表，以我方名义全权处理该项目有关磋商、签订合同以及执行合同等一切事宜。</w:t>
      </w:r>
    </w:p>
    <w:p>
      <w:pPr>
        <w:pStyle w:val="2"/>
        <w:shd w:val="clear"/>
        <w:spacing w:line="360" w:lineRule="auto"/>
        <w:rPr>
          <w:color w:val="auto"/>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特此声明。</w:t>
      </w:r>
    </w:p>
    <w:p>
      <w:pPr>
        <w:widowControl/>
        <w:shd w:val="clear"/>
        <w:spacing w:line="360" w:lineRule="auto"/>
        <w:ind w:firstLine="470" w:firstLineChars="196"/>
        <w:jc w:val="left"/>
        <w:outlineLvl w:val="1"/>
        <w:rPr>
          <w:rFonts w:ascii="宋体" w:hAnsi="宋体"/>
          <w:color w:val="auto"/>
          <w:sz w:val="24"/>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法定代表人/单位负责人（委托人）签字或加盖个人印章：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授权代表（被授权人）签字：</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jc w:val="left"/>
        <w:outlineLvl w:val="1"/>
        <w:rPr>
          <w:rFonts w:ascii="宋体" w:hAnsi="宋体"/>
          <w:b/>
          <w:color w:val="auto"/>
          <w:sz w:val="24"/>
          <w:highlight w:val="none"/>
        </w:rPr>
      </w:pPr>
    </w:p>
    <w:p>
      <w:pPr>
        <w:widowControl/>
        <w:shd w:val="clear"/>
        <w:spacing w:line="360" w:lineRule="atLeast"/>
        <w:jc w:val="left"/>
        <w:outlineLvl w:val="1"/>
        <w:rPr>
          <w:rFonts w:ascii="宋体" w:hAnsi="宋体"/>
          <w:b/>
          <w:color w:val="auto"/>
          <w:sz w:val="24"/>
          <w:highlight w:val="none"/>
        </w:rPr>
      </w:pPr>
    </w:p>
    <w:p>
      <w:pPr>
        <w:widowControl/>
        <w:shd w:val="clear"/>
        <w:spacing w:line="360" w:lineRule="atLeast"/>
        <w:jc w:val="left"/>
        <w:outlineLvl w:val="1"/>
        <w:rPr>
          <w:rFonts w:ascii="宋体" w:hAnsi="宋体"/>
          <w:b/>
          <w:color w:val="auto"/>
          <w:sz w:val="24"/>
          <w:highlight w:val="none"/>
        </w:rPr>
      </w:pPr>
    </w:p>
    <w:p>
      <w:pPr>
        <w:widowControl/>
        <w:shd w:val="clear"/>
        <w:spacing w:line="360" w:lineRule="atLeast"/>
        <w:jc w:val="left"/>
        <w:outlineLvl w:val="1"/>
        <w:rPr>
          <w:rFonts w:ascii="宋体" w:hAnsi="宋体"/>
          <w:b/>
          <w:color w:val="auto"/>
          <w:sz w:val="24"/>
          <w:highlight w:val="none"/>
        </w:rPr>
      </w:pPr>
    </w:p>
    <w:p>
      <w:pPr>
        <w:shd w:val="clea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1、供应商为法人单位时提供“法定代表人授权书”，供应商为其他组织时提供“单位负责人授权书”，供应商为自然人时提供“自然人身份证明材料”。</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2、应附法定代表人身份证明材料复印件和授权代表身份证明材料复印件。</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shd w:val="clear"/>
        <w:spacing w:line="400" w:lineRule="exact"/>
        <w:jc w:val="center"/>
        <w:rPr>
          <w:rFonts w:ascii="宋体" w:hAnsi="宋体"/>
          <w:color w:val="auto"/>
          <w:sz w:val="24"/>
          <w:highlight w:val="none"/>
        </w:rPr>
      </w:pPr>
      <w:r>
        <w:rPr>
          <w:rFonts w:ascii="宋体" w:hAnsi="宋体"/>
          <w:b/>
          <w:color w:val="auto"/>
          <w:sz w:val="32"/>
          <w:szCs w:val="32"/>
          <w:highlight w:val="none"/>
        </w:rPr>
        <w:t>二</w:t>
      </w:r>
      <w:r>
        <w:rPr>
          <w:rFonts w:hint="eastAsia" w:ascii="宋体" w:hAnsi="宋体"/>
          <w:b/>
          <w:color w:val="auto"/>
          <w:sz w:val="32"/>
          <w:szCs w:val="32"/>
          <w:highlight w:val="none"/>
        </w:rPr>
        <w:t>、法定代表人/单位负责人</w:t>
      </w:r>
      <w:r>
        <w:rPr>
          <w:rFonts w:hint="eastAsia" w:ascii="宋体" w:hAnsi="宋体" w:cs="宋体"/>
          <w:b/>
          <w:color w:val="auto"/>
          <w:sz w:val="32"/>
          <w:szCs w:val="32"/>
          <w:highlight w:val="none"/>
        </w:rPr>
        <w:t>身份证明</w:t>
      </w:r>
    </w:p>
    <w:p>
      <w:pPr>
        <w:shd w:val="clear"/>
        <w:tabs>
          <w:tab w:val="left" w:pos="6300"/>
        </w:tabs>
        <w:spacing w:line="520" w:lineRule="exact"/>
        <w:ind w:firstLine="573"/>
        <w:rPr>
          <w:rFonts w:ascii="宋体" w:hAnsi="宋体"/>
          <w:color w:val="auto"/>
          <w:sz w:val="24"/>
          <w:highlight w:val="none"/>
          <w:lang w:val="zh-CN"/>
        </w:rPr>
      </w:pPr>
    </w:p>
    <w:p>
      <w:pPr>
        <w:shd w:val="clear"/>
        <w:tabs>
          <w:tab w:val="left" w:pos="6300"/>
        </w:tabs>
        <w:spacing w:line="520" w:lineRule="exact"/>
        <w:ind w:firstLine="573"/>
        <w:rPr>
          <w:rFonts w:ascii="宋体" w:hAnsi="宋体"/>
          <w:color w:val="auto"/>
          <w:sz w:val="24"/>
          <w:highlight w:val="none"/>
          <w:lang w:val="zh-CN"/>
        </w:rPr>
      </w:pPr>
    </w:p>
    <w:p>
      <w:pPr>
        <w:shd w:val="clea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r>
        <w:rPr>
          <w:rFonts w:hint="eastAsia" w:ascii="宋体" w:hAnsi="宋体"/>
          <w:color w:val="auto"/>
          <w:sz w:val="24"/>
          <w:highlight w:val="none"/>
          <w:lang w:val="zh-CN"/>
        </w:rPr>
        <w:t>：</w:t>
      </w:r>
    </w:p>
    <w:p>
      <w:pPr>
        <w:shd w:val="clear"/>
        <w:tabs>
          <w:tab w:val="left" w:pos="6300"/>
        </w:tabs>
        <w:spacing w:line="520" w:lineRule="exact"/>
        <w:ind w:firstLine="720" w:firstLineChars="300"/>
        <w:rPr>
          <w:rFonts w:ascii="宋体" w:hAnsi="宋体"/>
          <w:color w:val="auto"/>
          <w:sz w:val="24"/>
          <w:highlight w:val="none"/>
          <w:lang w:val="zh-CN"/>
        </w:rPr>
      </w:pP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（法定代表人</w:t>
      </w:r>
      <w:r>
        <w:rPr>
          <w:rFonts w:hint="eastAsia" w:ascii="宋体" w:hAnsi="宋体"/>
          <w:color w:val="auto"/>
          <w:sz w:val="24"/>
          <w:highlight w:val="none"/>
        </w:rPr>
        <w:t>/单位负责人姓名</w:t>
      </w:r>
      <w:r>
        <w:rPr>
          <w:rFonts w:hint="eastAsia" w:ascii="宋体" w:hAnsi="宋体"/>
          <w:color w:val="auto"/>
          <w:sz w:val="24"/>
          <w:highlight w:val="none"/>
          <w:lang w:val="zh-CN"/>
        </w:rPr>
        <w:t>）在</w:t>
      </w: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（供应商名称）处任</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（职务名称）</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职务，是</w:t>
      </w: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（供应商名称）的法定代表人</w:t>
      </w:r>
      <w:r>
        <w:rPr>
          <w:rFonts w:hint="eastAsia" w:ascii="宋体" w:hAnsi="宋体"/>
          <w:color w:val="auto"/>
          <w:sz w:val="24"/>
          <w:highlight w:val="none"/>
        </w:rPr>
        <w:t>/单位负责人</w:t>
      </w:r>
      <w:r>
        <w:rPr>
          <w:rFonts w:hint="eastAsia" w:ascii="宋体" w:hAnsi="宋体"/>
          <w:color w:val="auto"/>
          <w:sz w:val="24"/>
          <w:highlight w:val="none"/>
          <w:lang w:val="zh-CN"/>
        </w:rPr>
        <w:t>。</w:t>
      </w:r>
    </w:p>
    <w:p>
      <w:pPr>
        <w:shd w:val="clea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法定代表人</w:t>
      </w:r>
      <w:r>
        <w:rPr>
          <w:rFonts w:hint="eastAsia" w:ascii="宋体" w:hAnsi="宋体"/>
          <w:color w:val="auto"/>
          <w:sz w:val="24"/>
          <w:highlight w:val="none"/>
        </w:rPr>
        <w:t>/</w:t>
      </w:r>
      <w:r>
        <w:rPr>
          <w:rFonts w:hint="eastAsia" w:ascii="宋体" w:hAnsi="宋体"/>
          <w:color w:val="auto"/>
          <w:sz w:val="24"/>
          <w:highlight w:val="none"/>
          <w:lang w:val="zh-CN"/>
        </w:rPr>
        <w:t>单位负责人联系方式：</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w:t>
      </w:r>
    </w:p>
    <w:p>
      <w:pPr>
        <w:shd w:val="clear"/>
        <w:tabs>
          <w:tab w:val="left" w:pos="6300"/>
        </w:tabs>
        <w:spacing w:line="520" w:lineRule="exact"/>
        <w:ind w:firstLine="573"/>
        <w:rPr>
          <w:rFonts w:ascii="宋体" w:hAnsi="宋体"/>
          <w:color w:val="auto"/>
          <w:sz w:val="24"/>
          <w:highlight w:val="none"/>
          <w:lang w:val="zh-CN"/>
        </w:rPr>
      </w:pPr>
    </w:p>
    <w:p>
      <w:pPr>
        <w:shd w:val="clea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特此证明。</w:t>
      </w:r>
    </w:p>
    <w:p>
      <w:pPr>
        <w:shd w:val="clear"/>
        <w:tabs>
          <w:tab w:val="left" w:pos="6300"/>
        </w:tabs>
        <w:spacing w:line="520" w:lineRule="exact"/>
        <w:rPr>
          <w:rFonts w:ascii="宋体" w:hAnsi="宋体"/>
          <w:color w:val="auto"/>
          <w:sz w:val="24"/>
          <w:highlight w:val="none"/>
          <w:lang w:val="zh-CN"/>
        </w:rPr>
      </w:pPr>
    </w:p>
    <w:p>
      <w:pPr>
        <w:shd w:val="clear"/>
        <w:tabs>
          <w:tab w:val="left" w:pos="6300"/>
        </w:tabs>
        <w:spacing w:line="520" w:lineRule="exact"/>
        <w:rPr>
          <w:rFonts w:ascii="宋体" w:hAnsi="宋体"/>
          <w:color w:val="auto"/>
          <w:sz w:val="24"/>
          <w:highlight w:val="none"/>
          <w:lang w:val="zh-CN"/>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shd w:val="clear"/>
        <w:spacing w:line="520" w:lineRule="exact"/>
        <w:ind w:firstLine="480"/>
        <w:jc w:val="left"/>
        <w:rPr>
          <w:rFonts w:ascii="宋体" w:hAnsi="宋体"/>
          <w:color w:val="auto"/>
          <w:sz w:val="24"/>
          <w:highlight w:val="none"/>
        </w:rPr>
      </w:pPr>
      <w:r>
        <w:rPr>
          <w:rFonts w:hint="eastAsia" w:ascii="宋体" w:hAnsi="宋体"/>
          <w:color w:val="auto"/>
          <w:sz w:val="24"/>
          <w:highlight w:val="none"/>
        </w:rPr>
        <w:t>法定代表人/单位负责人（签字或加盖个人印章）：</w:t>
      </w:r>
      <w:r>
        <w:rPr>
          <w:rFonts w:hint="eastAsia" w:ascii="宋体" w:hAnsi="宋体"/>
          <w:color w:val="auto"/>
          <w:sz w:val="24"/>
          <w:highlight w:val="none"/>
          <w:u w:val="single"/>
        </w:rPr>
        <w:t xml:space="preserve">                  </w:t>
      </w:r>
    </w:p>
    <w:p>
      <w:pPr>
        <w:shd w:val="clea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ascii="宋体" w:hAnsi="宋体"/>
          <w:color w:val="auto"/>
          <w:sz w:val="24"/>
          <w:highlight w:val="none"/>
          <w:lang w:val="zh-CN"/>
        </w:rPr>
        <w:t xml:space="preserve"> </w:t>
      </w:r>
    </w:p>
    <w:p>
      <w:pPr>
        <w:shd w:val="clear"/>
        <w:tabs>
          <w:tab w:val="left" w:pos="720"/>
          <w:tab w:val="left" w:pos="6300"/>
        </w:tabs>
        <w:spacing w:line="520" w:lineRule="exact"/>
        <w:ind w:firstLine="573"/>
        <w:rPr>
          <w:rFonts w:ascii="宋体" w:hAnsi="宋体"/>
          <w:b/>
          <w:color w:val="auto"/>
          <w:sz w:val="24"/>
          <w:highlight w:val="none"/>
          <w:lang w:val="zh-CN"/>
        </w:rPr>
      </w:pPr>
    </w:p>
    <w:p>
      <w:pPr>
        <w:shd w:val="clear"/>
        <w:tabs>
          <w:tab w:val="left" w:pos="720"/>
          <w:tab w:val="left" w:pos="6300"/>
        </w:tabs>
        <w:spacing w:line="520" w:lineRule="exact"/>
        <w:ind w:firstLine="573"/>
        <w:rPr>
          <w:rFonts w:ascii="宋体" w:hAnsi="宋体"/>
          <w:b/>
          <w:color w:val="auto"/>
          <w:sz w:val="24"/>
          <w:highlight w:val="none"/>
        </w:rPr>
      </w:pPr>
      <w:r>
        <w:rPr>
          <w:rFonts w:hint="eastAsia" w:ascii="宋体" w:hAnsi="宋体"/>
          <w:b/>
          <w:color w:val="auto"/>
          <w:sz w:val="24"/>
          <w:highlight w:val="none"/>
          <w:lang w:val="zh-CN"/>
        </w:rPr>
        <w:t>说明：上述证明文件在</w:t>
      </w:r>
      <w:r>
        <w:rPr>
          <w:rFonts w:hint="eastAsia" w:ascii="宋体" w:hAnsi="宋体"/>
          <w:b/>
          <w:color w:val="auto"/>
          <w:sz w:val="24"/>
          <w:highlight w:val="none"/>
        </w:rPr>
        <w:t>响应</w:t>
      </w:r>
      <w:r>
        <w:rPr>
          <w:rFonts w:hint="eastAsia" w:ascii="宋体" w:hAnsi="宋体"/>
          <w:b/>
          <w:color w:val="auto"/>
          <w:sz w:val="24"/>
          <w:highlight w:val="none"/>
          <w:lang w:val="zh-CN"/>
        </w:rPr>
        <w:t>文件中附有法定代表人/单位负责人身份证复印件（身份证两面均应复印）时才能生效,不允许粘贴。</w:t>
      </w:r>
    </w:p>
    <w:p>
      <w:pPr>
        <w:shd w:val="clear"/>
        <w:tabs>
          <w:tab w:val="left" w:pos="720"/>
          <w:tab w:val="left" w:pos="6300"/>
        </w:tabs>
        <w:ind w:firstLine="573"/>
        <w:rPr>
          <w:rFonts w:ascii="宋体" w:hAnsi="宋体"/>
          <w:b/>
          <w:color w:val="auto"/>
          <w:sz w:val="24"/>
          <w:highlight w:val="none"/>
          <w:lang w:val="zh-CN"/>
        </w:rPr>
      </w:pPr>
      <w:r>
        <w:rPr>
          <w:rFonts w:hint="eastAsia" w:ascii="宋体" w:hAnsi="宋体"/>
          <w:b/>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2900045</wp:posOffset>
                </wp:positionH>
                <wp:positionV relativeFrom="paragraph">
                  <wp:posOffset>628015</wp:posOffset>
                </wp:positionV>
                <wp:extent cx="2405380" cy="1461770"/>
                <wp:effectExtent l="13970" t="8890" r="9525" b="571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1312;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t5SG9VAgAAqwQAAA4AAABkcnMvZTJvRG9jLnhtbK1U&#10;zY7TMBC+I/EOlu9s2tJ2u9Gmq6XVIqTlR1p4ANdxEgvbY2y3SXkAeANOXLjzXH0Oxk52qQpIeyCH&#10;yJMZf/PNNzO5vOq0IjvhvART0PHZiBJhOJTS1AX98P7m2YISH5gpmQIjCroXnl4tnz65bG0uJtCA&#10;KoUjCGJ83tqCNiHYPMs8b4Rm/gysMOiswGkW0HR1VjrWIrpW2WQ0mmctuNI64MJ7/LrunXRAdI8B&#10;hKqSXKyBb7UwoUd1QrGAJflGWk+XiW1VCR7eVpUXgaiCYqUhvTEJnjfxnS0vWV47ZhvJBwrsMRRO&#10;atJMGkz6ALVmgZGtk39AackdeKjCGQed9YUkRbCK8ehEm7uGWZFqQam9fRDd/z9Y/mb3zhFZFnRO&#10;iWEaG3749vXw/efhxxcyj/K01ucYdWcxLnQvoMOhSaV6ewv8oycGVg0ztbh2DtpGsBLpjePN7Ohq&#10;j+MjyKZ9DSXmYdsACairnI7aoRoE0bE1+4fWiC4Qjh8n09Hs+QJdHH3j6Xx8fp6al7H8/rp1PrwU&#10;oEk8FNRh7xM82936EOmw/D4kZvOgZHkjlUqGqzcr5ciO4ZzcpCdVcBKmDGkLejGbzJCItqiaN3Uv&#10;xj/RRun5G1pks2a+6bOWeIpRLNcy4IYpqQu6OL6szKBplLEXNHSbbujRBso9quugn3HccDw04D5T&#10;0uJ8I9VPW+YEJeqVwQ5djKfTuBDJmM7OJ2i4Y8/m2MMMR6iCBkr64yr0S7S1TtYNZupnwsA1drWS&#10;Se/Y/p7VwBtnOLVh2Le4JMd2ivr9j1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BreUhv&#10;VQIAAKs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hint="eastAsia" w:ascii="宋体" w:hAnsi="宋体"/>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628015</wp:posOffset>
                </wp:positionV>
                <wp:extent cx="2405380" cy="1461770"/>
                <wp:effectExtent l="10795" t="8890" r="12700" b="571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OWju31UCAACrBAAADgAAAGRycy9lMm9Eb2MueG1srVTN&#10;btQwEL4j8Q6W7zS7293+RM1WpasiJP6kwgN4HSexsD1m7N2kPAC8AScu3HmuPgdjZ1tWBaQeyCHy&#10;ZMbffPPNTM7OB2vYVmHQ4Co+PZhwppyEWru24h/eXz074SxE4WphwKmK36jAz5dPn5z1vlQz6MDU&#10;ChmBuFD2vuJdjL4siiA7ZUU4AK8cORtAKyKZ2BY1ip7QrSlmk8lR0QPWHkGqEOjranTyHSI+BhCa&#10;Rku1ArmxysURFZURkUoKnfaBLzPbplEyvm2aoCIzFadKY35TEjqv07tYnomyReE7LXcUxGMoPKjJ&#10;Cu0o6T3USkTBNqj/gLJaIgRo4oEEW4yFZEWoiunkgTbXnfAq10JSB38vevh/sPLN9h0yXVf8kDMn&#10;LDX89tvX2+8/b398YYdJnt6HkqKuPcXF4TkMNDS51OBfgfwYmIPLTrhWXSBC3ylRE71pulnsXR1x&#10;QgJZ96+hpjxiEyEDDQ3apB2pwQidWnNz3xo1RCbp42w+WRyekEuSbzo/mh4f5+YVory77jHEFwos&#10;S4eKI/U+w4vtqxATHVHehaRsAYyur7Qx2cB2fWmQbQXNyVV+cgUPwoxjfcVPF7MFEbGeVAuuHcX4&#10;J9okP39DS2xWInRj1ppOKUqUVkfaMKNtxU/2Lxu30zTJOAoah/Ww69Ea6htSF2GccdpwOnSAnznr&#10;ab6J6qeNQMWZeemoQ6fT+TwtRDbmi+MZGbjvWe97hJMEVfHI2Xi8jOMSbTzqtqNM40w4uKCuNjrr&#10;ndo/strxphnObdjtW1qSfTtH/f7H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jIrd9gAAAAJ&#10;AQAADwAAAAAAAAABACAAAAAiAAAAZHJzL2Rvd25yZXYueG1sUEsBAhQAFAAAAAgAh07iQDlo7t9V&#10;AgAAqwQAAA4AAAAAAAAAAQAgAAAAJwEAAGRycy9lMm9Eb2MueG1sUEsFBgAAAAAGAAYAWQEAAO4F&#10;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shd w:val="clear"/>
        <w:tabs>
          <w:tab w:val="left" w:pos="720"/>
          <w:tab w:val="left" w:pos="6300"/>
        </w:tabs>
        <w:ind w:firstLine="573"/>
        <w:rPr>
          <w:rFonts w:ascii="宋体" w:hAnsi="宋体"/>
          <w:b/>
          <w:color w:val="auto"/>
          <w:sz w:val="24"/>
          <w:highlight w:val="none"/>
          <w:lang w:val="zh-CN"/>
        </w:rPr>
      </w:pPr>
      <w:r>
        <w:rPr>
          <w:rFonts w:hint="eastAsia" w:ascii="宋体" w:hAnsi="宋体"/>
          <w:b/>
          <w:color w:val="auto"/>
          <w:sz w:val="24"/>
          <w:highlight w:val="none"/>
          <w:lang w:val="zh-CN"/>
        </w:rPr>
        <w:t>法定代表人/单位负责人身份证样式(仅供参考)：</w:t>
      </w:r>
    </w:p>
    <w:p>
      <w:pPr>
        <w:shd w:val="clear"/>
        <w:tabs>
          <w:tab w:val="left" w:pos="720"/>
          <w:tab w:val="left" w:pos="6300"/>
        </w:tabs>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shd w:val="clear"/>
        <w:tabs>
          <w:tab w:val="left" w:pos="720"/>
          <w:tab w:val="left" w:pos="6300"/>
        </w:tabs>
        <w:spacing w:line="360" w:lineRule="auto"/>
        <w:ind w:firstLine="573"/>
        <w:rPr>
          <w:rFonts w:ascii="宋体" w:hAnsi="宋体"/>
          <w:b/>
          <w:color w:val="auto"/>
          <w:sz w:val="24"/>
          <w:highlight w:val="none"/>
          <w:lang w:val="zh-CN"/>
        </w:rPr>
      </w:pP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三、承诺函</w:t>
      </w:r>
    </w:p>
    <w:p>
      <w:pPr>
        <w:widowControl/>
        <w:shd w:val="clear"/>
        <w:spacing w:line="360" w:lineRule="atLeast"/>
        <w:jc w:val="center"/>
        <w:outlineLvl w:val="1"/>
        <w:rPr>
          <w:rFonts w:ascii="宋体" w:hAnsi="宋体"/>
          <w:b/>
          <w:color w:val="auto"/>
          <w:sz w:val="24"/>
          <w:highlight w:val="none"/>
        </w:rPr>
      </w:pPr>
    </w:p>
    <w:p>
      <w:pPr>
        <w:shd w:val="clea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我公司作为本次采购项目的供应商，根据磋商文件要求，现郑重承诺如下：</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一、具备《中华人民共和国政府采购法》第二十二条第一款和本项目规定的条件：</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（一）具有独立承担民事责任的能力；</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（六）法律、行政法规规定的其他条件；</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（七）我单位</w:t>
      </w:r>
      <w:r>
        <w:rPr>
          <w:rFonts w:hint="eastAsia" w:ascii="宋体" w:hAnsi="宋体" w:cs="宋体"/>
          <w:color w:val="auto"/>
          <w:sz w:val="24"/>
          <w:highlight w:val="none"/>
        </w:rPr>
        <w:t>及其法定代表人/主要负责人在参加本项目政府采购活动前三年无行贿犯罪记录</w:t>
      </w:r>
      <w:r>
        <w:rPr>
          <w:rFonts w:hint="eastAsia" w:ascii="宋体" w:hAnsi="宋体"/>
          <w:color w:val="auto"/>
          <w:sz w:val="24"/>
          <w:highlight w:val="none"/>
        </w:rPr>
        <w:t>；</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（八）根据采购项目提出的特殊条件。</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三、在参加本次采购活动中，不存在与单位负责人为同一人或者存在直接控股、管理关系的其他供应商参与同一合同项下的政府采购活动的行为。</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四、在参加本次采购活动中，不存在和其他供应商在同一合同项下的采购项目中，同时委托同一个自然人、同一家庭的人员、同一单位的人员作为代理人的行为。</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五、如果有《四川省政府采购当事人诚信管理办法》（川财采[2015]33号）规定的记入诚信档案的失信行为，将在响应文件中全面如实反映。</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六、响应文件中提供的任何资料和技术、服务、商务等响应承诺情况都是真实的、有效的、合法的。</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国家或行业主管部门对采购产品的技术标准、质量标准和资格资质条件等有强制性规定的，我方承诺符合其要求。</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九、参加本次采购活动，我方完全同意磋商文件第二章关于“磋商费用”、“合同分包”、“合同转包”、“磋商保证金”的实质性要求，并承诺严格按照磋商文件要求履行。</w:t>
      </w:r>
    </w:p>
    <w:p>
      <w:pPr>
        <w:shd w:val="clea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2"/>
        <w:shd w:val="clear"/>
        <w:spacing w:line="360" w:lineRule="auto"/>
        <w:rPr>
          <w:color w:val="auto"/>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本公司对上述承诺的内容事项真实性负责。如经查实上述承诺的内容事项存在虚假，我公司愿意接受以提供虚假材料谋取成交的法律责任。</w:t>
      </w:r>
    </w:p>
    <w:p>
      <w:pPr>
        <w:pStyle w:val="2"/>
        <w:shd w:val="clear"/>
        <w:rPr>
          <w:color w:val="auto"/>
          <w:highlight w:val="none"/>
        </w:rPr>
      </w:pPr>
    </w:p>
    <w:p>
      <w:pPr>
        <w:pStyle w:val="2"/>
        <w:shd w:val="clear"/>
        <w:spacing w:line="360" w:lineRule="auto"/>
        <w:rPr>
          <w:color w:val="auto"/>
          <w:highlight w:val="none"/>
        </w:rPr>
      </w:pP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法定代表人/单位负责人（签字或加盖个人印章）：</w:t>
      </w:r>
      <w:r>
        <w:rPr>
          <w:rFonts w:hint="eastAsia" w:ascii="宋体" w:hAnsi="宋体"/>
          <w:color w:val="auto"/>
          <w:sz w:val="24"/>
          <w:highlight w:val="none"/>
          <w:u w:val="single"/>
        </w:rPr>
        <w:t xml:space="preserve">                  </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授权代表签字：</w:t>
      </w:r>
      <w:r>
        <w:rPr>
          <w:rFonts w:hint="eastAsia" w:ascii="宋体" w:hAnsi="宋体"/>
          <w:color w:val="auto"/>
          <w:sz w:val="24"/>
          <w:highlight w:val="none"/>
          <w:u w:val="single"/>
        </w:rPr>
        <w:t xml:space="preserve">                  </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pStyle w:val="2"/>
        <w:shd w:val="clear"/>
        <w:spacing w:line="360" w:lineRule="auto"/>
        <w:rPr>
          <w:rFonts w:hAnsi="宋体"/>
          <w:color w:val="auto"/>
          <w:kern w:val="2"/>
          <w:highlight w:val="none"/>
          <w:u w:val="single"/>
        </w:rPr>
      </w:pPr>
      <w:r>
        <w:rPr>
          <w:rFonts w:hint="eastAsia" w:hAnsi="宋体"/>
          <w:color w:val="auto"/>
          <w:kern w:val="2"/>
          <w:highlight w:val="none"/>
        </w:rPr>
        <w:t xml:space="preserve">    日    期： </w:t>
      </w:r>
      <w:r>
        <w:rPr>
          <w:rFonts w:hint="eastAsia" w:hAnsi="宋体"/>
          <w:color w:val="auto"/>
          <w:kern w:val="2"/>
          <w:highlight w:val="none"/>
          <w:u w:val="single"/>
        </w:rPr>
        <w:t xml:space="preserve">                     </w:t>
      </w: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shd w:val="clea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四、供应商和磋商其他资格、资质性及其他类似效力要求的相关证明材料</w:t>
      </w:r>
    </w:p>
    <w:p>
      <w:pPr>
        <w:shd w:val="clea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注：供应商应按磋商文件第三章、第四章相关要求提供佐证材料，有格式要求的从其要求，无格式要求的格式自拟。</w:t>
      </w: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shd w:val="clear"/>
        <w:tabs>
          <w:tab w:val="left" w:pos="900"/>
        </w:tabs>
        <w:spacing w:line="360" w:lineRule="auto"/>
        <w:jc w:val="center"/>
        <w:rPr>
          <w:rFonts w:ascii="宋体" w:hAnsi="宋体"/>
          <w:b/>
          <w:color w:val="auto"/>
          <w:sz w:val="32"/>
          <w:highlight w:val="none"/>
        </w:rPr>
      </w:pPr>
      <w:r>
        <w:rPr>
          <w:rFonts w:ascii="宋体" w:hAnsi="宋体"/>
          <w:b/>
          <w:color w:val="auto"/>
          <w:sz w:val="32"/>
          <w:highlight w:val="none"/>
        </w:rPr>
        <w:t>第</w:t>
      </w:r>
      <w:r>
        <w:rPr>
          <w:rFonts w:hint="eastAsia" w:ascii="宋体" w:hAnsi="宋体"/>
          <w:b/>
          <w:color w:val="auto"/>
          <w:sz w:val="32"/>
          <w:highlight w:val="none"/>
        </w:rPr>
        <w:t>二</w:t>
      </w:r>
      <w:r>
        <w:rPr>
          <w:rFonts w:ascii="宋体" w:hAnsi="宋体"/>
          <w:b/>
          <w:color w:val="auto"/>
          <w:sz w:val="32"/>
          <w:highlight w:val="none"/>
        </w:rPr>
        <w:t xml:space="preserve">部分     </w:t>
      </w:r>
      <w:r>
        <w:rPr>
          <w:rFonts w:hint="eastAsia" w:ascii="宋体" w:hAnsi="宋体"/>
          <w:b/>
          <w:color w:val="auto"/>
          <w:sz w:val="32"/>
          <w:highlight w:val="none"/>
        </w:rPr>
        <w:t>“其他响应性</w:t>
      </w:r>
      <w:r>
        <w:rPr>
          <w:rFonts w:ascii="宋体" w:hAnsi="宋体"/>
          <w:b/>
          <w:color w:val="auto"/>
          <w:sz w:val="32"/>
          <w:highlight w:val="none"/>
        </w:rPr>
        <w:t>文件</w:t>
      </w:r>
      <w:r>
        <w:rPr>
          <w:rFonts w:hint="eastAsia" w:ascii="宋体" w:hAnsi="宋体"/>
          <w:b/>
          <w:color w:val="auto"/>
          <w:sz w:val="32"/>
          <w:highlight w:val="none"/>
        </w:rPr>
        <w:t>”</w:t>
      </w:r>
      <w:r>
        <w:rPr>
          <w:rFonts w:ascii="宋体" w:hAnsi="宋体"/>
          <w:b/>
          <w:color w:val="auto"/>
          <w:sz w:val="32"/>
          <w:highlight w:val="none"/>
        </w:rPr>
        <w:t>格式</w:t>
      </w:r>
    </w:p>
    <w:p>
      <w:pPr>
        <w:shd w:val="clear"/>
        <w:spacing w:line="360" w:lineRule="auto"/>
        <w:rPr>
          <w:rFonts w:ascii="宋体" w:hAnsi="宋体"/>
          <w:b/>
          <w:color w:val="auto"/>
          <w:sz w:val="32"/>
          <w:szCs w:val="32"/>
          <w:highlight w:val="none"/>
        </w:rPr>
      </w:pPr>
      <w:r>
        <w:rPr>
          <w:rFonts w:hint="eastAsia" w:ascii="宋体" w:hAnsi="宋体"/>
          <w:b/>
          <w:color w:val="auto"/>
          <w:sz w:val="32"/>
          <w:szCs w:val="32"/>
          <w:highlight w:val="none"/>
        </w:rPr>
        <w:t>格式2-1</w:t>
      </w:r>
    </w:p>
    <w:p>
      <w:pPr>
        <w:shd w:val="clea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hd w:val="clear"/>
        <w:spacing w:line="360" w:lineRule="auto"/>
        <w:jc w:val="right"/>
        <w:rPr>
          <w:rFonts w:ascii="宋体" w:hAnsi="宋体"/>
          <w:b/>
          <w:color w:val="auto"/>
          <w:sz w:val="36"/>
          <w:highlight w:val="none"/>
        </w:rPr>
      </w:pPr>
      <w:r>
        <w:rPr>
          <w:rFonts w:ascii="宋体" w:hAnsi="宋体"/>
          <w:b/>
          <w:color w:val="auto"/>
          <w:sz w:val="36"/>
          <w:highlight w:val="none"/>
        </w:rPr>
        <w:t>（正本/副本）</w:t>
      </w:r>
    </w:p>
    <w:p>
      <w:pPr>
        <w:shd w:val="clear"/>
        <w:spacing w:line="360" w:lineRule="auto"/>
        <w:rPr>
          <w:rFonts w:ascii="宋体" w:hAnsi="宋体"/>
          <w:b/>
          <w:color w:val="auto"/>
          <w:sz w:val="32"/>
          <w:szCs w:val="32"/>
          <w:highlight w:val="none"/>
        </w:rPr>
      </w:pPr>
    </w:p>
    <w:p>
      <w:pPr>
        <w:shd w:val="clear"/>
        <w:spacing w:line="360" w:lineRule="auto"/>
        <w:rPr>
          <w:rFonts w:ascii="宋体" w:hAnsi="宋体"/>
          <w:b/>
          <w:color w:val="auto"/>
          <w:sz w:val="32"/>
          <w:szCs w:val="32"/>
          <w:highlight w:val="none"/>
        </w:rPr>
      </w:pPr>
    </w:p>
    <w:p>
      <w:pPr>
        <w:shd w:val="clear"/>
        <w:spacing w:line="360" w:lineRule="auto"/>
        <w:jc w:val="center"/>
        <w:rPr>
          <w:rFonts w:ascii="宋体" w:hAnsi="宋体"/>
          <w:b/>
          <w:color w:val="auto"/>
          <w:sz w:val="72"/>
          <w:highlight w:val="none"/>
        </w:rPr>
      </w:pPr>
      <w:r>
        <w:rPr>
          <w:rFonts w:hint="eastAsia" w:ascii="宋体" w:hAnsi="宋体"/>
          <w:b/>
          <w:color w:val="auto"/>
          <w:sz w:val="40"/>
          <w:szCs w:val="48"/>
          <w:highlight w:val="none"/>
          <w:u w:val="single"/>
        </w:rPr>
        <w:t xml:space="preserve">                      </w:t>
      </w:r>
      <w:r>
        <w:rPr>
          <w:rFonts w:hint="eastAsia" w:ascii="宋体" w:hAnsi="宋体"/>
          <w:b/>
          <w:color w:val="auto"/>
          <w:sz w:val="40"/>
          <w:szCs w:val="48"/>
          <w:highlight w:val="none"/>
        </w:rPr>
        <w:t>项目</w:t>
      </w:r>
    </w:p>
    <w:p>
      <w:pPr>
        <w:shd w:val="clear"/>
        <w:spacing w:line="360" w:lineRule="auto"/>
        <w:rPr>
          <w:rFonts w:ascii="宋体" w:hAnsi="宋体"/>
          <w:b/>
          <w:color w:val="auto"/>
          <w:sz w:val="52"/>
          <w:szCs w:val="52"/>
          <w:highlight w:val="none"/>
        </w:rPr>
      </w:pPr>
    </w:p>
    <w:p>
      <w:pPr>
        <w:pStyle w:val="2"/>
        <w:shd w:val="clear"/>
        <w:ind w:firstLine="1044"/>
        <w:rPr>
          <w:rFonts w:hAnsi="宋体"/>
          <w:b/>
          <w:color w:val="auto"/>
          <w:sz w:val="52"/>
          <w:szCs w:val="52"/>
          <w:highlight w:val="none"/>
        </w:rPr>
      </w:pPr>
    </w:p>
    <w:p>
      <w:pPr>
        <w:pStyle w:val="2"/>
        <w:shd w:val="clear"/>
        <w:ind w:firstLine="480"/>
        <w:rPr>
          <w:color w:val="auto"/>
          <w:highlight w:val="none"/>
        </w:rPr>
      </w:pPr>
    </w:p>
    <w:p>
      <w:pPr>
        <w:shd w:val="clear"/>
        <w:spacing w:line="360" w:lineRule="auto"/>
        <w:jc w:val="center"/>
        <w:rPr>
          <w:rFonts w:ascii="宋体" w:hAnsi="宋体"/>
          <w:b/>
          <w:color w:val="auto"/>
          <w:sz w:val="32"/>
          <w:szCs w:val="32"/>
          <w:highlight w:val="none"/>
        </w:rPr>
      </w:pPr>
      <w:r>
        <w:rPr>
          <w:rFonts w:hint="eastAsia" w:ascii="宋体" w:hAnsi="宋体"/>
          <w:b/>
          <w:color w:val="auto"/>
          <w:sz w:val="52"/>
          <w:szCs w:val="52"/>
          <w:highlight w:val="none"/>
        </w:rPr>
        <w:t>其他响应性文件</w:t>
      </w:r>
    </w:p>
    <w:p>
      <w:pPr>
        <w:shd w:val="clear"/>
        <w:spacing w:line="360" w:lineRule="auto"/>
        <w:rPr>
          <w:rFonts w:ascii="宋体" w:hAnsi="宋体"/>
          <w:b/>
          <w:color w:val="auto"/>
          <w:sz w:val="36"/>
          <w:highlight w:val="none"/>
        </w:rPr>
      </w:pPr>
    </w:p>
    <w:p>
      <w:pPr>
        <w:shd w:val="clear"/>
        <w:spacing w:line="360" w:lineRule="auto"/>
        <w:rPr>
          <w:rFonts w:ascii="宋体" w:hAnsi="宋体"/>
          <w:b/>
          <w:color w:val="auto"/>
          <w:sz w:val="36"/>
          <w:highlight w:val="none"/>
        </w:rPr>
      </w:pPr>
    </w:p>
    <w:p>
      <w:pPr>
        <w:shd w:val="clear"/>
        <w:spacing w:line="360" w:lineRule="auto"/>
        <w:ind w:firstLine="964" w:firstLineChars="300"/>
        <w:jc w:val="left"/>
        <w:rPr>
          <w:rFonts w:ascii="宋体" w:hAnsi="宋体"/>
          <w:b/>
          <w:color w:val="auto"/>
          <w:sz w:val="32"/>
          <w:highlight w:val="none"/>
          <w:u w:val="single"/>
        </w:rPr>
      </w:pPr>
      <w:r>
        <w:rPr>
          <w:rFonts w:ascii="宋体" w:hAnsi="宋体"/>
          <w:b/>
          <w:color w:val="auto"/>
          <w:sz w:val="32"/>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shd w:val="clear"/>
        <w:spacing w:line="360" w:lineRule="auto"/>
        <w:ind w:firstLine="964" w:firstLineChars="300"/>
        <w:jc w:val="left"/>
        <w:rPr>
          <w:rFonts w:ascii="宋体" w:hAnsi="宋体"/>
          <w:b/>
          <w:color w:val="auto"/>
          <w:sz w:val="32"/>
          <w:highlight w:val="none"/>
          <w:u w:val="single"/>
        </w:rPr>
      </w:pPr>
      <w:r>
        <w:rPr>
          <w:rFonts w:hint="eastAsia" w:ascii="宋体" w:hAnsi="宋体"/>
          <w:b/>
          <w:color w:val="auto"/>
          <w:sz w:val="32"/>
          <w:highlight w:val="none"/>
        </w:rPr>
        <w:t xml:space="preserve">项 目 </w:t>
      </w:r>
      <w:r>
        <w:rPr>
          <w:rFonts w:ascii="宋体" w:hAnsi="宋体"/>
          <w:b/>
          <w:color w:val="auto"/>
          <w:sz w:val="32"/>
          <w:highlight w:val="none"/>
        </w:rPr>
        <w:t>编号：</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widowControl/>
        <w:shd w:val="clear"/>
        <w:jc w:val="left"/>
        <w:rPr>
          <w:rFonts w:ascii="宋体" w:hAnsi="宋体"/>
          <w:b/>
          <w:color w:val="auto"/>
          <w:sz w:val="32"/>
          <w:szCs w:val="32"/>
          <w:highlight w:val="none"/>
        </w:rPr>
      </w:pPr>
    </w:p>
    <w:p>
      <w:pPr>
        <w:shd w:val="clea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日期</w:t>
      </w:r>
      <w:r>
        <w:rPr>
          <w:rFonts w:ascii="宋体" w:hAnsi="宋体"/>
          <w:b/>
          <w:color w:val="auto"/>
          <w:sz w:val="32"/>
          <w:highlight w:val="none"/>
        </w:rPr>
        <w:t>：</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ascii="宋体" w:hAnsi="宋体"/>
          <w:b/>
          <w:color w:val="auto"/>
          <w:sz w:val="32"/>
          <w:highlight w:val="none"/>
        </w:rPr>
        <w:t>年</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ascii="宋体" w:hAnsi="宋体"/>
          <w:b/>
          <w:color w:val="auto"/>
          <w:sz w:val="32"/>
          <w:highlight w:val="none"/>
        </w:rPr>
        <w:t>月</w:t>
      </w:r>
      <w:r>
        <w:rPr>
          <w:rFonts w:ascii="宋体" w:hAnsi="宋体"/>
          <w:b/>
          <w:color w:val="auto"/>
          <w:sz w:val="32"/>
          <w:highlight w:val="none"/>
          <w:u w:val="single"/>
        </w:rPr>
        <w:t xml:space="preserve">    </w:t>
      </w:r>
      <w:r>
        <w:rPr>
          <w:rFonts w:ascii="宋体" w:hAnsi="宋体"/>
          <w:b/>
          <w:color w:val="auto"/>
          <w:sz w:val="32"/>
          <w:highlight w:val="none"/>
        </w:rPr>
        <w:t>日</w:t>
      </w:r>
    </w:p>
    <w:p>
      <w:pPr>
        <w:widowControl/>
        <w:shd w:val="clear"/>
        <w:jc w:val="left"/>
        <w:rPr>
          <w:rFonts w:ascii="宋体" w:hAnsi="宋体"/>
          <w:b/>
          <w:color w:val="auto"/>
          <w:sz w:val="32"/>
          <w:szCs w:val="32"/>
          <w:highlight w:val="none"/>
        </w:rPr>
      </w:pP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一、报 价 函</w:t>
      </w:r>
      <w:bookmarkEnd w:id="53"/>
      <w:bookmarkEnd w:id="54"/>
    </w:p>
    <w:p>
      <w:pPr>
        <w:widowControl/>
        <w:shd w:val="clear"/>
        <w:spacing w:line="360" w:lineRule="auto"/>
        <w:jc w:val="center"/>
        <w:outlineLvl w:val="1"/>
        <w:rPr>
          <w:rFonts w:ascii="宋体" w:hAnsi="宋体"/>
          <w:b/>
          <w:color w:val="auto"/>
          <w:sz w:val="24"/>
          <w:highlight w:val="none"/>
        </w:rPr>
      </w:pPr>
    </w:p>
    <w:p>
      <w:pPr>
        <w:widowControl/>
        <w:shd w:val="clear"/>
        <w:spacing w:line="360" w:lineRule="auto"/>
        <w:jc w:val="left"/>
        <w:outlineLvl w:val="1"/>
        <w:rPr>
          <w:rFonts w:ascii="宋体" w:hAnsi="宋体"/>
          <w:color w:val="auto"/>
          <w:sz w:val="24"/>
          <w:highlight w:val="none"/>
        </w:rPr>
      </w:pPr>
      <w:r>
        <w:rPr>
          <w:rFonts w:hint="eastAsia" w:ascii="宋体" w:hAnsi="宋体"/>
          <w:b/>
          <w:color w:val="auto"/>
          <w:sz w:val="40"/>
          <w:szCs w:val="48"/>
          <w:highlight w:val="none"/>
          <w:u w:val="single"/>
        </w:rPr>
        <w:t xml:space="preserve">         </w:t>
      </w:r>
      <w:r>
        <w:rPr>
          <w:rFonts w:hint="eastAsia" w:ascii="宋体" w:hAnsi="宋体"/>
          <w:color w:val="auto"/>
          <w:sz w:val="24"/>
          <w:highlight w:val="none"/>
        </w:rPr>
        <w:t>（采购代理机构名称）：</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我方全面研究了“</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”（项目名称）（项目编号：</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）竞争性磋商文件，决定参加贵单位组织的本项目磋商。</w:t>
      </w:r>
    </w:p>
    <w:p>
      <w:pPr>
        <w:widowControl/>
        <w:shd w:val="clear"/>
        <w:spacing w:line="360" w:lineRule="auto"/>
        <w:ind w:firstLine="470" w:firstLineChars="196"/>
        <w:jc w:val="left"/>
        <w:outlineLvl w:val="1"/>
        <w:rPr>
          <w:rFonts w:ascii="宋体"/>
          <w:color w:val="auto"/>
          <w:sz w:val="24"/>
          <w:highlight w:val="none"/>
        </w:rPr>
      </w:pPr>
      <w:r>
        <w:rPr>
          <w:rFonts w:hint="eastAsia" w:ascii="宋体" w:hAnsi="宋体"/>
          <w:color w:val="auto"/>
          <w:sz w:val="24"/>
          <w:highlight w:val="none"/>
        </w:rPr>
        <w:t>一、我方自愿按照采购文件规定的各项要求向采购人提供所需</w:t>
      </w:r>
      <w:r>
        <w:rPr>
          <w:rFonts w:hint="eastAsia" w:ascii="宋体" w:hAnsi="宋体"/>
          <w:b/>
          <w:color w:val="auto"/>
          <w:sz w:val="24"/>
          <w:highlight w:val="none"/>
          <w:u w:val="single"/>
        </w:rPr>
        <w:t>服务</w:t>
      </w:r>
      <w:r>
        <w:rPr>
          <w:rFonts w:hint="eastAsia" w:ascii="宋体" w:hAnsi="宋体"/>
          <w:color w:val="auto"/>
          <w:sz w:val="24"/>
          <w:highlight w:val="none"/>
        </w:rPr>
        <w:t>，总报价为人民币</w:t>
      </w:r>
      <w:r>
        <w:rPr>
          <w:rFonts w:hint="eastAsia" w:ascii="宋体"/>
          <w:color w:val="auto"/>
          <w:sz w:val="24"/>
          <w:highlight w:val="none"/>
          <w:u w:val="single"/>
        </w:rPr>
        <w:t xml:space="preserve">          </w:t>
      </w:r>
      <w:r>
        <w:rPr>
          <w:rFonts w:hint="eastAsia" w:ascii="宋体"/>
          <w:color w:val="auto"/>
          <w:sz w:val="24"/>
          <w:highlight w:val="none"/>
        </w:rPr>
        <w:t>元（大写：</w:t>
      </w:r>
      <w:r>
        <w:rPr>
          <w:rFonts w:hint="eastAsia" w:ascii="宋体"/>
          <w:color w:val="auto"/>
          <w:sz w:val="24"/>
          <w:highlight w:val="none"/>
          <w:u w:val="single"/>
        </w:rPr>
        <w:t xml:space="preserve">            </w:t>
      </w:r>
      <w:r>
        <w:rPr>
          <w:rFonts w:hint="eastAsia" w:asci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二、一旦我方成交，我方将严格履行政府采购合同规定的责任和义务。</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三、我方同意本磋商文件依据《四川省政府采购当事人诚信管理办法》（川财采〔2015〕33号文件）对我方可能存在的失信行为进行惩戒。</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四、我方为本项目提交的响应文件正本</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rPr>
        <w:t>份，电子文档</w:t>
      </w:r>
      <w:r>
        <w:rPr>
          <w:rFonts w:hint="eastAsia" w:ascii="宋体" w:hAnsi="宋体"/>
          <w:color w:val="auto"/>
          <w:sz w:val="24"/>
          <w:highlight w:val="none"/>
          <w:u w:val="single"/>
        </w:rPr>
        <w:t xml:space="preserve">    </w:t>
      </w:r>
      <w:r>
        <w:rPr>
          <w:rFonts w:hint="eastAsia" w:ascii="宋体" w:hAnsi="宋体"/>
          <w:color w:val="auto"/>
          <w:sz w:val="24"/>
          <w:highlight w:val="none"/>
        </w:rPr>
        <w:t>份用于磋商报价。</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五、我方愿意提供贵单位可能另外要求的，与磋商报价有关的文件资料，并保证我方已提供和将要提供的文件资料是真实、准确的。</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六、本次磋商，我方递交的响应文件有效期为磋商文件规定起算之日起</w:t>
      </w:r>
      <w:r>
        <w:rPr>
          <w:rFonts w:hint="eastAsia" w:ascii="宋体" w:hAnsi="宋体"/>
          <w:color w:val="auto"/>
          <w:sz w:val="24"/>
          <w:highlight w:val="none"/>
          <w:u w:val="single"/>
        </w:rPr>
        <w:t xml:space="preserve">    </w:t>
      </w:r>
      <w:r>
        <w:rPr>
          <w:rFonts w:hint="eastAsia" w:ascii="宋体" w:hAnsi="宋体"/>
          <w:color w:val="auto"/>
          <w:sz w:val="24"/>
          <w:highlight w:val="none"/>
        </w:rPr>
        <w:t>天。</w:t>
      </w:r>
    </w:p>
    <w:p>
      <w:pPr>
        <w:widowControl/>
        <w:shd w:val="clear"/>
        <w:spacing w:line="360" w:lineRule="auto"/>
        <w:ind w:firstLine="470" w:firstLineChars="196"/>
        <w:jc w:val="left"/>
        <w:outlineLvl w:val="1"/>
        <w:rPr>
          <w:rFonts w:ascii="宋体" w:hAnsi="宋体"/>
          <w:color w:val="auto"/>
          <w:sz w:val="24"/>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通讯地址：</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邮政编码：</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传    真：</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    期：</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shd w:val="clear"/>
        <w:spacing w:line="360" w:lineRule="auto"/>
        <w:rPr>
          <w:rFonts w:ascii="宋体" w:hAnsi="宋体"/>
          <w:b/>
          <w:color w:val="auto"/>
          <w:sz w:val="32"/>
          <w:szCs w:val="32"/>
          <w:highlight w:val="none"/>
        </w:rPr>
      </w:pPr>
      <w:bookmarkStart w:id="61" w:name="_Toc308164824"/>
      <w:r>
        <w:rPr>
          <w:rFonts w:hint="eastAsia" w:ascii="宋体" w:hAnsi="宋体"/>
          <w:b/>
          <w:color w:val="auto"/>
          <w:sz w:val="32"/>
          <w:szCs w:val="32"/>
          <w:highlight w:val="none"/>
        </w:rPr>
        <w:br w:type="page"/>
      </w:r>
    </w:p>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二、承诺函（实质性要求）</w:t>
      </w:r>
    </w:p>
    <w:p>
      <w:pPr>
        <w:widowControl/>
        <w:shd w:val="clear"/>
        <w:spacing w:line="360" w:lineRule="atLeast"/>
        <w:jc w:val="center"/>
        <w:outlineLvl w:val="1"/>
        <w:rPr>
          <w:rFonts w:ascii="宋体" w:hAnsi="宋体"/>
          <w:b/>
          <w:color w:val="auto"/>
          <w:sz w:val="24"/>
          <w:highlight w:val="none"/>
        </w:rPr>
      </w:pPr>
    </w:p>
    <w:p>
      <w:pPr>
        <w:widowControl/>
        <w:shd w:val="clear"/>
        <w:spacing w:line="360" w:lineRule="atLeast"/>
        <w:jc w:val="left"/>
        <w:outlineLvl w:val="1"/>
        <w:rPr>
          <w:rFonts w:ascii="宋体" w:hAnsi="宋体"/>
          <w:color w:val="auto"/>
          <w:sz w:val="24"/>
          <w:highlight w:val="none"/>
        </w:rPr>
      </w:pPr>
      <w:r>
        <w:rPr>
          <w:rFonts w:hint="eastAsia" w:ascii="宋体" w:hAnsi="宋体"/>
          <w:b/>
          <w:color w:val="auto"/>
          <w:sz w:val="40"/>
          <w:szCs w:val="48"/>
          <w:highlight w:val="none"/>
          <w:u w:val="single"/>
        </w:rPr>
        <w:t xml:space="preserve">      </w:t>
      </w:r>
      <w:r>
        <w:rPr>
          <w:rFonts w:hint="eastAsia" w:ascii="宋体" w:hAnsi="宋体"/>
          <w:color w:val="auto"/>
          <w:sz w:val="24"/>
          <w:highlight w:val="none"/>
        </w:rPr>
        <w:t>（采购代理机构名称）：</w:t>
      </w:r>
    </w:p>
    <w:p>
      <w:pPr>
        <w:widowControl/>
        <w:shd w:val="clear"/>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我单位作为本次采购项目的供应商，根据竞争性磋商文件要求，现郑重承诺如下：</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一、我方已认真阅读并接受本项目竞争性磋商文件全部实质性要求，如对竞争性磋商文件有异议，已依法进行维权救济，不存在对竞争性磋商文件有异议的同时又参加磋商以求侥幸成交或者为实现其他非法目的的行为。</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二、参加本次招标采购活动，不存在与单位负责人为同一人或者存在直接控股、管理关系的其他供应商参与同一合同项下的政府采购活动的行为。</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四、参加本次采购活动，不存在和其他供应商在同一合同项下的采购项目中，同时委托同一个自然人、同一家庭的人员、同一单位的人员作为代理人的行为。</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五、我方实际控制人或者中高级管理人员或者其他工作人员，不存在同时是采购代理机构工作人员的情形。</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六、不存在同一母公司的两家以上的子公司，以不同供应商身份同时参加本项目同一合同项下的采购活动的情形。</w:t>
      </w:r>
    </w:p>
    <w:p>
      <w:pPr>
        <w:widowControl/>
        <w:shd w:val="clear"/>
        <w:spacing w:line="360" w:lineRule="auto"/>
        <w:ind w:firstLine="480" w:firstLineChars="200"/>
        <w:jc w:val="left"/>
        <w:outlineLvl w:val="1"/>
        <w:rPr>
          <w:color w:val="auto"/>
          <w:highlight w:val="none"/>
        </w:rPr>
      </w:pPr>
      <w:r>
        <w:rPr>
          <w:rFonts w:hint="eastAsia" w:ascii="宋体" w:hAnsi="宋体" w:cs="宋体"/>
          <w:color w:val="auto"/>
          <w:sz w:val="24"/>
          <w:highlight w:val="none"/>
        </w:rPr>
        <w:t>七、我方与采购代理机构不存在关联关系，也不是采购代理机构的母公司或子公司。</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八、如果有《四川省政府采购当事人诚信管理办法》（川财采[2015]33号）规定的记入诚信档案的失信行为，将在响应文件中全面如实反映。</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九、响应文件中提供的任何资料和技术、服务、商务等响应承诺情况都是真实的、有效的、合法的。</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十一、国家或行业主管部门对采购产品的技术标准、质量标准和资格资质条件等有强制性规定的，我方承诺符合其要求。</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十二、参加本次采购活动，我方完全同意磋商文件第二章关于“磋商费用”、“合同分包”、“合同转包”、“履约保证金”的实质性要求，并承诺严格按照磋商文件要求履行。</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hd w:val="clear"/>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本单位对上述承诺的内容事项存在虚假，我单位愿意接受以提供虚假材料谋取中标追究法律责任。</w:t>
      </w:r>
    </w:p>
    <w:p>
      <w:pPr>
        <w:widowControl/>
        <w:shd w:val="clear"/>
        <w:spacing w:line="360" w:lineRule="auto"/>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shd w:val="clea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bookmarkEnd w:id="50"/>
    <w:bookmarkEnd w:id="61"/>
    <w:p>
      <w:pPr>
        <w:shd w:val="clear"/>
        <w:spacing w:line="400" w:lineRule="exact"/>
        <w:ind w:firstLine="643" w:firstLineChars="200"/>
        <w:jc w:val="center"/>
        <w:rPr>
          <w:rFonts w:ascii="宋体" w:hAnsi="宋体"/>
          <w:b/>
          <w:color w:val="auto"/>
          <w:sz w:val="32"/>
          <w:szCs w:val="32"/>
          <w:highlight w:val="none"/>
        </w:rPr>
      </w:pPr>
      <w:bookmarkStart w:id="62" w:name="_Toc217446085"/>
      <w:r>
        <w:rPr>
          <w:rFonts w:hint="eastAsia" w:ascii="宋体" w:hAnsi="宋体"/>
          <w:b/>
          <w:color w:val="auto"/>
          <w:sz w:val="32"/>
          <w:szCs w:val="32"/>
          <w:highlight w:val="none"/>
        </w:rPr>
        <w:t>三、</w:t>
      </w:r>
      <w:bookmarkEnd w:id="62"/>
      <w:r>
        <w:rPr>
          <w:rFonts w:hint="eastAsia" w:ascii="宋体" w:hAnsi="宋体" w:cs="宋体"/>
          <w:b/>
          <w:bCs/>
          <w:color w:val="auto"/>
          <w:sz w:val="28"/>
          <w:szCs w:val="28"/>
          <w:highlight w:val="none"/>
        </w:rPr>
        <w:t>报价表</w:t>
      </w:r>
    </w:p>
    <w:p>
      <w:pPr>
        <w:shd w:val="clea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shd w:val="clea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tbl>
      <w:tblPr>
        <w:tblStyle w:val="38"/>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服务内容</w:t>
            </w:r>
          </w:p>
        </w:tc>
        <w:tc>
          <w:tcPr>
            <w:tcW w:w="2036" w:type="dxa"/>
            <w:vAlign w:val="center"/>
          </w:tcPr>
          <w:p>
            <w:pPr>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服务期限</w:t>
            </w:r>
          </w:p>
        </w:tc>
        <w:tc>
          <w:tcPr>
            <w:tcW w:w="3625" w:type="dxa"/>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hd w:val="clear"/>
              <w:spacing w:line="360" w:lineRule="auto"/>
              <w:jc w:val="center"/>
              <w:rPr>
                <w:rFonts w:ascii="宋体" w:hAnsi="宋体" w:cs="宋体"/>
                <w:bCs/>
                <w:color w:val="auto"/>
                <w:kern w:val="0"/>
                <w:sz w:val="24"/>
                <w:highlight w:val="none"/>
              </w:rPr>
            </w:pPr>
          </w:p>
        </w:tc>
        <w:tc>
          <w:tcPr>
            <w:tcW w:w="2036" w:type="dxa"/>
            <w:vAlign w:val="center"/>
          </w:tcPr>
          <w:p>
            <w:pPr>
              <w:shd w:val="clear"/>
              <w:spacing w:line="360" w:lineRule="auto"/>
              <w:jc w:val="center"/>
              <w:rPr>
                <w:rFonts w:ascii="宋体" w:hAnsi="宋体" w:cs="宋体"/>
                <w:bCs/>
                <w:color w:val="auto"/>
                <w:kern w:val="0"/>
                <w:sz w:val="24"/>
                <w:highlight w:val="none"/>
              </w:rPr>
            </w:pPr>
          </w:p>
        </w:tc>
        <w:tc>
          <w:tcPr>
            <w:tcW w:w="3625" w:type="dxa"/>
            <w:vAlign w:val="center"/>
          </w:tcPr>
          <w:p>
            <w:pPr>
              <w:widowControl/>
              <w:shd w:val="clear"/>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740" w:type="dxa"/>
            <w:gridSpan w:val="2"/>
            <w:vAlign w:val="center"/>
          </w:tcPr>
          <w:p>
            <w:pPr>
              <w:widowControl/>
              <w:shd w:val="clear"/>
              <w:spacing w:line="360" w:lineRule="auto"/>
              <w:jc w:val="center"/>
              <w:rPr>
                <w:rFonts w:ascii="宋体" w:hAnsi="宋体" w:cs="宋体"/>
                <w:bCs/>
                <w:color w:val="auto"/>
                <w:kern w:val="0"/>
                <w:sz w:val="24"/>
                <w:highlight w:val="none"/>
              </w:rPr>
            </w:pPr>
          </w:p>
        </w:tc>
        <w:tc>
          <w:tcPr>
            <w:tcW w:w="2036" w:type="dxa"/>
            <w:vAlign w:val="center"/>
          </w:tcPr>
          <w:p>
            <w:pPr>
              <w:shd w:val="clear"/>
              <w:spacing w:line="360" w:lineRule="auto"/>
              <w:jc w:val="center"/>
              <w:rPr>
                <w:rFonts w:ascii="宋体" w:hAnsi="宋体" w:cs="宋体"/>
                <w:bCs/>
                <w:color w:val="auto"/>
                <w:kern w:val="0"/>
                <w:sz w:val="24"/>
                <w:highlight w:val="none"/>
              </w:rPr>
            </w:pPr>
          </w:p>
        </w:tc>
        <w:tc>
          <w:tcPr>
            <w:tcW w:w="3625" w:type="dxa"/>
            <w:vAlign w:val="center"/>
          </w:tcPr>
          <w:p>
            <w:pPr>
              <w:widowControl/>
              <w:shd w:val="clear"/>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9" w:type="dxa"/>
            <w:vAlign w:val="center"/>
          </w:tcPr>
          <w:p>
            <w:pPr>
              <w:widowControl/>
              <w:shd w:val="clea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740" w:type="dxa"/>
            <w:gridSpan w:val="2"/>
            <w:vAlign w:val="center"/>
          </w:tcPr>
          <w:p>
            <w:pPr>
              <w:widowControl/>
              <w:shd w:val="clear"/>
              <w:spacing w:line="360" w:lineRule="auto"/>
              <w:jc w:val="center"/>
              <w:rPr>
                <w:rFonts w:ascii="宋体" w:hAnsi="宋体" w:cs="宋体"/>
                <w:bCs/>
                <w:color w:val="auto"/>
                <w:kern w:val="0"/>
                <w:sz w:val="24"/>
                <w:highlight w:val="none"/>
              </w:rPr>
            </w:pPr>
          </w:p>
        </w:tc>
        <w:tc>
          <w:tcPr>
            <w:tcW w:w="2036" w:type="dxa"/>
            <w:vAlign w:val="center"/>
          </w:tcPr>
          <w:p>
            <w:pPr>
              <w:shd w:val="clear"/>
              <w:spacing w:line="360" w:lineRule="auto"/>
              <w:jc w:val="center"/>
              <w:rPr>
                <w:rFonts w:ascii="宋体" w:hAnsi="宋体" w:cs="宋体"/>
                <w:bCs/>
                <w:color w:val="auto"/>
                <w:kern w:val="0"/>
                <w:sz w:val="24"/>
                <w:highlight w:val="none"/>
              </w:rPr>
            </w:pPr>
          </w:p>
        </w:tc>
        <w:tc>
          <w:tcPr>
            <w:tcW w:w="3625" w:type="dxa"/>
            <w:vAlign w:val="center"/>
          </w:tcPr>
          <w:p>
            <w:pPr>
              <w:widowControl/>
              <w:shd w:val="clear"/>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595" w:type="dxa"/>
            <w:gridSpan w:val="4"/>
            <w:vAlign w:val="center"/>
          </w:tcPr>
          <w:p>
            <w:pPr>
              <w:widowControl/>
              <w:shd w:val="clea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  计(元)</w:t>
            </w:r>
          </w:p>
        </w:tc>
        <w:tc>
          <w:tcPr>
            <w:tcW w:w="3625" w:type="dxa"/>
            <w:vAlign w:val="center"/>
          </w:tcPr>
          <w:p>
            <w:pPr>
              <w:widowControl/>
              <w:shd w:val="clear"/>
              <w:spacing w:line="360" w:lineRule="auto"/>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hd w:val="clea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总报价</w:t>
            </w:r>
          </w:p>
        </w:tc>
        <w:tc>
          <w:tcPr>
            <w:tcW w:w="7047" w:type="dxa"/>
            <w:gridSpan w:val="3"/>
            <w:vAlign w:val="center"/>
          </w:tcPr>
          <w:p>
            <w:pPr>
              <w:widowControl/>
              <w:shd w:val="clear"/>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ascii="宋体" w:hAnsi="宋体"/>
                <w:b/>
                <w:color w:val="auto"/>
                <w:sz w:val="24"/>
                <w:highlight w:val="none"/>
                <w:u w:val="single"/>
              </w:rPr>
              <w:t xml:space="preserve">           </w:t>
            </w:r>
            <w:r>
              <w:rPr>
                <w:rFonts w:hint="eastAsia" w:ascii="宋体" w:hAnsi="宋体"/>
                <w:b/>
                <w:color w:val="auto"/>
                <w:sz w:val="24"/>
                <w:highlight w:val="none"/>
              </w:rPr>
              <w:t>（人民币小写：</w:t>
            </w:r>
            <w:r>
              <w:rPr>
                <w:rFonts w:ascii="宋体" w:hAnsi="宋体"/>
                <w:b/>
                <w:color w:val="auto"/>
                <w:sz w:val="24"/>
                <w:highlight w:val="none"/>
                <w:u w:val="single"/>
              </w:rPr>
              <w:t xml:space="preserve">      </w:t>
            </w:r>
            <w:r>
              <w:rPr>
                <w:rFonts w:hint="eastAsia" w:ascii="宋体" w:hAnsi="宋体"/>
                <w:b/>
                <w:color w:val="auto"/>
                <w:sz w:val="24"/>
                <w:highlight w:val="none"/>
              </w:rPr>
              <w:t>元）</w:t>
            </w:r>
          </w:p>
        </w:tc>
      </w:tr>
    </w:tbl>
    <w:p>
      <w:pPr>
        <w:widowControl/>
        <w:shd w:val="clear"/>
        <w:spacing w:line="360" w:lineRule="atLeast"/>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报价应是最终用户验收合格后的总价，包括培训、税费和采购文件规定的其它费用。不得漏报，否则视为已包含在总报价中不再单独另行报价，不影响响应文件有效性。</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2.“报价表”为多页的，每页均需由法定代表人或授权代表签字并盖供应商印章。</w:t>
      </w:r>
    </w:p>
    <w:p>
      <w:pPr>
        <w:pStyle w:val="2"/>
        <w:shd w:val="clear"/>
        <w:rPr>
          <w:color w:val="auto"/>
          <w:highlight w:val="none"/>
        </w:rPr>
      </w:pPr>
    </w:p>
    <w:p>
      <w:pPr>
        <w:pStyle w:val="2"/>
        <w:shd w:val="clear"/>
        <w:rPr>
          <w:color w:val="auto"/>
          <w:highlight w:val="none"/>
        </w:rPr>
      </w:pP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pStyle w:val="2"/>
        <w:shd w:val="clear"/>
        <w:rPr>
          <w:color w:val="auto"/>
          <w:highlight w:val="none"/>
        </w:rPr>
      </w:pPr>
    </w:p>
    <w:p>
      <w:pPr>
        <w:pStyle w:val="2"/>
        <w:shd w:val="clear"/>
        <w:rPr>
          <w:color w:val="auto"/>
          <w:highlight w:val="none"/>
        </w:rPr>
      </w:pPr>
    </w:p>
    <w:p>
      <w:pPr>
        <w:pStyle w:val="2"/>
        <w:shd w:val="clear"/>
        <w:rPr>
          <w:color w:val="auto"/>
          <w:highlight w:val="none"/>
        </w:rPr>
        <w:sectPr>
          <w:pgSz w:w="11907" w:h="16840"/>
          <w:pgMar w:top="1440" w:right="1474" w:bottom="1440" w:left="1474" w:header="851" w:footer="992" w:gutter="0"/>
          <w:cols w:space="720" w:num="1"/>
          <w:docGrid w:linePitch="312" w:charSpace="0"/>
        </w:sectPr>
      </w:pPr>
    </w:p>
    <w:p>
      <w:pPr>
        <w:widowControl/>
        <w:shd w:val="clear"/>
        <w:spacing w:line="360" w:lineRule="atLeast"/>
        <w:jc w:val="center"/>
        <w:outlineLvl w:val="1"/>
        <w:rPr>
          <w:rFonts w:ascii="宋体" w:hAnsi="宋体"/>
          <w:b/>
          <w:color w:val="auto"/>
          <w:sz w:val="32"/>
          <w:szCs w:val="32"/>
          <w:highlight w:val="none"/>
        </w:rPr>
      </w:pPr>
      <w:bookmarkStart w:id="63" w:name="_Toc217446087"/>
      <w:r>
        <w:rPr>
          <w:rFonts w:hint="eastAsia" w:ascii="宋体" w:hAnsi="宋体"/>
          <w:b/>
          <w:color w:val="auto"/>
          <w:sz w:val="32"/>
          <w:szCs w:val="32"/>
          <w:highlight w:val="none"/>
        </w:rPr>
        <w:t>四、</w:t>
      </w:r>
      <w:bookmarkEnd w:id="63"/>
      <w:r>
        <w:rPr>
          <w:rFonts w:hint="eastAsia" w:ascii="宋体" w:hAnsi="宋体"/>
          <w:b/>
          <w:color w:val="auto"/>
          <w:sz w:val="32"/>
          <w:szCs w:val="32"/>
          <w:highlight w:val="none"/>
        </w:rPr>
        <w:t>供应商基本情况表</w:t>
      </w:r>
    </w:p>
    <w:tbl>
      <w:tblPr>
        <w:tblStyle w:val="38"/>
        <w:tblW w:w="8391"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953"/>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供应商名称</w:t>
            </w:r>
          </w:p>
        </w:tc>
        <w:tc>
          <w:tcPr>
            <w:tcW w:w="6689" w:type="dxa"/>
            <w:gridSpan w:val="7"/>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注册地址</w:t>
            </w:r>
          </w:p>
        </w:tc>
        <w:tc>
          <w:tcPr>
            <w:tcW w:w="3439" w:type="dxa"/>
            <w:gridSpan w:val="3"/>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邮政编码</w:t>
            </w:r>
          </w:p>
        </w:tc>
        <w:tc>
          <w:tcPr>
            <w:tcW w:w="1930" w:type="dxa"/>
            <w:gridSpan w:val="3"/>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Merge w:val="restart"/>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联系方式</w:t>
            </w:r>
          </w:p>
        </w:tc>
        <w:tc>
          <w:tcPr>
            <w:tcW w:w="953"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联系人</w:t>
            </w:r>
          </w:p>
        </w:tc>
        <w:tc>
          <w:tcPr>
            <w:tcW w:w="24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电话</w:t>
            </w:r>
          </w:p>
        </w:tc>
        <w:tc>
          <w:tcPr>
            <w:tcW w:w="1930" w:type="dxa"/>
            <w:gridSpan w:val="3"/>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02" w:type="dxa"/>
            <w:vMerge w:val="continue"/>
            <w:vAlign w:val="center"/>
          </w:tcPr>
          <w:p>
            <w:pPr>
              <w:shd w:val="clear"/>
              <w:rPr>
                <w:rFonts w:ascii="宋体" w:hAnsi="宋体"/>
                <w:color w:val="auto"/>
                <w:highlight w:val="none"/>
              </w:rPr>
            </w:pPr>
          </w:p>
        </w:tc>
        <w:tc>
          <w:tcPr>
            <w:tcW w:w="953"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传真</w:t>
            </w:r>
          </w:p>
        </w:tc>
        <w:tc>
          <w:tcPr>
            <w:tcW w:w="24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网址</w:t>
            </w:r>
          </w:p>
        </w:tc>
        <w:tc>
          <w:tcPr>
            <w:tcW w:w="1930" w:type="dxa"/>
            <w:gridSpan w:val="3"/>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组织结构</w:t>
            </w:r>
          </w:p>
        </w:tc>
        <w:tc>
          <w:tcPr>
            <w:tcW w:w="6689" w:type="dxa"/>
            <w:gridSpan w:val="7"/>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w:t>
            </w:r>
          </w:p>
        </w:tc>
        <w:tc>
          <w:tcPr>
            <w:tcW w:w="953"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技术负责人</w:t>
            </w:r>
          </w:p>
        </w:tc>
        <w:tc>
          <w:tcPr>
            <w:tcW w:w="953"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成立时间</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4497" w:type="dxa"/>
            <w:gridSpan w:val="5"/>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企业资质等级</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Merge w:val="restart"/>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其中</w:t>
            </w:r>
          </w:p>
        </w:tc>
        <w:tc>
          <w:tcPr>
            <w:tcW w:w="1664"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项目经理</w:t>
            </w:r>
          </w:p>
        </w:tc>
        <w:tc>
          <w:tcPr>
            <w:tcW w:w="15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营业执照号</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shd w:val="clear"/>
              <w:rPr>
                <w:rFonts w:ascii="宋体" w:hAnsi="宋体"/>
                <w:color w:val="auto"/>
                <w:highlight w:val="none"/>
              </w:rPr>
            </w:pPr>
          </w:p>
        </w:tc>
        <w:tc>
          <w:tcPr>
            <w:tcW w:w="1664"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高级职称人员</w:t>
            </w:r>
          </w:p>
        </w:tc>
        <w:tc>
          <w:tcPr>
            <w:tcW w:w="15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注册资金</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shd w:val="clear"/>
              <w:rPr>
                <w:rFonts w:ascii="宋体" w:hAnsi="宋体"/>
                <w:color w:val="auto"/>
                <w:highlight w:val="none"/>
              </w:rPr>
            </w:pPr>
          </w:p>
        </w:tc>
        <w:tc>
          <w:tcPr>
            <w:tcW w:w="1664"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中级职称人员</w:t>
            </w:r>
          </w:p>
        </w:tc>
        <w:tc>
          <w:tcPr>
            <w:tcW w:w="15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开户银行</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shd w:val="clear"/>
              <w:rPr>
                <w:rFonts w:ascii="宋体" w:hAnsi="宋体"/>
                <w:color w:val="auto"/>
                <w:highlight w:val="none"/>
              </w:rPr>
            </w:pPr>
          </w:p>
        </w:tc>
        <w:tc>
          <w:tcPr>
            <w:tcW w:w="1664" w:type="dxa"/>
            <w:gridSpan w:val="2"/>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初级职称人员</w:t>
            </w:r>
          </w:p>
        </w:tc>
        <w:tc>
          <w:tcPr>
            <w:tcW w:w="15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02" w:type="dxa"/>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账号</w:t>
            </w:r>
          </w:p>
        </w:tc>
        <w:tc>
          <w:tcPr>
            <w:tcW w:w="2192"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shd w:val="clear"/>
              <w:rPr>
                <w:rFonts w:ascii="宋体" w:hAnsi="宋体"/>
                <w:color w:val="auto"/>
                <w:highlight w:val="none"/>
              </w:rPr>
            </w:pPr>
          </w:p>
        </w:tc>
        <w:tc>
          <w:tcPr>
            <w:tcW w:w="1664"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技工</w:t>
            </w:r>
          </w:p>
        </w:tc>
        <w:tc>
          <w:tcPr>
            <w:tcW w:w="1586" w:type="dxa"/>
            <w:gridSpan w:val="2"/>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02" w:type="dxa"/>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经营范围</w:t>
            </w:r>
          </w:p>
        </w:tc>
        <w:tc>
          <w:tcPr>
            <w:tcW w:w="6689" w:type="dxa"/>
            <w:gridSpan w:val="7"/>
            <w:vAlign w:val="center"/>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02" w:type="dxa"/>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备注</w:t>
            </w:r>
          </w:p>
        </w:tc>
        <w:tc>
          <w:tcPr>
            <w:tcW w:w="6689" w:type="dxa"/>
            <w:gridSpan w:val="7"/>
          </w:tcPr>
          <w:p>
            <w:pPr>
              <w:widowControl/>
              <w:shd w:val="clear"/>
              <w:spacing w:line="360" w:lineRule="atLeast"/>
              <w:ind w:firstLine="470" w:firstLineChars="196"/>
              <w:jc w:val="left"/>
              <w:outlineLvl w:val="1"/>
              <w:rPr>
                <w:rFonts w:ascii="宋体" w:hAnsi="宋体"/>
                <w:color w:val="auto"/>
                <w:sz w:val="24"/>
                <w:highlight w:val="none"/>
              </w:rPr>
            </w:pPr>
          </w:p>
        </w:tc>
      </w:tr>
    </w:tbl>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tLeast"/>
        <w:jc w:val="center"/>
        <w:outlineLvl w:val="1"/>
        <w:rPr>
          <w:rFonts w:ascii="宋体" w:hAnsi="宋体"/>
          <w:b/>
          <w:color w:val="auto"/>
          <w:sz w:val="24"/>
          <w:highlight w:val="none"/>
        </w:rPr>
      </w:pPr>
    </w:p>
    <w:p>
      <w:pPr>
        <w:shd w:val="clear"/>
        <w:spacing w:line="360" w:lineRule="auto"/>
        <w:rPr>
          <w:rFonts w:ascii="宋体" w:hAnsi="宋体"/>
          <w:b/>
          <w:color w:val="auto"/>
          <w:sz w:val="32"/>
          <w:szCs w:val="32"/>
          <w:highlight w:val="none"/>
        </w:rPr>
      </w:pPr>
      <w:r>
        <w:rPr>
          <w:rFonts w:hint="eastAsia" w:ascii="宋体" w:hAnsi="宋体"/>
          <w:color w:val="auto"/>
          <w:sz w:val="24"/>
          <w:highlight w:val="none"/>
        </w:rPr>
        <w:br w:type="page"/>
      </w:r>
    </w:p>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五、中小企业声明函</w:t>
      </w:r>
    </w:p>
    <w:p>
      <w:pPr>
        <w:pStyle w:val="5"/>
        <w:shd w:val="clear"/>
        <w:kinsoku w:val="0"/>
        <w:overflowPunct w:val="0"/>
        <w:spacing w:line="419" w:lineRule="exact"/>
        <w:ind w:firstLine="600" w:firstLineChars="250"/>
        <w:rPr>
          <w:rFonts w:ascii="宋体" w:hAnsi="宋体"/>
          <w:color w:val="auto"/>
          <w:sz w:val="24"/>
          <w:highlight w:val="none"/>
          <w:u w:val="single"/>
        </w:rPr>
      </w:pPr>
      <w:bookmarkStart w:id="64" w:name="_Toc387147344"/>
      <w:bookmarkStart w:id="65" w:name="_Toc387658050"/>
      <w:bookmarkStart w:id="66" w:name="_Toc419811733"/>
      <w:bookmarkStart w:id="67" w:name="_Toc413748654"/>
      <w:bookmarkStart w:id="68" w:name="_Toc417911732"/>
      <w:r>
        <w:rPr>
          <w:rFonts w:hint="eastAsia" w:ascii="宋体" w:hAnsi="宋体"/>
          <w:color w:val="auto"/>
          <w:sz w:val="24"/>
          <w:highlight w:val="none"/>
        </w:rPr>
        <w:t>本</w:t>
      </w:r>
      <w:r>
        <w:rPr>
          <w:rFonts w:hint="eastAsia" w:ascii="宋体" w:hAnsi="宋体"/>
          <w:color w:val="auto"/>
          <w:spacing w:val="2"/>
          <w:sz w:val="24"/>
          <w:highlight w:val="none"/>
        </w:rPr>
        <w:t>公</w:t>
      </w:r>
      <w:r>
        <w:rPr>
          <w:rFonts w:hint="eastAsia" w:ascii="宋体" w:hAnsi="宋体"/>
          <w:color w:val="auto"/>
          <w:spacing w:val="-6"/>
          <w:sz w:val="24"/>
          <w:highlight w:val="none"/>
        </w:rPr>
        <w:t>司</w:t>
      </w:r>
      <w:r>
        <w:rPr>
          <w:rFonts w:hint="eastAsia" w:ascii="宋体" w:hAnsi="宋体"/>
          <w:color w:val="auto"/>
          <w:sz w:val="24"/>
          <w:highlight w:val="none"/>
        </w:rPr>
        <w:t>（联</w:t>
      </w:r>
      <w:r>
        <w:rPr>
          <w:rFonts w:hint="eastAsia" w:ascii="宋体" w:hAnsi="宋体"/>
          <w:color w:val="auto"/>
          <w:spacing w:val="2"/>
          <w:sz w:val="24"/>
          <w:highlight w:val="none"/>
        </w:rPr>
        <w:t>合体</w:t>
      </w:r>
      <w:r>
        <w:rPr>
          <w:rFonts w:hint="eastAsia" w:ascii="宋体" w:hAnsi="宋体"/>
          <w:color w:val="auto"/>
          <w:spacing w:val="-6"/>
          <w:sz w:val="24"/>
          <w:highlight w:val="none"/>
        </w:rPr>
        <w:t>）</w:t>
      </w:r>
      <w:r>
        <w:rPr>
          <w:rFonts w:hint="eastAsia" w:ascii="宋体" w:hAnsi="宋体"/>
          <w:color w:val="auto"/>
          <w:sz w:val="24"/>
          <w:highlight w:val="none"/>
        </w:rPr>
        <w:t>郑</w:t>
      </w:r>
      <w:r>
        <w:rPr>
          <w:rFonts w:hint="eastAsia" w:ascii="宋体" w:hAnsi="宋体"/>
          <w:color w:val="auto"/>
          <w:spacing w:val="2"/>
          <w:sz w:val="24"/>
          <w:highlight w:val="none"/>
        </w:rPr>
        <w:t>重</w:t>
      </w:r>
      <w:r>
        <w:rPr>
          <w:rFonts w:hint="eastAsia" w:ascii="宋体" w:hAnsi="宋体"/>
          <w:color w:val="auto"/>
          <w:sz w:val="24"/>
          <w:highlight w:val="none"/>
        </w:rPr>
        <w:t>声</w:t>
      </w:r>
      <w:r>
        <w:rPr>
          <w:rFonts w:hint="eastAsia" w:ascii="宋体" w:hAnsi="宋体"/>
          <w:color w:val="auto"/>
          <w:spacing w:val="2"/>
          <w:sz w:val="24"/>
          <w:highlight w:val="none"/>
        </w:rPr>
        <w:t>明</w:t>
      </w:r>
      <w:r>
        <w:rPr>
          <w:rFonts w:hint="eastAsia" w:ascii="宋体" w:hAnsi="宋体"/>
          <w:color w:val="auto"/>
          <w:spacing w:val="-3"/>
          <w:sz w:val="24"/>
          <w:highlight w:val="none"/>
        </w:rPr>
        <w:t>，</w:t>
      </w:r>
      <w:r>
        <w:rPr>
          <w:rFonts w:hint="eastAsia" w:ascii="宋体" w:hAnsi="宋体"/>
          <w:color w:val="auto"/>
          <w:sz w:val="24"/>
          <w:highlight w:val="none"/>
        </w:rPr>
        <w:t>根</w:t>
      </w:r>
      <w:r>
        <w:rPr>
          <w:rFonts w:hint="eastAsia" w:ascii="宋体" w:hAnsi="宋体"/>
          <w:color w:val="auto"/>
          <w:spacing w:val="2"/>
          <w:sz w:val="24"/>
          <w:highlight w:val="none"/>
        </w:rPr>
        <w:t>据《政府采购促进中小企业发展管理办法》（财库﹝</w:t>
      </w:r>
      <w:r>
        <w:rPr>
          <w:rFonts w:ascii="宋体" w:hAnsi="宋体"/>
          <w:color w:val="auto"/>
          <w:spacing w:val="2"/>
          <w:sz w:val="24"/>
          <w:highlight w:val="none"/>
        </w:rPr>
        <w:t>2020</w:t>
      </w:r>
      <w:r>
        <w:rPr>
          <w:rFonts w:hint="eastAsia" w:ascii="宋体" w:hAnsi="宋体"/>
          <w:color w:val="auto"/>
          <w:spacing w:val="2"/>
          <w:sz w:val="24"/>
          <w:highlight w:val="none"/>
        </w:rPr>
        <w:t>﹞</w:t>
      </w:r>
      <w:r>
        <w:rPr>
          <w:rFonts w:ascii="宋体" w:hAnsi="宋体"/>
          <w:color w:val="auto"/>
          <w:spacing w:val="2"/>
          <w:sz w:val="24"/>
          <w:highlight w:val="none"/>
        </w:rPr>
        <w:t>46</w:t>
      </w:r>
      <w:r>
        <w:rPr>
          <w:rFonts w:hint="eastAsia" w:ascii="宋体" w:hAnsi="宋体"/>
          <w:color w:val="auto"/>
          <w:spacing w:val="2"/>
          <w:sz w:val="24"/>
          <w:highlight w:val="none"/>
        </w:rPr>
        <w:t>号）的规定，本公司（联合体）</w:t>
      </w:r>
      <w:r>
        <w:rPr>
          <w:rFonts w:hint="eastAsia" w:ascii="宋体" w:hAnsi="宋体"/>
          <w:color w:val="auto"/>
          <w:sz w:val="24"/>
          <w:highlight w:val="none"/>
        </w:rPr>
        <w:t>参</w:t>
      </w:r>
      <w:r>
        <w:rPr>
          <w:rFonts w:hint="eastAsia" w:ascii="宋体" w:hAnsi="宋体"/>
          <w:color w:val="auto"/>
          <w:spacing w:val="-16"/>
          <w:sz w:val="24"/>
          <w:highlight w:val="none"/>
        </w:rPr>
        <w:t>加</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（单位名称）</w:t>
      </w:r>
      <w:r>
        <w:rPr>
          <w:rFonts w:hint="eastAsia" w:ascii="宋体" w:hAnsi="宋体"/>
          <w:color w:val="auto"/>
          <w:spacing w:val="-16"/>
          <w:sz w:val="24"/>
          <w:highlight w:val="none"/>
        </w:rPr>
        <w:t>的</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z w:val="24"/>
          <w:highlight w:val="none"/>
        </w:rPr>
        <w:t>采</w:t>
      </w:r>
      <w:r>
        <w:rPr>
          <w:rFonts w:hint="eastAsia" w:ascii="宋体" w:hAnsi="宋体"/>
          <w:color w:val="auto"/>
          <w:spacing w:val="2"/>
          <w:sz w:val="24"/>
          <w:highlight w:val="none"/>
        </w:rPr>
        <w:t>购</w:t>
      </w:r>
      <w:r>
        <w:rPr>
          <w:rFonts w:hint="eastAsia" w:ascii="宋体" w:hAnsi="宋体"/>
          <w:color w:val="auto"/>
          <w:sz w:val="24"/>
          <w:highlight w:val="none"/>
        </w:rPr>
        <w:t>活</w:t>
      </w:r>
      <w:r>
        <w:rPr>
          <w:rFonts w:hint="eastAsia" w:ascii="宋体" w:hAnsi="宋体"/>
          <w:color w:val="auto"/>
          <w:spacing w:val="2"/>
          <w:sz w:val="24"/>
          <w:highlight w:val="none"/>
        </w:rPr>
        <w:t>动</w:t>
      </w:r>
      <w:r>
        <w:rPr>
          <w:rFonts w:hint="eastAsia" w:ascii="宋体" w:hAnsi="宋体"/>
          <w:color w:val="auto"/>
          <w:spacing w:val="-3"/>
          <w:sz w:val="24"/>
          <w:highlight w:val="none"/>
        </w:rPr>
        <w:t>，服务全部由符合政策要求的中小企业承接</w:t>
      </w:r>
      <w:r>
        <w:rPr>
          <w:rFonts w:hint="eastAsia" w:ascii="宋体" w:hAnsi="宋体"/>
          <w:color w:val="auto"/>
          <w:spacing w:val="13"/>
          <w:w w:val="95"/>
          <w:sz w:val="24"/>
          <w:highlight w:val="none"/>
        </w:rPr>
        <w:t>。</w:t>
      </w:r>
      <w:r>
        <w:rPr>
          <w:rFonts w:hint="eastAsia" w:ascii="宋体" w:hAnsi="宋体"/>
          <w:color w:val="auto"/>
          <w:sz w:val="24"/>
          <w:highlight w:val="none"/>
        </w:rPr>
        <w:t>相关企业（含联合体中的中小企业、签订分包意向协议的中小企业）的具体情况如下：</w:t>
      </w:r>
    </w:p>
    <w:p>
      <w:pPr>
        <w:pStyle w:val="5"/>
        <w:shd w:val="clear"/>
        <w:kinsoku w:val="0"/>
        <w:overflowPunct w:val="0"/>
        <w:spacing w:line="419" w:lineRule="exact"/>
        <w:ind w:firstLine="456" w:firstLineChars="200"/>
        <w:rPr>
          <w:rFonts w:ascii="宋体" w:hAnsi="宋体"/>
          <w:color w:val="auto"/>
          <w:sz w:val="24"/>
          <w:highlight w:val="none"/>
        </w:rPr>
      </w:pPr>
      <w:r>
        <w:rPr>
          <w:rFonts w:ascii="宋体" w:hAnsi="宋体"/>
          <w:color w:val="auto"/>
          <w:w w:val="95"/>
          <w:sz w:val="24"/>
          <w:highlight w:val="none"/>
        </w:rPr>
        <w:t>1</w:t>
      </w:r>
      <w:r>
        <w:rPr>
          <w:rFonts w:ascii="宋体" w:hAnsi="宋体"/>
          <w:color w:val="auto"/>
          <w:sz w:val="24"/>
          <w:highlight w:val="none"/>
        </w:rPr>
        <w:t>.</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5"/>
        <w:shd w:val="clear"/>
        <w:kinsoku w:val="0"/>
        <w:overflowPunct w:val="0"/>
        <w:spacing w:line="419" w:lineRule="exact"/>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5"/>
        <w:shd w:val="clear"/>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w:t>
      </w:r>
    </w:p>
    <w:p>
      <w:pPr>
        <w:pStyle w:val="5"/>
        <w:shd w:val="clear"/>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5"/>
        <w:shd w:val="clear"/>
        <w:kinsoku w:val="0"/>
        <w:overflowPunct w:val="0"/>
        <w:spacing w:line="419" w:lineRule="exact"/>
        <w:ind w:firstLine="480" w:firstLineChars="200"/>
        <w:rPr>
          <w:rFonts w:ascii="宋体" w:hAnsi="宋体"/>
          <w:color w:val="auto"/>
          <w:sz w:val="24"/>
          <w:highlight w:val="none"/>
          <w:u w:val="single"/>
        </w:rPr>
      </w:pPr>
      <w:r>
        <w:rPr>
          <w:rFonts w:hint="eastAsia" w:ascii="宋体" w:hAnsi="宋体"/>
          <w:color w:val="auto"/>
          <w:sz w:val="24"/>
          <w:highlight w:val="none"/>
        </w:rPr>
        <w:t>本企业对上述声明内容的真实性负责。如有虚假，将依</w:t>
      </w:r>
      <w:r>
        <w:rPr>
          <w:rFonts w:ascii="宋体" w:hAnsi="宋体"/>
          <w:color w:val="auto"/>
          <w:sz w:val="24"/>
          <w:highlight w:val="none"/>
        </w:rPr>
        <w:t xml:space="preserve"> </w:t>
      </w:r>
      <w:r>
        <w:rPr>
          <w:rFonts w:hint="eastAsia" w:ascii="宋体" w:hAnsi="宋体"/>
          <w:color w:val="auto"/>
          <w:sz w:val="24"/>
          <w:highlight w:val="none"/>
        </w:rPr>
        <w:t>法承担相应责任。</w:t>
      </w:r>
    </w:p>
    <w:p>
      <w:pPr>
        <w:shd w:val="clear"/>
        <w:spacing w:line="360" w:lineRule="auto"/>
        <w:ind w:firstLine="480" w:firstLineChars="200"/>
        <w:rPr>
          <w:rFonts w:ascii="宋体" w:hAnsi="宋体"/>
          <w:color w:val="auto"/>
          <w:sz w:val="24"/>
          <w:highlight w:val="none"/>
        </w:rPr>
      </w:pPr>
    </w:p>
    <w:p>
      <w:pPr>
        <w:pStyle w:val="5"/>
        <w:shd w:val="clear"/>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企业名称（盖章）：_________________</w:t>
      </w:r>
    </w:p>
    <w:p>
      <w:pPr>
        <w:pStyle w:val="5"/>
        <w:shd w:val="clear"/>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日期：_________________</w:t>
      </w:r>
    </w:p>
    <w:p>
      <w:pPr>
        <w:pStyle w:val="2"/>
        <w:shd w:val="clear"/>
        <w:rPr>
          <w:color w:val="auto"/>
          <w:highlight w:val="none"/>
        </w:rPr>
      </w:pPr>
    </w:p>
    <w:p>
      <w:pPr>
        <w:pStyle w:val="2"/>
        <w:shd w:val="clear"/>
        <w:rPr>
          <w:color w:val="auto"/>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w:t>
      </w:r>
      <w:bookmarkEnd w:id="64"/>
      <w:bookmarkEnd w:id="65"/>
      <w:bookmarkEnd w:id="66"/>
      <w:bookmarkEnd w:id="67"/>
      <w:bookmarkEnd w:id="68"/>
      <w:r>
        <w:rPr>
          <w:rFonts w:hint="eastAsia" w:ascii="宋体" w:hAnsi="宋体" w:cs="宋体"/>
          <w:color w:val="auto"/>
          <w:sz w:val="24"/>
          <w:highlight w:val="none"/>
        </w:rPr>
        <w:t>从业人员、营业收入、资产总额填报上一年度数据，无上一年度数据的新成立企业可不填报。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2、供应商为非中小企业的，可不提供此声明。</w:t>
      </w:r>
    </w:p>
    <w:p>
      <w:pPr>
        <w:shd w:val="clear"/>
        <w:spacing w:line="360" w:lineRule="auto"/>
        <w:rPr>
          <w:rFonts w:ascii="宋体" w:hAnsi="宋体"/>
          <w:b/>
          <w:color w:val="auto"/>
          <w:sz w:val="32"/>
          <w:szCs w:val="32"/>
          <w:highlight w:val="none"/>
        </w:rPr>
      </w:pPr>
      <w:r>
        <w:rPr>
          <w:rFonts w:hint="eastAsia" w:ascii="宋体" w:hAnsi="宋体" w:cs="宋体"/>
          <w:color w:val="auto"/>
          <w:sz w:val="24"/>
          <w:highlight w:val="none"/>
        </w:rPr>
        <w:br w:type="page"/>
      </w:r>
    </w:p>
    <w:p>
      <w:pPr>
        <w:shd w:val="clear"/>
        <w:jc w:val="center"/>
        <w:rPr>
          <w:rFonts w:ascii="宋体" w:hAnsi="宋体"/>
          <w:b/>
          <w:color w:val="auto"/>
          <w:sz w:val="32"/>
          <w:szCs w:val="32"/>
          <w:highlight w:val="none"/>
        </w:rPr>
      </w:pPr>
      <w:r>
        <w:rPr>
          <w:rFonts w:hint="eastAsia" w:ascii="宋体" w:hAnsi="宋体"/>
          <w:b/>
          <w:color w:val="auto"/>
          <w:sz w:val="32"/>
          <w:szCs w:val="32"/>
          <w:highlight w:val="none"/>
        </w:rPr>
        <w:t>六、</w:t>
      </w:r>
      <w:bookmarkStart w:id="69" w:name="OLE_LINK13"/>
      <w:bookmarkStart w:id="70" w:name="OLE_LINK14"/>
      <w:r>
        <w:rPr>
          <w:rFonts w:hint="eastAsia" w:ascii="宋体" w:hAnsi="宋体"/>
          <w:b/>
          <w:color w:val="auto"/>
          <w:sz w:val="32"/>
          <w:szCs w:val="32"/>
          <w:highlight w:val="none"/>
        </w:rPr>
        <w:t>残疾人福利性单位声明函</w:t>
      </w:r>
    </w:p>
    <w:bookmarkEnd w:id="69"/>
    <w:bookmarkEnd w:id="70"/>
    <w:p>
      <w:pPr>
        <w:shd w:val="clear"/>
        <w:spacing w:line="588" w:lineRule="exact"/>
        <w:rPr>
          <w:rFonts w:ascii="宋体" w:hAnsi="宋体" w:cs="宋体"/>
          <w:b/>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hd w:val="clear"/>
        <w:spacing w:line="588" w:lineRule="exact"/>
        <w:rPr>
          <w:rFonts w:ascii="宋体" w:hAnsi="宋体" w:cs="宋体"/>
          <w:color w:val="auto"/>
          <w:spacing w:val="6"/>
          <w:sz w:val="24"/>
          <w:highlight w:val="none"/>
        </w:rPr>
      </w:pPr>
    </w:p>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shd w:val="clear"/>
        <w:rPr>
          <w:rFonts w:ascii="宋体" w:hAnsi="宋体" w:cs="宋体"/>
          <w:color w:val="auto"/>
          <w:spacing w:val="6"/>
          <w:sz w:val="24"/>
          <w:highlight w:val="none"/>
        </w:rPr>
      </w:pPr>
      <w:r>
        <w:rPr>
          <w:rFonts w:hint="eastAsia" w:ascii="宋体" w:hAnsi="宋体"/>
          <w:color w:val="auto"/>
          <w:sz w:val="24"/>
          <w:highlight w:val="none"/>
        </w:rPr>
        <w:t>日期:</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numPr>
          <w:ilvl w:val="0"/>
          <w:numId w:val="5"/>
        </w:numPr>
        <w:shd w:val="clea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5"/>
        </w:numPr>
        <w:shd w:val="clear"/>
        <w:spacing w:line="360" w:lineRule="auto"/>
        <w:rPr>
          <w:rFonts w:ascii="宋体" w:hAnsi="宋体" w:cs="宋体"/>
          <w:color w:val="auto"/>
          <w:sz w:val="24"/>
          <w:highlight w:val="none"/>
        </w:rPr>
      </w:pPr>
      <w:r>
        <w:rPr>
          <w:rFonts w:hint="eastAsia" w:ascii="宋体" w:hAnsi="宋体" w:cs="宋体"/>
          <w:color w:val="auto"/>
          <w:sz w:val="24"/>
          <w:highlight w:val="none"/>
        </w:rPr>
        <w:t>供应商为非残疾人福利性单位的，可不提供此声明。</w:t>
      </w:r>
    </w:p>
    <w:p>
      <w:pPr>
        <w:widowControl/>
        <w:shd w:val="clear"/>
        <w:jc w:val="left"/>
        <w:rPr>
          <w:rFonts w:ascii="宋体" w:cs="宋体"/>
          <w:color w:val="auto"/>
          <w:kern w:val="0"/>
          <w:sz w:val="24"/>
          <w:highlight w:val="none"/>
        </w:rPr>
      </w:pPr>
      <w:r>
        <w:rPr>
          <w:color w:val="auto"/>
          <w:highlight w:val="none"/>
        </w:rPr>
        <w:br w:type="page"/>
      </w:r>
    </w:p>
    <w:p>
      <w:pPr>
        <w:shd w:val="clear"/>
        <w:autoSpaceDE w:val="0"/>
        <w:autoSpaceDN w:val="0"/>
        <w:adjustRightInd w:val="0"/>
        <w:jc w:val="center"/>
        <w:rPr>
          <w:rFonts w:ascii="宋体" w:hAnsi="宋体"/>
          <w:b/>
          <w:color w:val="auto"/>
          <w:spacing w:val="6"/>
          <w:sz w:val="32"/>
          <w:szCs w:val="32"/>
          <w:highlight w:val="none"/>
        </w:rPr>
      </w:pPr>
      <w:r>
        <w:rPr>
          <w:rFonts w:hint="eastAsia" w:ascii="宋体" w:hAnsi="宋体"/>
          <w:b/>
          <w:color w:val="auto"/>
          <w:sz w:val="32"/>
          <w:szCs w:val="32"/>
          <w:highlight w:val="none"/>
        </w:rPr>
        <w:t>七、</w:t>
      </w:r>
      <w:r>
        <w:rPr>
          <w:rFonts w:hint="eastAsia" w:ascii="宋体" w:hAnsi="宋体"/>
          <w:b/>
          <w:color w:val="auto"/>
          <w:spacing w:val="6"/>
          <w:sz w:val="32"/>
          <w:szCs w:val="32"/>
          <w:highlight w:val="none"/>
        </w:rPr>
        <w:t>监狱企业证明材料</w:t>
      </w:r>
    </w:p>
    <w:p>
      <w:pPr>
        <w:pStyle w:val="2"/>
        <w:shd w:val="clear"/>
        <w:rPr>
          <w:color w:val="auto"/>
          <w:highlight w:val="none"/>
        </w:rPr>
      </w:pPr>
    </w:p>
    <w:p>
      <w:pPr>
        <w:shd w:val="clear"/>
        <w:spacing w:line="360" w:lineRule="auto"/>
        <w:ind w:firstLine="480" w:firstLineChars="200"/>
        <w:jc w:val="left"/>
        <w:rPr>
          <w:rFonts w:ascii="宋体" w:hAnsi="宋体"/>
          <w:b/>
          <w:color w:val="auto"/>
          <w:sz w:val="32"/>
          <w:szCs w:val="32"/>
          <w:highlight w:val="none"/>
        </w:rPr>
      </w:pPr>
      <w:r>
        <w:rPr>
          <w:rFonts w:hint="eastAsia" w:ascii="宋体" w:hAnsi="宋体" w:cs="宋体"/>
          <w:color w:val="auto"/>
          <w:sz w:val="24"/>
          <w:highlight w:val="none"/>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cs="宋体"/>
          <w:color w:val="auto"/>
          <w:sz w:val="24"/>
          <w:highlight w:val="none"/>
        </w:rPr>
      </w:pPr>
    </w:p>
    <w:p>
      <w:pPr>
        <w:shd w:val="clear"/>
        <w:spacing w:line="360" w:lineRule="auto"/>
        <w:jc w:val="left"/>
        <w:rPr>
          <w:rFonts w:ascii="宋体" w:hAnsi="宋体"/>
          <w:b/>
          <w:color w:val="auto"/>
          <w:sz w:val="32"/>
          <w:szCs w:val="32"/>
          <w:highlight w:val="none"/>
        </w:rPr>
      </w:pPr>
      <w:r>
        <w:rPr>
          <w:rFonts w:hint="eastAsia" w:ascii="宋体" w:hAnsi="宋体" w:cs="宋体"/>
          <w:color w:val="auto"/>
          <w:sz w:val="24"/>
          <w:highlight w:val="none"/>
        </w:rPr>
        <w:t>注：在政府采购活动中，监狱企业视同小型、微型企业，享受预留份额、评审中价格扣除等政府采购促进中小企业发展的政府采购政策。</w:t>
      </w: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widowControl/>
        <w:shd w:val="clear"/>
        <w:jc w:val="center"/>
        <w:rPr>
          <w:rFonts w:ascii="宋体" w:hAnsi="宋体"/>
          <w:b/>
          <w:color w:val="auto"/>
          <w:sz w:val="32"/>
          <w:szCs w:val="32"/>
          <w:highlight w:val="none"/>
        </w:rPr>
      </w:pPr>
      <w:r>
        <w:rPr>
          <w:rFonts w:hint="eastAsia" w:ascii="宋体" w:hAnsi="宋体"/>
          <w:b/>
          <w:color w:val="auto"/>
          <w:sz w:val="32"/>
          <w:szCs w:val="32"/>
          <w:highlight w:val="none"/>
        </w:rPr>
        <w:t>八、技术、服务应答表</w:t>
      </w:r>
    </w:p>
    <w:p>
      <w:pPr>
        <w:shd w:val="clea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项目编号：</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tbl>
      <w:tblPr>
        <w:tblStyle w:val="3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015"/>
        <w:gridCol w:w="257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94" w:type="dxa"/>
            <w:vAlign w:val="center"/>
          </w:tcPr>
          <w:p>
            <w:pPr>
              <w:shd w:val="clear"/>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3015" w:type="dxa"/>
            <w:vAlign w:val="center"/>
          </w:tcPr>
          <w:p>
            <w:pPr>
              <w:shd w:val="clear"/>
              <w:spacing w:line="400" w:lineRule="exact"/>
              <w:jc w:val="center"/>
              <w:rPr>
                <w:rFonts w:ascii="宋体" w:hAnsi="宋体"/>
                <w:color w:val="auto"/>
                <w:sz w:val="24"/>
                <w:highlight w:val="none"/>
              </w:rPr>
            </w:pPr>
            <w:r>
              <w:rPr>
                <w:rFonts w:hint="eastAsia" w:ascii="宋体" w:hAnsi="宋体"/>
                <w:color w:val="auto"/>
                <w:sz w:val="24"/>
                <w:highlight w:val="none"/>
              </w:rPr>
              <w:t>采购文件要求</w:t>
            </w:r>
          </w:p>
        </w:tc>
        <w:tc>
          <w:tcPr>
            <w:tcW w:w="2571" w:type="dxa"/>
            <w:vAlign w:val="center"/>
          </w:tcPr>
          <w:p>
            <w:pPr>
              <w:shd w:val="clear"/>
              <w:spacing w:line="400" w:lineRule="exact"/>
              <w:jc w:val="center"/>
              <w:rPr>
                <w:rFonts w:ascii="宋体" w:hAnsi="宋体"/>
                <w:color w:val="auto"/>
                <w:sz w:val="24"/>
                <w:highlight w:val="none"/>
              </w:rPr>
            </w:pPr>
            <w:r>
              <w:rPr>
                <w:rFonts w:hint="eastAsia" w:ascii="宋体" w:hAnsi="宋体"/>
                <w:color w:val="auto"/>
                <w:sz w:val="24"/>
                <w:highlight w:val="none"/>
              </w:rPr>
              <w:t>响应文件应答</w:t>
            </w:r>
          </w:p>
        </w:tc>
        <w:tc>
          <w:tcPr>
            <w:tcW w:w="2265" w:type="dxa"/>
            <w:vAlign w:val="center"/>
          </w:tcPr>
          <w:p>
            <w:pPr>
              <w:shd w:val="clear"/>
              <w:spacing w:line="400" w:lineRule="exact"/>
              <w:jc w:val="center"/>
              <w:rPr>
                <w:rFonts w:ascii="宋体" w:hAnsi="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94" w:type="dxa"/>
            <w:vAlign w:val="center"/>
          </w:tcPr>
          <w:p>
            <w:pPr>
              <w:shd w:val="clear"/>
              <w:spacing w:line="400" w:lineRule="exact"/>
              <w:jc w:val="center"/>
              <w:rPr>
                <w:rFonts w:ascii="宋体" w:hAnsi="宋体"/>
                <w:color w:val="auto"/>
                <w:sz w:val="24"/>
                <w:highlight w:val="none"/>
              </w:rPr>
            </w:pPr>
          </w:p>
        </w:tc>
        <w:tc>
          <w:tcPr>
            <w:tcW w:w="3015" w:type="dxa"/>
            <w:vAlign w:val="center"/>
          </w:tcPr>
          <w:p>
            <w:pPr>
              <w:shd w:val="clear"/>
              <w:spacing w:line="400" w:lineRule="exact"/>
              <w:jc w:val="center"/>
              <w:rPr>
                <w:rFonts w:ascii="宋体" w:hAnsi="宋体"/>
                <w:color w:val="auto"/>
                <w:sz w:val="24"/>
                <w:highlight w:val="none"/>
              </w:rPr>
            </w:pPr>
          </w:p>
        </w:tc>
        <w:tc>
          <w:tcPr>
            <w:tcW w:w="2571" w:type="dxa"/>
            <w:vAlign w:val="center"/>
          </w:tcPr>
          <w:p>
            <w:pPr>
              <w:shd w:val="clear"/>
              <w:spacing w:line="400" w:lineRule="exact"/>
              <w:jc w:val="center"/>
              <w:rPr>
                <w:rFonts w:ascii="宋体" w:hAnsi="宋体"/>
                <w:color w:val="auto"/>
                <w:sz w:val="24"/>
                <w:highlight w:val="none"/>
              </w:rPr>
            </w:pPr>
          </w:p>
        </w:tc>
        <w:tc>
          <w:tcPr>
            <w:tcW w:w="2265" w:type="dxa"/>
            <w:vAlign w:val="center"/>
          </w:tcPr>
          <w:p>
            <w:pPr>
              <w:shd w:val="clea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94" w:type="dxa"/>
            <w:vAlign w:val="center"/>
          </w:tcPr>
          <w:p>
            <w:pPr>
              <w:shd w:val="clear"/>
              <w:spacing w:line="400" w:lineRule="exact"/>
              <w:jc w:val="center"/>
              <w:rPr>
                <w:rFonts w:ascii="宋体" w:hAnsi="宋体"/>
                <w:color w:val="auto"/>
                <w:sz w:val="24"/>
                <w:highlight w:val="none"/>
              </w:rPr>
            </w:pPr>
          </w:p>
        </w:tc>
        <w:tc>
          <w:tcPr>
            <w:tcW w:w="3015" w:type="dxa"/>
            <w:vAlign w:val="center"/>
          </w:tcPr>
          <w:p>
            <w:pPr>
              <w:shd w:val="clear"/>
              <w:spacing w:line="400" w:lineRule="exact"/>
              <w:jc w:val="center"/>
              <w:rPr>
                <w:rFonts w:ascii="宋体" w:hAnsi="宋体"/>
                <w:color w:val="auto"/>
                <w:sz w:val="24"/>
                <w:highlight w:val="none"/>
              </w:rPr>
            </w:pPr>
          </w:p>
        </w:tc>
        <w:tc>
          <w:tcPr>
            <w:tcW w:w="2571" w:type="dxa"/>
            <w:vAlign w:val="center"/>
          </w:tcPr>
          <w:p>
            <w:pPr>
              <w:shd w:val="clear"/>
              <w:spacing w:line="400" w:lineRule="exact"/>
              <w:jc w:val="center"/>
              <w:rPr>
                <w:rFonts w:ascii="宋体" w:hAnsi="宋体"/>
                <w:color w:val="auto"/>
                <w:sz w:val="24"/>
                <w:highlight w:val="none"/>
              </w:rPr>
            </w:pPr>
          </w:p>
        </w:tc>
        <w:tc>
          <w:tcPr>
            <w:tcW w:w="2265" w:type="dxa"/>
            <w:vAlign w:val="center"/>
          </w:tcPr>
          <w:p>
            <w:pPr>
              <w:shd w:val="clea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94" w:type="dxa"/>
            <w:vAlign w:val="center"/>
          </w:tcPr>
          <w:p>
            <w:pPr>
              <w:shd w:val="clear"/>
              <w:spacing w:line="400" w:lineRule="exact"/>
              <w:jc w:val="center"/>
              <w:rPr>
                <w:rFonts w:ascii="宋体" w:hAnsi="宋体"/>
                <w:color w:val="auto"/>
                <w:sz w:val="24"/>
                <w:highlight w:val="none"/>
              </w:rPr>
            </w:pPr>
          </w:p>
        </w:tc>
        <w:tc>
          <w:tcPr>
            <w:tcW w:w="3015" w:type="dxa"/>
            <w:vAlign w:val="center"/>
          </w:tcPr>
          <w:p>
            <w:pPr>
              <w:shd w:val="clear"/>
              <w:spacing w:line="400" w:lineRule="exact"/>
              <w:jc w:val="center"/>
              <w:rPr>
                <w:rFonts w:ascii="宋体" w:hAnsi="宋体"/>
                <w:color w:val="auto"/>
                <w:sz w:val="24"/>
                <w:highlight w:val="none"/>
              </w:rPr>
            </w:pPr>
          </w:p>
        </w:tc>
        <w:tc>
          <w:tcPr>
            <w:tcW w:w="2571" w:type="dxa"/>
            <w:vAlign w:val="center"/>
          </w:tcPr>
          <w:p>
            <w:pPr>
              <w:shd w:val="clear"/>
              <w:spacing w:line="400" w:lineRule="exact"/>
              <w:jc w:val="center"/>
              <w:rPr>
                <w:rFonts w:ascii="宋体" w:hAnsi="宋体"/>
                <w:color w:val="auto"/>
                <w:sz w:val="24"/>
                <w:highlight w:val="none"/>
              </w:rPr>
            </w:pPr>
          </w:p>
        </w:tc>
        <w:tc>
          <w:tcPr>
            <w:tcW w:w="2265" w:type="dxa"/>
            <w:vAlign w:val="center"/>
          </w:tcPr>
          <w:p>
            <w:pPr>
              <w:shd w:val="clea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94" w:type="dxa"/>
            <w:vAlign w:val="center"/>
          </w:tcPr>
          <w:p>
            <w:pPr>
              <w:shd w:val="clear"/>
              <w:spacing w:line="400" w:lineRule="exact"/>
              <w:jc w:val="center"/>
              <w:rPr>
                <w:rFonts w:ascii="宋体" w:hAnsi="宋体"/>
                <w:color w:val="auto"/>
                <w:sz w:val="24"/>
                <w:highlight w:val="none"/>
              </w:rPr>
            </w:pPr>
            <w:r>
              <w:rPr>
                <w:rFonts w:hint="eastAsia" w:ascii="宋体" w:hAnsi="宋体"/>
                <w:color w:val="auto"/>
                <w:sz w:val="24"/>
                <w:highlight w:val="none"/>
              </w:rPr>
              <w:t>...</w:t>
            </w:r>
          </w:p>
        </w:tc>
        <w:tc>
          <w:tcPr>
            <w:tcW w:w="3015" w:type="dxa"/>
            <w:vAlign w:val="center"/>
          </w:tcPr>
          <w:p>
            <w:pPr>
              <w:shd w:val="clear"/>
              <w:spacing w:line="400" w:lineRule="exact"/>
              <w:jc w:val="center"/>
              <w:rPr>
                <w:rFonts w:ascii="宋体" w:hAnsi="宋体"/>
                <w:color w:val="auto"/>
                <w:sz w:val="24"/>
                <w:highlight w:val="none"/>
              </w:rPr>
            </w:pPr>
          </w:p>
        </w:tc>
        <w:tc>
          <w:tcPr>
            <w:tcW w:w="2571" w:type="dxa"/>
            <w:vAlign w:val="center"/>
          </w:tcPr>
          <w:p>
            <w:pPr>
              <w:shd w:val="clear"/>
              <w:spacing w:line="400" w:lineRule="exact"/>
              <w:jc w:val="center"/>
              <w:rPr>
                <w:rFonts w:ascii="宋体" w:hAnsi="宋体"/>
                <w:color w:val="auto"/>
                <w:sz w:val="24"/>
                <w:highlight w:val="none"/>
              </w:rPr>
            </w:pPr>
          </w:p>
        </w:tc>
        <w:tc>
          <w:tcPr>
            <w:tcW w:w="2265" w:type="dxa"/>
            <w:vAlign w:val="center"/>
          </w:tcPr>
          <w:p>
            <w:pPr>
              <w:shd w:val="clear"/>
              <w:spacing w:line="400" w:lineRule="exact"/>
              <w:jc w:val="center"/>
              <w:rPr>
                <w:rFonts w:ascii="宋体" w:hAnsi="宋体"/>
                <w:color w:val="auto"/>
                <w:sz w:val="24"/>
                <w:highlight w:val="none"/>
              </w:rPr>
            </w:pPr>
          </w:p>
        </w:tc>
      </w:tr>
    </w:tbl>
    <w:p>
      <w:pPr>
        <w:widowControl/>
        <w:shd w:val="clear"/>
        <w:jc w:val="left"/>
        <w:rPr>
          <w:rFonts w:ascii="宋体" w:hAnsi="宋体"/>
          <w:b/>
          <w:color w:val="auto"/>
          <w:sz w:val="32"/>
          <w:szCs w:val="32"/>
          <w:highlight w:val="none"/>
        </w:rPr>
      </w:pPr>
    </w:p>
    <w:p>
      <w:pPr>
        <w:shd w:val="clear"/>
        <w:ind w:firstLine="480" w:firstLineChars="200"/>
        <w:rPr>
          <w:rFonts w:ascii="宋体" w:hAnsi="宋体"/>
          <w:b/>
          <w:color w:val="auto"/>
          <w:sz w:val="24"/>
          <w:highlight w:val="none"/>
        </w:rPr>
      </w:pPr>
      <w:r>
        <w:rPr>
          <w:rFonts w:hint="eastAsia" w:ascii="宋体" w:hAnsi="宋体"/>
          <w:color w:val="auto"/>
          <w:sz w:val="24"/>
          <w:highlight w:val="none"/>
        </w:rPr>
        <w:t>注：供应商必须根据磋商文件要求据实逐条填写，不得虚假响应，虚假响应的，其响应文件无效并按规定追究其相关责任。</w:t>
      </w:r>
    </w:p>
    <w:p>
      <w:pPr>
        <w:widowControl/>
        <w:shd w:val="clear"/>
        <w:jc w:val="left"/>
        <w:rPr>
          <w:rFonts w:ascii="宋体" w:hAnsi="宋体"/>
          <w:b/>
          <w:color w:val="auto"/>
          <w:sz w:val="32"/>
          <w:szCs w:val="32"/>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pStyle w:val="2"/>
        <w:shd w:val="clear"/>
        <w:rPr>
          <w:color w:val="auto"/>
          <w:highlight w:val="none"/>
        </w:rPr>
      </w:pP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九、商务应答表</w:t>
      </w:r>
    </w:p>
    <w:p>
      <w:pPr>
        <w:shd w:val="clea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项目编号：</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tbl>
      <w:tblPr>
        <w:tblStyle w:val="38"/>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42"/>
        <w:gridCol w:w="294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6" w:type="dxa"/>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42" w:type="dxa"/>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采购文件要求</w:t>
            </w:r>
          </w:p>
        </w:tc>
        <w:tc>
          <w:tcPr>
            <w:tcW w:w="2941" w:type="dxa"/>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响应文件应答</w:t>
            </w:r>
          </w:p>
        </w:tc>
        <w:tc>
          <w:tcPr>
            <w:tcW w:w="2926" w:type="dxa"/>
            <w:vAlign w:val="center"/>
          </w:tcPr>
          <w:p>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vAlign w:val="center"/>
          </w:tcPr>
          <w:p>
            <w:pPr>
              <w:shd w:val="clear"/>
              <w:spacing w:line="400" w:lineRule="exact"/>
              <w:jc w:val="center"/>
              <w:rPr>
                <w:rFonts w:ascii="宋体" w:hAnsi="宋体" w:cs="宋体"/>
                <w:color w:val="auto"/>
                <w:sz w:val="24"/>
                <w:highlight w:val="none"/>
              </w:rPr>
            </w:pPr>
          </w:p>
        </w:tc>
        <w:tc>
          <w:tcPr>
            <w:tcW w:w="2942" w:type="dxa"/>
            <w:vAlign w:val="center"/>
          </w:tcPr>
          <w:p>
            <w:pPr>
              <w:shd w:val="clear"/>
              <w:spacing w:line="400" w:lineRule="exact"/>
              <w:jc w:val="center"/>
              <w:rPr>
                <w:rFonts w:ascii="宋体" w:hAnsi="宋体" w:cs="宋体"/>
                <w:color w:val="auto"/>
                <w:sz w:val="24"/>
                <w:highlight w:val="none"/>
              </w:rPr>
            </w:pPr>
          </w:p>
        </w:tc>
        <w:tc>
          <w:tcPr>
            <w:tcW w:w="2941" w:type="dxa"/>
            <w:vAlign w:val="center"/>
          </w:tcPr>
          <w:p>
            <w:pPr>
              <w:shd w:val="clear"/>
              <w:spacing w:line="400" w:lineRule="exact"/>
              <w:jc w:val="center"/>
              <w:rPr>
                <w:rFonts w:ascii="宋体" w:hAnsi="宋体" w:cs="宋体"/>
                <w:color w:val="auto"/>
                <w:sz w:val="24"/>
                <w:highlight w:val="none"/>
              </w:rPr>
            </w:pPr>
          </w:p>
        </w:tc>
        <w:tc>
          <w:tcPr>
            <w:tcW w:w="2926" w:type="dxa"/>
            <w:vAlign w:val="center"/>
          </w:tcPr>
          <w:p>
            <w:pPr>
              <w:shd w:val="clear"/>
              <w:spacing w:line="4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vAlign w:val="center"/>
          </w:tcPr>
          <w:p>
            <w:pPr>
              <w:shd w:val="clear"/>
              <w:spacing w:line="400" w:lineRule="exact"/>
              <w:jc w:val="center"/>
              <w:rPr>
                <w:rFonts w:ascii="宋体" w:hAnsi="宋体" w:cs="宋体"/>
                <w:color w:val="auto"/>
                <w:sz w:val="24"/>
                <w:highlight w:val="none"/>
              </w:rPr>
            </w:pPr>
          </w:p>
        </w:tc>
        <w:tc>
          <w:tcPr>
            <w:tcW w:w="2942" w:type="dxa"/>
            <w:vAlign w:val="center"/>
          </w:tcPr>
          <w:p>
            <w:pPr>
              <w:shd w:val="clear"/>
              <w:spacing w:line="400" w:lineRule="exact"/>
              <w:jc w:val="center"/>
              <w:rPr>
                <w:rFonts w:ascii="宋体" w:hAnsi="宋体" w:cs="宋体"/>
                <w:color w:val="auto"/>
                <w:sz w:val="24"/>
                <w:highlight w:val="none"/>
              </w:rPr>
            </w:pPr>
          </w:p>
        </w:tc>
        <w:tc>
          <w:tcPr>
            <w:tcW w:w="2941" w:type="dxa"/>
            <w:vAlign w:val="center"/>
          </w:tcPr>
          <w:p>
            <w:pPr>
              <w:shd w:val="clear"/>
              <w:spacing w:line="400" w:lineRule="exact"/>
              <w:jc w:val="center"/>
              <w:rPr>
                <w:rFonts w:ascii="宋体" w:hAnsi="宋体" w:cs="宋体"/>
                <w:color w:val="auto"/>
                <w:sz w:val="24"/>
                <w:highlight w:val="none"/>
              </w:rPr>
            </w:pPr>
          </w:p>
        </w:tc>
        <w:tc>
          <w:tcPr>
            <w:tcW w:w="2926" w:type="dxa"/>
            <w:vAlign w:val="center"/>
          </w:tcPr>
          <w:p>
            <w:pPr>
              <w:shd w:val="clear"/>
              <w:spacing w:line="4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vAlign w:val="center"/>
          </w:tcPr>
          <w:p>
            <w:pPr>
              <w:shd w:val="clear"/>
              <w:spacing w:line="400" w:lineRule="exact"/>
              <w:jc w:val="center"/>
              <w:rPr>
                <w:rFonts w:ascii="宋体" w:hAnsi="宋体" w:cs="宋体"/>
                <w:color w:val="auto"/>
                <w:sz w:val="24"/>
                <w:highlight w:val="none"/>
              </w:rPr>
            </w:pPr>
          </w:p>
        </w:tc>
        <w:tc>
          <w:tcPr>
            <w:tcW w:w="2942" w:type="dxa"/>
            <w:vAlign w:val="center"/>
          </w:tcPr>
          <w:p>
            <w:pPr>
              <w:shd w:val="clear"/>
              <w:spacing w:line="400" w:lineRule="exact"/>
              <w:jc w:val="center"/>
              <w:rPr>
                <w:rFonts w:ascii="宋体" w:hAnsi="宋体" w:cs="宋体"/>
                <w:color w:val="auto"/>
                <w:sz w:val="24"/>
                <w:highlight w:val="none"/>
              </w:rPr>
            </w:pPr>
          </w:p>
        </w:tc>
        <w:tc>
          <w:tcPr>
            <w:tcW w:w="2941" w:type="dxa"/>
            <w:vAlign w:val="center"/>
          </w:tcPr>
          <w:p>
            <w:pPr>
              <w:shd w:val="clear"/>
              <w:spacing w:line="400" w:lineRule="exact"/>
              <w:jc w:val="center"/>
              <w:rPr>
                <w:rFonts w:ascii="宋体" w:hAnsi="宋体" w:cs="宋体"/>
                <w:color w:val="auto"/>
                <w:sz w:val="24"/>
                <w:highlight w:val="none"/>
              </w:rPr>
            </w:pPr>
          </w:p>
        </w:tc>
        <w:tc>
          <w:tcPr>
            <w:tcW w:w="2926" w:type="dxa"/>
            <w:vAlign w:val="center"/>
          </w:tcPr>
          <w:p>
            <w:pPr>
              <w:shd w:val="clear"/>
              <w:spacing w:line="4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6" w:type="dxa"/>
            <w:vAlign w:val="center"/>
          </w:tcPr>
          <w:p>
            <w:pPr>
              <w:shd w:val="clear"/>
              <w:spacing w:line="400" w:lineRule="exact"/>
              <w:jc w:val="center"/>
              <w:rPr>
                <w:rFonts w:ascii="宋体" w:hAnsi="宋体" w:cs="宋体"/>
                <w:color w:val="auto"/>
                <w:sz w:val="24"/>
                <w:highlight w:val="none"/>
              </w:rPr>
            </w:pPr>
            <w:r>
              <w:rPr>
                <w:rFonts w:hint="eastAsia" w:ascii="宋体" w:hAnsi="宋体"/>
                <w:color w:val="auto"/>
                <w:sz w:val="24"/>
                <w:highlight w:val="none"/>
              </w:rPr>
              <w:t>...</w:t>
            </w:r>
          </w:p>
        </w:tc>
        <w:tc>
          <w:tcPr>
            <w:tcW w:w="2942" w:type="dxa"/>
            <w:vAlign w:val="center"/>
          </w:tcPr>
          <w:p>
            <w:pPr>
              <w:shd w:val="clear"/>
              <w:spacing w:line="400" w:lineRule="exact"/>
              <w:jc w:val="center"/>
              <w:rPr>
                <w:rFonts w:ascii="宋体" w:hAnsi="宋体" w:cs="宋体"/>
                <w:color w:val="auto"/>
                <w:sz w:val="24"/>
                <w:highlight w:val="none"/>
              </w:rPr>
            </w:pPr>
          </w:p>
        </w:tc>
        <w:tc>
          <w:tcPr>
            <w:tcW w:w="2941" w:type="dxa"/>
            <w:vAlign w:val="center"/>
          </w:tcPr>
          <w:p>
            <w:pPr>
              <w:shd w:val="clear"/>
              <w:spacing w:line="400" w:lineRule="exact"/>
              <w:jc w:val="center"/>
              <w:rPr>
                <w:rFonts w:ascii="宋体" w:hAnsi="宋体" w:cs="宋体"/>
                <w:color w:val="auto"/>
                <w:sz w:val="24"/>
                <w:highlight w:val="none"/>
              </w:rPr>
            </w:pPr>
          </w:p>
        </w:tc>
        <w:tc>
          <w:tcPr>
            <w:tcW w:w="2926" w:type="dxa"/>
            <w:vAlign w:val="center"/>
          </w:tcPr>
          <w:p>
            <w:pPr>
              <w:shd w:val="clear"/>
              <w:spacing w:line="400" w:lineRule="exact"/>
              <w:jc w:val="center"/>
              <w:rPr>
                <w:rFonts w:ascii="宋体" w:hAnsi="宋体" w:cs="宋体"/>
                <w:color w:val="auto"/>
                <w:sz w:val="24"/>
                <w:highlight w:val="none"/>
              </w:rPr>
            </w:pPr>
          </w:p>
        </w:tc>
      </w:tr>
    </w:tbl>
    <w:p>
      <w:pPr>
        <w:shd w:val="clear"/>
        <w:spacing w:line="400" w:lineRule="exact"/>
        <w:rPr>
          <w:rFonts w:ascii="宋体" w:hAnsi="宋体"/>
          <w:b/>
          <w:bCs/>
          <w:color w:val="auto"/>
          <w:sz w:val="24"/>
          <w:highlight w:val="none"/>
        </w:rPr>
      </w:pPr>
      <w:r>
        <w:rPr>
          <w:rFonts w:hint="eastAsia" w:ascii="宋体" w:hAnsi="宋体"/>
          <w:color w:val="auto"/>
          <w:sz w:val="24"/>
          <w:highlight w:val="none"/>
        </w:rPr>
        <w:t>注：</w:t>
      </w:r>
      <w:r>
        <w:rPr>
          <w:rFonts w:hint="eastAsia" w:ascii="宋体" w:hAnsi="宋体"/>
          <w:b/>
          <w:bCs/>
          <w:color w:val="auto"/>
          <w:sz w:val="24"/>
          <w:highlight w:val="none"/>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pPr>
        <w:widowControl/>
        <w:shd w:val="clear"/>
        <w:spacing w:line="360" w:lineRule="atLeast"/>
        <w:ind w:firstLine="472" w:firstLineChars="196"/>
        <w:jc w:val="left"/>
        <w:outlineLvl w:val="1"/>
        <w:rPr>
          <w:rFonts w:ascii="宋体" w:hAnsi="宋体"/>
          <w:b/>
          <w:bCs/>
          <w:color w:val="auto"/>
          <w:sz w:val="24"/>
          <w:highlight w:val="none"/>
        </w:rPr>
      </w:pPr>
      <w:r>
        <w:rPr>
          <w:rFonts w:hint="eastAsia" w:ascii="宋体" w:hAnsi="宋体"/>
          <w:b/>
          <w:bCs/>
          <w:color w:val="auto"/>
          <w:sz w:val="24"/>
          <w:highlight w:val="none"/>
        </w:rPr>
        <w:t>2、</w:t>
      </w:r>
      <w:bookmarkStart w:id="71" w:name="_Toc485222414"/>
      <w:bookmarkStart w:id="72" w:name="_Toc21274"/>
      <w:bookmarkStart w:id="73" w:name="_Toc2935"/>
      <w:r>
        <w:rPr>
          <w:rFonts w:hint="eastAsia" w:ascii="宋体" w:hAnsi="宋体"/>
          <w:b/>
          <w:bCs/>
          <w:color w:val="auto"/>
          <w:sz w:val="24"/>
          <w:highlight w:val="none"/>
        </w:rPr>
        <w:t>供应商必须据实填写，不得虚假响应，否则将取消其磋商或成交资格，并按有关规定进行处罚。</w:t>
      </w:r>
      <w:bookmarkEnd w:id="71"/>
      <w:bookmarkEnd w:id="72"/>
      <w:bookmarkEnd w:id="73"/>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hint="eastAsia" w:ascii="宋体" w:hAnsi="宋体"/>
          <w:b/>
          <w:color w:val="auto"/>
          <w:sz w:val="40"/>
          <w:szCs w:val="48"/>
          <w:highlight w:val="none"/>
          <w:u w:val="single"/>
        </w:rPr>
        <w:t xml:space="preserve">      </w:t>
      </w:r>
      <w:r>
        <w:rPr>
          <w:rFonts w:hint="eastAsia" w:ascii="宋体" w:hAnsi="宋体"/>
          <w:color w:val="auto"/>
          <w:sz w:val="24"/>
          <w:highlight w:val="none"/>
        </w:rPr>
        <w:t>。</w:t>
      </w: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widowControl/>
        <w:shd w:val="clear"/>
        <w:spacing w:line="360" w:lineRule="atLeast"/>
        <w:jc w:val="center"/>
        <w:outlineLvl w:val="1"/>
        <w:rPr>
          <w:rFonts w:ascii="宋体" w:hAnsi="宋体"/>
          <w:b/>
          <w:color w:val="auto"/>
          <w:sz w:val="32"/>
          <w:szCs w:val="32"/>
          <w:highlight w:val="none"/>
        </w:rPr>
      </w:pPr>
      <w:bookmarkStart w:id="74" w:name="_Toc217446090"/>
      <w:r>
        <w:rPr>
          <w:rFonts w:hint="eastAsia" w:ascii="宋体" w:hAnsi="宋体"/>
          <w:b/>
          <w:color w:val="auto"/>
          <w:sz w:val="32"/>
          <w:szCs w:val="32"/>
          <w:highlight w:val="none"/>
        </w:rPr>
        <w:t>十、供应商类似项目业绩一览表</w:t>
      </w:r>
    </w:p>
    <w:tbl>
      <w:tblPr>
        <w:tblStyle w:val="38"/>
        <w:tblW w:w="91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8"/>
        <w:gridCol w:w="1759"/>
        <w:gridCol w:w="1612"/>
        <w:gridCol w:w="1418"/>
        <w:gridCol w:w="1745"/>
        <w:gridCol w:w="1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tcBorders>
              <w:top w:val="single" w:color="auto" w:sz="4" w:space="0"/>
            </w:tcBorders>
            <w:vAlign w:val="center"/>
          </w:tcPr>
          <w:p>
            <w:pPr>
              <w:shd w:val="clear"/>
              <w:spacing w:line="400" w:lineRule="exact"/>
              <w:ind w:firstLine="105" w:firstLineChars="50"/>
              <w:jc w:val="center"/>
              <w:rPr>
                <w:rFonts w:ascii="宋体" w:hAnsi="宋体" w:cs="Arial"/>
                <w:b/>
                <w:color w:val="auto"/>
                <w:highlight w:val="none"/>
              </w:rPr>
            </w:pPr>
            <w:r>
              <w:rPr>
                <w:rFonts w:hint="eastAsia" w:ascii="宋体" w:hAnsi="宋体" w:cs="Arial"/>
                <w:b/>
                <w:color w:val="auto"/>
                <w:highlight w:val="none"/>
              </w:rPr>
              <w:t>年份</w:t>
            </w:r>
          </w:p>
        </w:tc>
        <w:tc>
          <w:tcPr>
            <w:tcW w:w="1759" w:type="dxa"/>
            <w:vAlign w:val="center"/>
          </w:tcPr>
          <w:p>
            <w:pPr>
              <w:shd w:val="clear"/>
              <w:spacing w:line="400" w:lineRule="exact"/>
              <w:jc w:val="center"/>
              <w:rPr>
                <w:rFonts w:ascii="宋体" w:hAnsi="宋体" w:cs="Arial"/>
                <w:b/>
                <w:color w:val="auto"/>
                <w:highlight w:val="none"/>
              </w:rPr>
            </w:pPr>
            <w:r>
              <w:rPr>
                <w:rFonts w:hint="eastAsia" w:ascii="宋体" w:hAnsi="宋体" w:cs="Arial"/>
                <w:b/>
                <w:color w:val="auto"/>
                <w:highlight w:val="none"/>
              </w:rPr>
              <w:t>用户名称</w:t>
            </w:r>
          </w:p>
        </w:tc>
        <w:tc>
          <w:tcPr>
            <w:tcW w:w="1612" w:type="dxa"/>
            <w:vAlign w:val="center"/>
          </w:tcPr>
          <w:p>
            <w:pPr>
              <w:shd w:val="clea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418" w:type="dxa"/>
            <w:vAlign w:val="center"/>
          </w:tcPr>
          <w:p>
            <w:pPr>
              <w:shd w:val="clear"/>
              <w:spacing w:line="400" w:lineRule="exact"/>
              <w:jc w:val="center"/>
              <w:rPr>
                <w:rFonts w:ascii="宋体" w:hAnsi="宋体" w:cs="Arial"/>
                <w:b/>
                <w:color w:val="auto"/>
                <w:highlight w:val="none"/>
              </w:rPr>
            </w:pPr>
            <w:r>
              <w:rPr>
                <w:rFonts w:ascii="宋体" w:hAnsi="宋体" w:cs="Arial"/>
                <w:b/>
                <w:color w:val="auto"/>
                <w:highlight w:val="none"/>
              </w:rPr>
              <w:t>完成时间</w:t>
            </w:r>
          </w:p>
        </w:tc>
        <w:tc>
          <w:tcPr>
            <w:tcW w:w="1745" w:type="dxa"/>
            <w:vAlign w:val="center"/>
          </w:tcPr>
          <w:p>
            <w:pPr>
              <w:shd w:val="clear"/>
              <w:spacing w:line="400" w:lineRule="exact"/>
              <w:ind w:firstLine="105" w:firstLineChars="50"/>
              <w:jc w:val="center"/>
              <w:rPr>
                <w:rFonts w:ascii="宋体" w:hAnsi="宋体" w:cs="Arial"/>
                <w:b/>
                <w:color w:val="auto"/>
                <w:highlight w:val="none"/>
              </w:rPr>
            </w:pPr>
            <w:r>
              <w:rPr>
                <w:rFonts w:ascii="宋体" w:hAnsi="宋体" w:cs="Arial"/>
                <w:b/>
                <w:color w:val="auto"/>
                <w:highlight w:val="none"/>
              </w:rPr>
              <w:t>合同金额</w:t>
            </w:r>
          </w:p>
        </w:tc>
        <w:tc>
          <w:tcPr>
            <w:tcW w:w="1688" w:type="dxa"/>
            <w:tcBorders>
              <w:left w:val="single" w:color="auto" w:sz="4" w:space="0"/>
            </w:tcBorders>
            <w:vAlign w:val="center"/>
          </w:tcPr>
          <w:p>
            <w:pPr>
              <w:shd w:val="clear"/>
              <w:spacing w:line="400" w:lineRule="exact"/>
              <w:jc w:val="center"/>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tcBorders>
              <w:right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left w:val="single" w:color="auto" w:sz="4" w:space="0"/>
            </w:tcBorders>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tcBorders>
              <w:right w:val="single" w:color="auto" w:sz="4" w:space="0"/>
            </w:tcBorders>
            <w:vAlign w:val="center"/>
          </w:tcPr>
          <w:p>
            <w:pPr>
              <w:shd w:val="clear"/>
              <w:spacing w:line="400" w:lineRule="exact"/>
              <w:jc w:val="center"/>
              <w:rPr>
                <w:rFonts w:ascii="宋体" w:hAnsi="宋体" w:cs="Arial"/>
                <w:color w:val="auto"/>
                <w:highlight w:val="none"/>
              </w:rPr>
            </w:pPr>
          </w:p>
        </w:tc>
        <w:tc>
          <w:tcPr>
            <w:tcW w:w="1759" w:type="dxa"/>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tcBorders>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tcBorders>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8" w:type="dxa"/>
            <w:vAlign w:val="center"/>
          </w:tcPr>
          <w:p>
            <w:pPr>
              <w:shd w:val="clear"/>
              <w:spacing w:line="400" w:lineRule="exact"/>
              <w:jc w:val="center"/>
              <w:rPr>
                <w:rFonts w:ascii="宋体" w:hAnsi="宋体" w:cs="Arial"/>
                <w:color w:val="auto"/>
                <w:highlight w:val="none"/>
              </w:rPr>
            </w:pPr>
          </w:p>
        </w:tc>
        <w:tc>
          <w:tcPr>
            <w:tcW w:w="1759" w:type="dxa"/>
            <w:vAlign w:val="center"/>
          </w:tcPr>
          <w:p>
            <w:pPr>
              <w:shd w:val="clear"/>
              <w:spacing w:line="400" w:lineRule="exact"/>
              <w:jc w:val="center"/>
              <w:rPr>
                <w:rFonts w:ascii="宋体" w:hAnsi="宋体" w:cs="Arial"/>
                <w:color w:val="auto"/>
                <w:highlight w:val="none"/>
              </w:rPr>
            </w:pPr>
          </w:p>
        </w:tc>
        <w:tc>
          <w:tcPr>
            <w:tcW w:w="1612" w:type="dxa"/>
            <w:vAlign w:val="center"/>
          </w:tcPr>
          <w:p>
            <w:pPr>
              <w:shd w:val="clear"/>
              <w:spacing w:line="400" w:lineRule="exact"/>
              <w:jc w:val="center"/>
              <w:rPr>
                <w:rFonts w:ascii="宋体" w:hAnsi="宋体" w:cs="Arial"/>
                <w:color w:val="auto"/>
                <w:highlight w:val="none"/>
              </w:rPr>
            </w:pPr>
          </w:p>
        </w:tc>
        <w:tc>
          <w:tcPr>
            <w:tcW w:w="1418" w:type="dxa"/>
            <w:vAlign w:val="center"/>
          </w:tcPr>
          <w:p>
            <w:pPr>
              <w:shd w:val="clear"/>
              <w:spacing w:line="400" w:lineRule="exact"/>
              <w:jc w:val="center"/>
              <w:rPr>
                <w:rFonts w:ascii="宋体" w:hAnsi="宋体" w:cs="Arial"/>
                <w:color w:val="auto"/>
                <w:highlight w:val="none"/>
              </w:rPr>
            </w:pPr>
          </w:p>
        </w:tc>
        <w:tc>
          <w:tcPr>
            <w:tcW w:w="1745" w:type="dxa"/>
            <w:tcBorders>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78" w:type="dxa"/>
            <w:tcBorders>
              <w:bottom w:val="single" w:color="auto" w:sz="4" w:space="0"/>
            </w:tcBorders>
            <w:vAlign w:val="center"/>
          </w:tcPr>
          <w:p>
            <w:pPr>
              <w:shd w:val="clear"/>
              <w:spacing w:line="400" w:lineRule="exact"/>
              <w:jc w:val="center"/>
              <w:rPr>
                <w:rFonts w:ascii="宋体" w:hAnsi="宋体" w:cs="Arial"/>
                <w:color w:val="auto"/>
                <w:highlight w:val="none"/>
              </w:rPr>
            </w:pPr>
          </w:p>
        </w:tc>
        <w:tc>
          <w:tcPr>
            <w:tcW w:w="1759" w:type="dxa"/>
            <w:tcBorders>
              <w:bottom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bottom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bottom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bottom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left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59"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59"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7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59"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top w:val="single" w:color="auto" w:sz="4" w:space="0"/>
              <w:left w:val="single" w:color="auto" w:sz="4" w:space="0"/>
              <w:bottom w:val="single" w:color="auto" w:sz="4" w:space="0"/>
            </w:tcBorders>
            <w:vAlign w:val="center"/>
          </w:tcPr>
          <w:p>
            <w:pPr>
              <w:shd w:val="clea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78" w:type="dxa"/>
            <w:tcBorders>
              <w:top w:val="single" w:color="auto" w:sz="4" w:space="0"/>
            </w:tcBorders>
            <w:vAlign w:val="center"/>
          </w:tcPr>
          <w:p>
            <w:pPr>
              <w:shd w:val="clear"/>
              <w:spacing w:line="400" w:lineRule="exact"/>
              <w:jc w:val="center"/>
              <w:rPr>
                <w:rFonts w:ascii="宋体" w:hAnsi="宋体" w:cs="Arial"/>
                <w:color w:val="auto"/>
                <w:highlight w:val="none"/>
              </w:rPr>
            </w:pPr>
            <w:r>
              <w:rPr>
                <w:rFonts w:hint="eastAsia" w:ascii="宋体" w:hAnsi="宋体" w:cs="Arial"/>
                <w:color w:val="auto"/>
                <w:highlight w:val="none"/>
              </w:rPr>
              <w:t>...</w:t>
            </w:r>
          </w:p>
        </w:tc>
        <w:tc>
          <w:tcPr>
            <w:tcW w:w="1759" w:type="dxa"/>
            <w:tcBorders>
              <w:top w:val="single" w:color="auto" w:sz="4" w:space="0"/>
            </w:tcBorders>
            <w:vAlign w:val="center"/>
          </w:tcPr>
          <w:p>
            <w:pPr>
              <w:shd w:val="clear"/>
              <w:spacing w:line="400" w:lineRule="exact"/>
              <w:jc w:val="center"/>
              <w:rPr>
                <w:rFonts w:ascii="宋体" w:hAnsi="宋体" w:cs="Arial"/>
                <w:color w:val="auto"/>
                <w:highlight w:val="none"/>
              </w:rPr>
            </w:pPr>
          </w:p>
        </w:tc>
        <w:tc>
          <w:tcPr>
            <w:tcW w:w="1612" w:type="dxa"/>
            <w:tcBorders>
              <w:top w:val="single" w:color="auto" w:sz="4" w:space="0"/>
            </w:tcBorders>
            <w:vAlign w:val="center"/>
          </w:tcPr>
          <w:p>
            <w:pPr>
              <w:shd w:val="clear"/>
              <w:spacing w:line="400" w:lineRule="exact"/>
              <w:jc w:val="center"/>
              <w:rPr>
                <w:rFonts w:ascii="宋体" w:hAnsi="宋体" w:cs="Arial"/>
                <w:color w:val="auto"/>
                <w:highlight w:val="none"/>
              </w:rPr>
            </w:pPr>
          </w:p>
        </w:tc>
        <w:tc>
          <w:tcPr>
            <w:tcW w:w="1418" w:type="dxa"/>
            <w:tcBorders>
              <w:top w:val="single" w:color="auto" w:sz="4" w:space="0"/>
            </w:tcBorders>
            <w:vAlign w:val="center"/>
          </w:tcPr>
          <w:p>
            <w:pPr>
              <w:shd w:val="clear"/>
              <w:spacing w:line="400" w:lineRule="exact"/>
              <w:jc w:val="center"/>
              <w:rPr>
                <w:rFonts w:ascii="宋体" w:hAnsi="宋体" w:cs="Arial"/>
                <w:color w:val="auto"/>
                <w:highlight w:val="none"/>
              </w:rPr>
            </w:pPr>
          </w:p>
        </w:tc>
        <w:tc>
          <w:tcPr>
            <w:tcW w:w="1745" w:type="dxa"/>
            <w:tcBorders>
              <w:top w:val="single" w:color="auto" w:sz="4" w:space="0"/>
              <w:right w:val="single" w:color="auto" w:sz="4" w:space="0"/>
            </w:tcBorders>
            <w:vAlign w:val="center"/>
          </w:tcPr>
          <w:p>
            <w:pPr>
              <w:shd w:val="clear"/>
              <w:spacing w:line="400" w:lineRule="exact"/>
              <w:jc w:val="center"/>
              <w:rPr>
                <w:rFonts w:ascii="宋体" w:hAnsi="宋体" w:cs="Arial"/>
                <w:color w:val="auto"/>
                <w:highlight w:val="none"/>
              </w:rPr>
            </w:pPr>
          </w:p>
        </w:tc>
        <w:tc>
          <w:tcPr>
            <w:tcW w:w="1688" w:type="dxa"/>
            <w:tcBorders>
              <w:top w:val="single" w:color="auto" w:sz="4" w:space="0"/>
              <w:left w:val="single" w:color="auto" w:sz="4" w:space="0"/>
            </w:tcBorders>
            <w:vAlign w:val="center"/>
          </w:tcPr>
          <w:p>
            <w:pPr>
              <w:shd w:val="clear"/>
              <w:spacing w:line="400" w:lineRule="exact"/>
              <w:jc w:val="center"/>
              <w:rPr>
                <w:rFonts w:ascii="宋体" w:hAnsi="宋体" w:cs="Arial"/>
                <w:color w:val="auto"/>
                <w:highlight w:val="none"/>
              </w:rPr>
            </w:pPr>
          </w:p>
        </w:tc>
      </w:tr>
    </w:tbl>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注：以上业绩需提供采购文件要求的有关书面证明材料。</w:t>
      </w: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tLeast"/>
        <w:jc w:val="left"/>
        <w:outlineLvl w:val="1"/>
        <w:rPr>
          <w:rFonts w:ascii="宋体" w:hAnsi="宋体"/>
          <w:b/>
          <w:color w:val="auto"/>
          <w:sz w:val="24"/>
          <w:highlight w:val="none"/>
        </w:rPr>
      </w:pPr>
    </w:p>
    <w:p>
      <w:pPr>
        <w:shd w:val="clea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bookmarkEnd w:id="74"/>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十一、供应商本项目管理、技术、服务人员情况表</w:t>
      </w:r>
    </w:p>
    <w:p>
      <w:pPr>
        <w:shd w:val="clea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项目编号：</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序号</w:t>
            </w:r>
          </w:p>
        </w:tc>
        <w:tc>
          <w:tcPr>
            <w:tcW w:w="1049" w:type="dxa"/>
            <w:vMerge w:val="restart"/>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职务</w:t>
            </w:r>
          </w:p>
        </w:tc>
        <w:tc>
          <w:tcPr>
            <w:tcW w:w="1049" w:type="dxa"/>
            <w:vMerge w:val="restart"/>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049" w:type="dxa"/>
            <w:vMerge w:val="restart"/>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职称</w:t>
            </w:r>
          </w:p>
        </w:tc>
        <w:tc>
          <w:tcPr>
            <w:tcW w:w="1049" w:type="dxa"/>
            <w:vMerge w:val="restart"/>
            <w:vAlign w:val="center"/>
          </w:tcPr>
          <w:p>
            <w:pPr>
              <w:widowControl/>
              <w:shd w:val="clear"/>
              <w:spacing w:line="360" w:lineRule="atLeast"/>
              <w:jc w:val="left"/>
              <w:outlineLvl w:val="1"/>
              <w:rPr>
                <w:rFonts w:ascii="宋体" w:hAnsi="宋体"/>
                <w:color w:val="auto"/>
                <w:sz w:val="24"/>
                <w:highlight w:val="none"/>
              </w:rPr>
            </w:pPr>
            <w:r>
              <w:rPr>
                <w:rFonts w:hint="eastAsia" w:ascii="宋体" w:hAnsi="宋体"/>
                <w:color w:val="auto"/>
                <w:sz w:val="24"/>
                <w:highlight w:val="none"/>
              </w:rPr>
              <w:t>常住地</w:t>
            </w:r>
          </w:p>
        </w:tc>
        <w:tc>
          <w:tcPr>
            <w:tcW w:w="4412" w:type="dxa"/>
            <w:gridSpan w:val="4"/>
            <w:vAlign w:val="center"/>
          </w:tcPr>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continue"/>
          </w:tcPr>
          <w:p>
            <w:pPr>
              <w:shd w:val="clear"/>
              <w:rPr>
                <w:rFonts w:ascii="宋体" w:hAnsi="宋体"/>
                <w:color w:val="auto"/>
                <w:highlight w:val="none"/>
              </w:rPr>
            </w:pPr>
          </w:p>
        </w:tc>
        <w:tc>
          <w:tcPr>
            <w:tcW w:w="1049" w:type="dxa"/>
            <w:vMerge w:val="continue"/>
            <w:vAlign w:val="center"/>
          </w:tcPr>
          <w:p>
            <w:pPr>
              <w:shd w:val="clear"/>
              <w:rPr>
                <w:rFonts w:ascii="宋体" w:hAnsi="宋体"/>
                <w:color w:val="auto"/>
                <w:highlight w:val="none"/>
              </w:rPr>
            </w:pPr>
          </w:p>
        </w:tc>
        <w:tc>
          <w:tcPr>
            <w:tcW w:w="1049" w:type="dxa"/>
            <w:vMerge w:val="continue"/>
            <w:vAlign w:val="center"/>
          </w:tcPr>
          <w:p>
            <w:pPr>
              <w:shd w:val="clear"/>
              <w:rPr>
                <w:rFonts w:ascii="宋体" w:hAnsi="宋体"/>
                <w:color w:val="auto"/>
                <w:highlight w:val="none"/>
              </w:rPr>
            </w:pPr>
          </w:p>
        </w:tc>
        <w:tc>
          <w:tcPr>
            <w:tcW w:w="1049" w:type="dxa"/>
            <w:vMerge w:val="continue"/>
            <w:vAlign w:val="center"/>
          </w:tcPr>
          <w:p>
            <w:pPr>
              <w:shd w:val="clear"/>
              <w:rPr>
                <w:rFonts w:ascii="宋体" w:hAnsi="宋体"/>
                <w:color w:val="auto"/>
                <w:highlight w:val="none"/>
              </w:rPr>
            </w:pPr>
          </w:p>
        </w:tc>
        <w:tc>
          <w:tcPr>
            <w:tcW w:w="1049" w:type="dxa"/>
            <w:vMerge w:val="continue"/>
            <w:vAlign w:val="center"/>
          </w:tcPr>
          <w:p>
            <w:pPr>
              <w:shd w:val="clear"/>
              <w:rPr>
                <w:rFonts w:ascii="宋体" w:hAnsi="宋体"/>
                <w:color w:val="auto"/>
                <w:highlight w:val="none"/>
              </w:rPr>
            </w:pPr>
          </w:p>
        </w:tc>
        <w:tc>
          <w:tcPr>
            <w:tcW w:w="1107" w:type="dxa"/>
            <w:vAlign w:val="center"/>
          </w:tcPr>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证书</w:t>
            </w:r>
          </w:p>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名称</w:t>
            </w:r>
          </w:p>
        </w:tc>
        <w:tc>
          <w:tcPr>
            <w:tcW w:w="1249" w:type="dxa"/>
            <w:vAlign w:val="center"/>
          </w:tcPr>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级别</w:t>
            </w:r>
          </w:p>
        </w:tc>
        <w:tc>
          <w:tcPr>
            <w:tcW w:w="1102" w:type="dxa"/>
            <w:vAlign w:val="center"/>
          </w:tcPr>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证号</w:t>
            </w:r>
          </w:p>
        </w:tc>
        <w:tc>
          <w:tcPr>
            <w:tcW w:w="954" w:type="dxa"/>
            <w:vAlign w:val="center"/>
          </w:tcPr>
          <w:p>
            <w:pPr>
              <w:widowControl/>
              <w:shd w:val="clear"/>
              <w:spacing w:line="360" w:lineRule="atLeast"/>
              <w:jc w:val="center"/>
              <w:outlineLvl w:val="1"/>
              <w:rPr>
                <w:rFonts w:ascii="宋体" w:hAnsi="宋体"/>
                <w:color w:val="auto"/>
                <w:sz w:val="24"/>
                <w:highlight w:val="none"/>
              </w:rPr>
            </w:pPr>
            <w:r>
              <w:rPr>
                <w:rFonts w:hint="eastAsia" w:ascii="宋体" w:hAnsi="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Borders>
              <w:bottom w:val="single" w:color="auto" w:sz="4" w:space="0"/>
            </w:tcBorders>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0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7" w:type="dxa"/>
          </w:tcPr>
          <w:p>
            <w:pPr>
              <w:widowControl/>
              <w:shd w:val="clear"/>
              <w:spacing w:line="360" w:lineRule="atLeast"/>
              <w:ind w:firstLine="470" w:firstLineChars="196"/>
              <w:jc w:val="left"/>
              <w:outlineLvl w:val="1"/>
              <w:rPr>
                <w:rFonts w:ascii="宋体" w:hAnsi="宋体"/>
                <w:color w:val="auto"/>
                <w:sz w:val="24"/>
                <w:highlight w:val="none"/>
              </w:rPr>
            </w:pPr>
          </w:p>
        </w:tc>
        <w:tc>
          <w:tcPr>
            <w:tcW w:w="1249" w:type="dxa"/>
          </w:tcPr>
          <w:p>
            <w:pPr>
              <w:widowControl/>
              <w:shd w:val="clear"/>
              <w:spacing w:line="360" w:lineRule="atLeast"/>
              <w:ind w:firstLine="470" w:firstLineChars="196"/>
              <w:jc w:val="left"/>
              <w:outlineLvl w:val="1"/>
              <w:rPr>
                <w:rFonts w:ascii="宋体" w:hAnsi="宋体"/>
                <w:color w:val="auto"/>
                <w:sz w:val="24"/>
                <w:highlight w:val="none"/>
              </w:rPr>
            </w:pPr>
          </w:p>
        </w:tc>
        <w:tc>
          <w:tcPr>
            <w:tcW w:w="1102" w:type="dxa"/>
          </w:tcPr>
          <w:p>
            <w:pPr>
              <w:widowControl/>
              <w:shd w:val="clear"/>
              <w:spacing w:line="360" w:lineRule="atLeast"/>
              <w:ind w:firstLine="470" w:firstLineChars="196"/>
              <w:jc w:val="left"/>
              <w:outlineLvl w:val="1"/>
              <w:rPr>
                <w:rFonts w:ascii="宋体" w:hAnsi="宋体"/>
                <w:color w:val="auto"/>
                <w:sz w:val="24"/>
                <w:highlight w:val="none"/>
              </w:rPr>
            </w:pPr>
          </w:p>
        </w:tc>
        <w:tc>
          <w:tcPr>
            <w:tcW w:w="954" w:type="dxa"/>
          </w:tcPr>
          <w:p>
            <w:pPr>
              <w:widowControl/>
              <w:shd w:val="clear"/>
              <w:spacing w:line="360" w:lineRule="atLeast"/>
              <w:ind w:firstLine="470" w:firstLineChars="196"/>
              <w:jc w:val="left"/>
              <w:outlineLvl w:val="1"/>
              <w:rPr>
                <w:rFonts w:ascii="宋体" w:hAnsi="宋体"/>
                <w:color w:val="auto"/>
                <w:sz w:val="24"/>
                <w:highlight w:val="none"/>
              </w:rPr>
            </w:pPr>
          </w:p>
        </w:tc>
      </w:tr>
    </w:tbl>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shd w:val="clea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p>
    <w:p>
      <w:pPr>
        <w:shd w:val="clear"/>
        <w:spacing w:line="360" w:lineRule="auto"/>
        <w:rPr>
          <w:rFonts w:ascii="宋体" w:hAnsi="宋体"/>
          <w:b/>
          <w:color w:val="auto"/>
          <w:sz w:val="32"/>
          <w:szCs w:val="32"/>
          <w:highlight w:val="none"/>
        </w:rPr>
      </w:pPr>
      <w:bookmarkStart w:id="75" w:name="_Toc217446091"/>
      <w:r>
        <w:rPr>
          <w:rFonts w:hint="eastAsia" w:ascii="宋体" w:hAnsi="宋体"/>
          <w:b/>
          <w:color w:val="auto"/>
          <w:sz w:val="32"/>
          <w:szCs w:val="32"/>
          <w:highlight w:val="none"/>
        </w:rPr>
        <w:br w:type="page"/>
      </w:r>
    </w:p>
    <w:bookmarkEnd w:id="75"/>
    <w:p>
      <w:pPr>
        <w:widowControl/>
        <w:shd w:val="clear"/>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十二、供应商诚信情况承诺函</w:t>
      </w:r>
    </w:p>
    <w:p>
      <w:pPr>
        <w:shd w:val="clear"/>
        <w:spacing w:line="360" w:lineRule="auto"/>
        <w:rPr>
          <w:rFonts w:ascii="宋体" w:hAnsi="宋体"/>
          <w:bCs/>
          <w:color w:val="auto"/>
          <w:sz w:val="24"/>
          <w:highlight w:val="none"/>
        </w:rPr>
      </w:pPr>
    </w:p>
    <w:p>
      <w:pPr>
        <w:shd w:val="clear"/>
        <w:spacing w:line="360" w:lineRule="auto"/>
        <w:rPr>
          <w:rFonts w:ascii="宋体" w:hAnsi="宋体"/>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（采购代理机构）： </w:t>
      </w:r>
    </w:p>
    <w:p>
      <w:pPr>
        <w:shd w:val="clear"/>
        <w:spacing w:line="360" w:lineRule="auto"/>
        <w:rPr>
          <w:rFonts w:ascii="宋体" w:hAnsi="宋体"/>
          <w:color w:val="auto"/>
          <w:sz w:val="24"/>
          <w:highlight w:val="none"/>
        </w:rPr>
      </w:pPr>
      <w:r>
        <w:rPr>
          <w:rFonts w:hint="eastAsia" w:ascii="宋体" w:hAnsi="宋体"/>
          <w:bCs/>
          <w:color w:val="auto"/>
          <w:sz w:val="24"/>
          <w:highlight w:val="none"/>
        </w:rPr>
        <w:t xml:space="preserve">    本单位</w:t>
      </w:r>
      <w:r>
        <w:rPr>
          <w:rFonts w:hint="eastAsia" w:ascii="宋体" w:hAnsi="宋体"/>
          <w:bCs/>
          <w:color w:val="auto"/>
          <w:sz w:val="24"/>
          <w:highlight w:val="none"/>
          <w:u w:val="single"/>
        </w:rPr>
        <w:t xml:space="preserve">                   </w:t>
      </w:r>
      <w:r>
        <w:rPr>
          <w:rFonts w:hint="eastAsia" w:ascii="宋体" w:hAnsi="宋体"/>
          <w:bCs/>
          <w:color w:val="auto"/>
          <w:sz w:val="24"/>
          <w:highlight w:val="none"/>
        </w:rPr>
        <w:t>（供应商名称）参加“</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）的政府采购活动，</w:t>
      </w:r>
      <w:r>
        <w:rPr>
          <w:rFonts w:hint="eastAsia" w:ascii="宋体" w:hAnsi="宋体"/>
          <w:color w:val="auto"/>
          <w:sz w:val="24"/>
          <w:highlight w:val="none"/>
        </w:rPr>
        <w:t>现根据《</w:t>
      </w:r>
      <w:r>
        <w:rPr>
          <w:rFonts w:ascii="宋体" w:hAnsi="宋体"/>
          <w:color w:val="auto"/>
          <w:sz w:val="24"/>
          <w:highlight w:val="none"/>
        </w:rPr>
        <w:t>四川省政府采购当事人诚信管理办法</w:t>
      </w:r>
      <w:r>
        <w:rPr>
          <w:rFonts w:hint="eastAsia" w:ascii="宋体" w:hAnsi="宋体"/>
          <w:color w:val="auto"/>
          <w:sz w:val="24"/>
          <w:highlight w:val="none"/>
        </w:rPr>
        <w:t>》川财采〔2015〕33号的相关规定，针</w:t>
      </w:r>
      <w:r>
        <w:rPr>
          <w:rFonts w:hint="eastAsia" w:ascii="宋体" w:hAnsi="宋体"/>
          <w:bCs/>
          <w:color w:val="auto"/>
          <w:sz w:val="24"/>
          <w:highlight w:val="none"/>
        </w:rPr>
        <w:t>对本单位的诚信情况作出以下承诺：</w:t>
      </w:r>
    </w:p>
    <w:p>
      <w:pPr>
        <w:shd w:val="clear"/>
        <w:spacing w:line="360" w:lineRule="auto"/>
        <w:ind w:firstLine="480" w:firstLineChars="200"/>
        <w:rPr>
          <w:rFonts w:ascii="宋体" w:hAnsi="宋体"/>
          <w:bCs/>
          <w:color w:val="auto"/>
          <w:sz w:val="24"/>
          <w:highlight w:val="none"/>
        </w:rPr>
      </w:pPr>
    </w:p>
    <w:p>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我单位具有</w:t>
      </w:r>
      <w:r>
        <w:rPr>
          <w:rFonts w:hint="eastAsia" w:ascii="宋体" w:hAnsi="宋体"/>
          <w:color w:val="auto"/>
          <w:sz w:val="24"/>
          <w:highlight w:val="none"/>
        </w:rPr>
        <w:t>《四川省政府采购当事人诚信管理办法》（川财采[2015]33号）所规定的失信行为</w:t>
      </w:r>
      <w:r>
        <w:rPr>
          <w:rFonts w:hint="eastAsia" w:ascii="宋体" w:hAnsi="宋体"/>
          <w:color w:val="auto"/>
          <w:sz w:val="24"/>
          <w:highlight w:val="none"/>
          <w:u w:val="single"/>
        </w:rPr>
        <w:t xml:space="preserve">      </w:t>
      </w:r>
      <w:r>
        <w:rPr>
          <w:rFonts w:hint="eastAsia" w:ascii="宋体" w:hAnsi="宋体"/>
          <w:color w:val="auto"/>
          <w:sz w:val="24"/>
          <w:highlight w:val="none"/>
        </w:rPr>
        <w:t>次（填写失信行为的次数时，建议使用大写数字，如零、壹、贰、叁、肆等。）；</w:t>
      </w:r>
      <w:r>
        <w:rPr>
          <w:rFonts w:hint="eastAsia" w:ascii="宋体" w:hAnsi="宋体"/>
          <w:bCs/>
          <w:color w:val="auto"/>
          <w:sz w:val="24"/>
          <w:highlight w:val="none"/>
        </w:rPr>
        <w:t>（仅限投标截止当日仍在有效期的次数）</w:t>
      </w:r>
    </w:p>
    <w:p>
      <w:pPr>
        <w:shd w:val="clear"/>
        <w:spacing w:line="360" w:lineRule="auto"/>
        <w:ind w:firstLine="480" w:firstLineChars="200"/>
        <w:rPr>
          <w:rFonts w:ascii="宋体" w:hAnsi="宋体"/>
          <w:color w:val="auto"/>
          <w:sz w:val="24"/>
          <w:highlight w:val="none"/>
        </w:rPr>
      </w:pP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bCs/>
          <w:color w:val="auto"/>
          <w:sz w:val="24"/>
          <w:highlight w:val="none"/>
        </w:rPr>
        <w:t>单位</w:t>
      </w:r>
      <w:r>
        <w:rPr>
          <w:rFonts w:hint="eastAsia" w:ascii="宋体" w:hAnsi="宋体"/>
          <w:color w:val="auto"/>
          <w:sz w:val="24"/>
          <w:highlight w:val="none"/>
        </w:rPr>
        <w:t>对以上填写信息的真实性负责。如有不实，本</w:t>
      </w:r>
      <w:r>
        <w:rPr>
          <w:rFonts w:hint="eastAsia" w:ascii="宋体" w:hAnsi="宋体"/>
          <w:bCs/>
          <w:color w:val="auto"/>
          <w:sz w:val="24"/>
          <w:highlight w:val="none"/>
        </w:rPr>
        <w:t>单位</w:t>
      </w:r>
      <w:r>
        <w:rPr>
          <w:rFonts w:hint="eastAsia" w:ascii="宋体" w:hAnsi="宋体"/>
          <w:color w:val="auto"/>
          <w:sz w:val="24"/>
          <w:highlight w:val="none"/>
        </w:rPr>
        <w:t>愿承担由此产生的一切法律责任和后果。</w:t>
      </w:r>
    </w:p>
    <w:p>
      <w:pPr>
        <w:shd w:val="clear"/>
        <w:spacing w:line="360" w:lineRule="auto"/>
        <w:rPr>
          <w:rFonts w:ascii="宋体" w:hAnsi="宋体"/>
          <w:bCs/>
          <w:color w:val="auto"/>
          <w:sz w:val="24"/>
          <w:highlight w:val="none"/>
        </w:rPr>
      </w:pP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供应商名称：</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（单位公章）。</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widowControl/>
        <w:shd w:val="clear"/>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b/>
          <w:color w:val="auto"/>
          <w:sz w:val="32"/>
          <w:highlight w:val="none"/>
          <w:u w:val="single"/>
        </w:rPr>
        <w:t xml:space="preserve">  </w:t>
      </w:r>
      <w:r>
        <w:rPr>
          <w:rFonts w:hint="eastAsia" w:ascii="宋体" w:hAnsi="宋体"/>
          <w:b/>
          <w:color w:val="auto"/>
          <w:sz w:val="32"/>
          <w:highlight w:val="none"/>
          <w:u w:val="single"/>
        </w:rPr>
        <w:t xml:space="preserve">    </w:t>
      </w:r>
      <w:r>
        <w:rPr>
          <w:rFonts w:ascii="宋体" w:hAnsi="宋体"/>
          <w:b/>
          <w:color w:val="auto"/>
          <w:sz w:val="32"/>
          <w:highlight w:val="none"/>
          <w:u w:val="single"/>
        </w:rPr>
        <w:t xml:space="preserve">     </w:t>
      </w:r>
      <w:r>
        <w:rPr>
          <w:rFonts w:hint="eastAsia" w:ascii="宋体" w:hAnsi="宋体"/>
          <w:color w:val="auto"/>
          <w:sz w:val="24"/>
          <w:highlight w:val="none"/>
        </w:rPr>
        <w:t>。</w:t>
      </w:r>
    </w:p>
    <w:p>
      <w:pPr>
        <w:shd w:val="clear"/>
        <w:spacing w:line="360" w:lineRule="auto"/>
        <w:rPr>
          <w:rFonts w:ascii="宋体" w:hAnsi="宋体"/>
          <w:bCs/>
          <w:color w:val="auto"/>
          <w:sz w:val="24"/>
          <w:highlight w:val="none"/>
        </w:rPr>
      </w:pPr>
    </w:p>
    <w:p>
      <w:pPr>
        <w:shd w:val="clear"/>
        <w:spacing w:line="360" w:lineRule="auto"/>
        <w:rPr>
          <w:rFonts w:ascii="宋体" w:hAnsi="宋体"/>
          <w:bCs/>
          <w:color w:val="auto"/>
          <w:sz w:val="24"/>
          <w:highlight w:val="none"/>
        </w:rPr>
      </w:pPr>
      <w:r>
        <w:rPr>
          <w:rFonts w:hint="eastAsia" w:ascii="宋体" w:hAnsi="宋体"/>
          <w:bCs/>
          <w:color w:val="auto"/>
          <w:sz w:val="24"/>
          <w:highlight w:val="none"/>
        </w:rPr>
        <w:t>注：</w:t>
      </w:r>
    </w:p>
    <w:p>
      <w:pPr>
        <w:shd w:val="clear"/>
        <w:rPr>
          <w:rFonts w:ascii="宋体" w:hAnsi="宋体"/>
          <w:bCs/>
          <w:color w:val="auto"/>
          <w:sz w:val="24"/>
          <w:highlight w:val="none"/>
        </w:rPr>
      </w:pPr>
      <w:r>
        <w:rPr>
          <w:rFonts w:hint="eastAsia" w:ascii="宋体" w:hAnsi="宋体"/>
          <w:bCs/>
          <w:color w:val="auto"/>
          <w:sz w:val="24"/>
          <w:highlight w:val="none"/>
        </w:rPr>
        <w:t>1、本表格式及内容仅供参考，供应商也可提供自己的格式；</w:t>
      </w:r>
    </w:p>
    <w:p>
      <w:pPr>
        <w:shd w:val="clear"/>
        <w:rPr>
          <w:rFonts w:ascii="宋体" w:hAnsi="宋体"/>
          <w:bCs/>
          <w:color w:val="auto"/>
          <w:sz w:val="24"/>
          <w:highlight w:val="none"/>
        </w:rPr>
      </w:pPr>
      <w:r>
        <w:rPr>
          <w:rFonts w:hint="eastAsia" w:ascii="宋体" w:hAnsi="宋体"/>
          <w:bCs/>
          <w:color w:val="auto"/>
          <w:sz w:val="24"/>
          <w:highlight w:val="none"/>
        </w:rPr>
        <w:t>2、供应商存在以上所述失信行为的，将按照</w:t>
      </w:r>
      <w:r>
        <w:rPr>
          <w:rFonts w:hint="eastAsia" w:ascii="宋体" w:hAnsi="宋体"/>
          <w:color w:val="auto"/>
          <w:sz w:val="24"/>
          <w:highlight w:val="none"/>
        </w:rPr>
        <w:t>第二章供应商须知附表的要求进行处理；</w:t>
      </w:r>
    </w:p>
    <w:p>
      <w:pPr>
        <w:shd w:val="clear"/>
        <w:rPr>
          <w:rFonts w:ascii="宋体" w:hAnsi="宋体"/>
          <w:color w:val="auto"/>
          <w:kern w:val="0"/>
          <w:sz w:val="24"/>
          <w:highlight w:val="none"/>
        </w:rPr>
      </w:pPr>
      <w:r>
        <w:rPr>
          <w:rFonts w:hint="eastAsia" w:ascii="宋体" w:hAnsi="宋体"/>
          <w:bCs/>
          <w:color w:val="auto"/>
          <w:sz w:val="24"/>
          <w:highlight w:val="none"/>
        </w:rPr>
        <w:t>3、</w:t>
      </w:r>
      <w:r>
        <w:rPr>
          <w:rFonts w:ascii="宋体" w:hAnsi="宋体"/>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highlight w:val="none"/>
        </w:rPr>
        <w:t>确了有效期的，不再重复计算。</w:t>
      </w:r>
    </w:p>
    <w:p>
      <w:pPr>
        <w:shd w:val="clear"/>
        <w:rPr>
          <w:rFonts w:ascii="宋体" w:hAnsi="宋体"/>
          <w:bCs/>
          <w:color w:val="auto"/>
          <w:sz w:val="24"/>
          <w:highlight w:val="none"/>
        </w:rPr>
      </w:pPr>
      <w:r>
        <w:rPr>
          <w:rFonts w:hint="eastAsia" w:ascii="宋体" w:hAnsi="宋体"/>
          <w:color w:val="auto"/>
          <w:kern w:val="0"/>
          <w:sz w:val="24"/>
          <w:highlight w:val="none"/>
        </w:rPr>
        <w:t>4、</w:t>
      </w:r>
      <w:r>
        <w:rPr>
          <w:rFonts w:hint="eastAsia" w:ascii="宋体" w:hAnsi="宋体"/>
          <w:bCs/>
          <w:color w:val="auto"/>
          <w:sz w:val="24"/>
          <w:highlight w:val="none"/>
        </w:rPr>
        <w:t>供应商的失信行为受到行政处罚或司法惩处的，评审时不再对其以价格加成进行惩戒。</w:t>
      </w:r>
    </w:p>
    <w:p>
      <w:pPr>
        <w:shd w:val="clear"/>
        <w:spacing w:line="360" w:lineRule="auto"/>
        <w:rPr>
          <w:rFonts w:ascii="宋体" w:hAnsi="宋体"/>
          <w:b/>
          <w:color w:val="auto"/>
          <w:sz w:val="32"/>
          <w:szCs w:val="32"/>
          <w:highlight w:val="none"/>
        </w:rPr>
      </w:pPr>
      <w:r>
        <w:rPr>
          <w:rFonts w:hint="eastAsia" w:ascii="宋体" w:hAnsi="宋体"/>
          <w:bCs/>
          <w:color w:val="auto"/>
          <w:sz w:val="24"/>
          <w:highlight w:val="none"/>
        </w:rPr>
        <w:br w:type="page"/>
      </w:r>
    </w:p>
    <w:p>
      <w:pPr>
        <w:shd w:val="clear"/>
        <w:spacing w:line="360" w:lineRule="auto"/>
        <w:jc w:val="center"/>
        <w:rPr>
          <w:rFonts w:ascii="宋体" w:hAnsi="宋体"/>
          <w:b/>
          <w:color w:val="auto"/>
          <w:sz w:val="32"/>
          <w:szCs w:val="32"/>
          <w:highlight w:val="none"/>
        </w:rPr>
      </w:pPr>
      <w:bookmarkStart w:id="76" w:name="_Toc28495"/>
      <w:r>
        <w:rPr>
          <w:rFonts w:hint="eastAsia" w:ascii="宋体" w:hAnsi="宋体"/>
          <w:b/>
          <w:color w:val="auto"/>
          <w:sz w:val="32"/>
          <w:szCs w:val="32"/>
          <w:highlight w:val="none"/>
        </w:rPr>
        <w:t>十三、关于采购代理服务费的支付承诺</w:t>
      </w:r>
    </w:p>
    <w:p>
      <w:pPr>
        <w:widowControl/>
        <w:shd w:val="clear"/>
        <w:spacing w:line="360" w:lineRule="auto"/>
        <w:jc w:val="left"/>
        <w:outlineLvl w:val="1"/>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（采购代理机构名称）：</w:t>
      </w:r>
    </w:p>
    <w:p>
      <w:pPr>
        <w:widowControl/>
        <w:shd w:val="clear"/>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我公司作为本次采购项目的供应商，参与贵单位组织的“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采购活动，若我公司有幸成交，我公司承诺在领取成交通知书的同时，向贵公司一次性支付竞争性磋商文件规定的采购代理服务费。如因我公司自身原因造成取消成交资格或自愿放弃成交资格的，我公司支付的采购代理服务费不予退还，由此造成的损失由我方自行承担。</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hd w:val="clear"/>
        <w:spacing w:line="360" w:lineRule="auto"/>
        <w:jc w:val="center"/>
        <w:rPr>
          <w:rFonts w:ascii="宋体" w:hAnsi="宋体"/>
          <w:b/>
          <w:color w:val="auto"/>
          <w:sz w:val="24"/>
          <w:highlight w:val="none"/>
        </w:rPr>
      </w:pPr>
    </w:p>
    <w:p>
      <w:pPr>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（盖单位公章）</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法定代表人或授权代表（签字或加盖个人印章）：</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w:t>
      </w:r>
    </w:p>
    <w:p>
      <w:pPr>
        <w:widowControl/>
        <w:shd w:val="clear"/>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日期:</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w:t>
      </w:r>
    </w:p>
    <w:p>
      <w:pPr>
        <w:shd w:val="clear"/>
        <w:spacing w:line="360" w:lineRule="auto"/>
        <w:rPr>
          <w:rFonts w:ascii="宋体" w:hAnsi="宋体"/>
          <w:b/>
          <w:color w:val="auto"/>
          <w:sz w:val="32"/>
          <w:szCs w:val="32"/>
          <w:highlight w:val="none"/>
        </w:rPr>
      </w:pPr>
    </w:p>
    <w:p>
      <w:pPr>
        <w:pStyle w:val="2"/>
        <w:shd w:val="clear"/>
        <w:rPr>
          <w:color w:val="auto"/>
          <w:highlight w:val="none"/>
        </w:rPr>
      </w:pPr>
    </w:p>
    <w:p>
      <w:pPr>
        <w:pStyle w:val="2"/>
        <w:shd w:val="clear"/>
        <w:rPr>
          <w:color w:val="auto"/>
          <w:highlight w:val="none"/>
        </w:rPr>
      </w:pPr>
      <w:r>
        <w:rPr>
          <w:rFonts w:hint="eastAsia"/>
          <w:color w:val="auto"/>
          <w:highlight w:val="none"/>
        </w:rPr>
        <w:t>注：适用于第二章供应商须知附表中规定采购代理服务费由成交人支付，由采购人支付的，可不提供此承诺。</w:t>
      </w:r>
    </w:p>
    <w:p>
      <w:pPr>
        <w:shd w:val="clear"/>
        <w:spacing w:line="360" w:lineRule="auto"/>
        <w:jc w:val="center"/>
        <w:rPr>
          <w:rFonts w:ascii="宋体" w:hAnsi="宋体"/>
          <w:b/>
          <w:color w:val="auto"/>
          <w:sz w:val="32"/>
          <w:szCs w:val="32"/>
          <w:highlight w:val="none"/>
        </w:rPr>
      </w:pPr>
    </w:p>
    <w:p>
      <w:pPr>
        <w:pStyle w:val="2"/>
        <w:shd w:val="clear"/>
        <w:rPr>
          <w:color w:val="auto"/>
          <w:highlight w:val="none"/>
        </w:rPr>
      </w:pPr>
      <w:r>
        <w:rPr>
          <w:color w:val="auto"/>
          <w:highlight w:val="none"/>
        </w:rPr>
        <w:br w:type="page"/>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十四、联合体协议书</w:t>
      </w:r>
    </w:p>
    <w:p>
      <w:pPr>
        <w:shd w:val="clear"/>
        <w:spacing w:line="360" w:lineRule="auto"/>
        <w:ind w:firstLine="723" w:firstLineChars="300"/>
        <w:rPr>
          <w:rFonts w:ascii="宋体" w:hAnsi="宋体"/>
          <w:b/>
          <w:color w:val="auto"/>
          <w:sz w:val="24"/>
          <w:highlight w:val="none"/>
        </w:rPr>
      </w:pP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（所有成员单位名称）自愿组成</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（联合体名称）联合体，共同参加</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（项目名称）磋商。现就联合体磋商事宜订立如下协议。</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（某成员单位名称）为</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（联合体名称）牵头人。</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联合体牵头人合法代表联合体各成员负责本采购项目响应文件编制和合同磋商活动，并代表联合体提交和接收相关的资料、信息及指示，并处理与之有关的一切事务，负责合同实施阶段的主办、组织和协调工作。</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3、联合体将严格按照采购文件的各项要求，递交响应文件，履行合同，并对外承担连带责任。</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4、联合体各成员单位内部的职责分工如下：</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color w:val="auto"/>
          <w:sz w:val="24"/>
          <w:highlight w:val="none"/>
        </w:rPr>
        <w:t>。</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5、本协议书自签署之日起生效，合同履行完毕后自动失效。</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6、本协议书一式</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份，联合体成员和采购人各执一份。</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注：本协议书由委托代理人签字的，应附法定代表人签字的授权委托书。</w:t>
      </w:r>
    </w:p>
    <w:p>
      <w:pPr>
        <w:shd w:val="clear"/>
        <w:spacing w:line="360" w:lineRule="auto"/>
        <w:ind w:firstLine="480" w:firstLineChars="200"/>
        <w:rPr>
          <w:rFonts w:ascii="宋体" w:hAnsi="宋体"/>
          <w:color w:val="auto"/>
          <w:sz w:val="24"/>
          <w:highlight w:val="none"/>
        </w:rPr>
      </w:pP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牵头人名称：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hd w:val="clear"/>
        <w:spacing w:line="360" w:lineRule="auto"/>
        <w:ind w:firstLine="480" w:firstLineChars="200"/>
        <w:rPr>
          <w:rFonts w:ascii="宋体" w:hAnsi="宋体"/>
          <w:color w:val="auto"/>
          <w:sz w:val="24"/>
          <w:highlight w:val="none"/>
        </w:rPr>
      </w:pP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成员一名称：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hd w:val="clear"/>
        <w:spacing w:line="360" w:lineRule="auto"/>
        <w:ind w:firstLine="480" w:firstLineChars="200"/>
        <w:rPr>
          <w:rFonts w:ascii="宋体" w:hAnsi="宋体"/>
          <w:color w:val="auto"/>
          <w:sz w:val="24"/>
          <w:highlight w:val="none"/>
        </w:rPr>
      </w:pP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成员二名称：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hd w:val="clear"/>
        <w:spacing w:line="360" w:lineRule="auto"/>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hd w:val="clear"/>
        <w:spacing w:line="360" w:lineRule="auto"/>
        <w:ind w:firstLine="480" w:firstLineChars="200"/>
        <w:rPr>
          <w:rFonts w:ascii="宋体" w:hAnsi="宋体"/>
          <w:color w:val="auto"/>
          <w:sz w:val="24"/>
          <w:highlight w:val="none"/>
          <w:u w:val="single"/>
        </w:rPr>
      </w:pPr>
    </w:p>
    <w:p>
      <w:pPr>
        <w:shd w:val="clear"/>
        <w:ind w:right="420" w:firstLine="360" w:firstLineChars="15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hd w:val="clear"/>
        <w:ind w:right="420" w:firstLine="360" w:firstLineChars="150"/>
        <w:jc w:val="right"/>
        <w:rPr>
          <w:rFonts w:ascii="宋体" w:hAnsi="宋体"/>
          <w:color w:val="auto"/>
          <w:sz w:val="24"/>
          <w:highlight w:val="none"/>
        </w:rPr>
      </w:pPr>
    </w:p>
    <w:p>
      <w:pPr>
        <w:shd w:val="clear"/>
        <w:spacing w:line="360" w:lineRule="auto"/>
        <w:jc w:val="left"/>
        <w:rPr>
          <w:rFonts w:ascii="宋体" w:hAnsi="宋体"/>
          <w:color w:val="auto"/>
          <w:sz w:val="24"/>
          <w:highlight w:val="none"/>
        </w:rPr>
      </w:pPr>
      <w:r>
        <w:rPr>
          <w:rFonts w:hint="eastAsia" w:ascii="宋体" w:hAnsi="宋体"/>
          <w:color w:val="auto"/>
          <w:sz w:val="24"/>
          <w:highlight w:val="none"/>
        </w:rPr>
        <w:t>注：1、由代理人参加磋商的，联合体牵头人应按响应文件格式中的要求提供法定代表人身份证明书和法定代表人授权委托书。</w:t>
      </w:r>
    </w:p>
    <w:p>
      <w:pPr>
        <w:shd w:val="clear"/>
        <w:spacing w:line="360" w:lineRule="auto"/>
        <w:jc w:val="left"/>
        <w:rPr>
          <w:rFonts w:ascii="宋体" w:hAnsi="宋体"/>
          <w:color w:val="auto"/>
          <w:sz w:val="24"/>
          <w:highlight w:val="none"/>
        </w:rPr>
      </w:pPr>
      <w:r>
        <w:rPr>
          <w:rFonts w:hint="eastAsia" w:ascii="宋体" w:hAnsi="宋体"/>
          <w:color w:val="auto"/>
          <w:sz w:val="24"/>
          <w:highlight w:val="none"/>
        </w:rPr>
        <w:t>2、联合体各方签订共同投标协议书后，不得以自己的名义单独在同一项目中响应，也不得组成新的联合体参加同一项目的响应。</w:t>
      </w:r>
    </w:p>
    <w:p>
      <w:pPr>
        <w:shd w:val="clear"/>
        <w:spacing w:line="360" w:lineRule="auto"/>
        <w:jc w:val="left"/>
        <w:rPr>
          <w:rFonts w:ascii="宋体" w:hAnsi="宋体"/>
          <w:color w:val="auto"/>
          <w:sz w:val="24"/>
          <w:highlight w:val="none"/>
        </w:rPr>
      </w:pPr>
      <w:r>
        <w:rPr>
          <w:rFonts w:hint="eastAsia" w:ascii="宋体" w:hAnsi="宋体"/>
          <w:color w:val="auto"/>
          <w:sz w:val="24"/>
          <w:highlight w:val="none"/>
        </w:rPr>
        <w:t>3、联合体应当确定其中一个单位为响应的全权代表（牵头人），负责参加响应的一切事务，并承担响应及履约中应承担的全部责任与义务。</w:t>
      </w:r>
    </w:p>
    <w:p>
      <w:pPr>
        <w:shd w:val="clear"/>
        <w:spacing w:line="360" w:lineRule="auto"/>
        <w:jc w:val="left"/>
        <w:rPr>
          <w:rFonts w:ascii="宋体" w:hAnsi="宋体"/>
          <w:color w:val="auto"/>
          <w:sz w:val="24"/>
          <w:highlight w:val="none"/>
        </w:rPr>
      </w:pPr>
      <w:r>
        <w:rPr>
          <w:rFonts w:hint="eastAsia" w:ascii="宋体" w:hAnsi="宋体"/>
          <w:color w:val="auto"/>
          <w:sz w:val="24"/>
          <w:highlight w:val="none"/>
        </w:rPr>
        <w:t>4、为联合体磋商的，联合体各方均应满足供应商应具备的资格条件中第1条至第6条的要求，并按要求提供相关证明材料。</w:t>
      </w:r>
    </w:p>
    <w:p>
      <w:pPr>
        <w:shd w:val="clear"/>
        <w:spacing w:line="360" w:lineRule="auto"/>
        <w:jc w:val="left"/>
        <w:rPr>
          <w:rFonts w:ascii="宋体" w:hAnsi="宋体"/>
          <w:color w:val="auto"/>
          <w:sz w:val="24"/>
          <w:highlight w:val="none"/>
        </w:rPr>
      </w:pPr>
      <w:r>
        <w:rPr>
          <w:rFonts w:hint="eastAsia" w:ascii="宋体" w:hAnsi="宋体"/>
          <w:color w:val="auto"/>
          <w:sz w:val="24"/>
          <w:highlight w:val="none"/>
        </w:rPr>
        <w:t>5、联合体中有同类资质的供应商按照联合体分工承担相同工作的，应当按照资质等级较低的供应商确定资质等级。</w:t>
      </w:r>
    </w:p>
    <w:p>
      <w:pPr>
        <w:shd w:val="clear"/>
        <w:spacing w:line="360" w:lineRule="auto"/>
        <w:jc w:val="left"/>
        <w:rPr>
          <w:rFonts w:ascii="宋体" w:hAnsi="宋体"/>
          <w:color w:val="auto"/>
          <w:sz w:val="24"/>
          <w:highlight w:val="none"/>
        </w:rPr>
      </w:pPr>
      <w:r>
        <w:rPr>
          <w:rFonts w:hint="eastAsia" w:ascii="宋体" w:hAnsi="宋体"/>
          <w:color w:val="auto"/>
          <w:sz w:val="24"/>
          <w:highlight w:val="none"/>
        </w:rPr>
        <w:t>6、若未组成联合体，可不提供此协议书。</w:t>
      </w:r>
    </w:p>
    <w:p>
      <w:pPr>
        <w:widowControl/>
        <w:shd w:val="clear"/>
        <w:jc w:val="left"/>
        <w:rPr>
          <w:rFonts w:ascii="宋体" w:hAnsi="宋体"/>
          <w:color w:val="auto"/>
          <w:sz w:val="24"/>
          <w:highlight w:val="none"/>
        </w:rPr>
      </w:pPr>
      <w:r>
        <w:rPr>
          <w:rFonts w:ascii="宋体" w:hAnsi="宋体"/>
          <w:color w:val="auto"/>
          <w:sz w:val="24"/>
          <w:highlight w:val="none"/>
        </w:rPr>
        <w:br w:type="page"/>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十五、其他材料</w:t>
      </w: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p>
    <w:p>
      <w:pPr>
        <w:widowControl/>
        <w:shd w:val="clear"/>
        <w:spacing w:line="480" w:lineRule="auto"/>
        <w:ind w:firstLine="470" w:firstLineChars="196"/>
        <w:jc w:val="left"/>
        <w:outlineLvl w:val="1"/>
        <w:rPr>
          <w:rFonts w:ascii="宋体"/>
          <w:color w:val="auto"/>
          <w:sz w:val="24"/>
          <w:highlight w:val="none"/>
        </w:rPr>
      </w:pPr>
      <w:r>
        <w:rPr>
          <w:rFonts w:hint="eastAsia" w:ascii="宋体"/>
          <w:color w:val="auto"/>
          <w:sz w:val="24"/>
          <w:highlight w:val="none"/>
        </w:rPr>
        <w:t>注：供应商在响应文件中可以提供以上本章格式未列明其他材料。</w:t>
      </w: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widowControl/>
        <w:shd w:val="clear"/>
        <w:jc w:val="left"/>
        <w:rPr>
          <w:color w:val="auto"/>
          <w:highlight w:val="none"/>
        </w:rPr>
      </w:pPr>
    </w:p>
    <w:p>
      <w:pPr>
        <w:shd w:val="clear"/>
        <w:spacing w:line="360" w:lineRule="auto"/>
        <w:jc w:val="center"/>
        <w:rPr>
          <w:rFonts w:ascii="宋体" w:hAnsi="宋体"/>
          <w:b/>
          <w:color w:val="auto"/>
          <w:sz w:val="32"/>
          <w:szCs w:val="32"/>
          <w:highlight w:val="none"/>
        </w:rPr>
      </w:pPr>
    </w:p>
    <w:p>
      <w:pPr>
        <w:widowControl/>
        <w:shd w:val="clear"/>
        <w:jc w:val="left"/>
        <w:rPr>
          <w:rFonts w:ascii="宋体" w:hAnsi="宋体"/>
          <w:b/>
          <w:color w:val="auto"/>
          <w:sz w:val="32"/>
          <w:szCs w:val="32"/>
          <w:highlight w:val="none"/>
        </w:rPr>
      </w:pPr>
      <w:r>
        <w:rPr>
          <w:rFonts w:ascii="宋体" w:hAnsi="宋体"/>
          <w:b/>
          <w:color w:val="auto"/>
          <w:sz w:val="32"/>
          <w:szCs w:val="32"/>
          <w:highlight w:val="none"/>
        </w:rPr>
        <w:br w:type="page"/>
      </w:r>
    </w:p>
    <w:p>
      <w:pPr>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十六、最后报价表</w:t>
      </w:r>
    </w:p>
    <w:p>
      <w:pPr>
        <w:pStyle w:val="2"/>
        <w:shd w:val="clear"/>
        <w:rPr>
          <w:color w:val="auto"/>
          <w:highlight w:val="none"/>
        </w:rPr>
      </w:pPr>
    </w:p>
    <w:tbl>
      <w:tblPr>
        <w:tblStyle w:val="38"/>
        <w:tblW w:w="8379" w:type="dxa"/>
        <w:jc w:val="center"/>
        <w:tblLayout w:type="fixed"/>
        <w:tblCellMar>
          <w:top w:w="0" w:type="dxa"/>
          <w:left w:w="108" w:type="dxa"/>
          <w:bottom w:w="0" w:type="dxa"/>
          <w:right w:w="108" w:type="dxa"/>
        </w:tblCellMar>
      </w:tblPr>
      <w:tblGrid>
        <w:gridCol w:w="1716"/>
        <w:gridCol w:w="6663"/>
      </w:tblGrid>
      <w:tr>
        <w:tblPrEx>
          <w:tblCellMar>
            <w:top w:w="0" w:type="dxa"/>
            <w:left w:w="108" w:type="dxa"/>
            <w:bottom w:w="0" w:type="dxa"/>
            <w:right w:w="108" w:type="dxa"/>
          </w:tblCellMar>
        </w:tblPrEx>
        <w:trPr>
          <w:trHeight w:val="614"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6663" w:type="dxa"/>
            <w:tcBorders>
              <w:top w:val="single" w:color="auto" w:sz="4" w:space="0"/>
              <w:left w:val="nil"/>
              <w:bottom w:val="single" w:color="auto" w:sz="4" w:space="0"/>
              <w:right w:val="single" w:color="auto" w:sz="4" w:space="0"/>
            </w:tcBorders>
            <w:vAlign w:val="center"/>
          </w:tcPr>
          <w:p>
            <w:pPr>
              <w:widowControl/>
              <w:shd w:val="clear"/>
              <w:spacing w:line="400" w:lineRule="exact"/>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663" w:type="dxa"/>
            <w:tcBorders>
              <w:top w:val="single" w:color="auto" w:sz="4" w:space="0"/>
              <w:left w:val="nil"/>
              <w:bottom w:val="single" w:color="auto" w:sz="4" w:space="0"/>
              <w:right w:val="single" w:color="auto" w:sz="4" w:space="0"/>
            </w:tcBorders>
            <w:vAlign w:val="center"/>
          </w:tcPr>
          <w:p>
            <w:pPr>
              <w:widowControl/>
              <w:shd w:val="clear"/>
              <w:spacing w:line="400" w:lineRule="exact"/>
              <w:jc w:val="center"/>
              <w:rPr>
                <w:rFonts w:ascii="宋体" w:hAnsi="宋体"/>
                <w:color w:val="auto"/>
                <w:kern w:val="0"/>
                <w:sz w:val="24"/>
                <w:highlight w:val="none"/>
              </w:rPr>
            </w:pPr>
          </w:p>
        </w:tc>
      </w:tr>
      <w:tr>
        <w:tblPrEx>
          <w:tblCellMar>
            <w:top w:w="0" w:type="dxa"/>
            <w:left w:w="108" w:type="dxa"/>
            <w:bottom w:w="0" w:type="dxa"/>
            <w:right w:w="108" w:type="dxa"/>
          </w:tblCellMar>
        </w:tblPrEx>
        <w:trPr>
          <w:trHeight w:val="1271"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最后报价</w:t>
            </w:r>
          </w:p>
        </w:tc>
        <w:tc>
          <w:tcPr>
            <w:tcW w:w="6663" w:type="dxa"/>
            <w:tcBorders>
              <w:top w:val="single" w:color="auto" w:sz="4" w:space="0"/>
              <w:left w:val="nil"/>
              <w:bottom w:val="single" w:color="auto" w:sz="4" w:space="0"/>
              <w:right w:val="single" w:color="auto" w:sz="4" w:space="0"/>
            </w:tcBorders>
            <w:vAlign w:val="center"/>
          </w:tcPr>
          <w:p>
            <w:pPr>
              <w:widowControl/>
              <w:shd w:val="clear"/>
              <w:spacing w:line="360" w:lineRule="auto"/>
              <w:rPr>
                <w:rFonts w:ascii="宋体" w:hAnsi="宋体"/>
                <w:b/>
                <w:color w:val="auto"/>
                <w:sz w:val="24"/>
                <w:highlight w:val="none"/>
              </w:rPr>
            </w:pPr>
            <w:r>
              <w:rPr>
                <w:rFonts w:hint="eastAsia" w:ascii="宋体" w:hAnsi="宋体"/>
                <w:b/>
                <w:color w:val="auto"/>
                <w:sz w:val="24"/>
                <w:highlight w:val="none"/>
              </w:rPr>
              <w:t>人民币小写：</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rPr>
              <w:t>元</w:t>
            </w:r>
          </w:p>
          <w:p>
            <w:pPr>
              <w:widowControl/>
              <w:shd w:val="clear"/>
              <w:spacing w:line="360" w:lineRule="auto"/>
              <w:rPr>
                <w:rFonts w:ascii="宋体" w:hAnsi="宋体"/>
                <w:b/>
                <w:color w:val="auto"/>
                <w:sz w:val="24"/>
                <w:highlight w:val="none"/>
              </w:rPr>
            </w:pPr>
            <w:r>
              <w:rPr>
                <w:rFonts w:hint="eastAsia" w:ascii="宋体" w:hAnsi="宋体"/>
                <w:b/>
                <w:color w:val="auto"/>
                <w:sz w:val="24"/>
                <w:highlight w:val="none"/>
              </w:rPr>
              <w:t>人民币大写：</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p>
        </w:tc>
      </w:tr>
      <w:tr>
        <w:tblPrEx>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hd w:val="clea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6663" w:type="dxa"/>
            <w:tcBorders>
              <w:top w:val="single" w:color="auto" w:sz="4" w:space="0"/>
              <w:left w:val="nil"/>
              <w:bottom w:val="single" w:color="auto" w:sz="4" w:space="0"/>
              <w:right w:val="single" w:color="auto" w:sz="4" w:space="0"/>
            </w:tcBorders>
            <w:vAlign w:val="center"/>
          </w:tcPr>
          <w:p>
            <w:pPr>
              <w:widowControl/>
              <w:shd w:val="clear"/>
              <w:spacing w:line="400" w:lineRule="exact"/>
              <w:rPr>
                <w:rFonts w:ascii="宋体" w:hAnsi="宋体"/>
                <w:b/>
                <w:color w:val="auto"/>
                <w:sz w:val="24"/>
                <w:highlight w:val="none"/>
              </w:rPr>
            </w:pPr>
          </w:p>
        </w:tc>
      </w:tr>
    </w:tbl>
    <w:p>
      <w:pPr>
        <w:pStyle w:val="2"/>
        <w:shd w:val="clear"/>
        <w:rPr>
          <w:color w:val="auto"/>
          <w:highlight w:val="none"/>
        </w:rPr>
      </w:pPr>
    </w:p>
    <w:p>
      <w:pPr>
        <w:shd w:val="clea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hd w:val="clea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法定代表人/单位负责人或授权代表（签字）：</w:t>
      </w:r>
      <w:r>
        <w:rPr>
          <w:rFonts w:hint="eastAsia" w:ascii="宋体" w:hAnsi="宋体"/>
          <w:color w:val="auto"/>
          <w:sz w:val="24"/>
          <w:highlight w:val="none"/>
          <w:u w:val="single"/>
        </w:rPr>
        <w:t xml:space="preserve">               </w:t>
      </w:r>
    </w:p>
    <w:p>
      <w:pPr>
        <w:pStyle w:val="15"/>
        <w:shd w:val="clear"/>
        <w:spacing w:line="360" w:lineRule="auto"/>
        <w:ind w:firstLine="480"/>
        <w:rPr>
          <w:rFonts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注：</w:t>
      </w:r>
    </w:p>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最后报价表不需要封装在响应文件中</w:t>
      </w:r>
      <w:r>
        <w:rPr>
          <w:rFonts w:hint="eastAsia" w:ascii="宋体" w:hAnsi="宋体" w:cs="宋体"/>
          <w:color w:val="auto"/>
          <w:sz w:val="24"/>
          <w:highlight w:val="none"/>
        </w:rPr>
        <w:t>；</w:t>
      </w:r>
    </w:p>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2、最后报价表是磋商结束后，供应商填写，由法定代表人/单位负责人或授权代表签字后密封递交给采购代理机构工作人员，由其收集齐后集中递交磋商小组；</w:t>
      </w:r>
    </w:p>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3、最后报价表供应商可在最后报价时手工填写，也可提前填写；</w:t>
      </w:r>
    </w:p>
    <w:p>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4、最后报价包括磋商文件规定的全部相应内容的报价，最后报价只报总价的，各分项报价按总价同比下浮计算。</w:t>
      </w:r>
    </w:p>
    <w:p>
      <w:pPr>
        <w:shd w:val="clear"/>
        <w:spacing w:line="400" w:lineRule="exact"/>
        <w:rPr>
          <w:rFonts w:ascii="宋体" w:hAnsi="宋体" w:cs="宋体"/>
          <w:color w:val="auto"/>
          <w:sz w:val="24"/>
          <w:highlight w:val="none"/>
        </w:rPr>
      </w:pPr>
    </w:p>
    <w:p>
      <w:pPr>
        <w:widowControl/>
        <w:shd w:val="clear"/>
        <w:jc w:val="left"/>
        <w:rPr>
          <w:rFonts w:ascii="宋体" w:hAnsi="宋体"/>
          <w:b/>
          <w:color w:val="auto"/>
          <w:sz w:val="32"/>
          <w:szCs w:val="32"/>
          <w:highlight w:val="none"/>
        </w:rPr>
      </w:pPr>
    </w:p>
    <w:p>
      <w:pPr>
        <w:widowControl/>
        <w:shd w:val="clear"/>
        <w:jc w:val="left"/>
        <w:rPr>
          <w:rFonts w:ascii="宋体" w:cs="宋体"/>
          <w:color w:val="auto"/>
          <w:kern w:val="0"/>
          <w:sz w:val="24"/>
          <w:highlight w:val="none"/>
        </w:rPr>
      </w:pPr>
      <w:r>
        <w:rPr>
          <w:color w:val="auto"/>
          <w:highlight w:val="none"/>
        </w:rPr>
        <w:br w:type="page"/>
      </w:r>
    </w:p>
    <w:p>
      <w:pPr>
        <w:pStyle w:val="2"/>
        <w:shd w:val="clear"/>
        <w:rPr>
          <w:color w:val="auto"/>
          <w:highlight w:val="none"/>
        </w:rPr>
        <w:sectPr>
          <w:footerReference r:id="rId11" w:type="default"/>
          <w:pgSz w:w="11906" w:h="16838"/>
          <w:pgMar w:top="1440" w:right="1800" w:bottom="1440" w:left="1800" w:header="851" w:footer="992" w:gutter="0"/>
          <w:cols w:space="720" w:num="1"/>
          <w:docGrid w:type="lines" w:linePitch="312" w:charSpace="0"/>
        </w:sectPr>
      </w:pPr>
    </w:p>
    <w:bookmarkEnd w:id="76"/>
    <w:p>
      <w:pPr>
        <w:pStyle w:val="3"/>
        <w:shd w:val="clear"/>
        <w:spacing w:line="400" w:lineRule="exact"/>
        <w:jc w:val="center"/>
        <w:rPr>
          <w:rFonts w:ascii="宋体" w:hAnsi="宋体"/>
          <w:color w:val="auto"/>
          <w:sz w:val="36"/>
          <w:szCs w:val="36"/>
          <w:highlight w:val="none"/>
        </w:rPr>
      </w:pPr>
      <w:bookmarkStart w:id="77" w:name="_Toc24786"/>
      <w:bookmarkStart w:id="78" w:name="_Toc53267589"/>
      <w:r>
        <w:rPr>
          <w:rFonts w:hint="eastAsia" w:ascii="宋体" w:hAnsi="宋体"/>
          <w:color w:val="auto"/>
          <w:sz w:val="36"/>
          <w:szCs w:val="36"/>
          <w:highlight w:val="none"/>
        </w:rPr>
        <w:t>第九章  评</w:t>
      </w:r>
      <w:bookmarkEnd w:id="77"/>
      <w:bookmarkStart w:id="79" w:name="_Hlt101846155"/>
      <w:bookmarkEnd w:id="79"/>
      <w:bookmarkStart w:id="80" w:name="_Toc183582280"/>
      <w:bookmarkStart w:id="81" w:name="_Toc208849007"/>
      <w:bookmarkStart w:id="82" w:name="_Toc217446097"/>
      <w:bookmarkStart w:id="83" w:name="_Toc183682415"/>
      <w:r>
        <w:rPr>
          <w:rFonts w:hint="eastAsia" w:ascii="宋体" w:hAnsi="宋体"/>
          <w:color w:val="auto"/>
          <w:sz w:val="36"/>
          <w:szCs w:val="36"/>
          <w:highlight w:val="none"/>
        </w:rPr>
        <w:t>审方法</w:t>
      </w:r>
      <w:bookmarkEnd w:id="78"/>
    </w:p>
    <w:p>
      <w:pPr>
        <w:pStyle w:val="4"/>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1. 总则</w:t>
      </w:r>
      <w:bookmarkEnd w:id="80"/>
      <w:bookmarkEnd w:id="81"/>
      <w:bookmarkEnd w:id="82"/>
      <w:bookmarkEnd w:id="83"/>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根据《中华人民共和国政府采购法》、《中华人民共和国政府采购法实施条例》、《政府采购竞争性磋商采购方式管理暂行办法》等法律制度，结合本采购项目特点制定本次磋商采购评审方法。</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磋商工作由采购代理机构负责组织，具体磋商由采购代理机构依法组建的磋商小组负责。</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 磋商工作应遵循公平、公正、科学及择优的原则，并以相同的磋商程序和标准对待所有的供应商。</w:t>
      </w:r>
    </w:p>
    <w:p>
      <w:pPr>
        <w:shd w:val="clear"/>
        <w:spacing w:line="400" w:lineRule="exact"/>
        <w:ind w:firstLine="480" w:firstLineChars="200"/>
        <w:rPr>
          <w:rFonts w:ascii="宋体" w:hAnsi="宋体"/>
          <w:color w:val="auto"/>
          <w:sz w:val="24"/>
          <w:highlight w:val="none"/>
        </w:rPr>
      </w:pPr>
      <w:bookmarkStart w:id="84" w:name="_Toc217446098"/>
      <w:r>
        <w:rPr>
          <w:rFonts w:hint="eastAsia" w:ascii="宋体" w:hAnsi="宋体"/>
          <w:color w:val="auto"/>
          <w:sz w:val="24"/>
          <w:highlight w:val="none"/>
        </w:rPr>
        <w:t>1.4 磋商小组按照磋商文件规定的磋商程序、评分方法和标准进行评审，并独立履行下列职责：</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（二）审查供应商响应文件是否满足磋商文件要求，并作出公正评价；</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（三）根据需要要求供应商对响应文件中含义不明确、同类问题表述不一致或者有明显文字和计算错误的内容等作出必要的澄清、说明或者更正；</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（四）推荐成交供应商，或者受采购人委托确定成交供应商；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（五）起草评审报告并进行签署；</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（六）向采购人、采购代理机构、财政部门或者其他监督部门报告非法干预评审工作的行为；</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（七）法律、法规和规章规定的其他职责。</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1.5磋商过程独立、保密。供应商非法干预磋商过程的，其响应文件作无效处理。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磋商评审响应文件的响应性，除磋商小组要求其澄清、说明或者更正而提供的资料外，仅依据响应文件本身的内容，不寻求其他外部证据。</w:t>
      </w:r>
    </w:p>
    <w:p>
      <w:pPr>
        <w:pStyle w:val="4"/>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2、</w:t>
      </w:r>
      <w:bookmarkEnd w:id="84"/>
      <w:bookmarkStart w:id="85" w:name="_Toc217446103"/>
      <w:bookmarkStart w:id="86" w:name="_Toc217446099"/>
      <w:r>
        <w:rPr>
          <w:rFonts w:hint="eastAsia" w:ascii="宋体" w:hAnsi="宋体" w:eastAsia="宋体"/>
          <w:color w:val="auto"/>
          <w:sz w:val="24"/>
          <w:szCs w:val="24"/>
          <w:highlight w:val="none"/>
        </w:rPr>
        <w:t>磋商程序</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2.1审查磋商文件和停止评审。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2.1.2 本磋商文件有下列情形之一的，磋商小组应当停止评审：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（1）磋商文件的规定存在歧义、重大缺陷，导致评审无法进行的；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（2）磋商文件明显以不合理条件对供应商实行差别待遇或者歧视待遇的；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（3）采购项目属于国家规定的优先、强制采购范围，但是磋商文件未依法体现优先、强制采购相关规定的；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（4）采购项目属于政府采购促进中小企业发展的范围，但是磋商文件未依法体现促进中小企业发展相关规定的；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（5）磋商文件将供应商的资格条件列为评分因素的；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（6）磋商文件载明的成交原则不合法的；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（7）磋商文件有违反国家其他有关强制性规定的情形。</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2.1.3 出现本条2.1.2规定应当停止评审情形的，磋商小组应当向采购组织单位书面书面说明情况。除2.1.2规定的情形外，磋商小组不得以任何方式和理由停止评审。</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2.2资格性审查。</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本项目需要磋商小组进行资格性检查。</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2.2.1磋商小组应依据法律法规和磋商文件的规定，对响应文件是否按照规定要求提供资格性证明材料、是否属于禁止参加磋商的供应商等进行审查，以确定供应商是否具备磋商资格。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2.2.4采购人或者采购代理机构宣布未通过资格性审查的供应商名单时，应当告知供应商未通过审查的原因。</w:t>
      </w:r>
    </w:p>
    <w:p>
      <w:pPr>
        <w:pStyle w:val="4"/>
        <w:keepNext w:val="0"/>
        <w:keepLines w:val="0"/>
        <w:shd w:val="clear"/>
        <w:spacing w:before="0" w:after="0" w:line="400" w:lineRule="exac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2.3通过资格性审查的供应商不足三家的处理办法</w:t>
      </w:r>
    </w:p>
    <w:p>
      <w:pPr>
        <w:pStyle w:val="4"/>
        <w:keepNext w:val="0"/>
        <w:keepLines w:val="0"/>
        <w:shd w:val="clear"/>
        <w:spacing w:before="0" w:after="0" w:line="400" w:lineRule="exac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2.3.1根据《政府采购竞争性磋商采购方式管理暂行办法》财办库[2014]214号的规定：市场竞争不充分的科研项目，以及需要扶持的科技成果转化项目，提交最后报价的供应商可以为2家；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pPr>
        <w:pStyle w:val="4"/>
        <w:keepNext w:val="0"/>
        <w:keepLines w:val="0"/>
        <w:shd w:val="clear"/>
        <w:spacing w:before="0" w:after="0" w:line="400" w:lineRule="exact"/>
        <w:ind w:firstLine="470" w:firstLineChars="196"/>
        <w:rPr>
          <w:color w:val="auto"/>
          <w:highlight w:val="none"/>
        </w:rPr>
      </w:pPr>
      <w:r>
        <w:rPr>
          <w:rFonts w:hint="eastAsia" w:ascii="宋体" w:hAnsi="宋体" w:eastAsia="宋体"/>
          <w:b w:val="0"/>
          <w:color w:val="auto"/>
          <w:sz w:val="24"/>
          <w:szCs w:val="24"/>
          <w:highlight w:val="none"/>
        </w:rPr>
        <w:t>2.3.2通过资格性审查的供应商不足</w:t>
      </w:r>
      <w:r>
        <w:rPr>
          <w:rFonts w:hint="eastAsia" w:ascii="宋体" w:hAnsi="宋体" w:eastAsia="宋体"/>
          <w:b w:val="0"/>
          <w:color w:val="auto"/>
          <w:sz w:val="24"/>
          <w:highlight w:val="none"/>
        </w:rPr>
        <w:t>3</w:t>
      </w:r>
      <w:r>
        <w:rPr>
          <w:rFonts w:hint="eastAsia" w:ascii="宋体" w:hAnsi="宋体" w:eastAsia="宋体"/>
          <w:b w:val="0"/>
          <w:color w:val="auto"/>
          <w:sz w:val="24"/>
          <w:szCs w:val="24"/>
          <w:highlight w:val="none"/>
        </w:rPr>
        <w:t>家的（符合本章2.3.1款规定可以为2家），终止本次采购活动，并发布终止采购活动公告。</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2.4磋商。</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2.4.2每轮磋商开始前，磋商小组应根据磋商文件的规定，并结合各供应商的响应文件拟定磋商内容。</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2.4.4对磋商文件作出的实质性变动是磋商文件的有效组成部分，磋商小组应当及时以书面形式同时通知所有参加磋商的供应商。</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2.4.6磋商过程中，磋商的任何一方不得透露与磋商有关的其他供应商的技术资料、价格和其他信息。</w:t>
      </w:r>
    </w:p>
    <w:p>
      <w:pPr>
        <w:pStyle w:val="4"/>
        <w:keepNext w:val="0"/>
        <w:keepLines w:val="0"/>
        <w:shd w:val="clear"/>
        <w:spacing w:before="0" w:after="0" w:line="400" w:lineRule="atLeast"/>
        <w:ind w:firstLine="470" w:firstLineChars="196"/>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2.4.7磋商过程中，磋商小组发现或者知晓供应商存在违法、违纪行为的，磋商小组应当将该供应商响应文件作无效处理，不允许其提交最后报价。</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2.4.8磋商完成后，磋商小组应出具磋商情况记录表，磋商情况记录表需包含磋商内容、磋商意见、实质性变动内容等。</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2.5最后报价。</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3家（符合本章2.3.1款规定可以为2家）。或磋商文件不能详细列明采购标的的技术、服务要求，需经磋商由供应商提供最终设计方案或解决方案的，磋商结束后，磋商小组应当按照少数服从多数的原则投票推荐3家（符合本章2.3.1款规定可以为2家）以上供应商的设计方案或者解决方案，并要求其在规定时间内提交最后报价。</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2.5.3供应商最后报价应当由法定代表人或其授权代表签字确认或加盖公章。最后报价是供应商响应文件的有效组成部分。</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2.6比较与评价。由磋商小组采用综合评分法对提交最后报价的供应商的响应文件和最后报价进行综合评分，具体要求详见本章综合评分部分。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2.7推荐成交候选供应商。磋商小组应当根据综合评分情况，按照评审得分由高到低顺序推荐3家（符合本章2.3.1款规定可以为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2.9采购组织单位现场复核评审结果。</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（1）资格性审查认定错误的；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（2）分值汇总计算错误的；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（3）分项评分超出评分标准范围的；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（4）客观评分不一致的。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采购代理机构复核过程中，磋商小组成员不得离开评审现场。</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2.9.2有下列情形之一的，不得现场修改评审结果：</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（1）磋商小组已经出具磋商报告并且离开评审现场的；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（2）采购代理机构现场复核时，复核工作人员数量不足的；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（3）采购代理机构现场复核时，没有采购监督人员现场监督的；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（4）采购代理机构现场复核内容超出规定范围的；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（5）采购代理机构未提供书面建议的。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2.10编写磋商报告。磋商小组推荐成交候选供应商后，应向采购代理机构出具磋商报告。磋商报告应当包括以下主要内容：</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（1）邀请供应商参加采购活动的具体方式和相关情况；</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（2）响应文件开启日期和地点；</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（3）获取磋商文件的供应商名单和磋商小组成员名单；</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（4）评审情况记录和说明，包括对供应商的资格审查情况、供应商响应文件审查情况、磋商情况、报价情况等；</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（5）提出的成交候选供应商的排序名单及理由。</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2.12供应商澄清、说明</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2.12.2磋商小组要求供应商澄清、说明或者更正响应文件应当以书面形式作出。供应商的澄清、说明或者更正应当由法定代表人或其授权代表签字或者加盖公章。</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2.13终止磋商采购活动。</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出现下列情形之一的，采购人或者采购代理机构应当终止竞争性磋商采购活动，发布项目终止公告并说明原因，重新开展采购活动：</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（1）因情况变化，不再符合规定的竞争性磋商采购方式适用情形的；</w:t>
      </w:r>
    </w:p>
    <w:p>
      <w:pPr>
        <w:shd w:val="clea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（3）在采购过程中符合要求的供应商或者报价未超过采购预算的供应商不足3家（符合本章2.3.1款规定可以为2家）的。</w:t>
      </w:r>
    </w:p>
    <w:p>
      <w:pPr>
        <w:pStyle w:val="4"/>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3. </w:t>
      </w:r>
      <w:bookmarkEnd w:id="85"/>
      <w:r>
        <w:rPr>
          <w:rFonts w:hint="eastAsia" w:ascii="宋体" w:hAnsi="宋体" w:eastAsia="宋体"/>
          <w:color w:val="auto"/>
          <w:sz w:val="24"/>
          <w:szCs w:val="24"/>
          <w:highlight w:val="none"/>
        </w:rPr>
        <w:t>综合评分</w:t>
      </w:r>
    </w:p>
    <w:p>
      <w:pPr>
        <w:pStyle w:val="66"/>
        <w:shd w:val="clear"/>
        <w:spacing w:line="400" w:lineRule="exact"/>
        <w:ind w:firstLine="480" w:firstLineChars="200"/>
        <w:jc w:val="both"/>
        <w:rPr>
          <w:color w:val="auto"/>
          <w:highlight w:val="none"/>
        </w:rPr>
      </w:pPr>
      <w:r>
        <w:rPr>
          <w:rFonts w:hint="eastAsia"/>
          <w:color w:val="auto"/>
          <w:highlight w:val="none"/>
        </w:rPr>
        <w:t>3.1 本次综合评分的因素详见综合评分明细表。</w:t>
      </w:r>
    </w:p>
    <w:p>
      <w:pPr>
        <w:pStyle w:val="66"/>
        <w:shd w:val="clear"/>
        <w:spacing w:line="400" w:lineRule="exact"/>
        <w:ind w:firstLine="480" w:firstLineChars="200"/>
        <w:jc w:val="both"/>
        <w:rPr>
          <w:color w:val="auto"/>
          <w:highlight w:val="none"/>
        </w:rPr>
      </w:pPr>
      <w:r>
        <w:rPr>
          <w:rFonts w:hint="eastAsia"/>
          <w:color w:val="auto"/>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66"/>
        <w:shd w:val="clear"/>
        <w:spacing w:line="400" w:lineRule="exact"/>
        <w:ind w:firstLine="480" w:firstLineChars="200"/>
        <w:jc w:val="both"/>
        <w:rPr>
          <w:color w:val="auto"/>
          <w:highlight w:val="none"/>
        </w:rPr>
      </w:pPr>
      <w:r>
        <w:rPr>
          <w:rFonts w:hint="eastAsia"/>
          <w:color w:val="auto"/>
          <w:highlight w:val="none"/>
        </w:rPr>
        <w:t>3.3综合评分明细表</w:t>
      </w:r>
    </w:p>
    <w:p>
      <w:pPr>
        <w:pStyle w:val="66"/>
        <w:shd w:val="clear"/>
        <w:spacing w:line="400" w:lineRule="exact"/>
        <w:ind w:firstLine="480" w:firstLineChars="200"/>
        <w:jc w:val="both"/>
        <w:rPr>
          <w:color w:val="auto"/>
          <w:highlight w:val="none"/>
        </w:rPr>
      </w:pPr>
      <w:r>
        <w:rPr>
          <w:rFonts w:hint="eastAsia"/>
          <w:color w:val="auto"/>
          <w:highlight w:val="none"/>
        </w:rPr>
        <w:t>3.3.1综合评分明细表的制定以科学合理、降低评委会自由裁量权为原则。</w:t>
      </w:r>
    </w:p>
    <w:p>
      <w:pPr>
        <w:pStyle w:val="66"/>
        <w:shd w:val="clear"/>
        <w:spacing w:line="400" w:lineRule="exact"/>
        <w:ind w:firstLine="480" w:firstLineChars="200"/>
        <w:jc w:val="both"/>
        <w:rPr>
          <w:color w:val="auto"/>
          <w:highlight w:val="none"/>
        </w:rPr>
      </w:pPr>
      <w:r>
        <w:rPr>
          <w:rFonts w:hint="eastAsia"/>
          <w:color w:val="auto"/>
          <w:highlight w:val="none"/>
        </w:rPr>
        <w:t>3.3.2 综合评分明细表中的报价应先按供应商须知附表中的相关要求进行价格调整，再进行报价评分。</w:t>
      </w:r>
    </w:p>
    <w:p>
      <w:pPr>
        <w:pStyle w:val="66"/>
        <w:shd w:val="clear"/>
        <w:spacing w:line="400" w:lineRule="exact"/>
        <w:ind w:firstLine="480" w:firstLineChars="200"/>
        <w:jc w:val="both"/>
        <w:rPr>
          <w:color w:val="auto"/>
          <w:highlight w:val="none"/>
        </w:rPr>
      </w:pPr>
      <w:r>
        <w:rPr>
          <w:rFonts w:hint="eastAsia"/>
          <w:color w:val="auto"/>
          <w:highlight w:val="none"/>
        </w:rPr>
        <w:t>3.3.3综合评分明细表</w:t>
      </w:r>
    </w:p>
    <w:p>
      <w:pPr>
        <w:pStyle w:val="19"/>
        <w:shd w:val="clear"/>
        <w:tabs>
          <w:tab w:val="left" w:pos="600"/>
        </w:tabs>
        <w:spacing w:line="400" w:lineRule="exact"/>
        <w:ind w:firstLine="482" w:firstLineChars="200"/>
        <w:rPr>
          <w:rFonts w:ascii="宋体" w:hAnsi="宋体"/>
          <w:b/>
          <w:color w:val="auto"/>
          <w:sz w:val="24"/>
          <w:szCs w:val="24"/>
          <w:highlight w:val="none"/>
        </w:rPr>
      </w:pPr>
    </w:p>
    <w:tbl>
      <w:tblPr>
        <w:tblStyle w:val="38"/>
        <w:tblW w:w="1019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082"/>
        <w:gridCol w:w="1167"/>
        <w:gridCol w:w="5162"/>
        <w:gridCol w:w="21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18" w:space="0"/>
              <w:left w:val="single" w:color="auto" w:sz="18" w:space="0"/>
              <w:bottom w:val="single" w:color="auto" w:sz="6" w:space="0"/>
              <w:right w:val="single" w:color="auto" w:sz="6" w:space="0"/>
            </w:tcBorders>
            <w:vAlign w:val="center"/>
          </w:tcPr>
          <w:p>
            <w:pPr>
              <w:pStyle w:val="35"/>
              <w:widowControl w:val="0"/>
              <w:shd w:val="clear"/>
              <w:jc w:val="center"/>
              <w:rPr>
                <w:bCs/>
                <w:color w:val="auto"/>
                <w:sz w:val="21"/>
                <w:szCs w:val="21"/>
                <w:highlight w:val="none"/>
              </w:rPr>
            </w:pPr>
            <w:bookmarkStart w:id="87" w:name="_Toc217446060"/>
            <w:r>
              <w:rPr>
                <w:rFonts w:hint="eastAsia"/>
                <w:bCs/>
                <w:color w:val="auto"/>
                <w:kern w:val="2"/>
                <w:sz w:val="21"/>
                <w:szCs w:val="21"/>
                <w:highlight w:val="none"/>
              </w:rPr>
              <w:t>序号</w:t>
            </w:r>
          </w:p>
        </w:tc>
        <w:tc>
          <w:tcPr>
            <w:tcW w:w="1082" w:type="dxa"/>
            <w:tcBorders>
              <w:top w:val="single" w:color="auto" w:sz="18" w:space="0"/>
              <w:left w:val="single" w:color="auto" w:sz="6" w:space="0"/>
              <w:bottom w:val="single" w:color="auto" w:sz="6"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评分因素</w:t>
            </w:r>
          </w:p>
        </w:tc>
        <w:tc>
          <w:tcPr>
            <w:tcW w:w="1167" w:type="dxa"/>
            <w:tcBorders>
              <w:top w:val="single" w:color="auto" w:sz="18" w:space="0"/>
              <w:left w:val="single" w:color="auto" w:sz="6" w:space="0"/>
              <w:bottom w:val="single" w:color="auto" w:sz="6"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分值</w:t>
            </w:r>
          </w:p>
        </w:tc>
        <w:tc>
          <w:tcPr>
            <w:tcW w:w="5162" w:type="dxa"/>
            <w:tcBorders>
              <w:top w:val="single" w:color="auto" w:sz="18" w:space="0"/>
              <w:left w:val="single" w:color="auto" w:sz="6" w:space="0"/>
              <w:bottom w:val="single" w:color="auto" w:sz="6"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评分要求</w:t>
            </w:r>
          </w:p>
        </w:tc>
        <w:tc>
          <w:tcPr>
            <w:tcW w:w="2121" w:type="dxa"/>
            <w:tcBorders>
              <w:top w:val="single" w:color="auto" w:sz="18" w:space="0"/>
              <w:left w:val="single" w:color="auto" w:sz="6" w:space="0"/>
              <w:bottom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说明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tcBorders>
              <w:top w:val="single" w:color="auto" w:sz="6" w:space="0"/>
              <w:left w:val="single" w:color="auto" w:sz="18" w:space="0"/>
              <w:bottom w:val="single" w:color="auto" w:sz="6" w:space="0"/>
              <w:right w:val="single" w:color="auto" w:sz="6"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2" w:type="dxa"/>
            <w:tcBorders>
              <w:top w:val="single" w:color="auto" w:sz="6" w:space="0"/>
              <w:left w:val="single" w:color="auto" w:sz="6" w:space="0"/>
              <w:bottom w:val="single" w:color="auto" w:sz="6" w:space="0"/>
              <w:right w:val="single" w:color="auto" w:sz="6"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报价10%</w:t>
            </w:r>
          </w:p>
        </w:tc>
        <w:tc>
          <w:tcPr>
            <w:tcW w:w="1167" w:type="dxa"/>
            <w:tcBorders>
              <w:top w:val="single" w:color="auto" w:sz="6" w:space="0"/>
              <w:left w:val="single" w:color="auto" w:sz="6" w:space="0"/>
              <w:bottom w:val="single" w:color="auto" w:sz="6" w:space="0"/>
              <w:right w:val="single" w:color="auto" w:sz="6"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162" w:type="dxa"/>
            <w:tcBorders>
              <w:top w:val="single" w:color="auto" w:sz="6" w:space="0"/>
              <w:left w:val="single" w:color="auto" w:sz="6" w:space="0"/>
              <w:bottom w:val="single" w:color="auto" w:sz="6" w:space="0"/>
              <w:right w:val="single" w:color="auto" w:sz="6" w:space="0"/>
            </w:tcBorders>
            <w:vAlign w:val="center"/>
          </w:tcPr>
          <w:p>
            <w:pPr>
              <w:shd w:val="clear"/>
              <w:jc w:val="left"/>
              <w:rPr>
                <w:rFonts w:ascii="宋体" w:hAnsi="宋体" w:cs="宋体"/>
                <w:color w:val="auto"/>
                <w:szCs w:val="21"/>
                <w:highlight w:val="none"/>
              </w:rPr>
            </w:pPr>
            <w:r>
              <w:rPr>
                <w:rFonts w:hint="eastAsia" w:ascii="宋体" w:hAnsi="宋体" w:cs="宋体"/>
                <w:color w:val="auto"/>
                <w:szCs w:val="21"/>
                <w:highlight w:val="none"/>
              </w:rPr>
              <w:t>满足磋商文件要求且响应价格最低的报价为评标基准价，其价格分为满分。其他供应商的价格分统一按照下列公式计算：报价得分=（评标基准价/响应报价）×10。</w:t>
            </w:r>
          </w:p>
        </w:tc>
        <w:tc>
          <w:tcPr>
            <w:tcW w:w="2121" w:type="dxa"/>
            <w:tcBorders>
              <w:top w:val="single" w:color="auto" w:sz="6" w:space="0"/>
              <w:left w:val="single" w:color="auto" w:sz="6" w:space="0"/>
              <w:bottom w:val="single" w:color="auto" w:sz="6" w:space="0"/>
              <w:right w:val="single" w:color="auto" w:sz="18"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29" w:hRule="atLeast"/>
          <w:jc w:val="center"/>
        </w:trPr>
        <w:tc>
          <w:tcPr>
            <w:tcW w:w="665" w:type="dxa"/>
            <w:vMerge w:val="restart"/>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sz w:val="21"/>
                <w:szCs w:val="21"/>
                <w:highlight w:val="none"/>
              </w:rPr>
            </w:pPr>
            <w:r>
              <w:rPr>
                <w:rFonts w:hint="eastAsia"/>
                <w:bCs/>
                <w:color w:val="auto"/>
                <w:kern w:val="2"/>
                <w:sz w:val="21"/>
                <w:szCs w:val="21"/>
                <w:highlight w:val="none"/>
              </w:rPr>
              <w:t>2</w:t>
            </w:r>
          </w:p>
        </w:tc>
        <w:tc>
          <w:tcPr>
            <w:tcW w:w="1082" w:type="dxa"/>
            <w:vMerge w:val="restart"/>
            <w:tcBorders>
              <w:top w:val="single" w:color="auto" w:sz="6" w:space="0"/>
              <w:left w:val="single" w:color="auto" w:sz="6"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服务实施方案60%</w:t>
            </w:r>
          </w:p>
        </w:tc>
        <w:tc>
          <w:tcPr>
            <w:tcW w:w="1167" w:type="dxa"/>
            <w:tcBorders>
              <w:top w:val="single" w:color="auto" w:sz="6" w:space="0"/>
              <w:left w:val="single" w:color="auto" w:sz="6" w:space="0"/>
              <w:bottom w:val="single" w:color="auto" w:sz="6" w:space="0"/>
              <w:right w:val="single" w:color="auto" w:sz="4"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机构设置及管理制度</w:t>
            </w:r>
          </w:p>
          <w:p>
            <w:pPr>
              <w:pStyle w:val="35"/>
              <w:widowControl w:val="0"/>
              <w:shd w:val="clear"/>
              <w:jc w:val="center"/>
              <w:rPr>
                <w:color w:val="auto"/>
                <w:sz w:val="21"/>
                <w:szCs w:val="21"/>
                <w:highlight w:val="none"/>
              </w:rPr>
            </w:pPr>
            <w:r>
              <w:rPr>
                <w:rFonts w:hint="eastAsia"/>
                <w:color w:val="auto"/>
                <w:kern w:val="2"/>
                <w:sz w:val="21"/>
                <w:szCs w:val="21"/>
                <w:highlight w:val="none"/>
              </w:rPr>
              <w:t>12分</w:t>
            </w:r>
          </w:p>
        </w:tc>
        <w:tc>
          <w:tcPr>
            <w:tcW w:w="5162" w:type="dxa"/>
            <w:tcBorders>
              <w:top w:val="single" w:color="auto" w:sz="6" w:space="0"/>
              <w:left w:val="single" w:color="auto" w:sz="4" w:space="0"/>
              <w:bottom w:val="single" w:color="auto" w:sz="6" w:space="0"/>
              <w:right w:val="single" w:color="auto" w:sz="6" w:space="0"/>
            </w:tcBorders>
            <w:vAlign w:val="center"/>
          </w:tcPr>
          <w:p>
            <w:pPr>
              <w:shd w:val="clear"/>
              <w:rPr>
                <w:rFonts w:ascii="宋体" w:cs="宋体"/>
                <w:color w:val="auto"/>
                <w:szCs w:val="21"/>
                <w:highlight w:val="none"/>
              </w:rPr>
            </w:pPr>
            <w:r>
              <w:rPr>
                <w:rFonts w:hint="eastAsia" w:ascii="宋体" w:hAnsi="宋体" w:cs="宋体"/>
                <w:color w:val="auto"/>
                <w:spacing w:val="-3"/>
                <w:szCs w:val="21"/>
                <w:highlight w:val="none"/>
              </w:rPr>
              <w:t>针对本项目提供</w:t>
            </w:r>
            <w:r>
              <w:rPr>
                <w:rFonts w:hint="eastAsia" w:ascii="宋体" w:cs="宋体"/>
                <w:color w:val="auto"/>
                <w:szCs w:val="21"/>
                <w:highlight w:val="none"/>
              </w:rPr>
              <w:t>机构设置及管理制度</w:t>
            </w:r>
            <w:r>
              <w:rPr>
                <w:rFonts w:hint="eastAsia" w:ascii="宋体" w:hAnsi="宋体" w:cs="宋体"/>
                <w:b/>
                <w:color w:val="auto"/>
                <w:spacing w:val="-3"/>
                <w:szCs w:val="21"/>
                <w:highlight w:val="none"/>
              </w:rPr>
              <w:t>（至少包含：1.</w:t>
            </w:r>
            <w:r>
              <w:rPr>
                <w:rFonts w:hint="eastAsia" w:ascii="宋体" w:hAnsi="宋体" w:cs="宋体"/>
                <w:b/>
                <w:color w:val="auto"/>
                <w:szCs w:val="21"/>
                <w:highlight w:val="none"/>
              </w:rPr>
              <w:t>组织机构；2.项目管理制度；3.公司管理制度</w:t>
            </w:r>
            <w:r>
              <w:rPr>
                <w:rFonts w:hint="eastAsia" w:ascii="宋体" w:hAnsi="宋体" w:cs="宋体"/>
                <w:b/>
                <w:color w:val="auto"/>
                <w:spacing w:val="-3"/>
                <w:szCs w:val="21"/>
                <w:highlight w:val="none"/>
              </w:rPr>
              <w:t>等）</w:t>
            </w:r>
            <w:r>
              <w:rPr>
                <w:rFonts w:hint="eastAsia" w:ascii="宋体" w:hAnsi="宋体" w:cs="宋体"/>
                <w:color w:val="auto"/>
                <w:spacing w:val="-3"/>
                <w:szCs w:val="21"/>
                <w:highlight w:val="none"/>
              </w:rPr>
              <w:t>，满足以上全部评定方向且切实</w:t>
            </w:r>
            <w:r>
              <w:rPr>
                <w:rFonts w:hint="eastAsia" w:ascii="宋体" w:hAnsi="宋体" w:cs="宋体"/>
                <w:color w:val="auto"/>
                <w:spacing w:val="-4"/>
                <w:szCs w:val="21"/>
                <w:highlight w:val="none"/>
              </w:rPr>
              <w:t>可行操作性强的得</w:t>
            </w:r>
            <w:r>
              <w:rPr>
                <w:rFonts w:hint="eastAsia" w:ascii="宋体" w:hAnsi="宋体" w:cs="宋体"/>
                <w:color w:val="auto"/>
                <w:spacing w:val="-3"/>
                <w:szCs w:val="21"/>
                <w:highlight w:val="none"/>
              </w:rPr>
              <w:t>基本分6</w:t>
            </w:r>
            <w:r>
              <w:rPr>
                <w:rFonts w:hint="eastAsia" w:ascii="宋体" w:hAnsi="宋体" w:cs="宋体"/>
                <w:color w:val="auto"/>
                <w:spacing w:val="-2"/>
                <w:szCs w:val="21"/>
                <w:highlight w:val="none"/>
              </w:rPr>
              <w:t>分，</w:t>
            </w:r>
            <w:r>
              <w:rPr>
                <w:rFonts w:hint="eastAsia" w:cs="宋体"/>
                <w:color w:val="auto"/>
                <w:szCs w:val="21"/>
                <w:highlight w:val="none"/>
              </w:rPr>
              <w:t>投标人</w:t>
            </w:r>
            <w:r>
              <w:rPr>
                <w:rFonts w:hint="eastAsia" w:ascii="宋体" w:hAnsi="宋体" w:cs="宋体"/>
                <w:color w:val="auto"/>
                <w:spacing w:val="-3"/>
                <w:szCs w:val="21"/>
                <w:highlight w:val="none"/>
              </w:rPr>
              <w:t>每有一项有利于项目实施、具有针对性的加2分，最多加6分；</w:t>
            </w:r>
            <w:r>
              <w:rPr>
                <w:rFonts w:hint="eastAsia" w:ascii="宋体" w:hAnsi="宋体" w:cs="宋体"/>
                <w:color w:val="auto"/>
                <w:spacing w:val="-2"/>
                <w:szCs w:val="21"/>
                <w:highlight w:val="none"/>
              </w:rPr>
              <w:t>每出现一处细</w:t>
            </w:r>
            <w:r>
              <w:rPr>
                <w:rFonts w:hint="eastAsia" w:ascii="宋体" w:hAnsi="宋体" w:cs="宋体"/>
                <w:color w:val="auto"/>
                <w:spacing w:val="-9"/>
                <w:szCs w:val="21"/>
                <w:highlight w:val="none"/>
              </w:rPr>
              <w:t>微偏差情形在基本分的基础上扣2</w:t>
            </w:r>
            <w:r>
              <w:rPr>
                <w:rFonts w:ascii="宋体" w:hAnsi="宋体" w:cs="宋体"/>
                <w:color w:val="auto"/>
                <w:spacing w:val="-11"/>
                <w:szCs w:val="21"/>
                <w:highlight w:val="none"/>
              </w:rPr>
              <w:t xml:space="preserve"> </w:t>
            </w:r>
            <w:r>
              <w:rPr>
                <w:rFonts w:hint="eastAsia" w:ascii="宋体" w:hAnsi="宋体" w:cs="宋体"/>
                <w:color w:val="auto"/>
                <w:spacing w:val="-11"/>
                <w:szCs w:val="21"/>
                <w:highlight w:val="none"/>
              </w:rPr>
              <w:t>分，扣完为止，</w:t>
            </w:r>
            <w:r>
              <w:rPr>
                <w:rFonts w:hint="eastAsia" w:ascii="宋体" w:hAnsi="宋体" w:cs="宋体"/>
                <w:color w:val="auto"/>
                <w:szCs w:val="21"/>
                <w:highlight w:val="none"/>
              </w:rPr>
              <w:t>不提供的不得分</w:t>
            </w:r>
            <w:r>
              <w:rPr>
                <w:rFonts w:hint="eastAsia" w:ascii="宋体" w:cs="宋体"/>
                <w:color w:val="auto"/>
                <w:szCs w:val="21"/>
                <w:highlight w:val="none"/>
              </w:rPr>
              <w:t>。本项最多得12分</w:t>
            </w:r>
            <w:r>
              <w:rPr>
                <w:rFonts w:hint="eastAsia" w:ascii="宋体" w:hAnsi="宋体" w:cs="宋体"/>
                <w:color w:val="auto"/>
                <w:spacing w:val="-3"/>
                <w:szCs w:val="21"/>
                <w:highlight w:val="none"/>
              </w:rPr>
              <w:t xml:space="preserve">。 </w:t>
            </w:r>
          </w:p>
        </w:tc>
        <w:tc>
          <w:tcPr>
            <w:tcW w:w="2121" w:type="dxa"/>
            <w:tcBorders>
              <w:top w:val="single" w:color="auto" w:sz="6" w:space="0"/>
              <w:left w:val="single" w:color="auto" w:sz="6" w:space="0"/>
              <w:bottom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vMerge w:val="continue"/>
            <w:tcBorders>
              <w:top w:val="single" w:color="auto" w:sz="6" w:space="0"/>
              <w:left w:val="single" w:color="auto" w:sz="18" w:space="0"/>
              <w:bottom w:val="single" w:color="auto" w:sz="6" w:space="0"/>
              <w:right w:val="single" w:color="auto" w:sz="6" w:space="0"/>
            </w:tcBorders>
            <w:vAlign w:val="center"/>
          </w:tcPr>
          <w:p>
            <w:pPr>
              <w:shd w:val="clear"/>
              <w:rPr>
                <w:color w:val="auto"/>
                <w:szCs w:val="21"/>
                <w:highlight w:val="none"/>
              </w:rPr>
            </w:pPr>
          </w:p>
        </w:tc>
        <w:tc>
          <w:tcPr>
            <w:tcW w:w="1082" w:type="dxa"/>
            <w:vMerge w:val="continue"/>
            <w:tcBorders>
              <w:left w:val="single" w:color="auto" w:sz="6" w:space="0"/>
              <w:right w:val="single" w:color="auto" w:sz="6" w:space="0"/>
            </w:tcBorders>
            <w:vAlign w:val="center"/>
          </w:tcPr>
          <w:p>
            <w:pPr>
              <w:shd w:val="clear"/>
              <w:rPr>
                <w:color w:val="auto"/>
                <w:szCs w:val="21"/>
                <w:highlight w:val="none"/>
              </w:rPr>
            </w:pPr>
          </w:p>
        </w:tc>
        <w:tc>
          <w:tcPr>
            <w:tcW w:w="1167" w:type="dxa"/>
            <w:tcBorders>
              <w:top w:val="single" w:color="auto" w:sz="6" w:space="0"/>
              <w:left w:val="single" w:color="auto" w:sz="6" w:space="0"/>
              <w:bottom w:val="single" w:color="auto" w:sz="6" w:space="0"/>
              <w:right w:val="single" w:color="auto" w:sz="4"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项目策划16分</w:t>
            </w:r>
          </w:p>
        </w:tc>
        <w:tc>
          <w:tcPr>
            <w:tcW w:w="5162" w:type="dxa"/>
            <w:tcBorders>
              <w:top w:val="single" w:color="auto" w:sz="6" w:space="0"/>
              <w:left w:val="single" w:color="auto" w:sz="4" w:space="0"/>
              <w:bottom w:val="single" w:color="auto" w:sz="6" w:space="0"/>
              <w:right w:val="single" w:color="auto" w:sz="6" w:space="0"/>
            </w:tcBorders>
            <w:vAlign w:val="center"/>
          </w:tcPr>
          <w:p>
            <w:pPr>
              <w:shd w:val="clear"/>
              <w:rPr>
                <w:rFonts w:ascii="宋体" w:cs="宋体"/>
                <w:color w:val="auto"/>
                <w:szCs w:val="21"/>
                <w:highlight w:val="none"/>
              </w:rPr>
            </w:pPr>
            <w:r>
              <w:rPr>
                <w:rFonts w:hint="eastAsia" w:ascii="宋体" w:hAnsi="宋体" w:cs="宋体"/>
                <w:color w:val="auto"/>
                <w:spacing w:val="-3"/>
                <w:szCs w:val="21"/>
                <w:highlight w:val="none"/>
              </w:rPr>
              <w:t>针对本项目提供</w:t>
            </w:r>
            <w:r>
              <w:rPr>
                <w:rFonts w:hint="eastAsia" w:ascii="宋体" w:cs="宋体"/>
                <w:color w:val="auto"/>
                <w:szCs w:val="21"/>
                <w:highlight w:val="none"/>
              </w:rPr>
              <w:t>项目</w:t>
            </w:r>
            <w:r>
              <w:rPr>
                <w:rFonts w:hint="eastAsia" w:ascii="宋体" w:cs="宋体"/>
                <w:color w:val="auto"/>
                <w:szCs w:val="21"/>
                <w:highlight w:val="none"/>
                <w:lang w:val="en-US" w:eastAsia="zh-CN"/>
              </w:rPr>
              <w:t>策划方案</w:t>
            </w:r>
            <w:bookmarkStart w:id="142" w:name="_GoBack"/>
            <w:bookmarkEnd w:id="142"/>
            <w:r>
              <w:rPr>
                <w:rFonts w:hint="eastAsia" w:ascii="宋体" w:hAnsi="宋体" w:cs="宋体"/>
                <w:b/>
                <w:color w:val="auto"/>
                <w:spacing w:val="-3"/>
                <w:szCs w:val="21"/>
                <w:highlight w:val="none"/>
              </w:rPr>
              <w:t>（至少包含：1.2021成华区美食节</w:t>
            </w:r>
            <w:r>
              <w:rPr>
                <w:rFonts w:hint="eastAsia" w:ascii="宋体" w:hAnsi="宋体" w:cs="宋体"/>
                <w:b/>
                <w:color w:val="auto"/>
                <w:szCs w:val="21"/>
                <w:highlight w:val="none"/>
              </w:rPr>
              <w:t>概念方案；2.</w:t>
            </w:r>
            <w:r>
              <w:rPr>
                <w:rFonts w:hint="eastAsia" w:ascii="宋体" w:hAnsi="宋体" w:cs="宋体"/>
                <w:b/>
                <w:color w:val="auto"/>
                <w:spacing w:val="-3"/>
                <w:szCs w:val="21"/>
                <w:highlight w:val="none"/>
              </w:rPr>
              <w:t>2021成华区美食节</w:t>
            </w:r>
            <w:r>
              <w:rPr>
                <w:rFonts w:hint="eastAsia" w:ascii="宋体" w:hAnsi="宋体" w:cs="宋体"/>
                <w:b/>
                <w:color w:val="auto"/>
                <w:szCs w:val="21"/>
                <w:highlight w:val="none"/>
              </w:rPr>
              <w:t>启动仪式方案；3.集市打造各内容板块组成</w:t>
            </w:r>
            <w:r>
              <w:rPr>
                <w:rFonts w:hint="eastAsia" w:ascii="宋体" w:hAnsi="宋体" w:cs="宋体"/>
                <w:b/>
                <w:color w:val="auto"/>
                <w:spacing w:val="-3"/>
                <w:szCs w:val="21"/>
                <w:highlight w:val="none"/>
              </w:rPr>
              <w:t>）</w:t>
            </w:r>
            <w:r>
              <w:rPr>
                <w:rFonts w:hint="eastAsia" w:ascii="宋体" w:hAnsi="宋体" w:cs="宋体"/>
                <w:color w:val="auto"/>
                <w:spacing w:val="-3"/>
                <w:szCs w:val="21"/>
                <w:highlight w:val="none"/>
              </w:rPr>
              <w:t>，满足以上全部评定方向且切实</w:t>
            </w:r>
            <w:r>
              <w:rPr>
                <w:rFonts w:hint="eastAsia" w:ascii="宋体" w:hAnsi="宋体" w:cs="宋体"/>
                <w:color w:val="auto"/>
                <w:spacing w:val="-4"/>
                <w:szCs w:val="21"/>
                <w:highlight w:val="none"/>
              </w:rPr>
              <w:t>可行操作性强的得</w:t>
            </w:r>
            <w:r>
              <w:rPr>
                <w:rFonts w:hint="eastAsia" w:ascii="宋体" w:hAnsi="宋体" w:cs="宋体"/>
                <w:color w:val="auto"/>
                <w:spacing w:val="-3"/>
                <w:szCs w:val="21"/>
                <w:highlight w:val="none"/>
              </w:rPr>
              <w:t>基本分12</w:t>
            </w:r>
            <w:r>
              <w:rPr>
                <w:rFonts w:hint="eastAsia" w:ascii="宋体" w:hAnsi="宋体" w:cs="宋体"/>
                <w:color w:val="auto"/>
                <w:spacing w:val="-2"/>
                <w:szCs w:val="21"/>
                <w:highlight w:val="none"/>
              </w:rPr>
              <w:t>分，</w:t>
            </w:r>
            <w:r>
              <w:rPr>
                <w:rFonts w:hint="eastAsia" w:cs="宋体"/>
                <w:color w:val="auto"/>
                <w:szCs w:val="21"/>
                <w:highlight w:val="none"/>
              </w:rPr>
              <w:t>投标人</w:t>
            </w:r>
            <w:r>
              <w:rPr>
                <w:rFonts w:hint="eastAsia" w:ascii="宋体" w:hAnsi="宋体" w:cs="宋体"/>
                <w:color w:val="auto"/>
                <w:spacing w:val="-3"/>
                <w:szCs w:val="21"/>
                <w:highlight w:val="none"/>
              </w:rPr>
              <w:t>每有一项有利于项目实施、具有针对性的加2分，最多加4分；</w:t>
            </w:r>
            <w:r>
              <w:rPr>
                <w:rFonts w:hint="eastAsia" w:ascii="宋体" w:hAnsi="宋体" w:cs="宋体"/>
                <w:color w:val="auto"/>
                <w:spacing w:val="-2"/>
                <w:szCs w:val="21"/>
                <w:highlight w:val="none"/>
              </w:rPr>
              <w:t>每出现一处细</w:t>
            </w:r>
            <w:r>
              <w:rPr>
                <w:rFonts w:hint="eastAsia" w:ascii="宋体" w:hAnsi="宋体" w:cs="宋体"/>
                <w:color w:val="auto"/>
                <w:spacing w:val="-9"/>
                <w:szCs w:val="21"/>
                <w:highlight w:val="none"/>
              </w:rPr>
              <w:t>微偏差情形在基本分的基础上扣4</w:t>
            </w:r>
            <w:r>
              <w:rPr>
                <w:rFonts w:hint="eastAsia" w:ascii="宋体" w:hAnsi="宋体" w:cs="宋体"/>
                <w:color w:val="auto"/>
                <w:spacing w:val="-11"/>
                <w:szCs w:val="21"/>
                <w:highlight w:val="none"/>
              </w:rPr>
              <w:t>分，扣完为止，</w:t>
            </w:r>
            <w:r>
              <w:rPr>
                <w:rFonts w:hint="eastAsia" w:ascii="宋体" w:hAnsi="宋体" w:cs="宋体"/>
                <w:color w:val="auto"/>
                <w:szCs w:val="21"/>
                <w:highlight w:val="none"/>
              </w:rPr>
              <w:t>不提供的不得分</w:t>
            </w:r>
            <w:r>
              <w:rPr>
                <w:rFonts w:hint="eastAsia" w:ascii="宋体" w:cs="宋体"/>
                <w:color w:val="auto"/>
                <w:szCs w:val="21"/>
                <w:highlight w:val="none"/>
              </w:rPr>
              <w:t>。本项最多得16分</w:t>
            </w:r>
            <w:r>
              <w:rPr>
                <w:rFonts w:hint="eastAsia" w:ascii="宋体" w:hAnsi="宋体" w:cs="宋体"/>
                <w:color w:val="auto"/>
                <w:spacing w:val="-3"/>
                <w:szCs w:val="21"/>
                <w:highlight w:val="none"/>
              </w:rPr>
              <w:t>。</w:t>
            </w:r>
          </w:p>
        </w:tc>
        <w:tc>
          <w:tcPr>
            <w:tcW w:w="2121" w:type="dxa"/>
            <w:tcBorders>
              <w:top w:val="single" w:color="auto" w:sz="6" w:space="0"/>
              <w:left w:val="single" w:color="auto" w:sz="6" w:space="0"/>
              <w:bottom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665" w:type="dxa"/>
            <w:vMerge w:val="continue"/>
            <w:tcBorders>
              <w:top w:val="single" w:color="auto" w:sz="6" w:space="0"/>
              <w:left w:val="single" w:color="auto" w:sz="18" w:space="0"/>
              <w:bottom w:val="single" w:color="auto" w:sz="6" w:space="0"/>
              <w:right w:val="single" w:color="auto" w:sz="6" w:space="0"/>
            </w:tcBorders>
            <w:vAlign w:val="center"/>
          </w:tcPr>
          <w:p>
            <w:pPr>
              <w:shd w:val="clear"/>
              <w:rPr>
                <w:color w:val="auto"/>
                <w:szCs w:val="21"/>
                <w:highlight w:val="none"/>
              </w:rPr>
            </w:pPr>
          </w:p>
        </w:tc>
        <w:tc>
          <w:tcPr>
            <w:tcW w:w="1082" w:type="dxa"/>
            <w:vMerge w:val="continue"/>
            <w:tcBorders>
              <w:left w:val="single" w:color="auto" w:sz="6" w:space="0"/>
              <w:right w:val="single" w:color="auto" w:sz="6" w:space="0"/>
            </w:tcBorders>
            <w:vAlign w:val="center"/>
          </w:tcPr>
          <w:p>
            <w:pPr>
              <w:shd w:val="clear"/>
              <w:rPr>
                <w:color w:val="auto"/>
                <w:szCs w:val="21"/>
                <w:highlight w:val="none"/>
              </w:rPr>
            </w:pPr>
          </w:p>
        </w:tc>
        <w:tc>
          <w:tcPr>
            <w:tcW w:w="1167" w:type="dxa"/>
            <w:tcBorders>
              <w:top w:val="single" w:color="auto" w:sz="6" w:space="0"/>
              <w:left w:val="single" w:color="auto" w:sz="6" w:space="0"/>
              <w:bottom w:val="single" w:color="auto" w:sz="6" w:space="0"/>
              <w:right w:val="single" w:color="auto" w:sz="4" w:space="0"/>
            </w:tcBorders>
            <w:vAlign w:val="center"/>
          </w:tcPr>
          <w:p>
            <w:pPr>
              <w:pStyle w:val="35"/>
              <w:widowControl w:val="0"/>
              <w:shd w:val="clear"/>
              <w:jc w:val="center"/>
              <w:rPr>
                <w:color w:val="auto"/>
                <w:sz w:val="21"/>
                <w:szCs w:val="21"/>
                <w:highlight w:val="none"/>
              </w:rPr>
            </w:pPr>
            <w:r>
              <w:rPr>
                <w:rFonts w:hint="eastAsia" w:hAnsi="宋体"/>
                <w:color w:val="auto"/>
                <w:sz w:val="21"/>
                <w:szCs w:val="21"/>
                <w:highlight w:val="none"/>
              </w:rPr>
              <w:t>服务实施方案</w:t>
            </w:r>
            <w:r>
              <w:rPr>
                <w:rFonts w:hint="eastAsia"/>
                <w:color w:val="auto"/>
                <w:kern w:val="2"/>
                <w:sz w:val="21"/>
                <w:szCs w:val="21"/>
                <w:highlight w:val="none"/>
              </w:rPr>
              <w:t>20分</w:t>
            </w:r>
          </w:p>
        </w:tc>
        <w:tc>
          <w:tcPr>
            <w:tcW w:w="5162" w:type="dxa"/>
            <w:tcBorders>
              <w:top w:val="single" w:color="auto" w:sz="6" w:space="0"/>
              <w:left w:val="single" w:color="auto" w:sz="4" w:space="0"/>
              <w:bottom w:val="single" w:color="auto" w:sz="6" w:space="0"/>
              <w:right w:val="single" w:color="auto" w:sz="6" w:space="0"/>
            </w:tcBorders>
            <w:vAlign w:val="center"/>
          </w:tcPr>
          <w:p>
            <w:pPr>
              <w:shd w:val="clear"/>
              <w:rPr>
                <w:rFonts w:ascii="宋体" w:cs="宋体"/>
                <w:color w:val="auto"/>
                <w:szCs w:val="21"/>
                <w:highlight w:val="none"/>
              </w:rPr>
            </w:pPr>
            <w:r>
              <w:rPr>
                <w:rFonts w:hint="eastAsia" w:ascii="宋体" w:hAnsi="宋体" w:cs="宋体"/>
                <w:color w:val="auto"/>
                <w:spacing w:val="-3"/>
                <w:szCs w:val="21"/>
                <w:highlight w:val="none"/>
              </w:rPr>
              <w:t>针对本项目提供</w:t>
            </w:r>
            <w:r>
              <w:rPr>
                <w:rFonts w:hint="eastAsia" w:cs="宋体"/>
                <w:color w:val="auto"/>
                <w:szCs w:val="21"/>
                <w:highlight w:val="none"/>
              </w:rPr>
              <w:t>实施方案</w:t>
            </w:r>
            <w:r>
              <w:rPr>
                <w:rFonts w:hint="eastAsia" w:ascii="宋体" w:hAnsi="宋体" w:cs="宋体"/>
                <w:b/>
                <w:color w:val="auto"/>
                <w:spacing w:val="-3"/>
                <w:szCs w:val="21"/>
                <w:highlight w:val="none"/>
              </w:rPr>
              <w:t>（至少包含：1.</w:t>
            </w:r>
            <w:r>
              <w:rPr>
                <w:rFonts w:hint="eastAsia"/>
                <w:b/>
                <w:color w:val="auto"/>
                <w:szCs w:val="21"/>
                <w:highlight w:val="none"/>
              </w:rPr>
              <w:t>主体活动内容</w:t>
            </w:r>
            <w:r>
              <w:rPr>
                <w:rFonts w:hint="eastAsia" w:cs="宋体"/>
                <w:b/>
                <w:color w:val="auto"/>
                <w:szCs w:val="21"/>
                <w:highlight w:val="none"/>
              </w:rPr>
              <w:t>；2.</w:t>
            </w:r>
            <w:r>
              <w:rPr>
                <w:rFonts w:hint="eastAsia"/>
                <w:b/>
                <w:color w:val="auto"/>
                <w:szCs w:val="21"/>
                <w:highlight w:val="none"/>
              </w:rPr>
              <w:t xml:space="preserve"> 项目组织和实施</w:t>
            </w:r>
            <w:r>
              <w:rPr>
                <w:rFonts w:hint="eastAsia" w:cs="宋体"/>
                <w:b/>
                <w:color w:val="auto"/>
                <w:szCs w:val="21"/>
                <w:highlight w:val="none"/>
              </w:rPr>
              <w:t>；3.项目宣传；4.质量保障措施</w:t>
            </w:r>
            <w:r>
              <w:rPr>
                <w:rFonts w:hint="eastAsia" w:ascii="宋体" w:hAnsi="宋体" w:cs="宋体"/>
                <w:b/>
                <w:color w:val="auto"/>
                <w:spacing w:val="-3"/>
                <w:szCs w:val="21"/>
                <w:highlight w:val="none"/>
              </w:rPr>
              <w:t>）</w:t>
            </w:r>
            <w:r>
              <w:rPr>
                <w:rFonts w:hint="eastAsia" w:ascii="宋体" w:hAnsi="宋体" w:cs="宋体"/>
                <w:color w:val="auto"/>
                <w:spacing w:val="-3"/>
                <w:szCs w:val="21"/>
                <w:highlight w:val="none"/>
              </w:rPr>
              <w:t>，满足以上全部评定方向且切实</w:t>
            </w:r>
            <w:r>
              <w:rPr>
                <w:rFonts w:hint="eastAsia" w:ascii="宋体" w:hAnsi="宋体" w:cs="宋体"/>
                <w:color w:val="auto"/>
                <w:spacing w:val="-4"/>
                <w:szCs w:val="21"/>
                <w:highlight w:val="none"/>
              </w:rPr>
              <w:t>可行操作性强的得</w:t>
            </w:r>
            <w:r>
              <w:rPr>
                <w:rFonts w:hint="eastAsia" w:ascii="宋体" w:hAnsi="宋体" w:cs="宋体"/>
                <w:color w:val="auto"/>
                <w:spacing w:val="-3"/>
                <w:szCs w:val="21"/>
                <w:highlight w:val="none"/>
              </w:rPr>
              <w:t>基本分12</w:t>
            </w:r>
            <w:r>
              <w:rPr>
                <w:rFonts w:hint="eastAsia" w:ascii="宋体" w:hAnsi="宋体" w:cs="宋体"/>
                <w:color w:val="auto"/>
                <w:spacing w:val="-2"/>
                <w:szCs w:val="21"/>
                <w:highlight w:val="none"/>
              </w:rPr>
              <w:t>分，</w:t>
            </w:r>
            <w:r>
              <w:rPr>
                <w:rFonts w:hint="eastAsia" w:cs="宋体"/>
                <w:color w:val="auto"/>
                <w:szCs w:val="21"/>
                <w:highlight w:val="none"/>
              </w:rPr>
              <w:t>投标人</w:t>
            </w:r>
            <w:r>
              <w:rPr>
                <w:rFonts w:hint="eastAsia" w:ascii="宋体" w:hAnsi="宋体" w:cs="宋体"/>
                <w:color w:val="auto"/>
                <w:spacing w:val="-3"/>
                <w:szCs w:val="21"/>
                <w:highlight w:val="none"/>
              </w:rPr>
              <w:t>每有一项有利于项目实施、具有针对性的加2分，最多加8分；</w:t>
            </w:r>
            <w:r>
              <w:rPr>
                <w:rFonts w:hint="eastAsia" w:ascii="宋体" w:hAnsi="宋体" w:cs="宋体"/>
                <w:color w:val="auto"/>
                <w:spacing w:val="-2"/>
                <w:szCs w:val="21"/>
                <w:highlight w:val="none"/>
              </w:rPr>
              <w:t>每出现一处细</w:t>
            </w:r>
            <w:r>
              <w:rPr>
                <w:rFonts w:hint="eastAsia" w:ascii="宋体" w:hAnsi="宋体" w:cs="宋体"/>
                <w:color w:val="auto"/>
                <w:spacing w:val="-9"/>
                <w:szCs w:val="21"/>
                <w:highlight w:val="none"/>
              </w:rPr>
              <w:t>微偏差情形在基本分的基础上扣3</w:t>
            </w:r>
            <w:r>
              <w:rPr>
                <w:rFonts w:ascii="宋体" w:hAnsi="宋体" w:cs="宋体"/>
                <w:color w:val="auto"/>
                <w:spacing w:val="-11"/>
                <w:szCs w:val="21"/>
                <w:highlight w:val="none"/>
              </w:rPr>
              <w:t xml:space="preserve"> </w:t>
            </w:r>
            <w:r>
              <w:rPr>
                <w:rFonts w:hint="eastAsia" w:ascii="宋体" w:hAnsi="宋体" w:cs="宋体"/>
                <w:color w:val="auto"/>
                <w:spacing w:val="-11"/>
                <w:szCs w:val="21"/>
                <w:highlight w:val="none"/>
              </w:rPr>
              <w:t>分，扣完为止，</w:t>
            </w:r>
            <w:r>
              <w:rPr>
                <w:rFonts w:hint="eastAsia" w:ascii="宋体" w:hAnsi="宋体" w:cs="宋体"/>
                <w:color w:val="auto"/>
                <w:szCs w:val="21"/>
                <w:highlight w:val="none"/>
              </w:rPr>
              <w:t>不提供的不得分</w:t>
            </w:r>
            <w:r>
              <w:rPr>
                <w:rFonts w:hint="eastAsia" w:ascii="宋体" w:cs="宋体"/>
                <w:color w:val="auto"/>
                <w:szCs w:val="21"/>
                <w:highlight w:val="none"/>
              </w:rPr>
              <w:t>。本项最多得20分</w:t>
            </w:r>
            <w:r>
              <w:rPr>
                <w:rFonts w:hint="eastAsia" w:ascii="宋体" w:hAnsi="宋体" w:cs="宋体"/>
                <w:color w:val="auto"/>
                <w:spacing w:val="-3"/>
                <w:szCs w:val="21"/>
                <w:highlight w:val="none"/>
              </w:rPr>
              <w:t xml:space="preserve">。 </w:t>
            </w:r>
          </w:p>
        </w:tc>
        <w:tc>
          <w:tcPr>
            <w:tcW w:w="2121" w:type="dxa"/>
            <w:tcBorders>
              <w:top w:val="single" w:color="auto" w:sz="6" w:space="0"/>
              <w:left w:val="single" w:color="auto" w:sz="6" w:space="0"/>
              <w:bottom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14" w:hRule="atLeast"/>
          <w:jc w:val="center"/>
        </w:trPr>
        <w:tc>
          <w:tcPr>
            <w:tcW w:w="665" w:type="dxa"/>
            <w:vMerge w:val="continue"/>
            <w:tcBorders>
              <w:top w:val="single" w:color="auto" w:sz="6" w:space="0"/>
              <w:left w:val="single" w:color="auto" w:sz="18" w:space="0"/>
              <w:bottom w:val="single" w:color="auto" w:sz="6" w:space="0"/>
              <w:right w:val="single" w:color="auto" w:sz="6" w:space="0"/>
            </w:tcBorders>
            <w:vAlign w:val="center"/>
          </w:tcPr>
          <w:p>
            <w:pPr>
              <w:shd w:val="clear"/>
              <w:rPr>
                <w:color w:val="auto"/>
                <w:szCs w:val="21"/>
                <w:highlight w:val="none"/>
              </w:rPr>
            </w:pPr>
          </w:p>
        </w:tc>
        <w:tc>
          <w:tcPr>
            <w:tcW w:w="1082" w:type="dxa"/>
            <w:vMerge w:val="continue"/>
            <w:tcBorders>
              <w:left w:val="single" w:color="auto" w:sz="6" w:space="0"/>
              <w:right w:val="single" w:color="auto" w:sz="6" w:space="0"/>
            </w:tcBorders>
            <w:vAlign w:val="center"/>
          </w:tcPr>
          <w:p>
            <w:pPr>
              <w:shd w:val="clear"/>
              <w:rPr>
                <w:color w:val="auto"/>
                <w:szCs w:val="21"/>
                <w:highlight w:val="none"/>
              </w:rPr>
            </w:pPr>
          </w:p>
        </w:tc>
        <w:tc>
          <w:tcPr>
            <w:tcW w:w="1167" w:type="dxa"/>
            <w:tcBorders>
              <w:top w:val="single" w:color="auto" w:sz="6" w:space="0"/>
              <w:left w:val="single" w:color="auto" w:sz="6" w:space="0"/>
              <w:right w:val="single" w:color="auto" w:sz="4"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售后服务</w:t>
            </w:r>
          </w:p>
          <w:p>
            <w:pPr>
              <w:pStyle w:val="35"/>
              <w:widowControl w:val="0"/>
              <w:shd w:val="clear"/>
              <w:jc w:val="center"/>
              <w:rPr>
                <w:color w:val="auto"/>
                <w:sz w:val="21"/>
                <w:szCs w:val="21"/>
                <w:highlight w:val="none"/>
              </w:rPr>
            </w:pPr>
            <w:r>
              <w:rPr>
                <w:color w:val="auto"/>
                <w:kern w:val="2"/>
                <w:sz w:val="21"/>
                <w:szCs w:val="21"/>
                <w:highlight w:val="none"/>
              </w:rPr>
              <w:t>12</w:t>
            </w:r>
            <w:r>
              <w:rPr>
                <w:rFonts w:hint="eastAsia"/>
                <w:color w:val="auto"/>
                <w:kern w:val="2"/>
                <w:sz w:val="21"/>
                <w:szCs w:val="21"/>
                <w:highlight w:val="none"/>
              </w:rPr>
              <w:t>分</w:t>
            </w:r>
          </w:p>
        </w:tc>
        <w:tc>
          <w:tcPr>
            <w:tcW w:w="5162" w:type="dxa"/>
            <w:tcBorders>
              <w:top w:val="single" w:color="auto" w:sz="6" w:space="0"/>
              <w:left w:val="single" w:color="auto" w:sz="4" w:space="0"/>
              <w:right w:val="single" w:color="auto" w:sz="6" w:space="0"/>
            </w:tcBorders>
            <w:vAlign w:val="center"/>
          </w:tcPr>
          <w:p>
            <w:pPr>
              <w:pStyle w:val="35"/>
              <w:widowControl w:val="0"/>
              <w:shd w:val="clear"/>
              <w:rPr>
                <w:color w:val="auto"/>
                <w:sz w:val="21"/>
                <w:szCs w:val="21"/>
                <w:highlight w:val="none"/>
              </w:rPr>
            </w:pPr>
            <w:r>
              <w:rPr>
                <w:rFonts w:hint="eastAsia"/>
                <w:color w:val="auto"/>
                <w:spacing w:val="-3"/>
                <w:kern w:val="2"/>
                <w:sz w:val="21"/>
                <w:szCs w:val="21"/>
                <w:highlight w:val="none"/>
              </w:rPr>
              <w:t>针对本项目提供售后服务方案</w:t>
            </w:r>
            <w:r>
              <w:rPr>
                <w:rFonts w:hint="eastAsia"/>
                <w:b/>
                <w:color w:val="auto"/>
                <w:spacing w:val="-3"/>
                <w:kern w:val="2"/>
                <w:sz w:val="21"/>
                <w:szCs w:val="21"/>
                <w:highlight w:val="none"/>
              </w:rPr>
              <w:t>（至少包含：1.后期服务响应；2.售后服务人员配置；</w:t>
            </w:r>
            <w:r>
              <w:rPr>
                <w:rFonts w:hint="eastAsia"/>
                <w:color w:val="auto"/>
                <w:spacing w:val="-3"/>
                <w:kern w:val="2"/>
                <w:sz w:val="21"/>
                <w:szCs w:val="21"/>
                <w:highlight w:val="none"/>
              </w:rPr>
              <w:t>满足以上全部评定方向且切实可行操作性强的得基本分6分，</w:t>
            </w:r>
            <w:r>
              <w:rPr>
                <w:rFonts w:hint="eastAsia"/>
                <w:color w:val="auto"/>
                <w:kern w:val="2"/>
                <w:sz w:val="21"/>
                <w:szCs w:val="21"/>
                <w:highlight w:val="none"/>
              </w:rPr>
              <w:t>投标人</w:t>
            </w:r>
            <w:r>
              <w:rPr>
                <w:rFonts w:hint="eastAsia"/>
                <w:color w:val="auto"/>
                <w:spacing w:val="-3"/>
                <w:kern w:val="2"/>
                <w:sz w:val="21"/>
                <w:szCs w:val="21"/>
                <w:highlight w:val="none"/>
              </w:rPr>
              <w:t xml:space="preserve">每有一项有利于项目实施、具有针对性的加3分，最多加6分；每出现一处细微偏差情形在基本分的基础上扣3 分，扣完为止，不提供的不得分。本项最多得12分。 </w:t>
            </w:r>
          </w:p>
        </w:tc>
        <w:tc>
          <w:tcPr>
            <w:tcW w:w="2121" w:type="dxa"/>
            <w:tcBorders>
              <w:top w:val="single" w:color="auto" w:sz="6" w:space="0"/>
              <w:left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40" w:hRule="atLeast"/>
          <w:jc w:val="center"/>
        </w:trPr>
        <w:tc>
          <w:tcPr>
            <w:tcW w:w="665" w:type="dxa"/>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kern w:val="2"/>
                <w:sz w:val="21"/>
                <w:szCs w:val="21"/>
                <w:highlight w:val="none"/>
              </w:rPr>
            </w:pPr>
            <w:r>
              <w:rPr>
                <w:rFonts w:hint="eastAsia"/>
                <w:bCs/>
                <w:color w:val="auto"/>
                <w:kern w:val="2"/>
                <w:sz w:val="21"/>
                <w:szCs w:val="21"/>
                <w:highlight w:val="none"/>
              </w:rPr>
              <w:t>3</w:t>
            </w:r>
          </w:p>
        </w:tc>
        <w:tc>
          <w:tcPr>
            <w:tcW w:w="1082"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sz w:val="21"/>
                <w:szCs w:val="21"/>
                <w:highlight w:val="none"/>
              </w:rPr>
              <w:t>项目人员配置12</w:t>
            </w:r>
            <w:r>
              <w:rPr>
                <w:rFonts w:hint="eastAsia"/>
                <w:color w:val="auto"/>
                <w:kern w:val="2"/>
                <w:sz w:val="21"/>
                <w:szCs w:val="21"/>
                <w:highlight w:val="none"/>
              </w:rPr>
              <w:t>%</w:t>
            </w:r>
          </w:p>
        </w:tc>
        <w:tc>
          <w:tcPr>
            <w:tcW w:w="1167"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12分</w:t>
            </w:r>
          </w:p>
        </w:tc>
        <w:tc>
          <w:tcPr>
            <w:tcW w:w="5162" w:type="dxa"/>
            <w:tcBorders>
              <w:top w:val="single" w:color="auto" w:sz="6" w:space="0"/>
              <w:left w:val="single" w:color="auto" w:sz="6" w:space="0"/>
              <w:bottom w:val="single" w:color="auto" w:sz="6" w:space="0"/>
              <w:right w:val="single" w:color="auto" w:sz="6" w:space="0"/>
            </w:tcBorders>
            <w:vAlign w:val="center"/>
          </w:tcPr>
          <w:p>
            <w:pPr>
              <w:pStyle w:val="18"/>
              <w:shd w:val="clear"/>
              <w:jc w:val="both"/>
              <w:rPr>
                <w:rFonts w:hint="eastAsia" w:eastAsia="宋体"/>
                <w:color w:val="auto"/>
                <w:spacing w:val="-3"/>
                <w:szCs w:val="21"/>
                <w:highlight w:val="none"/>
                <w:lang w:eastAsia="zh-CN"/>
              </w:rPr>
            </w:pPr>
            <w:r>
              <w:rPr>
                <w:rFonts w:hint="eastAsia"/>
                <w:color w:val="auto"/>
                <w:szCs w:val="21"/>
                <w:highlight w:val="none"/>
              </w:rPr>
              <w:t>供应商结合本项目的特点，每提供一位服务人员得3分，</w:t>
            </w:r>
            <w:r>
              <w:rPr>
                <w:rFonts w:hint="eastAsia"/>
                <w:color w:val="auto"/>
                <w:spacing w:val="-3"/>
                <w:szCs w:val="21"/>
                <w:highlight w:val="none"/>
              </w:rPr>
              <w:t>本项最多得12分</w:t>
            </w:r>
            <w:r>
              <w:rPr>
                <w:rFonts w:hint="eastAsia"/>
                <w:color w:val="auto"/>
                <w:spacing w:val="-3"/>
                <w:szCs w:val="21"/>
                <w:highlight w:val="none"/>
                <w:lang w:eastAsia="zh-CN"/>
              </w:rPr>
              <w:t>。</w:t>
            </w:r>
          </w:p>
        </w:tc>
        <w:tc>
          <w:tcPr>
            <w:tcW w:w="2121" w:type="dxa"/>
            <w:tcBorders>
              <w:top w:val="single" w:color="auto" w:sz="6" w:space="0"/>
              <w:left w:val="single" w:color="auto" w:sz="6" w:space="0"/>
              <w:bottom w:val="single" w:color="auto" w:sz="6" w:space="0"/>
              <w:right w:val="single" w:color="auto" w:sz="18" w:space="0"/>
            </w:tcBorders>
            <w:vAlign w:val="center"/>
          </w:tcPr>
          <w:p>
            <w:pPr>
              <w:pStyle w:val="18"/>
              <w:shd w:val="clear"/>
              <w:jc w:val="both"/>
              <w:rPr>
                <w:rFonts w:ascii="宋体" w:hAnsi="宋体" w:cs="宋体"/>
                <w:color w:val="auto"/>
                <w:szCs w:val="21"/>
                <w:highlight w:val="none"/>
              </w:rPr>
            </w:pPr>
            <w:r>
              <w:rPr>
                <w:rFonts w:hint="eastAsia" w:ascii="宋体" w:hAnsi="宋体" w:cs="宋体"/>
                <w:color w:val="auto"/>
                <w:szCs w:val="21"/>
                <w:highlight w:val="none"/>
              </w:rPr>
              <w:t>1.人员须提供劳动关系证明材料，</w:t>
            </w:r>
            <w:r>
              <w:rPr>
                <w:rFonts w:hint="eastAsia"/>
                <w:color w:val="auto"/>
                <w:szCs w:val="21"/>
                <w:highlight w:val="none"/>
              </w:rPr>
              <w:t>人员工作简历，</w:t>
            </w:r>
            <w:r>
              <w:rPr>
                <w:rFonts w:hint="eastAsia" w:ascii="宋体" w:hAnsi="宋体" w:cs="宋体"/>
                <w:color w:val="auto"/>
                <w:szCs w:val="21"/>
                <w:highlight w:val="none"/>
              </w:rPr>
              <w:t>加盖</w:t>
            </w:r>
            <w:r>
              <w:rPr>
                <w:rFonts w:hint="eastAsia" w:cs="宋体"/>
                <w:color w:val="auto"/>
                <w:szCs w:val="21"/>
                <w:highlight w:val="none"/>
              </w:rPr>
              <w:t>投标人</w:t>
            </w:r>
            <w:r>
              <w:rPr>
                <w:rFonts w:hint="eastAsia" w:ascii="宋体" w:hAnsi="宋体" w:cs="宋体"/>
                <w:color w:val="auto"/>
                <w:szCs w:val="21"/>
                <w:highlight w:val="none"/>
              </w:rPr>
              <w:t>鲜章。</w:t>
            </w:r>
          </w:p>
          <w:p>
            <w:pPr>
              <w:pStyle w:val="35"/>
              <w:widowControl w:val="0"/>
              <w:shd w:val="clear"/>
              <w:jc w:val="center"/>
              <w:rPr>
                <w:color w:val="auto"/>
                <w:sz w:val="21"/>
                <w:szCs w:val="21"/>
                <w:highlight w:val="none"/>
              </w:rPr>
            </w:pPr>
            <w:r>
              <w:rPr>
                <w:rFonts w:hint="eastAsia"/>
                <w:color w:val="auto"/>
                <w:sz w:val="21"/>
                <w:szCs w:val="21"/>
                <w:highlight w:val="none"/>
              </w:rPr>
              <w:t>2.人员不重复计分</w:t>
            </w:r>
          </w:p>
          <w:p>
            <w:pPr>
              <w:pStyle w:val="35"/>
              <w:widowControl w:val="0"/>
              <w:shd w:val="clear"/>
              <w:jc w:val="center"/>
              <w:rPr>
                <w:color w:val="auto"/>
                <w:kern w:val="2"/>
                <w:sz w:val="21"/>
                <w:szCs w:val="21"/>
                <w:highlight w:val="none"/>
              </w:rPr>
            </w:pPr>
            <w:r>
              <w:rPr>
                <w:rFonts w:hint="eastAsia"/>
                <w:color w:val="auto"/>
                <w:sz w:val="21"/>
                <w:szCs w:val="21"/>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70" w:hRule="atLeast"/>
          <w:jc w:val="center"/>
        </w:trPr>
        <w:tc>
          <w:tcPr>
            <w:tcW w:w="665" w:type="dxa"/>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kern w:val="2"/>
                <w:sz w:val="21"/>
                <w:szCs w:val="21"/>
                <w:highlight w:val="none"/>
              </w:rPr>
            </w:pPr>
          </w:p>
        </w:tc>
        <w:tc>
          <w:tcPr>
            <w:tcW w:w="1082"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sz w:val="21"/>
                <w:szCs w:val="21"/>
                <w:highlight w:val="none"/>
              </w:rPr>
              <w:t>项目应急方案6%</w:t>
            </w:r>
          </w:p>
        </w:tc>
        <w:tc>
          <w:tcPr>
            <w:tcW w:w="1167"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6分</w:t>
            </w:r>
          </w:p>
        </w:tc>
        <w:tc>
          <w:tcPr>
            <w:tcW w:w="5162" w:type="dxa"/>
            <w:tcBorders>
              <w:top w:val="single" w:color="auto" w:sz="6" w:space="0"/>
              <w:left w:val="single" w:color="auto" w:sz="6" w:space="0"/>
              <w:bottom w:val="single" w:color="auto" w:sz="6" w:space="0"/>
              <w:right w:val="single" w:color="auto" w:sz="6" w:space="0"/>
            </w:tcBorders>
            <w:vAlign w:val="center"/>
          </w:tcPr>
          <w:p>
            <w:pPr>
              <w:pStyle w:val="18"/>
              <w:shd w:val="clear"/>
              <w:jc w:val="both"/>
              <w:rPr>
                <w:b/>
                <w:bCs/>
                <w:color w:val="auto"/>
                <w:spacing w:val="-3"/>
                <w:szCs w:val="21"/>
                <w:highlight w:val="none"/>
              </w:rPr>
            </w:pPr>
            <w:r>
              <w:rPr>
                <w:rFonts w:hint="eastAsia"/>
                <w:color w:val="auto"/>
                <w:spacing w:val="-3"/>
                <w:szCs w:val="21"/>
                <w:highlight w:val="none"/>
              </w:rPr>
              <w:t>供应商根据磋商文件要求及本项目实际情况提供项目应急方案，应急管理方案包括但不限于：</w:t>
            </w:r>
            <w:r>
              <w:rPr>
                <w:rFonts w:hint="eastAsia"/>
                <w:b/>
                <w:bCs/>
                <w:color w:val="auto"/>
                <w:spacing w:val="-3"/>
                <w:szCs w:val="21"/>
                <w:highlight w:val="none"/>
              </w:rPr>
              <w:t>（1）自然灾害；（2）重特大事故（3）政策原因（4）人为破坏（公共安全）应急方案等）。</w:t>
            </w:r>
          </w:p>
          <w:p>
            <w:pPr>
              <w:pStyle w:val="18"/>
              <w:shd w:val="clear"/>
              <w:jc w:val="both"/>
              <w:rPr>
                <w:color w:val="auto"/>
                <w:spacing w:val="-3"/>
                <w:szCs w:val="21"/>
                <w:highlight w:val="none"/>
              </w:rPr>
            </w:pPr>
            <w:r>
              <w:rPr>
                <w:rFonts w:hint="eastAsia" w:ascii="宋体" w:hAnsi="宋体"/>
                <w:bCs/>
                <w:color w:val="auto"/>
                <w:szCs w:val="21"/>
                <w:highlight w:val="none"/>
              </w:rPr>
              <w:t>完全满足磋商文件要求且与整体服务实施方案无矛盾、符合实际情况、无缺陷漏项得基本分4分；供应商每有一项有利于项目实施、具有针对性的增项的加1分，最多加2分；每有一处不满足磋商文件要求或与整体服务方案矛盾或不符合实际情况或缺陷漏项或存在逻辑错误的在基本分的基础上扣1分，扣完为止。无方案不得分，此项最多得6分。</w:t>
            </w:r>
          </w:p>
        </w:tc>
        <w:tc>
          <w:tcPr>
            <w:tcW w:w="2121" w:type="dxa"/>
            <w:tcBorders>
              <w:top w:val="single" w:color="auto" w:sz="6" w:space="0"/>
              <w:left w:val="single" w:color="auto" w:sz="6" w:space="0"/>
              <w:bottom w:val="single" w:color="auto" w:sz="6"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技术评分因素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665" w:type="dxa"/>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kern w:val="2"/>
                <w:sz w:val="21"/>
                <w:szCs w:val="21"/>
                <w:highlight w:val="none"/>
              </w:rPr>
            </w:pPr>
            <w:r>
              <w:rPr>
                <w:rFonts w:hint="eastAsia"/>
                <w:bCs/>
                <w:color w:val="auto"/>
                <w:kern w:val="2"/>
                <w:sz w:val="21"/>
                <w:szCs w:val="21"/>
                <w:highlight w:val="none"/>
              </w:rPr>
              <w:t>4</w:t>
            </w:r>
          </w:p>
        </w:tc>
        <w:tc>
          <w:tcPr>
            <w:tcW w:w="1082"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履约能力9%</w:t>
            </w:r>
          </w:p>
        </w:tc>
        <w:tc>
          <w:tcPr>
            <w:tcW w:w="1167"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9分</w:t>
            </w:r>
          </w:p>
        </w:tc>
        <w:tc>
          <w:tcPr>
            <w:tcW w:w="5162" w:type="dxa"/>
            <w:tcBorders>
              <w:top w:val="single" w:color="auto" w:sz="6" w:space="0"/>
              <w:left w:val="single" w:color="auto" w:sz="6" w:space="0"/>
              <w:bottom w:val="single" w:color="auto" w:sz="6" w:space="0"/>
              <w:right w:val="single" w:color="auto" w:sz="6" w:space="0"/>
            </w:tcBorders>
            <w:vAlign w:val="center"/>
          </w:tcPr>
          <w:p>
            <w:pPr>
              <w:pStyle w:val="35"/>
              <w:widowControl w:val="0"/>
              <w:shd w:val="clear"/>
              <w:jc w:val="both"/>
              <w:rPr>
                <w:color w:val="auto"/>
                <w:kern w:val="2"/>
                <w:sz w:val="21"/>
                <w:szCs w:val="21"/>
                <w:highlight w:val="none"/>
              </w:rPr>
            </w:pPr>
            <w:r>
              <w:rPr>
                <w:rFonts w:hint="eastAsia"/>
                <w:color w:val="auto"/>
                <w:kern w:val="2"/>
                <w:sz w:val="21"/>
                <w:szCs w:val="21"/>
                <w:highlight w:val="none"/>
              </w:rPr>
              <w:t>供应商2018年1月1日至今每具有1个类似项目经验得3分，最多得9分。</w:t>
            </w:r>
          </w:p>
        </w:tc>
        <w:tc>
          <w:tcPr>
            <w:tcW w:w="2121" w:type="dxa"/>
            <w:tcBorders>
              <w:top w:val="single" w:color="auto" w:sz="6" w:space="0"/>
              <w:left w:val="single" w:color="auto" w:sz="6" w:space="0"/>
              <w:bottom w:val="single" w:color="auto" w:sz="6" w:space="0"/>
              <w:right w:val="single" w:color="auto" w:sz="18" w:space="0"/>
            </w:tcBorders>
            <w:vAlign w:val="center"/>
          </w:tcPr>
          <w:p>
            <w:pPr>
              <w:pStyle w:val="35"/>
              <w:widowControl w:val="0"/>
              <w:shd w:val="clear"/>
              <w:jc w:val="center"/>
              <w:rPr>
                <w:color w:val="auto"/>
                <w:kern w:val="2"/>
                <w:sz w:val="21"/>
                <w:szCs w:val="21"/>
                <w:highlight w:val="none"/>
              </w:rPr>
            </w:pPr>
            <w:r>
              <w:rPr>
                <w:rFonts w:hint="eastAsia"/>
                <w:color w:val="auto"/>
                <w:kern w:val="2"/>
                <w:sz w:val="21"/>
                <w:szCs w:val="21"/>
                <w:highlight w:val="none"/>
              </w:rPr>
              <w:t>提供合同复印件或中标（成交）通知书复印件加盖鲜章</w:t>
            </w:r>
          </w:p>
          <w:p>
            <w:pPr>
              <w:pStyle w:val="35"/>
              <w:widowControl w:val="0"/>
              <w:shd w:val="clear"/>
              <w:jc w:val="center"/>
              <w:rPr>
                <w:color w:val="auto"/>
                <w:kern w:val="2"/>
                <w:sz w:val="21"/>
                <w:szCs w:val="21"/>
                <w:highlight w:val="none"/>
              </w:rPr>
            </w:pPr>
            <w:r>
              <w:rPr>
                <w:rFonts w:hint="eastAsia"/>
                <w:color w:val="auto"/>
                <w:sz w:val="21"/>
                <w:szCs w:val="21"/>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665" w:type="dxa"/>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kern w:val="2"/>
                <w:sz w:val="21"/>
                <w:szCs w:val="21"/>
                <w:highlight w:val="none"/>
              </w:rPr>
            </w:pPr>
            <w:r>
              <w:rPr>
                <w:rFonts w:hint="eastAsia"/>
                <w:bCs/>
                <w:color w:val="auto"/>
                <w:kern w:val="2"/>
                <w:sz w:val="21"/>
                <w:szCs w:val="21"/>
                <w:highlight w:val="none"/>
              </w:rPr>
              <w:t>5</w:t>
            </w:r>
          </w:p>
        </w:tc>
        <w:tc>
          <w:tcPr>
            <w:tcW w:w="1082"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center"/>
              <w:rPr>
                <w:color w:val="auto"/>
                <w:kern w:val="2"/>
                <w:sz w:val="21"/>
                <w:szCs w:val="21"/>
                <w:highlight w:val="none"/>
              </w:rPr>
            </w:pPr>
            <w:r>
              <w:rPr>
                <w:rFonts w:hint="eastAsia"/>
                <w:color w:val="auto"/>
                <w:sz w:val="21"/>
                <w:szCs w:val="21"/>
                <w:highlight w:val="none"/>
              </w:rPr>
              <w:t>落实政府采购政策</w:t>
            </w:r>
            <w:r>
              <w:rPr>
                <w:color w:val="auto"/>
                <w:sz w:val="21"/>
                <w:szCs w:val="21"/>
                <w:highlight w:val="none"/>
              </w:rPr>
              <w:t>1%</w:t>
            </w:r>
          </w:p>
        </w:tc>
        <w:tc>
          <w:tcPr>
            <w:tcW w:w="1167"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center"/>
              <w:rPr>
                <w:color w:val="auto"/>
                <w:kern w:val="2"/>
                <w:sz w:val="21"/>
                <w:szCs w:val="21"/>
                <w:highlight w:val="none"/>
              </w:rPr>
            </w:pPr>
            <w:r>
              <w:rPr>
                <w:color w:val="auto"/>
                <w:sz w:val="21"/>
                <w:szCs w:val="21"/>
                <w:highlight w:val="none"/>
              </w:rPr>
              <w:t>1</w:t>
            </w:r>
            <w:r>
              <w:rPr>
                <w:rFonts w:hint="eastAsia"/>
                <w:color w:val="auto"/>
                <w:sz w:val="21"/>
                <w:szCs w:val="21"/>
                <w:highlight w:val="none"/>
              </w:rPr>
              <w:t>分</w:t>
            </w:r>
          </w:p>
        </w:tc>
        <w:tc>
          <w:tcPr>
            <w:tcW w:w="5162"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both"/>
              <w:rPr>
                <w:color w:val="auto"/>
                <w:kern w:val="2"/>
                <w:sz w:val="21"/>
                <w:szCs w:val="21"/>
                <w:highlight w:val="none"/>
              </w:rPr>
            </w:pPr>
            <w:r>
              <w:rPr>
                <w:rFonts w:hint="eastAsia"/>
                <w:color w:val="auto"/>
                <w:kern w:val="2"/>
                <w:sz w:val="21"/>
                <w:szCs w:val="21"/>
                <w:highlight w:val="none"/>
              </w:rPr>
              <w:t>供应商</w:t>
            </w:r>
            <w:r>
              <w:rPr>
                <w:rFonts w:hint="eastAsia"/>
                <w:color w:val="auto"/>
                <w:sz w:val="21"/>
                <w:szCs w:val="21"/>
                <w:highlight w:val="none"/>
              </w:rPr>
              <w:t>符合少数民族地区或不发达地区扶持条件的得</w:t>
            </w:r>
            <w:r>
              <w:rPr>
                <w:color w:val="auto"/>
                <w:sz w:val="21"/>
                <w:szCs w:val="21"/>
                <w:highlight w:val="none"/>
              </w:rPr>
              <w:t>1</w:t>
            </w:r>
            <w:r>
              <w:rPr>
                <w:rFonts w:hint="eastAsia"/>
                <w:color w:val="auto"/>
                <w:sz w:val="21"/>
                <w:szCs w:val="21"/>
                <w:highlight w:val="none"/>
              </w:rPr>
              <w:t>分。</w:t>
            </w:r>
          </w:p>
        </w:tc>
        <w:tc>
          <w:tcPr>
            <w:tcW w:w="2121" w:type="dxa"/>
            <w:tcBorders>
              <w:top w:val="single" w:color="auto" w:sz="6" w:space="0"/>
              <w:left w:val="single" w:color="auto" w:sz="6" w:space="0"/>
              <w:bottom w:val="single" w:color="auto" w:sz="18"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sz w:val="21"/>
                <w:szCs w:val="21"/>
                <w:highlight w:val="none"/>
              </w:rPr>
              <w:t>提供证明材料，应包含但不限于营业执照复印件</w:t>
            </w:r>
          </w:p>
          <w:p>
            <w:pPr>
              <w:pStyle w:val="35"/>
              <w:widowControl w:val="0"/>
              <w:shd w:val="clear"/>
              <w:jc w:val="center"/>
              <w:rPr>
                <w:color w:val="auto"/>
                <w:kern w:val="2"/>
                <w:sz w:val="21"/>
                <w:szCs w:val="21"/>
                <w:highlight w:val="none"/>
              </w:rPr>
            </w:pPr>
            <w:r>
              <w:rPr>
                <w:rFonts w:hint="eastAsia"/>
                <w:color w:val="auto"/>
                <w:sz w:val="21"/>
                <w:szCs w:val="21"/>
                <w:highlight w:val="none"/>
              </w:rPr>
              <w:t>共同评分因素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665" w:type="dxa"/>
            <w:tcBorders>
              <w:top w:val="single" w:color="auto" w:sz="6" w:space="0"/>
              <w:left w:val="single" w:color="auto" w:sz="18" w:space="0"/>
              <w:bottom w:val="single" w:color="auto" w:sz="6" w:space="0"/>
              <w:right w:val="single" w:color="auto" w:sz="6" w:space="0"/>
            </w:tcBorders>
            <w:vAlign w:val="center"/>
          </w:tcPr>
          <w:p>
            <w:pPr>
              <w:pStyle w:val="35"/>
              <w:widowControl w:val="0"/>
              <w:shd w:val="clear"/>
              <w:jc w:val="center"/>
              <w:rPr>
                <w:bCs/>
                <w:color w:val="auto"/>
                <w:sz w:val="21"/>
                <w:szCs w:val="21"/>
                <w:highlight w:val="none"/>
              </w:rPr>
            </w:pPr>
            <w:r>
              <w:rPr>
                <w:rFonts w:hint="eastAsia"/>
                <w:bCs/>
                <w:color w:val="auto"/>
                <w:kern w:val="2"/>
                <w:sz w:val="21"/>
                <w:szCs w:val="21"/>
                <w:highlight w:val="none"/>
              </w:rPr>
              <w:t>6</w:t>
            </w:r>
          </w:p>
        </w:tc>
        <w:tc>
          <w:tcPr>
            <w:tcW w:w="1082"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响应文件的规范性2%</w:t>
            </w:r>
          </w:p>
        </w:tc>
        <w:tc>
          <w:tcPr>
            <w:tcW w:w="1167"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center"/>
              <w:rPr>
                <w:color w:val="auto"/>
                <w:sz w:val="21"/>
                <w:szCs w:val="21"/>
                <w:highlight w:val="none"/>
              </w:rPr>
            </w:pPr>
            <w:r>
              <w:rPr>
                <w:rFonts w:hint="eastAsia"/>
                <w:color w:val="auto"/>
                <w:kern w:val="2"/>
                <w:sz w:val="21"/>
                <w:szCs w:val="21"/>
                <w:highlight w:val="none"/>
              </w:rPr>
              <w:t>2分</w:t>
            </w:r>
          </w:p>
        </w:tc>
        <w:tc>
          <w:tcPr>
            <w:tcW w:w="5162" w:type="dxa"/>
            <w:tcBorders>
              <w:top w:val="single" w:color="auto" w:sz="6" w:space="0"/>
              <w:left w:val="single" w:color="auto" w:sz="6" w:space="0"/>
              <w:bottom w:val="single" w:color="auto" w:sz="18" w:space="0"/>
              <w:right w:val="single" w:color="auto" w:sz="6" w:space="0"/>
            </w:tcBorders>
            <w:vAlign w:val="center"/>
          </w:tcPr>
          <w:p>
            <w:pPr>
              <w:pStyle w:val="35"/>
              <w:widowControl w:val="0"/>
              <w:shd w:val="clear"/>
              <w:jc w:val="both"/>
              <w:rPr>
                <w:color w:val="auto"/>
                <w:sz w:val="21"/>
                <w:szCs w:val="21"/>
                <w:highlight w:val="none"/>
              </w:rPr>
            </w:pPr>
            <w:r>
              <w:rPr>
                <w:rFonts w:hint="eastAsia"/>
                <w:color w:val="auto"/>
                <w:kern w:val="2"/>
                <w:sz w:val="21"/>
                <w:szCs w:val="21"/>
                <w:highlight w:val="none"/>
              </w:rPr>
              <w:t>响应文件制作规范，没有细微差情形的得2分；有一项细微偏差扣0.5分，直至该项分值扣完为止。</w:t>
            </w:r>
          </w:p>
        </w:tc>
        <w:tc>
          <w:tcPr>
            <w:tcW w:w="2121" w:type="dxa"/>
            <w:tcBorders>
              <w:top w:val="single" w:color="auto" w:sz="6" w:space="0"/>
              <w:left w:val="single" w:color="auto" w:sz="6" w:space="0"/>
              <w:bottom w:val="single" w:color="auto" w:sz="18" w:space="0"/>
              <w:right w:val="single" w:color="auto" w:sz="18" w:space="0"/>
            </w:tcBorders>
            <w:vAlign w:val="center"/>
          </w:tcPr>
          <w:p>
            <w:pPr>
              <w:pStyle w:val="35"/>
              <w:widowControl w:val="0"/>
              <w:shd w:val="clear"/>
              <w:jc w:val="center"/>
              <w:rPr>
                <w:color w:val="auto"/>
                <w:sz w:val="21"/>
                <w:szCs w:val="21"/>
                <w:highlight w:val="none"/>
              </w:rPr>
            </w:pPr>
            <w:r>
              <w:rPr>
                <w:rFonts w:hint="eastAsia"/>
                <w:color w:val="auto"/>
                <w:sz w:val="21"/>
                <w:szCs w:val="21"/>
                <w:highlight w:val="none"/>
              </w:rPr>
              <w:t>共同评分因素</w:t>
            </w:r>
          </w:p>
        </w:tc>
      </w:tr>
    </w:tbl>
    <w:p>
      <w:pPr>
        <w:shd w:val="clear"/>
        <w:spacing w:line="400" w:lineRule="exact"/>
        <w:rPr>
          <w:rFonts w:ascii="宋体" w:hAnsi="宋体"/>
          <w:color w:val="auto"/>
          <w:sz w:val="24"/>
          <w:highlight w:val="none"/>
        </w:rPr>
      </w:pPr>
      <w:r>
        <w:rPr>
          <w:rFonts w:hint="eastAsia" w:ascii="宋体" w:hAnsi="宋体" w:cs="宋体"/>
          <w:color w:val="auto"/>
          <w:sz w:val="24"/>
          <w:highlight w:val="none"/>
        </w:rPr>
        <w:t>注：评分的取值按四舍五入法，保留小数点后两位。</w:t>
      </w:r>
    </w:p>
    <w:bookmarkEnd w:id="86"/>
    <w:bookmarkEnd w:id="87"/>
    <w:p>
      <w:pPr>
        <w:pStyle w:val="4"/>
        <w:shd w:val="clear"/>
        <w:rPr>
          <w:rFonts w:ascii="宋体" w:hAnsi="宋体" w:eastAsia="宋体"/>
          <w:color w:val="auto"/>
          <w:sz w:val="24"/>
          <w:szCs w:val="24"/>
          <w:highlight w:val="none"/>
        </w:rPr>
      </w:pPr>
      <w:bookmarkStart w:id="88" w:name="_Toc23042"/>
      <w:r>
        <w:rPr>
          <w:rFonts w:ascii="宋体" w:hAnsi="宋体" w:eastAsia="宋体"/>
          <w:color w:val="auto"/>
          <w:sz w:val="24"/>
          <w:szCs w:val="24"/>
          <w:highlight w:val="none"/>
        </w:rPr>
        <w:t>4.</w:t>
      </w:r>
      <w:r>
        <w:rPr>
          <w:rFonts w:hint="eastAsia" w:ascii="宋体" w:hAnsi="宋体" w:eastAsia="宋体"/>
          <w:color w:val="auto"/>
          <w:sz w:val="24"/>
          <w:szCs w:val="24"/>
          <w:highlight w:val="none"/>
        </w:rPr>
        <w:t>磋商纪律及注意事项</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磋商小组内部讨论的情况和意见必须保密，任何人不得以任何形式透露给供应商或与供应商有关的单位或个人。</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在磋商过程中，供应商不得以任何形式对磋商小组成员进行旨在影响磋商结果的私下接触，否则将取消其参与磋商的资格。</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4.3</w:t>
      </w:r>
      <w:r>
        <w:rPr>
          <w:rFonts w:hint="eastAsia" w:ascii="宋体" w:hAnsi="宋体"/>
          <w:color w:val="auto"/>
          <w:sz w:val="24"/>
          <w:highlight w:val="none"/>
        </w:rPr>
        <w:t>对各供应商的商业秘密，磋商小组成员应予以保密，不得泄露给其他供应商。</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4.4 </w:t>
      </w:r>
      <w:r>
        <w:rPr>
          <w:rFonts w:hint="eastAsia" w:ascii="宋体" w:hAnsi="宋体"/>
          <w:color w:val="auto"/>
          <w:sz w:val="24"/>
          <w:highlight w:val="none"/>
        </w:rPr>
        <w:t>磋商小组独立评判，推荐成交候选人，并写出书面报告。</w:t>
      </w:r>
    </w:p>
    <w:p>
      <w:pPr>
        <w:shd w:val="clea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4.5 </w:t>
      </w:r>
      <w:r>
        <w:rPr>
          <w:rFonts w:hint="eastAsia" w:ascii="宋体" w:hAnsi="宋体"/>
          <w:color w:val="auto"/>
          <w:sz w:val="24"/>
          <w:highlight w:val="none"/>
        </w:rPr>
        <w:t>磋商小组可根据需要对供应商进行实地考察。</w:t>
      </w:r>
    </w:p>
    <w:p>
      <w:pPr>
        <w:pStyle w:val="4"/>
        <w:shd w:val="clear"/>
        <w:spacing w:line="240" w:lineRule="auto"/>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磋商小组在政府采购活动中承担以下义务：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5.1遵守评审工作纪律；</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5.2按照客观、公正、审慎的原则，根据磋商文件规定的评审程序、评审方法和评审标准进行独立评审；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5.3不得泄露评审文件、评审情况和在评审过程中获悉的商业秘密；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5.4及时向财政部门报告评审过程中发现的采购人、采购代理机构向评审专家做倾向性、误导性的解释或者说明，以及供应商行贿、提供虚假材料或者串通等违法行为；</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5.5发现磋商文件内容违反国家有关强制性规定或者磋商文件存在歧义、重大缺陷导致评审工作无法进行时，停止评审并向采购人或者采购代理机构书面说明情况；</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5.6及时向财政、监察等部门举报在评审过程中受到非法干预的情况；</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5.7配合答复处理供应商的询问、质疑和投诉等事项；</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5.8法律、法规和规章规定的其他义务。</w:t>
      </w:r>
    </w:p>
    <w:p>
      <w:pPr>
        <w:pStyle w:val="4"/>
        <w:shd w:val="clear"/>
        <w:spacing w:line="240" w:lineRule="auto"/>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评审专家在政府采购活动中应当遵守以下工作纪律：</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6.1不得参加与自己有《中华人民共和国政府采购法实施条例》第九条规定的利害关系的政府采购项目的评审活动。发现参加了与自己有利害关系的评审活动，须主动提出回避，退出评审；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6.2评审前，应当将通讯工具或者相关电子设备交由采购代理机构统一保管；</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6.3评审过程中，不得与外界联系，因发生不可预见情况，确实需要与外界联系的，应当在监督人员监督之下办理；</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6.5在评审过程中和评审结束后，不得记录、复制或带走任何评审资料，不得向外界透露评审内容；</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6.6评审现场服从采购代理机构工作人员的管理，接受现场监督人员的合法监督；</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6.7遵守有关廉洁自律规定，不得私下接触供应商，不得收受供应商及有关业务单位和个人的财物或好处，不得接受采购代理机构的请托。</w:t>
      </w:r>
    </w:p>
    <w:p>
      <w:pPr>
        <w:pStyle w:val="3"/>
        <w:shd w:val="clear"/>
        <w:spacing w:line="400" w:lineRule="exact"/>
        <w:jc w:val="center"/>
        <w:rPr>
          <w:rFonts w:ascii="宋体" w:hAnsi="宋体" w:cs="宋体"/>
          <w:color w:val="auto"/>
          <w:sz w:val="36"/>
          <w:szCs w:val="36"/>
          <w:highlight w:val="none"/>
        </w:rPr>
      </w:pPr>
      <w:r>
        <w:rPr>
          <w:rFonts w:hint="eastAsia" w:ascii="宋体" w:hAnsi="宋体"/>
          <w:color w:val="auto"/>
          <w:sz w:val="36"/>
          <w:szCs w:val="36"/>
          <w:highlight w:val="none"/>
        </w:rPr>
        <w:br w:type="page"/>
      </w:r>
      <w:bookmarkStart w:id="89" w:name="_Toc53267590"/>
      <w:r>
        <w:rPr>
          <w:rFonts w:hint="eastAsia" w:ascii="宋体" w:hAnsi="宋体" w:cs="宋体"/>
          <w:color w:val="auto"/>
          <w:sz w:val="36"/>
          <w:szCs w:val="36"/>
          <w:highlight w:val="none"/>
        </w:rPr>
        <w:t>第十章  政府采购合同</w:t>
      </w:r>
      <w:bookmarkEnd w:id="88"/>
      <w:r>
        <w:rPr>
          <w:rFonts w:hint="eastAsia" w:ascii="宋体" w:hAnsi="宋体" w:cs="宋体"/>
          <w:color w:val="auto"/>
          <w:sz w:val="36"/>
          <w:szCs w:val="36"/>
          <w:highlight w:val="none"/>
        </w:rPr>
        <w:t>（草案）</w:t>
      </w:r>
      <w:bookmarkEnd w:id="89"/>
    </w:p>
    <w:p>
      <w:pPr>
        <w:pStyle w:val="23"/>
        <w:shd w:val="clear"/>
        <w:tabs>
          <w:tab w:val="left" w:pos="0"/>
        </w:tabs>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合同编号：</w:t>
      </w:r>
      <w:r>
        <w:rPr>
          <w:rFonts w:hint="eastAsia" w:hAnsi="宋体" w:cs="宋体"/>
          <w:color w:val="auto"/>
          <w:sz w:val="24"/>
          <w:highlight w:val="none"/>
          <w:u w:val="single"/>
        </w:rPr>
        <w:t xml:space="preserve">          </w:t>
      </w:r>
    </w:p>
    <w:p>
      <w:pPr>
        <w:pStyle w:val="23"/>
        <w:shd w:val="clear"/>
        <w:tabs>
          <w:tab w:val="left" w:pos="0"/>
        </w:tabs>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甲方：</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pPr>
        <w:pStyle w:val="23"/>
        <w:shd w:val="clear"/>
        <w:tabs>
          <w:tab w:val="left" w:pos="0"/>
        </w:tabs>
        <w:snapToGrid w:val="0"/>
        <w:spacing w:line="400" w:lineRule="exact"/>
        <w:ind w:firstLine="480" w:firstLineChars="200"/>
        <w:rPr>
          <w:rFonts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u w:val="single"/>
        </w:rPr>
        <w:t xml:space="preserve">            </w:t>
      </w:r>
    </w:p>
    <w:p>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签订地点：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签订时间：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Cs w:val="21"/>
          <w:highlight w:val="none"/>
          <w:u w:val="single"/>
        </w:rPr>
        <w:t xml:space="preserve">     </w:t>
      </w:r>
      <w:r>
        <w:rPr>
          <w:rFonts w:ascii="宋体" w:hAnsi="宋体"/>
          <w:color w:val="auto"/>
          <w:sz w:val="24"/>
          <w:highlight w:val="none"/>
        </w:rPr>
        <w:t>月</w:t>
      </w:r>
      <w:r>
        <w:rPr>
          <w:rFonts w:hint="eastAsia" w:ascii="宋体" w:hAnsi="宋体"/>
          <w:color w:val="auto"/>
          <w:szCs w:val="21"/>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w:t>
      </w:r>
    </w:p>
    <w:p>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w:t>
      </w:r>
      <w:r>
        <w:rPr>
          <w:rFonts w:ascii="宋体" w:hAnsi="宋体"/>
          <w:color w:val="auto"/>
          <w:sz w:val="24"/>
          <w:highlight w:val="none"/>
        </w:rPr>
        <w:t>甲方</w:t>
      </w:r>
      <w:r>
        <w:rPr>
          <w:rFonts w:hint="eastAsia" w:ascii="宋体" w:hAnsi="宋体"/>
          <w:color w:val="auto"/>
          <w:sz w:val="24"/>
          <w:highlight w:val="none"/>
        </w:rPr>
        <w:t>）</w:t>
      </w:r>
      <w:r>
        <w:rPr>
          <w:rFonts w:ascii="宋体" w:hAnsi="宋体"/>
          <w:color w:val="auto"/>
          <w:sz w:val="24"/>
          <w:highlight w:val="none"/>
        </w:rPr>
        <w:t>：</w:t>
      </w:r>
      <w:r>
        <w:rPr>
          <w:rFonts w:ascii="宋体" w:hAnsi="宋体"/>
          <w:color w:val="auto"/>
          <w:sz w:val="24"/>
          <w:highlight w:val="none"/>
          <w:u w:val="single"/>
        </w:rPr>
        <w:t xml:space="preserve">                              </w:t>
      </w:r>
    </w:p>
    <w:p>
      <w:pPr>
        <w:shd w:val="clea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供应商（乙</w:t>
      </w:r>
      <w:r>
        <w:rPr>
          <w:rFonts w:ascii="宋体" w:hAnsi="宋体"/>
          <w:color w:val="auto"/>
          <w:sz w:val="24"/>
          <w:highlight w:val="none"/>
        </w:rPr>
        <w:t>方</w:t>
      </w:r>
      <w:r>
        <w:rPr>
          <w:rFonts w:hint="eastAsia" w:ascii="宋体" w:hAnsi="宋体"/>
          <w:color w:val="auto"/>
          <w:sz w:val="24"/>
          <w:highlight w:val="none"/>
        </w:rPr>
        <w:t>）</w:t>
      </w:r>
      <w:r>
        <w:rPr>
          <w:rFonts w:ascii="宋体" w:hAnsi="宋体"/>
          <w:color w:val="auto"/>
          <w:sz w:val="24"/>
          <w:highlight w:val="none"/>
        </w:rPr>
        <w:t>：</w:t>
      </w:r>
      <w:r>
        <w:rPr>
          <w:rFonts w:ascii="宋体" w:hAnsi="宋体"/>
          <w:color w:val="auto"/>
          <w:sz w:val="24"/>
          <w:highlight w:val="none"/>
          <w:u w:val="single"/>
        </w:rPr>
        <w:t xml:space="preserve">                              </w:t>
      </w:r>
    </w:p>
    <w:p>
      <w:pPr>
        <w:shd w:val="clear"/>
        <w:spacing w:line="360" w:lineRule="auto"/>
        <w:ind w:firstLine="480" w:firstLineChars="200"/>
        <w:rPr>
          <w:rFonts w:ascii="宋体" w:hAnsi="宋体"/>
          <w:color w:val="auto"/>
          <w:sz w:val="24"/>
          <w:highlight w:val="none"/>
        </w:rPr>
      </w:pPr>
    </w:p>
    <w:p>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依据《</w:t>
      </w:r>
      <w:r>
        <w:rPr>
          <w:rFonts w:hint="eastAsia" w:ascii="宋体" w:hAnsi="宋体"/>
          <w:color w:val="auto"/>
          <w:sz w:val="24"/>
          <w:highlight w:val="none"/>
        </w:rPr>
        <w:t>中华人民共和国民法典</w:t>
      </w:r>
      <w:r>
        <w:rPr>
          <w:rFonts w:ascii="宋体" w:hAnsi="宋体"/>
          <w:color w:val="auto"/>
          <w:sz w:val="24"/>
          <w:highlight w:val="none"/>
        </w:rPr>
        <w:t>》、《中华人民共和国政府采购法》</w:t>
      </w:r>
      <w:r>
        <w:rPr>
          <w:rFonts w:hint="eastAsia" w:ascii="宋体" w:hAnsi="宋体"/>
          <w:color w:val="auto"/>
          <w:sz w:val="24"/>
          <w:highlight w:val="none"/>
        </w:rPr>
        <w:t>与项目行业有关的法律法规，以及</w:t>
      </w:r>
      <w:r>
        <w:rPr>
          <w:rFonts w:hint="eastAsia" w:ascii="宋体" w:hAnsi="宋体"/>
          <w:color w:val="auto"/>
          <w:szCs w:val="21"/>
          <w:highlight w:val="none"/>
          <w:u w:val="single"/>
        </w:rPr>
        <w:t xml:space="preserve">      </w:t>
      </w:r>
      <w:r>
        <w:rPr>
          <w:rFonts w:hint="eastAsia" w:ascii="宋体" w:hAnsi="宋体"/>
          <w:color w:val="auto"/>
          <w:sz w:val="24"/>
          <w:highlight w:val="none"/>
        </w:rPr>
        <w:t>项目（项目编号：</w:t>
      </w:r>
      <w:r>
        <w:rPr>
          <w:rFonts w:hint="eastAsia" w:ascii="宋体" w:hAnsi="宋体"/>
          <w:color w:val="auto"/>
          <w:szCs w:val="21"/>
          <w:highlight w:val="none"/>
          <w:u w:val="single"/>
        </w:rPr>
        <w:t xml:space="preserve">       </w:t>
      </w:r>
      <w:r>
        <w:rPr>
          <w:rFonts w:hint="eastAsia" w:ascii="宋体" w:hAnsi="宋体"/>
          <w:color w:val="auto"/>
          <w:sz w:val="24"/>
          <w:highlight w:val="none"/>
        </w:rPr>
        <w:t>）</w:t>
      </w:r>
      <w:r>
        <w:rPr>
          <w:rFonts w:ascii="宋体" w:hAnsi="宋体"/>
          <w:color w:val="auto"/>
          <w:sz w:val="24"/>
          <w:highlight w:val="none"/>
        </w:rPr>
        <w:t>的</w:t>
      </w:r>
      <w:r>
        <w:rPr>
          <w:rFonts w:hint="eastAsia" w:ascii="宋体" w:hAnsi="宋体"/>
          <w:color w:val="auto"/>
          <w:sz w:val="24"/>
          <w:highlight w:val="none"/>
        </w:rPr>
        <w:t>《竞争性磋商文件》</w:t>
      </w:r>
      <w:r>
        <w:rPr>
          <w:rFonts w:ascii="宋体" w:hAnsi="宋体"/>
          <w:color w:val="auto"/>
          <w:sz w:val="24"/>
          <w:highlight w:val="none"/>
        </w:rPr>
        <w:t>，</w:t>
      </w:r>
      <w:r>
        <w:rPr>
          <w:rFonts w:hint="eastAsia" w:ascii="宋体" w:hAnsi="宋体"/>
          <w:color w:val="auto"/>
          <w:sz w:val="24"/>
          <w:highlight w:val="none"/>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color w:val="auto"/>
          <w:sz w:val="24"/>
          <w:highlight w:val="none"/>
        </w:rPr>
        <w:t xml:space="preserve"> </w:t>
      </w:r>
    </w:p>
    <w:p>
      <w:pPr>
        <w:shd w:val="clear"/>
        <w:spacing w:line="360" w:lineRule="auto"/>
        <w:rPr>
          <w:rFonts w:ascii="宋体" w:hAnsi="宋体"/>
          <w:b/>
          <w:color w:val="auto"/>
          <w:sz w:val="24"/>
          <w:highlight w:val="none"/>
        </w:rPr>
      </w:pPr>
      <w:r>
        <w:rPr>
          <w:rFonts w:hint="eastAsia" w:ascii="宋体" w:hAnsi="宋体"/>
          <w:b/>
          <w:color w:val="auto"/>
          <w:sz w:val="24"/>
          <w:highlight w:val="none"/>
        </w:rPr>
        <w:t>1.项目基本情况</w:t>
      </w:r>
    </w:p>
    <w:p>
      <w:pPr>
        <w:shd w:val="clear"/>
        <w:spacing w:line="360" w:lineRule="auto"/>
        <w:rPr>
          <w:rFonts w:ascii="宋体" w:hAnsi="宋体"/>
          <w:b/>
          <w:color w:val="auto"/>
          <w:sz w:val="24"/>
          <w:highlight w:val="none"/>
        </w:rPr>
      </w:pPr>
      <w:r>
        <w:rPr>
          <w:rFonts w:hint="eastAsia" w:ascii="宋体" w:hAnsi="宋体"/>
          <w:color w:val="auto"/>
          <w:sz w:val="24"/>
          <w:highlight w:val="none"/>
        </w:rPr>
        <w:t xml:space="preserve">   </w:t>
      </w:r>
    </w:p>
    <w:p>
      <w:pPr>
        <w:shd w:val="clear"/>
        <w:spacing w:line="360" w:lineRule="auto"/>
        <w:rPr>
          <w:rFonts w:ascii="宋体" w:hAnsi="宋体"/>
          <w:b/>
          <w:color w:val="auto"/>
          <w:sz w:val="24"/>
          <w:highlight w:val="none"/>
        </w:rPr>
      </w:pPr>
      <w:r>
        <w:rPr>
          <w:rFonts w:hint="eastAsia" w:ascii="宋体" w:hAnsi="宋体"/>
          <w:b/>
          <w:color w:val="auto"/>
          <w:sz w:val="24"/>
          <w:highlight w:val="none"/>
        </w:rPr>
        <w:t>2.合同期限</w:t>
      </w:r>
    </w:p>
    <w:p>
      <w:pPr>
        <w:shd w:val="clear"/>
        <w:spacing w:line="360" w:lineRule="auto"/>
        <w:ind w:firstLine="480" w:firstLineChars="200"/>
        <w:rPr>
          <w:rFonts w:ascii="宋体" w:hAnsi="宋体"/>
          <w:color w:val="auto"/>
          <w:sz w:val="24"/>
          <w:highlight w:val="none"/>
        </w:rPr>
      </w:pPr>
    </w:p>
    <w:p>
      <w:pPr>
        <w:shd w:val="clear"/>
        <w:spacing w:line="360" w:lineRule="auto"/>
        <w:rPr>
          <w:rFonts w:ascii="宋体" w:hAnsi="宋体"/>
          <w:b/>
          <w:color w:val="auto"/>
          <w:sz w:val="24"/>
          <w:highlight w:val="none"/>
        </w:rPr>
      </w:pPr>
      <w:bookmarkStart w:id="90" w:name="_Toc251768862"/>
      <w:bookmarkStart w:id="91" w:name="_Toc185395249"/>
      <w:bookmarkStart w:id="92" w:name="_Toc232492928"/>
      <w:bookmarkStart w:id="93" w:name="_Toc237145406"/>
      <w:bookmarkStart w:id="94" w:name="_Toc212019594"/>
      <w:bookmarkStart w:id="95" w:name="_Toc239233914"/>
      <w:bookmarkStart w:id="96" w:name="_Toc225670751"/>
      <w:bookmarkStart w:id="97" w:name="_Toc286993786"/>
      <w:bookmarkStart w:id="98" w:name="_Toc239568418"/>
      <w:bookmarkStart w:id="99" w:name="_Toc211911348"/>
      <w:bookmarkStart w:id="100" w:name="_Toc241833903"/>
      <w:bookmarkStart w:id="101" w:name="_Toc238984975"/>
      <w:bookmarkStart w:id="102" w:name="_Toc282696226"/>
      <w:bookmarkStart w:id="103" w:name="_Toc225244852"/>
      <w:bookmarkStart w:id="104" w:name="_Toc247334841"/>
      <w:bookmarkStart w:id="105" w:name="_Toc283019214"/>
      <w:bookmarkStart w:id="106" w:name="_Toc225654644"/>
      <w:bookmarkStart w:id="107" w:name="_Toc211854449"/>
      <w:r>
        <w:rPr>
          <w:rFonts w:hint="eastAsia" w:ascii="宋体" w:hAnsi="宋体"/>
          <w:b/>
          <w:color w:val="auto"/>
          <w:sz w:val="24"/>
          <w:highlight w:val="none"/>
        </w:rPr>
        <w:t>3.服务内容与质量标准</w:t>
      </w:r>
    </w:p>
    <w:p>
      <w:pPr>
        <w:shd w:val="clear"/>
        <w:spacing w:line="360" w:lineRule="auto"/>
        <w:rPr>
          <w:rFonts w:ascii="宋体" w:hAnsi="宋体"/>
          <w:color w:val="auto"/>
          <w:sz w:val="24"/>
          <w:highlight w:val="none"/>
        </w:rPr>
      </w:pPr>
    </w:p>
    <w:p>
      <w:pPr>
        <w:shd w:val="clear"/>
        <w:spacing w:line="360" w:lineRule="auto"/>
        <w:rPr>
          <w:rFonts w:ascii="宋体" w:hAnsi="宋体"/>
          <w:b/>
          <w:color w:val="auto"/>
          <w:sz w:val="24"/>
          <w:highlight w:val="none"/>
        </w:rPr>
      </w:pPr>
      <w:r>
        <w:rPr>
          <w:rFonts w:hint="eastAsia" w:ascii="宋体" w:hAnsi="宋体"/>
          <w:b/>
          <w:color w:val="auto"/>
          <w:sz w:val="24"/>
          <w:highlight w:val="none"/>
        </w:rPr>
        <w:t>4.服务费用及支付方式</w:t>
      </w:r>
    </w:p>
    <w:p>
      <w:pPr>
        <w:numPr>
          <w:ilvl w:val="0"/>
          <w:numId w:val="6"/>
        </w:numPr>
        <w:shd w:val="clear"/>
        <w:spacing w:line="360" w:lineRule="auto"/>
        <w:ind w:left="0" w:firstLine="567"/>
        <w:rPr>
          <w:rFonts w:ascii="宋体" w:hAnsi="宋体"/>
          <w:b/>
          <w:color w:val="auto"/>
          <w:sz w:val="24"/>
          <w:highlight w:val="none"/>
        </w:rPr>
      </w:pPr>
      <w:r>
        <w:rPr>
          <w:rFonts w:hint="eastAsia" w:ascii="宋体" w:hAnsi="宋体"/>
          <w:b/>
          <w:color w:val="auto"/>
          <w:sz w:val="24"/>
          <w:highlight w:val="none"/>
        </w:rPr>
        <w:t>本项目服务费用由以下组成：</w:t>
      </w:r>
    </w:p>
    <w:p>
      <w:pPr>
        <w:numPr>
          <w:ilvl w:val="0"/>
          <w:numId w:val="7"/>
        </w:num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万元；</w:t>
      </w:r>
    </w:p>
    <w:p>
      <w:pPr>
        <w:numPr>
          <w:ilvl w:val="0"/>
          <w:numId w:val="7"/>
        </w:num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万元；</w:t>
      </w:r>
    </w:p>
    <w:p>
      <w:pPr>
        <w:numPr>
          <w:ilvl w:val="0"/>
          <w:numId w:val="7"/>
        </w:num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万元。</w:t>
      </w:r>
    </w:p>
    <w:p>
      <w:pPr>
        <w:shd w:val="clear"/>
        <w:spacing w:line="360" w:lineRule="auto"/>
        <w:ind w:firstLine="480" w:firstLineChars="200"/>
        <w:rPr>
          <w:rFonts w:ascii="宋体" w:hAnsi="宋体"/>
          <w:color w:val="auto"/>
          <w:sz w:val="24"/>
          <w:highlight w:val="none"/>
        </w:rPr>
      </w:pPr>
      <w:r>
        <w:rPr>
          <w:rFonts w:ascii="宋体" w:hAnsi="宋体"/>
          <w:color w:val="auto"/>
          <w:sz w:val="24"/>
          <w:highlight w:val="none"/>
        </w:rPr>
        <w:t>……</w:t>
      </w:r>
    </w:p>
    <w:p>
      <w:pPr>
        <w:numPr>
          <w:ilvl w:val="0"/>
          <w:numId w:val="6"/>
        </w:numPr>
        <w:shd w:val="clear"/>
        <w:tabs>
          <w:tab w:val="left" w:pos="780"/>
        </w:tabs>
        <w:spacing w:line="360" w:lineRule="auto"/>
        <w:ind w:left="0" w:firstLine="567"/>
        <w:rPr>
          <w:rFonts w:ascii="宋体" w:hAnsi="宋体"/>
          <w:b/>
          <w:color w:val="auto"/>
          <w:sz w:val="24"/>
          <w:highlight w:val="none"/>
        </w:rPr>
      </w:pPr>
      <w:r>
        <w:rPr>
          <w:rFonts w:hint="eastAsia" w:ascii="宋体" w:hAnsi="宋体"/>
          <w:b/>
          <w:color w:val="auto"/>
          <w:sz w:val="24"/>
          <w:highlight w:val="none"/>
        </w:rPr>
        <w:t xml:space="preserve">服务费支付方式： </w:t>
      </w:r>
    </w:p>
    <w:p>
      <w:pPr>
        <w:shd w:val="clear"/>
        <w:tabs>
          <w:tab w:val="left" w:pos="780"/>
        </w:tabs>
        <w:spacing w:line="360" w:lineRule="auto"/>
        <w:ind w:left="567"/>
        <w:rPr>
          <w:rFonts w:ascii="宋体" w:hAnsi="宋体"/>
          <w:b/>
          <w:color w:val="auto"/>
          <w:sz w:val="24"/>
          <w:highlight w:val="none"/>
        </w:rPr>
      </w:pPr>
    </w:p>
    <w:p>
      <w:pPr>
        <w:shd w:val="clear"/>
        <w:spacing w:line="360" w:lineRule="auto"/>
        <w:rPr>
          <w:rFonts w:ascii="宋体" w:hAnsi="宋体"/>
          <w:b/>
          <w:color w:val="auto"/>
          <w:sz w:val="24"/>
          <w:highlight w:val="none"/>
        </w:rPr>
      </w:pPr>
      <w:r>
        <w:rPr>
          <w:rFonts w:hint="eastAsia" w:ascii="宋体" w:hAnsi="宋体"/>
          <w:b/>
          <w:color w:val="auto"/>
          <w:sz w:val="24"/>
          <w:highlight w:val="none"/>
        </w:rPr>
        <w:t>5.知识产权</w:t>
      </w:r>
    </w:p>
    <w:p>
      <w:pPr>
        <w:shd w:val="clea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乙方应保证所提供的服务或其任何一部分均不会侵犯任何第三方的专利权、商标权或著作权。</w:t>
      </w:r>
    </w:p>
    <w:p>
      <w:pPr>
        <w:shd w:val="clear"/>
        <w:spacing w:line="360" w:lineRule="auto"/>
        <w:rPr>
          <w:rFonts w:ascii="宋体" w:hAnsi="宋体"/>
          <w:b/>
          <w:color w:val="auto"/>
          <w:sz w:val="24"/>
          <w:highlight w:val="none"/>
        </w:rPr>
      </w:pPr>
      <w:r>
        <w:rPr>
          <w:rFonts w:hint="eastAsia" w:ascii="宋体" w:hAnsi="宋体"/>
          <w:b/>
          <w:color w:val="auto"/>
          <w:sz w:val="24"/>
          <w:highlight w:val="none"/>
        </w:rPr>
        <w:t>6.无产权瑕疵条款</w:t>
      </w:r>
    </w:p>
    <w:p>
      <w:pPr>
        <w:shd w:val="clea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乙方保证所提供的服务的所有权完全属于乙方且无任何抵押、查封等产权瑕疵。如有产权瑕疵的，视为乙方违约。乙方应负担由此而产生的一切损失。</w:t>
      </w:r>
    </w:p>
    <w:p>
      <w:pPr>
        <w:shd w:val="clear"/>
        <w:spacing w:line="360" w:lineRule="auto"/>
        <w:rPr>
          <w:rFonts w:ascii="宋体" w:hAnsi="宋体"/>
          <w:b/>
          <w:color w:val="auto"/>
          <w:sz w:val="24"/>
          <w:highlight w:val="none"/>
        </w:rPr>
      </w:pPr>
      <w:r>
        <w:rPr>
          <w:rFonts w:hint="eastAsia" w:ascii="宋体" w:hAnsi="宋体"/>
          <w:b/>
          <w:color w:val="auto"/>
          <w:sz w:val="24"/>
          <w:highlight w:val="none"/>
        </w:rPr>
        <w:t>7.履约保证金</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1、乙方交纳人民币</w:t>
      </w:r>
      <w:r>
        <w:rPr>
          <w:rFonts w:hint="eastAsia" w:ascii="宋体" w:hAnsi="宋体"/>
          <w:bCs/>
          <w:color w:val="auto"/>
          <w:sz w:val="24"/>
          <w:highlight w:val="none"/>
          <w:u w:val="single"/>
        </w:rPr>
        <w:t xml:space="preserve">      </w:t>
      </w:r>
      <w:r>
        <w:rPr>
          <w:rFonts w:hint="eastAsia" w:ascii="宋体" w:hAnsi="宋体"/>
          <w:bCs/>
          <w:color w:val="auto"/>
          <w:sz w:val="24"/>
          <w:highlight w:val="none"/>
        </w:rPr>
        <w:t>元作为本合同的履约保证金。</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2、履约保证金作为违约金的一部分及用于补偿甲方因乙方不能履行合同义务而蒙受的损失。</w:t>
      </w:r>
    </w:p>
    <w:p>
      <w:pPr>
        <w:shd w:val="clear"/>
        <w:spacing w:line="360" w:lineRule="auto"/>
        <w:rPr>
          <w:rFonts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甲方的权利和义务</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甲方有权对合同规定范围内</w:t>
      </w:r>
      <w:r>
        <w:rPr>
          <w:rFonts w:hint="eastAsia" w:ascii="宋体" w:hAnsi="宋体"/>
          <w:bCs/>
          <w:color w:val="auto"/>
          <w:sz w:val="24"/>
          <w:highlight w:val="none"/>
        </w:rPr>
        <w:t>乙方的服务行为</w:t>
      </w:r>
      <w:r>
        <w:rPr>
          <w:rFonts w:ascii="宋体" w:hAnsi="宋体"/>
          <w:bCs/>
          <w:color w:val="auto"/>
          <w:sz w:val="24"/>
          <w:highlight w:val="none"/>
        </w:rPr>
        <w:t>进行监督和检查，拥有监管权。有权定期核对乙方提供服务所配备的人员数量。对甲方认为不合理的部分有权</w:t>
      </w:r>
      <w:r>
        <w:rPr>
          <w:rFonts w:hint="eastAsia" w:ascii="宋体" w:hAnsi="宋体"/>
          <w:bCs/>
          <w:color w:val="auto"/>
          <w:sz w:val="24"/>
          <w:highlight w:val="none"/>
        </w:rPr>
        <w:t>下达整改通知书，并</w:t>
      </w:r>
      <w:r>
        <w:rPr>
          <w:rFonts w:ascii="宋体" w:hAnsi="宋体"/>
          <w:bCs/>
          <w:color w:val="auto"/>
          <w:sz w:val="24"/>
          <w:highlight w:val="none"/>
        </w:rPr>
        <w:t>要求乙方</w:t>
      </w:r>
      <w:r>
        <w:rPr>
          <w:rFonts w:hint="eastAsia" w:ascii="宋体" w:hAnsi="宋体"/>
          <w:bCs/>
          <w:color w:val="auto"/>
          <w:sz w:val="24"/>
          <w:highlight w:val="none"/>
        </w:rPr>
        <w:t>限期整改</w:t>
      </w:r>
      <w:r>
        <w:rPr>
          <w:rFonts w:ascii="宋体" w:hAnsi="宋体"/>
          <w:bCs/>
          <w:color w:val="auto"/>
          <w:sz w:val="24"/>
          <w:highlight w:val="none"/>
        </w:rPr>
        <w:t>。</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2、甲方有权依据双方签订的考评办法对乙方提供的服务进行定期考评。当考评结果未达到标准时，有权依据考评办法约定的数额扣除履约保证金。</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负责检查监督乙方管理工作的实施及制度的执行情况。</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根据本合同规定，按时向乙方支付应付</w:t>
      </w:r>
      <w:r>
        <w:rPr>
          <w:rFonts w:hint="eastAsia" w:ascii="宋体" w:hAnsi="宋体"/>
          <w:bCs/>
          <w:color w:val="auto"/>
          <w:sz w:val="24"/>
          <w:highlight w:val="none"/>
        </w:rPr>
        <w:t>服务费用</w:t>
      </w:r>
      <w:r>
        <w:rPr>
          <w:rFonts w:ascii="宋体" w:hAnsi="宋体"/>
          <w:bCs/>
          <w:color w:val="auto"/>
          <w:sz w:val="24"/>
          <w:highlight w:val="none"/>
        </w:rPr>
        <w:t>。</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国家法律、法规所规定由甲方承担的其它责任。</w:t>
      </w:r>
    </w:p>
    <w:p>
      <w:pPr>
        <w:shd w:val="clear"/>
        <w:spacing w:line="360" w:lineRule="auto"/>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乙方的权利和义务</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对本合同规定的委托</w:t>
      </w:r>
      <w:r>
        <w:rPr>
          <w:rFonts w:hint="eastAsia" w:ascii="宋体" w:hAnsi="宋体"/>
          <w:bCs/>
          <w:color w:val="auto"/>
          <w:sz w:val="24"/>
          <w:highlight w:val="none"/>
        </w:rPr>
        <w:t>服务</w:t>
      </w:r>
      <w:r>
        <w:rPr>
          <w:rFonts w:ascii="宋体" w:hAnsi="宋体"/>
          <w:bCs/>
          <w:color w:val="auto"/>
          <w:sz w:val="24"/>
          <w:highlight w:val="none"/>
        </w:rPr>
        <w:t>范围内的</w:t>
      </w:r>
      <w:r>
        <w:rPr>
          <w:rFonts w:hint="eastAsia" w:ascii="宋体" w:hAnsi="宋体"/>
          <w:bCs/>
          <w:color w:val="auto"/>
          <w:sz w:val="24"/>
          <w:highlight w:val="none"/>
        </w:rPr>
        <w:t>项目</w:t>
      </w:r>
      <w:r>
        <w:rPr>
          <w:rFonts w:ascii="宋体" w:hAnsi="宋体"/>
          <w:bCs/>
          <w:color w:val="auto"/>
          <w:sz w:val="24"/>
          <w:highlight w:val="none"/>
        </w:rPr>
        <w:t>享有管理权及服务义务。</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根据本合同的规定向甲方收取相关</w:t>
      </w:r>
      <w:r>
        <w:rPr>
          <w:rFonts w:hint="eastAsia" w:ascii="宋体" w:hAnsi="宋体"/>
          <w:bCs/>
          <w:color w:val="auto"/>
          <w:sz w:val="24"/>
          <w:highlight w:val="none"/>
        </w:rPr>
        <w:t>服务</w:t>
      </w:r>
      <w:r>
        <w:rPr>
          <w:rFonts w:ascii="宋体" w:hAnsi="宋体"/>
          <w:bCs/>
          <w:color w:val="auto"/>
          <w:sz w:val="24"/>
          <w:highlight w:val="none"/>
        </w:rPr>
        <w:t>费用，并有权</w:t>
      </w:r>
      <w:r>
        <w:rPr>
          <w:rFonts w:hint="eastAsia" w:ascii="宋体" w:hAnsi="宋体"/>
          <w:bCs/>
          <w:color w:val="auto"/>
          <w:sz w:val="24"/>
          <w:highlight w:val="none"/>
        </w:rPr>
        <w:t>在本项目管理范围内</w:t>
      </w:r>
      <w:r>
        <w:rPr>
          <w:rFonts w:ascii="宋体" w:hAnsi="宋体"/>
          <w:bCs/>
          <w:color w:val="auto"/>
          <w:sz w:val="24"/>
          <w:highlight w:val="none"/>
        </w:rPr>
        <w:t>管理及合理使用。</w:t>
      </w:r>
    </w:p>
    <w:p>
      <w:pPr>
        <w:shd w:val="clear"/>
        <w:adjustRightIn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3、及时向甲方通告本项目服务范围内有关服务的重大事项，及时配合处理投诉。</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color w:val="auto"/>
          <w:sz w:val="24"/>
          <w:highlight w:val="none"/>
        </w:rPr>
        <w:t>4、</w:t>
      </w:r>
      <w:r>
        <w:rPr>
          <w:rFonts w:ascii="宋体" w:hAnsi="宋体"/>
          <w:bCs/>
          <w:color w:val="auto"/>
          <w:sz w:val="24"/>
          <w:highlight w:val="none"/>
        </w:rPr>
        <w:t>接受</w:t>
      </w:r>
      <w:r>
        <w:rPr>
          <w:rFonts w:hint="eastAsia" w:ascii="宋体" w:hAnsi="宋体"/>
          <w:bCs/>
          <w:color w:val="auto"/>
          <w:sz w:val="24"/>
          <w:highlight w:val="none"/>
        </w:rPr>
        <w:t>项目行</w:t>
      </w:r>
      <w:r>
        <w:rPr>
          <w:rFonts w:ascii="宋体" w:hAnsi="宋体"/>
          <w:bCs/>
          <w:color w:val="auto"/>
          <w:sz w:val="24"/>
          <w:highlight w:val="none"/>
        </w:rPr>
        <w:t>业管理部门及政府有关部门的指导，接受甲方的监督。</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国家法律、法规所规定由乙方承担的其它责任。</w:t>
      </w:r>
    </w:p>
    <w:p>
      <w:pPr>
        <w:shd w:val="clear"/>
        <w:spacing w:line="360" w:lineRule="auto"/>
        <w:rPr>
          <w:rFonts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违约责任</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甲乙双方必须遵守本合同并执行合同中的各项规定，保证</w:t>
      </w:r>
      <w:r>
        <w:rPr>
          <w:rFonts w:hint="eastAsia" w:ascii="宋体" w:hAnsi="宋体"/>
          <w:bCs/>
          <w:color w:val="auto"/>
          <w:sz w:val="24"/>
          <w:highlight w:val="none"/>
        </w:rPr>
        <w:t>本</w:t>
      </w:r>
      <w:r>
        <w:rPr>
          <w:rFonts w:ascii="宋体" w:hAnsi="宋体"/>
          <w:bCs/>
          <w:color w:val="auto"/>
          <w:sz w:val="24"/>
          <w:highlight w:val="none"/>
        </w:rPr>
        <w:t>合同的正常</w:t>
      </w:r>
      <w:r>
        <w:rPr>
          <w:rFonts w:hint="eastAsia" w:ascii="宋体" w:hAnsi="宋体"/>
          <w:bCs/>
          <w:color w:val="auto"/>
          <w:sz w:val="24"/>
          <w:highlight w:val="none"/>
        </w:rPr>
        <w:t>履行</w:t>
      </w:r>
      <w:r>
        <w:rPr>
          <w:rFonts w:ascii="宋体" w:hAnsi="宋体"/>
          <w:bCs/>
          <w:color w:val="auto"/>
          <w:sz w:val="24"/>
          <w:highlight w:val="none"/>
        </w:rPr>
        <w:t>。</w:t>
      </w:r>
    </w:p>
    <w:p>
      <w:pPr>
        <w:shd w:val="clear"/>
        <w:adjustRightInd w:val="0"/>
        <w:spacing w:line="360" w:lineRule="auto"/>
        <w:ind w:firstLine="480" w:firstLineChars="200"/>
        <w:jc w:val="left"/>
        <w:textAlignment w:val="baseline"/>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如因乙方</w:t>
      </w:r>
      <w:r>
        <w:rPr>
          <w:rFonts w:hint="eastAsia" w:ascii="宋体" w:hAnsi="宋体"/>
          <w:bCs/>
          <w:color w:val="auto"/>
          <w:sz w:val="24"/>
          <w:highlight w:val="none"/>
        </w:rPr>
        <w:t>工作人员在履行职务过程中的</w:t>
      </w:r>
      <w:r>
        <w:rPr>
          <w:rFonts w:ascii="宋体" w:hAnsi="宋体"/>
          <w:bCs/>
          <w:color w:val="auto"/>
          <w:sz w:val="24"/>
          <w:highlight w:val="none"/>
        </w:rPr>
        <w:t>的疏忽、失职、过错等</w:t>
      </w:r>
      <w:r>
        <w:rPr>
          <w:rFonts w:hint="eastAsia" w:ascii="宋体" w:hAnsi="宋体"/>
          <w:bCs/>
          <w:color w:val="auto"/>
          <w:sz w:val="24"/>
          <w:highlight w:val="none"/>
        </w:rPr>
        <w:t>故意或者过失</w:t>
      </w:r>
      <w:r>
        <w:rPr>
          <w:rFonts w:ascii="宋体" w:hAnsi="宋体"/>
          <w:bCs/>
          <w:color w:val="auto"/>
          <w:sz w:val="24"/>
          <w:highlight w:val="none"/>
        </w:rPr>
        <w:t>原因给甲方造成损失或侵害，</w:t>
      </w:r>
      <w:r>
        <w:rPr>
          <w:rFonts w:hint="eastAsia" w:ascii="宋体" w:hAnsi="宋体"/>
          <w:bCs/>
          <w:color w:val="auto"/>
          <w:sz w:val="24"/>
          <w:highlight w:val="none"/>
        </w:rPr>
        <w:t>包括但不限于甲方本身的财产损失、由此而导致的甲方对任何第三方的法律责任等，乙方对此均应承担全部的赔偿责任</w:t>
      </w:r>
      <w:r>
        <w:rPr>
          <w:rFonts w:ascii="宋体" w:hAnsi="宋体"/>
          <w:bCs/>
          <w:color w:val="auto"/>
          <w:sz w:val="24"/>
          <w:highlight w:val="none"/>
        </w:rPr>
        <w:t>。</w:t>
      </w:r>
    </w:p>
    <w:p>
      <w:pPr>
        <w:shd w:val="clear"/>
        <w:spacing w:line="360" w:lineRule="auto"/>
        <w:rPr>
          <w:rFonts w:ascii="宋体" w:hAnsi="宋体"/>
          <w:b/>
          <w:color w:val="auto"/>
          <w:sz w:val="24"/>
          <w:highlight w:val="none"/>
        </w:rPr>
      </w:pPr>
      <w:r>
        <w:rPr>
          <w:rFonts w:hint="eastAsia" w:ascii="宋体" w:hAnsi="宋体"/>
          <w:b/>
          <w:color w:val="auto"/>
          <w:sz w:val="24"/>
          <w:highlight w:val="none"/>
        </w:rPr>
        <w:t>11.不可抗力事件处理</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1、在合同有效期内，任何一方因不可抗力事件导致不能履行合同，则合同履行期可延长，其延长期与不可抗力影响期相同。</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3、不可抗力事件延续</w:t>
      </w:r>
      <w:r>
        <w:rPr>
          <w:rFonts w:hint="eastAsia" w:ascii="宋体" w:hAnsi="宋体"/>
          <w:color w:val="auto"/>
          <w:sz w:val="24"/>
          <w:highlight w:val="none"/>
          <w:u w:val="single"/>
        </w:rPr>
        <w:t xml:space="preserve">      </w:t>
      </w:r>
      <w:r>
        <w:rPr>
          <w:rFonts w:hint="eastAsia" w:ascii="宋体" w:hAnsi="宋体"/>
          <w:color w:val="auto"/>
          <w:sz w:val="24"/>
          <w:highlight w:val="none"/>
        </w:rPr>
        <w:t>天以上，双方应通过友好协商，确定是否继续履行合同。</w:t>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Pr>
        <w:shd w:val="clear"/>
        <w:spacing w:line="360" w:lineRule="auto"/>
        <w:rPr>
          <w:rFonts w:ascii="宋体" w:hAnsi="宋体"/>
          <w:b/>
          <w:color w:val="auto"/>
          <w:sz w:val="24"/>
          <w:highlight w:val="none"/>
        </w:rPr>
      </w:pPr>
      <w:bookmarkStart w:id="108" w:name="_Toc286993792"/>
      <w:bookmarkStart w:id="109" w:name="_Toc232492933"/>
      <w:bookmarkStart w:id="110" w:name="_Toc212019599"/>
      <w:bookmarkStart w:id="111" w:name="_Toc211854454"/>
      <w:bookmarkStart w:id="112" w:name="_Toc238984980"/>
      <w:bookmarkStart w:id="113" w:name="_Toc211911353"/>
      <w:bookmarkStart w:id="114" w:name="_Toc225244857"/>
      <w:bookmarkStart w:id="115" w:name="_Toc247334846"/>
      <w:bookmarkStart w:id="116" w:name="_Toc225670756"/>
      <w:bookmarkStart w:id="117" w:name="_Toc251768867"/>
      <w:bookmarkStart w:id="118" w:name="_Toc241833908"/>
      <w:bookmarkStart w:id="119" w:name="_Toc239233919"/>
      <w:bookmarkStart w:id="120" w:name="_Toc239568423"/>
      <w:bookmarkStart w:id="121" w:name="_Toc237145411"/>
      <w:bookmarkStart w:id="122" w:name="_Toc225654649"/>
      <w:bookmarkStart w:id="123" w:name="_Toc185395254"/>
      <w:r>
        <w:rPr>
          <w:rFonts w:hint="eastAsia" w:ascii="宋体" w:hAnsi="宋体"/>
          <w:b/>
          <w:color w:val="auto"/>
          <w:sz w:val="24"/>
          <w:highlight w:val="none"/>
        </w:rPr>
        <w:t>12.解</w:t>
      </w:r>
      <w:r>
        <w:rPr>
          <w:rFonts w:ascii="宋体" w:hAnsi="宋体"/>
          <w:b/>
          <w:color w:val="auto"/>
          <w:sz w:val="24"/>
          <w:highlight w:val="none"/>
        </w:rPr>
        <w:t>决合同纠纷的方式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在执行本合同中发生的或与本合同有关的争端，双方应通过友好协商解决，经协商在</w:t>
      </w:r>
      <w:r>
        <w:rPr>
          <w:rFonts w:hint="eastAsia" w:ascii="宋体" w:hAnsi="宋体"/>
          <w:color w:val="auto"/>
          <w:szCs w:val="21"/>
          <w:highlight w:val="none"/>
        </w:rPr>
        <w:t>XX</w:t>
      </w:r>
      <w:r>
        <w:rPr>
          <w:rFonts w:ascii="宋体" w:hAnsi="宋体"/>
          <w:color w:val="auto"/>
          <w:sz w:val="24"/>
          <w:highlight w:val="none"/>
        </w:rPr>
        <w:t>天内不能达成协议时，应提交成都仲裁委员会仲裁。</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仲裁裁决应为最终决定，并对双方具有约束力。</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除另有裁决外，仲裁费应由败诉方负担。 </w:t>
      </w:r>
    </w:p>
    <w:p>
      <w:pPr>
        <w:shd w:val="clear"/>
        <w:tabs>
          <w:tab w:val="left" w:pos="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在仲裁期间，除正在进行仲裁部分外，合同其他部分继续执行。  </w:t>
      </w:r>
    </w:p>
    <w:p>
      <w:pPr>
        <w:shd w:val="clear"/>
        <w:spacing w:line="360" w:lineRule="auto"/>
        <w:rPr>
          <w:rFonts w:ascii="宋体" w:hAnsi="宋体"/>
          <w:b/>
          <w:color w:val="auto"/>
          <w:sz w:val="24"/>
          <w:highlight w:val="none"/>
        </w:rPr>
      </w:pPr>
      <w:bookmarkStart w:id="124" w:name="_Toc225670757"/>
      <w:bookmarkStart w:id="125" w:name="_Toc239568424"/>
      <w:bookmarkStart w:id="126" w:name="_Toc283019219"/>
      <w:bookmarkStart w:id="127" w:name="_Toc286993793"/>
      <w:bookmarkStart w:id="128" w:name="_Toc185395255"/>
      <w:bookmarkStart w:id="129" w:name="_Toc225654650"/>
      <w:bookmarkStart w:id="130" w:name="_Toc212019600"/>
      <w:bookmarkStart w:id="131" w:name="_Toc211854455"/>
      <w:bookmarkStart w:id="132" w:name="_Toc282696231"/>
      <w:bookmarkStart w:id="133" w:name="_Toc232492934"/>
      <w:bookmarkStart w:id="134" w:name="_Toc251768868"/>
      <w:bookmarkStart w:id="135" w:name="_Toc239233920"/>
      <w:bookmarkStart w:id="136" w:name="_Toc237145412"/>
      <w:bookmarkStart w:id="137" w:name="_Toc241833909"/>
      <w:bookmarkStart w:id="138" w:name="_Toc247334847"/>
      <w:bookmarkStart w:id="139" w:name="_Toc211911354"/>
      <w:bookmarkStart w:id="140" w:name="_Toc238984981"/>
      <w:bookmarkStart w:id="141" w:name="_Toc225244858"/>
      <w:r>
        <w:rPr>
          <w:rFonts w:hint="eastAsia" w:ascii="宋体" w:hAnsi="宋体"/>
          <w:b/>
          <w:color w:val="auto"/>
          <w:sz w:val="24"/>
          <w:highlight w:val="none"/>
        </w:rPr>
        <w:t>13.</w:t>
      </w:r>
      <w:r>
        <w:rPr>
          <w:rFonts w:ascii="宋体" w:hAnsi="宋体"/>
          <w:b/>
          <w:color w:val="auto"/>
          <w:sz w:val="24"/>
          <w:highlight w:val="none"/>
        </w:rPr>
        <w:t>合同</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宋体" w:hAnsi="宋体"/>
          <w:b/>
          <w:color w:val="auto"/>
          <w:sz w:val="24"/>
          <w:highlight w:val="none"/>
        </w:rPr>
        <w:t>生效及其他</w:t>
      </w:r>
    </w:p>
    <w:p>
      <w:pPr>
        <w:pStyle w:val="68"/>
        <w:shd w:val="clea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1、合同经双方法定代表人或授权委托代理人签字并加盖单位公章后生效。</w:t>
      </w:r>
    </w:p>
    <w:p>
      <w:pPr>
        <w:pStyle w:val="68"/>
        <w:shd w:val="clea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2、合同执行中涉及采购资金和采购内容修改或补充的，须经采购监管部门审批，并签书面补充协议报采购监督管理部门备案，方可作为主合同不可分割的一部分。</w:t>
      </w:r>
    </w:p>
    <w:p>
      <w:pPr>
        <w:pStyle w:val="68"/>
        <w:shd w:val="clea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份，自双方签章之日起起效。甲方</w:t>
      </w:r>
      <w:r>
        <w:rPr>
          <w:rFonts w:hint="eastAsia" w:ascii="宋体" w:hAnsi="宋体"/>
          <w:color w:val="auto"/>
          <w:szCs w:val="21"/>
          <w:highlight w:val="none"/>
          <w:u w:val="single"/>
        </w:rPr>
        <w:t xml:space="preserve">      </w:t>
      </w:r>
      <w:r>
        <w:rPr>
          <w:rFonts w:hint="eastAsia" w:ascii="宋体" w:hAnsi="宋体"/>
          <w:color w:val="auto"/>
          <w:sz w:val="24"/>
          <w:szCs w:val="24"/>
          <w:highlight w:val="none"/>
        </w:rPr>
        <w:t>份，乙方</w:t>
      </w:r>
      <w:r>
        <w:rPr>
          <w:rFonts w:hint="eastAsia" w:ascii="宋体" w:hAnsi="宋体"/>
          <w:color w:val="auto"/>
          <w:szCs w:val="21"/>
          <w:highlight w:val="none"/>
          <w:u w:val="single"/>
        </w:rPr>
        <w:t xml:space="preserve">      </w:t>
      </w:r>
      <w:r>
        <w:rPr>
          <w:rFonts w:hint="eastAsia" w:ascii="宋体" w:hAnsi="宋体"/>
          <w:color w:val="auto"/>
          <w:sz w:val="24"/>
          <w:szCs w:val="24"/>
          <w:highlight w:val="none"/>
        </w:rPr>
        <w:t>份，采购代理机构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份，同级财政部门备案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份，具有同等法律效力。</w:t>
      </w:r>
    </w:p>
    <w:p>
      <w:pPr>
        <w:shd w:val="clear"/>
        <w:spacing w:line="360" w:lineRule="auto"/>
        <w:rPr>
          <w:rFonts w:ascii="宋体" w:hAnsi="宋体"/>
          <w:b/>
          <w:color w:val="auto"/>
          <w:sz w:val="24"/>
          <w:highlight w:val="none"/>
        </w:rPr>
      </w:pPr>
      <w:r>
        <w:rPr>
          <w:rFonts w:hint="eastAsia" w:ascii="宋体" w:hAnsi="宋体"/>
          <w:b/>
          <w:color w:val="auto"/>
          <w:sz w:val="24"/>
          <w:highlight w:val="none"/>
        </w:rPr>
        <w:t>14.附件</w:t>
      </w:r>
    </w:p>
    <w:p>
      <w:pPr>
        <w:shd w:val="clear"/>
        <w:spacing w:line="360" w:lineRule="auto"/>
        <w:rPr>
          <w:rFonts w:ascii="宋体" w:hAnsi="宋体"/>
          <w:color w:val="auto"/>
          <w:sz w:val="24"/>
          <w:highlight w:val="none"/>
        </w:rPr>
      </w:pP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甲方：   （盖章）</w:t>
      </w: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乙方：</w:t>
      </w:r>
      <w:r>
        <w:rPr>
          <w:rFonts w:ascii="宋体" w:hAnsi="宋体"/>
          <w:color w:val="auto"/>
          <w:sz w:val="24"/>
          <w:highlight w:val="none"/>
        </w:rPr>
        <w:t xml:space="preserve">   </w:t>
      </w:r>
      <w:r>
        <w:rPr>
          <w:rFonts w:hint="eastAsia" w:ascii="宋体" w:hAnsi="宋体"/>
          <w:color w:val="auto"/>
          <w:sz w:val="24"/>
          <w:highlight w:val="none"/>
        </w:rPr>
        <w:t>（盖章）</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法定代表人（授权代表）：</w:t>
      </w:r>
      <w:r>
        <w:rPr>
          <w:rFonts w:ascii="宋体" w:hAnsi="宋体"/>
          <w:color w:val="auto"/>
          <w:sz w:val="24"/>
          <w:highlight w:val="none"/>
        </w:rPr>
        <w:t xml:space="preserve">            </w:t>
      </w:r>
      <w:r>
        <w:rPr>
          <w:rFonts w:hint="eastAsia" w:ascii="宋体" w:hAnsi="宋体"/>
          <w:color w:val="auto"/>
          <w:sz w:val="24"/>
          <w:highlight w:val="none"/>
        </w:rPr>
        <w:t>法定代表人（授权代表）：</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 xml:space="preserve">                         </w:t>
      </w: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 xml:space="preserve">                             </w:t>
      </w:r>
      <w:r>
        <w:rPr>
          <w:rFonts w:hint="eastAsia" w:ascii="宋体" w:hAnsi="宋体"/>
          <w:color w:val="auto"/>
          <w:sz w:val="24"/>
          <w:highlight w:val="none"/>
        </w:rPr>
        <w:t>账号：</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 xml:space="preserve">                         </w:t>
      </w: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 xml:space="preserve">                         </w:t>
      </w: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p>
    <w:p>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64"/>
        <w:shd w:val="clear"/>
        <w:ind w:firstLine="480"/>
        <w:rPr>
          <w:rFonts w:ascii="宋体" w:hAnsi="宋体"/>
          <w:color w:val="auto"/>
          <w:szCs w:val="21"/>
          <w:highlight w:val="none"/>
        </w:rPr>
      </w:pPr>
    </w:p>
    <w:sectPr>
      <w:headerReference r:id="rId12"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separate"/>
    </w:r>
    <w:r>
      <w:rPr>
        <w:rStyle w:val="41"/>
      </w:rPr>
      <w:t xml:space="preserve"> </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74930</wp:posOffset>
          </wp:positionV>
          <wp:extent cx="1779270" cy="187960"/>
          <wp:effectExtent l="0" t="0" r="11430" b="2540"/>
          <wp:wrapNone/>
          <wp:docPr id="1" name="图片 2" descr="未命名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 -3"/>
                  <pic:cNvPicPr>
                    <a:picLocks noChangeAspect="1"/>
                  </pic:cNvPicPr>
                </pic:nvPicPr>
                <pic:blipFill>
                  <a:blip r:embed="rId1"/>
                  <a:stretch>
                    <a:fillRect/>
                  </a:stretch>
                </pic:blipFill>
                <pic:spPr>
                  <a:xfrm>
                    <a:off x="0" y="0"/>
                    <a:ext cx="1779270" cy="187960"/>
                  </a:xfrm>
                  <a:prstGeom prst="rect">
                    <a:avLst/>
                  </a:prstGeom>
                  <a:noFill/>
                  <a:ln>
                    <a:noFill/>
                  </a:ln>
                </pic:spPr>
              </pic:pic>
            </a:graphicData>
          </a:graphic>
        </wp:anchor>
      </w:drawing>
    </w:r>
  </w:p>
  <w:p>
    <w:pPr>
      <w:pStyle w:val="2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p>
    <w:pPr>
      <w:pStyle w:val="28"/>
      <w:jc w:val="both"/>
    </w:pPr>
  </w:p>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F4280"/>
    <w:multiLevelType w:val="singleLevel"/>
    <w:tmpl w:val="9A5F4280"/>
    <w:lvl w:ilvl="0" w:tentative="0">
      <w:start w:val="1"/>
      <w:numFmt w:val="decimal"/>
      <w:suff w:val="space"/>
      <w:lvlText w:val="%1、"/>
      <w:lvlJc w:val="left"/>
    </w:lvl>
  </w:abstractNum>
  <w:abstractNum w:abstractNumId="1">
    <w:nsid w:val="DB73C4AB"/>
    <w:multiLevelType w:val="singleLevel"/>
    <w:tmpl w:val="DB73C4AB"/>
    <w:lvl w:ilvl="0" w:tentative="0">
      <w:start w:val="3"/>
      <w:numFmt w:val="chineseCounting"/>
      <w:suff w:val="nothing"/>
      <w:lvlText w:val="（%1）"/>
      <w:lvlJc w:val="left"/>
      <w:rPr>
        <w:rFonts w:hint="eastAsia"/>
      </w:rPr>
    </w:lvl>
  </w:abstractNum>
  <w:abstractNum w:abstractNumId="2">
    <w:nsid w:val="F5A7AAD3"/>
    <w:multiLevelType w:val="singleLevel"/>
    <w:tmpl w:val="F5A7AAD3"/>
    <w:lvl w:ilvl="0" w:tentative="0">
      <w:start w:val="7"/>
      <w:numFmt w:val="decimal"/>
      <w:suff w:val="space"/>
      <w:lvlText w:val="%1."/>
      <w:lvlJc w:val="left"/>
    </w:lvl>
  </w:abstractNum>
  <w:abstractNum w:abstractNumId="3">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D4A329E"/>
    <w:multiLevelType w:val="singleLevel"/>
    <w:tmpl w:val="1D4A329E"/>
    <w:lvl w:ilvl="0" w:tentative="0">
      <w:start w:val="2"/>
      <w:numFmt w:val="chineseCounting"/>
      <w:suff w:val="nothing"/>
      <w:lvlText w:val="（%1）"/>
      <w:lvlJc w:val="left"/>
      <w:rPr>
        <w:rFonts w:hint="eastAsia"/>
      </w:rPr>
    </w:lvl>
  </w:abstractNum>
  <w:abstractNum w:abstractNumId="5">
    <w:nsid w:val="41690CEB"/>
    <w:multiLevelType w:val="multilevel"/>
    <w:tmpl w:val="41690CE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9C07086"/>
    <w:multiLevelType w:val="singleLevel"/>
    <w:tmpl w:val="59C07086"/>
    <w:lvl w:ilvl="0" w:tentative="0">
      <w:start w:val="1"/>
      <w:numFmt w:val="decimal"/>
      <w:suff w:val="nothing"/>
      <w:lvlText w:val="%1、"/>
      <w:lvlJc w:val="left"/>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07ABB"/>
    <w:rsid w:val="00010C32"/>
    <w:rsid w:val="00010F41"/>
    <w:rsid w:val="000145ED"/>
    <w:rsid w:val="00022E65"/>
    <w:rsid w:val="00022F9F"/>
    <w:rsid w:val="000235D9"/>
    <w:rsid w:val="00023E85"/>
    <w:rsid w:val="0003038F"/>
    <w:rsid w:val="00036EEF"/>
    <w:rsid w:val="000558A5"/>
    <w:rsid w:val="00057868"/>
    <w:rsid w:val="000625C3"/>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56445"/>
    <w:rsid w:val="00162F0D"/>
    <w:rsid w:val="00164861"/>
    <w:rsid w:val="00167218"/>
    <w:rsid w:val="00170661"/>
    <w:rsid w:val="00176E9A"/>
    <w:rsid w:val="001774BE"/>
    <w:rsid w:val="001808A0"/>
    <w:rsid w:val="00181A38"/>
    <w:rsid w:val="00185382"/>
    <w:rsid w:val="0018580B"/>
    <w:rsid w:val="00186892"/>
    <w:rsid w:val="0019389F"/>
    <w:rsid w:val="001A34F3"/>
    <w:rsid w:val="001A6131"/>
    <w:rsid w:val="001B0555"/>
    <w:rsid w:val="001B1735"/>
    <w:rsid w:val="001C03A0"/>
    <w:rsid w:val="001C186E"/>
    <w:rsid w:val="001C4B70"/>
    <w:rsid w:val="001C6ECA"/>
    <w:rsid w:val="001D1F59"/>
    <w:rsid w:val="001D777B"/>
    <w:rsid w:val="001E2945"/>
    <w:rsid w:val="001E7DDD"/>
    <w:rsid w:val="001F108C"/>
    <w:rsid w:val="001F150C"/>
    <w:rsid w:val="001F425D"/>
    <w:rsid w:val="001F5E62"/>
    <w:rsid w:val="00200661"/>
    <w:rsid w:val="00210A75"/>
    <w:rsid w:val="002120E1"/>
    <w:rsid w:val="002129B6"/>
    <w:rsid w:val="00214848"/>
    <w:rsid w:val="00221861"/>
    <w:rsid w:val="00236D8E"/>
    <w:rsid w:val="00236DF7"/>
    <w:rsid w:val="0024028B"/>
    <w:rsid w:val="00242CA9"/>
    <w:rsid w:val="002519C7"/>
    <w:rsid w:val="002636ED"/>
    <w:rsid w:val="00266EE9"/>
    <w:rsid w:val="002703ED"/>
    <w:rsid w:val="00275F06"/>
    <w:rsid w:val="00286FBA"/>
    <w:rsid w:val="00290C5C"/>
    <w:rsid w:val="00292726"/>
    <w:rsid w:val="00293D65"/>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20045"/>
    <w:rsid w:val="003234FC"/>
    <w:rsid w:val="0033202F"/>
    <w:rsid w:val="00332E01"/>
    <w:rsid w:val="00337591"/>
    <w:rsid w:val="00340727"/>
    <w:rsid w:val="00340C44"/>
    <w:rsid w:val="00343237"/>
    <w:rsid w:val="00344992"/>
    <w:rsid w:val="0035550A"/>
    <w:rsid w:val="0036303D"/>
    <w:rsid w:val="00363398"/>
    <w:rsid w:val="003651A1"/>
    <w:rsid w:val="0036590B"/>
    <w:rsid w:val="00373575"/>
    <w:rsid w:val="003738E0"/>
    <w:rsid w:val="003818A3"/>
    <w:rsid w:val="003820C8"/>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E1ABC"/>
    <w:rsid w:val="003E1AD8"/>
    <w:rsid w:val="003E635F"/>
    <w:rsid w:val="003F66DA"/>
    <w:rsid w:val="003F6E34"/>
    <w:rsid w:val="00402ECE"/>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746C6"/>
    <w:rsid w:val="00682D43"/>
    <w:rsid w:val="006853DD"/>
    <w:rsid w:val="00690DF4"/>
    <w:rsid w:val="006A05AB"/>
    <w:rsid w:val="006A3394"/>
    <w:rsid w:val="006A3B09"/>
    <w:rsid w:val="006B6D27"/>
    <w:rsid w:val="006B7071"/>
    <w:rsid w:val="006C01D6"/>
    <w:rsid w:val="006C07CC"/>
    <w:rsid w:val="006C1A43"/>
    <w:rsid w:val="006C20FE"/>
    <w:rsid w:val="006C2E70"/>
    <w:rsid w:val="006C6FA1"/>
    <w:rsid w:val="006C7557"/>
    <w:rsid w:val="006D4FA7"/>
    <w:rsid w:val="006E15FB"/>
    <w:rsid w:val="006F1ACB"/>
    <w:rsid w:val="006F2240"/>
    <w:rsid w:val="006F2FC8"/>
    <w:rsid w:val="006F38F5"/>
    <w:rsid w:val="0070013F"/>
    <w:rsid w:val="007014F1"/>
    <w:rsid w:val="00701DD9"/>
    <w:rsid w:val="00703843"/>
    <w:rsid w:val="00707412"/>
    <w:rsid w:val="00715BE2"/>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B37D1"/>
    <w:rsid w:val="007C05FA"/>
    <w:rsid w:val="007C40FE"/>
    <w:rsid w:val="007C7A0C"/>
    <w:rsid w:val="007D1567"/>
    <w:rsid w:val="007D411B"/>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578D"/>
    <w:rsid w:val="0088728B"/>
    <w:rsid w:val="00893DAE"/>
    <w:rsid w:val="00894053"/>
    <w:rsid w:val="00895121"/>
    <w:rsid w:val="008A4AC1"/>
    <w:rsid w:val="008B396A"/>
    <w:rsid w:val="008B46F2"/>
    <w:rsid w:val="008D19EC"/>
    <w:rsid w:val="008D3A4E"/>
    <w:rsid w:val="008D4F4C"/>
    <w:rsid w:val="008D6B34"/>
    <w:rsid w:val="008E2FF6"/>
    <w:rsid w:val="008E3C7F"/>
    <w:rsid w:val="008F0577"/>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2514C"/>
    <w:rsid w:val="00A41F44"/>
    <w:rsid w:val="00A44B42"/>
    <w:rsid w:val="00A45770"/>
    <w:rsid w:val="00A51A90"/>
    <w:rsid w:val="00A541BD"/>
    <w:rsid w:val="00A54521"/>
    <w:rsid w:val="00A559E4"/>
    <w:rsid w:val="00A55DB4"/>
    <w:rsid w:val="00A63261"/>
    <w:rsid w:val="00A7160E"/>
    <w:rsid w:val="00A74305"/>
    <w:rsid w:val="00A83AC1"/>
    <w:rsid w:val="00A9028D"/>
    <w:rsid w:val="00A9702A"/>
    <w:rsid w:val="00AA0052"/>
    <w:rsid w:val="00AA01E4"/>
    <w:rsid w:val="00AA036B"/>
    <w:rsid w:val="00AC0B1F"/>
    <w:rsid w:val="00AC36A5"/>
    <w:rsid w:val="00AC4408"/>
    <w:rsid w:val="00AC56BD"/>
    <w:rsid w:val="00AD0272"/>
    <w:rsid w:val="00AD0386"/>
    <w:rsid w:val="00AD2B92"/>
    <w:rsid w:val="00AE1F5C"/>
    <w:rsid w:val="00AE3F8F"/>
    <w:rsid w:val="00AF002B"/>
    <w:rsid w:val="00AF15BA"/>
    <w:rsid w:val="00AF1CF8"/>
    <w:rsid w:val="00AF2603"/>
    <w:rsid w:val="00AF6FFC"/>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D19A0"/>
    <w:rsid w:val="00BD1CE2"/>
    <w:rsid w:val="00BD66F0"/>
    <w:rsid w:val="00BE04A8"/>
    <w:rsid w:val="00BE4957"/>
    <w:rsid w:val="00BF0DFE"/>
    <w:rsid w:val="00BF20FF"/>
    <w:rsid w:val="00BF5F29"/>
    <w:rsid w:val="00C0042D"/>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E4310"/>
    <w:rsid w:val="00CE4557"/>
    <w:rsid w:val="00CE4D93"/>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95B10"/>
    <w:rsid w:val="00DA18CC"/>
    <w:rsid w:val="00DA4A29"/>
    <w:rsid w:val="00DA51BA"/>
    <w:rsid w:val="00DA571D"/>
    <w:rsid w:val="00DB1EFB"/>
    <w:rsid w:val="00DC17C2"/>
    <w:rsid w:val="00DC1A76"/>
    <w:rsid w:val="00DC2F1D"/>
    <w:rsid w:val="00DC50ED"/>
    <w:rsid w:val="00DD2332"/>
    <w:rsid w:val="00DD28E6"/>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652A"/>
    <w:rsid w:val="00EE0180"/>
    <w:rsid w:val="00EE38CD"/>
    <w:rsid w:val="00EF1C2B"/>
    <w:rsid w:val="00EF39C5"/>
    <w:rsid w:val="00EF4CBF"/>
    <w:rsid w:val="00F028A6"/>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5E91"/>
    <w:rsid w:val="00FE1280"/>
    <w:rsid w:val="00FE31E8"/>
    <w:rsid w:val="00FE6375"/>
    <w:rsid w:val="00FF0D21"/>
    <w:rsid w:val="00FF1A99"/>
    <w:rsid w:val="01230271"/>
    <w:rsid w:val="01256538"/>
    <w:rsid w:val="016B3CA6"/>
    <w:rsid w:val="01B761A8"/>
    <w:rsid w:val="01CD7511"/>
    <w:rsid w:val="02430B2B"/>
    <w:rsid w:val="02D17E42"/>
    <w:rsid w:val="02E507EC"/>
    <w:rsid w:val="0301574D"/>
    <w:rsid w:val="0306313E"/>
    <w:rsid w:val="03386882"/>
    <w:rsid w:val="03786FBA"/>
    <w:rsid w:val="03974857"/>
    <w:rsid w:val="03CF276F"/>
    <w:rsid w:val="03DB72A5"/>
    <w:rsid w:val="04127805"/>
    <w:rsid w:val="05052E25"/>
    <w:rsid w:val="05450B69"/>
    <w:rsid w:val="054A4CFA"/>
    <w:rsid w:val="05610639"/>
    <w:rsid w:val="058320BB"/>
    <w:rsid w:val="05FC58E2"/>
    <w:rsid w:val="0662250D"/>
    <w:rsid w:val="068C74DE"/>
    <w:rsid w:val="069756C9"/>
    <w:rsid w:val="06AF72DC"/>
    <w:rsid w:val="06EA41D2"/>
    <w:rsid w:val="06F82B78"/>
    <w:rsid w:val="071A250C"/>
    <w:rsid w:val="072E42E3"/>
    <w:rsid w:val="074E14E2"/>
    <w:rsid w:val="0784507A"/>
    <w:rsid w:val="07A87755"/>
    <w:rsid w:val="086118B3"/>
    <w:rsid w:val="087636AB"/>
    <w:rsid w:val="08D3679E"/>
    <w:rsid w:val="091115D3"/>
    <w:rsid w:val="0968446C"/>
    <w:rsid w:val="09880AD8"/>
    <w:rsid w:val="0A9B0A35"/>
    <w:rsid w:val="0AA5328F"/>
    <w:rsid w:val="0AE12F18"/>
    <w:rsid w:val="0AEB1B75"/>
    <w:rsid w:val="0AEF470A"/>
    <w:rsid w:val="0B134589"/>
    <w:rsid w:val="0B561DCB"/>
    <w:rsid w:val="0B5C78CC"/>
    <w:rsid w:val="0B7E48FD"/>
    <w:rsid w:val="0BA311EC"/>
    <w:rsid w:val="0BF877A0"/>
    <w:rsid w:val="0BFB0153"/>
    <w:rsid w:val="0C462F2A"/>
    <w:rsid w:val="0CB6308D"/>
    <w:rsid w:val="0CF573D3"/>
    <w:rsid w:val="0CF92C66"/>
    <w:rsid w:val="0CFC2EE8"/>
    <w:rsid w:val="0D0450D4"/>
    <w:rsid w:val="0D20616C"/>
    <w:rsid w:val="0D417D41"/>
    <w:rsid w:val="0DA7596F"/>
    <w:rsid w:val="0DB2478D"/>
    <w:rsid w:val="0E044AD0"/>
    <w:rsid w:val="0E1864C3"/>
    <w:rsid w:val="0E24400A"/>
    <w:rsid w:val="0E545AFA"/>
    <w:rsid w:val="0E630621"/>
    <w:rsid w:val="0EBC73AB"/>
    <w:rsid w:val="0F4628FA"/>
    <w:rsid w:val="0F582C09"/>
    <w:rsid w:val="0F594D76"/>
    <w:rsid w:val="0F6103FE"/>
    <w:rsid w:val="0FA44575"/>
    <w:rsid w:val="0FB34829"/>
    <w:rsid w:val="10224F7E"/>
    <w:rsid w:val="105B51DC"/>
    <w:rsid w:val="107B2C07"/>
    <w:rsid w:val="10AB44AE"/>
    <w:rsid w:val="10B02E63"/>
    <w:rsid w:val="10C14D02"/>
    <w:rsid w:val="10C3332A"/>
    <w:rsid w:val="110500BF"/>
    <w:rsid w:val="11100F2E"/>
    <w:rsid w:val="115C78ED"/>
    <w:rsid w:val="1168606F"/>
    <w:rsid w:val="11A17020"/>
    <w:rsid w:val="11C22947"/>
    <w:rsid w:val="11C96F3F"/>
    <w:rsid w:val="12322363"/>
    <w:rsid w:val="1308440F"/>
    <w:rsid w:val="130F636D"/>
    <w:rsid w:val="13122F61"/>
    <w:rsid w:val="13404493"/>
    <w:rsid w:val="135607B7"/>
    <w:rsid w:val="13780EB1"/>
    <w:rsid w:val="13B664F1"/>
    <w:rsid w:val="14537884"/>
    <w:rsid w:val="14593BBF"/>
    <w:rsid w:val="14D56C28"/>
    <w:rsid w:val="151C338A"/>
    <w:rsid w:val="152D3690"/>
    <w:rsid w:val="1565002B"/>
    <w:rsid w:val="15855B9E"/>
    <w:rsid w:val="15C624D2"/>
    <w:rsid w:val="15C80D37"/>
    <w:rsid w:val="16490B40"/>
    <w:rsid w:val="164973BC"/>
    <w:rsid w:val="166F5998"/>
    <w:rsid w:val="1686757C"/>
    <w:rsid w:val="16B578AE"/>
    <w:rsid w:val="1732572C"/>
    <w:rsid w:val="173D66F2"/>
    <w:rsid w:val="17430389"/>
    <w:rsid w:val="175C0959"/>
    <w:rsid w:val="177941D0"/>
    <w:rsid w:val="17DC532F"/>
    <w:rsid w:val="184C7796"/>
    <w:rsid w:val="18800267"/>
    <w:rsid w:val="19731B79"/>
    <w:rsid w:val="19A830EA"/>
    <w:rsid w:val="19CA78CB"/>
    <w:rsid w:val="1A024AC4"/>
    <w:rsid w:val="1AA57B5F"/>
    <w:rsid w:val="1AF023DE"/>
    <w:rsid w:val="1B112FC2"/>
    <w:rsid w:val="1B260840"/>
    <w:rsid w:val="1B573E09"/>
    <w:rsid w:val="1B670AF9"/>
    <w:rsid w:val="1B6934EE"/>
    <w:rsid w:val="1C057357"/>
    <w:rsid w:val="1C226B52"/>
    <w:rsid w:val="1C2407D2"/>
    <w:rsid w:val="1C392717"/>
    <w:rsid w:val="1C771C32"/>
    <w:rsid w:val="1CE442E2"/>
    <w:rsid w:val="1CFA172F"/>
    <w:rsid w:val="1CFC6C09"/>
    <w:rsid w:val="1D06274C"/>
    <w:rsid w:val="1D314742"/>
    <w:rsid w:val="1DB16F63"/>
    <w:rsid w:val="1DD875A1"/>
    <w:rsid w:val="1E5006DD"/>
    <w:rsid w:val="1E626810"/>
    <w:rsid w:val="1E7341F5"/>
    <w:rsid w:val="1E7844D8"/>
    <w:rsid w:val="1E7C1444"/>
    <w:rsid w:val="1E833CEC"/>
    <w:rsid w:val="1EA40187"/>
    <w:rsid w:val="1EE44777"/>
    <w:rsid w:val="1EE82AC8"/>
    <w:rsid w:val="1F1B7A1F"/>
    <w:rsid w:val="1F3A1F0D"/>
    <w:rsid w:val="1F515A41"/>
    <w:rsid w:val="1FB44574"/>
    <w:rsid w:val="1FC64FC9"/>
    <w:rsid w:val="1FD20DE6"/>
    <w:rsid w:val="200954C7"/>
    <w:rsid w:val="205D0174"/>
    <w:rsid w:val="208E7928"/>
    <w:rsid w:val="20A66D92"/>
    <w:rsid w:val="20EA7956"/>
    <w:rsid w:val="21432F64"/>
    <w:rsid w:val="21631CA7"/>
    <w:rsid w:val="21885973"/>
    <w:rsid w:val="21D218F6"/>
    <w:rsid w:val="21EB58B3"/>
    <w:rsid w:val="21EE38EF"/>
    <w:rsid w:val="21FE6FCE"/>
    <w:rsid w:val="220A25F4"/>
    <w:rsid w:val="224A72AF"/>
    <w:rsid w:val="22547760"/>
    <w:rsid w:val="225D4841"/>
    <w:rsid w:val="22723839"/>
    <w:rsid w:val="22C56296"/>
    <w:rsid w:val="22CF3BA5"/>
    <w:rsid w:val="22EE66F4"/>
    <w:rsid w:val="230533E4"/>
    <w:rsid w:val="23C823BC"/>
    <w:rsid w:val="24057464"/>
    <w:rsid w:val="24386F5D"/>
    <w:rsid w:val="244E571E"/>
    <w:rsid w:val="249A41D0"/>
    <w:rsid w:val="24A42D4D"/>
    <w:rsid w:val="24CC4700"/>
    <w:rsid w:val="24D32F76"/>
    <w:rsid w:val="24D40AD6"/>
    <w:rsid w:val="24F46692"/>
    <w:rsid w:val="24F96510"/>
    <w:rsid w:val="255A6FCD"/>
    <w:rsid w:val="262F7618"/>
    <w:rsid w:val="266B7127"/>
    <w:rsid w:val="26D60601"/>
    <w:rsid w:val="26E51EF5"/>
    <w:rsid w:val="26FE01DA"/>
    <w:rsid w:val="2782130A"/>
    <w:rsid w:val="27FB0E00"/>
    <w:rsid w:val="28012834"/>
    <w:rsid w:val="28017784"/>
    <w:rsid w:val="28174776"/>
    <w:rsid w:val="282A7305"/>
    <w:rsid w:val="287F157E"/>
    <w:rsid w:val="288C5AEB"/>
    <w:rsid w:val="28DD78F7"/>
    <w:rsid w:val="28E13AEA"/>
    <w:rsid w:val="29162A50"/>
    <w:rsid w:val="29874879"/>
    <w:rsid w:val="29B017B5"/>
    <w:rsid w:val="2A62243F"/>
    <w:rsid w:val="2A974E24"/>
    <w:rsid w:val="2ABF2F54"/>
    <w:rsid w:val="2AC46C46"/>
    <w:rsid w:val="2AC71ACE"/>
    <w:rsid w:val="2AE33EE5"/>
    <w:rsid w:val="2AF3254C"/>
    <w:rsid w:val="2B170837"/>
    <w:rsid w:val="2B187CEF"/>
    <w:rsid w:val="2B243D1C"/>
    <w:rsid w:val="2B5D228F"/>
    <w:rsid w:val="2B7A199A"/>
    <w:rsid w:val="2B7E0ABD"/>
    <w:rsid w:val="2BB97180"/>
    <w:rsid w:val="2C5258B1"/>
    <w:rsid w:val="2C5300D5"/>
    <w:rsid w:val="2CCE49E8"/>
    <w:rsid w:val="2CF040BC"/>
    <w:rsid w:val="2D2864D4"/>
    <w:rsid w:val="2D526195"/>
    <w:rsid w:val="2D5E4AE2"/>
    <w:rsid w:val="2D6405B3"/>
    <w:rsid w:val="2D982CB3"/>
    <w:rsid w:val="2D9975D8"/>
    <w:rsid w:val="2DAA40C0"/>
    <w:rsid w:val="2DCC3E54"/>
    <w:rsid w:val="2DD32383"/>
    <w:rsid w:val="2DE50909"/>
    <w:rsid w:val="2E106DD1"/>
    <w:rsid w:val="2E8A18A9"/>
    <w:rsid w:val="2E9F3481"/>
    <w:rsid w:val="2EB1759E"/>
    <w:rsid w:val="2EE72320"/>
    <w:rsid w:val="2EE8455C"/>
    <w:rsid w:val="2EEF344A"/>
    <w:rsid w:val="2FC414F3"/>
    <w:rsid w:val="2FDD3282"/>
    <w:rsid w:val="2FE60929"/>
    <w:rsid w:val="306877EC"/>
    <w:rsid w:val="30715D36"/>
    <w:rsid w:val="30CA43A1"/>
    <w:rsid w:val="30D70117"/>
    <w:rsid w:val="30E75086"/>
    <w:rsid w:val="310D6C4C"/>
    <w:rsid w:val="31274B61"/>
    <w:rsid w:val="314B29C9"/>
    <w:rsid w:val="31656F04"/>
    <w:rsid w:val="31806D0A"/>
    <w:rsid w:val="31996F70"/>
    <w:rsid w:val="32395DAD"/>
    <w:rsid w:val="32A658AF"/>
    <w:rsid w:val="32A81084"/>
    <w:rsid w:val="32BA7EF0"/>
    <w:rsid w:val="32D70991"/>
    <w:rsid w:val="330655CD"/>
    <w:rsid w:val="33DC14FA"/>
    <w:rsid w:val="33E47CF9"/>
    <w:rsid w:val="33EF06B2"/>
    <w:rsid w:val="34476171"/>
    <w:rsid w:val="344A78B9"/>
    <w:rsid w:val="3494364D"/>
    <w:rsid w:val="34C9249A"/>
    <w:rsid w:val="34F34C56"/>
    <w:rsid w:val="34FC67EA"/>
    <w:rsid w:val="350E60F3"/>
    <w:rsid w:val="35154ADA"/>
    <w:rsid w:val="357A5788"/>
    <w:rsid w:val="35B64728"/>
    <w:rsid w:val="35C6200F"/>
    <w:rsid w:val="36530971"/>
    <w:rsid w:val="36561BAE"/>
    <w:rsid w:val="36610C56"/>
    <w:rsid w:val="366B24CA"/>
    <w:rsid w:val="36CE181A"/>
    <w:rsid w:val="36EF28AF"/>
    <w:rsid w:val="371B0264"/>
    <w:rsid w:val="371E4610"/>
    <w:rsid w:val="375B49EE"/>
    <w:rsid w:val="376916D4"/>
    <w:rsid w:val="37730E27"/>
    <w:rsid w:val="379B2738"/>
    <w:rsid w:val="38095396"/>
    <w:rsid w:val="385666E5"/>
    <w:rsid w:val="387B796A"/>
    <w:rsid w:val="38A73EEE"/>
    <w:rsid w:val="38B0463E"/>
    <w:rsid w:val="38DB70E7"/>
    <w:rsid w:val="38E42D35"/>
    <w:rsid w:val="391151AB"/>
    <w:rsid w:val="39E1104B"/>
    <w:rsid w:val="3A0D1696"/>
    <w:rsid w:val="3A2763CE"/>
    <w:rsid w:val="3AD16F1E"/>
    <w:rsid w:val="3AF50E20"/>
    <w:rsid w:val="3B192EFF"/>
    <w:rsid w:val="3B330F11"/>
    <w:rsid w:val="3B440D3E"/>
    <w:rsid w:val="3B725C14"/>
    <w:rsid w:val="3BB63565"/>
    <w:rsid w:val="3BCE25E6"/>
    <w:rsid w:val="3BCE3BB9"/>
    <w:rsid w:val="3C1B106D"/>
    <w:rsid w:val="3C68364E"/>
    <w:rsid w:val="3CD86DF4"/>
    <w:rsid w:val="3CEA2ACF"/>
    <w:rsid w:val="3D0535F2"/>
    <w:rsid w:val="3D0C77C5"/>
    <w:rsid w:val="3DCE0479"/>
    <w:rsid w:val="3E0A2487"/>
    <w:rsid w:val="3E8F4C0C"/>
    <w:rsid w:val="3EA7753D"/>
    <w:rsid w:val="3EDA4342"/>
    <w:rsid w:val="3F006C63"/>
    <w:rsid w:val="3F0C0848"/>
    <w:rsid w:val="3F3618F0"/>
    <w:rsid w:val="3F496BBF"/>
    <w:rsid w:val="3F522E9C"/>
    <w:rsid w:val="3FC14E74"/>
    <w:rsid w:val="40275E65"/>
    <w:rsid w:val="404A6865"/>
    <w:rsid w:val="40B27AD7"/>
    <w:rsid w:val="40BC52EC"/>
    <w:rsid w:val="40BD25B1"/>
    <w:rsid w:val="40ED22B5"/>
    <w:rsid w:val="41A706E7"/>
    <w:rsid w:val="41BC1F10"/>
    <w:rsid w:val="41CC7778"/>
    <w:rsid w:val="41E746C8"/>
    <w:rsid w:val="424B3AFB"/>
    <w:rsid w:val="42955A8B"/>
    <w:rsid w:val="42B0108A"/>
    <w:rsid w:val="42E250CC"/>
    <w:rsid w:val="431E7C90"/>
    <w:rsid w:val="43535B87"/>
    <w:rsid w:val="43765341"/>
    <w:rsid w:val="43AC0596"/>
    <w:rsid w:val="43B950E3"/>
    <w:rsid w:val="443F2A3F"/>
    <w:rsid w:val="451B0620"/>
    <w:rsid w:val="453E4233"/>
    <w:rsid w:val="4596640E"/>
    <w:rsid w:val="45E60474"/>
    <w:rsid w:val="46724F27"/>
    <w:rsid w:val="46886E13"/>
    <w:rsid w:val="46A91F25"/>
    <w:rsid w:val="46B16B99"/>
    <w:rsid w:val="46B21EA8"/>
    <w:rsid w:val="46CE0949"/>
    <w:rsid w:val="47202EC6"/>
    <w:rsid w:val="476756F9"/>
    <w:rsid w:val="47756B56"/>
    <w:rsid w:val="478F3EA7"/>
    <w:rsid w:val="47A26BB9"/>
    <w:rsid w:val="47A77120"/>
    <w:rsid w:val="47FC2668"/>
    <w:rsid w:val="482B5C12"/>
    <w:rsid w:val="48B63C31"/>
    <w:rsid w:val="48CF5749"/>
    <w:rsid w:val="48FD3D7D"/>
    <w:rsid w:val="492C3528"/>
    <w:rsid w:val="4972010E"/>
    <w:rsid w:val="49B4651F"/>
    <w:rsid w:val="49E329B9"/>
    <w:rsid w:val="4A2C2FEF"/>
    <w:rsid w:val="4A5A0CB0"/>
    <w:rsid w:val="4A9C1DE8"/>
    <w:rsid w:val="4AAF700B"/>
    <w:rsid w:val="4B5051C1"/>
    <w:rsid w:val="4B821063"/>
    <w:rsid w:val="4B886215"/>
    <w:rsid w:val="4CDD3134"/>
    <w:rsid w:val="4CE41DD4"/>
    <w:rsid w:val="4CE6400E"/>
    <w:rsid w:val="4CF906E8"/>
    <w:rsid w:val="4D5670A7"/>
    <w:rsid w:val="4D5D1F52"/>
    <w:rsid w:val="4DC66611"/>
    <w:rsid w:val="4E057A27"/>
    <w:rsid w:val="4E076999"/>
    <w:rsid w:val="4E540763"/>
    <w:rsid w:val="4E610E14"/>
    <w:rsid w:val="4EB0364A"/>
    <w:rsid w:val="4F1F2502"/>
    <w:rsid w:val="4F301EBA"/>
    <w:rsid w:val="4F5D7111"/>
    <w:rsid w:val="4F725909"/>
    <w:rsid w:val="4F8E36B5"/>
    <w:rsid w:val="4F965256"/>
    <w:rsid w:val="4FA45F82"/>
    <w:rsid w:val="4FC20AA7"/>
    <w:rsid w:val="4FE80B78"/>
    <w:rsid w:val="505F1EFD"/>
    <w:rsid w:val="50B70587"/>
    <w:rsid w:val="513D1102"/>
    <w:rsid w:val="515027AD"/>
    <w:rsid w:val="51903945"/>
    <w:rsid w:val="519A03E7"/>
    <w:rsid w:val="523978C1"/>
    <w:rsid w:val="524E6B1F"/>
    <w:rsid w:val="52EC7E76"/>
    <w:rsid w:val="53112E0E"/>
    <w:rsid w:val="53B034DF"/>
    <w:rsid w:val="54413A0B"/>
    <w:rsid w:val="546537F0"/>
    <w:rsid w:val="5479055A"/>
    <w:rsid w:val="54A21C39"/>
    <w:rsid w:val="54DE0F4F"/>
    <w:rsid w:val="54E07843"/>
    <w:rsid w:val="54E53259"/>
    <w:rsid w:val="55777819"/>
    <w:rsid w:val="558C716E"/>
    <w:rsid w:val="558D175E"/>
    <w:rsid w:val="55B769EE"/>
    <w:rsid w:val="560B1770"/>
    <w:rsid w:val="563D07A6"/>
    <w:rsid w:val="566B7A7F"/>
    <w:rsid w:val="567A73D2"/>
    <w:rsid w:val="56B57F62"/>
    <w:rsid w:val="57112A14"/>
    <w:rsid w:val="573E02EA"/>
    <w:rsid w:val="57732166"/>
    <w:rsid w:val="57770792"/>
    <w:rsid w:val="57787D9B"/>
    <w:rsid w:val="577C1E80"/>
    <w:rsid w:val="57C14EA6"/>
    <w:rsid w:val="57FA6209"/>
    <w:rsid w:val="58237198"/>
    <w:rsid w:val="58642D6A"/>
    <w:rsid w:val="58645568"/>
    <w:rsid w:val="58764F37"/>
    <w:rsid w:val="58DF51D0"/>
    <w:rsid w:val="58F05AD9"/>
    <w:rsid w:val="592B4B02"/>
    <w:rsid w:val="59350BFC"/>
    <w:rsid w:val="594E0B2B"/>
    <w:rsid w:val="59BA7E85"/>
    <w:rsid w:val="5A767335"/>
    <w:rsid w:val="5A812E59"/>
    <w:rsid w:val="5ABA7460"/>
    <w:rsid w:val="5AF779F8"/>
    <w:rsid w:val="5B3E2AC4"/>
    <w:rsid w:val="5B423DE4"/>
    <w:rsid w:val="5B660D75"/>
    <w:rsid w:val="5B9C24F1"/>
    <w:rsid w:val="5BAB4476"/>
    <w:rsid w:val="5BB46CAC"/>
    <w:rsid w:val="5BC462EF"/>
    <w:rsid w:val="5BE07D32"/>
    <w:rsid w:val="5CBA2C8D"/>
    <w:rsid w:val="5CD033D7"/>
    <w:rsid w:val="5CFA1CEF"/>
    <w:rsid w:val="5D2C49EA"/>
    <w:rsid w:val="5DB73653"/>
    <w:rsid w:val="5DD86408"/>
    <w:rsid w:val="5DE44F8E"/>
    <w:rsid w:val="5E0F7C71"/>
    <w:rsid w:val="5E17184E"/>
    <w:rsid w:val="5E1E0FE7"/>
    <w:rsid w:val="5E241359"/>
    <w:rsid w:val="5E2F576D"/>
    <w:rsid w:val="5E4274C8"/>
    <w:rsid w:val="5E9F2768"/>
    <w:rsid w:val="5EF22E9F"/>
    <w:rsid w:val="5F111906"/>
    <w:rsid w:val="5F230F76"/>
    <w:rsid w:val="5F2447E2"/>
    <w:rsid w:val="5F284907"/>
    <w:rsid w:val="5F463949"/>
    <w:rsid w:val="5F8C6967"/>
    <w:rsid w:val="5FFD723B"/>
    <w:rsid w:val="602A170A"/>
    <w:rsid w:val="603A65CA"/>
    <w:rsid w:val="605A28BD"/>
    <w:rsid w:val="60B10868"/>
    <w:rsid w:val="60FD207B"/>
    <w:rsid w:val="610B183C"/>
    <w:rsid w:val="61613AC5"/>
    <w:rsid w:val="61A71260"/>
    <w:rsid w:val="61C07CB7"/>
    <w:rsid w:val="61D640C8"/>
    <w:rsid w:val="61F46AD1"/>
    <w:rsid w:val="621D5FD0"/>
    <w:rsid w:val="62553A9B"/>
    <w:rsid w:val="6262635A"/>
    <w:rsid w:val="62A954D2"/>
    <w:rsid w:val="62C855B8"/>
    <w:rsid w:val="62DA4DE7"/>
    <w:rsid w:val="63671C2E"/>
    <w:rsid w:val="63CC4F62"/>
    <w:rsid w:val="6445786C"/>
    <w:rsid w:val="644719D8"/>
    <w:rsid w:val="64625F41"/>
    <w:rsid w:val="64C21BC1"/>
    <w:rsid w:val="64CB159F"/>
    <w:rsid w:val="65350976"/>
    <w:rsid w:val="65420BE7"/>
    <w:rsid w:val="654A3277"/>
    <w:rsid w:val="65A7106E"/>
    <w:rsid w:val="65C02314"/>
    <w:rsid w:val="663F2988"/>
    <w:rsid w:val="667B1A67"/>
    <w:rsid w:val="669C2AA5"/>
    <w:rsid w:val="66DA736C"/>
    <w:rsid w:val="6737768F"/>
    <w:rsid w:val="67993B01"/>
    <w:rsid w:val="67AC14B0"/>
    <w:rsid w:val="67D92C18"/>
    <w:rsid w:val="68567627"/>
    <w:rsid w:val="68AE4213"/>
    <w:rsid w:val="68C54EE3"/>
    <w:rsid w:val="68DD2AE7"/>
    <w:rsid w:val="68F22024"/>
    <w:rsid w:val="691F7BE6"/>
    <w:rsid w:val="69247457"/>
    <w:rsid w:val="693C42B3"/>
    <w:rsid w:val="69652CD0"/>
    <w:rsid w:val="698A4060"/>
    <w:rsid w:val="69C566EB"/>
    <w:rsid w:val="69C570DF"/>
    <w:rsid w:val="69D32674"/>
    <w:rsid w:val="69E14866"/>
    <w:rsid w:val="6A130907"/>
    <w:rsid w:val="6A3870DD"/>
    <w:rsid w:val="6A4A7A2B"/>
    <w:rsid w:val="6A8338D4"/>
    <w:rsid w:val="6A8D75D8"/>
    <w:rsid w:val="6ADA27C6"/>
    <w:rsid w:val="6AF13AFD"/>
    <w:rsid w:val="6B31380E"/>
    <w:rsid w:val="6B342B86"/>
    <w:rsid w:val="6B48790E"/>
    <w:rsid w:val="6B89487A"/>
    <w:rsid w:val="6BA90006"/>
    <w:rsid w:val="6BB043A7"/>
    <w:rsid w:val="6BF115FC"/>
    <w:rsid w:val="6C161E18"/>
    <w:rsid w:val="6CBB08C6"/>
    <w:rsid w:val="6CFC4AAF"/>
    <w:rsid w:val="6D2A351D"/>
    <w:rsid w:val="6D2C5AA6"/>
    <w:rsid w:val="6D7948CB"/>
    <w:rsid w:val="6DA036B3"/>
    <w:rsid w:val="6DA2141A"/>
    <w:rsid w:val="6E212339"/>
    <w:rsid w:val="6E22181C"/>
    <w:rsid w:val="6E2E0B6D"/>
    <w:rsid w:val="6E3431D3"/>
    <w:rsid w:val="6E7D1B82"/>
    <w:rsid w:val="6E815E20"/>
    <w:rsid w:val="6ED91594"/>
    <w:rsid w:val="6EF96E7F"/>
    <w:rsid w:val="6F452AEE"/>
    <w:rsid w:val="6F827E1F"/>
    <w:rsid w:val="6FBE33DD"/>
    <w:rsid w:val="70695629"/>
    <w:rsid w:val="707E27D0"/>
    <w:rsid w:val="709B1F5F"/>
    <w:rsid w:val="709E2C66"/>
    <w:rsid w:val="70A555D4"/>
    <w:rsid w:val="714F5492"/>
    <w:rsid w:val="715071FC"/>
    <w:rsid w:val="71C9438B"/>
    <w:rsid w:val="71E963AD"/>
    <w:rsid w:val="71EB232F"/>
    <w:rsid w:val="71F22395"/>
    <w:rsid w:val="730C517B"/>
    <w:rsid w:val="73113CCB"/>
    <w:rsid w:val="7321107D"/>
    <w:rsid w:val="732F3A9D"/>
    <w:rsid w:val="73521971"/>
    <w:rsid w:val="735E79C5"/>
    <w:rsid w:val="736E713E"/>
    <w:rsid w:val="73821076"/>
    <w:rsid w:val="73AA2969"/>
    <w:rsid w:val="73B0761F"/>
    <w:rsid w:val="73B22405"/>
    <w:rsid w:val="73CF1F2D"/>
    <w:rsid w:val="73F33838"/>
    <w:rsid w:val="73FC1BEE"/>
    <w:rsid w:val="74822716"/>
    <w:rsid w:val="749E5105"/>
    <w:rsid w:val="74A77D79"/>
    <w:rsid w:val="74BB2C8C"/>
    <w:rsid w:val="74BE142F"/>
    <w:rsid w:val="74EE2280"/>
    <w:rsid w:val="75096E02"/>
    <w:rsid w:val="750D3D28"/>
    <w:rsid w:val="756176A1"/>
    <w:rsid w:val="75D97900"/>
    <w:rsid w:val="76BF3A95"/>
    <w:rsid w:val="76D45B66"/>
    <w:rsid w:val="76E8509D"/>
    <w:rsid w:val="76FE2417"/>
    <w:rsid w:val="770C776D"/>
    <w:rsid w:val="771E653D"/>
    <w:rsid w:val="77303AC3"/>
    <w:rsid w:val="774B3CD5"/>
    <w:rsid w:val="7840735D"/>
    <w:rsid w:val="78494A04"/>
    <w:rsid w:val="784B6D67"/>
    <w:rsid w:val="787871D0"/>
    <w:rsid w:val="788E700F"/>
    <w:rsid w:val="78920FD9"/>
    <w:rsid w:val="78B34E88"/>
    <w:rsid w:val="78E8725A"/>
    <w:rsid w:val="7949154B"/>
    <w:rsid w:val="79B0636C"/>
    <w:rsid w:val="79D17100"/>
    <w:rsid w:val="79D85CE8"/>
    <w:rsid w:val="7A1E0BB7"/>
    <w:rsid w:val="7A322C02"/>
    <w:rsid w:val="7A6374EA"/>
    <w:rsid w:val="7A6410F2"/>
    <w:rsid w:val="7AF65F04"/>
    <w:rsid w:val="7B025D61"/>
    <w:rsid w:val="7B072853"/>
    <w:rsid w:val="7B706966"/>
    <w:rsid w:val="7BA10F88"/>
    <w:rsid w:val="7BC22DCE"/>
    <w:rsid w:val="7BC46440"/>
    <w:rsid w:val="7BF84670"/>
    <w:rsid w:val="7C2500E2"/>
    <w:rsid w:val="7C7905F7"/>
    <w:rsid w:val="7CA17C2C"/>
    <w:rsid w:val="7CA44252"/>
    <w:rsid w:val="7D2846D4"/>
    <w:rsid w:val="7D33690E"/>
    <w:rsid w:val="7D4877D4"/>
    <w:rsid w:val="7DB479EE"/>
    <w:rsid w:val="7DCD6635"/>
    <w:rsid w:val="7E3511FD"/>
    <w:rsid w:val="7E7E160A"/>
    <w:rsid w:val="7EE36967"/>
    <w:rsid w:val="7F307B11"/>
    <w:rsid w:val="7F4108E0"/>
    <w:rsid w:val="7F890EF6"/>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20" w:after="320" w:line="579" w:lineRule="auto"/>
      <w:outlineLvl w:val="0"/>
    </w:pPr>
    <w:rPr>
      <w:b/>
      <w:bCs/>
      <w:kern w:val="44"/>
      <w:sz w:val="44"/>
      <w:szCs w:val="44"/>
    </w:rPr>
  </w:style>
  <w:style w:type="paragraph" w:styleId="4">
    <w:name w:val="heading 2"/>
    <w:basedOn w:val="1"/>
    <w:next w:val="5"/>
    <w:link w:val="104"/>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105"/>
    <w:qFormat/>
    <w:uiPriority w:val="0"/>
    <w:pPr>
      <w:keepNext/>
      <w:keepLines/>
      <w:spacing w:before="260" w:after="260" w:line="415" w:lineRule="auto"/>
      <w:outlineLvl w:val="2"/>
    </w:pPr>
    <w:rPr>
      <w:b/>
      <w:bCs/>
      <w:sz w:val="32"/>
      <w:szCs w:val="32"/>
    </w:rPr>
  </w:style>
  <w:style w:type="paragraph" w:styleId="8">
    <w:name w:val="heading 4"/>
    <w:basedOn w:val="1"/>
    <w:next w:val="1"/>
    <w:link w:val="7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8"/>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79"/>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80"/>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81"/>
    <w:qFormat/>
    <w:uiPriority w:val="0"/>
    <w:pPr>
      <w:keepNext/>
      <w:keepLines/>
      <w:spacing w:before="240" w:after="64" w:line="317" w:lineRule="auto"/>
      <w:outlineLvl w:val="7"/>
    </w:pPr>
    <w:rPr>
      <w:rFonts w:ascii="Cambria" w:hAnsi="Cambria"/>
      <w:sz w:val="24"/>
    </w:rPr>
  </w:style>
  <w:style w:type="paragraph" w:styleId="13">
    <w:name w:val="heading 9"/>
    <w:basedOn w:val="1"/>
    <w:next w:val="1"/>
    <w:link w:val="82"/>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6"/>
    <w:link w:val="98"/>
    <w:qFormat/>
    <w:uiPriority w:val="0"/>
    <w:pPr>
      <w:spacing w:after="120"/>
    </w:pPr>
  </w:style>
  <w:style w:type="paragraph" w:styleId="6">
    <w:name w:val="Body Text First Indent"/>
    <w:basedOn w:val="5"/>
    <w:unhideWhenUsed/>
    <w:qFormat/>
    <w:uiPriority w:val="99"/>
    <w:pPr>
      <w:ind w:firstLine="420" w:firstLineChars="100"/>
    </w:pPr>
  </w:style>
  <w:style w:type="paragraph" w:styleId="14">
    <w:name w:val="toc 7"/>
    <w:basedOn w:val="1"/>
    <w:next w:val="1"/>
    <w:qFormat/>
    <w:uiPriority w:val="0"/>
    <w:pPr>
      <w:ind w:left="2520" w:leftChars="1200"/>
    </w:pPr>
  </w:style>
  <w:style w:type="paragraph" w:styleId="15">
    <w:name w:val="Normal Indent"/>
    <w:basedOn w:val="1"/>
    <w:link w:val="59"/>
    <w:qFormat/>
    <w:uiPriority w:val="0"/>
    <w:pPr>
      <w:ind w:firstLine="200" w:firstLineChars="200"/>
    </w:pPr>
  </w:style>
  <w:style w:type="paragraph" w:styleId="16">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7">
    <w:name w:val="Document Map"/>
    <w:basedOn w:val="1"/>
    <w:link w:val="51"/>
    <w:qFormat/>
    <w:uiPriority w:val="0"/>
    <w:rPr>
      <w:rFonts w:ascii="宋体"/>
      <w:sz w:val="18"/>
      <w:szCs w:val="18"/>
    </w:rPr>
  </w:style>
  <w:style w:type="paragraph" w:styleId="18">
    <w:name w:val="annotation text"/>
    <w:basedOn w:val="1"/>
    <w:link w:val="52"/>
    <w:qFormat/>
    <w:uiPriority w:val="0"/>
    <w:pPr>
      <w:jc w:val="left"/>
    </w:pPr>
  </w:style>
  <w:style w:type="paragraph" w:styleId="19">
    <w:name w:val="Body Text Indent"/>
    <w:basedOn w:val="1"/>
    <w:link w:val="54"/>
    <w:qFormat/>
    <w:uiPriority w:val="0"/>
    <w:pPr>
      <w:ind w:firstLine="630"/>
    </w:pPr>
    <w:rPr>
      <w:sz w:val="32"/>
      <w:szCs w:val="20"/>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73"/>
    <w:qFormat/>
    <w:uiPriority w:val="0"/>
    <w:rPr>
      <w:rFonts w:ascii="宋体" w:hAnsi="Courier New"/>
    </w:rPr>
  </w:style>
  <w:style w:type="paragraph" w:styleId="24">
    <w:name w:val="toc 8"/>
    <w:basedOn w:val="1"/>
    <w:next w:val="1"/>
    <w:qFormat/>
    <w:uiPriority w:val="0"/>
    <w:pPr>
      <w:ind w:left="2940" w:leftChars="1400"/>
    </w:pPr>
  </w:style>
  <w:style w:type="paragraph" w:styleId="25">
    <w:name w:val="Date"/>
    <w:basedOn w:val="1"/>
    <w:next w:val="1"/>
    <w:link w:val="90"/>
    <w:qFormat/>
    <w:uiPriority w:val="0"/>
    <w:pPr>
      <w:ind w:left="100" w:leftChars="2500"/>
    </w:pPr>
    <w:rPr>
      <w:rFonts w:ascii="宋体"/>
      <w:kern w:val="0"/>
      <w:sz w:val="28"/>
      <w:szCs w:val="20"/>
    </w:rPr>
  </w:style>
  <w:style w:type="paragraph" w:styleId="26">
    <w:name w:val="Balloon Text"/>
    <w:basedOn w:val="1"/>
    <w:link w:val="56"/>
    <w:qFormat/>
    <w:uiPriority w:val="0"/>
    <w:rPr>
      <w:sz w:val="18"/>
      <w:szCs w:val="18"/>
    </w:rPr>
  </w:style>
  <w:style w:type="paragraph" w:styleId="27">
    <w:name w:val="footer"/>
    <w:basedOn w:val="1"/>
    <w:link w:val="71"/>
    <w:qFormat/>
    <w:uiPriority w:val="99"/>
    <w:pPr>
      <w:tabs>
        <w:tab w:val="center" w:pos="4153"/>
        <w:tab w:val="right" w:pos="8306"/>
      </w:tabs>
      <w:snapToGrid w:val="0"/>
      <w:jc w:val="left"/>
    </w:pPr>
    <w:rPr>
      <w:sz w:val="18"/>
      <w:szCs w:val="20"/>
    </w:rPr>
  </w:style>
  <w:style w:type="paragraph" w:styleId="28">
    <w:name w:val="header"/>
    <w:basedOn w:val="1"/>
    <w:link w:val="93"/>
    <w:qFormat/>
    <w:uiPriority w:val="0"/>
    <w:pPr>
      <w:pBdr>
        <w:bottom w:val="single" w:color="auto" w:sz="6" w:space="1"/>
      </w:pBdr>
      <w:tabs>
        <w:tab w:val="center" w:pos="4153"/>
        <w:tab w:val="right" w:pos="8306"/>
      </w:tabs>
      <w:snapToGrid w:val="0"/>
      <w:jc w:val="center"/>
    </w:pPr>
    <w:rPr>
      <w:sz w:val="18"/>
      <w:szCs w:val="20"/>
    </w:rPr>
  </w:style>
  <w:style w:type="paragraph" w:styleId="29">
    <w:name w:val="toc 1"/>
    <w:basedOn w:val="1"/>
    <w:next w:val="1"/>
    <w:qFormat/>
    <w:uiPriority w:val="39"/>
  </w:style>
  <w:style w:type="paragraph" w:styleId="30">
    <w:name w:val="toc 4"/>
    <w:basedOn w:val="1"/>
    <w:next w:val="1"/>
    <w:qFormat/>
    <w:uiPriority w:val="0"/>
    <w:pPr>
      <w:ind w:left="1260" w:leftChars="600"/>
    </w:pPr>
  </w:style>
  <w:style w:type="paragraph" w:styleId="31">
    <w:name w:val="Subtitle"/>
    <w:basedOn w:val="1"/>
    <w:next w:val="1"/>
    <w:link w:val="107"/>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2100" w:leftChars="1000"/>
    </w:pPr>
  </w:style>
  <w:style w:type="paragraph" w:styleId="33">
    <w:name w:val="toc 2"/>
    <w:basedOn w:val="1"/>
    <w:next w:val="1"/>
    <w:qFormat/>
    <w:uiPriority w:val="0"/>
    <w:pPr>
      <w:ind w:left="420" w:leftChars="200"/>
    </w:pPr>
  </w:style>
  <w:style w:type="paragraph" w:styleId="34">
    <w:name w:val="toc 9"/>
    <w:basedOn w:val="1"/>
    <w:next w:val="1"/>
    <w:qFormat/>
    <w:uiPriority w:val="0"/>
    <w:pPr>
      <w:ind w:left="3360" w:leftChars="1600"/>
    </w:pPr>
  </w:style>
  <w:style w:type="paragraph" w:styleId="35">
    <w:name w:val="Normal (Web)"/>
    <w:basedOn w:val="1"/>
    <w:qFormat/>
    <w:uiPriority w:val="0"/>
    <w:pPr>
      <w:widowControl/>
      <w:spacing w:before="100" w:beforeAutospacing="1" w:after="100" w:afterAutospacing="1"/>
      <w:jc w:val="left"/>
    </w:pPr>
    <w:rPr>
      <w:rFonts w:ascii="宋体"/>
      <w:kern w:val="0"/>
      <w:sz w:val="18"/>
      <w:szCs w:val="18"/>
    </w:rPr>
  </w:style>
  <w:style w:type="paragraph" w:styleId="36">
    <w:name w:val="Title"/>
    <w:basedOn w:val="1"/>
    <w:next w:val="1"/>
    <w:link w:val="106"/>
    <w:qFormat/>
    <w:uiPriority w:val="0"/>
    <w:pPr>
      <w:spacing w:before="240" w:after="60"/>
      <w:jc w:val="center"/>
      <w:outlineLvl w:val="0"/>
    </w:pPr>
    <w:rPr>
      <w:rFonts w:ascii="Cambria" w:hAnsi="Cambria"/>
      <w:b/>
      <w:bCs/>
      <w:sz w:val="32"/>
      <w:szCs w:val="32"/>
    </w:rPr>
  </w:style>
  <w:style w:type="paragraph" w:styleId="37">
    <w:name w:val="annotation subject"/>
    <w:basedOn w:val="18"/>
    <w:next w:val="18"/>
    <w:link w:val="57"/>
    <w:qFormat/>
    <w:uiPriority w:val="0"/>
    <w:rPr>
      <w:b/>
      <w:bCs/>
    </w:rPr>
  </w:style>
  <w:style w:type="character" w:styleId="40">
    <w:name w:val="Strong"/>
    <w:qFormat/>
    <w:uiPriority w:val="0"/>
    <w:rPr>
      <w:b/>
    </w:rPr>
  </w:style>
  <w:style w:type="character" w:styleId="41">
    <w:name w:val="page number"/>
    <w:qFormat/>
    <w:uiPriority w:val="0"/>
  </w:style>
  <w:style w:type="character" w:styleId="42">
    <w:name w:val="FollowedHyperlink"/>
    <w:qFormat/>
    <w:uiPriority w:val="0"/>
    <w:rPr>
      <w:color w:val="333333"/>
      <w:u w:val="none"/>
    </w:rPr>
  </w:style>
  <w:style w:type="character" w:styleId="43">
    <w:name w:val="Emphasis"/>
    <w:qFormat/>
    <w:uiPriority w:val="0"/>
  </w:style>
  <w:style w:type="character" w:styleId="44">
    <w:name w:val="HTML Definition"/>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basedOn w:val="39"/>
    <w:qFormat/>
    <w:uiPriority w:val="0"/>
    <w:rPr>
      <w:rFonts w:ascii="Courier New" w:hAnsi="Courier New"/>
      <w:sz w:val="20"/>
    </w:rPr>
  </w:style>
  <w:style w:type="character" w:styleId="48">
    <w:name w:val="annotation reference"/>
    <w:qFormat/>
    <w:uiPriority w:val="0"/>
    <w:rPr>
      <w:sz w:val="21"/>
      <w:szCs w:val="21"/>
    </w:rPr>
  </w:style>
  <w:style w:type="character" w:styleId="49">
    <w:name w:val="HTML Cite"/>
    <w:qFormat/>
    <w:uiPriority w:val="0"/>
  </w:style>
  <w:style w:type="character" w:customStyle="1" w:styleId="50">
    <w:name w:val="font101"/>
    <w:qFormat/>
    <w:uiPriority w:val="0"/>
    <w:rPr>
      <w:rFonts w:hint="eastAsia" w:ascii="宋体" w:hAnsi="宋体" w:eastAsia="宋体" w:cs="宋体"/>
      <w:color w:val="000000"/>
      <w:sz w:val="21"/>
      <w:szCs w:val="21"/>
      <w:u w:val="single"/>
    </w:rPr>
  </w:style>
  <w:style w:type="character" w:customStyle="1" w:styleId="51">
    <w:name w:val="文档结构图 Char"/>
    <w:link w:val="17"/>
    <w:qFormat/>
    <w:uiPriority w:val="0"/>
    <w:rPr>
      <w:rFonts w:ascii="宋体"/>
      <w:kern w:val="2"/>
      <w:sz w:val="18"/>
      <w:szCs w:val="18"/>
    </w:rPr>
  </w:style>
  <w:style w:type="character" w:customStyle="1" w:styleId="52">
    <w:name w:val="批注文字 Char"/>
    <w:link w:val="18"/>
    <w:qFormat/>
    <w:uiPriority w:val="0"/>
    <w:rPr>
      <w:kern w:val="2"/>
      <w:sz w:val="21"/>
      <w:szCs w:val="24"/>
    </w:rPr>
  </w:style>
  <w:style w:type="character" w:customStyle="1" w:styleId="53">
    <w:name w:val="font91"/>
    <w:qFormat/>
    <w:uiPriority w:val="0"/>
    <w:rPr>
      <w:rFonts w:hint="eastAsia" w:ascii="宋体" w:hAnsi="宋体" w:eastAsia="宋体" w:cs="宋体"/>
      <w:color w:val="FF0000"/>
      <w:sz w:val="21"/>
      <w:szCs w:val="21"/>
      <w:u w:val="single"/>
    </w:rPr>
  </w:style>
  <w:style w:type="character" w:customStyle="1" w:styleId="54">
    <w:name w:val="正文文本缩进 Char"/>
    <w:link w:val="19"/>
    <w:qFormat/>
    <w:uiPriority w:val="0"/>
    <w:rPr>
      <w:kern w:val="2"/>
      <w:sz w:val="32"/>
    </w:rPr>
  </w:style>
  <w:style w:type="character" w:customStyle="1" w:styleId="55">
    <w:name w:val="font111"/>
    <w:qFormat/>
    <w:uiPriority w:val="0"/>
    <w:rPr>
      <w:rFonts w:hint="default" w:ascii="Eʩ" w:hAnsi="Eʩ" w:eastAsia="Eʩ" w:cs="Eʩ"/>
      <w:color w:val="000000"/>
      <w:sz w:val="21"/>
      <w:szCs w:val="21"/>
      <w:u w:val="single"/>
    </w:rPr>
  </w:style>
  <w:style w:type="character" w:customStyle="1" w:styleId="56">
    <w:name w:val="批注框文本 Char"/>
    <w:link w:val="26"/>
    <w:qFormat/>
    <w:uiPriority w:val="0"/>
    <w:rPr>
      <w:kern w:val="2"/>
      <w:sz w:val="18"/>
      <w:szCs w:val="18"/>
    </w:rPr>
  </w:style>
  <w:style w:type="character" w:customStyle="1" w:styleId="57">
    <w:name w:val="批注主题 Char"/>
    <w:link w:val="37"/>
    <w:qFormat/>
    <w:uiPriority w:val="0"/>
    <w:rPr>
      <w:b/>
      <w:bCs/>
      <w:kern w:val="2"/>
      <w:sz w:val="21"/>
      <w:szCs w:val="24"/>
    </w:rPr>
  </w:style>
  <w:style w:type="character" w:customStyle="1" w:styleId="58">
    <w:name w:val="标题 1 Char"/>
    <w:link w:val="3"/>
    <w:qFormat/>
    <w:uiPriority w:val="0"/>
    <w:rPr>
      <w:rFonts w:ascii="Times New Roman" w:hAnsi="Times New Roman" w:eastAsia="宋体"/>
      <w:b/>
      <w:bCs/>
      <w:kern w:val="44"/>
      <w:sz w:val="44"/>
      <w:szCs w:val="44"/>
    </w:rPr>
  </w:style>
  <w:style w:type="character" w:customStyle="1" w:styleId="59">
    <w:name w:val="正文缩进 Char"/>
    <w:link w:val="15"/>
    <w:qFormat/>
    <w:uiPriority w:val="0"/>
    <w:rPr>
      <w:kern w:val="2"/>
      <w:sz w:val="21"/>
      <w:szCs w:val="24"/>
    </w:rPr>
  </w:style>
  <w:style w:type="character" w:customStyle="1" w:styleId="60">
    <w:name w:val="font31"/>
    <w:qFormat/>
    <w:uiPriority w:val="0"/>
    <w:rPr>
      <w:rFonts w:hint="eastAsia" w:ascii="宋体" w:hAnsi="宋体" w:eastAsia="宋体" w:cs="宋体"/>
      <w:color w:val="000000"/>
      <w:sz w:val="21"/>
      <w:szCs w:val="21"/>
      <w:u w:val="none"/>
    </w:rPr>
  </w:style>
  <w:style w:type="character" w:customStyle="1" w:styleId="61">
    <w:name w:val="label"/>
    <w:qFormat/>
    <w:uiPriority w:val="0"/>
    <w:rPr>
      <w:color w:val="555555"/>
    </w:rPr>
  </w:style>
  <w:style w:type="character" w:customStyle="1" w:styleId="62">
    <w:name w:val="modifier"/>
    <w:qFormat/>
    <w:uiPriority w:val="0"/>
    <w:rPr>
      <w:color w:val="FF0000"/>
    </w:rPr>
  </w:style>
  <w:style w:type="paragraph" w:customStyle="1" w:styleId="63">
    <w:name w:val="正文首行缩进两字符"/>
    <w:basedOn w:val="1"/>
    <w:qFormat/>
    <w:uiPriority w:val="0"/>
    <w:pPr>
      <w:spacing w:line="360" w:lineRule="auto"/>
      <w:ind w:firstLine="200" w:firstLineChars="200"/>
    </w:pPr>
  </w:style>
  <w:style w:type="paragraph" w:customStyle="1" w:styleId="64">
    <w:name w:val="样式 首行缩进:  2 字符"/>
    <w:basedOn w:val="1"/>
    <w:qFormat/>
    <w:uiPriority w:val="99"/>
    <w:pPr>
      <w:spacing w:line="400" w:lineRule="exact"/>
      <w:ind w:firstLine="200" w:firstLineChars="200"/>
    </w:pPr>
    <w:rPr>
      <w:rFonts w:cs="宋体"/>
      <w:sz w:val="24"/>
    </w:rPr>
  </w:style>
  <w:style w:type="paragraph" w:styleId="65">
    <w:name w:val="List Paragraph"/>
    <w:basedOn w:val="1"/>
    <w:link w:val="75"/>
    <w:qFormat/>
    <w:uiPriority w:val="0"/>
    <w:pPr>
      <w:spacing w:line="360" w:lineRule="auto"/>
      <w:jc w:val="left"/>
    </w:pPr>
    <w:rPr>
      <w:rFonts w:ascii="宋体" w:hAnsi="宋体"/>
      <w:sz w:val="24"/>
    </w:rPr>
  </w:style>
  <w:style w:type="paragraph" w:customStyle="1" w:styleId="6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8">
    <w:name w:val="_Style 2"/>
    <w:basedOn w:val="1"/>
    <w:qFormat/>
    <w:uiPriority w:val="0"/>
    <w:pPr>
      <w:ind w:firstLine="420" w:firstLineChars="200"/>
    </w:pPr>
    <w:rPr>
      <w:sz w:val="18"/>
      <w:szCs w:val="18"/>
    </w:rPr>
  </w:style>
  <w:style w:type="paragraph" w:customStyle="1" w:styleId="69">
    <w:name w:val="样式2"/>
    <w:basedOn w:val="1"/>
    <w:qFormat/>
    <w:uiPriority w:val="0"/>
    <w:pPr>
      <w:spacing w:line="560" w:lineRule="exact"/>
      <w:ind w:firstLine="200" w:firstLineChars="200"/>
      <w:jc w:val="left"/>
    </w:pPr>
    <w:rPr>
      <w:rFonts w:eastAsia="仿宋_GB2312"/>
      <w:sz w:val="28"/>
      <w:szCs w:val="20"/>
    </w:rPr>
  </w:style>
  <w:style w:type="paragraph" w:customStyle="1" w:styleId="70">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1">
    <w:name w:val="页脚 Char"/>
    <w:link w:val="27"/>
    <w:qFormat/>
    <w:uiPriority w:val="99"/>
    <w:rPr>
      <w:kern w:val="2"/>
      <w:sz w:val="18"/>
    </w:rPr>
  </w:style>
  <w:style w:type="paragraph" w:customStyle="1" w:styleId="72">
    <w:name w:val="msolistparagraph"/>
    <w:basedOn w:val="1"/>
    <w:qFormat/>
    <w:uiPriority w:val="0"/>
    <w:pPr>
      <w:ind w:firstLine="420" w:firstLineChars="200"/>
    </w:pPr>
    <w:rPr>
      <w:szCs w:val="22"/>
    </w:rPr>
  </w:style>
  <w:style w:type="character" w:customStyle="1" w:styleId="73">
    <w:name w:val="纯文本 Char"/>
    <w:basedOn w:val="39"/>
    <w:link w:val="23"/>
    <w:qFormat/>
    <w:uiPriority w:val="0"/>
    <w:rPr>
      <w:rFonts w:ascii="宋体" w:hAnsi="Courier New"/>
      <w:kern w:val="2"/>
      <w:sz w:val="21"/>
      <w:szCs w:val="24"/>
    </w:rPr>
  </w:style>
  <w:style w:type="character" w:customStyle="1" w:styleId="74">
    <w:name w:val="正文缩进 Char1"/>
    <w:qFormat/>
    <w:uiPriority w:val="0"/>
    <w:rPr>
      <w:kern w:val="2"/>
      <w:sz w:val="21"/>
      <w:szCs w:val="24"/>
    </w:rPr>
  </w:style>
  <w:style w:type="character" w:customStyle="1" w:styleId="75">
    <w:name w:val="列出段落 Char"/>
    <w:link w:val="65"/>
    <w:qFormat/>
    <w:locked/>
    <w:uiPriority w:val="99"/>
    <w:rPr>
      <w:rFonts w:ascii="宋体" w:hAnsi="宋体"/>
      <w:kern w:val="2"/>
      <w:sz w:val="24"/>
      <w:szCs w:val="24"/>
    </w:rPr>
  </w:style>
  <w:style w:type="paragraph" w:customStyle="1" w:styleId="76">
    <w:name w:val="Plain Text1"/>
    <w:basedOn w:val="1"/>
    <w:qFormat/>
    <w:uiPriority w:val="99"/>
    <w:pPr>
      <w:adjustRightInd w:val="0"/>
      <w:jc w:val="left"/>
      <w:textAlignment w:val="baseline"/>
    </w:pPr>
    <w:rPr>
      <w:rFonts w:ascii="宋体" w:hAnsi="Courier New" w:cs="宋体"/>
      <w:sz w:val="24"/>
    </w:rPr>
  </w:style>
  <w:style w:type="character" w:customStyle="1" w:styleId="77">
    <w:name w:val="标题 4 Char"/>
    <w:basedOn w:val="39"/>
    <w:link w:val="8"/>
    <w:qFormat/>
    <w:uiPriority w:val="0"/>
    <w:rPr>
      <w:rFonts w:asciiTheme="majorHAnsi" w:hAnsiTheme="majorHAnsi" w:eastAsiaTheme="majorEastAsia" w:cstheme="majorBidi"/>
      <w:b/>
      <w:bCs/>
      <w:kern w:val="2"/>
      <w:sz w:val="28"/>
      <w:szCs w:val="28"/>
    </w:rPr>
  </w:style>
  <w:style w:type="character" w:customStyle="1" w:styleId="78">
    <w:name w:val="标题 5 Char"/>
    <w:basedOn w:val="39"/>
    <w:link w:val="9"/>
    <w:qFormat/>
    <w:uiPriority w:val="0"/>
    <w:rPr>
      <w:rFonts w:ascii="Calibri" w:hAnsi="Calibri"/>
      <w:b/>
      <w:bCs/>
      <w:kern w:val="2"/>
      <w:sz w:val="28"/>
      <w:szCs w:val="28"/>
    </w:rPr>
  </w:style>
  <w:style w:type="character" w:customStyle="1" w:styleId="79">
    <w:name w:val="标题 6 Char"/>
    <w:basedOn w:val="39"/>
    <w:link w:val="10"/>
    <w:qFormat/>
    <w:uiPriority w:val="0"/>
    <w:rPr>
      <w:rFonts w:ascii="Cambria" w:hAnsi="Cambria"/>
      <w:b/>
      <w:bCs/>
      <w:kern w:val="2"/>
      <w:sz w:val="24"/>
      <w:szCs w:val="24"/>
    </w:rPr>
  </w:style>
  <w:style w:type="character" w:customStyle="1" w:styleId="80">
    <w:name w:val="标题 7 Char"/>
    <w:basedOn w:val="39"/>
    <w:link w:val="11"/>
    <w:qFormat/>
    <w:uiPriority w:val="0"/>
    <w:rPr>
      <w:rFonts w:ascii="Calibri" w:hAnsi="Calibri"/>
      <w:b/>
      <w:bCs/>
      <w:kern w:val="2"/>
      <w:sz w:val="24"/>
      <w:szCs w:val="24"/>
    </w:rPr>
  </w:style>
  <w:style w:type="character" w:customStyle="1" w:styleId="81">
    <w:name w:val="标题 8 Char"/>
    <w:basedOn w:val="39"/>
    <w:link w:val="12"/>
    <w:qFormat/>
    <w:uiPriority w:val="0"/>
    <w:rPr>
      <w:rFonts w:ascii="Cambria" w:hAnsi="Cambria"/>
      <w:kern w:val="2"/>
      <w:sz w:val="24"/>
      <w:szCs w:val="24"/>
    </w:rPr>
  </w:style>
  <w:style w:type="character" w:customStyle="1" w:styleId="82">
    <w:name w:val="标题 9 Char"/>
    <w:basedOn w:val="39"/>
    <w:link w:val="13"/>
    <w:qFormat/>
    <w:uiPriority w:val="0"/>
    <w:rPr>
      <w:rFonts w:ascii="Cambria" w:hAnsi="Cambria"/>
      <w:kern w:val="2"/>
      <w:sz w:val="21"/>
      <w:szCs w:val="21"/>
    </w:rPr>
  </w:style>
  <w:style w:type="character" w:customStyle="1" w:styleId="83">
    <w:name w:val="正文文本 Char1"/>
    <w:qFormat/>
    <w:uiPriority w:val="0"/>
    <w:rPr>
      <w:kern w:val="2"/>
      <w:sz w:val="21"/>
      <w:szCs w:val="22"/>
    </w:rPr>
  </w:style>
  <w:style w:type="character" w:customStyle="1" w:styleId="84">
    <w:name w:val="明显引用 Char"/>
    <w:link w:val="85"/>
    <w:qFormat/>
    <w:uiPriority w:val="0"/>
    <w:rPr>
      <w:b/>
      <w:bCs/>
      <w:i/>
      <w:iCs/>
      <w:color w:val="4F81BD"/>
      <w:kern w:val="2"/>
      <w:sz w:val="21"/>
      <w:szCs w:val="22"/>
    </w:rPr>
  </w:style>
  <w:style w:type="paragraph" w:styleId="85">
    <w:name w:val="Intense Quote"/>
    <w:basedOn w:val="1"/>
    <w:next w:val="1"/>
    <w:link w:val="84"/>
    <w:qFormat/>
    <w:uiPriority w:val="0"/>
    <w:pPr>
      <w:pBdr>
        <w:bottom w:val="single" w:color="4F81BD" w:sz="4" w:space="4"/>
      </w:pBdr>
      <w:spacing w:before="200" w:after="280"/>
      <w:ind w:left="936" w:right="936"/>
    </w:pPr>
    <w:rPr>
      <w:b/>
      <w:bCs/>
      <w:i/>
      <w:iCs/>
      <w:color w:val="4F81BD"/>
      <w:szCs w:val="22"/>
    </w:rPr>
  </w:style>
  <w:style w:type="character" w:customStyle="1" w:styleId="86">
    <w:name w:val="不明显强调1"/>
    <w:qFormat/>
    <w:uiPriority w:val="0"/>
    <w:rPr>
      <w:i/>
      <w:iCs/>
      <w:color w:val="808080"/>
    </w:rPr>
  </w:style>
  <w:style w:type="character" w:customStyle="1" w:styleId="87">
    <w:name w:val="标题4 Char Char"/>
    <w:qFormat/>
    <w:uiPriority w:val="0"/>
    <w:rPr>
      <w:rFonts w:ascii="Arial" w:hAnsi="Arial"/>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7"/>
    <w:link w:val="88"/>
    <w:qFormat/>
    <w:uiPriority w:val="0"/>
    <w:pPr>
      <w:spacing w:line="413" w:lineRule="auto"/>
    </w:pPr>
    <w:rPr>
      <w:rFonts w:ascii="Arial" w:hAnsi="Arial"/>
      <w:kern w:val="0"/>
      <w:sz w:val="24"/>
    </w:rPr>
  </w:style>
  <w:style w:type="character" w:customStyle="1" w:styleId="90">
    <w:name w:val="日期 Char"/>
    <w:link w:val="25"/>
    <w:qFormat/>
    <w:uiPriority w:val="0"/>
    <w:rPr>
      <w:rFonts w:ascii="宋体"/>
      <w:sz w:val="28"/>
    </w:rPr>
  </w:style>
  <w:style w:type="character" w:customStyle="1" w:styleId="91">
    <w:name w:val="明显参考1"/>
    <w:qFormat/>
    <w:uiPriority w:val="0"/>
    <w:rPr>
      <w:b/>
      <w:bCs/>
      <w:smallCaps/>
      <w:color w:val="C0504D"/>
      <w:spacing w:val="5"/>
      <w:u w:val="single"/>
    </w:rPr>
  </w:style>
  <w:style w:type="character" w:customStyle="1" w:styleId="92">
    <w:name w:val="书籍标题1"/>
    <w:qFormat/>
    <w:uiPriority w:val="0"/>
    <w:rPr>
      <w:b/>
      <w:bCs/>
      <w:smallCaps/>
      <w:spacing w:val="5"/>
    </w:rPr>
  </w:style>
  <w:style w:type="character" w:customStyle="1" w:styleId="93">
    <w:name w:val="页眉 Char"/>
    <w:link w:val="28"/>
    <w:qFormat/>
    <w:uiPriority w:val="0"/>
    <w:rPr>
      <w:kern w:val="2"/>
      <w:sz w:val="18"/>
    </w:rPr>
  </w:style>
  <w:style w:type="character" w:customStyle="1" w:styleId="94">
    <w:name w:val="批注框文本 Char1"/>
    <w:qFormat/>
    <w:uiPriority w:val="0"/>
    <w:rPr>
      <w:kern w:val="2"/>
      <w:sz w:val="18"/>
      <w:szCs w:val="18"/>
    </w:rPr>
  </w:style>
  <w:style w:type="character" w:customStyle="1" w:styleId="95">
    <w:name w:val="引用 Char"/>
    <w:link w:val="96"/>
    <w:qFormat/>
    <w:uiPriority w:val="0"/>
    <w:rPr>
      <w:i/>
      <w:iCs/>
      <w:color w:val="000000"/>
      <w:kern w:val="2"/>
      <w:sz w:val="21"/>
      <w:szCs w:val="22"/>
    </w:rPr>
  </w:style>
  <w:style w:type="paragraph" w:styleId="96">
    <w:name w:val="Quote"/>
    <w:basedOn w:val="1"/>
    <w:next w:val="1"/>
    <w:link w:val="95"/>
    <w:qFormat/>
    <w:uiPriority w:val="0"/>
    <w:rPr>
      <w:i/>
      <w:iCs/>
      <w:color w:val="000000"/>
      <w:szCs w:val="22"/>
    </w:rPr>
  </w:style>
  <w:style w:type="character" w:customStyle="1" w:styleId="97">
    <w:name w:val="批注主题 Char1"/>
    <w:qFormat/>
    <w:uiPriority w:val="0"/>
    <w:rPr>
      <w:b/>
      <w:bCs/>
      <w:kern w:val="2"/>
      <w:sz w:val="21"/>
      <w:szCs w:val="22"/>
    </w:rPr>
  </w:style>
  <w:style w:type="character" w:customStyle="1" w:styleId="98">
    <w:name w:val="正文文本 Char"/>
    <w:link w:val="5"/>
    <w:qFormat/>
    <w:uiPriority w:val="0"/>
    <w:rPr>
      <w:kern w:val="2"/>
      <w:sz w:val="21"/>
      <w:szCs w:val="24"/>
    </w:rPr>
  </w:style>
  <w:style w:type="character" w:customStyle="1" w:styleId="99">
    <w:name w:val="日期 Char1"/>
    <w:qFormat/>
    <w:uiPriority w:val="0"/>
    <w:rPr>
      <w:kern w:val="2"/>
      <w:sz w:val="21"/>
      <w:szCs w:val="22"/>
    </w:rPr>
  </w:style>
  <w:style w:type="character" w:customStyle="1" w:styleId="100">
    <w:name w:val="明显强调1"/>
    <w:qFormat/>
    <w:uiPriority w:val="0"/>
    <w:rPr>
      <w:b/>
      <w:bCs/>
      <w:i/>
      <w:iCs/>
      <w:color w:val="4F81BD"/>
    </w:rPr>
  </w:style>
  <w:style w:type="character" w:customStyle="1" w:styleId="101">
    <w:name w:val="textcontents"/>
    <w:qFormat/>
    <w:uiPriority w:val="0"/>
    <w:rPr>
      <w:rFonts w:cs="Times New Roman"/>
    </w:rPr>
  </w:style>
  <w:style w:type="character" w:customStyle="1" w:styleId="102">
    <w:name w:val="不明显参考1"/>
    <w:qFormat/>
    <w:uiPriority w:val="0"/>
    <w:rPr>
      <w:smallCaps/>
      <w:color w:val="C0504D"/>
      <w:u w:val="single"/>
    </w:rPr>
  </w:style>
  <w:style w:type="character" w:customStyle="1" w:styleId="103">
    <w:name w:val="批注文字 Char Char"/>
    <w:qFormat/>
    <w:uiPriority w:val="0"/>
    <w:rPr>
      <w:rFonts w:ascii="宋体" w:hAnsi="Times New Roman" w:eastAsia="宋体" w:cs="Times New Roman"/>
      <w:sz w:val="28"/>
      <w:szCs w:val="20"/>
    </w:rPr>
  </w:style>
  <w:style w:type="character" w:customStyle="1" w:styleId="104">
    <w:name w:val="标题 2 Char"/>
    <w:link w:val="4"/>
    <w:qFormat/>
    <w:uiPriority w:val="0"/>
    <w:rPr>
      <w:rFonts w:ascii="Arial" w:hAnsi="Arial" w:eastAsia="黑体"/>
      <w:b/>
      <w:bCs/>
      <w:kern w:val="2"/>
      <w:sz w:val="32"/>
      <w:szCs w:val="32"/>
    </w:rPr>
  </w:style>
  <w:style w:type="character" w:customStyle="1" w:styleId="105">
    <w:name w:val="标题 3 Char"/>
    <w:link w:val="7"/>
    <w:qFormat/>
    <w:uiPriority w:val="0"/>
    <w:rPr>
      <w:b/>
      <w:bCs/>
      <w:kern w:val="2"/>
      <w:sz w:val="32"/>
      <w:szCs w:val="32"/>
    </w:rPr>
  </w:style>
  <w:style w:type="character" w:customStyle="1" w:styleId="106">
    <w:name w:val="标题 Char"/>
    <w:link w:val="36"/>
    <w:qFormat/>
    <w:uiPriority w:val="0"/>
    <w:rPr>
      <w:rFonts w:ascii="Cambria" w:hAnsi="Cambria"/>
      <w:b/>
      <w:bCs/>
      <w:kern w:val="2"/>
      <w:sz w:val="32"/>
      <w:szCs w:val="32"/>
    </w:rPr>
  </w:style>
  <w:style w:type="character" w:customStyle="1" w:styleId="107">
    <w:name w:val="副标题 Char"/>
    <w:link w:val="31"/>
    <w:qFormat/>
    <w:uiPriority w:val="0"/>
    <w:rPr>
      <w:rFonts w:ascii="Cambria" w:hAnsi="Cambria"/>
      <w:b/>
      <w:bCs/>
      <w:kern w:val="28"/>
      <w:sz w:val="32"/>
      <w:szCs w:val="32"/>
    </w:rPr>
  </w:style>
  <w:style w:type="character" w:customStyle="1" w:styleId="108">
    <w:name w:val="文档结构图 Char1"/>
    <w:qFormat/>
    <w:uiPriority w:val="0"/>
    <w:rPr>
      <w:rFonts w:ascii="宋体"/>
      <w:kern w:val="2"/>
      <w:sz w:val="18"/>
      <w:szCs w:val="18"/>
    </w:rPr>
  </w:style>
  <w:style w:type="paragraph" w:customStyle="1" w:styleId="109">
    <w:name w:val="修订1"/>
    <w:qFormat/>
    <w:uiPriority w:val="0"/>
    <w:rPr>
      <w:rFonts w:ascii="Times New Roman" w:hAnsi="Times New Roman" w:eastAsia="宋体" w:cs="Times New Roman"/>
      <w:kern w:val="2"/>
      <w:sz w:val="21"/>
      <w:szCs w:val="24"/>
      <w:lang w:val="en-US" w:eastAsia="zh-CN" w:bidi="ar-SA"/>
    </w:rPr>
  </w:style>
  <w:style w:type="paragraph" w:customStyle="1" w:styleId="11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11">
    <w:name w:val="日期 Char2"/>
    <w:basedOn w:val="39"/>
    <w:qFormat/>
    <w:uiPriority w:val="0"/>
    <w:rPr>
      <w:kern w:val="2"/>
      <w:sz w:val="21"/>
      <w:szCs w:val="24"/>
    </w:rPr>
  </w:style>
  <w:style w:type="character" w:customStyle="1" w:styleId="112">
    <w:name w:val="标题 Char1"/>
    <w:basedOn w:val="39"/>
    <w:qFormat/>
    <w:uiPriority w:val="0"/>
    <w:rPr>
      <w:rFonts w:asciiTheme="majorHAnsi" w:hAnsiTheme="majorHAnsi" w:cstheme="majorBidi"/>
      <w:b/>
      <w:bCs/>
      <w:kern w:val="2"/>
      <w:sz w:val="32"/>
      <w:szCs w:val="32"/>
    </w:rPr>
  </w:style>
  <w:style w:type="paragraph" w:customStyle="1" w:styleId="113">
    <w:name w:val="TOC 标题1"/>
    <w:basedOn w:val="3"/>
    <w:next w:val="1"/>
    <w:qFormat/>
    <w:uiPriority w:val="0"/>
    <w:pPr>
      <w:spacing w:before="340" w:after="330" w:line="576" w:lineRule="auto"/>
      <w:outlineLvl w:val="9"/>
    </w:pPr>
    <w:rPr>
      <w:rFonts w:ascii="Calibri" w:hAnsi="Calibri"/>
    </w:rPr>
  </w:style>
  <w:style w:type="character" w:customStyle="1" w:styleId="114">
    <w:name w:val="副标题 Char1"/>
    <w:basedOn w:val="39"/>
    <w:qFormat/>
    <w:uiPriority w:val="0"/>
    <w:rPr>
      <w:rFonts w:asciiTheme="majorHAnsi" w:hAnsiTheme="majorHAnsi" w:cstheme="majorBidi"/>
      <w:b/>
      <w:bCs/>
      <w:kern w:val="28"/>
      <w:sz w:val="32"/>
      <w:szCs w:val="32"/>
    </w:rPr>
  </w:style>
  <w:style w:type="character" w:customStyle="1" w:styleId="115">
    <w:name w:val="明显引用 Char1"/>
    <w:basedOn w:val="39"/>
    <w:semiHidden/>
    <w:qFormat/>
    <w:uiPriority w:val="99"/>
    <w:rPr>
      <w:b/>
      <w:bCs/>
      <w:i/>
      <w:iCs/>
      <w:color w:val="4472C4" w:themeColor="accent1"/>
      <w:kern w:val="2"/>
      <w:sz w:val="21"/>
      <w:szCs w:val="24"/>
      <w14:textFill>
        <w14:solidFill>
          <w14:schemeClr w14:val="accent1"/>
        </w14:solidFill>
      </w14:textFill>
    </w:rPr>
  </w:style>
  <w:style w:type="paragraph" w:customStyle="1" w:styleId="11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引用 Char1"/>
    <w:basedOn w:val="39"/>
    <w:semiHidden/>
    <w:qFormat/>
    <w:uiPriority w:val="99"/>
    <w:rPr>
      <w:i/>
      <w:iCs/>
      <w:color w:val="000000" w:themeColor="text1"/>
      <w:kern w:val="2"/>
      <w:sz w:val="21"/>
      <w:szCs w:val="24"/>
      <w14:textFill>
        <w14:solidFill>
          <w14:schemeClr w14:val="tx1"/>
        </w14:solidFill>
      </w14:textFill>
    </w:rPr>
  </w:style>
  <w:style w:type="paragraph" w:customStyle="1" w:styleId="12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1">
    <w:name w:val="纯文本 Char1"/>
    <w:basedOn w:val="39"/>
    <w:qFormat/>
    <w:locked/>
    <w:uiPriority w:val="99"/>
    <w:rPr>
      <w:rFonts w:ascii="宋体" w:hAnsi="Courier New" w:eastAsia="宋体" w:cs="宋体"/>
      <w:sz w:val="21"/>
      <w:szCs w:val="21"/>
    </w:rPr>
  </w:style>
  <w:style w:type="paragraph" w:customStyle="1" w:styleId="12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23">
    <w:name w:val="img"/>
    <w:basedOn w:val="39"/>
    <w:qFormat/>
    <w:uiPriority w:val="0"/>
  </w:style>
  <w:style w:type="character" w:customStyle="1" w:styleId="124">
    <w:name w:val="img1"/>
    <w:basedOn w:val="39"/>
    <w:qFormat/>
    <w:uiPriority w:val="0"/>
  </w:style>
  <w:style w:type="paragraph" w:customStyle="1" w:styleId="125">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CEF80-95EC-4FAA-B502-2DBDAC98BD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5506</Words>
  <Characters>31388</Characters>
  <Lines>261</Lines>
  <Paragraphs>73</Paragraphs>
  <TotalTime>16</TotalTime>
  <ScaleCrop>false</ScaleCrop>
  <LinksUpToDate>false</LinksUpToDate>
  <CharactersWithSpaces>36821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成都西米/*</cp:lastModifiedBy>
  <cp:lastPrinted>2018-05-10T07:30:00Z</cp:lastPrinted>
  <dcterms:modified xsi:type="dcterms:W3CDTF">2021-06-09T03:08:55Z</dcterms:modified>
  <dc:title>成都一问范本</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3EAE7796BA604A32BFBABE5DD5DCD7EC</vt:lpwstr>
  </property>
</Properties>
</file>