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right"/>
        <w:rPr>
          <w:rFonts w:ascii="宋体" w:hAnsi="宋体"/>
          <w:b/>
          <w:color w:val="auto"/>
          <w:sz w:val="52"/>
          <w:szCs w:val="52"/>
          <w:highlight w:val="none"/>
        </w:rPr>
      </w:pPr>
      <w:r>
        <w:rPr>
          <w:rFonts w:hint="eastAsia" w:ascii="宋体" w:hAnsi="宋体"/>
          <w:b/>
          <w:color w:val="auto"/>
          <w:sz w:val="30"/>
          <w:szCs w:val="30"/>
          <w:highlight w:val="none"/>
        </w:rPr>
        <w:t>项目编号：[510101202100716]</w:t>
      </w:r>
    </w:p>
    <w:p>
      <w:pPr>
        <w:jc w:val="center"/>
        <w:rPr>
          <w:rFonts w:ascii="宋体" w:hAnsi="宋体"/>
          <w:b/>
          <w:color w:val="auto"/>
          <w:sz w:val="56"/>
          <w:szCs w:val="56"/>
          <w:highlight w:val="none"/>
          <w:u w:val="single"/>
        </w:rPr>
      </w:pPr>
    </w:p>
    <w:p>
      <w:pPr>
        <w:jc w:val="center"/>
        <w:rPr>
          <w:rFonts w:ascii="宋体" w:hAnsi="宋体"/>
          <w:b/>
          <w:color w:val="auto"/>
          <w:sz w:val="48"/>
          <w:szCs w:val="48"/>
          <w:highlight w:val="none"/>
        </w:rPr>
      </w:pPr>
      <w:r>
        <w:rPr>
          <w:rFonts w:hint="eastAsia" w:ascii="宋体" w:hAnsi="宋体"/>
          <w:b/>
          <w:color w:val="auto"/>
          <w:sz w:val="56"/>
          <w:szCs w:val="56"/>
          <w:highlight w:val="none"/>
        </w:rPr>
        <w:t>爱成都、迎大运-花重锦官城（二环路刃具立交桥区品质提升）材料采购项目</w:t>
      </w:r>
    </w:p>
    <w:p>
      <w:pPr>
        <w:rPr>
          <w:rFonts w:ascii="宋体" w:hAnsi="宋体"/>
          <w:b/>
          <w:color w:val="auto"/>
          <w:sz w:val="52"/>
          <w:szCs w:val="52"/>
          <w:highlight w:val="none"/>
        </w:rPr>
      </w:pPr>
    </w:p>
    <w:p>
      <w:pPr>
        <w:pStyle w:val="2"/>
        <w:rPr>
          <w:color w:val="auto"/>
          <w:highlight w:val="none"/>
        </w:rPr>
      </w:pPr>
    </w:p>
    <w:p>
      <w:pPr>
        <w:rPr>
          <w:rFonts w:ascii="宋体" w:hAnsi="宋体"/>
          <w:b/>
          <w:color w:val="auto"/>
          <w:sz w:val="52"/>
          <w:szCs w:val="52"/>
          <w:highlight w:val="none"/>
        </w:rPr>
      </w:pPr>
    </w:p>
    <w:p>
      <w:pPr>
        <w:tabs>
          <w:tab w:val="left" w:pos="2505"/>
          <w:tab w:val="center" w:pos="4204"/>
        </w:tabs>
        <w:jc w:val="center"/>
        <w:rPr>
          <w:rFonts w:ascii="宋体" w:hAnsi="宋体"/>
          <w:b/>
          <w:color w:val="auto"/>
          <w:sz w:val="52"/>
          <w:szCs w:val="52"/>
          <w:highlight w:val="none"/>
        </w:rPr>
      </w:pPr>
    </w:p>
    <w:p>
      <w:pPr>
        <w:tabs>
          <w:tab w:val="left" w:pos="2505"/>
          <w:tab w:val="center" w:pos="4204"/>
        </w:tabs>
        <w:jc w:val="center"/>
        <w:rPr>
          <w:rFonts w:ascii="宋体" w:hAnsi="宋体"/>
          <w:b/>
          <w:color w:val="auto"/>
          <w:sz w:val="52"/>
          <w:szCs w:val="52"/>
          <w:highlight w:val="none"/>
        </w:rPr>
      </w:pPr>
      <w:r>
        <w:rPr>
          <w:rFonts w:hint="eastAsia" w:ascii="宋体" w:hAnsi="宋体"/>
          <w:b/>
          <w:color w:val="auto"/>
          <w:sz w:val="52"/>
          <w:szCs w:val="52"/>
          <w:highlight w:val="none"/>
        </w:rPr>
        <w:t>招</w:t>
      </w:r>
    </w:p>
    <w:p>
      <w:pPr>
        <w:jc w:val="center"/>
        <w:rPr>
          <w:rFonts w:ascii="宋体" w:hAnsi="宋体"/>
          <w:b/>
          <w:color w:val="auto"/>
          <w:sz w:val="52"/>
          <w:szCs w:val="52"/>
          <w:highlight w:val="none"/>
        </w:rPr>
      </w:pPr>
      <w:r>
        <w:rPr>
          <w:rFonts w:hint="eastAsia" w:ascii="宋体" w:hAnsi="宋体"/>
          <w:b/>
          <w:color w:val="auto"/>
          <w:sz w:val="52"/>
          <w:szCs w:val="52"/>
          <w:highlight w:val="none"/>
        </w:rPr>
        <w:t>标</w:t>
      </w:r>
    </w:p>
    <w:p>
      <w:pPr>
        <w:jc w:val="center"/>
        <w:rPr>
          <w:rFonts w:ascii="宋体" w:hAnsi="宋体"/>
          <w:b/>
          <w:color w:val="auto"/>
          <w:sz w:val="52"/>
          <w:szCs w:val="52"/>
          <w:highlight w:val="none"/>
        </w:rPr>
      </w:pPr>
      <w:r>
        <w:rPr>
          <w:rFonts w:hint="eastAsia" w:ascii="宋体" w:hAnsi="宋体"/>
          <w:b/>
          <w:color w:val="auto"/>
          <w:sz w:val="52"/>
          <w:szCs w:val="52"/>
          <w:highlight w:val="none"/>
        </w:rPr>
        <w:t>文</w:t>
      </w:r>
    </w:p>
    <w:p>
      <w:pPr>
        <w:jc w:val="center"/>
        <w:rPr>
          <w:rFonts w:ascii="宋体" w:hAnsi="宋体"/>
          <w:b/>
          <w:color w:val="auto"/>
          <w:sz w:val="52"/>
          <w:szCs w:val="52"/>
          <w:highlight w:val="none"/>
        </w:rPr>
      </w:pPr>
      <w:r>
        <w:rPr>
          <w:rFonts w:hint="eastAsia" w:ascii="宋体" w:hAnsi="宋体"/>
          <w:b/>
          <w:color w:val="auto"/>
          <w:sz w:val="52"/>
          <w:szCs w:val="52"/>
          <w:highlight w:val="none"/>
        </w:rPr>
        <w:t>件</w:t>
      </w:r>
    </w:p>
    <w:p>
      <w:pPr>
        <w:spacing w:line="360" w:lineRule="auto"/>
        <w:rPr>
          <w:rFonts w:ascii="宋体" w:hAnsi="宋体"/>
          <w:b/>
          <w:color w:val="auto"/>
          <w:sz w:val="32"/>
          <w:szCs w:val="32"/>
          <w:highlight w:val="none"/>
        </w:rPr>
      </w:pPr>
    </w:p>
    <w:p>
      <w:pPr>
        <w:pStyle w:val="2"/>
        <w:rPr>
          <w:color w:val="auto"/>
          <w:highlight w:val="none"/>
        </w:rPr>
      </w:pP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中国·四川</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成都市绿化工程队</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成都一问工程技术咨询有限公司</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共同编制</w:t>
      </w:r>
    </w:p>
    <w:p>
      <w:pPr>
        <w:spacing w:line="360" w:lineRule="auto"/>
        <w:jc w:val="center"/>
        <w:rPr>
          <w:rFonts w:ascii="宋体" w:hAnsi="宋体"/>
          <w:color w:val="auto"/>
          <w:sz w:val="24"/>
          <w:highlight w:val="none"/>
        </w:rPr>
      </w:pPr>
      <w:r>
        <w:rPr>
          <w:rFonts w:hint="eastAsia" w:ascii="宋体" w:hAnsi="宋体"/>
          <w:b/>
          <w:bCs/>
          <w:color w:val="auto"/>
          <w:sz w:val="32"/>
          <w:szCs w:val="32"/>
          <w:highlight w:val="none"/>
          <w:u w:val="single"/>
        </w:rPr>
        <w:t>2021</w:t>
      </w:r>
      <w:r>
        <w:rPr>
          <w:rFonts w:ascii="宋体" w:hAnsi="宋体"/>
          <w:b/>
          <w:bCs/>
          <w:color w:val="auto"/>
          <w:sz w:val="32"/>
          <w:szCs w:val="32"/>
          <w:highlight w:val="none"/>
          <w:lang w:val="zh-CN"/>
        </w:rPr>
        <w:t>年</w:t>
      </w:r>
      <w:r>
        <w:rPr>
          <w:rFonts w:hint="eastAsia" w:ascii="宋体" w:hAnsi="宋体"/>
          <w:b/>
          <w:bCs/>
          <w:color w:val="auto"/>
          <w:sz w:val="32"/>
          <w:szCs w:val="32"/>
          <w:highlight w:val="none"/>
          <w:u w:val="single"/>
        </w:rPr>
        <w:t>6</w:t>
      </w:r>
      <w:r>
        <w:rPr>
          <w:rFonts w:ascii="宋体" w:hAnsi="宋体"/>
          <w:b/>
          <w:bCs/>
          <w:color w:val="auto"/>
          <w:sz w:val="32"/>
          <w:szCs w:val="32"/>
          <w:highlight w:val="none"/>
          <w:lang w:val="zh-CN"/>
        </w:rPr>
        <w:t>月</w:t>
      </w:r>
    </w:p>
    <w:p>
      <w:pPr>
        <w:spacing w:line="400" w:lineRule="exact"/>
        <w:rPr>
          <w:rFonts w:ascii="宋体" w:hAnsi="宋体"/>
          <w:color w:val="auto"/>
          <w:sz w:val="32"/>
          <w:highlight w:val="none"/>
        </w:rPr>
        <w:sectPr>
          <w:footerReference r:id="rId7" w:type="first"/>
          <w:headerReference r:id="rId3" w:type="default"/>
          <w:footerReference r:id="rId5" w:type="default"/>
          <w:headerReference r:id="rId4" w:type="even"/>
          <w:footerReference r:id="rId6" w:type="even"/>
          <w:pgSz w:w="11907" w:h="16840"/>
          <w:pgMar w:top="1418" w:right="1514" w:bottom="1418" w:left="1985" w:header="851" w:footer="992" w:gutter="0"/>
          <w:pgNumType w:start="0"/>
          <w:cols w:space="720" w:num="1"/>
          <w:docGrid w:linePitch="312" w:charSpace="0"/>
        </w:sectPr>
      </w:pPr>
    </w:p>
    <w:p>
      <w:pPr>
        <w:jc w:val="center"/>
        <w:rPr>
          <w:rFonts w:ascii="宋体" w:hAnsi="宋体"/>
          <w:b/>
          <w:bCs/>
          <w:color w:val="auto"/>
          <w:sz w:val="36"/>
          <w:szCs w:val="36"/>
          <w:highlight w:val="none"/>
        </w:rPr>
      </w:pPr>
      <w:bookmarkStart w:id="0" w:name="_Hlt101843627"/>
      <w:bookmarkEnd w:id="0"/>
      <w:bookmarkStart w:id="1" w:name="_Hlt101233737"/>
      <w:bookmarkEnd w:id="1"/>
      <w:r>
        <w:rPr>
          <w:rFonts w:hint="eastAsia" w:ascii="宋体" w:hAnsi="宋体"/>
          <w:b/>
          <w:bCs/>
          <w:color w:val="auto"/>
          <w:sz w:val="36"/>
          <w:szCs w:val="36"/>
          <w:highlight w:val="none"/>
        </w:rPr>
        <w:t>目    录</w:t>
      </w:r>
    </w:p>
    <w:p>
      <w:pPr>
        <w:spacing w:line="640" w:lineRule="exact"/>
        <w:jc w:val="center"/>
        <w:rPr>
          <w:rFonts w:ascii="宋体" w:hAnsi="宋体"/>
          <w:b/>
          <w:bCs/>
          <w:color w:val="auto"/>
          <w:sz w:val="24"/>
          <w:highlight w:val="none"/>
        </w:rPr>
      </w:pPr>
    </w:p>
    <w:p>
      <w:pPr>
        <w:pStyle w:val="20"/>
        <w:tabs>
          <w:tab w:val="right" w:leader="dot" w:pos="8949"/>
        </w:tabs>
        <w:spacing w:line="480" w:lineRule="auto"/>
        <w:rPr>
          <w:rFonts w:ascii="宋体" w:hAnsi="宋体" w:cstheme="minorBidi"/>
          <w:color w:val="auto"/>
          <w:sz w:val="24"/>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"1-1" \h \u </w:instrText>
      </w:r>
      <w:r>
        <w:rPr>
          <w:rFonts w:hint="eastAsia" w:ascii="宋体" w:hAnsi="宋体" w:cs="宋体"/>
          <w:color w:val="auto"/>
          <w:sz w:val="28"/>
          <w:szCs w:val="28"/>
          <w:highlight w:val="none"/>
        </w:rPr>
        <w:fldChar w:fldCharType="separate"/>
      </w:r>
      <w:r>
        <w:rPr>
          <w:color w:val="auto"/>
          <w:highlight w:val="none"/>
        </w:rPr>
        <w:fldChar w:fldCharType="begin"/>
      </w:r>
      <w:r>
        <w:rPr>
          <w:color w:val="auto"/>
          <w:highlight w:val="none"/>
        </w:rPr>
        <w:instrText xml:space="preserve"> HYPERLINK \l "_Toc56539468" </w:instrText>
      </w:r>
      <w:r>
        <w:rPr>
          <w:color w:val="auto"/>
          <w:highlight w:val="none"/>
        </w:rPr>
        <w:fldChar w:fldCharType="separate"/>
      </w:r>
      <w:r>
        <w:rPr>
          <w:rStyle w:val="35"/>
          <w:rFonts w:hint="eastAsia" w:ascii="宋体" w:hAnsi="宋体"/>
          <w:color w:val="auto"/>
          <w:sz w:val="24"/>
          <w:highlight w:val="none"/>
        </w:rPr>
        <w:t>第一章</w:t>
      </w:r>
      <w:r>
        <w:rPr>
          <w:rStyle w:val="35"/>
          <w:rFonts w:ascii="宋体" w:hAnsi="宋体"/>
          <w:color w:val="auto"/>
          <w:sz w:val="24"/>
          <w:highlight w:val="none"/>
        </w:rPr>
        <w:t xml:space="preserve">  </w:t>
      </w:r>
      <w:r>
        <w:rPr>
          <w:rStyle w:val="35"/>
          <w:rFonts w:hint="eastAsia" w:ascii="宋体" w:hAnsi="宋体"/>
          <w:color w:val="auto"/>
          <w:sz w:val="24"/>
          <w:highlight w:val="none"/>
        </w:rPr>
        <w:t>招标公告</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_Toc56539468 \h </w:instrText>
      </w:r>
      <w:r>
        <w:rPr>
          <w:rFonts w:ascii="宋体" w:hAnsi="宋体"/>
          <w:color w:val="auto"/>
          <w:sz w:val="24"/>
          <w:highlight w:val="none"/>
        </w:rPr>
        <w:fldChar w:fldCharType="separate"/>
      </w:r>
      <w:r>
        <w:rPr>
          <w:rFonts w:ascii="宋体" w:hAnsi="宋体"/>
          <w:color w:val="auto"/>
          <w:sz w:val="24"/>
          <w:highlight w:val="none"/>
        </w:rPr>
        <w:t>1</w:t>
      </w:r>
      <w:r>
        <w:rPr>
          <w:rFonts w:ascii="宋体" w:hAnsi="宋体"/>
          <w:color w:val="auto"/>
          <w:sz w:val="24"/>
          <w:highlight w:val="none"/>
        </w:rPr>
        <w:fldChar w:fldCharType="end"/>
      </w:r>
      <w:r>
        <w:rPr>
          <w:rFonts w:ascii="宋体" w:hAnsi="宋体"/>
          <w:color w:val="auto"/>
          <w:sz w:val="24"/>
          <w:highlight w:val="none"/>
        </w:rPr>
        <w:fldChar w:fldCharType="end"/>
      </w:r>
    </w:p>
    <w:p>
      <w:pPr>
        <w:pStyle w:val="20"/>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"_Toc56539469" </w:instrText>
      </w:r>
      <w:r>
        <w:rPr>
          <w:color w:val="auto"/>
          <w:highlight w:val="none"/>
        </w:rPr>
        <w:fldChar w:fldCharType="separate"/>
      </w:r>
      <w:r>
        <w:rPr>
          <w:rStyle w:val="35"/>
          <w:rFonts w:hint="eastAsia" w:ascii="宋体" w:hAnsi="宋体"/>
          <w:color w:val="auto"/>
          <w:sz w:val="24"/>
          <w:highlight w:val="none"/>
        </w:rPr>
        <w:t>第二章</w:t>
      </w:r>
      <w:r>
        <w:rPr>
          <w:rStyle w:val="35"/>
          <w:rFonts w:ascii="宋体" w:hAnsi="宋体"/>
          <w:color w:val="auto"/>
          <w:sz w:val="24"/>
          <w:highlight w:val="none"/>
        </w:rPr>
        <w:t xml:space="preserve">  </w:t>
      </w:r>
      <w:r>
        <w:rPr>
          <w:rStyle w:val="35"/>
          <w:rFonts w:hint="eastAsia" w:ascii="宋体" w:hAnsi="宋体"/>
          <w:color w:val="auto"/>
          <w:sz w:val="24"/>
          <w:highlight w:val="none"/>
        </w:rPr>
        <w:t>投标人须知</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_Toc56539469 \h </w:instrText>
      </w:r>
      <w:r>
        <w:rPr>
          <w:rFonts w:ascii="宋体" w:hAnsi="宋体"/>
          <w:color w:val="auto"/>
          <w:sz w:val="24"/>
          <w:highlight w:val="none"/>
        </w:rPr>
        <w:fldChar w:fldCharType="separate"/>
      </w:r>
      <w:r>
        <w:rPr>
          <w:rFonts w:ascii="宋体" w:hAnsi="宋体"/>
          <w:color w:val="auto"/>
          <w:sz w:val="24"/>
          <w:highlight w:val="none"/>
        </w:rPr>
        <w:t>3</w:t>
      </w:r>
      <w:r>
        <w:rPr>
          <w:rFonts w:ascii="宋体" w:hAnsi="宋体"/>
          <w:color w:val="auto"/>
          <w:sz w:val="24"/>
          <w:highlight w:val="none"/>
        </w:rPr>
        <w:fldChar w:fldCharType="end"/>
      </w:r>
      <w:r>
        <w:rPr>
          <w:rFonts w:ascii="宋体" w:hAnsi="宋体"/>
          <w:color w:val="auto"/>
          <w:sz w:val="24"/>
          <w:highlight w:val="none"/>
        </w:rPr>
        <w:fldChar w:fldCharType="end"/>
      </w:r>
    </w:p>
    <w:p>
      <w:pPr>
        <w:pStyle w:val="20"/>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"_Toc56539470" </w:instrText>
      </w:r>
      <w:r>
        <w:rPr>
          <w:color w:val="auto"/>
          <w:highlight w:val="none"/>
        </w:rPr>
        <w:fldChar w:fldCharType="separate"/>
      </w:r>
      <w:r>
        <w:rPr>
          <w:rStyle w:val="35"/>
          <w:rFonts w:hint="eastAsia" w:ascii="宋体" w:hAnsi="宋体"/>
          <w:color w:val="auto"/>
          <w:sz w:val="24"/>
          <w:highlight w:val="none"/>
        </w:rPr>
        <w:t>第三章</w:t>
      </w:r>
      <w:r>
        <w:rPr>
          <w:rStyle w:val="35"/>
          <w:rFonts w:ascii="宋体" w:hAnsi="宋体"/>
          <w:color w:val="auto"/>
          <w:sz w:val="24"/>
          <w:highlight w:val="none"/>
        </w:rPr>
        <w:t xml:space="preserve">  </w:t>
      </w:r>
      <w:r>
        <w:rPr>
          <w:rStyle w:val="35"/>
          <w:rFonts w:hint="eastAsia" w:ascii="宋体" w:hAnsi="宋体"/>
          <w:color w:val="auto"/>
          <w:sz w:val="24"/>
          <w:highlight w:val="none"/>
        </w:rPr>
        <w:t>投标文件格式</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_Toc56539470 \h </w:instrText>
      </w:r>
      <w:r>
        <w:rPr>
          <w:rFonts w:ascii="宋体" w:hAnsi="宋体"/>
          <w:color w:val="auto"/>
          <w:sz w:val="24"/>
          <w:highlight w:val="none"/>
        </w:rPr>
        <w:fldChar w:fldCharType="separate"/>
      </w:r>
      <w:r>
        <w:rPr>
          <w:rFonts w:ascii="宋体" w:hAnsi="宋体"/>
          <w:color w:val="auto"/>
          <w:sz w:val="24"/>
          <w:highlight w:val="none"/>
        </w:rPr>
        <w:t>17</w:t>
      </w:r>
      <w:r>
        <w:rPr>
          <w:rFonts w:ascii="宋体" w:hAnsi="宋体"/>
          <w:color w:val="auto"/>
          <w:sz w:val="24"/>
          <w:highlight w:val="none"/>
        </w:rPr>
        <w:fldChar w:fldCharType="end"/>
      </w:r>
      <w:r>
        <w:rPr>
          <w:rFonts w:ascii="宋体" w:hAnsi="宋体"/>
          <w:color w:val="auto"/>
          <w:sz w:val="24"/>
          <w:highlight w:val="none"/>
        </w:rPr>
        <w:fldChar w:fldCharType="end"/>
      </w:r>
    </w:p>
    <w:p>
      <w:pPr>
        <w:pStyle w:val="20"/>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"_Toc56539471" </w:instrText>
      </w:r>
      <w:r>
        <w:rPr>
          <w:color w:val="auto"/>
          <w:highlight w:val="none"/>
        </w:rPr>
        <w:fldChar w:fldCharType="separate"/>
      </w:r>
      <w:r>
        <w:rPr>
          <w:rStyle w:val="35"/>
          <w:rFonts w:hint="eastAsia" w:ascii="宋体" w:hAnsi="宋体"/>
          <w:color w:val="auto"/>
          <w:sz w:val="24"/>
          <w:highlight w:val="none"/>
        </w:rPr>
        <w:t>第四章</w:t>
      </w:r>
      <w:r>
        <w:rPr>
          <w:rStyle w:val="35"/>
          <w:rFonts w:ascii="宋体" w:hAnsi="宋体"/>
          <w:color w:val="auto"/>
          <w:sz w:val="24"/>
          <w:highlight w:val="none"/>
        </w:rPr>
        <w:t xml:space="preserve">  </w:t>
      </w:r>
      <w:r>
        <w:rPr>
          <w:rStyle w:val="35"/>
          <w:rFonts w:hint="eastAsia" w:ascii="宋体" w:hAnsi="宋体"/>
          <w:color w:val="auto"/>
          <w:sz w:val="24"/>
          <w:highlight w:val="none"/>
        </w:rPr>
        <w:t>投标人的资格、资质性及其他类似效力要求</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_Toc56539471 \h </w:instrText>
      </w:r>
      <w:r>
        <w:rPr>
          <w:rFonts w:ascii="宋体" w:hAnsi="宋体"/>
          <w:color w:val="auto"/>
          <w:sz w:val="24"/>
          <w:highlight w:val="none"/>
        </w:rPr>
        <w:fldChar w:fldCharType="separate"/>
      </w:r>
      <w:r>
        <w:rPr>
          <w:rFonts w:ascii="宋体" w:hAnsi="宋体"/>
          <w:color w:val="auto"/>
          <w:sz w:val="24"/>
          <w:highlight w:val="none"/>
        </w:rPr>
        <w:t>55</w:t>
      </w:r>
      <w:r>
        <w:rPr>
          <w:rFonts w:ascii="宋体" w:hAnsi="宋体"/>
          <w:color w:val="auto"/>
          <w:sz w:val="24"/>
          <w:highlight w:val="none"/>
        </w:rPr>
        <w:fldChar w:fldCharType="end"/>
      </w:r>
      <w:r>
        <w:rPr>
          <w:rFonts w:ascii="宋体" w:hAnsi="宋体"/>
          <w:color w:val="auto"/>
          <w:sz w:val="24"/>
          <w:highlight w:val="none"/>
        </w:rPr>
        <w:fldChar w:fldCharType="end"/>
      </w:r>
    </w:p>
    <w:p>
      <w:pPr>
        <w:pStyle w:val="20"/>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"_Toc56539472" </w:instrText>
      </w:r>
      <w:r>
        <w:rPr>
          <w:color w:val="auto"/>
          <w:highlight w:val="none"/>
        </w:rPr>
        <w:fldChar w:fldCharType="separate"/>
      </w:r>
      <w:r>
        <w:rPr>
          <w:rStyle w:val="35"/>
          <w:rFonts w:hint="eastAsia" w:ascii="宋体" w:hAnsi="宋体"/>
          <w:color w:val="auto"/>
          <w:sz w:val="24"/>
          <w:highlight w:val="none"/>
        </w:rPr>
        <w:t>第五章</w:t>
      </w:r>
      <w:r>
        <w:rPr>
          <w:rStyle w:val="35"/>
          <w:rFonts w:ascii="宋体" w:hAnsi="宋体"/>
          <w:color w:val="auto"/>
          <w:sz w:val="24"/>
          <w:highlight w:val="none"/>
        </w:rPr>
        <w:t xml:space="preserve">  </w:t>
      </w:r>
      <w:r>
        <w:rPr>
          <w:rStyle w:val="35"/>
          <w:rFonts w:hint="eastAsia" w:ascii="宋体" w:hAnsi="宋体"/>
          <w:color w:val="auto"/>
          <w:sz w:val="24"/>
          <w:highlight w:val="none"/>
        </w:rPr>
        <w:t>投标人应当提供的资格、资质性及其他类似效力要求的相关证明材料</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_Toc56539472 \h </w:instrText>
      </w:r>
      <w:r>
        <w:rPr>
          <w:rFonts w:ascii="宋体" w:hAnsi="宋体"/>
          <w:color w:val="auto"/>
          <w:sz w:val="24"/>
          <w:highlight w:val="none"/>
        </w:rPr>
        <w:fldChar w:fldCharType="separate"/>
      </w:r>
      <w:r>
        <w:rPr>
          <w:rFonts w:ascii="宋体" w:hAnsi="宋体"/>
          <w:color w:val="auto"/>
          <w:sz w:val="24"/>
          <w:highlight w:val="none"/>
        </w:rPr>
        <w:t>56</w:t>
      </w:r>
      <w:r>
        <w:rPr>
          <w:rFonts w:ascii="宋体" w:hAnsi="宋体"/>
          <w:color w:val="auto"/>
          <w:sz w:val="24"/>
          <w:highlight w:val="none"/>
        </w:rPr>
        <w:fldChar w:fldCharType="end"/>
      </w:r>
      <w:r>
        <w:rPr>
          <w:rFonts w:ascii="宋体" w:hAnsi="宋体"/>
          <w:color w:val="auto"/>
          <w:sz w:val="24"/>
          <w:highlight w:val="none"/>
        </w:rPr>
        <w:fldChar w:fldCharType="end"/>
      </w:r>
    </w:p>
    <w:p>
      <w:pPr>
        <w:pStyle w:val="20"/>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"_Toc56539473" </w:instrText>
      </w:r>
      <w:r>
        <w:rPr>
          <w:color w:val="auto"/>
          <w:highlight w:val="none"/>
        </w:rPr>
        <w:fldChar w:fldCharType="separate"/>
      </w:r>
      <w:r>
        <w:rPr>
          <w:rStyle w:val="35"/>
          <w:rFonts w:hint="eastAsia" w:ascii="宋体" w:hAnsi="宋体"/>
          <w:color w:val="auto"/>
          <w:sz w:val="24"/>
          <w:highlight w:val="none"/>
        </w:rPr>
        <w:t>第六章</w:t>
      </w:r>
      <w:r>
        <w:rPr>
          <w:rStyle w:val="35"/>
          <w:rFonts w:ascii="宋体" w:hAnsi="宋体"/>
          <w:color w:val="auto"/>
          <w:sz w:val="24"/>
          <w:highlight w:val="none"/>
        </w:rPr>
        <w:t xml:space="preserve">  </w:t>
      </w:r>
      <w:r>
        <w:rPr>
          <w:rStyle w:val="35"/>
          <w:rFonts w:hint="eastAsia" w:ascii="宋体" w:hAnsi="宋体"/>
          <w:color w:val="auto"/>
          <w:sz w:val="24"/>
          <w:highlight w:val="none"/>
        </w:rPr>
        <w:t>招标项目技术、服务、政府采购合同内容条款及其他商务要求</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_Toc56539473 \h </w:instrText>
      </w:r>
      <w:r>
        <w:rPr>
          <w:rFonts w:ascii="宋体" w:hAnsi="宋体"/>
          <w:color w:val="auto"/>
          <w:sz w:val="24"/>
          <w:highlight w:val="none"/>
        </w:rPr>
        <w:fldChar w:fldCharType="separate"/>
      </w:r>
      <w:r>
        <w:rPr>
          <w:rFonts w:ascii="宋体" w:hAnsi="宋体"/>
          <w:color w:val="auto"/>
          <w:sz w:val="24"/>
          <w:highlight w:val="none"/>
        </w:rPr>
        <w:t>58</w:t>
      </w:r>
      <w:r>
        <w:rPr>
          <w:rFonts w:ascii="宋体" w:hAnsi="宋体"/>
          <w:color w:val="auto"/>
          <w:sz w:val="24"/>
          <w:highlight w:val="none"/>
        </w:rPr>
        <w:fldChar w:fldCharType="end"/>
      </w:r>
      <w:r>
        <w:rPr>
          <w:rFonts w:ascii="宋体" w:hAnsi="宋体"/>
          <w:color w:val="auto"/>
          <w:sz w:val="24"/>
          <w:highlight w:val="none"/>
        </w:rPr>
        <w:fldChar w:fldCharType="end"/>
      </w:r>
    </w:p>
    <w:p>
      <w:pPr>
        <w:pStyle w:val="20"/>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"_Toc56539474" </w:instrText>
      </w:r>
      <w:r>
        <w:rPr>
          <w:color w:val="auto"/>
          <w:highlight w:val="none"/>
        </w:rPr>
        <w:fldChar w:fldCharType="separate"/>
      </w:r>
      <w:r>
        <w:rPr>
          <w:rStyle w:val="35"/>
          <w:rFonts w:hint="eastAsia" w:ascii="宋体" w:hAnsi="宋体"/>
          <w:color w:val="auto"/>
          <w:sz w:val="24"/>
          <w:highlight w:val="none"/>
        </w:rPr>
        <w:t>第七章</w:t>
      </w:r>
      <w:r>
        <w:rPr>
          <w:rStyle w:val="35"/>
          <w:rFonts w:ascii="宋体" w:hAnsi="宋体"/>
          <w:color w:val="auto"/>
          <w:sz w:val="24"/>
          <w:highlight w:val="none"/>
        </w:rPr>
        <w:t xml:space="preserve">  </w:t>
      </w:r>
      <w:r>
        <w:rPr>
          <w:rStyle w:val="35"/>
          <w:rFonts w:hint="eastAsia" w:ascii="宋体" w:hAnsi="宋体"/>
          <w:color w:val="auto"/>
          <w:sz w:val="24"/>
          <w:highlight w:val="none"/>
        </w:rPr>
        <w:t>评标办法</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_Toc56539474 \h </w:instrText>
      </w:r>
      <w:r>
        <w:rPr>
          <w:rFonts w:ascii="宋体" w:hAnsi="宋体"/>
          <w:color w:val="auto"/>
          <w:sz w:val="24"/>
          <w:highlight w:val="none"/>
        </w:rPr>
        <w:fldChar w:fldCharType="separate"/>
      </w:r>
      <w:r>
        <w:rPr>
          <w:rFonts w:ascii="宋体" w:hAnsi="宋体"/>
          <w:color w:val="auto"/>
          <w:sz w:val="24"/>
          <w:highlight w:val="none"/>
        </w:rPr>
        <w:t>68</w:t>
      </w:r>
      <w:r>
        <w:rPr>
          <w:rFonts w:ascii="宋体" w:hAnsi="宋体"/>
          <w:color w:val="auto"/>
          <w:sz w:val="24"/>
          <w:highlight w:val="none"/>
        </w:rPr>
        <w:fldChar w:fldCharType="end"/>
      </w:r>
      <w:r>
        <w:rPr>
          <w:rFonts w:ascii="宋体" w:hAnsi="宋体"/>
          <w:color w:val="auto"/>
          <w:sz w:val="24"/>
          <w:highlight w:val="none"/>
        </w:rPr>
        <w:fldChar w:fldCharType="end"/>
      </w:r>
    </w:p>
    <w:p>
      <w:pPr>
        <w:pStyle w:val="20"/>
        <w:tabs>
          <w:tab w:val="right" w:leader="dot" w:pos="8949"/>
        </w:tabs>
        <w:spacing w:line="480" w:lineRule="auto"/>
        <w:rPr>
          <w:rFonts w:ascii="宋体" w:hAnsi="宋体" w:cstheme="minorBidi"/>
          <w:color w:val="auto"/>
          <w:sz w:val="28"/>
          <w:szCs w:val="28"/>
          <w:highlight w:val="none"/>
        </w:rPr>
      </w:pPr>
      <w:r>
        <w:rPr>
          <w:color w:val="auto"/>
          <w:highlight w:val="none"/>
        </w:rPr>
        <w:fldChar w:fldCharType="begin"/>
      </w:r>
      <w:r>
        <w:rPr>
          <w:color w:val="auto"/>
          <w:highlight w:val="none"/>
        </w:rPr>
        <w:instrText xml:space="preserve"> HYPERLINK \l "_Toc56539475" </w:instrText>
      </w:r>
      <w:r>
        <w:rPr>
          <w:color w:val="auto"/>
          <w:highlight w:val="none"/>
        </w:rPr>
        <w:fldChar w:fldCharType="separate"/>
      </w:r>
      <w:r>
        <w:rPr>
          <w:rStyle w:val="35"/>
          <w:rFonts w:hint="eastAsia" w:ascii="宋体" w:hAnsi="宋体" w:cs="宋体"/>
          <w:color w:val="auto"/>
          <w:sz w:val="24"/>
          <w:highlight w:val="none"/>
        </w:rPr>
        <w:t>第八章</w:t>
      </w:r>
      <w:r>
        <w:rPr>
          <w:rStyle w:val="35"/>
          <w:rFonts w:ascii="宋体" w:hAnsi="宋体" w:cs="宋体"/>
          <w:color w:val="auto"/>
          <w:sz w:val="24"/>
          <w:highlight w:val="none"/>
        </w:rPr>
        <w:t xml:space="preserve">  </w:t>
      </w:r>
      <w:r>
        <w:rPr>
          <w:rStyle w:val="35"/>
          <w:rFonts w:hint="eastAsia" w:ascii="宋体" w:hAnsi="宋体" w:cs="宋体"/>
          <w:color w:val="auto"/>
          <w:sz w:val="24"/>
          <w:highlight w:val="none"/>
        </w:rPr>
        <w:t>政府采购合同（样例）</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_Toc56539475 \h </w:instrText>
      </w:r>
      <w:r>
        <w:rPr>
          <w:rFonts w:ascii="宋体" w:hAnsi="宋体"/>
          <w:color w:val="auto"/>
          <w:sz w:val="24"/>
          <w:highlight w:val="none"/>
        </w:rPr>
        <w:fldChar w:fldCharType="separate"/>
      </w:r>
      <w:r>
        <w:rPr>
          <w:rFonts w:ascii="宋体" w:hAnsi="宋体"/>
          <w:color w:val="auto"/>
          <w:sz w:val="24"/>
          <w:highlight w:val="none"/>
        </w:rPr>
        <w:t>77</w:t>
      </w:r>
      <w:r>
        <w:rPr>
          <w:rFonts w:ascii="宋体" w:hAnsi="宋体"/>
          <w:color w:val="auto"/>
          <w:sz w:val="24"/>
          <w:highlight w:val="none"/>
        </w:rPr>
        <w:fldChar w:fldCharType="end"/>
      </w:r>
      <w:r>
        <w:rPr>
          <w:rFonts w:ascii="宋体" w:hAnsi="宋体"/>
          <w:color w:val="auto"/>
          <w:sz w:val="24"/>
          <w:highlight w:val="none"/>
        </w:rPr>
        <w:fldChar w:fldCharType="end"/>
      </w:r>
    </w:p>
    <w:p>
      <w:pPr>
        <w:spacing w:line="480" w:lineRule="auto"/>
        <w:rPr>
          <w:rFonts w:ascii="宋体" w:hAnsi="宋体"/>
          <w:color w:val="auto"/>
          <w:sz w:val="24"/>
          <w:highlight w:val="none"/>
        </w:rPr>
        <w:sectPr>
          <w:footerReference r:id="rId9" w:type="first"/>
          <w:footerReference r:id="rId8" w:type="default"/>
          <w:pgSz w:w="11907" w:h="16840"/>
          <w:pgMar w:top="1440" w:right="1474" w:bottom="1440" w:left="1474" w:header="851" w:footer="992" w:gutter="0"/>
          <w:pgNumType w:start="1"/>
          <w:cols w:space="720" w:num="1"/>
          <w:titlePg/>
          <w:docGrid w:linePitch="312" w:charSpace="0"/>
        </w:sectPr>
      </w:pPr>
      <w:r>
        <w:rPr>
          <w:rFonts w:hint="eastAsia" w:ascii="宋体" w:hAnsi="宋体" w:cs="宋体"/>
          <w:color w:val="auto"/>
          <w:sz w:val="28"/>
          <w:szCs w:val="28"/>
          <w:highlight w:val="none"/>
        </w:rPr>
        <w:fldChar w:fldCharType="end"/>
      </w:r>
      <w:bookmarkStart w:id="2" w:name="_Toc24584"/>
    </w:p>
    <w:p>
      <w:pPr>
        <w:pStyle w:val="3"/>
        <w:spacing w:line="240" w:lineRule="atLeast"/>
        <w:jc w:val="center"/>
        <w:rPr>
          <w:rFonts w:ascii="宋体" w:hAnsi="宋体"/>
          <w:color w:val="auto"/>
          <w:sz w:val="36"/>
          <w:szCs w:val="36"/>
          <w:highlight w:val="none"/>
        </w:rPr>
      </w:pPr>
      <w:bookmarkStart w:id="3" w:name="_Toc56539468"/>
      <w:r>
        <w:rPr>
          <w:rFonts w:hint="eastAsia" w:ascii="宋体" w:hAnsi="宋体"/>
          <w:color w:val="auto"/>
          <w:sz w:val="36"/>
          <w:szCs w:val="36"/>
          <w:highlight w:val="none"/>
        </w:rPr>
        <w:t xml:space="preserve">第一章  </w:t>
      </w:r>
      <w:bookmarkEnd w:id="2"/>
      <w:r>
        <w:rPr>
          <w:rFonts w:hint="eastAsia" w:ascii="宋体" w:hAnsi="宋体"/>
          <w:color w:val="auto"/>
          <w:sz w:val="36"/>
          <w:szCs w:val="36"/>
          <w:highlight w:val="none"/>
        </w:rPr>
        <w:t>招标公告</w:t>
      </w:r>
      <w:bookmarkEnd w:id="3"/>
    </w:p>
    <w:p>
      <w:pPr>
        <w:rPr>
          <w:b/>
          <w:color w:val="auto"/>
          <w:sz w:val="24"/>
          <w:highlight w:val="none"/>
        </w:rPr>
      </w:pPr>
      <w:bookmarkStart w:id="4" w:name="_Toc35393621"/>
      <w:bookmarkStart w:id="5" w:name="_Toc35393790"/>
      <w:bookmarkStart w:id="6" w:name="_Toc28359002"/>
      <w:bookmarkStart w:id="7" w:name="_Toc28359079"/>
      <w:bookmarkStart w:id="8" w:name="_Hlk24379207"/>
      <w:r>
        <w:rPr>
          <w:rFonts w:hint="eastAsia"/>
          <w:b/>
          <w:color w:val="auto"/>
          <w:sz w:val="24"/>
          <w:highlight w:val="none"/>
        </w:rPr>
        <w:t>项目概况</w:t>
      </w:r>
    </w:p>
    <w:p>
      <w:pPr>
        <w:spacing w:line="400" w:lineRule="exact"/>
        <w:ind w:firstLine="480" w:firstLineChars="200"/>
        <w:rPr>
          <w:rFonts w:ascii="宋体" w:hAnsi="宋体"/>
          <w:b/>
          <w:color w:val="auto"/>
          <w:sz w:val="24"/>
          <w:highlight w:val="none"/>
        </w:rPr>
      </w:pPr>
      <w:r>
        <w:rPr>
          <w:rFonts w:hint="eastAsia" w:ascii="宋体" w:hAnsi="宋体"/>
          <w:color w:val="auto"/>
          <w:sz w:val="24"/>
          <w:highlight w:val="none"/>
          <w:u w:val="single"/>
        </w:rPr>
        <w:t>爱成都、迎大运-花重锦官城（二环路刃具立交桥区品质提升）材料采购项目</w:t>
      </w:r>
      <w:r>
        <w:rPr>
          <w:rFonts w:hint="eastAsia" w:ascii="宋体" w:hAnsi="宋体"/>
          <w:color w:val="auto"/>
          <w:sz w:val="24"/>
          <w:highlight w:val="none"/>
        </w:rPr>
        <w:t>(项目名称</w:t>
      </w:r>
      <w:r>
        <w:rPr>
          <w:rFonts w:ascii="宋体" w:hAnsi="宋体"/>
          <w:color w:val="auto"/>
          <w:sz w:val="24"/>
          <w:highlight w:val="none"/>
        </w:rPr>
        <w:t>)</w:t>
      </w:r>
      <w:r>
        <w:rPr>
          <w:rFonts w:hint="eastAsia" w:ascii="宋体" w:hAnsi="宋体"/>
          <w:color w:val="auto"/>
          <w:sz w:val="24"/>
          <w:highlight w:val="none"/>
        </w:rPr>
        <w:t>招标项目的潜在投标人应在</w:t>
      </w:r>
      <w:r>
        <w:rPr>
          <w:rFonts w:hint="eastAsia" w:ascii="宋体" w:hAnsi="宋体"/>
          <w:color w:val="auto"/>
          <w:sz w:val="24"/>
          <w:highlight w:val="none"/>
          <w:u w:val="single"/>
        </w:rPr>
        <w:t>成都市公共资源交易服务中心“政府采购云平台”</w:t>
      </w:r>
      <w:r>
        <w:rPr>
          <w:rFonts w:hint="eastAsia" w:ascii="宋体" w:hAnsi="宋体"/>
          <w:color w:val="auto"/>
          <w:sz w:val="24"/>
          <w:highlight w:val="none"/>
        </w:rPr>
        <w:t>（地址）获取招标文件，并于</w:t>
      </w:r>
      <w:r>
        <w:rPr>
          <w:rFonts w:hint="eastAsia" w:ascii="宋体" w:hAnsi="宋体"/>
          <w:color w:val="auto"/>
          <w:sz w:val="24"/>
          <w:highlight w:val="none"/>
          <w:u w:val="single"/>
        </w:rPr>
        <w:t>2021</w:t>
      </w:r>
      <w:r>
        <w:rPr>
          <w:rFonts w:hint="eastAsia" w:ascii="宋体" w:hAnsi="宋体"/>
          <w:bCs/>
          <w:color w:val="auto"/>
          <w:sz w:val="24"/>
          <w:highlight w:val="none"/>
          <w:u w:val="single"/>
        </w:rPr>
        <w:t>年7月20日10点30分</w:t>
      </w:r>
      <w:r>
        <w:rPr>
          <w:rFonts w:hint="eastAsia" w:ascii="宋体" w:hAnsi="宋体"/>
          <w:bCs/>
          <w:color w:val="auto"/>
          <w:sz w:val="24"/>
          <w:highlight w:val="none"/>
        </w:rPr>
        <w:t>（北京时间）前递交投标</w:t>
      </w:r>
      <w:r>
        <w:rPr>
          <w:rFonts w:ascii="宋体" w:hAnsi="宋体"/>
          <w:bCs/>
          <w:color w:val="auto"/>
          <w:sz w:val="24"/>
          <w:highlight w:val="none"/>
        </w:rPr>
        <w:t>文件</w:t>
      </w:r>
      <w:r>
        <w:rPr>
          <w:rFonts w:hint="eastAsia" w:ascii="宋体" w:hAnsi="宋体"/>
          <w:color w:val="auto"/>
          <w:sz w:val="24"/>
          <w:highlight w:val="none"/>
        </w:rPr>
        <w:t>。</w:t>
      </w:r>
    </w:p>
    <w:p>
      <w:pPr>
        <w:spacing w:line="400" w:lineRule="exact"/>
        <w:rPr>
          <w:rFonts w:ascii="宋体" w:hAnsi="宋体"/>
          <w:b/>
          <w:color w:val="auto"/>
          <w:sz w:val="24"/>
          <w:highlight w:val="none"/>
        </w:rPr>
      </w:pPr>
      <w:r>
        <w:rPr>
          <w:rFonts w:hint="eastAsia" w:ascii="宋体" w:hAnsi="宋体"/>
          <w:b/>
          <w:color w:val="auto"/>
          <w:sz w:val="24"/>
          <w:highlight w:val="none"/>
        </w:rPr>
        <w:t>一、项目基本情况</w:t>
      </w:r>
      <w:bookmarkEnd w:id="4"/>
      <w:bookmarkEnd w:id="5"/>
      <w:bookmarkEnd w:id="6"/>
      <w:bookmarkEnd w:id="7"/>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项目编号：510101202100716</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项目名称：</w:t>
      </w:r>
      <w:bookmarkEnd w:id="8"/>
      <w:r>
        <w:rPr>
          <w:rFonts w:hint="eastAsia" w:ascii="宋体" w:hAnsi="宋体"/>
          <w:color w:val="auto"/>
          <w:sz w:val="24"/>
          <w:highlight w:val="none"/>
          <w:u w:val="single"/>
        </w:rPr>
        <w:t>爱成都、迎大运-花重锦官城（二环路刃具立交桥区品质提升）材料采购项目</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预算金额：</w:t>
      </w:r>
      <w:r>
        <w:rPr>
          <w:rFonts w:hint="eastAsia" w:ascii="宋体" w:hAnsi="宋体"/>
          <w:color w:val="auto"/>
          <w:sz w:val="24"/>
          <w:highlight w:val="none"/>
          <w:u w:val="single"/>
        </w:rPr>
        <w:t xml:space="preserve"> 119万元  </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最高限价：</w:t>
      </w:r>
      <w:r>
        <w:rPr>
          <w:rFonts w:hint="eastAsia" w:ascii="宋体" w:hAnsi="宋体"/>
          <w:color w:val="auto"/>
          <w:sz w:val="24"/>
          <w:highlight w:val="none"/>
          <w:u w:val="single"/>
        </w:rPr>
        <w:t xml:space="preserve"> 1189746.75元，单价限价详见第六章。  </w:t>
      </w:r>
    </w:p>
    <w:p>
      <w:pPr>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采购需求：</w:t>
      </w:r>
      <w:r>
        <w:rPr>
          <w:rFonts w:hint="eastAsia" w:ascii="宋体" w:hAnsi="宋体"/>
          <w:color w:val="auto"/>
          <w:sz w:val="24"/>
          <w:highlight w:val="none"/>
          <w:u w:val="single"/>
        </w:rPr>
        <w:t xml:space="preserve"> 本项目采购爱成都、迎大运-花重锦官城（二环路刃具立交桥区品质提升）材料（具体详见招标文件第六章）。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本项目不接受联合体投标。</w:t>
      </w:r>
    </w:p>
    <w:p>
      <w:pPr>
        <w:spacing w:line="400" w:lineRule="exact"/>
        <w:rPr>
          <w:rFonts w:ascii="宋体" w:hAnsi="宋体"/>
          <w:b/>
          <w:color w:val="auto"/>
          <w:sz w:val="24"/>
          <w:highlight w:val="none"/>
        </w:rPr>
      </w:pPr>
      <w:bookmarkStart w:id="9" w:name="_Toc35393622"/>
      <w:bookmarkStart w:id="10" w:name="_Toc35393791"/>
      <w:bookmarkStart w:id="11" w:name="_Toc28359003"/>
      <w:bookmarkStart w:id="12" w:name="_Toc28359080"/>
      <w:r>
        <w:rPr>
          <w:rFonts w:hint="eastAsia" w:ascii="宋体" w:hAnsi="宋体"/>
          <w:b/>
          <w:color w:val="auto"/>
          <w:sz w:val="24"/>
          <w:highlight w:val="none"/>
        </w:rPr>
        <w:t>二、申请人的资格要求：</w:t>
      </w:r>
      <w:bookmarkEnd w:id="9"/>
      <w:bookmarkEnd w:id="10"/>
      <w:bookmarkEnd w:id="11"/>
      <w:bookmarkEnd w:id="12"/>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1.满足《中华人民共和国政府采购法》第二十二条规定；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(1)具有独立承担民事责任的能力；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(2)具有良好的商业信誉和健全的财务会计制度；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(3)具有履行合同所必须的设备和专业技术能力；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(4)具有依法缴纳税收和社会保障资金的良好记录；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(6)符合法律、行政法规规定的其他条件；</w:t>
      </w:r>
    </w:p>
    <w:p>
      <w:pPr>
        <w:spacing w:line="400" w:lineRule="exact"/>
        <w:ind w:firstLine="480" w:firstLineChars="200"/>
        <w:rPr>
          <w:rFonts w:ascii="宋体" w:hAnsi="宋体"/>
          <w:color w:val="auto"/>
          <w:sz w:val="24"/>
          <w:highlight w:val="none"/>
        </w:rPr>
      </w:pPr>
      <w:bookmarkStart w:id="13" w:name="_Toc28359081"/>
      <w:bookmarkStart w:id="14" w:name="_Toc28359004"/>
      <w:r>
        <w:rPr>
          <w:rFonts w:hint="eastAsia" w:ascii="宋体" w:hAnsi="宋体"/>
          <w:color w:val="auto"/>
          <w:sz w:val="24"/>
          <w:highlight w:val="none"/>
        </w:rPr>
        <w:t>2.落实政府采购政策需满足的资格要求：无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3.本项目的特定资格要求：无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4.根据采购项目提出的其他资格条件：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（1）具有有效的《林木种子经营许可证》和《林木种子生产许可证》,或《林木种子生产经营许可证》。</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(2)投标人单位及其法定代表人/主要负责人在参加本项目采购活动前三年无行贿犯罪记录。</w:t>
      </w:r>
    </w:p>
    <w:p>
      <w:pPr>
        <w:spacing w:line="400" w:lineRule="exact"/>
        <w:rPr>
          <w:rFonts w:ascii="宋体" w:hAnsi="宋体"/>
          <w:b/>
          <w:color w:val="auto"/>
          <w:sz w:val="24"/>
          <w:highlight w:val="none"/>
        </w:rPr>
      </w:pPr>
      <w:bookmarkStart w:id="15" w:name="_Toc35393792"/>
      <w:bookmarkStart w:id="16" w:name="_Toc35393623"/>
      <w:r>
        <w:rPr>
          <w:rFonts w:hint="eastAsia" w:ascii="宋体" w:hAnsi="宋体"/>
          <w:b/>
          <w:color w:val="auto"/>
          <w:sz w:val="24"/>
          <w:highlight w:val="none"/>
        </w:rPr>
        <w:t>三、获取招标文件</w:t>
      </w:r>
      <w:bookmarkEnd w:id="13"/>
      <w:bookmarkEnd w:id="14"/>
      <w:bookmarkEnd w:id="15"/>
      <w:bookmarkEnd w:id="16"/>
    </w:p>
    <w:p>
      <w:pPr>
        <w:spacing w:line="400" w:lineRule="exact"/>
        <w:ind w:firstLine="540"/>
        <w:rPr>
          <w:rFonts w:ascii="宋体" w:hAnsi="宋体" w:cs="宋体"/>
          <w:color w:val="auto"/>
          <w:sz w:val="24"/>
          <w:highlight w:val="none"/>
        </w:rPr>
      </w:pPr>
      <w:r>
        <w:rPr>
          <w:rFonts w:hint="eastAsia" w:ascii="宋体" w:hAnsi="宋体" w:cs="宋体"/>
          <w:color w:val="auto"/>
          <w:sz w:val="24"/>
          <w:highlight w:val="none"/>
        </w:rPr>
        <w:t>时间：</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2021年6月2</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日</w:t>
      </w:r>
      <w:r>
        <w:rPr>
          <w:rFonts w:hint="eastAsia" w:ascii="宋体" w:hAnsi="宋体" w:cs="宋体"/>
          <w:color w:val="auto"/>
          <w:sz w:val="24"/>
          <w:highlight w:val="none"/>
        </w:rPr>
        <w:t>至</w:t>
      </w:r>
      <w:r>
        <w:rPr>
          <w:rFonts w:hint="eastAsia" w:ascii="宋体" w:hAnsi="宋体" w:cs="宋体"/>
          <w:color w:val="auto"/>
          <w:sz w:val="24"/>
          <w:highlight w:val="none"/>
          <w:u w:val="single"/>
        </w:rPr>
        <w:t>2021年7月</w:t>
      </w:r>
      <w:r>
        <w:rPr>
          <w:rFonts w:hint="eastAsia" w:ascii="宋体" w:hAnsi="宋体" w:cs="宋体"/>
          <w:color w:val="auto"/>
          <w:sz w:val="24"/>
          <w:highlight w:val="none"/>
          <w:u w:val="single"/>
          <w:lang w:val="en-US" w:eastAsia="zh-CN"/>
        </w:rPr>
        <w:t>5</w:t>
      </w:r>
      <w:bookmarkStart w:id="264" w:name="_GoBack"/>
      <w:bookmarkEnd w:id="264"/>
      <w:r>
        <w:rPr>
          <w:rFonts w:hint="eastAsia" w:ascii="宋体" w:hAnsi="宋体" w:cs="宋体"/>
          <w:color w:val="auto"/>
          <w:sz w:val="24"/>
          <w:highlight w:val="none"/>
          <w:u w:val="single"/>
        </w:rPr>
        <w:t>日</w:t>
      </w:r>
      <w:r>
        <w:rPr>
          <w:rFonts w:hint="eastAsia" w:ascii="宋体" w:hAnsi="宋体" w:cs="宋体"/>
          <w:color w:val="auto"/>
          <w:sz w:val="24"/>
          <w:highlight w:val="none"/>
        </w:rPr>
        <w:t>，每天上午</w:t>
      </w:r>
      <w:r>
        <w:rPr>
          <w:rFonts w:hint="eastAsia" w:ascii="宋体" w:hAnsi="宋体" w:cs="宋体"/>
          <w:color w:val="auto"/>
          <w:sz w:val="24"/>
          <w:highlight w:val="none"/>
          <w:u w:val="single"/>
        </w:rPr>
        <w:t>9:00</w:t>
      </w:r>
      <w:r>
        <w:rPr>
          <w:rFonts w:hint="eastAsia" w:ascii="宋体" w:hAnsi="宋体" w:cs="宋体"/>
          <w:color w:val="auto"/>
          <w:sz w:val="24"/>
          <w:highlight w:val="none"/>
        </w:rPr>
        <w:t>至</w:t>
      </w:r>
      <w:r>
        <w:rPr>
          <w:rFonts w:hint="eastAsia" w:ascii="宋体" w:hAnsi="宋体" w:cs="宋体"/>
          <w:color w:val="auto"/>
          <w:sz w:val="24"/>
          <w:highlight w:val="none"/>
          <w:u w:val="single"/>
        </w:rPr>
        <w:t>12:00</w:t>
      </w:r>
      <w:r>
        <w:rPr>
          <w:rFonts w:hint="eastAsia" w:ascii="宋体" w:hAnsi="宋体" w:cs="宋体"/>
          <w:color w:val="auto"/>
          <w:sz w:val="24"/>
          <w:highlight w:val="none"/>
        </w:rPr>
        <w:t>，下午</w:t>
      </w:r>
      <w:r>
        <w:rPr>
          <w:rFonts w:hint="eastAsia" w:ascii="宋体" w:hAnsi="宋体" w:cs="宋体"/>
          <w:color w:val="auto"/>
          <w:sz w:val="24"/>
          <w:highlight w:val="none"/>
          <w:u w:val="single"/>
        </w:rPr>
        <w:t>14:00</w:t>
      </w:r>
      <w:r>
        <w:rPr>
          <w:rFonts w:hint="eastAsia" w:ascii="宋体" w:hAnsi="宋体" w:cs="宋体"/>
          <w:color w:val="auto"/>
          <w:sz w:val="24"/>
          <w:highlight w:val="none"/>
        </w:rPr>
        <w:t>至</w:t>
      </w:r>
      <w:r>
        <w:rPr>
          <w:rFonts w:hint="eastAsia" w:ascii="宋体" w:hAnsi="宋体" w:cs="宋体"/>
          <w:color w:val="auto"/>
          <w:sz w:val="24"/>
          <w:highlight w:val="none"/>
          <w:u w:val="single"/>
        </w:rPr>
        <w:t>17:00</w:t>
      </w:r>
      <w:r>
        <w:rPr>
          <w:rFonts w:hint="eastAsia" w:ascii="宋体" w:hAnsi="宋体" w:cs="宋体"/>
          <w:color w:val="auto"/>
          <w:sz w:val="24"/>
          <w:highlight w:val="none"/>
        </w:rPr>
        <w:t>（北京时间，</w:t>
      </w:r>
      <w:r>
        <w:rPr>
          <w:rFonts w:ascii="宋体" w:hAnsi="宋体" w:cs="宋体"/>
          <w:color w:val="auto"/>
          <w:sz w:val="24"/>
          <w:highlight w:val="none"/>
        </w:rPr>
        <w:t>法定节假日</w:t>
      </w:r>
      <w:r>
        <w:rPr>
          <w:rFonts w:hint="eastAsia" w:ascii="宋体" w:hAnsi="宋体" w:cs="宋体"/>
          <w:color w:val="auto"/>
          <w:sz w:val="24"/>
          <w:highlight w:val="none"/>
        </w:rPr>
        <w:t>除外）</w:t>
      </w:r>
    </w:p>
    <w:p>
      <w:pPr>
        <w:spacing w:after="50"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地点：成都市公共资源交易服务中心“政府采购云平台”</w:t>
      </w:r>
    </w:p>
    <w:p>
      <w:pPr>
        <w:spacing w:after="50" w:line="420" w:lineRule="exact"/>
        <w:ind w:firstLine="480" w:firstLineChars="200"/>
        <w:rPr>
          <w:rFonts w:ascii="宋体" w:hAnsi="宋体"/>
          <w:color w:val="auto"/>
          <w:sz w:val="24"/>
          <w:highlight w:val="none"/>
        </w:rPr>
      </w:pPr>
      <w:r>
        <w:rPr>
          <w:rFonts w:hint="eastAsia" w:ascii="宋体" w:hAnsi="宋体" w:cs="宋体"/>
          <w:color w:val="auto"/>
          <w:sz w:val="24"/>
          <w:highlight w:val="none"/>
        </w:rPr>
        <w:t>方式：投标人从“政府采购云平台”获取采购文件（网址：</w:t>
      </w:r>
      <w:r>
        <w:rPr>
          <w:color w:val="auto"/>
          <w:highlight w:val="none"/>
        </w:rPr>
        <w:fldChar w:fldCharType="begin"/>
      </w:r>
      <w:r>
        <w:rPr>
          <w:color w:val="auto"/>
          <w:highlight w:val="none"/>
        </w:rPr>
        <w:instrText xml:space="preserve"> HYPERLINK "https://www.zcygov.cn）项目采购—获取采购文件—申请获取采购文件。_x0005_" </w:instrText>
      </w:r>
      <w:r>
        <w:rPr>
          <w:color w:val="auto"/>
          <w:highlight w:val="none"/>
        </w:rPr>
        <w:fldChar w:fldCharType="separate"/>
      </w:r>
      <w:r>
        <w:rPr>
          <w:rFonts w:hint="eastAsia" w:ascii="宋体" w:hAnsi="宋体" w:cs="宋体"/>
          <w:color w:val="auto"/>
          <w:sz w:val="24"/>
          <w:highlight w:val="none"/>
        </w:rPr>
        <w:t>https://www.zcygov.cn）。登录政府采购云平台—项目采购—获取采购文件—申请获取采购文件</w:t>
      </w:r>
      <w:r>
        <w:rPr>
          <w:rFonts w:hint="eastAsia" w:ascii="宋体" w:hAnsi="宋体" w:cs="宋体"/>
          <w:color w:val="auto"/>
          <w:sz w:val="24"/>
          <w:highlight w:val="none"/>
        </w:rPr>
        <w:fldChar w:fldCharType="end"/>
      </w:r>
      <w:r>
        <w:rPr>
          <w:rFonts w:hint="eastAsia" w:ascii="宋体" w:hAnsi="宋体" w:cs="宋体"/>
          <w:color w:val="auto"/>
          <w:sz w:val="24"/>
          <w:highlight w:val="none"/>
        </w:rPr>
        <w:t>。</w:t>
      </w:r>
    </w:p>
    <w:p>
      <w:pPr>
        <w:spacing w:line="400" w:lineRule="exact"/>
        <w:ind w:firstLine="540"/>
        <w:rPr>
          <w:rFonts w:ascii="宋体" w:hAnsi="宋体" w:cs="宋体"/>
          <w:color w:val="auto"/>
          <w:sz w:val="24"/>
          <w:highlight w:val="none"/>
        </w:rPr>
      </w:pPr>
      <w:r>
        <w:rPr>
          <w:rFonts w:hint="eastAsia" w:ascii="宋体" w:hAnsi="宋体" w:cs="宋体"/>
          <w:color w:val="auto"/>
          <w:sz w:val="24"/>
          <w:highlight w:val="none"/>
        </w:rPr>
        <w:t>售价：人民币0元/份（招标文件售后不退, 投标资格不能转让）</w:t>
      </w:r>
    </w:p>
    <w:p>
      <w:pPr>
        <w:spacing w:line="400" w:lineRule="exact"/>
        <w:rPr>
          <w:rFonts w:ascii="宋体" w:hAnsi="宋体"/>
          <w:b/>
          <w:color w:val="auto"/>
          <w:sz w:val="24"/>
          <w:highlight w:val="none"/>
        </w:rPr>
      </w:pPr>
      <w:bookmarkStart w:id="17" w:name="_Toc28359082"/>
      <w:bookmarkStart w:id="18" w:name="_Toc28359005"/>
      <w:bookmarkStart w:id="19" w:name="_Toc35393793"/>
      <w:bookmarkStart w:id="20" w:name="_Toc35393624"/>
      <w:r>
        <w:rPr>
          <w:rFonts w:hint="eastAsia" w:ascii="宋体" w:hAnsi="宋体"/>
          <w:b/>
          <w:color w:val="auto"/>
          <w:sz w:val="24"/>
          <w:highlight w:val="none"/>
        </w:rPr>
        <w:t>四、提交投标文件</w:t>
      </w:r>
      <w:bookmarkEnd w:id="17"/>
      <w:bookmarkEnd w:id="18"/>
      <w:r>
        <w:rPr>
          <w:rFonts w:hint="eastAsia" w:ascii="宋体" w:hAnsi="宋体"/>
          <w:b/>
          <w:color w:val="auto"/>
          <w:sz w:val="24"/>
          <w:highlight w:val="none"/>
        </w:rPr>
        <w:t>截止时间、开标时间和地点</w:t>
      </w:r>
      <w:bookmarkEnd w:id="19"/>
      <w:bookmarkEnd w:id="20"/>
    </w:p>
    <w:p>
      <w:pPr>
        <w:spacing w:line="400" w:lineRule="exact"/>
        <w:ind w:firstLine="600" w:firstLineChars="250"/>
        <w:rPr>
          <w:rFonts w:ascii="宋体" w:hAnsi="宋体"/>
          <w:bCs/>
          <w:color w:val="auto"/>
          <w:sz w:val="24"/>
          <w:highlight w:val="none"/>
          <w:u w:val="single"/>
        </w:rPr>
      </w:pPr>
      <w:r>
        <w:rPr>
          <w:rFonts w:hint="eastAsia" w:ascii="宋体" w:hAnsi="宋体"/>
          <w:bCs/>
          <w:color w:val="auto"/>
          <w:sz w:val="24"/>
          <w:highlight w:val="none"/>
          <w:u w:val="single"/>
        </w:rPr>
        <w:t>2021年7月20日10点30分</w:t>
      </w:r>
      <w:r>
        <w:rPr>
          <w:rFonts w:hint="eastAsia" w:ascii="宋体" w:hAnsi="宋体"/>
          <w:bCs/>
          <w:color w:val="auto"/>
          <w:sz w:val="24"/>
          <w:highlight w:val="none"/>
        </w:rPr>
        <w:t>（北京时间）</w:t>
      </w:r>
    </w:p>
    <w:p>
      <w:pPr>
        <w:spacing w:line="400" w:lineRule="exact"/>
        <w:ind w:firstLine="600" w:firstLineChars="250"/>
        <w:rPr>
          <w:rFonts w:ascii="宋体" w:hAnsi="宋体"/>
          <w:bCs/>
          <w:color w:val="auto"/>
          <w:sz w:val="24"/>
          <w:highlight w:val="none"/>
        </w:rPr>
      </w:pPr>
      <w:bookmarkStart w:id="21" w:name="_Toc28359084"/>
      <w:bookmarkStart w:id="22" w:name="_Toc35393794"/>
      <w:bookmarkStart w:id="23" w:name="_Toc35393625"/>
      <w:bookmarkStart w:id="24" w:name="_Toc28359007"/>
      <w:r>
        <w:rPr>
          <w:rFonts w:hint="eastAsia" w:ascii="宋体" w:hAnsi="宋体"/>
          <w:bCs/>
          <w:color w:val="auto"/>
          <w:sz w:val="24"/>
          <w:highlight w:val="none"/>
        </w:rPr>
        <w:t>投标截止时间前，投标人应将加密的电子投标文件递交至“政府采购云平台”对应项目（包件）。</w:t>
      </w:r>
    </w:p>
    <w:p>
      <w:pPr>
        <w:spacing w:line="400" w:lineRule="exact"/>
        <w:ind w:firstLine="600" w:firstLineChars="250"/>
        <w:rPr>
          <w:rFonts w:ascii="宋体" w:hAnsi="宋体"/>
          <w:bCs/>
          <w:color w:val="auto"/>
          <w:sz w:val="24"/>
          <w:highlight w:val="none"/>
        </w:rPr>
      </w:pPr>
      <w:r>
        <w:rPr>
          <w:rFonts w:hint="eastAsia" w:ascii="宋体" w:hAnsi="宋体"/>
          <w:bCs/>
          <w:color w:val="auto"/>
          <w:sz w:val="24"/>
          <w:highlight w:val="none"/>
        </w:rPr>
        <w:t>本项目为不见面开标项目。</w:t>
      </w:r>
    </w:p>
    <w:p>
      <w:pPr>
        <w:spacing w:line="400" w:lineRule="exact"/>
        <w:ind w:firstLine="600" w:firstLineChars="250"/>
        <w:rPr>
          <w:rFonts w:ascii="宋体" w:hAnsi="宋体"/>
          <w:bCs/>
          <w:color w:val="auto"/>
          <w:sz w:val="24"/>
          <w:highlight w:val="none"/>
        </w:rPr>
      </w:pPr>
      <w:r>
        <w:rPr>
          <w:rFonts w:hint="eastAsia" w:ascii="宋体" w:hAnsi="宋体"/>
          <w:bCs/>
          <w:color w:val="auto"/>
          <w:sz w:val="24"/>
          <w:highlight w:val="none"/>
        </w:rPr>
        <w:t>开标地点：政府采购云平台(https://www.zcygov.cn)</w:t>
      </w:r>
    </w:p>
    <w:p>
      <w:pPr>
        <w:spacing w:line="400" w:lineRule="exact"/>
        <w:ind w:firstLine="600" w:firstLineChars="250"/>
        <w:rPr>
          <w:rFonts w:ascii="宋体" w:hAnsi="宋体"/>
          <w:bCs/>
          <w:color w:val="auto"/>
          <w:sz w:val="24"/>
          <w:highlight w:val="none"/>
        </w:rPr>
      </w:pPr>
      <w:r>
        <w:rPr>
          <w:rFonts w:hint="eastAsia" w:ascii="宋体" w:hAnsi="宋体"/>
          <w:bCs/>
          <w:color w:val="auto"/>
          <w:sz w:val="24"/>
          <w:highlight w:val="none"/>
        </w:rPr>
        <w:t>本项目只接受投标人加密并递交至“政府采购云平台”的投标文件。</w:t>
      </w:r>
    </w:p>
    <w:p>
      <w:pPr>
        <w:spacing w:line="400" w:lineRule="exact"/>
        <w:rPr>
          <w:rFonts w:ascii="宋体" w:hAnsi="宋体"/>
          <w:b/>
          <w:color w:val="auto"/>
          <w:sz w:val="24"/>
          <w:highlight w:val="none"/>
        </w:rPr>
      </w:pPr>
      <w:r>
        <w:rPr>
          <w:rFonts w:hint="eastAsia" w:ascii="宋体" w:hAnsi="宋体"/>
          <w:b/>
          <w:color w:val="auto"/>
          <w:sz w:val="24"/>
          <w:highlight w:val="none"/>
        </w:rPr>
        <w:t>五、公告期限</w:t>
      </w:r>
      <w:bookmarkEnd w:id="21"/>
      <w:bookmarkEnd w:id="22"/>
      <w:bookmarkEnd w:id="23"/>
      <w:bookmarkEnd w:id="24"/>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spacing w:line="400" w:lineRule="exact"/>
        <w:rPr>
          <w:rFonts w:ascii="宋体" w:hAnsi="宋体"/>
          <w:b/>
          <w:color w:val="auto"/>
          <w:sz w:val="24"/>
          <w:highlight w:val="none"/>
        </w:rPr>
      </w:pPr>
      <w:bookmarkStart w:id="25" w:name="_Toc35393626"/>
      <w:bookmarkStart w:id="26" w:name="_Toc35393795"/>
      <w:r>
        <w:rPr>
          <w:rFonts w:hint="eastAsia" w:ascii="宋体" w:hAnsi="宋体"/>
          <w:b/>
          <w:color w:val="auto"/>
          <w:sz w:val="24"/>
          <w:highlight w:val="none"/>
        </w:rPr>
        <w:t>六、其他补充事宜</w:t>
      </w:r>
      <w:bookmarkEnd w:id="25"/>
      <w:bookmarkEnd w:id="26"/>
    </w:p>
    <w:p>
      <w:pPr>
        <w:pStyle w:val="54"/>
        <w:spacing w:line="400" w:lineRule="exact"/>
        <w:ind w:left="840"/>
        <w:rPr>
          <w:color w:val="auto"/>
          <w:highlight w:val="none"/>
        </w:rPr>
      </w:pPr>
      <w:r>
        <w:rPr>
          <w:rFonts w:hint="eastAsia"/>
          <w:color w:val="auto"/>
          <w:highlight w:val="none"/>
          <w:u w:val="single"/>
        </w:rPr>
        <w:t>招标公告在四川政府采购网上以公告形式发布</w:t>
      </w:r>
    </w:p>
    <w:p>
      <w:pPr>
        <w:spacing w:line="400" w:lineRule="exact"/>
        <w:rPr>
          <w:rFonts w:ascii="宋体" w:hAnsi="宋体"/>
          <w:b/>
          <w:color w:val="auto"/>
          <w:sz w:val="24"/>
          <w:highlight w:val="none"/>
        </w:rPr>
      </w:pPr>
      <w:bookmarkStart w:id="27" w:name="_Toc28359085"/>
      <w:bookmarkStart w:id="28" w:name="_Toc35393796"/>
      <w:bookmarkStart w:id="29" w:name="_Toc28359008"/>
      <w:bookmarkStart w:id="30" w:name="_Toc35393627"/>
      <w:r>
        <w:rPr>
          <w:rFonts w:hint="eastAsia" w:ascii="宋体" w:hAnsi="宋体"/>
          <w:b/>
          <w:color w:val="auto"/>
          <w:sz w:val="24"/>
          <w:highlight w:val="none"/>
        </w:rPr>
        <w:t>七、对本次招标提出询问，请按</w:t>
      </w:r>
      <w:r>
        <w:rPr>
          <w:rFonts w:ascii="宋体" w:hAnsi="宋体"/>
          <w:b/>
          <w:color w:val="auto"/>
          <w:sz w:val="24"/>
          <w:highlight w:val="none"/>
        </w:rPr>
        <w:t>以下方式</w:t>
      </w:r>
      <w:r>
        <w:rPr>
          <w:rFonts w:hint="eastAsia" w:ascii="宋体" w:hAnsi="宋体"/>
          <w:b/>
          <w:color w:val="auto"/>
          <w:sz w:val="24"/>
          <w:highlight w:val="none"/>
        </w:rPr>
        <w:t>联系。</w:t>
      </w:r>
      <w:bookmarkEnd w:id="27"/>
      <w:bookmarkEnd w:id="28"/>
      <w:bookmarkEnd w:id="29"/>
      <w:bookmarkEnd w:id="30"/>
    </w:p>
    <w:p>
      <w:pPr>
        <w:widowControl/>
        <w:spacing w:line="400" w:lineRule="exact"/>
        <w:ind w:firstLine="840" w:firstLineChars="350"/>
        <w:jc w:val="left"/>
        <w:rPr>
          <w:rFonts w:ascii="宋体" w:hAnsi="宋体"/>
          <w:color w:val="auto"/>
          <w:sz w:val="24"/>
          <w:highlight w:val="none"/>
        </w:rPr>
      </w:pPr>
      <w:r>
        <w:rPr>
          <w:rFonts w:hint="eastAsia" w:ascii="宋体" w:hAnsi="宋体" w:cs="宋体"/>
          <w:color w:val="auto"/>
          <w:sz w:val="24"/>
          <w:highlight w:val="none"/>
        </w:rPr>
        <w:t>1.采购人信息</w:t>
      </w:r>
    </w:p>
    <w:p>
      <w:pPr>
        <w:spacing w:line="400" w:lineRule="exact"/>
        <w:ind w:left="1079" w:leftChars="371" w:hanging="300" w:hangingChars="125"/>
        <w:jc w:val="left"/>
        <w:rPr>
          <w:rFonts w:ascii="宋体" w:hAnsi="宋体"/>
          <w:color w:val="auto"/>
          <w:sz w:val="24"/>
          <w:highlight w:val="none"/>
        </w:rPr>
      </w:pPr>
      <w:r>
        <w:rPr>
          <w:rFonts w:hint="eastAsia" w:ascii="宋体" w:hAnsi="宋体"/>
          <w:color w:val="auto"/>
          <w:sz w:val="24"/>
          <w:highlight w:val="none"/>
        </w:rPr>
        <w:t>名称：</w:t>
      </w:r>
      <w:r>
        <w:rPr>
          <w:rFonts w:hint="eastAsia" w:ascii="宋体" w:hAnsi="宋体"/>
          <w:color w:val="auto"/>
          <w:sz w:val="24"/>
          <w:highlight w:val="none"/>
          <w:u w:val="single"/>
        </w:rPr>
        <w:t xml:space="preserve">成都市绿化工程队 </w:t>
      </w:r>
    </w:p>
    <w:p>
      <w:pPr>
        <w:spacing w:line="400" w:lineRule="exact"/>
        <w:ind w:left="1079" w:leftChars="371" w:hanging="300" w:hangingChars="125"/>
        <w:jc w:val="left"/>
        <w:rPr>
          <w:rFonts w:ascii="宋体" w:hAnsi="宋体"/>
          <w:color w:val="auto"/>
          <w:sz w:val="24"/>
          <w:highlight w:val="none"/>
        </w:rPr>
      </w:pPr>
      <w:r>
        <w:rPr>
          <w:rFonts w:hint="eastAsia" w:ascii="宋体" w:hAnsi="宋体"/>
          <w:color w:val="auto"/>
          <w:sz w:val="24"/>
          <w:highlight w:val="none"/>
        </w:rPr>
        <w:t>地址：</w:t>
      </w:r>
      <w:r>
        <w:rPr>
          <w:rFonts w:hint="eastAsia" w:ascii="宋体" w:hAnsi="宋体"/>
          <w:color w:val="auto"/>
          <w:sz w:val="24"/>
          <w:highlight w:val="none"/>
          <w:u w:val="single"/>
        </w:rPr>
        <w:t>成都市金牛区解颐路6号</w:t>
      </w:r>
    </w:p>
    <w:p>
      <w:pPr>
        <w:spacing w:line="400" w:lineRule="exact"/>
        <w:ind w:left="1079" w:leftChars="371" w:hanging="300" w:hangingChars="125"/>
        <w:jc w:val="left"/>
        <w:rPr>
          <w:rFonts w:ascii="宋体" w:hAnsi="宋体"/>
          <w:color w:val="auto"/>
          <w:sz w:val="24"/>
          <w:highlight w:val="none"/>
          <w:u w:val="single"/>
        </w:rPr>
      </w:pPr>
      <w:r>
        <w:rPr>
          <w:rFonts w:hint="eastAsia" w:ascii="宋体" w:hAnsi="宋体"/>
          <w:color w:val="auto"/>
          <w:sz w:val="24"/>
          <w:highlight w:val="none"/>
        </w:rPr>
        <w:t>联系方式：</w:t>
      </w:r>
      <w:bookmarkStart w:id="31" w:name="_Toc28359009"/>
      <w:bookmarkStart w:id="32" w:name="_Toc28359086"/>
      <w:r>
        <w:rPr>
          <w:rFonts w:hint="eastAsia" w:ascii="宋体" w:hAnsi="宋体"/>
          <w:color w:val="auto"/>
          <w:sz w:val="24"/>
          <w:highlight w:val="none"/>
          <w:u w:val="single"/>
        </w:rPr>
        <w:t>028-60183769 周老师</w:t>
      </w:r>
    </w:p>
    <w:p>
      <w:pPr>
        <w:spacing w:line="400" w:lineRule="exact"/>
        <w:ind w:left="1079" w:leftChars="371" w:hanging="300" w:hangingChars="125"/>
        <w:jc w:val="left"/>
        <w:rPr>
          <w:rFonts w:ascii="宋体" w:hAnsi="宋体"/>
          <w:color w:val="auto"/>
          <w:sz w:val="24"/>
          <w:highlight w:val="none"/>
          <w:u w:val="single"/>
        </w:rPr>
      </w:pPr>
    </w:p>
    <w:p>
      <w:pPr>
        <w:pStyle w:val="2"/>
        <w:rPr>
          <w:color w:val="auto"/>
          <w:highlight w:val="none"/>
        </w:rPr>
      </w:pPr>
    </w:p>
    <w:p>
      <w:pPr>
        <w:spacing w:line="400" w:lineRule="exact"/>
        <w:ind w:left="1079" w:leftChars="371" w:hanging="300" w:hangingChars="125"/>
        <w:jc w:val="left"/>
        <w:rPr>
          <w:rFonts w:ascii="宋体" w:hAnsi="宋体"/>
          <w:color w:val="auto"/>
          <w:sz w:val="24"/>
          <w:highlight w:val="none"/>
        </w:rPr>
      </w:pPr>
      <w:r>
        <w:rPr>
          <w:rFonts w:hint="eastAsia" w:ascii="宋体" w:hAnsi="宋体" w:cs="宋体"/>
          <w:color w:val="auto"/>
          <w:sz w:val="24"/>
          <w:highlight w:val="none"/>
        </w:rPr>
        <w:t>2.采购代理机构信息</w:t>
      </w:r>
      <w:bookmarkEnd w:id="31"/>
      <w:bookmarkEnd w:id="32"/>
    </w:p>
    <w:p>
      <w:pPr>
        <w:spacing w:line="400" w:lineRule="exact"/>
        <w:ind w:firstLine="720" w:firstLineChars="300"/>
        <w:rPr>
          <w:rFonts w:ascii="宋体" w:hAnsi="宋体"/>
          <w:color w:val="auto"/>
          <w:sz w:val="24"/>
          <w:highlight w:val="none"/>
        </w:rPr>
      </w:pPr>
      <w:r>
        <w:rPr>
          <w:rFonts w:hint="eastAsia" w:ascii="宋体" w:hAnsi="宋体"/>
          <w:color w:val="auto"/>
          <w:sz w:val="24"/>
          <w:highlight w:val="none"/>
        </w:rPr>
        <w:t>名    称：</w:t>
      </w:r>
      <w:r>
        <w:rPr>
          <w:rFonts w:hint="eastAsia" w:ascii="宋体" w:hAnsi="宋体"/>
          <w:color w:val="auto"/>
          <w:sz w:val="24"/>
          <w:highlight w:val="none"/>
          <w:u w:val="single"/>
        </w:rPr>
        <w:t>成都一问工程技术咨询有限公司</w:t>
      </w:r>
    </w:p>
    <w:p>
      <w:pPr>
        <w:spacing w:line="400" w:lineRule="exact"/>
        <w:ind w:firstLine="720" w:firstLineChars="300"/>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成都市金牛区一品天下大街999号金牛市民中心B座2102号</w:t>
      </w:r>
    </w:p>
    <w:p>
      <w:pPr>
        <w:spacing w:line="400" w:lineRule="exact"/>
        <w:ind w:firstLine="720" w:firstLineChars="300"/>
        <w:rPr>
          <w:rFonts w:ascii="宋体" w:hAnsi="宋体"/>
          <w:color w:val="auto"/>
          <w:sz w:val="24"/>
          <w:highlight w:val="none"/>
          <w:u w:val="single"/>
        </w:rPr>
      </w:pPr>
      <w:r>
        <w:rPr>
          <w:rFonts w:hint="eastAsia" w:ascii="宋体" w:hAnsi="宋体"/>
          <w:color w:val="auto"/>
          <w:sz w:val="24"/>
          <w:highlight w:val="none"/>
        </w:rPr>
        <w:t>联系方式：</w:t>
      </w:r>
      <w:bookmarkStart w:id="33" w:name="_Toc28359087"/>
      <w:bookmarkStart w:id="34" w:name="_Toc28359010"/>
      <w:r>
        <w:rPr>
          <w:rFonts w:ascii="宋体" w:hAnsi="宋体"/>
          <w:color w:val="auto"/>
          <w:sz w:val="24"/>
          <w:highlight w:val="none"/>
          <w:u w:val="single"/>
        </w:rPr>
        <w:t>028-83375882</w:t>
      </w:r>
      <w:r>
        <w:rPr>
          <w:rFonts w:hint="eastAsia" w:ascii="宋体" w:hAnsi="宋体"/>
          <w:color w:val="auto"/>
          <w:sz w:val="24"/>
          <w:highlight w:val="none"/>
          <w:u w:val="single"/>
        </w:rPr>
        <w:t>-815  刘先生</w:t>
      </w:r>
    </w:p>
    <w:p>
      <w:pPr>
        <w:pStyle w:val="2"/>
        <w:rPr>
          <w:color w:val="auto"/>
          <w:highlight w:val="none"/>
        </w:rPr>
      </w:pPr>
    </w:p>
    <w:p>
      <w:pPr>
        <w:spacing w:line="400" w:lineRule="exact"/>
        <w:ind w:firstLine="720" w:firstLineChars="300"/>
        <w:rPr>
          <w:rFonts w:ascii="宋体" w:hAnsi="宋体"/>
          <w:color w:val="auto"/>
          <w:sz w:val="24"/>
          <w:highlight w:val="none"/>
          <w:u w:val="single"/>
        </w:rPr>
      </w:pPr>
      <w:r>
        <w:rPr>
          <w:rFonts w:hint="eastAsia" w:ascii="宋体" w:hAnsi="宋体" w:cs="宋体"/>
          <w:color w:val="auto"/>
          <w:sz w:val="24"/>
          <w:highlight w:val="none"/>
        </w:rPr>
        <w:t>3.项目</w:t>
      </w:r>
      <w:r>
        <w:rPr>
          <w:rFonts w:ascii="宋体" w:hAnsi="宋体" w:cs="宋体"/>
          <w:color w:val="auto"/>
          <w:sz w:val="24"/>
          <w:highlight w:val="none"/>
        </w:rPr>
        <w:t>联系方式</w:t>
      </w:r>
      <w:bookmarkEnd w:id="33"/>
      <w:bookmarkEnd w:id="34"/>
    </w:p>
    <w:p>
      <w:pPr>
        <w:pStyle w:val="15"/>
        <w:spacing w:line="400" w:lineRule="exact"/>
        <w:ind w:firstLine="720" w:firstLineChars="300"/>
        <w:rPr>
          <w:rFonts w:hAnsi="宋体"/>
          <w:color w:val="auto"/>
          <w:sz w:val="24"/>
          <w:highlight w:val="none"/>
        </w:rPr>
      </w:pPr>
      <w:r>
        <w:rPr>
          <w:rFonts w:hint="eastAsia" w:hAnsi="宋体"/>
          <w:color w:val="auto"/>
          <w:sz w:val="24"/>
          <w:highlight w:val="none"/>
        </w:rPr>
        <w:t>项目联系人：刘先生</w:t>
      </w:r>
    </w:p>
    <w:p>
      <w:pPr>
        <w:spacing w:line="400" w:lineRule="exact"/>
        <w:ind w:firstLine="720" w:firstLineChars="300"/>
        <w:rPr>
          <w:color w:val="auto"/>
          <w:highlight w:val="none"/>
        </w:rPr>
      </w:pPr>
      <w:r>
        <w:rPr>
          <w:rFonts w:hint="eastAsia" w:ascii="宋体" w:hAnsi="宋体"/>
          <w:color w:val="auto"/>
          <w:sz w:val="24"/>
          <w:highlight w:val="none"/>
        </w:rPr>
        <w:t>电      话：</w:t>
      </w:r>
      <w:r>
        <w:rPr>
          <w:rFonts w:ascii="宋体" w:hAnsi="宋体"/>
          <w:color w:val="auto"/>
          <w:sz w:val="24"/>
          <w:highlight w:val="none"/>
          <w:u w:val="single"/>
        </w:rPr>
        <w:t>028-83375882</w:t>
      </w:r>
      <w:r>
        <w:rPr>
          <w:rFonts w:hint="eastAsia" w:ascii="宋体" w:hAnsi="宋体"/>
          <w:color w:val="auto"/>
          <w:sz w:val="24"/>
          <w:highlight w:val="none"/>
          <w:u w:val="single"/>
        </w:rPr>
        <w:t>-815</w:t>
      </w:r>
    </w:p>
    <w:p>
      <w:pPr>
        <w:spacing w:line="400" w:lineRule="exact"/>
        <w:ind w:firstLine="720" w:firstLineChars="300"/>
        <w:rPr>
          <w:rFonts w:ascii="宋体" w:hAnsi="宋体"/>
          <w:color w:val="auto"/>
          <w:sz w:val="24"/>
          <w:highlight w:val="none"/>
          <w:u w:val="single"/>
        </w:rPr>
      </w:pPr>
    </w:p>
    <w:p>
      <w:pPr>
        <w:tabs>
          <w:tab w:val="left" w:pos="7665"/>
        </w:tabs>
        <w:spacing w:line="400" w:lineRule="exact"/>
        <w:ind w:left="210" w:leftChars="100" w:firstLine="360" w:firstLineChars="150"/>
        <w:rPr>
          <w:rFonts w:ascii="宋体" w:hAnsi="宋体"/>
          <w:bCs/>
          <w:color w:val="auto"/>
          <w:sz w:val="24"/>
          <w:highlight w:val="none"/>
          <w:u w:val="single"/>
        </w:rPr>
      </w:pPr>
    </w:p>
    <w:p>
      <w:pPr>
        <w:pStyle w:val="2"/>
        <w:rPr>
          <w:color w:val="auto"/>
          <w:highlight w:val="none"/>
        </w:rPr>
      </w:pPr>
      <w:bookmarkStart w:id="35" w:name="_Toc12497"/>
      <w:bookmarkStart w:id="36" w:name="_Toc213397009"/>
      <w:bookmarkStart w:id="37" w:name="_Toc213496267"/>
      <w:bookmarkStart w:id="38" w:name="_Toc213396759"/>
      <w:bookmarkStart w:id="39" w:name="_Toc217446031"/>
      <w:bookmarkStart w:id="40" w:name="_Toc213396945"/>
    </w:p>
    <w:p>
      <w:pPr>
        <w:pStyle w:val="25"/>
        <w:spacing w:after="50" w:afterAutospacing="0" w:line="420" w:lineRule="exact"/>
        <w:ind w:right="120" w:firstLine="5640" w:firstLineChars="2350"/>
        <w:jc w:val="right"/>
        <w:rPr>
          <w:rFonts w:hAnsi="宋体"/>
          <w:color w:val="auto"/>
          <w:sz w:val="24"/>
          <w:szCs w:val="24"/>
          <w:highlight w:val="none"/>
        </w:rPr>
        <w:sectPr>
          <w:footerReference r:id="rId10" w:type="default"/>
          <w:pgSz w:w="11907" w:h="16840"/>
          <w:pgMar w:top="1440" w:right="1474" w:bottom="1440" w:left="1474" w:header="851" w:footer="992" w:gutter="0"/>
          <w:pgNumType w:start="1"/>
          <w:cols w:space="720" w:num="1"/>
          <w:docGrid w:linePitch="312" w:charSpace="0"/>
        </w:sectPr>
      </w:pPr>
    </w:p>
    <w:p>
      <w:pPr>
        <w:pStyle w:val="3"/>
        <w:spacing w:before="0" w:after="0" w:line="360" w:lineRule="auto"/>
        <w:jc w:val="center"/>
        <w:rPr>
          <w:rFonts w:ascii="宋体" w:hAnsi="宋体"/>
          <w:color w:val="auto"/>
          <w:sz w:val="36"/>
          <w:szCs w:val="36"/>
          <w:highlight w:val="none"/>
        </w:rPr>
      </w:pPr>
      <w:bookmarkStart w:id="41" w:name="_Toc56539469"/>
      <w:r>
        <w:rPr>
          <w:rFonts w:hint="eastAsia" w:ascii="宋体" w:hAnsi="宋体"/>
          <w:color w:val="auto"/>
          <w:sz w:val="36"/>
          <w:szCs w:val="36"/>
          <w:highlight w:val="none"/>
        </w:rPr>
        <w:t>第二章  投标人须知</w:t>
      </w:r>
      <w:bookmarkEnd w:id="35"/>
      <w:bookmarkEnd w:id="41"/>
    </w:p>
    <w:p>
      <w:pPr>
        <w:pStyle w:val="4"/>
        <w:spacing w:line="360" w:lineRule="auto"/>
        <w:jc w:val="center"/>
        <w:rPr>
          <w:rFonts w:ascii="宋体" w:hAnsi="宋体" w:eastAsia="宋体"/>
          <w:color w:val="auto"/>
          <w:highlight w:val="none"/>
        </w:rPr>
      </w:pPr>
      <w:r>
        <w:rPr>
          <w:rFonts w:hint="eastAsia" w:ascii="宋体" w:hAnsi="宋体" w:eastAsia="宋体"/>
          <w:color w:val="auto"/>
          <w:highlight w:val="none"/>
        </w:rPr>
        <w:t>一、投标人须知附表</w:t>
      </w:r>
      <w:bookmarkEnd w:id="36"/>
      <w:bookmarkEnd w:id="37"/>
      <w:bookmarkEnd w:id="38"/>
      <w:bookmarkEnd w:id="39"/>
      <w:bookmarkEnd w:id="40"/>
    </w:p>
    <w:tbl>
      <w:tblPr>
        <w:tblStyle w:val="27"/>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1985"/>
        <w:gridCol w:w="667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5"/>
              <w:spacing w:line="360" w:lineRule="auto"/>
              <w:ind w:left="9"/>
              <w:jc w:val="center"/>
              <w:rPr>
                <w:rFonts w:cs="Times New Roman"/>
                <w:b/>
                <w:color w:val="auto"/>
                <w:kern w:val="2"/>
                <w:sz w:val="21"/>
                <w:szCs w:val="21"/>
                <w:highlight w:val="none"/>
              </w:rPr>
            </w:pPr>
            <w:r>
              <w:rPr>
                <w:rFonts w:hint="eastAsia" w:cs="Times New Roman"/>
                <w:b/>
                <w:color w:val="auto"/>
                <w:kern w:val="2"/>
                <w:sz w:val="21"/>
                <w:szCs w:val="21"/>
                <w:highlight w:val="none"/>
              </w:rPr>
              <w:t>序号</w:t>
            </w:r>
          </w:p>
        </w:tc>
        <w:tc>
          <w:tcPr>
            <w:tcW w:w="1985" w:type="dxa"/>
            <w:vAlign w:val="center"/>
          </w:tcPr>
          <w:p>
            <w:pPr>
              <w:pStyle w:val="55"/>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条款名称</w:t>
            </w:r>
          </w:p>
        </w:tc>
        <w:tc>
          <w:tcPr>
            <w:tcW w:w="6678" w:type="dxa"/>
            <w:vAlign w:val="center"/>
          </w:tcPr>
          <w:p>
            <w:pPr>
              <w:pStyle w:val="55"/>
              <w:spacing w:after="120" w:afterLines="50" w:line="288" w:lineRule="auto"/>
              <w:ind w:left="105" w:leftChars="50" w:right="105" w:rightChars="50"/>
              <w:jc w:val="center"/>
              <w:rPr>
                <w:rFonts w:cs="Times New Roman"/>
                <w:b/>
                <w:color w:val="auto"/>
                <w:kern w:val="2"/>
                <w:sz w:val="21"/>
                <w:szCs w:val="21"/>
                <w:highlight w:val="none"/>
              </w:rPr>
            </w:pPr>
            <w:r>
              <w:rPr>
                <w:rFonts w:hint="eastAsia" w:cs="Times New Roman"/>
                <w:b/>
                <w:color w:val="auto"/>
                <w:kern w:val="2"/>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tblHeader/>
          <w:jc w:val="center"/>
        </w:trPr>
        <w:tc>
          <w:tcPr>
            <w:tcW w:w="838" w:type="dxa"/>
            <w:vAlign w:val="center"/>
          </w:tcPr>
          <w:p>
            <w:pPr>
              <w:pStyle w:val="55"/>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1</w:t>
            </w:r>
          </w:p>
        </w:tc>
        <w:tc>
          <w:tcPr>
            <w:tcW w:w="1985" w:type="dxa"/>
            <w:vAlign w:val="center"/>
          </w:tcPr>
          <w:p>
            <w:pPr>
              <w:pStyle w:val="55"/>
              <w:spacing w:line="360" w:lineRule="auto"/>
              <w:ind w:left="38"/>
              <w:jc w:val="center"/>
              <w:rPr>
                <w:rFonts w:cs="Times New Roman"/>
                <w:color w:val="auto"/>
                <w:kern w:val="2"/>
                <w:sz w:val="21"/>
                <w:szCs w:val="21"/>
                <w:highlight w:val="none"/>
              </w:rPr>
            </w:pPr>
            <w:r>
              <w:rPr>
                <w:rFonts w:hint="eastAsia" w:cs="Times New Roman"/>
                <w:color w:val="auto"/>
                <w:kern w:val="2"/>
                <w:sz w:val="21"/>
                <w:szCs w:val="21"/>
                <w:highlight w:val="none"/>
              </w:rPr>
              <w:t>采购人</w:t>
            </w:r>
          </w:p>
        </w:tc>
        <w:tc>
          <w:tcPr>
            <w:tcW w:w="6678" w:type="dxa"/>
            <w:vAlign w:val="center"/>
          </w:tcPr>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成都市绿化工程队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0" w:hRule="atLeast"/>
          <w:tblHeader/>
          <w:jc w:val="center"/>
        </w:trPr>
        <w:tc>
          <w:tcPr>
            <w:tcW w:w="838" w:type="dxa"/>
            <w:vAlign w:val="center"/>
          </w:tcPr>
          <w:p>
            <w:pPr>
              <w:pStyle w:val="55"/>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2</w:t>
            </w:r>
          </w:p>
        </w:tc>
        <w:tc>
          <w:tcPr>
            <w:tcW w:w="1985" w:type="dxa"/>
            <w:vAlign w:val="center"/>
          </w:tcPr>
          <w:p>
            <w:pPr>
              <w:pStyle w:val="55"/>
              <w:spacing w:after="120" w:afterLines="50" w:line="288" w:lineRule="auto"/>
              <w:ind w:left="105" w:leftChars="50" w:right="105" w:rightChars="50"/>
              <w:jc w:val="center"/>
              <w:rPr>
                <w:rFonts w:cs="Times New Roman"/>
                <w:color w:val="auto"/>
                <w:kern w:val="2"/>
                <w:sz w:val="21"/>
                <w:szCs w:val="21"/>
                <w:highlight w:val="none"/>
              </w:rPr>
            </w:pPr>
            <w:r>
              <w:rPr>
                <w:rFonts w:hint="eastAsia" w:cs="Times New Roman"/>
                <w:color w:val="auto"/>
                <w:kern w:val="2"/>
                <w:sz w:val="21"/>
                <w:szCs w:val="21"/>
                <w:highlight w:val="none"/>
              </w:rPr>
              <w:t>采购代理机构</w:t>
            </w:r>
          </w:p>
          <w:p>
            <w:pPr>
              <w:pStyle w:val="55"/>
              <w:spacing w:after="120" w:afterLines="50" w:line="288" w:lineRule="auto"/>
              <w:ind w:left="105" w:leftChars="50" w:right="105" w:rightChars="50"/>
              <w:jc w:val="center"/>
              <w:rPr>
                <w:rFonts w:cs="Times New Roman"/>
                <w:color w:val="auto"/>
                <w:kern w:val="2"/>
                <w:sz w:val="21"/>
                <w:szCs w:val="21"/>
                <w:highlight w:val="none"/>
              </w:rPr>
            </w:pPr>
            <w:r>
              <w:rPr>
                <w:rFonts w:hint="eastAsia" w:cs="Times New Roman"/>
                <w:color w:val="auto"/>
                <w:kern w:val="2"/>
                <w:sz w:val="21"/>
                <w:szCs w:val="21"/>
                <w:highlight w:val="none"/>
              </w:rPr>
              <w:t>及联系方式</w:t>
            </w:r>
          </w:p>
        </w:tc>
        <w:tc>
          <w:tcPr>
            <w:tcW w:w="6678" w:type="dxa"/>
            <w:vAlign w:val="center"/>
          </w:tcPr>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名称：成都一问工程技术咨询有限公司</w:t>
            </w:r>
          </w:p>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地址：成都市金牛区一品天下大街999号金牛市民中心B座2102号</w:t>
            </w:r>
          </w:p>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标书售卖电话及联系人：028-83375882-801，刘女士</w:t>
            </w:r>
          </w:p>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采购文件、开标、评标工作咨询及中标通知书领取电话及联系人：028-83375882-815，</w:t>
            </w:r>
            <w:r>
              <w:rPr>
                <w:rFonts w:hint="eastAsia"/>
                <w:color w:val="auto"/>
                <w:sz w:val="21"/>
                <w:szCs w:val="21"/>
                <w:highlight w:val="none"/>
              </w:rPr>
              <w:t>刘先生</w:t>
            </w:r>
          </w:p>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保证金缴纳及退还联系人：028-83407246，刘女士</w:t>
            </w:r>
          </w:p>
          <w:p>
            <w:pPr>
              <w:pStyle w:val="55"/>
              <w:spacing w:after="120" w:afterLines="50" w:line="288" w:lineRule="auto"/>
              <w:ind w:left="105" w:leftChars="50" w:right="105" w:rightChars="50"/>
              <w:rPr>
                <w:color w:val="auto"/>
                <w:sz w:val="21"/>
                <w:szCs w:val="21"/>
                <w:highlight w:val="none"/>
              </w:rPr>
            </w:pPr>
            <w:r>
              <w:rPr>
                <w:rFonts w:hint="eastAsia" w:cs="Times New Roman"/>
                <w:color w:val="auto"/>
                <w:kern w:val="2"/>
                <w:sz w:val="21"/>
                <w:szCs w:val="21"/>
                <w:highlight w:val="none"/>
              </w:rPr>
              <w:t>询问、质疑处理联系人：028-83375882-819，刘先生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5" w:hRule="atLeast"/>
          <w:tblHeader/>
          <w:jc w:val="center"/>
        </w:trPr>
        <w:tc>
          <w:tcPr>
            <w:tcW w:w="838" w:type="dxa"/>
            <w:vAlign w:val="center"/>
          </w:tcPr>
          <w:p>
            <w:pPr>
              <w:pStyle w:val="55"/>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3</w:t>
            </w:r>
          </w:p>
        </w:tc>
        <w:tc>
          <w:tcPr>
            <w:tcW w:w="1985" w:type="dxa"/>
            <w:vAlign w:val="center"/>
          </w:tcPr>
          <w:p>
            <w:pPr>
              <w:pStyle w:val="55"/>
              <w:spacing w:line="360" w:lineRule="auto"/>
              <w:ind w:left="38"/>
              <w:jc w:val="center"/>
              <w:rPr>
                <w:rFonts w:cs="Times New Roman"/>
                <w:color w:val="auto"/>
                <w:kern w:val="2"/>
                <w:sz w:val="21"/>
                <w:szCs w:val="21"/>
                <w:highlight w:val="none"/>
              </w:rPr>
            </w:pPr>
            <w:r>
              <w:rPr>
                <w:rFonts w:hint="eastAsia" w:cs="Times New Roman"/>
                <w:color w:val="auto"/>
                <w:kern w:val="2"/>
                <w:sz w:val="21"/>
                <w:szCs w:val="21"/>
                <w:highlight w:val="none"/>
              </w:rPr>
              <w:t>拒绝参加本次采购活动的投标人</w:t>
            </w:r>
          </w:p>
        </w:tc>
        <w:tc>
          <w:tcPr>
            <w:tcW w:w="6678" w:type="dxa"/>
            <w:vAlign w:val="center"/>
          </w:tcPr>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根据《关于在政府采购活动中查询及使用信用记录有关问题的通知》（财库〔2016〕125号）的要求，采购代理机构将通过“信用中国”网站（www.creditchina.gov.cn）、“中国政府采购网”网站（www.ccgp.gov.cn）等渠道查询投标人在采购公告发布之日前的信用记录并保存信用记录结果网页截图，拒绝列入失信被执行人、重大税收违法案件当事人名单、政府采购严重违法失信行为记录名单中的投标人参加本项目的采购活动（以联合体形式参加本项目采购活动，联合体成员存在不良信用记录的，视同联合体存在不良信用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tblHeader/>
          <w:jc w:val="center"/>
        </w:trPr>
        <w:tc>
          <w:tcPr>
            <w:tcW w:w="838" w:type="dxa"/>
            <w:vAlign w:val="center"/>
          </w:tcPr>
          <w:p>
            <w:pPr>
              <w:pStyle w:val="55"/>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4</w:t>
            </w:r>
          </w:p>
        </w:tc>
        <w:tc>
          <w:tcPr>
            <w:tcW w:w="1985" w:type="dxa"/>
            <w:vAlign w:val="center"/>
          </w:tcPr>
          <w:p>
            <w:pPr>
              <w:pStyle w:val="55"/>
              <w:spacing w:line="360" w:lineRule="auto"/>
              <w:ind w:left="38"/>
              <w:jc w:val="center"/>
              <w:rPr>
                <w:rFonts w:cs="Times New Roman"/>
                <w:color w:val="auto"/>
                <w:kern w:val="2"/>
                <w:sz w:val="21"/>
                <w:szCs w:val="21"/>
                <w:highlight w:val="none"/>
              </w:rPr>
            </w:pPr>
            <w:r>
              <w:rPr>
                <w:rFonts w:hint="eastAsia" w:cs="Times New Roman"/>
                <w:color w:val="auto"/>
                <w:kern w:val="2"/>
                <w:sz w:val="21"/>
                <w:szCs w:val="21"/>
                <w:highlight w:val="none"/>
              </w:rPr>
              <w:t>采购方式</w:t>
            </w:r>
          </w:p>
        </w:tc>
        <w:tc>
          <w:tcPr>
            <w:tcW w:w="6678" w:type="dxa"/>
            <w:vAlign w:val="center"/>
          </w:tcPr>
          <w:p>
            <w:pPr>
              <w:pStyle w:val="55"/>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pStyle w:val="55"/>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5</w:t>
            </w:r>
          </w:p>
        </w:tc>
        <w:tc>
          <w:tcPr>
            <w:tcW w:w="1985" w:type="dxa"/>
            <w:tcBorders>
              <w:bottom w:val="single" w:color="auto" w:sz="4" w:space="0"/>
            </w:tcBorders>
            <w:vAlign w:val="center"/>
          </w:tcPr>
          <w:p>
            <w:pPr>
              <w:pStyle w:val="55"/>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采购预算</w:t>
            </w:r>
          </w:p>
          <w:p>
            <w:pPr>
              <w:pStyle w:val="55"/>
              <w:spacing w:line="360" w:lineRule="auto"/>
              <w:ind w:left="38"/>
              <w:jc w:val="center"/>
              <w:rPr>
                <w:rFonts w:cs="Times New Roman"/>
                <w:b/>
                <w:color w:val="auto"/>
                <w:kern w:val="2"/>
                <w:sz w:val="21"/>
                <w:szCs w:val="21"/>
                <w:highlight w:val="none"/>
              </w:rPr>
            </w:pPr>
            <w:r>
              <w:rPr>
                <w:rFonts w:hint="eastAsia"/>
                <w:b/>
                <w:color w:val="auto"/>
                <w:sz w:val="21"/>
                <w:szCs w:val="21"/>
                <w:highlight w:val="none"/>
              </w:rPr>
              <w:t>（实质性要求）</w:t>
            </w:r>
          </w:p>
        </w:tc>
        <w:tc>
          <w:tcPr>
            <w:tcW w:w="6678" w:type="dxa"/>
            <w:tcBorders>
              <w:bottom w:val="single" w:color="auto" w:sz="4" w:space="0"/>
            </w:tcBorders>
            <w:vAlign w:val="center"/>
          </w:tcPr>
          <w:p>
            <w:pPr>
              <w:pStyle w:val="55"/>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本项目采购预算品目为</w:t>
            </w:r>
            <w:r>
              <w:rPr>
                <w:rFonts w:hint="eastAsia"/>
                <w:color w:val="auto"/>
                <w:sz w:val="21"/>
                <w:szCs w:val="21"/>
                <w:highlight w:val="none"/>
                <w:u w:val="single"/>
              </w:rPr>
              <w:t>A1203林业产品</w:t>
            </w:r>
            <w:r>
              <w:rPr>
                <w:rFonts w:hint="eastAsia"/>
                <w:color w:val="auto"/>
                <w:sz w:val="21"/>
                <w:szCs w:val="21"/>
                <w:highlight w:val="none"/>
                <w:lang w:val="zh-CN"/>
              </w:rPr>
              <w:t xml:space="preserve"> ，预算金额为人民币</w:t>
            </w:r>
            <w:r>
              <w:rPr>
                <w:rFonts w:hint="eastAsia"/>
                <w:color w:val="auto"/>
                <w:sz w:val="21"/>
                <w:szCs w:val="21"/>
                <w:highlight w:val="none"/>
                <w:u w:val="single"/>
                <w:lang w:val="zh-CN"/>
              </w:rPr>
              <w:t xml:space="preserve"> </w:t>
            </w:r>
            <w:r>
              <w:rPr>
                <w:rFonts w:hint="eastAsia"/>
                <w:color w:val="auto"/>
                <w:sz w:val="21"/>
                <w:szCs w:val="21"/>
                <w:highlight w:val="none"/>
                <w:u w:val="single"/>
              </w:rPr>
              <w:t>119万</w:t>
            </w:r>
            <w:r>
              <w:rPr>
                <w:rFonts w:hint="eastAsia"/>
                <w:color w:val="auto"/>
                <w:sz w:val="21"/>
                <w:szCs w:val="21"/>
                <w:highlight w:val="none"/>
                <w:lang w:val="zh-CN"/>
              </w:rPr>
              <w:t>元。</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投标报价超过采购预算的投标为无效投标。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vAlign w:val="center"/>
          </w:tcPr>
          <w:p>
            <w:pPr>
              <w:spacing w:line="360" w:lineRule="auto"/>
              <w:jc w:val="center"/>
              <w:rPr>
                <w:rFonts w:ascii="宋体" w:hAnsi="宋体"/>
                <w:color w:val="auto"/>
                <w:szCs w:val="21"/>
                <w:highlight w:val="none"/>
              </w:rPr>
            </w:pPr>
          </w:p>
        </w:tc>
        <w:tc>
          <w:tcPr>
            <w:tcW w:w="1985" w:type="dxa"/>
            <w:tcBorders>
              <w:top w:val="single" w:color="auto" w:sz="4" w:space="0"/>
            </w:tcBorders>
            <w:vAlign w:val="center"/>
          </w:tcPr>
          <w:p>
            <w:pPr>
              <w:pStyle w:val="55"/>
              <w:spacing w:line="360" w:lineRule="auto"/>
              <w:jc w:val="center"/>
              <w:rPr>
                <w:rFonts w:cs="Times New Roman"/>
                <w:b/>
                <w:color w:val="auto"/>
                <w:kern w:val="2"/>
                <w:sz w:val="21"/>
                <w:szCs w:val="21"/>
                <w:highlight w:val="none"/>
              </w:rPr>
            </w:pPr>
            <w:r>
              <w:rPr>
                <w:rFonts w:hint="eastAsia" w:cs="Times New Roman"/>
                <w:b/>
                <w:color w:val="auto"/>
                <w:kern w:val="2"/>
                <w:sz w:val="21"/>
                <w:szCs w:val="21"/>
                <w:highlight w:val="none"/>
              </w:rPr>
              <w:t>最高限价</w:t>
            </w:r>
          </w:p>
          <w:p>
            <w:pPr>
              <w:pStyle w:val="55"/>
              <w:spacing w:line="360" w:lineRule="auto"/>
              <w:jc w:val="center"/>
              <w:rPr>
                <w:rFonts w:cs="Times New Roman"/>
                <w:color w:val="auto"/>
                <w:kern w:val="2"/>
                <w:sz w:val="21"/>
                <w:szCs w:val="21"/>
                <w:highlight w:val="none"/>
              </w:rPr>
            </w:pPr>
            <w:r>
              <w:rPr>
                <w:rFonts w:hint="eastAsia"/>
                <w:b/>
                <w:color w:val="auto"/>
                <w:sz w:val="21"/>
                <w:szCs w:val="21"/>
                <w:highlight w:val="none"/>
              </w:rPr>
              <w:t>（实质性要求）</w:t>
            </w:r>
          </w:p>
        </w:tc>
        <w:tc>
          <w:tcPr>
            <w:tcW w:w="6678" w:type="dxa"/>
            <w:tcBorders>
              <w:top w:val="single" w:color="auto" w:sz="4" w:space="0"/>
            </w:tcBorders>
            <w:vAlign w:val="center"/>
          </w:tcPr>
          <w:p>
            <w:pPr>
              <w:pStyle w:val="55"/>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 xml:space="preserve">本项目最高限价为人民币1189746.75元，单价限价详见第六章。 </w:t>
            </w:r>
          </w:p>
          <w:p>
            <w:pPr>
              <w:pStyle w:val="55"/>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投标报价超过本项目最高限价</w:t>
            </w:r>
            <w:r>
              <w:rPr>
                <w:rFonts w:hint="eastAsia"/>
                <w:color w:val="auto"/>
                <w:sz w:val="21"/>
                <w:szCs w:val="21"/>
                <w:highlight w:val="none"/>
              </w:rPr>
              <w:t>及单价限价</w:t>
            </w:r>
            <w:r>
              <w:rPr>
                <w:rFonts w:hint="eastAsia"/>
                <w:color w:val="auto"/>
                <w:sz w:val="21"/>
                <w:szCs w:val="21"/>
                <w:highlight w:val="none"/>
                <w:lang w:val="zh-CN"/>
              </w:rPr>
              <w:t>的作无效投标处理。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6</w:t>
            </w:r>
          </w:p>
        </w:tc>
        <w:tc>
          <w:tcPr>
            <w:tcW w:w="1985" w:type="dxa"/>
            <w:vAlign w:val="center"/>
          </w:tcPr>
          <w:p>
            <w:pPr>
              <w:pStyle w:val="55"/>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低于成本价不正当</w:t>
            </w:r>
          </w:p>
          <w:p>
            <w:pPr>
              <w:pStyle w:val="55"/>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竞争预防措施</w:t>
            </w:r>
          </w:p>
          <w:p>
            <w:pPr>
              <w:pStyle w:val="55"/>
              <w:spacing w:line="360" w:lineRule="auto"/>
              <w:ind w:left="38"/>
              <w:jc w:val="center"/>
              <w:rPr>
                <w:rFonts w:cs="Times New Roman"/>
                <w:color w:val="auto"/>
                <w:kern w:val="2"/>
                <w:sz w:val="21"/>
                <w:szCs w:val="21"/>
                <w:highlight w:val="none"/>
              </w:rPr>
            </w:pPr>
            <w:r>
              <w:rPr>
                <w:rFonts w:hint="eastAsia"/>
                <w:b/>
                <w:color w:val="auto"/>
                <w:sz w:val="21"/>
                <w:szCs w:val="21"/>
                <w:highlight w:val="none"/>
              </w:rPr>
              <w:t>（实质性要求）</w:t>
            </w:r>
          </w:p>
        </w:tc>
        <w:tc>
          <w:tcPr>
            <w:tcW w:w="6678" w:type="dxa"/>
            <w:vAlign w:val="center"/>
          </w:tcPr>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在评审过程中，评标委员会认为投标人的报价明显低于其他通过符合性审查投标人的报价，有可能影响产品质量或者不能诚信履约的，评审委员会应当要求其在评审现场合理的时间内提供成本构成书面说明，并提交相关证明材料。书面说明应当按照国家财务会计制度的规定要求，逐项就投标人提供的货物、工程和服务的主营业务成本（应根据投标人企业类型予以区别）、税金及附加、销售费用、管理费用、财务费用等成本构成事项详细陈述。</w:t>
            </w:r>
          </w:p>
          <w:p>
            <w:pPr>
              <w:pStyle w:val="55"/>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color w:val="auto"/>
                <w:sz w:val="21"/>
                <w:szCs w:val="21"/>
                <w:highlight w:val="none"/>
              </w:rPr>
              <w:t>30分钟，供应商已明确表示澄清、说明完毕的除外</w:t>
            </w:r>
            <w:r>
              <w:rPr>
                <w:rFonts w:hint="eastAsia"/>
                <w:color w:val="auto"/>
                <w:sz w:val="21"/>
                <w:szCs w:val="21"/>
                <w:highlight w:val="none"/>
                <w:lang w:val="zh-CN"/>
              </w:rPr>
              <w:t>）。如因断电、断网、系统故障或其他不可抗力等因素，导致系统无法使用的，由投标人按评标委员会的要求进行澄清或者说明。</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投标人提供书面说明后，评审委员会应当结合采购项目采购需求、专业实际情况、投标人财务状况报告、与其他投标人比较情况等就投标人书面说明进行审查评价。投标人拒绝或者变相拒绝提供有效书面说明或者书面说明不能证明其报价合理性的，评审委员会应当将其投标文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7</w:t>
            </w:r>
          </w:p>
        </w:tc>
        <w:tc>
          <w:tcPr>
            <w:tcW w:w="1985" w:type="dxa"/>
            <w:vAlign w:val="center"/>
          </w:tcPr>
          <w:p>
            <w:pPr>
              <w:pStyle w:val="55"/>
              <w:ind w:left="38"/>
              <w:jc w:val="center"/>
              <w:rPr>
                <w:rFonts w:cs="Times New Roman"/>
                <w:b/>
                <w:color w:val="auto"/>
                <w:kern w:val="2"/>
                <w:sz w:val="21"/>
                <w:szCs w:val="21"/>
                <w:highlight w:val="none"/>
              </w:rPr>
            </w:pPr>
            <w:r>
              <w:rPr>
                <w:rFonts w:hint="eastAsia" w:cs="Times New Roman"/>
                <w:b/>
                <w:color w:val="auto"/>
                <w:kern w:val="2"/>
                <w:sz w:val="21"/>
                <w:szCs w:val="21"/>
                <w:highlight w:val="none"/>
              </w:rPr>
              <w:t>本项目采购标的对应的中小企业划分标准所属行业</w:t>
            </w:r>
          </w:p>
        </w:tc>
        <w:tc>
          <w:tcPr>
            <w:tcW w:w="6678" w:type="dxa"/>
            <w:vAlign w:val="center"/>
          </w:tcPr>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农、林、牧、渔业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vAlign w:val="center"/>
          </w:tcPr>
          <w:p>
            <w:pPr>
              <w:spacing w:line="360" w:lineRule="auto"/>
              <w:jc w:val="center"/>
              <w:rPr>
                <w:rFonts w:ascii="宋体" w:hAnsi="宋体"/>
                <w:color w:val="auto"/>
                <w:szCs w:val="21"/>
                <w:highlight w:val="none"/>
              </w:rPr>
            </w:pPr>
          </w:p>
        </w:tc>
        <w:tc>
          <w:tcPr>
            <w:tcW w:w="1985" w:type="dxa"/>
            <w:vAlign w:val="center"/>
          </w:tcPr>
          <w:p>
            <w:pPr>
              <w:pStyle w:val="55"/>
              <w:ind w:left="38"/>
              <w:jc w:val="center"/>
              <w:rPr>
                <w:rFonts w:cs="Times New Roman"/>
                <w:b/>
                <w:color w:val="auto"/>
                <w:kern w:val="2"/>
                <w:sz w:val="21"/>
                <w:szCs w:val="21"/>
                <w:highlight w:val="none"/>
              </w:rPr>
            </w:pPr>
            <w:r>
              <w:rPr>
                <w:rFonts w:hint="eastAsia" w:cs="Times New Roman"/>
                <w:b/>
                <w:color w:val="auto"/>
                <w:kern w:val="2"/>
                <w:sz w:val="21"/>
                <w:szCs w:val="21"/>
                <w:highlight w:val="none"/>
              </w:rPr>
              <w:t>小微企业（监狱企业、残疾人福利性单位</w:t>
            </w:r>
            <w:r>
              <w:rPr>
                <w:rFonts w:hint="eastAsia"/>
                <w:b/>
                <w:color w:val="auto"/>
                <w:sz w:val="21"/>
                <w:szCs w:val="21"/>
                <w:highlight w:val="none"/>
              </w:rPr>
              <w:t>视同小微企业</w:t>
            </w:r>
            <w:r>
              <w:rPr>
                <w:rFonts w:hint="eastAsia" w:cs="Times New Roman"/>
                <w:b/>
                <w:color w:val="auto"/>
                <w:kern w:val="2"/>
                <w:sz w:val="21"/>
                <w:szCs w:val="21"/>
                <w:highlight w:val="none"/>
              </w:rPr>
              <w:t>）价格扣除</w:t>
            </w:r>
          </w:p>
          <w:p>
            <w:pPr>
              <w:pStyle w:val="55"/>
              <w:ind w:left="38"/>
              <w:jc w:val="center"/>
              <w:rPr>
                <w:rFonts w:cs="Times New Roman"/>
                <w:b/>
                <w:color w:val="auto"/>
                <w:kern w:val="2"/>
                <w:sz w:val="21"/>
                <w:szCs w:val="21"/>
                <w:highlight w:val="none"/>
              </w:rPr>
            </w:pPr>
            <w:r>
              <w:rPr>
                <w:rFonts w:hint="eastAsia"/>
                <w:b/>
                <w:color w:val="auto"/>
                <w:sz w:val="21"/>
                <w:szCs w:val="21"/>
                <w:highlight w:val="none"/>
              </w:rPr>
              <w:t>（实质性要求）</w:t>
            </w:r>
          </w:p>
        </w:tc>
        <w:tc>
          <w:tcPr>
            <w:tcW w:w="6678" w:type="dxa"/>
            <w:vAlign w:val="center"/>
          </w:tcPr>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小微企业（监狱企业、残疾人福利性单位视同小微企业）价格扣除</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1、根据《政府采购促进中小企业发展管理办法》（财库〔2020〕46号）的规定，对符合本办法规定的小微企业报价给予10%的价格扣除，用扣除后的价格参加评审。</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2、以联合体形式参加政府采购活动，联合体各方均为中小企业的，联合体视同中小企业。其中，联合体各方均为小微企业的，联合体视同小微企业。</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3、接受大中型企业与小微企业组成联合体或者允许大中型企业向一家或者多家小微企业分包的采购项目，对于联合协议或者分包意向协议约定小微企业的合同份额占到合同总金额30%以上的，当对联合体或者大中型企业的报价给予3%的扣除，用扣除后的价格参加评审。组成联合体或者接受分包的小微企业与联合体内其他企业、分包企业之间存在直接控股、管理关系的，不享受价格扣除优惠政策。</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4、参加政府采购活动的中小企业应当提供《中小企业声明函》原件，否则不得享受相关中小企业扶持政策；残疾人福利性单位应当提供《残疾人福利性单位声明函》原件；监狱企业应当提供监狱企业的证明文件复印件。</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5、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符合中小企业划分标准的个体工商户，在政府采购活动中视同中小企业。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8</w:t>
            </w:r>
          </w:p>
        </w:tc>
        <w:tc>
          <w:tcPr>
            <w:tcW w:w="1985" w:type="dxa"/>
            <w:vAlign w:val="center"/>
          </w:tcPr>
          <w:p>
            <w:pPr>
              <w:pStyle w:val="55"/>
              <w:ind w:left="38"/>
              <w:jc w:val="center"/>
              <w:rPr>
                <w:rFonts w:cs="Times New Roman"/>
                <w:b/>
                <w:color w:val="auto"/>
                <w:kern w:val="2"/>
                <w:sz w:val="21"/>
                <w:szCs w:val="21"/>
                <w:highlight w:val="none"/>
              </w:rPr>
            </w:pPr>
            <w:r>
              <w:rPr>
                <w:rFonts w:hint="eastAsia"/>
                <w:b/>
                <w:bCs/>
                <w:color w:val="auto"/>
                <w:sz w:val="21"/>
                <w:szCs w:val="21"/>
                <w:highlight w:val="none"/>
                <w:lang w:val="zh-CN"/>
              </w:rPr>
              <w:t>失信企业报价加成</w:t>
            </w:r>
            <w:r>
              <w:rPr>
                <w:rFonts w:hint="eastAsia"/>
                <w:b/>
                <w:color w:val="auto"/>
                <w:sz w:val="21"/>
                <w:szCs w:val="21"/>
                <w:highlight w:val="none"/>
              </w:rPr>
              <w:t>（实质性要求）</w:t>
            </w:r>
          </w:p>
        </w:tc>
        <w:tc>
          <w:tcPr>
            <w:tcW w:w="6678" w:type="dxa"/>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1、对记入诚信档案且在有效期内的失信投标人，参加政府采购活动按照10%的报价加成，以加成后报价作为该投标人报价参与评审。投标人失信行为惩戒实行无限制累加制，因其失信行为进行报价加成惩戒后报价超过政府采购预算的，其投标文件按照无效处理。</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2、投标人参加政府采购活动时，应当就自己的诚信情况在投标文件中进行承诺。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9</w:t>
            </w:r>
          </w:p>
        </w:tc>
        <w:tc>
          <w:tcPr>
            <w:tcW w:w="1985" w:type="dxa"/>
            <w:vAlign w:val="center"/>
          </w:tcPr>
          <w:p>
            <w:pPr>
              <w:spacing w:line="360" w:lineRule="auto"/>
              <w:ind w:left="105" w:leftChars="50" w:right="105" w:rightChars="50"/>
              <w:jc w:val="center"/>
              <w:rPr>
                <w:rFonts w:ascii="宋体"/>
                <w:b/>
                <w:color w:val="auto"/>
                <w:kern w:val="0"/>
                <w:szCs w:val="21"/>
                <w:highlight w:val="none"/>
              </w:rPr>
            </w:pPr>
            <w:r>
              <w:rPr>
                <w:rFonts w:hint="eastAsia" w:ascii="宋体"/>
                <w:b/>
                <w:color w:val="auto"/>
                <w:kern w:val="0"/>
                <w:szCs w:val="21"/>
                <w:highlight w:val="none"/>
                <w:lang w:val="zh-CN"/>
              </w:rPr>
              <w:t>节能、环保及无线局域网产品政府采购政策</w:t>
            </w:r>
          </w:p>
        </w:tc>
        <w:tc>
          <w:tcPr>
            <w:tcW w:w="6678" w:type="dxa"/>
            <w:vAlign w:val="center"/>
          </w:tcPr>
          <w:p>
            <w:pPr>
              <w:spacing w:after="120" w:afterLines="50" w:line="288" w:lineRule="auto"/>
              <w:ind w:left="105" w:leftChars="50" w:right="105" w:rightChars="50"/>
              <w:jc w:val="left"/>
              <w:rPr>
                <w:rFonts w:ascii="宋体"/>
                <w:color w:val="auto"/>
                <w:kern w:val="0"/>
                <w:szCs w:val="21"/>
                <w:highlight w:val="none"/>
              </w:rPr>
            </w:pPr>
            <w:r>
              <w:rPr>
                <w:rFonts w:hint="eastAsia" w:ascii="宋体" w:hAnsi="宋体"/>
                <w:color w:val="auto"/>
                <w:szCs w:val="21"/>
                <w:highlight w:val="none"/>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10</w:t>
            </w:r>
          </w:p>
        </w:tc>
        <w:tc>
          <w:tcPr>
            <w:tcW w:w="1985" w:type="dxa"/>
            <w:vAlign w:val="center"/>
          </w:tcPr>
          <w:p>
            <w:pPr>
              <w:pStyle w:val="55"/>
              <w:spacing w:line="360" w:lineRule="auto"/>
              <w:ind w:left="96"/>
              <w:jc w:val="center"/>
              <w:rPr>
                <w:b/>
                <w:color w:val="auto"/>
                <w:sz w:val="21"/>
                <w:szCs w:val="21"/>
                <w:highlight w:val="none"/>
                <w:lang w:val="zh-CN"/>
              </w:rPr>
            </w:pPr>
            <w:r>
              <w:rPr>
                <w:rFonts w:hint="eastAsia"/>
                <w:b/>
                <w:color w:val="auto"/>
                <w:sz w:val="21"/>
                <w:szCs w:val="21"/>
                <w:highlight w:val="none"/>
                <w:lang w:val="zh-CN"/>
              </w:rPr>
              <w:t>投标保证金</w:t>
            </w:r>
          </w:p>
          <w:p>
            <w:pPr>
              <w:pStyle w:val="55"/>
              <w:spacing w:line="360" w:lineRule="auto"/>
              <w:ind w:left="96"/>
              <w:jc w:val="center"/>
              <w:rPr>
                <w:b/>
                <w:color w:val="auto"/>
                <w:sz w:val="21"/>
                <w:szCs w:val="21"/>
                <w:highlight w:val="none"/>
                <w:lang w:val="zh-CN"/>
              </w:rPr>
            </w:pPr>
            <w:r>
              <w:rPr>
                <w:rFonts w:hint="eastAsia"/>
                <w:b/>
                <w:color w:val="auto"/>
                <w:sz w:val="21"/>
                <w:szCs w:val="21"/>
                <w:highlight w:val="none"/>
                <w:lang w:val="zh-CN"/>
              </w:rPr>
              <w:t>（实质性要求）</w:t>
            </w:r>
          </w:p>
        </w:tc>
        <w:tc>
          <w:tcPr>
            <w:tcW w:w="6678" w:type="dxa"/>
            <w:vAlign w:val="center"/>
          </w:tcPr>
          <w:p>
            <w:pPr>
              <w:pStyle w:val="55"/>
              <w:spacing w:after="120" w:afterLines="50" w:line="288" w:lineRule="auto"/>
              <w:ind w:right="105" w:rightChars="50"/>
              <w:rPr>
                <w:b/>
                <w:color w:val="auto"/>
                <w:sz w:val="21"/>
                <w:szCs w:val="21"/>
                <w:highlight w:val="none"/>
                <w:lang w:val="zh-CN"/>
              </w:rPr>
            </w:pPr>
            <w:r>
              <w:rPr>
                <w:rFonts w:hint="eastAsia"/>
                <w:color w:val="auto"/>
                <w:sz w:val="21"/>
                <w:szCs w:val="21"/>
                <w:highlight w:val="none"/>
                <w:lang w:val="zh-CN"/>
              </w:rPr>
              <w:t>响应川财采[2020]28号文件本项目</w:t>
            </w:r>
            <w:r>
              <w:rPr>
                <w:rFonts w:hint="eastAsia"/>
                <w:color w:val="auto"/>
                <w:sz w:val="21"/>
                <w:szCs w:val="21"/>
                <w:highlight w:val="none"/>
              </w:rPr>
              <w:t>不缴纳</w:t>
            </w:r>
            <w:r>
              <w:rPr>
                <w:rFonts w:hint="eastAsia"/>
                <w:color w:val="auto"/>
                <w:sz w:val="21"/>
                <w:szCs w:val="21"/>
                <w:highlight w:val="none"/>
                <w:lang w:val="zh-CN"/>
              </w:rPr>
              <w:t>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11</w:t>
            </w:r>
          </w:p>
        </w:tc>
        <w:tc>
          <w:tcPr>
            <w:tcW w:w="198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保证金退还所需资料</w:t>
            </w:r>
          </w:p>
        </w:tc>
        <w:tc>
          <w:tcPr>
            <w:tcW w:w="6678" w:type="dxa"/>
            <w:vAlign w:val="center"/>
          </w:tcPr>
          <w:p>
            <w:pPr>
              <w:spacing w:after="120" w:afterLines="50" w:line="288" w:lineRule="auto"/>
              <w:ind w:left="105" w:right="105" w:rightChars="50"/>
              <w:jc w:val="left"/>
              <w:rPr>
                <w:color w:val="auto"/>
                <w:highlight w:val="none"/>
                <w:lang w:eastAsia="zh-Hans"/>
              </w:rPr>
            </w:pPr>
            <w:r>
              <w:rPr>
                <w:rFonts w:hint="eastAsia"/>
                <w:color w:val="auto"/>
                <w:highlight w:val="none"/>
                <w:lang w:eastAsia="zh-Hans"/>
              </w:rPr>
              <w:t>本项目不涉及</w:t>
            </w:r>
            <w:r>
              <w:rPr>
                <w:color w:val="auto"/>
                <w:highlight w:val="none"/>
                <w:lang w:eastAsia="zh-Hans"/>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12</w:t>
            </w:r>
          </w:p>
        </w:tc>
        <w:tc>
          <w:tcPr>
            <w:tcW w:w="1985" w:type="dxa"/>
            <w:vAlign w:val="center"/>
          </w:tcPr>
          <w:p>
            <w:pPr>
              <w:pStyle w:val="55"/>
              <w:spacing w:line="360" w:lineRule="auto"/>
              <w:ind w:left="96"/>
              <w:jc w:val="center"/>
              <w:rPr>
                <w:color w:val="auto"/>
                <w:sz w:val="21"/>
                <w:szCs w:val="21"/>
                <w:highlight w:val="none"/>
                <w:lang w:val="zh-CN"/>
              </w:rPr>
            </w:pPr>
            <w:r>
              <w:rPr>
                <w:rFonts w:hint="eastAsia"/>
                <w:color w:val="auto"/>
                <w:sz w:val="21"/>
                <w:szCs w:val="21"/>
                <w:highlight w:val="none"/>
                <w:lang w:val="zh-CN"/>
              </w:rPr>
              <w:t>履约保证金</w:t>
            </w:r>
          </w:p>
        </w:tc>
        <w:tc>
          <w:tcPr>
            <w:tcW w:w="6678" w:type="dxa"/>
            <w:vAlign w:val="center"/>
          </w:tcPr>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不缴纳□</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  纳☑</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缴纳金额：合同金额的10%</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缴纳方式：通过基本账户以银行转账方式缴纳。</w:t>
            </w:r>
          </w:p>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缴纳时间：中标通知书领取后，合同签订前。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13</w:t>
            </w:r>
          </w:p>
        </w:tc>
        <w:tc>
          <w:tcPr>
            <w:tcW w:w="1985" w:type="dxa"/>
            <w:tcBorders>
              <w:top w:val="single" w:color="auto" w:sz="4" w:space="0"/>
              <w:bottom w:val="single" w:color="auto" w:sz="4" w:space="0"/>
            </w:tcBorders>
            <w:vAlign w:val="center"/>
          </w:tcPr>
          <w:p>
            <w:pPr>
              <w:pStyle w:val="55"/>
              <w:spacing w:line="360" w:lineRule="auto"/>
              <w:jc w:val="center"/>
              <w:rPr>
                <w:rFonts w:cs="Times New Roman"/>
                <w:color w:val="auto"/>
                <w:kern w:val="2"/>
                <w:sz w:val="21"/>
                <w:szCs w:val="21"/>
                <w:highlight w:val="none"/>
              </w:rPr>
            </w:pPr>
            <w:r>
              <w:rPr>
                <w:rFonts w:hint="eastAsia" w:cs="Times New Roman"/>
                <w:bCs/>
                <w:color w:val="auto"/>
                <w:kern w:val="2"/>
                <w:sz w:val="21"/>
                <w:szCs w:val="21"/>
                <w:highlight w:val="none"/>
              </w:rPr>
              <w:t>采购文件内容咨询</w:t>
            </w:r>
          </w:p>
        </w:tc>
        <w:tc>
          <w:tcPr>
            <w:tcW w:w="6678" w:type="dxa"/>
            <w:tcBorders>
              <w:top w:val="single" w:color="auto" w:sz="4" w:space="0"/>
              <w:bottom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14</w:t>
            </w:r>
          </w:p>
        </w:tc>
        <w:tc>
          <w:tcPr>
            <w:tcW w:w="1985" w:type="dxa"/>
            <w:tcBorders>
              <w:top w:val="single" w:color="auto" w:sz="4" w:space="0"/>
              <w:bottom w:val="single" w:color="auto" w:sz="4" w:space="0"/>
            </w:tcBorders>
            <w:vAlign w:val="center"/>
          </w:tcPr>
          <w:p>
            <w:pPr>
              <w:pStyle w:val="55"/>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开标、评标工作咨询</w:t>
            </w:r>
          </w:p>
        </w:tc>
        <w:tc>
          <w:tcPr>
            <w:tcW w:w="6678" w:type="dxa"/>
            <w:tcBorders>
              <w:top w:val="single" w:color="auto" w:sz="4" w:space="0"/>
              <w:bottom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15</w:t>
            </w:r>
          </w:p>
        </w:tc>
        <w:tc>
          <w:tcPr>
            <w:tcW w:w="1985" w:type="dxa"/>
            <w:tcBorders>
              <w:top w:val="single" w:color="auto" w:sz="4" w:space="0"/>
              <w:bottom w:val="single" w:color="auto" w:sz="4" w:space="0"/>
            </w:tcBorders>
            <w:vAlign w:val="center"/>
          </w:tcPr>
          <w:p>
            <w:pPr>
              <w:pStyle w:val="55"/>
              <w:spacing w:line="360" w:lineRule="auto"/>
              <w:jc w:val="center"/>
              <w:rPr>
                <w:color w:val="auto"/>
                <w:sz w:val="21"/>
                <w:szCs w:val="21"/>
                <w:highlight w:val="none"/>
              </w:rPr>
            </w:pPr>
            <w:r>
              <w:rPr>
                <w:rFonts w:hint="eastAsia"/>
                <w:color w:val="auto"/>
                <w:sz w:val="21"/>
                <w:szCs w:val="21"/>
                <w:highlight w:val="none"/>
              </w:rPr>
              <w:t>评标情况公告</w:t>
            </w:r>
          </w:p>
        </w:tc>
        <w:tc>
          <w:tcPr>
            <w:tcW w:w="6678" w:type="dxa"/>
            <w:tcBorders>
              <w:top w:val="single" w:color="auto" w:sz="4" w:space="0"/>
              <w:bottom w:val="single" w:color="auto" w:sz="4" w:space="0"/>
            </w:tcBorders>
            <w:vAlign w:val="center"/>
          </w:tcPr>
          <w:p>
            <w:pPr>
              <w:pStyle w:val="55"/>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所有投标人投标文件资格性、符合性检查情况、采用综合评分法时的总得分和分项汇总得分情况、评标结果等将在四川政府采购网上采购结果公告栏中予以公告。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3" w:hRule="atLeast"/>
          <w:jc w:val="center"/>
        </w:trPr>
        <w:tc>
          <w:tcPr>
            <w:tcW w:w="838" w:type="dxa"/>
            <w:tcBorders>
              <w:top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16</w:t>
            </w:r>
          </w:p>
        </w:tc>
        <w:tc>
          <w:tcPr>
            <w:tcW w:w="1985" w:type="dxa"/>
            <w:tcBorders>
              <w:top w:val="single" w:color="auto" w:sz="4" w:space="0"/>
            </w:tcBorders>
            <w:vAlign w:val="center"/>
          </w:tcPr>
          <w:p>
            <w:pPr>
              <w:spacing w:line="360" w:lineRule="auto"/>
              <w:ind w:left="105" w:leftChars="50" w:right="105" w:rightChars="50"/>
              <w:rPr>
                <w:rFonts w:ascii="宋体" w:hAnsi="宋体"/>
                <w:color w:val="auto"/>
                <w:szCs w:val="21"/>
                <w:highlight w:val="none"/>
              </w:rPr>
            </w:pPr>
            <w:r>
              <w:rPr>
                <w:rFonts w:hint="eastAsia" w:ascii="宋体" w:hAnsi="宋体"/>
                <w:color w:val="auto"/>
                <w:szCs w:val="21"/>
                <w:highlight w:val="none"/>
              </w:rPr>
              <w:t>中标通知书领取</w:t>
            </w:r>
          </w:p>
        </w:tc>
        <w:tc>
          <w:tcPr>
            <w:tcW w:w="6678" w:type="dxa"/>
            <w:tcBorders>
              <w:top w:val="single" w:color="auto" w:sz="4" w:space="0"/>
            </w:tcBorders>
            <w:vAlign w:val="center"/>
          </w:tcPr>
          <w:p>
            <w:pPr>
              <w:spacing w:after="120" w:afterLines="50" w:line="288" w:lineRule="auto"/>
              <w:ind w:left="105" w:leftChars="50" w:right="105" w:rightChars="50"/>
              <w:rPr>
                <w:rFonts w:ascii="宋体" w:hAnsi="宋体"/>
                <w:color w:val="auto"/>
                <w:szCs w:val="21"/>
                <w:highlight w:val="none"/>
                <w:lang w:val="zh-CN"/>
              </w:rPr>
            </w:pPr>
            <w:r>
              <w:rPr>
                <w:rFonts w:hint="eastAsia" w:ascii="宋体" w:hAnsi="宋体"/>
                <w:color w:val="auto"/>
                <w:szCs w:val="21"/>
                <w:highlight w:val="none"/>
                <w:lang w:val="zh-CN"/>
              </w:rPr>
              <w:t>在四川政府采购网公告中标结果同时发出中标通知书，中标供应商自行登录政府采购云平台下载中标通知书。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17</w:t>
            </w:r>
          </w:p>
        </w:tc>
        <w:tc>
          <w:tcPr>
            <w:tcW w:w="1985" w:type="dxa"/>
            <w:tcBorders>
              <w:top w:val="single" w:color="auto" w:sz="4" w:space="0"/>
            </w:tcBorders>
            <w:vAlign w:val="center"/>
          </w:tcPr>
          <w:p>
            <w:pPr>
              <w:pStyle w:val="55"/>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投标人询问</w:t>
            </w:r>
          </w:p>
        </w:tc>
        <w:tc>
          <w:tcPr>
            <w:tcW w:w="6678" w:type="dxa"/>
            <w:tcBorders>
              <w:top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rPr>
              <w:t>根据《中华人民共和国财政部令第94号--政府采购质疑和投诉办法》、委托代理协议约定，投标人询问由</w:t>
            </w:r>
            <w:r>
              <w:rPr>
                <w:rFonts w:hint="eastAsia" w:ascii="宋体" w:hAnsi="宋体"/>
                <w:color w:val="auto"/>
                <w:szCs w:val="21"/>
                <w:highlight w:val="none"/>
                <w:lang w:val="zh-CN"/>
              </w:rPr>
              <w:t>采购代理机构负责答复。</w:t>
            </w:r>
            <w:r>
              <w:rPr>
                <w:rFonts w:hint="eastAsia"/>
                <w:b/>
                <w:color w:val="auto"/>
                <w:highlight w:val="none"/>
              </w:rPr>
              <w:t>询问必须以书面形式（原件）提出，以其他形式提出的询问均不接受和回复。</w:t>
            </w:r>
          </w:p>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lang w:val="zh-CN"/>
              </w:rPr>
              <w:t>联系人、联系电话及地址详见本表第2项。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18</w:t>
            </w:r>
          </w:p>
        </w:tc>
        <w:tc>
          <w:tcPr>
            <w:tcW w:w="1985" w:type="dxa"/>
            <w:vAlign w:val="center"/>
          </w:tcPr>
          <w:p>
            <w:pPr>
              <w:pStyle w:val="55"/>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投标人质疑</w:t>
            </w:r>
          </w:p>
        </w:tc>
        <w:tc>
          <w:tcPr>
            <w:tcW w:w="6678" w:type="dxa"/>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根据《中华人民共和国财政部令第94号--政府采购质疑和投诉办法》、委托代理协议约定，投标人质疑由</w:t>
            </w:r>
            <w:r>
              <w:rPr>
                <w:rFonts w:hint="eastAsia" w:ascii="宋体" w:hAnsi="宋体"/>
                <w:color w:val="auto"/>
                <w:szCs w:val="21"/>
                <w:highlight w:val="none"/>
                <w:lang w:val="zh-CN"/>
              </w:rPr>
              <w:t>采购代理机构负责答复。</w:t>
            </w:r>
            <w:r>
              <w:rPr>
                <w:rFonts w:hint="eastAsia"/>
                <w:b/>
                <w:color w:val="auto"/>
                <w:highlight w:val="none"/>
              </w:rPr>
              <w:t>质疑必须以书面形式（原件）提出，以其他形式提出的质疑均不接受和回复。</w:t>
            </w:r>
          </w:p>
          <w:p>
            <w:pP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lang w:val="zh-CN"/>
              </w:rPr>
              <w:t>联系人、联系电话及地址详见本表第2项。</w:t>
            </w:r>
          </w:p>
          <w:p>
            <w:pP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lang w:val="zh-CN"/>
              </w:rPr>
              <w:t>注：</w:t>
            </w:r>
          </w:p>
          <w:p>
            <w:pP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lang w:val="zh-CN"/>
              </w:rPr>
              <w:t>1.根据《中华人民共和国政府采购法》的规定，投标人质疑不得超出采购文件、采购过程、采购结果的范围。</w:t>
            </w:r>
          </w:p>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2.投标人应当在法定质疑期内一次性提出针对同一采购程序环节的质疑。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6"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19</w:t>
            </w:r>
          </w:p>
        </w:tc>
        <w:tc>
          <w:tcPr>
            <w:tcW w:w="1985" w:type="dxa"/>
            <w:vAlign w:val="center"/>
          </w:tcPr>
          <w:p>
            <w:pPr>
              <w:pStyle w:val="55"/>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投标人投诉</w:t>
            </w:r>
          </w:p>
        </w:tc>
        <w:tc>
          <w:tcPr>
            <w:tcW w:w="6678" w:type="dxa"/>
            <w:vAlign w:val="center"/>
          </w:tcPr>
          <w:p>
            <w:pPr>
              <w:spacing w:after="120" w:afterLines="50" w:line="288" w:lineRule="auto"/>
              <w:ind w:left="105" w:leftChars="50" w:right="105" w:rightChars="50"/>
              <w:jc w:val="left"/>
              <w:rPr>
                <w:color w:val="auto"/>
                <w:szCs w:val="21"/>
                <w:highlight w:val="none"/>
              </w:rPr>
            </w:pPr>
            <w:r>
              <w:rPr>
                <w:rFonts w:hint="eastAsia"/>
                <w:color w:val="auto"/>
                <w:szCs w:val="21"/>
                <w:highlight w:val="none"/>
              </w:rPr>
              <w:t>投诉受理单位：本采购项目同级财政部门，即成都市财政局。</w:t>
            </w:r>
          </w:p>
          <w:p>
            <w:pPr>
              <w:spacing w:after="120" w:afterLines="50" w:line="288" w:lineRule="auto"/>
              <w:ind w:left="105" w:leftChars="50" w:right="105" w:rightChars="50"/>
              <w:jc w:val="left"/>
              <w:rPr>
                <w:color w:val="auto"/>
                <w:szCs w:val="21"/>
                <w:highlight w:val="none"/>
              </w:rPr>
            </w:pPr>
            <w:r>
              <w:rPr>
                <w:rFonts w:hint="eastAsia"/>
                <w:color w:val="auto"/>
                <w:szCs w:val="21"/>
                <w:highlight w:val="none"/>
              </w:rPr>
              <w:t>联系电话：028-61882648。</w:t>
            </w:r>
          </w:p>
          <w:p>
            <w:pPr>
              <w:spacing w:after="120" w:afterLines="50" w:line="288" w:lineRule="auto"/>
              <w:ind w:left="105" w:leftChars="50" w:right="105" w:rightChars="50"/>
              <w:jc w:val="left"/>
              <w:rPr>
                <w:color w:val="auto"/>
                <w:szCs w:val="21"/>
                <w:highlight w:val="none"/>
              </w:rPr>
            </w:pPr>
            <w:r>
              <w:rPr>
                <w:rFonts w:hint="eastAsia"/>
                <w:color w:val="auto"/>
                <w:szCs w:val="21"/>
                <w:highlight w:val="none"/>
              </w:rPr>
              <w:t>地址：成都市高新区锦城大道366号。</w:t>
            </w:r>
          </w:p>
          <w:p>
            <w:pPr>
              <w:spacing w:after="120" w:afterLines="50" w:line="288" w:lineRule="auto"/>
              <w:ind w:left="105" w:leftChars="50" w:right="105" w:rightChars="50"/>
              <w:jc w:val="left"/>
              <w:rPr>
                <w:color w:val="auto"/>
                <w:szCs w:val="21"/>
                <w:highlight w:val="none"/>
              </w:rPr>
            </w:pPr>
            <w:r>
              <w:rPr>
                <w:rFonts w:hint="eastAsia" w:ascii="宋体" w:hAnsi="宋体"/>
                <w:color w:val="auto"/>
                <w:szCs w:val="21"/>
                <w:highlight w:val="none"/>
              </w:rPr>
              <w:t>注：根据《中华人民共和国政府采购法实施条例》的规定，投标人</w:t>
            </w:r>
            <w:r>
              <w:rPr>
                <w:rFonts w:hint="eastAsia" w:hAnsi="宋体"/>
                <w:color w:val="auto"/>
                <w:szCs w:val="21"/>
                <w:highlight w:val="none"/>
              </w:rPr>
              <w:t>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20</w:t>
            </w:r>
          </w:p>
        </w:tc>
        <w:tc>
          <w:tcPr>
            <w:tcW w:w="1985" w:type="dxa"/>
            <w:tcBorders>
              <w:right w:val="single" w:color="auto" w:sz="4" w:space="0"/>
            </w:tcBorders>
            <w:vAlign w:val="center"/>
          </w:tcPr>
          <w:p>
            <w:pP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政府采购合同</w:t>
            </w:r>
          </w:p>
          <w:p>
            <w:pP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公告备案</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政府采购合同签订之日起2个工作日内，采购人应将政府采购合同在四川政府采购网公告；政府采购合同签订之日起7个工作日内，政府采购合同将向本采购项目同级财政部门备案</w:t>
            </w:r>
            <w:r>
              <w:rPr>
                <w:rFonts w:hint="eastAsia" w:ascii="宋体" w:hAnsi="宋体"/>
                <w:color w:val="auto"/>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21</w:t>
            </w:r>
          </w:p>
        </w:tc>
        <w:tc>
          <w:tcPr>
            <w:tcW w:w="1985" w:type="dxa"/>
            <w:tcBorders>
              <w:right w:val="single" w:color="auto" w:sz="4" w:space="0"/>
            </w:tcBorders>
            <w:vAlign w:val="center"/>
          </w:tcPr>
          <w:p>
            <w:pPr>
              <w:pStyle w:val="55"/>
              <w:spacing w:line="360" w:lineRule="auto"/>
              <w:ind w:left="96"/>
              <w:jc w:val="center"/>
              <w:rPr>
                <w:color w:val="auto"/>
                <w:sz w:val="21"/>
                <w:szCs w:val="21"/>
                <w:highlight w:val="none"/>
              </w:rPr>
            </w:pPr>
            <w:r>
              <w:rPr>
                <w:rFonts w:hint="eastAsia"/>
                <w:color w:val="auto"/>
                <w:sz w:val="21"/>
                <w:szCs w:val="21"/>
                <w:highlight w:val="none"/>
                <w:lang w:val="zh-CN"/>
              </w:rPr>
              <w:t>采购代理服务费</w:t>
            </w:r>
          </w:p>
        </w:tc>
        <w:tc>
          <w:tcPr>
            <w:tcW w:w="6678" w:type="dxa"/>
            <w:tcBorders>
              <w:left w:val="single" w:color="auto" w:sz="4" w:space="0"/>
            </w:tcBorders>
            <w:vAlign w:val="center"/>
          </w:tcPr>
          <w:p>
            <w:pPr>
              <w:pStyle w:val="55"/>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以中标金额作为计算基数,100万（含）以下部分乘以1.5%计算收取，100-500万（含）部分乘以</w:t>
            </w:r>
            <w:r>
              <w:rPr>
                <w:rFonts w:hint="eastAsia"/>
                <w:color w:val="auto"/>
                <w:sz w:val="21"/>
                <w:szCs w:val="21"/>
                <w:highlight w:val="none"/>
              </w:rPr>
              <w:t>1.1</w:t>
            </w:r>
            <w:r>
              <w:rPr>
                <w:rFonts w:hint="eastAsia"/>
                <w:color w:val="auto"/>
                <w:sz w:val="21"/>
                <w:szCs w:val="21"/>
                <w:highlight w:val="none"/>
                <w:lang w:val="zh-CN"/>
              </w:rPr>
              <w:t>%计算收取，按以上各项结果累计计算后乘以80%计算收取。由中标人在领取中标通知书前向招标代理机构交纳招标代理服务费。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22</w:t>
            </w:r>
          </w:p>
        </w:tc>
        <w:tc>
          <w:tcPr>
            <w:tcW w:w="1985" w:type="dxa"/>
            <w:tcBorders>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其他要求</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中标人在合同签订之后三个工作日内，将签订的合同（一份原件）送采购代理机构。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23</w:t>
            </w:r>
          </w:p>
        </w:tc>
        <w:tc>
          <w:tcPr>
            <w:tcW w:w="1985" w:type="dxa"/>
            <w:tcBorders>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s="宋体"/>
                <w:color w:val="auto"/>
                <w:szCs w:val="21"/>
                <w:highlight w:val="none"/>
              </w:rPr>
              <w:t>信用融资政策</w:t>
            </w:r>
          </w:p>
        </w:tc>
        <w:tc>
          <w:tcPr>
            <w:tcW w:w="6678" w:type="dxa"/>
            <w:tcBorders>
              <w:left w:val="single" w:color="auto" w:sz="4" w:space="0"/>
            </w:tcBorders>
            <w:vAlign w:val="center"/>
          </w:tcPr>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根据《四川省财政厅关于推进四川省政府采购供应商信用融资工作的通知》(川财采(2018)123号)等有关规定。本项目可开展中小企业政府采购信用融资政策。</w:t>
            </w:r>
          </w:p>
          <w:p>
            <w:pP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w:t>
            </w:r>
            <w:r>
              <w:rPr>
                <w:rFonts w:ascii="宋体" w:hAnsi="宋体"/>
                <w:color w:val="auto"/>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6" w:hRule="atLeast"/>
          <w:jc w:val="center"/>
        </w:trPr>
        <w:tc>
          <w:tcPr>
            <w:tcW w:w="838" w:type="dxa"/>
            <w:vAlign w:val="center"/>
          </w:tcPr>
          <w:p>
            <w:pPr>
              <w:ind w:firstLine="105" w:firstLineChars="50"/>
              <w:jc w:val="center"/>
              <w:rPr>
                <w:rFonts w:ascii="宋体" w:hAnsi="宋体"/>
                <w:color w:val="auto"/>
                <w:szCs w:val="21"/>
                <w:highlight w:val="none"/>
              </w:rPr>
            </w:pPr>
            <w:r>
              <w:rPr>
                <w:rFonts w:hint="eastAsia" w:ascii="宋体" w:hAnsi="宋体"/>
                <w:color w:val="auto"/>
                <w:szCs w:val="21"/>
                <w:highlight w:val="none"/>
              </w:rPr>
              <w:t>24</w:t>
            </w:r>
          </w:p>
        </w:tc>
        <w:tc>
          <w:tcPr>
            <w:tcW w:w="1985" w:type="dxa"/>
            <w:tcBorders>
              <w:right w:val="single" w:color="auto" w:sz="4" w:space="0"/>
            </w:tcBorders>
            <w:vAlign w:val="center"/>
          </w:tcPr>
          <w:p>
            <w:pPr>
              <w:pStyle w:val="55"/>
              <w:ind w:left="96"/>
              <w:jc w:val="center"/>
              <w:rPr>
                <w:rFonts w:cs="Times New Roman"/>
                <w:color w:val="auto"/>
                <w:kern w:val="2"/>
                <w:sz w:val="21"/>
                <w:szCs w:val="21"/>
                <w:highlight w:val="none"/>
              </w:rPr>
            </w:pPr>
            <w:r>
              <w:rPr>
                <w:rFonts w:hint="eastAsia" w:cs="Times New Roman"/>
                <w:color w:val="auto"/>
                <w:kern w:val="2"/>
                <w:sz w:val="21"/>
                <w:szCs w:val="21"/>
                <w:highlight w:val="none"/>
                <w:lang w:val="zh-CN"/>
              </w:rPr>
              <w:t>温馨提示</w:t>
            </w:r>
          </w:p>
        </w:tc>
        <w:tc>
          <w:tcPr>
            <w:tcW w:w="6678" w:type="dxa"/>
            <w:tcBorders>
              <w:left w:val="single" w:color="auto" w:sz="4" w:space="0"/>
            </w:tcBorders>
            <w:vAlign w:val="center"/>
          </w:tcPr>
          <w:p>
            <w:pPr>
              <w:pStyle w:val="55"/>
              <w:numPr>
                <w:ilvl w:val="0"/>
                <w:numId w:val="1"/>
              </w:numPr>
              <w:rPr>
                <w:rFonts w:cs="Times New Roman"/>
                <w:color w:val="auto"/>
                <w:kern w:val="2"/>
                <w:sz w:val="21"/>
                <w:szCs w:val="21"/>
                <w:highlight w:val="none"/>
                <w:lang w:val="zh-CN"/>
              </w:rPr>
            </w:pPr>
            <w:r>
              <w:rPr>
                <w:rFonts w:hint="eastAsia" w:cs="Times New Roman"/>
                <w:color w:val="auto"/>
                <w:kern w:val="2"/>
                <w:sz w:val="21"/>
                <w:szCs w:val="21"/>
                <w:highlight w:val="none"/>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55"/>
              <w:numPr>
                <w:ilvl w:val="0"/>
                <w:numId w:val="1"/>
              </w:numPr>
              <w:jc w:val="both"/>
              <w:rPr>
                <w:rFonts w:cs="Times New Roman"/>
                <w:color w:val="auto"/>
                <w:kern w:val="2"/>
                <w:sz w:val="21"/>
                <w:szCs w:val="21"/>
                <w:highlight w:val="none"/>
                <w:lang w:val="zh-CN"/>
              </w:rPr>
            </w:pPr>
            <w:r>
              <w:rPr>
                <w:rFonts w:hint="eastAsia" w:cs="Times New Roman"/>
                <w:color w:val="auto"/>
                <w:kern w:val="2"/>
                <w:sz w:val="21"/>
                <w:szCs w:val="21"/>
                <w:highlight w:val="none"/>
                <w:lang w:val="zh-CN"/>
              </w:rPr>
              <w:t>政府采购云平台供应商注册地址：</w:t>
            </w:r>
          </w:p>
          <w:p>
            <w:pPr>
              <w:pStyle w:val="55"/>
              <w:jc w:val="both"/>
              <w:rPr>
                <w:rFonts w:cs="Times New Roman"/>
                <w:color w:val="auto"/>
                <w:kern w:val="2"/>
                <w:sz w:val="21"/>
                <w:szCs w:val="21"/>
                <w:highlight w:val="none"/>
              </w:rPr>
            </w:pPr>
            <w:r>
              <w:rPr>
                <w:rFonts w:hint="eastAsia" w:cs="Times New Roman"/>
                <w:color w:val="auto"/>
                <w:kern w:val="2"/>
                <w:sz w:val="21"/>
                <w:szCs w:val="21"/>
                <w:highlight w:val="none"/>
                <w:lang w:val="zh-CN"/>
              </w:rPr>
              <w:t>https://middle.zcygov.cn/v-settle-front/registry?settleCategory=1&amp;entranceType=119&amp;utm=a0017.b1347.cl50.3.c0de9400b91b11eb870ad7da87d69c97</w:t>
            </w:r>
          </w:p>
        </w:tc>
      </w:tr>
    </w:tbl>
    <w:p>
      <w:pPr>
        <w:rPr>
          <w:rFonts w:ascii="宋体" w:hAnsi="宋体"/>
          <w:color w:val="auto"/>
          <w:highlight w:val="none"/>
        </w:rPr>
      </w:pPr>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二、总  则</w:t>
      </w:r>
    </w:p>
    <w:p>
      <w:pPr>
        <w:pStyle w:val="5"/>
        <w:spacing w:before="0" w:after="0" w:line="400" w:lineRule="exact"/>
        <w:ind w:firstLine="482" w:firstLineChars="200"/>
        <w:rPr>
          <w:rFonts w:ascii="宋体" w:hAnsi="宋体"/>
          <w:color w:val="auto"/>
          <w:sz w:val="24"/>
          <w:szCs w:val="24"/>
          <w:highlight w:val="none"/>
        </w:rPr>
      </w:pPr>
      <w:bookmarkStart w:id="42" w:name="_Toc183582205"/>
      <w:bookmarkStart w:id="43" w:name="_Toc183682342"/>
      <w:bookmarkStart w:id="44" w:name="_Toc217446034"/>
      <w:r>
        <w:rPr>
          <w:rFonts w:hint="eastAsia" w:ascii="宋体" w:hAnsi="宋体"/>
          <w:color w:val="auto"/>
          <w:sz w:val="24"/>
          <w:szCs w:val="24"/>
          <w:highlight w:val="none"/>
        </w:rPr>
        <w:t>1.</w:t>
      </w:r>
      <w:bookmarkEnd w:id="42"/>
      <w:bookmarkEnd w:id="43"/>
      <w:r>
        <w:rPr>
          <w:rFonts w:hint="eastAsia" w:ascii="宋体" w:hAnsi="宋体"/>
          <w:color w:val="auto"/>
          <w:sz w:val="24"/>
          <w:szCs w:val="24"/>
          <w:highlight w:val="none"/>
        </w:rPr>
        <w:t xml:space="preserve"> 适用范围</w:t>
      </w:r>
      <w:bookmarkEnd w:id="44"/>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 本招标文件仅适用于本次招标采购项目。</w:t>
      </w:r>
    </w:p>
    <w:p>
      <w:pPr>
        <w:pStyle w:val="5"/>
        <w:spacing w:before="0" w:after="0" w:line="400" w:lineRule="exact"/>
        <w:ind w:firstLine="482" w:firstLineChars="200"/>
        <w:rPr>
          <w:rFonts w:ascii="宋体" w:hAnsi="宋体"/>
          <w:color w:val="auto"/>
          <w:sz w:val="24"/>
          <w:highlight w:val="none"/>
        </w:rPr>
      </w:pPr>
      <w:bookmarkStart w:id="45" w:name="_Toc183682343"/>
      <w:bookmarkStart w:id="46" w:name="_Toc183582206"/>
      <w:bookmarkStart w:id="47" w:name="_Toc217446035"/>
      <w:r>
        <w:rPr>
          <w:rFonts w:hint="eastAsia" w:ascii="宋体" w:hAnsi="宋体"/>
          <w:color w:val="auto"/>
          <w:sz w:val="24"/>
          <w:highlight w:val="none"/>
        </w:rPr>
        <w:t xml:space="preserve">2. </w:t>
      </w:r>
      <w:bookmarkEnd w:id="45"/>
      <w:bookmarkEnd w:id="46"/>
      <w:r>
        <w:rPr>
          <w:rFonts w:hint="eastAsia" w:ascii="宋体" w:hAnsi="宋体"/>
          <w:color w:val="auto"/>
          <w:sz w:val="24"/>
          <w:highlight w:val="none"/>
        </w:rPr>
        <w:t>有关</w:t>
      </w:r>
      <w:r>
        <w:rPr>
          <w:rFonts w:hint="eastAsia" w:ascii="宋体" w:hAnsi="宋体"/>
          <w:color w:val="auto"/>
          <w:sz w:val="24"/>
          <w:szCs w:val="24"/>
          <w:highlight w:val="none"/>
        </w:rPr>
        <w:t>定义</w:t>
      </w:r>
      <w:bookmarkEnd w:id="47"/>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2.1 “采购人”系指依法进行政府采购的国家机关、事业单位、团体组织。本次招标的采购人是</w:t>
      </w:r>
      <w:r>
        <w:rPr>
          <w:rFonts w:hint="eastAsia" w:ascii="宋体" w:hAnsi="宋体"/>
          <w:color w:val="auto"/>
          <w:sz w:val="24"/>
          <w:highlight w:val="none"/>
          <w:u w:val="single"/>
        </w:rPr>
        <w:t xml:space="preserve"> </w:t>
      </w:r>
      <w:r>
        <w:rPr>
          <w:rFonts w:hint="eastAsia" w:ascii="宋体" w:hAnsi="宋体"/>
          <w:b/>
          <w:bCs/>
          <w:color w:val="auto"/>
          <w:sz w:val="24"/>
          <w:highlight w:val="none"/>
          <w:u w:val="single"/>
          <w:lang w:eastAsia="zh-Hans"/>
        </w:rPr>
        <w:t>成都市绿化工程队</w:t>
      </w:r>
      <w:r>
        <w:rPr>
          <w:rFonts w:hint="eastAsia" w:ascii="宋体" w:hAnsi="宋体"/>
          <w:b/>
          <w:bCs/>
          <w:color w:val="auto"/>
          <w:sz w:val="24"/>
          <w:highlight w:val="none"/>
          <w:u w:val="single"/>
        </w:rPr>
        <w:t xml:space="preserve"> </w:t>
      </w:r>
      <w:r>
        <w:rPr>
          <w:rFonts w:hint="eastAsia" w:ascii="宋体" w:hAnsi="宋体"/>
          <w:color w:val="auto"/>
          <w:sz w:val="24"/>
          <w:highlight w:val="none"/>
        </w:rPr>
        <w:t>。</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2.2 “采购代理机构” 系指根据采购人的委托依法办理招标事宜的采购机构。本次招标的采购代理机构是</w:t>
      </w:r>
      <w:r>
        <w:rPr>
          <w:rFonts w:hint="eastAsia" w:ascii="宋体" w:hAnsi="宋体"/>
          <w:b/>
          <w:bCs/>
          <w:color w:val="auto"/>
          <w:sz w:val="24"/>
          <w:highlight w:val="none"/>
          <w:u w:val="single"/>
        </w:rPr>
        <w:t>成都一问工程技术咨询有限公司</w:t>
      </w:r>
      <w:r>
        <w:rPr>
          <w:rFonts w:hint="eastAsia" w:ascii="宋体" w:hAnsi="宋体"/>
          <w:color w:val="auto"/>
          <w:sz w:val="24"/>
          <w:highlight w:val="none"/>
        </w:rPr>
        <w:t>。</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2.3 “招标采购单位”系指“采购人”和“采购代理机构”的统称。</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2.4 “投标人”系指购买了招标文件拟参加投标和向采购人提供货物及相应服务的投标人。</w:t>
      </w:r>
    </w:p>
    <w:p>
      <w:pPr>
        <w:pStyle w:val="5"/>
        <w:spacing w:before="0" w:after="0" w:line="400" w:lineRule="exact"/>
        <w:ind w:firstLine="482" w:firstLineChars="200"/>
        <w:rPr>
          <w:rFonts w:ascii="宋体" w:hAnsi="宋体"/>
          <w:color w:val="auto"/>
          <w:sz w:val="24"/>
          <w:highlight w:val="none"/>
        </w:rPr>
      </w:pPr>
      <w:bookmarkStart w:id="48" w:name="_Toc217446036"/>
      <w:bookmarkStart w:id="49" w:name="_Toc183582207"/>
      <w:bookmarkStart w:id="50" w:name="_Toc217390843"/>
      <w:bookmarkStart w:id="51" w:name="_Toc183682344"/>
      <w:r>
        <w:rPr>
          <w:rFonts w:hint="eastAsia" w:ascii="宋体" w:hAnsi="宋体"/>
          <w:color w:val="auto"/>
          <w:sz w:val="24"/>
          <w:highlight w:val="none"/>
        </w:rPr>
        <w:t>3. 合格的投标人</w:t>
      </w:r>
      <w:bookmarkEnd w:id="48"/>
      <w:bookmarkEnd w:id="49"/>
      <w:bookmarkEnd w:id="50"/>
      <w:bookmarkEnd w:id="51"/>
      <w:r>
        <w:rPr>
          <w:rFonts w:hint="eastAsia" w:ascii="宋体" w:hAnsi="宋体"/>
          <w:color w:val="auto"/>
          <w:sz w:val="24"/>
          <w:szCs w:val="24"/>
          <w:highlight w:val="none"/>
        </w:rPr>
        <w:t>（实质性要求）</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合格的投标人应具备以下条件：</w:t>
      </w:r>
    </w:p>
    <w:p>
      <w:pPr>
        <w:tabs>
          <w:tab w:val="left" w:pos="7665"/>
        </w:tabs>
        <w:spacing w:line="400" w:lineRule="exact"/>
        <w:ind w:firstLine="480" w:firstLineChars="200"/>
        <w:rPr>
          <w:rFonts w:ascii="宋体" w:hAnsi="宋体"/>
          <w:color w:val="auto"/>
          <w:spacing w:val="-4"/>
          <w:sz w:val="24"/>
          <w:highlight w:val="none"/>
        </w:rPr>
      </w:pPr>
      <w:r>
        <w:rPr>
          <w:rFonts w:hint="eastAsia" w:ascii="宋体" w:hAnsi="宋体"/>
          <w:color w:val="auto"/>
          <w:sz w:val="24"/>
          <w:highlight w:val="none"/>
        </w:rPr>
        <w:t>（1）本招标文件规定的投标人资格条件</w:t>
      </w:r>
      <w:r>
        <w:rPr>
          <w:rFonts w:hint="eastAsia" w:ascii="宋体" w:hAnsi="宋体"/>
          <w:color w:val="auto"/>
          <w:spacing w:val="-4"/>
          <w:sz w:val="24"/>
          <w:highlight w:val="none"/>
        </w:rPr>
        <w:t>；</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（2）遵守国家有关的法律、法规、规章和其他政策制度；</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（3）向采购代理机构购买了招标文件。</w:t>
      </w:r>
    </w:p>
    <w:p>
      <w:pPr>
        <w:pStyle w:val="5"/>
        <w:spacing w:before="0" w:after="0" w:line="400" w:lineRule="exact"/>
        <w:ind w:firstLine="482" w:firstLineChars="200"/>
        <w:rPr>
          <w:rFonts w:ascii="宋体" w:hAnsi="宋体"/>
          <w:color w:val="auto"/>
          <w:sz w:val="24"/>
          <w:highlight w:val="none"/>
        </w:rPr>
      </w:pPr>
      <w:bookmarkStart w:id="52" w:name="_Toc183682345"/>
      <w:bookmarkStart w:id="53" w:name="_Toc217446037"/>
      <w:bookmarkStart w:id="54" w:name="_Toc183582208"/>
      <w:r>
        <w:rPr>
          <w:rFonts w:hint="eastAsia" w:ascii="宋体" w:hAnsi="宋体"/>
          <w:color w:val="auto"/>
          <w:sz w:val="24"/>
          <w:highlight w:val="none"/>
        </w:rPr>
        <w:t>4. 投标费用</w:t>
      </w:r>
      <w:bookmarkEnd w:id="52"/>
      <w:bookmarkEnd w:id="53"/>
      <w:bookmarkEnd w:id="54"/>
      <w:r>
        <w:rPr>
          <w:rFonts w:hint="eastAsia" w:ascii="宋体" w:hAnsi="宋体"/>
          <w:color w:val="auto"/>
          <w:sz w:val="24"/>
          <w:szCs w:val="24"/>
          <w:highlight w:val="none"/>
        </w:rPr>
        <w:t>（实质性要求）</w:t>
      </w:r>
    </w:p>
    <w:p>
      <w:pPr>
        <w:tabs>
          <w:tab w:val="left" w:pos="7665"/>
        </w:tabs>
        <w:spacing w:line="400" w:lineRule="exact"/>
        <w:ind w:firstLine="480"/>
        <w:rPr>
          <w:rFonts w:ascii="宋体" w:hAnsi="宋体"/>
          <w:color w:val="auto"/>
          <w:sz w:val="24"/>
          <w:highlight w:val="none"/>
        </w:rPr>
      </w:pPr>
      <w:r>
        <w:rPr>
          <w:rFonts w:hint="eastAsia" w:ascii="宋体" w:hAnsi="宋体"/>
          <w:color w:val="auto"/>
          <w:sz w:val="24"/>
          <w:highlight w:val="none"/>
        </w:rPr>
        <w:t>投标人参加投标的有关费用由投标人自行承担。</w:t>
      </w:r>
    </w:p>
    <w:p>
      <w:pPr>
        <w:pStyle w:val="5"/>
        <w:spacing w:before="0" w:after="0" w:line="400" w:lineRule="exact"/>
        <w:ind w:firstLine="482" w:firstLineChars="200"/>
        <w:rPr>
          <w:rFonts w:ascii="宋体" w:hAnsi="宋体"/>
          <w:color w:val="auto"/>
          <w:sz w:val="24"/>
          <w:highlight w:val="none"/>
        </w:rPr>
      </w:pPr>
      <w:r>
        <w:rPr>
          <w:rFonts w:hint="eastAsia" w:ascii="宋体" w:hAnsi="宋体"/>
          <w:color w:val="auto"/>
          <w:sz w:val="24"/>
          <w:highlight w:val="none"/>
        </w:rPr>
        <w:t>5. 充分、公平竞争保障措施</w:t>
      </w:r>
      <w:r>
        <w:rPr>
          <w:rFonts w:hint="eastAsia" w:ascii="宋体" w:hAnsi="宋体"/>
          <w:color w:val="auto"/>
          <w:sz w:val="24"/>
          <w:szCs w:val="24"/>
          <w:highlight w:val="none"/>
        </w:rPr>
        <w:t>（实质性要求）</w:t>
      </w:r>
    </w:p>
    <w:p>
      <w:pPr>
        <w:pStyle w:val="56"/>
        <w:spacing w:line="400" w:lineRule="exact"/>
        <w:ind w:left="1" w:firstLine="482" w:firstLineChars="200"/>
        <w:rPr>
          <w:rFonts w:hAnsi="宋体"/>
          <w:b/>
          <w:color w:val="auto"/>
          <w:sz w:val="24"/>
          <w:highlight w:val="none"/>
        </w:rPr>
      </w:pPr>
      <w:r>
        <w:rPr>
          <w:rFonts w:hint="eastAsia" w:hAnsi="宋体"/>
          <w:b/>
          <w:color w:val="auto"/>
          <w:sz w:val="24"/>
          <w:szCs w:val="24"/>
          <w:highlight w:val="none"/>
        </w:rPr>
        <w:t>5.1</w:t>
      </w:r>
      <w:r>
        <w:rPr>
          <w:rFonts w:hint="eastAsia" w:hAnsi="宋体"/>
          <w:b/>
          <w:color w:val="auto"/>
          <w:sz w:val="24"/>
          <w:highlight w:val="none"/>
        </w:rPr>
        <w:t>利害关系投标人处理。</w:t>
      </w:r>
      <w:r>
        <w:rPr>
          <w:rFonts w:hint="eastAsia" w:hAnsi="宋体"/>
          <w:color w:val="auto"/>
          <w:sz w:val="24"/>
          <w:highlight w:val="none"/>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pPr>
        <w:pStyle w:val="56"/>
        <w:spacing w:line="400" w:lineRule="exact"/>
        <w:ind w:left="1" w:firstLine="482" w:firstLineChars="200"/>
        <w:rPr>
          <w:rFonts w:hAnsi="宋体"/>
          <w:color w:val="auto"/>
          <w:sz w:val="24"/>
          <w:highlight w:val="none"/>
        </w:rPr>
      </w:pPr>
      <w:r>
        <w:rPr>
          <w:rFonts w:hint="eastAsia" w:hAnsi="宋体"/>
          <w:b/>
          <w:color w:val="auto"/>
          <w:sz w:val="24"/>
          <w:highlight w:val="none"/>
        </w:rPr>
        <w:t>5.2前期参与投标人处理。</w:t>
      </w:r>
      <w:r>
        <w:rPr>
          <w:rFonts w:hint="eastAsia" w:hAnsi="宋体"/>
          <w:color w:val="auto"/>
          <w:sz w:val="24"/>
          <w:highlight w:val="none"/>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pPr>
        <w:pStyle w:val="56"/>
        <w:spacing w:line="400" w:lineRule="exact"/>
        <w:ind w:left="1" w:firstLine="482" w:firstLineChars="200"/>
        <w:rPr>
          <w:rFonts w:hAnsi="宋体"/>
          <w:color w:val="auto"/>
          <w:sz w:val="24"/>
          <w:highlight w:val="none"/>
        </w:rPr>
      </w:pPr>
      <w:r>
        <w:rPr>
          <w:rFonts w:hint="eastAsia" w:hAnsi="宋体"/>
          <w:b/>
          <w:color w:val="auto"/>
          <w:sz w:val="24"/>
          <w:highlight w:val="none"/>
        </w:rPr>
        <w:t>5.3利害关系代理人处理。</w:t>
      </w:r>
      <w:r>
        <w:rPr>
          <w:rFonts w:hint="eastAsia" w:hAnsi="宋体"/>
          <w:color w:val="auto"/>
          <w:sz w:val="24"/>
          <w:highlight w:val="none"/>
        </w:rPr>
        <w:t>2家以上的投标人不得在同一合同项下的采购项目中，同时委托同一个自然人、同一家庭的人员、同一单位的人员作为其代理人，否则，其投标文件作为无效处理。</w:t>
      </w:r>
    </w:p>
    <w:p>
      <w:pPr>
        <w:pStyle w:val="4"/>
        <w:spacing w:line="400" w:lineRule="exact"/>
        <w:jc w:val="center"/>
        <w:rPr>
          <w:rFonts w:ascii="宋体" w:hAnsi="宋体" w:eastAsia="宋体"/>
          <w:bCs w:val="0"/>
          <w:color w:val="auto"/>
          <w:highlight w:val="none"/>
        </w:rPr>
      </w:pPr>
      <w:bookmarkStart w:id="55" w:name="_Toc217446038"/>
      <w:bookmarkStart w:id="56" w:name="_Toc183582209"/>
      <w:bookmarkStart w:id="57" w:name="_Toc183682346"/>
      <w:bookmarkStart w:id="58" w:name="_Toc89075875"/>
      <w:bookmarkStart w:id="59" w:name="_Toc77400779"/>
      <w:r>
        <w:rPr>
          <w:rFonts w:hint="eastAsia" w:ascii="宋体" w:hAnsi="宋体" w:eastAsia="宋体"/>
          <w:bCs w:val="0"/>
          <w:color w:val="auto"/>
          <w:highlight w:val="none"/>
        </w:rPr>
        <w:t>三、招标文件</w:t>
      </w:r>
      <w:bookmarkEnd w:id="55"/>
      <w:bookmarkEnd w:id="56"/>
      <w:bookmarkEnd w:id="57"/>
      <w:bookmarkEnd w:id="58"/>
      <w:bookmarkEnd w:id="59"/>
    </w:p>
    <w:p>
      <w:pPr>
        <w:pStyle w:val="5"/>
        <w:spacing w:before="0" w:after="0" w:line="400" w:lineRule="exact"/>
        <w:ind w:firstLine="482" w:firstLineChars="200"/>
        <w:rPr>
          <w:rFonts w:ascii="宋体" w:hAnsi="宋体"/>
          <w:color w:val="auto"/>
          <w:sz w:val="24"/>
          <w:highlight w:val="none"/>
        </w:rPr>
      </w:pPr>
      <w:bookmarkStart w:id="60" w:name="_Toc183682347"/>
      <w:bookmarkStart w:id="61" w:name="_Toc217446039"/>
      <w:bookmarkStart w:id="62" w:name="_Toc183582210"/>
      <w:r>
        <w:rPr>
          <w:rFonts w:hint="eastAsia" w:ascii="宋体" w:hAnsi="宋体"/>
          <w:color w:val="auto"/>
          <w:sz w:val="24"/>
          <w:highlight w:val="none"/>
        </w:rPr>
        <w:t>6．招标文件的构成</w:t>
      </w:r>
      <w:bookmarkEnd w:id="60"/>
      <w:bookmarkEnd w:id="61"/>
      <w:bookmarkEnd w:id="62"/>
    </w:p>
    <w:p>
      <w:pPr>
        <w:tabs>
          <w:tab w:val="left" w:pos="7665"/>
        </w:tabs>
        <w:spacing w:line="400" w:lineRule="exact"/>
        <w:ind w:firstLine="480" w:firstLineChars="200"/>
        <w:rPr>
          <w:rFonts w:ascii="宋体" w:hAnsi="宋体"/>
          <w:color w:val="auto"/>
          <w:kern w:val="0"/>
          <w:sz w:val="24"/>
          <w:szCs w:val="22"/>
          <w:highlight w:val="none"/>
        </w:rPr>
      </w:pPr>
      <w:r>
        <w:rPr>
          <w:rFonts w:hint="eastAsia" w:ascii="宋体" w:hAnsi="宋体"/>
          <w:color w:val="auto"/>
          <w:kern w:val="0"/>
          <w:sz w:val="24"/>
          <w:szCs w:val="22"/>
          <w:highlight w:val="none"/>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kern w:val="0"/>
          <w:sz w:val="24"/>
          <w:szCs w:val="22"/>
          <w:highlight w:val="none"/>
        </w:rPr>
        <w:t>（一）招标公告</w:t>
      </w:r>
      <w:r>
        <w:rPr>
          <w:rFonts w:hint="eastAsia" w:ascii="宋体" w:hAnsi="宋体"/>
          <w:color w:val="auto"/>
          <w:sz w:val="24"/>
          <w:highlight w:val="none"/>
        </w:rPr>
        <w:t>；</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（二）投标人须知；</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（三）投标文件格式；</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（四）投标人的资格、资质性及其他类似效力要求；</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（五）投标人应当提供的资格、资质性及其他类似效力要求的相关证明材料；</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（六）招标项目技术、服务、政府采购合同内容条款及其他商务要求；</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（七）评标办法；</w:t>
      </w:r>
    </w:p>
    <w:p>
      <w:pPr>
        <w:tabs>
          <w:tab w:val="left" w:pos="720"/>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（八）政府采购合同（样例）。</w:t>
      </w:r>
    </w:p>
    <w:p>
      <w:pPr>
        <w:pStyle w:val="5"/>
        <w:spacing w:before="0" w:after="0" w:line="400" w:lineRule="exact"/>
        <w:ind w:firstLine="482" w:firstLineChars="200"/>
        <w:rPr>
          <w:rFonts w:ascii="宋体" w:hAnsi="宋体"/>
          <w:color w:val="auto"/>
          <w:sz w:val="24"/>
          <w:highlight w:val="none"/>
        </w:rPr>
      </w:pPr>
      <w:bookmarkStart w:id="63" w:name="_Toc183682348"/>
      <w:bookmarkStart w:id="64" w:name="_Toc183582211"/>
      <w:bookmarkStart w:id="65" w:name="_Toc217446040"/>
      <w:r>
        <w:rPr>
          <w:rFonts w:hint="eastAsia" w:ascii="宋体" w:hAnsi="宋体"/>
          <w:color w:val="auto"/>
          <w:sz w:val="24"/>
          <w:highlight w:val="none"/>
        </w:rPr>
        <w:t>7. 招标文件的澄清</w:t>
      </w:r>
      <w:bookmarkEnd w:id="63"/>
      <w:bookmarkEnd w:id="64"/>
      <w:r>
        <w:rPr>
          <w:rFonts w:hint="eastAsia" w:ascii="宋体" w:hAnsi="宋体"/>
          <w:color w:val="auto"/>
          <w:sz w:val="24"/>
          <w:highlight w:val="none"/>
        </w:rPr>
        <w:t>和修改</w:t>
      </w:r>
      <w:bookmarkEnd w:id="65"/>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7.1 招标采购单位可以依法对招标文件进行澄清或者修改。</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7.2 招标采购单位对已发出的招标文件进行澄清或者修改，</w:t>
      </w:r>
      <w:r>
        <w:rPr>
          <w:rFonts w:hint="eastAsia" w:ascii="宋体" w:hAnsi="宋体"/>
          <w:color w:val="auto"/>
          <w:sz w:val="24"/>
          <w:highlight w:val="none"/>
          <w:lang w:eastAsia="zh-Hans"/>
        </w:rPr>
        <w:t>通</w:t>
      </w:r>
      <w:r>
        <w:rPr>
          <w:rFonts w:hint="eastAsia" w:ascii="宋体" w:hAnsi="宋体"/>
          <w:color w:val="auto"/>
          <w:sz w:val="24"/>
          <w:highlight w:val="none"/>
        </w:rPr>
        <w:t>过政府采购云平台将澄清或者修改的内容告知所有在系统中成功获取招标文件的潜在投标人（投标人通过账号或CA证书登录云平台查看），同时在四川政府采购网和“成都市公共资源交易服务中心”网站上发布</w:t>
      </w:r>
      <w:r>
        <w:rPr>
          <w:rFonts w:hint="eastAsia" w:ascii="宋体" w:hAnsi="宋体"/>
          <w:color w:val="auto"/>
          <w:sz w:val="24"/>
          <w:highlight w:val="none"/>
          <w:lang w:eastAsia="zh-Hans"/>
        </w:rPr>
        <w:t>澄清</w:t>
      </w:r>
      <w:r>
        <w:rPr>
          <w:rFonts w:hint="eastAsia" w:ascii="宋体" w:hAnsi="宋体"/>
          <w:color w:val="auto"/>
          <w:sz w:val="24"/>
          <w:highlight w:val="none"/>
        </w:rPr>
        <w:t>公告。该澄清或者修改的内容为招标文件的组成部分，澄清或者修改的内容可能影响投标文件编制的，采购人或者采购代理机构发布公告并书面通知投标人的时间，应当在投标截止时间至少15日前；不足上述时间的，应当顺延提交投标文件的截止时间。</w:t>
      </w:r>
    </w:p>
    <w:p>
      <w:pPr>
        <w:pStyle w:val="5"/>
        <w:spacing w:before="0" w:after="0" w:line="400" w:lineRule="exact"/>
        <w:ind w:firstLine="482" w:firstLineChars="200"/>
        <w:rPr>
          <w:rFonts w:ascii="宋体" w:hAnsi="宋体"/>
          <w:color w:val="auto"/>
          <w:sz w:val="24"/>
          <w:highlight w:val="none"/>
        </w:rPr>
      </w:pPr>
      <w:bookmarkStart w:id="66" w:name="_Toc217446041"/>
      <w:bookmarkStart w:id="67" w:name="_Toc208848971"/>
      <w:r>
        <w:rPr>
          <w:rFonts w:hint="eastAsia" w:ascii="宋体" w:hAnsi="宋体"/>
          <w:color w:val="auto"/>
          <w:sz w:val="24"/>
          <w:highlight w:val="none"/>
        </w:rPr>
        <w:t>8. 答疑会和现场考察</w:t>
      </w:r>
      <w:bookmarkEnd w:id="66"/>
      <w:bookmarkEnd w:id="67"/>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现场考察或标前答疑会时间及地点：若组织现场考察或者召开答疑会的，将以书面形式通知所有获取招标文件的潜在投标人。</w:t>
      </w:r>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8.2 投标人考察现场所发生的一切费用由投标人自己承担。</w:t>
      </w:r>
      <w:bookmarkStart w:id="68" w:name="_Toc217446042"/>
      <w:bookmarkStart w:id="69" w:name="_Toc183682351"/>
      <w:bookmarkStart w:id="70" w:name="_Toc183582214"/>
      <w:bookmarkStart w:id="71" w:name="_Toc77400780"/>
      <w:bookmarkStart w:id="72" w:name="_Toc89075876"/>
    </w:p>
    <w:p>
      <w:pPr>
        <w:pStyle w:val="4"/>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四、投标文件</w:t>
      </w:r>
      <w:bookmarkEnd w:id="68"/>
      <w:bookmarkEnd w:id="69"/>
      <w:bookmarkEnd w:id="70"/>
      <w:bookmarkEnd w:id="71"/>
      <w:bookmarkEnd w:id="72"/>
    </w:p>
    <w:p>
      <w:pPr>
        <w:pStyle w:val="5"/>
        <w:spacing w:before="0" w:after="0" w:line="400" w:lineRule="exact"/>
        <w:ind w:firstLine="482" w:firstLineChars="200"/>
        <w:rPr>
          <w:rFonts w:ascii="宋体" w:hAnsi="宋体"/>
          <w:bCs w:val="0"/>
          <w:color w:val="auto"/>
          <w:sz w:val="24"/>
          <w:highlight w:val="none"/>
        </w:rPr>
      </w:pPr>
      <w:bookmarkStart w:id="73" w:name="_Toc183682352"/>
      <w:bookmarkStart w:id="74" w:name="_Toc217446043"/>
      <w:bookmarkStart w:id="75" w:name="_Toc183582215"/>
      <w:r>
        <w:rPr>
          <w:rFonts w:hint="eastAsia" w:ascii="宋体" w:hAnsi="宋体"/>
          <w:bCs w:val="0"/>
          <w:color w:val="auto"/>
          <w:sz w:val="24"/>
          <w:highlight w:val="none"/>
        </w:rPr>
        <w:t>9．投标文件的语言</w:t>
      </w:r>
      <w:bookmarkEnd w:id="73"/>
      <w:bookmarkEnd w:id="74"/>
      <w:bookmarkEnd w:id="75"/>
      <w:r>
        <w:rPr>
          <w:rFonts w:hint="eastAsia" w:ascii="宋体" w:hAnsi="宋体"/>
          <w:color w:val="auto"/>
          <w:sz w:val="24"/>
          <w:szCs w:val="24"/>
          <w:highlight w:val="none"/>
        </w:rPr>
        <w:t>（实质性要求）</w:t>
      </w:r>
    </w:p>
    <w:p>
      <w:pPr>
        <w:tabs>
          <w:tab w:val="left" w:pos="1134"/>
        </w:tabs>
        <w:spacing w:line="400" w:lineRule="exact"/>
        <w:ind w:firstLine="480" w:firstLineChars="200"/>
        <w:jc w:val="left"/>
        <w:rPr>
          <w:rFonts w:ascii="宋体" w:hAnsi="宋体"/>
          <w:color w:val="auto"/>
          <w:sz w:val="24"/>
          <w:highlight w:val="none"/>
        </w:rPr>
      </w:pPr>
      <w:bookmarkStart w:id="76" w:name="_Toc183582216"/>
      <w:bookmarkStart w:id="77" w:name="_Toc217446044"/>
      <w:bookmarkStart w:id="78" w:name="_Toc183682353"/>
      <w:r>
        <w:rPr>
          <w:rFonts w:hint="eastAsia" w:ascii="宋体" w:hAnsi="宋体"/>
          <w:color w:val="auto"/>
          <w:sz w:val="24"/>
          <w:highlight w:val="none"/>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9.2 翻译的中文资料与外文资料如果出现差异和矛盾时，以中文为准。涉嫌虚假响应的按照相关法律法规处理。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9.3 如因未翻译而造成的废标，由投标人承担。</w:t>
      </w:r>
    </w:p>
    <w:p>
      <w:pPr>
        <w:pStyle w:val="5"/>
        <w:spacing w:before="0" w:after="0" w:line="400" w:lineRule="exact"/>
        <w:ind w:firstLine="482" w:firstLineChars="200"/>
        <w:rPr>
          <w:rFonts w:ascii="宋体" w:hAnsi="宋体"/>
          <w:color w:val="auto"/>
          <w:sz w:val="24"/>
          <w:highlight w:val="none"/>
        </w:rPr>
      </w:pPr>
      <w:r>
        <w:rPr>
          <w:rFonts w:hint="eastAsia" w:ascii="宋体" w:hAnsi="宋体"/>
          <w:color w:val="auto"/>
          <w:sz w:val="24"/>
          <w:highlight w:val="none"/>
        </w:rPr>
        <w:t>10．计量单位</w:t>
      </w:r>
      <w:bookmarkEnd w:id="76"/>
      <w:bookmarkEnd w:id="77"/>
      <w:bookmarkEnd w:id="78"/>
      <w:r>
        <w:rPr>
          <w:rFonts w:hint="eastAsia" w:ascii="宋体" w:hAnsi="宋体"/>
          <w:color w:val="auto"/>
          <w:sz w:val="24"/>
          <w:szCs w:val="24"/>
          <w:highlight w:val="none"/>
        </w:rPr>
        <w:t>（实质性要求）</w:t>
      </w:r>
    </w:p>
    <w:p>
      <w:pPr>
        <w:spacing w:line="400" w:lineRule="exact"/>
        <w:ind w:firstLine="470" w:firstLineChars="196"/>
        <w:rPr>
          <w:rFonts w:ascii="宋体" w:hAnsi="宋体"/>
          <w:color w:val="auto"/>
          <w:sz w:val="24"/>
          <w:highlight w:val="none"/>
        </w:rPr>
      </w:pPr>
      <w:r>
        <w:rPr>
          <w:rFonts w:hint="eastAsia" w:ascii="宋体" w:hAnsi="宋体"/>
          <w:color w:val="auto"/>
          <w:sz w:val="24"/>
          <w:highlight w:val="none"/>
        </w:rPr>
        <w:t>除招标文件中另有规定外，本次采购项目所有合同项下的投标均采用国家法定的计量单位。</w:t>
      </w:r>
    </w:p>
    <w:p>
      <w:pPr>
        <w:pStyle w:val="5"/>
        <w:spacing w:before="0" w:after="0" w:line="400" w:lineRule="exact"/>
        <w:ind w:firstLine="482" w:firstLineChars="200"/>
        <w:rPr>
          <w:rFonts w:ascii="宋体" w:hAnsi="宋体"/>
          <w:color w:val="auto"/>
          <w:sz w:val="24"/>
          <w:highlight w:val="none"/>
        </w:rPr>
      </w:pPr>
      <w:bookmarkStart w:id="79" w:name="_Toc217446045"/>
      <w:r>
        <w:rPr>
          <w:rFonts w:hint="eastAsia" w:ascii="宋体" w:hAnsi="宋体"/>
          <w:color w:val="auto"/>
          <w:sz w:val="24"/>
          <w:highlight w:val="none"/>
        </w:rPr>
        <w:t>11. 投标货币</w:t>
      </w:r>
      <w:bookmarkEnd w:id="79"/>
      <w:r>
        <w:rPr>
          <w:rFonts w:hint="eastAsia" w:ascii="宋体" w:hAnsi="宋体"/>
          <w:color w:val="auto"/>
          <w:sz w:val="24"/>
          <w:highlight w:val="none"/>
        </w:rPr>
        <w:t>（实质性要求）</w:t>
      </w:r>
    </w:p>
    <w:p>
      <w:pPr>
        <w:spacing w:line="400" w:lineRule="exact"/>
        <w:ind w:firstLine="470" w:firstLineChars="196"/>
        <w:rPr>
          <w:rFonts w:ascii="宋体" w:hAnsi="宋体"/>
          <w:color w:val="auto"/>
          <w:sz w:val="24"/>
          <w:highlight w:val="none"/>
        </w:rPr>
      </w:pPr>
      <w:r>
        <w:rPr>
          <w:rFonts w:hint="eastAsia" w:ascii="宋体" w:hAnsi="宋体"/>
          <w:color w:val="auto"/>
          <w:sz w:val="24"/>
          <w:highlight w:val="none"/>
        </w:rPr>
        <w:t>本次招标项目的投标均以人民币报价。</w:t>
      </w:r>
    </w:p>
    <w:p>
      <w:pPr>
        <w:pStyle w:val="5"/>
        <w:spacing w:before="0" w:after="0" w:line="400" w:lineRule="exact"/>
        <w:ind w:firstLine="482" w:firstLineChars="200"/>
        <w:rPr>
          <w:color w:val="auto"/>
          <w:highlight w:val="none"/>
        </w:rPr>
      </w:pPr>
      <w:bookmarkStart w:id="80" w:name="_Toc217446046"/>
      <w:r>
        <w:rPr>
          <w:rFonts w:hint="eastAsia" w:ascii="宋体" w:hAnsi="宋体"/>
          <w:color w:val="auto"/>
          <w:sz w:val="24"/>
          <w:highlight w:val="none"/>
        </w:rPr>
        <w:t>12. 联合体投标</w:t>
      </w:r>
      <w:bookmarkEnd w:id="80"/>
      <w:r>
        <w:rPr>
          <w:rFonts w:hint="eastAsia" w:ascii="宋体" w:hAnsi="宋体"/>
          <w:color w:val="auto"/>
          <w:sz w:val="24"/>
          <w:highlight w:val="none"/>
        </w:rPr>
        <w:t>（实质性要求）</w:t>
      </w:r>
    </w:p>
    <w:p>
      <w:pPr>
        <w:pStyle w:val="5"/>
        <w:spacing w:before="0" w:after="0" w:line="400" w:lineRule="exact"/>
        <w:ind w:firstLine="480" w:firstLineChars="200"/>
        <w:rPr>
          <w:rFonts w:ascii="宋体" w:hAnsi="宋体"/>
          <w:b w:val="0"/>
          <w:bCs w:val="0"/>
          <w:color w:val="auto"/>
          <w:sz w:val="24"/>
          <w:highlight w:val="none"/>
        </w:rPr>
      </w:pPr>
      <w:bookmarkStart w:id="81" w:name="_Toc217446047"/>
      <w:bookmarkStart w:id="82" w:name="_Toc308164797"/>
      <w:r>
        <w:rPr>
          <w:rFonts w:hint="eastAsia" w:ascii="宋体" w:hAnsi="宋体"/>
          <w:b w:val="0"/>
          <w:bCs w:val="0"/>
          <w:color w:val="auto"/>
          <w:sz w:val="24"/>
          <w:highlight w:val="none"/>
        </w:rPr>
        <w:t>本项目不接受联合体投标</w:t>
      </w:r>
    </w:p>
    <w:p>
      <w:pPr>
        <w:pStyle w:val="5"/>
        <w:spacing w:before="0" w:after="0" w:line="400" w:lineRule="exact"/>
        <w:ind w:firstLine="482" w:firstLineChars="200"/>
        <w:rPr>
          <w:rFonts w:ascii="宋体" w:hAnsi="宋体"/>
          <w:color w:val="auto"/>
          <w:sz w:val="24"/>
          <w:highlight w:val="none"/>
        </w:rPr>
      </w:pPr>
      <w:r>
        <w:rPr>
          <w:rFonts w:hint="eastAsia" w:ascii="宋体" w:hAnsi="宋体"/>
          <w:color w:val="auto"/>
          <w:sz w:val="24"/>
          <w:highlight w:val="none"/>
        </w:rPr>
        <w:t>13. 知识产权</w:t>
      </w:r>
      <w:bookmarkEnd w:id="81"/>
      <w:bookmarkEnd w:id="82"/>
      <w:r>
        <w:rPr>
          <w:rFonts w:hint="eastAsia" w:ascii="宋体" w:hAnsi="宋体"/>
          <w:color w:val="auto"/>
          <w:sz w:val="24"/>
          <w:highlight w:val="none"/>
        </w:rPr>
        <w:t>（实质性要求）</w:t>
      </w:r>
    </w:p>
    <w:p>
      <w:pPr>
        <w:pStyle w:val="12"/>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2"/>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13.2 采购人享有本项目实施过程中产生的知识成果及知识产权。</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color w:val="auto"/>
          <w:sz w:val="24"/>
          <w:highlight w:val="none"/>
        </w:rPr>
      </w:pPr>
      <w:r>
        <w:rPr>
          <w:rFonts w:hint="eastAsia" w:ascii="宋体" w:hAnsi="宋体"/>
          <w:color w:val="auto"/>
          <w:sz w:val="24"/>
          <w:highlight w:val="none"/>
        </w:rPr>
        <w:t xml:space="preserve">13.4 如采用投标人所不拥有的知识产权，则在投标报价中必须包括合法获取该知识产权的相关费用。 </w:t>
      </w:r>
    </w:p>
    <w:p>
      <w:pPr>
        <w:pStyle w:val="5"/>
        <w:spacing w:before="0" w:after="0" w:line="400" w:lineRule="exact"/>
        <w:ind w:firstLine="482" w:firstLineChars="200"/>
        <w:rPr>
          <w:rFonts w:ascii="宋体" w:hAnsi="宋体"/>
          <w:color w:val="auto"/>
          <w:sz w:val="24"/>
          <w:highlight w:val="none"/>
        </w:rPr>
      </w:pPr>
      <w:bookmarkStart w:id="83" w:name="_Toc217446048"/>
      <w:bookmarkStart w:id="84" w:name="_Toc308164798"/>
      <w:bookmarkStart w:id="85" w:name="_Toc183682354"/>
      <w:bookmarkStart w:id="86" w:name="_Toc183582217"/>
      <w:r>
        <w:rPr>
          <w:rFonts w:hint="eastAsia" w:ascii="宋体" w:hAnsi="宋体"/>
          <w:color w:val="auto"/>
          <w:sz w:val="24"/>
          <w:highlight w:val="none"/>
        </w:rPr>
        <w:t>14．投标文件的组成</w:t>
      </w:r>
      <w:bookmarkEnd w:id="83"/>
      <w:bookmarkEnd w:id="84"/>
      <w:bookmarkEnd w:id="85"/>
      <w:bookmarkEnd w:id="86"/>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投标人应按照招标文件的规定和要求编制投标文件。投标人拟在中标后将中标项目的非主体、非关键性工作交由他人分包完成的，应当在投标文件中载明承担主体，分包承担主体应当具备相应资质条件且不得再次分包。投标人编写的投标文件应包括下列部分：</w:t>
      </w:r>
    </w:p>
    <w:p>
      <w:pPr>
        <w:spacing w:before="100" w:after="100" w:line="288" w:lineRule="auto"/>
        <w:ind w:firstLine="472" w:firstLineChars="196"/>
        <w:rPr>
          <w:rFonts w:ascii="宋体" w:hAnsi="宋体"/>
          <w:color w:val="auto"/>
          <w:sz w:val="24"/>
          <w:highlight w:val="none"/>
        </w:rPr>
      </w:pPr>
      <w:r>
        <w:rPr>
          <w:rFonts w:hint="eastAsia" w:ascii="宋体" w:hAnsi="宋体"/>
          <w:b/>
          <w:color w:val="auto"/>
          <w:sz w:val="24"/>
          <w:highlight w:val="none"/>
        </w:rPr>
        <w:t>14.1 开标一览表。</w:t>
      </w:r>
      <w:r>
        <w:rPr>
          <w:rFonts w:hint="eastAsia" w:ascii="宋体" w:hAnsi="宋体"/>
          <w:bCs/>
          <w:color w:val="auto"/>
          <w:sz w:val="24"/>
          <w:highlight w:val="none"/>
        </w:rPr>
        <w:t>投标人</w:t>
      </w:r>
      <w:r>
        <w:rPr>
          <w:rFonts w:hint="eastAsia" w:ascii="宋体" w:hAnsi="宋体"/>
          <w:color w:val="auto"/>
          <w:sz w:val="24"/>
          <w:highlight w:val="none"/>
        </w:rPr>
        <w:t>按照招标文件要求填写的“开标一览表”。本次招标报价要求：</w:t>
      </w:r>
    </w:p>
    <w:p>
      <w:pPr>
        <w:spacing w:before="100" w:after="100" w:line="288" w:lineRule="auto"/>
        <w:ind w:firstLine="480" w:firstLineChars="200"/>
        <w:rPr>
          <w:rFonts w:ascii="宋体" w:hAnsi="宋体"/>
          <w:color w:val="auto"/>
          <w:sz w:val="24"/>
          <w:highlight w:val="none"/>
        </w:rPr>
      </w:pPr>
      <w:r>
        <w:rPr>
          <w:rFonts w:hint="eastAsia" w:ascii="宋体" w:hAnsi="宋体"/>
          <w:color w:val="auto"/>
          <w:sz w:val="24"/>
          <w:highlight w:val="none"/>
        </w:rPr>
        <w:t>（1）投标人的报价是投标人响应招标项目要求的全部工作内容的价格体现，包括投标人完成本项目所需的一切费用（实质性要求）。</w:t>
      </w:r>
    </w:p>
    <w:p>
      <w:pPr>
        <w:spacing w:before="100" w:after="100" w:line="288" w:lineRule="auto"/>
        <w:ind w:left="2" w:firstLine="352" w:firstLineChars="147"/>
        <w:rPr>
          <w:rFonts w:ascii="宋体" w:hAnsi="宋体"/>
          <w:color w:val="auto"/>
          <w:sz w:val="24"/>
          <w:highlight w:val="none"/>
        </w:rPr>
      </w:pPr>
      <w:r>
        <w:rPr>
          <w:rFonts w:hint="eastAsia" w:ascii="宋体" w:hAnsi="宋体"/>
          <w:color w:val="auto"/>
          <w:sz w:val="24"/>
          <w:highlight w:val="none"/>
        </w:rPr>
        <w:t xml:space="preserve"> （2）投标人只允许有一个报价，并且在合同履行过程中是固定不变的，任何有选择或可调整的报价将不予接受，并按无效投标处理（实质性要求）。</w:t>
      </w:r>
    </w:p>
    <w:p>
      <w:pPr>
        <w:spacing w:line="400" w:lineRule="exact"/>
        <w:ind w:firstLine="482" w:firstLineChars="200"/>
        <w:rPr>
          <w:rFonts w:ascii="宋体" w:hAnsi="宋体"/>
          <w:color w:val="auto"/>
          <w:sz w:val="24"/>
          <w:highlight w:val="none"/>
        </w:rPr>
      </w:pPr>
      <w:r>
        <w:rPr>
          <w:rFonts w:hint="eastAsia" w:ascii="宋体" w:hAnsi="宋体"/>
          <w:b/>
          <w:bCs/>
          <w:color w:val="auto"/>
          <w:sz w:val="24"/>
          <w:highlight w:val="none"/>
        </w:rPr>
        <w:t>14.2 资格性审查投标文件。</w:t>
      </w:r>
      <w:r>
        <w:rPr>
          <w:rFonts w:hint="eastAsia" w:ascii="宋体" w:hAnsi="宋体"/>
          <w:bCs/>
          <w:color w:val="auto"/>
          <w:sz w:val="24"/>
          <w:highlight w:val="none"/>
        </w:rPr>
        <w:t>提供资格、资质性及其他类似效力证明材料 (用于资</w:t>
      </w:r>
      <w:r>
        <w:rPr>
          <w:rFonts w:hint="eastAsia" w:ascii="宋体" w:hAnsi="宋体"/>
          <w:color w:val="auto"/>
          <w:sz w:val="24"/>
          <w:highlight w:val="none"/>
        </w:rPr>
        <w:t>格审查)</w:t>
      </w:r>
    </w:p>
    <w:p>
      <w:pPr>
        <w:ind w:firstLine="480" w:firstLineChars="200"/>
        <w:rPr>
          <w:color w:val="auto"/>
          <w:sz w:val="24"/>
          <w:highlight w:val="none"/>
        </w:rPr>
      </w:pPr>
      <w:r>
        <w:rPr>
          <w:rFonts w:hint="eastAsia"/>
          <w:color w:val="auto"/>
          <w:sz w:val="24"/>
          <w:highlight w:val="none"/>
        </w:rPr>
        <w:t>按照招标文件第四、五章要求提供相关资格、资质性及其他类似效力要求的相关证明材料。</w:t>
      </w:r>
    </w:p>
    <w:p>
      <w:pPr>
        <w:ind w:firstLine="482" w:firstLineChars="200"/>
        <w:rPr>
          <w:color w:val="auto"/>
          <w:highlight w:val="none"/>
        </w:rPr>
      </w:pPr>
      <w:r>
        <w:rPr>
          <w:rFonts w:hint="eastAsia" w:ascii="宋体" w:hAnsi="宋体"/>
          <w:b/>
          <w:color w:val="auto"/>
          <w:sz w:val="24"/>
          <w:highlight w:val="none"/>
        </w:rPr>
        <w:t>14.3 其他投标文件。</w:t>
      </w:r>
      <w:r>
        <w:rPr>
          <w:rFonts w:hint="eastAsia" w:ascii="宋体" w:hAnsi="宋体"/>
          <w:color w:val="auto"/>
          <w:sz w:val="24"/>
          <w:highlight w:val="none"/>
        </w:rPr>
        <w:t>提供除资格、资质性及其他类似效力证明材料的其他资料。（用于资格审查以外的评审）。</w:t>
      </w:r>
    </w:p>
    <w:p>
      <w:pPr>
        <w:pStyle w:val="5"/>
        <w:tabs>
          <w:tab w:val="left" w:pos="3480"/>
        </w:tabs>
        <w:spacing w:before="0" w:after="0" w:line="400" w:lineRule="exact"/>
        <w:ind w:firstLine="482" w:firstLineChars="200"/>
        <w:rPr>
          <w:rFonts w:ascii="宋体" w:hAnsi="宋体"/>
          <w:color w:val="auto"/>
          <w:sz w:val="24"/>
          <w:highlight w:val="none"/>
        </w:rPr>
      </w:pPr>
      <w:bookmarkStart w:id="87" w:name="_Toc217446049"/>
      <w:bookmarkStart w:id="88" w:name="_Toc183582218"/>
      <w:bookmarkStart w:id="89" w:name="_Toc308164799"/>
      <w:bookmarkStart w:id="90" w:name="_Toc183682355"/>
      <w:r>
        <w:rPr>
          <w:rFonts w:hint="eastAsia" w:ascii="宋体" w:hAnsi="宋体"/>
          <w:color w:val="auto"/>
          <w:sz w:val="24"/>
          <w:highlight w:val="none"/>
        </w:rPr>
        <w:t>15．投标文件格式</w:t>
      </w:r>
      <w:bookmarkEnd w:id="87"/>
      <w:bookmarkEnd w:id="88"/>
      <w:bookmarkEnd w:id="89"/>
      <w:bookmarkEnd w:id="90"/>
    </w:p>
    <w:p>
      <w:pPr>
        <w:tabs>
          <w:tab w:val="left" w:pos="7665"/>
        </w:tabs>
        <w:spacing w:line="400" w:lineRule="exact"/>
        <w:ind w:left="13" w:leftChars="6" w:firstLine="480" w:firstLineChars="200"/>
        <w:rPr>
          <w:rFonts w:ascii="宋体" w:hAnsi="宋体"/>
          <w:color w:val="auto"/>
          <w:sz w:val="24"/>
          <w:highlight w:val="none"/>
        </w:rPr>
      </w:pPr>
      <w:r>
        <w:rPr>
          <w:rFonts w:hint="eastAsia" w:ascii="宋体" w:hAnsi="宋体"/>
          <w:color w:val="auto"/>
          <w:sz w:val="24"/>
          <w:highlight w:val="none"/>
        </w:rPr>
        <w:t>15.1 投标人应执行招标文件第三章的规定要求。第三章格式中“注”的内容，投标人可自行决定是否保留在投标文件中。</w:t>
      </w:r>
    </w:p>
    <w:p>
      <w:pPr>
        <w:tabs>
          <w:tab w:val="left" w:pos="7665"/>
        </w:tabs>
        <w:spacing w:line="400" w:lineRule="exact"/>
        <w:ind w:left="13" w:leftChars="6" w:firstLine="480" w:firstLineChars="200"/>
        <w:rPr>
          <w:rFonts w:ascii="宋体" w:hAnsi="宋体"/>
          <w:color w:val="auto"/>
          <w:sz w:val="24"/>
          <w:highlight w:val="none"/>
        </w:rPr>
      </w:pPr>
      <w:r>
        <w:rPr>
          <w:rFonts w:hint="eastAsia" w:ascii="宋体" w:hAnsi="宋体"/>
          <w:color w:val="auto"/>
          <w:sz w:val="24"/>
          <w:highlight w:val="none"/>
        </w:rPr>
        <w:t>15.2 对于没有格式要求的投标文件由投标人自行编写。</w:t>
      </w:r>
    </w:p>
    <w:p>
      <w:pPr>
        <w:spacing w:line="400" w:lineRule="exact"/>
        <w:ind w:firstLine="470" w:firstLineChars="196"/>
        <w:rPr>
          <w:rFonts w:ascii="宋体" w:hAnsi="宋体"/>
          <w:color w:val="auto"/>
          <w:sz w:val="24"/>
          <w:highlight w:val="none"/>
        </w:rPr>
      </w:pPr>
      <w:bookmarkStart w:id="91" w:name="_Toc217446050"/>
      <w:bookmarkStart w:id="92" w:name="_Toc308164800"/>
      <w:bookmarkStart w:id="93" w:name="_Toc183682360"/>
      <w:bookmarkStart w:id="94" w:name="_Toc183582223"/>
      <w:r>
        <w:rPr>
          <w:rFonts w:hint="eastAsia" w:ascii="宋体" w:hAnsi="宋体"/>
          <w:color w:val="auto"/>
          <w:sz w:val="24"/>
          <w:highlight w:val="none"/>
        </w:rPr>
        <w:t>16．</w:t>
      </w:r>
      <w:r>
        <w:rPr>
          <w:rFonts w:hint="eastAsia" w:ascii="宋体" w:hAnsi="宋体"/>
          <w:b/>
          <w:bCs/>
          <w:color w:val="auto"/>
          <w:sz w:val="24"/>
          <w:highlight w:val="none"/>
        </w:rPr>
        <w:t>投标保证金</w:t>
      </w:r>
      <w:bookmarkEnd w:id="91"/>
      <w:bookmarkEnd w:id="92"/>
      <w:bookmarkEnd w:id="93"/>
      <w:bookmarkEnd w:id="94"/>
      <w:r>
        <w:rPr>
          <w:rFonts w:ascii="宋体" w:hAnsi="宋体"/>
          <w:b/>
          <w:bCs/>
          <w:color w:val="auto"/>
          <w:sz w:val="24"/>
          <w:highlight w:val="none"/>
        </w:rPr>
        <w:t>（</w:t>
      </w:r>
      <w:r>
        <w:rPr>
          <w:rFonts w:hint="eastAsia" w:ascii="宋体" w:hAnsi="宋体"/>
          <w:b/>
          <w:bCs/>
          <w:color w:val="auto"/>
          <w:sz w:val="24"/>
          <w:highlight w:val="none"/>
        </w:rPr>
        <w:t>本项目不要求）</w:t>
      </w:r>
    </w:p>
    <w:p>
      <w:pPr>
        <w:pStyle w:val="5"/>
        <w:spacing w:before="0" w:after="0" w:line="400" w:lineRule="exact"/>
        <w:ind w:firstLine="482" w:firstLineChars="200"/>
        <w:rPr>
          <w:rFonts w:ascii="宋体" w:hAnsi="宋体"/>
          <w:bCs w:val="0"/>
          <w:color w:val="auto"/>
          <w:sz w:val="24"/>
          <w:highlight w:val="none"/>
        </w:rPr>
      </w:pPr>
      <w:bookmarkStart w:id="95" w:name="_Toc217446051"/>
      <w:bookmarkStart w:id="96" w:name="_Toc183582224"/>
      <w:bookmarkStart w:id="97" w:name="_Toc183682361"/>
      <w:bookmarkStart w:id="98" w:name="_Toc308164801"/>
      <w:r>
        <w:rPr>
          <w:rFonts w:hint="eastAsia" w:ascii="宋体" w:hAnsi="宋体"/>
          <w:bCs w:val="0"/>
          <w:color w:val="auto"/>
          <w:sz w:val="24"/>
          <w:highlight w:val="none"/>
        </w:rPr>
        <w:t>17．投标有效期</w:t>
      </w:r>
      <w:bookmarkEnd w:id="95"/>
      <w:bookmarkEnd w:id="96"/>
      <w:bookmarkEnd w:id="97"/>
      <w:bookmarkEnd w:id="98"/>
      <w:r>
        <w:rPr>
          <w:rFonts w:hint="eastAsia" w:ascii="宋体" w:hAnsi="宋体"/>
          <w:color w:val="auto"/>
          <w:sz w:val="24"/>
          <w:szCs w:val="24"/>
          <w:highlight w:val="none"/>
        </w:rPr>
        <w:t>（实质性要求）</w:t>
      </w:r>
    </w:p>
    <w:p>
      <w:pPr>
        <w:tabs>
          <w:tab w:val="left" w:pos="7665"/>
        </w:tabs>
        <w:spacing w:line="400" w:lineRule="exact"/>
        <w:ind w:left="13" w:leftChars="6" w:firstLine="480" w:firstLineChars="200"/>
        <w:rPr>
          <w:rFonts w:ascii="宋体" w:hAnsi="宋体"/>
          <w:color w:val="auto"/>
          <w:sz w:val="24"/>
          <w:highlight w:val="none"/>
        </w:rPr>
      </w:pPr>
      <w:r>
        <w:rPr>
          <w:rFonts w:hint="eastAsia" w:ascii="宋体" w:hAnsi="宋体"/>
          <w:color w:val="auto"/>
          <w:sz w:val="24"/>
          <w:highlight w:val="none"/>
        </w:rPr>
        <w:t>17.1</w:t>
      </w:r>
      <w:r>
        <w:rPr>
          <w:rFonts w:hint="eastAsia" w:ascii="宋体"/>
          <w:b/>
          <w:color w:val="auto"/>
          <w:sz w:val="24"/>
          <w:highlight w:val="none"/>
        </w:rPr>
        <w:t>本项目投标有效期为投标截止之日起90天</w:t>
      </w:r>
      <w:r>
        <w:rPr>
          <w:rFonts w:hint="eastAsia" w:ascii="宋体" w:hAnsi="宋体"/>
          <w:color w:val="auto"/>
          <w:sz w:val="24"/>
          <w:highlight w:val="none"/>
        </w:rPr>
        <w:t>（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宋体" w:hAnsi="宋体"/>
          <w:color w:val="auto"/>
          <w:sz w:val="24"/>
          <w:highlight w:val="none"/>
        </w:rPr>
      </w:pPr>
      <w:r>
        <w:rPr>
          <w:rFonts w:hint="eastAsia" w:ascii="宋体" w:hAnsi="宋体"/>
          <w:color w:val="auto"/>
          <w:sz w:val="24"/>
          <w:highlight w:val="none"/>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ascii="宋体" w:hAnsi="宋体"/>
          <w:color w:val="auto"/>
          <w:sz w:val="24"/>
          <w:highlight w:val="none"/>
        </w:rPr>
      </w:pPr>
      <w:r>
        <w:rPr>
          <w:rFonts w:hint="eastAsia" w:ascii="宋体" w:hAnsi="宋体"/>
          <w:color w:val="auto"/>
          <w:sz w:val="24"/>
          <w:highlight w:val="none"/>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before="0" w:after="0" w:line="400" w:lineRule="exact"/>
        <w:ind w:firstLine="482" w:firstLineChars="200"/>
        <w:rPr>
          <w:rFonts w:ascii="宋体" w:hAnsi="宋体"/>
          <w:bCs w:val="0"/>
          <w:color w:val="auto"/>
          <w:sz w:val="24"/>
          <w:highlight w:val="none"/>
        </w:rPr>
      </w:pPr>
      <w:bookmarkStart w:id="99" w:name="_Toc183582225"/>
      <w:bookmarkStart w:id="100" w:name="_Toc308164802"/>
      <w:bookmarkStart w:id="101" w:name="_Toc217446052"/>
      <w:bookmarkStart w:id="102" w:name="_Toc183682362"/>
      <w:r>
        <w:rPr>
          <w:rFonts w:hint="eastAsia" w:ascii="宋体" w:hAnsi="宋体"/>
          <w:bCs w:val="0"/>
          <w:color w:val="auto"/>
          <w:sz w:val="24"/>
          <w:highlight w:val="none"/>
        </w:rPr>
        <w:t>18．投标文件的印制和签署</w:t>
      </w:r>
      <w:bookmarkEnd w:id="99"/>
      <w:bookmarkEnd w:id="100"/>
      <w:bookmarkEnd w:id="101"/>
      <w:bookmarkEnd w:id="102"/>
    </w:p>
    <w:p>
      <w:pPr>
        <w:pStyle w:val="5"/>
        <w:spacing w:before="0" w:after="0" w:line="400" w:lineRule="exact"/>
        <w:ind w:firstLine="480" w:firstLineChars="200"/>
        <w:rPr>
          <w:rFonts w:ascii="宋体" w:hAnsi="宋体"/>
          <w:b w:val="0"/>
          <w:color w:val="auto"/>
          <w:sz w:val="24"/>
          <w:szCs w:val="24"/>
          <w:highlight w:val="none"/>
        </w:rPr>
      </w:pPr>
      <w:bookmarkStart w:id="103" w:name="_Toc217446053"/>
      <w:bookmarkStart w:id="104" w:name="_Toc89075877"/>
      <w:bookmarkStart w:id="105" w:name="_Toc183682363"/>
      <w:bookmarkStart w:id="106" w:name="_Toc77400781"/>
      <w:bookmarkStart w:id="107" w:name="_Toc308164803"/>
      <w:bookmarkStart w:id="108" w:name="_Toc183582226"/>
      <w:r>
        <w:rPr>
          <w:rFonts w:hint="eastAsia" w:ascii="宋体" w:hAnsi="宋体"/>
          <w:b w:val="0"/>
          <w:color w:val="auto"/>
          <w:sz w:val="24"/>
          <w:szCs w:val="24"/>
          <w:highlight w:val="none"/>
        </w:rPr>
        <w:t>投标文件制作详情：</w:t>
      </w:r>
    </w:p>
    <w:p>
      <w:pPr>
        <w:pStyle w:val="5"/>
        <w:spacing w:before="0" w:after="0" w:line="400" w:lineRule="exact"/>
        <w:ind w:firstLine="480" w:firstLineChars="200"/>
        <w:rPr>
          <w:rFonts w:ascii="宋体" w:hAnsi="宋体"/>
          <w:b w:val="0"/>
          <w:color w:val="auto"/>
          <w:sz w:val="24"/>
          <w:szCs w:val="24"/>
          <w:highlight w:val="none"/>
        </w:rPr>
      </w:pPr>
      <w:r>
        <w:rPr>
          <w:rFonts w:hint="eastAsia" w:ascii="宋体" w:hAnsi="宋体"/>
          <w:b w:val="0"/>
          <w:color w:val="auto"/>
          <w:sz w:val="24"/>
          <w:szCs w:val="24"/>
          <w:highlight w:val="none"/>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实质性要求）</w:t>
      </w:r>
    </w:p>
    <w:p>
      <w:pPr>
        <w:pStyle w:val="5"/>
        <w:spacing w:before="0" w:after="0" w:line="400" w:lineRule="exact"/>
        <w:ind w:firstLine="480" w:firstLineChars="200"/>
        <w:rPr>
          <w:rFonts w:ascii="宋体" w:hAnsi="宋体"/>
          <w:b w:val="0"/>
          <w:color w:val="auto"/>
          <w:sz w:val="24"/>
          <w:szCs w:val="24"/>
          <w:highlight w:val="none"/>
        </w:rPr>
      </w:pPr>
      <w:r>
        <w:rPr>
          <w:rFonts w:hint="eastAsia" w:ascii="宋体" w:hAnsi="宋体"/>
          <w:b w:val="0"/>
          <w:color w:val="auto"/>
          <w:sz w:val="24"/>
          <w:szCs w:val="24"/>
          <w:highlight w:val="none"/>
        </w:rPr>
        <w:t>2、投标文件每页均应加盖投标人（法定名称）电子签章，不得使用投标人专用章（如经济合同章、投标专用章等）或下属单位印章代替。（实质性要求）</w:t>
      </w:r>
    </w:p>
    <w:p>
      <w:pPr>
        <w:pStyle w:val="5"/>
        <w:spacing w:before="0" w:after="0" w:line="400" w:lineRule="exact"/>
        <w:ind w:firstLine="480" w:firstLineChars="200"/>
        <w:rPr>
          <w:rFonts w:ascii="宋体" w:hAnsi="宋体"/>
          <w:b w:val="0"/>
          <w:color w:val="auto"/>
          <w:sz w:val="24"/>
          <w:szCs w:val="24"/>
          <w:highlight w:val="none"/>
        </w:rPr>
      </w:pPr>
      <w:r>
        <w:rPr>
          <w:rFonts w:hint="eastAsia" w:ascii="宋体" w:hAnsi="宋体"/>
          <w:b w:val="0"/>
          <w:color w:val="auto"/>
          <w:sz w:val="24"/>
          <w:szCs w:val="24"/>
          <w:highlight w:val="none"/>
        </w:rPr>
        <w:t>3、投标人应使用本企业CA数字证书对投标文件进行加密。（实质性要求）</w:t>
      </w:r>
    </w:p>
    <w:p>
      <w:pPr>
        <w:pStyle w:val="5"/>
        <w:spacing w:before="0" w:after="0" w:line="400" w:lineRule="exact"/>
        <w:ind w:firstLine="480" w:firstLineChars="200"/>
        <w:rPr>
          <w:rFonts w:ascii="宋体" w:hAnsi="宋体"/>
          <w:b w:val="0"/>
          <w:color w:val="auto"/>
          <w:sz w:val="24"/>
          <w:szCs w:val="24"/>
          <w:highlight w:val="none"/>
        </w:rPr>
      </w:pPr>
      <w:r>
        <w:rPr>
          <w:rFonts w:hint="eastAsia" w:ascii="宋体" w:hAnsi="宋体"/>
          <w:b w:val="0"/>
          <w:color w:val="auto"/>
          <w:sz w:val="24"/>
          <w:szCs w:val="24"/>
          <w:highlight w:val="none"/>
        </w:rPr>
        <w:t>4、招标文件有修改的，投标人须重新下载修改后的招标文件（修改后的招标文件在更正公告中下载），根据修改后的招标文件制作、撤回修改，并递交投标文件。</w:t>
      </w:r>
    </w:p>
    <w:p>
      <w:pPr>
        <w:pStyle w:val="5"/>
        <w:spacing w:before="0" w:after="0" w:line="400" w:lineRule="exact"/>
        <w:ind w:firstLine="480" w:firstLineChars="200"/>
        <w:rPr>
          <w:rFonts w:ascii="宋体" w:hAnsi="宋体"/>
          <w:bCs w:val="0"/>
          <w:color w:val="auto"/>
          <w:sz w:val="24"/>
          <w:szCs w:val="24"/>
          <w:highlight w:val="none"/>
        </w:rPr>
      </w:pPr>
      <w:r>
        <w:rPr>
          <w:rFonts w:hint="eastAsia" w:ascii="宋体" w:hAnsi="宋体"/>
          <w:b w:val="0"/>
          <w:color w:val="auto"/>
          <w:sz w:val="24"/>
          <w:szCs w:val="24"/>
          <w:highlight w:val="none"/>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实质性要求）</w:t>
      </w:r>
    </w:p>
    <w:p>
      <w:pPr>
        <w:tabs>
          <w:tab w:val="left" w:pos="1080"/>
        </w:tabs>
        <w:spacing w:line="400" w:lineRule="exact"/>
        <w:ind w:firstLine="482" w:firstLineChars="200"/>
        <w:rPr>
          <w:rFonts w:ascii="宋体" w:hAnsi="宋体"/>
          <w:b/>
          <w:bCs/>
          <w:color w:val="auto"/>
          <w:sz w:val="24"/>
          <w:highlight w:val="none"/>
        </w:rPr>
      </w:pPr>
      <w:r>
        <w:rPr>
          <w:rFonts w:hint="eastAsia" w:ascii="宋体" w:hAnsi="宋体"/>
          <w:b/>
          <w:bCs/>
          <w:color w:val="auto"/>
          <w:sz w:val="24"/>
          <w:highlight w:val="none"/>
        </w:rPr>
        <w:t>19.</w:t>
      </w:r>
      <w:bookmarkEnd w:id="103"/>
      <w:bookmarkEnd w:id="104"/>
      <w:bookmarkEnd w:id="105"/>
      <w:bookmarkEnd w:id="106"/>
      <w:bookmarkEnd w:id="107"/>
      <w:bookmarkEnd w:id="108"/>
      <w:bookmarkStart w:id="109" w:name="_Toc183682364"/>
      <w:bookmarkStart w:id="110" w:name="_Toc183582227"/>
      <w:bookmarkStart w:id="111" w:name="_Toc217446054"/>
      <w:bookmarkStart w:id="112" w:name="_Toc308164804"/>
      <w:r>
        <w:rPr>
          <w:rFonts w:hint="eastAsia" w:ascii="宋体" w:hAnsi="宋体"/>
          <w:b/>
          <w:bCs/>
          <w:color w:val="auto"/>
          <w:sz w:val="24"/>
          <w:highlight w:val="none"/>
        </w:rPr>
        <w:t>投标文件的</w:t>
      </w:r>
      <w:bookmarkEnd w:id="109"/>
      <w:bookmarkEnd w:id="110"/>
      <w:r>
        <w:rPr>
          <w:rFonts w:hint="eastAsia" w:ascii="宋体" w:hAnsi="宋体"/>
          <w:b/>
          <w:bCs/>
          <w:color w:val="auto"/>
          <w:sz w:val="24"/>
          <w:highlight w:val="none"/>
        </w:rPr>
        <w:t>递交</w:t>
      </w:r>
      <w:bookmarkEnd w:id="111"/>
      <w:bookmarkEnd w:id="112"/>
      <w:bookmarkStart w:id="113" w:name="_Toc183682365"/>
      <w:bookmarkStart w:id="114" w:name="_Toc183582228"/>
      <w:bookmarkStart w:id="115" w:name="_Toc217446055"/>
    </w:p>
    <w:p>
      <w:pPr>
        <w:tabs>
          <w:tab w:val="left" w:pos="1080"/>
        </w:tabs>
        <w:spacing w:line="400" w:lineRule="exact"/>
        <w:ind w:firstLine="480" w:firstLineChars="200"/>
        <w:rPr>
          <w:rFonts w:ascii="宋体" w:hAns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投标人应当在投标文件递交截止时间前，将生成的已加密的电子投标文件成功递交至“政府采购云平台”。</w:t>
      </w:r>
    </w:p>
    <w:p>
      <w:pPr>
        <w:tabs>
          <w:tab w:val="left" w:pos="1080"/>
        </w:tabs>
        <w:spacing w:line="400" w:lineRule="exact"/>
        <w:ind w:firstLine="480" w:firstLineChars="200"/>
        <w:rPr>
          <w:rFonts w:ascii="宋体" w:hAnsi="宋体"/>
          <w:bCs/>
          <w:color w:val="auto"/>
          <w:sz w:val="24"/>
          <w:highlight w:val="none"/>
        </w:rPr>
      </w:pPr>
      <w:r>
        <w:rPr>
          <w:rFonts w:ascii="宋体" w:hAnsi="宋体"/>
          <w:bCs/>
          <w:color w:val="auto"/>
          <w:sz w:val="24"/>
          <w:highlight w:val="none"/>
        </w:rPr>
        <w:t>2、</w:t>
      </w:r>
      <w:r>
        <w:rPr>
          <w:rFonts w:hint="eastAsia" w:ascii="宋体" w:hAnsi="宋体"/>
          <w:bCs/>
          <w:color w:val="auto"/>
          <w:sz w:val="24"/>
          <w:highlight w:val="none"/>
        </w:rPr>
        <w:t>因招标文件的修改推迟投标截止日期的，投标人按</w:t>
      </w:r>
      <w:r>
        <w:rPr>
          <w:rFonts w:hint="eastAsia" w:ascii="宋体" w:hAnsi="宋体"/>
          <w:bCs/>
          <w:color w:val="auto"/>
          <w:sz w:val="24"/>
          <w:highlight w:val="none"/>
          <w:lang w:eastAsia="zh-Hans"/>
        </w:rPr>
        <w:t>采购人</w:t>
      </w:r>
      <w:r>
        <w:rPr>
          <w:rFonts w:hint="eastAsia" w:ascii="宋体" w:hAnsi="宋体"/>
          <w:bCs/>
          <w:color w:val="auto"/>
          <w:sz w:val="24"/>
          <w:highlight w:val="none"/>
        </w:rPr>
        <w:t>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1080"/>
        </w:tabs>
        <w:spacing w:line="400" w:lineRule="exact"/>
        <w:ind w:firstLine="480" w:firstLineChars="200"/>
        <w:rPr>
          <w:rFonts w:ascii="宋体" w:hAnsi="宋体"/>
          <w:bCs/>
          <w:color w:val="auto"/>
          <w:sz w:val="24"/>
          <w:highlight w:val="none"/>
        </w:rPr>
      </w:pPr>
      <w:r>
        <w:rPr>
          <w:rFonts w:ascii="宋体" w:hAnsi="宋体"/>
          <w:bCs/>
          <w:color w:val="auto"/>
          <w:sz w:val="24"/>
          <w:highlight w:val="none"/>
        </w:rPr>
        <w:t>3、</w:t>
      </w:r>
      <w:r>
        <w:rPr>
          <w:rFonts w:hint="eastAsia" w:ascii="宋体" w:hAnsi="宋体"/>
          <w:bCs/>
          <w:color w:val="auto"/>
          <w:sz w:val="24"/>
          <w:highlight w:val="none"/>
        </w:rPr>
        <w:t>投标人应充分考虑递交文件的不可预见因素，未在投标截止时间前完成递交的，在投标截止时间后将无法递交。</w:t>
      </w:r>
    </w:p>
    <w:p>
      <w:pPr>
        <w:tabs>
          <w:tab w:val="left" w:pos="1080"/>
        </w:tabs>
        <w:spacing w:line="400" w:lineRule="exact"/>
        <w:ind w:firstLine="482" w:firstLineChars="200"/>
        <w:rPr>
          <w:rFonts w:ascii="宋体" w:hAnsi="宋体"/>
          <w:b/>
          <w:bCs/>
          <w:color w:val="auto"/>
          <w:sz w:val="24"/>
          <w:highlight w:val="none"/>
        </w:rPr>
      </w:pPr>
      <w:r>
        <w:rPr>
          <w:rFonts w:hint="eastAsia" w:ascii="宋体" w:hAnsi="宋体"/>
          <w:b/>
          <w:bCs/>
          <w:color w:val="auto"/>
          <w:sz w:val="24"/>
          <w:highlight w:val="none"/>
        </w:rPr>
        <w:t>2</w:t>
      </w:r>
      <w:r>
        <w:rPr>
          <w:rFonts w:ascii="宋体" w:hAnsi="宋体"/>
          <w:b/>
          <w:bCs/>
          <w:color w:val="auto"/>
          <w:sz w:val="24"/>
          <w:highlight w:val="none"/>
        </w:rPr>
        <w:t>0</w:t>
      </w:r>
      <w:r>
        <w:rPr>
          <w:rFonts w:hint="eastAsia" w:ascii="宋体" w:hAnsi="宋体"/>
          <w:b/>
          <w:bCs/>
          <w:color w:val="auto"/>
          <w:sz w:val="24"/>
          <w:highlight w:val="none"/>
        </w:rPr>
        <w:t>．投标文件的修改和撤</w:t>
      </w:r>
      <w:bookmarkEnd w:id="113"/>
      <w:bookmarkEnd w:id="114"/>
      <w:r>
        <w:rPr>
          <w:rFonts w:hint="eastAsia" w:ascii="宋体" w:hAnsi="宋体"/>
          <w:b/>
          <w:bCs/>
          <w:color w:val="auto"/>
          <w:sz w:val="24"/>
          <w:highlight w:val="none"/>
        </w:rPr>
        <w:t>回</w:t>
      </w:r>
      <w:bookmarkEnd w:id="115"/>
      <w:bookmarkStart w:id="116" w:name="_Toc77400782"/>
      <w:bookmarkStart w:id="117" w:name="_Toc89075878"/>
      <w:bookmarkStart w:id="118" w:name="_Toc183682368"/>
      <w:bookmarkStart w:id="119" w:name="_Toc217446056"/>
      <w:bookmarkStart w:id="120" w:name="_Toc308164805"/>
      <w:bookmarkStart w:id="121" w:name="_Toc183582231"/>
    </w:p>
    <w:p>
      <w:pPr>
        <w:tabs>
          <w:tab w:val="left" w:pos="1080"/>
        </w:tabs>
        <w:spacing w:line="400" w:lineRule="exact"/>
        <w:ind w:firstLine="480" w:firstLineChars="200"/>
        <w:rPr>
          <w:rFonts w:ascii="宋体" w:hAnsi="宋体"/>
          <w:bCs/>
          <w:color w:val="auto"/>
          <w:sz w:val="24"/>
          <w:highlight w:val="none"/>
        </w:rPr>
      </w:pPr>
      <w:r>
        <w:rPr>
          <w:rFonts w:ascii="宋体" w:hAnsi="宋体"/>
          <w:color w:val="auto"/>
          <w:sz w:val="24"/>
          <w:highlight w:val="none"/>
        </w:rPr>
        <w:t>1、</w:t>
      </w:r>
      <w:r>
        <w:rPr>
          <w:rFonts w:hint="eastAsia" w:ascii="宋体" w:hAnsi="宋体"/>
          <w:bCs/>
          <w:color w:val="auto"/>
          <w:sz w:val="24"/>
          <w:highlight w:val="none"/>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tabs>
          <w:tab w:val="left" w:pos="1080"/>
        </w:tabs>
        <w:spacing w:line="400" w:lineRule="exact"/>
        <w:ind w:firstLine="480" w:firstLineChars="200"/>
        <w:rPr>
          <w:rFonts w:ascii="宋体" w:hAnsi="宋体"/>
          <w:bCs/>
          <w:color w:val="auto"/>
          <w:sz w:val="24"/>
          <w:highlight w:val="none"/>
        </w:rPr>
      </w:pPr>
      <w:r>
        <w:rPr>
          <w:rFonts w:ascii="宋体" w:hAnsi="宋体"/>
          <w:bCs/>
          <w:color w:val="auto"/>
          <w:sz w:val="24"/>
          <w:highlight w:val="none"/>
        </w:rPr>
        <w:t>2、</w:t>
      </w:r>
      <w:r>
        <w:rPr>
          <w:rFonts w:hint="eastAsia" w:ascii="宋体" w:hAnsi="宋体"/>
          <w:bCs/>
          <w:color w:val="auto"/>
          <w:sz w:val="24"/>
          <w:highlight w:val="none"/>
        </w:rPr>
        <w:t>在投标截止时间之后，投标人不得对其递交的投标文件做任何补充、修改。</w:t>
      </w:r>
    </w:p>
    <w:p>
      <w:pPr>
        <w:pStyle w:val="5"/>
        <w:spacing w:after="200" w:line="240" w:lineRule="auto"/>
        <w:ind w:left="284"/>
        <w:rPr>
          <w:rFonts w:ascii="宋体" w:hAnsi="宋体"/>
          <w:color w:val="auto"/>
          <w:sz w:val="24"/>
          <w:szCs w:val="24"/>
          <w:highlight w:val="none"/>
        </w:rPr>
      </w:pPr>
      <w:r>
        <w:rPr>
          <w:rFonts w:ascii="宋体" w:hAnsi="宋体"/>
          <w:color w:val="auto"/>
          <w:sz w:val="24"/>
          <w:szCs w:val="24"/>
          <w:highlight w:val="none"/>
        </w:rPr>
        <w:t>21</w:t>
      </w:r>
      <w:r>
        <w:rPr>
          <w:rFonts w:hint="eastAsia" w:ascii="宋体" w:hAnsi="宋体"/>
          <w:color w:val="auto"/>
          <w:sz w:val="24"/>
          <w:szCs w:val="24"/>
          <w:highlight w:val="none"/>
          <w:lang w:eastAsia="zh-Hans"/>
        </w:rPr>
        <w:t>.</w:t>
      </w:r>
      <w:r>
        <w:rPr>
          <w:rFonts w:hint="eastAsia" w:ascii="宋体" w:hAnsi="宋体"/>
          <w:color w:val="auto"/>
          <w:sz w:val="24"/>
          <w:szCs w:val="24"/>
          <w:highlight w:val="none"/>
        </w:rPr>
        <w:t>投标文件的解密</w:t>
      </w:r>
    </w:p>
    <w:p>
      <w:pPr>
        <w:tabs>
          <w:tab w:val="left" w:pos="1080"/>
        </w:tabs>
        <w:spacing w:line="400" w:lineRule="exact"/>
        <w:ind w:firstLine="480" w:firstLineChars="200"/>
        <w:rPr>
          <w:rFonts w:ascii="宋体" w:hAnsi="宋体"/>
          <w:bCs/>
          <w:color w:val="auto"/>
          <w:sz w:val="24"/>
          <w:highlight w:val="none"/>
        </w:rPr>
      </w:pPr>
      <w:r>
        <w:rPr>
          <w:rFonts w:hint="eastAsia" w:ascii="宋体" w:hAnsi="宋体"/>
          <w:bCs/>
          <w:color w:val="auto"/>
          <w:sz w:val="24"/>
          <w:highlight w:val="none"/>
        </w:rPr>
        <w:t>投标人登录政府采购云平台，点击“项目采购—开标评标”模块，找到对应项目，进入“开标大厅”，等待代理机构</w:t>
      </w:r>
      <w:r>
        <w:rPr>
          <w:rFonts w:ascii="宋体" w:hAnsi="宋体"/>
          <w:bCs/>
          <w:color w:val="auto"/>
          <w:sz w:val="24"/>
          <w:highlight w:val="none"/>
        </w:rPr>
        <w:t>工作人员</w:t>
      </w:r>
      <w:r>
        <w:rPr>
          <w:rFonts w:hint="eastAsia" w:ascii="宋体" w:hAnsi="宋体"/>
          <w:bCs/>
          <w:color w:val="auto"/>
          <w:sz w:val="24"/>
          <w:highlight w:val="none"/>
        </w:rPr>
        <w:t>开启解密后，进行线上解密。除因断电、断网、系统故障或其他不可抗力等因素，导致系统无法使用外，投标人在规定的解密时间内，未成功解密的投标文件将视为无效投标文件。</w:t>
      </w:r>
    </w:p>
    <w:p>
      <w:pPr>
        <w:tabs>
          <w:tab w:val="left" w:pos="1080"/>
        </w:tabs>
        <w:spacing w:line="400" w:lineRule="exact"/>
        <w:ind w:firstLine="643" w:firstLineChars="200"/>
        <w:jc w:val="center"/>
        <w:rPr>
          <w:rFonts w:ascii="宋体" w:hAnsi="宋体"/>
          <w:b/>
          <w:bCs/>
          <w:color w:val="auto"/>
          <w:sz w:val="32"/>
          <w:szCs w:val="32"/>
          <w:highlight w:val="none"/>
        </w:rPr>
      </w:pPr>
      <w:r>
        <w:rPr>
          <w:rFonts w:hint="eastAsia" w:ascii="宋体" w:hAnsi="宋体"/>
          <w:b/>
          <w:bCs/>
          <w:color w:val="auto"/>
          <w:sz w:val="32"/>
          <w:szCs w:val="32"/>
          <w:highlight w:val="none"/>
        </w:rPr>
        <w:t>五、</w:t>
      </w:r>
      <w:bookmarkEnd w:id="116"/>
      <w:bookmarkEnd w:id="117"/>
      <w:bookmarkEnd w:id="118"/>
      <w:bookmarkEnd w:id="119"/>
      <w:bookmarkEnd w:id="120"/>
      <w:bookmarkEnd w:id="121"/>
      <w:bookmarkStart w:id="122" w:name="_Toc28766"/>
      <w:bookmarkStart w:id="123" w:name="_Toc31524"/>
      <w:bookmarkStart w:id="124" w:name="_Toc4457"/>
      <w:bookmarkStart w:id="125" w:name="_Toc65573690"/>
      <w:bookmarkStart w:id="126" w:name="_Toc16979"/>
      <w:r>
        <w:rPr>
          <w:rFonts w:hint="eastAsia" w:ascii="宋体" w:hAnsi="宋体"/>
          <w:b/>
          <w:bCs/>
          <w:color w:val="auto"/>
          <w:sz w:val="32"/>
          <w:szCs w:val="32"/>
          <w:highlight w:val="none"/>
        </w:rPr>
        <w:t>开标、资格审查、评标和中标</w:t>
      </w:r>
      <w:bookmarkEnd w:id="122"/>
      <w:bookmarkEnd w:id="123"/>
      <w:bookmarkEnd w:id="124"/>
      <w:bookmarkEnd w:id="125"/>
      <w:bookmarkEnd w:id="126"/>
    </w:p>
    <w:p>
      <w:pPr>
        <w:pStyle w:val="5"/>
        <w:spacing w:before="0" w:after="0" w:line="400" w:lineRule="exact"/>
        <w:ind w:firstLine="482" w:firstLineChars="200"/>
        <w:rPr>
          <w:rFonts w:ascii="宋体" w:hAnsi="宋体"/>
          <w:bCs w:val="0"/>
          <w:color w:val="auto"/>
          <w:sz w:val="24"/>
          <w:highlight w:val="none"/>
        </w:rPr>
      </w:pPr>
      <w:bookmarkStart w:id="127" w:name="_Toc308164806"/>
      <w:bookmarkStart w:id="128" w:name="_Toc217446057"/>
      <w:bookmarkStart w:id="129" w:name="_Toc183582232"/>
      <w:bookmarkStart w:id="130" w:name="_Toc183682369"/>
      <w:r>
        <w:rPr>
          <w:rFonts w:hint="eastAsia" w:ascii="宋体" w:hAnsi="宋体"/>
          <w:bCs w:val="0"/>
          <w:color w:val="auto"/>
          <w:sz w:val="24"/>
          <w:highlight w:val="none"/>
        </w:rPr>
        <w:t>22．</w:t>
      </w:r>
      <w:bookmarkEnd w:id="127"/>
      <w:bookmarkEnd w:id="128"/>
      <w:bookmarkEnd w:id="129"/>
      <w:bookmarkEnd w:id="130"/>
      <w:bookmarkStart w:id="131" w:name="_Toc183682375"/>
      <w:bookmarkStart w:id="132" w:name="_Toc183582238"/>
      <w:bookmarkStart w:id="133" w:name="_Toc217446063"/>
      <w:bookmarkStart w:id="134" w:name="_Toc308164809"/>
      <w:r>
        <w:rPr>
          <w:rFonts w:hint="eastAsia" w:ascii="宋体" w:hAnsi="宋体"/>
          <w:bCs w:val="0"/>
          <w:color w:val="auto"/>
          <w:sz w:val="24"/>
          <w:highlight w:val="none"/>
        </w:rPr>
        <w:t>开标及开标程序</w:t>
      </w:r>
    </w:p>
    <w:p>
      <w:pPr>
        <w:pStyle w:val="5"/>
        <w:spacing w:before="0" w:after="0" w:line="400" w:lineRule="exact"/>
        <w:ind w:firstLine="480" w:firstLineChars="200"/>
        <w:rPr>
          <w:rFonts w:ascii="宋体" w:hAnsi="宋体"/>
          <w:b w:val="0"/>
          <w:color w:val="auto"/>
          <w:sz w:val="24"/>
          <w:highlight w:val="none"/>
        </w:rPr>
      </w:pPr>
      <w:r>
        <w:rPr>
          <w:rFonts w:ascii="宋体" w:hAnsi="宋体"/>
          <w:b w:val="0"/>
          <w:color w:val="auto"/>
          <w:sz w:val="24"/>
          <w:highlight w:val="none"/>
        </w:rPr>
        <w:t>1、</w:t>
      </w:r>
      <w:r>
        <w:rPr>
          <w:rFonts w:hint="eastAsia" w:ascii="宋体" w:hAnsi="宋体"/>
          <w:b w:val="0"/>
          <w:color w:val="auto"/>
          <w:sz w:val="24"/>
          <w:highlight w:val="none"/>
        </w:rPr>
        <w:t>本项目为不见面开标项目。递交电子投标文件的投标人不足3家的，不予开标。</w:t>
      </w:r>
    </w:p>
    <w:p>
      <w:pPr>
        <w:pStyle w:val="5"/>
        <w:spacing w:before="0" w:after="0" w:line="400" w:lineRule="exact"/>
        <w:ind w:firstLine="480" w:firstLineChars="200"/>
        <w:rPr>
          <w:rFonts w:ascii="宋体" w:hAnsi="宋体"/>
          <w:b w:val="0"/>
          <w:color w:val="auto"/>
          <w:sz w:val="24"/>
          <w:highlight w:val="none"/>
        </w:rPr>
      </w:pPr>
      <w:r>
        <w:rPr>
          <w:rFonts w:ascii="宋体" w:hAnsi="宋体"/>
          <w:b w:val="0"/>
          <w:color w:val="auto"/>
          <w:sz w:val="24"/>
          <w:highlight w:val="none"/>
        </w:rPr>
        <w:t>2、</w:t>
      </w:r>
      <w:r>
        <w:rPr>
          <w:rFonts w:hint="eastAsia" w:ascii="宋体" w:hAnsi="宋体"/>
          <w:b w:val="0"/>
          <w:color w:val="auto"/>
          <w:sz w:val="24"/>
          <w:highlight w:val="none"/>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w:t>
      </w:r>
    </w:p>
    <w:p>
      <w:pPr>
        <w:pStyle w:val="5"/>
        <w:spacing w:before="0" w:after="0" w:line="400" w:lineRule="exact"/>
        <w:ind w:firstLine="482" w:firstLineChars="200"/>
        <w:rPr>
          <w:rFonts w:ascii="宋体" w:hAnsi="宋体"/>
          <w:bCs w:val="0"/>
          <w:color w:val="auto"/>
          <w:sz w:val="24"/>
          <w:highlight w:val="none"/>
        </w:rPr>
      </w:pPr>
      <w:r>
        <w:rPr>
          <w:rFonts w:hint="eastAsia" w:ascii="宋体" w:hAnsi="宋体"/>
          <w:bCs w:val="0"/>
          <w:color w:val="auto"/>
          <w:sz w:val="24"/>
          <w:highlight w:val="none"/>
        </w:rPr>
        <w:t>提示：投标人未按时登录不见面开标系统，错过开标解密时间的，由投标人自行承担不利后果。</w:t>
      </w:r>
    </w:p>
    <w:p>
      <w:pPr>
        <w:pStyle w:val="5"/>
        <w:spacing w:before="0" w:after="0" w:line="400" w:lineRule="exact"/>
        <w:ind w:firstLine="480" w:firstLineChars="200"/>
        <w:rPr>
          <w:rFonts w:ascii="宋体" w:hAnsi="宋体"/>
          <w:b w:val="0"/>
          <w:color w:val="auto"/>
          <w:sz w:val="24"/>
          <w:highlight w:val="none"/>
        </w:rPr>
      </w:pPr>
      <w:r>
        <w:rPr>
          <w:rFonts w:ascii="宋体" w:hAnsi="宋体"/>
          <w:b w:val="0"/>
          <w:color w:val="auto"/>
          <w:sz w:val="24"/>
          <w:highlight w:val="none"/>
        </w:rPr>
        <w:t>3、</w:t>
      </w:r>
      <w:r>
        <w:rPr>
          <w:rFonts w:hint="eastAsia" w:ascii="宋体" w:hAnsi="宋体"/>
          <w:b w:val="0"/>
          <w:color w:val="auto"/>
          <w:sz w:val="24"/>
          <w:highlight w:val="none"/>
        </w:rPr>
        <w:t>解密投标文件。等待代理机构</w:t>
      </w:r>
      <w:r>
        <w:rPr>
          <w:rFonts w:ascii="宋体" w:hAnsi="宋体"/>
          <w:b w:val="0"/>
          <w:color w:val="auto"/>
          <w:sz w:val="24"/>
          <w:highlight w:val="none"/>
        </w:rPr>
        <w:t>工作人员</w:t>
      </w:r>
      <w:r>
        <w:rPr>
          <w:rFonts w:hint="eastAsia" w:ascii="宋体" w:hAnsi="宋体"/>
          <w:b w:val="0"/>
          <w:color w:val="auto"/>
          <w:sz w:val="24"/>
          <w:highlight w:val="none"/>
        </w:rPr>
        <w:t>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pStyle w:val="5"/>
        <w:spacing w:before="0" w:after="0" w:line="400" w:lineRule="exact"/>
        <w:ind w:firstLine="480" w:firstLineChars="200"/>
        <w:rPr>
          <w:rFonts w:ascii="宋体" w:hAnsi="宋体"/>
          <w:b w:val="0"/>
          <w:color w:val="auto"/>
          <w:sz w:val="24"/>
          <w:highlight w:val="none"/>
        </w:rPr>
      </w:pPr>
      <w:r>
        <w:rPr>
          <w:rFonts w:ascii="宋体" w:hAnsi="宋体"/>
          <w:b w:val="0"/>
          <w:color w:val="auto"/>
          <w:sz w:val="24"/>
          <w:highlight w:val="none"/>
        </w:rPr>
        <w:t>4、</w:t>
      </w:r>
      <w:r>
        <w:rPr>
          <w:rFonts w:hint="eastAsia" w:ascii="宋体" w:hAnsi="宋体"/>
          <w:b w:val="0"/>
          <w:color w:val="auto"/>
          <w:sz w:val="24"/>
          <w:highlight w:val="none"/>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5"/>
        <w:spacing w:before="0" w:after="0" w:line="400" w:lineRule="exact"/>
        <w:ind w:firstLine="480" w:firstLineChars="200"/>
        <w:rPr>
          <w:rFonts w:ascii="宋体" w:hAnsi="宋体"/>
          <w:b w:val="0"/>
          <w:color w:val="auto"/>
          <w:sz w:val="24"/>
          <w:highlight w:val="none"/>
        </w:rPr>
      </w:pPr>
      <w:r>
        <w:rPr>
          <w:rFonts w:ascii="宋体" w:hAnsi="宋体"/>
          <w:b w:val="0"/>
          <w:color w:val="auto"/>
          <w:sz w:val="24"/>
          <w:highlight w:val="none"/>
        </w:rPr>
        <w:t>5、</w:t>
      </w:r>
      <w:r>
        <w:rPr>
          <w:rFonts w:hint="eastAsia" w:ascii="宋体" w:hAnsi="宋体"/>
          <w:b w:val="0"/>
          <w:color w:val="auto"/>
          <w:sz w:val="24"/>
          <w:highlight w:val="none"/>
        </w:rPr>
        <w:t>投标人对开标过程和开标记录有疑义，以及认为采购人、相关工作人员有需要回避的情形的，及时向工作人员提出询问或者回避申请。采购人、</w:t>
      </w:r>
      <w:r>
        <w:rPr>
          <w:rFonts w:hint="eastAsia" w:ascii="宋体" w:hAnsi="宋体"/>
          <w:b w:val="0"/>
          <w:color w:val="auto"/>
          <w:sz w:val="24"/>
          <w:highlight w:val="none"/>
          <w:lang w:eastAsia="zh-Hans"/>
        </w:rPr>
        <w:t>相关</w:t>
      </w:r>
      <w:r>
        <w:rPr>
          <w:rFonts w:ascii="宋体" w:hAnsi="宋体"/>
          <w:b w:val="0"/>
          <w:color w:val="auto"/>
          <w:sz w:val="24"/>
          <w:highlight w:val="none"/>
        </w:rPr>
        <w:t>工作人员</w:t>
      </w:r>
      <w:r>
        <w:rPr>
          <w:rFonts w:hint="eastAsia" w:ascii="宋体" w:hAnsi="宋体"/>
          <w:b w:val="0"/>
          <w:color w:val="auto"/>
          <w:sz w:val="24"/>
          <w:highlight w:val="none"/>
        </w:rPr>
        <w:t>对投标人提出的询问或者回避申请应当及时处理。</w:t>
      </w:r>
    </w:p>
    <w:p>
      <w:pPr>
        <w:pStyle w:val="5"/>
        <w:spacing w:before="0" w:after="0" w:line="400" w:lineRule="exact"/>
        <w:ind w:firstLine="480" w:firstLineChars="200"/>
        <w:rPr>
          <w:rFonts w:ascii="宋体" w:hAnsi="宋体"/>
          <w:b w:val="0"/>
          <w:color w:val="auto"/>
          <w:sz w:val="24"/>
          <w:highlight w:val="none"/>
        </w:rPr>
      </w:pPr>
      <w:r>
        <w:rPr>
          <w:rFonts w:ascii="宋体" w:hAnsi="宋体"/>
          <w:b w:val="0"/>
          <w:color w:val="auto"/>
          <w:sz w:val="24"/>
          <w:highlight w:val="none"/>
        </w:rPr>
        <w:t>6、</w:t>
      </w:r>
      <w:r>
        <w:rPr>
          <w:rFonts w:hint="eastAsia" w:ascii="宋体" w:hAnsi="宋体"/>
          <w:b w:val="0"/>
          <w:color w:val="auto"/>
          <w:sz w:val="24"/>
          <w:highlight w:val="none"/>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5"/>
        <w:spacing w:before="0" w:after="0" w:line="400" w:lineRule="exact"/>
        <w:ind w:firstLine="480" w:firstLineChars="200"/>
        <w:rPr>
          <w:rFonts w:ascii="宋体" w:hAnsi="宋体"/>
          <w:b w:val="0"/>
          <w:color w:val="auto"/>
          <w:sz w:val="24"/>
          <w:highlight w:val="none"/>
        </w:rPr>
      </w:pPr>
      <w:r>
        <w:rPr>
          <w:rFonts w:ascii="宋体" w:hAnsi="宋体"/>
          <w:b w:val="0"/>
          <w:color w:val="auto"/>
          <w:sz w:val="24"/>
          <w:highlight w:val="none"/>
        </w:rPr>
        <w:t>7、</w:t>
      </w:r>
      <w:r>
        <w:rPr>
          <w:rFonts w:hint="eastAsia" w:ascii="宋体" w:hAnsi="宋体"/>
          <w:b w:val="0"/>
          <w:color w:val="auto"/>
          <w:sz w:val="24"/>
          <w:highlight w:val="none"/>
        </w:rPr>
        <w:t>因断电、断网、系统故障或其他不可抗力等因素导致不见面开标系统无法正常运行的，开标活动中止或延迟，待系统恢复正常后继续进行开标活动。</w:t>
      </w:r>
    </w:p>
    <w:p>
      <w:pPr>
        <w:pStyle w:val="5"/>
        <w:spacing w:before="0" w:after="0" w:line="400" w:lineRule="exact"/>
        <w:ind w:firstLine="480" w:firstLineChars="200"/>
        <w:rPr>
          <w:rFonts w:ascii="宋体" w:hAnsi="宋体"/>
          <w:b w:val="0"/>
          <w:color w:val="auto"/>
          <w:sz w:val="24"/>
          <w:highlight w:val="none"/>
        </w:rPr>
      </w:pPr>
      <w:r>
        <w:rPr>
          <w:rFonts w:ascii="宋体" w:hAnsi="宋体"/>
          <w:b w:val="0"/>
          <w:color w:val="auto"/>
          <w:sz w:val="24"/>
          <w:highlight w:val="none"/>
        </w:rPr>
        <w:t>8、</w:t>
      </w:r>
      <w:r>
        <w:rPr>
          <w:rFonts w:hint="eastAsia" w:ascii="宋体" w:hAnsi="宋体"/>
          <w:b w:val="0"/>
          <w:color w:val="auto"/>
          <w:sz w:val="24"/>
          <w:highlight w:val="none"/>
        </w:rPr>
        <w:t>不见面开标过程中，各方主体均应遵守互联网有关规定，不得发表与交易活动无关的言论。</w:t>
      </w:r>
    </w:p>
    <w:p>
      <w:pPr>
        <w:pStyle w:val="5"/>
        <w:spacing w:before="0" w:after="0" w:line="400" w:lineRule="exact"/>
        <w:ind w:firstLine="482"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3</w:t>
      </w:r>
      <w:r>
        <w:rPr>
          <w:rFonts w:hint="eastAsia" w:ascii="宋体" w:hAnsi="宋体"/>
          <w:color w:val="auto"/>
          <w:sz w:val="24"/>
          <w:highlight w:val="none"/>
        </w:rPr>
        <w:t>．开评标过程存档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开标和评标过程进行全过程电子监控，并将电子监控资料存储介质留存归档。</w:t>
      </w:r>
    </w:p>
    <w:p>
      <w:pPr>
        <w:pStyle w:val="5"/>
        <w:spacing w:before="0" w:after="0" w:line="400" w:lineRule="exact"/>
        <w:ind w:firstLine="482" w:firstLineChars="200"/>
        <w:rPr>
          <w:rFonts w:ascii="宋体" w:hAnsi="宋体"/>
          <w:color w:val="auto"/>
          <w:sz w:val="24"/>
          <w:highlight w:val="none"/>
        </w:rPr>
      </w:pPr>
      <w:r>
        <w:rPr>
          <w:rFonts w:ascii="宋体" w:hAnsi="宋体"/>
          <w:color w:val="auto"/>
          <w:sz w:val="24"/>
          <w:highlight w:val="none"/>
        </w:rPr>
        <w:t>24</w:t>
      </w:r>
      <w:r>
        <w:rPr>
          <w:rFonts w:hint="eastAsia" w:ascii="宋体" w:hAnsi="宋体"/>
          <w:color w:val="auto"/>
          <w:sz w:val="24"/>
          <w:highlight w:val="none"/>
          <w:lang w:eastAsia="zh-Hans"/>
        </w:rPr>
        <w:t>.</w:t>
      </w:r>
      <w:r>
        <w:rPr>
          <w:rFonts w:hint="eastAsia" w:ascii="宋体" w:hAnsi="宋体"/>
          <w:color w:val="auto"/>
          <w:sz w:val="24"/>
          <w:highlight w:val="none"/>
        </w:rPr>
        <w:t>资格审查</w:t>
      </w:r>
    </w:p>
    <w:p>
      <w:pPr>
        <w:pStyle w:val="5"/>
        <w:spacing w:before="0" w:after="0" w:line="400" w:lineRule="exact"/>
        <w:ind w:firstLine="480" w:firstLineChars="200"/>
        <w:rPr>
          <w:rFonts w:ascii="宋体" w:hAnsi="宋体"/>
          <w:b w:val="0"/>
          <w:bCs w:val="0"/>
          <w:color w:val="auto"/>
          <w:sz w:val="24"/>
          <w:szCs w:val="24"/>
          <w:highlight w:val="none"/>
        </w:rPr>
      </w:pPr>
      <w:r>
        <w:rPr>
          <w:rFonts w:hint="eastAsia" w:ascii="宋体" w:hAnsi="宋体"/>
          <w:b w:val="0"/>
          <w:bCs w:val="0"/>
          <w:color w:val="auto"/>
          <w:sz w:val="24"/>
          <w:szCs w:val="24"/>
          <w:highlight w:val="none"/>
        </w:rPr>
        <w:t>详见招标文件</w:t>
      </w:r>
    </w:p>
    <w:p>
      <w:pPr>
        <w:pStyle w:val="5"/>
        <w:spacing w:before="0" w:after="0" w:line="400" w:lineRule="exact"/>
        <w:ind w:firstLine="482"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5</w:t>
      </w:r>
      <w:r>
        <w:rPr>
          <w:rFonts w:hint="eastAsia" w:ascii="宋体" w:hAnsi="宋体"/>
          <w:color w:val="auto"/>
          <w:sz w:val="24"/>
          <w:highlight w:val="none"/>
        </w:rPr>
        <w:t>.评标情况公告</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所有投标人投标文件资格性、符合性检查情况、采用综合评分法时的总得分和分项汇总得分情况、评标结果等将在四川政府采购网上采购结果公告栏中予以公告。</w:t>
      </w:r>
    </w:p>
    <w:p>
      <w:pPr>
        <w:pStyle w:val="5"/>
        <w:spacing w:before="0" w:after="0" w:line="400" w:lineRule="exact"/>
        <w:ind w:firstLine="482" w:firstLineChars="200"/>
        <w:rPr>
          <w:rFonts w:ascii="宋体" w:hAnsi="宋体"/>
          <w:bCs w:val="0"/>
          <w:color w:val="auto"/>
          <w:sz w:val="24"/>
          <w:szCs w:val="24"/>
          <w:highlight w:val="none"/>
        </w:rPr>
      </w:pPr>
      <w:r>
        <w:rPr>
          <w:rFonts w:hint="eastAsia" w:ascii="宋体" w:hAnsi="宋体"/>
          <w:bCs w:val="0"/>
          <w:color w:val="auto"/>
          <w:sz w:val="24"/>
          <w:szCs w:val="24"/>
          <w:highlight w:val="none"/>
        </w:rPr>
        <w:t>26.中标通知</w:t>
      </w:r>
      <w:bookmarkEnd w:id="131"/>
      <w:bookmarkEnd w:id="132"/>
      <w:r>
        <w:rPr>
          <w:rFonts w:hint="eastAsia" w:ascii="宋体" w:hAnsi="宋体"/>
          <w:bCs w:val="0"/>
          <w:color w:val="auto"/>
          <w:sz w:val="24"/>
          <w:szCs w:val="24"/>
          <w:highlight w:val="none"/>
        </w:rPr>
        <w:t>书</w:t>
      </w:r>
      <w:bookmarkEnd w:id="133"/>
      <w:bookmarkEnd w:id="134"/>
    </w:p>
    <w:p>
      <w:pPr>
        <w:tabs>
          <w:tab w:val="left" w:pos="7665"/>
        </w:tabs>
        <w:spacing w:line="400" w:lineRule="exact"/>
        <w:ind w:firstLine="480" w:firstLineChars="200"/>
        <w:rPr>
          <w:rFonts w:ascii="宋体" w:hAnsi="宋体"/>
          <w:color w:val="auto"/>
          <w:sz w:val="24"/>
          <w:highlight w:val="none"/>
        </w:rPr>
      </w:pPr>
      <w:r>
        <w:rPr>
          <w:rFonts w:hint="eastAsia" w:ascii="宋体" w:hAnsi="宋体"/>
          <w:color w:val="auto"/>
          <w:sz w:val="24"/>
          <w:highlight w:val="none"/>
        </w:rPr>
        <w:t>26</w:t>
      </w:r>
      <w:r>
        <w:rPr>
          <w:rFonts w:hint="eastAsia" w:ascii="宋体" w:hAnsi="宋体"/>
          <w:bCs/>
          <w:color w:val="auto"/>
          <w:sz w:val="24"/>
          <w:highlight w:val="none"/>
        </w:rPr>
        <w:t>.</w:t>
      </w:r>
      <w:r>
        <w:rPr>
          <w:rFonts w:hint="eastAsia" w:ascii="宋体" w:hAnsi="宋体"/>
          <w:color w:val="auto"/>
          <w:sz w:val="24"/>
          <w:highlight w:val="none"/>
        </w:rPr>
        <w:t>1 中标通知书为签订政府采购合同的依据之一，是合同的有效组成部分。</w:t>
      </w:r>
    </w:p>
    <w:p>
      <w:pPr>
        <w:tabs>
          <w:tab w:val="left" w:pos="7665"/>
        </w:tabs>
        <w:spacing w:line="400" w:lineRule="exact"/>
        <w:ind w:firstLine="480"/>
        <w:rPr>
          <w:rFonts w:ascii="宋体" w:hAnsi="宋体"/>
          <w:color w:val="auto"/>
          <w:sz w:val="24"/>
          <w:highlight w:val="none"/>
        </w:rPr>
      </w:pPr>
      <w:r>
        <w:rPr>
          <w:rFonts w:hint="eastAsia" w:ascii="宋体" w:hAnsi="宋体"/>
          <w:color w:val="auto"/>
          <w:sz w:val="24"/>
          <w:highlight w:val="none"/>
        </w:rPr>
        <w:t>26.2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hAnsi="宋体"/>
          <w:color w:val="auto"/>
          <w:sz w:val="24"/>
          <w:highlight w:val="none"/>
        </w:rPr>
      </w:pPr>
      <w:r>
        <w:rPr>
          <w:rFonts w:hint="eastAsia" w:ascii="宋体" w:hAnsi="宋体"/>
          <w:color w:val="auto"/>
          <w:sz w:val="24"/>
          <w:highlight w:val="none"/>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退回），依法重新确定中标人或者重新开展采购活动。</w:t>
      </w:r>
    </w:p>
    <w:p>
      <w:pPr>
        <w:tabs>
          <w:tab w:val="left" w:pos="7665"/>
        </w:tabs>
        <w:spacing w:line="400" w:lineRule="exact"/>
        <w:ind w:firstLine="480"/>
        <w:rPr>
          <w:rFonts w:ascii="宋体" w:hAnsi="宋体"/>
          <w:color w:val="auto"/>
          <w:sz w:val="24"/>
          <w:highlight w:val="none"/>
        </w:rPr>
      </w:pPr>
      <w:r>
        <w:rPr>
          <w:rFonts w:hint="eastAsia" w:ascii="宋体" w:hAnsi="宋体"/>
          <w:color w:val="auto"/>
          <w:sz w:val="24"/>
          <w:highlight w:val="none"/>
        </w:rPr>
        <w:t>26.4中标公告发出后，</w:t>
      </w:r>
      <w:bookmarkStart w:id="135" w:name="_Toc308164810"/>
      <w:bookmarkStart w:id="136" w:name="_Toc217446064"/>
      <w:bookmarkStart w:id="137" w:name="_Toc183582240"/>
      <w:bookmarkStart w:id="138" w:name="_Toc183682377"/>
      <w:r>
        <w:rPr>
          <w:rFonts w:hint="eastAsia" w:ascii="宋体" w:hAnsi="宋体"/>
          <w:color w:val="auto"/>
          <w:sz w:val="24"/>
          <w:highlight w:val="none"/>
        </w:rPr>
        <w:t>中标供应商自行登录政府采购云平台下载中标通知书。</w:t>
      </w:r>
    </w:p>
    <w:p>
      <w:pPr>
        <w:pStyle w:val="4"/>
        <w:spacing w:line="400" w:lineRule="exact"/>
        <w:jc w:val="center"/>
        <w:rPr>
          <w:rFonts w:ascii="宋体" w:hAnsi="宋体" w:eastAsia="宋体"/>
          <w:color w:val="auto"/>
          <w:szCs w:val="28"/>
          <w:highlight w:val="none"/>
        </w:rPr>
      </w:pPr>
      <w:r>
        <w:rPr>
          <w:rFonts w:hint="eastAsia" w:ascii="宋体" w:hAnsi="宋体" w:eastAsia="宋体"/>
          <w:color w:val="auto"/>
          <w:szCs w:val="28"/>
          <w:highlight w:val="none"/>
        </w:rPr>
        <w:t>六、签订及履行合同和验收</w:t>
      </w:r>
      <w:bookmarkEnd w:id="135"/>
      <w:bookmarkEnd w:id="136"/>
    </w:p>
    <w:p>
      <w:pPr>
        <w:pStyle w:val="5"/>
        <w:spacing w:before="0" w:after="0" w:line="400" w:lineRule="exact"/>
        <w:ind w:firstLine="482" w:firstLineChars="200"/>
        <w:rPr>
          <w:rFonts w:ascii="宋体" w:hAnsi="宋体"/>
          <w:b w:val="0"/>
          <w:color w:val="auto"/>
          <w:sz w:val="24"/>
          <w:szCs w:val="24"/>
          <w:highlight w:val="none"/>
        </w:rPr>
      </w:pPr>
      <w:bookmarkStart w:id="139" w:name="_Toc308164811"/>
      <w:bookmarkStart w:id="140" w:name="_Toc217446065"/>
      <w:r>
        <w:rPr>
          <w:rFonts w:hint="eastAsia" w:ascii="宋体" w:hAnsi="宋体"/>
          <w:color w:val="auto"/>
          <w:sz w:val="24"/>
          <w:highlight w:val="none"/>
        </w:rPr>
        <w:t>27.</w:t>
      </w:r>
      <w:r>
        <w:rPr>
          <w:rFonts w:hint="eastAsia" w:ascii="宋体" w:hAnsi="宋体"/>
          <w:b w:val="0"/>
          <w:color w:val="auto"/>
          <w:sz w:val="24"/>
          <w:highlight w:val="none"/>
        </w:rPr>
        <w:t xml:space="preserve"> </w:t>
      </w:r>
      <w:r>
        <w:rPr>
          <w:rFonts w:hint="eastAsia" w:ascii="宋体" w:hAnsi="宋体"/>
          <w:color w:val="auto"/>
          <w:sz w:val="24"/>
          <w:szCs w:val="24"/>
          <w:highlight w:val="none"/>
        </w:rPr>
        <w:t>签订合同</w:t>
      </w:r>
      <w:bookmarkEnd w:id="139"/>
      <w:bookmarkEnd w:id="140"/>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27.1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hAnsi="宋体"/>
          <w:color w:val="auto"/>
          <w:sz w:val="24"/>
          <w:highlight w:val="none"/>
        </w:rPr>
      </w:pPr>
      <w:r>
        <w:rPr>
          <w:rFonts w:hint="eastAsia" w:ascii="宋体" w:hAnsi="宋体"/>
          <w:color w:val="auto"/>
          <w:sz w:val="24"/>
          <w:highlight w:val="none"/>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420" w:firstLineChars="175"/>
        <w:rPr>
          <w:rFonts w:ascii="宋体" w:hAnsi="宋体"/>
          <w:color w:val="auto"/>
          <w:sz w:val="24"/>
          <w:highlight w:val="none"/>
        </w:rPr>
      </w:pPr>
      <w:r>
        <w:rPr>
          <w:rFonts w:hint="eastAsia" w:ascii="宋体" w:hAnsi="宋体"/>
          <w:color w:val="auto"/>
          <w:sz w:val="24"/>
          <w:highlight w:val="none"/>
        </w:rPr>
        <w:t>27.3 中标人拒绝与采购人签订合同的，采购人可以按照评审报告推荐的中标候选人名单排序，确定下一候选人为中标人，也可以重新开展政府采购活动。</w:t>
      </w:r>
    </w:p>
    <w:p>
      <w:pPr>
        <w:spacing w:line="400" w:lineRule="exact"/>
        <w:ind w:firstLine="420" w:firstLineChars="175"/>
        <w:rPr>
          <w:rFonts w:ascii="宋体" w:hAnsi="宋体"/>
          <w:color w:val="auto"/>
          <w:sz w:val="24"/>
          <w:highlight w:val="none"/>
        </w:rPr>
      </w:pPr>
      <w:r>
        <w:rPr>
          <w:rFonts w:hint="eastAsia" w:ascii="宋体" w:hAnsi="宋体"/>
          <w:color w:val="auto"/>
          <w:sz w:val="24"/>
          <w:highlight w:val="none"/>
        </w:rPr>
        <w:t>27.4 中标人在合同签订之后三个工作日内，将签订的合同（一式壹份）送采购代理机构。中标人应及时到采购代理机构办理。（联系方式详见须知附表中）</w:t>
      </w:r>
    </w:p>
    <w:p>
      <w:pPr>
        <w:pStyle w:val="4"/>
        <w:spacing w:before="0" w:after="0" w:line="400" w:lineRule="exact"/>
        <w:ind w:firstLine="482"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28. 合同分包（实质性要求）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28.1 经采购人同意，中标人可以依法采取分包方式履行合同。这种要求应当在合同签订之前征得采购人同意，并且分包投标人履行的分包项目的品牌、规格型号及技术要求等，必须与中标的一致。</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分包履行合同的部分应当为采购项目的非主体、非关键性工作，不属于中标人的主要合同义务。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28.2 采购合同实行分包履行的，中标人就采购项目和分包项目向采购人负责，分包承包人就分包项目承担责任。</w:t>
      </w:r>
    </w:p>
    <w:p>
      <w:pPr>
        <w:spacing w:line="400" w:lineRule="exact"/>
        <w:ind w:firstLine="540" w:firstLineChars="225"/>
        <w:rPr>
          <w:rFonts w:ascii="宋体" w:hAnsi="宋体"/>
          <w:color w:val="auto"/>
          <w:sz w:val="24"/>
          <w:highlight w:val="none"/>
        </w:rPr>
      </w:pPr>
      <w:r>
        <w:rPr>
          <w:rFonts w:hint="eastAsia" w:ascii="宋体" w:hAnsi="宋体"/>
          <w:color w:val="auto"/>
          <w:sz w:val="24"/>
          <w:highlight w:val="none"/>
        </w:rPr>
        <w:t>28.3 中小企业依据《政府采购促进中小企业发展管理办法》（财库〔2020〕46号）规定享受扶持政策获得政府采购合同的，小微企业不得将合同分包给大中型企业，中型企业不得将合同分包给大型企业。</w:t>
      </w:r>
    </w:p>
    <w:p>
      <w:pPr>
        <w:pStyle w:val="4"/>
        <w:spacing w:before="0" w:after="0" w:line="400" w:lineRule="exact"/>
        <w:ind w:firstLine="482"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29.合同转包（实质性要求）</w:t>
      </w:r>
    </w:p>
    <w:p>
      <w:pPr>
        <w:spacing w:line="400" w:lineRule="exact"/>
        <w:ind w:firstLine="540" w:firstLineChars="225"/>
        <w:rPr>
          <w:rFonts w:ascii="宋体" w:hAnsi="宋体"/>
          <w:color w:val="auto"/>
          <w:sz w:val="24"/>
          <w:highlight w:val="none"/>
        </w:rPr>
      </w:pPr>
      <w:r>
        <w:rPr>
          <w:rFonts w:hint="eastAsia" w:ascii="宋体" w:hAnsi="宋体"/>
          <w:color w:val="auto"/>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宋体" w:hAnsi="宋体"/>
          <w:color w:val="auto"/>
          <w:sz w:val="24"/>
          <w:highlight w:val="none"/>
        </w:rPr>
      </w:pPr>
      <w:r>
        <w:rPr>
          <w:rFonts w:hint="eastAsia" w:ascii="宋体" w:hAnsi="宋体"/>
          <w:color w:val="auto"/>
          <w:sz w:val="24"/>
          <w:highlight w:val="none"/>
        </w:rPr>
        <w:t>中标人转包的，视同拒绝履行政府采购合同义务，将依法追究法律责任。</w:t>
      </w:r>
    </w:p>
    <w:p>
      <w:pPr>
        <w:pStyle w:val="4"/>
        <w:spacing w:before="0" w:after="0" w:line="400" w:lineRule="exact"/>
        <w:ind w:firstLine="482" w:firstLineChars="200"/>
        <w:rPr>
          <w:rFonts w:ascii="宋体" w:hAnsi="宋体" w:eastAsia="宋体"/>
          <w:color w:val="auto"/>
          <w:sz w:val="24"/>
          <w:szCs w:val="24"/>
          <w:highlight w:val="none"/>
        </w:rPr>
      </w:pPr>
      <w:bookmarkStart w:id="141" w:name="_Toc217446066"/>
      <w:r>
        <w:rPr>
          <w:rFonts w:hint="eastAsia" w:ascii="宋体" w:hAnsi="宋体" w:eastAsia="宋体"/>
          <w:color w:val="auto"/>
          <w:sz w:val="24"/>
          <w:szCs w:val="24"/>
          <w:highlight w:val="none"/>
        </w:rPr>
        <w:t>30.</w:t>
      </w:r>
      <w:bookmarkEnd w:id="141"/>
      <w:r>
        <w:rPr>
          <w:rFonts w:hint="eastAsia" w:ascii="宋体" w:hAnsi="宋体" w:eastAsia="宋体"/>
          <w:color w:val="auto"/>
          <w:sz w:val="24"/>
          <w:szCs w:val="24"/>
          <w:highlight w:val="none"/>
        </w:rPr>
        <w:t xml:space="preserve"> 补充合同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before="0" w:after="0" w:line="400" w:lineRule="exact"/>
        <w:ind w:firstLine="482" w:firstLineChars="200"/>
        <w:rPr>
          <w:rFonts w:ascii="宋体" w:hAnsi="宋体"/>
          <w:b w:val="0"/>
          <w:color w:val="auto"/>
          <w:sz w:val="24"/>
          <w:szCs w:val="24"/>
          <w:highlight w:val="none"/>
        </w:rPr>
      </w:pPr>
      <w:bookmarkStart w:id="142" w:name="_Toc217446068"/>
      <w:bookmarkStart w:id="143" w:name="_Toc308164812"/>
      <w:r>
        <w:rPr>
          <w:rFonts w:hint="eastAsia" w:ascii="宋体" w:hAnsi="宋体"/>
          <w:color w:val="auto"/>
          <w:sz w:val="24"/>
          <w:szCs w:val="24"/>
          <w:highlight w:val="none"/>
        </w:rPr>
        <w:t>31</w:t>
      </w:r>
      <w:r>
        <w:rPr>
          <w:rFonts w:hint="eastAsia" w:ascii="宋体" w:hAnsi="宋体"/>
          <w:b w:val="0"/>
          <w:color w:val="auto"/>
          <w:sz w:val="24"/>
          <w:szCs w:val="24"/>
          <w:highlight w:val="none"/>
        </w:rPr>
        <w:t xml:space="preserve">. </w:t>
      </w:r>
      <w:r>
        <w:rPr>
          <w:rFonts w:hint="eastAsia" w:ascii="宋体" w:hAnsi="宋体"/>
          <w:color w:val="auto"/>
          <w:sz w:val="24"/>
          <w:szCs w:val="24"/>
          <w:highlight w:val="none"/>
        </w:rPr>
        <w:t>履约保证金</w:t>
      </w:r>
      <w:bookmarkEnd w:id="142"/>
      <w:bookmarkEnd w:id="143"/>
      <w:r>
        <w:rPr>
          <w:rFonts w:hint="eastAsia" w:ascii="宋体" w:hAnsi="宋体"/>
          <w:color w:val="auto"/>
          <w:sz w:val="24"/>
          <w:szCs w:val="24"/>
          <w:highlight w:val="none"/>
        </w:rPr>
        <w:t>（如需缴纳）</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31.1 如招标文件规定须交纳履约保证金，中标人应在合同签订之前交纳招标文件规定数额的履约保证金。</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31.2 如果中标人在规定的合同签订时间内，没有按照招标文件的规定交纳履约保证金，且又无正当理由的，将视为放弃中标。</w:t>
      </w:r>
    </w:p>
    <w:p>
      <w:pPr>
        <w:pStyle w:val="5"/>
        <w:spacing w:before="0" w:after="0" w:line="400" w:lineRule="exact"/>
        <w:ind w:firstLine="482" w:firstLineChars="200"/>
        <w:rPr>
          <w:rFonts w:ascii="宋体" w:hAnsi="宋体"/>
          <w:color w:val="auto"/>
          <w:sz w:val="24"/>
          <w:szCs w:val="24"/>
          <w:highlight w:val="none"/>
        </w:rPr>
      </w:pPr>
      <w:bookmarkStart w:id="144" w:name="_Toc217446069"/>
      <w:bookmarkStart w:id="145" w:name="_Toc308164813"/>
      <w:r>
        <w:rPr>
          <w:rFonts w:hint="eastAsia" w:ascii="宋体" w:hAnsi="宋体"/>
          <w:color w:val="auto"/>
          <w:sz w:val="24"/>
          <w:szCs w:val="24"/>
          <w:highlight w:val="none"/>
        </w:rPr>
        <w:t>32.合同公告</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before="0" w:after="0" w:line="400" w:lineRule="exact"/>
        <w:ind w:firstLine="482" w:firstLineChars="200"/>
        <w:rPr>
          <w:rFonts w:ascii="宋体" w:hAnsi="宋体"/>
          <w:color w:val="auto"/>
          <w:sz w:val="24"/>
          <w:szCs w:val="24"/>
          <w:highlight w:val="none"/>
        </w:rPr>
      </w:pPr>
      <w:r>
        <w:rPr>
          <w:rFonts w:hint="eastAsia" w:ascii="宋体" w:hAnsi="宋体"/>
          <w:color w:val="auto"/>
          <w:sz w:val="24"/>
          <w:szCs w:val="24"/>
          <w:highlight w:val="none"/>
        </w:rPr>
        <w:t>33.合同备案</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采购人应当将政府采购合同副本自签订（双方当事人均已签字盖章）之日起七个工作日内通过四川政府采购网报同级财政部门备案。</w:t>
      </w:r>
    </w:p>
    <w:p>
      <w:pPr>
        <w:pStyle w:val="5"/>
        <w:spacing w:before="0" w:after="0" w:line="400" w:lineRule="exact"/>
        <w:ind w:firstLine="482" w:firstLineChars="200"/>
        <w:rPr>
          <w:rFonts w:ascii="宋体" w:hAnsi="宋体"/>
          <w:b w:val="0"/>
          <w:color w:val="auto"/>
          <w:sz w:val="24"/>
          <w:szCs w:val="24"/>
          <w:highlight w:val="none"/>
        </w:rPr>
      </w:pPr>
      <w:r>
        <w:rPr>
          <w:rFonts w:hint="eastAsia" w:ascii="宋体" w:hAnsi="宋体"/>
          <w:color w:val="auto"/>
          <w:sz w:val="24"/>
          <w:szCs w:val="24"/>
          <w:highlight w:val="none"/>
        </w:rPr>
        <w:t>34. 履行合同</w:t>
      </w:r>
      <w:bookmarkEnd w:id="144"/>
      <w:bookmarkEnd w:id="145"/>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34.1 中标人与采购人签订合同后，合同双方应严格执行合同条款，履行合同规定的义务，保证合同的顺利完成。</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34.2 在合同履行过程中，如发生合同纠纷，合同双方应按照《</w:t>
      </w:r>
      <w:ins w:id="0" w:author="成都西米/*" w:date="2021-06-24T15:57:32Z">
        <w:r>
          <w:rPr>
            <w:rFonts w:hint="eastAsia" w:ascii="宋体" w:hAnsi="宋体"/>
            <w:color w:val="auto"/>
            <w:highlight w:val="none"/>
          </w:rPr>
          <w:t>中华人民共和国</w:t>
        </w:r>
      </w:ins>
      <w:ins w:id="1" w:author="成都西米/*" w:date="2021-06-24T15:57:32Z">
        <w:r>
          <w:rPr>
            <w:rFonts w:hint="eastAsia" w:ascii="宋体" w:hAnsi="宋体"/>
            <w:color w:val="auto"/>
            <w:highlight w:val="none"/>
            <w:lang w:val="en-US" w:eastAsia="zh-CN"/>
          </w:rPr>
          <w:t>民法典</w:t>
        </w:r>
      </w:ins>
      <w:r>
        <w:rPr>
          <w:rFonts w:hint="eastAsia" w:ascii="宋体" w:hAnsi="宋体"/>
          <w:color w:val="auto"/>
          <w:sz w:val="24"/>
          <w:highlight w:val="none"/>
        </w:rPr>
        <w:t>》的有关规定进行处理。</w:t>
      </w:r>
    </w:p>
    <w:p>
      <w:pPr>
        <w:pStyle w:val="5"/>
        <w:spacing w:before="0" w:after="0" w:line="400" w:lineRule="exact"/>
        <w:ind w:firstLine="482" w:firstLineChars="200"/>
        <w:rPr>
          <w:rFonts w:ascii="宋体" w:hAnsi="宋体"/>
          <w:b w:val="0"/>
          <w:color w:val="auto"/>
          <w:sz w:val="24"/>
          <w:szCs w:val="24"/>
          <w:highlight w:val="none"/>
        </w:rPr>
      </w:pPr>
      <w:bookmarkStart w:id="146" w:name="_Toc308164814"/>
      <w:bookmarkStart w:id="147" w:name="_Toc217446070"/>
      <w:r>
        <w:rPr>
          <w:rFonts w:hint="eastAsia" w:ascii="宋体" w:hAnsi="宋体"/>
          <w:color w:val="auto"/>
          <w:sz w:val="24"/>
          <w:szCs w:val="24"/>
          <w:highlight w:val="none"/>
        </w:rPr>
        <w:t>35. 验收</w:t>
      </w:r>
      <w:bookmarkEnd w:id="146"/>
      <w:bookmarkEnd w:id="147"/>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35.1本项目采购人及其委托的采购代理机构将严格按照政府采购相关法律法规以及</w:t>
      </w:r>
      <w:r>
        <w:rPr>
          <w:rFonts w:hint="eastAsia" w:ascii="宋体" w:hAnsi="宋体" w:cs="仿宋"/>
          <w:color w:val="auto"/>
          <w:sz w:val="24"/>
          <w:highlight w:val="none"/>
        </w:rPr>
        <w:t>《财政部关于进一步加强政府采购需求和履约验收管理的指导意见》（财库[2016]205号</w:t>
      </w:r>
      <w:r>
        <w:rPr>
          <w:rFonts w:hint="eastAsia" w:ascii="宋体" w:hAnsi="宋体"/>
          <w:color w:val="auto"/>
          <w:sz w:val="24"/>
          <w:highlight w:val="none"/>
        </w:rPr>
        <w:t>的要求进行验收。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35.2 验收结果合格的，中标人凭验收报告办理相关手续；验收结果不合格的，履约保证金将不予退还，也将不予支付采购资金，还可能会报告本项目同级财政部门按照政府采购法律法规及《四川省政府采购当事人诚信管理办法》（川财采〔2015〕33号）等有关规定给予行政处罚或者以失信行为记入诚信档案。</w:t>
      </w:r>
      <w:bookmarkStart w:id="148" w:name="_Toc217446071"/>
    </w:p>
    <w:p>
      <w:pPr>
        <w:pStyle w:val="5"/>
        <w:spacing w:before="0" w:after="0" w:line="400" w:lineRule="exact"/>
        <w:ind w:firstLine="482" w:firstLineChars="200"/>
        <w:rPr>
          <w:rFonts w:ascii="宋体" w:hAnsi="宋体"/>
          <w:color w:val="auto"/>
          <w:sz w:val="24"/>
          <w:szCs w:val="24"/>
          <w:highlight w:val="none"/>
        </w:rPr>
      </w:pPr>
      <w:bookmarkStart w:id="149" w:name="_Toc217446077"/>
      <w:bookmarkStart w:id="150" w:name="_Toc308164818"/>
      <w:r>
        <w:rPr>
          <w:rFonts w:hint="eastAsia" w:ascii="宋体" w:hAnsi="宋体"/>
          <w:color w:val="auto"/>
          <w:sz w:val="24"/>
          <w:szCs w:val="24"/>
          <w:highlight w:val="none"/>
        </w:rPr>
        <w:t>36.资金支付</w:t>
      </w:r>
      <w:bookmarkEnd w:id="149"/>
      <w:bookmarkEnd w:id="150"/>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采购人将按照政府采购合同规定，及时向中标人支付采购资金。本项目采购资金付款详见第六章商务要求中付款方式或在签订合同时商定。</w:t>
      </w:r>
      <w:bookmarkEnd w:id="137"/>
      <w:bookmarkEnd w:id="138"/>
      <w:bookmarkEnd w:id="148"/>
    </w:p>
    <w:p>
      <w:pPr>
        <w:pStyle w:val="4"/>
        <w:spacing w:line="400" w:lineRule="exact"/>
        <w:jc w:val="center"/>
        <w:rPr>
          <w:rFonts w:ascii="宋体" w:hAnsi="宋体" w:eastAsia="宋体"/>
          <w:color w:val="auto"/>
          <w:szCs w:val="28"/>
          <w:highlight w:val="none"/>
        </w:rPr>
      </w:pPr>
      <w:bookmarkStart w:id="151" w:name="_Toc308164815"/>
      <w:bookmarkStart w:id="152" w:name="_Toc217446074"/>
      <w:bookmarkStart w:id="153" w:name="_Toc183682380"/>
      <w:bookmarkStart w:id="154" w:name="_Toc183582243"/>
      <w:r>
        <w:rPr>
          <w:rFonts w:hint="eastAsia" w:ascii="宋体" w:hAnsi="宋体" w:eastAsia="宋体"/>
          <w:color w:val="auto"/>
          <w:szCs w:val="28"/>
          <w:highlight w:val="none"/>
        </w:rPr>
        <w:t>七、投标纪律要求</w:t>
      </w:r>
      <w:bookmarkEnd w:id="151"/>
      <w:bookmarkEnd w:id="152"/>
    </w:p>
    <w:p>
      <w:pPr>
        <w:pStyle w:val="5"/>
        <w:spacing w:before="0" w:after="0" w:line="400" w:lineRule="exact"/>
        <w:ind w:firstLine="482" w:firstLineChars="200"/>
        <w:rPr>
          <w:rFonts w:ascii="宋体" w:hAnsi="宋体"/>
          <w:bCs w:val="0"/>
          <w:color w:val="auto"/>
          <w:sz w:val="24"/>
          <w:szCs w:val="24"/>
          <w:highlight w:val="none"/>
        </w:rPr>
      </w:pPr>
      <w:bookmarkStart w:id="155" w:name="_Toc308164816"/>
      <w:bookmarkStart w:id="156" w:name="_Toc217446075"/>
      <w:r>
        <w:rPr>
          <w:rFonts w:hint="eastAsia" w:ascii="宋体" w:hAnsi="宋体"/>
          <w:color w:val="auto"/>
          <w:sz w:val="24"/>
          <w:highlight w:val="none"/>
        </w:rPr>
        <w:t xml:space="preserve">37. </w:t>
      </w:r>
      <w:r>
        <w:rPr>
          <w:rFonts w:hint="eastAsia" w:ascii="宋体" w:hAnsi="宋体"/>
          <w:bCs w:val="0"/>
          <w:color w:val="auto"/>
          <w:sz w:val="24"/>
          <w:szCs w:val="24"/>
          <w:highlight w:val="none"/>
        </w:rPr>
        <w:t>投标人</w:t>
      </w:r>
      <w:bookmarkEnd w:id="155"/>
      <w:bookmarkEnd w:id="156"/>
      <w:r>
        <w:rPr>
          <w:rFonts w:hint="eastAsia" w:ascii="宋体" w:hAnsi="宋体"/>
          <w:bCs w:val="0"/>
          <w:color w:val="auto"/>
          <w:sz w:val="24"/>
          <w:szCs w:val="24"/>
          <w:highlight w:val="none"/>
        </w:rPr>
        <w:t>纪律要求</w:t>
      </w:r>
    </w:p>
    <w:p>
      <w:pPr>
        <w:pStyle w:val="7"/>
        <w:spacing w:line="400" w:lineRule="exact"/>
        <w:ind w:firstLine="480"/>
        <w:rPr>
          <w:rFonts w:ascii="宋体" w:hAnsi="宋体"/>
          <w:color w:val="auto"/>
          <w:sz w:val="24"/>
          <w:highlight w:val="none"/>
        </w:rPr>
      </w:pPr>
      <w:r>
        <w:rPr>
          <w:rFonts w:hint="eastAsia" w:ascii="宋体" w:hAnsi="宋体"/>
          <w:color w:val="auto"/>
          <w:sz w:val="24"/>
          <w:highlight w:val="none"/>
        </w:rPr>
        <w:t>投标人应当遵循公平竞争的原则，不得恶意串通，不得妨碍其他投标人的竞争行为，不得损害采购人或者其他投标人的合法权益。</w:t>
      </w:r>
    </w:p>
    <w:p>
      <w:pPr>
        <w:pStyle w:val="7"/>
        <w:spacing w:line="400" w:lineRule="exact"/>
        <w:ind w:firstLine="480"/>
        <w:rPr>
          <w:rFonts w:ascii="宋体" w:hAnsi="宋体"/>
          <w:color w:val="auto"/>
          <w:sz w:val="24"/>
          <w:highlight w:val="none"/>
        </w:rPr>
      </w:pPr>
      <w:r>
        <w:rPr>
          <w:rFonts w:hint="eastAsia" w:ascii="宋体" w:hAnsi="宋体"/>
          <w:color w:val="auto"/>
          <w:sz w:val="24"/>
          <w:highlight w:val="none"/>
        </w:rPr>
        <w:t>在评标过程中发现投标人有上述情形的，评标委员会应当认定其投标无效，并书面报告本级财政部门。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37.1 投标人参加本项目投标不得有下列情形：</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（1）提供虚假材料谋取中标；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（2）采取不正当手段诋毁、排挤其他投标人；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（3）与招标采购单位、其他投标人恶意串通；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（4）向招标采购单位、评标委员会成员行贿或者提供其他不正当利益；</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（5）在招标过程中与招标采购单位进行协商谈判；</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（6）中标或者成交后无正当理由拒不与采购人签订政府采购合同；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（7）未按照采购文件确定的事项签订政府采购合同；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（8）将政府采购合同转包或者违规分包；</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（9）提供假冒伪劣产品；</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（10）擅自变更、中止或者终止政府采购合同；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（11）拒绝有关部门的监督检查或者向监督检查部门提供虚假情况；</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（12）法律法规规定的其他情形。</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投标人有上述情形的，按照规定追究法律责任，具备（1）-（10）条情形之一的，同时将取消中标资格或者认定中标无效。</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37.2 投标人有下列情形之一的，视为投标人串通投标，其投标无效：</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（1）不同投标人的投标文件由同一单位或者个人编制；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（3）不同投标人的投标文件载明的项目管理成员或者联系人员为同一人；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（5）不同投标人的投标文件相互混装；</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（6）不同投标人的投标保证金从同一单位或者个人的账户转出。</w:t>
      </w:r>
    </w:p>
    <w:p>
      <w:pPr>
        <w:pStyle w:val="4"/>
        <w:spacing w:line="400" w:lineRule="exact"/>
        <w:jc w:val="center"/>
        <w:rPr>
          <w:rFonts w:ascii="宋体" w:hAnsi="宋体" w:eastAsia="宋体"/>
          <w:bCs w:val="0"/>
          <w:color w:val="auto"/>
          <w:szCs w:val="28"/>
          <w:highlight w:val="none"/>
        </w:rPr>
      </w:pPr>
      <w:bookmarkStart w:id="157" w:name="_Toc217446078"/>
      <w:bookmarkStart w:id="158" w:name="_Toc308164819"/>
      <w:r>
        <w:rPr>
          <w:rFonts w:hint="eastAsia" w:ascii="宋体" w:hAnsi="宋体" w:eastAsia="宋体"/>
          <w:bCs w:val="0"/>
          <w:color w:val="auto"/>
          <w:szCs w:val="28"/>
          <w:highlight w:val="none"/>
        </w:rPr>
        <w:t>八、询问、质疑和投诉</w:t>
      </w:r>
      <w:bookmarkEnd w:id="157"/>
      <w:bookmarkEnd w:id="158"/>
      <w:bookmarkStart w:id="159" w:name="_Toc217446079"/>
      <w:bookmarkEnd w:id="159"/>
    </w:p>
    <w:p>
      <w:pPr>
        <w:widowControl/>
        <w:spacing w:line="400" w:lineRule="atLeast"/>
        <w:ind w:firstLine="472" w:firstLineChars="196"/>
        <w:jc w:val="left"/>
        <w:outlineLvl w:val="1"/>
        <w:rPr>
          <w:rFonts w:ascii="宋体" w:hAnsi="宋体"/>
          <w:color w:val="auto"/>
          <w:sz w:val="24"/>
          <w:highlight w:val="none"/>
        </w:rPr>
      </w:pPr>
      <w:r>
        <w:rPr>
          <w:rFonts w:hint="eastAsia" w:ascii="宋体" w:hAnsi="宋体"/>
          <w:b/>
          <w:color w:val="auto"/>
          <w:sz w:val="24"/>
          <w:highlight w:val="none"/>
        </w:rPr>
        <w:t>3</w:t>
      </w:r>
      <w:bookmarkEnd w:id="153"/>
      <w:bookmarkEnd w:id="154"/>
      <w:r>
        <w:rPr>
          <w:rFonts w:hint="eastAsia" w:ascii="宋体" w:hAnsi="宋体"/>
          <w:b/>
          <w:color w:val="auto"/>
          <w:sz w:val="24"/>
          <w:highlight w:val="none"/>
        </w:rPr>
        <w:t>8．</w:t>
      </w:r>
      <w:r>
        <w:rPr>
          <w:rFonts w:hint="eastAsia" w:ascii="宋体" w:hAnsi="宋体"/>
          <w:color w:val="auto"/>
          <w:sz w:val="24"/>
          <w:highlight w:val="none"/>
        </w:rPr>
        <w:t>询问、质疑、投诉的接收和处理严格按照《中华人共和国政府采购法》、《中华人民共和国政府采购法实施条例》、《政府采购货物和服务招标投标管理办法》、《中华人民共和国财政部令第94号--政府采购质疑和投诉办法》、《财政部关于加强政府采购供应商投诉受理审查工作的通知》和《四川省政府采购供应商投诉处理工作规程》的规定办理（详细规定请在四川政府采购网政策法规模块查询）。</w:t>
      </w:r>
    </w:p>
    <w:p>
      <w:pPr>
        <w:pStyle w:val="4"/>
        <w:spacing w:line="400" w:lineRule="exact"/>
        <w:jc w:val="center"/>
        <w:rPr>
          <w:rFonts w:ascii="宋体" w:hAnsi="宋体" w:eastAsia="宋体"/>
          <w:bCs w:val="0"/>
          <w:color w:val="auto"/>
          <w:szCs w:val="28"/>
          <w:highlight w:val="none"/>
        </w:rPr>
      </w:pPr>
      <w:r>
        <w:rPr>
          <w:rFonts w:hint="eastAsia" w:ascii="宋体" w:hAnsi="宋体" w:eastAsia="宋体"/>
          <w:bCs w:val="0"/>
          <w:color w:val="auto"/>
          <w:szCs w:val="28"/>
          <w:highlight w:val="none"/>
        </w:rPr>
        <w:t>九、其他</w:t>
      </w:r>
    </w:p>
    <w:p>
      <w:pPr>
        <w:widowControl/>
        <w:spacing w:line="400" w:lineRule="atLeast"/>
        <w:ind w:firstLine="482" w:firstLineChars="200"/>
        <w:jc w:val="left"/>
        <w:outlineLvl w:val="1"/>
        <w:rPr>
          <w:rFonts w:ascii="宋体" w:hAnsi="宋体"/>
          <w:color w:val="auto"/>
          <w:sz w:val="24"/>
          <w:highlight w:val="none"/>
        </w:rPr>
      </w:pPr>
      <w:r>
        <w:rPr>
          <w:rFonts w:hint="eastAsia" w:ascii="宋体" w:hAnsi="宋体"/>
          <w:b/>
          <w:color w:val="auto"/>
          <w:sz w:val="24"/>
          <w:highlight w:val="none"/>
        </w:rPr>
        <w:t>39.</w:t>
      </w:r>
      <w:r>
        <w:rPr>
          <w:rFonts w:hint="eastAsia" w:ascii="宋体" w:hAnsi="宋体"/>
          <w:color w:val="auto"/>
          <w:sz w:val="24"/>
          <w:highlight w:val="none"/>
        </w:rPr>
        <w:t>本招标文件中所引相关法律制度规定，在政府采购中有变化的，按照变化后的相关法律制度规定执行。</w:t>
      </w:r>
    </w:p>
    <w:p>
      <w:pPr>
        <w:widowControl/>
        <w:spacing w:line="360" w:lineRule="atLeast"/>
        <w:jc w:val="center"/>
        <w:outlineLvl w:val="1"/>
        <w:rPr>
          <w:rFonts w:ascii="宋体" w:hAnsi="宋体"/>
          <w:b/>
          <w:color w:val="auto"/>
          <w:sz w:val="24"/>
          <w:highlight w:val="none"/>
        </w:rPr>
      </w:pPr>
      <w:bookmarkStart w:id="160" w:name="_Toc217446083"/>
    </w:p>
    <w:p>
      <w:pPr>
        <w:pStyle w:val="3"/>
        <w:jc w:val="center"/>
        <w:rPr>
          <w:rFonts w:ascii="宋体" w:hAnsi="宋体"/>
          <w:color w:val="auto"/>
          <w:sz w:val="36"/>
          <w:szCs w:val="36"/>
          <w:highlight w:val="none"/>
        </w:rPr>
        <w:sectPr>
          <w:pgSz w:w="11907" w:h="16840"/>
          <w:pgMar w:top="1440" w:right="1474" w:bottom="1440" w:left="1474" w:header="851" w:footer="992" w:gutter="0"/>
          <w:cols w:space="720" w:num="1"/>
          <w:docGrid w:linePitch="312" w:charSpace="0"/>
        </w:sectPr>
      </w:pPr>
      <w:bookmarkStart w:id="161" w:name="_Toc1368"/>
    </w:p>
    <w:p>
      <w:pPr>
        <w:pStyle w:val="3"/>
        <w:jc w:val="center"/>
        <w:rPr>
          <w:rFonts w:ascii="宋体" w:hAnsi="宋体"/>
          <w:color w:val="auto"/>
          <w:sz w:val="36"/>
          <w:szCs w:val="36"/>
          <w:highlight w:val="none"/>
        </w:rPr>
      </w:pPr>
      <w:bookmarkStart w:id="162" w:name="_Toc56539470"/>
      <w:r>
        <w:rPr>
          <w:rFonts w:hint="eastAsia" w:ascii="宋体" w:hAnsi="宋体"/>
          <w:color w:val="auto"/>
          <w:sz w:val="36"/>
          <w:szCs w:val="36"/>
          <w:highlight w:val="none"/>
        </w:rPr>
        <w:t>第三章  投标文件格式</w:t>
      </w:r>
      <w:bookmarkEnd w:id="161"/>
      <w:bookmarkEnd w:id="162"/>
      <w:bookmarkStart w:id="163" w:name="_Toc217446082"/>
      <w:bookmarkStart w:id="164" w:name="_Toc308164821"/>
    </w:p>
    <w:p>
      <w:pPr>
        <w:widowControl/>
        <w:spacing w:line="360" w:lineRule="atLeast"/>
        <w:ind w:firstLine="470" w:firstLineChars="196"/>
        <w:jc w:val="left"/>
        <w:outlineLvl w:val="1"/>
        <w:rPr>
          <w:rFonts w:ascii="宋体"/>
          <w:color w:val="auto"/>
          <w:sz w:val="24"/>
          <w:highlight w:val="none"/>
        </w:rPr>
      </w:pPr>
      <w:r>
        <w:rPr>
          <w:rFonts w:hint="eastAsia" w:ascii="宋体"/>
          <w:color w:val="auto"/>
          <w:sz w:val="24"/>
          <w:highlight w:val="none"/>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line="360" w:lineRule="atLeast"/>
        <w:ind w:firstLine="470" w:firstLineChars="196"/>
        <w:jc w:val="left"/>
        <w:outlineLvl w:val="1"/>
        <w:rPr>
          <w:rFonts w:ascii="宋体"/>
          <w:color w:val="auto"/>
          <w:sz w:val="24"/>
          <w:highlight w:val="none"/>
        </w:rPr>
      </w:pPr>
      <w:r>
        <w:rPr>
          <w:rFonts w:hint="eastAsia" w:ascii="宋体"/>
          <w:color w:val="auto"/>
          <w:sz w:val="24"/>
          <w:highlight w:val="none"/>
        </w:rPr>
        <w:t>二、本章所制投标文件格式有关表格中的备注栏，由投标人根据自身投标情况作解释性说明，不作为必填项。</w:t>
      </w:r>
    </w:p>
    <w:p>
      <w:pPr>
        <w:widowControl/>
        <w:spacing w:line="360" w:lineRule="atLeast"/>
        <w:ind w:firstLine="470" w:firstLineChars="196"/>
        <w:jc w:val="left"/>
        <w:outlineLvl w:val="1"/>
        <w:rPr>
          <w:rFonts w:ascii="宋体" w:hAnsi="宋体"/>
          <w:b/>
          <w:color w:val="auto"/>
          <w:sz w:val="32"/>
          <w:highlight w:val="none"/>
        </w:rPr>
      </w:pPr>
      <w:r>
        <w:rPr>
          <w:rFonts w:hint="eastAsia" w:ascii="宋体"/>
          <w:color w:val="auto"/>
          <w:sz w:val="24"/>
          <w:highlight w:val="none"/>
        </w:rPr>
        <w:t>三、本章所制投标文件格式中需要填写的相关内容事项，可能会与本采购项目无关，在不改变投标文件原义、不影响本项目采购需求的情况下，投标人可以不予填写，但应当注明。</w:t>
      </w:r>
    </w:p>
    <w:p>
      <w:pPr>
        <w:widowControl/>
        <w:jc w:val="left"/>
        <w:rPr>
          <w:rFonts w:ascii="宋体" w:hAnsi="宋体"/>
          <w:b/>
          <w:color w:val="auto"/>
          <w:sz w:val="32"/>
          <w:highlight w:val="none"/>
        </w:rPr>
      </w:pPr>
      <w:r>
        <w:rPr>
          <w:rFonts w:ascii="宋体" w:hAnsi="宋体"/>
          <w:b/>
          <w:color w:val="auto"/>
          <w:sz w:val="32"/>
          <w:highlight w:val="none"/>
        </w:rPr>
        <w:br w:type="page"/>
      </w:r>
    </w:p>
    <w:p>
      <w:pPr>
        <w:tabs>
          <w:tab w:val="left" w:pos="900"/>
        </w:tabs>
        <w:spacing w:line="360" w:lineRule="auto"/>
        <w:jc w:val="center"/>
        <w:rPr>
          <w:rFonts w:ascii="宋体" w:hAnsi="宋体"/>
          <w:b/>
          <w:color w:val="auto"/>
          <w:sz w:val="34"/>
          <w:highlight w:val="none"/>
        </w:rPr>
      </w:pPr>
      <w:r>
        <w:rPr>
          <w:rFonts w:ascii="宋体" w:hAnsi="宋体"/>
          <w:b/>
          <w:color w:val="auto"/>
          <w:sz w:val="32"/>
          <w:highlight w:val="none"/>
        </w:rPr>
        <w:t>第一部分</w:t>
      </w:r>
      <w:r>
        <w:rPr>
          <w:rFonts w:hint="eastAsia" w:ascii="宋体" w:hAnsi="宋体"/>
          <w:b/>
          <w:color w:val="auto"/>
          <w:sz w:val="32"/>
          <w:highlight w:val="none"/>
        </w:rPr>
        <w:t>:</w:t>
      </w:r>
      <w:r>
        <w:rPr>
          <w:rFonts w:hint="eastAsia" w:ascii="宋体" w:hAnsi="宋体"/>
          <w:b/>
          <w:color w:val="auto"/>
          <w:sz w:val="32"/>
          <w:szCs w:val="32"/>
          <w:highlight w:val="none"/>
        </w:rPr>
        <w:t xml:space="preserve"> “开标一览表”格式</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项目编号：________________</w:t>
      </w:r>
    </w:p>
    <w:tbl>
      <w:tblPr>
        <w:tblStyle w:val="27"/>
        <w:tblW w:w="9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354"/>
        <w:gridCol w:w="1386"/>
        <w:gridCol w:w="2036"/>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序号</w:t>
            </w:r>
          </w:p>
        </w:tc>
        <w:tc>
          <w:tcPr>
            <w:tcW w:w="2740" w:type="dxa"/>
            <w:gridSpan w:val="2"/>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项目名称</w:t>
            </w:r>
          </w:p>
        </w:tc>
        <w:tc>
          <w:tcPr>
            <w:tcW w:w="2036"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服务期限</w:t>
            </w:r>
          </w:p>
        </w:tc>
        <w:tc>
          <w:tcPr>
            <w:tcW w:w="3625"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1</w:t>
            </w:r>
          </w:p>
        </w:tc>
        <w:tc>
          <w:tcPr>
            <w:tcW w:w="2740" w:type="dxa"/>
            <w:gridSpan w:val="2"/>
            <w:vAlign w:val="center"/>
          </w:tcPr>
          <w:p>
            <w:pPr>
              <w:widowControl/>
              <w:spacing w:line="360" w:lineRule="auto"/>
              <w:jc w:val="center"/>
              <w:rPr>
                <w:rFonts w:ascii="宋体" w:hAnsi="宋体" w:cs="宋体"/>
                <w:bCs/>
                <w:color w:val="auto"/>
                <w:kern w:val="0"/>
                <w:sz w:val="24"/>
                <w:highlight w:val="none"/>
              </w:rPr>
            </w:pPr>
          </w:p>
        </w:tc>
        <w:tc>
          <w:tcPr>
            <w:tcW w:w="2036"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签订合同之日起1年</w:t>
            </w:r>
          </w:p>
        </w:tc>
        <w:tc>
          <w:tcPr>
            <w:tcW w:w="3625" w:type="dxa"/>
            <w:vAlign w:val="center"/>
          </w:tcPr>
          <w:p>
            <w:pPr>
              <w:widowControl/>
              <w:spacing w:line="360" w:lineRule="auto"/>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173" w:type="dxa"/>
            <w:gridSpan w:val="2"/>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投标总价</w:t>
            </w:r>
          </w:p>
        </w:tc>
        <w:tc>
          <w:tcPr>
            <w:tcW w:w="7047" w:type="dxa"/>
            <w:gridSpan w:val="3"/>
            <w:vAlign w:val="center"/>
          </w:tcPr>
          <w:p>
            <w:pPr>
              <w:widowControl/>
              <w:spacing w:line="360" w:lineRule="auto"/>
              <w:rPr>
                <w:rFonts w:ascii="宋体" w:hAnsi="宋体" w:cs="宋体"/>
                <w:color w:val="auto"/>
                <w:kern w:val="0"/>
                <w:sz w:val="24"/>
                <w:highlight w:val="none"/>
              </w:rPr>
            </w:pPr>
            <w:r>
              <w:rPr>
                <w:rFonts w:hint="eastAsia" w:ascii="宋体" w:hAnsi="宋体"/>
                <w:b/>
                <w:color w:val="auto"/>
                <w:sz w:val="24"/>
                <w:highlight w:val="none"/>
              </w:rPr>
              <w:t>人民币大写：</w:t>
            </w:r>
            <w:r>
              <w:rPr>
                <w:rFonts w:hint="eastAsia" w:ascii="宋体" w:hAnsi="宋体"/>
                <w:color w:val="auto"/>
                <w:sz w:val="24"/>
                <w:highlight w:val="none"/>
              </w:rPr>
              <w:t>___________</w:t>
            </w:r>
            <w:r>
              <w:rPr>
                <w:rFonts w:hint="eastAsia" w:ascii="宋体" w:hAnsi="宋体"/>
                <w:b/>
                <w:color w:val="auto"/>
                <w:sz w:val="24"/>
                <w:highlight w:val="none"/>
              </w:rPr>
              <w:t>（人民币小写：</w:t>
            </w:r>
            <w:r>
              <w:rPr>
                <w:rFonts w:hint="eastAsia" w:ascii="宋体" w:hAnsi="宋体"/>
                <w:color w:val="auto"/>
                <w:sz w:val="24"/>
                <w:highlight w:val="none"/>
              </w:rPr>
              <w:t>_________</w:t>
            </w:r>
            <w:r>
              <w:rPr>
                <w:rFonts w:hint="eastAsia" w:ascii="宋体" w:hAnsi="宋体"/>
                <w:b/>
                <w:color w:val="auto"/>
                <w:sz w:val="24"/>
                <w:highlight w:val="none"/>
              </w:rPr>
              <w:t>元）</w:t>
            </w:r>
          </w:p>
        </w:tc>
      </w:tr>
    </w:tbl>
    <w:p>
      <w:pPr>
        <w:widowControl/>
        <w:spacing w:line="360" w:lineRule="atLeast"/>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注：1. 报价应是最终用户验收合格后的总价，包括培训、税费和招标文件规定的其它费用。不得漏报，否则视为已包含在投标总价中不再单独另行报价，不影响投标有效性。</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2.“开标一览表”为多页的，每页均需由法定代表人或授权代表签字并盖投标人印章。</w:t>
      </w:r>
    </w:p>
    <w:p>
      <w:pPr>
        <w:pStyle w:val="2"/>
        <w:rPr>
          <w:color w:val="auto"/>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投标日期：_____________。</w:t>
      </w:r>
    </w:p>
    <w:p>
      <w:pPr>
        <w:widowControl/>
        <w:spacing w:line="360" w:lineRule="atLeast"/>
        <w:ind w:firstLine="470" w:firstLineChars="196"/>
        <w:jc w:val="left"/>
        <w:outlineLvl w:val="1"/>
        <w:rPr>
          <w:rFonts w:ascii="宋体" w:hAnsi="宋体"/>
          <w:color w:val="auto"/>
          <w:sz w:val="24"/>
          <w:highlight w:val="none"/>
        </w:rPr>
      </w:pPr>
    </w:p>
    <w:p>
      <w:pPr>
        <w:pStyle w:val="2"/>
        <w:rPr>
          <w:color w:val="auto"/>
          <w:highlight w:val="none"/>
        </w:rPr>
      </w:pPr>
    </w:p>
    <w:p>
      <w:pPr>
        <w:pStyle w:val="2"/>
        <w:rPr>
          <w:color w:val="auto"/>
          <w:highlight w:val="none"/>
        </w:rPr>
      </w:pP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highlight w:val="none"/>
        </w:rPr>
        <w:br w:type="page"/>
      </w:r>
      <w:r>
        <w:rPr>
          <w:rFonts w:hint="eastAsia" w:ascii="宋体" w:hAnsi="宋体"/>
          <w:b/>
          <w:color w:val="auto"/>
          <w:sz w:val="32"/>
          <w:szCs w:val="32"/>
          <w:highlight w:val="none"/>
        </w:rPr>
        <w:t>分项报价明细表</w:t>
      </w:r>
    </w:p>
    <w:p>
      <w:pPr>
        <w:spacing w:line="480" w:lineRule="exact"/>
        <w:ind w:firstLine="436" w:firstLineChars="182"/>
        <w:rPr>
          <w:rFonts w:hint="eastAsia"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7"/>
        <w:tblpPr w:leftFromText="180" w:rightFromText="180" w:vertAnchor="text" w:horzAnchor="page" w:tblpX="1167" w:tblpY="478"/>
        <w:tblOverlap w:val="never"/>
        <w:tblW w:w="10212" w:type="dxa"/>
        <w:tblInd w:w="0" w:type="dxa"/>
        <w:tblLayout w:type="fixed"/>
        <w:tblCellMar>
          <w:top w:w="0" w:type="dxa"/>
          <w:left w:w="108" w:type="dxa"/>
          <w:bottom w:w="0" w:type="dxa"/>
          <w:right w:w="108" w:type="dxa"/>
        </w:tblCellMar>
      </w:tblPr>
      <w:tblGrid>
        <w:gridCol w:w="616"/>
        <w:gridCol w:w="1421"/>
        <w:gridCol w:w="1194"/>
        <w:gridCol w:w="949"/>
        <w:gridCol w:w="616"/>
        <w:gridCol w:w="787"/>
        <w:gridCol w:w="616"/>
        <w:gridCol w:w="1177"/>
        <w:gridCol w:w="1178"/>
        <w:gridCol w:w="1658"/>
      </w:tblGrid>
      <w:tr>
        <w:tblPrEx>
          <w:tblCellMar>
            <w:top w:w="0" w:type="dxa"/>
            <w:left w:w="108" w:type="dxa"/>
            <w:bottom w:w="0" w:type="dxa"/>
            <w:right w:w="108" w:type="dxa"/>
          </w:tblCellMar>
        </w:tblPrEx>
        <w:trPr>
          <w:trHeight w:val="900" w:hRule="atLeast"/>
        </w:trPr>
        <w:tc>
          <w:tcPr>
            <w:tcW w:w="10212" w:type="dxa"/>
            <w:gridSpan w:val="10"/>
            <w:tcBorders>
              <w:top w:val="nil"/>
              <w:left w:val="nil"/>
              <w:bottom w:val="nil"/>
              <w:right w:val="nil"/>
            </w:tcBorders>
            <w:shd w:val="clear" w:color="auto" w:fill="auto"/>
            <w:vAlign w:val="center"/>
          </w:tcPr>
          <w:p>
            <w:pPr>
              <w:widowControl/>
              <w:jc w:val="center"/>
              <w:textAlignment w:val="center"/>
              <w:rPr>
                <w:rFonts w:ascii="宋体" w:hAnsi="宋体" w:cs="宋体"/>
                <w:color w:val="auto"/>
                <w:sz w:val="32"/>
                <w:szCs w:val="32"/>
                <w:highlight w:val="none"/>
              </w:rPr>
            </w:pPr>
            <w:r>
              <w:rPr>
                <w:rFonts w:hint="eastAsia" w:ascii="宋体" w:hAnsi="宋体" w:cs="宋体"/>
                <w:color w:val="auto"/>
                <w:kern w:val="0"/>
                <w:sz w:val="32"/>
                <w:szCs w:val="32"/>
                <w:highlight w:val="none"/>
                <w:lang w:bidi="ar"/>
              </w:rPr>
              <w:t>爱成都、迎大运-花重锦官城（二环路刃具立交桥区品质提升）材料清单</w:t>
            </w:r>
          </w:p>
        </w:tc>
      </w:tr>
      <w:tr>
        <w:tblPrEx>
          <w:tblCellMar>
            <w:top w:w="0" w:type="dxa"/>
            <w:left w:w="108" w:type="dxa"/>
            <w:bottom w:w="0" w:type="dxa"/>
            <w:right w:w="108" w:type="dxa"/>
          </w:tblCellMar>
        </w:tblPrEx>
        <w:trPr>
          <w:trHeight w:val="56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序号</w:t>
            </w:r>
          </w:p>
        </w:tc>
        <w:tc>
          <w:tcPr>
            <w:tcW w:w="14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名称</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规格</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密度</w:t>
            </w: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数量</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单位</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单价</w:t>
            </w:r>
            <w:r>
              <w:rPr>
                <w:rFonts w:hint="eastAsia" w:ascii="宋体" w:hAnsi="宋体" w:cs="宋体"/>
                <w:color w:val="auto"/>
                <w:kern w:val="0"/>
                <w:sz w:val="20"/>
                <w:szCs w:val="20"/>
                <w:highlight w:val="none"/>
                <w:lang w:val="en-US" w:eastAsia="zh-CN" w:bidi="ar"/>
              </w:rPr>
              <w:t>报价</w:t>
            </w:r>
            <w:r>
              <w:rPr>
                <w:rFonts w:hint="eastAsia" w:ascii="宋体" w:hAnsi="宋体" w:cs="宋体"/>
                <w:color w:val="auto"/>
                <w:kern w:val="0"/>
                <w:sz w:val="20"/>
                <w:szCs w:val="20"/>
                <w:highlight w:val="none"/>
                <w:lang w:bidi="ar"/>
              </w:rPr>
              <w:t>（元）</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合价</w:t>
            </w:r>
            <w:r>
              <w:rPr>
                <w:rFonts w:hint="eastAsia" w:ascii="宋体" w:hAnsi="宋体" w:cs="宋体"/>
                <w:color w:val="auto"/>
                <w:kern w:val="0"/>
                <w:sz w:val="20"/>
                <w:szCs w:val="20"/>
                <w:highlight w:val="none"/>
                <w:lang w:val="en-US" w:eastAsia="zh-CN" w:bidi="ar"/>
              </w:rPr>
              <w:t>报价</w:t>
            </w:r>
            <w:r>
              <w:rPr>
                <w:rFonts w:hint="eastAsia" w:ascii="宋体" w:hAnsi="宋体" w:cs="宋体"/>
                <w:color w:val="auto"/>
                <w:kern w:val="0"/>
                <w:sz w:val="20"/>
                <w:szCs w:val="20"/>
                <w:highlight w:val="none"/>
                <w:lang w:bidi="ar"/>
              </w:rPr>
              <w:t>（元）</w:t>
            </w:r>
          </w:p>
        </w:tc>
        <w:tc>
          <w:tcPr>
            <w:tcW w:w="1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备注</w:t>
            </w:r>
          </w:p>
        </w:tc>
      </w:tr>
      <w:tr>
        <w:tblPrEx>
          <w:tblCellMar>
            <w:top w:w="0" w:type="dxa"/>
            <w:left w:w="108" w:type="dxa"/>
            <w:bottom w:w="0" w:type="dxa"/>
            <w:right w:w="108" w:type="dxa"/>
          </w:tblCellMar>
        </w:tblPrEx>
        <w:trPr>
          <w:trHeight w:val="56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1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高度</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冠幅</w:t>
            </w: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H100千年木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H100澳洲朱蕉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H100鹤望兰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H120龙血树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H120鹤望兰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容器苗，每盆5苗以上，冠形饱满，长势佳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H120春羽</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H120塔柏</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假植苗，冠形饱满，长势佳，无断头，不亮脚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H120千年木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H120丛生海芋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H150龙血树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H150细叶棕竹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容器苗，10苗以上，冠形饱满，长势佳，不脱脚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H150春羽</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H150塔柏</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假植苗，冠形饱满，长势佳，无断头，不亮脚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H150丛生海芋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H180细叶棕竹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150-180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丛生假植苗，15苗以上，冠形饱满，长势佳，不脱脚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H40金边一叶兰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容器苗，15苗以上，冠形饱满，长势佳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H50金边一叶兰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容器苗，20苗以上，冠形饱满，长势佳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H50狐尾天门冬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容器苗，15苗以上，冠形饱满，长势佳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H60金边一叶兰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容器苗，20苗以上，冠形饱满，长势佳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H60狐尾天门冬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容器苗，20苗以上，冠形饱满，长势佳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H70金心也门铁</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H80金心也门铁</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P100银姬小蜡球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90-100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P100龟甲冬青球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90-100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P120龟甲冬青球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P120海桐球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P150海桐球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P80银姬小蜡球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80-90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H120澳洲朱蕉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佛甲草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15228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无尽夏绣球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2979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墨西哥飞蓬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1382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花烟草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328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白美人狼尾草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475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墨西哥鼠尾草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765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百子莲</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1900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2加仑，10分蘖以上/株；满铺</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肾蕨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9913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矾根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715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紫穗狼尾草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80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假篙</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313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鼠尾草（超级一串红）</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823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紫娇花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519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晨光芒</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373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紫叶千鸟花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394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薄雪万年草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5-10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4423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红叶朱蕉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702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30双色红盆，无病虫害，密植不露土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富贵蕨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198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鸟巢蕨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584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苹果竹芋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303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20红盆，容器苗，叶茂密，长势佳，密植不见土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细叶芒</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192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紫叶酢浆草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2460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花叶玉簪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363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15双色杯，无枯黄枝叶、无杂草、每盆保证百分之95的新绿叶。2年生以上盆苗</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西伯利亚鸢尾</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2641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15杯盆苗，紧密种植，以不见土为宜</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火星花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490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15黑杯，容器苗，叶茂密，长势佳，密植不见土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春羽</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55-60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15黑杯，袋苗，叶片&gt;5张，枝叶茂密，密植不见土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金叶石菖蒲</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4608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13黑杯，容器苗，枝叶茂密，密植不见土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紫萼玉簪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354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大吴风草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530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15黑杯，容器苗，叶茂密，长势佳，密植不见土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冷水花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240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金边阔叶麦冬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693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竹芋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30红盆，容器苗，叶茂密，长势佳，密植不见土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熊猫堇</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3308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花叶蒲苇</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21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35美植袋，容器苗，叶茂密，长势佳，密植不见土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常绿萱草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832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地苗，无病虫害，枝叶茂密，密植不露土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虎耳草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279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凤凰绿苔草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490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蓝鸟鼠尾草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451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八角金盘</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18杯，袋苗，枝叶茂密，不脱脚，密植不见土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灯芯草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288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大父玉簪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26杯，容器苗，叶茂密，长势佳，密植不见土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狐尾天门冬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93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26杯，无病虫害，密植不露土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玉龙草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1500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12斤/m</w:t>
            </w:r>
            <w:r>
              <w:rPr>
                <w:rStyle w:val="65"/>
                <w:rFonts w:hint="default"/>
                <w:color w:val="auto"/>
                <w:highlight w:val="none"/>
                <w:lang w:bidi="ar"/>
              </w:rPr>
              <w:t>2</w:t>
            </w:r>
            <w:r>
              <w:rPr>
                <w:rStyle w:val="66"/>
                <w:rFonts w:hint="default"/>
                <w:color w:val="auto"/>
                <w:highlight w:val="none"/>
                <w:lang w:bidi="ar"/>
              </w:rPr>
              <w:t>,裸根不带土，无病虫害，密植不露土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麦冬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4945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8斤/m</w:t>
            </w:r>
            <w:r>
              <w:rPr>
                <w:rStyle w:val="65"/>
                <w:rFonts w:hint="default"/>
                <w:color w:val="auto"/>
                <w:highlight w:val="none"/>
                <w:lang w:bidi="ar"/>
              </w:rPr>
              <w:t>2</w:t>
            </w:r>
            <w:r>
              <w:rPr>
                <w:rStyle w:val="66"/>
                <w:rFonts w:hint="default"/>
                <w:color w:val="auto"/>
                <w:highlight w:val="none"/>
                <w:lang w:bidi="ar"/>
              </w:rPr>
              <w:t>,裸根不带土，无病虫害，密植不露土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翠云草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7362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15双色杯，满铺，紧密种植，以不见土为宜</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轻质覆盖物</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223.1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Style w:val="66"/>
                <w:rFonts w:hint="default"/>
                <w:color w:val="auto"/>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松树皮（片径10-20mm，红棕色，散铺100mm厚）满铺，以不见土为宜</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连砂石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303.92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color w:val="auto"/>
                <w:sz w:val="20"/>
                <w:szCs w:val="20"/>
                <w:highlight w:val="none"/>
                <w:lang w:val="en-US" w:eastAsia="zh-CN"/>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天然砂</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17.89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浅灰色透水混凝土 C20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59.71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t</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商品混凝土 C20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25.05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干混地面砂浆 M15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103.37</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t</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600x150x50厚烧面芝麻灰花岗石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252.96</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商品细石混凝土 C15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10.75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600*150*200mm厚烧面芝麻灰花岗石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粗砂</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37.64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土工布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686.96</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按采购人要求的时间送到指定位置</w:t>
            </w:r>
          </w:p>
        </w:tc>
      </w:tr>
      <w:tr>
        <w:tblPrEx>
          <w:tblCellMar>
            <w:top w:w="0" w:type="dxa"/>
            <w:left w:w="108" w:type="dxa"/>
            <w:bottom w:w="0" w:type="dxa"/>
            <w:right w:w="108" w:type="dxa"/>
          </w:tblCellMar>
        </w:tblPrEx>
        <w:trPr>
          <w:trHeight w:val="10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成品LED发光秋千(包安装及运输费用)</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规格：进口聚乙烯,太阳能   1400*400*1040mm</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color w:val="auto"/>
                <w:sz w:val="20"/>
                <w:szCs w:val="20"/>
                <w:highlight w:val="none"/>
                <w:lang w:val="en-US" w:eastAsia="zh-CN"/>
              </w:rPr>
            </w:pPr>
            <w:r>
              <w:rPr>
                <w:rFonts w:hint="eastAsia" w:ascii="等线" w:hAnsi="等线" w:eastAsia="等线" w:cs="等线"/>
                <w:color w:val="auto"/>
                <w:sz w:val="20"/>
                <w:szCs w:val="20"/>
                <w:highlight w:val="none"/>
                <w:lang w:val="en-US" w:eastAsia="zh-CN"/>
              </w:rPr>
              <w:t>具体尺寸详见施工图</w:t>
            </w:r>
          </w:p>
        </w:tc>
      </w:tr>
      <w:tr>
        <w:tblPrEx>
          <w:tblCellMar>
            <w:top w:w="0" w:type="dxa"/>
            <w:left w:w="108" w:type="dxa"/>
            <w:bottom w:w="0" w:type="dxa"/>
            <w:right w:w="108" w:type="dxa"/>
          </w:tblCellMar>
        </w:tblPrEx>
        <w:trPr>
          <w:trHeight w:val="10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成品玻璃坐凳(包安装及运输费用)</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规格：玻璃钢+竹木      1500X500X450mm</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具体尺寸详见施工图</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10-15mm浅灰砾石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11.09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t</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强透水混凝土 C20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86.96</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304哑光面银色不锈钢板 1.5mm</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53.05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szCs w:val="22"/>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270" w:hRule="atLeast"/>
        </w:trPr>
        <w:tc>
          <w:tcPr>
            <w:tcW w:w="737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kern w:val="0"/>
                <w:sz w:val="22"/>
                <w:szCs w:val="22"/>
                <w:highlight w:val="none"/>
                <w:lang w:val="en-US" w:eastAsia="zh-CN" w:bidi="ar"/>
              </w:rPr>
            </w:pPr>
          </w:p>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val="en-US" w:eastAsia="zh-CN" w:bidi="ar"/>
              </w:rPr>
              <w:t>总</w:t>
            </w:r>
            <w:r>
              <w:rPr>
                <w:rFonts w:hint="eastAsia" w:ascii="宋体" w:hAnsi="宋体" w:cs="宋体"/>
                <w:color w:val="auto"/>
                <w:kern w:val="0"/>
                <w:sz w:val="22"/>
                <w:szCs w:val="22"/>
                <w:highlight w:val="none"/>
                <w:lang w:bidi="ar"/>
              </w:rPr>
              <w:t>计</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szCs w:val="22"/>
                <w:highlight w:val="none"/>
              </w:rPr>
            </w:pPr>
          </w:p>
        </w:tc>
      </w:tr>
    </w:tbl>
    <w:p>
      <w:pPr>
        <w:spacing w:line="520" w:lineRule="exact"/>
        <w:rPr>
          <w:rFonts w:ascii="宋体" w:hAnsi="宋体"/>
          <w:color w:val="auto"/>
          <w:sz w:val="24"/>
          <w:highlight w:val="none"/>
        </w:rPr>
      </w:pPr>
      <w:r>
        <w:rPr>
          <w:rFonts w:hint="eastAsia" w:ascii="宋体" w:hAnsi="宋体"/>
          <w:color w:val="auto"/>
          <w:sz w:val="24"/>
          <w:highlight w:val="none"/>
        </w:rPr>
        <w:t>注：</w:t>
      </w:r>
    </w:p>
    <w:p>
      <w:pPr>
        <w:spacing w:line="520" w:lineRule="exact"/>
        <w:ind w:left="1319" w:leftChars="228" w:hanging="840" w:hangingChars="350"/>
        <w:rPr>
          <w:rFonts w:ascii="宋体" w:hAnsi="宋体"/>
          <w:color w:val="auto"/>
          <w:sz w:val="24"/>
          <w:highlight w:val="none"/>
        </w:rPr>
      </w:pPr>
      <w:r>
        <w:rPr>
          <w:rFonts w:hint="eastAsia" w:ascii="宋体" w:hAnsi="宋体"/>
          <w:color w:val="auto"/>
          <w:sz w:val="24"/>
          <w:highlight w:val="none"/>
        </w:rPr>
        <w:t>1.以上表格格式行可增减。</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color w:val="auto"/>
          <w:highlight w:val="none"/>
        </w:rPr>
        <w:t xml:space="preserve"> </w:t>
      </w:r>
      <w:r>
        <w:rPr>
          <w:rFonts w:hint="eastAsia" w:ascii="宋体" w:hAnsi="宋体"/>
          <w:color w:val="auto"/>
          <w:sz w:val="24"/>
          <w:highlight w:val="none"/>
        </w:rPr>
        <w:t>投标人必须按“分项报价明细表”的格式详细报出投标总价的各个组成部分的报价。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3.“分项报价明细表”</w:t>
      </w:r>
      <w:r>
        <w:rPr>
          <w:rFonts w:hint="eastAsia" w:ascii="宋体"/>
          <w:color w:val="auto"/>
          <w:sz w:val="24"/>
          <w:highlight w:val="none"/>
        </w:rPr>
        <w:t xml:space="preserve"> 各分项报价</w:t>
      </w:r>
      <w:r>
        <w:rPr>
          <w:rFonts w:hint="eastAsia" w:ascii="宋体" w:hAnsi="宋体"/>
          <w:color w:val="auto"/>
          <w:sz w:val="24"/>
          <w:highlight w:val="none"/>
        </w:rPr>
        <w:t>合计应当与“开标一览表”的报价合计相等。</w:t>
      </w:r>
    </w:p>
    <w:p>
      <w:pPr>
        <w:pStyle w:val="2"/>
        <w:rPr>
          <w:color w:val="auto"/>
          <w:highlight w:val="none"/>
        </w:rPr>
      </w:pPr>
    </w:p>
    <w:p>
      <w:pPr>
        <w:pStyle w:val="2"/>
        <w:rPr>
          <w:color w:val="auto"/>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rPr>
          <w:rFonts w:ascii="宋体" w:hAnsi="宋体"/>
          <w:b/>
          <w:color w:val="auto"/>
          <w:sz w:val="32"/>
          <w:highlight w:val="none"/>
        </w:rPr>
      </w:pPr>
    </w:p>
    <w:p>
      <w:pPr>
        <w:rPr>
          <w:rFonts w:ascii="宋体" w:hAnsi="宋体"/>
          <w:b/>
          <w:color w:val="auto"/>
          <w:sz w:val="32"/>
          <w:highlight w:val="none"/>
        </w:rPr>
      </w:pPr>
      <w:r>
        <w:rPr>
          <w:rFonts w:hint="eastAsia" w:ascii="宋体" w:hAnsi="宋体"/>
          <w:b/>
          <w:color w:val="auto"/>
          <w:sz w:val="32"/>
          <w:highlight w:val="none"/>
        </w:rPr>
        <w:br w:type="page"/>
      </w:r>
    </w:p>
    <w:p>
      <w:pPr>
        <w:spacing w:line="360" w:lineRule="auto"/>
        <w:jc w:val="center"/>
        <w:rPr>
          <w:rFonts w:ascii="宋体" w:hAnsi="宋体"/>
          <w:b/>
          <w:color w:val="auto"/>
          <w:sz w:val="32"/>
          <w:highlight w:val="none"/>
        </w:rPr>
      </w:pPr>
      <w:r>
        <w:rPr>
          <w:rFonts w:hint="eastAsia" w:ascii="宋体" w:hAnsi="宋体"/>
          <w:b/>
          <w:color w:val="auto"/>
          <w:sz w:val="32"/>
          <w:highlight w:val="none"/>
        </w:rPr>
        <w:t>第二部分：“资格性审查投标文件”格式</w:t>
      </w: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t>封面：</w:t>
      </w:r>
    </w:p>
    <w:p>
      <w:pPr>
        <w:spacing w:line="360" w:lineRule="auto"/>
        <w:jc w:val="right"/>
        <w:rPr>
          <w:rFonts w:ascii="宋体" w:hAnsi="宋体"/>
          <w:b/>
          <w:color w:val="auto"/>
          <w:sz w:val="36"/>
          <w:highlight w:val="none"/>
        </w:rPr>
      </w:pPr>
      <w:r>
        <w:rPr>
          <w:rFonts w:ascii="宋体" w:hAnsi="宋体"/>
          <w:b/>
          <w:color w:val="auto"/>
          <w:sz w:val="36"/>
          <w:highlight w:val="none"/>
        </w:rPr>
        <w:t>（正本/副本）</w:t>
      </w: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p>
    <w:p>
      <w:pPr>
        <w:spacing w:line="360" w:lineRule="auto"/>
        <w:jc w:val="center"/>
        <w:rPr>
          <w:rFonts w:ascii="宋体" w:hAnsi="宋体"/>
          <w:b/>
          <w:color w:val="auto"/>
          <w:sz w:val="72"/>
          <w:highlight w:val="none"/>
        </w:rPr>
      </w:pPr>
      <w:r>
        <w:rPr>
          <w:rFonts w:hint="eastAsia" w:ascii="宋体" w:hAnsi="宋体"/>
          <w:b/>
          <w:color w:val="auto"/>
          <w:sz w:val="24"/>
          <w:highlight w:val="none"/>
        </w:rPr>
        <w:t>________________________________</w:t>
      </w:r>
      <w:r>
        <w:rPr>
          <w:rFonts w:hint="eastAsia" w:ascii="宋体" w:hAnsi="宋体"/>
          <w:b/>
          <w:color w:val="auto"/>
          <w:sz w:val="40"/>
          <w:szCs w:val="48"/>
          <w:highlight w:val="none"/>
        </w:rPr>
        <w:t>项目</w:t>
      </w:r>
    </w:p>
    <w:p>
      <w:pPr>
        <w:spacing w:line="360" w:lineRule="auto"/>
        <w:rPr>
          <w:rFonts w:ascii="宋体" w:hAnsi="宋体"/>
          <w:b/>
          <w:color w:val="auto"/>
          <w:sz w:val="52"/>
          <w:szCs w:val="52"/>
          <w:highlight w:val="none"/>
        </w:rPr>
      </w:pPr>
    </w:p>
    <w:p>
      <w:pPr>
        <w:spacing w:line="360" w:lineRule="auto"/>
        <w:jc w:val="center"/>
        <w:rPr>
          <w:rFonts w:ascii="宋体" w:hAnsi="宋体"/>
          <w:b/>
          <w:color w:val="auto"/>
          <w:sz w:val="32"/>
          <w:szCs w:val="32"/>
          <w:highlight w:val="none"/>
        </w:rPr>
      </w:pPr>
      <w:r>
        <w:rPr>
          <w:rFonts w:hint="eastAsia" w:ascii="宋体" w:hAnsi="宋体"/>
          <w:b/>
          <w:color w:val="auto"/>
          <w:sz w:val="52"/>
          <w:szCs w:val="52"/>
          <w:highlight w:val="none"/>
        </w:rPr>
        <w:t>资格性审查投标文件</w:t>
      </w:r>
    </w:p>
    <w:p>
      <w:pPr>
        <w:spacing w:line="360" w:lineRule="auto"/>
        <w:rPr>
          <w:rFonts w:ascii="宋体" w:hAnsi="宋体"/>
          <w:b/>
          <w:color w:val="auto"/>
          <w:sz w:val="36"/>
          <w:highlight w:val="none"/>
        </w:rPr>
      </w:pPr>
    </w:p>
    <w:p>
      <w:pPr>
        <w:spacing w:line="360" w:lineRule="auto"/>
        <w:rPr>
          <w:rFonts w:ascii="宋体" w:hAnsi="宋体"/>
          <w:b/>
          <w:color w:val="auto"/>
          <w:sz w:val="36"/>
          <w:highlight w:val="none"/>
        </w:rPr>
      </w:pPr>
    </w:p>
    <w:p>
      <w:pPr>
        <w:spacing w:line="360" w:lineRule="auto"/>
        <w:ind w:firstLine="964" w:firstLineChars="300"/>
        <w:jc w:val="left"/>
        <w:rPr>
          <w:rFonts w:ascii="宋体" w:hAnsi="宋体"/>
          <w:color w:val="auto"/>
          <w:sz w:val="24"/>
          <w:highlight w:val="none"/>
        </w:rPr>
      </w:pPr>
      <w:r>
        <w:rPr>
          <w:rFonts w:hint="eastAsia" w:ascii="宋体" w:hAnsi="宋体"/>
          <w:b/>
          <w:color w:val="auto"/>
          <w:sz w:val="32"/>
          <w:highlight w:val="none"/>
        </w:rPr>
        <w:t>投标人</w:t>
      </w:r>
      <w:r>
        <w:rPr>
          <w:rFonts w:ascii="宋体" w:hAnsi="宋体"/>
          <w:b/>
          <w:color w:val="auto"/>
          <w:sz w:val="32"/>
          <w:highlight w:val="none"/>
        </w:rPr>
        <w:t>名称：</w:t>
      </w:r>
      <w:r>
        <w:rPr>
          <w:rFonts w:hint="eastAsia" w:ascii="宋体" w:hAnsi="宋体"/>
          <w:color w:val="auto"/>
          <w:sz w:val="24"/>
          <w:highlight w:val="none"/>
        </w:rPr>
        <w:t>____________________________</w:t>
      </w:r>
    </w:p>
    <w:p>
      <w:pPr>
        <w:spacing w:line="360" w:lineRule="auto"/>
        <w:ind w:firstLine="964" w:firstLineChars="300"/>
        <w:jc w:val="left"/>
        <w:rPr>
          <w:rFonts w:ascii="宋体" w:hAnsi="宋体"/>
          <w:b/>
          <w:color w:val="auto"/>
          <w:sz w:val="32"/>
          <w:highlight w:val="none"/>
          <w:u w:val="single"/>
        </w:rPr>
      </w:pPr>
      <w:r>
        <w:rPr>
          <w:rFonts w:hint="eastAsia" w:ascii="宋体" w:hAnsi="宋体"/>
          <w:b/>
          <w:color w:val="auto"/>
          <w:sz w:val="32"/>
          <w:highlight w:val="none"/>
        </w:rPr>
        <w:t>项 目 编号</w:t>
      </w:r>
      <w:r>
        <w:rPr>
          <w:rFonts w:ascii="宋体" w:hAnsi="宋体"/>
          <w:b/>
          <w:color w:val="auto"/>
          <w:sz w:val="32"/>
          <w:highlight w:val="none"/>
        </w:rPr>
        <w:t>：</w:t>
      </w:r>
      <w:r>
        <w:rPr>
          <w:rFonts w:hint="eastAsia" w:ascii="宋体" w:hAnsi="宋体"/>
          <w:color w:val="auto"/>
          <w:sz w:val="24"/>
          <w:highlight w:val="none"/>
        </w:rPr>
        <w:t>____________________________</w:t>
      </w:r>
    </w:p>
    <w:p>
      <w:pPr>
        <w:spacing w:line="360" w:lineRule="auto"/>
        <w:ind w:firstLine="790" w:firstLineChars="246"/>
        <w:jc w:val="center"/>
        <w:rPr>
          <w:rFonts w:ascii="宋体" w:hAnsi="宋体"/>
          <w:b/>
          <w:color w:val="auto"/>
          <w:sz w:val="32"/>
          <w:highlight w:val="none"/>
        </w:rPr>
      </w:pPr>
    </w:p>
    <w:p>
      <w:pPr>
        <w:spacing w:line="360" w:lineRule="auto"/>
        <w:ind w:firstLine="790" w:firstLineChars="246"/>
        <w:jc w:val="center"/>
        <w:rPr>
          <w:rFonts w:ascii="宋体" w:hAnsi="宋体"/>
          <w:b/>
          <w:color w:val="auto"/>
          <w:sz w:val="32"/>
          <w:highlight w:val="none"/>
        </w:rPr>
      </w:pPr>
      <w:r>
        <w:rPr>
          <w:rFonts w:hint="eastAsia" w:ascii="宋体" w:hAnsi="宋体"/>
          <w:b/>
          <w:color w:val="auto"/>
          <w:sz w:val="32"/>
          <w:highlight w:val="none"/>
        </w:rPr>
        <w:t>投标日期</w:t>
      </w:r>
      <w:r>
        <w:rPr>
          <w:rFonts w:ascii="宋体" w:hAnsi="宋体"/>
          <w:b/>
          <w:color w:val="auto"/>
          <w:sz w:val="32"/>
          <w:highlight w:val="none"/>
        </w:rPr>
        <w:t>：</w:t>
      </w:r>
      <w:r>
        <w:rPr>
          <w:rFonts w:hint="eastAsia" w:ascii="宋体" w:hAnsi="宋体"/>
          <w:color w:val="auto"/>
          <w:sz w:val="24"/>
          <w:highlight w:val="none"/>
        </w:rPr>
        <w:t>______</w:t>
      </w:r>
      <w:r>
        <w:rPr>
          <w:rFonts w:ascii="宋体" w:hAnsi="宋体"/>
          <w:b/>
          <w:color w:val="auto"/>
          <w:sz w:val="32"/>
          <w:highlight w:val="none"/>
        </w:rPr>
        <w:t>年</w:t>
      </w:r>
      <w:r>
        <w:rPr>
          <w:rFonts w:hint="eastAsia" w:ascii="宋体" w:hAnsi="宋体"/>
          <w:color w:val="auto"/>
          <w:sz w:val="24"/>
          <w:highlight w:val="none"/>
        </w:rPr>
        <w:t>______</w:t>
      </w:r>
      <w:r>
        <w:rPr>
          <w:rFonts w:ascii="宋体" w:hAnsi="宋体"/>
          <w:b/>
          <w:color w:val="auto"/>
          <w:sz w:val="32"/>
          <w:highlight w:val="none"/>
        </w:rPr>
        <w:t>月</w:t>
      </w:r>
      <w:r>
        <w:rPr>
          <w:rFonts w:hint="eastAsia" w:ascii="宋体" w:hAnsi="宋体"/>
          <w:color w:val="auto"/>
          <w:sz w:val="24"/>
          <w:highlight w:val="none"/>
        </w:rPr>
        <w:t>______</w:t>
      </w:r>
      <w:r>
        <w:rPr>
          <w:rFonts w:ascii="宋体" w:hAnsi="宋体"/>
          <w:b/>
          <w:color w:val="auto"/>
          <w:sz w:val="32"/>
          <w:highlight w:val="none"/>
        </w:rPr>
        <w:t>日</w:t>
      </w: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spacing w:line="360" w:lineRule="auto"/>
        <w:ind w:firstLine="790" w:firstLineChars="246"/>
        <w:jc w:val="center"/>
        <w:rPr>
          <w:rFonts w:ascii="宋体" w:hAnsi="宋体"/>
          <w:b/>
          <w:color w:val="auto"/>
          <w:sz w:val="32"/>
          <w:szCs w:val="32"/>
          <w:highlight w:val="none"/>
        </w:rPr>
      </w:pPr>
      <w:r>
        <w:rPr>
          <w:rFonts w:hint="eastAsia" w:ascii="宋体" w:hAnsi="宋体"/>
          <w:b/>
          <w:color w:val="auto"/>
          <w:sz w:val="32"/>
          <w:szCs w:val="32"/>
          <w:highlight w:val="none"/>
        </w:rPr>
        <w:t>一、法定代表人/单位负责人授权书</w:t>
      </w:r>
    </w:p>
    <w:p>
      <w:pPr>
        <w:widowControl/>
        <w:spacing w:line="360" w:lineRule="atLeast"/>
        <w:ind w:firstLine="472" w:firstLineChars="196"/>
        <w:jc w:val="left"/>
        <w:outlineLvl w:val="1"/>
        <w:rPr>
          <w:rFonts w:ascii="宋体" w:hAnsi="宋体"/>
          <w:b/>
          <w:color w:val="auto"/>
          <w:sz w:val="24"/>
          <w:highlight w:val="none"/>
        </w:rPr>
      </w:pPr>
    </w:p>
    <w:p>
      <w:pPr>
        <w:widowControl/>
        <w:spacing w:line="360" w:lineRule="atLeast"/>
        <w:ind w:firstLine="472" w:firstLineChars="196"/>
        <w:jc w:val="left"/>
        <w:outlineLvl w:val="1"/>
        <w:rPr>
          <w:rFonts w:ascii="宋体" w:hAnsi="宋体"/>
          <w:b/>
          <w:color w:val="auto"/>
          <w:sz w:val="24"/>
          <w:highlight w:val="none"/>
        </w:rPr>
      </w:pPr>
    </w:p>
    <w:p>
      <w:pPr>
        <w:widowControl/>
        <w:spacing w:line="360" w:lineRule="auto"/>
        <w:jc w:val="left"/>
        <w:outlineLvl w:val="1"/>
        <w:rPr>
          <w:rFonts w:ascii="宋体" w:hAnsi="宋体"/>
          <w:color w:val="auto"/>
          <w:sz w:val="24"/>
          <w:highlight w:val="none"/>
        </w:rPr>
      </w:pPr>
      <w:bookmarkStart w:id="165" w:name="_Toc217446084"/>
      <w:r>
        <w:rPr>
          <w:rFonts w:hint="eastAsia" w:ascii="宋体" w:hAnsi="宋体"/>
          <w:color w:val="auto"/>
          <w:sz w:val="24"/>
          <w:highlight w:val="none"/>
        </w:rPr>
        <w:t>__________________（采购代理机构名称）：</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本授权声明：_______________（投标人名称）____________（法定代表人/单位负责人姓名、职务）授权____________（被授权人姓名、职务）为我方 “____________”（项目名称）（项目编号：____________）投标活动的合法代表，以我方名义全权处理该项目有关投标、签订合同以及执行合同等一切事宜。</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特此声明。</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法定代表人/单位负责人（委托人）签字或加盖个人印章：____________。</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授权代表（被授权人）签字：____________。</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widowControl/>
        <w:spacing w:line="360" w:lineRule="auto"/>
        <w:jc w:val="left"/>
        <w:outlineLvl w:val="1"/>
        <w:rPr>
          <w:rFonts w:ascii="宋体" w:hAnsi="宋体"/>
          <w:b/>
          <w:color w:val="auto"/>
          <w:sz w:val="24"/>
          <w:highlight w:val="none"/>
        </w:rPr>
      </w:pPr>
    </w:p>
    <w:p>
      <w:pPr>
        <w:widowControl/>
        <w:spacing w:line="360" w:lineRule="atLeast"/>
        <w:jc w:val="left"/>
        <w:outlineLvl w:val="1"/>
        <w:rPr>
          <w:rFonts w:ascii="宋体" w:hAnsi="宋体"/>
          <w:b/>
          <w:color w:val="auto"/>
          <w:sz w:val="24"/>
          <w:highlight w:val="none"/>
        </w:rPr>
      </w:pPr>
    </w:p>
    <w:p>
      <w:pPr>
        <w:widowControl/>
        <w:spacing w:line="360" w:lineRule="atLeast"/>
        <w:jc w:val="left"/>
        <w:outlineLvl w:val="1"/>
        <w:rPr>
          <w:rFonts w:ascii="宋体" w:hAnsi="宋体"/>
          <w:b/>
          <w:color w:val="auto"/>
          <w:sz w:val="24"/>
          <w:highlight w:val="none"/>
        </w:rPr>
      </w:pPr>
    </w:p>
    <w:p>
      <w:pPr>
        <w:widowControl/>
        <w:spacing w:line="360" w:lineRule="atLeast"/>
        <w:jc w:val="left"/>
        <w:outlineLvl w:val="1"/>
        <w:rPr>
          <w:rFonts w:ascii="宋体" w:hAnsi="宋体"/>
          <w:b/>
          <w:color w:val="auto"/>
          <w:sz w:val="24"/>
          <w:highlight w:val="none"/>
        </w:rPr>
      </w:pPr>
    </w:p>
    <w:p>
      <w:pPr>
        <w:spacing w:line="400" w:lineRule="exact"/>
        <w:ind w:left="840" w:hanging="840" w:hangingChars="350"/>
        <w:jc w:val="left"/>
        <w:rPr>
          <w:rFonts w:ascii="宋体" w:hAnsi="宋体"/>
          <w:color w:val="auto"/>
          <w:sz w:val="24"/>
          <w:highlight w:val="none"/>
        </w:rPr>
      </w:pPr>
      <w:r>
        <w:rPr>
          <w:rFonts w:hint="eastAsia" w:ascii="宋体" w:hAnsi="宋体"/>
          <w:color w:val="auto"/>
          <w:sz w:val="24"/>
          <w:highlight w:val="none"/>
        </w:rPr>
        <w:t>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1、投标人为法人单位时提供“法定代表人授权书”，投标人为其他组织时提供“单位负责人授权书”，投标人为自然人时提供“自然人身份证明材料”。</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2、应附法定代表人身份证明材料复印件和授权代表身份证明材料复印件。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3、身份证明材料包括居民身份证或户口本或军官证或护照等。</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4、身份证明材料应同时提供其在有效期的材料，如居民身份证正、反面复印件。</w:t>
      </w:r>
    </w:p>
    <w:p>
      <w:pPr>
        <w:spacing w:line="400" w:lineRule="exact"/>
        <w:jc w:val="center"/>
        <w:rPr>
          <w:rFonts w:ascii="宋体" w:hAnsi="宋体"/>
          <w:color w:val="auto"/>
          <w:sz w:val="24"/>
          <w:highlight w:val="none"/>
        </w:rPr>
      </w:pPr>
      <w:r>
        <w:rPr>
          <w:rFonts w:ascii="宋体" w:hAnsi="宋体"/>
          <w:color w:val="auto"/>
          <w:sz w:val="24"/>
          <w:highlight w:val="none"/>
        </w:rPr>
        <w:br w:type="page"/>
      </w:r>
      <w:r>
        <w:rPr>
          <w:rFonts w:ascii="宋体" w:hAnsi="宋体"/>
          <w:b/>
          <w:color w:val="auto"/>
          <w:sz w:val="32"/>
          <w:szCs w:val="32"/>
          <w:highlight w:val="none"/>
        </w:rPr>
        <w:t>二</w:t>
      </w:r>
      <w:r>
        <w:rPr>
          <w:rFonts w:hint="eastAsia" w:ascii="宋体" w:hAnsi="宋体"/>
          <w:b/>
          <w:color w:val="auto"/>
          <w:sz w:val="32"/>
          <w:szCs w:val="32"/>
          <w:highlight w:val="none"/>
        </w:rPr>
        <w:t>、法定代表人/单位负责人身份证明</w:t>
      </w:r>
    </w:p>
    <w:p>
      <w:pPr>
        <w:tabs>
          <w:tab w:val="left" w:pos="6300"/>
        </w:tabs>
        <w:spacing w:line="520" w:lineRule="exact"/>
        <w:ind w:firstLine="573"/>
        <w:rPr>
          <w:rFonts w:ascii="宋体" w:hAnsi="宋体"/>
          <w:color w:val="auto"/>
          <w:sz w:val="24"/>
          <w:highlight w:val="none"/>
          <w:lang w:val="zh-CN"/>
        </w:rPr>
      </w:pPr>
    </w:p>
    <w:p>
      <w:pP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rPr>
        <w:t>__________________（采购代理机构名称）</w:t>
      </w:r>
      <w:r>
        <w:rPr>
          <w:rFonts w:hint="eastAsia" w:ascii="宋体" w:hAnsi="宋体"/>
          <w:color w:val="auto"/>
          <w:sz w:val="24"/>
          <w:highlight w:val="none"/>
          <w:lang w:val="zh-CN"/>
        </w:rPr>
        <w:t>：</w:t>
      </w:r>
    </w:p>
    <w:p>
      <w:pP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rPr>
        <w:t>__________________</w:t>
      </w:r>
      <w:r>
        <w:rPr>
          <w:rFonts w:hint="eastAsia" w:ascii="宋体" w:hAnsi="宋体"/>
          <w:color w:val="auto"/>
          <w:sz w:val="24"/>
          <w:highlight w:val="none"/>
          <w:lang w:val="zh-CN"/>
        </w:rPr>
        <w:t>（法定代表人/单位负责人姓名）在</w:t>
      </w:r>
      <w:r>
        <w:rPr>
          <w:rFonts w:hint="eastAsia" w:ascii="宋体" w:hAnsi="宋体"/>
          <w:color w:val="auto"/>
          <w:sz w:val="24"/>
          <w:highlight w:val="none"/>
        </w:rPr>
        <w:t>_______________</w:t>
      </w:r>
      <w:r>
        <w:rPr>
          <w:rFonts w:hint="eastAsia" w:ascii="宋体" w:hAnsi="宋体"/>
          <w:color w:val="auto"/>
          <w:sz w:val="24"/>
          <w:highlight w:val="none"/>
          <w:lang w:val="zh-CN"/>
        </w:rPr>
        <w:t>（投标人名称）处任</w:t>
      </w:r>
      <w:r>
        <w:rPr>
          <w:rFonts w:hint="eastAsia" w:ascii="宋体" w:hAnsi="宋体"/>
          <w:color w:val="auto"/>
          <w:sz w:val="24"/>
          <w:highlight w:val="none"/>
        </w:rPr>
        <w:t>____________</w:t>
      </w:r>
      <w:r>
        <w:rPr>
          <w:rFonts w:hint="eastAsia" w:ascii="宋体" w:hAnsi="宋体"/>
          <w:color w:val="auto"/>
          <w:sz w:val="24"/>
          <w:highlight w:val="none"/>
          <w:lang w:val="zh-CN"/>
        </w:rPr>
        <w:t>（职务名称）职务，是</w:t>
      </w:r>
      <w:r>
        <w:rPr>
          <w:rFonts w:hint="eastAsia" w:ascii="宋体" w:hAnsi="宋体"/>
          <w:color w:val="auto"/>
          <w:sz w:val="24"/>
          <w:highlight w:val="none"/>
        </w:rPr>
        <w:t>____________</w:t>
      </w:r>
      <w:r>
        <w:rPr>
          <w:rFonts w:hint="eastAsia" w:ascii="宋体" w:hAnsi="宋体"/>
          <w:color w:val="auto"/>
          <w:sz w:val="24"/>
          <w:highlight w:val="none"/>
          <w:lang w:val="zh-CN"/>
        </w:rPr>
        <w:t>（投标人名称）的法定代表人/单位负责人。</w:t>
      </w:r>
    </w:p>
    <w:p>
      <w:pP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lang w:val="zh-CN"/>
        </w:rPr>
        <w:t>法定代表人/单位负责人联系方式：</w:t>
      </w:r>
      <w:r>
        <w:rPr>
          <w:rFonts w:hint="eastAsia" w:ascii="宋体" w:hAnsi="宋体"/>
          <w:color w:val="auto"/>
          <w:sz w:val="24"/>
          <w:highlight w:val="none"/>
        </w:rPr>
        <w:t>____________</w:t>
      </w:r>
      <w:r>
        <w:rPr>
          <w:rFonts w:hint="eastAsia" w:ascii="宋体" w:hAnsi="宋体"/>
          <w:color w:val="auto"/>
          <w:sz w:val="24"/>
          <w:highlight w:val="none"/>
          <w:lang w:val="zh-CN"/>
        </w:rPr>
        <w:t>。</w:t>
      </w:r>
    </w:p>
    <w:p>
      <w:pPr>
        <w:tabs>
          <w:tab w:val="left" w:pos="6300"/>
        </w:tabs>
        <w:spacing w:line="520" w:lineRule="exact"/>
        <w:ind w:firstLine="573"/>
        <w:rPr>
          <w:rFonts w:ascii="宋体" w:hAnsi="宋体"/>
          <w:color w:val="auto"/>
          <w:sz w:val="24"/>
          <w:highlight w:val="none"/>
          <w:lang w:val="zh-CN"/>
        </w:rPr>
      </w:pPr>
    </w:p>
    <w:p>
      <w:pP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lang w:val="zh-CN"/>
        </w:rPr>
        <w:t>特此证明。</w:t>
      </w:r>
    </w:p>
    <w:p>
      <w:pPr>
        <w:tabs>
          <w:tab w:val="left" w:pos="6300"/>
        </w:tabs>
        <w:spacing w:line="520" w:lineRule="exact"/>
        <w:rPr>
          <w:rFonts w:ascii="宋体" w:hAnsi="宋体"/>
          <w:color w:val="auto"/>
          <w:sz w:val="24"/>
          <w:highlight w:val="none"/>
          <w:lang w:val="zh-CN"/>
        </w:rPr>
      </w:pPr>
    </w:p>
    <w:p>
      <w:pPr>
        <w:spacing w:line="520" w:lineRule="exact"/>
        <w:ind w:firstLine="480"/>
        <w:jc w:val="left"/>
        <w:rPr>
          <w:rFonts w:ascii="宋体" w:hAnsi="宋体"/>
          <w:color w:val="auto"/>
          <w:sz w:val="24"/>
          <w:highlight w:val="none"/>
        </w:rPr>
      </w:pPr>
      <w:r>
        <w:rPr>
          <w:rFonts w:hint="eastAsia" w:ascii="宋体" w:hAnsi="宋体"/>
          <w:color w:val="auto"/>
          <w:sz w:val="24"/>
          <w:highlight w:val="none"/>
        </w:rPr>
        <w:t>投标人名称（单位公章）：____________</w:t>
      </w:r>
    </w:p>
    <w:p>
      <w:pPr>
        <w:spacing w:line="520" w:lineRule="exact"/>
        <w:ind w:firstLine="480"/>
        <w:jc w:val="left"/>
        <w:rPr>
          <w:rFonts w:ascii="宋体" w:hAnsi="宋体"/>
          <w:color w:val="auto"/>
          <w:sz w:val="24"/>
          <w:highlight w:val="none"/>
        </w:rPr>
      </w:pPr>
      <w:r>
        <w:rPr>
          <w:rFonts w:hint="eastAsia" w:ascii="宋体" w:hAnsi="宋体"/>
          <w:color w:val="auto"/>
          <w:sz w:val="24"/>
          <w:highlight w:val="none"/>
        </w:rPr>
        <w:t>法定代表人/单位负责人（签字）：____________</w:t>
      </w:r>
    </w:p>
    <w:p>
      <w:pPr>
        <w:spacing w:line="520" w:lineRule="exact"/>
        <w:ind w:firstLine="480" w:firstLineChars="200"/>
        <w:rPr>
          <w:rFonts w:ascii="宋体" w:hAnsi="宋体"/>
          <w:color w:val="auto"/>
          <w:sz w:val="24"/>
          <w:highlight w:val="none"/>
          <w:lang w:val="zh-CN"/>
        </w:rPr>
      </w:pPr>
      <w:r>
        <w:rPr>
          <w:rFonts w:hint="eastAsia" w:ascii="宋体" w:hAnsi="宋体"/>
          <w:color w:val="auto"/>
          <w:sz w:val="24"/>
          <w:highlight w:val="none"/>
        </w:rPr>
        <w:t>投标日期: ____________</w:t>
      </w:r>
    </w:p>
    <w:p>
      <w:pPr>
        <w:spacing w:line="520" w:lineRule="exact"/>
        <w:ind w:firstLine="240" w:firstLineChars="100"/>
        <w:rPr>
          <w:rFonts w:ascii="宋体" w:hAnsi="宋体"/>
          <w:color w:val="auto"/>
          <w:sz w:val="24"/>
          <w:highlight w:val="none"/>
          <w:lang w:val="zh-CN"/>
        </w:rPr>
      </w:pPr>
      <w:r>
        <w:rPr>
          <w:rFonts w:ascii="宋体" w:hAnsi="宋体"/>
          <w:color w:val="auto"/>
          <w:sz w:val="24"/>
          <w:highlight w:val="none"/>
        </w:rPr>
        <w:t xml:space="preserve"> </w:t>
      </w:r>
      <w:r>
        <w:rPr>
          <w:rFonts w:ascii="宋体" w:hAnsi="宋体"/>
          <w:color w:val="auto"/>
          <w:sz w:val="24"/>
          <w:highlight w:val="none"/>
          <w:lang w:val="zh-CN"/>
        </w:rPr>
        <w:t xml:space="preserve"> </w:t>
      </w:r>
    </w:p>
    <w:p>
      <w:pPr>
        <w:tabs>
          <w:tab w:val="left" w:pos="720"/>
          <w:tab w:val="left" w:pos="6300"/>
        </w:tabs>
        <w:spacing w:line="520" w:lineRule="exact"/>
        <w:ind w:firstLine="573"/>
        <w:rPr>
          <w:rFonts w:ascii="宋体" w:hAnsi="宋体"/>
          <w:b/>
          <w:color w:val="auto"/>
          <w:sz w:val="24"/>
          <w:highlight w:val="none"/>
          <w:lang w:val="zh-CN"/>
        </w:rPr>
      </w:pPr>
      <w:r>
        <w:rPr>
          <w:rFonts w:hint="eastAsia" w:ascii="宋体" w:hAnsi="宋体"/>
          <w:b/>
          <w:color w:val="auto"/>
          <w:sz w:val="24"/>
          <w:highlight w:val="none"/>
          <w:lang w:val="zh-CN"/>
        </w:rPr>
        <w:t>注：1、法定代表人/单位负责人亲自参加投标时提供此证明，授权代表参加投标时无须提供；</w:t>
      </w:r>
    </w:p>
    <w:p>
      <w:pPr>
        <w:tabs>
          <w:tab w:val="left" w:pos="720"/>
          <w:tab w:val="left" w:pos="6300"/>
        </w:tabs>
        <w:spacing w:line="520" w:lineRule="exact"/>
        <w:ind w:firstLine="573"/>
        <w:rPr>
          <w:rFonts w:ascii="宋体" w:hAnsi="宋体"/>
          <w:b/>
          <w:color w:val="auto"/>
          <w:sz w:val="24"/>
          <w:highlight w:val="none"/>
          <w:lang w:val="zh-CN"/>
        </w:rPr>
      </w:pPr>
      <w:r>
        <w:rPr>
          <w:rFonts w:hint="eastAsia" w:ascii="宋体" w:hAnsi="宋体"/>
          <w:b/>
          <w:color w:val="auto"/>
          <w:sz w:val="24"/>
          <w:highlight w:val="none"/>
        </w:rPr>
        <w:t xml:space="preserve">    2、投标人为法人单位时提供“法定代表人身份证明”，投标人为其他组织时提供“单位负责人身份证明”，投标人为自然人时无须提供。</w:t>
      </w:r>
    </w:p>
    <w:p>
      <w:pPr>
        <w:tabs>
          <w:tab w:val="left" w:pos="720"/>
          <w:tab w:val="left" w:pos="6300"/>
        </w:tabs>
        <w:spacing w:line="520" w:lineRule="exact"/>
        <w:ind w:firstLine="573"/>
        <w:rPr>
          <w:rFonts w:ascii="宋体" w:hAnsi="宋体"/>
          <w:b/>
          <w:color w:val="auto"/>
          <w:sz w:val="24"/>
          <w:highlight w:val="none"/>
        </w:rPr>
      </w:pPr>
      <w:r>
        <w:rPr>
          <w:rFonts w:hint="eastAsia" w:ascii="宋体" w:hAnsi="宋体"/>
          <w:b/>
          <w:color w:val="auto"/>
          <w:sz w:val="24"/>
          <w:highlight w:val="none"/>
          <w:lang w:val="zh-CN"/>
        </w:rPr>
        <w:t xml:space="preserve">    3、上述证明文件在投标文件中附有法定代表人/单位负责人身份证复印件（身份证两面均应复印）时才能生效,不允许粘贴。</w:t>
      </w:r>
    </w:p>
    <w:p>
      <w:pPr>
        <w:tabs>
          <w:tab w:val="left" w:pos="720"/>
          <w:tab w:val="left" w:pos="6300"/>
        </w:tabs>
        <w:ind w:firstLine="573"/>
        <w:rPr>
          <w:rFonts w:ascii="宋体" w:hAnsi="宋体"/>
          <w:b/>
          <w:color w:val="auto"/>
          <w:sz w:val="24"/>
          <w:highlight w:val="none"/>
          <w:lang w:val="zh-CN"/>
        </w:rPr>
      </w:pPr>
      <w:r>
        <w:rPr>
          <w:rFonts w:ascii="宋体" w:hAnsi="宋体"/>
          <w:b/>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628015</wp:posOffset>
                </wp:positionV>
                <wp:extent cx="2405380" cy="1461770"/>
                <wp:effectExtent l="4445" t="4445" r="9525" b="196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35pt;margin-top:49.45pt;height:115.1pt;width:189.4pt;mso-wrap-distance-bottom:0pt;mso-wrap-distance-left:9pt;mso-wrap-distance-right:9pt;mso-wrap-distance-top:0pt;z-index:251660288;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iFOAvZAAAA&#10;CgEAAA8AAAAAAAAAAQAgAAAAIgAAAGRycy9kb3ducmV2LnhtbFBLAQIUABQAAAAIAIdO4kCC+/rD&#10;VQIAAK4EAAAOAAAAAAAAAAEAIAAAACgBAABkcnMvZTJvRG9jLnhtbFBLBQYAAAAABgAGAFkBAADv&#10;BQ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ascii="宋体" w:hAnsi="宋体"/>
          <w:b/>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628015</wp:posOffset>
                </wp:positionV>
                <wp:extent cx="2405380" cy="1461770"/>
                <wp:effectExtent l="4445" t="4445" r="9525" b="19685"/>
                <wp:wrapSquare wrapText="bothSides"/>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1pt;margin-top:49.45pt;height:115.1pt;width:189.4pt;mso-wrap-distance-bottom:0pt;mso-wrap-distance-left:9pt;mso-wrap-distance-right:9pt;mso-wrap-distance-top:0pt;z-index:251659264;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qMit32AAAAAkB&#10;AAAPAAAAAAAAAAEAIAAAACIAAABkcnMvZG93bnJldi54bWxQSwECFAAUAAAACACHTuJAISSuwFQC&#10;AACuBAAADgAAAAAAAAABACAAAAAnAQAAZHJzL2Uyb0RvYy54bWxQSwUGAAAAAAYABgBZAQAA7QUA&#10;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pPr>
        <w:tabs>
          <w:tab w:val="left" w:pos="720"/>
          <w:tab w:val="left" w:pos="6300"/>
        </w:tabs>
        <w:ind w:firstLine="573"/>
        <w:rPr>
          <w:rFonts w:ascii="宋体" w:hAnsi="宋体"/>
          <w:b/>
          <w:color w:val="auto"/>
          <w:sz w:val="24"/>
          <w:highlight w:val="none"/>
          <w:lang w:val="zh-CN"/>
        </w:rPr>
      </w:pPr>
      <w:r>
        <w:rPr>
          <w:rFonts w:hint="eastAsia" w:ascii="宋体" w:hAnsi="宋体"/>
          <w:b/>
          <w:color w:val="auto"/>
          <w:sz w:val="24"/>
          <w:highlight w:val="none"/>
          <w:lang w:val="zh-CN"/>
        </w:rPr>
        <w:t>法定代表人/单位负责人身份证样式(仅供参考)：</w:t>
      </w:r>
    </w:p>
    <w:p>
      <w:pPr>
        <w:tabs>
          <w:tab w:val="left" w:pos="720"/>
          <w:tab w:val="left" w:pos="6300"/>
        </w:tabs>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p>
      <w:pPr>
        <w:tabs>
          <w:tab w:val="left" w:pos="720"/>
          <w:tab w:val="left" w:pos="6300"/>
        </w:tabs>
        <w:spacing w:line="360" w:lineRule="auto"/>
        <w:ind w:firstLine="573"/>
        <w:rPr>
          <w:rFonts w:ascii="宋体" w:hAnsi="宋体"/>
          <w:b/>
          <w:color w:val="auto"/>
          <w:sz w:val="24"/>
          <w:highlight w:val="none"/>
          <w:lang w:val="zh-CN"/>
        </w:rPr>
      </w:pPr>
    </w:p>
    <w:bookmarkEnd w:id="165"/>
    <w:p>
      <w:pPr>
        <w:tabs>
          <w:tab w:val="left" w:pos="720"/>
          <w:tab w:val="left" w:pos="6300"/>
        </w:tabs>
        <w:spacing w:line="360" w:lineRule="auto"/>
        <w:ind w:firstLine="573"/>
        <w:rPr>
          <w:rFonts w:ascii="宋体" w:hAnsi="宋体"/>
          <w:b/>
          <w:color w:val="auto"/>
          <w:sz w:val="24"/>
          <w:highlight w:val="none"/>
          <w:lang w:val="zh-CN"/>
        </w:rPr>
      </w:pP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三、承诺函</w:t>
      </w:r>
    </w:p>
    <w:p>
      <w:pPr>
        <w:widowControl/>
        <w:spacing w:line="360" w:lineRule="atLeast"/>
        <w:jc w:val="center"/>
        <w:outlineLvl w:val="1"/>
        <w:rPr>
          <w:rFonts w:ascii="宋体" w:hAnsi="宋体"/>
          <w:b/>
          <w:color w:val="auto"/>
          <w:sz w:val="24"/>
          <w:highlight w:val="none"/>
        </w:rPr>
      </w:pP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__________________（采购代理机构名称）：</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我单位作为本次采购项目的投标人，根据招标文件要求，现郑重承诺如下：</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一、具备《中华人民共和国政府采购法》第二十二条第一款和本项目规定的条件：</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（一）具有独立承担民事责任的能力；</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（六）法律、行政法规规定的其他条件；</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（七）我单位及现任法定代表人/单位负责人参加本次政府采购活动前三年无行贿犯罪记录；</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（八）根据采购项目提出的特殊条件</w:t>
      </w:r>
      <w:r>
        <w:rPr>
          <w:rFonts w:ascii="宋体" w:hAnsi="宋体"/>
          <w:color w:val="auto"/>
          <w:sz w:val="24"/>
          <w:highlight w:val="none"/>
        </w:rPr>
        <w:t>。</w:t>
      </w:r>
    </w:p>
    <w:p>
      <w:pPr>
        <w:widowControl/>
        <w:spacing w:line="360" w:lineRule="atLeast"/>
        <w:ind w:firstLine="480" w:firstLineChars="200"/>
        <w:jc w:val="left"/>
        <w:outlineLvl w:val="1"/>
        <w:rPr>
          <w:rFonts w:ascii="宋体"/>
          <w:color w:val="auto"/>
          <w:sz w:val="24"/>
          <w:highlight w:val="none"/>
        </w:rPr>
      </w:pPr>
      <w:r>
        <w:rPr>
          <w:color w:val="auto"/>
          <w:sz w:val="24"/>
          <w:highlight w:val="non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color w:val="auto"/>
          <w:sz w:val="24"/>
          <w:highlight w:val="none"/>
        </w:rPr>
      </w:pPr>
      <w:r>
        <w:rPr>
          <w:rFonts w:hint="eastAsia" w:ascii="宋体"/>
          <w:color w:val="auto"/>
          <w:sz w:val="24"/>
          <w:highlight w:val="none"/>
        </w:rPr>
        <w:t>三、参加本次招标采购活动，不存在与单位负责人为同一人或者存在直接控股、管理关系的其他投标人参与同一合同项下的政府采购活动的行为。</w:t>
      </w:r>
    </w:p>
    <w:p>
      <w:pPr>
        <w:widowControl/>
        <w:spacing w:line="360" w:lineRule="atLeast"/>
        <w:ind w:firstLine="480" w:firstLineChars="200"/>
        <w:jc w:val="left"/>
        <w:outlineLvl w:val="1"/>
        <w:rPr>
          <w:rFonts w:ascii="宋体"/>
          <w:color w:val="auto"/>
          <w:sz w:val="24"/>
          <w:highlight w:val="none"/>
        </w:rPr>
      </w:pPr>
      <w:r>
        <w:rPr>
          <w:rFonts w:hint="eastAsia" w:ascii="宋体"/>
          <w:color w:val="auto"/>
          <w:sz w:val="24"/>
          <w:highlight w:val="none"/>
        </w:rPr>
        <w:t>四、参加本次招标采购活动，不存在和其他投标人在同一合同项下的采购项目中，同时委托同一个自然人、同一家庭的人员、同一单位的人员作为代理人的行为。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color w:val="auto"/>
          <w:sz w:val="24"/>
          <w:highlight w:val="none"/>
        </w:rPr>
      </w:pPr>
      <w:r>
        <w:rPr>
          <w:rFonts w:hint="eastAsia" w:ascii="宋体"/>
          <w:color w:val="auto"/>
          <w:sz w:val="24"/>
          <w:highlight w:val="none"/>
        </w:rPr>
        <w:t>五、如果有《四川省政府采购当事人诚信管理办法》（川财采[2015]33号）规定的记入诚信档案的失信行为，将在投标文件中全面如实反映。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color w:val="auto"/>
          <w:sz w:val="24"/>
          <w:highlight w:val="none"/>
        </w:rPr>
      </w:pPr>
      <w:r>
        <w:rPr>
          <w:rFonts w:hint="eastAsia" w:ascii="宋体"/>
          <w:color w:val="auto"/>
          <w:sz w:val="24"/>
          <w:highlight w:val="none"/>
        </w:rPr>
        <w:t>六、投标文件中提供的能够给予我公司带来优惠、好处的任何材料资料和技术、服务、商务等响应承诺情况都是真实的、有效的、合法的。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rFonts w:ascii="宋体"/>
          <w:color w:val="auto"/>
          <w:sz w:val="24"/>
          <w:highlight w:val="none"/>
        </w:rPr>
      </w:pPr>
      <w:r>
        <w:rPr>
          <w:rFonts w:hint="eastAsia" w:ascii="宋体"/>
          <w:color w:val="auto"/>
          <w:sz w:val="24"/>
          <w:highlight w:val="none"/>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360" w:lineRule="atLeast"/>
        <w:ind w:firstLine="480" w:firstLineChars="200"/>
        <w:jc w:val="left"/>
        <w:outlineLvl w:val="1"/>
        <w:rPr>
          <w:color w:val="auto"/>
          <w:highlight w:val="none"/>
        </w:rPr>
      </w:pPr>
      <w:r>
        <w:rPr>
          <w:rFonts w:hint="eastAsia" w:ascii="宋体" w:hAnsi="宋体"/>
          <w:color w:val="auto"/>
          <w:sz w:val="24"/>
          <w:highlight w:val="none"/>
        </w:rPr>
        <w:t>八、截至投标截止日未被列入失信被执行人、重大税收违法案件当事人名单、政府采购严重违法失信行为记录名单。</w:t>
      </w:r>
    </w:p>
    <w:p>
      <w:pPr>
        <w:widowControl/>
        <w:spacing w:line="360" w:lineRule="atLeast"/>
        <w:ind w:firstLine="480" w:firstLineChars="200"/>
        <w:jc w:val="left"/>
        <w:outlineLvl w:val="1"/>
        <w:rPr>
          <w:rFonts w:ascii="宋体" w:hAnsi="宋体"/>
          <w:color w:val="auto"/>
          <w:sz w:val="24"/>
          <w:highlight w:val="none"/>
        </w:rPr>
      </w:pPr>
      <w:r>
        <w:rPr>
          <w:rFonts w:hint="eastAsia" w:ascii="宋体" w:hAnsi="宋体"/>
          <w:color w:val="auto"/>
          <w:sz w:val="24"/>
          <w:highlight w:val="none"/>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r>
        <w:rPr>
          <w:rFonts w:hint="eastAsia" w:ascii="宋体" w:hAnsi="宋体"/>
          <w:color w:val="auto"/>
          <w:sz w:val="24"/>
          <w:highlight w:val="none"/>
        </w:rPr>
        <w:br w:type="page"/>
      </w:r>
    </w:p>
    <w:p>
      <w:pPr>
        <w:spacing w:line="360" w:lineRule="auto"/>
        <w:ind w:firstLine="790" w:firstLineChars="246"/>
        <w:jc w:val="center"/>
        <w:rPr>
          <w:rFonts w:ascii="宋体" w:hAnsi="宋体"/>
          <w:b/>
          <w:color w:val="auto"/>
          <w:sz w:val="32"/>
          <w:szCs w:val="32"/>
          <w:highlight w:val="none"/>
        </w:rPr>
      </w:pPr>
      <w:r>
        <w:rPr>
          <w:rFonts w:hint="eastAsia" w:ascii="宋体" w:hAnsi="宋体"/>
          <w:b/>
          <w:color w:val="auto"/>
          <w:sz w:val="32"/>
          <w:szCs w:val="32"/>
          <w:highlight w:val="none"/>
        </w:rPr>
        <w:t>四、投标人和投标相关服务及其他类似效力要求的相关证明材料</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注：投标人应按招标文件第五章相关要求提供佐证材料，有格式要求的从其要求，无格式要求的格式自拟。</w:t>
      </w:r>
    </w:p>
    <w:p>
      <w:pPr>
        <w:spacing w:line="360" w:lineRule="auto"/>
        <w:rPr>
          <w:rFonts w:ascii="宋体" w:hAnsi="宋体" w:cs="宋体"/>
          <w:bCs/>
          <w:color w:val="auto"/>
          <w:sz w:val="24"/>
          <w:highlight w:val="none"/>
        </w:rPr>
      </w:pPr>
    </w:p>
    <w:p>
      <w:pPr>
        <w:tabs>
          <w:tab w:val="left" w:pos="900"/>
        </w:tabs>
        <w:spacing w:line="360" w:lineRule="auto"/>
        <w:jc w:val="center"/>
        <w:rPr>
          <w:rFonts w:ascii="宋体" w:hAnsi="宋体"/>
          <w:b/>
          <w:color w:val="auto"/>
          <w:sz w:val="32"/>
          <w:highlight w:val="none"/>
        </w:rPr>
      </w:pPr>
      <w:r>
        <w:rPr>
          <w:rFonts w:hint="eastAsia" w:ascii="宋体" w:hAnsi="宋体"/>
          <w:b/>
          <w:color w:val="auto"/>
          <w:sz w:val="32"/>
          <w:szCs w:val="32"/>
          <w:highlight w:val="none"/>
        </w:rPr>
        <w:br w:type="page"/>
      </w:r>
      <w:r>
        <w:rPr>
          <w:rFonts w:hint="eastAsia" w:ascii="宋体" w:hAnsi="宋体"/>
          <w:b/>
          <w:color w:val="auto"/>
          <w:sz w:val="32"/>
          <w:highlight w:val="none"/>
        </w:rPr>
        <w:t>第三部分：“其他投标文件”格式</w:t>
      </w: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t>封面：</w:t>
      </w:r>
    </w:p>
    <w:p>
      <w:pPr>
        <w:spacing w:line="360" w:lineRule="auto"/>
        <w:jc w:val="right"/>
        <w:rPr>
          <w:rFonts w:ascii="宋体" w:hAnsi="宋体"/>
          <w:b/>
          <w:color w:val="auto"/>
          <w:sz w:val="36"/>
          <w:highlight w:val="none"/>
        </w:rPr>
      </w:pPr>
      <w:r>
        <w:rPr>
          <w:rFonts w:ascii="宋体" w:hAnsi="宋体"/>
          <w:b/>
          <w:color w:val="auto"/>
          <w:sz w:val="36"/>
          <w:highlight w:val="none"/>
        </w:rPr>
        <w:t>（正本/副本）</w:t>
      </w:r>
    </w:p>
    <w:p>
      <w:pPr>
        <w:rPr>
          <w:rFonts w:ascii="宋体" w:hAnsi="宋体"/>
          <w:b/>
          <w:color w:val="auto"/>
          <w:sz w:val="32"/>
          <w:szCs w:val="32"/>
          <w:highlight w:val="none"/>
        </w:rPr>
      </w:pPr>
    </w:p>
    <w:p>
      <w:pPr>
        <w:pStyle w:val="2"/>
        <w:rPr>
          <w:color w:val="auto"/>
          <w:highlight w:val="none"/>
        </w:rPr>
      </w:pPr>
    </w:p>
    <w:p>
      <w:pPr>
        <w:pStyle w:val="2"/>
        <w:rPr>
          <w:color w:val="auto"/>
          <w:highlight w:val="none"/>
        </w:rPr>
      </w:pPr>
    </w:p>
    <w:p>
      <w:pPr>
        <w:spacing w:line="360" w:lineRule="auto"/>
        <w:jc w:val="center"/>
        <w:rPr>
          <w:rFonts w:ascii="宋体" w:hAnsi="宋体"/>
          <w:b/>
          <w:color w:val="auto"/>
          <w:sz w:val="24"/>
          <w:highlight w:val="none"/>
        </w:rPr>
      </w:pPr>
    </w:p>
    <w:p>
      <w:pPr>
        <w:spacing w:line="360" w:lineRule="auto"/>
        <w:jc w:val="center"/>
        <w:rPr>
          <w:rFonts w:ascii="宋体" w:hAnsi="宋体"/>
          <w:b/>
          <w:color w:val="auto"/>
          <w:sz w:val="24"/>
          <w:highlight w:val="none"/>
        </w:rPr>
      </w:pPr>
    </w:p>
    <w:p>
      <w:pPr>
        <w:spacing w:line="360" w:lineRule="auto"/>
        <w:jc w:val="center"/>
        <w:rPr>
          <w:rFonts w:ascii="宋体" w:hAnsi="宋体"/>
          <w:b/>
          <w:color w:val="auto"/>
          <w:sz w:val="72"/>
          <w:highlight w:val="none"/>
        </w:rPr>
      </w:pPr>
      <w:r>
        <w:rPr>
          <w:rFonts w:hint="eastAsia" w:ascii="宋体" w:hAnsi="宋体"/>
          <w:b/>
          <w:color w:val="auto"/>
          <w:sz w:val="24"/>
          <w:highlight w:val="none"/>
        </w:rPr>
        <w:t>________________________________</w:t>
      </w:r>
      <w:r>
        <w:rPr>
          <w:rFonts w:hint="eastAsia" w:ascii="宋体" w:hAnsi="宋体"/>
          <w:b/>
          <w:color w:val="auto"/>
          <w:sz w:val="40"/>
          <w:szCs w:val="48"/>
          <w:highlight w:val="none"/>
        </w:rPr>
        <w:t>项目</w:t>
      </w:r>
    </w:p>
    <w:p>
      <w:pPr>
        <w:spacing w:line="360" w:lineRule="auto"/>
        <w:rPr>
          <w:rFonts w:ascii="宋体" w:hAnsi="宋体"/>
          <w:b/>
          <w:color w:val="auto"/>
          <w:sz w:val="52"/>
          <w:szCs w:val="52"/>
          <w:highlight w:val="none"/>
        </w:rPr>
      </w:pPr>
    </w:p>
    <w:p>
      <w:pPr>
        <w:spacing w:line="360" w:lineRule="auto"/>
        <w:jc w:val="center"/>
        <w:rPr>
          <w:rFonts w:ascii="宋体" w:hAnsi="宋体"/>
          <w:b/>
          <w:color w:val="auto"/>
          <w:sz w:val="36"/>
          <w:highlight w:val="none"/>
        </w:rPr>
      </w:pPr>
      <w:r>
        <w:rPr>
          <w:rFonts w:hint="eastAsia" w:ascii="宋体" w:hAnsi="宋体"/>
          <w:b/>
          <w:color w:val="auto"/>
          <w:sz w:val="52"/>
          <w:szCs w:val="52"/>
          <w:highlight w:val="none"/>
        </w:rPr>
        <w:t>其他投标文件</w:t>
      </w:r>
    </w:p>
    <w:p>
      <w:pPr>
        <w:spacing w:line="360" w:lineRule="auto"/>
        <w:rPr>
          <w:rFonts w:ascii="宋体" w:hAnsi="宋体"/>
          <w:b/>
          <w:color w:val="auto"/>
          <w:sz w:val="36"/>
          <w:highlight w:val="none"/>
        </w:rPr>
      </w:pPr>
    </w:p>
    <w:p>
      <w:pPr>
        <w:spacing w:line="360" w:lineRule="auto"/>
        <w:rPr>
          <w:rFonts w:ascii="宋体" w:hAnsi="宋体"/>
          <w:b/>
          <w:color w:val="auto"/>
          <w:sz w:val="36"/>
          <w:highlight w:val="none"/>
        </w:rPr>
      </w:pPr>
    </w:p>
    <w:p>
      <w:pPr>
        <w:spacing w:line="360" w:lineRule="auto"/>
        <w:ind w:firstLine="964" w:firstLineChars="300"/>
        <w:jc w:val="left"/>
        <w:rPr>
          <w:rFonts w:ascii="宋体" w:hAnsi="宋体"/>
          <w:color w:val="auto"/>
          <w:sz w:val="24"/>
          <w:highlight w:val="none"/>
        </w:rPr>
      </w:pPr>
      <w:r>
        <w:rPr>
          <w:rFonts w:hint="eastAsia" w:ascii="宋体" w:hAnsi="宋体"/>
          <w:b/>
          <w:color w:val="auto"/>
          <w:sz w:val="32"/>
          <w:highlight w:val="none"/>
        </w:rPr>
        <w:t>投标人</w:t>
      </w:r>
      <w:r>
        <w:rPr>
          <w:rFonts w:ascii="宋体" w:hAnsi="宋体"/>
          <w:b/>
          <w:color w:val="auto"/>
          <w:sz w:val="32"/>
          <w:highlight w:val="none"/>
        </w:rPr>
        <w:t>名称：</w:t>
      </w:r>
      <w:r>
        <w:rPr>
          <w:rFonts w:hint="eastAsia" w:ascii="宋体" w:hAnsi="宋体"/>
          <w:color w:val="auto"/>
          <w:sz w:val="24"/>
          <w:highlight w:val="none"/>
        </w:rPr>
        <w:t>____________________________</w:t>
      </w:r>
    </w:p>
    <w:p>
      <w:pPr>
        <w:spacing w:line="360" w:lineRule="auto"/>
        <w:ind w:firstLine="964" w:firstLineChars="300"/>
        <w:jc w:val="left"/>
        <w:rPr>
          <w:rFonts w:ascii="宋体" w:hAnsi="宋体"/>
          <w:b/>
          <w:color w:val="auto"/>
          <w:sz w:val="32"/>
          <w:highlight w:val="none"/>
          <w:u w:val="single"/>
        </w:rPr>
      </w:pPr>
      <w:r>
        <w:rPr>
          <w:rFonts w:hint="eastAsia" w:ascii="宋体" w:hAnsi="宋体"/>
          <w:b/>
          <w:color w:val="auto"/>
          <w:sz w:val="32"/>
          <w:highlight w:val="none"/>
        </w:rPr>
        <w:t>项 目 编号</w:t>
      </w:r>
      <w:r>
        <w:rPr>
          <w:rFonts w:ascii="宋体" w:hAnsi="宋体"/>
          <w:b/>
          <w:color w:val="auto"/>
          <w:sz w:val="32"/>
          <w:highlight w:val="none"/>
        </w:rPr>
        <w:t>：</w:t>
      </w:r>
      <w:r>
        <w:rPr>
          <w:rFonts w:hint="eastAsia" w:ascii="宋体" w:hAnsi="宋体"/>
          <w:color w:val="auto"/>
          <w:sz w:val="24"/>
          <w:highlight w:val="none"/>
        </w:rPr>
        <w:t>____________________________</w:t>
      </w:r>
    </w:p>
    <w:p>
      <w:pPr>
        <w:spacing w:line="360" w:lineRule="auto"/>
        <w:ind w:firstLine="790" w:firstLineChars="246"/>
        <w:jc w:val="center"/>
        <w:rPr>
          <w:rFonts w:ascii="宋体" w:hAnsi="宋体"/>
          <w:b/>
          <w:color w:val="auto"/>
          <w:sz w:val="32"/>
          <w:highlight w:val="none"/>
        </w:rPr>
      </w:pPr>
    </w:p>
    <w:p>
      <w:pPr>
        <w:spacing w:line="360" w:lineRule="auto"/>
        <w:ind w:firstLine="790" w:firstLineChars="246"/>
        <w:jc w:val="center"/>
        <w:rPr>
          <w:rFonts w:ascii="宋体" w:hAnsi="宋体"/>
          <w:b/>
          <w:color w:val="auto"/>
          <w:sz w:val="32"/>
          <w:highlight w:val="none"/>
        </w:rPr>
      </w:pPr>
      <w:r>
        <w:rPr>
          <w:rFonts w:hint="eastAsia" w:ascii="宋体" w:hAnsi="宋体"/>
          <w:b/>
          <w:color w:val="auto"/>
          <w:sz w:val="32"/>
          <w:highlight w:val="none"/>
        </w:rPr>
        <w:t>投标日期</w:t>
      </w:r>
      <w:r>
        <w:rPr>
          <w:rFonts w:ascii="宋体" w:hAnsi="宋体"/>
          <w:b/>
          <w:color w:val="auto"/>
          <w:sz w:val="32"/>
          <w:highlight w:val="none"/>
        </w:rPr>
        <w:t>：</w:t>
      </w:r>
      <w:r>
        <w:rPr>
          <w:rFonts w:hint="eastAsia" w:ascii="宋体" w:hAnsi="宋体"/>
          <w:color w:val="auto"/>
          <w:sz w:val="24"/>
          <w:highlight w:val="none"/>
        </w:rPr>
        <w:t>______</w:t>
      </w:r>
      <w:r>
        <w:rPr>
          <w:rFonts w:ascii="宋体" w:hAnsi="宋体"/>
          <w:b/>
          <w:color w:val="auto"/>
          <w:sz w:val="32"/>
          <w:highlight w:val="none"/>
        </w:rPr>
        <w:t>年</w:t>
      </w:r>
      <w:r>
        <w:rPr>
          <w:rFonts w:hint="eastAsia" w:ascii="宋体" w:hAnsi="宋体"/>
          <w:color w:val="auto"/>
          <w:sz w:val="24"/>
          <w:highlight w:val="none"/>
        </w:rPr>
        <w:t>______</w:t>
      </w:r>
      <w:r>
        <w:rPr>
          <w:rFonts w:ascii="宋体" w:hAnsi="宋体"/>
          <w:b/>
          <w:color w:val="auto"/>
          <w:sz w:val="32"/>
          <w:highlight w:val="none"/>
        </w:rPr>
        <w:t>月</w:t>
      </w:r>
      <w:r>
        <w:rPr>
          <w:rFonts w:hint="eastAsia" w:ascii="宋体" w:hAnsi="宋体"/>
          <w:color w:val="auto"/>
          <w:sz w:val="24"/>
          <w:highlight w:val="none"/>
        </w:rPr>
        <w:t>______</w:t>
      </w:r>
      <w:r>
        <w:rPr>
          <w:rFonts w:ascii="宋体" w:hAnsi="宋体"/>
          <w:b/>
          <w:color w:val="auto"/>
          <w:sz w:val="32"/>
          <w:highlight w:val="none"/>
        </w:rPr>
        <w:t>日</w:t>
      </w:r>
    </w:p>
    <w:p>
      <w:pPr>
        <w:spacing w:line="360" w:lineRule="auto"/>
        <w:rPr>
          <w:rFonts w:ascii="宋体" w:hAnsi="宋体"/>
          <w:b/>
          <w:color w:val="auto"/>
          <w:sz w:val="32"/>
          <w:szCs w:val="32"/>
          <w:highlight w:val="none"/>
        </w:rPr>
      </w:pPr>
      <w:r>
        <w:rPr>
          <w:rFonts w:ascii="宋体" w:hAnsi="宋体"/>
          <w:b/>
          <w:color w:val="auto"/>
          <w:sz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一、投 标 函</w:t>
      </w:r>
      <w:bookmarkEnd w:id="163"/>
      <w:bookmarkEnd w:id="164"/>
    </w:p>
    <w:p>
      <w:pPr>
        <w:widowControl/>
        <w:spacing w:line="360" w:lineRule="auto"/>
        <w:jc w:val="center"/>
        <w:outlineLvl w:val="1"/>
        <w:rPr>
          <w:rFonts w:ascii="宋体" w:hAnsi="宋体"/>
          <w:b/>
          <w:color w:val="auto"/>
          <w:sz w:val="24"/>
          <w:highlight w:val="none"/>
        </w:rPr>
      </w:pP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rPr>
        <w:t>__________________（采购代理机构名称）：</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我方全面研究了“____________”（项目名称）（项目编号：____________）招标文件，决定参加贵单位组织的本项目投标。我方授权______（姓名、职务）代表我方____________（投标单位的名称）全权处理本项目投标的有关事宜。</w:t>
      </w:r>
    </w:p>
    <w:p>
      <w:pPr>
        <w:widowControl/>
        <w:spacing w:line="360" w:lineRule="auto"/>
        <w:ind w:firstLine="470" w:firstLineChars="196"/>
        <w:jc w:val="left"/>
        <w:outlineLvl w:val="1"/>
        <w:rPr>
          <w:rFonts w:ascii="宋体"/>
          <w:color w:val="auto"/>
          <w:sz w:val="24"/>
          <w:highlight w:val="none"/>
        </w:rPr>
      </w:pPr>
      <w:r>
        <w:rPr>
          <w:rFonts w:hint="eastAsia" w:ascii="宋体" w:hAnsi="宋体"/>
          <w:color w:val="auto"/>
          <w:sz w:val="24"/>
          <w:highlight w:val="none"/>
        </w:rPr>
        <w:t>一、我方自愿按照招标文件规定的各项要求向采购人提供所需</w:t>
      </w:r>
      <w:ins w:id="2" w:author="成都西米/*" w:date="2021-06-24T15:57:07Z">
        <w:r>
          <w:rPr>
            <w:rFonts w:hint="eastAsia" w:ascii="宋体" w:hAnsi="宋体"/>
            <w:b/>
            <w:color w:val="auto"/>
            <w:sz w:val="24"/>
            <w:highlight w:val="none"/>
            <w:u w:val="single"/>
            <w:lang w:val="en-US" w:eastAsia="zh-CN"/>
          </w:rPr>
          <w:t>货物</w:t>
        </w:r>
      </w:ins>
      <w:r>
        <w:rPr>
          <w:rFonts w:hint="eastAsia" w:ascii="宋体" w:hAnsi="宋体"/>
          <w:color w:val="auto"/>
          <w:sz w:val="24"/>
          <w:highlight w:val="none"/>
        </w:rPr>
        <w:t>，总投标价为人民币____________</w:t>
      </w:r>
      <w:r>
        <w:rPr>
          <w:rFonts w:hint="eastAsia" w:ascii="宋体"/>
          <w:color w:val="auto"/>
          <w:sz w:val="24"/>
          <w:highlight w:val="none"/>
        </w:rPr>
        <w:t>元（大写：</w:t>
      </w:r>
      <w:r>
        <w:rPr>
          <w:rFonts w:hint="eastAsia" w:ascii="宋体" w:hAnsi="宋体"/>
          <w:color w:val="auto"/>
          <w:sz w:val="24"/>
          <w:highlight w:val="none"/>
        </w:rPr>
        <w:t>____________</w:t>
      </w:r>
      <w:r>
        <w:rPr>
          <w:rFonts w:hint="eastAsia" w:ascii="宋体"/>
          <w:color w:val="auto"/>
          <w:sz w:val="24"/>
          <w:highlight w:val="none"/>
        </w:rPr>
        <w:t>）。</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二、一旦我方中标，我方将严格履行政府采购合同规定的责任和义务。</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三、我方同意本招标文件依据《四川省政府采购当事人诚信管理办法》（川财采【2015】33号文件）对我方可能存在的失信行为进行的惩戒。</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四、我方为本项目提交的投标文件正本___份，副本___份，电子文档___份，用于开标唱标的“开标一览表”一式___份。</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五、我方同意本次招标的投标有效期为投标截止之日起___天。</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六、我方愿意提供贵单位可能另外要求的，与投标有关的文件资料，并保证我方已提供和将要提供的文件资料是真实、准确的。</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通讯地址：____________。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邮政编码：____________。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联系电话：____________。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传    真：____________。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bookmarkStart w:id="166" w:name="_Toc308164824"/>
      <w:r>
        <w:rPr>
          <w:rFonts w:hint="eastAsia"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二、承诺函（实质性要求）</w:t>
      </w:r>
    </w:p>
    <w:p>
      <w:pPr>
        <w:widowControl/>
        <w:spacing w:line="360" w:lineRule="atLeast"/>
        <w:jc w:val="center"/>
        <w:outlineLvl w:val="1"/>
        <w:rPr>
          <w:rFonts w:ascii="宋体" w:hAnsi="宋体"/>
          <w:b/>
          <w:color w:val="auto"/>
          <w:sz w:val="24"/>
          <w:highlight w:val="none"/>
        </w:rPr>
      </w:pP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______________（采购代理机构名称）：</w:t>
      </w:r>
    </w:p>
    <w:p>
      <w:pPr>
        <w:widowControl/>
        <w:spacing w:line="360" w:lineRule="auto"/>
        <w:ind w:firstLine="480" w:firstLineChars="200"/>
        <w:jc w:val="left"/>
        <w:outlineLvl w:val="1"/>
        <w:rPr>
          <w:rFonts w:ascii="宋体" w:hAnsi="宋体"/>
          <w:color w:val="auto"/>
          <w:sz w:val="24"/>
          <w:highlight w:val="none"/>
        </w:rPr>
      </w:pPr>
      <w:r>
        <w:rPr>
          <w:rFonts w:hint="eastAsia" w:ascii="宋体" w:hAnsi="宋体"/>
          <w:color w:val="auto"/>
          <w:sz w:val="24"/>
          <w:highlight w:val="none"/>
        </w:rPr>
        <w:t>我单位作为本次采购项目的投标人，根据招标文件要求，现郑重承诺如下：</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一、我方已认真阅读并接受本项目招标文件第二章的全部实质性要求，如对招标文件有异议，已依法进行维权救济，不存在对招标文件有异议的同时又参加投标以求侥幸中标或者为实现其他非法目的的行为。</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二、参加本次招标采购活动，不存在与单位负责人为同一人或者存在直接控股、管理关系的其他投标人参与同一合同项下的政府采购活动的行为。</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三、为采购项目提供整体设计、规范编制或者项目管理、监理、检测等服务的投标人，不得再参加该采购项目的其他采购活动，我方承诺不属于此类禁止参加本项目的投标人。</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四、参加本次招标采购活动，不存在和其他投标人在同一合同项下的采购项目中，同时委托同一个自然人、同一家庭的人员、同一单位的人员作为代理人的行为。</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五、如果有《四川省政府采购当事人诚信管理办法》（川财采[2015]33号）规定的记入诚信档案的失信行为，将在投标文件中全面如实反映。</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六、投标文件中提供的能够给予我方带来优惠、好处的任何材料资料和技术、服务、商务、响应产品等响应承诺情况都是真实的、有效的、合法的。</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七、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八、国家或行业主管部门对采购产品的技术标准、质量标准和资格资质条件等有强制性规定的，我方承诺符合其要求。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九、参加本次招标采购活动，我方完全同意招标文件第二章关于“投标费用”、“合同分包”、“合同转包”、“履约保证金”的实质性要求，并承诺严格按照招标文件要求履行。</w:t>
      </w:r>
    </w:p>
    <w:p>
      <w:pPr>
        <w:widowControl/>
        <w:spacing w:line="360" w:lineRule="auto"/>
        <w:ind w:firstLine="480" w:firstLineChars="200"/>
        <w:jc w:val="left"/>
        <w:outlineLvl w:val="1"/>
        <w:rPr>
          <w:rFonts w:ascii="宋体" w:hAnsi="宋体"/>
          <w:color w:val="auto"/>
          <w:sz w:val="24"/>
          <w:highlight w:val="none"/>
        </w:rPr>
      </w:pPr>
      <w:r>
        <w:rPr>
          <w:rFonts w:hint="eastAsia" w:ascii="宋体" w:hAnsi="宋体" w:cs="宋体"/>
          <w:color w:val="auto"/>
          <w:sz w:val="24"/>
          <w:highlight w:val="none"/>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widowControl/>
        <w:spacing w:line="360" w:lineRule="auto"/>
        <w:ind w:firstLine="480" w:firstLineChars="200"/>
        <w:jc w:val="left"/>
        <w:outlineLvl w:val="1"/>
        <w:rPr>
          <w:rFonts w:ascii="宋体" w:hAnsi="宋体"/>
          <w:color w:val="auto"/>
          <w:sz w:val="24"/>
          <w:highlight w:val="none"/>
        </w:rPr>
      </w:pPr>
      <w:r>
        <w:rPr>
          <w:rFonts w:hint="eastAsia" w:ascii="宋体" w:hAnsi="宋体"/>
          <w:color w:val="auto"/>
          <w:sz w:val="24"/>
          <w:highlight w:val="none"/>
        </w:rPr>
        <w:t>本单位对上述承诺的内容事项存在虚假，我单位愿意接受以提供虚假材料谋取中标追究法律责任。</w:t>
      </w:r>
    </w:p>
    <w:p>
      <w:pPr>
        <w:widowControl/>
        <w:spacing w:line="360" w:lineRule="auto"/>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br w:type="page"/>
      </w:r>
      <w:bookmarkEnd w:id="160"/>
      <w:bookmarkEnd w:id="166"/>
    </w:p>
    <w:p>
      <w:pPr>
        <w:spacing w:line="400" w:lineRule="exact"/>
        <w:ind w:firstLine="643" w:firstLineChars="200"/>
        <w:jc w:val="center"/>
        <w:rPr>
          <w:rFonts w:ascii="宋体" w:hAnsi="宋体"/>
          <w:b/>
          <w:color w:val="auto"/>
          <w:sz w:val="32"/>
          <w:szCs w:val="32"/>
          <w:highlight w:val="none"/>
        </w:rPr>
      </w:pPr>
      <w:bookmarkStart w:id="167" w:name="_Toc217446085"/>
      <w:r>
        <w:rPr>
          <w:rFonts w:hint="eastAsia" w:ascii="宋体" w:hAnsi="宋体"/>
          <w:b/>
          <w:color w:val="auto"/>
          <w:sz w:val="32"/>
          <w:szCs w:val="32"/>
          <w:highlight w:val="none"/>
        </w:rPr>
        <w:t>三、开标一览表</w:t>
      </w:r>
      <w:bookmarkEnd w:id="167"/>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7"/>
        <w:tblW w:w="9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354"/>
        <w:gridCol w:w="1386"/>
        <w:gridCol w:w="2036"/>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序号</w:t>
            </w:r>
          </w:p>
        </w:tc>
        <w:tc>
          <w:tcPr>
            <w:tcW w:w="2740" w:type="dxa"/>
            <w:gridSpan w:val="2"/>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项目名称</w:t>
            </w:r>
          </w:p>
        </w:tc>
        <w:tc>
          <w:tcPr>
            <w:tcW w:w="2036"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服务期限</w:t>
            </w:r>
          </w:p>
        </w:tc>
        <w:tc>
          <w:tcPr>
            <w:tcW w:w="3625"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819" w:type="dxa"/>
            <w:vAlign w:val="center"/>
          </w:tcPr>
          <w:p>
            <w:pPr>
              <w:widowControl/>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1</w:t>
            </w:r>
          </w:p>
        </w:tc>
        <w:tc>
          <w:tcPr>
            <w:tcW w:w="2740" w:type="dxa"/>
            <w:gridSpan w:val="2"/>
            <w:vAlign w:val="center"/>
          </w:tcPr>
          <w:p>
            <w:pPr>
              <w:widowControl/>
              <w:spacing w:line="360" w:lineRule="auto"/>
              <w:jc w:val="center"/>
              <w:rPr>
                <w:rFonts w:ascii="宋体" w:hAnsi="宋体" w:cs="宋体"/>
                <w:bCs/>
                <w:color w:val="auto"/>
                <w:kern w:val="0"/>
                <w:sz w:val="24"/>
                <w:highlight w:val="none"/>
              </w:rPr>
            </w:pPr>
          </w:p>
        </w:tc>
        <w:tc>
          <w:tcPr>
            <w:tcW w:w="2036" w:type="dxa"/>
            <w:vAlign w:val="center"/>
          </w:tcPr>
          <w:p>
            <w:pP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签订合同之日起1年</w:t>
            </w:r>
          </w:p>
        </w:tc>
        <w:tc>
          <w:tcPr>
            <w:tcW w:w="3625" w:type="dxa"/>
            <w:vAlign w:val="center"/>
          </w:tcPr>
          <w:p>
            <w:pPr>
              <w:widowControl/>
              <w:spacing w:line="360" w:lineRule="auto"/>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173" w:type="dxa"/>
            <w:gridSpan w:val="2"/>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投标总价</w:t>
            </w:r>
          </w:p>
        </w:tc>
        <w:tc>
          <w:tcPr>
            <w:tcW w:w="7047" w:type="dxa"/>
            <w:gridSpan w:val="3"/>
            <w:vAlign w:val="center"/>
          </w:tcPr>
          <w:p>
            <w:pPr>
              <w:widowControl/>
              <w:spacing w:line="360" w:lineRule="auto"/>
              <w:rPr>
                <w:rFonts w:ascii="宋体" w:hAnsi="宋体" w:cs="宋体"/>
                <w:color w:val="auto"/>
                <w:kern w:val="0"/>
                <w:sz w:val="24"/>
                <w:highlight w:val="none"/>
              </w:rPr>
            </w:pPr>
            <w:r>
              <w:rPr>
                <w:rFonts w:hint="eastAsia" w:ascii="宋体" w:hAnsi="宋体"/>
                <w:b/>
                <w:color w:val="auto"/>
                <w:sz w:val="24"/>
                <w:highlight w:val="none"/>
              </w:rPr>
              <w:t>人民币大写：</w:t>
            </w:r>
            <w:r>
              <w:rPr>
                <w:rFonts w:hint="eastAsia" w:ascii="宋体" w:hAnsi="宋体"/>
                <w:color w:val="auto"/>
                <w:sz w:val="24"/>
                <w:highlight w:val="none"/>
              </w:rPr>
              <w:t>___________</w:t>
            </w:r>
            <w:r>
              <w:rPr>
                <w:rFonts w:hint="eastAsia" w:ascii="宋体" w:hAnsi="宋体"/>
                <w:b/>
                <w:color w:val="auto"/>
                <w:sz w:val="24"/>
                <w:highlight w:val="none"/>
              </w:rPr>
              <w:t>（人民币小写：</w:t>
            </w:r>
            <w:r>
              <w:rPr>
                <w:rFonts w:hint="eastAsia" w:ascii="宋体" w:hAnsi="宋体"/>
                <w:color w:val="auto"/>
                <w:sz w:val="24"/>
                <w:highlight w:val="none"/>
              </w:rPr>
              <w:t>_________</w:t>
            </w:r>
            <w:r>
              <w:rPr>
                <w:rFonts w:hint="eastAsia" w:ascii="宋体" w:hAnsi="宋体"/>
                <w:b/>
                <w:color w:val="auto"/>
                <w:sz w:val="24"/>
                <w:highlight w:val="none"/>
              </w:rPr>
              <w:t>元）</w:t>
            </w:r>
          </w:p>
        </w:tc>
      </w:tr>
    </w:tbl>
    <w:p>
      <w:pPr>
        <w:widowControl/>
        <w:spacing w:line="360" w:lineRule="atLeast"/>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注：1. 报价应是最终用户验收合格后的总价，包括培训、税费和招标文件规定的其它费用。不得漏报，否则视为已包含在投标总价中不再单独另行报价，不影响投标有效性。</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2.“开标一览表”为多页的，每页均需由法定代表人或授权代表签字并盖投标人印章。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pStyle w:val="2"/>
        <w:rPr>
          <w:color w:val="auto"/>
          <w:highlight w:val="none"/>
        </w:rPr>
        <w:sectPr>
          <w:pgSz w:w="11907" w:h="16840"/>
          <w:pgMar w:top="1440" w:right="1474" w:bottom="1440" w:left="1474" w:header="851" w:footer="992" w:gutter="0"/>
          <w:cols w:space="720" w:num="1"/>
          <w:docGrid w:linePitch="312" w:charSpace="0"/>
        </w:sectPr>
      </w:pPr>
    </w:p>
    <w:p>
      <w:pPr>
        <w:widowControl/>
        <w:spacing w:line="360" w:lineRule="atLeast"/>
        <w:jc w:val="center"/>
        <w:outlineLvl w:val="1"/>
        <w:rPr>
          <w:rFonts w:ascii="宋体" w:hAnsi="宋体"/>
          <w:b/>
          <w:color w:val="auto"/>
          <w:sz w:val="32"/>
          <w:szCs w:val="32"/>
          <w:highlight w:val="none"/>
        </w:rPr>
      </w:pPr>
      <w:bookmarkStart w:id="168" w:name="_Toc217446086"/>
      <w:r>
        <w:rPr>
          <w:rFonts w:hint="eastAsia" w:ascii="宋体" w:hAnsi="宋体"/>
          <w:b/>
          <w:color w:val="auto"/>
          <w:sz w:val="32"/>
          <w:szCs w:val="32"/>
          <w:highlight w:val="none"/>
        </w:rPr>
        <w:t>四、分项报价明细表</w:t>
      </w:r>
      <w:bookmarkEnd w:id="168"/>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7"/>
        <w:tblpPr w:leftFromText="180" w:rightFromText="180" w:vertAnchor="text" w:horzAnchor="page" w:tblpX="1167" w:tblpY="478"/>
        <w:tblOverlap w:val="never"/>
        <w:tblW w:w="10212" w:type="dxa"/>
        <w:tblInd w:w="0" w:type="dxa"/>
        <w:tblLayout w:type="fixed"/>
        <w:tblCellMar>
          <w:top w:w="0" w:type="dxa"/>
          <w:left w:w="108" w:type="dxa"/>
          <w:bottom w:w="0" w:type="dxa"/>
          <w:right w:w="108" w:type="dxa"/>
        </w:tblCellMar>
      </w:tblPr>
      <w:tblGrid>
        <w:gridCol w:w="616"/>
        <w:gridCol w:w="1421"/>
        <w:gridCol w:w="1194"/>
        <w:gridCol w:w="949"/>
        <w:gridCol w:w="616"/>
        <w:gridCol w:w="787"/>
        <w:gridCol w:w="616"/>
        <w:gridCol w:w="1177"/>
        <w:gridCol w:w="1178"/>
        <w:gridCol w:w="1658"/>
      </w:tblGrid>
      <w:tr>
        <w:tblPrEx>
          <w:tblCellMar>
            <w:top w:w="0" w:type="dxa"/>
            <w:left w:w="108" w:type="dxa"/>
            <w:bottom w:w="0" w:type="dxa"/>
            <w:right w:w="108" w:type="dxa"/>
          </w:tblCellMar>
        </w:tblPrEx>
        <w:trPr>
          <w:trHeight w:val="900" w:hRule="atLeast"/>
        </w:trPr>
        <w:tc>
          <w:tcPr>
            <w:tcW w:w="10212" w:type="dxa"/>
            <w:gridSpan w:val="10"/>
            <w:tcBorders>
              <w:top w:val="nil"/>
              <w:left w:val="nil"/>
              <w:bottom w:val="nil"/>
              <w:right w:val="nil"/>
            </w:tcBorders>
            <w:shd w:val="clear" w:color="auto" w:fill="auto"/>
            <w:vAlign w:val="center"/>
          </w:tcPr>
          <w:p>
            <w:pPr>
              <w:widowControl/>
              <w:jc w:val="center"/>
              <w:textAlignment w:val="center"/>
              <w:rPr>
                <w:rFonts w:ascii="宋体" w:hAnsi="宋体" w:cs="宋体"/>
                <w:color w:val="auto"/>
                <w:sz w:val="32"/>
                <w:szCs w:val="32"/>
                <w:highlight w:val="none"/>
              </w:rPr>
            </w:pPr>
            <w:r>
              <w:rPr>
                <w:rFonts w:hint="eastAsia" w:ascii="宋体" w:hAnsi="宋体" w:cs="宋体"/>
                <w:color w:val="auto"/>
                <w:kern w:val="0"/>
                <w:sz w:val="32"/>
                <w:szCs w:val="32"/>
                <w:highlight w:val="none"/>
                <w:lang w:bidi="ar"/>
              </w:rPr>
              <w:t>爱成都、迎大运-花重锦官城（二环路刃具立交桥区品质提升）材料清单</w:t>
            </w:r>
          </w:p>
        </w:tc>
      </w:tr>
      <w:tr>
        <w:tblPrEx>
          <w:tblCellMar>
            <w:top w:w="0" w:type="dxa"/>
            <w:left w:w="108" w:type="dxa"/>
            <w:bottom w:w="0" w:type="dxa"/>
            <w:right w:w="108" w:type="dxa"/>
          </w:tblCellMar>
        </w:tblPrEx>
        <w:trPr>
          <w:trHeight w:val="56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序号</w:t>
            </w:r>
          </w:p>
        </w:tc>
        <w:tc>
          <w:tcPr>
            <w:tcW w:w="14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名称</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规格</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密度</w:t>
            </w: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数量</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单位</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单价</w:t>
            </w:r>
            <w:r>
              <w:rPr>
                <w:rFonts w:hint="eastAsia" w:ascii="宋体" w:hAnsi="宋体" w:cs="宋体"/>
                <w:color w:val="auto"/>
                <w:kern w:val="0"/>
                <w:sz w:val="20"/>
                <w:szCs w:val="20"/>
                <w:highlight w:val="none"/>
                <w:lang w:val="en-US" w:eastAsia="zh-CN" w:bidi="ar"/>
              </w:rPr>
              <w:t>报价</w:t>
            </w:r>
            <w:r>
              <w:rPr>
                <w:rFonts w:hint="eastAsia" w:ascii="宋体" w:hAnsi="宋体" w:cs="宋体"/>
                <w:color w:val="auto"/>
                <w:kern w:val="0"/>
                <w:sz w:val="20"/>
                <w:szCs w:val="20"/>
                <w:highlight w:val="none"/>
                <w:lang w:bidi="ar"/>
              </w:rPr>
              <w:t>（元）</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合价</w:t>
            </w:r>
            <w:r>
              <w:rPr>
                <w:rFonts w:hint="eastAsia" w:ascii="宋体" w:hAnsi="宋体" w:cs="宋体"/>
                <w:color w:val="auto"/>
                <w:kern w:val="0"/>
                <w:sz w:val="20"/>
                <w:szCs w:val="20"/>
                <w:highlight w:val="none"/>
                <w:lang w:val="en-US" w:eastAsia="zh-CN" w:bidi="ar"/>
              </w:rPr>
              <w:t>报价</w:t>
            </w:r>
            <w:r>
              <w:rPr>
                <w:rFonts w:hint="eastAsia" w:ascii="宋体" w:hAnsi="宋体" w:cs="宋体"/>
                <w:color w:val="auto"/>
                <w:kern w:val="0"/>
                <w:sz w:val="20"/>
                <w:szCs w:val="20"/>
                <w:highlight w:val="none"/>
                <w:lang w:bidi="ar"/>
              </w:rPr>
              <w:t>（元）</w:t>
            </w:r>
          </w:p>
        </w:tc>
        <w:tc>
          <w:tcPr>
            <w:tcW w:w="1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备注</w:t>
            </w:r>
          </w:p>
        </w:tc>
      </w:tr>
      <w:tr>
        <w:tblPrEx>
          <w:tblCellMar>
            <w:top w:w="0" w:type="dxa"/>
            <w:left w:w="108" w:type="dxa"/>
            <w:bottom w:w="0" w:type="dxa"/>
            <w:right w:w="108" w:type="dxa"/>
          </w:tblCellMar>
        </w:tblPrEx>
        <w:trPr>
          <w:trHeight w:val="56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1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高度</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冠幅</w:t>
            </w: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H100千年木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H100澳洲朱蕉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H100鹤望兰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H120龙血树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H120鹤望兰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容器苗，每盆5苗以上，冠形饱满，长势佳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H120春羽</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H120塔柏</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假植苗，冠形饱满，长势佳，无断头，不亮脚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H120千年木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H120丛生海芋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H150龙血树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H150细叶棕竹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容器苗，10苗以上，冠形饱满，长势佳，不脱脚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H150春羽</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H150塔柏</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假植苗，冠形饱满，长势佳，无断头，不亮脚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H150丛生海芋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H180细叶棕竹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150-180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丛生假植苗，15苗以上，冠形饱满，长势佳，不脱脚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H40金边一叶兰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容器苗，15苗以上，冠形饱满，长势佳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H50金边一叶兰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容器苗，20苗以上，冠形饱满，长势佳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H50狐尾天门冬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容器苗，15苗以上，冠形饱满，长势佳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H60金边一叶兰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容器苗，20苗以上，冠形饱满，长势佳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H60狐尾天门冬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容器苗，20苗以上，冠形饱满，长势佳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H70金心也门铁</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H80金心也门铁</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P100银姬小蜡球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90-100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P100龟甲冬青球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90-100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P120龟甲冬青球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P120海桐球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P150海桐球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P80银姬小蜡球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80-90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H120澳洲朱蕉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佛甲草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15228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无尽夏绣球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2979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墨西哥飞蓬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1382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花烟草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328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白美人狼尾草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475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墨西哥鼠尾草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765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百子莲</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1900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2加仑，10分蘖以上/株；满铺</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肾蕨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9913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矾根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715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紫穗狼尾草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80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假篙</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313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鼠尾草（超级一串红）</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823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紫娇花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519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晨光芒</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373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紫叶千鸟花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394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薄雪万年草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5-10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4423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红叶朱蕉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702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30双色红盆，无病虫害，密植不露土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富贵蕨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198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鸟巢蕨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584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苹果竹芋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303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20红盆，容器苗，叶茂密，长势佳，密植不见土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细叶芒</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192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紫叶酢浆草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2460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花叶玉簪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363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15双色杯，无枯黄枝叶、无杂草、每盆保证百分之95的新绿叶。2年生以上盆苗</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西伯利亚鸢尾</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2641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15杯盆苗，紧密种植，以不见土为宜</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火星花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490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15黑杯，容器苗，叶茂密，长势佳，密植不见土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春羽</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55-60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15黑杯，袋苗，叶片&gt;5张，枝叶茂密，密植不见土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金叶石菖蒲</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4608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13黑杯，容器苗，枝叶茂密，密植不见土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紫萼玉簪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354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大吴风草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530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15黑杯，容器苗，叶茂密，长势佳，密植不见土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冷水花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240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金边阔叶麦冬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693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竹芋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30红盆，容器苗，叶茂密，长势佳，密植不见土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熊猫堇</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3308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花叶蒲苇</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21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35美植袋，容器苗，叶茂密，长势佳，密植不见土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常绿萱草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832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地苗，无病虫害，枝叶茂密，密植不露土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虎耳草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279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凤凰绿苔草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490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蓝鸟鼠尾草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451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八角金盘</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18杯，袋苗，枝叶茂密，不脱脚，密植不见土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灯芯草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288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大父玉簪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26杯，容器苗，叶茂密，长势佳，密植不见土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狐尾天门冬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93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26杯，无病虫害，密植不露土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玉龙草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1500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12斤/m</w:t>
            </w:r>
            <w:r>
              <w:rPr>
                <w:rStyle w:val="65"/>
                <w:rFonts w:hint="default"/>
                <w:color w:val="auto"/>
                <w:highlight w:val="none"/>
                <w:lang w:bidi="ar"/>
              </w:rPr>
              <w:t>2</w:t>
            </w:r>
            <w:r>
              <w:rPr>
                <w:rStyle w:val="66"/>
                <w:rFonts w:hint="default"/>
                <w:color w:val="auto"/>
                <w:highlight w:val="none"/>
                <w:lang w:bidi="ar"/>
              </w:rPr>
              <w:t>,裸根不带土，无病虫害，密植不露土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麦冬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4945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8斤/m</w:t>
            </w:r>
            <w:r>
              <w:rPr>
                <w:rStyle w:val="65"/>
                <w:rFonts w:hint="default"/>
                <w:color w:val="auto"/>
                <w:highlight w:val="none"/>
                <w:lang w:bidi="ar"/>
              </w:rPr>
              <w:t>2</w:t>
            </w:r>
            <w:r>
              <w:rPr>
                <w:rStyle w:val="66"/>
                <w:rFonts w:hint="default"/>
                <w:color w:val="auto"/>
                <w:highlight w:val="none"/>
                <w:lang w:bidi="ar"/>
              </w:rPr>
              <w:t>,裸根不带土，无病虫害，密植不露土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翠云草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7362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15双色杯，满铺，紧密种植，以不见土为宜</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轻质覆盖物</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223.1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Style w:val="66"/>
                <w:rFonts w:hint="default"/>
                <w:color w:val="auto"/>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松树皮（片径10-20mm，红棕色，散铺100mm厚）满铺，以不见土为宜</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连砂石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303.92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color w:val="auto"/>
                <w:sz w:val="20"/>
                <w:szCs w:val="20"/>
                <w:highlight w:val="none"/>
                <w:lang w:val="en-US" w:eastAsia="zh-CN"/>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天然砂</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17.89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浅灰色透水混凝土 C20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59.71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t</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商品混凝土 C20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25.05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干混地面砂浆 M15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103.37</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t</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600x150x50厚烧面芝麻灰花岗石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252.96</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商品细石混凝土 C15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10.75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600*150*200mm厚烧面芝麻灰花岗石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粗砂</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37.64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土工布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686.96</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按采购人要求的时间送到指定位置</w:t>
            </w:r>
          </w:p>
        </w:tc>
      </w:tr>
      <w:tr>
        <w:tblPrEx>
          <w:tblCellMar>
            <w:top w:w="0" w:type="dxa"/>
            <w:left w:w="108" w:type="dxa"/>
            <w:bottom w:w="0" w:type="dxa"/>
            <w:right w:w="108" w:type="dxa"/>
          </w:tblCellMar>
        </w:tblPrEx>
        <w:trPr>
          <w:trHeight w:val="10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成品LED发光秋千(包安装及运输费用)</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规格：进口聚乙烯,太阳能   1400*400*1040mm</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color w:val="auto"/>
                <w:sz w:val="20"/>
                <w:szCs w:val="20"/>
                <w:highlight w:val="none"/>
                <w:lang w:val="en-US" w:eastAsia="zh-CN"/>
              </w:rPr>
            </w:pPr>
            <w:r>
              <w:rPr>
                <w:rFonts w:hint="eastAsia" w:ascii="等线" w:hAnsi="等线" w:eastAsia="等线" w:cs="等线"/>
                <w:color w:val="auto"/>
                <w:sz w:val="20"/>
                <w:szCs w:val="20"/>
                <w:highlight w:val="none"/>
                <w:lang w:val="en-US" w:eastAsia="zh-CN"/>
              </w:rPr>
              <w:t>具体尺寸详见施工图</w:t>
            </w:r>
          </w:p>
        </w:tc>
      </w:tr>
      <w:tr>
        <w:tblPrEx>
          <w:tblCellMar>
            <w:top w:w="0" w:type="dxa"/>
            <w:left w:w="108" w:type="dxa"/>
            <w:bottom w:w="0" w:type="dxa"/>
            <w:right w:w="108" w:type="dxa"/>
          </w:tblCellMar>
        </w:tblPrEx>
        <w:trPr>
          <w:trHeight w:val="10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成品玻璃坐凳(包安装及运输费用)</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规格：玻璃钢+竹木      1500X500X450mm</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具体尺寸详见施工图</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10-15mm浅灰砾石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11.09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t</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强透水混凝土 C20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86.96</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304哑光面银色不锈钢板 1.5mm</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53.05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szCs w:val="22"/>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270" w:hRule="atLeast"/>
        </w:trPr>
        <w:tc>
          <w:tcPr>
            <w:tcW w:w="737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kern w:val="0"/>
                <w:sz w:val="22"/>
                <w:szCs w:val="22"/>
                <w:highlight w:val="none"/>
                <w:lang w:val="en-US" w:eastAsia="zh-CN" w:bidi="ar"/>
              </w:rPr>
            </w:pPr>
          </w:p>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val="en-US" w:eastAsia="zh-CN" w:bidi="ar"/>
              </w:rPr>
              <w:t>总</w:t>
            </w:r>
            <w:r>
              <w:rPr>
                <w:rFonts w:hint="eastAsia" w:ascii="宋体" w:hAnsi="宋体" w:cs="宋体"/>
                <w:color w:val="auto"/>
                <w:kern w:val="0"/>
                <w:sz w:val="22"/>
                <w:szCs w:val="22"/>
                <w:highlight w:val="none"/>
                <w:lang w:bidi="ar"/>
              </w:rPr>
              <w:t>计</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szCs w:val="22"/>
                <w:highlight w:val="none"/>
              </w:rPr>
            </w:pPr>
          </w:p>
        </w:tc>
      </w:tr>
    </w:tbl>
    <w:p>
      <w:pPr>
        <w:spacing w:line="520" w:lineRule="exact"/>
        <w:rPr>
          <w:rFonts w:ascii="宋体" w:hAnsi="宋体"/>
          <w:color w:val="auto"/>
          <w:sz w:val="24"/>
          <w:highlight w:val="none"/>
        </w:rPr>
      </w:pPr>
      <w:r>
        <w:rPr>
          <w:rFonts w:hint="eastAsia" w:ascii="宋体" w:hAnsi="宋体"/>
          <w:color w:val="auto"/>
          <w:sz w:val="24"/>
          <w:highlight w:val="none"/>
        </w:rPr>
        <w:t>注：</w:t>
      </w:r>
    </w:p>
    <w:p>
      <w:pPr>
        <w:spacing w:line="520" w:lineRule="exact"/>
        <w:ind w:left="1319" w:leftChars="228" w:hanging="840" w:hangingChars="350"/>
        <w:rPr>
          <w:rFonts w:ascii="宋体" w:hAnsi="宋体"/>
          <w:color w:val="auto"/>
          <w:sz w:val="24"/>
          <w:highlight w:val="none"/>
        </w:rPr>
      </w:pPr>
      <w:r>
        <w:rPr>
          <w:rFonts w:hint="eastAsia" w:ascii="宋体" w:hAnsi="宋体"/>
          <w:color w:val="auto"/>
          <w:sz w:val="24"/>
          <w:highlight w:val="none"/>
        </w:rPr>
        <w:t>1.以上表格格式行可增减。</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color w:val="auto"/>
          <w:highlight w:val="none"/>
        </w:rPr>
        <w:t xml:space="preserve"> </w:t>
      </w:r>
      <w:r>
        <w:rPr>
          <w:rFonts w:hint="eastAsia" w:ascii="宋体" w:hAnsi="宋体"/>
          <w:color w:val="auto"/>
          <w:sz w:val="24"/>
          <w:highlight w:val="none"/>
        </w:rPr>
        <w:t>投标人必须按“分项报价明细表”的格式详细报出投标总价的各个组成部分的报价。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3.“分项报价明细表”</w:t>
      </w:r>
      <w:r>
        <w:rPr>
          <w:rFonts w:hint="eastAsia" w:ascii="宋体"/>
          <w:color w:val="auto"/>
          <w:sz w:val="24"/>
          <w:highlight w:val="none"/>
        </w:rPr>
        <w:t xml:space="preserve"> 各分项报价</w:t>
      </w:r>
      <w:r>
        <w:rPr>
          <w:rFonts w:hint="eastAsia" w:ascii="宋体" w:hAnsi="宋体"/>
          <w:color w:val="auto"/>
          <w:sz w:val="24"/>
          <w:highlight w:val="none"/>
        </w:rPr>
        <w:t>合计应当与“开标一览表”的报价合计相等。</w:t>
      </w:r>
    </w:p>
    <w:p>
      <w:pPr>
        <w:pStyle w:val="2"/>
        <w:rPr>
          <w:color w:val="auto"/>
          <w:highlight w:val="none"/>
        </w:rPr>
      </w:pPr>
    </w:p>
    <w:p>
      <w:pPr>
        <w:pStyle w:val="2"/>
        <w:rPr>
          <w:color w:val="auto"/>
          <w:highlight w:val="none"/>
        </w:rPr>
      </w:pPr>
    </w:p>
    <w:p>
      <w:pPr>
        <w:widowControl/>
        <w:spacing w:line="360" w:lineRule="atLeast"/>
        <w:ind w:firstLine="470" w:firstLineChars="196"/>
        <w:jc w:val="left"/>
        <w:outlineLvl w:val="1"/>
        <w:rPr>
          <w:rFonts w:ascii="宋体" w:hAnsi="宋体"/>
          <w:color w:val="auto"/>
          <w:sz w:val="24"/>
          <w:highlight w:val="none"/>
        </w:rPr>
      </w:pPr>
      <w:bookmarkStart w:id="169" w:name="_Toc217446087"/>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widowControl/>
        <w:spacing w:line="360" w:lineRule="atLeast"/>
        <w:ind w:firstLine="470" w:firstLineChars="196"/>
        <w:jc w:val="left"/>
        <w:outlineLvl w:val="1"/>
        <w:rPr>
          <w:rFonts w:ascii="宋体" w:hAnsi="宋体"/>
          <w:b/>
          <w:color w:val="auto"/>
          <w:sz w:val="32"/>
          <w:szCs w:val="32"/>
          <w:highlight w:val="none"/>
        </w:rPr>
      </w:pPr>
      <w:r>
        <w:rPr>
          <w:rFonts w:hint="eastAsia" w:ascii="宋体" w:hAnsi="宋体"/>
          <w:color w:val="auto"/>
          <w:sz w:val="24"/>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五、商务应答表</w:t>
      </w:r>
      <w:bookmarkEnd w:id="169"/>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7"/>
        <w:tblW w:w="89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728"/>
        <w:gridCol w:w="2683"/>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70"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序号</w:t>
            </w:r>
          </w:p>
        </w:tc>
        <w:tc>
          <w:tcPr>
            <w:tcW w:w="2728"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招标要求</w:t>
            </w:r>
          </w:p>
        </w:tc>
        <w:tc>
          <w:tcPr>
            <w:tcW w:w="2683"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投标应答</w:t>
            </w:r>
          </w:p>
        </w:tc>
        <w:tc>
          <w:tcPr>
            <w:tcW w:w="2237"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728"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68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237"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728"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68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237"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728"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68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237"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270"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w:t>
            </w:r>
          </w:p>
        </w:tc>
        <w:tc>
          <w:tcPr>
            <w:tcW w:w="2728"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68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2237" w:type="dxa"/>
            <w:vAlign w:val="center"/>
          </w:tcPr>
          <w:p>
            <w:pPr>
              <w:widowControl/>
              <w:spacing w:line="360" w:lineRule="atLeast"/>
              <w:ind w:firstLine="470" w:firstLineChars="196"/>
              <w:jc w:val="left"/>
              <w:outlineLvl w:val="1"/>
              <w:rPr>
                <w:rFonts w:ascii="宋体" w:hAnsi="宋体"/>
                <w:color w:val="auto"/>
                <w:sz w:val="24"/>
                <w:highlight w:val="none"/>
              </w:rPr>
            </w:pPr>
          </w:p>
        </w:tc>
      </w:tr>
    </w:tbl>
    <w:p>
      <w:pPr>
        <w:spacing w:line="400" w:lineRule="exact"/>
        <w:rPr>
          <w:rFonts w:ascii="宋体" w:hAnsi="宋体"/>
          <w:bCs/>
          <w:color w:val="auto"/>
          <w:sz w:val="24"/>
          <w:highlight w:val="none"/>
        </w:rPr>
      </w:pPr>
      <w:r>
        <w:rPr>
          <w:rFonts w:hint="eastAsia" w:ascii="宋体" w:hAnsi="宋体"/>
          <w:color w:val="auto"/>
          <w:sz w:val="24"/>
          <w:highlight w:val="none"/>
        </w:rPr>
        <w:t>注：</w:t>
      </w:r>
      <w:r>
        <w:rPr>
          <w:rFonts w:hint="eastAsia" w:ascii="宋体" w:hAnsi="宋体"/>
          <w:bCs/>
          <w:color w:val="auto"/>
          <w:sz w:val="24"/>
          <w:highlight w:val="none"/>
        </w:rPr>
        <w:t>1、本表只填写投标文件中与招标文件有偏离（包括正偏离和负偏离）的内容，若投标文件中商务响应与招标文件要求完全一致的，则无须在此表中应答，视为默认完全响应和接受招标文件相应商务要求，投标人不得以未作应答而拒不接受。</w:t>
      </w:r>
    </w:p>
    <w:p>
      <w:pPr>
        <w:widowControl/>
        <w:spacing w:line="360" w:lineRule="atLeast"/>
        <w:ind w:firstLine="470" w:firstLineChars="196"/>
        <w:jc w:val="left"/>
        <w:outlineLvl w:val="1"/>
        <w:rPr>
          <w:rFonts w:ascii="宋体" w:hAnsi="宋体"/>
          <w:color w:val="auto"/>
          <w:sz w:val="24"/>
          <w:highlight w:val="none"/>
        </w:rPr>
      </w:pPr>
      <w:bookmarkStart w:id="170" w:name="_Toc485222414"/>
      <w:bookmarkStart w:id="171" w:name="_Toc21274"/>
      <w:bookmarkStart w:id="172" w:name="_Toc2935"/>
      <w:r>
        <w:rPr>
          <w:rFonts w:hint="eastAsia" w:ascii="宋体" w:hAnsi="宋体"/>
          <w:bCs/>
          <w:color w:val="auto"/>
          <w:sz w:val="24"/>
          <w:highlight w:val="none"/>
        </w:rPr>
        <w:t>2、投标人必须据实填写，不得虚假响应，否则将取消其投标或中标资格，并按有关规定进行处罚。</w:t>
      </w:r>
      <w:bookmarkEnd w:id="170"/>
      <w:bookmarkEnd w:id="171"/>
      <w:bookmarkEnd w:id="172"/>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r>
        <w:rPr>
          <w:rFonts w:hint="eastAsia" w:ascii="宋体" w:hAnsi="宋体"/>
          <w:color w:val="auto"/>
          <w:sz w:val="24"/>
          <w:highlight w:val="none"/>
        </w:rPr>
        <w:br w:type="page"/>
      </w:r>
    </w:p>
    <w:p>
      <w:pPr>
        <w:widowControl/>
        <w:jc w:val="center"/>
        <w:rPr>
          <w:rFonts w:ascii="宋体" w:hAnsi="宋体"/>
          <w:b/>
          <w:color w:val="auto"/>
          <w:sz w:val="32"/>
          <w:szCs w:val="32"/>
          <w:highlight w:val="none"/>
        </w:rPr>
      </w:pPr>
      <w:r>
        <w:rPr>
          <w:rFonts w:hint="eastAsia" w:ascii="宋体" w:hAnsi="宋体"/>
          <w:b/>
          <w:color w:val="auto"/>
          <w:sz w:val="32"/>
          <w:szCs w:val="32"/>
          <w:highlight w:val="none"/>
        </w:rPr>
        <w:t>六、</w:t>
      </w:r>
      <w:bookmarkStart w:id="173" w:name="_Toc217446088"/>
      <w:r>
        <w:rPr>
          <w:rFonts w:hint="eastAsia" w:ascii="宋体" w:hAnsi="宋体"/>
          <w:b/>
          <w:color w:val="auto"/>
          <w:sz w:val="32"/>
          <w:szCs w:val="32"/>
          <w:highlight w:val="none"/>
        </w:rPr>
        <w:t>投标人基本情况表</w:t>
      </w:r>
      <w:bookmarkEnd w:id="173"/>
    </w:p>
    <w:tbl>
      <w:tblPr>
        <w:tblStyle w:val="27"/>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投标人名称</w:t>
            </w:r>
          </w:p>
        </w:tc>
        <w:tc>
          <w:tcPr>
            <w:tcW w:w="6693" w:type="dxa"/>
            <w:gridSpan w:val="7"/>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注册地址</w:t>
            </w:r>
          </w:p>
        </w:tc>
        <w:tc>
          <w:tcPr>
            <w:tcW w:w="3443"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邮政编码</w:t>
            </w:r>
          </w:p>
        </w:tc>
        <w:tc>
          <w:tcPr>
            <w:tcW w:w="1930"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联系方式</w:t>
            </w:r>
          </w:p>
        </w:tc>
        <w:tc>
          <w:tcPr>
            <w:tcW w:w="95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联系人</w:t>
            </w:r>
          </w:p>
        </w:tc>
        <w:tc>
          <w:tcPr>
            <w:tcW w:w="248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电话</w:t>
            </w:r>
          </w:p>
        </w:tc>
        <w:tc>
          <w:tcPr>
            <w:tcW w:w="1930"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ascii="宋体" w:hAnsi="宋体"/>
                <w:color w:val="auto"/>
                <w:highlight w:val="none"/>
              </w:rPr>
            </w:pPr>
          </w:p>
        </w:tc>
        <w:tc>
          <w:tcPr>
            <w:tcW w:w="95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传真</w:t>
            </w:r>
          </w:p>
        </w:tc>
        <w:tc>
          <w:tcPr>
            <w:tcW w:w="248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网址</w:t>
            </w:r>
          </w:p>
        </w:tc>
        <w:tc>
          <w:tcPr>
            <w:tcW w:w="1930" w:type="dxa"/>
            <w:gridSpan w:val="3"/>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组织结构</w:t>
            </w:r>
          </w:p>
        </w:tc>
        <w:tc>
          <w:tcPr>
            <w:tcW w:w="6693" w:type="dxa"/>
            <w:gridSpan w:val="7"/>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法定代表人</w:t>
            </w:r>
          </w:p>
        </w:tc>
        <w:tc>
          <w:tcPr>
            <w:tcW w:w="95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23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技术职称</w:t>
            </w: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850"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电话</w:t>
            </w:r>
          </w:p>
        </w:tc>
        <w:tc>
          <w:tcPr>
            <w:tcW w:w="1080"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技术负责人</w:t>
            </w:r>
          </w:p>
        </w:tc>
        <w:tc>
          <w:tcPr>
            <w:tcW w:w="95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23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技术职称</w:t>
            </w:r>
          </w:p>
        </w:tc>
        <w:tc>
          <w:tcPr>
            <w:tcW w:w="1320"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850"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电话</w:t>
            </w:r>
          </w:p>
        </w:tc>
        <w:tc>
          <w:tcPr>
            <w:tcW w:w="1080" w:type="dxa"/>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成立时间</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4497" w:type="dxa"/>
            <w:gridSpan w:val="5"/>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企业资质等级</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restart"/>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其中</w:t>
            </w:r>
          </w:p>
        </w:tc>
        <w:tc>
          <w:tcPr>
            <w:tcW w:w="1478"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项目经理</w:t>
            </w:r>
          </w:p>
        </w:tc>
        <w:tc>
          <w:tcPr>
            <w:tcW w:w="177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营业执照号</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478"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高级职称人员</w:t>
            </w:r>
          </w:p>
        </w:tc>
        <w:tc>
          <w:tcPr>
            <w:tcW w:w="177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注册资金</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478"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中级职称人员</w:t>
            </w:r>
          </w:p>
        </w:tc>
        <w:tc>
          <w:tcPr>
            <w:tcW w:w="177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开户银行</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478" w:type="dxa"/>
            <w:gridSpan w:val="2"/>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初级职称人员</w:t>
            </w:r>
          </w:p>
        </w:tc>
        <w:tc>
          <w:tcPr>
            <w:tcW w:w="177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账号</w:t>
            </w:r>
          </w:p>
        </w:tc>
        <w:tc>
          <w:tcPr>
            <w:tcW w:w="2196"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rPr>
                <w:rFonts w:ascii="宋体" w:hAnsi="宋体"/>
                <w:color w:val="auto"/>
                <w:highlight w:val="none"/>
              </w:rPr>
            </w:pPr>
          </w:p>
        </w:tc>
        <w:tc>
          <w:tcPr>
            <w:tcW w:w="1478" w:type="dxa"/>
            <w:gridSpan w:val="2"/>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技工</w:t>
            </w:r>
          </w:p>
        </w:tc>
        <w:tc>
          <w:tcPr>
            <w:tcW w:w="1772" w:type="dxa"/>
            <w:gridSpan w:val="2"/>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经营范围</w:t>
            </w:r>
          </w:p>
        </w:tc>
        <w:tc>
          <w:tcPr>
            <w:tcW w:w="6693" w:type="dxa"/>
            <w:gridSpan w:val="7"/>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备注</w:t>
            </w:r>
          </w:p>
        </w:tc>
        <w:tc>
          <w:tcPr>
            <w:tcW w:w="6693" w:type="dxa"/>
            <w:gridSpan w:val="7"/>
          </w:tcPr>
          <w:p>
            <w:pPr>
              <w:widowControl/>
              <w:spacing w:line="360" w:lineRule="atLeast"/>
              <w:ind w:firstLine="470" w:firstLineChars="196"/>
              <w:jc w:val="left"/>
              <w:outlineLvl w:val="1"/>
              <w:rPr>
                <w:rFonts w:ascii="宋体" w:hAnsi="宋体"/>
                <w:color w:val="auto"/>
                <w:sz w:val="24"/>
                <w:highlight w:val="none"/>
              </w:rPr>
            </w:pPr>
          </w:p>
        </w:tc>
      </w:tr>
    </w:tbl>
    <w:p>
      <w:pPr>
        <w:widowControl/>
        <w:spacing w:line="360" w:lineRule="atLeast"/>
        <w:ind w:firstLine="470" w:firstLineChars="196"/>
        <w:jc w:val="left"/>
        <w:outlineLvl w:val="1"/>
        <w:rPr>
          <w:rFonts w:ascii="宋体" w:hAnsi="宋体"/>
          <w:color w:val="auto"/>
          <w:sz w:val="24"/>
          <w:highlight w:val="none"/>
        </w:rPr>
      </w:pPr>
      <w:bookmarkStart w:id="174" w:name="_Toc217446089"/>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r>
        <w:rPr>
          <w:rFonts w:hint="eastAsia" w:ascii="宋体" w:hAnsi="宋体"/>
          <w:b/>
          <w:color w:val="auto"/>
          <w:sz w:val="36"/>
          <w:szCs w:val="36"/>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七、类似项目业绩一览表</w:t>
      </w:r>
      <w:bookmarkEnd w:id="174"/>
    </w:p>
    <w:p>
      <w:pPr>
        <w:widowControl/>
        <w:spacing w:line="360" w:lineRule="atLeast"/>
        <w:ind w:firstLine="472" w:firstLineChars="196"/>
        <w:jc w:val="left"/>
        <w:outlineLvl w:val="1"/>
        <w:rPr>
          <w:rFonts w:ascii="宋体" w:hAnsi="宋体"/>
          <w:b/>
          <w:color w:val="auto"/>
          <w:sz w:val="24"/>
          <w:highlight w:val="none"/>
        </w:rPr>
      </w:pPr>
    </w:p>
    <w:tbl>
      <w:tblPr>
        <w:tblStyle w:val="27"/>
        <w:tblW w:w="90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59"/>
        <w:gridCol w:w="1919"/>
        <w:gridCol w:w="1759"/>
        <w:gridCol w:w="1547"/>
        <w:gridCol w:w="1553"/>
        <w:gridCol w:w="13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10" w:hRule="atLeast"/>
          <w:jc w:val="center"/>
        </w:trPr>
        <w:tc>
          <w:tcPr>
            <w:tcW w:w="959" w:type="dxa"/>
            <w:tcBorders>
              <w:top w:val="single" w:color="auto" w:sz="4" w:space="0"/>
            </w:tcBorders>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年份</w:t>
            </w:r>
          </w:p>
        </w:tc>
        <w:tc>
          <w:tcPr>
            <w:tcW w:w="1919"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用户名称</w:t>
            </w:r>
          </w:p>
        </w:tc>
        <w:tc>
          <w:tcPr>
            <w:tcW w:w="1759"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项目名称</w:t>
            </w:r>
          </w:p>
        </w:tc>
        <w:tc>
          <w:tcPr>
            <w:tcW w:w="1547"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完成时间</w:t>
            </w:r>
          </w:p>
        </w:tc>
        <w:tc>
          <w:tcPr>
            <w:tcW w:w="1553"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合同金额</w:t>
            </w:r>
          </w:p>
        </w:tc>
        <w:tc>
          <w:tcPr>
            <w:tcW w:w="1322" w:type="dxa"/>
            <w:tcBorders>
              <w:left w:val="single" w:color="auto" w:sz="4" w:space="0"/>
            </w:tcBorders>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tcBorders>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9" w:hRule="atLeast"/>
          <w:jc w:val="center"/>
        </w:trPr>
        <w:tc>
          <w:tcPr>
            <w:tcW w:w="959" w:type="dxa"/>
            <w:tcBorders>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5"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5"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7"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42" w:hRule="atLeast"/>
          <w:jc w:val="center"/>
        </w:trPr>
        <w:tc>
          <w:tcPr>
            <w:tcW w:w="959" w:type="dxa"/>
            <w:tcBorders>
              <w:top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919" w:type="dxa"/>
            <w:tcBorders>
              <w:top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759" w:type="dxa"/>
            <w:tcBorders>
              <w:top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47" w:type="dxa"/>
            <w:tcBorders>
              <w:top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553" w:type="dxa"/>
            <w:tcBorders>
              <w:top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c>
          <w:tcPr>
            <w:tcW w:w="1322" w:type="dxa"/>
            <w:tcBorders>
              <w:top w:val="single" w:color="auto" w:sz="4" w:space="0"/>
              <w:left w:val="single" w:color="auto" w:sz="4" w:space="0"/>
            </w:tcBorders>
            <w:vAlign w:val="center"/>
          </w:tcPr>
          <w:p>
            <w:pPr>
              <w:widowControl/>
              <w:spacing w:line="360" w:lineRule="atLeast"/>
              <w:ind w:firstLine="470" w:firstLineChars="196"/>
              <w:jc w:val="left"/>
              <w:outlineLvl w:val="1"/>
              <w:rPr>
                <w:rFonts w:ascii="宋体" w:hAnsi="宋体"/>
                <w:color w:val="auto"/>
                <w:sz w:val="24"/>
                <w:highlight w:val="none"/>
              </w:rPr>
            </w:pPr>
          </w:p>
        </w:tc>
      </w:tr>
    </w:tbl>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注：以上业绩需提供招标文件要求的有关书面证明材料。</w:t>
      </w: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bookmarkStart w:id="175" w:name="_Toc217446090"/>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widowControl/>
        <w:spacing w:line="360" w:lineRule="atLeast"/>
        <w:jc w:val="left"/>
        <w:outlineLvl w:val="1"/>
        <w:rPr>
          <w:rFonts w:ascii="宋体" w:hAnsi="宋体"/>
          <w:b/>
          <w:color w:val="auto"/>
          <w:sz w:val="24"/>
          <w:highlight w:val="none"/>
        </w:rPr>
      </w:pPr>
    </w:p>
    <w:p>
      <w:pPr>
        <w:spacing w:line="360" w:lineRule="auto"/>
        <w:rPr>
          <w:rFonts w:ascii="宋体" w:hAnsi="宋体"/>
          <w:b/>
          <w:color w:val="auto"/>
          <w:sz w:val="32"/>
          <w:szCs w:val="32"/>
          <w:highlight w:val="none"/>
        </w:rPr>
      </w:pPr>
      <w:r>
        <w:rPr>
          <w:rFonts w:hint="eastAsia"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八、服务应答表</w:t>
      </w:r>
      <w:bookmarkEnd w:id="175"/>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7"/>
        <w:tblW w:w="7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410"/>
        <w:gridCol w:w="2835"/>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59" w:type="dxa"/>
            <w:vAlign w:val="center"/>
          </w:tcPr>
          <w:p>
            <w:pPr>
              <w:pStyle w:val="7"/>
              <w:tabs>
                <w:tab w:val="left" w:pos="6880"/>
              </w:tabs>
              <w:spacing w:line="360" w:lineRule="auto"/>
              <w:ind w:firstLine="0" w:firstLineChars="0"/>
              <w:rPr>
                <w:rFonts w:ascii="宋体" w:hAnsi="宋体" w:cs="宋体"/>
                <w:b/>
                <w:color w:val="auto"/>
                <w:kern w:val="0"/>
                <w:sz w:val="24"/>
                <w:highlight w:val="none"/>
              </w:rPr>
            </w:pPr>
            <w:r>
              <w:rPr>
                <w:rFonts w:hint="eastAsia" w:ascii="宋体" w:hAnsi="宋体" w:cs="宋体"/>
                <w:b/>
                <w:color w:val="auto"/>
                <w:kern w:val="0"/>
                <w:sz w:val="24"/>
                <w:highlight w:val="none"/>
              </w:rPr>
              <w:t>序号</w:t>
            </w:r>
          </w:p>
        </w:tc>
        <w:tc>
          <w:tcPr>
            <w:tcW w:w="2410" w:type="dxa"/>
            <w:vAlign w:val="center"/>
          </w:tcPr>
          <w:p>
            <w:pPr>
              <w:pStyle w:val="7"/>
              <w:tabs>
                <w:tab w:val="left" w:pos="6880"/>
              </w:tabs>
              <w:spacing w:line="360" w:lineRule="auto"/>
              <w:ind w:firstLine="0" w:firstLineChars="0"/>
              <w:jc w:val="center"/>
              <w:rPr>
                <w:rFonts w:ascii="宋体" w:hAnsi="宋体" w:cs="宋体"/>
                <w:b/>
                <w:color w:val="auto"/>
                <w:kern w:val="0"/>
                <w:sz w:val="24"/>
                <w:highlight w:val="none"/>
              </w:rPr>
            </w:pPr>
            <w:r>
              <w:rPr>
                <w:rFonts w:hint="eastAsia" w:ascii="宋体" w:hAnsi="宋体" w:cs="宋体"/>
                <w:b/>
                <w:color w:val="auto"/>
                <w:kern w:val="0"/>
                <w:sz w:val="24"/>
                <w:highlight w:val="none"/>
              </w:rPr>
              <w:t>招标文件要求</w:t>
            </w:r>
          </w:p>
        </w:tc>
        <w:tc>
          <w:tcPr>
            <w:tcW w:w="2835" w:type="dxa"/>
            <w:vAlign w:val="center"/>
          </w:tcPr>
          <w:p>
            <w:pPr>
              <w:widowControl/>
              <w:spacing w:line="360" w:lineRule="atLeast"/>
              <w:jc w:val="center"/>
              <w:outlineLvl w:val="1"/>
              <w:rPr>
                <w:rFonts w:ascii="宋体" w:hAnsi="宋体"/>
                <w:b/>
                <w:color w:val="auto"/>
                <w:sz w:val="24"/>
                <w:highlight w:val="none"/>
              </w:rPr>
            </w:pPr>
            <w:r>
              <w:rPr>
                <w:rFonts w:hint="eastAsia" w:ascii="宋体" w:hAnsi="宋体"/>
                <w:b/>
                <w:color w:val="auto"/>
                <w:sz w:val="24"/>
                <w:highlight w:val="none"/>
              </w:rPr>
              <w:t>投标文件应答</w:t>
            </w:r>
          </w:p>
        </w:tc>
        <w:tc>
          <w:tcPr>
            <w:tcW w:w="1752" w:type="dxa"/>
            <w:vAlign w:val="center"/>
          </w:tcPr>
          <w:p>
            <w:pPr>
              <w:pStyle w:val="7"/>
              <w:tabs>
                <w:tab w:val="left" w:pos="6880"/>
              </w:tabs>
              <w:spacing w:line="360" w:lineRule="auto"/>
              <w:ind w:firstLine="0" w:firstLineChars="0"/>
              <w:jc w:val="center"/>
              <w:rPr>
                <w:rFonts w:ascii="宋体" w:hAnsi="宋体" w:cs="宋体"/>
                <w:b/>
                <w:color w:val="auto"/>
                <w:kern w:val="0"/>
                <w:sz w:val="24"/>
                <w:highlight w:val="none"/>
              </w:rPr>
            </w:pPr>
            <w:r>
              <w:rPr>
                <w:rFonts w:hint="eastAsia" w:ascii="宋体" w:hAnsi="宋体" w:cs="宋体"/>
                <w:b/>
                <w:color w:val="auto"/>
                <w:kern w:val="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7"/>
              <w:tabs>
                <w:tab w:val="left" w:pos="34"/>
              </w:tabs>
              <w:spacing w:line="360" w:lineRule="auto"/>
              <w:ind w:left="-108"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410" w:type="dxa"/>
            <w:vAlign w:val="center"/>
          </w:tcPr>
          <w:p>
            <w:pPr>
              <w:pStyle w:val="7"/>
              <w:tabs>
                <w:tab w:val="left" w:pos="6880"/>
              </w:tabs>
              <w:spacing w:line="360" w:lineRule="auto"/>
              <w:ind w:firstLine="480"/>
              <w:rPr>
                <w:rFonts w:ascii="宋体" w:hAnsi="宋体" w:cs="宋体"/>
                <w:color w:val="auto"/>
                <w:kern w:val="0"/>
                <w:sz w:val="24"/>
                <w:highlight w:val="none"/>
              </w:rPr>
            </w:pPr>
          </w:p>
        </w:tc>
        <w:tc>
          <w:tcPr>
            <w:tcW w:w="2835" w:type="dxa"/>
            <w:vAlign w:val="center"/>
          </w:tcPr>
          <w:p>
            <w:pPr>
              <w:pStyle w:val="7"/>
              <w:tabs>
                <w:tab w:val="left" w:pos="6880"/>
              </w:tabs>
              <w:spacing w:line="360" w:lineRule="auto"/>
              <w:ind w:firstLine="480"/>
              <w:rPr>
                <w:rFonts w:ascii="宋体" w:hAnsi="宋体" w:cs="宋体"/>
                <w:color w:val="auto"/>
                <w:kern w:val="0"/>
                <w:sz w:val="24"/>
                <w:highlight w:val="none"/>
              </w:rPr>
            </w:pPr>
          </w:p>
        </w:tc>
        <w:tc>
          <w:tcPr>
            <w:tcW w:w="1752" w:type="dxa"/>
            <w:vAlign w:val="center"/>
          </w:tcPr>
          <w:p>
            <w:pPr>
              <w:pStyle w:val="7"/>
              <w:tabs>
                <w:tab w:val="left" w:pos="6880"/>
              </w:tabs>
              <w:spacing w:line="360" w:lineRule="auto"/>
              <w:ind w:firstLine="480"/>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7"/>
              <w:tabs>
                <w:tab w:val="left" w:pos="34"/>
              </w:tabs>
              <w:spacing w:line="360" w:lineRule="auto"/>
              <w:ind w:left="-108"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410" w:type="dxa"/>
            <w:vAlign w:val="center"/>
          </w:tcPr>
          <w:p>
            <w:pPr>
              <w:pStyle w:val="7"/>
              <w:tabs>
                <w:tab w:val="left" w:pos="6880"/>
              </w:tabs>
              <w:spacing w:line="360" w:lineRule="auto"/>
              <w:ind w:firstLine="480"/>
              <w:rPr>
                <w:rFonts w:ascii="宋体" w:hAnsi="宋体" w:cs="宋体"/>
                <w:color w:val="auto"/>
                <w:kern w:val="0"/>
                <w:sz w:val="24"/>
                <w:highlight w:val="none"/>
              </w:rPr>
            </w:pPr>
          </w:p>
        </w:tc>
        <w:tc>
          <w:tcPr>
            <w:tcW w:w="2835" w:type="dxa"/>
            <w:vAlign w:val="center"/>
          </w:tcPr>
          <w:p>
            <w:pPr>
              <w:pStyle w:val="7"/>
              <w:tabs>
                <w:tab w:val="left" w:pos="6880"/>
              </w:tabs>
              <w:spacing w:line="360" w:lineRule="auto"/>
              <w:ind w:firstLine="480"/>
              <w:rPr>
                <w:rFonts w:ascii="宋体" w:hAnsi="宋体" w:cs="宋体"/>
                <w:color w:val="auto"/>
                <w:kern w:val="0"/>
                <w:sz w:val="24"/>
                <w:highlight w:val="none"/>
              </w:rPr>
            </w:pPr>
          </w:p>
        </w:tc>
        <w:tc>
          <w:tcPr>
            <w:tcW w:w="1752" w:type="dxa"/>
            <w:vAlign w:val="center"/>
          </w:tcPr>
          <w:p>
            <w:pPr>
              <w:pStyle w:val="7"/>
              <w:tabs>
                <w:tab w:val="left" w:pos="6880"/>
              </w:tabs>
              <w:spacing w:line="360" w:lineRule="auto"/>
              <w:ind w:firstLine="480"/>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7"/>
              <w:tabs>
                <w:tab w:val="left" w:pos="34"/>
              </w:tabs>
              <w:spacing w:line="360" w:lineRule="auto"/>
              <w:ind w:left="-108"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410" w:type="dxa"/>
            <w:vAlign w:val="center"/>
          </w:tcPr>
          <w:p>
            <w:pPr>
              <w:pStyle w:val="7"/>
              <w:tabs>
                <w:tab w:val="left" w:pos="6880"/>
              </w:tabs>
              <w:spacing w:line="360" w:lineRule="auto"/>
              <w:ind w:firstLine="480"/>
              <w:rPr>
                <w:rFonts w:ascii="宋体" w:hAnsi="宋体" w:cs="宋体"/>
                <w:color w:val="auto"/>
                <w:kern w:val="0"/>
                <w:sz w:val="24"/>
                <w:highlight w:val="none"/>
              </w:rPr>
            </w:pPr>
          </w:p>
        </w:tc>
        <w:tc>
          <w:tcPr>
            <w:tcW w:w="2835" w:type="dxa"/>
            <w:vAlign w:val="center"/>
          </w:tcPr>
          <w:p>
            <w:pPr>
              <w:pStyle w:val="7"/>
              <w:tabs>
                <w:tab w:val="left" w:pos="6880"/>
              </w:tabs>
              <w:spacing w:line="360" w:lineRule="auto"/>
              <w:ind w:firstLine="480"/>
              <w:rPr>
                <w:rFonts w:ascii="宋体" w:hAnsi="宋体" w:cs="宋体"/>
                <w:color w:val="auto"/>
                <w:kern w:val="0"/>
                <w:sz w:val="24"/>
                <w:highlight w:val="none"/>
              </w:rPr>
            </w:pPr>
          </w:p>
        </w:tc>
        <w:tc>
          <w:tcPr>
            <w:tcW w:w="1752" w:type="dxa"/>
            <w:vAlign w:val="center"/>
          </w:tcPr>
          <w:p>
            <w:pPr>
              <w:pStyle w:val="7"/>
              <w:tabs>
                <w:tab w:val="left" w:pos="6880"/>
              </w:tabs>
              <w:spacing w:line="360" w:lineRule="auto"/>
              <w:ind w:firstLine="480"/>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7"/>
              <w:tabs>
                <w:tab w:val="left" w:pos="34"/>
              </w:tabs>
              <w:spacing w:line="360" w:lineRule="auto"/>
              <w:ind w:left="-108"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2410" w:type="dxa"/>
            <w:vAlign w:val="center"/>
          </w:tcPr>
          <w:p>
            <w:pPr>
              <w:pStyle w:val="7"/>
              <w:tabs>
                <w:tab w:val="left" w:pos="6880"/>
              </w:tabs>
              <w:spacing w:line="360" w:lineRule="auto"/>
              <w:ind w:firstLine="480"/>
              <w:rPr>
                <w:rFonts w:ascii="宋体" w:hAnsi="宋体" w:cs="宋体"/>
                <w:color w:val="auto"/>
                <w:kern w:val="0"/>
                <w:sz w:val="24"/>
                <w:highlight w:val="none"/>
              </w:rPr>
            </w:pPr>
          </w:p>
        </w:tc>
        <w:tc>
          <w:tcPr>
            <w:tcW w:w="2835" w:type="dxa"/>
            <w:vAlign w:val="center"/>
          </w:tcPr>
          <w:p>
            <w:pPr>
              <w:pStyle w:val="7"/>
              <w:tabs>
                <w:tab w:val="left" w:pos="6880"/>
              </w:tabs>
              <w:spacing w:line="360" w:lineRule="auto"/>
              <w:ind w:firstLine="480"/>
              <w:rPr>
                <w:rFonts w:ascii="宋体" w:hAnsi="宋体" w:cs="宋体"/>
                <w:color w:val="auto"/>
                <w:kern w:val="0"/>
                <w:sz w:val="24"/>
                <w:highlight w:val="none"/>
              </w:rPr>
            </w:pPr>
          </w:p>
        </w:tc>
        <w:tc>
          <w:tcPr>
            <w:tcW w:w="1752" w:type="dxa"/>
            <w:vAlign w:val="center"/>
          </w:tcPr>
          <w:p>
            <w:pPr>
              <w:pStyle w:val="7"/>
              <w:tabs>
                <w:tab w:val="left" w:pos="6880"/>
              </w:tabs>
              <w:spacing w:line="360" w:lineRule="auto"/>
              <w:ind w:firstLine="480"/>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7"/>
              <w:tabs>
                <w:tab w:val="left" w:pos="34"/>
              </w:tabs>
              <w:spacing w:line="360" w:lineRule="auto"/>
              <w:ind w:left="-108"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2410" w:type="dxa"/>
            <w:vAlign w:val="center"/>
          </w:tcPr>
          <w:p>
            <w:pPr>
              <w:pStyle w:val="7"/>
              <w:tabs>
                <w:tab w:val="left" w:pos="6880"/>
              </w:tabs>
              <w:spacing w:line="360" w:lineRule="auto"/>
              <w:ind w:firstLine="480"/>
              <w:rPr>
                <w:rFonts w:ascii="宋体" w:hAnsi="宋体" w:cs="宋体"/>
                <w:color w:val="auto"/>
                <w:kern w:val="0"/>
                <w:sz w:val="24"/>
                <w:highlight w:val="none"/>
              </w:rPr>
            </w:pPr>
          </w:p>
        </w:tc>
        <w:tc>
          <w:tcPr>
            <w:tcW w:w="2835" w:type="dxa"/>
            <w:vAlign w:val="center"/>
          </w:tcPr>
          <w:p>
            <w:pPr>
              <w:pStyle w:val="7"/>
              <w:tabs>
                <w:tab w:val="left" w:pos="6880"/>
              </w:tabs>
              <w:spacing w:line="360" w:lineRule="auto"/>
              <w:ind w:firstLine="480"/>
              <w:rPr>
                <w:rFonts w:ascii="宋体" w:hAnsi="宋体" w:cs="宋体"/>
                <w:color w:val="auto"/>
                <w:kern w:val="0"/>
                <w:sz w:val="24"/>
                <w:highlight w:val="none"/>
              </w:rPr>
            </w:pPr>
          </w:p>
        </w:tc>
        <w:tc>
          <w:tcPr>
            <w:tcW w:w="1752" w:type="dxa"/>
            <w:vAlign w:val="center"/>
          </w:tcPr>
          <w:p>
            <w:pPr>
              <w:pStyle w:val="7"/>
              <w:tabs>
                <w:tab w:val="left" w:pos="6880"/>
              </w:tabs>
              <w:spacing w:line="360" w:lineRule="auto"/>
              <w:ind w:firstLine="480"/>
              <w:rPr>
                <w:rFonts w:ascii="宋体" w:hAnsi="宋体" w:cs="宋体"/>
                <w:color w:val="auto"/>
                <w:kern w:val="0"/>
                <w:sz w:val="24"/>
                <w:highlight w:val="none"/>
              </w:rPr>
            </w:pPr>
          </w:p>
        </w:tc>
      </w:tr>
    </w:tbl>
    <w:p>
      <w:pPr>
        <w:spacing w:line="520" w:lineRule="exact"/>
        <w:jc w:val="left"/>
        <w:rPr>
          <w:rFonts w:ascii="宋体" w:hAnsi="宋体"/>
          <w:color w:val="auto"/>
          <w:sz w:val="24"/>
          <w:highlight w:val="none"/>
        </w:rPr>
      </w:pPr>
      <w:r>
        <w:rPr>
          <w:rFonts w:hint="eastAsia" w:ascii="宋体" w:hAnsi="宋体"/>
          <w:color w:val="auto"/>
          <w:sz w:val="24"/>
          <w:highlight w:val="none"/>
        </w:rPr>
        <w:t>注：1.以上表格格式行可增减。</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2.按照招标项目服务要求的顺序对应填写。投标人必须据实填写，不得虚假响应，否则将取消其投标或中标资格。</w:t>
      </w:r>
    </w:p>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widowControl/>
        <w:spacing w:line="360" w:lineRule="atLeast"/>
        <w:ind w:firstLine="470" w:firstLineChars="196"/>
        <w:jc w:val="left"/>
        <w:outlineLvl w:val="1"/>
        <w:rPr>
          <w:rFonts w:ascii="宋体" w:hAnsi="宋体"/>
          <w:color w:val="auto"/>
          <w:sz w:val="24"/>
          <w:highlight w:val="none"/>
        </w:rPr>
      </w:pPr>
    </w:p>
    <w:p>
      <w:pPr>
        <w:spacing w:line="360" w:lineRule="auto"/>
        <w:rPr>
          <w:rFonts w:ascii="宋体" w:hAnsi="宋体"/>
          <w:b/>
          <w:color w:val="auto"/>
          <w:sz w:val="32"/>
          <w:szCs w:val="32"/>
          <w:highlight w:val="none"/>
        </w:rPr>
      </w:pPr>
      <w:bookmarkStart w:id="176" w:name="_Toc217446091"/>
      <w:r>
        <w:rPr>
          <w:rFonts w:hint="eastAsia" w:ascii="宋体" w:hAnsi="宋体"/>
          <w:b/>
          <w:color w:val="auto"/>
          <w:sz w:val="32"/>
          <w:szCs w:val="32"/>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九、投标人本项目管理、技术、服务人员情况表</w:t>
      </w:r>
      <w:bookmarkEnd w:id="176"/>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项目名称：_______________</w:t>
      </w:r>
    </w:p>
    <w:p>
      <w:pP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项目编号：_______________</w:t>
      </w:r>
    </w:p>
    <w:tbl>
      <w:tblPr>
        <w:tblStyle w:val="27"/>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049"/>
        <w:gridCol w:w="1049"/>
        <w:gridCol w:w="1049"/>
        <w:gridCol w:w="1049"/>
        <w:gridCol w:w="1107"/>
        <w:gridCol w:w="1249"/>
        <w:gridCol w:w="110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vMerge w:val="restart"/>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序号</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职务</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职称</w:t>
            </w:r>
          </w:p>
        </w:tc>
        <w:tc>
          <w:tcPr>
            <w:tcW w:w="1049" w:type="dxa"/>
            <w:vMerge w:val="restart"/>
            <w:vAlign w:val="center"/>
          </w:tcPr>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常住地</w:t>
            </w:r>
          </w:p>
        </w:tc>
        <w:tc>
          <w:tcPr>
            <w:tcW w:w="4412" w:type="dxa"/>
            <w:gridSpan w:val="4"/>
            <w:vAlign w:val="center"/>
          </w:tcPr>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vMerge w:val="continue"/>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049" w:type="dxa"/>
            <w:vMerge w:val="continue"/>
            <w:vAlign w:val="center"/>
          </w:tcPr>
          <w:p>
            <w:pPr>
              <w:rPr>
                <w:rFonts w:ascii="宋体" w:hAnsi="宋体"/>
                <w:color w:val="auto"/>
                <w:highlight w:val="none"/>
              </w:rPr>
            </w:pPr>
          </w:p>
        </w:tc>
        <w:tc>
          <w:tcPr>
            <w:tcW w:w="1107"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证书</w:t>
            </w:r>
          </w:p>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名称</w:t>
            </w:r>
          </w:p>
        </w:tc>
        <w:tc>
          <w:tcPr>
            <w:tcW w:w="1249"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级别</w:t>
            </w:r>
          </w:p>
        </w:tc>
        <w:tc>
          <w:tcPr>
            <w:tcW w:w="1102"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证号</w:t>
            </w:r>
          </w:p>
        </w:tc>
        <w:tc>
          <w:tcPr>
            <w:tcW w:w="954" w:type="dxa"/>
            <w:vAlign w:val="center"/>
          </w:tcPr>
          <w:p>
            <w:pPr>
              <w:widowControl/>
              <w:spacing w:line="360" w:lineRule="atLeast"/>
              <w:jc w:val="center"/>
              <w:outlineLvl w:val="1"/>
              <w:rPr>
                <w:rFonts w:ascii="宋体" w:hAnsi="宋体"/>
                <w:color w:val="auto"/>
                <w:sz w:val="24"/>
                <w:highlight w:val="none"/>
              </w:rPr>
            </w:pPr>
            <w:r>
              <w:rPr>
                <w:rFonts w:hint="eastAsia" w:ascii="宋体" w:hAnsi="宋体"/>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Borders>
              <w:bottom w:val="single" w:color="auto" w:sz="4" w:space="0"/>
            </w:tcBorders>
          </w:tcPr>
          <w:p>
            <w:pPr>
              <w:widowControl/>
              <w:spacing w:line="360" w:lineRule="atLeast"/>
              <w:ind w:firstLine="470" w:firstLineChars="196"/>
              <w:jc w:val="left"/>
              <w:outlineLvl w:val="1"/>
              <w:rPr>
                <w:rFonts w:ascii="宋体" w:hAnsi="宋体"/>
                <w:color w:val="auto"/>
                <w:sz w:val="24"/>
                <w:highlight w:val="none"/>
              </w:rPr>
            </w:pPr>
          </w:p>
        </w:tc>
        <w:tc>
          <w:tcPr>
            <w:tcW w:w="1049" w:type="dxa"/>
            <w:tcBorders>
              <w:bottom w:val="single" w:color="auto" w:sz="4" w:space="0"/>
            </w:tcBorders>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049" w:type="dxa"/>
          </w:tcPr>
          <w:p>
            <w:pPr>
              <w:widowControl/>
              <w:spacing w:line="360" w:lineRule="atLeast"/>
              <w:ind w:firstLine="470" w:firstLineChars="196"/>
              <w:jc w:val="left"/>
              <w:outlineLvl w:val="1"/>
              <w:rPr>
                <w:rFonts w:ascii="宋体" w:hAnsi="宋体"/>
                <w:color w:val="auto"/>
                <w:sz w:val="24"/>
                <w:highlight w:val="none"/>
              </w:rPr>
            </w:pPr>
          </w:p>
        </w:tc>
        <w:tc>
          <w:tcPr>
            <w:tcW w:w="1107" w:type="dxa"/>
          </w:tcPr>
          <w:p>
            <w:pPr>
              <w:widowControl/>
              <w:spacing w:line="360" w:lineRule="atLeast"/>
              <w:ind w:firstLine="470" w:firstLineChars="196"/>
              <w:jc w:val="left"/>
              <w:outlineLvl w:val="1"/>
              <w:rPr>
                <w:rFonts w:ascii="宋体" w:hAnsi="宋体"/>
                <w:color w:val="auto"/>
                <w:sz w:val="24"/>
                <w:highlight w:val="none"/>
              </w:rPr>
            </w:pPr>
          </w:p>
        </w:tc>
        <w:tc>
          <w:tcPr>
            <w:tcW w:w="1249" w:type="dxa"/>
          </w:tcPr>
          <w:p>
            <w:pPr>
              <w:widowControl/>
              <w:spacing w:line="360" w:lineRule="atLeast"/>
              <w:ind w:firstLine="470" w:firstLineChars="196"/>
              <w:jc w:val="left"/>
              <w:outlineLvl w:val="1"/>
              <w:rPr>
                <w:rFonts w:ascii="宋体" w:hAnsi="宋体"/>
                <w:color w:val="auto"/>
                <w:sz w:val="24"/>
                <w:highlight w:val="none"/>
              </w:rPr>
            </w:pPr>
          </w:p>
        </w:tc>
        <w:tc>
          <w:tcPr>
            <w:tcW w:w="1102" w:type="dxa"/>
          </w:tcPr>
          <w:p>
            <w:pPr>
              <w:widowControl/>
              <w:spacing w:line="360" w:lineRule="atLeast"/>
              <w:ind w:firstLine="470" w:firstLineChars="196"/>
              <w:jc w:val="left"/>
              <w:outlineLvl w:val="1"/>
              <w:rPr>
                <w:rFonts w:ascii="宋体" w:hAnsi="宋体"/>
                <w:color w:val="auto"/>
                <w:sz w:val="24"/>
                <w:highlight w:val="none"/>
              </w:rPr>
            </w:pPr>
          </w:p>
        </w:tc>
        <w:tc>
          <w:tcPr>
            <w:tcW w:w="954" w:type="dxa"/>
          </w:tcPr>
          <w:p>
            <w:pPr>
              <w:widowControl/>
              <w:spacing w:line="360" w:lineRule="atLeast"/>
              <w:ind w:firstLine="470" w:firstLineChars="196"/>
              <w:jc w:val="left"/>
              <w:outlineLvl w:val="1"/>
              <w:rPr>
                <w:rFonts w:ascii="宋体" w:hAnsi="宋体"/>
                <w:color w:val="auto"/>
                <w:sz w:val="24"/>
                <w:highlight w:val="none"/>
              </w:rPr>
            </w:pPr>
          </w:p>
        </w:tc>
      </w:tr>
    </w:tbl>
    <w:p>
      <w:pPr>
        <w:widowControl/>
        <w:spacing w:line="360" w:lineRule="atLeast"/>
        <w:ind w:firstLine="470" w:firstLineChars="196"/>
        <w:jc w:val="left"/>
        <w:outlineLvl w:val="1"/>
        <w:rPr>
          <w:rFonts w:ascii="宋体" w:hAnsi="宋体"/>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
          <w:color w:val="auto"/>
          <w:sz w:val="32"/>
          <w:szCs w:val="32"/>
          <w:highlight w:val="none"/>
        </w:rPr>
      </w:pPr>
      <w:r>
        <w:rPr>
          <w:rFonts w:hint="eastAsia" w:ascii="宋体" w:hAnsi="宋体"/>
          <w:b/>
          <w:color w:val="auto"/>
          <w:sz w:val="24"/>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十、投标人诚信情况承诺函</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rPr>
        <w:t>____________</w:t>
      </w:r>
      <w:r>
        <w:rPr>
          <w:rFonts w:hint="eastAsia" w:ascii="宋体" w:hAnsi="宋体"/>
          <w:bCs/>
          <w:color w:val="auto"/>
          <w:sz w:val="24"/>
          <w:highlight w:val="none"/>
        </w:rPr>
        <w:t xml:space="preserve">（采购代理机构）： </w:t>
      </w:r>
    </w:p>
    <w:p>
      <w:pPr>
        <w:spacing w:line="360" w:lineRule="auto"/>
        <w:ind w:firstLine="480" w:firstLineChars="200"/>
        <w:rPr>
          <w:rFonts w:ascii="宋体" w:hAnsi="宋体"/>
          <w:color w:val="auto"/>
          <w:sz w:val="24"/>
          <w:highlight w:val="none"/>
        </w:rPr>
      </w:pPr>
      <w:r>
        <w:rPr>
          <w:rFonts w:hint="eastAsia" w:ascii="宋体" w:hAnsi="宋体"/>
          <w:bCs/>
          <w:color w:val="auto"/>
          <w:sz w:val="24"/>
          <w:highlight w:val="none"/>
        </w:rPr>
        <w:t>本单位</w:t>
      </w:r>
      <w:r>
        <w:rPr>
          <w:rFonts w:hint="eastAsia" w:ascii="宋体" w:hAnsi="宋体"/>
          <w:color w:val="auto"/>
          <w:sz w:val="24"/>
          <w:highlight w:val="none"/>
        </w:rPr>
        <w:t>____________</w:t>
      </w:r>
      <w:r>
        <w:rPr>
          <w:rFonts w:hint="eastAsia" w:ascii="宋体" w:hAnsi="宋体"/>
          <w:bCs/>
          <w:color w:val="auto"/>
          <w:sz w:val="24"/>
          <w:highlight w:val="none"/>
        </w:rPr>
        <w:t>（投标人名称）参加“</w:t>
      </w:r>
      <w:r>
        <w:rPr>
          <w:rFonts w:hint="eastAsia" w:ascii="宋体" w:hAnsi="宋体"/>
          <w:color w:val="auto"/>
          <w:sz w:val="24"/>
          <w:highlight w:val="none"/>
        </w:rPr>
        <w:t>____________</w:t>
      </w:r>
      <w:r>
        <w:rPr>
          <w:rFonts w:hint="eastAsia" w:ascii="宋体" w:hAnsi="宋体"/>
          <w:bCs/>
          <w:color w:val="auto"/>
          <w:sz w:val="24"/>
          <w:highlight w:val="none"/>
        </w:rPr>
        <w:t>”项目（项目编号：</w:t>
      </w:r>
      <w:r>
        <w:rPr>
          <w:rFonts w:hint="eastAsia" w:ascii="宋体" w:hAnsi="宋体"/>
          <w:color w:val="auto"/>
          <w:sz w:val="24"/>
          <w:highlight w:val="none"/>
        </w:rPr>
        <w:t>____________</w:t>
      </w:r>
      <w:r>
        <w:rPr>
          <w:rFonts w:hint="eastAsia" w:ascii="宋体" w:hAnsi="宋体"/>
          <w:bCs/>
          <w:color w:val="auto"/>
          <w:sz w:val="24"/>
          <w:highlight w:val="none"/>
        </w:rPr>
        <w:t>）的政府采购活动，</w:t>
      </w:r>
      <w:r>
        <w:rPr>
          <w:rFonts w:hint="eastAsia" w:ascii="宋体" w:hAnsi="宋体"/>
          <w:color w:val="auto"/>
          <w:sz w:val="24"/>
          <w:highlight w:val="none"/>
        </w:rPr>
        <w:t>现根据《</w:t>
      </w:r>
      <w:r>
        <w:rPr>
          <w:rFonts w:ascii="宋体" w:hAnsi="宋体"/>
          <w:color w:val="auto"/>
          <w:sz w:val="24"/>
          <w:highlight w:val="none"/>
        </w:rPr>
        <w:t>四川省政府采购当事人诚信管理办法</w:t>
      </w:r>
      <w:r>
        <w:rPr>
          <w:rFonts w:hint="eastAsia" w:ascii="宋体" w:hAnsi="宋体"/>
          <w:color w:val="auto"/>
          <w:sz w:val="24"/>
          <w:highlight w:val="none"/>
        </w:rPr>
        <w:t>》川财采〔2015〕33号的相关规定，针</w:t>
      </w:r>
      <w:r>
        <w:rPr>
          <w:rFonts w:hint="eastAsia" w:ascii="宋体" w:hAnsi="宋体"/>
          <w:bCs/>
          <w:color w:val="auto"/>
          <w:sz w:val="24"/>
          <w:highlight w:val="none"/>
        </w:rPr>
        <w:t>对本单位的诚信情况作出以下承诺：</w:t>
      </w:r>
    </w:p>
    <w:p>
      <w:pPr>
        <w:spacing w:line="360" w:lineRule="auto"/>
        <w:ind w:firstLine="480" w:firstLineChars="200"/>
        <w:rPr>
          <w:rFonts w:ascii="宋体" w:hAnsi="宋体"/>
          <w:bCs/>
          <w:color w:val="auto"/>
          <w:sz w:val="24"/>
          <w:highlight w:val="none"/>
        </w:rPr>
      </w:pP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我单位具有</w:t>
      </w:r>
      <w:r>
        <w:rPr>
          <w:rFonts w:hint="eastAsia" w:ascii="宋体" w:hAnsi="宋体"/>
          <w:color w:val="auto"/>
          <w:sz w:val="24"/>
          <w:highlight w:val="none"/>
        </w:rPr>
        <w:t>《四川省政府采购当事人诚信管理办法》（川财采[2015]33号）所规定的失信行为____次（填写失信行为的次数时，建议使用大写数字，如零、壹、贰、叁、肆等。）；</w:t>
      </w:r>
      <w:r>
        <w:rPr>
          <w:rFonts w:hint="eastAsia" w:ascii="宋体" w:hAnsi="宋体"/>
          <w:bCs/>
          <w:color w:val="auto"/>
          <w:sz w:val="24"/>
          <w:highlight w:val="none"/>
        </w:rPr>
        <w:t>（仅限投标截止当日仍在有效期的次数）</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w:t>
      </w:r>
      <w:r>
        <w:rPr>
          <w:rFonts w:hint="eastAsia" w:ascii="宋体" w:hAnsi="宋体"/>
          <w:bCs/>
          <w:color w:val="auto"/>
          <w:sz w:val="24"/>
          <w:highlight w:val="none"/>
        </w:rPr>
        <w:t>单位</w:t>
      </w:r>
      <w:r>
        <w:rPr>
          <w:rFonts w:hint="eastAsia" w:ascii="宋体" w:hAnsi="宋体"/>
          <w:color w:val="auto"/>
          <w:sz w:val="24"/>
          <w:highlight w:val="none"/>
        </w:rPr>
        <w:t>对以上填写信息的真实性负责。如有不实，本</w:t>
      </w:r>
      <w:r>
        <w:rPr>
          <w:rFonts w:hint="eastAsia" w:ascii="宋体" w:hAnsi="宋体"/>
          <w:bCs/>
          <w:color w:val="auto"/>
          <w:sz w:val="24"/>
          <w:highlight w:val="none"/>
        </w:rPr>
        <w:t>单位</w:t>
      </w:r>
      <w:r>
        <w:rPr>
          <w:rFonts w:hint="eastAsia" w:ascii="宋体" w:hAnsi="宋体"/>
          <w:color w:val="auto"/>
          <w:sz w:val="24"/>
          <w:highlight w:val="none"/>
        </w:rPr>
        <w:t>愿承担由此产生的一切法律责任和后果。</w:t>
      </w:r>
    </w:p>
    <w:p>
      <w:pPr>
        <w:spacing w:line="360" w:lineRule="auto"/>
        <w:rPr>
          <w:rFonts w:ascii="宋体" w:hAnsi="宋体"/>
          <w:bCs/>
          <w:color w:val="auto"/>
          <w:sz w:val="24"/>
          <w:highlight w:val="none"/>
        </w:rPr>
      </w:pP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投标人名称：____________（单位公章）。</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widowControl/>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r>
        <w:rPr>
          <w:rFonts w:hint="eastAsia" w:ascii="宋体" w:hAnsi="宋体"/>
          <w:bCs/>
          <w:color w:val="auto"/>
          <w:sz w:val="24"/>
          <w:highlight w:val="none"/>
        </w:rPr>
        <w:t>注：</w:t>
      </w:r>
    </w:p>
    <w:p>
      <w:pPr>
        <w:rPr>
          <w:rFonts w:ascii="宋体" w:hAnsi="宋体"/>
          <w:bCs/>
          <w:color w:val="auto"/>
          <w:sz w:val="24"/>
          <w:highlight w:val="none"/>
        </w:rPr>
      </w:pPr>
      <w:r>
        <w:rPr>
          <w:rFonts w:hint="eastAsia" w:ascii="宋体" w:hAnsi="宋体"/>
          <w:bCs/>
          <w:color w:val="auto"/>
          <w:sz w:val="24"/>
          <w:highlight w:val="none"/>
        </w:rPr>
        <w:t>1、本表格式及内容仅供参考，投标人也可提供自己的格式；</w:t>
      </w:r>
    </w:p>
    <w:p>
      <w:pPr>
        <w:rPr>
          <w:rFonts w:ascii="宋体" w:hAnsi="宋体"/>
          <w:bCs/>
          <w:color w:val="auto"/>
          <w:sz w:val="24"/>
          <w:highlight w:val="none"/>
        </w:rPr>
      </w:pPr>
      <w:r>
        <w:rPr>
          <w:rFonts w:hint="eastAsia" w:ascii="宋体" w:hAnsi="宋体"/>
          <w:bCs/>
          <w:color w:val="auto"/>
          <w:sz w:val="24"/>
          <w:highlight w:val="none"/>
        </w:rPr>
        <w:t>2、投标人存在以上所述失信行为的，将按照</w:t>
      </w:r>
      <w:r>
        <w:rPr>
          <w:rFonts w:hint="eastAsia" w:ascii="宋体" w:hAnsi="宋体"/>
          <w:color w:val="auto"/>
          <w:sz w:val="24"/>
          <w:highlight w:val="none"/>
        </w:rPr>
        <w:t>第二章投标人须知附表的要求进行处理；</w:t>
      </w:r>
    </w:p>
    <w:p>
      <w:pPr>
        <w:rPr>
          <w:rFonts w:ascii="宋体" w:hAnsi="宋体"/>
          <w:color w:val="auto"/>
          <w:kern w:val="0"/>
          <w:sz w:val="24"/>
          <w:highlight w:val="none"/>
        </w:rPr>
      </w:pPr>
      <w:r>
        <w:rPr>
          <w:rFonts w:hint="eastAsia" w:ascii="宋体" w:hAnsi="宋体"/>
          <w:bCs/>
          <w:color w:val="auto"/>
          <w:sz w:val="24"/>
          <w:highlight w:val="none"/>
        </w:rPr>
        <w:t>3、</w:t>
      </w:r>
      <w:r>
        <w:rPr>
          <w:rFonts w:ascii="宋体" w:hAnsi="宋体"/>
          <w:bCs/>
          <w:color w:val="auto"/>
          <w:sz w:val="24"/>
          <w:highlight w:val="none"/>
        </w:rPr>
        <w:t>财政部门对政府采购当事人的失信行为依法进行处罚、处理后，应当在四川政府采购网向社会公告，并记入诚信档案，有效期为1年。工商部门、税务部门、审判机关及其他有关部门单位认定投标人的失信行为明</w:t>
      </w:r>
      <w:r>
        <w:rPr>
          <w:rFonts w:ascii="宋体" w:hAnsi="宋体"/>
          <w:color w:val="auto"/>
          <w:kern w:val="0"/>
          <w:sz w:val="24"/>
          <w:highlight w:val="none"/>
        </w:rPr>
        <w:t>确了有效期的，不再重复计算。</w:t>
      </w:r>
    </w:p>
    <w:p>
      <w:pPr>
        <w:rPr>
          <w:rFonts w:ascii="宋体" w:hAnsi="宋体"/>
          <w:bCs/>
          <w:color w:val="auto"/>
          <w:sz w:val="24"/>
          <w:highlight w:val="none"/>
        </w:rPr>
      </w:pPr>
      <w:r>
        <w:rPr>
          <w:rFonts w:hint="eastAsia" w:ascii="宋体" w:hAnsi="宋体"/>
          <w:color w:val="auto"/>
          <w:kern w:val="0"/>
          <w:sz w:val="24"/>
          <w:highlight w:val="none"/>
        </w:rPr>
        <w:t>4、</w:t>
      </w:r>
      <w:r>
        <w:rPr>
          <w:rFonts w:hint="eastAsia" w:ascii="宋体" w:hAnsi="宋体"/>
          <w:bCs/>
          <w:color w:val="auto"/>
          <w:sz w:val="24"/>
          <w:highlight w:val="none"/>
        </w:rPr>
        <w:t>投标人的失信行为受到行政处罚或司法惩处的，评审时不再对其以价格加成进行惩戒。</w:t>
      </w:r>
    </w:p>
    <w:p>
      <w:pPr>
        <w:spacing w:line="360" w:lineRule="auto"/>
        <w:rPr>
          <w:rFonts w:ascii="宋体" w:hAnsi="宋体"/>
          <w:b/>
          <w:color w:val="auto"/>
          <w:sz w:val="32"/>
          <w:szCs w:val="32"/>
          <w:highlight w:val="none"/>
        </w:rPr>
      </w:pPr>
      <w:r>
        <w:rPr>
          <w:rFonts w:hint="eastAsia" w:ascii="宋体" w:hAnsi="宋体"/>
          <w:bCs/>
          <w:color w:val="auto"/>
          <w:sz w:val="24"/>
          <w:highlight w:val="none"/>
        </w:rPr>
        <w:br w:type="page"/>
      </w:r>
    </w:p>
    <w:p>
      <w:pPr>
        <w:widowControl/>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十一、中小企业声明函</w:t>
      </w:r>
    </w:p>
    <w:p>
      <w:pPr>
        <w:pStyle w:val="11"/>
        <w:kinsoku w:val="0"/>
        <w:overflowPunct w:val="0"/>
        <w:spacing w:line="419" w:lineRule="exact"/>
        <w:ind w:firstLine="570" w:firstLineChars="250"/>
        <w:rPr>
          <w:rFonts w:ascii="宋体" w:hAnsi="宋体"/>
          <w:color w:val="auto"/>
          <w:sz w:val="24"/>
          <w:highlight w:val="none"/>
          <w:u w:val="single"/>
        </w:rPr>
      </w:pPr>
      <w:r>
        <w:rPr>
          <w:rFonts w:hint="eastAsia" w:ascii="宋体" w:hAnsi="宋体"/>
          <w:color w:val="auto"/>
          <w:spacing w:val="-6"/>
          <w:sz w:val="24"/>
          <w:highlight w:val="none"/>
        </w:rPr>
        <w:t>本公司（联合体）郑重声明，根据《政府采购促进中小企业发展管理办法》（财库﹝</w:t>
      </w:r>
      <w:r>
        <w:rPr>
          <w:rFonts w:ascii="宋体" w:hAnsi="宋体"/>
          <w:color w:val="auto"/>
          <w:spacing w:val="-6"/>
          <w:sz w:val="24"/>
          <w:highlight w:val="none"/>
        </w:rPr>
        <w:t>2020</w:t>
      </w:r>
      <w:r>
        <w:rPr>
          <w:rFonts w:hint="eastAsia" w:ascii="宋体" w:hAnsi="宋体"/>
          <w:color w:val="auto"/>
          <w:spacing w:val="-6"/>
          <w:sz w:val="24"/>
          <w:highlight w:val="none"/>
        </w:rPr>
        <w:t>﹞</w:t>
      </w:r>
      <w:r>
        <w:rPr>
          <w:rFonts w:ascii="宋体" w:hAnsi="宋体"/>
          <w:color w:val="auto"/>
          <w:spacing w:val="-6"/>
          <w:sz w:val="24"/>
          <w:highlight w:val="none"/>
        </w:rPr>
        <w:t>46</w:t>
      </w:r>
      <w:r>
        <w:rPr>
          <w:rFonts w:hint="eastAsia" w:ascii="宋体" w:hAnsi="宋体"/>
          <w:color w:val="auto"/>
          <w:spacing w:val="-6"/>
          <w:sz w:val="24"/>
          <w:highlight w:val="none"/>
        </w:rPr>
        <w:t>号）的规定，本公司（联合体）</w:t>
      </w:r>
      <w:r>
        <w:rPr>
          <w:rFonts w:hint="eastAsia" w:ascii="宋体" w:hAnsi="宋体"/>
          <w:color w:val="auto"/>
          <w:sz w:val="24"/>
          <w:highlight w:val="none"/>
        </w:rPr>
        <w:t>参</w:t>
      </w:r>
      <w:r>
        <w:rPr>
          <w:rFonts w:hint="eastAsia" w:ascii="宋体" w:hAnsi="宋体"/>
          <w:color w:val="auto"/>
          <w:spacing w:val="-16"/>
          <w:sz w:val="24"/>
          <w:highlight w:val="none"/>
        </w:rPr>
        <w:t>加</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（单位名称）</w:t>
      </w:r>
      <w:r>
        <w:rPr>
          <w:rFonts w:hint="eastAsia" w:ascii="宋体" w:hAnsi="宋体"/>
          <w:color w:val="auto"/>
          <w:spacing w:val="-16"/>
          <w:sz w:val="24"/>
          <w:highlight w:val="none"/>
        </w:rPr>
        <w:t>的</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（项目名称）</w:t>
      </w:r>
      <w:r>
        <w:rPr>
          <w:rFonts w:hint="eastAsia" w:ascii="宋体" w:hAnsi="宋体"/>
          <w:color w:val="auto"/>
          <w:spacing w:val="2"/>
          <w:sz w:val="24"/>
          <w:highlight w:val="none"/>
        </w:rPr>
        <w:t>采购活动，服务全部由符合政策要求的中小企业承接。相关企业（含联合体中的中小企业、签订分包意向协议的中小企业）的具体情况如下：</w:t>
      </w:r>
    </w:p>
    <w:p>
      <w:pPr>
        <w:pStyle w:val="11"/>
        <w:kinsoku w:val="0"/>
        <w:overflowPunct w:val="0"/>
        <w:spacing w:line="419" w:lineRule="exact"/>
        <w:ind w:firstLine="456" w:firstLineChars="200"/>
        <w:rPr>
          <w:rFonts w:ascii="宋体" w:hAnsi="宋体"/>
          <w:color w:val="auto"/>
          <w:sz w:val="24"/>
          <w:highlight w:val="none"/>
        </w:rPr>
      </w:pPr>
      <w:r>
        <w:rPr>
          <w:rFonts w:ascii="宋体" w:hAnsi="宋体"/>
          <w:color w:val="auto"/>
          <w:w w:val="95"/>
          <w:sz w:val="24"/>
          <w:highlight w:val="none"/>
        </w:rPr>
        <w:t>1</w:t>
      </w:r>
      <w:r>
        <w:rPr>
          <w:rFonts w:ascii="宋体" w:hAnsi="宋体"/>
          <w:color w:val="auto"/>
          <w:sz w:val="24"/>
          <w:highlight w:val="none"/>
        </w:rPr>
        <w:t>.</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（标的名称），属于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；承建（承接）企业为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ascii="宋体" w:hAnsi="宋体"/>
          <w:color w:val="auto"/>
          <w:sz w:val="24"/>
          <w:highlight w:val="none"/>
          <w:u w:val="single"/>
        </w:rPr>
        <w:tab/>
      </w:r>
      <w:r>
        <w:rPr>
          <w:rFonts w:hint="eastAsia" w:ascii="宋体" w:hAnsi="宋体"/>
          <w:color w:val="auto"/>
          <w:sz w:val="24"/>
          <w:highlight w:val="none"/>
        </w:rPr>
        <w:t>人，营业收入为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rPr>
        <w:t>万元，资产总额为</w:t>
      </w:r>
      <w:r>
        <w:rPr>
          <w:rFonts w:ascii="宋体" w:hAnsi="宋体"/>
          <w:color w:val="auto"/>
          <w:sz w:val="24"/>
          <w:highlight w:val="none"/>
          <w:u w:val="single"/>
        </w:rPr>
        <w:tab/>
      </w:r>
      <w:r>
        <w:rPr>
          <w:rFonts w:hint="eastAsia" w:ascii="宋体" w:hAnsi="宋体"/>
          <w:color w:val="auto"/>
          <w:sz w:val="24"/>
          <w:highlight w:val="none"/>
        </w:rPr>
        <w:t>万元，属于</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（中型企业、小</w:t>
      </w:r>
      <w:r>
        <w:rPr>
          <w:rFonts w:ascii="宋体" w:hAnsi="宋体"/>
          <w:color w:val="auto"/>
          <w:sz w:val="24"/>
          <w:highlight w:val="none"/>
          <w:u w:val="single"/>
        </w:rPr>
        <w:t xml:space="preserve"> </w:t>
      </w:r>
      <w:r>
        <w:rPr>
          <w:rFonts w:hint="eastAsia" w:ascii="宋体" w:hAnsi="宋体"/>
          <w:color w:val="auto"/>
          <w:sz w:val="24"/>
          <w:highlight w:val="none"/>
          <w:u w:val="single"/>
        </w:rPr>
        <w:t>型企业、微型企业）</w:t>
      </w:r>
      <w:r>
        <w:rPr>
          <w:rFonts w:hint="eastAsia" w:ascii="宋体" w:hAnsi="宋体"/>
          <w:color w:val="auto"/>
          <w:sz w:val="24"/>
          <w:highlight w:val="none"/>
        </w:rPr>
        <w:t>；</w:t>
      </w:r>
    </w:p>
    <w:p>
      <w:pPr>
        <w:pStyle w:val="11"/>
        <w:kinsoku w:val="0"/>
        <w:overflowPunct w:val="0"/>
        <w:spacing w:line="419" w:lineRule="exact"/>
        <w:ind w:firstLine="480" w:firstLineChars="200"/>
        <w:rPr>
          <w:rFonts w:ascii="宋体" w:hAnsi="宋体"/>
          <w:color w:val="auto"/>
          <w:sz w:val="24"/>
          <w:highlight w:val="none"/>
        </w:rPr>
      </w:pPr>
      <w:r>
        <w:rPr>
          <w:rFonts w:ascii="宋体" w:hAnsi="宋体"/>
          <w:color w:val="auto"/>
          <w:sz w:val="24"/>
          <w:highlight w:val="none"/>
        </w:rPr>
        <w:t>2.</w:t>
      </w:r>
      <w:r>
        <w:rPr>
          <w:rFonts w:ascii="宋体" w:hAnsi="宋体"/>
          <w:color w:val="auto"/>
          <w:sz w:val="24"/>
          <w:highlight w:val="none"/>
          <w:u w:val="single"/>
        </w:rPr>
        <w:t xml:space="preserve"> </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；承建（承接）企业为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ascii="宋体" w:hAnsi="宋体"/>
          <w:color w:val="auto"/>
          <w:sz w:val="24"/>
          <w:highlight w:val="none"/>
          <w:u w:val="single"/>
        </w:rPr>
        <w:tab/>
      </w:r>
      <w:r>
        <w:rPr>
          <w:rFonts w:hint="eastAsia" w:ascii="宋体" w:hAnsi="宋体"/>
          <w:color w:val="auto"/>
          <w:sz w:val="24"/>
          <w:highlight w:val="none"/>
        </w:rPr>
        <w:t>人，营业收入为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rPr>
        <w:t>万元，资产总额为</w:t>
      </w:r>
      <w:r>
        <w:rPr>
          <w:rFonts w:ascii="宋体" w:hAnsi="宋体"/>
          <w:color w:val="auto"/>
          <w:sz w:val="24"/>
          <w:highlight w:val="none"/>
          <w:u w:val="single"/>
        </w:rPr>
        <w:tab/>
      </w:r>
      <w:r>
        <w:rPr>
          <w:rFonts w:hint="eastAsia" w:ascii="宋体" w:hAnsi="宋体"/>
          <w:color w:val="auto"/>
          <w:sz w:val="24"/>
          <w:highlight w:val="none"/>
        </w:rPr>
        <w:t>万元，属于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（中型企业、小</w:t>
      </w:r>
      <w:r>
        <w:rPr>
          <w:rFonts w:ascii="宋体" w:hAnsi="宋体"/>
          <w:color w:val="auto"/>
          <w:sz w:val="24"/>
          <w:highlight w:val="none"/>
          <w:u w:val="single"/>
        </w:rPr>
        <w:t xml:space="preserve"> </w:t>
      </w:r>
      <w:r>
        <w:rPr>
          <w:rFonts w:hint="eastAsia" w:ascii="宋体" w:hAnsi="宋体"/>
          <w:color w:val="auto"/>
          <w:sz w:val="24"/>
          <w:highlight w:val="none"/>
          <w:u w:val="single"/>
        </w:rPr>
        <w:t>型企业、微型企业）</w:t>
      </w:r>
      <w:r>
        <w:rPr>
          <w:rFonts w:hint="eastAsia" w:ascii="宋体" w:hAnsi="宋体"/>
          <w:color w:val="auto"/>
          <w:sz w:val="24"/>
          <w:highlight w:val="none"/>
        </w:rPr>
        <w:t>；</w:t>
      </w:r>
    </w:p>
    <w:p>
      <w:pPr>
        <w:pStyle w:val="11"/>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w:t>
      </w:r>
    </w:p>
    <w:p>
      <w:pPr>
        <w:pStyle w:val="11"/>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pStyle w:val="11"/>
        <w:kinsoku w:val="0"/>
        <w:overflowPunct w:val="0"/>
        <w:spacing w:line="419" w:lineRule="exact"/>
        <w:ind w:firstLine="480" w:firstLineChars="200"/>
        <w:rPr>
          <w:rFonts w:ascii="宋体" w:hAnsi="宋体"/>
          <w:color w:val="auto"/>
          <w:sz w:val="24"/>
          <w:highlight w:val="none"/>
          <w:u w:val="single"/>
        </w:rPr>
      </w:pPr>
      <w:r>
        <w:rPr>
          <w:rFonts w:hint="eastAsia" w:ascii="宋体" w:hAnsi="宋体"/>
          <w:color w:val="auto"/>
          <w:sz w:val="24"/>
          <w:highlight w:val="none"/>
        </w:rPr>
        <w:t>本企业对上述声明内容的真实性负责。如有虚假，将依法承担相应责任。</w:t>
      </w:r>
    </w:p>
    <w:p>
      <w:pPr>
        <w:spacing w:line="360" w:lineRule="auto"/>
        <w:ind w:firstLine="480" w:firstLineChars="200"/>
        <w:rPr>
          <w:rFonts w:ascii="宋体" w:hAnsi="宋体"/>
          <w:color w:val="auto"/>
          <w:sz w:val="24"/>
          <w:highlight w:val="none"/>
        </w:rPr>
      </w:pPr>
    </w:p>
    <w:p>
      <w:pPr>
        <w:pStyle w:val="11"/>
        <w:kinsoku w:val="0"/>
        <w:overflowPunct w:val="0"/>
        <w:spacing w:line="419" w:lineRule="exact"/>
        <w:ind w:firstLine="480" w:firstLineChars="200"/>
        <w:rPr>
          <w:rFonts w:ascii="宋体" w:hAnsi="宋体"/>
          <w:color w:val="auto"/>
          <w:sz w:val="24"/>
          <w:highlight w:val="none"/>
        </w:rPr>
      </w:pPr>
      <w:bookmarkStart w:id="177" w:name="_Toc419811733"/>
      <w:bookmarkStart w:id="178" w:name="_Toc417911732"/>
      <w:bookmarkStart w:id="179" w:name="_Toc387658050"/>
      <w:bookmarkStart w:id="180" w:name="_Toc387147344"/>
      <w:bookmarkStart w:id="181" w:name="_Toc413748654"/>
      <w:r>
        <w:rPr>
          <w:rFonts w:hint="eastAsia" w:ascii="宋体" w:hAnsi="宋体"/>
          <w:color w:val="auto"/>
          <w:sz w:val="24"/>
          <w:highlight w:val="none"/>
        </w:rPr>
        <w:t>企业名称（盖章）：_________________</w:t>
      </w:r>
    </w:p>
    <w:p>
      <w:pPr>
        <w:pStyle w:val="11"/>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日期：_________________</w:t>
      </w:r>
    </w:p>
    <w:p>
      <w:pPr>
        <w:pStyle w:val="11"/>
        <w:kinsoku w:val="0"/>
        <w:overflowPunct w:val="0"/>
        <w:spacing w:line="419" w:lineRule="exact"/>
        <w:ind w:firstLine="480" w:firstLineChars="200"/>
        <w:rPr>
          <w:rFonts w:ascii="宋体" w:hAnsi="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w:t>
      </w:r>
      <w:bookmarkEnd w:id="177"/>
      <w:bookmarkEnd w:id="178"/>
      <w:bookmarkEnd w:id="179"/>
      <w:bookmarkEnd w:id="180"/>
      <w:bookmarkEnd w:id="181"/>
    </w:p>
    <w:p>
      <w:pPr>
        <w:pStyle w:val="2"/>
        <w:rPr>
          <w:color w:val="auto"/>
          <w:highlight w:val="none"/>
        </w:rPr>
      </w:pPr>
      <w:r>
        <w:rPr>
          <w:rFonts w:hint="eastAsia"/>
          <w:color w:val="auto"/>
          <w:highlight w:val="none"/>
        </w:rPr>
        <w:t>1、从业人员、营业收入、资产总额填报上一年度数据，无上一年度数据的新成立企业可不填报。</w:t>
      </w:r>
    </w:p>
    <w:p>
      <w:pPr>
        <w:spacing w:line="360" w:lineRule="auto"/>
        <w:rPr>
          <w:rFonts w:ascii="宋体" w:hAnsi="宋体" w:cs="宋体"/>
          <w:color w:val="auto"/>
          <w:sz w:val="24"/>
          <w:highlight w:val="none"/>
        </w:rPr>
      </w:pPr>
      <w:r>
        <w:rPr>
          <w:rFonts w:hint="eastAsia" w:ascii="宋体" w:hAnsi="宋体" w:cs="宋体"/>
          <w:color w:val="auto"/>
          <w:sz w:val="24"/>
          <w:highlight w:val="none"/>
        </w:rPr>
        <w:t>2、投标人为非中小企业的，可不提供此声明。</w:t>
      </w:r>
      <w:bookmarkStart w:id="182" w:name="_Toc28495"/>
    </w:p>
    <w:p>
      <w:pPr>
        <w:spacing w:line="360" w:lineRule="auto"/>
        <w:rPr>
          <w:rFonts w:ascii="宋体" w:hAnsi="宋体"/>
          <w:b/>
          <w:color w:val="auto"/>
          <w:sz w:val="32"/>
          <w:szCs w:val="32"/>
          <w:highlight w:val="none"/>
        </w:rPr>
      </w:pPr>
      <w:r>
        <w:rPr>
          <w:rFonts w:hint="eastAsia" w:ascii="宋体" w:hAnsi="宋体" w:cs="宋体"/>
          <w:color w:val="auto"/>
          <w:sz w:val="24"/>
          <w:highlight w:val="none"/>
        </w:rPr>
        <w:br w:type="page"/>
      </w:r>
    </w:p>
    <w:p>
      <w:pPr>
        <w:jc w:val="center"/>
        <w:rPr>
          <w:rFonts w:ascii="宋体" w:hAnsi="宋体"/>
          <w:b/>
          <w:color w:val="auto"/>
          <w:sz w:val="32"/>
          <w:szCs w:val="32"/>
          <w:highlight w:val="none"/>
        </w:rPr>
      </w:pPr>
      <w:r>
        <w:rPr>
          <w:rFonts w:hint="eastAsia" w:ascii="宋体" w:hAnsi="宋体"/>
          <w:b/>
          <w:color w:val="auto"/>
          <w:sz w:val="32"/>
          <w:szCs w:val="32"/>
          <w:highlight w:val="none"/>
        </w:rPr>
        <w:t>十二、</w:t>
      </w:r>
      <w:bookmarkStart w:id="183" w:name="OLE_LINK14"/>
      <w:bookmarkStart w:id="184" w:name="OLE_LINK13"/>
      <w:r>
        <w:rPr>
          <w:rFonts w:hint="eastAsia" w:ascii="宋体" w:hAnsi="宋体"/>
          <w:b/>
          <w:color w:val="auto"/>
          <w:sz w:val="32"/>
          <w:szCs w:val="32"/>
          <w:highlight w:val="none"/>
        </w:rPr>
        <w:t>残疾人福利性单位声明函</w:t>
      </w:r>
      <w:bookmarkEnd w:id="183"/>
      <w:bookmarkEnd w:id="184"/>
    </w:p>
    <w:p>
      <w:pPr>
        <w:spacing w:line="588" w:lineRule="exact"/>
        <w:rPr>
          <w:rFonts w:ascii="宋体" w:hAnsi="宋体" w:cs="宋体"/>
          <w:b/>
          <w:color w:val="auto"/>
          <w:spacing w:val="6"/>
          <w:sz w:val="24"/>
          <w:highlight w:val="none"/>
        </w:rPr>
      </w:pP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〔2017〕141</w:t>
      </w:r>
      <w:r>
        <w:rPr>
          <w:rFonts w:hint="eastAsia" w:ascii="宋体" w:hAnsi="宋体" w:cs="宋体"/>
          <w:color w:val="auto"/>
          <w:spacing w:val="6"/>
          <w:sz w:val="24"/>
          <w:highlight w:val="none"/>
        </w:rPr>
        <w:t>号）的规定，本单位为符合条件的残疾人福利性单位，且本单位参加</w:t>
      </w:r>
      <w:r>
        <w:rPr>
          <w:rFonts w:hint="eastAsia" w:ascii="宋体" w:hAnsi="宋体"/>
          <w:color w:val="auto"/>
          <w:sz w:val="24"/>
          <w:highlight w:val="none"/>
        </w:rPr>
        <w:t>______</w:t>
      </w:r>
      <w:r>
        <w:rPr>
          <w:rFonts w:hint="eastAsia" w:ascii="宋体" w:hAnsi="宋体" w:cs="宋体"/>
          <w:color w:val="auto"/>
          <w:spacing w:val="6"/>
          <w:sz w:val="24"/>
          <w:highlight w:val="none"/>
        </w:rPr>
        <w:t>单位的</w:t>
      </w:r>
      <w:r>
        <w:rPr>
          <w:rFonts w:hint="eastAsia" w:ascii="宋体" w:hAnsi="宋体"/>
          <w:color w:val="auto"/>
          <w:sz w:val="24"/>
          <w:highlight w:val="none"/>
        </w:rPr>
        <w:t>____________</w:t>
      </w:r>
      <w:r>
        <w:rPr>
          <w:rFonts w:hint="eastAsia" w:ascii="宋体" w:hAnsi="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588" w:lineRule="exact"/>
        <w:rPr>
          <w:rFonts w:ascii="宋体" w:hAnsi="宋体" w:cs="宋体"/>
          <w:color w:val="auto"/>
          <w:spacing w:val="6"/>
          <w:sz w:val="24"/>
          <w:highlight w:val="none"/>
        </w:rPr>
      </w:pP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投标人名称：__________________（单位公章）。</w:t>
      </w:r>
    </w:p>
    <w:p>
      <w:pPr>
        <w:widowControl/>
        <w:spacing w:line="360" w:lineRule="atLeast"/>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法定代表人/单位负责人或授权代表（签字或加盖个人印章）：____________。</w:t>
      </w:r>
    </w:p>
    <w:p>
      <w:pPr>
        <w:rPr>
          <w:rFonts w:ascii="宋体" w:hAnsi="宋体" w:cs="宋体"/>
          <w:color w:val="auto"/>
          <w:spacing w:val="6"/>
          <w:sz w:val="24"/>
          <w:highlight w:val="none"/>
        </w:rPr>
      </w:pPr>
      <w:r>
        <w:rPr>
          <w:rFonts w:hint="eastAsia" w:ascii="宋体" w:hAnsi="宋体"/>
          <w:color w:val="auto"/>
          <w:sz w:val="24"/>
          <w:highlight w:val="none"/>
        </w:rPr>
        <w:t>投标日期:____________。</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w:t>
      </w:r>
    </w:p>
    <w:p>
      <w:pPr>
        <w:numPr>
          <w:ilvl w:val="0"/>
          <w:numId w:val="2"/>
        </w:numPr>
        <w:spacing w:line="360" w:lineRule="auto"/>
        <w:rPr>
          <w:rFonts w:ascii="宋体" w:hAnsi="宋体" w:cs="宋体"/>
          <w:color w:val="auto"/>
          <w:sz w:val="24"/>
          <w:highlight w:val="none"/>
        </w:rPr>
      </w:pPr>
      <w:r>
        <w:rPr>
          <w:rFonts w:hint="eastAsia" w:ascii="宋体" w:hAnsi="宋体" w:cs="宋体"/>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2"/>
        </w:numPr>
        <w:spacing w:line="360" w:lineRule="auto"/>
        <w:rPr>
          <w:rFonts w:ascii="宋体" w:hAnsi="宋体" w:cs="宋体"/>
          <w:color w:val="auto"/>
          <w:sz w:val="24"/>
          <w:highlight w:val="none"/>
        </w:rPr>
      </w:pPr>
      <w:r>
        <w:rPr>
          <w:rFonts w:hint="eastAsia" w:ascii="宋体" w:hAnsi="宋体" w:cs="宋体"/>
          <w:color w:val="auto"/>
          <w:sz w:val="24"/>
          <w:highlight w:val="none"/>
        </w:rPr>
        <w:t>投标人为非残疾人福利性单位的，可不提供此声明。</w:t>
      </w:r>
    </w:p>
    <w:p>
      <w:pPr>
        <w:widowControl/>
        <w:jc w:val="left"/>
        <w:rPr>
          <w:rFonts w:ascii="宋体" w:cs="宋体"/>
          <w:color w:val="auto"/>
          <w:kern w:val="0"/>
          <w:sz w:val="24"/>
          <w:highlight w:val="none"/>
        </w:rPr>
      </w:pPr>
      <w:r>
        <w:rPr>
          <w:color w:val="auto"/>
          <w:highlight w:val="none"/>
        </w:rPr>
        <w:br w:type="page"/>
      </w:r>
    </w:p>
    <w:p>
      <w:pPr>
        <w:autoSpaceDE w:val="0"/>
        <w:autoSpaceDN w:val="0"/>
        <w:adjustRightInd w:val="0"/>
        <w:jc w:val="center"/>
        <w:rPr>
          <w:rFonts w:ascii="宋体" w:hAnsi="宋体"/>
          <w:b/>
          <w:color w:val="auto"/>
          <w:spacing w:val="6"/>
          <w:sz w:val="32"/>
          <w:szCs w:val="32"/>
          <w:highlight w:val="none"/>
        </w:rPr>
      </w:pPr>
      <w:r>
        <w:rPr>
          <w:rFonts w:hint="eastAsia" w:ascii="宋体" w:hAnsi="宋体"/>
          <w:b/>
          <w:color w:val="auto"/>
          <w:sz w:val="32"/>
          <w:szCs w:val="32"/>
          <w:highlight w:val="none"/>
        </w:rPr>
        <w:t>十三、</w:t>
      </w:r>
      <w:r>
        <w:rPr>
          <w:rFonts w:hint="eastAsia" w:ascii="宋体" w:hAnsi="宋体"/>
          <w:b/>
          <w:color w:val="auto"/>
          <w:spacing w:val="6"/>
          <w:sz w:val="32"/>
          <w:szCs w:val="32"/>
          <w:highlight w:val="none"/>
        </w:rPr>
        <w:t>监狱企业证明材料</w:t>
      </w:r>
    </w:p>
    <w:p>
      <w:pPr>
        <w:pStyle w:val="2"/>
        <w:rPr>
          <w:color w:val="auto"/>
          <w:highlight w:val="none"/>
        </w:rPr>
      </w:pPr>
    </w:p>
    <w:p>
      <w:pPr>
        <w:spacing w:line="360" w:lineRule="auto"/>
        <w:ind w:firstLine="480" w:firstLineChars="200"/>
        <w:jc w:val="left"/>
        <w:rPr>
          <w:rFonts w:ascii="宋体" w:hAnsi="宋体"/>
          <w:b/>
          <w:color w:val="auto"/>
          <w:sz w:val="32"/>
          <w:szCs w:val="32"/>
          <w:highlight w:val="none"/>
        </w:rPr>
      </w:pPr>
      <w:r>
        <w:rPr>
          <w:rFonts w:hint="eastAsia" w:ascii="宋体" w:hAnsi="宋体" w:cs="宋体"/>
          <w:color w:val="auto"/>
          <w:sz w:val="24"/>
          <w:highlight w:val="none"/>
        </w:rPr>
        <w:t>投标人属于《政府采购支持监狱企业发展有关问题的通知》（财库〔2014〕68号）规定的监狱企业的，参加政府采购活动时，应当提供由省级以上监狱管理局、戒毒管理局（含新疆生产建设兵团）出具的属于监狱企业的证明文件。</w:t>
      </w: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p>
    <w:p>
      <w:pPr>
        <w:spacing w:line="360" w:lineRule="auto"/>
        <w:jc w:val="left"/>
        <w:rPr>
          <w:rFonts w:ascii="宋体" w:hAnsi="宋体"/>
          <w:b/>
          <w:color w:val="auto"/>
          <w:sz w:val="32"/>
          <w:szCs w:val="32"/>
          <w:highlight w:val="none"/>
        </w:rPr>
      </w:pPr>
      <w:r>
        <w:rPr>
          <w:rFonts w:hint="eastAsia" w:ascii="宋体" w:hAnsi="宋体" w:cs="宋体"/>
          <w:color w:val="auto"/>
          <w:sz w:val="24"/>
          <w:highlight w:val="none"/>
        </w:rPr>
        <w:t>注：在政府采购活动中，监狱企业视同小型、微型企业，享受预留份额、评审中价格扣除等政府采购促进中小企业发展的政府采购政策。</w:t>
      </w:r>
    </w:p>
    <w:p>
      <w:pPr>
        <w:spacing w:line="360" w:lineRule="auto"/>
        <w:jc w:val="center"/>
        <w:rPr>
          <w:rFonts w:ascii="宋体" w:hAnsi="宋体"/>
          <w:b/>
          <w:color w:val="auto"/>
          <w:sz w:val="32"/>
          <w:szCs w:val="32"/>
          <w:highlight w:val="none"/>
        </w:rPr>
      </w:pP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十四、关于采购代理服务费的支付承诺</w:t>
      </w:r>
    </w:p>
    <w:p>
      <w:pPr>
        <w:widowControl/>
        <w:spacing w:line="360" w:lineRule="auto"/>
        <w:jc w:val="left"/>
        <w:outlineLvl w:val="1"/>
        <w:rPr>
          <w:rFonts w:ascii="宋体" w:hAnsi="宋体"/>
          <w:color w:val="auto"/>
          <w:sz w:val="24"/>
          <w:highlight w:val="none"/>
        </w:rPr>
      </w:pPr>
      <w:r>
        <w:rPr>
          <w:rFonts w:hint="eastAsia" w:ascii="宋体" w:hAnsi="宋体"/>
          <w:color w:val="auto"/>
          <w:sz w:val="24"/>
          <w:highlight w:val="none"/>
        </w:rPr>
        <w:t>__________________（采购代理机构名称）：</w:t>
      </w:r>
    </w:p>
    <w:p>
      <w:pPr>
        <w:widowControl/>
        <w:spacing w:line="360" w:lineRule="auto"/>
        <w:ind w:firstLine="480" w:firstLineChars="200"/>
        <w:jc w:val="left"/>
        <w:outlineLvl w:val="1"/>
        <w:rPr>
          <w:rFonts w:ascii="宋体" w:hAnsi="宋体"/>
          <w:color w:val="auto"/>
          <w:sz w:val="24"/>
          <w:highlight w:val="none"/>
        </w:rPr>
      </w:pPr>
      <w:r>
        <w:rPr>
          <w:rFonts w:hint="eastAsia" w:ascii="宋体" w:hAnsi="宋体"/>
          <w:color w:val="auto"/>
          <w:sz w:val="24"/>
          <w:highlight w:val="none"/>
        </w:rPr>
        <w:t>我公司作为本次采购项目的投标人，参与贵单位组织的“_________________”项目（项目编号：_____________）投标，若我公司有幸中标，我公司承诺在领取中标通知书的同时，向贵公司一次性支付招标文件规定的采购代理服务费。如因我公司自身原因造成取消中标资格或自愿放弃中标资格的，我公司支付的采购代理服务费不予退还，由此造成的损失由我方自行承担。</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特此承诺。</w:t>
      </w:r>
    </w:p>
    <w:p>
      <w:pPr>
        <w:spacing w:line="360" w:lineRule="auto"/>
        <w:jc w:val="center"/>
        <w:rPr>
          <w:rFonts w:ascii="宋体" w:hAnsi="宋体"/>
          <w:b/>
          <w:color w:val="auto"/>
          <w:sz w:val="24"/>
          <w:highlight w:val="none"/>
        </w:rPr>
      </w:pP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投标人名称：__________________（盖单位公章）</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法定代表人或授权代表（签字或加盖个人印章）：______________。</w:t>
      </w:r>
    </w:p>
    <w:p>
      <w:pPr>
        <w:widowControl/>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投标日期:_____________。</w:t>
      </w:r>
    </w:p>
    <w:p>
      <w:pPr>
        <w:spacing w:line="360" w:lineRule="auto"/>
        <w:rPr>
          <w:rFonts w:ascii="宋体" w:hAnsi="宋体"/>
          <w:b/>
          <w:color w:val="auto"/>
          <w:sz w:val="32"/>
          <w:szCs w:val="32"/>
          <w:highlight w:val="none"/>
        </w:rPr>
      </w:pPr>
    </w:p>
    <w:p>
      <w:pPr>
        <w:pStyle w:val="2"/>
        <w:rPr>
          <w:color w:val="auto"/>
          <w:highlight w:val="none"/>
        </w:rPr>
      </w:pPr>
    </w:p>
    <w:p>
      <w:pPr>
        <w:pStyle w:val="2"/>
        <w:rPr>
          <w:color w:val="auto"/>
          <w:highlight w:val="none"/>
        </w:rPr>
      </w:pPr>
      <w:r>
        <w:rPr>
          <w:rFonts w:hint="eastAsia"/>
          <w:color w:val="auto"/>
          <w:highlight w:val="none"/>
        </w:rPr>
        <w:t>注：适用于第二章投标人须知附表中规定采购代理服务费由中标人支付，由采购人支付的，可不提供此承诺。</w:t>
      </w: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十五、其他材料</w:t>
      </w: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p>
    <w:p>
      <w:pPr>
        <w:widowControl/>
        <w:spacing w:line="480" w:lineRule="auto"/>
        <w:ind w:firstLine="470" w:firstLineChars="196"/>
        <w:jc w:val="left"/>
        <w:outlineLvl w:val="1"/>
        <w:rPr>
          <w:rFonts w:ascii="宋体"/>
          <w:color w:val="auto"/>
          <w:sz w:val="24"/>
          <w:highlight w:val="none"/>
        </w:rPr>
      </w:pPr>
      <w:r>
        <w:rPr>
          <w:rFonts w:hint="eastAsia" w:ascii="宋体"/>
          <w:color w:val="auto"/>
          <w:sz w:val="24"/>
          <w:highlight w:val="none"/>
        </w:rPr>
        <w:t>注：投标人在投标时可以提供以上本章格式未列明其他材料。</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widowControl/>
        <w:jc w:val="left"/>
        <w:rPr>
          <w:color w:val="auto"/>
          <w:highlight w:val="none"/>
        </w:rPr>
      </w:pPr>
    </w:p>
    <w:p>
      <w:pPr>
        <w:widowControl/>
        <w:jc w:val="left"/>
        <w:rPr>
          <w:rFonts w:ascii="宋体" w:cs="宋体"/>
          <w:color w:val="auto"/>
          <w:kern w:val="0"/>
          <w:sz w:val="24"/>
          <w:highlight w:val="none"/>
        </w:rPr>
      </w:pPr>
      <w:r>
        <w:rPr>
          <w:color w:val="auto"/>
          <w:highlight w:val="none"/>
        </w:rPr>
        <w:br w:type="page"/>
      </w:r>
    </w:p>
    <w:p>
      <w:pPr>
        <w:pStyle w:val="3"/>
        <w:spacing w:line="240" w:lineRule="auto"/>
        <w:jc w:val="center"/>
        <w:rPr>
          <w:rFonts w:ascii="宋体" w:hAnsi="宋体"/>
          <w:color w:val="auto"/>
          <w:sz w:val="36"/>
          <w:szCs w:val="36"/>
          <w:highlight w:val="none"/>
        </w:rPr>
      </w:pPr>
      <w:bookmarkStart w:id="185" w:name="_Toc56539471"/>
      <w:r>
        <w:rPr>
          <w:rFonts w:hint="eastAsia" w:ascii="宋体" w:hAnsi="宋体"/>
          <w:color w:val="auto"/>
          <w:sz w:val="36"/>
          <w:szCs w:val="36"/>
          <w:highlight w:val="none"/>
        </w:rPr>
        <w:t>第四章  投标人的资格、资质性及其他类似效力要求</w:t>
      </w:r>
      <w:bookmarkEnd w:id="182"/>
      <w:bookmarkEnd w:id="185"/>
    </w:p>
    <w:p>
      <w:pPr>
        <w:pStyle w:val="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一、投标人资格、资质性及其他类似效力要求</w:t>
      </w:r>
    </w:p>
    <w:p>
      <w:pPr>
        <w:pStyle w:val="52"/>
        <w:spacing w:line="420" w:lineRule="exact"/>
        <w:ind w:firstLine="0" w:firstLineChars="0"/>
        <w:rPr>
          <w:rFonts w:ascii="宋体" w:hAnsi="宋体"/>
          <w:b/>
          <w:bCs/>
          <w:color w:val="auto"/>
          <w:sz w:val="24"/>
          <w:highlight w:val="none"/>
        </w:rPr>
      </w:pPr>
      <w:bookmarkStart w:id="186" w:name="_Toc1588"/>
      <w:r>
        <w:rPr>
          <w:rFonts w:ascii="宋体" w:hAnsi="宋体"/>
          <w:b/>
          <w:bCs/>
          <w:color w:val="auto"/>
          <w:sz w:val="24"/>
          <w:highlight w:val="none"/>
        </w:rPr>
        <w:t>（一）</w:t>
      </w:r>
      <w:r>
        <w:rPr>
          <w:rFonts w:hint="eastAsia" w:ascii="宋体" w:hAnsi="宋体"/>
          <w:b/>
          <w:bCs/>
          <w:color w:val="auto"/>
          <w:sz w:val="24"/>
          <w:highlight w:val="none"/>
        </w:rPr>
        <w:t>资格要求：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1.满足《中华人民共和国政府采购法》第二十二条规定；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(1)具有独立承担民事责任的能力；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(2)具有良好的商业信誉和健全的财务会计制度；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(3)具有履行合同所必须的设备和专业技术能力；</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(4)具有依法缴纳税收和社会保障资金的良好记录；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(6)符合法律、行政法规规定的其他条件；</w:t>
      </w:r>
    </w:p>
    <w:p>
      <w:pPr>
        <w:spacing w:line="40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.落实政府采购政策需满足的资格要求：无。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3.本项目的特定资格要求：无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4.根据采购项目提出的其他资格条件：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（1）具有有效的《林木种子经营许可证》和《林木种子生产许可证》,或《林木种子生产经营许可证》。</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(2)投标人单位及其法定代表人/主要负责人在参加本项目采购活动前三年无行贿犯罪记录。</w:t>
      </w:r>
    </w:p>
    <w:p>
      <w:pPr>
        <w:pStyle w:val="52"/>
        <w:spacing w:line="420" w:lineRule="exact"/>
        <w:ind w:firstLine="0" w:firstLineChars="0"/>
        <w:rPr>
          <w:rFonts w:ascii="宋体" w:hAnsi="宋体"/>
          <w:b/>
          <w:bCs/>
          <w:color w:val="auto"/>
          <w:sz w:val="24"/>
          <w:highlight w:val="none"/>
        </w:rPr>
      </w:pPr>
      <w:r>
        <w:rPr>
          <w:rFonts w:hint="eastAsia" w:ascii="宋体" w:hAnsi="宋体"/>
          <w:b/>
          <w:bCs/>
          <w:color w:val="auto"/>
          <w:sz w:val="24"/>
          <w:highlight w:val="none"/>
        </w:rPr>
        <w:t>（二）其他类似效力要求：</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1.法定代表人/单位负责人身份证明文件或授权参加本次投标活动的授权代表证明材料。</w:t>
      </w:r>
    </w:p>
    <w:p>
      <w:pPr>
        <w:pStyle w:val="2"/>
        <w:rPr>
          <w:color w:val="auto"/>
          <w:highlight w:val="none"/>
        </w:rPr>
      </w:pPr>
    </w:p>
    <w:p>
      <w:pPr>
        <w:pStyle w:val="52"/>
        <w:spacing w:line="420" w:lineRule="exact"/>
        <w:ind w:firstLine="0" w:firstLineChars="0"/>
        <w:rPr>
          <w:rFonts w:ascii="宋体" w:hAnsi="宋体"/>
          <w:b/>
          <w:color w:val="auto"/>
          <w:sz w:val="24"/>
          <w:highlight w:val="none"/>
        </w:rPr>
      </w:pPr>
      <w:r>
        <w:rPr>
          <w:rFonts w:hint="eastAsia" w:ascii="宋体" w:hAnsi="宋体"/>
          <w:b/>
          <w:color w:val="auto"/>
          <w:sz w:val="24"/>
          <w:highlight w:val="none"/>
        </w:rPr>
        <w:t>注：</w:t>
      </w:r>
    </w:p>
    <w:p>
      <w:pPr>
        <w:pStyle w:val="52"/>
        <w:spacing w:line="420" w:lineRule="exact"/>
        <w:ind w:firstLine="482"/>
        <w:rPr>
          <w:rFonts w:ascii="宋体" w:hAnsi="宋体"/>
          <w:b/>
          <w:color w:val="auto"/>
          <w:sz w:val="24"/>
          <w:highlight w:val="none"/>
        </w:rPr>
      </w:pPr>
      <w:r>
        <w:rPr>
          <w:rFonts w:hint="eastAsia" w:ascii="宋体" w:hAnsi="宋体"/>
          <w:b/>
          <w:color w:val="auto"/>
          <w:sz w:val="24"/>
          <w:highlight w:val="none"/>
        </w:rPr>
        <w:t>1.本项目确定投标人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52"/>
        <w:spacing w:line="420" w:lineRule="exact"/>
        <w:ind w:firstLine="482"/>
        <w:rPr>
          <w:rFonts w:ascii="宋体" w:hAnsi="宋体"/>
          <w:b/>
          <w:color w:val="auto"/>
          <w:sz w:val="24"/>
          <w:highlight w:val="none"/>
        </w:rPr>
      </w:pPr>
      <w:r>
        <w:rPr>
          <w:rFonts w:hint="eastAsia" w:ascii="宋体" w:hAnsi="宋体"/>
          <w:b/>
          <w:color w:val="auto"/>
          <w:sz w:val="24"/>
          <w:highlight w:val="none"/>
        </w:rPr>
        <w:t>2.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jc w:val="center"/>
        <w:rPr>
          <w:rFonts w:ascii="宋体" w:hAnsi="宋体"/>
          <w:color w:val="auto"/>
          <w:sz w:val="36"/>
          <w:szCs w:val="36"/>
          <w:highlight w:val="none"/>
        </w:rPr>
      </w:pPr>
      <w:r>
        <w:rPr>
          <w:rFonts w:hint="eastAsia" w:ascii="宋体" w:hAnsi="宋体"/>
          <w:color w:val="auto"/>
          <w:sz w:val="36"/>
          <w:szCs w:val="36"/>
          <w:highlight w:val="none"/>
        </w:rPr>
        <w:br w:type="page"/>
      </w:r>
      <w:bookmarkStart w:id="187" w:name="_Toc56539472"/>
      <w:r>
        <w:rPr>
          <w:rFonts w:hint="eastAsia" w:ascii="宋体" w:hAnsi="宋体"/>
          <w:color w:val="auto"/>
          <w:sz w:val="36"/>
          <w:szCs w:val="36"/>
          <w:highlight w:val="none"/>
        </w:rPr>
        <w:t>第五章  投标人应当提供的资格、资质性及其他类似效力要求的相关证明材料</w:t>
      </w:r>
      <w:bookmarkEnd w:id="186"/>
      <w:bookmarkEnd w:id="187"/>
    </w:p>
    <w:p>
      <w:pPr>
        <w:rPr>
          <w:rFonts w:ascii="宋体" w:hAnsi="宋体"/>
          <w:color w:val="auto"/>
          <w:highlight w:val="none"/>
        </w:rPr>
      </w:pPr>
    </w:p>
    <w:p>
      <w:pPr>
        <w:pStyle w:val="4"/>
        <w:spacing w:line="360" w:lineRule="exact"/>
        <w:rPr>
          <w:rFonts w:ascii="宋体" w:hAnsi="宋体" w:eastAsia="宋体"/>
          <w:color w:val="auto"/>
          <w:sz w:val="24"/>
          <w:szCs w:val="24"/>
          <w:highlight w:val="none"/>
        </w:rPr>
      </w:pPr>
      <w:bookmarkStart w:id="188" w:name="_Toc217446093"/>
      <w:r>
        <w:rPr>
          <w:rFonts w:hint="eastAsia" w:ascii="宋体" w:hAnsi="宋体" w:eastAsia="宋体"/>
          <w:color w:val="auto"/>
          <w:sz w:val="24"/>
          <w:szCs w:val="24"/>
          <w:highlight w:val="none"/>
        </w:rPr>
        <w:t>一、应当提供的投标人资格、资质性及其他类似效力要求的相关证明材料</w:t>
      </w:r>
    </w:p>
    <w:p>
      <w:pPr>
        <w:rPr>
          <w:rFonts w:ascii="宋体" w:hAnsi="宋体"/>
          <w:b/>
          <w:bCs/>
          <w:color w:val="auto"/>
          <w:sz w:val="24"/>
          <w:highlight w:val="none"/>
        </w:rPr>
      </w:pPr>
      <w:r>
        <w:rPr>
          <w:rFonts w:hint="eastAsia" w:ascii="宋体" w:hAnsi="宋体"/>
          <w:b/>
          <w:bCs/>
          <w:color w:val="auto"/>
          <w:sz w:val="24"/>
          <w:highlight w:val="none"/>
        </w:rPr>
        <w:t>（一）资格要求相关证明材料：</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1.具有独立承担民事责任的能力。</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（1）若为企业法人：提供“统一社会信用代码营业执照”；未换证的提供“营业执照、税务登记证、组织机构代码证”；</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（2）若为事业法人：提供“统一社会信用代码法人登记证书”；未换证的提交“事业法人登记证书、组织机构代码证”；</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（3）若为其他组织：提供“对应主管部门颁发的准许执业证明文件或营业执照”；</w:t>
      </w:r>
    </w:p>
    <w:p>
      <w:pPr>
        <w:spacing w:line="312" w:lineRule="auto"/>
        <w:ind w:firstLine="540" w:firstLineChars="225"/>
        <w:rPr>
          <w:rFonts w:ascii="宋体" w:hAnsi="宋体"/>
          <w:color w:val="auto"/>
          <w:sz w:val="24"/>
          <w:highlight w:val="none"/>
        </w:rPr>
      </w:pPr>
      <w:r>
        <w:rPr>
          <w:rFonts w:hint="eastAsia" w:ascii="宋体" w:hAnsi="宋体"/>
          <w:color w:val="auto"/>
          <w:sz w:val="24"/>
          <w:highlight w:val="none"/>
        </w:rPr>
        <w:t>（4）若为自然人：提供“身份证明材料”；</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注：投标人根据自身情况选择提供以上（1）-（4）项其中之一复印件。</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2. 具有良好的商业信誉和健全的财务会计制度。</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（1）提供具有良好的商业信誉的承诺函原件（格式详见第三章）。</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（2）具备健全的财务会计制度的证明材料。</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①提供2019年度或2020年度经审计的财务报告复印件（包含审计报告和审计报告中所涉及的财务报表和报表附注）；</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②提供2019年度或2020年度投标人内部的财务报表复印件（至少包含资产负债表、利润表、现金流量表）；</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③提供截至投标文件递交截止日一年内银行出具的资信证明（复印件）；</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④投标人注册时间截至投标文件递交截止日不足一年的，提供在工商备案的公司章程（复印件）。</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注：投标人根据自身情况选择提供以上①-④项其中之一。</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3.具有履行合同所必须的设备和专业技术能力；</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提供承诺函原件，格式详见第三章</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4.具有依法缴纳税收和社会保障资金的良好记录；</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提供承诺函原件，格式详见第三章</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提供承诺函原件，格式详见第三章</w:t>
      </w:r>
    </w:p>
    <w:p>
      <w:pPr>
        <w:spacing w:line="312" w:lineRule="auto"/>
        <w:ind w:firstLine="542" w:firstLineChars="225"/>
        <w:rPr>
          <w:rFonts w:ascii="宋体" w:hAnsi="宋体"/>
          <w:b/>
          <w:color w:val="auto"/>
          <w:sz w:val="24"/>
          <w:highlight w:val="none"/>
        </w:rPr>
      </w:pPr>
      <w:r>
        <w:rPr>
          <w:rFonts w:hint="eastAsia" w:ascii="宋体" w:hAnsi="宋体"/>
          <w:b/>
          <w:color w:val="auto"/>
          <w:sz w:val="24"/>
          <w:highlight w:val="none"/>
        </w:rPr>
        <w:t>（二）落实政府采购政策需满足的资格要求：</w:t>
      </w:r>
    </w:p>
    <w:p>
      <w:pPr>
        <w:pStyle w:val="52"/>
        <w:spacing w:line="420" w:lineRule="exact"/>
        <w:ind w:left="480" w:firstLine="0" w:firstLineChars="0"/>
        <w:rPr>
          <w:rFonts w:ascii="宋体" w:hAnsi="宋体"/>
          <w:color w:val="auto"/>
          <w:sz w:val="24"/>
          <w:highlight w:val="none"/>
        </w:rPr>
      </w:pPr>
      <w:r>
        <w:rPr>
          <w:rFonts w:hint="eastAsia" w:ascii="宋体" w:hAnsi="宋体"/>
          <w:color w:val="auto"/>
          <w:sz w:val="24"/>
          <w:highlight w:val="none"/>
        </w:rPr>
        <w:t>落实政府采购政策需满足的资格要求：</w:t>
      </w:r>
      <w:r>
        <w:rPr>
          <w:rFonts w:hint="eastAsia" w:ascii="宋体" w:hAnsi="宋体"/>
          <w:iCs/>
          <w:color w:val="auto"/>
          <w:sz w:val="24"/>
          <w:highlight w:val="none"/>
          <w:u w:val="single"/>
        </w:rPr>
        <w:t>无</w:t>
      </w:r>
    </w:p>
    <w:p>
      <w:pPr>
        <w:numPr>
          <w:ilvl w:val="0"/>
          <w:numId w:val="3"/>
        </w:numPr>
        <w:spacing w:line="312" w:lineRule="auto"/>
        <w:ind w:firstLine="542" w:firstLineChars="225"/>
        <w:rPr>
          <w:rFonts w:ascii="宋体" w:hAnsi="宋体"/>
          <w:b/>
          <w:color w:val="auto"/>
          <w:sz w:val="24"/>
          <w:highlight w:val="none"/>
        </w:rPr>
      </w:pPr>
      <w:r>
        <w:rPr>
          <w:rFonts w:hint="eastAsia" w:ascii="宋体" w:hAnsi="宋体"/>
          <w:b/>
          <w:color w:val="auto"/>
          <w:sz w:val="24"/>
          <w:highlight w:val="none"/>
        </w:rPr>
        <w:t>本项目的特定资格要求：无</w:t>
      </w:r>
    </w:p>
    <w:p>
      <w:pPr>
        <w:numPr>
          <w:ilvl w:val="0"/>
          <w:numId w:val="3"/>
        </w:numPr>
        <w:spacing w:line="312" w:lineRule="auto"/>
        <w:ind w:firstLine="542" w:firstLineChars="225"/>
        <w:rPr>
          <w:rFonts w:ascii="宋体" w:hAnsi="宋体"/>
          <w:b/>
          <w:color w:val="auto"/>
          <w:sz w:val="24"/>
          <w:highlight w:val="none"/>
        </w:rPr>
      </w:pPr>
      <w:r>
        <w:rPr>
          <w:rFonts w:hint="eastAsia" w:ascii="宋体" w:hAnsi="宋体"/>
          <w:b/>
          <w:color w:val="auto"/>
          <w:sz w:val="24"/>
          <w:highlight w:val="none"/>
        </w:rPr>
        <w:t>根据采购项目提出的其他资格条件：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（1）具有有效的《林木种子经营许可证》和《林木种子生产许可证》,或《林木种子生产经营许可证》。（提供证书复印件）</w:t>
      </w:r>
    </w:p>
    <w:p>
      <w:pPr>
        <w:spacing w:line="400" w:lineRule="exact"/>
        <w:ind w:firstLine="480" w:firstLineChars="200"/>
        <w:rPr>
          <w:color w:val="auto"/>
          <w:highlight w:val="none"/>
        </w:rPr>
      </w:pPr>
      <w:r>
        <w:rPr>
          <w:rFonts w:hint="eastAsia" w:ascii="宋体" w:hAnsi="宋体"/>
          <w:color w:val="auto"/>
          <w:sz w:val="24"/>
          <w:highlight w:val="none"/>
        </w:rPr>
        <w:t>(2)投标人单位及其法定代表人/主要负责人在参加本项目采购活动前三年无行贿犯罪记录。（提供承诺函原件，格式详见第三章）</w:t>
      </w:r>
    </w:p>
    <w:p>
      <w:pPr>
        <w:pStyle w:val="4"/>
        <w:spacing w:line="360" w:lineRule="exact"/>
        <w:rPr>
          <w:rFonts w:ascii="宋体" w:eastAsia="宋体"/>
          <w:color w:val="auto"/>
          <w:sz w:val="24"/>
          <w:szCs w:val="24"/>
          <w:highlight w:val="none"/>
        </w:rPr>
      </w:pPr>
      <w:r>
        <w:rPr>
          <w:rFonts w:hint="eastAsia"/>
          <w:b w:val="0"/>
          <w:bCs w:val="0"/>
          <w:color w:val="auto"/>
          <w:sz w:val="24"/>
          <w:szCs w:val="24"/>
          <w:highlight w:val="none"/>
        </w:rPr>
        <w:t>二、</w:t>
      </w:r>
      <w:r>
        <w:rPr>
          <w:rFonts w:hint="eastAsia" w:ascii="宋体" w:eastAsia="宋体"/>
          <w:color w:val="auto"/>
          <w:sz w:val="24"/>
          <w:szCs w:val="24"/>
          <w:highlight w:val="none"/>
        </w:rPr>
        <w:t>应当提供的相关服务及其他类似效力要求的相关证明材料</w:t>
      </w:r>
    </w:p>
    <w:p>
      <w:pPr>
        <w:pStyle w:val="52"/>
        <w:spacing w:line="420" w:lineRule="exact"/>
        <w:ind w:firstLine="480"/>
        <w:rPr>
          <w:rFonts w:ascii="宋体" w:hAnsi="宋体"/>
          <w:color w:val="auto"/>
          <w:sz w:val="24"/>
          <w:highlight w:val="none"/>
        </w:rPr>
      </w:pPr>
      <w:r>
        <w:rPr>
          <w:rFonts w:hint="eastAsia" w:ascii="宋体" w:hAnsi="宋体"/>
          <w:color w:val="auto"/>
          <w:sz w:val="24"/>
          <w:highlight w:val="none"/>
        </w:rPr>
        <w:t>1.</w:t>
      </w:r>
      <w:r>
        <w:rPr>
          <w:rFonts w:hint="eastAsia"/>
          <w:color w:val="auto"/>
          <w:highlight w:val="none"/>
        </w:rPr>
        <w:t xml:space="preserve"> </w:t>
      </w:r>
      <w:r>
        <w:rPr>
          <w:rFonts w:hint="eastAsia" w:ascii="宋体" w:hAnsi="宋体"/>
          <w:color w:val="auto"/>
          <w:sz w:val="24"/>
          <w:highlight w:val="none"/>
        </w:rPr>
        <w:t>法定代表人/单位负责人身份证明原件及附件。（法定代表人/单位负责人亲自投标适用）</w:t>
      </w:r>
    </w:p>
    <w:p>
      <w:pPr>
        <w:spacing w:line="420" w:lineRule="exact"/>
        <w:ind w:firstLine="480" w:firstLineChars="200"/>
        <w:rPr>
          <w:rFonts w:ascii="宋体" w:hAnsi="宋体"/>
          <w:color w:val="auto"/>
          <w:highlight w:val="none"/>
        </w:rPr>
      </w:pPr>
      <w:r>
        <w:rPr>
          <w:rFonts w:ascii="宋体" w:hAnsi="宋体"/>
          <w:color w:val="auto"/>
          <w:sz w:val="24"/>
          <w:highlight w:val="none"/>
        </w:rPr>
        <w:t>2.</w:t>
      </w:r>
      <w:r>
        <w:rPr>
          <w:rFonts w:hint="eastAsia" w:ascii="宋体" w:hAnsi="宋体"/>
          <w:color w:val="auto"/>
          <w:sz w:val="24"/>
          <w:highlight w:val="none"/>
        </w:rPr>
        <w:t>法定代表人/单位负责人授权书原件及附件（授权代表投标适用）。</w:t>
      </w:r>
    </w:p>
    <w:p>
      <w:pPr>
        <w:spacing w:line="420" w:lineRule="exact"/>
        <w:rPr>
          <w:rFonts w:ascii="宋体" w:hAnsi="宋体"/>
          <w:b/>
          <w:bCs/>
          <w:color w:val="auto"/>
          <w:sz w:val="24"/>
          <w:highlight w:val="none"/>
        </w:rPr>
      </w:pPr>
      <w:r>
        <w:rPr>
          <w:rFonts w:hint="eastAsia" w:ascii="宋体" w:hAnsi="宋体"/>
          <w:b/>
          <w:bCs/>
          <w:color w:val="auto"/>
          <w:sz w:val="24"/>
          <w:highlight w:val="none"/>
        </w:rPr>
        <w:t>注：以上要求的资料复印件（身份证明材料除外）均须加盖投标人的公章（鲜章）。</w:t>
      </w:r>
    </w:p>
    <w:p>
      <w:pPr>
        <w:spacing w:line="360" w:lineRule="auto"/>
        <w:rPr>
          <w:rFonts w:ascii="宋体" w:hAnsi="宋体"/>
          <w:color w:val="auto"/>
          <w:sz w:val="36"/>
          <w:szCs w:val="36"/>
          <w:highlight w:val="none"/>
        </w:rPr>
      </w:pPr>
    </w:p>
    <w:bookmarkEnd w:id="188"/>
    <w:p>
      <w:pPr>
        <w:pStyle w:val="2"/>
        <w:rPr>
          <w:color w:val="auto"/>
          <w:highlight w:val="none"/>
        </w:rPr>
        <w:sectPr>
          <w:footerReference r:id="rId11" w:type="default"/>
          <w:pgSz w:w="11906" w:h="16838"/>
          <w:pgMar w:top="1440" w:right="1800" w:bottom="1440" w:left="1800" w:header="851" w:footer="992" w:gutter="0"/>
          <w:cols w:space="720" w:num="1"/>
          <w:docGrid w:type="lines" w:linePitch="312" w:charSpace="0"/>
        </w:sectPr>
      </w:pPr>
    </w:p>
    <w:p>
      <w:pPr>
        <w:pStyle w:val="3"/>
        <w:numPr>
          <w:ilvl w:val="0"/>
          <w:numId w:val="4"/>
        </w:numPr>
        <w:jc w:val="center"/>
        <w:rPr>
          <w:rFonts w:ascii="宋体" w:hAnsi="宋体"/>
          <w:color w:val="auto"/>
          <w:sz w:val="36"/>
          <w:szCs w:val="36"/>
          <w:highlight w:val="none"/>
        </w:rPr>
      </w:pPr>
      <w:bookmarkStart w:id="189" w:name="_Toc30297"/>
      <w:bookmarkStart w:id="190" w:name="_Toc56539473"/>
      <w:bookmarkStart w:id="191" w:name="_Toc24786"/>
      <w:r>
        <w:rPr>
          <w:rFonts w:hint="eastAsia" w:ascii="宋体" w:hAnsi="宋体"/>
          <w:color w:val="auto"/>
          <w:sz w:val="36"/>
          <w:szCs w:val="36"/>
          <w:highlight w:val="none"/>
        </w:rPr>
        <w:t xml:space="preserve"> 招标项目技术、服务、政府采购合同内容条款及其他商务要求</w:t>
      </w:r>
      <w:bookmarkEnd w:id="189"/>
      <w:bookmarkEnd w:id="190"/>
    </w:p>
    <w:p>
      <w:pPr>
        <w:pStyle w:val="7"/>
        <w:ind w:firstLine="420"/>
        <w:rPr>
          <w:bCs/>
          <w:color w:val="auto"/>
          <w:szCs w:val="32"/>
          <w:highlight w:val="none"/>
        </w:rPr>
      </w:pPr>
      <w:bookmarkStart w:id="192" w:name="_Toc217446095"/>
      <w:r>
        <w:rPr>
          <w:rFonts w:hint="eastAsia"/>
          <w:bCs/>
          <w:color w:val="auto"/>
          <w:szCs w:val="32"/>
          <w:highlight w:val="none"/>
        </w:rPr>
        <w:t>一</w:t>
      </w:r>
      <w:r>
        <w:rPr>
          <w:rFonts w:hint="eastAsia"/>
          <w:bCs/>
          <w:color w:val="auto"/>
          <w:szCs w:val="32"/>
          <w:highlight w:val="none"/>
          <w:lang w:eastAsia="zh-CN"/>
        </w:rPr>
        <w:t>、</w:t>
      </w:r>
      <w:r>
        <w:rPr>
          <w:rFonts w:hint="eastAsia"/>
          <w:bCs/>
          <w:color w:val="auto"/>
          <w:szCs w:val="32"/>
          <w:highlight w:val="none"/>
        </w:rPr>
        <w:t>项目概况</w:t>
      </w:r>
    </w:p>
    <w:p>
      <w:pPr>
        <w:pStyle w:val="7"/>
        <w:ind w:firstLine="420"/>
        <w:rPr>
          <w:color w:val="auto"/>
          <w:szCs w:val="32"/>
          <w:highlight w:val="none"/>
        </w:rPr>
      </w:pPr>
      <w:r>
        <w:rPr>
          <w:rFonts w:hint="eastAsia"/>
          <w:bCs/>
          <w:color w:val="auto"/>
          <w:szCs w:val="32"/>
          <w:highlight w:val="none"/>
        </w:rPr>
        <w:t>项目名称：爱成都、迎大运-花重锦官城（二环路刃具立交桥区品质提升）材料采购项目</w:t>
      </w:r>
      <w:r>
        <w:rPr>
          <w:rFonts w:hint="eastAsia"/>
          <w:color w:val="auto"/>
          <w:szCs w:val="32"/>
          <w:highlight w:val="none"/>
        </w:rPr>
        <w:t>。</w:t>
      </w:r>
    </w:p>
    <w:p>
      <w:pPr>
        <w:pStyle w:val="7"/>
        <w:ind w:firstLine="420"/>
        <w:rPr>
          <w:rFonts w:asciiTheme="minorEastAsia" w:hAnsiTheme="minorEastAsia" w:eastAsiaTheme="minorEastAsia"/>
          <w:bCs/>
          <w:color w:val="auto"/>
          <w:highlight w:val="none"/>
        </w:rPr>
      </w:pPr>
      <w:r>
        <w:rPr>
          <w:rFonts w:hint="eastAsia"/>
          <w:color w:val="auto"/>
          <w:szCs w:val="32"/>
          <w:highlight w:val="none"/>
        </w:rPr>
        <w:t>采购人：成都市绿化工程队。</w:t>
      </w:r>
    </w:p>
    <w:p>
      <w:pPr>
        <w:pStyle w:val="4"/>
        <w:spacing w:before="120" w:after="120"/>
        <w:ind w:left="420" w:left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二、*项目清单及要求</w:t>
      </w:r>
    </w:p>
    <w:tbl>
      <w:tblPr>
        <w:tblStyle w:val="27"/>
        <w:tblW w:w="10212" w:type="dxa"/>
        <w:tblInd w:w="93" w:type="dxa"/>
        <w:tblLayout w:type="fixed"/>
        <w:tblCellMar>
          <w:top w:w="0" w:type="dxa"/>
          <w:left w:w="108" w:type="dxa"/>
          <w:bottom w:w="0" w:type="dxa"/>
          <w:right w:w="108" w:type="dxa"/>
        </w:tblCellMar>
      </w:tblPr>
      <w:tblGrid>
        <w:gridCol w:w="616"/>
        <w:gridCol w:w="1421"/>
        <w:gridCol w:w="1194"/>
        <w:gridCol w:w="949"/>
        <w:gridCol w:w="616"/>
        <w:gridCol w:w="787"/>
        <w:gridCol w:w="616"/>
        <w:gridCol w:w="1177"/>
        <w:gridCol w:w="1178"/>
        <w:gridCol w:w="1658"/>
      </w:tblGrid>
      <w:tr>
        <w:tblPrEx>
          <w:tblCellMar>
            <w:top w:w="0" w:type="dxa"/>
            <w:left w:w="108" w:type="dxa"/>
            <w:bottom w:w="0" w:type="dxa"/>
            <w:right w:w="108" w:type="dxa"/>
          </w:tblCellMar>
        </w:tblPrEx>
        <w:trPr>
          <w:trHeight w:val="900" w:hRule="atLeast"/>
        </w:trPr>
        <w:tc>
          <w:tcPr>
            <w:tcW w:w="10212" w:type="dxa"/>
            <w:gridSpan w:val="10"/>
            <w:tcBorders>
              <w:top w:val="nil"/>
              <w:left w:val="nil"/>
              <w:bottom w:val="nil"/>
              <w:right w:val="nil"/>
            </w:tcBorders>
            <w:shd w:val="clear" w:color="auto" w:fill="auto"/>
            <w:vAlign w:val="center"/>
          </w:tcPr>
          <w:p>
            <w:pPr>
              <w:widowControl/>
              <w:jc w:val="center"/>
              <w:textAlignment w:val="center"/>
              <w:rPr>
                <w:rFonts w:ascii="宋体" w:hAnsi="宋体" w:cs="宋体"/>
                <w:color w:val="auto"/>
                <w:sz w:val="32"/>
                <w:szCs w:val="32"/>
                <w:highlight w:val="none"/>
              </w:rPr>
            </w:pPr>
            <w:r>
              <w:rPr>
                <w:rFonts w:hint="eastAsia" w:ascii="宋体" w:hAnsi="宋体" w:cs="宋体"/>
                <w:color w:val="auto"/>
                <w:kern w:val="0"/>
                <w:sz w:val="32"/>
                <w:szCs w:val="32"/>
                <w:highlight w:val="none"/>
                <w:lang w:bidi="ar"/>
              </w:rPr>
              <w:t>爱成都、迎大运-花重锦官城（二环路刃具立交桥区品质提升）材料清单</w:t>
            </w:r>
          </w:p>
        </w:tc>
      </w:tr>
      <w:tr>
        <w:tblPrEx>
          <w:tblCellMar>
            <w:top w:w="0" w:type="dxa"/>
            <w:left w:w="108" w:type="dxa"/>
            <w:bottom w:w="0" w:type="dxa"/>
            <w:right w:w="108" w:type="dxa"/>
          </w:tblCellMar>
        </w:tblPrEx>
        <w:trPr>
          <w:trHeight w:val="56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序号</w:t>
            </w:r>
          </w:p>
        </w:tc>
        <w:tc>
          <w:tcPr>
            <w:tcW w:w="14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名称</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规格</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密度</w:t>
            </w: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数量</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单位</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单价限价（元）</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合价限价（元）</w:t>
            </w:r>
          </w:p>
        </w:tc>
        <w:tc>
          <w:tcPr>
            <w:tcW w:w="1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备注</w:t>
            </w:r>
          </w:p>
        </w:tc>
      </w:tr>
      <w:tr>
        <w:tblPrEx>
          <w:tblCellMar>
            <w:top w:w="0" w:type="dxa"/>
            <w:left w:w="108" w:type="dxa"/>
            <w:bottom w:w="0" w:type="dxa"/>
            <w:right w:w="108" w:type="dxa"/>
          </w:tblCellMar>
        </w:tblPrEx>
        <w:trPr>
          <w:trHeight w:val="56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1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高度</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冠幅</w:t>
            </w: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H100千年木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4200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H100澳洲朱蕉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H100鹤望兰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4680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H120龙血树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H120鹤望兰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750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容器苗，每盆5苗以上，冠形饱满，长势佳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H120春羽</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720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H120塔柏</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160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480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假植苗，冠形饱满，长势佳，无断头，不亮脚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H120千年木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1350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H120丛生海芋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180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H150龙血树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200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H150细叶棕竹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容器苗，10苗以上，冠形饱满，长势佳，不脱脚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H150春羽</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H150塔柏</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220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1100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假植苗，冠形饱满，长势佳，无断头，不亮脚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H150丛生海芋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360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H180细叶棕竹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150-180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180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180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丛生假植苗，15苗以上，冠形饱满，长势佳，不脱脚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H40金边一叶兰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1445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容器苗，15苗以上，冠形饱满，长势佳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H50金边一叶兰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1190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容器苗，20苗以上，冠形饱满，长势佳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H50狐尾天门冬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2625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容器苗，15苗以上，冠形饱满，长势佳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H60金边一叶兰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1980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容器苗，20苗以上，冠形饱满，长势佳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H60狐尾天门冬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3120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容器苗，20苗以上，冠形饱满，长势佳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H70金心也门铁</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70-80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910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H80金心也门铁</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720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容器苗，每盆3株，冠形饱满，长势佳，不亮脚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P100银姬小蜡球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90-100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P100龟甲冬青球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90-100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180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P120龟甲冬青球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230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460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P120海桐球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180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720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P150海桐球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120-150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260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1040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假植苗，冠形饱满，修剪成球，不亮脚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P80银姬小蜡球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80-90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容器苗，冠形饱满，修剪成球，不亮脚</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H120澳洲朱蕉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80-100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150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5250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容器苗，冠形饱满，长势佳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佛甲草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15228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60912</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无尽夏绣球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2979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59580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墨西哥飞蓬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1382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9674</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花烟草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328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2296</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白美人狼尾草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475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7125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墨西哥鼠尾草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765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3442.5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百子莲</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1900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22</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41800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2加仑，10分蘖以上/株；满铺</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肾蕨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9913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49565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336</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矾根</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715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5720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紫穗狼尾草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80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假篙</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313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3756</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鼠尾草（超级一串红）</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823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20575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紫娇花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519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3114</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晨光芒</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373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9325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紫叶千鸟花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394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2758</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薄雪万年草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5-10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4423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53076</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红叶朱蕉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702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17550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30双色红盆，无病虫害，密植不露土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富贵蕨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198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2970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鸟巢蕨</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584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7008</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苹果竹芋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303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7575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20红盆，容器苗，叶茂密，长势佳，密植不见土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细叶芒</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60-70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192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3840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紫叶酢浆草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2460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14760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花叶玉簪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363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2541</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15双色杯，无枯黄枝叶、无杂草、每盆保证百分之95的新绿叶。2年生以上盆苗</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西伯利亚鸢尾</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45-50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2641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13205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15杯盆苗，紧密种植，以不见土为宜</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火星花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490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1960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15黑杯，容器苗，叶茂密，长势佳，密植不见土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春羽</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55-60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870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15黑杯，袋苗，叶片&gt;5张，枝叶茂密，密植不见土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金叶石菖蒲</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4608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0.8</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3686.4</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13黑杯，容器苗，枝叶茂密，密植不见土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紫萼玉簪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354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2478</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大吴风草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530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3180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15黑杯，容器苗，叶茂密，长势佳，密植不见土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冷水花</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240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1680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金边阔叶麦冬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693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4504.5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竹芋</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1125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30红盆，容器苗，叶茂密，长势佳，密植不见土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熊猫堇</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49</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3308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7.8</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25802.4</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花叶蒲苇</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100-120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21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2520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35美植袋，容器苗，叶茂密，长势佳，密植不见土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常绿萱草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832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0.8</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665.6</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地苗，无病虫害，枝叶茂密，密植不露土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虎耳草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279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2232</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凤凰绿苔草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490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4900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蓝鸟鼠尾草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451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3608</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八角金盘</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60-80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40-45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1620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18杯，袋苗，枝叶茂密，不脱脚，密植不见土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灯芯草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50-60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40-50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288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23</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6624</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2加仑，容器苗，叶茂密，长势佳</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大父玉簪</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25-30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408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4080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15双色杯，容器苗，枝叶茂密，密植不见土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一叶兰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35-40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245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6125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26杯，容器苗，叶茂密，长势佳，密植不见土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狐尾天门冬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30-35</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20-25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93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4650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26杯，无病虫害，密植不露土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玉龙草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81</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1500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72</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108000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12斤/m</w:t>
            </w:r>
            <w:r>
              <w:rPr>
                <w:rStyle w:val="65"/>
                <w:rFonts w:hint="default"/>
                <w:color w:val="auto"/>
                <w:highlight w:val="none"/>
                <w:lang w:bidi="ar"/>
              </w:rPr>
              <w:t>2</w:t>
            </w:r>
            <w:r>
              <w:rPr>
                <w:rStyle w:val="66"/>
                <w:rFonts w:hint="default"/>
                <w:color w:val="auto"/>
                <w:highlight w:val="none"/>
                <w:lang w:bidi="ar"/>
              </w:rPr>
              <w:t>,裸根不带土，无病虫害，密植不露土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麦冬</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4945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12</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59340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8斤/m</w:t>
            </w:r>
            <w:r>
              <w:rPr>
                <w:rStyle w:val="65"/>
                <w:rFonts w:hint="default"/>
                <w:color w:val="auto"/>
                <w:highlight w:val="none"/>
                <w:lang w:bidi="ar"/>
              </w:rPr>
              <w:t>2</w:t>
            </w:r>
            <w:r>
              <w:rPr>
                <w:rStyle w:val="66"/>
                <w:rFonts w:hint="default"/>
                <w:color w:val="auto"/>
                <w:highlight w:val="none"/>
                <w:lang w:bidi="ar"/>
              </w:rPr>
              <w:t>,裸根不带土，无病虫害，密植不露土</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翠云草</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36</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7362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51534</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15双色杯，满铺，紧密种植，以不见土为宜</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轻质覆盖物</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223.1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Style w:val="66"/>
                <w:rFonts w:hint="default"/>
                <w:color w:val="auto"/>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 xml:space="preserve">120.00 </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26772</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松树皮（片径10-20mm，红棕色，散铺100mm厚）满铺，以不见土为宜</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连砂石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303.92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160.3</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48718.376</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color w:val="auto"/>
                <w:sz w:val="20"/>
                <w:szCs w:val="20"/>
                <w:highlight w:val="none"/>
                <w:lang w:val="en-US" w:eastAsia="zh-CN"/>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天然砂</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17.89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208.87</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3736.6843</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浅灰色透水混凝土 C20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59.71</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t</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580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34631.8</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商品混凝土 C20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25.05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480.58</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12038.529</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干混地面砂浆 M15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103.37</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t</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365.28</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37758.9936</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600x150x50厚烧面芝麻灰花岗石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252.96</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83</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20995.68</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商品细石混凝土 C15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10.75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470.87</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5061.8525</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600*150*200mm厚烧面芝麻灰花岗石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75</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53250</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86</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粗砂</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37.64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208.87</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7861.8668</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87</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土工布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686.96</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3.3</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2266.968</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按采购人要求的时间送到指定位置</w:t>
            </w:r>
          </w:p>
        </w:tc>
      </w:tr>
      <w:tr>
        <w:tblPrEx>
          <w:tblCellMar>
            <w:top w:w="0" w:type="dxa"/>
            <w:left w:w="108" w:type="dxa"/>
            <w:bottom w:w="0" w:type="dxa"/>
            <w:right w:w="108" w:type="dxa"/>
          </w:tblCellMar>
        </w:tblPrEx>
        <w:trPr>
          <w:trHeight w:val="10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成品LED发光秋千(包安装及运输费用)</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规格：进口聚乙烯,太阳能   1400*400*1040mm</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4186.52</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41865.2</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color w:val="auto"/>
                <w:sz w:val="20"/>
                <w:szCs w:val="20"/>
                <w:highlight w:val="none"/>
                <w:lang w:val="en-US" w:eastAsia="zh-CN"/>
              </w:rPr>
            </w:pPr>
            <w:r>
              <w:rPr>
                <w:rFonts w:hint="eastAsia" w:ascii="等线" w:hAnsi="等线" w:eastAsia="等线" w:cs="等线"/>
                <w:color w:val="auto"/>
                <w:sz w:val="20"/>
                <w:szCs w:val="20"/>
                <w:highlight w:val="none"/>
                <w:lang w:val="en-US" w:eastAsia="zh-CN"/>
              </w:rPr>
              <w:t>具体尺寸详见施工图</w:t>
            </w:r>
          </w:p>
        </w:tc>
      </w:tr>
      <w:tr>
        <w:tblPrEx>
          <w:tblCellMar>
            <w:top w:w="0" w:type="dxa"/>
            <w:left w:w="108" w:type="dxa"/>
            <w:bottom w:w="0" w:type="dxa"/>
            <w:right w:w="108" w:type="dxa"/>
          </w:tblCellMar>
        </w:tblPrEx>
        <w:trPr>
          <w:trHeight w:val="10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89</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成品玻璃坐凳(包安装及运输费用)</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规格：玻璃钢+竹木      1500X500X450mm</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个</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3986.52</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79730.4</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具体尺寸详见施工图</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10-15mm浅灰砾石</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11.09</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t</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450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4990.5</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强透水混凝土 C20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86.96</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m³</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550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47828</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7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304哑光面银色不锈钢板 1.5mm</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auto"/>
                <w:sz w:val="20"/>
                <w:szCs w:val="20"/>
                <w:highlight w:val="none"/>
              </w:rPr>
            </w:pPr>
            <w:r>
              <w:rPr>
                <w:rFonts w:hint="eastAsia" w:ascii="等线" w:hAnsi="等线" w:eastAsia="等线" w:cs="等线"/>
                <w:color w:val="auto"/>
                <w:sz w:val="20"/>
                <w:szCs w:val="20"/>
                <w:highlight w:val="none"/>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53.05</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m</w:t>
            </w:r>
            <w:r>
              <w:rPr>
                <w:rStyle w:val="65"/>
                <w:rFonts w:hint="default"/>
                <w:color w:val="auto"/>
                <w:highlight w:val="none"/>
                <w:lang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lang w:bidi="ar"/>
              </w:rPr>
              <w:t>230</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12201.5</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szCs w:val="22"/>
                <w:highlight w:val="none"/>
              </w:rPr>
            </w:pPr>
            <w:r>
              <w:rPr>
                <w:rFonts w:hint="eastAsia" w:ascii="等线" w:hAnsi="等线" w:eastAsia="等线" w:cs="等线"/>
                <w:color w:val="auto"/>
                <w:sz w:val="20"/>
                <w:szCs w:val="20"/>
                <w:highlight w:val="none"/>
                <w:lang w:val="en-US" w:eastAsia="zh-CN"/>
              </w:rPr>
              <w:t>按采购人要求的时间、工程量分批送到指定位置</w:t>
            </w:r>
          </w:p>
        </w:tc>
      </w:tr>
      <w:tr>
        <w:tblPrEx>
          <w:tblCellMar>
            <w:top w:w="0" w:type="dxa"/>
            <w:left w:w="108" w:type="dxa"/>
            <w:bottom w:w="0" w:type="dxa"/>
            <w:right w:w="108" w:type="dxa"/>
          </w:tblCellMar>
        </w:tblPrEx>
        <w:trPr>
          <w:trHeight w:val="270" w:hRule="atLeast"/>
        </w:trPr>
        <w:tc>
          <w:tcPr>
            <w:tcW w:w="737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1189746.75 </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szCs w:val="22"/>
                <w:highlight w:val="none"/>
              </w:rPr>
            </w:pPr>
          </w:p>
        </w:tc>
      </w:tr>
    </w:tbl>
    <w:p>
      <w:pPr>
        <w:rPr>
          <w:color w:val="auto"/>
          <w:highlight w:val="none"/>
        </w:rPr>
      </w:pPr>
    </w:p>
    <w:bookmarkEnd w:id="192"/>
    <w:p>
      <w:pPr>
        <w:pStyle w:val="11"/>
        <w:numPr>
          <w:ilvl w:val="255"/>
          <w:numId w:val="0"/>
        </w:numPr>
        <w:rPr>
          <w:rFonts w:hint="default"/>
          <w:color w:val="auto"/>
          <w:highlight w:val="none"/>
          <w:lang w:val="en-US" w:eastAsia="zh-CN"/>
        </w:rPr>
      </w:pPr>
      <w:r>
        <w:rPr>
          <w:rFonts w:hint="eastAsia"/>
          <w:color w:val="auto"/>
          <w:highlight w:val="none"/>
          <w:lang w:val="en-US" w:eastAsia="zh-CN"/>
        </w:rPr>
        <w:t>附：玻璃坐凳图片</w:t>
      </w:r>
    </w:p>
    <w:p>
      <w:pPr>
        <w:pStyle w:val="11"/>
        <w:numPr>
          <w:ilvl w:val="255"/>
          <w:numId w:val="0"/>
        </w:numPr>
        <w:rPr>
          <w:rFonts w:hint="eastAsia" w:eastAsia="宋体"/>
          <w:color w:val="auto"/>
          <w:highlight w:val="none"/>
          <w:lang w:val="en-US" w:eastAsia="zh-CN"/>
        </w:rPr>
      </w:pPr>
      <w:r>
        <w:rPr>
          <w:rFonts w:hint="eastAsia" w:eastAsia="宋体"/>
          <w:color w:val="auto"/>
          <w:highlight w:val="none"/>
          <w:lang w:val="en-US" w:eastAsia="zh-CN"/>
        </w:rPr>
        <w:drawing>
          <wp:inline distT="0" distB="0" distL="114300" distR="114300">
            <wp:extent cx="6115685" cy="3706495"/>
            <wp:effectExtent l="0" t="0" r="18415" b="8255"/>
            <wp:docPr id="1" name="图片 1" descr="55bcd7a18b583639e56490002ce6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5bcd7a18b583639e56490002ce63de"/>
                    <pic:cNvPicPr>
                      <a:picLocks noChangeAspect="1"/>
                    </pic:cNvPicPr>
                  </pic:nvPicPr>
                  <pic:blipFill>
                    <a:blip r:embed="rId14"/>
                    <a:stretch>
                      <a:fillRect/>
                    </a:stretch>
                  </pic:blipFill>
                  <pic:spPr>
                    <a:xfrm>
                      <a:off x="0" y="0"/>
                      <a:ext cx="6115685" cy="3706495"/>
                    </a:xfrm>
                    <a:prstGeom prst="rect">
                      <a:avLst/>
                    </a:prstGeom>
                  </pic:spPr>
                </pic:pic>
              </a:graphicData>
            </a:graphic>
          </wp:inline>
        </w:drawing>
      </w:r>
    </w:p>
    <w:p>
      <w:pPr>
        <w:pStyle w:val="4"/>
        <w:spacing w:before="120" w:after="120"/>
        <w:ind w:left="420" w:left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三、*商务要求</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1、供货期限：合同签订后1年，成交供应商根据采购人需求分批次供货。采购人可根据实际需求对采购项目的采购数量进行调整。成交供应商应在接采购人通知后 2 日内提供当批次货物到采购人指定地点交付采购人验收。</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付款方式：结算时，按实际发生结算。开工后，甲方根据整个大运会绿化工程进度支付不高于合同金额的65%，完工后，根据财政资金到位情况支付工程进度款，审计完成后，根据财政资金到位情况支付工程尾款。成交供应商须向甲方出具合法有效完整的完税发票及凭证资料进行支付结算，逾期提交的，甲方有权拒绝支付且不承担违约责任。</w:t>
      </w:r>
    </w:p>
    <w:p>
      <w:pPr>
        <w:pStyle w:val="2"/>
        <w:spacing w:line="360" w:lineRule="auto"/>
        <w:ind w:firstLine="480" w:firstLineChars="200"/>
        <w:rPr>
          <w:rFonts w:hAnsi="宋体"/>
          <w:color w:val="auto"/>
          <w:highlight w:val="none"/>
        </w:rPr>
      </w:pPr>
      <w:r>
        <w:rPr>
          <w:rFonts w:hint="eastAsia" w:hAnsi="宋体"/>
          <w:color w:val="auto"/>
          <w:highlight w:val="none"/>
        </w:rPr>
        <w:t>3、服务地点：采购人指定地点</w:t>
      </w:r>
    </w:p>
    <w:p>
      <w:pPr>
        <w:snapToGrid w:val="0"/>
        <w:spacing w:line="360" w:lineRule="auto"/>
        <w:ind w:firstLine="480"/>
        <w:outlineLvl w:val="1"/>
        <w:rPr>
          <w:rFonts w:ascii="宋体" w:hAnsi="宋体" w:cs="宋体"/>
          <w:color w:val="auto"/>
          <w:sz w:val="24"/>
          <w:highlight w:val="none"/>
        </w:rPr>
      </w:pPr>
      <w:r>
        <w:rPr>
          <w:rFonts w:hint="eastAsia" w:ascii="宋体" w:hAnsi="宋体" w:cs="宋体"/>
          <w:color w:val="auto"/>
          <w:sz w:val="24"/>
          <w:highlight w:val="none"/>
        </w:rPr>
        <w:t>4、验收：严格按照《财政部关于进一步加强政府采购需求和履约验收管理的指导意见》（财库[2016]205号）文件的要求进行。</w:t>
      </w:r>
    </w:p>
    <w:p>
      <w:pPr>
        <w:snapToGrid w:val="0"/>
        <w:spacing w:line="360" w:lineRule="auto"/>
        <w:ind w:firstLine="480"/>
        <w:outlineLvl w:val="1"/>
        <w:rPr>
          <w:rFonts w:ascii="宋体" w:hAnsi="宋体" w:cs="宋体"/>
          <w:color w:val="auto"/>
          <w:sz w:val="24"/>
          <w:highlight w:val="none"/>
        </w:rPr>
      </w:pPr>
      <w:r>
        <w:rPr>
          <w:rFonts w:hint="eastAsia" w:ascii="宋体" w:hAnsi="宋体" w:cs="宋体"/>
          <w:color w:val="auto"/>
          <w:sz w:val="24"/>
          <w:highlight w:val="none"/>
        </w:rPr>
        <w:t>5、成交供应商将货物送交采购人验收时，采购人有权要求成交供应商将不满足清单标准及说明中货物特征描述的更换为合格的。（提供承诺函）</w:t>
      </w:r>
    </w:p>
    <w:p>
      <w:pPr>
        <w:pStyle w:val="11"/>
        <w:spacing w:after="0" w:line="360" w:lineRule="auto"/>
        <w:ind w:firstLine="480"/>
        <w:rPr>
          <w:rFonts w:ascii="宋体" w:hAnsi="宋体" w:cs="宋体"/>
          <w:color w:val="auto"/>
          <w:sz w:val="24"/>
          <w:highlight w:val="none"/>
        </w:rPr>
      </w:pPr>
      <w:r>
        <w:rPr>
          <w:rFonts w:hint="eastAsia" w:ascii="宋体" w:hAnsi="宋体" w:cs="宋体"/>
          <w:color w:val="auto"/>
          <w:sz w:val="24"/>
          <w:highlight w:val="none"/>
        </w:rPr>
        <w:t>6、结算时, 成交供应商应向采购人提供增值税发票（发票类别、合并编码：育种和育苗、1010201000000000000）</w:t>
      </w:r>
    </w:p>
    <w:p>
      <w:pPr>
        <w:pStyle w:val="2"/>
        <w:spacing w:line="360" w:lineRule="auto"/>
        <w:ind w:firstLine="482"/>
        <w:rPr>
          <w:rFonts w:hAnsi="宋体"/>
          <w:color w:val="auto"/>
          <w:highlight w:val="none"/>
        </w:rPr>
      </w:pPr>
      <w:r>
        <w:rPr>
          <w:rFonts w:hint="eastAsia" w:hAnsi="宋体"/>
          <w:color w:val="auto"/>
          <w:highlight w:val="none"/>
        </w:rPr>
        <w:t>7、</w:t>
      </w:r>
      <w:r>
        <w:rPr>
          <w:rFonts w:hint="eastAsia" w:hAnsi="宋体"/>
          <w:color w:val="auto"/>
          <w:kern w:val="2"/>
          <w:highlight w:val="none"/>
        </w:rPr>
        <w:t>要求投标人提供优质、存活率高的植株，鉴于栽种后发生植株死亡的情况, 后续养护期间苗木死亡率≤15%时，由成交供应商</w:t>
      </w:r>
      <w:r>
        <w:rPr>
          <w:rFonts w:hint="eastAsia" w:hAnsi="宋体"/>
          <w:color w:val="auto"/>
          <w:kern w:val="2"/>
          <w:highlight w:val="none"/>
          <w:lang w:val="en-US" w:eastAsia="zh-CN"/>
        </w:rPr>
        <w:t>无偿</w:t>
      </w:r>
      <w:r>
        <w:rPr>
          <w:rFonts w:hint="eastAsia" w:hAnsi="宋体"/>
          <w:color w:val="auto"/>
          <w:kern w:val="2"/>
          <w:highlight w:val="none"/>
        </w:rPr>
        <w:t>提供材料（7日内）。</w:t>
      </w:r>
    </w:p>
    <w:p>
      <w:pPr>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8、其他要求</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（1）合同期限内，采购人有权在清单范围内变更植物的采购数量，结算时按实际供货量为准。</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（2）报价要求：投标人报价应包含植物、包土球、装车、吊装、运输、税务发票、检疫、到达施工现场等所有费用的最终报价。由于供货时间紧急，苗木数量零星，请投标人自行考虑运输成本。</w:t>
      </w:r>
    </w:p>
    <w:p>
      <w:pPr>
        <w:pStyle w:val="64"/>
        <w:spacing w:line="360" w:lineRule="auto"/>
        <w:ind w:firstLine="480"/>
        <w:rPr>
          <w:rFonts w:ascii="宋体" w:hAnsi="宋体" w:cs="宋体"/>
          <w:color w:val="auto"/>
          <w:sz w:val="24"/>
          <w:szCs w:val="24"/>
          <w:highlight w:val="none"/>
        </w:rPr>
      </w:pPr>
      <w:r>
        <w:rPr>
          <w:rFonts w:hint="eastAsia" w:ascii="宋体" w:hAnsi="宋体" w:cs="宋体"/>
          <w:bCs/>
          <w:color w:val="auto"/>
          <w:sz w:val="24"/>
          <w:szCs w:val="24"/>
          <w:highlight w:val="none"/>
        </w:rPr>
        <w:t>（3）植物满足国家相关技术要求规范。采购植物须根发达的熟货，土球完好不松散、无病虫害和未愈合的机械损伤，树叶色正常，长势良好。树型饱满、全冠、枝条分布均匀。分枝统一，高度一致，树干通直，独立主干（非双叉）、土球直径为8-10倍胸径，本地苗（非黄土栽植），须根发达的熟货。（注：胸径指植株出土面向上1.2米处测量）花卉、花境送到现场，需经采购方确认。</w:t>
      </w:r>
    </w:p>
    <w:p>
      <w:pPr>
        <w:pStyle w:val="2"/>
        <w:spacing w:line="360" w:lineRule="auto"/>
        <w:ind w:firstLine="480" w:firstLineChars="200"/>
        <w:rPr>
          <w:rFonts w:hAnsi="宋体"/>
          <w:color w:val="auto"/>
          <w:kern w:val="2"/>
          <w:highlight w:val="none"/>
        </w:rPr>
      </w:pPr>
      <w:r>
        <w:rPr>
          <w:rFonts w:hint="eastAsia" w:hAnsi="宋体"/>
          <w:color w:val="auto"/>
          <w:kern w:val="2"/>
          <w:highlight w:val="none"/>
        </w:rPr>
        <w:t>9、成交供应商后期必须配合采购人完成该项目的送审工作。</w:t>
      </w:r>
    </w:p>
    <w:p>
      <w:pPr>
        <w:pStyle w:val="4"/>
        <w:spacing w:before="120" w:after="120"/>
        <w:ind w:firstLine="32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四、服务方案</w:t>
      </w:r>
    </w:p>
    <w:p>
      <w:pPr>
        <w:ind w:firstLine="480"/>
        <w:rPr>
          <w:color w:val="auto"/>
          <w:sz w:val="24"/>
          <w:highlight w:val="none"/>
        </w:rPr>
      </w:pPr>
      <w:r>
        <w:rPr>
          <w:rFonts w:hint="eastAsia"/>
          <w:color w:val="auto"/>
          <w:sz w:val="24"/>
          <w:highlight w:val="none"/>
        </w:rPr>
        <w:t>投标人</w:t>
      </w:r>
      <w:r>
        <w:rPr>
          <w:color w:val="auto"/>
          <w:sz w:val="24"/>
          <w:highlight w:val="none"/>
        </w:rPr>
        <w:t>针对本项目内容提供</w:t>
      </w:r>
      <w:r>
        <w:rPr>
          <w:rFonts w:hint="eastAsia"/>
          <w:color w:val="auto"/>
          <w:sz w:val="24"/>
          <w:highlight w:val="none"/>
        </w:rPr>
        <w:t>机构设置及管理制度；实施方案；</w:t>
      </w:r>
      <w:r>
        <w:rPr>
          <w:rFonts w:ascii="宋体" w:hAnsi="宋体" w:cs="宋体"/>
          <w:color w:val="auto"/>
          <w:sz w:val="24"/>
          <w:highlight w:val="none"/>
        </w:rPr>
        <w:t>安全文明、环境保护措施</w:t>
      </w:r>
      <w:r>
        <w:rPr>
          <w:rFonts w:hint="eastAsia"/>
          <w:color w:val="auto"/>
          <w:sz w:val="24"/>
          <w:highlight w:val="none"/>
        </w:rPr>
        <w:t>；应急方案。</w:t>
      </w:r>
    </w:p>
    <w:p>
      <w:pPr>
        <w:ind w:firstLine="480"/>
        <w:rPr>
          <w:color w:val="auto"/>
          <w:highlight w:val="none"/>
        </w:rPr>
      </w:pPr>
    </w:p>
    <w:p>
      <w:pPr>
        <w:pStyle w:val="7"/>
        <w:ind w:firstLine="0" w:firstLineChars="0"/>
        <w:rPr>
          <w:rFonts w:asciiTheme="minorEastAsia" w:hAnsiTheme="minorEastAsia" w:eastAsiaTheme="minorEastAsia"/>
          <w:b/>
          <w:bCs/>
          <w:color w:val="auto"/>
          <w:highlight w:val="none"/>
        </w:rPr>
      </w:pPr>
    </w:p>
    <w:p>
      <w:pPr>
        <w:pStyle w:val="7"/>
        <w:ind w:firstLine="0" w:firstLineChars="0"/>
        <w:rPr>
          <w:rFonts w:asciiTheme="minorEastAsia" w:hAnsiTheme="minorEastAsia" w:eastAsiaTheme="minorEastAsia"/>
          <w:b/>
          <w:bCs/>
          <w:color w:val="auto"/>
          <w:highlight w:val="none"/>
        </w:rPr>
      </w:pPr>
    </w:p>
    <w:p>
      <w:pPr>
        <w:pStyle w:val="7"/>
        <w:ind w:firstLine="482"/>
        <w:rPr>
          <w:rFonts w:ascii="宋体" w:hAnsi="宋体" w:cs="宋体"/>
          <w:b/>
          <w:bCs/>
          <w:color w:val="auto"/>
          <w:sz w:val="24"/>
          <w:highlight w:val="none"/>
        </w:rPr>
      </w:pPr>
      <w:r>
        <w:rPr>
          <w:rFonts w:hint="eastAsia" w:ascii="宋体" w:hAnsi="宋体" w:cs="宋体"/>
          <w:b/>
          <w:bCs/>
          <w:color w:val="auto"/>
          <w:sz w:val="24"/>
          <w:highlight w:val="none"/>
        </w:rPr>
        <w:t>注意：1、以上打“*”号的为本次招标项目的实质性要求，不允许有负偏离。</w:t>
      </w:r>
    </w:p>
    <w:p>
      <w:pPr>
        <w:rPr>
          <w:color w:val="auto"/>
          <w:highlight w:val="none"/>
        </w:rPr>
      </w:pPr>
    </w:p>
    <w:p>
      <w:pPr>
        <w:spacing w:line="500" w:lineRule="exact"/>
        <w:rPr>
          <w:rFonts w:ascii="宋体" w:hAnsi="宋体"/>
          <w:color w:val="auto"/>
          <w:sz w:val="36"/>
          <w:szCs w:val="36"/>
          <w:highlight w:val="none"/>
        </w:rPr>
      </w:pPr>
      <w:r>
        <w:rPr>
          <w:rFonts w:ascii="宋体" w:hAnsi="宋体"/>
          <w:color w:val="auto"/>
          <w:sz w:val="36"/>
          <w:szCs w:val="36"/>
          <w:highlight w:val="none"/>
        </w:rPr>
        <w:br w:type="page"/>
      </w:r>
    </w:p>
    <w:p>
      <w:pPr>
        <w:pStyle w:val="3"/>
        <w:spacing w:line="400" w:lineRule="exact"/>
        <w:jc w:val="center"/>
        <w:rPr>
          <w:rFonts w:ascii="宋体" w:hAnsi="宋体"/>
          <w:color w:val="auto"/>
          <w:sz w:val="36"/>
          <w:szCs w:val="36"/>
          <w:highlight w:val="none"/>
        </w:rPr>
      </w:pPr>
      <w:bookmarkStart w:id="193" w:name="_Toc56539474"/>
      <w:r>
        <w:rPr>
          <w:rFonts w:hint="eastAsia" w:ascii="宋体" w:hAnsi="宋体"/>
          <w:color w:val="auto"/>
          <w:sz w:val="36"/>
          <w:szCs w:val="36"/>
          <w:highlight w:val="none"/>
        </w:rPr>
        <w:t>第七章  评标办法</w:t>
      </w:r>
      <w:bookmarkEnd w:id="191"/>
      <w:bookmarkEnd w:id="193"/>
      <w:bookmarkStart w:id="194" w:name="_Hlt101846155"/>
      <w:bookmarkEnd w:id="194"/>
      <w:bookmarkStart w:id="195" w:name="_Toc208849007"/>
      <w:bookmarkStart w:id="196" w:name="_Toc183682415"/>
      <w:bookmarkStart w:id="197" w:name="_Toc183582280"/>
      <w:bookmarkStart w:id="198" w:name="_Toc217446097"/>
    </w:p>
    <w:p>
      <w:pPr>
        <w:pStyle w:val="4"/>
        <w:rPr>
          <w:rFonts w:ascii="宋体" w:hAnsi="宋体" w:eastAsia="宋体"/>
          <w:color w:val="auto"/>
          <w:sz w:val="24"/>
          <w:szCs w:val="24"/>
          <w:highlight w:val="none"/>
        </w:rPr>
      </w:pPr>
      <w:r>
        <w:rPr>
          <w:rFonts w:hint="eastAsia" w:ascii="宋体" w:hAnsi="宋体" w:eastAsia="宋体"/>
          <w:color w:val="auto"/>
          <w:sz w:val="24"/>
          <w:szCs w:val="24"/>
          <w:highlight w:val="none"/>
        </w:rPr>
        <w:t>1. 总则</w:t>
      </w:r>
      <w:bookmarkEnd w:id="195"/>
      <w:bookmarkEnd w:id="196"/>
      <w:bookmarkEnd w:id="197"/>
      <w:bookmarkEnd w:id="198"/>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人是否具备投标资格。</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合格投标人不足三家的，不得评标。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评标工作由采购代理机构负责组织，具体评标事务由采购代理机构依法组建的评标委员会负责。评标委员会由采购人代表和有关技术、经济、法律等方面的专家组成。</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1.3 评标工作应遵循公平、公正、科学及择优的原则，并以相同的评标程序和标准对待所有的投标人。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1.4 评标委员会按照招标文件规定的评标方法和标准进行评标，并独立履行下列职责：</w:t>
      </w:r>
    </w:p>
    <w:p>
      <w:pPr>
        <w:spacing w:line="400" w:lineRule="exact"/>
        <w:ind w:firstLine="480" w:firstLineChars="200"/>
        <w:rPr>
          <w:rFonts w:ascii="宋体" w:hAnsi="宋体"/>
          <w:color w:val="auto"/>
          <w:sz w:val="24"/>
          <w:highlight w:val="none"/>
        </w:rPr>
      </w:pPr>
      <w:bookmarkStart w:id="199" w:name="_Toc217446098"/>
      <w:r>
        <w:rPr>
          <w:rFonts w:hint="eastAsia" w:ascii="宋体" w:hAnsi="宋体"/>
          <w:color w:val="auto"/>
          <w:sz w:val="24"/>
          <w:highlight w:val="none"/>
        </w:rPr>
        <w:t>（一）熟悉和理解招标文件；</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（二）审查投标人（已通过资格审查）的投标文件是否满足招标文件要求，并作出评价；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（三）根据需要要求招标采购单位对招标文件作出解释；根据需要要求投标人对投标文件有关事项作出澄清、说明或者更正；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（四）推荐中标候选人，或者受采购人委托确定中标人；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（五）起草评标报告并进行签署；</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（六）向招标采购单位、财政部门或者其他监督部门报告非法干预评标工作的行为；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（七）法律、法规和规章规定的其他职责。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1.5 评标过程独立、保密。投标人非法干预评标过程的行为将导致其投标文件作为无效处理。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1.6 评标委员会评价投标文件的响应性，对于投标人而言，除评标委员会要求其澄清、说明或者更正而提供的资料外，仅依据投标文件本身的内容，不寻求其他外部证据。</w:t>
      </w:r>
    </w:p>
    <w:p>
      <w:pPr>
        <w:pStyle w:val="4"/>
        <w:rPr>
          <w:rFonts w:ascii="宋体" w:hAnsi="宋体" w:eastAsia="宋体"/>
          <w:color w:val="auto"/>
          <w:sz w:val="24"/>
          <w:szCs w:val="24"/>
          <w:highlight w:val="none"/>
        </w:rPr>
      </w:pPr>
      <w:r>
        <w:rPr>
          <w:rFonts w:hint="eastAsia" w:ascii="宋体" w:hAnsi="宋体" w:eastAsia="宋体"/>
          <w:color w:val="auto"/>
          <w:sz w:val="24"/>
          <w:szCs w:val="24"/>
          <w:highlight w:val="none"/>
        </w:rPr>
        <w:t>2、 评标</w:t>
      </w:r>
      <w:bookmarkEnd w:id="199"/>
      <w:r>
        <w:rPr>
          <w:rFonts w:hint="eastAsia" w:ascii="宋体" w:hAnsi="宋体" w:eastAsia="宋体"/>
          <w:color w:val="auto"/>
          <w:sz w:val="24"/>
          <w:szCs w:val="24"/>
          <w:highlight w:val="none"/>
        </w:rPr>
        <w:t>方法</w:t>
      </w:r>
    </w:p>
    <w:p>
      <w:pPr>
        <w:spacing w:line="360" w:lineRule="auto"/>
        <w:ind w:firstLine="480" w:firstLineChars="200"/>
        <w:rPr>
          <w:rFonts w:ascii="宋体" w:hAnsi="宋体"/>
          <w:color w:val="auto"/>
          <w:sz w:val="24"/>
          <w:highlight w:val="none"/>
        </w:rPr>
      </w:pPr>
      <w:bookmarkStart w:id="200" w:name="_Toc217446103"/>
      <w:bookmarkStart w:id="201" w:name="_Toc217446099"/>
      <w:r>
        <w:rPr>
          <w:rFonts w:hint="eastAsia" w:ascii="宋体" w:hAnsi="宋体"/>
          <w:color w:val="auto"/>
          <w:sz w:val="24"/>
          <w:highlight w:val="none"/>
        </w:rPr>
        <w:t>2.1本项目评标方法为：</w:t>
      </w:r>
      <w:r>
        <w:rPr>
          <w:rFonts w:hint="eastAsia" w:ascii="宋体" w:hAnsi="宋体"/>
          <w:b/>
          <w:bCs/>
          <w:color w:val="auto"/>
          <w:sz w:val="24"/>
          <w:highlight w:val="none"/>
        </w:rPr>
        <w:t>综合评分法</w:t>
      </w:r>
      <w:r>
        <w:rPr>
          <w:rFonts w:hint="eastAsia" w:ascii="宋体" w:hAnsi="宋体"/>
          <w:color w:val="auto"/>
          <w:sz w:val="24"/>
          <w:highlight w:val="none"/>
        </w:rPr>
        <w:t>。</w:t>
      </w:r>
    </w:p>
    <w:p>
      <w:pPr>
        <w:pStyle w:val="4"/>
        <w:rPr>
          <w:rFonts w:ascii="宋体" w:hAnsi="宋体" w:eastAsia="宋体"/>
          <w:color w:val="auto"/>
          <w:sz w:val="24"/>
          <w:szCs w:val="24"/>
          <w:highlight w:val="none"/>
        </w:rPr>
      </w:pPr>
      <w:r>
        <w:rPr>
          <w:rFonts w:hint="eastAsia" w:ascii="宋体" w:hAnsi="宋体" w:eastAsia="宋体"/>
          <w:color w:val="auto"/>
          <w:sz w:val="24"/>
          <w:szCs w:val="24"/>
          <w:highlight w:val="none"/>
        </w:rPr>
        <w:t>3、 评标程序</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3.1熟悉和理解招标文件和停止评标。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3.1.2评标委员会熟悉和理解招标文件以及评标过程中，发现本招标文件有下列情形之一的，评标委员会应当停止评标：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（1）招标文件的规定存在歧义、重大缺陷的；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（2）招标文件明显以不合理条件对投标人实行差别待遇或者歧视待遇的；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（3）采购项目属于国家规定的优先、强制采购范围，但是招标文件未依法体现优先、强制采购相关规定的；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（4）采购项目属于政府采购促进中小企业发展的范围，但是招标文件未依法体现促进中小企业发展相关规定的；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（6）招标文件将投标人的资格条件列为评分因素的；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（7）招标文件有违反国家其他有关强制性规定的情形。</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3.2符合性检查。</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3.2.2投标文件（包括单独递交的开标一览表）有下列情形的，本项目不作为实质性要求进行规定，即不作为符合性审查事项，不得作为无效投标处理：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（一）正副本数量齐全、密封完好，只是未按照招标文件要求进行分装或者统装的；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（二）存在个别地方（不超过2个）没有法定代表人签字，但有法定代表人的私人印章或者有效授权代理人签字的；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（三）除招标文件明确要求加盖单位(法人)公章的以外，其他地方以相关专用章加盖的；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（四）以骑缝章的形式代替投标文件内容逐页盖章的（但是骑缝章模糊不清，印章名称无法辨认的除外）；</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（五）其他不影响采购项目实质性要求的情形。</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3.2.3除政府采购法律制度规定的情形外，本项目投标人或者其投标文件有下列情形之一的，作为无效投标处理：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（一）投标文件正副本数量不足的；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（二）投标文件组成明显不符合招标文件的规定要求，影响评标委员会评判的；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（三）投标文件的格式、语言、计量单位、报价货币、知识产权、投标有效期等不符合招标文件的规定，影响评标委员会评判的；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（四）投标报价不符合招标文件规定的采购预算或限价或其他报价规定的；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技术应答内容完全或者绝大部分复制招标文件规定要求，且无相关证明材料的（主要适用于专用设备和电子信息化建设采购项目，政府采购工程、政府采购协议供货或定点投标人采购、政府采购的货物属于规格标准统一或者订制产品的除外）；</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（六）商务、技术、服务应答内容没有完全响应招标文件的实质性要求的；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（七）未载明或者载明的招标项目履约时间、方式、数量及其他政府采购合同实质性内容与招标文件要求不一致，且招标采购单位无法接受的。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（八）没有完全响应招标文件的其他实质性要求或属于招标文件中投标无效情形的。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3.3比较与评价。按招标文件中规定的评标方法和标准，对未作无效投标处理的投标文件进行技术、服务、商务等方面评估，综合比较与评价。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3.4复核。评分汇总结束后，评标委员会应当进行复核，特别要对拟推荐为中标候选人的、报价最低的、投标文件被认定为无效的进行重点复核。</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3.5推荐中标候选人。中标候选人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3.6出具评标报告。评标委员会推荐中标候选人后，应当向招标采购单位出具评标报告。评标报告应当包括下列内容：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（一）招标公告刊登的媒体名称、开标日期和地点；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（二）获取招标文件的投标人名单和评标委员会成员名单；</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（三）评标方法和标准；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（四）开标记录和评标情况及说明，包括无效投标人名单及原因；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（五）评标结果和中标候选人排序表；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（六）评标委员会授标建议；</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（七）报价最高的投标人为中标候选人的，评标委员会应当对其报价的合理性予以特别说明。</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3.7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3.8投标人应当书面澄清、说明或者更正。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3.8.1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3.8.2投标人应当书面澄清、说明或者更正，并加盖公章或签字确认（投标人为法人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3.8.3评标委员会要求投标人澄清、说明或者更正，不得超出招标文件的范围，不得以此让投标人实质改变投标文件的内容，不得影响投标人公平竞争。本项目下列内容不得澄清：</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（一）按财政部规定应当在评标时不予承认的投标文件内容事项；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（二）投标文件中已经明确的内容事项；</w:t>
      </w:r>
    </w:p>
    <w:p>
      <w:pPr>
        <w:spacing w:line="400" w:lineRule="exact"/>
        <w:ind w:firstLine="480" w:firstLineChars="200"/>
        <w:rPr>
          <w:color w:val="auto"/>
          <w:highlight w:val="none"/>
        </w:rPr>
      </w:pPr>
      <w:r>
        <w:rPr>
          <w:rFonts w:hint="eastAsia" w:ascii="宋体"/>
          <w:color w:val="auto"/>
          <w:sz w:val="24"/>
          <w:highlight w:val="none"/>
        </w:rPr>
        <w:t>（三）投标文件未提供的材料。</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3.8.4 本项目采购过程中，投标文件报价出现前后不一致的，按照下列规定修正：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（一）投标文件中开标一览表（报价表）内容与投标文件中相应内容不一致的，以开标一览表（报价表）为准；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（二）大写金额和小写金额不一致的，以大写金额为准；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（三）总价金额与按单价汇总金额不一致的，以单价汇总金额计算结果为准，但单价金额小数点明显错位的除外。</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（四）单价金额小数点有明显错位的，以开标一览表的总价为准，并修改单价；</w:t>
      </w:r>
    </w:p>
    <w:p>
      <w:pPr>
        <w:spacing w:line="400" w:lineRule="exact"/>
        <w:ind w:firstLine="480" w:firstLineChars="200"/>
        <w:rPr>
          <w:rFonts w:ascii="宋体"/>
          <w:color w:val="auto"/>
          <w:sz w:val="24"/>
          <w:highlight w:val="none"/>
        </w:rPr>
      </w:pPr>
      <w:r>
        <w:rPr>
          <w:rFonts w:hint="eastAsia" w:ascii="宋体"/>
          <w:color w:val="auto"/>
          <w:sz w:val="24"/>
          <w:highlight w:val="none"/>
        </w:rPr>
        <w:t>出现本条第（二）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同时出现两种以上不一致的，按照前款规定的顺序修正。修正后的报价按照本章3.8.1-3.8.3的规定经投标人确认后产生约束力，投标人不确认的，其投标无效。</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注：评标委员会当积极履行澄清、说明或者更正的职责，不得滥用权力。投标人的投标文件应当要求澄清、说明或者更正的，不得未经澄清、说明或者更正而直接作无效投标处理。</w:t>
      </w:r>
    </w:p>
    <w:p>
      <w:pPr>
        <w:pStyle w:val="55"/>
        <w:spacing w:line="400" w:lineRule="exact"/>
        <w:ind w:firstLine="480" w:firstLineChars="200"/>
        <w:jc w:val="both"/>
        <w:rPr>
          <w:color w:val="auto"/>
          <w:highlight w:val="none"/>
        </w:rPr>
      </w:pPr>
      <w:r>
        <w:rPr>
          <w:rFonts w:hint="eastAsia"/>
          <w:color w:val="auto"/>
          <w:highlight w:val="none"/>
        </w:rPr>
        <w:t>3.9 低于成本价投标处理。按第二章投标人须知附表处理。</w:t>
      </w:r>
    </w:p>
    <w:p>
      <w:pPr>
        <w:pStyle w:val="55"/>
        <w:spacing w:line="400" w:lineRule="exact"/>
        <w:ind w:firstLine="480" w:firstLineChars="200"/>
        <w:jc w:val="both"/>
        <w:rPr>
          <w:color w:val="auto"/>
          <w:highlight w:val="none"/>
        </w:rPr>
      </w:pPr>
      <w:r>
        <w:rPr>
          <w:rFonts w:hint="eastAsia"/>
          <w:color w:val="auto"/>
          <w:highlight w:val="none"/>
        </w:rPr>
        <w:t>3.10招标采购单位现场复核评标结果。</w:t>
      </w:r>
    </w:p>
    <w:p>
      <w:pPr>
        <w:pStyle w:val="55"/>
        <w:spacing w:line="400" w:lineRule="exact"/>
        <w:ind w:firstLine="480" w:firstLineChars="200"/>
        <w:jc w:val="both"/>
        <w:rPr>
          <w:color w:val="auto"/>
          <w:highlight w:val="none"/>
        </w:rPr>
      </w:pPr>
      <w:r>
        <w:rPr>
          <w:rFonts w:hint="eastAsia"/>
          <w:color w:val="auto"/>
          <w:highlight w:val="none"/>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55"/>
        <w:spacing w:line="400" w:lineRule="exact"/>
        <w:ind w:firstLine="480" w:firstLineChars="200"/>
        <w:jc w:val="both"/>
        <w:rPr>
          <w:color w:val="auto"/>
          <w:highlight w:val="none"/>
        </w:rPr>
      </w:pPr>
      <w:r>
        <w:rPr>
          <w:rFonts w:hint="eastAsia"/>
          <w:color w:val="auto"/>
          <w:highlight w:val="none"/>
        </w:rPr>
        <w:t>（一）分值汇总计算错误的；</w:t>
      </w:r>
    </w:p>
    <w:p>
      <w:pPr>
        <w:pStyle w:val="55"/>
        <w:spacing w:line="400" w:lineRule="exact"/>
        <w:ind w:firstLine="480" w:firstLineChars="200"/>
        <w:jc w:val="both"/>
        <w:rPr>
          <w:color w:val="auto"/>
          <w:highlight w:val="none"/>
        </w:rPr>
      </w:pPr>
      <w:r>
        <w:rPr>
          <w:rFonts w:hint="eastAsia"/>
          <w:color w:val="auto"/>
          <w:highlight w:val="none"/>
        </w:rPr>
        <w:t>（二）分项评分超出评分标准范围的；</w:t>
      </w:r>
    </w:p>
    <w:p>
      <w:pPr>
        <w:pStyle w:val="55"/>
        <w:spacing w:line="400" w:lineRule="exact"/>
        <w:ind w:firstLine="480" w:firstLineChars="200"/>
        <w:jc w:val="both"/>
        <w:rPr>
          <w:color w:val="auto"/>
          <w:highlight w:val="none"/>
        </w:rPr>
      </w:pPr>
      <w:r>
        <w:rPr>
          <w:rFonts w:hint="eastAsia"/>
          <w:color w:val="auto"/>
          <w:highlight w:val="none"/>
        </w:rPr>
        <w:t>（三）客观评分不一致的；</w:t>
      </w:r>
    </w:p>
    <w:p>
      <w:pPr>
        <w:pStyle w:val="55"/>
        <w:spacing w:line="400" w:lineRule="exact"/>
        <w:ind w:firstLine="480" w:firstLineChars="200"/>
        <w:jc w:val="both"/>
        <w:rPr>
          <w:color w:val="auto"/>
          <w:highlight w:val="none"/>
        </w:rPr>
      </w:pPr>
      <w:r>
        <w:rPr>
          <w:rFonts w:hint="eastAsia"/>
          <w:color w:val="auto"/>
          <w:highlight w:val="none"/>
        </w:rPr>
        <w:t>（四）经评标委员会认定评分畸高畸低的。</w:t>
      </w:r>
    </w:p>
    <w:p>
      <w:pPr>
        <w:pStyle w:val="55"/>
        <w:spacing w:line="400" w:lineRule="exact"/>
        <w:ind w:firstLine="480" w:firstLineChars="200"/>
        <w:jc w:val="both"/>
        <w:rPr>
          <w:color w:val="auto"/>
          <w:highlight w:val="none"/>
        </w:rPr>
      </w:pPr>
      <w:r>
        <w:rPr>
          <w:rFonts w:hint="eastAsia"/>
          <w:color w:val="auto"/>
          <w:highlight w:val="none"/>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55"/>
        <w:spacing w:line="400" w:lineRule="exact"/>
        <w:ind w:firstLine="480" w:firstLineChars="200"/>
        <w:jc w:val="both"/>
        <w:rPr>
          <w:color w:val="auto"/>
          <w:highlight w:val="none"/>
        </w:rPr>
      </w:pPr>
      <w:r>
        <w:rPr>
          <w:rFonts w:hint="eastAsia"/>
          <w:color w:val="auto"/>
          <w:highlight w:val="none"/>
        </w:rPr>
        <w:t>3.10.2有下列情形之一的，不得修改评标结果或者重新评审：</w:t>
      </w:r>
    </w:p>
    <w:p>
      <w:pPr>
        <w:pStyle w:val="55"/>
        <w:spacing w:line="400" w:lineRule="exact"/>
        <w:ind w:firstLine="480" w:firstLineChars="200"/>
        <w:jc w:val="both"/>
        <w:rPr>
          <w:color w:val="auto"/>
          <w:highlight w:val="none"/>
        </w:rPr>
      </w:pPr>
      <w:r>
        <w:rPr>
          <w:rFonts w:hint="eastAsia"/>
          <w:color w:val="auto"/>
          <w:highlight w:val="none"/>
        </w:rPr>
        <w:t>（一）评标委员会已经出具评标报告并且离开评标现场的；</w:t>
      </w:r>
    </w:p>
    <w:p>
      <w:pPr>
        <w:pStyle w:val="55"/>
        <w:spacing w:line="400" w:lineRule="exact"/>
        <w:ind w:firstLine="480" w:firstLineChars="200"/>
        <w:jc w:val="both"/>
        <w:rPr>
          <w:color w:val="auto"/>
          <w:highlight w:val="none"/>
        </w:rPr>
      </w:pPr>
      <w:r>
        <w:rPr>
          <w:rFonts w:hint="eastAsia"/>
          <w:color w:val="auto"/>
          <w:highlight w:val="none"/>
        </w:rPr>
        <w:t>（二）招标采购单位现场复核时，复核工作人员数量不足的；</w:t>
      </w:r>
    </w:p>
    <w:p>
      <w:pPr>
        <w:pStyle w:val="55"/>
        <w:spacing w:line="400" w:lineRule="exact"/>
        <w:ind w:firstLine="480" w:firstLineChars="200"/>
        <w:jc w:val="both"/>
        <w:rPr>
          <w:color w:val="auto"/>
          <w:highlight w:val="none"/>
        </w:rPr>
      </w:pPr>
      <w:r>
        <w:rPr>
          <w:rFonts w:hint="eastAsia"/>
          <w:color w:val="auto"/>
          <w:highlight w:val="none"/>
        </w:rPr>
        <w:t>（三）招标采购单位现场复核时，没有采购监督人员现场监督的；</w:t>
      </w:r>
    </w:p>
    <w:p>
      <w:pPr>
        <w:pStyle w:val="55"/>
        <w:spacing w:line="400" w:lineRule="exact"/>
        <w:ind w:firstLine="480" w:firstLineChars="200"/>
        <w:jc w:val="both"/>
        <w:rPr>
          <w:color w:val="auto"/>
          <w:highlight w:val="none"/>
        </w:rPr>
      </w:pPr>
      <w:r>
        <w:rPr>
          <w:rFonts w:hint="eastAsia"/>
          <w:color w:val="auto"/>
          <w:highlight w:val="none"/>
        </w:rPr>
        <w:t>（四）招标采购单位现场复核内容超出规定范围的；</w:t>
      </w:r>
    </w:p>
    <w:p>
      <w:pPr>
        <w:pStyle w:val="55"/>
        <w:spacing w:line="400" w:lineRule="exact"/>
        <w:ind w:firstLine="480" w:firstLineChars="200"/>
        <w:jc w:val="both"/>
        <w:rPr>
          <w:color w:val="auto"/>
          <w:highlight w:val="none"/>
        </w:rPr>
      </w:pPr>
      <w:r>
        <w:rPr>
          <w:rFonts w:hint="eastAsia"/>
          <w:color w:val="auto"/>
          <w:highlight w:val="none"/>
        </w:rPr>
        <w:t>（五）招标采购单位未提供书面建议的。</w:t>
      </w:r>
    </w:p>
    <w:p>
      <w:pPr>
        <w:pStyle w:val="4"/>
        <w:rPr>
          <w:rFonts w:ascii="宋体" w:hAnsi="宋体" w:eastAsia="宋体"/>
          <w:color w:val="auto"/>
          <w:sz w:val="24"/>
          <w:szCs w:val="24"/>
          <w:highlight w:val="none"/>
        </w:rPr>
      </w:pPr>
      <w:r>
        <w:rPr>
          <w:rFonts w:hint="eastAsia" w:ascii="宋体" w:hAnsi="宋体" w:eastAsia="宋体"/>
          <w:color w:val="auto"/>
          <w:sz w:val="24"/>
          <w:szCs w:val="24"/>
          <w:highlight w:val="none"/>
        </w:rPr>
        <w:t>4. 评标细则及标准</w:t>
      </w:r>
      <w:bookmarkEnd w:id="200"/>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4.1本项目采用综合评分法，评分因素详见综合评分明细表。</w:t>
      </w:r>
    </w:p>
    <w:p>
      <w:pPr>
        <w:pStyle w:val="55"/>
        <w:spacing w:line="400" w:lineRule="exact"/>
        <w:ind w:firstLine="480" w:firstLineChars="200"/>
        <w:jc w:val="both"/>
        <w:rPr>
          <w:color w:val="auto"/>
          <w:highlight w:val="none"/>
        </w:rPr>
      </w:pPr>
      <w:r>
        <w:rPr>
          <w:rFonts w:hint="eastAsia"/>
          <w:color w:val="auto"/>
          <w:highlight w:val="none"/>
        </w:rPr>
        <w:t>4.2 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2"/>
        <w:tabs>
          <w:tab w:val="left" w:pos="600"/>
        </w:tabs>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4.3综合评分明细表</w:t>
      </w:r>
    </w:p>
    <w:p>
      <w:pPr>
        <w:pStyle w:val="12"/>
        <w:tabs>
          <w:tab w:val="left" w:pos="600"/>
        </w:tabs>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4.3.1综合评分明细表的制定以科学合理、降低评委会自由裁量权为原则。</w:t>
      </w:r>
    </w:p>
    <w:p>
      <w:pPr>
        <w:widowControl/>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4.3.2 综合评分明细表按须知表中的相关要求进行价格调整，再参与价格分评审。</w:t>
      </w:r>
    </w:p>
    <w:p>
      <w:pPr>
        <w:pStyle w:val="12"/>
        <w:tabs>
          <w:tab w:val="left" w:pos="600"/>
        </w:tabs>
        <w:spacing w:line="400" w:lineRule="exact"/>
        <w:ind w:firstLine="480" w:firstLineChars="200"/>
        <w:rPr>
          <w:rFonts w:ascii="宋体" w:hAnsi="宋体"/>
          <w:b/>
          <w:color w:val="auto"/>
          <w:sz w:val="24"/>
          <w:szCs w:val="24"/>
          <w:highlight w:val="none"/>
        </w:rPr>
      </w:pPr>
      <w:r>
        <w:rPr>
          <w:rFonts w:hint="eastAsia" w:ascii="宋体" w:hAnsi="宋体"/>
          <w:color w:val="auto"/>
          <w:sz w:val="24"/>
          <w:szCs w:val="24"/>
          <w:highlight w:val="none"/>
        </w:rPr>
        <w:t>4.3.3综合评分明细表</w:t>
      </w:r>
    </w:p>
    <w:tbl>
      <w:tblPr>
        <w:tblStyle w:val="27"/>
        <w:tblW w:w="1048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65"/>
        <w:gridCol w:w="1199"/>
        <w:gridCol w:w="836"/>
        <w:gridCol w:w="5577"/>
        <w:gridCol w:w="210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18" w:space="0"/>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bookmarkStart w:id="202" w:name="_Toc217446060"/>
            <w:r>
              <w:rPr>
                <w:rFonts w:hint="eastAsia" w:ascii="宋体" w:hAnsi="宋体" w:cs="宋体"/>
                <w:bCs/>
                <w:color w:val="auto"/>
                <w:highlight w:val="none"/>
              </w:rPr>
              <w:t>序号</w:t>
            </w:r>
          </w:p>
        </w:tc>
        <w:tc>
          <w:tcPr>
            <w:tcW w:w="1199"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评分因素</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分值</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评分要求</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说明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18" w:space="0"/>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r>
              <w:rPr>
                <w:rFonts w:hint="eastAsia" w:ascii="宋体" w:hAnsi="宋体" w:cs="宋体"/>
                <w:bCs/>
                <w:color w:val="auto"/>
                <w:highlight w:val="none"/>
              </w:rPr>
              <w:t>1</w:t>
            </w:r>
          </w:p>
        </w:tc>
        <w:tc>
          <w:tcPr>
            <w:tcW w:w="1199"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价格部分30%</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30分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满足招标文件要求且投标价格最低的投标报价价格分为满分。其他投标人的价格分统一按照下列公式计算：投标报价得分=（评标基准价/投标报价）×30。</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小微企业（监狱企业、残疾人福利性单位视同小微企业）价格扣除按照本招标文件须知前附表规定执行。</w:t>
            </w:r>
          </w:p>
          <w:p>
            <w:pPr>
              <w:pStyle w:val="11"/>
              <w:spacing w:after="0"/>
              <w:jc w:val="center"/>
              <w:rPr>
                <w:rFonts w:ascii="宋体" w:hAnsi="宋体" w:cs="宋体"/>
                <w:color w:val="auto"/>
                <w:highlight w:val="none"/>
              </w:rPr>
            </w:pPr>
            <w:r>
              <w:rPr>
                <w:rFonts w:hint="eastAsia" w:ascii="宋体" w:hAnsi="宋体" w:cs="宋体"/>
                <w:color w:val="auto"/>
                <w:highlight w:val="none"/>
              </w:rPr>
              <w:t>共同评分因素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Merge w:val="restart"/>
            <w:tcBorders>
              <w:top w:val="single" w:color="auto" w:sz="18" w:space="0"/>
              <w:left w:val="single" w:color="auto" w:sz="18" w:space="0"/>
              <w:right w:val="single" w:color="auto" w:sz="6" w:space="0"/>
            </w:tcBorders>
            <w:vAlign w:val="center"/>
          </w:tcPr>
          <w:p>
            <w:pPr>
              <w:pStyle w:val="11"/>
              <w:spacing w:after="0"/>
              <w:jc w:val="center"/>
              <w:rPr>
                <w:rFonts w:ascii="宋体" w:hAnsi="宋体" w:cs="宋体"/>
                <w:bCs/>
                <w:color w:val="auto"/>
                <w:highlight w:val="none"/>
              </w:rPr>
            </w:pPr>
            <w:r>
              <w:rPr>
                <w:rFonts w:hint="eastAsia" w:ascii="宋体" w:hAnsi="宋体" w:cs="宋体"/>
                <w:bCs/>
                <w:color w:val="auto"/>
                <w:highlight w:val="none"/>
              </w:rPr>
              <w:t>2</w:t>
            </w:r>
          </w:p>
        </w:tc>
        <w:tc>
          <w:tcPr>
            <w:tcW w:w="1199" w:type="dxa"/>
            <w:vMerge w:val="restart"/>
            <w:tcBorders>
              <w:top w:val="single" w:color="auto" w:sz="18" w:space="0"/>
              <w:left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实施方案49%</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ascii="宋体" w:hAnsi="宋体" w:cs="宋体"/>
                <w:color w:val="auto"/>
                <w:highlight w:val="none"/>
              </w:rPr>
              <w:t>机构设置及管理制度</w:t>
            </w:r>
            <w:r>
              <w:rPr>
                <w:rFonts w:hint="eastAsia" w:ascii="宋体" w:hAnsi="宋体" w:cs="宋体"/>
                <w:color w:val="auto"/>
                <w:highlight w:val="none"/>
              </w:rPr>
              <w:t>15分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针对本项目提供项目概况分析（至少包含：</w:t>
            </w:r>
            <w:r>
              <w:rPr>
                <w:rFonts w:ascii="宋体" w:hAnsi="宋体" w:cs="宋体"/>
                <w:color w:val="auto"/>
                <w:highlight w:val="none"/>
              </w:rPr>
              <w:t>组织机构</w:t>
            </w:r>
            <w:r>
              <w:rPr>
                <w:rFonts w:hint="eastAsia" w:ascii="宋体" w:hAnsi="宋体" w:cs="宋体"/>
                <w:color w:val="auto"/>
                <w:highlight w:val="none"/>
              </w:rPr>
              <w:t>；</w:t>
            </w:r>
            <w:r>
              <w:rPr>
                <w:rFonts w:ascii="宋体" w:hAnsi="宋体" w:cs="宋体"/>
                <w:color w:val="auto"/>
                <w:highlight w:val="none"/>
              </w:rPr>
              <w:t>项目管理制度</w:t>
            </w:r>
            <w:r>
              <w:rPr>
                <w:rFonts w:hint="eastAsia" w:ascii="宋体" w:hAnsi="宋体" w:cs="宋体"/>
                <w:color w:val="auto"/>
                <w:highlight w:val="none"/>
              </w:rPr>
              <w:t>；</w:t>
            </w:r>
            <w:r>
              <w:rPr>
                <w:rFonts w:ascii="宋体" w:hAnsi="宋体" w:cs="宋体"/>
                <w:color w:val="auto"/>
                <w:highlight w:val="none"/>
              </w:rPr>
              <w:t>公司管理制度等</w:t>
            </w:r>
            <w:r>
              <w:rPr>
                <w:rFonts w:hint="eastAsia" w:ascii="宋体" w:hAnsi="宋体" w:cs="宋体"/>
                <w:color w:val="auto"/>
                <w:highlight w:val="none"/>
              </w:rPr>
              <w:t>），满足以上全部评定方向且切实可行操作性强的得基本分9分，投标人每有一项有利于项目实施、具有针对性的加2分，最多加6分；每出现一处细微偏差情形在基本分的基础上扣3分，扣完为止，不提供的不得分。本项最多得15分。</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Merge w:val="continue"/>
            <w:tcBorders>
              <w:left w:val="single" w:color="auto" w:sz="18" w:space="0"/>
              <w:right w:val="single" w:color="auto" w:sz="6" w:space="0"/>
            </w:tcBorders>
            <w:vAlign w:val="center"/>
          </w:tcPr>
          <w:p>
            <w:pPr>
              <w:pStyle w:val="11"/>
              <w:spacing w:after="0"/>
              <w:jc w:val="center"/>
              <w:rPr>
                <w:rFonts w:ascii="宋体" w:hAnsi="宋体" w:cs="宋体"/>
                <w:bCs/>
                <w:color w:val="auto"/>
                <w:highlight w:val="none"/>
              </w:rPr>
            </w:pPr>
          </w:p>
        </w:tc>
        <w:tc>
          <w:tcPr>
            <w:tcW w:w="1199" w:type="dxa"/>
            <w:vMerge w:val="continue"/>
            <w:tcBorders>
              <w:left w:val="single" w:color="auto" w:sz="6" w:space="0"/>
              <w:right w:val="single" w:color="auto" w:sz="6" w:space="0"/>
            </w:tcBorders>
            <w:vAlign w:val="center"/>
          </w:tcPr>
          <w:p>
            <w:pPr>
              <w:pStyle w:val="11"/>
              <w:spacing w:after="0"/>
              <w:jc w:val="center"/>
              <w:rPr>
                <w:rFonts w:ascii="宋体" w:hAnsi="宋体" w:cs="宋体"/>
                <w:color w:val="auto"/>
                <w:highlight w:val="none"/>
              </w:rPr>
            </w:pP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实施方案</w:t>
            </w:r>
          </w:p>
          <w:p>
            <w:pPr>
              <w:pStyle w:val="11"/>
              <w:spacing w:after="0"/>
              <w:jc w:val="center"/>
              <w:rPr>
                <w:rFonts w:ascii="宋体" w:hAnsi="宋体" w:cs="宋体"/>
                <w:color w:val="auto"/>
                <w:highlight w:val="none"/>
              </w:rPr>
            </w:pPr>
            <w:r>
              <w:rPr>
                <w:rFonts w:hint="eastAsia" w:ascii="宋体" w:hAnsi="宋体" w:cs="宋体"/>
                <w:color w:val="auto"/>
                <w:highlight w:val="none"/>
              </w:rPr>
              <w:t>10分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针对本项目提供实施方案（至少包含：</w:t>
            </w:r>
            <w:r>
              <w:rPr>
                <w:rFonts w:ascii="宋体" w:hAnsi="宋体" w:cs="宋体"/>
                <w:color w:val="auto"/>
                <w:highlight w:val="none"/>
              </w:rPr>
              <w:t>选苗、起苗、运输及保护方案</w:t>
            </w:r>
            <w:r>
              <w:rPr>
                <w:rFonts w:hint="eastAsia" w:ascii="宋体" w:hAnsi="宋体" w:cs="宋体"/>
                <w:color w:val="auto"/>
                <w:highlight w:val="none"/>
              </w:rPr>
              <w:t>；</w:t>
            </w:r>
            <w:r>
              <w:rPr>
                <w:rFonts w:ascii="宋体" w:hAnsi="宋体" w:cs="宋体"/>
                <w:color w:val="auto"/>
                <w:highlight w:val="none"/>
              </w:rPr>
              <w:t>成活率质量保证措施等</w:t>
            </w:r>
            <w:r>
              <w:rPr>
                <w:rFonts w:hint="eastAsia" w:ascii="宋体" w:hAnsi="宋体" w:cs="宋体"/>
                <w:color w:val="auto"/>
                <w:highlight w:val="none"/>
              </w:rPr>
              <w:t>），满足以上全部评定方向且切实可行操作性强的得基本分6分，投标人每有一项有利于项目实施、具有针对性的加2分，最多加4分；每出现一处细微偏差情形在基本分的基础上扣 3分，扣完为止，不提供的不得分。本项最多得10分。</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Merge w:val="continue"/>
            <w:tcBorders>
              <w:left w:val="single" w:color="auto" w:sz="18" w:space="0"/>
              <w:right w:val="single" w:color="auto" w:sz="6" w:space="0"/>
            </w:tcBorders>
            <w:vAlign w:val="center"/>
          </w:tcPr>
          <w:p>
            <w:pPr>
              <w:pStyle w:val="11"/>
              <w:spacing w:after="0"/>
              <w:jc w:val="center"/>
              <w:rPr>
                <w:rFonts w:ascii="宋体" w:hAnsi="宋体" w:cs="宋体"/>
                <w:bCs/>
                <w:color w:val="auto"/>
                <w:highlight w:val="none"/>
              </w:rPr>
            </w:pPr>
          </w:p>
        </w:tc>
        <w:tc>
          <w:tcPr>
            <w:tcW w:w="1199" w:type="dxa"/>
            <w:vMerge w:val="continue"/>
            <w:tcBorders>
              <w:left w:val="single" w:color="auto" w:sz="6" w:space="0"/>
              <w:right w:val="single" w:color="auto" w:sz="6" w:space="0"/>
            </w:tcBorders>
            <w:vAlign w:val="center"/>
          </w:tcPr>
          <w:p>
            <w:pPr>
              <w:pStyle w:val="11"/>
              <w:spacing w:after="0"/>
              <w:jc w:val="center"/>
              <w:rPr>
                <w:rFonts w:ascii="宋体" w:hAnsi="宋体" w:cs="宋体"/>
                <w:color w:val="auto"/>
                <w:highlight w:val="none"/>
              </w:rPr>
            </w:pP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ascii="宋体" w:hAnsi="宋体" w:cs="宋体"/>
                <w:color w:val="auto"/>
                <w:highlight w:val="none"/>
              </w:rPr>
              <w:t>安全文明、环境保护措施</w:t>
            </w:r>
            <w:r>
              <w:rPr>
                <w:rFonts w:hint="eastAsia" w:ascii="宋体" w:hAnsi="宋体" w:cs="宋体"/>
                <w:color w:val="auto"/>
                <w:highlight w:val="none"/>
              </w:rPr>
              <w:t>10分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针对本项目提供详细服务方案（</w:t>
            </w:r>
            <w:r>
              <w:rPr>
                <w:rFonts w:ascii="宋体" w:hAnsi="宋体" w:cs="宋体"/>
                <w:color w:val="auto"/>
                <w:highlight w:val="none"/>
              </w:rPr>
              <w:t>至少包含：安全文明作业方案</w:t>
            </w:r>
            <w:r>
              <w:rPr>
                <w:rFonts w:hint="eastAsia" w:ascii="宋体" w:hAnsi="宋体" w:cs="宋体"/>
                <w:color w:val="auto"/>
                <w:highlight w:val="none"/>
              </w:rPr>
              <w:t>；</w:t>
            </w:r>
            <w:r>
              <w:rPr>
                <w:rFonts w:ascii="宋体" w:hAnsi="宋体" w:cs="宋体"/>
                <w:color w:val="auto"/>
                <w:highlight w:val="none"/>
              </w:rPr>
              <w:t>环境保护措施等</w:t>
            </w: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能完全满足招标文件要求且与整体服务实施方案无矛盾、符合实际情况、无缺陷</w:t>
            </w:r>
            <w:r>
              <w:rPr>
                <w:rFonts w:ascii="宋体" w:hAnsi="宋体" w:cs="宋体"/>
                <w:color w:val="auto"/>
                <w:highlight w:val="none"/>
              </w:rPr>
              <w:t xml:space="preserve"> </w:t>
            </w:r>
            <w:r>
              <w:rPr>
                <w:rFonts w:hint="eastAsia" w:ascii="宋体" w:hAnsi="宋体" w:cs="宋体"/>
                <w:color w:val="auto"/>
                <w:highlight w:val="none"/>
              </w:rPr>
              <w:t>漏项得基本分6分；投标人每有一项有利于项目实施、具有针对性的增项的加</w:t>
            </w:r>
            <w:r>
              <w:rPr>
                <w:rFonts w:ascii="宋体" w:hAnsi="宋体" w:cs="宋体"/>
                <w:color w:val="auto"/>
                <w:highlight w:val="none"/>
              </w:rPr>
              <w:t xml:space="preserve"> </w:t>
            </w:r>
            <w:r>
              <w:rPr>
                <w:rFonts w:hint="eastAsia" w:ascii="宋体" w:hAnsi="宋体" w:cs="宋体"/>
                <w:color w:val="auto"/>
                <w:highlight w:val="none"/>
              </w:rPr>
              <w:t>2</w:t>
            </w:r>
            <w:r>
              <w:rPr>
                <w:rFonts w:ascii="宋体" w:hAnsi="宋体" w:cs="宋体"/>
                <w:color w:val="auto"/>
                <w:highlight w:val="none"/>
              </w:rPr>
              <w:t xml:space="preserve"> </w:t>
            </w:r>
            <w:r>
              <w:rPr>
                <w:rFonts w:hint="eastAsia" w:ascii="宋体" w:hAnsi="宋体" w:cs="宋体"/>
                <w:color w:val="auto"/>
                <w:highlight w:val="none"/>
              </w:rPr>
              <w:t>分，最多加4</w:t>
            </w:r>
            <w:r>
              <w:rPr>
                <w:rFonts w:ascii="宋体" w:hAnsi="宋体" w:cs="宋体"/>
                <w:color w:val="auto"/>
                <w:highlight w:val="none"/>
              </w:rPr>
              <w:t xml:space="preserve"> </w:t>
            </w:r>
            <w:r>
              <w:rPr>
                <w:rFonts w:hint="eastAsia" w:ascii="宋体" w:hAnsi="宋体" w:cs="宋体"/>
                <w:color w:val="auto"/>
                <w:highlight w:val="none"/>
              </w:rPr>
              <w:t>分；每出现一处细微偏差情形在基本分的基础上扣3分，扣完为止。无劳务服务方案不得分。本项最多得10分。</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vMerge w:val="continue"/>
            <w:tcBorders>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p>
        </w:tc>
        <w:tc>
          <w:tcPr>
            <w:tcW w:w="1199" w:type="dxa"/>
            <w:vMerge w:val="continue"/>
            <w:tcBorders>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应急方案</w:t>
            </w:r>
          </w:p>
          <w:p>
            <w:pPr>
              <w:pStyle w:val="11"/>
              <w:spacing w:after="0"/>
              <w:jc w:val="center"/>
              <w:rPr>
                <w:rFonts w:ascii="宋体" w:hAnsi="宋体" w:cs="宋体"/>
                <w:color w:val="auto"/>
                <w:highlight w:val="none"/>
              </w:rPr>
            </w:pPr>
            <w:r>
              <w:rPr>
                <w:rFonts w:hint="eastAsia" w:ascii="宋体" w:hAnsi="宋体" w:cs="宋体"/>
                <w:color w:val="auto"/>
                <w:highlight w:val="none"/>
              </w:rPr>
              <w:t>14分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针对本项目提供应急方案（</w:t>
            </w:r>
            <w:r>
              <w:rPr>
                <w:rFonts w:ascii="宋体" w:hAnsi="宋体" w:cs="宋体"/>
                <w:color w:val="auto"/>
                <w:highlight w:val="none"/>
              </w:rPr>
              <w:t>至少包含：极端天气、特殊事件等突发事件应急处置措施；抢险处理预案、交通预案、安全事故应急预案、地质灾害预案等不可预测因素方案；人员意外预案及针对性应急措施；各项应急响应迅速且能及时上报事故灾难机制；人员临时补充预案等</w:t>
            </w:r>
            <w:r>
              <w:rPr>
                <w:rFonts w:hint="eastAsia" w:ascii="宋体" w:hAnsi="宋体" w:cs="宋体"/>
                <w:color w:val="auto"/>
                <w:highlight w:val="none"/>
              </w:rPr>
              <w:t>），满足以上全部评定方向且切实可行操作性强的得基本分10分，投标人每有一项有利于项目实施、具有针对性的增项的加2分，最多加</w:t>
            </w:r>
            <w:r>
              <w:rPr>
                <w:rFonts w:ascii="宋体" w:hAnsi="宋体" w:cs="宋体"/>
                <w:color w:val="auto"/>
                <w:highlight w:val="none"/>
              </w:rPr>
              <w:t>4</w:t>
            </w:r>
            <w:r>
              <w:rPr>
                <w:rFonts w:hint="eastAsia" w:ascii="宋体" w:hAnsi="宋体" w:cs="宋体"/>
                <w:color w:val="auto"/>
                <w:highlight w:val="none"/>
              </w:rPr>
              <w:t>分；每出现一处细微偏差情形在基本分的基础上扣2分，扣完为止，不提供的不得分。本项最多得14分。</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18" w:space="0"/>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r>
              <w:rPr>
                <w:rFonts w:hint="eastAsia" w:ascii="宋体" w:hAnsi="宋体" w:cs="宋体"/>
                <w:bCs/>
                <w:color w:val="auto"/>
                <w:highlight w:val="none"/>
              </w:rPr>
              <w:t>3</w:t>
            </w:r>
          </w:p>
        </w:tc>
        <w:tc>
          <w:tcPr>
            <w:tcW w:w="1199"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履约能力12%</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12分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2018年1月1日以来具有类似项目业绩的，每提供一个得4分；最多得12分。</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提供合同复印件或中标（成交）通知书复印件加盖鲜章</w:t>
            </w:r>
          </w:p>
          <w:p>
            <w:pPr>
              <w:pStyle w:val="11"/>
              <w:spacing w:after="0"/>
              <w:jc w:val="center"/>
              <w:rPr>
                <w:rFonts w:ascii="宋体" w:hAnsi="宋体" w:cs="宋体"/>
                <w:color w:val="auto"/>
                <w:highlight w:val="none"/>
              </w:rPr>
            </w:pPr>
            <w:r>
              <w:rPr>
                <w:rFonts w:hint="eastAsia" w:ascii="宋体" w:hAnsi="宋体" w:cs="宋体"/>
                <w:color w:val="auto"/>
                <w:highlight w:val="none"/>
              </w:rPr>
              <w:t>共同评分因素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18" w:space="0"/>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r>
              <w:rPr>
                <w:rFonts w:hint="eastAsia" w:ascii="宋体" w:hAnsi="宋体" w:cs="宋体"/>
                <w:bCs/>
                <w:color w:val="auto"/>
                <w:highlight w:val="none"/>
              </w:rPr>
              <w:t>4</w:t>
            </w:r>
          </w:p>
        </w:tc>
        <w:tc>
          <w:tcPr>
            <w:tcW w:w="1199"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拟配备本项目人员</w:t>
            </w:r>
          </w:p>
          <w:p>
            <w:pPr>
              <w:pStyle w:val="11"/>
              <w:spacing w:after="0"/>
              <w:jc w:val="center"/>
              <w:rPr>
                <w:rFonts w:ascii="宋体" w:hAnsi="宋体" w:cs="宋体"/>
                <w:color w:val="auto"/>
                <w:highlight w:val="none"/>
              </w:rPr>
            </w:pPr>
            <w:r>
              <w:rPr>
                <w:rFonts w:ascii="宋体" w:hAnsi="宋体" w:cs="宋体"/>
                <w:color w:val="auto"/>
                <w:highlight w:val="none"/>
              </w:rPr>
              <w:t>6</w:t>
            </w:r>
            <w:r>
              <w:rPr>
                <w:rFonts w:hint="eastAsia" w:ascii="宋体" w:hAnsi="宋体" w:cs="宋体"/>
                <w:color w:val="auto"/>
                <w:highlight w:val="none"/>
              </w:rPr>
              <w:t>%</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ascii="宋体" w:hAnsi="宋体" w:cs="宋体"/>
                <w:color w:val="auto"/>
                <w:highlight w:val="none"/>
              </w:rPr>
              <w:t>6</w:t>
            </w:r>
            <w:r>
              <w:rPr>
                <w:rFonts w:hint="eastAsia" w:ascii="宋体" w:hAnsi="宋体" w:cs="宋体"/>
                <w:color w:val="auto"/>
                <w:highlight w:val="none"/>
              </w:rPr>
              <w:t>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 xml:space="preserve">拟配本项目负责人：具有园林类或林业类相关专业中级职称的得3分，具有园林类或林业类相关专业高级及以上职称得6分，此项最多得6分； </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1.人员须提供相关证书复印件、劳动关系证明材料，加盖投标人鲜章。</w:t>
            </w:r>
          </w:p>
          <w:p>
            <w:pPr>
              <w:pStyle w:val="11"/>
              <w:spacing w:after="0"/>
              <w:jc w:val="center"/>
              <w:rPr>
                <w:rFonts w:ascii="宋体" w:hAnsi="宋体" w:cs="宋体"/>
                <w:color w:val="auto"/>
                <w:highlight w:val="none"/>
              </w:rPr>
            </w:pPr>
            <w:r>
              <w:rPr>
                <w:rFonts w:hint="eastAsia" w:ascii="宋体" w:hAnsi="宋体" w:cs="宋体"/>
                <w:color w:val="auto"/>
                <w:highlight w:val="none"/>
              </w:rPr>
              <w:t>共同评分因素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18" w:space="0"/>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r>
              <w:rPr>
                <w:rFonts w:hint="eastAsia" w:ascii="宋体" w:hAnsi="宋体" w:cs="宋体"/>
                <w:bCs/>
                <w:color w:val="auto"/>
                <w:highlight w:val="none"/>
              </w:rPr>
              <w:t>5</w:t>
            </w:r>
          </w:p>
        </w:tc>
        <w:tc>
          <w:tcPr>
            <w:tcW w:w="1199"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落实政府采购政策1%</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1分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投标人符合少数民族地区或不发达地区扶持条件的得1分。</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提供证明材料，应包含但不限于营业执照复印件</w:t>
            </w:r>
          </w:p>
          <w:p>
            <w:pPr>
              <w:pStyle w:val="11"/>
              <w:spacing w:after="0"/>
              <w:jc w:val="center"/>
              <w:rPr>
                <w:rFonts w:ascii="宋体" w:hAnsi="宋体" w:cs="宋体"/>
                <w:color w:val="auto"/>
                <w:highlight w:val="none"/>
              </w:rPr>
            </w:pPr>
            <w:r>
              <w:rPr>
                <w:rFonts w:hint="eastAsia" w:ascii="宋体" w:hAnsi="宋体" w:cs="宋体"/>
                <w:color w:val="auto"/>
                <w:highlight w:val="none"/>
              </w:rPr>
              <w:t>共同评分因素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765" w:type="dxa"/>
            <w:tcBorders>
              <w:top w:val="single" w:color="auto" w:sz="18" w:space="0"/>
              <w:left w:val="single" w:color="auto" w:sz="18" w:space="0"/>
              <w:bottom w:val="single" w:color="auto" w:sz="6" w:space="0"/>
              <w:right w:val="single" w:color="auto" w:sz="6" w:space="0"/>
            </w:tcBorders>
            <w:vAlign w:val="center"/>
          </w:tcPr>
          <w:p>
            <w:pPr>
              <w:pStyle w:val="11"/>
              <w:spacing w:after="0"/>
              <w:jc w:val="center"/>
              <w:rPr>
                <w:rFonts w:ascii="宋体" w:hAnsi="宋体" w:cs="宋体"/>
                <w:bCs/>
                <w:color w:val="auto"/>
                <w:highlight w:val="none"/>
              </w:rPr>
            </w:pPr>
            <w:r>
              <w:rPr>
                <w:rFonts w:hint="eastAsia" w:ascii="宋体" w:hAnsi="宋体" w:cs="宋体"/>
                <w:bCs/>
                <w:color w:val="auto"/>
                <w:highlight w:val="none"/>
              </w:rPr>
              <w:t>6</w:t>
            </w:r>
          </w:p>
        </w:tc>
        <w:tc>
          <w:tcPr>
            <w:tcW w:w="1199"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投标文件的规范性</w:t>
            </w:r>
          </w:p>
          <w:p>
            <w:pPr>
              <w:pStyle w:val="11"/>
              <w:spacing w:after="0"/>
              <w:jc w:val="center"/>
              <w:rPr>
                <w:rFonts w:ascii="宋体" w:hAnsi="宋体" w:cs="宋体"/>
                <w:color w:val="auto"/>
                <w:highlight w:val="none"/>
              </w:rPr>
            </w:pPr>
            <w:r>
              <w:rPr>
                <w:rFonts w:hint="eastAsia" w:ascii="宋体" w:hAnsi="宋体" w:cs="宋体"/>
                <w:color w:val="auto"/>
                <w:highlight w:val="none"/>
              </w:rPr>
              <w:t>2%</w:t>
            </w:r>
          </w:p>
        </w:tc>
        <w:tc>
          <w:tcPr>
            <w:tcW w:w="836" w:type="dxa"/>
            <w:tcBorders>
              <w:top w:val="single" w:color="auto" w:sz="18" w:space="0"/>
              <w:left w:val="single" w:color="auto" w:sz="6" w:space="0"/>
              <w:bottom w:val="single" w:color="auto" w:sz="6" w:space="0"/>
              <w:right w:val="single" w:color="auto" w:sz="6"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2分</w:t>
            </w:r>
          </w:p>
        </w:tc>
        <w:tc>
          <w:tcPr>
            <w:tcW w:w="5577" w:type="dxa"/>
            <w:tcBorders>
              <w:top w:val="single" w:color="auto" w:sz="18" w:space="0"/>
              <w:left w:val="single" w:color="auto" w:sz="6" w:space="0"/>
              <w:bottom w:val="single" w:color="auto" w:sz="6" w:space="0"/>
              <w:right w:val="single" w:color="auto" w:sz="6" w:space="0"/>
            </w:tcBorders>
            <w:vAlign w:val="center"/>
          </w:tcPr>
          <w:p>
            <w:pPr>
              <w:pStyle w:val="11"/>
              <w:spacing w:after="0"/>
              <w:rPr>
                <w:rFonts w:ascii="宋体" w:hAnsi="宋体" w:cs="宋体"/>
                <w:color w:val="auto"/>
                <w:highlight w:val="none"/>
              </w:rPr>
            </w:pPr>
            <w:r>
              <w:rPr>
                <w:rFonts w:hint="eastAsia" w:ascii="宋体" w:hAnsi="宋体" w:cs="宋体"/>
                <w:color w:val="auto"/>
                <w:highlight w:val="none"/>
              </w:rPr>
              <w:t>投标文件制作规范，没有细微差情形的得2分；有一项细微偏差扣0.5分，直至该项分值扣完为止。</w:t>
            </w:r>
          </w:p>
        </w:tc>
        <w:tc>
          <w:tcPr>
            <w:tcW w:w="2108" w:type="dxa"/>
            <w:tcBorders>
              <w:top w:val="single" w:color="auto" w:sz="18" w:space="0"/>
              <w:left w:val="single" w:color="auto" w:sz="6" w:space="0"/>
              <w:bottom w:val="single" w:color="auto" w:sz="6" w:space="0"/>
              <w:right w:val="single" w:color="auto" w:sz="18" w:space="0"/>
            </w:tcBorders>
            <w:vAlign w:val="center"/>
          </w:tcPr>
          <w:p>
            <w:pPr>
              <w:pStyle w:val="11"/>
              <w:spacing w:after="0"/>
              <w:jc w:val="center"/>
              <w:rPr>
                <w:rFonts w:ascii="宋体" w:hAnsi="宋体" w:cs="宋体"/>
                <w:color w:val="auto"/>
                <w:highlight w:val="none"/>
              </w:rPr>
            </w:pPr>
            <w:r>
              <w:rPr>
                <w:rFonts w:hint="eastAsia" w:ascii="宋体" w:hAnsi="宋体" w:cs="宋体"/>
                <w:color w:val="auto"/>
                <w:highlight w:val="none"/>
              </w:rPr>
              <w:t>共同评分因素</w:t>
            </w:r>
          </w:p>
        </w:tc>
      </w:tr>
    </w:tbl>
    <w:p>
      <w:pPr>
        <w:spacing w:line="400" w:lineRule="exact"/>
        <w:rPr>
          <w:rFonts w:ascii="宋体" w:hAnsi="宋体"/>
          <w:color w:val="auto"/>
          <w:sz w:val="24"/>
          <w:highlight w:val="none"/>
        </w:rPr>
      </w:pPr>
      <w:r>
        <w:rPr>
          <w:rFonts w:hint="eastAsia" w:ascii="宋体" w:hAnsi="宋体" w:cs="宋体"/>
          <w:color w:val="auto"/>
          <w:sz w:val="24"/>
          <w:highlight w:val="none"/>
        </w:rPr>
        <w:t>注：评分的取值按四舍五入法，保留小数点后两位。</w:t>
      </w:r>
    </w:p>
    <w:p>
      <w:pPr>
        <w:pStyle w:val="4"/>
        <w:spacing w:line="400" w:lineRule="exact"/>
        <w:ind w:firstLine="472" w:firstLineChars="196"/>
        <w:rPr>
          <w:rFonts w:ascii="宋体" w:hAnsi="宋体" w:eastAsia="宋体"/>
          <w:color w:val="auto"/>
          <w:sz w:val="24"/>
          <w:szCs w:val="24"/>
          <w:highlight w:val="none"/>
        </w:rPr>
      </w:pPr>
      <w:r>
        <w:rPr>
          <w:rFonts w:hint="eastAsia" w:ascii="宋体" w:hAnsi="宋体" w:eastAsia="宋体"/>
          <w:color w:val="auto"/>
          <w:sz w:val="24"/>
          <w:szCs w:val="24"/>
          <w:highlight w:val="none"/>
        </w:rPr>
        <w:t>5、 废 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5.1本次政府采购活动中，出现下列情形之一的，予以废标：</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（1）符合专业条件的投标人或者对招标文件作实质响应的投标人不足三家的；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（2）出现影响采购公正的违法、违规行为的；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（3）投标人的报价均超过了采购预算，采购人不能支付的；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（4）因重大变故，采购任务取消的。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废标后，采购代理机构应在四川政府采购网上公告，并公告废标的情形。投标人需要知晓导致废标情形的具体原因和理由的，可以通过书面形式询问招标采购单位。</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5.2对于评标过程中废标的采购项目，评标委员会应当对招标文件是否存在倾向性和歧视性、是否存在不合理条款进行论证，并出具书面论证意见。</w:t>
      </w:r>
    </w:p>
    <w:p>
      <w:pPr>
        <w:pStyle w:val="4"/>
        <w:spacing w:line="400" w:lineRule="exact"/>
        <w:ind w:firstLine="472" w:firstLineChars="196"/>
        <w:rPr>
          <w:rFonts w:ascii="宋体" w:hAnsi="宋体" w:eastAsia="宋体"/>
          <w:color w:val="auto"/>
          <w:sz w:val="24"/>
          <w:szCs w:val="24"/>
          <w:highlight w:val="none"/>
        </w:rPr>
      </w:pPr>
      <w:r>
        <w:rPr>
          <w:rFonts w:hint="eastAsia" w:ascii="宋体" w:hAnsi="宋体" w:eastAsia="宋体"/>
          <w:color w:val="auto"/>
          <w:sz w:val="24"/>
          <w:szCs w:val="24"/>
          <w:highlight w:val="none"/>
        </w:rPr>
        <w:t>6、定标</w:t>
      </w:r>
      <w:bookmarkEnd w:id="202"/>
      <w:bookmarkStart w:id="203" w:name="_Toc217446061"/>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6.1. 定标原则</w:t>
      </w:r>
      <w:bookmarkEnd w:id="203"/>
      <w:r>
        <w:rPr>
          <w:rFonts w:hint="eastAsia" w:ascii="宋体" w:hAnsi="宋体"/>
          <w:color w:val="auto"/>
          <w:sz w:val="24"/>
          <w:highlight w:val="none"/>
        </w:rPr>
        <w:t>：本项目根据评标委员会推荐的中标候选人名单，按顺序确定中标人。</w:t>
      </w:r>
    </w:p>
    <w:p>
      <w:pPr>
        <w:spacing w:line="400" w:lineRule="exact"/>
        <w:ind w:firstLine="480" w:firstLineChars="200"/>
        <w:rPr>
          <w:rFonts w:ascii="宋体" w:hAnsi="宋体"/>
          <w:color w:val="auto"/>
          <w:sz w:val="24"/>
          <w:highlight w:val="none"/>
        </w:rPr>
      </w:pPr>
      <w:bookmarkStart w:id="204" w:name="_Toc217446062"/>
      <w:r>
        <w:rPr>
          <w:rFonts w:hint="eastAsia" w:ascii="宋体" w:hAnsi="宋体"/>
          <w:color w:val="auto"/>
          <w:sz w:val="24"/>
          <w:highlight w:val="none"/>
        </w:rPr>
        <w:t>6.2. 定标程序</w:t>
      </w:r>
      <w:bookmarkEnd w:id="204"/>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6.2.1 评标委员会将评标情况写出书面报告，推荐中标候选人。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6.2.2 采购代理机构在评标结束后2个工作日内将评标报告送采购人。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6.2.3 采购人在收到评标报告后5个工作日内，按照评标报告中推荐的中标候选人顺序确定中标人。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注意，采购人按照推荐的中标候选人顺序确定中标人，不能认为采购人只能确定第一中标候选人为中标人，采购人有正当理由的，可以确定后一顺序中标候选人为中标人，依次类推。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6.2.4 根据采购人确定的中标人，采购代理机构在四川政府采购网上发布中标公告，并自采购人确定中标之日起2个工作日内向中标人发出中标通知书。</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6.2.5 招标采购单位不退回投标人投标文件和其他投标资料。</w:t>
      </w:r>
      <w:bookmarkEnd w:id="201"/>
    </w:p>
    <w:p>
      <w:pPr>
        <w:pStyle w:val="4"/>
        <w:spacing w:line="400" w:lineRule="exact"/>
        <w:ind w:firstLine="482" w:firstLineChars="200"/>
        <w:rPr>
          <w:rFonts w:ascii="宋体" w:hAnsi="宋体" w:eastAsia="宋体"/>
          <w:bCs w:val="0"/>
          <w:color w:val="auto"/>
          <w:sz w:val="24"/>
          <w:szCs w:val="24"/>
          <w:highlight w:val="none"/>
        </w:rPr>
      </w:pPr>
      <w:bookmarkStart w:id="205" w:name="_Toc183682432"/>
      <w:bookmarkStart w:id="206" w:name="_Toc208849022"/>
      <w:bookmarkStart w:id="207" w:name="_Toc183582297"/>
      <w:bookmarkStart w:id="208" w:name="_Toc217446105"/>
      <w:r>
        <w:rPr>
          <w:rFonts w:hint="eastAsia" w:ascii="宋体" w:hAnsi="宋体" w:eastAsia="宋体"/>
          <w:bCs w:val="0"/>
          <w:color w:val="auto"/>
          <w:sz w:val="24"/>
          <w:szCs w:val="24"/>
          <w:highlight w:val="none"/>
        </w:rPr>
        <w:t xml:space="preserve">7. </w:t>
      </w:r>
      <w:bookmarkEnd w:id="205"/>
      <w:bookmarkEnd w:id="206"/>
      <w:bookmarkEnd w:id="207"/>
      <w:bookmarkEnd w:id="208"/>
      <w:r>
        <w:rPr>
          <w:rFonts w:hint="eastAsia" w:ascii="宋体" w:hAnsi="宋体" w:eastAsia="宋体"/>
          <w:color w:val="auto"/>
          <w:sz w:val="24"/>
          <w:szCs w:val="24"/>
          <w:highlight w:val="none"/>
        </w:rPr>
        <w:t>评标专家在</w:t>
      </w:r>
      <w:r>
        <w:rPr>
          <w:rFonts w:hint="eastAsia" w:ascii="宋体" w:hAnsi="宋体" w:eastAsia="宋体"/>
          <w:color w:val="auto"/>
          <w:sz w:val="24"/>
          <w:highlight w:val="none"/>
        </w:rPr>
        <w:t>政府采购活动</w:t>
      </w:r>
      <w:r>
        <w:rPr>
          <w:rFonts w:hint="eastAsia" w:ascii="宋体" w:hAnsi="宋体" w:eastAsia="宋体"/>
          <w:color w:val="auto"/>
          <w:sz w:val="24"/>
          <w:szCs w:val="24"/>
          <w:highlight w:val="none"/>
        </w:rPr>
        <w:t>中承担以下义务：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（一）遵守评审工作纪律； </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（二）按照客观、公正、审慎的原则，根据采购文件规定的评审程序、评审方法和评审标准进行独立评审；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（三）不得泄露评审文件、评审情况和在评审过程中获悉的商业秘密；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（四）及时向监督部门报告评审过程中采购组织单位向评审专家做倾向性、误导性的解释或者说明，投标人行贿、提供虚假材料或者串通、受到的非法干预情况等违法违规行为；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（六）配合答复处理投标人的询问、质疑和投诉等事项；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（七）法律、法规和规章规定的其他义务。</w:t>
      </w:r>
    </w:p>
    <w:p>
      <w:pPr>
        <w:pStyle w:val="4"/>
        <w:spacing w:line="400" w:lineRule="exact"/>
        <w:ind w:firstLine="482" w:firstLineChars="200"/>
        <w:rPr>
          <w:rFonts w:ascii="宋体" w:hAnsi="宋体" w:eastAsia="宋体"/>
          <w:bCs w:val="0"/>
          <w:color w:val="auto"/>
          <w:sz w:val="24"/>
          <w:szCs w:val="24"/>
          <w:highlight w:val="none"/>
        </w:rPr>
      </w:pPr>
      <w:r>
        <w:rPr>
          <w:rFonts w:hint="eastAsia" w:ascii="宋体" w:hAnsi="宋体" w:eastAsia="宋体"/>
          <w:bCs w:val="0"/>
          <w:color w:val="auto"/>
          <w:sz w:val="24"/>
          <w:szCs w:val="24"/>
          <w:highlight w:val="none"/>
        </w:rPr>
        <w:t>8.评标专家在政府采购活动中应当遵守以下工作纪律：</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（一）遵行《政府采购法》第十二条和《政府采购法实施条例》第九条及财政部关于回避的规定。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（二）评标前，应当将通讯工具或者相关电子设备交由招标采购单位统一保管。</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（三）评标过程中，不得与外界联系，因发生不可预见情况，确实需要与外界联系的，应当在监督人员监督之下办理。</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（五）在评标过程中和评标结束后，不得记录、复制或带走任何评标资料，除因规定的义务外，不得向外界透露评标内容。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（六）服从评标现场招标采购单位的现场秩序管理，接受评标现场监督人员的合法监督。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（七）遵守有关廉洁自律规定，不得私下接触投标人，不得收受投标人及有关业务单位和个人的财物或好处，不得接受采购组织单位的请托。</w:t>
      </w:r>
    </w:p>
    <w:p>
      <w:pPr>
        <w:pStyle w:val="3"/>
        <w:spacing w:line="400" w:lineRule="exact"/>
        <w:jc w:val="center"/>
        <w:rPr>
          <w:rFonts w:ascii="宋体" w:hAnsi="宋体" w:cs="宋体"/>
          <w:color w:val="auto"/>
          <w:sz w:val="36"/>
          <w:szCs w:val="36"/>
          <w:highlight w:val="none"/>
        </w:rPr>
      </w:pPr>
      <w:bookmarkStart w:id="209" w:name="_Toc23042"/>
      <w:r>
        <w:rPr>
          <w:rFonts w:hint="eastAsia" w:ascii="宋体" w:hAnsi="宋体"/>
          <w:color w:val="auto"/>
          <w:sz w:val="36"/>
          <w:szCs w:val="36"/>
          <w:highlight w:val="none"/>
        </w:rPr>
        <w:br w:type="page"/>
      </w:r>
      <w:bookmarkStart w:id="210" w:name="_Toc56539475"/>
      <w:r>
        <w:rPr>
          <w:rFonts w:hint="eastAsia" w:ascii="宋体" w:hAnsi="宋体" w:cs="宋体"/>
          <w:color w:val="auto"/>
          <w:sz w:val="36"/>
          <w:szCs w:val="36"/>
          <w:highlight w:val="none"/>
        </w:rPr>
        <w:t>第八章  政府采购合同（样例）</w:t>
      </w:r>
      <w:bookmarkEnd w:id="209"/>
      <w:bookmarkEnd w:id="21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r>
        <w:rPr>
          <w:rFonts w:hint="eastAsia" w:ascii="宋体" w:hAnsi="宋体" w:cs="宋体"/>
          <w:color w:val="auto"/>
          <w:szCs w:val="21"/>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签订地点：</w:t>
      </w:r>
      <w:r>
        <w:rPr>
          <w:rFonts w:hint="eastAsia" w:ascii="宋体" w:hAnsi="宋体" w:cs="宋体"/>
          <w:color w:val="auto"/>
          <w:sz w:val="24"/>
          <w:highlight w:val="none"/>
          <w:u w:val="single"/>
        </w:rPr>
        <w:t xml:space="preserve">        </w:t>
      </w:r>
      <w:r>
        <w:rPr>
          <w:rFonts w:hint="eastAsia" w:ascii="宋体" w:hAnsi="宋体" w:cs="宋体"/>
          <w:color w:val="auto"/>
          <w:szCs w:val="21"/>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签订时间：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采购人（甲方）：</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投标人（乙方）：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highlight w:val="none"/>
        </w:rPr>
        <w:t xml:space="preserve">                                       </w:t>
      </w:r>
    </w:p>
    <w:p>
      <w:pPr>
        <w:spacing w:line="400" w:lineRule="exact"/>
        <w:rPr>
          <w:rFonts w:ascii="宋体" w:hAnsi="宋体" w:cs="宋体"/>
          <w:color w:val="auto"/>
          <w:sz w:val="24"/>
          <w:highlight w:val="none"/>
        </w:rPr>
      </w:pPr>
    </w:p>
    <w:p>
      <w:pPr>
        <w:pStyle w:val="53"/>
        <w:ind w:firstLine="480"/>
        <w:rPr>
          <w:rFonts w:ascii="宋体" w:hAnsi="宋体"/>
          <w:color w:val="auto"/>
          <w:highlight w:val="none"/>
        </w:rPr>
      </w:pPr>
      <w:r>
        <w:rPr>
          <w:rFonts w:hint="eastAsia" w:ascii="宋体" w:hAnsi="宋体"/>
          <w:color w:val="auto"/>
          <w:highlight w:val="none"/>
        </w:rPr>
        <w:t>根据《中华人民共和国政府采购法》、《中华人民共和国</w:t>
      </w:r>
      <w:ins w:id="3" w:author="成都西米/*" w:date="2021-06-24T15:56:15Z">
        <w:r>
          <w:rPr>
            <w:rFonts w:hint="eastAsia" w:ascii="宋体" w:hAnsi="宋体"/>
            <w:color w:val="auto"/>
            <w:highlight w:val="none"/>
            <w:lang w:val="en-US" w:eastAsia="zh-CN"/>
          </w:rPr>
          <w:t>民法典</w:t>
        </w:r>
      </w:ins>
      <w:r>
        <w:rPr>
          <w:rFonts w:hint="eastAsia" w:ascii="宋体" w:hAnsi="宋体"/>
          <w:color w:val="auto"/>
          <w:highlight w:val="none"/>
        </w:rPr>
        <w:t>》及</w:t>
      </w:r>
      <w:r>
        <w:rPr>
          <w:rFonts w:ascii="宋体" w:hAnsi="宋体"/>
          <w:color w:val="auto"/>
          <w:szCs w:val="21"/>
          <w:highlight w:val="none"/>
          <w:u w:val="single"/>
        </w:rPr>
        <w:t xml:space="preserve">        </w:t>
      </w:r>
      <w:r>
        <w:rPr>
          <w:rFonts w:hint="eastAsia" w:ascii="宋体" w:hAnsi="宋体"/>
          <w:color w:val="auto"/>
          <w:highlight w:val="none"/>
        </w:rPr>
        <w:t>采购项目（项目编号：</w:t>
      </w:r>
      <w:r>
        <w:rPr>
          <w:rFonts w:ascii="宋体" w:hAnsi="宋体"/>
          <w:color w:val="auto"/>
          <w:szCs w:val="21"/>
          <w:highlight w:val="none"/>
          <w:u w:val="single"/>
        </w:rPr>
        <w:t xml:space="preserve">        </w:t>
      </w:r>
      <w:r>
        <w:rPr>
          <w:rFonts w:hint="eastAsia" w:ascii="宋体" w:hAnsi="宋体"/>
          <w:color w:val="auto"/>
          <w:highlight w:val="none"/>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numPr>
          <w:ilvl w:val="0"/>
          <w:numId w:val="5"/>
        </w:numPr>
        <w:spacing w:line="360" w:lineRule="auto"/>
        <w:rPr>
          <w:rFonts w:ascii="宋体" w:hAnsi="宋体"/>
          <w:b/>
          <w:color w:val="auto"/>
          <w:sz w:val="24"/>
          <w:highlight w:val="none"/>
        </w:rPr>
      </w:pPr>
      <w:bookmarkStart w:id="211" w:name="_Toc217446115"/>
      <w:r>
        <w:rPr>
          <w:rFonts w:hint="eastAsia" w:ascii="宋体" w:hAnsi="宋体"/>
          <w:b/>
          <w:color w:val="auto"/>
          <w:sz w:val="24"/>
          <w:highlight w:val="none"/>
        </w:rPr>
        <w:t>项目基本情况</w:t>
      </w:r>
    </w:p>
    <w:p>
      <w:pPr>
        <w:spacing w:line="360" w:lineRule="auto"/>
        <w:ind w:firstLine="630"/>
        <w:rPr>
          <w:rFonts w:ascii="宋体" w:hAnsi="宋体"/>
          <w:b/>
          <w:color w:val="auto"/>
          <w:sz w:val="24"/>
          <w:highlight w:val="none"/>
        </w:rPr>
      </w:pPr>
    </w:p>
    <w:p>
      <w:pPr>
        <w:numPr>
          <w:ilvl w:val="0"/>
          <w:numId w:val="5"/>
        </w:numPr>
        <w:spacing w:line="360" w:lineRule="auto"/>
        <w:rPr>
          <w:rFonts w:ascii="宋体" w:hAnsi="宋体"/>
          <w:b/>
          <w:color w:val="auto"/>
          <w:sz w:val="24"/>
          <w:highlight w:val="none"/>
        </w:rPr>
      </w:pPr>
      <w:r>
        <w:rPr>
          <w:rFonts w:hint="eastAsia" w:ascii="宋体" w:hAnsi="宋体"/>
          <w:b/>
          <w:color w:val="auto"/>
          <w:sz w:val="24"/>
          <w:highlight w:val="none"/>
        </w:rPr>
        <w:t>合同期限</w:t>
      </w:r>
    </w:p>
    <w:p>
      <w:pPr>
        <w:spacing w:line="360" w:lineRule="auto"/>
        <w:ind w:firstLine="480" w:firstLineChars="200"/>
        <w:rPr>
          <w:rFonts w:ascii="宋体" w:hAnsi="宋体"/>
          <w:color w:val="auto"/>
          <w:sz w:val="24"/>
          <w:highlight w:val="none"/>
        </w:rPr>
      </w:pPr>
    </w:p>
    <w:p>
      <w:pPr>
        <w:numPr>
          <w:ilvl w:val="0"/>
          <w:numId w:val="5"/>
        </w:numPr>
        <w:spacing w:line="360" w:lineRule="auto"/>
        <w:rPr>
          <w:rFonts w:ascii="宋体" w:hAnsi="宋体"/>
          <w:b/>
          <w:color w:val="auto"/>
          <w:sz w:val="24"/>
          <w:highlight w:val="none"/>
        </w:rPr>
      </w:pPr>
      <w:bookmarkStart w:id="212" w:name="_Toc241833903"/>
      <w:bookmarkStart w:id="213" w:name="_Toc238984975"/>
      <w:bookmarkStart w:id="214" w:name="_Toc237145406"/>
      <w:bookmarkStart w:id="215" w:name="_Toc282696226"/>
      <w:bookmarkStart w:id="216" w:name="_Toc239233914"/>
      <w:bookmarkStart w:id="217" w:name="_Toc239568418"/>
      <w:bookmarkStart w:id="218" w:name="_Toc251768862"/>
      <w:bookmarkStart w:id="219" w:name="_Toc225654644"/>
      <w:bookmarkStart w:id="220" w:name="_Toc211911348"/>
      <w:bookmarkStart w:id="221" w:name="_Toc211854449"/>
      <w:bookmarkStart w:id="222" w:name="_Toc225244852"/>
      <w:bookmarkStart w:id="223" w:name="_Toc225670751"/>
      <w:bookmarkStart w:id="224" w:name="_Toc286993786"/>
      <w:bookmarkStart w:id="225" w:name="_Toc232492928"/>
      <w:bookmarkStart w:id="226" w:name="_Toc212019594"/>
      <w:bookmarkStart w:id="227" w:name="_Toc185395249"/>
      <w:bookmarkStart w:id="228" w:name="_Toc283019214"/>
      <w:bookmarkStart w:id="229" w:name="_Toc247334841"/>
      <w:r>
        <w:rPr>
          <w:rFonts w:hint="eastAsia" w:ascii="宋体" w:hAnsi="宋体"/>
          <w:b/>
          <w:color w:val="auto"/>
          <w:sz w:val="24"/>
          <w:highlight w:val="none"/>
        </w:rPr>
        <w:t>服务内容与质量标准</w:t>
      </w:r>
    </w:p>
    <w:p>
      <w:pPr>
        <w:numPr>
          <w:ilvl w:val="0"/>
          <w:numId w:val="6"/>
        </w:numPr>
        <w:spacing w:line="360" w:lineRule="auto"/>
        <w:ind w:left="0" w:firstLine="567"/>
        <w:rPr>
          <w:rFonts w:ascii="宋体" w:hAnsi="宋体"/>
          <w:color w:val="auto"/>
          <w:sz w:val="24"/>
          <w:highlight w:val="none"/>
        </w:rPr>
      </w:pPr>
    </w:p>
    <w:p>
      <w:pPr>
        <w:numPr>
          <w:ilvl w:val="0"/>
          <w:numId w:val="6"/>
        </w:numPr>
        <w:spacing w:line="360" w:lineRule="auto"/>
        <w:ind w:left="0" w:firstLine="567"/>
        <w:rPr>
          <w:rFonts w:ascii="宋体" w:hAnsi="宋体"/>
          <w:color w:val="auto"/>
          <w:sz w:val="24"/>
          <w:highlight w:val="none"/>
        </w:rPr>
      </w:pPr>
    </w:p>
    <w:p>
      <w:pPr>
        <w:numPr>
          <w:ilvl w:val="0"/>
          <w:numId w:val="6"/>
        </w:numPr>
        <w:spacing w:line="360" w:lineRule="auto"/>
        <w:ind w:left="0" w:firstLine="567"/>
        <w:rPr>
          <w:rFonts w:ascii="宋体" w:hAnsi="宋体"/>
          <w:color w:val="auto"/>
          <w:sz w:val="24"/>
          <w:highlight w:val="none"/>
        </w:rPr>
      </w:pPr>
    </w:p>
    <w:p>
      <w:pPr>
        <w:numPr>
          <w:ilvl w:val="0"/>
          <w:numId w:val="6"/>
        </w:numPr>
        <w:spacing w:line="360" w:lineRule="auto"/>
        <w:ind w:left="0" w:firstLine="567"/>
        <w:rPr>
          <w:rFonts w:ascii="宋体" w:hAnsi="宋体"/>
          <w:color w:val="auto"/>
          <w:sz w:val="24"/>
          <w:highlight w:val="none"/>
        </w:rPr>
      </w:pPr>
    </w:p>
    <w:p>
      <w:pPr>
        <w:numPr>
          <w:ilvl w:val="0"/>
          <w:numId w:val="6"/>
        </w:numPr>
        <w:spacing w:line="360" w:lineRule="auto"/>
        <w:ind w:left="0" w:firstLine="567"/>
        <w:rPr>
          <w:rFonts w:ascii="宋体" w:hAnsi="宋体"/>
          <w:color w:val="auto"/>
          <w:sz w:val="24"/>
          <w:highlight w:val="none"/>
        </w:rPr>
      </w:pPr>
    </w:p>
    <w:p>
      <w:pPr>
        <w:spacing w:line="360" w:lineRule="auto"/>
        <w:ind w:firstLine="630"/>
        <w:rPr>
          <w:rFonts w:ascii="宋体" w:hAnsi="宋体"/>
          <w:color w:val="auto"/>
          <w:sz w:val="24"/>
          <w:highlight w:val="none"/>
        </w:rPr>
      </w:pPr>
      <w:r>
        <w:rPr>
          <w:rFonts w:ascii="宋体" w:hAnsi="宋体"/>
          <w:color w:val="auto"/>
          <w:sz w:val="24"/>
          <w:highlight w:val="none"/>
        </w:rPr>
        <w:t>…</w:t>
      </w:r>
    </w:p>
    <w:p>
      <w:pPr>
        <w:numPr>
          <w:ilvl w:val="0"/>
          <w:numId w:val="5"/>
        </w:numPr>
        <w:spacing w:line="360" w:lineRule="auto"/>
        <w:rPr>
          <w:rFonts w:ascii="宋体" w:hAnsi="宋体"/>
          <w:b/>
          <w:color w:val="auto"/>
          <w:sz w:val="24"/>
          <w:highlight w:val="none"/>
        </w:rPr>
      </w:pPr>
      <w:r>
        <w:rPr>
          <w:rFonts w:hint="eastAsia" w:ascii="宋体" w:hAnsi="宋体"/>
          <w:b/>
          <w:color w:val="auto"/>
          <w:sz w:val="24"/>
          <w:highlight w:val="none"/>
        </w:rPr>
        <w:t>服务费用及支付方式</w:t>
      </w:r>
    </w:p>
    <w:p>
      <w:pPr>
        <w:numPr>
          <w:ilvl w:val="0"/>
          <w:numId w:val="7"/>
        </w:numPr>
        <w:spacing w:line="360" w:lineRule="auto"/>
        <w:ind w:left="0" w:firstLine="567"/>
        <w:rPr>
          <w:rFonts w:ascii="宋体" w:hAnsi="宋体"/>
          <w:b/>
          <w:color w:val="auto"/>
          <w:sz w:val="24"/>
          <w:highlight w:val="none"/>
        </w:rPr>
      </w:pPr>
      <w:r>
        <w:rPr>
          <w:rFonts w:hint="eastAsia" w:ascii="宋体" w:hAnsi="宋体"/>
          <w:b/>
          <w:color w:val="auto"/>
          <w:sz w:val="24"/>
          <w:highlight w:val="none"/>
        </w:rPr>
        <w:t>本项目服务费用由以下组成：</w:t>
      </w:r>
    </w:p>
    <w:p>
      <w:pPr>
        <w:numPr>
          <w:ilvl w:val="0"/>
          <w:numId w:val="8"/>
        </w:numPr>
        <w:spacing w:line="360" w:lineRule="auto"/>
        <w:rPr>
          <w:rFonts w:ascii="宋体" w:hAnsi="宋体"/>
          <w:color w:val="auto"/>
          <w:sz w:val="24"/>
          <w:highlight w:val="none"/>
        </w:rPr>
      </w:pPr>
      <w:r>
        <w:rPr>
          <w:rFonts w:hint="eastAsia" w:ascii="宋体" w:hAnsi="宋体"/>
          <w:color w:val="auto"/>
          <w:sz w:val="24"/>
          <w:highlight w:val="none"/>
        </w:rPr>
        <w:t>　　　　万元；</w:t>
      </w:r>
    </w:p>
    <w:p>
      <w:pPr>
        <w:numPr>
          <w:ilvl w:val="0"/>
          <w:numId w:val="8"/>
        </w:numPr>
        <w:spacing w:line="360" w:lineRule="auto"/>
        <w:rPr>
          <w:rFonts w:ascii="宋体" w:hAnsi="宋体"/>
          <w:color w:val="auto"/>
          <w:sz w:val="24"/>
          <w:highlight w:val="none"/>
        </w:rPr>
      </w:pPr>
      <w:r>
        <w:rPr>
          <w:rFonts w:hint="eastAsia" w:ascii="宋体" w:hAnsi="宋体"/>
          <w:color w:val="auto"/>
          <w:sz w:val="24"/>
          <w:highlight w:val="none"/>
        </w:rPr>
        <w:t xml:space="preserve">        万元；</w:t>
      </w:r>
    </w:p>
    <w:p>
      <w:pPr>
        <w:numPr>
          <w:ilvl w:val="0"/>
          <w:numId w:val="8"/>
        </w:numPr>
        <w:spacing w:line="360" w:lineRule="auto"/>
        <w:rPr>
          <w:rFonts w:ascii="宋体" w:hAnsi="宋体"/>
          <w:color w:val="auto"/>
          <w:sz w:val="24"/>
          <w:highlight w:val="none"/>
        </w:rPr>
      </w:pPr>
      <w:r>
        <w:rPr>
          <w:rFonts w:hint="eastAsia" w:ascii="宋体" w:hAnsi="宋体"/>
          <w:color w:val="auto"/>
          <w:sz w:val="24"/>
          <w:highlight w:val="none"/>
        </w:rPr>
        <w:t xml:space="preserve">        万元。</w:t>
      </w:r>
    </w:p>
    <w:p>
      <w:pPr>
        <w:numPr>
          <w:ilvl w:val="0"/>
          <w:numId w:val="7"/>
        </w:numPr>
        <w:tabs>
          <w:tab w:val="left" w:pos="780"/>
        </w:tabs>
        <w:spacing w:line="360" w:lineRule="auto"/>
        <w:ind w:left="0" w:firstLine="567"/>
        <w:rPr>
          <w:rFonts w:ascii="宋体" w:hAnsi="宋体"/>
          <w:b/>
          <w:color w:val="auto"/>
          <w:sz w:val="24"/>
          <w:highlight w:val="none"/>
        </w:rPr>
      </w:pPr>
      <w:r>
        <w:rPr>
          <w:rFonts w:hint="eastAsia" w:ascii="宋体" w:hAnsi="宋体"/>
          <w:b/>
          <w:color w:val="auto"/>
          <w:sz w:val="24"/>
          <w:highlight w:val="none"/>
        </w:rPr>
        <w:t xml:space="preserve">服务费支付方式： </w:t>
      </w:r>
    </w:p>
    <w:p>
      <w:pPr>
        <w:numPr>
          <w:ilvl w:val="0"/>
          <w:numId w:val="5"/>
        </w:numPr>
        <w:spacing w:line="360" w:lineRule="auto"/>
        <w:rPr>
          <w:rFonts w:ascii="宋体" w:hAnsi="宋体"/>
          <w:b/>
          <w:color w:val="auto"/>
          <w:sz w:val="24"/>
          <w:highlight w:val="none"/>
        </w:rPr>
      </w:pPr>
      <w:r>
        <w:rPr>
          <w:rFonts w:hint="eastAsia" w:ascii="宋体" w:hAnsi="宋体"/>
          <w:b/>
          <w:color w:val="auto"/>
          <w:sz w:val="24"/>
          <w:highlight w:val="none"/>
        </w:rPr>
        <w:t>知识产权</w:t>
      </w:r>
    </w:p>
    <w:p>
      <w:pPr>
        <w:tabs>
          <w:tab w:val="left" w:pos="144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乙方应保证所提供的服务或其任何一部分均不会侵犯任何第三方的专利权、商标权或著作权。</w:t>
      </w:r>
    </w:p>
    <w:p>
      <w:pPr>
        <w:numPr>
          <w:ilvl w:val="0"/>
          <w:numId w:val="5"/>
        </w:numPr>
        <w:spacing w:line="360" w:lineRule="auto"/>
        <w:rPr>
          <w:rFonts w:ascii="宋体" w:hAnsi="宋体"/>
          <w:b/>
          <w:color w:val="auto"/>
          <w:sz w:val="24"/>
          <w:highlight w:val="none"/>
        </w:rPr>
      </w:pPr>
      <w:r>
        <w:rPr>
          <w:rFonts w:hint="eastAsia" w:ascii="宋体" w:hAnsi="宋体"/>
          <w:b/>
          <w:color w:val="auto"/>
          <w:sz w:val="24"/>
          <w:highlight w:val="none"/>
        </w:rPr>
        <w:t>无产权瑕疵条款</w:t>
      </w:r>
    </w:p>
    <w:p>
      <w:pPr>
        <w:tabs>
          <w:tab w:val="left" w:pos="144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乙方保证所提供的服务的所有权完全属于乙方且无任何抵押、查封等产权瑕疵。如有产权瑕疵的，视为乙方违约。乙方应负担由此而产生的一切损失。</w:t>
      </w:r>
    </w:p>
    <w:p>
      <w:pPr>
        <w:numPr>
          <w:ilvl w:val="0"/>
          <w:numId w:val="5"/>
        </w:numPr>
        <w:spacing w:line="360" w:lineRule="auto"/>
        <w:rPr>
          <w:rFonts w:ascii="宋体" w:hAnsi="宋体"/>
          <w:b/>
          <w:color w:val="auto"/>
          <w:sz w:val="24"/>
          <w:highlight w:val="none"/>
        </w:rPr>
      </w:pPr>
      <w:r>
        <w:rPr>
          <w:rFonts w:hint="eastAsia" w:ascii="宋体" w:hAnsi="宋体"/>
          <w:b/>
          <w:color w:val="auto"/>
          <w:sz w:val="24"/>
          <w:highlight w:val="none"/>
        </w:rPr>
        <w:t>履约保证金</w:t>
      </w:r>
    </w:p>
    <w:p>
      <w:pPr>
        <w:pStyle w:val="15"/>
        <w:numPr>
          <w:ilvl w:val="0"/>
          <w:numId w:val="9"/>
        </w:numPr>
        <w:spacing w:line="360" w:lineRule="auto"/>
        <w:ind w:left="0" w:firstLine="567"/>
        <w:rPr>
          <w:rFonts w:hAnsi="宋体"/>
          <w:color w:val="auto"/>
          <w:sz w:val="24"/>
          <w:highlight w:val="none"/>
        </w:rPr>
      </w:pPr>
      <w:r>
        <w:rPr>
          <w:rFonts w:hint="eastAsia" w:hAnsi="宋体"/>
          <w:color w:val="auto"/>
          <w:sz w:val="24"/>
          <w:highlight w:val="none"/>
        </w:rPr>
        <w:t>乙方交纳合同金额的</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%，即人民币</w:t>
      </w:r>
      <w:r>
        <w:rPr>
          <w:rFonts w:hint="eastAsia" w:hAnsi="宋体"/>
          <w:color w:val="auto"/>
          <w:sz w:val="24"/>
          <w:highlight w:val="none"/>
          <w:u w:val="single"/>
        </w:rPr>
        <w:t>　　　　　　</w:t>
      </w:r>
      <w:r>
        <w:rPr>
          <w:rFonts w:hint="eastAsia" w:hAnsi="宋体"/>
          <w:color w:val="auto"/>
          <w:sz w:val="24"/>
          <w:highlight w:val="none"/>
        </w:rPr>
        <w:t>元作为本合同的履约保证金。</w:t>
      </w:r>
    </w:p>
    <w:p>
      <w:pPr>
        <w:pStyle w:val="15"/>
        <w:numPr>
          <w:ilvl w:val="0"/>
          <w:numId w:val="9"/>
        </w:numPr>
        <w:spacing w:line="360" w:lineRule="auto"/>
        <w:ind w:left="0" w:firstLine="567"/>
        <w:rPr>
          <w:rFonts w:hAnsi="宋体"/>
          <w:color w:val="auto"/>
          <w:sz w:val="24"/>
          <w:highlight w:val="none"/>
        </w:rPr>
      </w:pPr>
      <w:r>
        <w:rPr>
          <w:rFonts w:hint="eastAsia" w:hAnsi="宋体"/>
          <w:color w:val="auto"/>
          <w:sz w:val="24"/>
          <w:highlight w:val="none"/>
        </w:rPr>
        <w:t>履约保证金作为违约金的一部分及用于补偿甲方因乙方不能履行合同义务而蒙受的损失。</w:t>
      </w:r>
    </w:p>
    <w:p>
      <w:pPr>
        <w:numPr>
          <w:ilvl w:val="0"/>
          <w:numId w:val="5"/>
        </w:numPr>
        <w:spacing w:line="360" w:lineRule="auto"/>
        <w:rPr>
          <w:rFonts w:ascii="宋体" w:hAnsi="宋体"/>
          <w:b/>
          <w:color w:val="auto"/>
          <w:sz w:val="24"/>
          <w:highlight w:val="none"/>
        </w:rPr>
      </w:pPr>
      <w:r>
        <w:rPr>
          <w:rFonts w:ascii="宋体" w:hAnsi="宋体"/>
          <w:b/>
          <w:color w:val="auto"/>
          <w:sz w:val="24"/>
          <w:highlight w:val="none"/>
        </w:rPr>
        <w:t>甲方的权利和义务</w:t>
      </w:r>
    </w:p>
    <w:p>
      <w:pPr>
        <w:numPr>
          <w:ilvl w:val="0"/>
          <w:numId w:val="10"/>
        </w:numPr>
        <w:tabs>
          <w:tab w:val="left" w:pos="1440"/>
        </w:tabs>
        <w:adjustRightInd w:val="0"/>
        <w:spacing w:line="360" w:lineRule="auto"/>
        <w:ind w:left="0" w:firstLine="420"/>
        <w:jc w:val="left"/>
        <w:textAlignment w:val="baseline"/>
        <w:rPr>
          <w:rFonts w:ascii="宋体" w:hAnsi="宋体"/>
          <w:bCs/>
          <w:color w:val="auto"/>
          <w:sz w:val="24"/>
          <w:highlight w:val="none"/>
        </w:rPr>
      </w:pPr>
      <w:r>
        <w:rPr>
          <w:rFonts w:ascii="宋体" w:hAnsi="宋体"/>
          <w:bCs/>
          <w:color w:val="auto"/>
          <w:sz w:val="24"/>
          <w:highlight w:val="none"/>
        </w:rPr>
        <w:t>甲方有权对合同规定范围内</w:t>
      </w:r>
      <w:r>
        <w:rPr>
          <w:rFonts w:hint="eastAsia" w:ascii="宋体" w:hAnsi="宋体"/>
          <w:bCs/>
          <w:color w:val="auto"/>
          <w:sz w:val="24"/>
          <w:highlight w:val="none"/>
        </w:rPr>
        <w:t>乙方的服务行为</w:t>
      </w:r>
      <w:r>
        <w:rPr>
          <w:rFonts w:ascii="宋体" w:hAnsi="宋体"/>
          <w:bCs/>
          <w:color w:val="auto"/>
          <w:sz w:val="24"/>
          <w:highlight w:val="none"/>
        </w:rPr>
        <w:t>进行监督和检查，拥有监管权。有权定期核对乙方提供服务所配备的人员数量。对甲方认为不合理的部分有权</w:t>
      </w:r>
      <w:r>
        <w:rPr>
          <w:rFonts w:hint="eastAsia" w:ascii="宋体" w:hAnsi="宋体"/>
          <w:bCs/>
          <w:color w:val="auto"/>
          <w:sz w:val="24"/>
          <w:highlight w:val="none"/>
        </w:rPr>
        <w:t>下达整改通知书，并</w:t>
      </w:r>
      <w:r>
        <w:rPr>
          <w:rFonts w:ascii="宋体" w:hAnsi="宋体"/>
          <w:bCs/>
          <w:color w:val="auto"/>
          <w:sz w:val="24"/>
          <w:highlight w:val="none"/>
        </w:rPr>
        <w:t>要求乙方</w:t>
      </w:r>
      <w:r>
        <w:rPr>
          <w:rFonts w:hint="eastAsia" w:ascii="宋体" w:hAnsi="宋体"/>
          <w:bCs/>
          <w:color w:val="auto"/>
          <w:sz w:val="24"/>
          <w:highlight w:val="none"/>
        </w:rPr>
        <w:t>限期整改</w:t>
      </w:r>
      <w:r>
        <w:rPr>
          <w:rFonts w:ascii="宋体" w:hAnsi="宋体"/>
          <w:bCs/>
          <w:color w:val="auto"/>
          <w:sz w:val="24"/>
          <w:highlight w:val="none"/>
        </w:rPr>
        <w:t>。</w:t>
      </w:r>
    </w:p>
    <w:p>
      <w:pPr>
        <w:numPr>
          <w:ilvl w:val="0"/>
          <w:numId w:val="10"/>
        </w:numPr>
        <w:tabs>
          <w:tab w:val="left" w:pos="1440"/>
        </w:tabs>
        <w:adjustRightInd w:val="0"/>
        <w:spacing w:line="360" w:lineRule="auto"/>
        <w:ind w:left="0" w:firstLine="420"/>
        <w:jc w:val="left"/>
        <w:textAlignment w:val="baseline"/>
        <w:rPr>
          <w:rFonts w:ascii="宋体" w:hAnsi="宋体"/>
          <w:bCs/>
          <w:color w:val="auto"/>
          <w:sz w:val="24"/>
          <w:highlight w:val="none"/>
        </w:rPr>
      </w:pPr>
      <w:r>
        <w:rPr>
          <w:rFonts w:hint="eastAsia" w:ascii="宋体" w:hAnsi="宋体"/>
          <w:bCs/>
          <w:color w:val="auto"/>
          <w:sz w:val="24"/>
          <w:highlight w:val="none"/>
        </w:rPr>
        <w:t>甲方有权依据双方签订的考评办法对乙方提供的服务进行定期考评。当考评结果未达到标准时，有权依据考评办法约定的数额扣除履约保证金。</w:t>
      </w:r>
    </w:p>
    <w:p>
      <w:pPr>
        <w:numPr>
          <w:ilvl w:val="0"/>
          <w:numId w:val="10"/>
        </w:numPr>
        <w:tabs>
          <w:tab w:val="left" w:pos="1440"/>
        </w:tabs>
        <w:adjustRightInd w:val="0"/>
        <w:spacing w:line="360" w:lineRule="auto"/>
        <w:ind w:left="0" w:firstLine="420"/>
        <w:jc w:val="left"/>
        <w:textAlignment w:val="baseline"/>
        <w:rPr>
          <w:rFonts w:ascii="宋体" w:hAnsi="宋体"/>
          <w:bCs/>
          <w:color w:val="auto"/>
          <w:sz w:val="24"/>
          <w:highlight w:val="none"/>
        </w:rPr>
      </w:pPr>
      <w:r>
        <w:rPr>
          <w:rFonts w:ascii="宋体" w:hAnsi="宋体"/>
          <w:bCs/>
          <w:color w:val="auto"/>
          <w:sz w:val="24"/>
          <w:highlight w:val="none"/>
        </w:rPr>
        <w:t>负责检查监督乙方管理工作的实施及制度的执行情况。</w:t>
      </w:r>
    </w:p>
    <w:p>
      <w:pPr>
        <w:numPr>
          <w:ilvl w:val="0"/>
          <w:numId w:val="10"/>
        </w:numPr>
        <w:tabs>
          <w:tab w:val="left" w:pos="1440"/>
        </w:tabs>
        <w:adjustRightInd w:val="0"/>
        <w:spacing w:line="360" w:lineRule="auto"/>
        <w:ind w:left="0" w:firstLine="420"/>
        <w:jc w:val="left"/>
        <w:textAlignment w:val="baseline"/>
        <w:rPr>
          <w:rFonts w:ascii="宋体" w:hAnsi="宋体"/>
          <w:bCs/>
          <w:color w:val="auto"/>
          <w:sz w:val="24"/>
          <w:highlight w:val="none"/>
        </w:rPr>
      </w:pPr>
      <w:r>
        <w:rPr>
          <w:rFonts w:ascii="宋体" w:hAnsi="宋体"/>
          <w:bCs/>
          <w:color w:val="auto"/>
          <w:sz w:val="24"/>
          <w:highlight w:val="none"/>
        </w:rPr>
        <w:t>根据本合同规定，按时向乙方支付应付</w:t>
      </w:r>
      <w:r>
        <w:rPr>
          <w:rFonts w:hint="eastAsia" w:ascii="宋体" w:hAnsi="宋体"/>
          <w:bCs/>
          <w:color w:val="auto"/>
          <w:sz w:val="24"/>
          <w:highlight w:val="none"/>
        </w:rPr>
        <w:t>服务费用</w:t>
      </w:r>
      <w:r>
        <w:rPr>
          <w:rFonts w:ascii="宋体" w:hAnsi="宋体"/>
          <w:bCs/>
          <w:color w:val="auto"/>
          <w:sz w:val="24"/>
          <w:highlight w:val="none"/>
        </w:rPr>
        <w:t>。</w:t>
      </w:r>
    </w:p>
    <w:p>
      <w:pPr>
        <w:numPr>
          <w:ilvl w:val="0"/>
          <w:numId w:val="10"/>
        </w:numPr>
        <w:tabs>
          <w:tab w:val="left" w:pos="1440"/>
        </w:tabs>
        <w:adjustRightInd w:val="0"/>
        <w:spacing w:line="360" w:lineRule="auto"/>
        <w:ind w:left="0" w:firstLine="420"/>
        <w:jc w:val="left"/>
        <w:textAlignment w:val="baseline"/>
        <w:rPr>
          <w:rFonts w:ascii="宋体" w:hAnsi="宋体"/>
          <w:bCs/>
          <w:color w:val="auto"/>
          <w:sz w:val="24"/>
          <w:highlight w:val="none"/>
        </w:rPr>
      </w:pPr>
      <w:r>
        <w:rPr>
          <w:rFonts w:ascii="宋体" w:hAnsi="宋体"/>
          <w:bCs/>
          <w:color w:val="auto"/>
          <w:sz w:val="24"/>
          <w:highlight w:val="none"/>
        </w:rPr>
        <w:t>国家法律、法规所规定由甲方承担的其它责任。</w:t>
      </w:r>
    </w:p>
    <w:p>
      <w:pPr>
        <w:numPr>
          <w:ilvl w:val="0"/>
          <w:numId w:val="5"/>
        </w:numPr>
        <w:spacing w:line="360" w:lineRule="auto"/>
        <w:rPr>
          <w:rFonts w:ascii="宋体" w:hAnsi="宋体"/>
          <w:b/>
          <w:color w:val="auto"/>
          <w:sz w:val="24"/>
          <w:highlight w:val="none"/>
        </w:rPr>
      </w:pPr>
      <w:r>
        <w:rPr>
          <w:rFonts w:ascii="宋体" w:hAnsi="宋体"/>
          <w:b/>
          <w:color w:val="auto"/>
          <w:sz w:val="24"/>
          <w:highlight w:val="none"/>
        </w:rPr>
        <w:t>乙方的权利和义务</w:t>
      </w:r>
    </w:p>
    <w:p>
      <w:pPr>
        <w:numPr>
          <w:ilvl w:val="0"/>
          <w:numId w:val="11"/>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对本合同规定的委托</w:t>
      </w:r>
      <w:r>
        <w:rPr>
          <w:rFonts w:hint="eastAsia" w:ascii="宋体" w:hAnsi="宋体"/>
          <w:bCs/>
          <w:color w:val="auto"/>
          <w:sz w:val="24"/>
          <w:highlight w:val="none"/>
        </w:rPr>
        <w:t>服务</w:t>
      </w:r>
      <w:r>
        <w:rPr>
          <w:rFonts w:ascii="宋体" w:hAnsi="宋体"/>
          <w:bCs/>
          <w:color w:val="auto"/>
          <w:sz w:val="24"/>
          <w:highlight w:val="none"/>
        </w:rPr>
        <w:t>范围内的</w:t>
      </w:r>
      <w:r>
        <w:rPr>
          <w:rFonts w:hint="eastAsia" w:ascii="宋体" w:hAnsi="宋体"/>
          <w:bCs/>
          <w:color w:val="auto"/>
          <w:sz w:val="24"/>
          <w:highlight w:val="none"/>
        </w:rPr>
        <w:t>项目</w:t>
      </w:r>
      <w:r>
        <w:rPr>
          <w:rFonts w:ascii="宋体" w:hAnsi="宋体"/>
          <w:bCs/>
          <w:color w:val="auto"/>
          <w:sz w:val="24"/>
          <w:highlight w:val="none"/>
        </w:rPr>
        <w:t>享有管理权及服务义务。</w:t>
      </w:r>
    </w:p>
    <w:p>
      <w:pPr>
        <w:numPr>
          <w:ilvl w:val="0"/>
          <w:numId w:val="11"/>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根据本合同的规定向甲方收取相关</w:t>
      </w:r>
      <w:r>
        <w:rPr>
          <w:rFonts w:hint="eastAsia" w:ascii="宋体" w:hAnsi="宋体"/>
          <w:bCs/>
          <w:color w:val="auto"/>
          <w:sz w:val="24"/>
          <w:highlight w:val="none"/>
        </w:rPr>
        <w:t>服务</w:t>
      </w:r>
      <w:r>
        <w:rPr>
          <w:rFonts w:ascii="宋体" w:hAnsi="宋体"/>
          <w:bCs/>
          <w:color w:val="auto"/>
          <w:sz w:val="24"/>
          <w:highlight w:val="none"/>
        </w:rPr>
        <w:t>费用，并有权</w:t>
      </w:r>
      <w:r>
        <w:rPr>
          <w:rFonts w:hint="eastAsia" w:ascii="宋体" w:hAnsi="宋体"/>
          <w:bCs/>
          <w:color w:val="auto"/>
          <w:sz w:val="24"/>
          <w:highlight w:val="none"/>
        </w:rPr>
        <w:t>在本项目管理范围内</w:t>
      </w:r>
      <w:r>
        <w:rPr>
          <w:rFonts w:ascii="宋体" w:hAnsi="宋体"/>
          <w:bCs/>
          <w:color w:val="auto"/>
          <w:sz w:val="24"/>
          <w:highlight w:val="none"/>
        </w:rPr>
        <w:t>管理及合理使用。</w:t>
      </w:r>
    </w:p>
    <w:p>
      <w:pPr>
        <w:numPr>
          <w:ilvl w:val="0"/>
          <w:numId w:val="11"/>
        </w:numPr>
        <w:adjustRightInd w:val="0"/>
        <w:spacing w:line="360" w:lineRule="auto"/>
        <w:ind w:left="0" w:firstLine="567"/>
        <w:jc w:val="left"/>
        <w:textAlignment w:val="baseline"/>
        <w:rPr>
          <w:rFonts w:ascii="宋体" w:hAnsi="宋体"/>
          <w:bCs/>
          <w:color w:val="auto"/>
          <w:sz w:val="24"/>
          <w:highlight w:val="none"/>
        </w:rPr>
      </w:pPr>
      <w:r>
        <w:rPr>
          <w:rFonts w:hint="eastAsia" w:ascii="宋体" w:hAnsi="宋体"/>
          <w:color w:val="auto"/>
          <w:sz w:val="24"/>
          <w:highlight w:val="none"/>
        </w:rPr>
        <w:t>及时向甲方通告本项目服务范围内有关服务的重大事项，及时配合处理投诉。</w:t>
      </w:r>
    </w:p>
    <w:p>
      <w:pPr>
        <w:numPr>
          <w:ilvl w:val="0"/>
          <w:numId w:val="11"/>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接受</w:t>
      </w:r>
      <w:r>
        <w:rPr>
          <w:rFonts w:hint="eastAsia" w:ascii="宋体" w:hAnsi="宋体"/>
          <w:bCs/>
          <w:color w:val="auto"/>
          <w:sz w:val="24"/>
          <w:highlight w:val="none"/>
        </w:rPr>
        <w:t>项目行</w:t>
      </w:r>
      <w:r>
        <w:rPr>
          <w:rFonts w:ascii="宋体" w:hAnsi="宋体"/>
          <w:bCs/>
          <w:color w:val="auto"/>
          <w:sz w:val="24"/>
          <w:highlight w:val="none"/>
        </w:rPr>
        <w:t>业管理部门及政府有关部门的指导，接受甲方的监督。</w:t>
      </w:r>
    </w:p>
    <w:p>
      <w:pPr>
        <w:numPr>
          <w:ilvl w:val="0"/>
          <w:numId w:val="11"/>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国家法律、法规所规定由乙方承担的其它责任。</w:t>
      </w:r>
    </w:p>
    <w:p>
      <w:pPr>
        <w:numPr>
          <w:ilvl w:val="0"/>
          <w:numId w:val="5"/>
        </w:numPr>
        <w:spacing w:line="360" w:lineRule="auto"/>
        <w:rPr>
          <w:rFonts w:ascii="宋体" w:hAnsi="宋体"/>
          <w:b/>
          <w:color w:val="auto"/>
          <w:sz w:val="24"/>
          <w:highlight w:val="none"/>
        </w:rPr>
      </w:pPr>
      <w:r>
        <w:rPr>
          <w:rFonts w:ascii="宋体" w:hAnsi="宋体"/>
          <w:b/>
          <w:color w:val="auto"/>
          <w:sz w:val="24"/>
          <w:highlight w:val="none"/>
        </w:rPr>
        <w:t>违约责任</w:t>
      </w:r>
    </w:p>
    <w:p>
      <w:pPr>
        <w:numPr>
          <w:ilvl w:val="0"/>
          <w:numId w:val="12"/>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甲乙双方必须遵守本合同并执行合同中的各项规定，保证</w:t>
      </w:r>
      <w:r>
        <w:rPr>
          <w:rFonts w:hint="eastAsia" w:ascii="宋体" w:hAnsi="宋体"/>
          <w:bCs/>
          <w:color w:val="auto"/>
          <w:sz w:val="24"/>
          <w:highlight w:val="none"/>
        </w:rPr>
        <w:t>本</w:t>
      </w:r>
      <w:r>
        <w:rPr>
          <w:rFonts w:ascii="宋体" w:hAnsi="宋体"/>
          <w:bCs/>
          <w:color w:val="auto"/>
          <w:sz w:val="24"/>
          <w:highlight w:val="none"/>
        </w:rPr>
        <w:t>合同的正常</w:t>
      </w:r>
      <w:r>
        <w:rPr>
          <w:rFonts w:hint="eastAsia" w:ascii="宋体" w:hAnsi="宋体"/>
          <w:bCs/>
          <w:color w:val="auto"/>
          <w:sz w:val="24"/>
          <w:highlight w:val="none"/>
        </w:rPr>
        <w:t>履行</w:t>
      </w:r>
      <w:r>
        <w:rPr>
          <w:rFonts w:ascii="宋体" w:hAnsi="宋体"/>
          <w:bCs/>
          <w:color w:val="auto"/>
          <w:sz w:val="24"/>
          <w:highlight w:val="none"/>
        </w:rPr>
        <w:t>。</w:t>
      </w:r>
    </w:p>
    <w:p>
      <w:pPr>
        <w:numPr>
          <w:ilvl w:val="0"/>
          <w:numId w:val="12"/>
        </w:numPr>
        <w:adjustRightInd w:val="0"/>
        <w:spacing w:line="360" w:lineRule="auto"/>
        <w:ind w:left="0" w:firstLine="567"/>
        <w:jc w:val="left"/>
        <w:textAlignment w:val="baseline"/>
        <w:rPr>
          <w:rFonts w:ascii="宋体" w:hAnsi="宋体"/>
          <w:bCs/>
          <w:color w:val="auto"/>
          <w:sz w:val="24"/>
          <w:highlight w:val="none"/>
        </w:rPr>
      </w:pPr>
      <w:r>
        <w:rPr>
          <w:rFonts w:ascii="宋体" w:hAnsi="宋体"/>
          <w:bCs/>
          <w:color w:val="auto"/>
          <w:sz w:val="24"/>
          <w:highlight w:val="none"/>
        </w:rPr>
        <w:t>如因乙方</w:t>
      </w:r>
      <w:r>
        <w:rPr>
          <w:rFonts w:hint="eastAsia" w:ascii="宋体" w:hAnsi="宋体"/>
          <w:bCs/>
          <w:color w:val="auto"/>
          <w:sz w:val="24"/>
          <w:highlight w:val="none"/>
        </w:rPr>
        <w:t>工作人员在履行职务过程中的</w:t>
      </w:r>
      <w:r>
        <w:rPr>
          <w:rFonts w:ascii="宋体" w:hAnsi="宋体"/>
          <w:bCs/>
          <w:color w:val="auto"/>
          <w:sz w:val="24"/>
          <w:highlight w:val="none"/>
        </w:rPr>
        <w:t>的疏忽、失职、过错等</w:t>
      </w:r>
      <w:r>
        <w:rPr>
          <w:rFonts w:hint="eastAsia" w:ascii="宋体" w:hAnsi="宋体"/>
          <w:bCs/>
          <w:color w:val="auto"/>
          <w:sz w:val="24"/>
          <w:highlight w:val="none"/>
        </w:rPr>
        <w:t>故意或者过失</w:t>
      </w:r>
      <w:r>
        <w:rPr>
          <w:rFonts w:ascii="宋体" w:hAnsi="宋体"/>
          <w:bCs/>
          <w:color w:val="auto"/>
          <w:sz w:val="24"/>
          <w:highlight w:val="none"/>
        </w:rPr>
        <w:t>原因给甲方造成损失或侵害，</w:t>
      </w:r>
      <w:r>
        <w:rPr>
          <w:rFonts w:hint="eastAsia" w:ascii="宋体" w:hAnsi="宋体"/>
          <w:bCs/>
          <w:color w:val="auto"/>
          <w:sz w:val="24"/>
          <w:highlight w:val="none"/>
        </w:rPr>
        <w:t>包括但不限于甲方本身的财产损失、由此而导致的甲方对任何第三方的法律责任等，乙方对此均应承担全部的赔偿责任</w:t>
      </w:r>
      <w:r>
        <w:rPr>
          <w:rFonts w:ascii="宋体" w:hAnsi="宋体"/>
          <w:bCs/>
          <w:color w:val="auto"/>
          <w:sz w:val="24"/>
          <w:highlight w:val="none"/>
        </w:rPr>
        <w:t>。</w:t>
      </w:r>
    </w:p>
    <w:p>
      <w:pPr>
        <w:numPr>
          <w:ilvl w:val="0"/>
          <w:numId w:val="5"/>
        </w:numPr>
        <w:spacing w:line="360" w:lineRule="auto"/>
        <w:rPr>
          <w:rFonts w:ascii="宋体" w:hAnsi="宋体"/>
          <w:b/>
          <w:color w:val="auto"/>
          <w:sz w:val="24"/>
          <w:highlight w:val="none"/>
        </w:rPr>
      </w:pPr>
      <w:r>
        <w:rPr>
          <w:rFonts w:hint="eastAsia" w:ascii="宋体" w:hAnsi="宋体"/>
          <w:b/>
          <w:color w:val="auto"/>
          <w:sz w:val="24"/>
          <w:highlight w:val="none"/>
        </w:rPr>
        <w:t>不可抗力事件处理</w:t>
      </w:r>
    </w:p>
    <w:p>
      <w:pPr>
        <w:numPr>
          <w:ilvl w:val="0"/>
          <w:numId w:val="13"/>
        </w:numPr>
        <w:tabs>
          <w:tab w:val="left" w:pos="0"/>
        </w:tabs>
        <w:spacing w:line="360" w:lineRule="auto"/>
        <w:ind w:left="0" w:firstLine="567"/>
        <w:rPr>
          <w:rFonts w:ascii="宋体" w:hAnsi="宋体"/>
          <w:color w:val="auto"/>
          <w:sz w:val="24"/>
          <w:highlight w:val="none"/>
        </w:rPr>
      </w:pPr>
      <w:r>
        <w:rPr>
          <w:rFonts w:hint="eastAsia" w:ascii="宋体" w:hAnsi="宋体"/>
          <w:color w:val="auto"/>
          <w:sz w:val="24"/>
          <w:highlight w:val="none"/>
        </w:rPr>
        <w:t>在合同有效期内，任何一方因不可抗力事件导致不能履行合同，则合同履行期可延长，其延长期与不可抗力影响期相同。</w:t>
      </w:r>
    </w:p>
    <w:p>
      <w:pPr>
        <w:numPr>
          <w:ilvl w:val="0"/>
          <w:numId w:val="13"/>
        </w:numPr>
        <w:tabs>
          <w:tab w:val="left" w:pos="0"/>
        </w:tabs>
        <w:spacing w:line="360" w:lineRule="auto"/>
        <w:ind w:left="0" w:firstLine="567"/>
        <w:rPr>
          <w:rFonts w:ascii="宋体" w:hAnsi="宋体"/>
          <w:color w:val="auto"/>
          <w:sz w:val="24"/>
          <w:highlight w:val="none"/>
        </w:rPr>
      </w:pPr>
      <w:r>
        <w:rPr>
          <w:rFonts w:hint="eastAsia" w:ascii="宋体" w:hAnsi="宋体"/>
          <w:color w:val="auto"/>
          <w:sz w:val="24"/>
          <w:highlight w:val="none"/>
        </w:rPr>
        <w:t>不可抗力事件发生后，应立即通知对方，并寄送有关权威机构出具的证明。</w:t>
      </w:r>
    </w:p>
    <w:p>
      <w:pPr>
        <w:numPr>
          <w:ilvl w:val="0"/>
          <w:numId w:val="13"/>
        </w:numPr>
        <w:tabs>
          <w:tab w:val="left" w:pos="0"/>
        </w:tabs>
        <w:spacing w:line="360" w:lineRule="auto"/>
        <w:ind w:left="0" w:firstLine="567"/>
        <w:rPr>
          <w:rFonts w:ascii="宋体" w:hAnsi="宋体"/>
          <w:color w:val="auto"/>
          <w:sz w:val="24"/>
          <w:highlight w:val="none"/>
        </w:rPr>
      </w:pPr>
      <w:r>
        <w:rPr>
          <w:rFonts w:hint="eastAsia" w:ascii="宋体" w:hAnsi="宋体"/>
          <w:color w:val="auto"/>
          <w:sz w:val="24"/>
          <w:highlight w:val="none"/>
        </w:rPr>
        <w:t>不可抗力事件延续120天以上，双方应通过友好协商，确定是否继续履行合同。</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numPr>
          <w:ilvl w:val="0"/>
          <w:numId w:val="5"/>
        </w:numPr>
        <w:spacing w:line="360" w:lineRule="auto"/>
        <w:rPr>
          <w:rFonts w:ascii="宋体" w:hAnsi="宋体"/>
          <w:b/>
          <w:color w:val="auto"/>
          <w:sz w:val="24"/>
          <w:highlight w:val="none"/>
        </w:rPr>
      </w:pPr>
      <w:bookmarkStart w:id="230" w:name="_Toc239568423"/>
      <w:bookmarkStart w:id="231" w:name="_Toc237145411"/>
      <w:bookmarkStart w:id="232" w:name="_Toc225654649"/>
      <w:bookmarkStart w:id="233" w:name="_Toc211911353"/>
      <w:bookmarkStart w:id="234" w:name="_Toc241833908"/>
      <w:bookmarkStart w:id="235" w:name="_Toc247334846"/>
      <w:bookmarkStart w:id="236" w:name="_Toc225670756"/>
      <w:bookmarkStart w:id="237" w:name="_Toc212019599"/>
      <w:bookmarkStart w:id="238" w:name="_Toc239233919"/>
      <w:bookmarkStart w:id="239" w:name="_Toc211854454"/>
      <w:bookmarkStart w:id="240" w:name="_Toc238984980"/>
      <w:bookmarkStart w:id="241" w:name="_Toc185395254"/>
      <w:bookmarkStart w:id="242" w:name="_Toc232492933"/>
      <w:bookmarkStart w:id="243" w:name="_Toc225244857"/>
      <w:bookmarkStart w:id="244" w:name="_Toc286993792"/>
      <w:bookmarkStart w:id="245" w:name="_Toc251768867"/>
      <w:r>
        <w:rPr>
          <w:rFonts w:hint="eastAsia" w:ascii="宋体" w:hAnsi="宋体"/>
          <w:b/>
          <w:color w:val="auto"/>
          <w:sz w:val="24"/>
          <w:highlight w:val="none"/>
        </w:rPr>
        <w:t>解</w:t>
      </w:r>
      <w:r>
        <w:rPr>
          <w:rFonts w:ascii="宋体" w:hAnsi="宋体"/>
          <w:b/>
          <w:color w:val="auto"/>
          <w:sz w:val="24"/>
          <w:highlight w:val="none"/>
        </w:rPr>
        <w:t>决合同纠纷的方式</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numPr>
          <w:ilvl w:val="0"/>
          <w:numId w:val="14"/>
        </w:numPr>
        <w:tabs>
          <w:tab w:val="left" w:pos="0"/>
        </w:tabs>
        <w:spacing w:line="360" w:lineRule="auto"/>
        <w:ind w:left="0" w:firstLine="560"/>
        <w:rPr>
          <w:rFonts w:ascii="宋体" w:hAnsi="宋体"/>
          <w:color w:val="auto"/>
          <w:sz w:val="24"/>
          <w:highlight w:val="none"/>
        </w:rPr>
      </w:pPr>
      <w:r>
        <w:rPr>
          <w:rFonts w:ascii="宋体" w:hAnsi="宋体"/>
          <w:color w:val="auto"/>
          <w:sz w:val="24"/>
          <w:highlight w:val="none"/>
        </w:rPr>
        <w:t>在执行本合同中发生的或与本合同有关的争端，双方应通过友好协商解决，经协商在60天内不能达成协议时，应提交成都仲裁委员会仲裁。</w:t>
      </w:r>
    </w:p>
    <w:p>
      <w:pPr>
        <w:numPr>
          <w:ilvl w:val="0"/>
          <w:numId w:val="14"/>
        </w:numPr>
        <w:tabs>
          <w:tab w:val="left" w:pos="0"/>
        </w:tabs>
        <w:spacing w:line="360" w:lineRule="auto"/>
        <w:ind w:left="0" w:firstLine="560"/>
        <w:rPr>
          <w:rFonts w:ascii="宋体" w:hAnsi="宋体"/>
          <w:color w:val="auto"/>
          <w:sz w:val="24"/>
          <w:highlight w:val="none"/>
        </w:rPr>
      </w:pPr>
      <w:r>
        <w:rPr>
          <w:rFonts w:ascii="宋体" w:hAnsi="宋体"/>
          <w:color w:val="auto"/>
          <w:sz w:val="24"/>
          <w:highlight w:val="none"/>
        </w:rPr>
        <w:t>仲裁裁决应为最终决定，并对双方具有约束力。</w:t>
      </w:r>
    </w:p>
    <w:p>
      <w:pPr>
        <w:numPr>
          <w:ilvl w:val="0"/>
          <w:numId w:val="14"/>
        </w:numPr>
        <w:tabs>
          <w:tab w:val="left" w:pos="0"/>
        </w:tabs>
        <w:spacing w:line="360" w:lineRule="auto"/>
        <w:ind w:left="0" w:firstLine="560"/>
        <w:rPr>
          <w:rFonts w:ascii="宋体" w:hAnsi="宋体"/>
          <w:color w:val="auto"/>
          <w:sz w:val="24"/>
          <w:highlight w:val="none"/>
        </w:rPr>
      </w:pPr>
      <w:r>
        <w:rPr>
          <w:rFonts w:ascii="宋体" w:hAnsi="宋体"/>
          <w:color w:val="auto"/>
          <w:sz w:val="24"/>
          <w:highlight w:val="none"/>
        </w:rPr>
        <w:t xml:space="preserve">除另有裁决外，仲裁费应由败诉方负担。 </w:t>
      </w:r>
    </w:p>
    <w:p>
      <w:pPr>
        <w:numPr>
          <w:ilvl w:val="0"/>
          <w:numId w:val="14"/>
        </w:numPr>
        <w:tabs>
          <w:tab w:val="left" w:pos="0"/>
        </w:tabs>
        <w:spacing w:line="360" w:lineRule="auto"/>
        <w:ind w:left="0" w:firstLine="560"/>
        <w:rPr>
          <w:rFonts w:ascii="宋体" w:hAnsi="宋体"/>
          <w:color w:val="auto"/>
          <w:sz w:val="24"/>
          <w:highlight w:val="none"/>
        </w:rPr>
      </w:pPr>
      <w:r>
        <w:rPr>
          <w:rFonts w:ascii="宋体" w:hAnsi="宋体"/>
          <w:color w:val="auto"/>
          <w:sz w:val="24"/>
          <w:highlight w:val="none"/>
        </w:rPr>
        <w:t xml:space="preserve">在仲裁期间，除正在进行仲裁部分外，合同其他部分继续执行。  </w:t>
      </w:r>
    </w:p>
    <w:p>
      <w:pPr>
        <w:numPr>
          <w:ilvl w:val="0"/>
          <w:numId w:val="5"/>
        </w:numPr>
        <w:spacing w:line="360" w:lineRule="auto"/>
        <w:rPr>
          <w:rFonts w:ascii="宋体" w:hAnsi="宋体"/>
          <w:b/>
          <w:color w:val="auto"/>
          <w:sz w:val="24"/>
          <w:highlight w:val="none"/>
        </w:rPr>
      </w:pPr>
      <w:bookmarkStart w:id="246" w:name="_Toc225244858"/>
      <w:bookmarkStart w:id="247" w:name="_Toc283019219"/>
      <w:bookmarkStart w:id="248" w:name="_Toc225654650"/>
      <w:bookmarkStart w:id="249" w:name="_Toc185395255"/>
      <w:bookmarkStart w:id="250" w:name="_Toc225670757"/>
      <w:bookmarkStart w:id="251" w:name="_Toc241833909"/>
      <w:bookmarkStart w:id="252" w:name="_Toc211854455"/>
      <w:bookmarkStart w:id="253" w:name="_Toc239233920"/>
      <w:bookmarkStart w:id="254" w:name="_Toc251768868"/>
      <w:bookmarkStart w:id="255" w:name="_Toc282696231"/>
      <w:bookmarkStart w:id="256" w:name="_Toc286993793"/>
      <w:bookmarkStart w:id="257" w:name="_Toc247334847"/>
      <w:bookmarkStart w:id="258" w:name="_Toc232492934"/>
      <w:bookmarkStart w:id="259" w:name="_Toc237145412"/>
      <w:bookmarkStart w:id="260" w:name="_Toc239568424"/>
      <w:bookmarkStart w:id="261" w:name="_Toc211911354"/>
      <w:bookmarkStart w:id="262" w:name="_Toc238984981"/>
      <w:bookmarkStart w:id="263" w:name="_Toc212019600"/>
      <w:r>
        <w:rPr>
          <w:rFonts w:ascii="宋体" w:hAnsi="宋体"/>
          <w:b/>
          <w:color w:val="auto"/>
          <w:sz w:val="24"/>
          <w:highlight w:val="none"/>
        </w:rPr>
        <w:t>合同</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Fonts w:hint="eastAsia" w:ascii="宋体" w:hAnsi="宋体"/>
          <w:b/>
          <w:color w:val="auto"/>
          <w:sz w:val="24"/>
          <w:highlight w:val="none"/>
        </w:rPr>
        <w:t>生效</w:t>
      </w:r>
    </w:p>
    <w:p>
      <w:pPr>
        <w:pStyle w:val="57"/>
        <w:numPr>
          <w:ilvl w:val="0"/>
          <w:numId w:val="15"/>
        </w:numPr>
        <w:spacing w:line="360" w:lineRule="auto"/>
        <w:ind w:left="0" w:firstLine="630" w:firstLineChars="0"/>
        <w:rPr>
          <w:rFonts w:ascii="宋体" w:hAnsi="宋体"/>
          <w:color w:val="auto"/>
          <w:sz w:val="24"/>
          <w:szCs w:val="24"/>
          <w:highlight w:val="none"/>
        </w:rPr>
      </w:pPr>
      <w:r>
        <w:rPr>
          <w:rFonts w:hint="eastAsia" w:ascii="宋体" w:hAnsi="宋体"/>
          <w:color w:val="auto"/>
          <w:sz w:val="24"/>
          <w:szCs w:val="24"/>
          <w:highlight w:val="none"/>
        </w:rPr>
        <w:t>合同经双方法定代表人/单位负责人或授权委托代理人签字并加盖单位公章后生效。</w:t>
      </w:r>
    </w:p>
    <w:p>
      <w:pPr>
        <w:pStyle w:val="57"/>
        <w:numPr>
          <w:ilvl w:val="0"/>
          <w:numId w:val="15"/>
        </w:numPr>
        <w:spacing w:line="360" w:lineRule="auto"/>
        <w:ind w:left="0" w:firstLine="630" w:firstLineChars="0"/>
        <w:rPr>
          <w:rFonts w:ascii="宋体" w:hAnsi="宋体"/>
          <w:color w:val="auto"/>
          <w:sz w:val="24"/>
          <w:szCs w:val="24"/>
          <w:highlight w:val="none"/>
        </w:rPr>
      </w:pPr>
      <w:r>
        <w:rPr>
          <w:rFonts w:hint="eastAsia" w:ascii="宋体" w:hAnsi="宋体"/>
          <w:color w:val="auto"/>
          <w:sz w:val="24"/>
          <w:szCs w:val="24"/>
          <w:highlight w:val="none"/>
        </w:rPr>
        <w:t>合同执行中涉及采购资金和采购内容修改或补充的，须经政府采购监管部门审批，并签书面补充协议报政府采购监督管理部门备案，方可作为主合同不可分割的一部分。</w:t>
      </w:r>
    </w:p>
    <w:p>
      <w:pPr>
        <w:numPr>
          <w:ilvl w:val="0"/>
          <w:numId w:val="5"/>
        </w:numPr>
        <w:spacing w:line="360" w:lineRule="auto"/>
        <w:rPr>
          <w:rFonts w:ascii="宋体" w:hAnsi="宋体"/>
          <w:b/>
          <w:color w:val="auto"/>
          <w:sz w:val="24"/>
          <w:highlight w:val="none"/>
        </w:rPr>
      </w:pPr>
      <w:r>
        <w:rPr>
          <w:rFonts w:hint="eastAsia" w:ascii="宋体" w:hAnsi="宋体"/>
          <w:b/>
          <w:color w:val="auto"/>
          <w:sz w:val="24"/>
          <w:highlight w:val="none"/>
        </w:rPr>
        <w:t>附件</w:t>
      </w:r>
    </w:p>
    <w:p>
      <w:pPr>
        <w:pStyle w:val="57"/>
        <w:numPr>
          <w:ilvl w:val="0"/>
          <w:numId w:val="1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项目招标文件</w:t>
      </w:r>
    </w:p>
    <w:p>
      <w:pPr>
        <w:pStyle w:val="57"/>
        <w:numPr>
          <w:ilvl w:val="0"/>
          <w:numId w:val="1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项目修改澄清文件</w:t>
      </w:r>
    </w:p>
    <w:p>
      <w:pPr>
        <w:pStyle w:val="57"/>
        <w:numPr>
          <w:ilvl w:val="0"/>
          <w:numId w:val="1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项目投标文件</w:t>
      </w:r>
    </w:p>
    <w:p>
      <w:pPr>
        <w:pStyle w:val="57"/>
        <w:numPr>
          <w:ilvl w:val="0"/>
          <w:numId w:val="1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中标通知书</w:t>
      </w:r>
    </w:p>
    <w:p>
      <w:pPr>
        <w:pStyle w:val="57"/>
        <w:numPr>
          <w:ilvl w:val="0"/>
          <w:numId w:val="1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其他</w:t>
      </w:r>
      <w:bookmarkEnd w:id="211"/>
    </w:p>
    <w:p>
      <w:pPr>
        <w:numPr>
          <w:ilvl w:val="0"/>
          <w:numId w:val="5"/>
        </w:numPr>
        <w:spacing w:line="360" w:lineRule="auto"/>
        <w:rPr>
          <w:rFonts w:ascii="宋体" w:hAnsi="宋体"/>
          <w:b/>
          <w:color w:val="auto"/>
          <w:sz w:val="24"/>
          <w:highlight w:val="none"/>
        </w:rPr>
      </w:pPr>
      <w:r>
        <w:rPr>
          <w:rFonts w:hint="eastAsia" w:ascii="宋体" w:hAnsi="宋体"/>
          <w:b/>
          <w:color w:val="auto"/>
          <w:sz w:val="24"/>
          <w:highlight w:val="none"/>
        </w:rPr>
        <w:t>其他</w:t>
      </w:r>
    </w:p>
    <w:p>
      <w:pPr>
        <w:pStyle w:val="53"/>
        <w:ind w:firstLine="480"/>
        <w:rPr>
          <w:rFonts w:ascii="宋体" w:hAnsi="宋体"/>
          <w:color w:val="auto"/>
          <w:highlight w:val="none"/>
        </w:rPr>
      </w:pPr>
      <w:r>
        <w:rPr>
          <w:rFonts w:hint="eastAsia" w:ascii="宋体" w:hAnsi="宋体"/>
          <w:color w:val="auto"/>
          <w:highlight w:val="none"/>
        </w:rPr>
        <w:t>1、如有未尽事宜，由双方依法订立补充合同。</w:t>
      </w:r>
    </w:p>
    <w:p>
      <w:pPr>
        <w:pStyle w:val="53"/>
        <w:ind w:firstLine="480"/>
        <w:rPr>
          <w:rFonts w:ascii="宋体" w:hAnsi="宋体"/>
          <w:color w:val="auto"/>
          <w:highlight w:val="none"/>
        </w:rPr>
      </w:pPr>
      <w:r>
        <w:rPr>
          <w:rFonts w:hint="eastAsia" w:ascii="宋体" w:hAnsi="宋体"/>
          <w:color w:val="auto"/>
          <w:highlight w:val="none"/>
        </w:rPr>
        <w:t>2、本合同一式六份，自双方签章之日起生效。甲方三份，乙方、政府采购管理部门、采购代理机构各一份。</w:t>
      </w:r>
    </w:p>
    <w:p>
      <w:pPr>
        <w:spacing w:line="400" w:lineRule="exact"/>
        <w:rPr>
          <w:rFonts w:ascii="宋体" w:hAnsi="宋体"/>
          <w:color w:val="auto"/>
          <w:sz w:val="24"/>
          <w:highlight w:val="none"/>
        </w:rPr>
      </w:pP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甲方：   （盖章）   </w:t>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 xml:space="preserve">        乙方：   （盖章）</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法定代表人/单位负责人（授权代表）： 法定代表人/单位负责人（授权代表）：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地    址：                         地    址：</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开户银行：                         开户银行：</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账号：                             账号：</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电    话：                         电    话：</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传    真：                         传    真：</w:t>
      </w:r>
    </w:p>
    <w:p>
      <w:pPr>
        <w:spacing w:line="360" w:lineRule="auto"/>
        <w:ind w:firstLine="480" w:firstLineChars="200"/>
        <w:rPr>
          <w:rFonts w:ascii="宋体" w:hAnsi="宋体"/>
          <w:color w:val="auto"/>
          <w:sz w:val="32"/>
          <w:highlight w:val="none"/>
        </w:rPr>
      </w:pPr>
      <w:r>
        <w:rPr>
          <w:rFonts w:hint="eastAsia" w:ascii="宋体" w:hAnsi="宋体"/>
          <w:color w:val="auto"/>
          <w:sz w:val="24"/>
          <w:highlight w:val="none"/>
        </w:rPr>
        <w:t>签约日期：</w:t>
      </w:r>
      <w:r>
        <w:rPr>
          <w:rFonts w:ascii="宋体" w:hAnsi="宋体"/>
          <w:color w:val="auto"/>
          <w:sz w:val="24"/>
          <w:szCs w:val="21"/>
          <w:highlight w:val="none"/>
          <w:u w:val="single"/>
        </w:rPr>
        <w:t xml:space="preserve">      </w:t>
      </w:r>
      <w:r>
        <w:rPr>
          <w:rFonts w:hint="eastAsia" w:ascii="宋体" w:hAnsi="宋体"/>
          <w:color w:val="auto"/>
          <w:sz w:val="24"/>
          <w:highlight w:val="none"/>
        </w:rPr>
        <w:t>年</w:t>
      </w:r>
      <w:r>
        <w:rPr>
          <w:rFonts w:ascii="宋体" w:hAnsi="宋体"/>
          <w:color w:val="auto"/>
          <w:sz w:val="24"/>
          <w:szCs w:val="21"/>
          <w:highlight w:val="none"/>
          <w:u w:val="single"/>
        </w:rPr>
        <w:t xml:space="preserve">    </w:t>
      </w:r>
      <w:r>
        <w:rPr>
          <w:rFonts w:hint="eastAsia" w:ascii="宋体" w:hAnsi="宋体"/>
          <w:color w:val="auto"/>
          <w:sz w:val="24"/>
          <w:highlight w:val="none"/>
        </w:rPr>
        <w:t>月</w:t>
      </w:r>
      <w:r>
        <w:rPr>
          <w:rFonts w:ascii="宋体" w:hAnsi="宋体"/>
          <w:color w:val="auto"/>
          <w:sz w:val="24"/>
          <w:szCs w:val="21"/>
          <w:highlight w:val="none"/>
          <w:u w:val="single"/>
        </w:rPr>
        <w:t xml:space="preserve">    </w:t>
      </w:r>
      <w:r>
        <w:rPr>
          <w:rFonts w:hint="eastAsia" w:ascii="宋体" w:hAnsi="宋体"/>
          <w:color w:val="auto"/>
          <w:sz w:val="24"/>
          <w:highlight w:val="none"/>
        </w:rPr>
        <w:t xml:space="preserve">日 </w:t>
      </w:r>
      <w:r>
        <w:rPr>
          <w:rFonts w:hint="eastAsia" w:ascii="宋体" w:hAnsi="宋体"/>
          <w:color w:val="auto"/>
          <w:sz w:val="24"/>
          <w:highlight w:val="none"/>
        </w:rPr>
        <w:tab/>
      </w:r>
      <w:r>
        <w:rPr>
          <w:rFonts w:hint="eastAsia" w:ascii="宋体" w:hAnsi="宋体"/>
          <w:color w:val="auto"/>
          <w:sz w:val="24"/>
          <w:highlight w:val="none"/>
        </w:rPr>
        <w:t>签约日期：</w:t>
      </w:r>
      <w:r>
        <w:rPr>
          <w:rFonts w:ascii="宋体" w:hAnsi="宋体"/>
          <w:color w:val="auto"/>
          <w:sz w:val="24"/>
          <w:szCs w:val="21"/>
          <w:highlight w:val="none"/>
          <w:u w:val="single"/>
        </w:rPr>
        <w:t xml:space="preserve">      </w:t>
      </w:r>
      <w:r>
        <w:rPr>
          <w:rFonts w:hint="eastAsia" w:ascii="宋体" w:hAnsi="宋体"/>
          <w:color w:val="auto"/>
          <w:sz w:val="24"/>
          <w:highlight w:val="none"/>
        </w:rPr>
        <w:t>年</w:t>
      </w:r>
      <w:r>
        <w:rPr>
          <w:rFonts w:ascii="宋体" w:hAnsi="宋体"/>
          <w:color w:val="auto"/>
          <w:sz w:val="24"/>
          <w:szCs w:val="21"/>
          <w:highlight w:val="none"/>
          <w:u w:val="single"/>
        </w:rPr>
        <w:t xml:space="preserve">    </w:t>
      </w:r>
      <w:r>
        <w:rPr>
          <w:rFonts w:hint="eastAsia" w:ascii="宋体" w:hAnsi="宋体"/>
          <w:color w:val="auto"/>
          <w:sz w:val="24"/>
          <w:highlight w:val="none"/>
        </w:rPr>
        <w:t>月</w:t>
      </w:r>
      <w:r>
        <w:rPr>
          <w:rFonts w:ascii="宋体" w:hAnsi="宋体"/>
          <w:color w:val="auto"/>
          <w:sz w:val="24"/>
          <w:szCs w:val="21"/>
          <w:highlight w:val="none"/>
          <w:u w:val="single"/>
        </w:rPr>
        <w:t xml:space="preserve">    </w:t>
      </w:r>
      <w:r>
        <w:rPr>
          <w:rFonts w:hint="eastAsia" w:ascii="宋体" w:hAnsi="宋体"/>
          <w:color w:val="auto"/>
          <w:sz w:val="24"/>
          <w:highlight w:val="none"/>
        </w:rPr>
        <w:t>日</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注：其他合同专用条款在合同签订时另商签订。</w:t>
      </w:r>
    </w:p>
    <w:p>
      <w:pPr>
        <w:spacing w:line="400" w:lineRule="exact"/>
        <w:ind w:firstLine="482" w:firstLineChars="200"/>
        <w:rPr>
          <w:rFonts w:ascii="宋体" w:hAnsi="宋体"/>
          <w:b/>
          <w:color w:val="auto"/>
          <w:sz w:val="24"/>
          <w:highlight w:val="none"/>
        </w:rPr>
      </w:pPr>
    </w:p>
    <w:p>
      <w:pPr>
        <w:spacing w:line="400" w:lineRule="exact"/>
        <w:ind w:firstLine="562" w:firstLineChars="200"/>
        <w:rPr>
          <w:rFonts w:ascii="宋体" w:hAnsi="宋体"/>
          <w:b/>
          <w:color w:val="auto"/>
          <w:sz w:val="28"/>
          <w:szCs w:val="28"/>
          <w:highlight w:val="none"/>
        </w:rPr>
      </w:pPr>
    </w:p>
    <w:p>
      <w:pPr>
        <w:spacing w:line="400" w:lineRule="exact"/>
        <w:ind w:firstLine="562" w:firstLineChars="200"/>
        <w:rPr>
          <w:rFonts w:ascii="宋体" w:hAnsi="宋体"/>
          <w:color w:val="auto"/>
          <w:szCs w:val="21"/>
          <w:highlight w:val="none"/>
        </w:rPr>
      </w:pPr>
      <w:r>
        <w:rPr>
          <w:rFonts w:hint="eastAsia" w:ascii="宋体" w:hAnsi="宋体"/>
          <w:b/>
          <w:color w:val="auto"/>
          <w:sz w:val="28"/>
          <w:szCs w:val="28"/>
          <w:highlight w:val="none"/>
        </w:rPr>
        <w:t>双方签订合同后，采购人应按相关规定及时进行合同公示及合同备案。</w:t>
      </w:r>
    </w:p>
    <w:p>
      <w:pPr>
        <w:pStyle w:val="53"/>
        <w:ind w:firstLine="480"/>
        <w:rPr>
          <w:rFonts w:ascii="宋体" w:hAnsi="宋体"/>
          <w:color w:val="auto"/>
          <w:szCs w:val="21"/>
          <w:highlight w:val="none"/>
        </w:rPr>
      </w:pPr>
    </w:p>
    <w:sectPr>
      <w:headerReference r:id="rId12" w:type="default"/>
      <w:pgSz w:w="11906" w:h="16838"/>
      <w:pgMar w:top="1440" w:right="1134" w:bottom="1440" w:left="113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Eʩ">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r>
      <w:fldChar w:fldCharType="begin"/>
    </w:r>
    <w:r>
      <w:rPr>
        <w:rStyle w:val="30"/>
      </w:rPr>
      <w:instrText xml:space="preserve">PAGE  </w:instrText>
    </w:r>
    <w:r>
      <w:fldChar w:fldCharType="separate"/>
    </w:r>
    <w:r>
      <w:rPr>
        <w:rStyle w:val="30"/>
      </w:rPr>
      <w:t xml:space="preserve"> </w: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r>
      <w:rPr>
        <w:rFonts w:hint="eastAsia"/>
      </w:rPr>
      <w:t xml:space="preserve">        </w:t>
    </w:r>
  </w:p>
  <w:p>
    <w:pPr>
      <w:pStyle w:val="1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jc w:val="both"/>
    </w:pPr>
  </w:p>
  <w:p>
    <w:pPr>
      <w:pStyle w:val="1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24023"/>
    <w:multiLevelType w:val="singleLevel"/>
    <w:tmpl w:val="84524023"/>
    <w:lvl w:ilvl="0" w:tentative="0">
      <w:start w:val="6"/>
      <w:numFmt w:val="chineseCounting"/>
      <w:suff w:val="space"/>
      <w:lvlText w:val="第%1章"/>
      <w:lvlJc w:val="left"/>
      <w:rPr>
        <w:rFonts w:hint="eastAsia"/>
      </w:rPr>
    </w:lvl>
  </w:abstractNum>
  <w:abstractNum w:abstractNumId="1">
    <w:nsid w:val="8760D4B6"/>
    <w:multiLevelType w:val="singleLevel"/>
    <w:tmpl w:val="8760D4B6"/>
    <w:lvl w:ilvl="0" w:tentative="0">
      <w:start w:val="1"/>
      <w:numFmt w:val="decimal"/>
      <w:lvlText w:val="%1."/>
      <w:lvlJc w:val="left"/>
      <w:pPr>
        <w:tabs>
          <w:tab w:val="left" w:pos="312"/>
        </w:tabs>
      </w:pPr>
    </w:lvl>
  </w:abstractNum>
  <w:abstractNum w:abstractNumId="2">
    <w:nsid w:val="9B297976"/>
    <w:multiLevelType w:val="singleLevel"/>
    <w:tmpl w:val="9B297976"/>
    <w:lvl w:ilvl="0" w:tentative="0">
      <w:start w:val="3"/>
      <w:numFmt w:val="chineseCounting"/>
      <w:suff w:val="nothing"/>
      <w:lvlText w:val="（%1）"/>
      <w:lvlJc w:val="left"/>
      <w:rPr>
        <w:rFonts w:hint="eastAsia"/>
      </w:rPr>
    </w:lvl>
  </w:abstractNum>
  <w:abstractNum w:abstractNumId="3">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06"/>
    <w:multiLevelType w:val="multilevel"/>
    <w:tmpl w:val="00000006"/>
    <w:lvl w:ilvl="0" w:tentative="0">
      <w:start w:val="1"/>
      <w:numFmt w:val="decimal"/>
      <w:suff w:val="nothing"/>
      <w:lvlText w:val="%1."/>
      <w:lvlJc w:val="left"/>
      <w:pPr>
        <w:ind w:left="986" w:hanging="420"/>
      </w:pPr>
      <w:rPr>
        <w:rFonts w:hint="eastAsia"/>
      </w:rPr>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6">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00000011"/>
    <w:multiLevelType w:val="multilevel"/>
    <w:tmpl w:val="00000011"/>
    <w:lvl w:ilvl="0" w:tentative="0">
      <w:start w:val="1"/>
      <w:numFmt w:val="decimal"/>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2"/>
    <w:multiLevelType w:val="singleLevel"/>
    <w:tmpl w:val="00000012"/>
    <w:lvl w:ilvl="0" w:tentative="0">
      <w:start w:val="1"/>
      <w:numFmt w:val="japaneseCounting"/>
      <w:lvlText w:val="第%1条"/>
      <w:lvlJc w:val="left"/>
      <w:pPr>
        <w:tabs>
          <w:tab w:val="left" w:pos="1521"/>
        </w:tabs>
        <w:ind w:left="1521" w:hanging="1095"/>
      </w:pPr>
      <w:rPr>
        <w:rFonts w:hint="eastAsia"/>
      </w:rPr>
    </w:lvl>
  </w:abstractNum>
  <w:abstractNum w:abstractNumId="11">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2">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6"/>
    <w:multiLevelType w:val="multilevel"/>
    <w:tmpl w:val="00000016"/>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4">
    <w:nsid w:val="59C07086"/>
    <w:multiLevelType w:val="singleLevel"/>
    <w:tmpl w:val="59C07086"/>
    <w:lvl w:ilvl="0" w:tentative="0">
      <w:start w:val="1"/>
      <w:numFmt w:val="decimal"/>
      <w:suff w:val="nothing"/>
      <w:lvlText w:val="%1、"/>
      <w:lvlJc w:val="left"/>
    </w:lvl>
  </w:abstractNum>
  <w:abstractNum w:abstractNumId="15">
    <w:nsid w:val="7F3D1F47"/>
    <w:multiLevelType w:val="multilevel"/>
    <w:tmpl w:val="7F3D1F47"/>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14"/>
  </w:num>
  <w:num w:numId="3">
    <w:abstractNumId w:val="2"/>
  </w:num>
  <w:num w:numId="4">
    <w:abstractNumId w:val="0"/>
  </w:num>
  <w:num w:numId="5">
    <w:abstractNumId w:val="10"/>
  </w:num>
  <w:num w:numId="6">
    <w:abstractNumId w:val="9"/>
  </w:num>
  <w:num w:numId="7">
    <w:abstractNumId w:val="12"/>
  </w:num>
  <w:num w:numId="8">
    <w:abstractNumId w:val="11"/>
  </w:num>
  <w:num w:numId="9">
    <w:abstractNumId w:val="5"/>
  </w:num>
  <w:num w:numId="10">
    <w:abstractNumId w:val="3"/>
  </w:num>
  <w:num w:numId="11">
    <w:abstractNumId w:val="8"/>
  </w:num>
  <w:num w:numId="12">
    <w:abstractNumId w:val="6"/>
  </w:num>
  <w:num w:numId="13">
    <w:abstractNumId w:val="7"/>
  </w:num>
  <w:num w:numId="14">
    <w:abstractNumId w:val="4"/>
  </w:num>
  <w:num w:numId="15">
    <w:abstractNumId w:val="15"/>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成都西米/*">
    <w15:presenceInfo w15:providerId="WPS Office" w15:userId="2292736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4CC7"/>
    <w:rsid w:val="00010F41"/>
    <w:rsid w:val="00022E65"/>
    <w:rsid w:val="00034084"/>
    <w:rsid w:val="00034DC2"/>
    <w:rsid w:val="00036EEF"/>
    <w:rsid w:val="00042642"/>
    <w:rsid w:val="000513C6"/>
    <w:rsid w:val="000558A5"/>
    <w:rsid w:val="00057868"/>
    <w:rsid w:val="000625C3"/>
    <w:rsid w:val="000760D5"/>
    <w:rsid w:val="000762DA"/>
    <w:rsid w:val="000764BE"/>
    <w:rsid w:val="00080C12"/>
    <w:rsid w:val="00085894"/>
    <w:rsid w:val="0009110A"/>
    <w:rsid w:val="00097766"/>
    <w:rsid w:val="000A246A"/>
    <w:rsid w:val="000A70F2"/>
    <w:rsid w:val="000B37D8"/>
    <w:rsid w:val="000B511F"/>
    <w:rsid w:val="000C297C"/>
    <w:rsid w:val="000C431E"/>
    <w:rsid w:val="000C6F04"/>
    <w:rsid w:val="000C6FE5"/>
    <w:rsid w:val="000D22E0"/>
    <w:rsid w:val="000D2632"/>
    <w:rsid w:val="000D3392"/>
    <w:rsid w:val="000D717B"/>
    <w:rsid w:val="000E330E"/>
    <w:rsid w:val="000E7A71"/>
    <w:rsid w:val="000F084F"/>
    <w:rsid w:val="000F60E1"/>
    <w:rsid w:val="000F7AB1"/>
    <w:rsid w:val="00103355"/>
    <w:rsid w:val="0010430B"/>
    <w:rsid w:val="001068FD"/>
    <w:rsid w:val="00112A3E"/>
    <w:rsid w:val="00114138"/>
    <w:rsid w:val="00123F35"/>
    <w:rsid w:val="00124924"/>
    <w:rsid w:val="001261FC"/>
    <w:rsid w:val="001300AD"/>
    <w:rsid w:val="001324D0"/>
    <w:rsid w:val="00150776"/>
    <w:rsid w:val="0015149C"/>
    <w:rsid w:val="001561CD"/>
    <w:rsid w:val="00166A98"/>
    <w:rsid w:val="001774BE"/>
    <w:rsid w:val="001808A0"/>
    <w:rsid w:val="0018580B"/>
    <w:rsid w:val="00186892"/>
    <w:rsid w:val="001A34F3"/>
    <w:rsid w:val="001A6131"/>
    <w:rsid w:val="001B0555"/>
    <w:rsid w:val="001B1735"/>
    <w:rsid w:val="001C03A0"/>
    <w:rsid w:val="001C4B70"/>
    <w:rsid w:val="001C6ECA"/>
    <w:rsid w:val="001D2645"/>
    <w:rsid w:val="001D777B"/>
    <w:rsid w:val="001E2945"/>
    <w:rsid w:val="001E2A77"/>
    <w:rsid w:val="001E7DDD"/>
    <w:rsid w:val="001F150C"/>
    <w:rsid w:val="001F425D"/>
    <w:rsid w:val="001F5E62"/>
    <w:rsid w:val="001F7372"/>
    <w:rsid w:val="001F77F6"/>
    <w:rsid w:val="00200661"/>
    <w:rsid w:val="00210A75"/>
    <w:rsid w:val="002120E1"/>
    <w:rsid w:val="002129B6"/>
    <w:rsid w:val="00221861"/>
    <w:rsid w:val="00223EAC"/>
    <w:rsid w:val="0024028B"/>
    <w:rsid w:val="00242368"/>
    <w:rsid w:val="00242CA9"/>
    <w:rsid w:val="002636ED"/>
    <w:rsid w:val="00266EE9"/>
    <w:rsid w:val="002703ED"/>
    <w:rsid w:val="00275F06"/>
    <w:rsid w:val="00286FBA"/>
    <w:rsid w:val="00290C5C"/>
    <w:rsid w:val="00290DD8"/>
    <w:rsid w:val="00292726"/>
    <w:rsid w:val="00293D65"/>
    <w:rsid w:val="00295033"/>
    <w:rsid w:val="002A1753"/>
    <w:rsid w:val="002A1E4E"/>
    <w:rsid w:val="002A6316"/>
    <w:rsid w:val="002B2553"/>
    <w:rsid w:val="002B2897"/>
    <w:rsid w:val="002B3F90"/>
    <w:rsid w:val="002B734E"/>
    <w:rsid w:val="002C2D29"/>
    <w:rsid w:val="002D2BF7"/>
    <w:rsid w:val="002D7C5C"/>
    <w:rsid w:val="002E0062"/>
    <w:rsid w:val="002E0621"/>
    <w:rsid w:val="002E10C5"/>
    <w:rsid w:val="002E1C90"/>
    <w:rsid w:val="002F2EF2"/>
    <w:rsid w:val="002F5CF1"/>
    <w:rsid w:val="00312FF9"/>
    <w:rsid w:val="00314A71"/>
    <w:rsid w:val="00331BCB"/>
    <w:rsid w:val="00340727"/>
    <w:rsid w:val="00343237"/>
    <w:rsid w:val="00344992"/>
    <w:rsid w:val="00355277"/>
    <w:rsid w:val="0035550A"/>
    <w:rsid w:val="0036303D"/>
    <w:rsid w:val="00363398"/>
    <w:rsid w:val="003651A1"/>
    <w:rsid w:val="0036590B"/>
    <w:rsid w:val="00373575"/>
    <w:rsid w:val="003738E0"/>
    <w:rsid w:val="003820C8"/>
    <w:rsid w:val="003922E7"/>
    <w:rsid w:val="003947D1"/>
    <w:rsid w:val="00394F6D"/>
    <w:rsid w:val="003A64D0"/>
    <w:rsid w:val="003B0DCF"/>
    <w:rsid w:val="003C0D86"/>
    <w:rsid w:val="003C3816"/>
    <w:rsid w:val="003C43A1"/>
    <w:rsid w:val="003C6641"/>
    <w:rsid w:val="003C6D0D"/>
    <w:rsid w:val="003D2AE1"/>
    <w:rsid w:val="003D6338"/>
    <w:rsid w:val="003E1ABC"/>
    <w:rsid w:val="003E635F"/>
    <w:rsid w:val="003F6E34"/>
    <w:rsid w:val="00402ECE"/>
    <w:rsid w:val="00410EDF"/>
    <w:rsid w:val="00421BDA"/>
    <w:rsid w:val="00423CDA"/>
    <w:rsid w:val="00425834"/>
    <w:rsid w:val="0042787B"/>
    <w:rsid w:val="00433E2A"/>
    <w:rsid w:val="0043432B"/>
    <w:rsid w:val="004343A7"/>
    <w:rsid w:val="00441BDA"/>
    <w:rsid w:val="0044394E"/>
    <w:rsid w:val="00445364"/>
    <w:rsid w:val="00445E84"/>
    <w:rsid w:val="00453EC9"/>
    <w:rsid w:val="00457357"/>
    <w:rsid w:val="00460537"/>
    <w:rsid w:val="004631E4"/>
    <w:rsid w:val="004642F2"/>
    <w:rsid w:val="00481E73"/>
    <w:rsid w:val="00486E43"/>
    <w:rsid w:val="004A0CFC"/>
    <w:rsid w:val="004B0037"/>
    <w:rsid w:val="004B1CDA"/>
    <w:rsid w:val="004B6029"/>
    <w:rsid w:val="004C247E"/>
    <w:rsid w:val="004C42A4"/>
    <w:rsid w:val="004C645B"/>
    <w:rsid w:val="004D1906"/>
    <w:rsid w:val="004E01C2"/>
    <w:rsid w:val="004F28A6"/>
    <w:rsid w:val="004F456A"/>
    <w:rsid w:val="004F60C8"/>
    <w:rsid w:val="00504988"/>
    <w:rsid w:val="00510798"/>
    <w:rsid w:val="00522821"/>
    <w:rsid w:val="00547030"/>
    <w:rsid w:val="00550AED"/>
    <w:rsid w:val="00561799"/>
    <w:rsid w:val="005717CE"/>
    <w:rsid w:val="005830BA"/>
    <w:rsid w:val="00585300"/>
    <w:rsid w:val="005853E3"/>
    <w:rsid w:val="00585478"/>
    <w:rsid w:val="005863D2"/>
    <w:rsid w:val="005923F9"/>
    <w:rsid w:val="0059366C"/>
    <w:rsid w:val="00593882"/>
    <w:rsid w:val="005A3B30"/>
    <w:rsid w:val="005A3FC6"/>
    <w:rsid w:val="005A56ED"/>
    <w:rsid w:val="005B0CDD"/>
    <w:rsid w:val="005C5F85"/>
    <w:rsid w:val="005D07E6"/>
    <w:rsid w:val="005D5289"/>
    <w:rsid w:val="005E0923"/>
    <w:rsid w:val="005E53F5"/>
    <w:rsid w:val="005F1D91"/>
    <w:rsid w:val="005F6D08"/>
    <w:rsid w:val="006007C4"/>
    <w:rsid w:val="006028A4"/>
    <w:rsid w:val="00603239"/>
    <w:rsid w:val="00612059"/>
    <w:rsid w:val="00614B58"/>
    <w:rsid w:val="006243C6"/>
    <w:rsid w:val="006263B8"/>
    <w:rsid w:val="00630280"/>
    <w:rsid w:val="00631EF8"/>
    <w:rsid w:val="0063491D"/>
    <w:rsid w:val="00636F16"/>
    <w:rsid w:val="00643F3D"/>
    <w:rsid w:val="00645529"/>
    <w:rsid w:val="0066052F"/>
    <w:rsid w:val="006607D6"/>
    <w:rsid w:val="00661E76"/>
    <w:rsid w:val="006635EB"/>
    <w:rsid w:val="0066755A"/>
    <w:rsid w:val="006702AD"/>
    <w:rsid w:val="006720E6"/>
    <w:rsid w:val="0067309C"/>
    <w:rsid w:val="006738D3"/>
    <w:rsid w:val="006853DD"/>
    <w:rsid w:val="00690DF4"/>
    <w:rsid w:val="006A05AB"/>
    <w:rsid w:val="006A3394"/>
    <w:rsid w:val="006A3B09"/>
    <w:rsid w:val="006A3C53"/>
    <w:rsid w:val="006A50E1"/>
    <w:rsid w:val="006B6D27"/>
    <w:rsid w:val="006B7071"/>
    <w:rsid w:val="006C07CC"/>
    <w:rsid w:val="006C20FE"/>
    <w:rsid w:val="006E2766"/>
    <w:rsid w:val="006F1ACB"/>
    <w:rsid w:val="006F2FC8"/>
    <w:rsid w:val="006F38F5"/>
    <w:rsid w:val="006F5D9A"/>
    <w:rsid w:val="007014F1"/>
    <w:rsid w:val="00701DD9"/>
    <w:rsid w:val="00703843"/>
    <w:rsid w:val="00707412"/>
    <w:rsid w:val="007204BC"/>
    <w:rsid w:val="00723896"/>
    <w:rsid w:val="00723C4D"/>
    <w:rsid w:val="00727995"/>
    <w:rsid w:val="00731BCA"/>
    <w:rsid w:val="0073433C"/>
    <w:rsid w:val="00734518"/>
    <w:rsid w:val="00750034"/>
    <w:rsid w:val="0075249C"/>
    <w:rsid w:val="007831F4"/>
    <w:rsid w:val="00790F3B"/>
    <w:rsid w:val="007A0173"/>
    <w:rsid w:val="007A093C"/>
    <w:rsid w:val="007A2CAB"/>
    <w:rsid w:val="007A2DB0"/>
    <w:rsid w:val="007A503A"/>
    <w:rsid w:val="007A683D"/>
    <w:rsid w:val="007A6B90"/>
    <w:rsid w:val="007B37D1"/>
    <w:rsid w:val="007C05FA"/>
    <w:rsid w:val="007D1567"/>
    <w:rsid w:val="007D1C5A"/>
    <w:rsid w:val="007D3253"/>
    <w:rsid w:val="007D458F"/>
    <w:rsid w:val="007E4F69"/>
    <w:rsid w:val="007E6831"/>
    <w:rsid w:val="007F69EF"/>
    <w:rsid w:val="00801EF7"/>
    <w:rsid w:val="008038FB"/>
    <w:rsid w:val="008120D6"/>
    <w:rsid w:val="00814FCC"/>
    <w:rsid w:val="00827C4C"/>
    <w:rsid w:val="00834A2F"/>
    <w:rsid w:val="00835F45"/>
    <w:rsid w:val="008409EF"/>
    <w:rsid w:val="00842237"/>
    <w:rsid w:val="00844FA3"/>
    <w:rsid w:val="00851C26"/>
    <w:rsid w:val="008609BC"/>
    <w:rsid w:val="00870D97"/>
    <w:rsid w:val="008715A0"/>
    <w:rsid w:val="0087620D"/>
    <w:rsid w:val="0088578D"/>
    <w:rsid w:val="0088728B"/>
    <w:rsid w:val="00893DAE"/>
    <w:rsid w:val="00894053"/>
    <w:rsid w:val="008A4AC1"/>
    <w:rsid w:val="008B396A"/>
    <w:rsid w:val="008C7BCC"/>
    <w:rsid w:val="008D19EC"/>
    <w:rsid w:val="008D31E0"/>
    <w:rsid w:val="008D3A4E"/>
    <w:rsid w:val="008D6B34"/>
    <w:rsid w:val="008E2FF6"/>
    <w:rsid w:val="009014CB"/>
    <w:rsid w:val="0090419B"/>
    <w:rsid w:val="00904A04"/>
    <w:rsid w:val="00905761"/>
    <w:rsid w:val="009069BA"/>
    <w:rsid w:val="00906E67"/>
    <w:rsid w:val="00907E27"/>
    <w:rsid w:val="009145E7"/>
    <w:rsid w:val="009168D9"/>
    <w:rsid w:val="00916F97"/>
    <w:rsid w:val="00924F00"/>
    <w:rsid w:val="00943652"/>
    <w:rsid w:val="009439C9"/>
    <w:rsid w:val="00953246"/>
    <w:rsid w:val="00963A8C"/>
    <w:rsid w:val="00972699"/>
    <w:rsid w:val="0097416A"/>
    <w:rsid w:val="00974C36"/>
    <w:rsid w:val="00985909"/>
    <w:rsid w:val="00992DFA"/>
    <w:rsid w:val="0099379D"/>
    <w:rsid w:val="009939D5"/>
    <w:rsid w:val="00996F31"/>
    <w:rsid w:val="009979FD"/>
    <w:rsid w:val="009A321F"/>
    <w:rsid w:val="009D1026"/>
    <w:rsid w:val="009D5790"/>
    <w:rsid w:val="009D67ED"/>
    <w:rsid w:val="009D7D42"/>
    <w:rsid w:val="009E257F"/>
    <w:rsid w:val="009E3E09"/>
    <w:rsid w:val="009F4374"/>
    <w:rsid w:val="009F4F1C"/>
    <w:rsid w:val="00A11C28"/>
    <w:rsid w:val="00A1432F"/>
    <w:rsid w:val="00A144EB"/>
    <w:rsid w:val="00A2514C"/>
    <w:rsid w:val="00A2717C"/>
    <w:rsid w:val="00A433AC"/>
    <w:rsid w:val="00A44B42"/>
    <w:rsid w:val="00A47F4B"/>
    <w:rsid w:val="00A63261"/>
    <w:rsid w:val="00A64C6E"/>
    <w:rsid w:val="00A7160E"/>
    <w:rsid w:val="00A74305"/>
    <w:rsid w:val="00A8647F"/>
    <w:rsid w:val="00A9010B"/>
    <w:rsid w:val="00A9028D"/>
    <w:rsid w:val="00AA0052"/>
    <w:rsid w:val="00AA036B"/>
    <w:rsid w:val="00AA3323"/>
    <w:rsid w:val="00AC0B1F"/>
    <w:rsid w:val="00AC2449"/>
    <w:rsid w:val="00AC4408"/>
    <w:rsid w:val="00AC56BD"/>
    <w:rsid w:val="00AD0386"/>
    <w:rsid w:val="00AF002B"/>
    <w:rsid w:val="00AF15BA"/>
    <w:rsid w:val="00AF2603"/>
    <w:rsid w:val="00AF4272"/>
    <w:rsid w:val="00B15EAD"/>
    <w:rsid w:val="00B2007F"/>
    <w:rsid w:val="00B21B61"/>
    <w:rsid w:val="00B27E55"/>
    <w:rsid w:val="00B36E76"/>
    <w:rsid w:val="00B40A73"/>
    <w:rsid w:val="00B40ACA"/>
    <w:rsid w:val="00B41A55"/>
    <w:rsid w:val="00B4386E"/>
    <w:rsid w:val="00B5518B"/>
    <w:rsid w:val="00B645FA"/>
    <w:rsid w:val="00B65993"/>
    <w:rsid w:val="00B714C3"/>
    <w:rsid w:val="00B8011F"/>
    <w:rsid w:val="00B80536"/>
    <w:rsid w:val="00B80581"/>
    <w:rsid w:val="00B90035"/>
    <w:rsid w:val="00B90B32"/>
    <w:rsid w:val="00B9461C"/>
    <w:rsid w:val="00B969D5"/>
    <w:rsid w:val="00B97136"/>
    <w:rsid w:val="00BA279A"/>
    <w:rsid w:val="00BB1D55"/>
    <w:rsid w:val="00BB477B"/>
    <w:rsid w:val="00BB513E"/>
    <w:rsid w:val="00BC1700"/>
    <w:rsid w:val="00BD19A0"/>
    <w:rsid w:val="00BD1CE2"/>
    <w:rsid w:val="00BF3311"/>
    <w:rsid w:val="00BF5F29"/>
    <w:rsid w:val="00C0042D"/>
    <w:rsid w:val="00C049EB"/>
    <w:rsid w:val="00C04CB9"/>
    <w:rsid w:val="00C06829"/>
    <w:rsid w:val="00C100C3"/>
    <w:rsid w:val="00C14774"/>
    <w:rsid w:val="00C17BED"/>
    <w:rsid w:val="00C20CDD"/>
    <w:rsid w:val="00C26BD3"/>
    <w:rsid w:val="00C31AD8"/>
    <w:rsid w:val="00C32D94"/>
    <w:rsid w:val="00C421B6"/>
    <w:rsid w:val="00C508C1"/>
    <w:rsid w:val="00C54267"/>
    <w:rsid w:val="00C6026C"/>
    <w:rsid w:val="00C605E3"/>
    <w:rsid w:val="00C63B15"/>
    <w:rsid w:val="00C64B57"/>
    <w:rsid w:val="00C67FBB"/>
    <w:rsid w:val="00C70D49"/>
    <w:rsid w:val="00C75A71"/>
    <w:rsid w:val="00C85C70"/>
    <w:rsid w:val="00C90668"/>
    <w:rsid w:val="00C90B88"/>
    <w:rsid w:val="00C941C9"/>
    <w:rsid w:val="00CA0A3A"/>
    <w:rsid w:val="00CA7A38"/>
    <w:rsid w:val="00CB3126"/>
    <w:rsid w:val="00CB5635"/>
    <w:rsid w:val="00CC5538"/>
    <w:rsid w:val="00CC60CC"/>
    <w:rsid w:val="00CC71E6"/>
    <w:rsid w:val="00CD07C3"/>
    <w:rsid w:val="00CE4310"/>
    <w:rsid w:val="00CE4557"/>
    <w:rsid w:val="00CE4D93"/>
    <w:rsid w:val="00CF27A1"/>
    <w:rsid w:val="00CF2A59"/>
    <w:rsid w:val="00D008D5"/>
    <w:rsid w:val="00D02615"/>
    <w:rsid w:val="00D05321"/>
    <w:rsid w:val="00D2322C"/>
    <w:rsid w:val="00D247A1"/>
    <w:rsid w:val="00D356BF"/>
    <w:rsid w:val="00D37C31"/>
    <w:rsid w:val="00D453B3"/>
    <w:rsid w:val="00D47745"/>
    <w:rsid w:val="00D53826"/>
    <w:rsid w:val="00D56778"/>
    <w:rsid w:val="00D574E5"/>
    <w:rsid w:val="00D67157"/>
    <w:rsid w:val="00D679F0"/>
    <w:rsid w:val="00D7091B"/>
    <w:rsid w:val="00D71B0E"/>
    <w:rsid w:val="00D7323B"/>
    <w:rsid w:val="00D73B4C"/>
    <w:rsid w:val="00D7441E"/>
    <w:rsid w:val="00D805D4"/>
    <w:rsid w:val="00D95B10"/>
    <w:rsid w:val="00DA18CC"/>
    <w:rsid w:val="00DA4A29"/>
    <w:rsid w:val="00DA51BA"/>
    <w:rsid w:val="00DA571D"/>
    <w:rsid w:val="00DB1EFB"/>
    <w:rsid w:val="00DC17C2"/>
    <w:rsid w:val="00DC1A76"/>
    <w:rsid w:val="00DC2F1D"/>
    <w:rsid w:val="00DD2332"/>
    <w:rsid w:val="00DD4C4F"/>
    <w:rsid w:val="00DD6F44"/>
    <w:rsid w:val="00DD7078"/>
    <w:rsid w:val="00DE1931"/>
    <w:rsid w:val="00DE674C"/>
    <w:rsid w:val="00DE7FC5"/>
    <w:rsid w:val="00DF591B"/>
    <w:rsid w:val="00E01326"/>
    <w:rsid w:val="00E06C92"/>
    <w:rsid w:val="00E07B32"/>
    <w:rsid w:val="00E148FF"/>
    <w:rsid w:val="00E30582"/>
    <w:rsid w:val="00E30D2A"/>
    <w:rsid w:val="00E46283"/>
    <w:rsid w:val="00E545C8"/>
    <w:rsid w:val="00E55CA7"/>
    <w:rsid w:val="00E56B0E"/>
    <w:rsid w:val="00E62C64"/>
    <w:rsid w:val="00E64F68"/>
    <w:rsid w:val="00E66EBB"/>
    <w:rsid w:val="00E742F8"/>
    <w:rsid w:val="00E761B7"/>
    <w:rsid w:val="00E83AF9"/>
    <w:rsid w:val="00E8533C"/>
    <w:rsid w:val="00E943CE"/>
    <w:rsid w:val="00E9583B"/>
    <w:rsid w:val="00EA30CA"/>
    <w:rsid w:val="00EA54BF"/>
    <w:rsid w:val="00EB6A49"/>
    <w:rsid w:val="00EC0D9B"/>
    <w:rsid w:val="00ED652A"/>
    <w:rsid w:val="00EE0180"/>
    <w:rsid w:val="00EE38CD"/>
    <w:rsid w:val="00EF1C2B"/>
    <w:rsid w:val="00EF39C5"/>
    <w:rsid w:val="00EF4CBF"/>
    <w:rsid w:val="00F028A6"/>
    <w:rsid w:val="00F13954"/>
    <w:rsid w:val="00F23E3D"/>
    <w:rsid w:val="00F267F3"/>
    <w:rsid w:val="00F26FBC"/>
    <w:rsid w:val="00F34E0A"/>
    <w:rsid w:val="00F4035B"/>
    <w:rsid w:val="00F42F63"/>
    <w:rsid w:val="00F61041"/>
    <w:rsid w:val="00F62F67"/>
    <w:rsid w:val="00F63562"/>
    <w:rsid w:val="00F65043"/>
    <w:rsid w:val="00F67E3B"/>
    <w:rsid w:val="00F75689"/>
    <w:rsid w:val="00F75B12"/>
    <w:rsid w:val="00F75F67"/>
    <w:rsid w:val="00F80E7B"/>
    <w:rsid w:val="00F85109"/>
    <w:rsid w:val="00F937A2"/>
    <w:rsid w:val="00FB40C7"/>
    <w:rsid w:val="00FC07C9"/>
    <w:rsid w:val="00FC5AC5"/>
    <w:rsid w:val="00FD1AA2"/>
    <w:rsid w:val="00FD5E91"/>
    <w:rsid w:val="00FE1280"/>
    <w:rsid w:val="00FE31E8"/>
    <w:rsid w:val="00FF1A99"/>
    <w:rsid w:val="00FF7A03"/>
    <w:rsid w:val="01256538"/>
    <w:rsid w:val="01386B4A"/>
    <w:rsid w:val="016B3CA6"/>
    <w:rsid w:val="019308E3"/>
    <w:rsid w:val="01CD7511"/>
    <w:rsid w:val="020378C6"/>
    <w:rsid w:val="02430B2B"/>
    <w:rsid w:val="027A40D6"/>
    <w:rsid w:val="02821438"/>
    <w:rsid w:val="02EA36C1"/>
    <w:rsid w:val="03055EEA"/>
    <w:rsid w:val="0306313E"/>
    <w:rsid w:val="03380872"/>
    <w:rsid w:val="03386882"/>
    <w:rsid w:val="03786FBA"/>
    <w:rsid w:val="038808D9"/>
    <w:rsid w:val="03974857"/>
    <w:rsid w:val="03CF276F"/>
    <w:rsid w:val="03DB72A5"/>
    <w:rsid w:val="04127805"/>
    <w:rsid w:val="04374622"/>
    <w:rsid w:val="049065B6"/>
    <w:rsid w:val="05052E25"/>
    <w:rsid w:val="05450B69"/>
    <w:rsid w:val="054A4CFA"/>
    <w:rsid w:val="05610639"/>
    <w:rsid w:val="057D6841"/>
    <w:rsid w:val="0605070F"/>
    <w:rsid w:val="06515D24"/>
    <w:rsid w:val="0662250D"/>
    <w:rsid w:val="068C74DE"/>
    <w:rsid w:val="069756C9"/>
    <w:rsid w:val="06AF72DC"/>
    <w:rsid w:val="06EA41D2"/>
    <w:rsid w:val="06F82B78"/>
    <w:rsid w:val="07015FFD"/>
    <w:rsid w:val="071A250C"/>
    <w:rsid w:val="072E42E3"/>
    <w:rsid w:val="07422C02"/>
    <w:rsid w:val="07827776"/>
    <w:rsid w:val="0784507A"/>
    <w:rsid w:val="07A056DE"/>
    <w:rsid w:val="07CE5324"/>
    <w:rsid w:val="081A78E8"/>
    <w:rsid w:val="086118B3"/>
    <w:rsid w:val="08622878"/>
    <w:rsid w:val="087636AB"/>
    <w:rsid w:val="08C7570C"/>
    <w:rsid w:val="08D3679E"/>
    <w:rsid w:val="091115D3"/>
    <w:rsid w:val="093840A7"/>
    <w:rsid w:val="0968446C"/>
    <w:rsid w:val="09880AD8"/>
    <w:rsid w:val="0A212348"/>
    <w:rsid w:val="0A2C4242"/>
    <w:rsid w:val="0A9B0A35"/>
    <w:rsid w:val="0AA5328F"/>
    <w:rsid w:val="0ADE4634"/>
    <w:rsid w:val="0AE12F18"/>
    <w:rsid w:val="0AEB1B75"/>
    <w:rsid w:val="0B134589"/>
    <w:rsid w:val="0B163D08"/>
    <w:rsid w:val="0B561DCB"/>
    <w:rsid w:val="0B5C78CC"/>
    <w:rsid w:val="0B7E48FD"/>
    <w:rsid w:val="0BA311EC"/>
    <w:rsid w:val="0BF877A0"/>
    <w:rsid w:val="0BFB0153"/>
    <w:rsid w:val="0CB6308D"/>
    <w:rsid w:val="0CF92C66"/>
    <w:rsid w:val="0CFC2EE8"/>
    <w:rsid w:val="0D20616C"/>
    <w:rsid w:val="0D417D41"/>
    <w:rsid w:val="0D675396"/>
    <w:rsid w:val="0DA05130"/>
    <w:rsid w:val="0DB2478D"/>
    <w:rsid w:val="0DCE6B40"/>
    <w:rsid w:val="0E044AD0"/>
    <w:rsid w:val="0E2C347D"/>
    <w:rsid w:val="0E545AFA"/>
    <w:rsid w:val="0EBC73AB"/>
    <w:rsid w:val="0ECA120F"/>
    <w:rsid w:val="0F4628FA"/>
    <w:rsid w:val="0F594D76"/>
    <w:rsid w:val="0F5F512E"/>
    <w:rsid w:val="0F693CFB"/>
    <w:rsid w:val="0F8C332F"/>
    <w:rsid w:val="0FA3766C"/>
    <w:rsid w:val="0FA44575"/>
    <w:rsid w:val="0FB34829"/>
    <w:rsid w:val="10224F7E"/>
    <w:rsid w:val="105B51DC"/>
    <w:rsid w:val="10B02E63"/>
    <w:rsid w:val="10C14D02"/>
    <w:rsid w:val="10F02DD0"/>
    <w:rsid w:val="115C78ED"/>
    <w:rsid w:val="1168606F"/>
    <w:rsid w:val="11C22947"/>
    <w:rsid w:val="11C96F3F"/>
    <w:rsid w:val="11DF4E10"/>
    <w:rsid w:val="11E34F95"/>
    <w:rsid w:val="12322363"/>
    <w:rsid w:val="1280019C"/>
    <w:rsid w:val="12CD695A"/>
    <w:rsid w:val="1308440F"/>
    <w:rsid w:val="13275F08"/>
    <w:rsid w:val="13404493"/>
    <w:rsid w:val="135607B7"/>
    <w:rsid w:val="135F3D8B"/>
    <w:rsid w:val="13780EB1"/>
    <w:rsid w:val="13B664F1"/>
    <w:rsid w:val="13E920B8"/>
    <w:rsid w:val="14354315"/>
    <w:rsid w:val="14537884"/>
    <w:rsid w:val="14593BBF"/>
    <w:rsid w:val="14D56C28"/>
    <w:rsid w:val="151C338A"/>
    <w:rsid w:val="152D3690"/>
    <w:rsid w:val="1565002B"/>
    <w:rsid w:val="15855B9E"/>
    <w:rsid w:val="15CA090B"/>
    <w:rsid w:val="16490B40"/>
    <w:rsid w:val="164973BC"/>
    <w:rsid w:val="1686757C"/>
    <w:rsid w:val="16DA13A0"/>
    <w:rsid w:val="172503ED"/>
    <w:rsid w:val="173D66F2"/>
    <w:rsid w:val="17430389"/>
    <w:rsid w:val="175C0959"/>
    <w:rsid w:val="177941D0"/>
    <w:rsid w:val="17DC532F"/>
    <w:rsid w:val="180262BA"/>
    <w:rsid w:val="184C7796"/>
    <w:rsid w:val="18800267"/>
    <w:rsid w:val="18DA383F"/>
    <w:rsid w:val="19045A36"/>
    <w:rsid w:val="19167905"/>
    <w:rsid w:val="19731B79"/>
    <w:rsid w:val="19A830EA"/>
    <w:rsid w:val="1A024AC4"/>
    <w:rsid w:val="1AA57B5F"/>
    <w:rsid w:val="1AB6043B"/>
    <w:rsid w:val="1AF023DE"/>
    <w:rsid w:val="1B112FC2"/>
    <w:rsid w:val="1B260840"/>
    <w:rsid w:val="1B573E09"/>
    <w:rsid w:val="1BB0654C"/>
    <w:rsid w:val="1BFFAF17"/>
    <w:rsid w:val="1C057357"/>
    <w:rsid w:val="1C2407D2"/>
    <w:rsid w:val="1C392717"/>
    <w:rsid w:val="1C465638"/>
    <w:rsid w:val="1C771C32"/>
    <w:rsid w:val="1CD65A9C"/>
    <w:rsid w:val="1D314742"/>
    <w:rsid w:val="1DB16F63"/>
    <w:rsid w:val="1DD875A1"/>
    <w:rsid w:val="1E5006DD"/>
    <w:rsid w:val="1E626810"/>
    <w:rsid w:val="1E7844D8"/>
    <w:rsid w:val="1E7C1444"/>
    <w:rsid w:val="1E983B4C"/>
    <w:rsid w:val="1EA40187"/>
    <w:rsid w:val="1EE44777"/>
    <w:rsid w:val="1F2D2225"/>
    <w:rsid w:val="1F3A1F0D"/>
    <w:rsid w:val="1F515A41"/>
    <w:rsid w:val="1F7660D0"/>
    <w:rsid w:val="1FC430EA"/>
    <w:rsid w:val="208374A0"/>
    <w:rsid w:val="20A66D92"/>
    <w:rsid w:val="21432F64"/>
    <w:rsid w:val="21631CA7"/>
    <w:rsid w:val="21896627"/>
    <w:rsid w:val="21D218F6"/>
    <w:rsid w:val="21EB58B3"/>
    <w:rsid w:val="21EE38EF"/>
    <w:rsid w:val="224A72AF"/>
    <w:rsid w:val="22547760"/>
    <w:rsid w:val="22723839"/>
    <w:rsid w:val="232B60BE"/>
    <w:rsid w:val="23841172"/>
    <w:rsid w:val="239C7936"/>
    <w:rsid w:val="23C823BC"/>
    <w:rsid w:val="24057464"/>
    <w:rsid w:val="24386F5D"/>
    <w:rsid w:val="243F63FF"/>
    <w:rsid w:val="249A41D0"/>
    <w:rsid w:val="24A42D4D"/>
    <w:rsid w:val="24A526E2"/>
    <w:rsid w:val="24CC4700"/>
    <w:rsid w:val="24F46692"/>
    <w:rsid w:val="24F96510"/>
    <w:rsid w:val="2501486C"/>
    <w:rsid w:val="25595415"/>
    <w:rsid w:val="255A6FCD"/>
    <w:rsid w:val="266F1BC4"/>
    <w:rsid w:val="267F2350"/>
    <w:rsid w:val="26D60601"/>
    <w:rsid w:val="26E51EF5"/>
    <w:rsid w:val="26FE01DA"/>
    <w:rsid w:val="27384F3F"/>
    <w:rsid w:val="2782130A"/>
    <w:rsid w:val="27EC20E2"/>
    <w:rsid w:val="27FB0E00"/>
    <w:rsid w:val="28012834"/>
    <w:rsid w:val="28017784"/>
    <w:rsid w:val="282A7305"/>
    <w:rsid w:val="287F157E"/>
    <w:rsid w:val="28DD78F7"/>
    <w:rsid w:val="28E13AEA"/>
    <w:rsid w:val="290A2959"/>
    <w:rsid w:val="295A7C88"/>
    <w:rsid w:val="2967265C"/>
    <w:rsid w:val="29874879"/>
    <w:rsid w:val="29993ACA"/>
    <w:rsid w:val="29BE1BD0"/>
    <w:rsid w:val="2A75062E"/>
    <w:rsid w:val="2AC46C46"/>
    <w:rsid w:val="2AE33EE5"/>
    <w:rsid w:val="2AF3254C"/>
    <w:rsid w:val="2AFE6D12"/>
    <w:rsid w:val="2B170837"/>
    <w:rsid w:val="2B187CEF"/>
    <w:rsid w:val="2B243D1C"/>
    <w:rsid w:val="2B6E7369"/>
    <w:rsid w:val="2B70291D"/>
    <w:rsid w:val="2B7A199A"/>
    <w:rsid w:val="2BB97180"/>
    <w:rsid w:val="2C484661"/>
    <w:rsid w:val="2C5258B1"/>
    <w:rsid w:val="2C5300D5"/>
    <w:rsid w:val="2C900D19"/>
    <w:rsid w:val="2CAC31FC"/>
    <w:rsid w:val="2CB32C69"/>
    <w:rsid w:val="2CCE49E8"/>
    <w:rsid w:val="2CF040BC"/>
    <w:rsid w:val="2D0F7522"/>
    <w:rsid w:val="2D2864D4"/>
    <w:rsid w:val="2D557001"/>
    <w:rsid w:val="2D5D325E"/>
    <w:rsid w:val="2D5E4AE2"/>
    <w:rsid w:val="2D6405B3"/>
    <w:rsid w:val="2D982CB3"/>
    <w:rsid w:val="2D9975D8"/>
    <w:rsid w:val="2DAA40C0"/>
    <w:rsid w:val="2DCC3E54"/>
    <w:rsid w:val="2DD32383"/>
    <w:rsid w:val="2DE50909"/>
    <w:rsid w:val="2E020ABE"/>
    <w:rsid w:val="2E8A18A9"/>
    <w:rsid w:val="2EB1759E"/>
    <w:rsid w:val="2EDF6F14"/>
    <w:rsid w:val="2EE72320"/>
    <w:rsid w:val="2EE8455C"/>
    <w:rsid w:val="2EEF344A"/>
    <w:rsid w:val="2EF95F55"/>
    <w:rsid w:val="2F433A27"/>
    <w:rsid w:val="2F6D48C3"/>
    <w:rsid w:val="2F8A1B24"/>
    <w:rsid w:val="2FC414F3"/>
    <w:rsid w:val="2FDD3282"/>
    <w:rsid w:val="2FE60929"/>
    <w:rsid w:val="30715D36"/>
    <w:rsid w:val="30CA43A1"/>
    <w:rsid w:val="30D70117"/>
    <w:rsid w:val="30E575F0"/>
    <w:rsid w:val="30E75086"/>
    <w:rsid w:val="310D6C4C"/>
    <w:rsid w:val="31274B61"/>
    <w:rsid w:val="314B29C9"/>
    <w:rsid w:val="318647EF"/>
    <w:rsid w:val="31993746"/>
    <w:rsid w:val="32395DAD"/>
    <w:rsid w:val="32A658AF"/>
    <w:rsid w:val="32A81084"/>
    <w:rsid w:val="32D70991"/>
    <w:rsid w:val="330655CD"/>
    <w:rsid w:val="33DC14FA"/>
    <w:rsid w:val="33E47CF9"/>
    <w:rsid w:val="33EF06B2"/>
    <w:rsid w:val="33EF20EB"/>
    <w:rsid w:val="34476171"/>
    <w:rsid w:val="344A78B9"/>
    <w:rsid w:val="3494364D"/>
    <w:rsid w:val="34C9249A"/>
    <w:rsid w:val="34CA1ADE"/>
    <w:rsid w:val="34F34C56"/>
    <w:rsid w:val="350E60F3"/>
    <w:rsid w:val="35154ADA"/>
    <w:rsid w:val="357A5788"/>
    <w:rsid w:val="35B64728"/>
    <w:rsid w:val="36530971"/>
    <w:rsid w:val="36561BAE"/>
    <w:rsid w:val="36610C56"/>
    <w:rsid w:val="366B24CA"/>
    <w:rsid w:val="368A394D"/>
    <w:rsid w:val="36A823E6"/>
    <w:rsid w:val="36EF28AF"/>
    <w:rsid w:val="371B0264"/>
    <w:rsid w:val="371E4610"/>
    <w:rsid w:val="376916D4"/>
    <w:rsid w:val="37730E27"/>
    <w:rsid w:val="37944B3B"/>
    <w:rsid w:val="379B2738"/>
    <w:rsid w:val="38095396"/>
    <w:rsid w:val="385666E5"/>
    <w:rsid w:val="38A73EEE"/>
    <w:rsid w:val="38DB70E7"/>
    <w:rsid w:val="38E42D35"/>
    <w:rsid w:val="391151AB"/>
    <w:rsid w:val="3A75102D"/>
    <w:rsid w:val="3A780077"/>
    <w:rsid w:val="3AAC3208"/>
    <w:rsid w:val="3AD16F1E"/>
    <w:rsid w:val="3B137606"/>
    <w:rsid w:val="3B192EFF"/>
    <w:rsid w:val="3BB63565"/>
    <w:rsid w:val="3BCE25E6"/>
    <w:rsid w:val="3BCE3BB9"/>
    <w:rsid w:val="3C1B106D"/>
    <w:rsid w:val="3C68364E"/>
    <w:rsid w:val="3CEA2ACF"/>
    <w:rsid w:val="3D0C77C5"/>
    <w:rsid w:val="3D3C420C"/>
    <w:rsid w:val="3DC36D82"/>
    <w:rsid w:val="3E045322"/>
    <w:rsid w:val="3EA7753D"/>
    <w:rsid w:val="3EB524BC"/>
    <w:rsid w:val="3F006C63"/>
    <w:rsid w:val="3F0C0848"/>
    <w:rsid w:val="3F3618F0"/>
    <w:rsid w:val="3F496BBF"/>
    <w:rsid w:val="3F522E9C"/>
    <w:rsid w:val="3F8A0571"/>
    <w:rsid w:val="3FC14E74"/>
    <w:rsid w:val="40275E65"/>
    <w:rsid w:val="404A6865"/>
    <w:rsid w:val="40A9534F"/>
    <w:rsid w:val="40BD25B1"/>
    <w:rsid w:val="41A706E7"/>
    <w:rsid w:val="41BC1F10"/>
    <w:rsid w:val="41CC7778"/>
    <w:rsid w:val="424B3AFB"/>
    <w:rsid w:val="42E250CC"/>
    <w:rsid w:val="4313753F"/>
    <w:rsid w:val="431E7C90"/>
    <w:rsid w:val="43535B87"/>
    <w:rsid w:val="43765341"/>
    <w:rsid w:val="43875E9A"/>
    <w:rsid w:val="43AC0596"/>
    <w:rsid w:val="44122C6D"/>
    <w:rsid w:val="443110EB"/>
    <w:rsid w:val="443F2A3F"/>
    <w:rsid w:val="44EE4835"/>
    <w:rsid w:val="450A54CA"/>
    <w:rsid w:val="451B0620"/>
    <w:rsid w:val="4596640E"/>
    <w:rsid w:val="45C06D80"/>
    <w:rsid w:val="45E60474"/>
    <w:rsid w:val="46203510"/>
    <w:rsid w:val="46724F27"/>
    <w:rsid w:val="46886E13"/>
    <w:rsid w:val="46A91F25"/>
    <w:rsid w:val="46CE0949"/>
    <w:rsid w:val="47112743"/>
    <w:rsid w:val="47202EC6"/>
    <w:rsid w:val="474763A3"/>
    <w:rsid w:val="47640AC8"/>
    <w:rsid w:val="476756F9"/>
    <w:rsid w:val="47756B56"/>
    <w:rsid w:val="478D106C"/>
    <w:rsid w:val="478F3EA7"/>
    <w:rsid w:val="47FC2668"/>
    <w:rsid w:val="482B5C12"/>
    <w:rsid w:val="483C0381"/>
    <w:rsid w:val="48B63C31"/>
    <w:rsid w:val="48BE5158"/>
    <w:rsid w:val="48CF5749"/>
    <w:rsid w:val="48FD3D7D"/>
    <w:rsid w:val="492C3528"/>
    <w:rsid w:val="4972010E"/>
    <w:rsid w:val="49876C06"/>
    <w:rsid w:val="49B4651F"/>
    <w:rsid w:val="49E329B9"/>
    <w:rsid w:val="49F90A5A"/>
    <w:rsid w:val="4A2C2FEF"/>
    <w:rsid w:val="4A396411"/>
    <w:rsid w:val="4A421172"/>
    <w:rsid w:val="4A5A0CB0"/>
    <w:rsid w:val="4A9C1DE8"/>
    <w:rsid w:val="4AAF700B"/>
    <w:rsid w:val="4B46100C"/>
    <w:rsid w:val="4B8027A0"/>
    <w:rsid w:val="4B94730C"/>
    <w:rsid w:val="4BB72E97"/>
    <w:rsid w:val="4BE55A04"/>
    <w:rsid w:val="4C0B46B4"/>
    <w:rsid w:val="4C9F3A5D"/>
    <w:rsid w:val="4CDD3134"/>
    <w:rsid w:val="4CE6400E"/>
    <w:rsid w:val="4CF906E8"/>
    <w:rsid w:val="4D115507"/>
    <w:rsid w:val="4D5670A7"/>
    <w:rsid w:val="4D5D1F52"/>
    <w:rsid w:val="4D81095F"/>
    <w:rsid w:val="4D8B5FC8"/>
    <w:rsid w:val="4DC33315"/>
    <w:rsid w:val="4DD76527"/>
    <w:rsid w:val="4DE0543C"/>
    <w:rsid w:val="4DF32AD6"/>
    <w:rsid w:val="4E057A27"/>
    <w:rsid w:val="4E540763"/>
    <w:rsid w:val="4E5B0C3B"/>
    <w:rsid w:val="4E701595"/>
    <w:rsid w:val="4EB0364A"/>
    <w:rsid w:val="4F5D7111"/>
    <w:rsid w:val="4F8E36B5"/>
    <w:rsid w:val="4FA45F82"/>
    <w:rsid w:val="4FC20AA7"/>
    <w:rsid w:val="4FE80B78"/>
    <w:rsid w:val="50245BC9"/>
    <w:rsid w:val="505F1EFD"/>
    <w:rsid w:val="50795646"/>
    <w:rsid w:val="50B70587"/>
    <w:rsid w:val="513D1102"/>
    <w:rsid w:val="51903945"/>
    <w:rsid w:val="519A03E7"/>
    <w:rsid w:val="52307224"/>
    <w:rsid w:val="523978C1"/>
    <w:rsid w:val="524E6B1F"/>
    <w:rsid w:val="52BE6391"/>
    <w:rsid w:val="52C2150D"/>
    <w:rsid w:val="52DC2909"/>
    <w:rsid w:val="52EC7E76"/>
    <w:rsid w:val="52F77B7D"/>
    <w:rsid w:val="53B034DF"/>
    <w:rsid w:val="53C54552"/>
    <w:rsid w:val="53CB728D"/>
    <w:rsid w:val="53ED0E4F"/>
    <w:rsid w:val="54270803"/>
    <w:rsid w:val="546537F0"/>
    <w:rsid w:val="54A21C39"/>
    <w:rsid w:val="54CC2EF2"/>
    <w:rsid w:val="54DE0F4F"/>
    <w:rsid w:val="54E53259"/>
    <w:rsid w:val="55777819"/>
    <w:rsid w:val="558D175E"/>
    <w:rsid w:val="55945490"/>
    <w:rsid w:val="55B769EE"/>
    <w:rsid w:val="560B1770"/>
    <w:rsid w:val="563D07A6"/>
    <w:rsid w:val="567A73D2"/>
    <w:rsid w:val="56896F3A"/>
    <w:rsid w:val="56B57F62"/>
    <w:rsid w:val="56C84294"/>
    <w:rsid w:val="57112A14"/>
    <w:rsid w:val="573E02EA"/>
    <w:rsid w:val="575F0D5A"/>
    <w:rsid w:val="57770792"/>
    <w:rsid w:val="57787D9B"/>
    <w:rsid w:val="577C1E80"/>
    <w:rsid w:val="57872120"/>
    <w:rsid w:val="57C14EA6"/>
    <w:rsid w:val="57FA6209"/>
    <w:rsid w:val="58237198"/>
    <w:rsid w:val="58645568"/>
    <w:rsid w:val="58AA310E"/>
    <w:rsid w:val="58F05AD9"/>
    <w:rsid w:val="592B4B02"/>
    <w:rsid w:val="59350BFC"/>
    <w:rsid w:val="593F3641"/>
    <w:rsid w:val="59B32DA0"/>
    <w:rsid w:val="59BA7E85"/>
    <w:rsid w:val="5A43260F"/>
    <w:rsid w:val="5A69745D"/>
    <w:rsid w:val="5A812E59"/>
    <w:rsid w:val="5AAB01D6"/>
    <w:rsid w:val="5ABA7460"/>
    <w:rsid w:val="5AF779F8"/>
    <w:rsid w:val="5B3E2AC4"/>
    <w:rsid w:val="5B423DE4"/>
    <w:rsid w:val="5B5F6551"/>
    <w:rsid w:val="5B660D75"/>
    <w:rsid w:val="5B763A1A"/>
    <w:rsid w:val="5B9C24F1"/>
    <w:rsid w:val="5BB46CAC"/>
    <w:rsid w:val="5BE07D32"/>
    <w:rsid w:val="5BF33BE2"/>
    <w:rsid w:val="5C3E3705"/>
    <w:rsid w:val="5CBA2C8D"/>
    <w:rsid w:val="5CD033D7"/>
    <w:rsid w:val="5CFA1CEF"/>
    <w:rsid w:val="5D1E4EC8"/>
    <w:rsid w:val="5D2368B4"/>
    <w:rsid w:val="5D2C49EA"/>
    <w:rsid w:val="5D8A4AD9"/>
    <w:rsid w:val="5DB73653"/>
    <w:rsid w:val="5DD86408"/>
    <w:rsid w:val="5DE44F8E"/>
    <w:rsid w:val="5E0F7C71"/>
    <w:rsid w:val="5E17184E"/>
    <w:rsid w:val="5E1E0FE7"/>
    <w:rsid w:val="5E241359"/>
    <w:rsid w:val="5E2F576D"/>
    <w:rsid w:val="5E4274C8"/>
    <w:rsid w:val="5E6138AF"/>
    <w:rsid w:val="5E9F2768"/>
    <w:rsid w:val="5F111906"/>
    <w:rsid w:val="5F230F76"/>
    <w:rsid w:val="5F2447E2"/>
    <w:rsid w:val="5F284907"/>
    <w:rsid w:val="5F422F6E"/>
    <w:rsid w:val="5FFD723B"/>
    <w:rsid w:val="602A170A"/>
    <w:rsid w:val="605A28BD"/>
    <w:rsid w:val="60B10868"/>
    <w:rsid w:val="610B183C"/>
    <w:rsid w:val="61611674"/>
    <w:rsid w:val="61613AC5"/>
    <w:rsid w:val="61A71260"/>
    <w:rsid w:val="61C07CB7"/>
    <w:rsid w:val="61D640C8"/>
    <w:rsid w:val="61EC259E"/>
    <w:rsid w:val="621D5FD0"/>
    <w:rsid w:val="62553A9B"/>
    <w:rsid w:val="6262635A"/>
    <w:rsid w:val="62687522"/>
    <w:rsid w:val="6269533D"/>
    <w:rsid w:val="62703F4B"/>
    <w:rsid w:val="62787C38"/>
    <w:rsid w:val="62A41DF7"/>
    <w:rsid w:val="62A954D2"/>
    <w:rsid w:val="62C855B8"/>
    <w:rsid w:val="63671C2E"/>
    <w:rsid w:val="63765D4D"/>
    <w:rsid w:val="639128C8"/>
    <w:rsid w:val="63CC4F62"/>
    <w:rsid w:val="6445786C"/>
    <w:rsid w:val="64625F41"/>
    <w:rsid w:val="64CB159F"/>
    <w:rsid w:val="650E293D"/>
    <w:rsid w:val="654A3277"/>
    <w:rsid w:val="655661FA"/>
    <w:rsid w:val="658D11DA"/>
    <w:rsid w:val="65A7106E"/>
    <w:rsid w:val="65C02314"/>
    <w:rsid w:val="65F2343E"/>
    <w:rsid w:val="663F2988"/>
    <w:rsid w:val="672431DC"/>
    <w:rsid w:val="6737768F"/>
    <w:rsid w:val="67543C89"/>
    <w:rsid w:val="67993B01"/>
    <w:rsid w:val="67A34C03"/>
    <w:rsid w:val="67AC14B0"/>
    <w:rsid w:val="67D92C18"/>
    <w:rsid w:val="680D262C"/>
    <w:rsid w:val="68567627"/>
    <w:rsid w:val="68AE4213"/>
    <w:rsid w:val="68C54EE3"/>
    <w:rsid w:val="68DD2AE7"/>
    <w:rsid w:val="68F22024"/>
    <w:rsid w:val="69247457"/>
    <w:rsid w:val="698A4060"/>
    <w:rsid w:val="69C566EB"/>
    <w:rsid w:val="69C570DF"/>
    <w:rsid w:val="69D12D6C"/>
    <w:rsid w:val="69D32674"/>
    <w:rsid w:val="69E14866"/>
    <w:rsid w:val="6A451B86"/>
    <w:rsid w:val="6A4A7A2B"/>
    <w:rsid w:val="6A8D75D8"/>
    <w:rsid w:val="6ADA27C6"/>
    <w:rsid w:val="6AF13AFD"/>
    <w:rsid w:val="6B31380E"/>
    <w:rsid w:val="6B342B86"/>
    <w:rsid w:val="6B442A1D"/>
    <w:rsid w:val="6B89487A"/>
    <w:rsid w:val="6BA90006"/>
    <w:rsid w:val="6BB043A7"/>
    <w:rsid w:val="6C150D5F"/>
    <w:rsid w:val="6C161E18"/>
    <w:rsid w:val="6CBB08C6"/>
    <w:rsid w:val="6CFC4AAF"/>
    <w:rsid w:val="6D2A351D"/>
    <w:rsid w:val="6D2C5AA6"/>
    <w:rsid w:val="6D5169AE"/>
    <w:rsid w:val="6DA036B3"/>
    <w:rsid w:val="6E22181C"/>
    <w:rsid w:val="6E2E0B6D"/>
    <w:rsid w:val="6E3431D3"/>
    <w:rsid w:val="6E8120EF"/>
    <w:rsid w:val="6E815E20"/>
    <w:rsid w:val="6ED76D30"/>
    <w:rsid w:val="6F0674A3"/>
    <w:rsid w:val="6F452AEE"/>
    <w:rsid w:val="6F6B0510"/>
    <w:rsid w:val="6F827E1F"/>
    <w:rsid w:val="6FBE33DD"/>
    <w:rsid w:val="6FE30385"/>
    <w:rsid w:val="70695629"/>
    <w:rsid w:val="707E27D0"/>
    <w:rsid w:val="709E2C66"/>
    <w:rsid w:val="70B347FD"/>
    <w:rsid w:val="712B4902"/>
    <w:rsid w:val="714D053F"/>
    <w:rsid w:val="715071FC"/>
    <w:rsid w:val="71702D57"/>
    <w:rsid w:val="71872094"/>
    <w:rsid w:val="71C9438B"/>
    <w:rsid w:val="71E963AD"/>
    <w:rsid w:val="71EB232F"/>
    <w:rsid w:val="71F22395"/>
    <w:rsid w:val="72435D01"/>
    <w:rsid w:val="72724A94"/>
    <w:rsid w:val="72A446FE"/>
    <w:rsid w:val="730C517B"/>
    <w:rsid w:val="73113CCB"/>
    <w:rsid w:val="7321107D"/>
    <w:rsid w:val="732F3A9D"/>
    <w:rsid w:val="73521971"/>
    <w:rsid w:val="735A267A"/>
    <w:rsid w:val="735E79C5"/>
    <w:rsid w:val="736C6C06"/>
    <w:rsid w:val="736E713E"/>
    <w:rsid w:val="73821076"/>
    <w:rsid w:val="73AA2969"/>
    <w:rsid w:val="73B0761F"/>
    <w:rsid w:val="73B22405"/>
    <w:rsid w:val="73CF1F2D"/>
    <w:rsid w:val="73FC1BEE"/>
    <w:rsid w:val="74160497"/>
    <w:rsid w:val="74647DDF"/>
    <w:rsid w:val="746D30A4"/>
    <w:rsid w:val="74822716"/>
    <w:rsid w:val="749E5105"/>
    <w:rsid w:val="74A77D79"/>
    <w:rsid w:val="74BB2C8C"/>
    <w:rsid w:val="74EE2280"/>
    <w:rsid w:val="74F152AE"/>
    <w:rsid w:val="750D3D28"/>
    <w:rsid w:val="754614EB"/>
    <w:rsid w:val="756176A1"/>
    <w:rsid w:val="75A52E16"/>
    <w:rsid w:val="75D97900"/>
    <w:rsid w:val="75EB316B"/>
    <w:rsid w:val="76007225"/>
    <w:rsid w:val="763432DF"/>
    <w:rsid w:val="76586FA1"/>
    <w:rsid w:val="768D3DA6"/>
    <w:rsid w:val="76A61C5A"/>
    <w:rsid w:val="76D45B66"/>
    <w:rsid w:val="76E8509D"/>
    <w:rsid w:val="76FE2417"/>
    <w:rsid w:val="770C776D"/>
    <w:rsid w:val="771E653D"/>
    <w:rsid w:val="774B3CD5"/>
    <w:rsid w:val="78025334"/>
    <w:rsid w:val="781A3133"/>
    <w:rsid w:val="7840735D"/>
    <w:rsid w:val="78494A04"/>
    <w:rsid w:val="784B6D67"/>
    <w:rsid w:val="787871D0"/>
    <w:rsid w:val="788E700F"/>
    <w:rsid w:val="78B34E88"/>
    <w:rsid w:val="7949154B"/>
    <w:rsid w:val="79765F11"/>
    <w:rsid w:val="79D85CE8"/>
    <w:rsid w:val="7A1E0BB7"/>
    <w:rsid w:val="7A322C02"/>
    <w:rsid w:val="7A6374EA"/>
    <w:rsid w:val="7AA644EE"/>
    <w:rsid w:val="7AF65F04"/>
    <w:rsid w:val="7B025D61"/>
    <w:rsid w:val="7B072853"/>
    <w:rsid w:val="7B706966"/>
    <w:rsid w:val="7BA10F88"/>
    <w:rsid w:val="7BC46440"/>
    <w:rsid w:val="7C0E47BC"/>
    <w:rsid w:val="7C2B1136"/>
    <w:rsid w:val="7C753FA1"/>
    <w:rsid w:val="7CA44252"/>
    <w:rsid w:val="7D2846D4"/>
    <w:rsid w:val="7D33690E"/>
    <w:rsid w:val="7D4877D4"/>
    <w:rsid w:val="7D6FA8E0"/>
    <w:rsid w:val="7DB479EE"/>
    <w:rsid w:val="7DCD6635"/>
    <w:rsid w:val="7E2F7A8E"/>
    <w:rsid w:val="7E4829F0"/>
    <w:rsid w:val="7E7E160A"/>
    <w:rsid w:val="7EDC5977"/>
    <w:rsid w:val="7EE36967"/>
    <w:rsid w:val="7EFB91ED"/>
    <w:rsid w:val="7F307B11"/>
    <w:rsid w:val="7F4108E0"/>
    <w:rsid w:val="7F9663C3"/>
    <w:rsid w:val="7F9E0DA2"/>
    <w:rsid w:val="7FA345E5"/>
    <w:rsid w:val="7FA77056"/>
    <w:rsid w:val="7FBE0FFC"/>
    <w:rsid w:val="C7DCD3E6"/>
    <w:rsid w:val="F5FE5C90"/>
    <w:rsid w:val="FDFF7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7"/>
    <w:qFormat/>
    <w:uiPriority w:val="0"/>
    <w:pPr>
      <w:keepNext/>
      <w:keepLines/>
      <w:spacing w:before="320" w:after="320" w:line="579"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toc 7"/>
    <w:basedOn w:val="1"/>
    <w:next w:val="1"/>
    <w:qFormat/>
    <w:uiPriority w:val="0"/>
    <w:pPr>
      <w:ind w:left="2520" w:leftChars="1200"/>
    </w:pPr>
  </w:style>
  <w:style w:type="paragraph" w:styleId="7">
    <w:name w:val="Normal Indent"/>
    <w:basedOn w:val="1"/>
    <w:link w:val="48"/>
    <w:qFormat/>
    <w:uiPriority w:val="0"/>
    <w:pPr>
      <w:ind w:firstLine="200" w:firstLineChars="200"/>
    </w:pPr>
  </w:style>
  <w:style w:type="paragraph" w:styleId="8">
    <w:name w:val="caption"/>
    <w:basedOn w:val="1"/>
    <w:next w:val="1"/>
    <w:qFormat/>
    <w:uiPriority w:val="0"/>
    <w:pPr>
      <w:spacing w:line="360" w:lineRule="auto"/>
      <w:ind w:firstLine="200" w:firstLineChars="200"/>
      <w:jc w:val="center"/>
    </w:pPr>
    <w:rPr>
      <w:rFonts w:ascii="Cambria" w:hAnsi="Cambria" w:eastAsia="黑体"/>
      <w:b/>
      <w:sz w:val="20"/>
      <w:szCs w:val="20"/>
    </w:rPr>
  </w:style>
  <w:style w:type="paragraph" w:styleId="9">
    <w:name w:val="Document Map"/>
    <w:basedOn w:val="1"/>
    <w:link w:val="40"/>
    <w:qFormat/>
    <w:uiPriority w:val="0"/>
    <w:rPr>
      <w:rFonts w:ascii="宋体"/>
      <w:sz w:val="18"/>
      <w:szCs w:val="18"/>
    </w:rPr>
  </w:style>
  <w:style w:type="paragraph" w:styleId="10">
    <w:name w:val="annotation text"/>
    <w:basedOn w:val="1"/>
    <w:link w:val="41"/>
    <w:qFormat/>
    <w:uiPriority w:val="0"/>
    <w:pPr>
      <w:jc w:val="left"/>
    </w:pPr>
  </w:style>
  <w:style w:type="paragraph" w:styleId="11">
    <w:name w:val="Body Text"/>
    <w:basedOn w:val="1"/>
    <w:next w:val="1"/>
    <w:qFormat/>
    <w:uiPriority w:val="0"/>
    <w:pPr>
      <w:spacing w:after="120"/>
    </w:pPr>
  </w:style>
  <w:style w:type="paragraph" w:styleId="12">
    <w:name w:val="Body Text Indent"/>
    <w:basedOn w:val="1"/>
    <w:link w:val="43"/>
    <w:qFormat/>
    <w:uiPriority w:val="0"/>
    <w:pPr>
      <w:ind w:firstLine="630"/>
    </w:pPr>
    <w:rPr>
      <w:sz w:val="32"/>
      <w:szCs w:val="20"/>
    </w:rPr>
  </w:style>
  <w:style w:type="paragraph" w:styleId="13">
    <w:name w:val="toc 5"/>
    <w:basedOn w:val="1"/>
    <w:next w:val="1"/>
    <w:qFormat/>
    <w:uiPriority w:val="0"/>
    <w:pPr>
      <w:ind w:left="1680" w:leftChars="800"/>
    </w:pPr>
  </w:style>
  <w:style w:type="paragraph" w:styleId="14">
    <w:name w:val="toc 3"/>
    <w:basedOn w:val="1"/>
    <w:next w:val="1"/>
    <w:qFormat/>
    <w:uiPriority w:val="0"/>
    <w:pPr>
      <w:ind w:left="840" w:leftChars="400"/>
    </w:pPr>
  </w:style>
  <w:style w:type="paragraph" w:styleId="15">
    <w:name w:val="Plain Text"/>
    <w:basedOn w:val="1"/>
    <w:link w:val="62"/>
    <w:qFormat/>
    <w:uiPriority w:val="0"/>
    <w:rPr>
      <w:rFonts w:ascii="宋体" w:hAnsi="Courier New"/>
    </w:rPr>
  </w:style>
  <w:style w:type="paragraph" w:styleId="16">
    <w:name w:val="toc 8"/>
    <w:basedOn w:val="1"/>
    <w:next w:val="1"/>
    <w:qFormat/>
    <w:uiPriority w:val="0"/>
    <w:pPr>
      <w:ind w:left="2940" w:leftChars="1400"/>
    </w:pPr>
  </w:style>
  <w:style w:type="paragraph" w:styleId="17">
    <w:name w:val="Balloon Text"/>
    <w:basedOn w:val="1"/>
    <w:link w:val="45"/>
    <w:qFormat/>
    <w:uiPriority w:val="0"/>
    <w:rPr>
      <w:sz w:val="18"/>
      <w:szCs w:val="18"/>
    </w:rPr>
  </w:style>
  <w:style w:type="paragraph" w:styleId="18">
    <w:name w:val="footer"/>
    <w:basedOn w:val="1"/>
    <w:link w:val="60"/>
    <w:qFormat/>
    <w:uiPriority w:val="99"/>
    <w:pPr>
      <w:tabs>
        <w:tab w:val="center" w:pos="4153"/>
        <w:tab w:val="right" w:pos="8306"/>
      </w:tabs>
      <w:snapToGrid w:val="0"/>
      <w:jc w:val="left"/>
    </w:pPr>
    <w:rPr>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39"/>
  </w:style>
  <w:style w:type="paragraph" w:styleId="21">
    <w:name w:val="toc 4"/>
    <w:basedOn w:val="1"/>
    <w:next w:val="1"/>
    <w:qFormat/>
    <w:uiPriority w:val="0"/>
    <w:pPr>
      <w:ind w:left="1260" w:leftChars="600"/>
    </w:pPr>
  </w:style>
  <w:style w:type="paragraph" w:styleId="22">
    <w:name w:val="toc 6"/>
    <w:basedOn w:val="1"/>
    <w:next w:val="1"/>
    <w:qFormat/>
    <w:uiPriority w:val="0"/>
    <w:pPr>
      <w:ind w:left="2100" w:leftChars="1000"/>
    </w:pPr>
  </w:style>
  <w:style w:type="paragraph" w:styleId="23">
    <w:name w:val="toc 2"/>
    <w:basedOn w:val="1"/>
    <w:next w:val="1"/>
    <w:qFormat/>
    <w:uiPriority w:val="0"/>
    <w:pPr>
      <w:ind w:left="420" w:leftChars="200"/>
    </w:pPr>
  </w:style>
  <w:style w:type="paragraph" w:styleId="24">
    <w:name w:val="toc 9"/>
    <w:basedOn w:val="1"/>
    <w:next w:val="1"/>
    <w:qFormat/>
    <w:uiPriority w:val="0"/>
    <w:pPr>
      <w:ind w:left="3360" w:leftChars="1600"/>
    </w:pPr>
  </w:style>
  <w:style w:type="paragraph" w:styleId="25">
    <w:name w:val="Normal (Web)"/>
    <w:basedOn w:val="1"/>
    <w:qFormat/>
    <w:uiPriority w:val="0"/>
    <w:pPr>
      <w:widowControl/>
      <w:spacing w:before="100" w:beforeAutospacing="1" w:after="100" w:afterAutospacing="1"/>
      <w:jc w:val="left"/>
    </w:pPr>
    <w:rPr>
      <w:rFonts w:ascii="宋体"/>
      <w:kern w:val="0"/>
      <w:sz w:val="18"/>
      <w:szCs w:val="18"/>
    </w:rPr>
  </w:style>
  <w:style w:type="paragraph" w:styleId="26">
    <w:name w:val="annotation subject"/>
    <w:basedOn w:val="10"/>
    <w:next w:val="10"/>
    <w:link w:val="46"/>
    <w:qFormat/>
    <w:uiPriority w:val="0"/>
    <w:rPr>
      <w:b/>
      <w:bCs/>
    </w:rPr>
  </w:style>
  <w:style w:type="character" w:styleId="29">
    <w:name w:val="Strong"/>
    <w:qFormat/>
    <w:uiPriority w:val="0"/>
    <w:rPr>
      <w:b/>
    </w:rPr>
  </w:style>
  <w:style w:type="character" w:styleId="30">
    <w:name w:val="page number"/>
    <w:qFormat/>
    <w:uiPriority w:val="0"/>
  </w:style>
  <w:style w:type="character" w:styleId="31">
    <w:name w:val="FollowedHyperlink"/>
    <w:qFormat/>
    <w:uiPriority w:val="0"/>
    <w:rPr>
      <w:color w:val="333333"/>
      <w:u w:val="none"/>
    </w:rPr>
  </w:style>
  <w:style w:type="character" w:styleId="32">
    <w:name w:val="Emphasis"/>
    <w:qFormat/>
    <w:uiPriority w:val="0"/>
  </w:style>
  <w:style w:type="character" w:styleId="33">
    <w:name w:val="HTML Definition"/>
    <w:qFormat/>
    <w:uiPriority w:val="0"/>
  </w:style>
  <w:style w:type="character" w:styleId="34">
    <w:name w:val="HTML Variable"/>
    <w:qFormat/>
    <w:uiPriority w:val="0"/>
  </w:style>
  <w:style w:type="character" w:styleId="35">
    <w:name w:val="Hyperlink"/>
    <w:qFormat/>
    <w:uiPriority w:val="99"/>
    <w:rPr>
      <w:color w:val="333333"/>
      <w:u w:val="none"/>
    </w:rPr>
  </w:style>
  <w:style w:type="character" w:styleId="36">
    <w:name w:val="HTML Code"/>
    <w:qFormat/>
    <w:uiPriority w:val="0"/>
    <w:rPr>
      <w:rFonts w:ascii="Courier New" w:hAnsi="Courier New"/>
      <w:sz w:val="20"/>
    </w:rPr>
  </w:style>
  <w:style w:type="character" w:styleId="37">
    <w:name w:val="annotation reference"/>
    <w:qFormat/>
    <w:uiPriority w:val="0"/>
    <w:rPr>
      <w:sz w:val="21"/>
      <w:szCs w:val="21"/>
    </w:rPr>
  </w:style>
  <w:style w:type="character" w:styleId="38">
    <w:name w:val="HTML Cite"/>
    <w:qFormat/>
    <w:uiPriority w:val="0"/>
  </w:style>
  <w:style w:type="character" w:customStyle="1" w:styleId="39">
    <w:name w:val="font101"/>
    <w:qFormat/>
    <w:uiPriority w:val="0"/>
    <w:rPr>
      <w:rFonts w:hint="eastAsia" w:ascii="宋体" w:hAnsi="宋体" w:eastAsia="宋体" w:cs="宋体"/>
      <w:color w:val="000000"/>
      <w:sz w:val="21"/>
      <w:szCs w:val="21"/>
      <w:u w:val="single"/>
    </w:rPr>
  </w:style>
  <w:style w:type="character" w:customStyle="1" w:styleId="40">
    <w:name w:val="文档结构图 字符"/>
    <w:link w:val="9"/>
    <w:qFormat/>
    <w:uiPriority w:val="0"/>
    <w:rPr>
      <w:rFonts w:ascii="宋体"/>
      <w:kern w:val="2"/>
      <w:sz w:val="18"/>
      <w:szCs w:val="18"/>
    </w:rPr>
  </w:style>
  <w:style w:type="character" w:customStyle="1" w:styleId="41">
    <w:name w:val="批注文字 字符"/>
    <w:link w:val="10"/>
    <w:qFormat/>
    <w:uiPriority w:val="0"/>
    <w:rPr>
      <w:kern w:val="2"/>
      <w:sz w:val="21"/>
      <w:szCs w:val="24"/>
    </w:rPr>
  </w:style>
  <w:style w:type="character" w:customStyle="1" w:styleId="42">
    <w:name w:val="font91"/>
    <w:qFormat/>
    <w:uiPriority w:val="0"/>
    <w:rPr>
      <w:rFonts w:hint="eastAsia" w:ascii="宋体" w:hAnsi="宋体" w:eastAsia="宋体" w:cs="宋体"/>
      <w:color w:val="FF0000"/>
      <w:sz w:val="21"/>
      <w:szCs w:val="21"/>
      <w:u w:val="single"/>
    </w:rPr>
  </w:style>
  <w:style w:type="character" w:customStyle="1" w:styleId="43">
    <w:name w:val="正文文本缩进 字符"/>
    <w:link w:val="12"/>
    <w:qFormat/>
    <w:uiPriority w:val="0"/>
    <w:rPr>
      <w:kern w:val="2"/>
      <w:sz w:val="32"/>
    </w:rPr>
  </w:style>
  <w:style w:type="character" w:customStyle="1" w:styleId="44">
    <w:name w:val="font111"/>
    <w:qFormat/>
    <w:uiPriority w:val="0"/>
    <w:rPr>
      <w:rFonts w:hint="default" w:ascii="Eʩ" w:hAnsi="Eʩ" w:eastAsia="Eʩ" w:cs="Eʩ"/>
      <w:color w:val="000000"/>
      <w:sz w:val="21"/>
      <w:szCs w:val="21"/>
      <w:u w:val="single"/>
    </w:rPr>
  </w:style>
  <w:style w:type="character" w:customStyle="1" w:styleId="45">
    <w:name w:val="批注框文本 字符"/>
    <w:link w:val="17"/>
    <w:qFormat/>
    <w:uiPriority w:val="0"/>
    <w:rPr>
      <w:kern w:val="2"/>
      <w:sz w:val="18"/>
      <w:szCs w:val="18"/>
    </w:rPr>
  </w:style>
  <w:style w:type="character" w:customStyle="1" w:styleId="46">
    <w:name w:val="批注主题 字符"/>
    <w:link w:val="26"/>
    <w:qFormat/>
    <w:uiPriority w:val="0"/>
    <w:rPr>
      <w:b/>
      <w:bCs/>
      <w:kern w:val="2"/>
      <w:sz w:val="21"/>
      <w:szCs w:val="24"/>
    </w:rPr>
  </w:style>
  <w:style w:type="character" w:customStyle="1" w:styleId="47">
    <w:name w:val="标题 1 字符"/>
    <w:link w:val="3"/>
    <w:qFormat/>
    <w:uiPriority w:val="0"/>
    <w:rPr>
      <w:rFonts w:ascii="Times New Roman" w:hAnsi="Times New Roman" w:eastAsia="宋体"/>
      <w:b/>
      <w:bCs/>
      <w:kern w:val="44"/>
      <w:sz w:val="44"/>
      <w:szCs w:val="44"/>
    </w:rPr>
  </w:style>
  <w:style w:type="character" w:customStyle="1" w:styleId="48">
    <w:name w:val="正文缩进 字符"/>
    <w:link w:val="7"/>
    <w:qFormat/>
    <w:uiPriority w:val="0"/>
    <w:rPr>
      <w:kern w:val="2"/>
      <w:sz w:val="21"/>
      <w:szCs w:val="24"/>
    </w:rPr>
  </w:style>
  <w:style w:type="character" w:customStyle="1" w:styleId="49">
    <w:name w:val="font31"/>
    <w:qFormat/>
    <w:uiPriority w:val="0"/>
    <w:rPr>
      <w:rFonts w:hint="eastAsia" w:ascii="宋体" w:hAnsi="宋体" w:eastAsia="宋体" w:cs="宋体"/>
      <w:color w:val="000000"/>
      <w:sz w:val="21"/>
      <w:szCs w:val="21"/>
      <w:u w:val="none"/>
    </w:rPr>
  </w:style>
  <w:style w:type="character" w:customStyle="1" w:styleId="50">
    <w:name w:val="label"/>
    <w:qFormat/>
    <w:uiPriority w:val="0"/>
    <w:rPr>
      <w:color w:val="555555"/>
    </w:rPr>
  </w:style>
  <w:style w:type="character" w:customStyle="1" w:styleId="51">
    <w:name w:val="modifier"/>
    <w:qFormat/>
    <w:uiPriority w:val="0"/>
    <w:rPr>
      <w:color w:val="FF0000"/>
    </w:rPr>
  </w:style>
  <w:style w:type="paragraph" w:customStyle="1" w:styleId="52">
    <w:name w:val="正文首行缩进两字符"/>
    <w:basedOn w:val="1"/>
    <w:qFormat/>
    <w:uiPriority w:val="0"/>
    <w:pPr>
      <w:spacing w:line="360" w:lineRule="auto"/>
      <w:ind w:firstLine="200" w:firstLineChars="200"/>
    </w:pPr>
  </w:style>
  <w:style w:type="paragraph" w:customStyle="1" w:styleId="53">
    <w:name w:val="样式 首行缩进:  2 字符"/>
    <w:basedOn w:val="1"/>
    <w:qFormat/>
    <w:uiPriority w:val="0"/>
    <w:pPr>
      <w:spacing w:line="400" w:lineRule="exact"/>
      <w:ind w:firstLine="200" w:firstLineChars="200"/>
    </w:pPr>
    <w:rPr>
      <w:rFonts w:cs="宋体"/>
      <w:sz w:val="24"/>
    </w:rPr>
  </w:style>
  <w:style w:type="paragraph" w:customStyle="1" w:styleId="54">
    <w:name w:val="列表段落1"/>
    <w:basedOn w:val="1"/>
    <w:qFormat/>
    <w:uiPriority w:val="34"/>
    <w:pPr>
      <w:spacing w:line="360" w:lineRule="auto"/>
      <w:jc w:val="left"/>
    </w:pPr>
    <w:rPr>
      <w:rFonts w:ascii="宋体" w:hAnsi="宋体"/>
      <w:sz w:val="24"/>
    </w:rPr>
  </w:style>
  <w:style w:type="paragraph" w:customStyle="1" w:styleId="5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6">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57">
    <w:name w:val="_Style 2"/>
    <w:basedOn w:val="1"/>
    <w:qFormat/>
    <w:uiPriority w:val="0"/>
    <w:pPr>
      <w:ind w:firstLine="420" w:firstLineChars="200"/>
    </w:pPr>
    <w:rPr>
      <w:sz w:val="18"/>
      <w:szCs w:val="18"/>
    </w:rPr>
  </w:style>
  <w:style w:type="paragraph" w:customStyle="1" w:styleId="58">
    <w:name w:val="样式2"/>
    <w:basedOn w:val="1"/>
    <w:qFormat/>
    <w:uiPriority w:val="0"/>
    <w:pPr>
      <w:spacing w:line="560" w:lineRule="exact"/>
      <w:ind w:firstLine="200" w:firstLineChars="200"/>
      <w:jc w:val="left"/>
    </w:pPr>
    <w:rPr>
      <w:rFonts w:eastAsia="仿宋_GB2312"/>
      <w:sz w:val="28"/>
      <w:szCs w:val="20"/>
    </w:rPr>
  </w:style>
  <w:style w:type="paragraph" w:customStyle="1" w:styleId="59">
    <w:name w:val="TableNormal"/>
    <w:basedOn w:val="1"/>
    <w:qFormat/>
    <w:uiPriority w:val="0"/>
    <w:pPr>
      <w:widowControl/>
      <w:spacing w:before="40" w:after="40" w:line="264" w:lineRule="auto"/>
      <w:jc w:val="left"/>
    </w:pPr>
    <w:rPr>
      <w:rFonts w:ascii="Arial" w:hAnsi="Arial"/>
      <w:kern w:val="0"/>
      <w:szCs w:val="20"/>
      <w:lang w:eastAsia="en-US"/>
    </w:rPr>
  </w:style>
  <w:style w:type="character" w:customStyle="1" w:styleId="60">
    <w:name w:val="页脚 字符"/>
    <w:link w:val="18"/>
    <w:qFormat/>
    <w:uiPriority w:val="99"/>
    <w:rPr>
      <w:kern w:val="2"/>
      <w:sz w:val="18"/>
    </w:rPr>
  </w:style>
  <w:style w:type="paragraph" w:customStyle="1" w:styleId="61">
    <w:name w:val="msolistparagraph"/>
    <w:basedOn w:val="1"/>
    <w:qFormat/>
    <w:uiPriority w:val="0"/>
    <w:pPr>
      <w:ind w:firstLine="420" w:firstLineChars="200"/>
    </w:pPr>
    <w:rPr>
      <w:szCs w:val="22"/>
    </w:rPr>
  </w:style>
  <w:style w:type="character" w:customStyle="1" w:styleId="62">
    <w:name w:val="纯文本 字符"/>
    <w:basedOn w:val="28"/>
    <w:link w:val="15"/>
    <w:qFormat/>
    <w:uiPriority w:val="0"/>
    <w:rPr>
      <w:rFonts w:ascii="宋体" w:hAnsi="Courier New"/>
      <w:kern w:val="2"/>
      <w:sz w:val="21"/>
      <w:szCs w:val="24"/>
    </w:rPr>
  </w:style>
  <w:style w:type="character" w:customStyle="1" w:styleId="63">
    <w:name w:val="正文缩进 Char1"/>
    <w:qFormat/>
    <w:uiPriority w:val="0"/>
    <w:rPr>
      <w:kern w:val="2"/>
      <w:sz w:val="21"/>
      <w:szCs w:val="24"/>
    </w:rPr>
  </w:style>
  <w:style w:type="paragraph" w:customStyle="1" w:styleId="64">
    <w:name w:val="_Style 1"/>
    <w:basedOn w:val="1"/>
    <w:qFormat/>
    <w:uiPriority w:val="99"/>
    <w:pPr>
      <w:ind w:firstLine="420"/>
    </w:pPr>
    <w:rPr>
      <w:szCs w:val="22"/>
    </w:rPr>
  </w:style>
  <w:style w:type="character" w:customStyle="1" w:styleId="65">
    <w:name w:val="font61"/>
    <w:basedOn w:val="28"/>
    <w:qFormat/>
    <w:uiPriority w:val="0"/>
    <w:rPr>
      <w:rFonts w:hint="eastAsia" w:ascii="等线" w:hAnsi="等线" w:eastAsia="等线" w:cs="等线"/>
      <w:color w:val="000000"/>
      <w:sz w:val="20"/>
      <w:szCs w:val="20"/>
      <w:u w:val="none"/>
      <w:vertAlign w:val="superscript"/>
    </w:rPr>
  </w:style>
  <w:style w:type="character" w:customStyle="1" w:styleId="66">
    <w:name w:val="font01"/>
    <w:basedOn w:val="28"/>
    <w:qFormat/>
    <w:uiPriority w:val="0"/>
    <w:rPr>
      <w:rFonts w:hint="eastAsia" w:ascii="等线" w:hAnsi="等线" w:eastAsia="等线" w:cs="等线"/>
      <w:color w:val="000000"/>
      <w:sz w:val="20"/>
      <w:szCs w:val="20"/>
      <w:u w:val="none"/>
    </w:rPr>
  </w:style>
  <w:style w:type="character" w:customStyle="1" w:styleId="67">
    <w:name w:val="font41"/>
    <w:basedOn w:val="28"/>
    <w:qFormat/>
    <w:uiPriority w:val="0"/>
    <w:rPr>
      <w:rFonts w:hint="eastAsia" w:ascii="等线" w:hAnsi="等线" w:eastAsia="等线" w:cs="等线"/>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B1ECEA-25EA-4CD2-8BC4-EE821C03BC6F}">
  <ds:schemaRefs/>
</ds:datastoreItem>
</file>

<file path=docProps/app.xml><?xml version="1.0" encoding="utf-8"?>
<Properties xmlns="http://schemas.openxmlformats.org/officeDocument/2006/extended-properties" xmlns:vt="http://schemas.openxmlformats.org/officeDocument/2006/docPropsVTypes">
  <Template>Normal</Template>
  <Pages>82</Pages>
  <Words>39748</Words>
  <Characters>46102</Characters>
  <Lines>361</Lines>
  <Paragraphs>101</Paragraphs>
  <TotalTime>19</TotalTime>
  <ScaleCrop>false</ScaleCrop>
  <LinksUpToDate>false</LinksUpToDate>
  <CharactersWithSpaces>46944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2018-05-08T16:15:00Z</dcterms:created>
  <dc:creator>成都一问</dc:creator>
  <cp:lastModifiedBy>成都西米/*</cp:lastModifiedBy>
  <cp:lastPrinted>2018-05-10T15:30:00Z</cp:lastPrinted>
  <dcterms:modified xsi:type="dcterms:W3CDTF">2021-06-28T01:06:27Z</dcterms:modified>
  <dc:title>成都一问范本</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F3CBEAE6E53E406EA7D97249046DCE5E</vt:lpwstr>
  </property>
</Properties>
</file>