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5"/>
          <w:tab w:val="center" w:pos="4204"/>
        </w:tabs>
        <w:jc w:val="center"/>
        <w:rPr>
          <w:b/>
          <w:sz w:val="52"/>
          <w:szCs w:val="52"/>
        </w:rPr>
      </w:pPr>
    </w:p>
    <w:p>
      <w:pPr>
        <w:spacing w:line="480" w:lineRule="auto"/>
        <w:jc w:val="center"/>
        <w:rPr>
          <w:b/>
          <w:sz w:val="52"/>
          <w:szCs w:val="52"/>
        </w:rPr>
      </w:pPr>
      <w:r>
        <w:rPr>
          <w:rFonts w:hint="eastAsia" w:hAnsi="宋体"/>
          <w:b/>
          <w:bCs/>
          <w:sz w:val="44"/>
          <w:szCs w:val="44"/>
        </w:rPr>
        <w:t>郫都区城镇村体系规划研究编制项目</w:t>
      </w:r>
    </w:p>
    <w:p>
      <w:pPr>
        <w:spacing w:line="480" w:lineRule="auto"/>
        <w:jc w:val="center"/>
        <w:rPr>
          <w:b/>
          <w:sz w:val="52"/>
          <w:szCs w:val="52"/>
        </w:rPr>
      </w:pPr>
    </w:p>
    <w:p>
      <w:pPr>
        <w:spacing w:line="480" w:lineRule="auto"/>
        <w:jc w:val="center"/>
        <w:rPr>
          <w:b/>
          <w:sz w:val="52"/>
          <w:szCs w:val="52"/>
        </w:rPr>
      </w:pPr>
      <w:r>
        <w:rPr>
          <w:rFonts w:hint="eastAsia"/>
          <w:b/>
          <w:sz w:val="52"/>
          <w:szCs w:val="52"/>
        </w:rPr>
        <w:t>招</w:t>
      </w:r>
    </w:p>
    <w:p>
      <w:pPr>
        <w:spacing w:line="480" w:lineRule="auto"/>
        <w:jc w:val="center"/>
        <w:rPr>
          <w:b/>
          <w:sz w:val="52"/>
          <w:szCs w:val="52"/>
        </w:rPr>
      </w:pPr>
      <w:r>
        <w:rPr>
          <w:rFonts w:hint="eastAsia"/>
          <w:b/>
          <w:sz w:val="52"/>
          <w:szCs w:val="52"/>
        </w:rPr>
        <w:t>标</w:t>
      </w:r>
    </w:p>
    <w:p>
      <w:pPr>
        <w:spacing w:line="480" w:lineRule="auto"/>
        <w:jc w:val="center"/>
        <w:rPr>
          <w:b/>
          <w:sz w:val="52"/>
          <w:szCs w:val="52"/>
        </w:rPr>
      </w:pPr>
      <w:r>
        <w:rPr>
          <w:rFonts w:hint="eastAsia"/>
          <w:b/>
          <w:sz w:val="52"/>
          <w:szCs w:val="52"/>
        </w:rPr>
        <w:t>文</w:t>
      </w:r>
    </w:p>
    <w:p>
      <w:pPr>
        <w:spacing w:line="480" w:lineRule="auto"/>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jc w:val="center"/>
        <w:rPr>
          <w:b/>
          <w:sz w:val="32"/>
          <w:szCs w:val="32"/>
        </w:rPr>
      </w:pPr>
    </w:p>
    <w:p>
      <w:pPr>
        <w:tabs>
          <w:tab w:val="left" w:pos="1554"/>
        </w:tabs>
        <w:spacing w:line="360" w:lineRule="auto"/>
        <w:ind w:firstLine="643" w:firstLineChars="200"/>
        <w:jc w:val="center"/>
      </w:pPr>
      <w:r>
        <w:rPr>
          <w:rFonts w:hint="eastAsia" w:hAnsi="宋体"/>
          <w:b/>
          <w:bCs/>
          <w:sz w:val="32"/>
          <w:lang w:val="zh-CN"/>
        </w:rPr>
        <w:t>成都市郫都区规划和自然资源局</w:t>
      </w:r>
    </w:p>
    <w:p>
      <w:pPr>
        <w:spacing w:line="360" w:lineRule="auto"/>
        <w:ind w:firstLine="643" w:firstLineChars="200"/>
        <w:jc w:val="center"/>
        <w:rPr>
          <w:rFonts w:hAnsi="宋体"/>
          <w:b/>
          <w:bCs/>
          <w:sz w:val="32"/>
        </w:rPr>
      </w:pPr>
      <w:r>
        <w:rPr>
          <w:rFonts w:hint="eastAsia" w:hAnsi="宋体"/>
          <w:b/>
          <w:bCs/>
          <w:sz w:val="32"/>
        </w:rPr>
        <w:t>四川华驰工程项目管理有限公司</w:t>
      </w:r>
    </w:p>
    <w:p>
      <w:pPr>
        <w:spacing w:line="360" w:lineRule="auto"/>
        <w:ind w:firstLine="3842" w:firstLineChars="1196"/>
        <w:rPr>
          <w:b/>
          <w:sz w:val="30"/>
          <w:szCs w:val="30"/>
        </w:rPr>
      </w:pPr>
      <w:r>
        <w:rPr>
          <w:rFonts w:hint="eastAsia" w:hAnsi="宋体"/>
          <w:b/>
          <w:bCs/>
          <w:sz w:val="32"/>
        </w:rPr>
        <w:t>共同编制</w:t>
      </w:r>
    </w:p>
    <w:p>
      <w:pPr>
        <w:spacing w:line="360" w:lineRule="auto"/>
        <w:ind w:firstLine="3301" w:firstLineChars="1096"/>
      </w:pPr>
      <w:r>
        <w:rPr>
          <w:rFonts w:hint="eastAsia"/>
          <w:b/>
          <w:sz w:val="30"/>
          <w:szCs w:val="30"/>
        </w:rPr>
        <w:t>二0二一</w:t>
      </w:r>
      <w:r>
        <w:rPr>
          <w:b/>
          <w:bCs/>
          <w:sz w:val="32"/>
          <w:szCs w:val="32"/>
          <w:lang w:val="zh-CN"/>
        </w:rPr>
        <w:t>年</w:t>
      </w:r>
      <w:r>
        <w:rPr>
          <w:rFonts w:hint="eastAsia"/>
          <w:b/>
          <w:bCs/>
          <w:sz w:val="32"/>
          <w:szCs w:val="32"/>
          <w:lang w:val="zh-CN"/>
        </w:rPr>
        <w:t>十一</w:t>
      </w:r>
      <w:r>
        <w:rPr>
          <w:b/>
          <w:bCs/>
          <w:sz w:val="32"/>
          <w:szCs w:val="32"/>
          <w:lang w:val="zh-CN"/>
        </w:rPr>
        <w:t>月</w:t>
      </w:r>
      <w:bookmarkStart w:id="0" w:name="_Hlt101233737"/>
      <w:bookmarkEnd w:id="0"/>
      <w:bookmarkStart w:id="1" w:name="_Hlt101843627"/>
      <w:bookmarkEnd w:id="1"/>
    </w:p>
    <w:p/>
    <w:p>
      <w:pPr>
        <w:pStyle w:val="5"/>
        <w:spacing w:line="360" w:lineRule="exact"/>
        <w:rPr>
          <w:rFonts w:ascii="宋体" w:hAnsi="宋体" w:eastAsia="宋体"/>
          <w:szCs w:val="22"/>
        </w:rPr>
      </w:pPr>
    </w:p>
    <w:p>
      <w:pPr>
        <w:rPr>
          <w:rFonts w:hAnsi="宋体"/>
        </w:rPr>
      </w:pPr>
    </w:p>
    <w:p>
      <w:pPr>
        <w:pStyle w:val="2"/>
      </w:pPr>
    </w:p>
    <w:p>
      <w:pPr>
        <w:pStyle w:val="5"/>
        <w:spacing w:line="360" w:lineRule="exact"/>
        <w:jc w:val="center"/>
        <w:rPr>
          <w:rFonts w:ascii="宋体" w:hAnsi="宋体" w:eastAsia="宋体"/>
          <w:szCs w:val="22"/>
        </w:rPr>
      </w:pPr>
      <w:r>
        <w:rPr>
          <w:rFonts w:hint="eastAsia" w:ascii="宋体" w:hAnsi="宋体" w:eastAsia="宋体"/>
          <w:szCs w:val="22"/>
        </w:rPr>
        <w:t>目    录</w:t>
      </w:r>
    </w:p>
    <w:p>
      <w:pPr>
        <w:rPr>
          <w:rFonts w:hAnsi="宋体"/>
          <w:b/>
          <w:bCs/>
          <w:sz w:val="32"/>
        </w:rPr>
      </w:pPr>
    </w:p>
    <w:p>
      <w:pPr>
        <w:pStyle w:val="18"/>
        <w:tabs>
          <w:tab w:val="right" w:leader="dot" w:pos="8306"/>
        </w:tabs>
        <w:spacing w:line="480" w:lineRule="auto"/>
        <w:rPr>
          <w:rFonts w:hAnsi="宋体"/>
          <w:sz w:val="28"/>
          <w:szCs w:val="21"/>
        </w:rPr>
      </w:pPr>
      <w:r>
        <w:rPr>
          <w:rFonts w:hint="eastAsia" w:hAnsi="宋体"/>
          <w:sz w:val="28"/>
          <w:szCs w:val="21"/>
        </w:rPr>
        <w:fldChar w:fldCharType="begin"/>
      </w:r>
      <w:r>
        <w:rPr>
          <w:rFonts w:hint="eastAsia" w:hAnsi="宋体"/>
          <w:sz w:val="28"/>
          <w:szCs w:val="21"/>
        </w:rPr>
        <w:instrText xml:space="preserve">TOC \o "1-1" \h \u </w:instrText>
      </w:r>
      <w:r>
        <w:rPr>
          <w:rFonts w:hint="eastAsia" w:hAnsi="宋体"/>
          <w:sz w:val="28"/>
          <w:szCs w:val="21"/>
        </w:rPr>
        <w:fldChar w:fldCharType="separate"/>
      </w:r>
      <w:r>
        <w:fldChar w:fldCharType="begin"/>
      </w:r>
      <w:r>
        <w:instrText xml:space="preserve"> HYPERLINK \l "_Toc5892" </w:instrText>
      </w:r>
      <w:r>
        <w:fldChar w:fldCharType="separate"/>
      </w:r>
      <w:r>
        <w:rPr>
          <w:rFonts w:hint="eastAsia" w:hAnsi="宋体"/>
          <w:sz w:val="28"/>
          <w:szCs w:val="21"/>
        </w:rPr>
        <w:t>第一章  投标邀请</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_Toc5892 </w:instrText>
      </w:r>
      <w:r>
        <w:rPr>
          <w:rFonts w:hint="eastAsia" w:hAnsi="宋体"/>
          <w:sz w:val="28"/>
          <w:szCs w:val="21"/>
        </w:rPr>
        <w:fldChar w:fldCharType="separate"/>
      </w:r>
      <w:r>
        <w:rPr>
          <w:rFonts w:hint="eastAsia" w:hAnsi="宋体"/>
          <w:sz w:val="28"/>
          <w:szCs w:val="21"/>
        </w:rPr>
        <w:t>1</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"_Toc10085" </w:instrText>
      </w:r>
      <w:r>
        <w:fldChar w:fldCharType="separate"/>
      </w:r>
      <w:r>
        <w:rPr>
          <w:rFonts w:hint="eastAsia" w:hAnsi="宋体"/>
          <w:sz w:val="28"/>
          <w:szCs w:val="21"/>
        </w:rPr>
        <w:t>第二章  投标人须知</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_Toc10085 </w:instrText>
      </w:r>
      <w:r>
        <w:rPr>
          <w:rFonts w:hint="eastAsia" w:hAnsi="宋体"/>
          <w:sz w:val="28"/>
          <w:szCs w:val="21"/>
        </w:rPr>
        <w:fldChar w:fldCharType="separate"/>
      </w:r>
      <w:r>
        <w:rPr>
          <w:rFonts w:hint="eastAsia" w:hAnsi="宋体"/>
          <w:sz w:val="28"/>
          <w:szCs w:val="21"/>
        </w:rPr>
        <w:t>4</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"_Toc15802" </w:instrText>
      </w:r>
      <w:r>
        <w:fldChar w:fldCharType="separate"/>
      </w:r>
      <w:r>
        <w:rPr>
          <w:rFonts w:hint="eastAsia" w:hAnsi="宋体"/>
          <w:sz w:val="28"/>
          <w:szCs w:val="21"/>
        </w:rPr>
        <w:t>第三章  投标文件格式</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_Toc15802 </w:instrText>
      </w:r>
      <w:r>
        <w:rPr>
          <w:rFonts w:hint="eastAsia" w:hAnsi="宋体"/>
          <w:sz w:val="28"/>
          <w:szCs w:val="21"/>
        </w:rPr>
        <w:fldChar w:fldCharType="separate"/>
      </w:r>
      <w:r>
        <w:rPr>
          <w:rFonts w:hint="eastAsia" w:hAnsi="宋体"/>
          <w:sz w:val="28"/>
          <w:szCs w:val="21"/>
        </w:rPr>
        <w:t>23</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"_Toc6244" </w:instrText>
      </w:r>
      <w:r>
        <w:fldChar w:fldCharType="separate"/>
      </w:r>
      <w:r>
        <w:rPr>
          <w:rFonts w:hint="eastAsia" w:hAnsi="宋体"/>
          <w:sz w:val="28"/>
          <w:szCs w:val="21"/>
        </w:rPr>
        <w:t>第四章  投标人和投标产品（如涉及）的资格、资质性及其他类似效力要求</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_Toc6244 </w:instrText>
      </w:r>
      <w:r>
        <w:rPr>
          <w:rFonts w:hint="eastAsia" w:hAnsi="宋体"/>
          <w:sz w:val="28"/>
          <w:szCs w:val="21"/>
        </w:rPr>
        <w:fldChar w:fldCharType="separate"/>
      </w:r>
      <w:r>
        <w:rPr>
          <w:rFonts w:hint="eastAsia" w:hAnsi="宋体"/>
          <w:sz w:val="28"/>
          <w:szCs w:val="21"/>
        </w:rPr>
        <w:t>42</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"_Toc19813" </w:instrText>
      </w:r>
      <w:r>
        <w:fldChar w:fldCharType="separate"/>
      </w:r>
      <w:r>
        <w:rPr>
          <w:rFonts w:hint="eastAsia" w:hAnsi="宋体"/>
          <w:sz w:val="28"/>
          <w:szCs w:val="21"/>
        </w:rPr>
        <w:t>第五章  投标人应当提供的资格、资质性及其他类似效力要求的相关证明材料</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_Toc19813 </w:instrText>
      </w:r>
      <w:r>
        <w:rPr>
          <w:rFonts w:hint="eastAsia" w:hAnsi="宋体"/>
          <w:sz w:val="28"/>
          <w:szCs w:val="21"/>
        </w:rPr>
        <w:fldChar w:fldCharType="separate"/>
      </w:r>
      <w:r>
        <w:rPr>
          <w:rFonts w:hint="eastAsia" w:hAnsi="宋体"/>
          <w:sz w:val="28"/>
          <w:szCs w:val="21"/>
        </w:rPr>
        <w:t>44</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"_Toc6299" </w:instrText>
      </w:r>
      <w:r>
        <w:fldChar w:fldCharType="separate"/>
      </w:r>
      <w:r>
        <w:rPr>
          <w:rFonts w:hint="eastAsia" w:hAnsi="宋体"/>
          <w:sz w:val="28"/>
          <w:szCs w:val="21"/>
        </w:rPr>
        <w:t>第六章  招标项目服务及商务要求</w:t>
      </w:r>
      <w:r>
        <w:rPr>
          <w:rFonts w:hint="eastAsia" w:hAnsi="宋体"/>
          <w:sz w:val="28"/>
          <w:szCs w:val="21"/>
        </w:rPr>
        <w:tab/>
      </w:r>
      <w:r>
        <w:rPr>
          <w:rFonts w:hint="eastAsia" w:hAnsi="宋体"/>
          <w:sz w:val="28"/>
          <w:szCs w:val="21"/>
        </w:rPr>
        <w:t>5</w:t>
      </w:r>
      <w:r>
        <w:rPr>
          <w:rFonts w:hint="eastAsia" w:hAnsi="宋体"/>
          <w:sz w:val="28"/>
          <w:szCs w:val="21"/>
        </w:rPr>
        <w:fldChar w:fldCharType="end"/>
      </w:r>
      <w:r>
        <w:rPr>
          <w:rFonts w:hint="eastAsia" w:hAnsi="宋体"/>
          <w:sz w:val="28"/>
          <w:szCs w:val="21"/>
        </w:rPr>
        <w:t>1</w:t>
      </w:r>
    </w:p>
    <w:p>
      <w:pPr>
        <w:pStyle w:val="18"/>
        <w:tabs>
          <w:tab w:val="right" w:leader="dot" w:pos="8306"/>
        </w:tabs>
        <w:spacing w:line="480" w:lineRule="auto"/>
        <w:rPr>
          <w:rFonts w:hAnsi="宋体"/>
          <w:sz w:val="28"/>
          <w:szCs w:val="21"/>
        </w:rPr>
      </w:pPr>
      <w:r>
        <w:fldChar w:fldCharType="begin"/>
      </w:r>
      <w:r>
        <w:instrText xml:space="preserve"> HYPERLINK \l "_Toc3256" </w:instrText>
      </w:r>
      <w:r>
        <w:fldChar w:fldCharType="separate"/>
      </w:r>
      <w:r>
        <w:rPr>
          <w:rFonts w:hint="eastAsia" w:hAnsi="宋体"/>
          <w:sz w:val="28"/>
          <w:szCs w:val="21"/>
        </w:rPr>
        <w:t>第七章  评标办法</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_Toc3256 </w:instrText>
      </w:r>
      <w:r>
        <w:rPr>
          <w:rFonts w:hint="eastAsia" w:hAnsi="宋体"/>
          <w:sz w:val="28"/>
          <w:szCs w:val="21"/>
        </w:rPr>
        <w:fldChar w:fldCharType="separate"/>
      </w:r>
      <w:r>
        <w:rPr>
          <w:rFonts w:hint="eastAsia" w:hAnsi="宋体"/>
          <w:sz w:val="28"/>
          <w:szCs w:val="21"/>
        </w:rPr>
        <w:t>49</w:t>
      </w:r>
      <w:r>
        <w:rPr>
          <w:rFonts w:hint="eastAsia" w:hAnsi="宋体"/>
          <w:sz w:val="28"/>
          <w:szCs w:val="21"/>
        </w:rPr>
        <w:fldChar w:fldCharType="end"/>
      </w:r>
      <w:r>
        <w:rPr>
          <w:rFonts w:hint="eastAsia" w:hAnsi="宋体"/>
          <w:sz w:val="28"/>
          <w:szCs w:val="21"/>
        </w:rPr>
        <w:fldChar w:fldCharType="end"/>
      </w:r>
    </w:p>
    <w:p>
      <w:pPr>
        <w:pStyle w:val="18"/>
        <w:tabs>
          <w:tab w:val="right" w:leader="dot" w:pos="8306"/>
        </w:tabs>
        <w:spacing w:line="480" w:lineRule="auto"/>
        <w:rPr>
          <w:rFonts w:hAnsi="宋体"/>
          <w:sz w:val="28"/>
          <w:szCs w:val="21"/>
        </w:rPr>
      </w:pPr>
      <w:r>
        <w:fldChar w:fldCharType="begin"/>
      </w:r>
      <w:r>
        <w:instrText xml:space="preserve"> HYPERLINK \l "_Toc12751" </w:instrText>
      </w:r>
      <w:r>
        <w:fldChar w:fldCharType="separate"/>
      </w:r>
      <w:r>
        <w:rPr>
          <w:rFonts w:hint="eastAsia" w:hAnsi="宋体"/>
          <w:sz w:val="28"/>
          <w:szCs w:val="21"/>
        </w:rPr>
        <w:t>第八章  合同主要条款</w:t>
      </w:r>
      <w:r>
        <w:rPr>
          <w:rFonts w:hint="eastAsia" w:hAnsi="宋体"/>
          <w:sz w:val="28"/>
          <w:szCs w:val="21"/>
        </w:rPr>
        <w:tab/>
      </w:r>
      <w:r>
        <w:rPr>
          <w:rFonts w:hint="eastAsia" w:hAnsi="宋体"/>
          <w:sz w:val="28"/>
          <w:szCs w:val="21"/>
        </w:rPr>
        <w:fldChar w:fldCharType="begin"/>
      </w:r>
      <w:r>
        <w:rPr>
          <w:rFonts w:hint="eastAsia" w:hAnsi="宋体"/>
          <w:sz w:val="28"/>
          <w:szCs w:val="21"/>
        </w:rPr>
        <w:instrText xml:space="preserve"> PAGEREF _Toc12751 </w:instrText>
      </w:r>
      <w:r>
        <w:rPr>
          <w:rFonts w:hint="eastAsia" w:hAnsi="宋体"/>
          <w:sz w:val="28"/>
          <w:szCs w:val="21"/>
        </w:rPr>
        <w:fldChar w:fldCharType="separate"/>
      </w:r>
      <w:r>
        <w:rPr>
          <w:rFonts w:hint="eastAsia" w:hAnsi="宋体"/>
          <w:sz w:val="28"/>
          <w:szCs w:val="21"/>
        </w:rPr>
        <w:t>62</w:t>
      </w:r>
      <w:r>
        <w:rPr>
          <w:rFonts w:hint="eastAsia" w:hAnsi="宋体"/>
          <w:sz w:val="28"/>
          <w:szCs w:val="21"/>
        </w:rPr>
        <w:fldChar w:fldCharType="end"/>
      </w:r>
      <w:r>
        <w:rPr>
          <w:rFonts w:hint="eastAsia" w:hAnsi="宋体"/>
          <w:sz w:val="28"/>
          <w:szCs w:val="21"/>
        </w:rPr>
        <w:fldChar w:fldCharType="end"/>
      </w:r>
    </w:p>
    <w:p>
      <w:pPr>
        <w:pStyle w:val="18"/>
        <w:tabs>
          <w:tab w:val="right" w:leader="dot" w:pos="8959"/>
        </w:tabs>
        <w:spacing w:line="480" w:lineRule="auto"/>
      </w:pPr>
      <w:r>
        <w:rPr>
          <w:rFonts w:hint="eastAsia" w:hAnsi="宋体"/>
          <w:sz w:val="28"/>
          <w:szCs w:val="21"/>
        </w:rPr>
        <w:fldChar w:fldCharType="end"/>
      </w:r>
    </w:p>
    <w:p>
      <w:pPr>
        <w:pStyle w:val="18"/>
        <w:tabs>
          <w:tab w:val="right" w:leader="dot" w:pos="8959"/>
        </w:tabs>
        <w:spacing w:line="480" w:lineRule="auto"/>
      </w:pPr>
    </w:p>
    <w:p>
      <w:pPr>
        <w:spacing w:line="480" w:lineRule="auto"/>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pStyle w:val="3"/>
        <w:spacing w:line="360" w:lineRule="exact"/>
        <w:rPr>
          <w:rFonts w:ascii="宋体"/>
          <w:bCs/>
          <w:sz w:val="36"/>
        </w:rPr>
        <w:sectPr>
          <w:headerReference r:id="rId3" w:type="default"/>
          <w:pgSz w:w="11906" w:h="16838"/>
          <w:pgMar w:top="1440" w:right="1800" w:bottom="1440" w:left="1800" w:header="851" w:footer="992" w:gutter="0"/>
          <w:cols w:space="720" w:num="1"/>
          <w:docGrid w:type="lines" w:linePitch="312" w:charSpace="0"/>
        </w:sectPr>
      </w:pPr>
      <w:bookmarkStart w:id="2" w:name="_Toc5892"/>
      <w:bookmarkStart w:id="3" w:name="_Toc13156"/>
      <w:bookmarkStart w:id="4" w:name="_Toc17532"/>
      <w:bookmarkStart w:id="5" w:name="_Toc21917"/>
    </w:p>
    <w:p>
      <w:pPr>
        <w:pStyle w:val="3"/>
        <w:spacing w:line="360" w:lineRule="exact"/>
      </w:pPr>
      <w:r>
        <w:rPr>
          <w:rStyle w:val="43"/>
          <w:rFonts w:hint="eastAsia"/>
          <w:b/>
          <w:bCs/>
          <w:sz w:val="36"/>
          <w:szCs w:val="36"/>
        </w:rPr>
        <w:t>第一章  投标邀请</w:t>
      </w:r>
      <w:bookmarkEnd w:id="2"/>
      <w:bookmarkEnd w:id="3"/>
      <w:bookmarkEnd w:id="4"/>
      <w:bookmarkEnd w:id="5"/>
    </w:p>
    <w:p>
      <w:pPr>
        <w:spacing w:line="360" w:lineRule="auto"/>
        <w:ind w:firstLine="480" w:firstLineChars="200"/>
        <w:rPr>
          <w:sz w:val="24"/>
        </w:rPr>
      </w:pPr>
      <w:r>
        <w:rPr>
          <w:rFonts w:hint="eastAsia"/>
          <w:sz w:val="24"/>
          <w:u w:val="single"/>
        </w:rPr>
        <w:t>四川华驰工程项目管理有限公司</w:t>
      </w:r>
      <w:r>
        <w:rPr>
          <w:rFonts w:hint="eastAsia"/>
          <w:sz w:val="24"/>
        </w:rPr>
        <w:t>（采购代理机构）受</w:t>
      </w:r>
      <w:r>
        <w:rPr>
          <w:rFonts w:hint="eastAsia"/>
          <w:sz w:val="24"/>
          <w:u w:val="single"/>
          <w:lang w:val="zh-CN"/>
        </w:rPr>
        <w:t>成都市郫都区规划和自然资源局</w:t>
      </w:r>
      <w:r>
        <w:rPr>
          <w:rFonts w:hint="eastAsia"/>
          <w:bCs/>
          <w:sz w:val="24"/>
        </w:rPr>
        <w:t>（采购人）</w:t>
      </w:r>
      <w:r>
        <w:rPr>
          <w:rFonts w:hint="eastAsia"/>
          <w:sz w:val="24"/>
        </w:rPr>
        <w:t>委托，拟对</w:t>
      </w:r>
      <w:r>
        <w:rPr>
          <w:rFonts w:hint="eastAsia"/>
          <w:sz w:val="24"/>
          <w:u w:val="single"/>
        </w:rPr>
        <w:t>郫都区城镇村体系规划研究编制项目</w:t>
      </w:r>
      <w:r>
        <w:rPr>
          <w:rFonts w:hint="eastAsia"/>
          <w:bCs/>
          <w:sz w:val="24"/>
        </w:rPr>
        <w:t>（</w:t>
      </w:r>
      <w:r>
        <w:rPr>
          <w:rFonts w:hint="eastAsia"/>
          <w:sz w:val="24"/>
        </w:rPr>
        <w:t>项目名称）进行国内</w:t>
      </w:r>
      <w:r>
        <w:rPr>
          <w:rFonts w:hint="eastAsia"/>
          <w:bCs/>
          <w:sz w:val="24"/>
          <w:u w:val="single"/>
        </w:rPr>
        <w:t>公开</w:t>
      </w:r>
      <w:r>
        <w:rPr>
          <w:rFonts w:hint="eastAsia"/>
          <w:sz w:val="24"/>
          <w:u w:val="single"/>
        </w:rPr>
        <w:t>招标</w:t>
      </w:r>
      <w:r>
        <w:rPr>
          <w:rFonts w:hint="eastAsia"/>
          <w:sz w:val="24"/>
        </w:rPr>
        <w:t>（采购方式），兹邀请符合本次招标要求的潜在供应商参加投标。</w:t>
      </w:r>
    </w:p>
    <w:p>
      <w:pPr>
        <w:spacing w:line="360" w:lineRule="auto"/>
        <w:ind w:firstLine="482" w:firstLineChars="200"/>
        <w:rPr>
          <w:b/>
          <w:sz w:val="24"/>
        </w:rPr>
      </w:pPr>
      <w:r>
        <w:rPr>
          <w:rFonts w:hint="eastAsia"/>
          <w:b/>
          <w:sz w:val="24"/>
        </w:rPr>
        <w:t xml:space="preserve">一、采购项目编号： </w:t>
      </w:r>
      <w:r>
        <w:rPr>
          <w:rFonts w:hint="eastAsia" w:hAnsi="Calibri"/>
          <w:sz w:val="24"/>
        </w:rPr>
        <w:t>以四川政府采购网系统生成编号为准</w:t>
      </w:r>
    </w:p>
    <w:p>
      <w:pPr>
        <w:spacing w:afterLines="50" w:line="420" w:lineRule="exact"/>
        <w:ind w:firstLine="482" w:firstLineChars="200"/>
        <w:rPr>
          <w:sz w:val="24"/>
        </w:rPr>
      </w:pPr>
      <w:r>
        <w:rPr>
          <w:rFonts w:hint="eastAsia"/>
          <w:b/>
          <w:bCs/>
          <w:sz w:val="24"/>
        </w:rPr>
        <w:t>二、</w:t>
      </w:r>
      <w:r>
        <w:rPr>
          <w:rFonts w:hint="eastAsia"/>
          <w:b/>
          <w:sz w:val="24"/>
        </w:rPr>
        <w:t>招标项目：</w:t>
      </w:r>
      <w:r>
        <w:rPr>
          <w:rFonts w:hint="eastAsia"/>
          <w:sz w:val="24"/>
        </w:rPr>
        <w:t>郫都区城镇村体系规划研究编制项目。</w:t>
      </w:r>
    </w:p>
    <w:p>
      <w:pPr>
        <w:spacing w:line="360" w:lineRule="auto"/>
        <w:ind w:right="51" w:rightChars="15" w:firstLine="482" w:firstLineChars="200"/>
        <w:rPr>
          <w:b/>
          <w:bCs/>
          <w:sz w:val="24"/>
        </w:rPr>
      </w:pPr>
      <w:r>
        <w:rPr>
          <w:rFonts w:hint="eastAsia"/>
          <w:b/>
          <w:sz w:val="24"/>
        </w:rPr>
        <w:t>三、资金来源：</w:t>
      </w:r>
      <w:r>
        <w:rPr>
          <w:rFonts w:hint="eastAsia"/>
          <w:b/>
          <w:bCs/>
          <w:sz w:val="24"/>
        </w:rPr>
        <w:t>财政资金。</w:t>
      </w:r>
    </w:p>
    <w:p>
      <w:pPr>
        <w:spacing w:line="360" w:lineRule="auto"/>
        <w:ind w:firstLine="482" w:firstLineChars="200"/>
        <w:rPr>
          <w:sz w:val="24"/>
        </w:rPr>
      </w:pPr>
      <w:r>
        <w:rPr>
          <w:rFonts w:hint="eastAsia"/>
          <w:b/>
          <w:sz w:val="24"/>
        </w:rPr>
        <w:t>四</w:t>
      </w:r>
      <w:r>
        <w:rPr>
          <w:rFonts w:hint="eastAsia"/>
          <w:b/>
          <w:bCs/>
          <w:sz w:val="24"/>
        </w:rPr>
        <w:t>、</w:t>
      </w:r>
      <w:r>
        <w:rPr>
          <w:rFonts w:hint="eastAsia"/>
          <w:b/>
          <w:sz w:val="24"/>
        </w:rPr>
        <w:t xml:space="preserve">招标项目内容： </w:t>
      </w:r>
    </w:p>
    <w:p>
      <w:pPr>
        <w:spacing w:afterLines="50" w:line="360" w:lineRule="auto"/>
        <w:ind w:firstLine="464" w:firstLineChars="200"/>
        <w:rPr>
          <w:rFonts w:hAnsi="宋体"/>
          <w:sz w:val="24"/>
          <w:szCs w:val="28"/>
        </w:rPr>
      </w:pPr>
      <w:r>
        <w:rPr>
          <w:rFonts w:hint="eastAsia" w:hAnsi="宋体"/>
          <w:spacing w:val="-4"/>
          <w:sz w:val="24"/>
        </w:rPr>
        <w:t>本招标项目采购</w:t>
      </w:r>
      <w:r>
        <w:rPr>
          <w:rFonts w:hint="eastAsia"/>
          <w:sz w:val="24"/>
        </w:rPr>
        <w:t>郫都区城镇村体系规划研究编制项目。</w:t>
      </w:r>
      <w:r>
        <w:rPr>
          <w:rFonts w:hint="eastAsia" w:hAnsi="宋体"/>
          <w:sz w:val="24"/>
          <w:szCs w:val="28"/>
        </w:rPr>
        <w:t>（详见招标文件第六章）。</w:t>
      </w:r>
    </w:p>
    <w:p>
      <w:pPr>
        <w:spacing w:afterLines="50" w:line="360" w:lineRule="auto"/>
        <w:ind w:firstLine="482" w:firstLineChars="200"/>
        <w:rPr>
          <w:b/>
          <w:bCs/>
          <w:sz w:val="24"/>
        </w:rPr>
      </w:pPr>
      <w:r>
        <w:rPr>
          <w:rFonts w:hint="eastAsia"/>
          <w:b/>
          <w:bCs/>
          <w:sz w:val="24"/>
        </w:rPr>
        <w:t>五、供应商参加本次政府采购活动，应当在提交投标文件前具备下列条件：</w:t>
      </w:r>
    </w:p>
    <w:p>
      <w:pPr>
        <w:spacing w:line="360" w:lineRule="auto"/>
        <w:ind w:firstLine="480" w:firstLineChars="200"/>
        <w:jc w:val="left"/>
        <w:rPr>
          <w:rFonts w:hAnsi="宋体" w:cs="宋体"/>
          <w:sz w:val="24"/>
        </w:rPr>
      </w:pPr>
      <w:r>
        <w:rPr>
          <w:rFonts w:hint="eastAsia"/>
          <w:sz w:val="24"/>
        </w:rPr>
        <w:t>（一）</w:t>
      </w:r>
      <w:r>
        <w:rPr>
          <w:sz w:val="24"/>
        </w:rPr>
        <w:t>具备《中华人民共和国政府采购法》第二十二条</w:t>
      </w:r>
      <w:r>
        <w:rPr>
          <w:rFonts w:hint="eastAsia"/>
          <w:sz w:val="24"/>
        </w:rPr>
        <w:t>第一款</w:t>
      </w:r>
      <w:r>
        <w:rPr>
          <w:sz w:val="24"/>
        </w:rPr>
        <w:t>规定的条件</w:t>
      </w:r>
      <w:r>
        <w:rPr>
          <w:rFonts w:hint="eastAsia"/>
          <w:sz w:val="24"/>
        </w:rPr>
        <w:t>:</w:t>
      </w:r>
    </w:p>
    <w:p>
      <w:pPr>
        <w:spacing w:after="50" w:line="420" w:lineRule="exact"/>
        <w:ind w:firstLine="480" w:firstLineChars="200"/>
        <w:rPr>
          <w:rFonts w:hAnsi="宋体" w:cs="宋体"/>
          <w:sz w:val="24"/>
        </w:rPr>
      </w:pPr>
      <w:r>
        <w:rPr>
          <w:rFonts w:hint="eastAsia" w:hAnsi="宋体" w:cs="宋体"/>
          <w:sz w:val="24"/>
        </w:rPr>
        <w:t>1、具有独立承担民事责任的能力；</w:t>
      </w:r>
    </w:p>
    <w:p>
      <w:pPr>
        <w:spacing w:after="50" w:line="420" w:lineRule="exact"/>
        <w:ind w:firstLine="480" w:firstLineChars="200"/>
        <w:rPr>
          <w:rFonts w:hAnsi="宋体" w:cs="宋体"/>
          <w:sz w:val="24"/>
        </w:rPr>
      </w:pPr>
      <w:r>
        <w:rPr>
          <w:rFonts w:hint="eastAsia" w:hAnsi="宋体" w:cs="宋体"/>
          <w:sz w:val="24"/>
        </w:rPr>
        <w:t>2、具有良好的商业信誉和健全的财务会计制度；</w:t>
      </w:r>
    </w:p>
    <w:p>
      <w:pPr>
        <w:spacing w:after="50" w:line="420" w:lineRule="exact"/>
        <w:ind w:firstLine="480" w:firstLineChars="200"/>
        <w:rPr>
          <w:rFonts w:hAnsi="宋体" w:cs="宋体"/>
          <w:sz w:val="24"/>
        </w:rPr>
      </w:pPr>
      <w:r>
        <w:rPr>
          <w:rFonts w:hint="eastAsia" w:hAnsi="宋体" w:cs="宋体"/>
          <w:sz w:val="24"/>
        </w:rPr>
        <w:t>3、具有履行合同所必须的设备和专业技术能力；</w:t>
      </w:r>
    </w:p>
    <w:p>
      <w:pPr>
        <w:spacing w:after="50" w:line="420" w:lineRule="exact"/>
        <w:ind w:firstLine="480" w:firstLineChars="200"/>
        <w:rPr>
          <w:rFonts w:hAnsi="宋体" w:cs="宋体"/>
          <w:sz w:val="24"/>
        </w:rPr>
      </w:pPr>
      <w:r>
        <w:rPr>
          <w:rFonts w:hint="eastAsia" w:hAnsi="宋体" w:cs="宋体"/>
          <w:sz w:val="24"/>
        </w:rPr>
        <w:t>4、具有依法缴纳税收和社会保障资金的良好记录；</w:t>
      </w:r>
    </w:p>
    <w:p>
      <w:pPr>
        <w:spacing w:after="50" w:line="420" w:lineRule="exact"/>
        <w:ind w:firstLine="480" w:firstLineChars="200"/>
        <w:rPr>
          <w:rFonts w:hAnsi="宋体" w:cs="宋体"/>
          <w:sz w:val="24"/>
        </w:rPr>
      </w:pPr>
      <w:r>
        <w:rPr>
          <w:rFonts w:hint="eastAsia" w:hAnsi="宋体" w:cs="宋体"/>
          <w:sz w:val="24"/>
        </w:rPr>
        <w:t>5、参加本次政府采购活动前三年内，在经营活动中没有重大违法记录；</w:t>
      </w:r>
    </w:p>
    <w:p>
      <w:pPr>
        <w:spacing w:after="50" w:line="420" w:lineRule="exact"/>
        <w:ind w:firstLine="480" w:firstLineChars="200"/>
        <w:rPr>
          <w:rFonts w:hAnsi="宋体" w:cs="宋体"/>
          <w:sz w:val="24"/>
        </w:rPr>
      </w:pPr>
      <w:r>
        <w:rPr>
          <w:rFonts w:hint="eastAsia" w:hAnsi="宋体" w:cs="宋体"/>
          <w:sz w:val="24"/>
        </w:rPr>
        <w:t>6、法律、行政法规规定的其他条件：</w:t>
      </w:r>
    </w:p>
    <w:p>
      <w:pPr>
        <w:spacing w:after="50" w:line="420" w:lineRule="exact"/>
        <w:ind w:firstLine="480" w:firstLineChars="200"/>
        <w:rPr>
          <w:rFonts w:hAnsi="宋体" w:cs="宋体"/>
          <w:sz w:val="24"/>
        </w:rPr>
      </w:pPr>
      <w:r>
        <w:rPr>
          <w:rFonts w:hint="eastAsia" w:hAnsi="宋体" w:cs="宋体"/>
          <w:sz w:val="24"/>
        </w:rPr>
        <w:t>(1)供应商及其现任法定代表人、主要负责人前3年内不得具有行贿犯罪记录。</w:t>
      </w:r>
    </w:p>
    <w:p>
      <w:pPr>
        <w:pStyle w:val="62"/>
        <w:ind w:firstLine="480"/>
        <w:rPr>
          <w:rFonts w:hAnsi="宋体" w:cs="宋体"/>
          <w:color w:val="000000"/>
          <w:sz w:val="24"/>
        </w:rPr>
      </w:pPr>
      <w:r>
        <w:rPr>
          <w:rFonts w:hint="eastAsia" w:hAnsi="宋体" w:cs="宋体"/>
          <w:sz w:val="24"/>
        </w:rPr>
        <w:t>(2)供应商在采购公告发布之日前不得是“信用中国”网站(www.creditchina.gov.cn)、“中国政府采购网”网站(www.ccgp.gov.cn)等渠道中列入失信被执行人、重大税收违法案件当事人名单、政府采购严重违法失信行为</w:t>
      </w:r>
      <w:r>
        <w:rPr>
          <w:rFonts w:hint="eastAsia" w:hAnsi="宋体" w:cs="宋体"/>
          <w:color w:val="000000"/>
          <w:sz w:val="24"/>
        </w:rPr>
        <w:t>记录名单中的投标人。</w:t>
      </w:r>
    </w:p>
    <w:p>
      <w:pPr>
        <w:spacing w:after="50" w:line="360" w:lineRule="auto"/>
        <w:ind w:firstLine="480" w:firstLineChars="200"/>
        <w:rPr>
          <w:sz w:val="24"/>
        </w:rPr>
      </w:pPr>
      <w:r>
        <w:rPr>
          <w:rFonts w:hint="eastAsia"/>
          <w:sz w:val="24"/>
        </w:rPr>
        <w:t>（二）根据采购项目提出的特殊条件：无。</w:t>
      </w:r>
    </w:p>
    <w:p>
      <w:pPr>
        <w:pStyle w:val="62"/>
        <w:ind w:firstLine="480"/>
        <w:rPr>
          <w:color w:val="000000"/>
          <w:sz w:val="24"/>
        </w:rPr>
      </w:pPr>
      <w:r>
        <w:rPr>
          <w:rFonts w:hint="eastAsia"/>
          <w:sz w:val="24"/>
        </w:rPr>
        <w:t>（三）</w:t>
      </w:r>
      <w:r>
        <w:rPr>
          <w:rFonts w:hint="eastAsia" w:hAnsi="宋体" w:cs="宋体"/>
          <w:color w:val="000000"/>
          <w:sz w:val="24"/>
          <w:szCs w:val="24"/>
        </w:rPr>
        <w:t>本项目不接受联合体投标</w:t>
      </w:r>
      <w:r>
        <w:rPr>
          <w:rFonts w:hint="eastAsia"/>
          <w:color w:val="000000"/>
          <w:sz w:val="24"/>
        </w:rPr>
        <w:t>。</w:t>
      </w:r>
    </w:p>
    <w:p>
      <w:pPr>
        <w:spacing w:after="50" w:line="360" w:lineRule="auto"/>
        <w:ind w:firstLine="480" w:firstLineChars="200"/>
        <w:rPr>
          <w:color w:val="000000"/>
        </w:rPr>
      </w:pPr>
      <w:r>
        <w:rPr>
          <w:rFonts w:hint="eastAsia" w:hAnsi="宋体" w:cs="宋体"/>
          <w:color w:val="000000"/>
          <w:sz w:val="24"/>
        </w:rPr>
        <w:t>（四）</w:t>
      </w:r>
      <w:r>
        <w:rPr>
          <w:rFonts w:hint="eastAsia" w:hAnsi="宋体" w:cs="宋体"/>
          <w:sz w:val="24"/>
        </w:rPr>
        <w:t>本项目专门面向中小企业（含残疾人福利性单位、监狱企业）采购。</w:t>
      </w:r>
    </w:p>
    <w:p>
      <w:pPr>
        <w:spacing w:after="50" w:line="360" w:lineRule="auto"/>
        <w:ind w:firstLine="482" w:firstLineChars="200"/>
        <w:rPr>
          <w:b/>
          <w:sz w:val="24"/>
        </w:rPr>
      </w:pPr>
      <w:bookmarkStart w:id="6" w:name="_Toc31515"/>
      <w:bookmarkStart w:id="7" w:name="_Toc213396945"/>
      <w:bookmarkStart w:id="8" w:name="_Toc213496267"/>
      <w:bookmarkStart w:id="9" w:name="_Toc213397009"/>
      <w:bookmarkStart w:id="10" w:name="_Toc217446031"/>
      <w:bookmarkStart w:id="11" w:name="_Toc213396759"/>
      <w:r>
        <w:rPr>
          <w:rFonts w:hint="eastAsia"/>
          <w:b/>
          <w:sz w:val="24"/>
        </w:rPr>
        <w:t>六、招标文件获取时间、地点：</w:t>
      </w:r>
    </w:p>
    <w:p>
      <w:pPr>
        <w:spacing w:after="50" w:line="360" w:lineRule="auto"/>
        <w:ind w:firstLine="480" w:firstLineChars="200"/>
        <w:rPr>
          <w:rFonts w:hAnsi="宋体" w:cs="宋体"/>
          <w:sz w:val="24"/>
        </w:rPr>
      </w:pPr>
      <w:r>
        <w:rPr>
          <w:rFonts w:hint="eastAsia" w:hAnsi="宋体" w:cs="宋体"/>
          <w:sz w:val="24"/>
        </w:rPr>
        <w:t>招标文件获取时间： 2021年</w:t>
      </w:r>
      <w:r>
        <w:rPr>
          <w:rFonts w:hint="eastAsia" w:hAnsi="宋体" w:cs="宋体"/>
          <w:sz w:val="24"/>
          <w:lang w:val="en-US" w:eastAsia="zh-CN"/>
        </w:rPr>
        <w:t>12</w:t>
      </w:r>
      <w:r>
        <w:rPr>
          <w:rFonts w:hint="eastAsia" w:hAnsi="宋体" w:cs="宋体"/>
          <w:sz w:val="24"/>
        </w:rPr>
        <w:t xml:space="preserve">月 </w:t>
      </w:r>
      <w:r>
        <w:rPr>
          <w:rFonts w:hint="eastAsia" w:hAnsi="宋体" w:cs="宋体"/>
          <w:sz w:val="24"/>
          <w:lang w:val="en-US" w:eastAsia="zh-CN"/>
        </w:rPr>
        <w:t>2</w:t>
      </w:r>
      <w:r>
        <w:rPr>
          <w:rFonts w:hint="eastAsia" w:hAnsi="宋体" w:cs="宋体"/>
          <w:sz w:val="24"/>
        </w:rPr>
        <w:t>日至2021年</w:t>
      </w:r>
      <w:r>
        <w:rPr>
          <w:rFonts w:hint="eastAsia" w:hAnsi="宋体" w:cs="宋体"/>
          <w:sz w:val="24"/>
          <w:lang w:val="en-US" w:eastAsia="zh-CN"/>
        </w:rPr>
        <w:t>12</w:t>
      </w:r>
      <w:r>
        <w:rPr>
          <w:rFonts w:hint="eastAsia" w:hAnsi="宋体" w:cs="宋体"/>
          <w:sz w:val="24"/>
        </w:rPr>
        <w:t>月</w:t>
      </w:r>
      <w:r>
        <w:rPr>
          <w:rFonts w:hint="eastAsia" w:hAnsi="宋体" w:cs="宋体"/>
          <w:sz w:val="24"/>
          <w:lang w:val="en-US" w:eastAsia="zh-CN"/>
        </w:rPr>
        <w:t>9</w:t>
      </w:r>
      <w:r>
        <w:rPr>
          <w:rFonts w:hint="eastAsia" w:hAnsi="宋体" w:cs="宋体"/>
          <w:sz w:val="24"/>
        </w:rPr>
        <w:t xml:space="preserve"> 日</w:t>
      </w:r>
      <w:r>
        <w:rPr>
          <w:rFonts w:hint="eastAsia"/>
          <w:sz w:val="24"/>
        </w:rPr>
        <w:t>（北京时间）</w:t>
      </w:r>
      <w:r>
        <w:rPr>
          <w:rFonts w:hint="eastAsia" w:hAnsi="宋体" w:cs="宋体"/>
          <w:sz w:val="24"/>
        </w:rPr>
        <w:t>止。</w:t>
      </w:r>
    </w:p>
    <w:p>
      <w:pPr>
        <w:spacing w:after="50" w:line="360" w:lineRule="auto"/>
        <w:ind w:firstLine="480" w:firstLineChars="200"/>
        <w:rPr>
          <w:rFonts w:hAnsi="宋体" w:cs="宋体"/>
          <w:sz w:val="24"/>
        </w:rPr>
      </w:pPr>
      <w:r>
        <w:rPr>
          <w:rFonts w:hint="eastAsia" w:hAnsi="宋体" w:cs="宋体"/>
          <w:sz w:val="24"/>
        </w:rPr>
        <w:t>招标文件获取方式：投标人从“政府采购云平台”获取采购文件（网址：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hAnsi="宋体" w:cs="宋体"/>
          <w:sz w:val="24"/>
        </w:rPr>
        <w:t>https://www.zcygov.cn）。登录政府采购云平台—项目采购—获取采购文件—申请获取采购文件</w:t>
      </w:r>
      <w:r>
        <w:rPr>
          <w:rFonts w:hint="eastAsia" w:hAnsi="宋体" w:cs="宋体"/>
          <w:sz w:val="24"/>
        </w:rPr>
        <w:fldChar w:fldCharType="end"/>
      </w:r>
      <w:r>
        <w:rPr>
          <w:rFonts w:hint="eastAsia" w:hAnsi="宋体" w:cs="宋体"/>
          <w:sz w:val="24"/>
        </w:rPr>
        <w:t>。</w:t>
      </w:r>
    </w:p>
    <w:p>
      <w:pPr>
        <w:spacing w:after="50" w:line="360" w:lineRule="auto"/>
        <w:ind w:firstLine="480" w:firstLineChars="200"/>
        <w:rPr>
          <w:rFonts w:hAnsi="宋体" w:cs="宋体"/>
          <w:sz w:val="24"/>
        </w:rPr>
      </w:pPr>
      <w:r>
        <w:rPr>
          <w:rFonts w:hint="eastAsia" w:hAnsi="宋体" w:cs="宋体"/>
          <w:sz w:val="24"/>
        </w:rPr>
        <w:t>提示：</w:t>
      </w:r>
    </w:p>
    <w:p>
      <w:pPr>
        <w:spacing w:after="50" w:line="360" w:lineRule="auto"/>
        <w:ind w:firstLine="480" w:firstLineChars="200"/>
        <w:rPr>
          <w:rFonts w:hAnsi="宋体" w:cs="宋体"/>
          <w:sz w:val="24"/>
        </w:rPr>
      </w:pPr>
      <w:r>
        <w:rPr>
          <w:rFonts w:hint="eastAsia" w:hAnsi="宋体" w:cs="宋体"/>
          <w:sz w:val="24"/>
        </w:rPr>
        <w:t>（1）本项目招标文件免费获取。</w:t>
      </w:r>
    </w:p>
    <w:p>
      <w:pPr>
        <w:spacing w:after="50" w:line="360" w:lineRule="auto"/>
        <w:ind w:firstLine="480" w:firstLineChars="200"/>
        <w:rPr>
          <w:rFonts w:hAnsi="宋体" w:cs="宋体"/>
          <w:sz w:val="24"/>
        </w:rPr>
      </w:pPr>
      <w:r>
        <w:rPr>
          <w:rFonts w:hint="eastAsia" w:hAnsi="宋体" w:cs="宋体"/>
          <w:sz w:val="24"/>
        </w:rPr>
        <w:t>（2）投标人只有在“政府采购云平台”完成获取招标文件申请并下载招标文件后才视作依法参与本项目。如未在“政府采购云平台”内完成相关流程，引起的投标无效责任自负。</w:t>
      </w:r>
    </w:p>
    <w:p>
      <w:pPr>
        <w:spacing w:after="50" w:line="360" w:lineRule="auto"/>
        <w:ind w:firstLine="480" w:firstLineChars="200"/>
        <w:rPr>
          <w:rFonts w:hAnsi="宋体" w:cs="宋体"/>
          <w:sz w:val="24"/>
        </w:rPr>
      </w:pPr>
      <w:r>
        <w:rPr>
          <w:rFonts w:hint="eastAsia" w:hAnsi="宋体" w:cs="宋体"/>
          <w:sz w:val="24"/>
        </w:rPr>
        <w:t>（3）本项目为电子招标投标项目，投标人参与本项目全过程中凡涉及系统操作请详见《供应商政府采购项目电子交易操作指南》。</w:t>
      </w:r>
    </w:p>
    <w:p>
      <w:pPr>
        <w:spacing w:afterLines="50" w:line="360" w:lineRule="auto"/>
        <w:ind w:firstLine="482" w:firstLineChars="200"/>
        <w:rPr>
          <w:sz w:val="24"/>
        </w:rPr>
      </w:pPr>
      <w:r>
        <w:rPr>
          <w:rFonts w:hint="eastAsia"/>
          <w:b/>
          <w:sz w:val="24"/>
        </w:rPr>
        <w:t>七、投标截止时间和开标时间</w:t>
      </w:r>
      <w:r>
        <w:rPr>
          <w:rFonts w:hint="eastAsia"/>
          <w:sz w:val="24"/>
        </w:rPr>
        <w:t>：2021年</w:t>
      </w:r>
      <w:r>
        <w:rPr>
          <w:rFonts w:hint="eastAsia"/>
          <w:sz w:val="24"/>
          <w:lang w:val="en-US" w:eastAsia="zh-CN"/>
        </w:rPr>
        <w:t>12</w:t>
      </w:r>
      <w:r>
        <w:rPr>
          <w:rFonts w:hint="eastAsia"/>
          <w:sz w:val="24"/>
        </w:rPr>
        <w:t>月</w:t>
      </w:r>
      <w:r>
        <w:rPr>
          <w:rFonts w:hint="eastAsia"/>
          <w:sz w:val="24"/>
          <w:lang w:val="en-US" w:eastAsia="zh-CN"/>
        </w:rPr>
        <w:t>24</w:t>
      </w:r>
      <w:r>
        <w:rPr>
          <w:rFonts w:hint="eastAsia"/>
          <w:sz w:val="24"/>
        </w:rPr>
        <w:t>日</w:t>
      </w:r>
      <w:r>
        <w:rPr>
          <w:rFonts w:hint="eastAsia"/>
          <w:sz w:val="24"/>
          <w:lang w:val="en-US" w:eastAsia="zh-CN"/>
        </w:rPr>
        <w:t>10</w:t>
      </w:r>
      <w:r>
        <w:rPr>
          <w:rFonts w:hint="eastAsia"/>
          <w:sz w:val="24"/>
        </w:rPr>
        <w:t>时</w:t>
      </w:r>
      <w:r>
        <w:rPr>
          <w:rFonts w:hint="eastAsia"/>
          <w:sz w:val="24"/>
          <w:lang w:val="en-US" w:eastAsia="zh-CN"/>
        </w:rPr>
        <w:t>30</w:t>
      </w:r>
      <w:r>
        <w:rPr>
          <w:rFonts w:hint="eastAsia"/>
          <w:sz w:val="24"/>
        </w:rPr>
        <w:t>分（北京时间）。</w:t>
      </w:r>
    </w:p>
    <w:p>
      <w:pPr>
        <w:spacing w:after="50" w:line="360" w:lineRule="auto"/>
        <w:ind w:firstLine="489" w:firstLineChars="203"/>
        <w:jc w:val="left"/>
        <w:rPr>
          <w:b/>
          <w:sz w:val="24"/>
        </w:rPr>
      </w:pPr>
      <w:r>
        <w:rPr>
          <w:rFonts w:hint="eastAsia"/>
          <w:b/>
          <w:sz w:val="24"/>
        </w:rPr>
        <w:t>投标截止时间前，投标人应将加密的电子投标文件递交至“政府采购云平台”对应项目（包件）。</w:t>
      </w:r>
    </w:p>
    <w:p>
      <w:pPr>
        <w:spacing w:afterLines="50" w:line="360" w:lineRule="auto"/>
        <w:ind w:firstLine="482" w:firstLineChars="200"/>
        <w:rPr>
          <w:b/>
          <w:sz w:val="24"/>
        </w:rPr>
      </w:pPr>
      <w:r>
        <w:rPr>
          <w:rFonts w:hint="eastAsia"/>
          <w:b/>
          <w:sz w:val="24"/>
        </w:rPr>
        <w:t>八、开标地点：</w:t>
      </w:r>
    </w:p>
    <w:p>
      <w:pPr>
        <w:spacing w:after="50" w:line="420" w:lineRule="exact"/>
        <w:ind w:firstLine="480" w:firstLineChars="200"/>
        <w:rPr>
          <w:rFonts w:hAnsi="宋体" w:cs="宋体"/>
          <w:sz w:val="24"/>
        </w:rPr>
      </w:pPr>
      <w:r>
        <w:rPr>
          <w:rFonts w:hint="eastAsia" w:hAnsi="宋体" w:cs="宋体"/>
          <w:sz w:val="24"/>
        </w:rPr>
        <w:t>（1）本项目为不见面开标项目。</w:t>
      </w:r>
    </w:p>
    <w:p>
      <w:pPr>
        <w:spacing w:after="50" w:line="420" w:lineRule="exact"/>
        <w:ind w:firstLine="480" w:firstLineChars="200"/>
        <w:rPr>
          <w:rFonts w:hAnsi="宋体" w:cs="宋体"/>
          <w:sz w:val="24"/>
        </w:rPr>
      </w:pPr>
      <w:r>
        <w:rPr>
          <w:rFonts w:hint="eastAsia" w:hAnsi="宋体" w:cs="宋体"/>
          <w:sz w:val="24"/>
        </w:rPr>
        <w:t>（2）开标地点：政府采购云平台(https://www.zcygov.cn)</w:t>
      </w:r>
    </w:p>
    <w:p>
      <w:pPr>
        <w:spacing w:after="50" w:line="420" w:lineRule="exact"/>
        <w:ind w:firstLine="480" w:firstLineChars="200"/>
        <w:rPr>
          <w:rFonts w:ascii="仿宋" w:hAnsi="仿宋" w:eastAsia="仿宋"/>
          <w:sz w:val="24"/>
        </w:rPr>
      </w:pPr>
      <w:r>
        <w:rPr>
          <w:rFonts w:hint="eastAsia" w:hAnsi="宋体" w:cs="宋体"/>
          <w:sz w:val="24"/>
        </w:rPr>
        <w:t>（3）本项目只接受投标人加密并递交至“政府采购云平台”的投标文件。</w:t>
      </w:r>
    </w:p>
    <w:p>
      <w:pPr>
        <w:pStyle w:val="62"/>
        <w:ind w:firstLine="482"/>
        <w:rPr>
          <w:sz w:val="24"/>
        </w:rPr>
      </w:pPr>
      <w:r>
        <w:rPr>
          <w:rFonts w:hint="eastAsia"/>
          <w:b/>
          <w:sz w:val="24"/>
        </w:rPr>
        <w:t>九、</w:t>
      </w:r>
      <w:r>
        <w:rPr>
          <w:rFonts w:hint="eastAsia"/>
          <w:sz w:val="24"/>
        </w:rPr>
        <w:t>本投标邀请在</w:t>
      </w:r>
      <w:r>
        <w:rPr>
          <w:rFonts w:hint="eastAsia"/>
          <w:sz w:val="24"/>
          <w:u w:val="single"/>
        </w:rPr>
        <w:t>四川政府采购网</w:t>
      </w:r>
      <w:r>
        <w:rPr>
          <w:rFonts w:hint="eastAsia"/>
          <w:sz w:val="24"/>
        </w:rPr>
        <w:t>上以公告形式发布。</w:t>
      </w:r>
    </w:p>
    <w:p>
      <w:pPr>
        <w:pStyle w:val="62"/>
        <w:ind w:firstLine="482"/>
        <w:rPr>
          <w:rFonts w:hAnsi="宋体" w:cs="宋体"/>
          <w:b/>
          <w:sz w:val="22"/>
          <w:szCs w:val="21"/>
        </w:rPr>
      </w:pPr>
      <w:r>
        <w:rPr>
          <w:rFonts w:hint="eastAsia"/>
          <w:b/>
          <w:sz w:val="24"/>
        </w:rPr>
        <w:t>十、联系方式</w:t>
      </w:r>
    </w:p>
    <w:p>
      <w:pPr>
        <w:spacing w:line="360" w:lineRule="auto"/>
        <w:ind w:firstLine="482" w:firstLineChars="200"/>
        <w:rPr>
          <w:rFonts w:hAnsi="宋体" w:cs="宋体"/>
          <w:b/>
          <w:bCs/>
          <w:sz w:val="24"/>
        </w:rPr>
      </w:pPr>
      <w:r>
        <w:rPr>
          <w:rFonts w:hint="eastAsia" w:hAnsi="宋体" w:cs="宋体"/>
          <w:b/>
          <w:sz w:val="24"/>
        </w:rPr>
        <w:t>采 购 人：成都市郫都区规划和自然资源局</w:t>
      </w:r>
    </w:p>
    <w:p>
      <w:pPr>
        <w:widowControl/>
        <w:tabs>
          <w:tab w:val="left" w:pos="8787"/>
        </w:tabs>
        <w:adjustRightInd w:val="0"/>
        <w:snapToGrid w:val="0"/>
        <w:spacing w:line="360" w:lineRule="auto"/>
        <w:ind w:right="-33" w:firstLine="480" w:firstLineChars="200"/>
        <w:jc w:val="left"/>
        <w:rPr>
          <w:rFonts w:cs="宋体"/>
          <w:sz w:val="24"/>
        </w:rPr>
      </w:pPr>
      <w:r>
        <w:rPr>
          <w:rFonts w:hint="eastAsia" w:cs="宋体"/>
          <w:sz w:val="24"/>
        </w:rPr>
        <w:t xml:space="preserve">地    址：成都市郫都区郫筒街道东大街347号 </w:t>
      </w:r>
    </w:p>
    <w:p>
      <w:pPr>
        <w:widowControl/>
        <w:tabs>
          <w:tab w:val="left" w:pos="8787"/>
        </w:tabs>
        <w:adjustRightInd w:val="0"/>
        <w:snapToGrid w:val="0"/>
        <w:spacing w:line="360" w:lineRule="auto"/>
        <w:ind w:right="-33" w:firstLine="480" w:firstLineChars="200"/>
        <w:jc w:val="left"/>
        <w:rPr>
          <w:rFonts w:cs="宋体"/>
          <w:sz w:val="24"/>
        </w:rPr>
      </w:pPr>
      <w:r>
        <w:rPr>
          <w:rFonts w:hint="eastAsia" w:cs="宋体"/>
          <w:sz w:val="24"/>
        </w:rPr>
        <w:t>联 系 人：王老师</w:t>
      </w:r>
    </w:p>
    <w:p>
      <w:pPr>
        <w:pStyle w:val="62"/>
        <w:ind w:firstLine="480"/>
        <w:rPr>
          <w:rFonts w:hAnsi="宋体" w:cs="宋体"/>
          <w:sz w:val="24"/>
        </w:rPr>
      </w:pPr>
      <w:r>
        <w:rPr>
          <w:rFonts w:hint="eastAsia" w:cs="宋体"/>
          <w:sz w:val="24"/>
        </w:rPr>
        <w:t>联系电话：</w:t>
      </w:r>
      <w:r>
        <w:rPr>
          <w:rFonts w:hint="eastAsia" w:hAnsi="宋体" w:cs="宋体"/>
          <w:sz w:val="24"/>
        </w:rPr>
        <w:t>028-87866252</w:t>
      </w:r>
    </w:p>
    <w:p>
      <w:pPr>
        <w:pStyle w:val="62"/>
        <w:ind w:firstLine="482"/>
        <w:rPr>
          <w:rFonts w:hAnsi="宋体" w:cs="宋体"/>
          <w:b/>
          <w:sz w:val="24"/>
        </w:rPr>
      </w:pPr>
      <w:r>
        <w:rPr>
          <w:rFonts w:hint="eastAsia" w:hAnsi="宋体" w:cs="宋体"/>
          <w:b/>
          <w:sz w:val="24"/>
        </w:rPr>
        <w:t xml:space="preserve">采购代理机构：四川华驰工程项目管理有限公司 </w:t>
      </w:r>
    </w:p>
    <w:p>
      <w:pPr>
        <w:pStyle w:val="62"/>
        <w:ind w:firstLine="480"/>
        <w:rPr>
          <w:rFonts w:hAnsi="宋体" w:cs="宋体"/>
          <w:sz w:val="24"/>
        </w:rPr>
      </w:pPr>
      <w:r>
        <w:rPr>
          <w:rFonts w:hint="eastAsia" w:hAnsi="宋体" w:cs="宋体"/>
          <w:sz w:val="24"/>
        </w:rPr>
        <w:t xml:space="preserve">地    址：成都市武侯区武侯大道顺江段77号汇点广场3栋8楼29-31号、9楼37-39号 </w:t>
      </w:r>
    </w:p>
    <w:p>
      <w:pPr>
        <w:pStyle w:val="62"/>
        <w:ind w:firstLine="480"/>
        <w:rPr>
          <w:rFonts w:hAnsi="宋体" w:cs="宋体"/>
          <w:sz w:val="24"/>
        </w:rPr>
      </w:pPr>
      <w:r>
        <w:rPr>
          <w:rFonts w:hint="eastAsia" w:hAnsi="宋体" w:cs="宋体"/>
          <w:sz w:val="24"/>
        </w:rPr>
        <w:t>联 系 人：刘老师</w:t>
      </w:r>
    </w:p>
    <w:p>
      <w:pPr>
        <w:pStyle w:val="62"/>
        <w:ind w:firstLine="480"/>
        <w:rPr>
          <w:sz w:val="24"/>
          <w:szCs w:val="24"/>
        </w:rPr>
      </w:pPr>
      <w:r>
        <w:rPr>
          <w:rFonts w:hint="eastAsia" w:hAnsi="宋体" w:cs="宋体"/>
          <w:sz w:val="24"/>
        </w:rPr>
        <w:t>联系电话：028-86582286</w:t>
      </w:r>
    </w:p>
    <w:p>
      <w:pPr>
        <w:rPr>
          <w:sz w:val="36"/>
          <w:szCs w:val="36"/>
        </w:rPr>
      </w:pPr>
    </w:p>
    <w:p>
      <w:pPr>
        <w:pStyle w:val="2"/>
        <w:rPr>
          <w:sz w:val="36"/>
          <w:szCs w:val="36"/>
        </w:rPr>
      </w:pPr>
    </w:p>
    <w:p>
      <w:pPr>
        <w:rPr>
          <w:sz w:val="36"/>
          <w:szCs w:val="36"/>
        </w:rPr>
      </w:pPr>
    </w:p>
    <w:p>
      <w:pPr>
        <w:pStyle w:val="2"/>
        <w:rPr>
          <w:sz w:val="36"/>
          <w:szCs w:val="36"/>
        </w:rPr>
      </w:pPr>
    </w:p>
    <w:p>
      <w:pPr>
        <w:rPr>
          <w:sz w:val="36"/>
          <w:szCs w:val="36"/>
        </w:rPr>
      </w:pPr>
    </w:p>
    <w:p>
      <w:pPr>
        <w:pStyle w:val="2"/>
        <w:rPr>
          <w:sz w:val="36"/>
          <w:szCs w:val="36"/>
        </w:rPr>
      </w:pPr>
    </w:p>
    <w:p>
      <w:pPr>
        <w:rPr>
          <w:sz w:val="36"/>
          <w:szCs w:val="36"/>
        </w:rPr>
      </w:pPr>
    </w:p>
    <w:p>
      <w:pPr>
        <w:pStyle w:val="2"/>
        <w:rPr>
          <w:sz w:val="36"/>
          <w:szCs w:val="36"/>
        </w:rPr>
      </w:pPr>
    </w:p>
    <w:p>
      <w:pPr>
        <w:rPr>
          <w:sz w:val="36"/>
          <w:szCs w:val="36"/>
        </w:rPr>
      </w:pPr>
    </w:p>
    <w:p>
      <w:pPr>
        <w:pStyle w:val="2"/>
        <w:rPr>
          <w:sz w:val="36"/>
          <w:szCs w:val="36"/>
        </w:rPr>
      </w:pPr>
    </w:p>
    <w:p>
      <w:pPr>
        <w:rPr>
          <w:sz w:val="36"/>
          <w:szCs w:val="36"/>
        </w:rPr>
      </w:pPr>
    </w:p>
    <w:p>
      <w:pPr>
        <w:pStyle w:val="2"/>
        <w:rPr>
          <w:sz w:val="36"/>
          <w:szCs w:val="36"/>
        </w:rPr>
      </w:pPr>
    </w:p>
    <w:p>
      <w:pPr>
        <w:rPr>
          <w:sz w:val="36"/>
          <w:szCs w:val="36"/>
        </w:rPr>
      </w:pPr>
    </w:p>
    <w:p>
      <w:pPr>
        <w:pStyle w:val="2"/>
      </w:pPr>
    </w:p>
    <w:p/>
    <w:p>
      <w:pPr>
        <w:pStyle w:val="2"/>
      </w:pPr>
    </w:p>
    <w:p/>
    <w:p>
      <w:pPr>
        <w:pStyle w:val="2"/>
      </w:pPr>
    </w:p>
    <w:p/>
    <w:p>
      <w:pPr>
        <w:numPr>
          <w:ilvl w:val="0"/>
          <w:numId w:val="1"/>
        </w:numPr>
        <w:jc w:val="center"/>
        <w:outlineLvl w:val="0"/>
        <w:rPr>
          <w:rStyle w:val="43"/>
          <w:rFonts w:ascii="Arial" w:hAnsi="Arial" w:eastAsia="黑体"/>
          <w:sz w:val="32"/>
          <w:szCs w:val="32"/>
        </w:rPr>
      </w:pPr>
      <w:bookmarkStart w:id="12" w:name="_Toc16344"/>
      <w:bookmarkStart w:id="13" w:name="_Toc10085"/>
      <w:bookmarkStart w:id="14" w:name="_Toc9965"/>
      <w:r>
        <w:rPr>
          <w:rStyle w:val="43"/>
          <w:rFonts w:hint="eastAsia" w:ascii="Arial" w:hAnsi="Arial" w:eastAsia="黑体"/>
          <w:sz w:val="36"/>
          <w:szCs w:val="36"/>
        </w:rPr>
        <w:t xml:space="preserve"> 投标人须知</w:t>
      </w:r>
      <w:bookmarkEnd w:id="6"/>
      <w:bookmarkEnd w:id="12"/>
      <w:bookmarkEnd w:id="13"/>
      <w:bookmarkEnd w:id="14"/>
      <w:bookmarkStart w:id="15" w:name="_Toc30854"/>
      <w:bookmarkStart w:id="16" w:name="_Toc9659"/>
      <w:bookmarkStart w:id="17" w:name="_Toc16387"/>
    </w:p>
    <w:p>
      <w:pPr>
        <w:outlineLvl w:val="4"/>
        <w:rPr>
          <w:rStyle w:val="43"/>
          <w:rFonts w:ascii="Arial" w:hAnsi="Arial" w:eastAsia="黑体"/>
          <w:sz w:val="32"/>
          <w:szCs w:val="32"/>
        </w:rPr>
      </w:pPr>
      <w:r>
        <w:rPr>
          <w:rStyle w:val="43"/>
          <w:rFonts w:hint="eastAsia" w:ascii="Arial" w:hAnsi="Arial" w:eastAsia="黑体"/>
          <w:sz w:val="36"/>
          <w:szCs w:val="36"/>
        </w:rPr>
        <w:t xml:space="preserve">  </w:t>
      </w:r>
      <w:r>
        <w:rPr>
          <w:rStyle w:val="43"/>
          <w:rFonts w:hint="eastAsia" w:ascii="Arial" w:hAnsi="Arial" w:eastAsia="黑体"/>
          <w:sz w:val="32"/>
          <w:szCs w:val="32"/>
        </w:rPr>
        <w:t>一、投标人须知附表</w:t>
      </w:r>
    </w:p>
    <w:bookmarkEnd w:id="7"/>
    <w:bookmarkEnd w:id="8"/>
    <w:bookmarkEnd w:id="9"/>
    <w:bookmarkEnd w:id="10"/>
    <w:bookmarkEnd w:id="11"/>
    <w:bookmarkEnd w:id="15"/>
    <w:bookmarkEnd w:id="16"/>
    <w:bookmarkEnd w:id="17"/>
    <w:tbl>
      <w:tblPr>
        <w:tblStyle w:val="33"/>
        <w:tblW w:w="8350"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736"/>
        <w:gridCol w:w="2243"/>
        <w:gridCol w:w="5371"/>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668" w:hRule="exact"/>
          <w:tblHeader/>
          <w:jc w:val="center"/>
        </w:trPr>
        <w:tc>
          <w:tcPr>
            <w:tcW w:w="736" w:type="dxa"/>
            <w:vAlign w:val="center"/>
          </w:tcPr>
          <w:p>
            <w:pPr>
              <w:pStyle w:val="54"/>
              <w:spacing w:line="360" w:lineRule="auto"/>
              <w:ind w:left="9"/>
              <w:jc w:val="center"/>
              <w:rPr>
                <w:rFonts w:ascii="Times New Roman" w:hAnsi="Times New Roman" w:cs="Times New Roman"/>
                <w:kern w:val="2"/>
                <w:szCs w:val="28"/>
              </w:rPr>
            </w:pPr>
            <w:r>
              <w:rPr>
                <w:rFonts w:hint="eastAsia" w:ascii="Times New Roman" w:hAnsi="Times New Roman" w:cs="Times New Roman"/>
                <w:kern w:val="2"/>
                <w:szCs w:val="28"/>
              </w:rPr>
              <w:t>序号</w:t>
            </w:r>
            <w:r>
              <w:rPr>
                <w:rFonts w:ascii="Times New Roman" w:hAnsi="Times New Roman" w:cs="Times New Roman"/>
                <w:kern w:val="2"/>
                <w:szCs w:val="28"/>
              </w:rPr>
              <w:t xml:space="preserve"> </w:t>
            </w:r>
          </w:p>
        </w:tc>
        <w:tc>
          <w:tcPr>
            <w:tcW w:w="2243" w:type="dxa"/>
            <w:vAlign w:val="center"/>
          </w:tcPr>
          <w:p>
            <w:pPr>
              <w:pStyle w:val="54"/>
              <w:spacing w:line="360" w:lineRule="auto"/>
              <w:ind w:left="38"/>
              <w:jc w:val="center"/>
              <w:rPr>
                <w:rFonts w:ascii="Times New Roman" w:hAnsi="Times New Roman" w:cs="Times New Roman"/>
                <w:kern w:val="2"/>
                <w:szCs w:val="28"/>
              </w:rPr>
            </w:pPr>
            <w:r>
              <w:rPr>
                <w:rFonts w:hint="eastAsia" w:ascii="Times New Roman" w:hAnsi="Times New Roman" w:cs="Times New Roman"/>
                <w:kern w:val="2"/>
                <w:szCs w:val="28"/>
              </w:rPr>
              <w:t>条款名称</w:t>
            </w:r>
          </w:p>
        </w:tc>
        <w:tc>
          <w:tcPr>
            <w:tcW w:w="5371" w:type="dxa"/>
            <w:vAlign w:val="center"/>
          </w:tcPr>
          <w:p>
            <w:pPr>
              <w:pStyle w:val="54"/>
              <w:spacing w:line="360" w:lineRule="auto"/>
              <w:jc w:val="center"/>
              <w:rPr>
                <w:rFonts w:ascii="Times New Roman" w:hAnsi="Times New Roman" w:cs="Times New Roman"/>
                <w:kern w:val="2"/>
                <w:szCs w:val="28"/>
              </w:rPr>
            </w:pPr>
            <w:r>
              <w:rPr>
                <w:rFonts w:hint="eastAsia" w:ascii="Times New Roman" w:hAnsi="Times New Roman" w:cs="Times New Roman"/>
                <w:kern w:val="2"/>
                <w:szCs w:val="28"/>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1387" w:hRule="exact"/>
          <w:jc w:val="center"/>
        </w:trPr>
        <w:tc>
          <w:tcPr>
            <w:tcW w:w="736" w:type="dxa"/>
            <w:vMerge w:val="restart"/>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1</w:t>
            </w:r>
          </w:p>
        </w:tc>
        <w:tc>
          <w:tcPr>
            <w:tcW w:w="2243" w:type="dxa"/>
            <w:tcBorders>
              <w:bottom w:val="single" w:color="auto" w:sz="4" w:space="0"/>
            </w:tcBorders>
            <w:vAlign w:val="center"/>
          </w:tcPr>
          <w:p>
            <w:pPr>
              <w:pStyle w:val="54"/>
              <w:spacing w:line="360" w:lineRule="auto"/>
              <w:ind w:left="38"/>
              <w:jc w:val="center"/>
              <w:rPr>
                <w:rFonts w:cs="Times New Roman"/>
                <w:kern w:val="2"/>
              </w:rPr>
            </w:pPr>
            <w:r>
              <w:rPr>
                <w:rFonts w:hint="eastAsia" w:cs="Times New Roman"/>
                <w:kern w:val="2"/>
              </w:rPr>
              <w:t>采购预算</w:t>
            </w:r>
          </w:p>
          <w:p>
            <w:pPr>
              <w:pStyle w:val="54"/>
              <w:spacing w:line="360" w:lineRule="auto"/>
              <w:ind w:left="38"/>
              <w:jc w:val="center"/>
              <w:rPr>
                <w:rFonts w:cs="Times New Roman"/>
                <w:kern w:val="2"/>
              </w:rPr>
            </w:pPr>
            <w:r>
              <w:rPr>
                <w:rFonts w:hint="eastAsia"/>
              </w:rPr>
              <w:t>（实质性要求）</w:t>
            </w:r>
          </w:p>
        </w:tc>
        <w:tc>
          <w:tcPr>
            <w:tcW w:w="5371" w:type="dxa"/>
            <w:tcBorders>
              <w:bottom w:val="single" w:color="auto" w:sz="4" w:space="0"/>
            </w:tcBorders>
            <w:vAlign w:val="center"/>
          </w:tcPr>
          <w:p>
            <w:pPr>
              <w:pStyle w:val="54"/>
              <w:spacing w:line="360" w:lineRule="auto"/>
              <w:ind w:firstLine="480" w:firstLineChars="200"/>
              <w:jc w:val="center"/>
              <w:rPr>
                <w:rFonts w:cs="Times New Roman"/>
                <w:kern w:val="2"/>
                <w:lang w:val="zh-CN"/>
              </w:rPr>
            </w:pPr>
            <w:r>
              <w:rPr>
                <w:rFonts w:hint="eastAsia" w:cs="Times New Roman"/>
                <w:kern w:val="2"/>
                <w:lang w:val="zh-CN"/>
              </w:rPr>
              <w:t>本项目预算金额为人民币</w:t>
            </w:r>
            <w:r>
              <w:rPr>
                <w:rFonts w:hint="eastAsia" w:cs="Times New Roman"/>
                <w:kern w:val="2"/>
                <w:u w:val="single"/>
              </w:rPr>
              <w:t>90</w:t>
            </w:r>
            <w:r>
              <w:rPr>
                <w:rFonts w:hint="eastAsia" w:cs="Times New Roman"/>
                <w:kern w:val="2"/>
                <w:lang w:val="zh-CN"/>
              </w:rPr>
              <w:t>万元。</w:t>
            </w:r>
          </w:p>
          <w:p>
            <w:pPr>
              <w:pStyle w:val="54"/>
              <w:spacing w:line="360" w:lineRule="auto"/>
              <w:jc w:val="center"/>
              <w:rPr>
                <w:rFonts w:cs="Times New Roman"/>
                <w:color w:val="000000"/>
                <w:kern w:val="2"/>
              </w:rPr>
            </w:pPr>
            <w:r>
              <w:rPr>
                <w:rFonts w:hint="eastAsia"/>
                <w:color w:val="000000"/>
                <w:sz w:val="21"/>
                <w:szCs w:val="21"/>
              </w:rPr>
              <w:t>注：超过采购预算的投标为无效投标。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1413" w:hRule="exact"/>
          <w:jc w:val="center"/>
        </w:trPr>
        <w:tc>
          <w:tcPr>
            <w:tcW w:w="736" w:type="dxa"/>
            <w:vMerge w:val="continue"/>
            <w:vAlign w:val="center"/>
          </w:tcPr>
          <w:p>
            <w:pPr>
              <w:spacing w:line="360" w:lineRule="auto"/>
              <w:jc w:val="center"/>
            </w:pPr>
          </w:p>
        </w:tc>
        <w:tc>
          <w:tcPr>
            <w:tcW w:w="2243" w:type="dxa"/>
            <w:tcBorders>
              <w:top w:val="single" w:color="auto" w:sz="4" w:space="0"/>
            </w:tcBorders>
            <w:vAlign w:val="center"/>
          </w:tcPr>
          <w:p>
            <w:pPr>
              <w:pStyle w:val="54"/>
              <w:spacing w:line="360" w:lineRule="auto"/>
              <w:jc w:val="center"/>
              <w:rPr>
                <w:rFonts w:cs="Times New Roman"/>
                <w:kern w:val="2"/>
              </w:rPr>
            </w:pPr>
            <w:r>
              <w:rPr>
                <w:rFonts w:hint="eastAsia" w:cs="Times New Roman"/>
                <w:kern w:val="2"/>
              </w:rPr>
              <w:t>最高限价</w:t>
            </w:r>
          </w:p>
          <w:p>
            <w:pPr>
              <w:pStyle w:val="54"/>
              <w:spacing w:line="360" w:lineRule="auto"/>
              <w:jc w:val="center"/>
              <w:rPr>
                <w:rFonts w:cs="Times New Roman"/>
                <w:kern w:val="2"/>
              </w:rPr>
            </w:pPr>
            <w:r>
              <w:rPr>
                <w:rFonts w:hint="eastAsia"/>
              </w:rPr>
              <w:t>（实质性要求）</w:t>
            </w:r>
          </w:p>
        </w:tc>
        <w:tc>
          <w:tcPr>
            <w:tcW w:w="5371" w:type="dxa"/>
            <w:tcBorders>
              <w:top w:val="single" w:color="auto" w:sz="4" w:space="0"/>
            </w:tcBorders>
            <w:vAlign w:val="center"/>
          </w:tcPr>
          <w:p>
            <w:pPr>
              <w:pStyle w:val="54"/>
              <w:spacing w:line="360" w:lineRule="auto"/>
              <w:ind w:firstLine="480" w:firstLineChars="200"/>
              <w:jc w:val="center"/>
              <w:rPr>
                <w:rFonts w:cs="Times New Roman"/>
                <w:kern w:val="2"/>
                <w:lang w:val="zh-CN"/>
              </w:rPr>
            </w:pPr>
            <w:r>
              <w:rPr>
                <w:rFonts w:hint="eastAsia" w:cs="Times New Roman"/>
                <w:kern w:val="2"/>
                <w:lang w:val="zh-CN"/>
              </w:rPr>
              <w:t>本项目最高限价为人民币</w:t>
            </w:r>
            <w:r>
              <w:rPr>
                <w:rFonts w:hint="eastAsia" w:cs="Times New Roman"/>
                <w:kern w:val="2"/>
                <w:u w:val="single"/>
              </w:rPr>
              <w:t>90</w:t>
            </w:r>
            <w:r>
              <w:rPr>
                <w:rFonts w:hint="eastAsia" w:cs="Times New Roman"/>
                <w:kern w:val="2"/>
                <w:lang w:val="zh-CN"/>
              </w:rPr>
              <w:t>万元。</w:t>
            </w:r>
          </w:p>
          <w:p>
            <w:pPr>
              <w:widowControl/>
              <w:spacing w:line="360" w:lineRule="auto"/>
              <w:ind w:firstLine="420" w:firstLineChars="200"/>
              <w:jc w:val="center"/>
              <w:rPr>
                <w:color w:val="000000"/>
                <w:sz w:val="24"/>
              </w:rPr>
            </w:pPr>
            <w:r>
              <w:rPr>
                <w:rFonts w:hint="eastAsia" w:hAnsi="宋体" w:cs="宋体"/>
                <w:color w:val="000000"/>
                <w:sz w:val="21"/>
                <w:szCs w:val="21"/>
              </w:rPr>
              <w:t>注：超过最高限价的投标为无效投标。</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76" w:hRule="atLeas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2</w:t>
            </w:r>
          </w:p>
        </w:tc>
        <w:tc>
          <w:tcPr>
            <w:tcW w:w="2243" w:type="dxa"/>
            <w:vAlign w:val="center"/>
          </w:tcPr>
          <w:p>
            <w:pPr>
              <w:pStyle w:val="54"/>
              <w:spacing w:line="360" w:lineRule="auto"/>
              <w:ind w:left="38"/>
              <w:jc w:val="center"/>
              <w:rPr>
                <w:rFonts w:cs="Times New Roman"/>
                <w:kern w:val="2"/>
              </w:rPr>
            </w:pPr>
            <w:r>
              <w:rPr>
                <w:rFonts w:hint="eastAsia" w:cs="Times New Roman"/>
                <w:kern w:val="2"/>
              </w:rPr>
              <w:t>低于成本价不正当</w:t>
            </w:r>
          </w:p>
          <w:p>
            <w:pPr>
              <w:pStyle w:val="54"/>
              <w:spacing w:line="360" w:lineRule="auto"/>
              <w:ind w:left="38"/>
              <w:jc w:val="center"/>
              <w:rPr>
                <w:rFonts w:cs="Times New Roman"/>
                <w:kern w:val="2"/>
              </w:rPr>
            </w:pPr>
            <w:r>
              <w:rPr>
                <w:rFonts w:hint="eastAsia" w:cs="Times New Roman"/>
                <w:kern w:val="2"/>
              </w:rPr>
              <w:t>竞争预防措施</w:t>
            </w:r>
          </w:p>
          <w:p>
            <w:pPr>
              <w:pStyle w:val="54"/>
              <w:spacing w:line="360" w:lineRule="auto"/>
              <w:ind w:left="38"/>
              <w:jc w:val="center"/>
              <w:rPr>
                <w:rFonts w:cs="Times New Roman"/>
                <w:kern w:val="2"/>
              </w:rPr>
            </w:pPr>
            <w:r>
              <w:rPr>
                <w:rFonts w:hint="eastAsia"/>
              </w:rPr>
              <w:t>（实质性要求）</w:t>
            </w:r>
          </w:p>
        </w:tc>
        <w:tc>
          <w:tcPr>
            <w:tcW w:w="5371" w:type="dxa"/>
            <w:vAlign w:val="center"/>
          </w:tcPr>
          <w:p>
            <w:pPr>
              <w:pStyle w:val="54"/>
              <w:spacing w:line="360" w:lineRule="auto"/>
              <w:ind w:left="38" w:firstLine="480" w:firstLineChars="200"/>
              <w:jc w:val="both"/>
              <w:rPr>
                <w:rFonts w:cs="Times New Roman"/>
                <w:kern w:val="2"/>
                <w:lang w:val="zh-CN"/>
              </w:rPr>
            </w:pPr>
            <w:bookmarkStart w:id="18" w:name="PO_默认文件内容_1"/>
            <w:r>
              <w:rPr>
                <w:rFonts w:hint="eastAsia" w:cs="Times New Roman"/>
                <w:kern w:val="2"/>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8"/>
          </w:p>
          <w:p>
            <w:pPr>
              <w:pStyle w:val="54"/>
              <w:spacing w:line="360" w:lineRule="auto"/>
              <w:ind w:firstLine="420" w:firstLineChars="200"/>
              <w:jc w:val="both"/>
              <w:rPr>
                <w:rFonts w:cs="Times New Roman"/>
                <w:kern w:val="2"/>
              </w:rPr>
            </w:pPr>
            <w:r>
              <w:rPr>
                <w:rFonts w:hint="eastAsia" w:ascii="仿宋" w:hAnsi="仿宋" w:eastAsia="仿宋"/>
                <w:sz w:val="21"/>
                <w:szCs w:val="21"/>
              </w:rPr>
              <w:t>注：</w:t>
            </w:r>
            <w:r>
              <w:rPr>
                <w:rFonts w:hint="eastAsia" w:ascii="仿宋" w:hAnsi="仿宋" w:eastAsia="仿宋"/>
                <w:sz w:val="21"/>
                <w:szCs w:val="21"/>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仿宋" w:hAnsi="仿宋" w:eastAsia="仿宋"/>
                <w:sz w:val="21"/>
                <w:szCs w:val="21"/>
              </w:rPr>
              <w:t>30分钟，供应商已明确表示澄清、说明完毕的除外</w:t>
            </w:r>
            <w:r>
              <w:rPr>
                <w:rFonts w:hint="eastAsia" w:ascii="仿宋" w:hAnsi="仿宋" w:eastAsia="仿宋"/>
                <w:sz w:val="21"/>
                <w:szCs w:val="21"/>
                <w:lang w:val="zh-CN"/>
              </w:rPr>
              <w:t>）。如因断电、断网、系统故障或其他不可抗力等因素，导致系统无法使用的，由投标人按评标委员会的要求进行澄清或者说明。</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9" w:hRule="atLeast"/>
          <w:jc w:val="center"/>
        </w:trPr>
        <w:tc>
          <w:tcPr>
            <w:tcW w:w="736" w:type="dxa"/>
            <w:vAlign w:val="center"/>
          </w:tcPr>
          <w:p>
            <w:pPr>
              <w:pStyle w:val="54"/>
              <w:spacing w:before="72" w:after="72" w:line="360" w:lineRule="auto"/>
              <w:ind w:right="264"/>
              <w:jc w:val="center"/>
              <w:rPr>
                <w:rFonts w:cs="Times New Roman"/>
                <w:kern w:val="2"/>
              </w:rPr>
            </w:pPr>
            <w:r>
              <w:rPr>
                <w:rFonts w:hint="eastAsia" w:cs="Times New Roman"/>
                <w:kern w:val="2"/>
              </w:rPr>
              <w:t>3</w:t>
            </w:r>
          </w:p>
        </w:tc>
        <w:tc>
          <w:tcPr>
            <w:tcW w:w="2243" w:type="dxa"/>
            <w:vAlign w:val="center"/>
          </w:tcPr>
          <w:p>
            <w:pPr>
              <w:spacing w:line="360" w:lineRule="auto"/>
              <w:ind w:left="170" w:leftChars="50" w:right="170" w:rightChars="50"/>
              <w:jc w:val="center"/>
              <w:rPr>
                <w:sz w:val="24"/>
              </w:rPr>
            </w:pPr>
            <w:r>
              <w:rPr>
                <w:rFonts w:hint="eastAsia"/>
                <w:sz w:val="24"/>
              </w:rPr>
              <w:t>评标情况公告</w:t>
            </w:r>
          </w:p>
        </w:tc>
        <w:tc>
          <w:tcPr>
            <w:tcW w:w="5371" w:type="dxa"/>
            <w:vAlign w:val="center"/>
          </w:tcPr>
          <w:p>
            <w:pPr>
              <w:widowControl/>
              <w:spacing w:line="360" w:lineRule="auto"/>
              <w:ind w:firstLine="480" w:firstLineChars="200"/>
              <w:jc w:val="left"/>
              <w:rPr>
                <w:sz w:val="24"/>
              </w:rPr>
            </w:pPr>
            <w:r>
              <w:rPr>
                <w:rFonts w:hint="eastAsia"/>
                <w:sz w:val="24"/>
              </w:rPr>
              <w:t>所有投标人投标文件资格性、符合性检查情况、采用综合评分法时的总得分和分项汇总得分情况、评标结果、代理服务费收费标准及金额等将在四川政府采购网上采购结果公告栏中予以公告。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8" w:hRule="exac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4</w:t>
            </w:r>
          </w:p>
        </w:tc>
        <w:tc>
          <w:tcPr>
            <w:tcW w:w="2243" w:type="dxa"/>
            <w:vAlign w:val="center"/>
          </w:tcPr>
          <w:p>
            <w:pPr>
              <w:pStyle w:val="54"/>
              <w:spacing w:line="360" w:lineRule="auto"/>
              <w:ind w:left="96"/>
              <w:jc w:val="center"/>
              <w:rPr>
                <w:lang w:val="zh-CN"/>
              </w:rPr>
            </w:pPr>
            <w:r>
              <w:rPr>
                <w:rFonts w:hint="eastAsia"/>
                <w:lang w:val="zh-CN"/>
              </w:rPr>
              <w:t>投标保证金</w:t>
            </w:r>
          </w:p>
        </w:tc>
        <w:tc>
          <w:tcPr>
            <w:tcW w:w="5371" w:type="dxa"/>
            <w:vAlign w:val="center"/>
          </w:tcPr>
          <w:p>
            <w:pPr>
              <w:pStyle w:val="54"/>
              <w:spacing w:line="360" w:lineRule="auto"/>
              <w:jc w:val="both"/>
            </w:pPr>
            <w:r>
              <w:rPr>
                <w:rFonts w:hint="eastAsia"/>
              </w:rPr>
              <w:t xml:space="preserve">   </w:t>
            </w:r>
            <w:r>
              <w:rPr>
                <w:rFonts w:hint="eastAsia"/>
                <w:color w:val="0000FF"/>
              </w:rPr>
              <w:t xml:space="preserve"> </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719" w:hRule="atLeas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5</w:t>
            </w:r>
          </w:p>
        </w:tc>
        <w:tc>
          <w:tcPr>
            <w:tcW w:w="2243" w:type="dxa"/>
            <w:vAlign w:val="center"/>
          </w:tcPr>
          <w:p>
            <w:pPr>
              <w:pStyle w:val="54"/>
              <w:spacing w:line="360" w:lineRule="auto"/>
              <w:ind w:left="96"/>
              <w:jc w:val="center"/>
              <w:rPr>
                <w:highlight w:val="red"/>
                <w:lang w:val="zh-CN"/>
              </w:rPr>
            </w:pPr>
            <w:r>
              <w:rPr>
                <w:rFonts w:hint="eastAsia"/>
                <w:lang w:val="zh-CN"/>
              </w:rPr>
              <w:t>履约保证金</w:t>
            </w:r>
          </w:p>
        </w:tc>
        <w:tc>
          <w:tcPr>
            <w:tcW w:w="5371" w:type="dxa"/>
            <w:vAlign w:val="center"/>
          </w:tcPr>
          <w:p>
            <w:pPr>
              <w:pStyle w:val="54"/>
              <w:spacing w:line="360" w:lineRule="auto"/>
              <w:ind w:firstLine="480" w:firstLineChars="200"/>
              <w:rPr>
                <w:highlight w:val="red"/>
              </w:rPr>
            </w:pPr>
            <w:r>
              <w:rPr>
                <w:rFonts w:hint="eastAsia"/>
                <w:szCs w:val="22"/>
              </w:rPr>
              <w:t>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719" w:hRule="atLeas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6</w:t>
            </w:r>
          </w:p>
        </w:tc>
        <w:tc>
          <w:tcPr>
            <w:tcW w:w="2243" w:type="dxa"/>
            <w:vAlign w:val="center"/>
          </w:tcPr>
          <w:p>
            <w:pPr>
              <w:pStyle w:val="54"/>
              <w:spacing w:after="30" w:line="400" w:lineRule="exact"/>
              <w:jc w:val="center"/>
            </w:pPr>
            <w:r>
              <w:rPr>
                <w:rFonts w:hint="eastAsia" w:ascii="Times New Roman" w:hAnsi="Times New Roman" w:cs="Times New Roman"/>
                <w:lang w:val="zh-CN"/>
              </w:rPr>
              <w:t>投标文件的制作和签章、加密</w:t>
            </w:r>
          </w:p>
        </w:tc>
        <w:tc>
          <w:tcPr>
            <w:tcW w:w="5371" w:type="dxa"/>
            <w:vAlign w:val="center"/>
          </w:tcPr>
          <w:p>
            <w:pPr>
              <w:tabs>
                <w:tab w:val="left" w:pos="7665"/>
              </w:tabs>
              <w:spacing w:line="360" w:lineRule="auto"/>
              <w:ind w:firstLine="480" w:firstLineChars="200"/>
            </w:pPr>
            <w:r>
              <w:rPr>
                <w:rFonts w:hint="eastAsia" w:ascii="Times New Roman"/>
                <w:sz w:val="24"/>
              </w:rPr>
              <w:t>投标文件应根据招标文件的要求进行制作。（说明：1、招标文件中要求提供复印件证明材料的，包含提供原件的影印件或复印件。2、要求提供复印件的证明材料须清晰可辨。）</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719" w:hRule="atLeas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7</w:t>
            </w:r>
          </w:p>
        </w:tc>
        <w:tc>
          <w:tcPr>
            <w:tcW w:w="2243" w:type="dxa"/>
            <w:vAlign w:val="center"/>
          </w:tcPr>
          <w:p>
            <w:pPr>
              <w:pStyle w:val="54"/>
              <w:spacing w:after="30" w:line="400" w:lineRule="exact"/>
              <w:jc w:val="center"/>
            </w:pPr>
            <w:r>
              <w:rPr>
                <w:rFonts w:hint="eastAsia" w:ascii="Times New Roman" w:hAnsi="Times New Roman" w:cs="Times New Roman"/>
                <w:lang w:val="zh-CN"/>
              </w:rPr>
              <w:t>投标文件的递交</w:t>
            </w:r>
          </w:p>
        </w:tc>
        <w:tc>
          <w:tcPr>
            <w:tcW w:w="5371" w:type="dxa"/>
            <w:vAlign w:val="center"/>
          </w:tcPr>
          <w:p>
            <w:pPr>
              <w:tabs>
                <w:tab w:val="left" w:pos="7665"/>
              </w:tabs>
              <w:spacing w:line="360" w:lineRule="auto"/>
              <w:ind w:firstLine="480" w:firstLineChars="200"/>
              <w:rPr>
                <w:rFonts w:ascii="Times New Roman"/>
                <w:sz w:val="24"/>
              </w:rPr>
            </w:pPr>
            <w:r>
              <w:rPr>
                <w:rFonts w:hint="eastAsia" w:ascii="Times New Roman"/>
                <w:sz w:val="24"/>
              </w:rPr>
              <w:t>1、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7665"/>
              </w:tabs>
              <w:spacing w:line="360" w:lineRule="auto"/>
              <w:ind w:firstLine="480" w:firstLineChars="200"/>
              <w:rPr>
                <w:rFonts w:ascii="Times New Roman"/>
                <w:sz w:val="24"/>
              </w:rPr>
            </w:pPr>
            <w:r>
              <w:rPr>
                <w:rFonts w:hint="eastAsia" w:ascii="Times New Roman"/>
                <w:sz w:val="24"/>
              </w:rPr>
              <w:t>2、投标文件每页均应加盖投标人（法定名称）电子签章，不得使用投标人专用章（如经济合同章、投标专用章等）或下属单位印章代替。</w:t>
            </w:r>
          </w:p>
          <w:p>
            <w:pPr>
              <w:tabs>
                <w:tab w:val="left" w:pos="7665"/>
              </w:tabs>
              <w:spacing w:line="360" w:lineRule="auto"/>
              <w:ind w:firstLine="480" w:firstLineChars="200"/>
              <w:rPr>
                <w:rFonts w:ascii="Times New Roman"/>
                <w:sz w:val="24"/>
              </w:rPr>
            </w:pPr>
            <w:r>
              <w:rPr>
                <w:rFonts w:hint="eastAsia" w:ascii="Times New Roman"/>
                <w:sz w:val="24"/>
              </w:rPr>
              <w:t>3、投标人应使用本企业CA数字证书对投标文件进行加密。（实质性要求）</w:t>
            </w:r>
          </w:p>
          <w:p>
            <w:pPr>
              <w:tabs>
                <w:tab w:val="left" w:pos="7665"/>
              </w:tabs>
              <w:spacing w:line="360" w:lineRule="auto"/>
              <w:ind w:firstLine="480" w:firstLineChars="200"/>
              <w:rPr>
                <w:rFonts w:ascii="Times New Roman"/>
                <w:sz w:val="24"/>
              </w:rPr>
            </w:pPr>
            <w:r>
              <w:rPr>
                <w:rFonts w:hint="eastAsia" w:ascii="Times New Roman"/>
                <w:sz w:val="24"/>
              </w:rPr>
              <w:t>4、招标文件若有修改，投标人根据修改后的招标文件制作或修改并递交投标文件。</w:t>
            </w:r>
          </w:p>
          <w:p>
            <w:pPr>
              <w:tabs>
                <w:tab w:val="left" w:pos="7665"/>
              </w:tabs>
              <w:spacing w:line="360" w:lineRule="auto"/>
              <w:ind w:firstLine="480" w:firstLineChars="200"/>
              <w:rPr>
                <w:rFonts w:ascii="Times New Roman"/>
                <w:sz w:val="24"/>
              </w:rPr>
            </w:pPr>
            <w:r>
              <w:rPr>
                <w:rFonts w:hint="eastAsia" w:ascii="Times New Roman"/>
                <w:sz w:val="24"/>
              </w:rPr>
              <w:t>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54"/>
              <w:spacing w:line="360" w:lineRule="auto"/>
              <w:ind w:firstLine="480" w:firstLineChars="200"/>
              <w:rPr>
                <w:szCs w:val="22"/>
              </w:rPr>
            </w:pPr>
            <w:r>
              <w:rPr>
                <w:rFonts w:hint="eastAsia" w:ascii="Times New Roman" w:hAnsi="Times New Roman"/>
              </w:rPr>
              <w:t>注：投标人使用CA证书在投标截止时间前，将电子投标文件上传至政府采购云平台，上传前须对电子投标文件每页是否都有电子签章等进行核对。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719" w:hRule="atLeast"/>
          <w:jc w:val="center"/>
        </w:trPr>
        <w:tc>
          <w:tcPr>
            <w:tcW w:w="736" w:type="dxa"/>
            <w:vAlign w:val="center"/>
          </w:tcPr>
          <w:p>
            <w:pPr>
              <w:pStyle w:val="54"/>
              <w:spacing w:line="360" w:lineRule="auto"/>
              <w:ind w:right="230"/>
              <w:jc w:val="center"/>
              <w:rPr>
                <w:rFonts w:ascii="Times New Roman" w:hAnsi="Times New Roman" w:cs="Times New Roman"/>
                <w:kern w:val="2"/>
                <w:szCs w:val="28"/>
              </w:rPr>
            </w:pPr>
            <w:r>
              <w:rPr>
                <w:rFonts w:hint="eastAsia" w:ascii="Times New Roman" w:hAnsi="Times New Roman" w:cs="Times New Roman"/>
                <w:kern w:val="2"/>
                <w:szCs w:val="28"/>
              </w:rPr>
              <w:t>8</w:t>
            </w:r>
          </w:p>
        </w:tc>
        <w:tc>
          <w:tcPr>
            <w:tcW w:w="2243" w:type="dxa"/>
            <w:vAlign w:val="center"/>
          </w:tcPr>
          <w:p>
            <w:pPr>
              <w:pStyle w:val="54"/>
              <w:spacing w:line="360" w:lineRule="auto"/>
              <w:ind w:left="96"/>
              <w:jc w:val="center"/>
            </w:pPr>
            <w:r>
              <w:rPr>
                <w:rFonts w:hint="eastAsia"/>
              </w:rPr>
              <w:t>政府采购信用供应商融资</w:t>
            </w:r>
          </w:p>
        </w:tc>
        <w:tc>
          <w:tcPr>
            <w:tcW w:w="5371" w:type="dxa"/>
            <w:vAlign w:val="center"/>
          </w:tcPr>
          <w:p>
            <w:pPr>
              <w:pStyle w:val="54"/>
              <w:spacing w:line="360" w:lineRule="auto"/>
              <w:ind w:firstLine="480" w:firstLineChars="200"/>
              <w:rPr>
                <w:szCs w:val="22"/>
              </w:rPr>
            </w:pPr>
            <w:r>
              <w:rPr>
                <w:rFonts w:hint="eastAsia"/>
                <w:szCs w:val="22"/>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54"/>
              <w:spacing w:line="360" w:lineRule="auto"/>
              <w:ind w:firstLine="480" w:firstLineChars="200"/>
              <w:rPr>
                <w:szCs w:val="22"/>
              </w:rPr>
            </w:pPr>
            <w:r>
              <w:rPr>
                <w:rFonts w:hint="eastAsia"/>
                <w:szCs w:val="22"/>
              </w:rPr>
              <w:t>2、</w:t>
            </w:r>
            <w:r>
              <w:rPr>
                <w:rFonts w:hint="eastAsia" w:ascii="Times New Roman" w:hAnsi="Times New Roman" w:cs="Times New Roman"/>
              </w:rPr>
              <w:t>根据《成都市财政局关于优化政府采购领域营商环境的通知》（成财采发〔2019〕19号）、《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w:t>
            </w:r>
            <w:r>
              <w:rPr>
                <w:rFonts w:hint="eastAsia"/>
                <w:szCs w:val="22"/>
              </w:rPr>
              <w:t>。</w:t>
            </w:r>
          </w:p>
          <w:p>
            <w:pPr>
              <w:pStyle w:val="54"/>
              <w:spacing w:line="360" w:lineRule="auto"/>
              <w:ind w:firstLine="480" w:firstLineChars="200"/>
              <w:rPr>
                <w:szCs w:val="22"/>
              </w:rPr>
            </w:pPr>
            <w:r>
              <w:rPr>
                <w:rFonts w:hint="eastAsia"/>
                <w:szCs w:val="22"/>
              </w:rPr>
              <w:t>3、具体详情可以向采购代理机构咨询。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05" w:hRule="atLeast"/>
          <w:jc w:val="center"/>
        </w:trPr>
        <w:tc>
          <w:tcPr>
            <w:tcW w:w="736" w:type="dxa"/>
            <w:tcBorders>
              <w:top w:val="single" w:color="auto" w:sz="4" w:space="0"/>
              <w:bottom w:val="single" w:color="auto" w:sz="4" w:space="0"/>
            </w:tcBorders>
            <w:vAlign w:val="center"/>
          </w:tcPr>
          <w:p>
            <w:pPr>
              <w:pStyle w:val="54"/>
              <w:spacing w:line="360" w:lineRule="auto"/>
              <w:ind w:right="264"/>
              <w:jc w:val="center"/>
              <w:rPr>
                <w:rFonts w:ascii="Times New Roman" w:hAnsi="Times New Roman" w:cs="Times New Roman"/>
                <w:kern w:val="2"/>
                <w:szCs w:val="28"/>
              </w:rPr>
            </w:pPr>
            <w:r>
              <w:rPr>
                <w:rFonts w:hint="eastAsia" w:ascii="Times New Roman" w:hAnsi="Times New Roman" w:cs="Times New Roman"/>
                <w:kern w:val="2"/>
                <w:szCs w:val="28"/>
              </w:rPr>
              <w:t>9</w:t>
            </w:r>
          </w:p>
        </w:tc>
        <w:tc>
          <w:tcPr>
            <w:tcW w:w="2243" w:type="dxa"/>
            <w:tcBorders>
              <w:top w:val="single" w:color="auto" w:sz="4" w:space="0"/>
              <w:bottom w:val="single" w:color="auto" w:sz="4" w:space="0"/>
            </w:tcBorders>
            <w:vAlign w:val="center"/>
          </w:tcPr>
          <w:p>
            <w:pPr>
              <w:pStyle w:val="54"/>
              <w:spacing w:line="360" w:lineRule="auto"/>
              <w:jc w:val="center"/>
              <w:rPr>
                <w:rFonts w:cs="Times New Roman"/>
                <w:kern w:val="2"/>
              </w:rPr>
            </w:pPr>
            <w:r>
              <w:rPr>
                <w:rFonts w:hint="eastAsia" w:cs="Times New Roman"/>
                <w:kern w:val="2"/>
              </w:rPr>
              <w:t>采购文件咨询</w:t>
            </w:r>
          </w:p>
        </w:tc>
        <w:tc>
          <w:tcPr>
            <w:tcW w:w="5371" w:type="dxa"/>
            <w:tcBorders>
              <w:top w:val="single" w:color="auto" w:sz="4" w:space="0"/>
              <w:bottom w:val="single" w:color="auto" w:sz="4" w:space="0"/>
            </w:tcBorders>
            <w:vAlign w:val="top"/>
          </w:tcPr>
          <w:p>
            <w:pPr>
              <w:spacing w:line="360" w:lineRule="auto"/>
              <w:ind w:right="170" w:rightChars="50" w:firstLine="480" w:firstLineChars="200"/>
              <w:rPr>
                <w:sz w:val="24"/>
              </w:rPr>
            </w:pPr>
            <w:r>
              <w:rPr>
                <w:rFonts w:hint="eastAsia"/>
                <w:sz w:val="24"/>
              </w:rPr>
              <w:t>联系人：刘老师</w:t>
            </w:r>
            <w:r>
              <w:rPr>
                <w:rFonts w:hint="eastAsia"/>
                <w:sz w:val="24"/>
                <w:lang w:val="zh-CN"/>
              </w:rPr>
              <w:t>。</w:t>
            </w:r>
            <w:r>
              <w:rPr>
                <w:rFonts w:hint="eastAsia"/>
                <w:sz w:val="24"/>
              </w:rPr>
              <w:t xml:space="preserve">       </w:t>
            </w:r>
          </w:p>
          <w:p>
            <w:pPr>
              <w:spacing w:line="360" w:lineRule="auto"/>
              <w:ind w:right="170" w:rightChars="50" w:firstLine="480" w:firstLineChars="200"/>
              <w:rPr>
                <w:sz w:val="24"/>
              </w:rPr>
            </w:pPr>
            <w:r>
              <w:rPr>
                <w:rFonts w:hint="eastAsia"/>
                <w:sz w:val="24"/>
              </w:rPr>
              <w:t>联系电话：</w:t>
            </w:r>
            <w:r>
              <w:rPr>
                <w:rFonts w:hint="eastAsia"/>
                <w:sz w:val="24"/>
                <w:lang w:val="zh-CN"/>
              </w:rPr>
              <w:t>028-86582286。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67" w:hRule="atLeast"/>
          <w:jc w:val="center"/>
        </w:trPr>
        <w:tc>
          <w:tcPr>
            <w:tcW w:w="736" w:type="dxa"/>
            <w:tcBorders>
              <w:top w:val="single" w:color="auto" w:sz="4" w:space="0"/>
              <w:bottom w:val="single" w:color="auto" w:sz="4" w:space="0"/>
            </w:tcBorders>
            <w:vAlign w:val="center"/>
          </w:tcPr>
          <w:p>
            <w:pPr>
              <w:pStyle w:val="54"/>
              <w:spacing w:line="360" w:lineRule="auto"/>
              <w:ind w:right="264"/>
              <w:jc w:val="center"/>
              <w:rPr>
                <w:rFonts w:ascii="Times New Roman" w:hAnsi="Times New Roman" w:cs="Times New Roman"/>
                <w:kern w:val="2"/>
                <w:szCs w:val="28"/>
              </w:rPr>
            </w:pPr>
            <w:r>
              <w:rPr>
                <w:rFonts w:hint="eastAsia" w:ascii="Times New Roman" w:hAnsi="Times New Roman" w:cs="Times New Roman"/>
                <w:kern w:val="2"/>
                <w:szCs w:val="28"/>
              </w:rPr>
              <w:t>10</w:t>
            </w:r>
          </w:p>
        </w:tc>
        <w:tc>
          <w:tcPr>
            <w:tcW w:w="2243" w:type="dxa"/>
            <w:tcBorders>
              <w:top w:val="single" w:color="auto" w:sz="4" w:space="0"/>
              <w:bottom w:val="single" w:color="auto" w:sz="4" w:space="0"/>
            </w:tcBorders>
            <w:vAlign w:val="center"/>
          </w:tcPr>
          <w:p>
            <w:pPr>
              <w:pStyle w:val="54"/>
              <w:spacing w:line="360" w:lineRule="auto"/>
              <w:jc w:val="center"/>
              <w:rPr>
                <w:rFonts w:cs="Times New Roman"/>
                <w:kern w:val="2"/>
              </w:rPr>
            </w:pPr>
            <w:r>
              <w:rPr>
                <w:rFonts w:hint="eastAsia" w:cs="Times New Roman"/>
                <w:kern w:val="2"/>
              </w:rPr>
              <w:t>开标、评标工作咨询</w:t>
            </w:r>
          </w:p>
        </w:tc>
        <w:tc>
          <w:tcPr>
            <w:tcW w:w="5371" w:type="dxa"/>
            <w:tcBorders>
              <w:top w:val="single" w:color="auto" w:sz="4" w:space="0"/>
              <w:bottom w:val="single" w:color="auto" w:sz="4" w:space="0"/>
            </w:tcBorders>
            <w:vAlign w:val="top"/>
          </w:tcPr>
          <w:p>
            <w:pPr>
              <w:spacing w:line="360" w:lineRule="auto"/>
              <w:ind w:right="170" w:rightChars="50" w:firstLine="480" w:firstLineChars="200"/>
              <w:rPr>
                <w:sz w:val="24"/>
              </w:rPr>
            </w:pPr>
            <w:r>
              <w:rPr>
                <w:rFonts w:hint="eastAsia"/>
                <w:sz w:val="24"/>
              </w:rPr>
              <w:t>联系人：刘老师</w:t>
            </w:r>
            <w:r>
              <w:rPr>
                <w:rFonts w:hint="eastAsia"/>
                <w:sz w:val="24"/>
                <w:lang w:val="zh-CN"/>
              </w:rPr>
              <w:t>。</w:t>
            </w:r>
            <w:r>
              <w:rPr>
                <w:rFonts w:hint="eastAsia"/>
                <w:sz w:val="24"/>
              </w:rPr>
              <w:t xml:space="preserve">       </w:t>
            </w:r>
          </w:p>
          <w:p>
            <w:pPr>
              <w:spacing w:line="360" w:lineRule="auto"/>
              <w:ind w:right="170" w:rightChars="50" w:firstLine="480" w:firstLineChars="200"/>
              <w:rPr>
                <w:sz w:val="24"/>
              </w:rPr>
            </w:pPr>
            <w:r>
              <w:rPr>
                <w:rFonts w:hint="eastAsia"/>
                <w:sz w:val="24"/>
              </w:rPr>
              <w:t>联系电话：</w:t>
            </w:r>
            <w:r>
              <w:rPr>
                <w:rFonts w:hint="eastAsia"/>
                <w:sz w:val="24"/>
                <w:lang w:val="zh-CN"/>
              </w:rPr>
              <w:t>028-86582286。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14" w:hRule="atLeast"/>
          <w:jc w:val="center"/>
        </w:trPr>
        <w:tc>
          <w:tcPr>
            <w:tcW w:w="736" w:type="dxa"/>
            <w:tcBorders>
              <w:top w:val="single" w:color="auto" w:sz="4" w:space="0"/>
            </w:tcBorders>
            <w:vAlign w:val="center"/>
          </w:tcPr>
          <w:p>
            <w:pPr>
              <w:pStyle w:val="54"/>
              <w:spacing w:before="72" w:after="72" w:line="360" w:lineRule="auto"/>
              <w:ind w:right="264"/>
              <w:jc w:val="center"/>
              <w:rPr>
                <w:rFonts w:cs="Times New Roman"/>
                <w:kern w:val="2"/>
              </w:rPr>
            </w:pPr>
            <w:r>
              <w:rPr>
                <w:rFonts w:hint="eastAsia" w:cs="Times New Roman"/>
                <w:kern w:val="2"/>
              </w:rPr>
              <w:t>11</w:t>
            </w:r>
          </w:p>
        </w:tc>
        <w:tc>
          <w:tcPr>
            <w:tcW w:w="2243" w:type="dxa"/>
            <w:tcBorders>
              <w:top w:val="single" w:color="auto" w:sz="4" w:space="0"/>
            </w:tcBorders>
            <w:vAlign w:val="center"/>
          </w:tcPr>
          <w:p>
            <w:pPr>
              <w:spacing w:line="360" w:lineRule="auto"/>
              <w:ind w:left="170" w:leftChars="50" w:right="170" w:rightChars="50"/>
              <w:jc w:val="center"/>
              <w:rPr>
                <w:sz w:val="24"/>
              </w:rPr>
            </w:pPr>
            <w:r>
              <w:rPr>
                <w:rFonts w:hint="eastAsia"/>
                <w:sz w:val="24"/>
              </w:rPr>
              <w:t>中标通知书领取</w:t>
            </w:r>
          </w:p>
        </w:tc>
        <w:tc>
          <w:tcPr>
            <w:tcW w:w="5371" w:type="dxa"/>
            <w:tcBorders>
              <w:top w:val="single" w:color="auto" w:sz="4" w:space="0"/>
            </w:tcBorders>
            <w:vAlign w:val="center"/>
          </w:tcPr>
          <w:p>
            <w:pPr>
              <w:spacing w:line="360" w:lineRule="auto"/>
              <w:ind w:right="170" w:rightChars="50" w:firstLine="480" w:firstLineChars="200"/>
              <w:rPr>
                <w:sz w:val="24"/>
                <w:lang w:val="zh-CN"/>
              </w:rPr>
            </w:pPr>
            <w:r>
              <w:rPr>
                <w:rFonts w:hint="eastAsia"/>
                <w:sz w:val="24"/>
                <w:lang w:val="zh-CN"/>
              </w:rPr>
              <w:t>在四川政府采购网公告中标结果同时发出中标通知书，</w:t>
            </w:r>
            <w:r>
              <w:rPr>
                <w:rFonts w:hint="eastAsia" w:hAnsi="宋体" w:cs="宋体"/>
                <w:sz w:val="24"/>
                <w:szCs w:val="24"/>
                <w:lang w:val="zh-CN"/>
              </w:rPr>
              <w:t>请中标人凭有效身份证明证件到成都市武侯区武侯大道顺江段77号汇点广场3栋8楼31号四川华驰工程项目管理有限公司领取中标通知书</w:t>
            </w:r>
            <w:r>
              <w:rPr>
                <w:rFonts w:hint="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978" w:hRule="atLeast"/>
          <w:jc w:val="center"/>
        </w:trPr>
        <w:tc>
          <w:tcPr>
            <w:tcW w:w="736" w:type="dxa"/>
            <w:tcBorders>
              <w:top w:val="single" w:color="auto" w:sz="4" w:space="0"/>
            </w:tcBorders>
            <w:vAlign w:val="center"/>
          </w:tcPr>
          <w:p>
            <w:pPr>
              <w:pStyle w:val="54"/>
              <w:spacing w:line="360" w:lineRule="auto"/>
              <w:ind w:right="264"/>
              <w:jc w:val="center"/>
              <w:rPr>
                <w:rFonts w:cs="Times New Roman"/>
                <w:kern w:val="2"/>
              </w:rPr>
            </w:pPr>
            <w:r>
              <w:rPr>
                <w:rFonts w:hint="eastAsia" w:cs="Times New Roman"/>
                <w:kern w:val="2"/>
              </w:rPr>
              <w:t>12</w:t>
            </w:r>
          </w:p>
        </w:tc>
        <w:tc>
          <w:tcPr>
            <w:tcW w:w="2243" w:type="dxa"/>
            <w:tcBorders>
              <w:top w:val="single" w:color="auto" w:sz="4" w:space="0"/>
            </w:tcBorders>
            <w:vAlign w:val="center"/>
          </w:tcPr>
          <w:p>
            <w:pPr>
              <w:pStyle w:val="54"/>
              <w:spacing w:line="360" w:lineRule="auto"/>
              <w:jc w:val="center"/>
              <w:rPr>
                <w:rFonts w:cs="Times New Roman"/>
                <w:kern w:val="2"/>
              </w:rPr>
            </w:pPr>
          </w:p>
          <w:p>
            <w:pPr>
              <w:pStyle w:val="54"/>
              <w:spacing w:line="360" w:lineRule="auto"/>
              <w:jc w:val="center"/>
              <w:rPr>
                <w:rFonts w:cs="Times New Roman"/>
                <w:kern w:val="2"/>
              </w:rPr>
            </w:pPr>
            <w:r>
              <w:rPr>
                <w:rFonts w:hint="eastAsia" w:cs="Times New Roman"/>
                <w:kern w:val="2"/>
              </w:rPr>
              <w:t>供应商询问</w:t>
            </w:r>
          </w:p>
        </w:tc>
        <w:tc>
          <w:tcPr>
            <w:tcW w:w="5371" w:type="dxa"/>
            <w:tcBorders>
              <w:top w:val="single" w:color="auto" w:sz="4" w:space="0"/>
            </w:tcBorders>
            <w:vAlign w:val="top"/>
          </w:tcPr>
          <w:p>
            <w:pPr>
              <w:spacing w:line="360" w:lineRule="auto"/>
              <w:ind w:firstLine="480" w:firstLineChars="200"/>
              <w:rPr>
                <w:sz w:val="24"/>
              </w:rPr>
            </w:pPr>
            <w:r>
              <w:rPr>
                <w:rFonts w:hint="eastAsia" w:hAnsi="宋体" w:cs="宋体"/>
                <w:sz w:val="24"/>
                <w:szCs w:val="24"/>
                <w:lang w:val="zh-CN"/>
              </w:rPr>
              <w:t>根据委托代理协议约定，</w:t>
            </w:r>
            <w:r>
              <w:rPr>
                <w:rFonts w:hint="eastAsia"/>
                <w:sz w:val="24"/>
              </w:rPr>
              <w:t>采购人负责对采购文件商务、服务内容部分的询问答复，代理机构负责采购文件商务、服务内容部分以外的询问和质疑答复。供应商应通过书面形式提出询问，采购人负责询问答复的，由代理机构代为接收潜在投标人的询问或质疑书面文件，并代为向潜在投标人发出由采购人作出或采购人授权代理机构作出的书面答复文件。</w:t>
            </w:r>
          </w:p>
          <w:p>
            <w:pPr>
              <w:spacing w:line="360" w:lineRule="auto"/>
              <w:ind w:firstLine="480" w:firstLineChars="200"/>
              <w:rPr>
                <w:sz w:val="24"/>
                <w:lang w:val="zh-CN"/>
              </w:rPr>
            </w:pPr>
            <w:r>
              <w:rPr>
                <w:rFonts w:hint="eastAsia"/>
                <w:sz w:val="24"/>
                <w:lang w:val="zh-CN"/>
              </w:rPr>
              <w:t>联系人：</w:t>
            </w:r>
            <w:r>
              <w:rPr>
                <w:rFonts w:hint="eastAsia"/>
                <w:sz w:val="24"/>
              </w:rPr>
              <w:t>刘老师</w:t>
            </w:r>
            <w:r>
              <w:rPr>
                <w:rFonts w:hint="eastAsia"/>
                <w:sz w:val="24"/>
                <w:lang w:val="zh-CN"/>
              </w:rPr>
              <w:t>。</w:t>
            </w:r>
          </w:p>
          <w:p>
            <w:pPr>
              <w:spacing w:line="360" w:lineRule="auto"/>
              <w:ind w:firstLine="480" w:firstLineChars="200"/>
              <w:rPr>
                <w:sz w:val="24"/>
                <w:lang w:val="zh-CN"/>
              </w:rPr>
            </w:pPr>
            <w:r>
              <w:rPr>
                <w:rFonts w:hint="eastAsia"/>
                <w:sz w:val="24"/>
                <w:lang w:val="zh-CN"/>
              </w:rPr>
              <w:t>联系电话：028-86582286</w:t>
            </w:r>
            <w:r>
              <w:rPr>
                <w:rFonts w:hint="eastAsia"/>
                <w:sz w:val="24"/>
              </w:rPr>
              <w:t>-806</w:t>
            </w:r>
            <w:r>
              <w:rPr>
                <w:rFonts w:hint="eastAsia"/>
                <w:sz w:val="24"/>
                <w:lang w:val="zh-CN"/>
              </w:rPr>
              <w:t>。</w:t>
            </w:r>
          </w:p>
          <w:p>
            <w:pPr>
              <w:spacing w:line="360" w:lineRule="auto"/>
              <w:ind w:firstLine="480" w:firstLineChars="200"/>
              <w:rPr>
                <w:sz w:val="24"/>
                <w:lang w:val="zh-CN"/>
              </w:rPr>
            </w:pPr>
            <w:r>
              <w:rPr>
                <w:rFonts w:hint="eastAsia"/>
                <w:sz w:val="24"/>
                <w:lang w:val="zh-CN"/>
              </w:rPr>
              <w:t>地址：成都市武侯区武侯大道顺江段77号汇点广场3栋8楼31号。</w:t>
            </w:r>
          </w:p>
          <w:p>
            <w:pPr>
              <w:spacing w:line="360" w:lineRule="auto"/>
              <w:ind w:firstLine="480" w:firstLineChars="200"/>
              <w:rPr>
                <w:sz w:val="24"/>
              </w:rPr>
            </w:pPr>
            <w:r>
              <w:rPr>
                <w:rFonts w:hint="eastAsia"/>
                <w:sz w:val="24"/>
              </w:rPr>
              <w:t>邮编：</w:t>
            </w:r>
            <w:r>
              <w:rPr>
                <w:rFonts w:hint="eastAsia" w:hAnsi="宋体" w:cs="宋体"/>
                <w:sz w:val="24"/>
              </w:rPr>
              <w:t>610043</w:t>
            </w:r>
            <w:r>
              <w:rPr>
                <w:rFonts w:hint="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51" w:hRule="atLeast"/>
          <w:jc w:val="center"/>
        </w:trPr>
        <w:tc>
          <w:tcPr>
            <w:tcW w:w="736" w:type="dxa"/>
            <w:vAlign w:val="center"/>
          </w:tcPr>
          <w:p>
            <w:pPr>
              <w:pStyle w:val="54"/>
              <w:spacing w:line="360" w:lineRule="auto"/>
              <w:ind w:right="264"/>
              <w:jc w:val="center"/>
              <w:rPr>
                <w:rFonts w:ascii="Times New Roman" w:hAnsi="Times New Roman" w:cs="Times New Roman"/>
                <w:kern w:val="2"/>
                <w:szCs w:val="28"/>
              </w:rPr>
            </w:pPr>
            <w:r>
              <w:rPr>
                <w:rFonts w:hint="eastAsia" w:ascii="Times New Roman" w:hAnsi="Times New Roman" w:cs="Times New Roman"/>
                <w:kern w:val="2"/>
                <w:szCs w:val="28"/>
              </w:rPr>
              <w:t>13</w:t>
            </w:r>
          </w:p>
        </w:tc>
        <w:tc>
          <w:tcPr>
            <w:tcW w:w="2243" w:type="dxa"/>
            <w:vAlign w:val="center"/>
          </w:tcPr>
          <w:p>
            <w:pPr>
              <w:pStyle w:val="54"/>
              <w:spacing w:line="360" w:lineRule="auto"/>
              <w:jc w:val="center"/>
              <w:rPr>
                <w:rFonts w:cs="Times New Roman"/>
                <w:kern w:val="2"/>
              </w:rPr>
            </w:pPr>
            <w:r>
              <w:rPr>
                <w:rFonts w:hint="eastAsia" w:cs="Times New Roman"/>
                <w:kern w:val="2"/>
              </w:rPr>
              <w:t>供应商质疑</w:t>
            </w:r>
          </w:p>
        </w:tc>
        <w:tc>
          <w:tcPr>
            <w:tcW w:w="5371" w:type="dxa"/>
            <w:vAlign w:val="center"/>
          </w:tcPr>
          <w:p>
            <w:pPr>
              <w:spacing w:line="360" w:lineRule="auto"/>
              <w:ind w:firstLine="480" w:firstLineChars="200"/>
              <w:rPr>
                <w:sz w:val="24"/>
                <w:highlight w:val="red"/>
              </w:rPr>
            </w:pPr>
            <w:r>
              <w:rPr>
                <w:rFonts w:hint="eastAsia" w:hAnsi="宋体" w:cs="宋体"/>
                <w:sz w:val="24"/>
                <w:szCs w:val="24"/>
                <w:lang w:val="zh-CN"/>
              </w:rPr>
              <w:t>根据委托代理协议约定，</w:t>
            </w:r>
            <w:r>
              <w:rPr>
                <w:rFonts w:hint="eastAsia"/>
                <w:sz w:val="24"/>
              </w:rPr>
              <w:t>采购人负责对采购文件商务、服务内容部分的质疑答复，代理机构负责采购文件商务、服务内容部分以外的质疑答复。供应商应通过书面形式提出质疑，采购人负责质疑答复的，由代理机构代为接收潜在投标人的询问或质疑书面文件，并代为向潜在投标人发出由采购人作出或采购人授权代理机构作出的答复。</w:t>
            </w:r>
          </w:p>
          <w:p>
            <w:pPr>
              <w:spacing w:line="360" w:lineRule="auto"/>
              <w:ind w:firstLine="480" w:firstLineChars="200"/>
              <w:rPr>
                <w:rFonts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firstLine="360" w:firstLineChars="200"/>
              <w:jc w:val="left"/>
              <w:rPr>
                <w:rFonts w:hint="eastAsia"/>
                <w:sz w:val="18"/>
                <w:szCs w:val="18"/>
                <w:lang w:val="zh-CN"/>
              </w:rPr>
            </w:pPr>
            <w:r>
              <w:rPr>
                <w:rFonts w:hint="eastAsia"/>
                <w:sz w:val="18"/>
                <w:szCs w:val="18"/>
                <w:lang w:val="zh-CN"/>
              </w:rPr>
              <w:t>注：1、根据《中华人民共和国政府采购法》的规定，供应商质疑不得超出采购文件、采购过程、采购结果的范围。</w:t>
            </w:r>
          </w:p>
          <w:p>
            <w:pPr>
              <w:spacing w:line="360" w:lineRule="auto"/>
              <w:ind w:right="170" w:rightChars="50" w:firstLine="360" w:firstLineChars="200"/>
              <w:jc w:val="left"/>
              <w:rPr>
                <w:sz w:val="24"/>
              </w:rPr>
            </w:pPr>
            <w:r>
              <w:rPr>
                <w:rFonts w:hint="eastAsia"/>
                <w:sz w:val="18"/>
                <w:szCs w:val="18"/>
                <w:lang w:val="zh-CN"/>
              </w:rPr>
              <w:t>2、投标人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118" w:hRule="atLeast"/>
          <w:jc w:val="center"/>
        </w:trPr>
        <w:tc>
          <w:tcPr>
            <w:tcW w:w="736" w:type="dxa"/>
            <w:vAlign w:val="center"/>
          </w:tcPr>
          <w:p>
            <w:pPr>
              <w:pStyle w:val="54"/>
              <w:spacing w:line="360" w:lineRule="auto"/>
              <w:ind w:right="264"/>
              <w:jc w:val="center"/>
              <w:rPr>
                <w:rFonts w:ascii="Times New Roman" w:hAnsi="Times New Roman" w:cs="Times New Roman"/>
                <w:kern w:val="2"/>
                <w:szCs w:val="28"/>
              </w:rPr>
            </w:pPr>
            <w:r>
              <w:rPr>
                <w:rFonts w:hint="eastAsia" w:ascii="Times New Roman" w:hAnsi="Times New Roman" w:cs="Times New Roman"/>
                <w:kern w:val="2"/>
                <w:szCs w:val="28"/>
              </w:rPr>
              <w:t>14</w:t>
            </w:r>
          </w:p>
        </w:tc>
        <w:tc>
          <w:tcPr>
            <w:tcW w:w="2243" w:type="dxa"/>
            <w:vAlign w:val="center"/>
          </w:tcPr>
          <w:p>
            <w:pPr>
              <w:pStyle w:val="54"/>
              <w:spacing w:line="360" w:lineRule="auto"/>
              <w:jc w:val="center"/>
              <w:rPr>
                <w:rFonts w:cs="Times New Roman"/>
                <w:kern w:val="2"/>
              </w:rPr>
            </w:pPr>
            <w:r>
              <w:rPr>
                <w:rFonts w:hint="eastAsia" w:hAnsi="Times New Roman" w:cs="Times New Roman"/>
                <w:szCs w:val="22"/>
              </w:rPr>
              <w:t>供应商投诉</w:t>
            </w:r>
          </w:p>
        </w:tc>
        <w:tc>
          <w:tcPr>
            <w:tcW w:w="5371" w:type="dxa"/>
            <w:vAlign w:val="top"/>
          </w:tcPr>
          <w:p>
            <w:pPr>
              <w:spacing w:line="360" w:lineRule="auto"/>
              <w:ind w:right="170" w:rightChars="50" w:firstLine="480" w:firstLineChars="200"/>
              <w:jc w:val="left"/>
              <w:rPr>
                <w:sz w:val="24"/>
                <w:lang w:val="zh-CN"/>
              </w:rPr>
            </w:pPr>
            <w:r>
              <w:rPr>
                <w:rFonts w:hint="eastAsia"/>
                <w:sz w:val="24"/>
                <w:lang w:val="zh-CN"/>
              </w:rPr>
              <w:t>投诉受理单位：本采购项目同级财政部门，即成都市郫都区财政局。</w:t>
            </w:r>
          </w:p>
          <w:p>
            <w:pPr>
              <w:pStyle w:val="54"/>
              <w:spacing w:line="360" w:lineRule="auto"/>
              <w:ind w:firstLine="480" w:firstLineChars="200"/>
              <w:rPr>
                <w:kern w:val="2"/>
              </w:rPr>
            </w:pPr>
            <w:r>
              <w:rPr>
                <w:rFonts w:hint="eastAsia"/>
                <w:kern w:val="2"/>
              </w:rPr>
              <w:t>联系电话：028-</w:t>
            </w:r>
            <w:r>
              <w:rPr>
                <w:rFonts w:hint="eastAsia"/>
                <w:kern w:val="2"/>
                <w:lang w:val="en-US" w:eastAsia="zh-CN"/>
              </w:rPr>
              <w:t>87882979</w:t>
            </w:r>
            <w:bookmarkStart w:id="214" w:name="_GoBack"/>
            <w:bookmarkEnd w:id="214"/>
            <w:r>
              <w:rPr>
                <w:rFonts w:hint="eastAsia"/>
                <w:kern w:val="2"/>
              </w:rPr>
              <w:t>。</w:t>
            </w:r>
          </w:p>
          <w:p>
            <w:pPr>
              <w:pStyle w:val="54"/>
              <w:spacing w:line="360" w:lineRule="auto"/>
              <w:ind w:firstLine="480" w:firstLineChars="200"/>
              <w:rPr>
                <w:kern w:val="2"/>
              </w:rPr>
            </w:pPr>
            <w:r>
              <w:rPr>
                <w:rFonts w:hint="eastAsia"/>
                <w:kern w:val="2"/>
              </w:rPr>
              <w:t>地址：成都市郫都区望丛中路998号</w:t>
            </w:r>
          </w:p>
          <w:p>
            <w:pPr>
              <w:spacing w:line="360" w:lineRule="auto"/>
              <w:ind w:right="170" w:rightChars="50" w:firstLine="360" w:firstLineChars="200"/>
              <w:jc w:val="left"/>
              <w:rPr>
                <w:sz w:val="24"/>
              </w:rPr>
            </w:pPr>
            <w:r>
              <w:rPr>
                <w:rFonts w:hint="eastAsia"/>
                <w:sz w:val="18"/>
                <w:szCs w:val="18"/>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1481" w:hRule="atLeast"/>
          <w:jc w:val="center"/>
        </w:trPr>
        <w:tc>
          <w:tcPr>
            <w:tcW w:w="736" w:type="dxa"/>
            <w:vAlign w:val="center"/>
          </w:tcPr>
          <w:p>
            <w:pPr>
              <w:spacing w:line="360" w:lineRule="auto"/>
              <w:ind w:firstLine="360" w:firstLineChars="150"/>
              <w:jc w:val="center"/>
              <w:rPr>
                <w:sz w:val="24"/>
              </w:rPr>
            </w:pPr>
          </w:p>
          <w:p>
            <w:pPr>
              <w:spacing w:line="360" w:lineRule="auto"/>
              <w:ind w:firstLine="120" w:firstLineChars="50"/>
              <w:rPr>
                <w:sz w:val="24"/>
              </w:rPr>
            </w:pPr>
            <w:r>
              <w:rPr>
                <w:rFonts w:hint="eastAsia"/>
                <w:sz w:val="24"/>
              </w:rPr>
              <w:t>15</w:t>
            </w:r>
          </w:p>
        </w:tc>
        <w:tc>
          <w:tcPr>
            <w:tcW w:w="2243" w:type="dxa"/>
            <w:tcBorders>
              <w:right w:val="single" w:color="auto" w:sz="4" w:space="0"/>
            </w:tcBorders>
            <w:vAlign w:val="top"/>
          </w:tcPr>
          <w:p>
            <w:pPr>
              <w:spacing w:line="360" w:lineRule="auto"/>
              <w:jc w:val="center"/>
              <w:rPr>
                <w:sz w:val="24"/>
              </w:rPr>
            </w:pPr>
          </w:p>
          <w:p>
            <w:pPr>
              <w:spacing w:line="360" w:lineRule="auto"/>
              <w:ind w:firstLine="120" w:firstLineChars="50"/>
              <w:jc w:val="center"/>
              <w:rPr>
                <w:sz w:val="24"/>
              </w:rPr>
            </w:pPr>
            <w:r>
              <w:rPr>
                <w:rFonts w:hint="eastAsia"/>
                <w:sz w:val="24"/>
              </w:rPr>
              <w:t>政府采购合同</w:t>
            </w:r>
          </w:p>
          <w:p>
            <w:pPr>
              <w:spacing w:line="360" w:lineRule="auto"/>
              <w:ind w:firstLine="120" w:firstLineChars="50"/>
              <w:jc w:val="center"/>
              <w:rPr>
                <w:sz w:val="24"/>
              </w:rPr>
            </w:pPr>
            <w:r>
              <w:rPr>
                <w:rFonts w:hint="eastAsia"/>
                <w:sz w:val="24"/>
              </w:rPr>
              <w:t>公告备案</w:t>
            </w:r>
          </w:p>
        </w:tc>
        <w:tc>
          <w:tcPr>
            <w:tcW w:w="5371" w:type="dxa"/>
            <w:tcBorders>
              <w:left w:val="single" w:color="auto" w:sz="4" w:space="0"/>
            </w:tcBorders>
            <w:vAlign w:val="top"/>
          </w:tcPr>
          <w:p>
            <w:pPr>
              <w:spacing w:line="360" w:lineRule="auto"/>
              <w:ind w:firstLine="480" w:firstLineChars="200"/>
              <w:rPr>
                <w:sz w:val="24"/>
              </w:rPr>
            </w:pPr>
            <w:r>
              <w:rPr>
                <w:rFonts w:hint="eastAsia"/>
                <w:sz w:val="24"/>
              </w:rPr>
              <w:t>政府采购合同签订之日起2个工作日内，政府采购合同将在四川政府采购网公告；政府采购合同签订之日起七个工作日内，政府采购合同将向本采购项目同级财政部门，即</w:t>
            </w:r>
            <w:r>
              <w:rPr>
                <w:rFonts w:hint="eastAsia" w:hAnsi="宋体" w:cs="宋体"/>
                <w:sz w:val="24"/>
                <w:szCs w:val="24"/>
              </w:rPr>
              <w:t>成都市郫都区财政局</w:t>
            </w:r>
            <w:r>
              <w:rPr>
                <w:rFonts w:hint="eastAsia"/>
                <w:sz w:val="24"/>
                <w:lang w:val="zh-CN"/>
              </w:rPr>
              <w:t>备案。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43" w:hRule="atLeast"/>
          <w:jc w:val="center"/>
        </w:trPr>
        <w:tc>
          <w:tcPr>
            <w:tcW w:w="736" w:type="dxa"/>
            <w:vAlign w:val="center"/>
          </w:tcPr>
          <w:p>
            <w:pPr>
              <w:spacing w:line="360" w:lineRule="auto"/>
              <w:ind w:firstLine="120" w:firstLineChars="50"/>
              <w:rPr>
                <w:sz w:val="24"/>
              </w:rPr>
            </w:pPr>
            <w:r>
              <w:rPr>
                <w:rFonts w:hint="eastAsia"/>
                <w:sz w:val="24"/>
              </w:rPr>
              <w:t>16</w:t>
            </w:r>
          </w:p>
        </w:tc>
        <w:tc>
          <w:tcPr>
            <w:tcW w:w="2243" w:type="dxa"/>
            <w:tcBorders>
              <w:right w:val="single" w:color="auto" w:sz="4" w:space="0"/>
            </w:tcBorders>
            <w:vAlign w:val="center"/>
          </w:tcPr>
          <w:p>
            <w:pPr>
              <w:spacing w:line="360" w:lineRule="auto"/>
              <w:ind w:firstLine="120" w:firstLineChars="50"/>
              <w:jc w:val="center"/>
              <w:rPr>
                <w:sz w:val="24"/>
              </w:rPr>
            </w:pPr>
            <w:r>
              <w:rPr>
                <w:rFonts w:hint="eastAsia"/>
                <w:sz w:val="24"/>
              </w:rPr>
              <w:t>招标代理服务费</w:t>
            </w:r>
          </w:p>
        </w:tc>
        <w:tc>
          <w:tcPr>
            <w:tcW w:w="5371" w:type="dxa"/>
            <w:tcBorders>
              <w:left w:val="single" w:color="auto" w:sz="4" w:space="0"/>
            </w:tcBorders>
            <w:vAlign w:val="center"/>
          </w:tcPr>
          <w:p>
            <w:pPr>
              <w:widowControl/>
              <w:snapToGrid w:val="0"/>
              <w:spacing w:line="540" w:lineRule="exact"/>
              <w:ind w:firstLine="480" w:firstLineChars="200"/>
              <w:rPr>
                <w:sz w:val="24"/>
              </w:rPr>
            </w:pPr>
            <w:r>
              <w:rPr>
                <w:rFonts w:hint="eastAsia"/>
                <w:sz w:val="24"/>
                <w:lang w:val="zh-CN"/>
              </w:rPr>
              <w:t>本项目按照采购代理机构与采购人签订的委托</w:t>
            </w:r>
            <w:r>
              <w:rPr>
                <w:rFonts w:hint="eastAsia"/>
                <w:sz w:val="24"/>
              </w:rPr>
              <w:t>代理协议</w:t>
            </w:r>
            <w:r>
              <w:rPr>
                <w:rFonts w:hint="eastAsia"/>
                <w:sz w:val="24"/>
                <w:lang w:val="zh-CN"/>
              </w:rPr>
              <w:t>,</w:t>
            </w:r>
            <w:r>
              <w:rPr>
                <w:rFonts w:hint="eastAsia"/>
                <w:sz w:val="24"/>
              </w:rPr>
              <w:t>按照《招标代理服务收费管理暂行办法》（计价格［2002］1980号）文件规定，以中标价作为计算基础收取，由中标人在领取中标通知书时一次性向采购代理机构全额支付。</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43" w:hRule="atLeast"/>
          <w:jc w:val="center"/>
        </w:trPr>
        <w:tc>
          <w:tcPr>
            <w:tcW w:w="736" w:type="dxa"/>
            <w:vAlign w:val="center"/>
          </w:tcPr>
          <w:p>
            <w:pPr>
              <w:spacing w:line="360" w:lineRule="auto"/>
              <w:ind w:firstLine="120" w:firstLineChars="50"/>
              <w:rPr>
                <w:sz w:val="24"/>
              </w:rPr>
            </w:pPr>
            <w:r>
              <w:rPr>
                <w:rFonts w:hint="eastAsia"/>
                <w:sz w:val="24"/>
              </w:rPr>
              <w:t>17</w:t>
            </w:r>
          </w:p>
        </w:tc>
        <w:tc>
          <w:tcPr>
            <w:tcW w:w="2243" w:type="dxa"/>
            <w:tcBorders>
              <w:right w:val="single" w:color="auto" w:sz="4" w:space="0"/>
            </w:tcBorders>
            <w:vAlign w:val="center"/>
          </w:tcPr>
          <w:p>
            <w:pPr>
              <w:spacing w:line="360" w:lineRule="auto"/>
              <w:ind w:firstLine="120" w:firstLineChars="50"/>
              <w:jc w:val="center"/>
              <w:rPr>
                <w:sz w:val="24"/>
              </w:rPr>
            </w:pPr>
            <w:r>
              <w:rPr>
                <w:rFonts w:hint="eastAsia"/>
                <w:sz w:val="24"/>
              </w:rPr>
              <w:t>温馨提示</w:t>
            </w:r>
          </w:p>
        </w:tc>
        <w:tc>
          <w:tcPr>
            <w:tcW w:w="5371" w:type="dxa"/>
            <w:tcBorders>
              <w:left w:val="single" w:color="auto" w:sz="4" w:space="0"/>
            </w:tcBorders>
            <w:vAlign w:val="center"/>
          </w:tcPr>
          <w:p>
            <w:pPr>
              <w:pStyle w:val="54"/>
              <w:spacing w:line="360" w:lineRule="auto"/>
              <w:ind w:firstLine="480" w:firstLineChars="200"/>
              <w:rPr>
                <w:rFonts w:hAnsi="Times New Roman" w:cs="Times New Roman"/>
                <w:szCs w:val="22"/>
                <w:lang w:val="zh-CN"/>
              </w:rPr>
            </w:pPr>
            <w:r>
              <w:rPr>
                <w:rFonts w:hint="eastAsia" w:hAnsi="Times New Roman" w:cs="Times New Roman"/>
                <w:szCs w:val="22"/>
              </w:rPr>
              <w:t>1、</w:t>
            </w:r>
            <w:r>
              <w:rPr>
                <w:rFonts w:hint="eastAsia" w:hAnsi="Times New Roman" w:cs="Times New Roman"/>
                <w:szCs w:val="22"/>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54"/>
              <w:spacing w:line="360" w:lineRule="auto"/>
              <w:ind w:firstLine="480" w:firstLineChars="200"/>
              <w:jc w:val="both"/>
              <w:rPr>
                <w:rFonts w:hAnsi="Times New Roman" w:cs="Times New Roman"/>
                <w:szCs w:val="22"/>
                <w:lang w:val="zh-CN"/>
              </w:rPr>
            </w:pPr>
            <w:r>
              <w:rPr>
                <w:rFonts w:hint="eastAsia" w:hAnsi="Times New Roman" w:cs="Times New Roman"/>
                <w:szCs w:val="22"/>
                <w:lang w:val="zh-CN"/>
              </w:rPr>
              <w:t>2、政府采购云平台供应商注册地址：</w:t>
            </w:r>
          </w:p>
          <w:p>
            <w:pPr>
              <w:widowControl/>
              <w:snapToGrid w:val="0"/>
              <w:spacing w:line="540" w:lineRule="exact"/>
              <w:ind w:firstLine="480" w:firstLineChars="200"/>
              <w:rPr>
                <w:sz w:val="24"/>
                <w:lang w:val="zh-CN"/>
              </w:rPr>
            </w:pPr>
            <w:r>
              <w:rPr>
                <w:rFonts w:hint="eastAsia"/>
                <w:sz w:val="24"/>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443" w:hRule="atLeast"/>
          <w:jc w:val="center"/>
        </w:trPr>
        <w:tc>
          <w:tcPr>
            <w:tcW w:w="736" w:type="dxa"/>
            <w:vAlign w:val="center"/>
          </w:tcPr>
          <w:p>
            <w:pPr>
              <w:spacing w:line="360" w:lineRule="auto"/>
              <w:ind w:firstLine="120" w:firstLineChars="50"/>
              <w:rPr>
                <w:sz w:val="24"/>
              </w:rPr>
            </w:pPr>
            <w:r>
              <w:rPr>
                <w:rFonts w:hint="eastAsia"/>
                <w:sz w:val="24"/>
              </w:rPr>
              <w:t>18</w:t>
            </w:r>
          </w:p>
        </w:tc>
        <w:tc>
          <w:tcPr>
            <w:tcW w:w="2243" w:type="dxa"/>
            <w:tcBorders>
              <w:right w:val="single" w:color="auto" w:sz="4" w:space="0"/>
            </w:tcBorders>
            <w:vAlign w:val="center"/>
          </w:tcPr>
          <w:p>
            <w:pPr>
              <w:spacing w:line="360" w:lineRule="auto"/>
              <w:ind w:firstLine="120" w:firstLineChars="50"/>
              <w:jc w:val="center"/>
              <w:rPr>
                <w:sz w:val="24"/>
              </w:rPr>
            </w:pPr>
            <w:r>
              <w:rPr>
                <w:rFonts w:hint="eastAsia"/>
                <w:sz w:val="24"/>
              </w:rPr>
              <w:t>本项目所属</w:t>
            </w:r>
          </w:p>
          <w:p>
            <w:pPr>
              <w:spacing w:line="360" w:lineRule="auto"/>
              <w:ind w:firstLine="120" w:firstLineChars="50"/>
              <w:jc w:val="center"/>
              <w:rPr>
                <w:sz w:val="24"/>
              </w:rPr>
            </w:pPr>
            <w:r>
              <w:rPr>
                <w:rFonts w:hint="eastAsia"/>
                <w:sz w:val="24"/>
              </w:rPr>
              <w:t>行业</w:t>
            </w:r>
          </w:p>
        </w:tc>
        <w:tc>
          <w:tcPr>
            <w:tcW w:w="5371" w:type="dxa"/>
            <w:tcBorders>
              <w:left w:val="single" w:color="auto" w:sz="4" w:space="0"/>
            </w:tcBorders>
            <w:vAlign w:val="center"/>
          </w:tcPr>
          <w:p>
            <w:pPr>
              <w:widowControl/>
              <w:snapToGrid w:val="0"/>
              <w:spacing w:line="540" w:lineRule="exact"/>
              <w:ind w:firstLine="480" w:firstLineChars="200"/>
              <w:rPr>
                <w:sz w:val="24"/>
                <w:lang w:val="zh-CN"/>
              </w:rPr>
            </w:pPr>
            <w:r>
              <w:rPr>
                <w:rFonts w:hint="eastAsia" w:hAnsi="宋体" w:cs="宋体"/>
                <w:sz w:val="24"/>
                <w:szCs w:val="24"/>
              </w:rPr>
              <w:t>其他未列明</w:t>
            </w:r>
            <w:r>
              <w:rPr>
                <w:rFonts w:hAnsi="宋体" w:cs="宋体"/>
                <w:sz w:val="24"/>
                <w:szCs w:val="24"/>
              </w:rPr>
              <w:t>行业</w:t>
            </w:r>
          </w:p>
        </w:tc>
      </w:tr>
    </w:tbl>
    <w:p>
      <w:pPr>
        <w:pStyle w:val="5"/>
        <w:spacing w:line="360" w:lineRule="auto"/>
        <w:jc w:val="center"/>
        <w:rPr>
          <w:rFonts w:ascii="黑体"/>
          <w:bCs w:val="0"/>
        </w:rPr>
      </w:pPr>
      <w:r>
        <w:rPr>
          <w:rFonts w:hint="eastAsia" w:ascii="黑体"/>
          <w:bCs w:val="0"/>
        </w:rPr>
        <w:br w:type="page"/>
      </w:r>
      <w:r>
        <w:rPr>
          <w:rFonts w:hint="eastAsia" w:ascii="黑体"/>
          <w:bCs w:val="0"/>
        </w:rPr>
        <w:t>二、总  则</w:t>
      </w:r>
    </w:p>
    <w:p>
      <w:pPr>
        <w:pStyle w:val="6"/>
        <w:spacing w:line="360" w:lineRule="auto"/>
        <w:ind w:firstLine="482" w:firstLineChars="200"/>
        <w:rPr>
          <w:sz w:val="24"/>
        </w:rPr>
      </w:pPr>
      <w:bookmarkStart w:id="19" w:name="_Toc183582205"/>
      <w:bookmarkStart w:id="20" w:name="_Toc183682342"/>
      <w:bookmarkStart w:id="21" w:name="_Toc217446034"/>
      <w:r>
        <w:rPr>
          <w:rFonts w:hint="eastAsia"/>
          <w:sz w:val="24"/>
        </w:rPr>
        <w:t>1.</w:t>
      </w:r>
      <w:bookmarkEnd w:id="19"/>
      <w:bookmarkEnd w:id="20"/>
      <w:r>
        <w:rPr>
          <w:rFonts w:hint="eastAsia"/>
        </w:rPr>
        <w:t xml:space="preserve"> </w:t>
      </w:r>
      <w:r>
        <w:rPr>
          <w:rFonts w:hint="eastAsia"/>
          <w:sz w:val="24"/>
          <w:szCs w:val="24"/>
        </w:rPr>
        <w:t>适用范围</w:t>
      </w:r>
      <w:bookmarkEnd w:id="21"/>
    </w:p>
    <w:p>
      <w:pPr>
        <w:tabs>
          <w:tab w:val="left" w:pos="7665"/>
        </w:tabs>
        <w:spacing w:line="360" w:lineRule="auto"/>
        <w:ind w:firstLine="480" w:firstLineChars="200"/>
        <w:rPr>
          <w:sz w:val="24"/>
        </w:rPr>
      </w:pPr>
      <w:r>
        <w:rPr>
          <w:rFonts w:hint="eastAsia"/>
          <w:sz w:val="24"/>
        </w:rPr>
        <w:t>1.1 本招标文件仅适用于本次招标采购项目。</w:t>
      </w:r>
    </w:p>
    <w:p>
      <w:pPr>
        <w:pStyle w:val="6"/>
        <w:spacing w:line="360" w:lineRule="auto"/>
        <w:ind w:firstLine="482" w:firstLineChars="200"/>
        <w:rPr>
          <w:sz w:val="24"/>
        </w:rPr>
      </w:pPr>
      <w:bookmarkStart w:id="22" w:name="_Toc183682343"/>
      <w:bookmarkStart w:id="23" w:name="_Toc183582206"/>
      <w:bookmarkStart w:id="24" w:name="_Toc217446035"/>
      <w:r>
        <w:rPr>
          <w:rFonts w:hint="eastAsia"/>
          <w:sz w:val="24"/>
        </w:rPr>
        <w:t xml:space="preserve">2. </w:t>
      </w:r>
      <w:bookmarkEnd w:id="22"/>
      <w:bookmarkEnd w:id="23"/>
      <w:r>
        <w:rPr>
          <w:rFonts w:hint="eastAsia"/>
          <w:sz w:val="24"/>
        </w:rPr>
        <w:t>有关</w:t>
      </w:r>
      <w:r>
        <w:rPr>
          <w:rFonts w:hint="eastAsia"/>
          <w:sz w:val="24"/>
          <w:szCs w:val="24"/>
        </w:rPr>
        <w:t>定义</w:t>
      </w:r>
      <w:bookmarkEnd w:id="24"/>
    </w:p>
    <w:p>
      <w:pPr>
        <w:spacing w:line="360" w:lineRule="auto"/>
        <w:ind w:firstLine="480" w:firstLineChars="200"/>
        <w:rPr>
          <w:sz w:val="24"/>
        </w:rPr>
      </w:pPr>
      <w:r>
        <w:rPr>
          <w:rFonts w:hint="eastAsia"/>
          <w:sz w:val="24"/>
        </w:rPr>
        <w:t>2.1 “采购人”系指依法进行政府采购的国家机关、事业单位、团体组织。本次招标的采购人是</w:t>
      </w:r>
      <w:r>
        <w:rPr>
          <w:rFonts w:hint="eastAsia"/>
          <w:sz w:val="24"/>
          <w:u w:val="single"/>
          <w:lang w:val="zh-CN"/>
        </w:rPr>
        <w:t>成都市郫都区规划和自然资源局</w:t>
      </w:r>
      <w:r>
        <w:rPr>
          <w:rFonts w:hint="eastAsia"/>
          <w:sz w:val="24"/>
        </w:rPr>
        <w:t>。</w:t>
      </w:r>
    </w:p>
    <w:p>
      <w:pPr>
        <w:tabs>
          <w:tab w:val="left" w:pos="7665"/>
        </w:tabs>
        <w:spacing w:line="360" w:lineRule="auto"/>
        <w:ind w:firstLine="480" w:firstLineChars="200"/>
        <w:rPr>
          <w:sz w:val="24"/>
        </w:rPr>
      </w:pPr>
      <w:r>
        <w:rPr>
          <w:rFonts w:hint="eastAsia"/>
          <w:sz w:val="24"/>
        </w:rPr>
        <w:t>2.2 “采购代理机构”系指根据采购人的委托依法办理招标事宜的采购机构。本次招标的采购代理机构是</w:t>
      </w:r>
      <w:r>
        <w:rPr>
          <w:rFonts w:hint="eastAsia"/>
          <w:sz w:val="24"/>
          <w:u w:val="single"/>
        </w:rPr>
        <w:t>四川华驰工程项目管理有限公司</w:t>
      </w:r>
      <w:r>
        <w:rPr>
          <w:rFonts w:hint="eastAsia"/>
          <w:sz w:val="24"/>
        </w:rPr>
        <w:t>。</w:t>
      </w:r>
    </w:p>
    <w:p>
      <w:pPr>
        <w:tabs>
          <w:tab w:val="left" w:pos="7665"/>
        </w:tabs>
        <w:spacing w:line="360" w:lineRule="auto"/>
        <w:ind w:firstLine="480" w:firstLineChars="200"/>
        <w:rPr>
          <w:sz w:val="24"/>
        </w:rPr>
      </w:pPr>
      <w:r>
        <w:rPr>
          <w:rFonts w:hint="eastAsia"/>
          <w:sz w:val="24"/>
        </w:rPr>
        <w:t>2.3 “招标采购单位”系指“采购人”和“采购代理机构”的统称。</w:t>
      </w:r>
    </w:p>
    <w:p>
      <w:pPr>
        <w:tabs>
          <w:tab w:val="left" w:pos="7665"/>
        </w:tabs>
        <w:spacing w:line="360" w:lineRule="auto"/>
        <w:ind w:firstLine="480" w:firstLineChars="200"/>
        <w:rPr>
          <w:sz w:val="24"/>
        </w:rPr>
      </w:pPr>
      <w:r>
        <w:rPr>
          <w:rFonts w:hint="eastAsia"/>
          <w:sz w:val="24"/>
        </w:rPr>
        <w:t>2.4 “投标人”系指购买了招标文件拟参加投标和向采购人提供货物及相应服务的供应商。</w:t>
      </w:r>
    </w:p>
    <w:p>
      <w:pPr>
        <w:pStyle w:val="6"/>
        <w:spacing w:line="360" w:lineRule="auto"/>
        <w:ind w:firstLine="482" w:firstLineChars="200"/>
        <w:rPr>
          <w:sz w:val="24"/>
        </w:rPr>
      </w:pPr>
      <w:bookmarkStart w:id="25" w:name="_Toc183682344"/>
      <w:bookmarkStart w:id="26" w:name="_Toc217390843"/>
      <w:bookmarkStart w:id="27" w:name="_Toc217446036"/>
      <w:bookmarkStart w:id="28" w:name="_Toc183582207"/>
      <w:r>
        <w:rPr>
          <w:rFonts w:hint="eastAsia"/>
          <w:sz w:val="24"/>
        </w:rPr>
        <w:t>3. 合格的投标人</w:t>
      </w:r>
      <w:bookmarkEnd w:id="25"/>
      <w:bookmarkEnd w:id="26"/>
      <w:bookmarkEnd w:id="27"/>
      <w:bookmarkEnd w:id="28"/>
      <w:r>
        <w:rPr>
          <w:rFonts w:hint="eastAsia"/>
          <w:sz w:val="24"/>
          <w:szCs w:val="24"/>
        </w:rPr>
        <w:t>（实质性要求）</w:t>
      </w:r>
    </w:p>
    <w:p>
      <w:pPr>
        <w:tabs>
          <w:tab w:val="left" w:pos="7665"/>
        </w:tabs>
        <w:spacing w:line="360" w:lineRule="auto"/>
        <w:rPr>
          <w:sz w:val="24"/>
        </w:rPr>
      </w:pPr>
      <w:r>
        <w:rPr>
          <w:rFonts w:hint="eastAsia"/>
          <w:b/>
          <w:sz w:val="24"/>
        </w:rPr>
        <w:t xml:space="preserve">    </w:t>
      </w:r>
      <w:r>
        <w:rPr>
          <w:rFonts w:hint="eastAsia"/>
          <w:sz w:val="24"/>
        </w:rPr>
        <w:t>合格的投标人应具备以下条件：</w:t>
      </w:r>
    </w:p>
    <w:p>
      <w:pPr>
        <w:tabs>
          <w:tab w:val="left" w:pos="7665"/>
        </w:tabs>
        <w:spacing w:line="360" w:lineRule="auto"/>
        <w:ind w:firstLine="480" w:firstLineChars="200"/>
        <w:rPr>
          <w:spacing w:val="-4"/>
          <w:sz w:val="24"/>
        </w:rPr>
      </w:pPr>
      <w:r>
        <w:rPr>
          <w:rFonts w:hint="eastAsia"/>
          <w:sz w:val="24"/>
        </w:rPr>
        <w:t>（1）本招标文件规定的投标人资格条件</w:t>
      </w:r>
      <w:r>
        <w:rPr>
          <w:rFonts w:hint="eastAsia"/>
          <w:spacing w:val="-4"/>
          <w:sz w:val="24"/>
        </w:rPr>
        <w:t>；</w:t>
      </w:r>
    </w:p>
    <w:p>
      <w:pPr>
        <w:tabs>
          <w:tab w:val="left" w:pos="7665"/>
        </w:tabs>
        <w:spacing w:line="360" w:lineRule="auto"/>
        <w:rPr>
          <w:sz w:val="24"/>
        </w:rPr>
      </w:pPr>
      <w:r>
        <w:rPr>
          <w:rFonts w:hint="eastAsia"/>
          <w:sz w:val="24"/>
        </w:rPr>
        <w:t xml:space="preserve">    （2）遵守国家有关的法律、法规、规章和其他政策制度；</w:t>
      </w:r>
    </w:p>
    <w:p>
      <w:pPr>
        <w:tabs>
          <w:tab w:val="left" w:pos="7665"/>
        </w:tabs>
        <w:spacing w:line="360" w:lineRule="auto"/>
        <w:ind w:firstLine="480" w:firstLineChars="200"/>
        <w:rPr>
          <w:sz w:val="24"/>
        </w:rPr>
      </w:pPr>
      <w:r>
        <w:rPr>
          <w:rFonts w:hint="eastAsia"/>
          <w:sz w:val="24"/>
        </w:rPr>
        <w:t>（3）向采购代理机构购买了招标文件。</w:t>
      </w:r>
    </w:p>
    <w:p>
      <w:pPr>
        <w:pStyle w:val="6"/>
        <w:spacing w:line="360" w:lineRule="auto"/>
        <w:ind w:firstLine="482" w:firstLineChars="200"/>
        <w:rPr>
          <w:sz w:val="24"/>
        </w:rPr>
      </w:pPr>
      <w:bookmarkStart w:id="29" w:name="_Toc183682345"/>
      <w:bookmarkStart w:id="30" w:name="_Toc217446037"/>
      <w:bookmarkStart w:id="31" w:name="_Toc183582208"/>
      <w:r>
        <w:rPr>
          <w:rFonts w:hint="eastAsia"/>
          <w:sz w:val="24"/>
        </w:rPr>
        <w:t>4. 投标费用</w:t>
      </w:r>
      <w:bookmarkEnd w:id="29"/>
      <w:bookmarkEnd w:id="30"/>
      <w:bookmarkEnd w:id="31"/>
      <w:r>
        <w:rPr>
          <w:rFonts w:hint="eastAsia"/>
          <w:sz w:val="24"/>
          <w:szCs w:val="24"/>
        </w:rPr>
        <w:t>（实质性要求）</w:t>
      </w:r>
    </w:p>
    <w:p>
      <w:pPr>
        <w:tabs>
          <w:tab w:val="left" w:pos="7665"/>
        </w:tabs>
        <w:spacing w:line="360" w:lineRule="auto"/>
        <w:ind w:firstLine="480"/>
        <w:rPr>
          <w:sz w:val="24"/>
        </w:rPr>
      </w:pPr>
      <w:r>
        <w:rPr>
          <w:rFonts w:hint="eastAsia"/>
          <w:sz w:val="24"/>
        </w:rPr>
        <w:t>投标人参加投标的有关费用由投标人自行承担。</w:t>
      </w:r>
    </w:p>
    <w:p>
      <w:pPr>
        <w:pStyle w:val="6"/>
        <w:spacing w:line="360" w:lineRule="auto"/>
        <w:ind w:firstLine="482" w:firstLineChars="200"/>
        <w:rPr>
          <w:sz w:val="24"/>
        </w:rPr>
      </w:pPr>
      <w:r>
        <w:rPr>
          <w:rFonts w:hint="eastAsia"/>
          <w:sz w:val="24"/>
        </w:rPr>
        <w:t>5、充分、公平竞争保障措施</w:t>
      </w:r>
      <w:r>
        <w:rPr>
          <w:rFonts w:hint="eastAsia"/>
          <w:sz w:val="24"/>
          <w:szCs w:val="24"/>
        </w:rPr>
        <w:t>（实质性要求）</w:t>
      </w:r>
    </w:p>
    <w:p>
      <w:pPr>
        <w:pStyle w:val="57"/>
        <w:spacing w:line="360" w:lineRule="auto"/>
        <w:ind w:left="1" w:firstLine="482" w:firstLineChars="200"/>
        <w:rPr>
          <w:sz w:val="24"/>
        </w:rPr>
      </w:pPr>
      <w:r>
        <w:rPr>
          <w:rFonts w:hint="eastAsia"/>
          <w:b/>
          <w:sz w:val="24"/>
        </w:rPr>
        <w:t>5.1利害关系供应商处理。</w:t>
      </w:r>
      <w:r>
        <w:rPr>
          <w:rFonts w:hint="eastAsia"/>
          <w:sz w:val="24"/>
        </w:rPr>
        <w:t>单位负责人为同一人或者存在直接控股、管理关系的不同投标人不得参加同一合同项下的政府采购活动。</w:t>
      </w:r>
    </w:p>
    <w:p>
      <w:pPr>
        <w:pStyle w:val="57"/>
        <w:spacing w:line="360" w:lineRule="auto"/>
        <w:ind w:left="1" w:firstLine="482" w:firstLineChars="200"/>
        <w:rPr>
          <w:sz w:val="24"/>
        </w:rPr>
      </w:pPr>
      <w:r>
        <w:rPr>
          <w:rFonts w:hint="eastAsia"/>
          <w:b/>
          <w:sz w:val="24"/>
        </w:rPr>
        <w:t>5.2前期参与供应商处理。</w:t>
      </w:r>
      <w:r>
        <w:rPr>
          <w:rFonts w:hint="eastAsia"/>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57"/>
        <w:spacing w:line="360" w:lineRule="auto"/>
        <w:ind w:left="1" w:firstLine="482" w:firstLineChars="200"/>
        <w:rPr>
          <w:sz w:val="24"/>
        </w:rPr>
      </w:pPr>
      <w:r>
        <w:rPr>
          <w:rFonts w:hint="eastAsia"/>
          <w:b/>
          <w:sz w:val="24"/>
        </w:rPr>
        <w:t>5.3利害关系代理人处理。</w:t>
      </w:r>
      <w:r>
        <w:rPr>
          <w:rFonts w:hint="eastAsia"/>
          <w:sz w:val="24"/>
        </w:rPr>
        <w:t>2家以上的投标人不得在同一合同项下的采购项目中，同时委托同一个自然人、同一家庭的人员、同一单位的人员作为其代理人，否则，其投标文件作为无效处理。</w:t>
      </w:r>
    </w:p>
    <w:p>
      <w:pPr>
        <w:pStyle w:val="5"/>
        <w:spacing w:line="360" w:lineRule="auto"/>
        <w:jc w:val="center"/>
        <w:rPr>
          <w:rFonts w:ascii="黑体"/>
          <w:bCs w:val="0"/>
        </w:rPr>
      </w:pPr>
      <w:bookmarkStart w:id="32" w:name="_Toc77400779"/>
      <w:bookmarkStart w:id="33" w:name="_Toc183582209"/>
      <w:bookmarkStart w:id="34" w:name="_Toc89075875"/>
      <w:bookmarkStart w:id="35" w:name="_Toc183682346"/>
      <w:bookmarkStart w:id="36" w:name="_Toc217446038"/>
      <w:r>
        <w:rPr>
          <w:rFonts w:hint="eastAsia" w:ascii="黑体"/>
          <w:bCs w:val="0"/>
        </w:rPr>
        <w:t>三、招标文件</w:t>
      </w:r>
      <w:bookmarkEnd w:id="32"/>
      <w:bookmarkEnd w:id="33"/>
      <w:bookmarkEnd w:id="34"/>
      <w:bookmarkEnd w:id="35"/>
      <w:bookmarkEnd w:id="36"/>
    </w:p>
    <w:p>
      <w:pPr>
        <w:pStyle w:val="6"/>
        <w:spacing w:line="360" w:lineRule="auto"/>
        <w:ind w:firstLine="482" w:firstLineChars="200"/>
        <w:rPr>
          <w:sz w:val="24"/>
        </w:rPr>
      </w:pPr>
      <w:bookmarkStart w:id="37" w:name="_Toc183582210"/>
      <w:bookmarkStart w:id="38" w:name="_Toc217446039"/>
      <w:bookmarkStart w:id="39" w:name="_Toc183682347"/>
      <w:r>
        <w:rPr>
          <w:rFonts w:hint="eastAsia"/>
          <w:sz w:val="24"/>
        </w:rPr>
        <w:t>6．招标文件的构成</w:t>
      </w:r>
      <w:bookmarkEnd w:id="37"/>
      <w:bookmarkEnd w:id="38"/>
      <w:bookmarkEnd w:id="39"/>
    </w:p>
    <w:p>
      <w:pPr>
        <w:tabs>
          <w:tab w:val="left" w:pos="7665"/>
        </w:tabs>
        <w:spacing w:line="360" w:lineRule="auto"/>
        <w:rPr>
          <w:sz w:val="24"/>
        </w:rPr>
      </w:pPr>
      <w:r>
        <w:rPr>
          <w:rFonts w:hint="eastAsia"/>
          <w:sz w:val="24"/>
        </w:rPr>
        <w:t xml:space="preserve">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240" w:firstLineChars="100"/>
        <w:jc w:val="left"/>
        <w:rPr>
          <w:sz w:val="24"/>
        </w:rPr>
      </w:pPr>
      <w:r>
        <w:rPr>
          <w:rFonts w:hint="eastAsia"/>
          <w:sz w:val="24"/>
        </w:rPr>
        <w:t>（一）投标邀请；</w:t>
      </w:r>
    </w:p>
    <w:p>
      <w:pPr>
        <w:tabs>
          <w:tab w:val="left" w:pos="720"/>
        </w:tabs>
        <w:spacing w:line="360" w:lineRule="auto"/>
        <w:ind w:firstLine="240" w:firstLineChars="100"/>
        <w:jc w:val="left"/>
        <w:rPr>
          <w:sz w:val="24"/>
        </w:rPr>
      </w:pPr>
      <w:r>
        <w:rPr>
          <w:rFonts w:hint="eastAsia"/>
          <w:sz w:val="24"/>
        </w:rPr>
        <w:t>（二）投标人须知；</w:t>
      </w:r>
    </w:p>
    <w:p>
      <w:pPr>
        <w:tabs>
          <w:tab w:val="left" w:pos="720"/>
        </w:tabs>
        <w:spacing w:line="360" w:lineRule="auto"/>
        <w:ind w:firstLine="240" w:firstLineChars="100"/>
        <w:jc w:val="left"/>
        <w:rPr>
          <w:sz w:val="24"/>
        </w:rPr>
      </w:pPr>
      <w:r>
        <w:rPr>
          <w:rFonts w:hint="eastAsia"/>
          <w:sz w:val="24"/>
        </w:rPr>
        <w:t>（三）投标文件格式；</w:t>
      </w:r>
    </w:p>
    <w:p>
      <w:pPr>
        <w:tabs>
          <w:tab w:val="left" w:pos="720"/>
        </w:tabs>
        <w:spacing w:line="360" w:lineRule="auto"/>
        <w:ind w:firstLine="240" w:firstLineChars="100"/>
        <w:jc w:val="left"/>
        <w:rPr>
          <w:sz w:val="24"/>
        </w:rPr>
      </w:pPr>
      <w:r>
        <w:rPr>
          <w:rFonts w:hint="eastAsia"/>
          <w:sz w:val="24"/>
        </w:rPr>
        <w:t>（四）投标人和投标产品的资格、资质性及其他类似效力要求；</w:t>
      </w:r>
    </w:p>
    <w:p>
      <w:pPr>
        <w:tabs>
          <w:tab w:val="left" w:pos="720"/>
        </w:tabs>
        <w:spacing w:line="360" w:lineRule="auto"/>
        <w:ind w:firstLine="240" w:firstLineChars="100"/>
        <w:jc w:val="left"/>
        <w:rPr>
          <w:sz w:val="24"/>
        </w:rPr>
      </w:pPr>
      <w:r>
        <w:rPr>
          <w:rFonts w:hint="eastAsia"/>
          <w:sz w:val="24"/>
        </w:rPr>
        <w:t>（五）投标人应当提供的资格、资质性及其他类似效力要求的相关证明材料；</w:t>
      </w:r>
    </w:p>
    <w:p>
      <w:pPr>
        <w:tabs>
          <w:tab w:val="left" w:pos="720"/>
        </w:tabs>
        <w:spacing w:line="360" w:lineRule="auto"/>
        <w:ind w:firstLine="240" w:firstLineChars="100"/>
        <w:jc w:val="left"/>
        <w:rPr>
          <w:sz w:val="24"/>
        </w:rPr>
      </w:pPr>
      <w:r>
        <w:rPr>
          <w:rFonts w:hint="eastAsia"/>
          <w:sz w:val="24"/>
        </w:rPr>
        <w:t>（六）招标项目服务、商务及其他要求；</w:t>
      </w:r>
    </w:p>
    <w:p>
      <w:pPr>
        <w:tabs>
          <w:tab w:val="left" w:pos="720"/>
        </w:tabs>
        <w:spacing w:line="360" w:lineRule="auto"/>
        <w:ind w:firstLine="240" w:firstLineChars="100"/>
        <w:jc w:val="left"/>
        <w:rPr>
          <w:sz w:val="24"/>
        </w:rPr>
      </w:pPr>
      <w:r>
        <w:rPr>
          <w:rFonts w:hint="eastAsia"/>
          <w:sz w:val="24"/>
        </w:rPr>
        <w:t>（七）评标办法；</w:t>
      </w:r>
    </w:p>
    <w:p>
      <w:pPr>
        <w:tabs>
          <w:tab w:val="left" w:pos="720"/>
        </w:tabs>
        <w:spacing w:line="360" w:lineRule="auto"/>
        <w:ind w:firstLine="240" w:firstLineChars="100"/>
        <w:jc w:val="left"/>
        <w:rPr>
          <w:sz w:val="24"/>
        </w:rPr>
      </w:pPr>
      <w:r>
        <w:rPr>
          <w:rFonts w:hint="eastAsia"/>
          <w:sz w:val="24"/>
        </w:rPr>
        <w:t>（八）合同主要条款。</w:t>
      </w:r>
    </w:p>
    <w:p>
      <w:pPr>
        <w:pStyle w:val="2"/>
        <w:tabs>
          <w:tab w:val="left" w:pos="720"/>
        </w:tabs>
        <w:spacing w:line="360" w:lineRule="auto"/>
        <w:ind w:firstLine="340"/>
      </w:pPr>
      <w:r>
        <w:rPr>
          <w:rFonts w:hint="eastAsia"/>
          <w:sz w:val="24"/>
        </w:rPr>
        <w:t>6.2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pacing w:line="360" w:lineRule="auto"/>
        <w:ind w:firstLine="482" w:firstLineChars="200"/>
        <w:rPr>
          <w:sz w:val="24"/>
        </w:rPr>
      </w:pPr>
      <w:bookmarkStart w:id="40" w:name="_Toc183582211"/>
      <w:bookmarkStart w:id="41" w:name="_Toc183682348"/>
      <w:bookmarkStart w:id="42" w:name="_Toc217446040"/>
      <w:r>
        <w:rPr>
          <w:rFonts w:hint="eastAsia"/>
          <w:sz w:val="24"/>
        </w:rPr>
        <w:t>7. 招标文件的澄清</w:t>
      </w:r>
      <w:bookmarkEnd w:id="40"/>
      <w:bookmarkEnd w:id="41"/>
      <w:r>
        <w:rPr>
          <w:rFonts w:hint="eastAsia"/>
          <w:sz w:val="24"/>
        </w:rPr>
        <w:t>和修改</w:t>
      </w:r>
      <w:bookmarkEnd w:id="42"/>
    </w:p>
    <w:p>
      <w:pPr>
        <w:tabs>
          <w:tab w:val="left" w:pos="7665"/>
        </w:tabs>
        <w:spacing w:line="360" w:lineRule="auto"/>
        <w:ind w:firstLine="480" w:firstLineChars="200"/>
        <w:rPr>
          <w:sz w:val="24"/>
        </w:rPr>
      </w:pPr>
      <w:r>
        <w:rPr>
          <w:rFonts w:hint="eastAsia"/>
          <w:sz w:val="24"/>
        </w:rPr>
        <w:t>7.1招标采购单位可以依法对招标文件进行澄清或者修改。</w:t>
      </w:r>
    </w:p>
    <w:p>
      <w:pPr>
        <w:tabs>
          <w:tab w:val="left" w:pos="7665"/>
        </w:tabs>
        <w:spacing w:line="360" w:lineRule="auto"/>
        <w:ind w:firstLine="480" w:firstLineChars="200"/>
        <w:rPr>
          <w:sz w:val="24"/>
        </w:rPr>
      </w:pPr>
      <w:r>
        <w:rPr>
          <w:rFonts w:hint="eastAsia"/>
          <w:sz w:val="24"/>
        </w:rPr>
        <w:t>7.2 澄清或者修改的内容，将在“四川政府采购网”网站上发布澄清公告，同时通过政府采购云平台将澄清或者修改的内容告知所有在系统中成功获取招标文件的潜在投标人（投标人通过账号或CA证书登录政府采购云平台查看）。</w:t>
      </w:r>
    </w:p>
    <w:p>
      <w:pPr>
        <w:tabs>
          <w:tab w:val="left" w:pos="7665"/>
        </w:tabs>
        <w:spacing w:line="360" w:lineRule="auto"/>
        <w:ind w:firstLine="480" w:firstLineChars="200"/>
        <w:rPr>
          <w:sz w:val="24"/>
        </w:rPr>
      </w:pPr>
      <w:r>
        <w:rPr>
          <w:rFonts w:hint="eastAsia"/>
          <w:sz w:val="24"/>
        </w:rPr>
        <w:t>7.3 澄清或者修改的内容可能影响投标文件编制的，代理机构应当在投标截止时间至少15日前，通过云平台通知所有获取招标文件的潜在投标人；不足15日的，采购人或代理机构应当顺延提交投标文件的截止时间。</w:t>
      </w:r>
    </w:p>
    <w:p>
      <w:pPr>
        <w:pStyle w:val="6"/>
        <w:spacing w:line="360" w:lineRule="auto"/>
        <w:ind w:firstLine="482" w:firstLineChars="200"/>
        <w:rPr>
          <w:sz w:val="24"/>
        </w:rPr>
      </w:pPr>
      <w:bookmarkStart w:id="43" w:name="_Toc208848971"/>
      <w:bookmarkStart w:id="44" w:name="_Toc217446041"/>
      <w:r>
        <w:rPr>
          <w:rFonts w:hint="eastAsia"/>
          <w:sz w:val="24"/>
        </w:rPr>
        <w:t>8. 答疑会和现场考察</w:t>
      </w:r>
      <w:bookmarkEnd w:id="43"/>
      <w:bookmarkEnd w:id="44"/>
    </w:p>
    <w:p>
      <w:pPr>
        <w:tabs>
          <w:tab w:val="left" w:pos="7665"/>
        </w:tabs>
        <w:spacing w:line="360" w:lineRule="auto"/>
        <w:ind w:firstLine="480" w:firstLineChars="200"/>
        <w:rPr>
          <w:sz w:val="24"/>
        </w:rPr>
      </w:pPr>
      <w:r>
        <w:rPr>
          <w:rFonts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360" w:lineRule="auto"/>
        <w:ind w:firstLine="480" w:firstLineChars="200"/>
        <w:rPr>
          <w:sz w:val="24"/>
        </w:rPr>
      </w:pPr>
      <w:r>
        <w:rPr>
          <w:rFonts w:hint="eastAsia"/>
          <w:sz w:val="24"/>
        </w:rPr>
        <w:t>8.2 投标人考察现场所发生的一切费用由投标人自己承担。</w:t>
      </w:r>
    </w:p>
    <w:p>
      <w:pPr>
        <w:pStyle w:val="5"/>
        <w:spacing w:line="360" w:lineRule="auto"/>
        <w:jc w:val="center"/>
        <w:rPr>
          <w:rFonts w:ascii="黑体"/>
          <w:bCs w:val="0"/>
        </w:rPr>
      </w:pPr>
      <w:bookmarkStart w:id="45" w:name="_Toc183682351"/>
      <w:bookmarkStart w:id="46" w:name="_Toc77400780"/>
      <w:bookmarkStart w:id="47" w:name="_Toc89075876"/>
      <w:bookmarkStart w:id="48" w:name="_Toc217446042"/>
      <w:bookmarkStart w:id="49" w:name="_Toc183582214"/>
      <w:r>
        <w:rPr>
          <w:rFonts w:hint="eastAsia" w:ascii="黑体"/>
          <w:bCs w:val="0"/>
        </w:rPr>
        <w:t>四、投标文件</w:t>
      </w:r>
      <w:bookmarkEnd w:id="45"/>
      <w:bookmarkEnd w:id="46"/>
      <w:bookmarkEnd w:id="47"/>
      <w:bookmarkEnd w:id="48"/>
      <w:bookmarkEnd w:id="49"/>
    </w:p>
    <w:p>
      <w:pPr>
        <w:pStyle w:val="6"/>
        <w:spacing w:line="360" w:lineRule="auto"/>
        <w:ind w:firstLine="482" w:firstLineChars="200"/>
        <w:rPr>
          <w:bCs w:val="0"/>
          <w:sz w:val="24"/>
        </w:rPr>
      </w:pPr>
      <w:bookmarkStart w:id="50" w:name="_Toc217446043"/>
      <w:bookmarkStart w:id="51" w:name="_Toc183682352"/>
      <w:bookmarkStart w:id="52" w:name="_Toc183582215"/>
      <w:r>
        <w:rPr>
          <w:rFonts w:hint="eastAsia"/>
          <w:bCs w:val="0"/>
          <w:sz w:val="24"/>
        </w:rPr>
        <w:t>9．投标文件的语言</w:t>
      </w:r>
      <w:bookmarkEnd w:id="50"/>
      <w:bookmarkEnd w:id="51"/>
      <w:bookmarkEnd w:id="52"/>
      <w:r>
        <w:rPr>
          <w:rFonts w:hint="eastAsia"/>
          <w:sz w:val="24"/>
          <w:szCs w:val="24"/>
        </w:rPr>
        <w:t>（实质性要求）</w:t>
      </w:r>
    </w:p>
    <w:p>
      <w:pPr>
        <w:tabs>
          <w:tab w:val="left" w:pos="1134"/>
        </w:tabs>
        <w:spacing w:line="360" w:lineRule="auto"/>
        <w:ind w:firstLine="480" w:firstLineChars="200"/>
        <w:jc w:val="left"/>
        <w:rPr>
          <w:sz w:val="24"/>
        </w:rPr>
      </w:pPr>
      <w:bookmarkStart w:id="53" w:name="_Toc183582216"/>
      <w:bookmarkStart w:id="54" w:name="_Toc217446044"/>
      <w:bookmarkStart w:id="55" w:name="_Toc183682353"/>
      <w:r>
        <w:rPr>
          <w:rFonts w:hint="eastAsia"/>
          <w:sz w:val="24"/>
        </w:rPr>
        <w:t>9.1 投标人提交的投标文件以及投标人与招标采购单位就有关投标的所有来往书面文件均须使用中文。投标文件中如附有外文资料，必须逐一对应翻译成中文并加盖电子签章后附在相关外文资料后面，否则，所提供的外文资料将可能被视为无效材料。（说明：投标人的法定代表人为外籍人士的，法定代表人的签字和护照除外。）</w:t>
      </w:r>
    </w:p>
    <w:p>
      <w:pPr>
        <w:tabs>
          <w:tab w:val="left" w:pos="1134"/>
        </w:tabs>
        <w:spacing w:line="360" w:lineRule="auto"/>
        <w:ind w:firstLine="480" w:firstLineChars="200"/>
        <w:jc w:val="left"/>
        <w:rPr>
          <w:sz w:val="24"/>
        </w:rPr>
      </w:pPr>
      <w:r>
        <w:rPr>
          <w:rFonts w:hint="eastAsia"/>
          <w:sz w:val="24"/>
        </w:rPr>
        <w:t>9.2 翻译的中文资料与外文资料如果出现差异和矛盾时，以中文为准。涉嫌虚假响应的按照相关法律法规处理。</w:t>
      </w:r>
    </w:p>
    <w:p>
      <w:pPr>
        <w:pStyle w:val="6"/>
        <w:spacing w:line="360" w:lineRule="auto"/>
        <w:ind w:firstLine="482" w:firstLineChars="200"/>
        <w:rPr>
          <w:sz w:val="24"/>
        </w:rPr>
      </w:pPr>
      <w:r>
        <w:rPr>
          <w:rFonts w:hint="eastAsia"/>
          <w:sz w:val="24"/>
        </w:rPr>
        <w:t>10．计量单位</w:t>
      </w:r>
      <w:bookmarkEnd w:id="53"/>
      <w:bookmarkEnd w:id="54"/>
      <w:bookmarkEnd w:id="55"/>
      <w:r>
        <w:rPr>
          <w:rFonts w:hint="eastAsia"/>
          <w:sz w:val="24"/>
          <w:szCs w:val="24"/>
        </w:rPr>
        <w:t>（实质性要求）</w:t>
      </w:r>
    </w:p>
    <w:p>
      <w:pPr>
        <w:spacing w:line="360" w:lineRule="auto"/>
        <w:ind w:firstLine="470" w:firstLineChars="196"/>
        <w:rPr>
          <w:sz w:val="24"/>
        </w:rPr>
      </w:pPr>
      <w:r>
        <w:rPr>
          <w:rFonts w:hint="eastAsia"/>
          <w:sz w:val="24"/>
        </w:rPr>
        <w:t>除招标文件中另有规定外，本次采购项目所有合同项下的投标均采用国家法定的计量单位。</w:t>
      </w:r>
    </w:p>
    <w:p>
      <w:pPr>
        <w:pStyle w:val="6"/>
        <w:spacing w:line="360" w:lineRule="auto"/>
        <w:rPr>
          <w:sz w:val="24"/>
          <w:szCs w:val="24"/>
        </w:rPr>
      </w:pPr>
      <w:r>
        <w:rPr>
          <w:rFonts w:hint="eastAsia"/>
        </w:rPr>
        <w:t xml:space="preserve"> </w:t>
      </w:r>
      <w:bookmarkStart w:id="56" w:name="_Toc217446045"/>
      <w:r>
        <w:rPr>
          <w:rFonts w:hint="eastAsia"/>
        </w:rPr>
        <w:t xml:space="preserve">  </w:t>
      </w:r>
      <w:r>
        <w:rPr>
          <w:rFonts w:hint="eastAsia"/>
          <w:sz w:val="24"/>
          <w:szCs w:val="24"/>
        </w:rPr>
        <w:t>11. 投标货币</w:t>
      </w:r>
      <w:bookmarkEnd w:id="56"/>
      <w:r>
        <w:rPr>
          <w:rFonts w:hint="eastAsia"/>
          <w:sz w:val="24"/>
          <w:szCs w:val="24"/>
        </w:rPr>
        <w:t>（实质性要求）</w:t>
      </w:r>
    </w:p>
    <w:p>
      <w:pPr>
        <w:tabs>
          <w:tab w:val="left" w:pos="7665"/>
        </w:tabs>
        <w:spacing w:line="360" w:lineRule="auto"/>
        <w:ind w:left="13" w:hanging="118"/>
        <w:rPr>
          <w:sz w:val="24"/>
        </w:rPr>
      </w:pPr>
      <w:r>
        <w:rPr>
          <w:rFonts w:hint="eastAsia"/>
          <w:b/>
          <w:sz w:val="24"/>
        </w:rPr>
        <w:t xml:space="preserve">    </w:t>
      </w:r>
      <w:r>
        <w:rPr>
          <w:rFonts w:hint="eastAsia"/>
          <w:sz w:val="24"/>
        </w:rPr>
        <w:t xml:space="preserve"> 本次招标项目的投标均以人民币报价。</w:t>
      </w:r>
    </w:p>
    <w:p>
      <w:pPr>
        <w:pStyle w:val="6"/>
        <w:spacing w:line="360" w:lineRule="auto"/>
        <w:ind w:firstLine="241" w:firstLineChars="100"/>
        <w:rPr>
          <w:sz w:val="24"/>
          <w:szCs w:val="24"/>
        </w:rPr>
      </w:pPr>
      <w:r>
        <w:rPr>
          <w:rFonts w:hint="eastAsia"/>
          <w:sz w:val="24"/>
          <w:szCs w:val="24"/>
        </w:rPr>
        <w:t xml:space="preserve"> </w:t>
      </w:r>
      <w:bookmarkStart w:id="57" w:name="_Toc217446046"/>
      <w:r>
        <w:rPr>
          <w:rFonts w:hint="eastAsia"/>
          <w:sz w:val="24"/>
          <w:szCs w:val="24"/>
        </w:rPr>
        <w:t xml:space="preserve"> 12. 联合体投标</w:t>
      </w:r>
      <w:bookmarkEnd w:id="57"/>
      <w:r>
        <w:rPr>
          <w:rFonts w:hint="eastAsia"/>
          <w:sz w:val="24"/>
          <w:szCs w:val="24"/>
        </w:rPr>
        <w:t>（实质性要求）</w:t>
      </w:r>
    </w:p>
    <w:p>
      <w:pPr>
        <w:spacing w:line="360" w:lineRule="auto"/>
        <w:ind w:firstLine="470" w:firstLineChars="196"/>
        <w:rPr>
          <w:sz w:val="24"/>
        </w:rPr>
      </w:pPr>
      <w:bookmarkStart w:id="58" w:name="_Toc217446047"/>
      <w:r>
        <w:rPr>
          <w:rFonts w:hint="eastAsia"/>
          <w:sz w:val="24"/>
        </w:rPr>
        <w:t>本项目不接受联合体投标。</w:t>
      </w:r>
    </w:p>
    <w:p>
      <w:pPr>
        <w:pStyle w:val="6"/>
        <w:spacing w:line="360" w:lineRule="auto"/>
        <w:ind w:firstLine="241" w:firstLineChars="100"/>
        <w:rPr>
          <w:bCs w:val="0"/>
          <w:sz w:val="24"/>
          <w:szCs w:val="24"/>
        </w:rPr>
      </w:pPr>
      <w:r>
        <w:rPr>
          <w:rFonts w:hint="eastAsia"/>
          <w:sz w:val="24"/>
          <w:szCs w:val="24"/>
        </w:rPr>
        <w:t>　</w:t>
      </w:r>
      <w:bookmarkStart w:id="59" w:name="_Toc308164797"/>
      <w:r>
        <w:rPr>
          <w:rFonts w:hint="eastAsia"/>
          <w:sz w:val="24"/>
          <w:szCs w:val="24"/>
        </w:rPr>
        <w:t>13. 知识产权</w:t>
      </w:r>
      <w:bookmarkEnd w:id="58"/>
      <w:bookmarkEnd w:id="59"/>
      <w:r>
        <w:rPr>
          <w:rFonts w:hint="eastAsia"/>
          <w:sz w:val="24"/>
          <w:szCs w:val="24"/>
        </w:rPr>
        <w:t>（实质性要求）</w:t>
      </w:r>
    </w:p>
    <w:p>
      <w:pPr>
        <w:pStyle w:val="13"/>
        <w:spacing w:line="360" w:lineRule="auto"/>
        <w:ind w:firstLine="480" w:firstLineChars="200"/>
        <w:rPr>
          <w:sz w:val="24"/>
          <w:szCs w:val="24"/>
        </w:rPr>
      </w:pPr>
      <w:bookmarkStart w:id="60" w:name="_Toc183582217"/>
      <w:bookmarkStart w:id="61" w:name="_Toc308164798"/>
      <w:bookmarkStart w:id="62" w:name="_Toc217446048"/>
      <w:bookmarkStart w:id="63" w:name="_Toc183682354"/>
      <w:r>
        <w:rPr>
          <w:rFonts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360" w:lineRule="auto"/>
        <w:ind w:firstLine="480" w:firstLineChars="200"/>
        <w:rPr>
          <w:sz w:val="24"/>
          <w:szCs w:val="24"/>
        </w:rPr>
      </w:pPr>
      <w:r>
        <w:rPr>
          <w:rFonts w:hint="eastAsia"/>
          <w:sz w:val="24"/>
          <w:szCs w:val="24"/>
        </w:rPr>
        <w:t>13.2 采购人享有本项目实施过程中产生的知识成果及知识产权。</w:t>
      </w:r>
    </w:p>
    <w:p>
      <w:pPr>
        <w:spacing w:line="360" w:lineRule="auto"/>
        <w:ind w:firstLine="480" w:firstLineChars="200"/>
        <w:rPr>
          <w:sz w:val="24"/>
        </w:rPr>
      </w:pPr>
      <w:r>
        <w:rPr>
          <w:rFonts w:hint="eastAsia"/>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否则视为投标人未在本项目实施过程中采用自有知识成果，不影响有效性。</w:t>
      </w:r>
    </w:p>
    <w:p>
      <w:pPr>
        <w:spacing w:line="360" w:lineRule="auto"/>
        <w:ind w:firstLine="460" w:firstLineChars="192"/>
        <w:rPr>
          <w:sz w:val="24"/>
        </w:rPr>
      </w:pPr>
      <w:r>
        <w:rPr>
          <w:rFonts w:hint="eastAsia"/>
          <w:sz w:val="24"/>
        </w:rPr>
        <w:t>13.4 如采用投标人所不拥有的知识产权，则在投标报价中必须包括合法获取该知识产权的相关费用，采购人不再因投标人采用所不拥有的知识产权而另行支付任何费用。</w:t>
      </w:r>
    </w:p>
    <w:p>
      <w:pPr>
        <w:pStyle w:val="6"/>
        <w:spacing w:line="360" w:lineRule="auto"/>
        <w:ind w:firstLine="482" w:firstLineChars="200"/>
        <w:rPr>
          <w:sz w:val="24"/>
        </w:rPr>
      </w:pPr>
      <w:r>
        <w:rPr>
          <w:rFonts w:hint="eastAsia"/>
          <w:sz w:val="24"/>
        </w:rPr>
        <w:t>14．投标文件的组成</w:t>
      </w:r>
      <w:bookmarkEnd w:id="60"/>
      <w:bookmarkEnd w:id="61"/>
      <w:bookmarkEnd w:id="62"/>
      <w:bookmarkEnd w:id="63"/>
    </w:p>
    <w:p>
      <w:pPr>
        <w:spacing w:line="360" w:lineRule="auto"/>
        <w:ind w:firstLine="470" w:firstLineChars="196"/>
        <w:rPr>
          <w:sz w:val="24"/>
        </w:rPr>
      </w:pPr>
      <w:r>
        <w:rPr>
          <w:rFonts w:hint="eastAsia"/>
          <w:sz w:val="24"/>
        </w:rPr>
        <w:t>投标人应按照招标文件的规定和要求编制投标文件。投标人拟在中标后将中标项目的非主体、非关键性工作交由他人分包完成的，应当在投标文件中载明。投标人编写的投标文件应包括资格响应文件、报价要求响应文件和商务技术响应文件。</w:t>
      </w:r>
    </w:p>
    <w:p>
      <w:pPr>
        <w:pStyle w:val="2"/>
        <w:ind w:firstLine="480" w:firstLineChars="200"/>
        <w:rPr>
          <w:sz w:val="24"/>
        </w:rPr>
      </w:pPr>
      <w:r>
        <w:rPr>
          <w:rFonts w:hint="eastAsia"/>
          <w:sz w:val="24"/>
        </w:rPr>
        <w:t>14.1 资格性投标文件包括但不限于下列内容：</w:t>
      </w:r>
    </w:p>
    <w:p>
      <w:pPr>
        <w:tabs>
          <w:tab w:val="left" w:pos="540"/>
        </w:tabs>
        <w:spacing w:line="360" w:lineRule="auto"/>
        <w:ind w:firstLine="480" w:firstLineChars="200"/>
        <w:rPr>
          <w:sz w:val="24"/>
        </w:rPr>
      </w:pPr>
      <w:r>
        <w:rPr>
          <w:rFonts w:hint="eastAsia" w:hAnsi="宋体"/>
          <w:sz w:val="24"/>
        </w:rPr>
        <w:t>（1）承诺函；</w:t>
      </w:r>
    </w:p>
    <w:p>
      <w:pPr>
        <w:spacing w:line="360" w:lineRule="auto"/>
        <w:ind w:firstLine="480" w:firstLineChars="200"/>
        <w:rPr>
          <w:rFonts w:hAnsi="宋体"/>
          <w:sz w:val="24"/>
        </w:rPr>
      </w:pPr>
      <w:r>
        <w:rPr>
          <w:rFonts w:hint="eastAsia" w:hAnsi="宋体"/>
          <w:sz w:val="24"/>
        </w:rPr>
        <w:t>（2）法定代表人授权委托书或法定代表人身份证明书；</w:t>
      </w:r>
    </w:p>
    <w:p>
      <w:pPr>
        <w:spacing w:line="360" w:lineRule="auto"/>
        <w:ind w:firstLine="480" w:firstLineChars="200"/>
        <w:rPr>
          <w:rFonts w:hAnsi="宋体"/>
          <w:sz w:val="24"/>
        </w:rPr>
      </w:pPr>
      <w:r>
        <w:rPr>
          <w:rFonts w:hint="eastAsia" w:hAnsi="宋体"/>
          <w:sz w:val="24"/>
        </w:rPr>
        <w:t>（3）中小企业声明或残疾人福利性单位声明函；</w:t>
      </w:r>
    </w:p>
    <w:p>
      <w:pPr>
        <w:spacing w:line="360" w:lineRule="auto"/>
        <w:ind w:left="476" w:leftChars="140"/>
        <w:rPr>
          <w:sz w:val="24"/>
        </w:rPr>
      </w:pPr>
      <w:r>
        <w:rPr>
          <w:rFonts w:hint="eastAsia" w:hAnsi="宋体"/>
          <w:sz w:val="24"/>
        </w:rPr>
        <w:t>（4）投标人应当提供的资格、资质性及其他类似效力要求的相关证明材料。14.2 报价要求响应文件</w:t>
      </w:r>
      <w:r>
        <w:rPr>
          <w:rFonts w:hint="eastAsia"/>
          <w:sz w:val="24"/>
        </w:rPr>
        <w:t>包括但不限于下列内容：</w:t>
      </w:r>
    </w:p>
    <w:p>
      <w:pPr>
        <w:ind w:firstLine="480"/>
      </w:pPr>
      <w:r>
        <w:rPr>
          <w:rFonts w:hint="eastAsia"/>
        </w:rPr>
        <w:t xml:space="preserve">  </w:t>
      </w:r>
      <w:r>
        <w:rPr>
          <w:rFonts w:hint="eastAsia" w:ascii="Cambria" w:hAnsi="宋体" w:cs="Cambria"/>
          <w:kern w:val="28"/>
          <w:sz w:val="24"/>
          <w:szCs w:val="32"/>
        </w:rPr>
        <w:t>开标一览表。</w:t>
      </w:r>
    </w:p>
    <w:p>
      <w:pPr>
        <w:pStyle w:val="2"/>
        <w:spacing w:line="360" w:lineRule="auto"/>
        <w:ind w:firstLine="480" w:firstLineChars="200"/>
        <w:rPr>
          <w:sz w:val="24"/>
        </w:rPr>
      </w:pPr>
      <w:r>
        <w:rPr>
          <w:rFonts w:hint="eastAsia"/>
          <w:sz w:val="24"/>
        </w:rPr>
        <w:t>14.3商务技术响应文件包括但不限于下列内容：</w:t>
      </w:r>
    </w:p>
    <w:p>
      <w:pPr>
        <w:numPr>
          <w:ilvl w:val="0"/>
          <w:numId w:val="2"/>
        </w:numPr>
        <w:spacing w:line="360" w:lineRule="auto"/>
        <w:ind w:firstLine="480" w:firstLineChars="200"/>
        <w:rPr>
          <w:rFonts w:hAnsi="宋体" w:cs="宋体"/>
          <w:sz w:val="24"/>
        </w:rPr>
      </w:pPr>
      <w:r>
        <w:rPr>
          <w:rFonts w:hint="eastAsia" w:hAnsi="宋体" w:cs="宋体"/>
          <w:sz w:val="24"/>
        </w:rPr>
        <w:t>投标函；</w:t>
      </w:r>
    </w:p>
    <w:p>
      <w:pPr>
        <w:spacing w:line="360" w:lineRule="auto"/>
        <w:ind w:firstLine="480" w:firstLineChars="200"/>
        <w:rPr>
          <w:rFonts w:hAnsi="宋体" w:cs="宋体"/>
          <w:sz w:val="24"/>
        </w:rPr>
      </w:pPr>
      <w:r>
        <w:rPr>
          <w:rFonts w:hint="eastAsia" w:hAnsi="宋体" w:cs="宋体"/>
          <w:sz w:val="24"/>
        </w:rPr>
        <w:t>（2）开标一览表；</w:t>
      </w:r>
    </w:p>
    <w:p>
      <w:pPr>
        <w:spacing w:line="360" w:lineRule="auto"/>
        <w:ind w:firstLine="480" w:firstLineChars="200"/>
        <w:rPr>
          <w:rFonts w:hAnsi="宋体" w:cs="宋体"/>
        </w:rPr>
      </w:pPr>
      <w:r>
        <w:rPr>
          <w:rFonts w:hint="eastAsia" w:hAnsi="宋体" w:cs="宋体"/>
          <w:sz w:val="24"/>
        </w:rPr>
        <w:t>（</w:t>
      </w:r>
      <w:r>
        <w:rPr>
          <w:rFonts w:hint="eastAsia" w:hAnsi="宋体" w:cs="宋体"/>
          <w:sz w:val="24"/>
          <w:lang w:val="en-US" w:eastAsia="zh-CN"/>
        </w:rPr>
        <w:t>3</w:t>
      </w:r>
      <w:r>
        <w:rPr>
          <w:rFonts w:hint="eastAsia" w:hAnsi="宋体" w:cs="宋体"/>
          <w:sz w:val="24"/>
        </w:rPr>
        <w:t>）投标人基本情况一览表；</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）投标人类似业绩一览表；</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）服务内容及要求应答表；</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）商务要求应答表；</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7</w:t>
      </w:r>
      <w:r>
        <w:rPr>
          <w:rFonts w:hint="eastAsia" w:hAnsi="宋体" w:cs="宋体"/>
          <w:sz w:val="24"/>
        </w:rPr>
        <w:t>）拟派驻本项目人员配置一览表；</w:t>
      </w:r>
    </w:p>
    <w:p>
      <w:pPr>
        <w:spacing w:line="360" w:lineRule="auto"/>
        <w:ind w:firstLine="480" w:firstLineChars="200"/>
        <w:rPr>
          <w:rFonts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）服务方案；</w:t>
      </w:r>
    </w:p>
    <w:p>
      <w:pPr>
        <w:tabs>
          <w:tab w:val="left" w:pos="540"/>
        </w:tabs>
        <w:spacing w:line="360" w:lineRule="auto"/>
        <w:ind w:firstLine="480" w:firstLineChars="200"/>
        <w:rPr>
          <w:rFonts w:hAnsi="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）其他材料。</w:t>
      </w:r>
    </w:p>
    <w:p>
      <w:pPr>
        <w:spacing w:line="360" w:lineRule="auto"/>
        <w:ind w:firstLine="482" w:firstLineChars="200"/>
        <w:rPr>
          <w:rFonts w:hAnsi="宋体"/>
          <w:b/>
          <w:bCs/>
          <w:sz w:val="24"/>
        </w:rPr>
      </w:pPr>
      <w:r>
        <w:rPr>
          <w:rFonts w:hint="eastAsia" w:hAnsi="宋体"/>
          <w:b/>
          <w:bCs/>
          <w:sz w:val="24"/>
        </w:rPr>
        <w:t>14.4资格性投标文件用于采购人或采购代理机构进行资格审查，其他响应性投标文件用于评审委员会评审。</w:t>
      </w:r>
    </w:p>
    <w:p>
      <w:pPr>
        <w:spacing w:line="360" w:lineRule="auto"/>
        <w:ind w:firstLine="472" w:firstLineChars="196"/>
        <w:rPr>
          <w:b/>
          <w:bCs/>
          <w:sz w:val="24"/>
        </w:rPr>
      </w:pPr>
      <w:r>
        <w:rPr>
          <w:rFonts w:hint="eastAsia"/>
          <w:b/>
          <w:bCs/>
          <w:sz w:val="24"/>
        </w:rPr>
        <w:t>注：本次招标报价要求：</w:t>
      </w:r>
    </w:p>
    <w:p>
      <w:pPr>
        <w:spacing w:line="360" w:lineRule="auto"/>
        <w:ind w:firstLine="482" w:firstLineChars="200"/>
        <w:rPr>
          <w:b/>
          <w:bCs/>
          <w:sz w:val="24"/>
        </w:rPr>
      </w:pPr>
      <w:r>
        <w:rPr>
          <w:rFonts w:hint="eastAsia"/>
          <w:b/>
          <w:bCs/>
          <w:sz w:val="24"/>
        </w:rPr>
        <w:t>（1）投标人的报价是投标人响应招标项目要求的全部工作内容的价格体现，包括投标人完成本项目所需的一切费用（实质性要求）。</w:t>
      </w:r>
    </w:p>
    <w:p>
      <w:pPr>
        <w:spacing w:line="360" w:lineRule="auto"/>
        <w:ind w:left="2" w:firstLine="354" w:firstLineChars="147"/>
        <w:rPr>
          <w:b/>
          <w:bCs/>
          <w:sz w:val="24"/>
        </w:rPr>
      </w:pPr>
      <w:r>
        <w:rPr>
          <w:rFonts w:hint="eastAsia"/>
          <w:b/>
          <w:bCs/>
          <w:sz w:val="24"/>
        </w:rPr>
        <w:t xml:space="preserve"> （2）投标人每种服务只允许有一个报价，任何有选择或可调整的报价将不予接受，并按无效投标处理（实质性要求）。</w:t>
      </w:r>
    </w:p>
    <w:p>
      <w:pPr>
        <w:spacing w:line="360" w:lineRule="auto"/>
        <w:ind w:left="2" w:firstLine="354" w:firstLineChars="147"/>
        <w:rPr>
          <w:sz w:val="24"/>
        </w:rPr>
      </w:pPr>
      <w:bookmarkStart w:id="64" w:name="_Toc217446049"/>
      <w:bookmarkStart w:id="65" w:name="_Toc183582218"/>
      <w:bookmarkStart w:id="66" w:name="_Toc183682355"/>
      <w:bookmarkStart w:id="67" w:name="_Toc308164799"/>
      <w:r>
        <w:rPr>
          <w:rFonts w:hint="eastAsia"/>
          <w:b/>
          <w:bCs/>
          <w:sz w:val="24"/>
        </w:rPr>
        <w:t>（3）投标文件报价出现前后不一致的，按照下列规定修正：（1）大写金额和小写金额不一致的，以大写金额为准，但大写金额出现文字错误，导致金额无法判断的除外；（2）单价金额小数点或者百分比有明显错位的，应以总价为准，并修改单价；（3）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如因断电、断网、系统故障或其他不可抗力等因素，导致系统无法使用的，由投标人按评标委员会的要求进行澄清或者说明。</w:t>
      </w:r>
    </w:p>
    <w:p>
      <w:pPr>
        <w:pStyle w:val="6"/>
        <w:tabs>
          <w:tab w:val="left" w:pos="3480"/>
        </w:tabs>
        <w:spacing w:line="360" w:lineRule="auto"/>
        <w:ind w:firstLine="482" w:firstLineChars="200"/>
        <w:rPr>
          <w:sz w:val="24"/>
        </w:rPr>
      </w:pPr>
      <w:r>
        <w:rPr>
          <w:rFonts w:hint="eastAsia"/>
          <w:sz w:val="24"/>
        </w:rPr>
        <w:t>15．投标文件格式</w:t>
      </w:r>
      <w:bookmarkEnd w:id="64"/>
      <w:bookmarkEnd w:id="65"/>
      <w:bookmarkEnd w:id="66"/>
      <w:bookmarkEnd w:id="67"/>
    </w:p>
    <w:p>
      <w:pPr>
        <w:tabs>
          <w:tab w:val="left" w:pos="7665"/>
        </w:tabs>
        <w:spacing w:line="360" w:lineRule="auto"/>
        <w:ind w:left="20" w:leftChars="6" w:firstLine="480" w:firstLineChars="200"/>
        <w:rPr>
          <w:sz w:val="24"/>
        </w:rPr>
      </w:pPr>
      <w:r>
        <w:rPr>
          <w:rFonts w:hint="eastAsia"/>
          <w:sz w:val="24"/>
        </w:rPr>
        <w:t>15.1 投标人应执行招标文件第三章的规定要求。</w:t>
      </w:r>
    </w:p>
    <w:p>
      <w:pPr>
        <w:tabs>
          <w:tab w:val="left" w:pos="7665"/>
        </w:tabs>
        <w:spacing w:line="360" w:lineRule="auto"/>
        <w:ind w:left="20" w:leftChars="6" w:firstLine="480" w:firstLineChars="200"/>
        <w:rPr>
          <w:sz w:val="24"/>
        </w:rPr>
      </w:pPr>
      <w:r>
        <w:rPr>
          <w:rFonts w:hint="eastAsia"/>
          <w:sz w:val="24"/>
        </w:rPr>
        <w:t>15.2 对于没有格式要求的投标文件由投标人自行编写。</w:t>
      </w:r>
    </w:p>
    <w:p>
      <w:pPr>
        <w:pStyle w:val="6"/>
        <w:spacing w:line="360" w:lineRule="auto"/>
        <w:ind w:firstLine="482" w:firstLineChars="200"/>
        <w:rPr>
          <w:sz w:val="24"/>
        </w:rPr>
      </w:pPr>
      <w:bookmarkStart w:id="68" w:name="_Toc217446050"/>
      <w:bookmarkStart w:id="69" w:name="_Toc183682360"/>
      <w:bookmarkStart w:id="70" w:name="_Toc183582223"/>
      <w:bookmarkStart w:id="71" w:name="_Toc308164800"/>
      <w:r>
        <w:rPr>
          <w:rFonts w:hint="eastAsia"/>
          <w:bCs w:val="0"/>
          <w:sz w:val="24"/>
        </w:rPr>
        <w:t>16．投标保证金</w:t>
      </w:r>
      <w:bookmarkEnd w:id="68"/>
      <w:bookmarkEnd w:id="69"/>
      <w:bookmarkEnd w:id="70"/>
      <w:bookmarkEnd w:id="71"/>
      <w:r>
        <w:rPr>
          <w:rFonts w:hint="eastAsia"/>
          <w:sz w:val="24"/>
          <w:szCs w:val="24"/>
        </w:rPr>
        <w:t>,本项目不提交。</w:t>
      </w:r>
    </w:p>
    <w:p>
      <w:pPr>
        <w:pStyle w:val="6"/>
        <w:spacing w:line="360" w:lineRule="auto"/>
        <w:ind w:firstLine="482" w:firstLineChars="200"/>
        <w:rPr>
          <w:bCs w:val="0"/>
          <w:sz w:val="24"/>
        </w:rPr>
      </w:pPr>
      <w:bookmarkStart w:id="72" w:name="_Toc183582224"/>
      <w:bookmarkStart w:id="73" w:name="_Toc183682361"/>
      <w:bookmarkStart w:id="74" w:name="_Toc308164801"/>
      <w:bookmarkStart w:id="75" w:name="_Toc217446051"/>
      <w:r>
        <w:rPr>
          <w:rFonts w:hint="eastAsia"/>
          <w:bCs w:val="0"/>
          <w:sz w:val="24"/>
        </w:rPr>
        <w:t>17．投标有效期</w:t>
      </w:r>
      <w:bookmarkEnd w:id="72"/>
      <w:bookmarkEnd w:id="73"/>
      <w:bookmarkEnd w:id="74"/>
      <w:bookmarkEnd w:id="75"/>
      <w:r>
        <w:rPr>
          <w:rFonts w:hint="eastAsia"/>
          <w:sz w:val="24"/>
          <w:szCs w:val="24"/>
        </w:rPr>
        <w:t>（实质性要求）</w:t>
      </w:r>
    </w:p>
    <w:p>
      <w:pPr>
        <w:tabs>
          <w:tab w:val="left" w:pos="7665"/>
        </w:tabs>
        <w:spacing w:line="360" w:lineRule="auto"/>
        <w:ind w:left="20" w:leftChars="6" w:firstLine="480" w:firstLineChars="200"/>
        <w:rPr>
          <w:sz w:val="24"/>
        </w:rPr>
      </w:pPr>
      <w:r>
        <w:rPr>
          <w:rFonts w:hint="eastAsia"/>
          <w:sz w:val="24"/>
        </w:rPr>
        <w:t>17.1 本项目投标有效期为投标截止时间届满后</w:t>
      </w:r>
      <w:r>
        <w:rPr>
          <w:rFonts w:hint="eastAsia"/>
          <w:b/>
          <w:bCs/>
          <w:sz w:val="24"/>
          <w:u w:val="single"/>
        </w:rPr>
        <w:t>90</w:t>
      </w:r>
      <w:r>
        <w:rPr>
          <w:rFonts w:hint="eastAsia"/>
          <w:sz w:val="24"/>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20" w:leftChars="6" w:firstLine="360" w:firstLineChars="150"/>
        <w:rPr>
          <w:sz w:val="24"/>
        </w:rPr>
      </w:pPr>
      <w:r>
        <w:rPr>
          <w:rFonts w:hint="eastAsia"/>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firstLine="480" w:firstLineChars="200"/>
        <w:rPr>
          <w:sz w:val="24"/>
        </w:rPr>
      </w:pPr>
      <w:r>
        <w:rPr>
          <w:rFonts w:hint="eastAsia"/>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line="360" w:lineRule="auto"/>
        <w:ind w:firstLine="482" w:firstLineChars="200"/>
        <w:rPr>
          <w:sz w:val="24"/>
        </w:rPr>
      </w:pPr>
      <w:bookmarkStart w:id="76" w:name="_Toc183682362"/>
      <w:bookmarkStart w:id="77" w:name="_Toc183582225"/>
      <w:bookmarkStart w:id="78" w:name="_Toc217446052"/>
      <w:bookmarkStart w:id="79" w:name="_Toc308164802"/>
      <w:bookmarkStart w:id="80" w:name="_Toc77400781"/>
      <w:bookmarkStart w:id="81" w:name="_Toc183582226"/>
      <w:bookmarkStart w:id="82" w:name="_Toc217446053"/>
      <w:bookmarkStart w:id="83" w:name="_Toc183682363"/>
      <w:bookmarkStart w:id="84" w:name="_Toc308164803"/>
      <w:bookmarkStart w:id="85" w:name="_Toc89075877"/>
      <w:r>
        <w:rPr>
          <w:rFonts w:hint="eastAsia"/>
          <w:sz w:val="24"/>
        </w:rPr>
        <w:t>18．</w:t>
      </w:r>
      <w:bookmarkEnd w:id="76"/>
      <w:bookmarkEnd w:id="77"/>
      <w:bookmarkEnd w:id="78"/>
      <w:bookmarkEnd w:id="79"/>
      <w:r>
        <w:rPr>
          <w:rFonts w:hint="eastAsia"/>
          <w:sz w:val="24"/>
        </w:rPr>
        <w:t>投标文件的制作和签章、加密</w:t>
      </w:r>
    </w:p>
    <w:p>
      <w:pPr>
        <w:tabs>
          <w:tab w:val="left" w:pos="7665"/>
        </w:tabs>
        <w:spacing w:line="360" w:lineRule="auto"/>
        <w:ind w:firstLine="480" w:firstLineChars="200"/>
        <w:rPr>
          <w:rFonts w:ascii="Times New Roman"/>
          <w:sz w:val="24"/>
        </w:rPr>
      </w:pPr>
      <w:r>
        <w:rPr>
          <w:rFonts w:hint="eastAsia" w:ascii="Times New Roman"/>
          <w:sz w:val="24"/>
        </w:rPr>
        <w:t>18.1 投标文件应根据招标文件的要求进行制作。（说明：1、招标文件中要求提供复印件证明材料的，包含提供原件的影印件或复印件。2、要求提供复印件的证明材料须清晰可辨。）</w:t>
      </w:r>
    </w:p>
    <w:p>
      <w:pPr>
        <w:tabs>
          <w:tab w:val="left" w:pos="7665"/>
        </w:tabs>
        <w:spacing w:line="360" w:lineRule="auto"/>
        <w:ind w:firstLine="482" w:firstLineChars="200"/>
        <w:rPr>
          <w:rFonts w:ascii="Times New Roman"/>
          <w:b/>
          <w:sz w:val="24"/>
        </w:rPr>
      </w:pPr>
      <w:r>
        <w:rPr>
          <w:rFonts w:hint="eastAsia" w:ascii="Times New Roman"/>
          <w:b/>
          <w:sz w:val="24"/>
        </w:rPr>
        <w:t>18.2 投标文件制作详情：</w:t>
      </w:r>
    </w:p>
    <w:p>
      <w:pPr>
        <w:tabs>
          <w:tab w:val="left" w:pos="7665"/>
        </w:tabs>
        <w:spacing w:line="360" w:lineRule="auto"/>
        <w:ind w:firstLine="480" w:firstLineChars="200"/>
        <w:rPr>
          <w:rFonts w:ascii="Times New Roman"/>
          <w:b/>
          <w:sz w:val="24"/>
        </w:rPr>
      </w:pPr>
      <w:r>
        <w:rPr>
          <w:rFonts w:hint="eastAsia" w:ascii="Times New Roman"/>
          <w:sz w:val="24"/>
        </w:rPr>
        <w:t>18.2.1 本项目实行电子投标。投标人应先安装“政采云投标客户端”。（政府采购云平台—CA管理—绑定CA—下载驱动—“政采云投标客户端”立即下载）。投标人应按招标文件要求，通过“政采云投标客户端”制作、加密并提交投标文件。</w:t>
      </w:r>
      <w:r>
        <w:rPr>
          <w:rFonts w:hint="eastAsia" w:ascii="Times New Roman"/>
          <w:b/>
          <w:sz w:val="24"/>
        </w:rPr>
        <w:t xml:space="preserve">（实质性要求） </w:t>
      </w:r>
    </w:p>
    <w:p>
      <w:pPr>
        <w:tabs>
          <w:tab w:val="left" w:pos="7665"/>
        </w:tabs>
        <w:spacing w:line="360" w:lineRule="auto"/>
        <w:ind w:firstLine="480" w:firstLineChars="200"/>
        <w:rPr>
          <w:rFonts w:ascii="Times New Roman"/>
          <w:b/>
          <w:sz w:val="24"/>
        </w:rPr>
      </w:pPr>
      <w:r>
        <w:rPr>
          <w:rFonts w:hint="eastAsia" w:ascii="Times New Roman"/>
          <w:sz w:val="24"/>
        </w:rPr>
        <w:t>18.2.2 投标文件每页均应加盖投标人（法定名称）电子签章，不得使用投标人专用章（如经济合同章、投标专用章等）或下属单位印章代替。</w:t>
      </w:r>
      <w:r>
        <w:rPr>
          <w:rFonts w:hint="eastAsia" w:ascii="Times New Roman"/>
          <w:b/>
          <w:sz w:val="24"/>
        </w:rPr>
        <w:t>（实质性要求）</w:t>
      </w:r>
    </w:p>
    <w:p>
      <w:pPr>
        <w:tabs>
          <w:tab w:val="left" w:pos="7665"/>
        </w:tabs>
        <w:spacing w:line="360" w:lineRule="auto"/>
        <w:ind w:firstLine="480" w:firstLineChars="200"/>
        <w:rPr>
          <w:rFonts w:ascii="Times New Roman"/>
          <w:sz w:val="24"/>
        </w:rPr>
      </w:pPr>
      <w:r>
        <w:rPr>
          <w:rFonts w:hint="eastAsia" w:ascii="Times New Roman"/>
          <w:sz w:val="24"/>
        </w:rPr>
        <w:t>18.2.3 投标人应使用本企业CA数字证书对投标文件进行加密。</w:t>
      </w:r>
      <w:r>
        <w:rPr>
          <w:rFonts w:hint="eastAsia" w:ascii="Times New Roman"/>
          <w:b/>
          <w:sz w:val="24"/>
        </w:rPr>
        <w:t>（实质性要求）</w:t>
      </w:r>
    </w:p>
    <w:p>
      <w:pPr>
        <w:tabs>
          <w:tab w:val="left" w:pos="7665"/>
        </w:tabs>
        <w:spacing w:line="360" w:lineRule="auto"/>
        <w:ind w:firstLine="480" w:firstLineChars="200"/>
        <w:rPr>
          <w:rFonts w:ascii="Times New Roman"/>
          <w:sz w:val="24"/>
        </w:rPr>
      </w:pPr>
      <w:r>
        <w:rPr>
          <w:rFonts w:hint="eastAsia" w:ascii="Times New Roman"/>
          <w:sz w:val="24"/>
        </w:rPr>
        <w:t>18.2.4 招标文件若有修改，投标人根据修改后的招标文件制作或修改并递交投标文件。</w:t>
      </w:r>
    </w:p>
    <w:p>
      <w:pPr>
        <w:tabs>
          <w:tab w:val="left" w:pos="7665"/>
        </w:tabs>
        <w:spacing w:line="360" w:lineRule="auto"/>
        <w:ind w:firstLine="480" w:firstLineChars="200"/>
        <w:rPr>
          <w:rFonts w:ascii="Times New Roman"/>
          <w:sz w:val="24"/>
        </w:rPr>
      </w:pPr>
      <w:r>
        <w:rPr>
          <w:rFonts w:hint="eastAsia" w:ascii="Times New Roman"/>
          <w:sz w:val="24"/>
        </w:rPr>
        <w:t>18.2.5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Pr>
          <w:rFonts w:hint="eastAsia" w:ascii="Times New Roman"/>
          <w:b/>
          <w:sz w:val="24"/>
        </w:rPr>
        <w:t>（实质性要求）</w:t>
      </w:r>
    </w:p>
    <w:bookmarkEnd w:id="80"/>
    <w:bookmarkEnd w:id="81"/>
    <w:bookmarkEnd w:id="82"/>
    <w:bookmarkEnd w:id="83"/>
    <w:bookmarkEnd w:id="84"/>
    <w:bookmarkEnd w:id="85"/>
    <w:p>
      <w:pPr>
        <w:pStyle w:val="6"/>
        <w:spacing w:line="360" w:lineRule="auto"/>
        <w:ind w:firstLine="482" w:firstLineChars="200"/>
        <w:rPr>
          <w:bCs w:val="0"/>
          <w:sz w:val="24"/>
          <w:szCs w:val="24"/>
        </w:rPr>
      </w:pPr>
      <w:bookmarkStart w:id="86" w:name="_Toc183682364"/>
      <w:bookmarkStart w:id="87" w:name="_Toc183582227"/>
      <w:bookmarkStart w:id="88" w:name="_Toc308164804"/>
      <w:bookmarkStart w:id="89" w:name="_Toc217446054"/>
      <w:r>
        <w:rPr>
          <w:rFonts w:hint="eastAsia"/>
          <w:bCs w:val="0"/>
          <w:sz w:val="24"/>
          <w:szCs w:val="24"/>
        </w:rPr>
        <w:t>19</w:t>
      </w:r>
      <w:r>
        <w:rPr>
          <w:rFonts w:hint="eastAsia"/>
          <w:bCs w:val="0"/>
          <w:sz w:val="28"/>
          <w:szCs w:val="28"/>
        </w:rPr>
        <w:t>．</w:t>
      </w:r>
      <w:r>
        <w:rPr>
          <w:rFonts w:hint="eastAsia"/>
          <w:bCs w:val="0"/>
          <w:sz w:val="24"/>
          <w:szCs w:val="24"/>
        </w:rPr>
        <w:t>投标文件的</w:t>
      </w:r>
      <w:bookmarkEnd w:id="86"/>
      <w:bookmarkEnd w:id="87"/>
      <w:r>
        <w:rPr>
          <w:rFonts w:hint="eastAsia"/>
          <w:bCs w:val="0"/>
          <w:sz w:val="24"/>
          <w:szCs w:val="24"/>
        </w:rPr>
        <w:t>递交</w:t>
      </w:r>
      <w:bookmarkEnd w:id="88"/>
      <w:bookmarkEnd w:id="89"/>
    </w:p>
    <w:p>
      <w:pPr>
        <w:tabs>
          <w:tab w:val="left" w:pos="1095"/>
        </w:tabs>
        <w:spacing w:line="360" w:lineRule="auto"/>
        <w:ind w:firstLine="460" w:firstLineChars="192"/>
        <w:rPr>
          <w:rFonts w:ascii="仿宋" w:hAnsi="仿宋" w:eastAsia="仿宋"/>
          <w:sz w:val="24"/>
        </w:rPr>
      </w:pPr>
      <w:bookmarkStart w:id="90" w:name="_Toc217446055"/>
      <w:bookmarkStart w:id="91" w:name="_Toc183582228"/>
      <w:bookmarkStart w:id="92" w:name="_Toc183682365"/>
      <w:r>
        <w:rPr>
          <w:rFonts w:hint="eastAsia" w:ascii="仿宋" w:hAnsi="仿宋" w:eastAsia="仿宋"/>
          <w:sz w:val="24"/>
        </w:rPr>
        <w:t xml:space="preserve">19.1 </w:t>
      </w:r>
      <w:r>
        <w:rPr>
          <w:rFonts w:hint="eastAsia"/>
          <w:sz w:val="24"/>
        </w:rPr>
        <w:t>投标人应当在投标文件递交截止时间前，将生成的已加密的电子投标文件成功递交至“政府采购云平台”。上传前须对投标文件是否有电子签章等进行核对。</w:t>
      </w:r>
    </w:p>
    <w:p>
      <w:pPr>
        <w:tabs>
          <w:tab w:val="left" w:pos="1095"/>
        </w:tabs>
        <w:spacing w:line="360" w:lineRule="auto"/>
        <w:ind w:firstLine="460" w:firstLineChars="192"/>
        <w:rPr>
          <w:rFonts w:ascii="仿宋" w:hAnsi="仿宋" w:eastAsia="仿宋"/>
          <w:sz w:val="24"/>
        </w:rPr>
      </w:pPr>
      <w:r>
        <w:rPr>
          <w:rFonts w:hint="eastAsia"/>
          <w:sz w:val="24"/>
        </w:rPr>
        <w:t>19.2因招标文件的修改推迟投标截止日期的，投标人按在“四川政府采购网”网站上发布的澄清公告中修改的时间递交投标文件，同时通过“政府采购云平台”将澄清或者修改的内容告知所有在系统中成功获取招标文件的潜在投标人。</w:t>
      </w:r>
    </w:p>
    <w:p>
      <w:pPr>
        <w:tabs>
          <w:tab w:val="left" w:pos="1095"/>
        </w:tabs>
        <w:spacing w:line="360" w:lineRule="auto"/>
        <w:ind w:firstLine="460" w:firstLineChars="192"/>
        <w:rPr>
          <w:sz w:val="24"/>
        </w:rPr>
      </w:pPr>
      <w:r>
        <w:rPr>
          <w:rFonts w:hint="eastAsia" w:ascii="仿宋" w:hAnsi="仿宋" w:eastAsia="仿宋"/>
          <w:sz w:val="24"/>
        </w:rPr>
        <w:t>19.3</w:t>
      </w:r>
      <w:r>
        <w:rPr>
          <w:rFonts w:hint="eastAsia"/>
          <w:sz w:val="24"/>
        </w:rPr>
        <w:t>投标人应充分考虑递交文件的不可预见因素，在投标截止时间后将无法递交。</w:t>
      </w:r>
    </w:p>
    <w:p>
      <w:pPr>
        <w:pStyle w:val="6"/>
        <w:spacing w:line="360" w:lineRule="auto"/>
        <w:ind w:firstLine="482" w:firstLineChars="200"/>
        <w:rPr>
          <w:sz w:val="24"/>
          <w:szCs w:val="24"/>
        </w:rPr>
      </w:pPr>
      <w:r>
        <w:rPr>
          <w:rFonts w:hint="eastAsia"/>
          <w:sz w:val="24"/>
          <w:szCs w:val="24"/>
        </w:rPr>
        <w:t>20.投标文件的补充、修改或撤回</w:t>
      </w:r>
    </w:p>
    <w:p>
      <w:pPr>
        <w:tabs>
          <w:tab w:val="left" w:pos="1095"/>
        </w:tabs>
        <w:spacing w:line="360" w:lineRule="auto"/>
        <w:ind w:firstLine="460" w:firstLineChars="192"/>
        <w:rPr>
          <w:sz w:val="24"/>
        </w:rPr>
      </w:pPr>
      <w:r>
        <w:rPr>
          <w:rFonts w:hint="eastAsia"/>
          <w:sz w:val="24"/>
        </w:rPr>
        <w:t>20.1</w:t>
      </w:r>
      <w:r>
        <w:rPr>
          <w:rFonts w:hint="eastAsia" w:ascii="Times New Roman"/>
          <w:sz w:val="24"/>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r>
        <w:rPr>
          <w:rFonts w:hint="eastAsia"/>
          <w:sz w:val="24"/>
        </w:rPr>
        <w:t>。</w:t>
      </w:r>
    </w:p>
    <w:p>
      <w:pPr>
        <w:tabs>
          <w:tab w:val="left" w:pos="7665"/>
        </w:tabs>
        <w:spacing w:line="360" w:lineRule="auto"/>
        <w:ind w:left="476" w:leftChars="140"/>
        <w:rPr>
          <w:sz w:val="24"/>
        </w:rPr>
      </w:pPr>
      <w:r>
        <w:rPr>
          <w:rFonts w:hint="eastAsia"/>
          <w:sz w:val="24"/>
        </w:rPr>
        <w:t>20.2投标截止时间后，投标人不得对其递交的投标文件做任何补充、修改。</w:t>
      </w:r>
    </w:p>
    <w:p>
      <w:pPr>
        <w:tabs>
          <w:tab w:val="left" w:pos="7665"/>
        </w:tabs>
        <w:spacing w:line="360" w:lineRule="auto"/>
        <w:ind w:firstLine="480" w:firstLineChars="200"/>
        <w:rPr>
          <w:rFonts w:ascii="Times New Roman"/>
          <w:sz w:val="24"/>
        </w:rPr>
      </w:pPr>
      <w:r>
        <w:rPr>
          <w:rFonts w:hint="eastAsia"/>
          <w:sz w:val="24"/>
        </w:rPr>
        <w:t xml:space="preserve">20.3 </w:t>
      </w:r>
      <w:r>
        <w:rPr>
          <w:rFonts w:hint="eastAsia" w:ascii="Times New Roman"/>
          <w:sz w:val="24"/>
        </w:rPr>
        <w:t>在投标截止时间之前，投标人可对已递交的投标文件进行撤回。在投标截止时间之后，投标人不得撤回投标文件。</w:t>
      </w:r>
    </w:p>
    <w:p>
      <w:pPr>
        <w:tabs>
          <w:tab w:val="left" w:pos="1095"/>
        </w:tabs>
        <w:spacing w:line="360" w:lineRule="auto"/>
        <w:ind w:firstLine="460" w:firstLineChars="192"/>
        <w:rPr>
          <w:sz w:val="24"/>
        </w:rPr>
      </w:pPr>
    </w:p>
    <w:bookmarkEnd w:id="90"/>
    <w:bookmarkEnd w:id="91"/>
    <w:bookmarkEnd w:id="92"/>
    <w:p>
      <w:pPr>
        <w:pStyle w:val="6"/>
        <w:spacing w:line="360" w:lineRule="auto"/>
        <w:ind w:firstLine="482" w:firstLineChars="200"/>
        <w:rPr>
          <w:sz w:val="24"/>
          <w:szCs w:val="24"/>
        </w:rPr>
      </w:pPr>
      <w:bookmarkStart w:id="93" w:name="_Toc217446056"/>
      <w:bookmarkStart w:id="94" w:name="_Toc89075878"/>
      <w:bookmarkStart w:id="95" w:name="_Toc308164805"/>
      <w:bookmarkStart w:id="96" w:name="_Toc77400782"/>
      <w:bookmarkStart w:id="97" w:name="_Toc183582231"/>
      <w:bookmarkStart w:id="98" w:name="_Toc183682368"/>
      <w:r>
        <w:rPr>
          <w:rFonts w:hint="eastAsia"/>
          <w:sz w:val="24"/>
          <w:szCs w:val="24"/>
        </w:rPr>
        <w:t>21.投标文件的解密</w:t>
      </w:r>
    </w:p>
    <w:p>
      <w:pPr>
        <w:tabs>
          <w:tab w:val="left" w:pos="1095"/>
        </w:tabs>
        <w:spacing w:line="360" w:lineRule="auto"/>
        <w:ind w:firstLine="460" w:firstLineChars="192"/>
      </w:pPr>
      <w:r>
        <w:rPr>
          <w:rFonts w:hint="eastAsia"/>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5"/>
        <w:spacing w:line="360" w:lineRule="auto"/>
        <w:jc w:val="center"/>
      </w:pPr>
      <w:r>
        <w:rPr>
          <w:rFonts w:hint="eastAsia"/>
        </w:rPr>
        <w:t>五、开标和中标</w:t>
      </w:r>
      <w:bookmarkEnd w:id="93"/>
      <w:bookmarkEnd w:id="94"/>
      <w:bookmarkEnd w:id="95"/>
      <w:bookmarkEnd w:id="96"/>
      <w:bookmarkEnd w:id="97"/>
      <w:bookmarkEnd w:id="98"/>
    </w:p>
    <w:p>
      <w:pPr>
        <w:pStyle w:val="6"/>
        <w:spacing w:line="360" w:lineRule="auto"/>
        <w:ind w:firstLine="482" w:firstLineChars="200"/>
        <w:rPr>
          <w:sz w:val="24"/>
          <w:szCs w:val="24"/>
        </w:rPr>
      </w:pPr>
      <w:bookmarkStart w:id="99" w:name="_Toc217446057"/>
      <w:bookmarkStart w:id="100" w:name="_Toc183582232"/>
      <w:bookmarkStart w:id="101" w:name="_Toc308164806"/>
      <w:bookmarkStart w:id="102" w:name="_Toc183682369"/>
      <w:bookmarkStart w:id="103" w:name="_Toc217446064"/>
      <w:bookmarkStart w:id="104" w:name="_Toc308164810"/>
      <w:bookmarkStart w:id="105" w:name="_Toc183682377"/>
      <w:bookmarkStart w:id="106" w:name="_Toc183582240"/>
      <w:r>
        <w:rPr>
          <w:rFonts w:hint="eastAsia"/>
          <w:sz w:val="24"/>
          <w:szCs w:val="24"/>
        </w:rPr>
        <w:t>22．开标</w:t>
      </w:r>
      <w:bookmarkEnd w:id="99"/>
      <w:bookmarkEnd w:id="100"/>
      <w:bookmarkEnd w:id="101"/>
      <w:bookmarkEnd w:id="102"/>
      <w:r>
        <w:rPr>
          <w:rFonts w:hint="eastAsia"/>
          <w:sz w:val="24"/>
          <w:szCs w:val="24"/>
        </w:rPr>
        <w:t>及开标程序</w:t>
      </w:r>
    </w:p>
    <w:p>
      <w:pPr>
        <w:ind w:firstLine="480" w:firstLineChars="200"/>
        <w:rPr>
          <w:sz w:val="24"/>
        </w:rPr>
      </w:pPr>
      <w:r>
        <w:rPr>
          <w:rFonts w:hint="eastAsia"/>
          <w:sz w:val="24"/>
        </w:rPr>
        <w:t>22.1本项目为不见面开标项目。（递交电子投标文件的投标人不足3家的，不予开标。）</w:t>
      </w:r>
    </w:p>
    <w:p>
      <w:pPr>
        <w:spacing w:before="120" w:line="400" w:lineRule="exact"/>
        <w:ind w:firstLine="480" w:firstLineChars="200"/>
        <w:rPr>
          <w:sz w:val="24"/>
        </w:rPr>
      </w:pPr>
      <w:r>
        <w:rPr>
          <w:rFonts w:hint="eastAsia"/>
          <w:sz w:val="24"/>
        </w:rPr>
        <w:t>22.2开标准备工作。投标人需在开标当日、投标截止时间前登录“政府采购云平台”，通过本项目“开标大厅”参与不见面开标。登录政府采购云平台—项目采购—开标评标—开标大厅（确保进入本项目开标大厅）。</w:t>
      </w:r>
    </w:p>
    <w:p>
      <w:pPr>
        <w:spacing w:before="120" w:line="400" w:lineRule="exact"/>
        <w:ind w:firstLine="482" w:firstLineChars="200"/>
        <w:rPr>
          <w:b/>
          <w:bCs/>
          <w:sz w:val="24"/>
        </w:rPr>
      </w:pPr>
      <w:r>
        <w:rPr>
          <w:rFonts w:hint="eastAsia"/>
          <w:b/>
          <w:bCs/>
          <w:sz w:val="24"/>
        </w:rPr>
        <w:t>提示：投标人未按时登录不见面开标系统，错过开标解密时间的，由投标人自行承担不利后果。</w:t>
      </w:r>
    </w:p>
    <w:p>
      <w:pPr>
        <w:spacing w:before="120" w:line="360" w:lineRule="auto"/>
        <w:ind w:firstLine="480" w:firstLineChars="200"/>
        <w:rPr>
          <w:sz w:val="24"/>
        </w:rPr>
      </w:pPr>
      <w:r>
        <w:rPr>
          <w:rFonts w:hint="eastAsia"/>
          <w:sz w:val="24"/>
        </w:rPr>
        <w:t>22.3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before="120" w:line="360" w:lineRule="auto"/>
        <w:ind w:firstLine="480" w:firstLineChars="200"/>
        <w:rPr>
          <w:sz w:val="24"/>
        </w:rPr>
      </w:pPr>
      <w:r>
        <w:rPr>
          <w:rFonts w:hint="eastAsia"/>
          <w:sz w:val="24"/>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before="120" w:line="360" w:lineRule="auto"/>
        <w:ind w:firstLine="480" w:firstLineChars="200"/>
        <w:rPr>
          <w:sz w:val="24"/>
        </w:rPr>
      </w:pPr>
      <w:bookmarkStart w:id="107" w:name="_Toc308164807"/>
      <w:bookmarkStart w:id="108" w:name="_Toc217446058"/>
      <w:r>
        <w:rPr>
          <w:rFonts w:hint="eastAsia"/>
          <w:sz w:val="24"/>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line="360" w:lineRule="auto"/>
        <w:ind w:firstLine="480" w:firstLineChars="200"/>
        <w:rPr>
          <w:sz w:val="24"/>
        </w:rPr>
      </w:pPr>
      <w:r>
        <w:rPr>
          <w:rFonts w:hint="eastAsia"/>
          <w:sz w:val="24"/>
        </w:rPr>
        <w:t>22.6因断电、断网、系统故障或其他不可抗力等因素导致不见面开标系统无法正常运行的，开标活动中止或延迟，待系统恢复正常后继续进行开标活动。</w:t>
      </w:r>
    </w:p>
    <w:p>
      <w:pPr>
        <w:spacing w:line="360" w:lineRule="auto"/>
        <w:ind w:firstLine="480" w:firstLineChars="200"/>
        <w:rPr>
          <w:sz w:val="24"/>
        </w:rPr>
      </w:pPr>
      <w:r>
        <w:rPr>
          <w:rFonts w:hint="eastAsia"/>
          <w:sz w:val="24"/>
        </w:rPr>
        <w:t>22.7不见面开标过程中，各方主体均应遵守互联网有关规定，不得发表与交易活动无关的言论。</w:t>
      </w:r>
    </w:p>
    <w:bookmarkEnd w:id="107"/>
    <w:bookmarkEnd w:id="108"/>
    <w:p>
      <w:pPr>
        <w:pStyle w:val="6"/>
        <w:spacing w:line="360" w:lineRule="auto"/>
        <w:ind w:firstLine="482" w:firstLineChars="200"/>
        <w:rPr>
          <w:sz w:val="24"/>
          <w:szCs w:val="24"/>
        </w:rPr>
      </w:pPr>
      <w:bookmarkStart w:id="109" w:name="_Toc183582238"/>
      <w:bookmarkStart w:id="110" w:name="_Toc183682375"/>
      <w:bookmarkStart w:id="111" w:name="_Toc308164809"/>
      <w:bookmarkStart w:id="112" w:name="_Toc217446063"/>
      <w:r>
        <w:rPr>
          <w:rFonts w:hint="eastAsia"/>
          <w:sz w:val="24"/>
          <w:szCs w:val="24"/>
        </w:rPr>
        <w:t>23．开评标过程存档</w:t>
      </w:r>
    </w:p>
    <w:p>
      <w:pPr>
        <w:pStyle w:val="6"/>
        <w:keepNext w:val="0"/>
        <w:keepLines w:val="0"/>
        <w:spacing w:before="0" w:after="0" w:line="360" w:lineRule="auto"/>
        <w:ind w:firstLine="480" w:firstLineChars="200"/>
        <w:rPr>
          <w:rFonts w:ascii="Times New Roman"/>
          <w:bCs w:val="0"/>
          <w:sz w:val="24"/>
          <w:szCs w:val="24"/>
        </w:rPr>
      </w:pPr>
      <w:r>
        <w:rPr>
          <w:rFonts w:hint="eastAsia"/>
          <w:b w:val="0"/>
          <w:bCs w:val="0"/>
          <w:sz w:val="24"/>
          <w:szCs w:val="22"/>
        </w:rPr>
        <w:t>开标结束后，采购人或者采购代理机构应当依法对投标人的资格进行审查。合格投标人不足3家的，不进入评标。</w:t>
      </w:r>
    </w:p>
    <w:p>
      <w:pPr>
        <w:spacing w:line="360" w:lineRule="auto"/>
        <w:ind w:firstLine="480" w:firstLineChars="200"/>
        <w:rPr>
          <w:sz w:val="24"/>
        </w:rPr>
      </w:pPr>
      <w:r>
        <w:rPr>
          <w:rFonts w:hint="eastAsia"/>
          <w:sz w:val="24"/>
        </w:rPr>
        <w:t>开标和评标过程进行全过程电子监控，并将电子监控资料存储介质留存归档。</w:t>
      </w:r>
    </w:p>
    <w:p>
      <w:pPr>
        <w:pStyle w:val="6"/>
        <w:spacing w:line="360" w:lineRule="auto"/>
        <w:ind w:firstLine="482" w:firstLineChars="200"/>
        <w:rPr>
          <w:b w:val="0"/>
          <w:sz w:val="24"/>
          <w:szCs w:val="24"/>
        </w:rPr>
      </w:pPr>
      <w:bookmarkStart w:id="113" w:name="_Toc308164811"/>
      <w:bookmarkStart w:id="114" w:name="_Toc217446065"/>
      <w:r>
        <w:rPr>
          <w:rFonts w:hint="eastAsia"/>
          <w:sz w:val="24"/>
        </w:rPr>
        <w:t>26.</w:t>
      </w:r>
      <w:r>
        <w:rPr>
          <w:rFonts w:hint="eastAsia"/>
          <w:b w:val="0"/>
          <w:sz w:val="24"/>
        </w:rPr>
        <w:t xml:space="preserve"> </w:t>
      </w:r>
      <w:r>
        <w:rPr>
          <w:rFonts w:hint="eastAsia"/>
          <w:sz w:val="24"/>
          <w:szCs w:val="24"/>
        </w:rPr>
        <w:t>签订合同</w:t>
      </w:r>
      <w:bookmarkEnd w:id="113"/>
      <w:bookmarkEnd w:id="114"/>
    </w:p>
    <w:p>
      <w:pPr>
        <w:spacing w:line="360" w:lineRule="auto"/>
        <w:ind w:firstLine="480" w:firstLineChars="200"/>
        <w:rPr>
          <w:sz w:val="24"/>
        </w:rPr>
      </w:pPr>
      <w:r>
        <w:rPr>
          <w:rFonts w:hint="eastAsia"/>
          <w:sz w:val="24"/>
        </w:rPr>
        <w:t>26.1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sz w:val="24"/>
        </w:rPr>
      </w:pPr>
      <w:r>
        <w:rPr>
          <w:rFonts w:hint="eastAsia"/>
          <w:sz w:val="24"/>
        </w:rPr>
        <w:t>26.2 采购人不得向中标人提出任何不合理的要求，作为签订合同的条件，不得与中标人私下订立背离合同实质性内容的任何协议，所签订的合同不得对招标文件和中标人投标文件确定的事项进行修改。</w:t>
      </w:r>
    </w:p>
    <w:p>
      <w:pPr>
        <w:spacing w:line="360" w:lineRule="auto"/>
        <w:ind w:firstLine="420" w:firstLineChars="175"/>
        <w:rPr>
          <w:sz w:val="24"/>
        </w:rPr>
      </w:pPr>
      <w:r>
        <w:rPr>
          <w:rFonts w:hint="eastAsia"/>
          <w:sz w:val="24"/>
        </w:rPr>
        <w:t>26.3 中标人因不可抗力原因不能履行采购合同或放弃中标的，采购人可以与排在中标人之后第一位的中标候选人签订采购合同，以此类推。</w:t>
      </w:r>
    </w:p>
    <w:p>
      <w:pPr>
        <w:spacing w:line="360" w:lineRule="auto"/>
        <w:ind w:firstLine="420" w:firstLineChars="175"/>
        <w:rPr>
          <w:sz w:val="24"/>
        </w:rPr>
      </w:pPr>
      <w:r>
        <w:rPr>
          <w:rFonts w:hint="eastAsia"/>
          <w:sz w:val="24"/>
        </w:rPr>
        <w:t>26.4 中标人在合同签订之后2个工作日内，将签订的合同（壹份）送采购代理机构进行合同编号，合同编号为采购项目编号。联系人：王老师，联系电话：</w:t>
      </w:r>
      <w:r>
        <w:rPr>
          <w:rFonts w:hint="eastAsia"/>
          <w:sz w:val="24"/>
          <w:lang w:val="zh-CN"/>
        </w:rPr>
        <w:t>028-86582286</w:t>
      </w:r>
      <w:r>
        <w:rPr>
          <w:rFonts w:hint="eastAsia"/>
          <w:sz w:val="24"/>
        </w:rPr>
        <w:t>。</w:t>
      </w:r>
    </w:p>
    <w:p>
      <w:pPr>
        <w:pStyle w:val="6"/>
        <w:spacing w:line="360" w:lineRule="auto"/>
        <w:ind w:firstLine="482" w:firstLineChars="200"/>
        <w:rPr>
          <w:sz w:val="24"/>
          <w:szCs w:val="24"/>
        </w:rPr>
      </w:pPr>
      <w:r>
        <w:rPr>
          <w:rFonts w:hint="eastAsia"/>
          <w:sz w:val="24"/>
          <w:szCs w:val="24"/>
        </w:rPr>
        <w:t>24.评标情况公告</w:t>
      </w:r>
    </w:p>
    <w:p>
      <w:pPr>
        <w:spacing w:line="360" w:lineRule="auto"/>
        <w:ind w:firstLine="480" w:firstLineChars="200"/>
      </w:pPr>
      <w:r>
        <w:rPr>
          <w:rFonts w:hint="eastAsia"/>
          <w:sz w:val="24"/>
        </w:rPr>
        <w:t>所有供应商投标文件资格性、符合性检查情况、采用综合评分法时的总得分和分项汇总得分情况、评标结果等将在四川政府采购网上采购结果公告栏中予以公告。</w:t>
      </w:r>
    </w:p>
    <w:p>
      <w:pPr>
        <w:pStyle w:val="6"/>
        <w:spacing w:line="360" w:lineRule="auto"/>
        <w:ind w:firstLine="482" w:firstLineChars="200"/>
        <w:rPr>
          <w:sz w:val="24"/>
          <w:szCs w:val="24"/>
          <w:lang w:val="zh-CN"/>
        </w:rPr>
      </w:pPr>
      <w:r>
        <w:rPr>
          <w:rFonts w:hint="eastAsia"/>
          <w:sz w:val="24"/>
          <w:szCs w:val="24"/>
        </w:rPr>
        <w:t>25.中标通知</w:t>
      </w:r>
      <w:bookmarkEnd w:id="109"/>
      <w:bookmarkEnd w:id="110"/>
      <w:r>
        <w:rPr>
          <w:rFonts w:hint="eastAsia"/>
          <w:sz w:val="24"/>
          <w:szCs w:val="24"/>
        </w:rPr>
        <w:t>书</w:t>
      </w:r>
      <w:bookmarkEnd w:id="111"/>
      <w:bookmarkEnd w:id="112"/>
    </w:p>
    <w:p>
      <w:pPr>
        <w:tabs>
          <w:tab w:val="left" w:pos="7665"/>
        </w:tabs>
        <w:spacing w:line="360" w:lineRule="auto"/>
        <w:ind w:firstLine="480" w:firstLineChars="200"/>
        <w:rPr>
          <w:sz w:val="24"/>
        </w:rPr>
      </w:pPr>
      <w:r>
        <w:rPr>
          <w:rFonts w:hint="eastAsia"/>
          <w:sz w:val="24"/>
        </w:rPr>
        <w:t>25</w:t>
      </w:r>
      <w:r>
        <w:rPr>
          <w:rFonts w:hint="eastAsia"/>
          <w:bCs/>
          <w:sz w:val="24"/>
        </w:rPr>
        <w:t>.</w:t>
      </w:r>
      <w:r>
        <w:rPr>
          <w:rFonts w:hint="eastAsia"/>
          <w:sz w:val="24"/>
        </w:rPr>
        <w:t>1 中标通知书为签订政府采购合同的依据之一，是合同的有效组成部分。</w:t>
      </w:r>
    </w:p>
    <w:p>
      <w:pPr>
        <w:tabs>
          <w:tab w:val="left" w:pos="7665"/>
        </w:tabs>
        <w:spacing w:line="360" w:lineRule="auto"/>
        <w:ind w:firstLine="480" w:firstLineChars="200"/>
        <w:rPr>
          <w:sz w:val="24"/>
        </w:rPr>
      </w:pPr>
      <w:r>
        <w:rPr>
          <w:rFonts w:hint="eastAsia"/>
          <w:sz w:val="24"/>
        </w:rPr>
        <w:t>25.2 投标人中标后，拒绝领取中标通知书的，招标采购单位将于中标供应商确定之日起两个工作日内采取邮寄、快递方式按照投标人投标文件中的地址发出中标通知书。</w:t>
      </w:r>
    </w:p>
    <w:p>
      <w:pPr>
        <w:tabs>
          <w:tab w:val="left" w:pos="7665"/>
        </w:tabs>
        <w:spacing w:line="360" w:lineRule="auto"/>
        <w:ind w:firstLine="480"/>
        <w:rPr>
          <w:sz w:val="24"/>
        </w:rPr>
      </w:pPr>
      <w:r>
        <w:rPr>
          <w:rFonts w:hint="eastAsia"/>
          <w:sz w:val="24"/>
        </w:rPr>
        <w:t>25.3 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sz w:val="24"/>
        </w:rPr>
      </w:pPr>
      <w:r>
        <w:rPr>
          <w:rFonts w:hint="eastAsia"/>
          <w:sz w:val="24"/>
        </w:rPr>
        <w:t>25．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ascii="黑体"/>
          <w:szCs w:val="28"/>
        </w:rPr>
      </w:pPr>
      <w:r>
        <w:rPr>
          <w:rFonts w:hint="eastAsia"/>
          <w:sz w:val="24"/>
        </w:rPr>
        <w:t>25.5</w:t>
      </w:r>
      <w:r>
        <w:rPr>
          <w:rFonts w:hint="eastAsia"/>
          <w:sz w:val="24"/>
          <w:lang w:val="zh-CN"/>
        </w:rPr>
        <w:t>在四川政府采购网公告中标结果同时发出中标通知书，</w:t>
      </w:r>
      <w:r>
        <w:rPr>
          <w:rFonts w:hint="eastAsia" w:hAnsi="宋体" w:cs="宋体"/>
          <w:sz w:val="24"/>
        </w:rPr>
        <w:t>请中标</w:t>
      </w:r>
      <w:r>
        <w:rPr>
          <w:rFonts w:hint="eastAsia" w:hAnsi="宋体" w:cs="宋体"/>
          <w:sz w:val="24"/>
          <w:lang w:val="zh-CN"/>
        </w:rPr>
        <w:t>人</w:t>
      </w:r>
      <w:r>
        <w:rPr>
          <w:rFonts w:hint="eastAsia" w:hAnsi="宋体" w:cs="宋体"/>
          <w:sz w:val="24"/>
        </w:rPr>
        <w:t>凭有效身份证明证件到</w:t>
      </w:r>
      <w:r>
        <w:rPr>
          <w:rFonts w:hint="eastAsia" w:hAnsi="宋体" w:cs="宋体"/>
          <w:sz w:val="24"/>
          <w:lang w:val="zh-CN"/>
        </w:rPr>
        <w:t>成都市武侯区武侯大道顺江段77号汇点广场3栋8楼31号四川华驰工程项目管理有限公司</w:t>
      </w:r>
      <w:r>
        <w:rPr>
          <w:rFonts w:hint="eastAsia" w:hAnsi="宋体" w:cs="宋体"/>
          <w:sz w:val="24"/>
        </w:rPr>
        <w:t>领取中标通知书</w:t>
      </w:r>
      <w:r>
        <w:rPr>
          <w:rFonts w:hint="eastAsia"/>
          <w:sz w:val="24"/>
          <w:lang w:val="zh-CN"/>
        </w:rPr>
        <w:t>。</w:t>
      </w:r>
    </w:p>
    <w:p>
      <w:pPr>
        <w:pStyle w:val="5"/>
        <w:spacing w:line="360" w:lineRule="auto"/>
        <w:jc w:val="center"/>
        <w:rPr>
          <w:rFonts w:ascii="黑体"/>
          <w:szCs w:val="28"/>
        </w:rPr>
      </w:pPr>
      <w:r>
        <w:rPr>
          <w:rFonts w:hint="eastAsia" w:ascii="黑体"/>
          <w:szCs w:val="28"/>
        </w:rPr>
        <w:t>六、签订及履行合同和验收</w:t>
      </w:r>
      <w:bookmarkEnd w:id="103"/>
      <w:bookmarkEnd w:id="104"/>
    </w:p>
    <w:p>
      <w:pPr>
        <w:pStyle w:val="5"/>
        <w:spacing w:line="360" w:lineRule="auto"/>
        <w:ind w:firstLine="482" w:firstLineChars="200"/>
        <w:rPr>
          <w:rFonts w:ascii="宋体" w:eastAsia="宋体"/>
          <w:sz w:val="24"/>
          <w:szCs w:val="24"/>
        </w:rPr>
      </w:pPr>
      <w:r>
        <w:rPr>
          <w:rFonts w:hint="eastAsia" w:ascii="宋体" w:eastAsia="宋体"/>
          <w:sz w:val="24"/>
          <w:szCs w:val="24"/>
        </w:rPr>
        <w:t>27、合同分包（实质性要求）：</w:t>
      </w:r>
    </w:p>
    <w:p>
      <w:pPr>
        <w:spacing w:line="360" w:lineRule="auto"/>
        <w:ind w:firstLine="420" w:firstLineChars="175"/>
        <w:rPr>
          <w:sz w:val="24"/>
        </w:rPr>
      </w:pPr>
      <w:r>
        <w:rPr>
          <w:rFonts w:hint="eastAsia"/>
          <w:sz w:val="24"/>
        </w:rPr>
        <w:t>27.1 经采购人同意，中标人可以依法采取分包方式履行合同。这种要求应当在合同签订之前征得采购人同意，并且分包投标人履行的分包项目的品牌、规格型号及技术要求等，必须与中标的一致。</w:t>
      </w:r>
    </w:p>
    <w:p>
      <w:pPr>
        <w:spacing w:line="360" w:lineRule="auto"/>
        <w:ind w:firstLine="420" w:firstLineChars="175"/>
        <w:rPr>
          <w:sz w:val="24"/>
        </w:rPr>
      </w:pPr>
      <w:r>
        <w:rPr>
          <w:rFonts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175"/>
        <w:rPr>
          <w:sz w:val="24"/>
        </w:rPr>
      </w:pPr>
      <w:r>
        <w:rPr>
          <w:rFonts w:hint="eastAsia"/>
          <w:sz w:val="24"/>
        </w:rPr>
        <w:t>27.2 采购合同实行分包履行的，中标人就采购项目和分包项目向采购人负责，分包投标人就分包项目承担责任。</w:t>
      </w:r>
    </w:p>
    <w:p>
      <w:pPr>
        <w:spacing w:line="360" w:lineRule="auto"/>
        <w:ind w:firstLine="420" w:firstLineChars="175"/>
        <w:rPr>
          <w:sz w:val="24"/>
        </w:rPr>
      </w:pPr>
      <w:r>
        <w:rPr>
          <w:rFonts w:hint="eastAsia"/>
          <w:sz w:val="24"/>
        </w:rPr>
        <w:t>27.3 中小企业依据《政府采购促进中小企业发展管理办法》（财库〔2020〕46号）规定的政策获取政府采购合同后，小型、微型企业不得分包或转包给大型、中型企业，中型企业不得分包或转包给大型企业。</w:t>
      </w:r>
    </w:p>
    <w:p>
      <w:pPr>
        <w:pStyle w:val="5"/>
        <w:spacing w:line="360" w:lineRule="auto"/>
        <w:ind w:firstLine="482" w:firstLineChars="200"/>
        <w:rPr>
          <w:rFonts w:ascii="宋体" w:eastAsia="宋体"/>
          <w:sz w:val="24"/>
          <w:szCs w:val="24"/>
        </w:rPr>
      </w:pPr>
      <w:r>
        <w:rPr>
          <w:rFonts w:hint="eastAsia" w:ascii="宋体" w:eastAsia="宋体"/>
          <w:sz w:val="24"/>
          <w:szCs w:val="24"/>
        </w:rPr>
        <w:t>28.合同转包（实质性要求）</w:t>
      </w:r>
    </w:p>
    <w:p>
      <w:pPr>
        <w:spacing w:line="360" w:lineRule="auto"/>
        <w:ind w:firstLine="540" w:firstLineChars="225"/>
        <w:rPr>
          <w:sz w:val="24"/>
        </w:rPr>
      </w:pPr>
      <w:r>
        <w:rPr>
          <w:rFonts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sz w:val="24"/>
        </w:rPr>
      </w:pPr>
      <w:r>
        <w:rPr>
          <w:rFonts w:hint="eastAsia"/>
          <w:sz w:val="24"/>
        </w:rPr>
        <w:t>中标人转包的，视同拒绝履行政府采购合同义务，将依法追究法律责任。</w:t>
      </w:r>
    </w:p>
    <w:p>
      <w:pPr>
        <w:pStyle w:val="5"/>
        <w:spacing w:line="360" w:lineRule="auto"/>
        <w:ind w:firstLine="482" w:firstLineChars="200"/>
        <w:rPr>
          <w:rFonts w:ascii="宋体" w:eastAsia="宋体"/>
          <w:sz w:val="24"/>
          <w:szCs w:val="24"/>
        </w:rPr>
      </w:pPr>
      <w:bookmarkStart w:id="115" w:name="_Toc217446066"/>
      <w:r>
        <w:rPr>
          <w:rFonts w:hint="eastAsia" w:ascii="宋体" w:eastAsia="宋体"/>
          <w:sz w:val="24"/>
          <w:szCs w:val="24"/>
        </w:rPr>
        <w:t>29.</w:t>
      </w:r>
      <w:bookmarkEnd w:id="115"/>
      <w:r>
        <w:rPr>
          <w:rFonts w:hint="eastAsia" w:ascii="宋体" w:eastAsia="宋体"/>
          <w:sz w:val="24"/>
          <w:szCs w:val="24"/>
        </w:rPr>
        <w:t xml:space="preserve"> 补充合同</w:t>
      </w:r>
    </w:p>
    <w:p>
      <w:pPr>
        <w:spacing w:line="360" w:lineRule="auto"/>
        <w:ind w:firstLine="480" w:firstLineChars="200"/>
        <w:rPr>
          <w:sz w:val="24"/>
        </w:rPr>
      </w:pPr>
      <w:r>
        <w:rPr>
          <w:rFonts w:hint="eastAsia"/>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360" w:lineRule="auto"/>
        <w:ind w:firstLine="482" w:firstLineChars="200"/>
        <w:rPr>
          <w:rFonts w:ascii="宋体" w:eastAsia="宋体"/>
          <w:sz w:val="24"/>
          <w:szCs w:val="24"/>
        </w:rPr>
      </w:pPr>
      <w:bookmarkStart w:id="116" w:name="_Toc217446068"/>
      <w:bookmarkStart w:id="117" w:name="_Toc308164812"/>
      <w:r>
        <w:rPr>
          <w:rFonts w:hint="eastAsia" w:ascii="宋体" w:eastAsia="宋体"/>
          <w:sz w:val="24"/>
          <w:szCs w:val="24"/>
        </w:rPr>
        <w:t>30.履约保证金</w:t>
      </w:r>
      <w:bookmarkEnd w:id="116"/>
      <w:bookmarkEnd w:id="117"/>
      <w:r>
        <w:rPr>
          <w:rFonts w:hint="eastAsia" w:ascii="宋体" w:eastAsia="宋体"/>
          <w:sz w:val="24"/>
          <w:szCs w:val="24"/>
        </w:rPr>
        <w:t>（实质性要求）：详见“投标人须知附表”。</w:t>
      </w:r>
    </w:p>
    <w:p>
      <w:pPr>
        <w:pStyle w:val="6"/>
        <w:spacing w:line="360" w:lineRule="auto"/>
        <w:ind w:firstLine="482" w:firstLineChars="200"/>
        <w:rPr>
          <w:sz w:val="24"/>
          <w:szCs w:val="24"/>
        </w:rPr>
      </w:pPr>
      <w:bookmarkStart w:id="118" w:name="_Toc217446069"/>
      <w:bookmarkStart w:id="119" w:name="_Toc308164813"/>
      <w:r>
        <w:rPr>
          <w:rFonts w:hint="eastAsia"/>
          <w:sz w:val="24"/>
          <w:szCs w:val="24"/>
        </w:rPr>
        <w:t>31.合同公告</w:t>
      </w:r>
    </w:p>
    <w:p>
      <w:pPr>
        <w:spacing w:line="360" w:lineRule="auto"/>
        <w:ind w:firstLine="480" w:firstLineChars="200"/>
        <w:rPr>
          <w:sz w:val="24"/>
        </w:rPr>
      </w:pPr>
      <w:r>
        <w:rPr>
          <w:rFonts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6"/>
        <w:spacing w:line="360" w:lineRule="auto"/>
        <w:ind w:firstLine="482" w:firstLineChars="200"/>
        <w:rPr>
          <w:sz w:val="24"/>
          <w:szCs w:val="24"/>
        </w:rPr>
      </w:pPr>
      <w:r>
        <w:rPr>
          <w:rFonts w:hint="eastAsia"/>
          <w:sz w:val="24"/>
          <w:szCs w:val="24"/>
        </w:rPr>
        <w:t>32、合同备案</w:t>
      </w:r>
    </w:p>
    <w:p>
      <w:pPr>
        <w:spacing w:line="360" w:lineRule="auto"/>
        <w:ind w:firstLine="480" w:firstLineChars="200"/>
        <w:rPr>
          <w:sz w:val="24"/>
        </w:rPr>
      </w:pPr>
      <w:r>
        <w:rPr>
          <w:rFonts w:hint="eastAsia"/>
          <w:sz w:val="24"/>
        </w:rPr>
        <w:t>采购人应当将政府采购合同副本自签订（双方当事人均已签字盖章）之日起七个工作日内通过</w:t>
      </w:r>
      <w:r>
        <w:rPr>
          <w:rFonts w:hint="eastAsia" w:ascii="Times New Roman"/>
          <w:sz w:val="24"/>
        </w:rPr>
        <w:t>政采云平台</w:t>
      </w:r>
      <w:r>
        <w:rPr>
          <w:rFonts w:hint="eastAsia"/>
          <w:sz w:val="24"/>
        </w:rPr>
        <w:t>报同级财政部门备案。</w:t>
      </w:r>
    </w:p>
    <w:p>
      <w:pPr>
        <w:pStyle w:val="6"/>
        <w:spacing w:line="360" w:lineRule="auto"/>
        <w:ind w:firstLine="482" w:firstLineChars="200"/>
        <w:rPr>
          <w:b w:val="0"/>
          <w:sz w:val="24"/>
          <w:szCs w:val="24"/>
        </w:rPr>
      </w:pPr>
      <w:r>
        <w:rPr>
          <w:rFonts w:hint="eastAsia"/>
          <w:sz w:val="24"/>
          <w:szCs w:val="24"/>
        </w:rPr>
        <w:t>33. 履行合同</w:t>
      </w:r>
      <w:bookmarkEnd w:id="118"/>
      <w:bookmarkEnd w:id="119"/>
    </w:p>
    <w:p>
      <w:pPr>
        <w:spacing w:line="360" w:lineRule="auto"/>
        <w:rPr>
          <w:sz w:val="24"/>
        </w:rPr>
      </w:pPr>
      <w:r>
        <w:rPr>
          <w:rFonts w:hint="eastAsia"/>
          <w:sz w:val="24"/>
        </w:rPr>
        <w:t xml:space="preserve">   33.1 中标人与采购人签订合同后，合同双方应严格执行合同条款，履行合同规定的义务，保证合同的顺利完成。</w:t>
      </w:r>
    </w:p>
    <w:p>
      <w:pPr>
        <w:spacing w:line="360" w:lineRule="auto"/>
        <w:rPr>
          <w:sz w:val="24"/>
        </w:rPr>
      </w:pPr>
      <w:r>
        <w:rPr>
          <w:rFonts w:hint="eastAsia"/>
          <w:sz w:val="24"/>
        </w:rPr>
        <w:t xml:space="preserve">   33.2 在合同履行过程中，如发生合同纠纷，合同双方应按照《民法典》的有关规定进行处理。</w:t>
      </w:r>
    </w:p>
    <w:p>
      <w:pPr>
        <w:pStyle w:val="6"/>
        <w:tabs>
          <w:tab w:val="left" w:pos="243"/>
        </w:tabs>
        <w:spacing w:line="360" w:lineRule="auto"/>
        <w:ind w:firstLine="482" w:firstLineChars="200"/>
        <w:rPr>
          <w:b w:val="0"/>
          <w:sz w:val="24"/>
          <w:szCs w:val="24"/>
        </w:rPr>
      </w:pPr>
      <w:bookmarkStart w:id="120" w:name="_Toc217446070"/>
      <w:bookmarkStart w:id="121" w:name="_Toc308164814"/>
      <w:r>
        <w:rPr>
          <w:rFonts w:hint="eastAsia"/>
          <w:sz w:val="24"/>
          <w:szCs w:val="24"/>
        </w:rPr>
        <w:t>34. 验收</w:t>
      </w:r>
      <w:bookmarkEnd w:id="120"/>
      <w:bookmarkEnd w:id="121"/>
    </w:p>
    <w:p>
      <w:pPr>
        <w:spacing w:line="360" w:lineRule="auto"/>
        <w:ind w:firstLine="480" w:firstLineChars="200"/>
        <w:rPr>
          <w:rFonts w:hAnsi="宋体"/>
          <w:sz w:val="24"/>
        </w:rPr>
      </w:pPr>
      <w:bookmarkStart w:id="122" w:name="_Toc308164818"/>
      <w:bookmarkStart w:id="123" w:name="_Toc217446077"/>
      <w:bookmarkStart w:id="124" w:name="_Toc217446071"/>
      <w:r>
        <w:rPr>
          <w:rFonts w:hint="eastAsia" w:hAnsi="宋体"/>
          <w:sz w:val="24"/>
        </w:rPr>
        <w:t>34.1本项目采购人及其委托的采购代理机构将严格按照政府采购相关法律法规以及《财政部关于进一步加强政府采购需求和履约验收管理的指导意见》(财库〔2016〕205 号)的要求进行验收。</w:t>
      </w:r>
    </w:p>
    <w:p>
      <w:pPr>
        <w:pStyle w:val="6"/>
        <w:spacing w:line="360" w:lineRule="auto"/>
        <w:ind w:firstLine="482" w:firstLineChars="200"/>
        <w:rPr>
          <w:sz w:val="24"/>
          <w:szCs w:val="24"/>
        </w:rPr>
      </w:pPr>
      <w:r>
        <w:rPr>
          <w:rFonts w:hint="eastAsia"/>
          <w:sz w:val="24"/>
          <w:szCs w:val="24"/>
        </w:rPr>
        <w:t>35.资金支付</w:t>
      </w:r>
      <w:bookmarkEnd w:id="122"/>
      <w:bookmarkEnd w:id="123"/>
    </w:p>
    <w:p>
      <w:pPr>
        <w:spacing w:line="360" w:lineRule="auto"/>
        <w:ind w:firstLine="480" w:firstLineChars="200"/>
        <w:rPr>
          <w:sz w:val="24"/>
        </w:rPr>
      </w:pPr>
      <w:r>
        <w:rPr>
          <w:rFonts w:hint="eastAsia"/>
          <w:sz w:val="24"/>
        </w:rPr>
        <w:t>采购人将按照政府采购合同规定，及时向中标供应商支付采购资金。本项目采购资金采取直接支付/授权支付，支付程序为：详见招标文件第六章。</w:t>
      </w:r>
    </w:p>
    <w:bookmarkEnd w:id="105"/>
    <w:bookmarkEnd w:id="106"/>
    <w:bookmarkEnd w:id="124"/>
    <w:p>
      <w:pPr>
        <w:pStyle w:val="5"/>
        <w:spacing w:line="360" w:lineRule="auto"/>
        <w:jc w:val="center"/>
        <w:rPr>
          <w:szCs w:val="28"/>
        </w:rPr>
      </w:pPr>
      <w:bookmarkStart w:id="125" w:name="_Toc217446074"/>
      <w:bookmarkStart w:id="126" w:name="_Toc308164815"/>
      <w:bookmarkStart w:id="127" w:name="_Toc183582243"/>
      <w:bookmarkStart w:id="128" w:name="_Toc183682380"/>
      <w:r>
        <w:rPr>
          <w:rFonts w:hint="eastAsia"/>
          <w:szCs w:val="28"/>
        </w:rPr>
        <w:t>七、投标纪律要求</w:t>
      </w:r>
      <w:bookmarkEnd w:id="125"/>
      <w:bookmarkEnd w:id="126"/>
    </w:p>
    <w:p>
      <w:pPr>
        <w:pStyle w:val="6"/>
        <w:spacing w:line="360" w:lineRule="auto"/>
        <w:ind w:firstLine="482" w:firstLineChars="200"/>
        <w:rPr>
          <w:bCs w:val="0"/>
          <w:sz w:val="24"/>
          <w:szCs w:val="24"/>
        </w:rPr>
      </w:pPr>
      <w:bookmarkStart w:id="129" w:name="_Toc308164816"/>
      <w:bookmarkStart w:id="130" w:name="_Toc217446075"/>
      <w:r>
        <w:rPr>
          <w:rFonts w:hint="eastAsia"/>
          <w:sz w:val="24"/>
        </w:rPr>
        <w:t xml:space="preserve">36. </w:t>
      </w:r>
      <w:r>
        <w:rPr>
          <w:rFonts w:hint="eastAsia"/>
          <w:bCs w:val="0"/>
          <w:sz w:val="24"/>
          <w:szCs w:val="24"/>
        </w:rPr>
        <w:t>投标人不得具有的情形</w:t>
      </w:r>
      <w:bookmarkEnd w:id="129"/>
      <w:bookmarkEnd w:id="130"/>
    </w:p>
    <w:p>
      <w:pPr>
        <w:pStyle w:val="11"/>
        <w:spacing w:line="360" w:lineRule="auto"/>
        <w:ind w:firstLine="480"/>
        <w:rPr>
          <w:sz w:val="24"/>
        </w:rPr>
      </w:pPr>
      <w:r>
        <w:rPr>
          <w:rFonts w:hint="eastAsia"/>
          <w:sz w:val="24"/>
        </w:rPr>
        <w:t>投标人参加本项目投标不得有下列情形：</w:t>
      </w:r>
    </w:p>
    <w:p>
      <w:pPr>
        <w:spacing w:line="360" w:lineRule="auto"/>
        <w:ind w:firstLine="460" w:firstLineChars="192"/>
        <w:rPr>
          <w:sz w:val="24"/>
        </w:rPr>
      </w:pPr>
      <w:r>
        <w:rPr>
          <w:rFonts w:hint="eastAsia"/>
          <w:sz w:val="24"/>
        </w:rPr>
        <w:t>（1）提供虚假材料谋取中标；</w:t>
      </w:r>
    </w:p>
    <w:p>
      <w:pPr>
        <w:spacing w:line="360" w:lineRule="auto"/>
        <w:ind w:firstLine="460" w:firstLineChars="192"/>
        <w:rPr>
          <w:sz w:val="24"/>
        </w:rPr>
      </w:pPr>
      <w:r>
        <w:rPr>
          <w:rFonts w:hint="eastAsia"/>
          <w:sz w:val="24"/>
        </w:rPr>
        <w:t>（2）采取不正当手段诋毁、排挤其他投标人；</w:t>
      </w:r>
    </w:p>
    <w:p>
      <w:pPr>
        <w:spacing w:line="360" w:lineRule="auto"/>
        <w:ind w:firstLine="480" w:firstLineChars="200"/>
        <w:rPr>
          <w:sz w:val="24"/>
        </w:rPr>
      </w:pPr>
      <w:r>
        <w:rPr>
          <w:rFonts w:hint="eastAsia"/>
          <w:sz w:val="24"/>
        </w:rPr>
        <w:t>（3）与招标采购单位、其他投标人恶意串通；</w:t>
      </w:r>
    </w:p>
    <w:p>
      <w:pPr>
        <w:spacing w:line="360" w:lineRule="auto"/>
        <w:ind w:firstLine="480" w:firstLineChars="200"/>
        <w:rPr>
          <w:sz w:val="24"/>
        </w:rPr>
      </w:pPr>
      <w:r>
        <w:rPr>
          <w:rFonts w:hint="eastAsia"/>
          <w:sz w:val="24"/>
        </w:rPr>
        <w:t>（4）向招标采购单位、评标委员会成员行贿或者提供其他不正当利益；</w:t>
      </w:r>
    </w:p>
    <w:p>
      <w:pPr>
        <w:spacing w:line="360" w:lineRule="auto"/>
        <w:ind w:firstLine="460" w:firstLineChars="192"/>
        <w:rPr>
          <w:sz w:val="24"/>
        </w:rPr>
      </w:pPr>
      <w:r>
        <w:rPr>
          <w:rFonts w:hint="eastAsia"/>
          <w:sz w:val="24"/>
        </w:rPr>
        <w:t>（5）在招标过程中与招标采购单位进行协商谈判；</w:t>
      </w:r>
    </w:p>
    <w:p>
      <w:pPr>
        <w:spacing w:line="360" w:lineRule="auto"/>
        <w:ind w:firstLine="460" w:firstLineChars="192"/>
        <w:rPr>
          <w:sz w:val="24"/>
        </w:rPr>
      </w:pPr>
      <w:r>
        <w:rPr>
          <w:rFonts w:hint="eastAsia"/>
          <w:sz w:val="24"/>
        </w:rPr>
        <w:t>（6）中标或者成交后无正当理由拒不与采购人签订政府采购合同；</w:t>
      </w:r>
    </w:p>
    <w:p>
      <w:pPr>
        <w:spacing w:line="360" w:lineRule="auto"/>
        <w:ind w:firstLine="480" w:firstLineChars="200"/>
        <w:rPr>
          <w:sz w:val="24"/>
        </w:rPr>
      </w:pPr>
      <w:r>
        <w:rPr>
          <w:rFonts w:hint="eastAsia"/>
          <w:sz w:val="24"/>
        </w:rPr>
        <w:t>（7）未按照采购文件确定的事项签订政府采购合同；</w:t>
      </w:r>
    </w:p>
    <w:p>
      <w:pPr>
        <w:spacing w:line="360" w:lineRule="auto"/>
        <w:ind w:firstLine="480" w:firstLineChars="200"/>
        <w:rPr>
          <w:sz w:val="24"/>
        </w:rPr>
      </w:pPr>
      <w:r>
        <w:rPr>
          <w:rFonts w:hint="eastAsia"/>
          <w:sz w:val="24"/>
        </w:rPr>
        <w:t>（8）将政府采购合同转包或者违规分包；</w:t>
      </w:r>
    </w:p>
    <w:p>
      <w:pPr>
        <w:spacing w:line="360" w:lineRule="auto"/>
        <w:ind w:firstLine="480" w:firstLineChars="200"/>
        <w:rPr>
          <w:sz w:val="24"/>
        </w:rPr>
      </w:pPr>
      <w:r>
        <w:rPr>
          <w:rFonts w:hint="eastAsia"/>
          <w:sz w:val="24"/>
        </w:rPr>
        <w:t>（9）提供假冒伪劣产品；</w:t>
      </w:r>
    </w:p>
    <w:p>
      <w:pPr>
        <w:spacing w:line="360" w:lineRule="auto"/>
        <w:ind w:firstLine="480" w:firstLineChars="200"/>
        <w:rPr>
          <w:sz w:val="24"/>
        </w:rPr>
      </w:pPr>
      <w:r>
        <w:rPr>
          <w:rFonts w:hint="eastAsia"/>
          <w:sz w:val="24"/>
        </w:rPr>
        <w:t>（10）擅自变更、中止或者终止政府采购合同；</w:t>
      </w:r>
    </w:p>
    <w:p>
      <w:pPr>
        <w:spacing w:line="360" w:lineRule="auto"/>
        <w:ind w:firstLine="460" w:firstLineChars="192"/>
        <w:rPr>
          <w:sz w:val="24"/>
        </w:rPr>
      </w:pPr>
      <w:r>
        <w:rPr>
          <w:rFonts w:hint="eastAsia"/>
          <w:sz w:val="24"/>
        </w:rPr>
        <w:t>（11）拒绝有关部门的监督检查或者向监督检查部门提供虚假情况；</w:t>
      </w:r>
    </w:p>
    <w:p>
      <w:pPr>
        <w:spacing w:line="360" w:lineRule="auto"/>
        <w:ind w:firstLine="480" w:firstLineChars="200"/>
        <w:rPr>
          <w:sz w:val="24"/>
        </w:rPr>
      </w:pPr>
      <w:r>
        <w:rPr>
          <w:rFonts w:hint="eastAsia"/>
          <w:sz w:val="24"/>
        </w:rPr>
        <w:t>（12）法律法规规定的其他情形。</w:t>
      </w:r>
    </w:p>
    <w:p>
      <w:pPr>
        <w:spacing w:line="360" w:lineRule="auto"/>
        <w:ind w:firstLine="480" w:firstLineChars="200"/>
        <w:rPr>
          <w:sz w:val="24"/>
        </w:rPr>
      </w:pPr>
      <w:r>
        <w:rPr>
          <w:rFonts w:hint="eastAsia"/>
          <w:sz w:val="24"/>
        </w:rPr>
        <w:t>投标人有上述情形的，按照规定追究法律责任，具备（1）-（10）条情形之一的，同时将取消中标资格或者认定中标无效。</w:t>
      </w:r>
    </w:p>
    <w:p>
      <w:pPr>
        <w:pStyle w:val="5"/>
        <w:spacing w:line="360" w:lineRule="auto"/>
        <w:jc w:val="center"/>
        <w:rPr>
          <w:rFonts w:ascii="黑体"/>
          <w:bCs w:val="0"/>
          <w:szCs w:val="28"/>
        </w:rPr>
      </w:pPr>
      <w:bookmarkStart w:id="131" w:name="_Toc308164819"/>
      <w:bookmarkStart w:id="132" w:name="_Toc217446078"/>
      <w:r>
        <w:rPr>
          <w:rFonts w:hint="eastAsia" w:ascii="黑体"/>
          <w:bCs w:val="0"/>
          <w:szCs w:val="28"/>
        </w:rPr>
        <w:t>八、询问、质疑和投诉</w:t>
      </w:r>
      <w:bookmarkEnd w:id="131"/>
      <w:bookmarkEnd w:id="132"/>
      <w:bookmarkStart w:id="133" w:name="_Toc217446079"/>
    </w:p>
    <w:bookmarkEnd w:id="127"/>
    <w:bookmarkEnd w:id="128"/>
    <w:bookmarkEnd w:id="133"/>
    <w:p>
      <w:pPr>
        <w:widowControl/>
        <w:spacing w:line="360" w:lineRule="auto"/>
        <w:ind w:firstLine="470" w:firstLineChars="196"/>
        <w:jc w:val="left"/>
        <w:rPr>
          <w:bCs/>
          <w:sz w:val="24"/>
        </w:rPr>
      </w:pPr>
      <w:r>
        <w:rPr>
          <w:rFonts w:hint="eastAsia"/>
          <w:bCs/>
          <w:sz w:val="24"/>
        </w:rPr>
        <w:t>37．询问、质疑、投诉的接收和处理严格按照《中华人民共和国政府采购法》、《中华人民共和国政府采购法实施条例》、《政府采购货物和服务招标投标管理办法》、财政部94号令《政府采购质疑和投诉办法》、《财政部关于加强政府采购供应商投诉受理审查工作的通知》和《四川省政府采购供应商投诉处理工作规程》的规定办理（详细规定请在四川政府采购网政策法规模块查询）。</w:t>
      </w:r>
    </w:p>
    <w:p>
      <w:pPr>
        <w:pStyle w:val="5"/>
        <w:spacing w:line="360" w:lineRule="auto"/>
        <w:jc w:val="center"/>
        <w:rPr>
          <w:rFonts w:ascii="黑体"/>
          <w:bCs w:val="0"/>
          <w:szCs w:val="28"/>
        </w:rPr>
      </w:pPr>
      <w:r>
        <w:rPr>
          <w:rFonts w:hint="eastAsia" w:ascii="黑体"/>
          <w:bCs w:val="0"/>
          <w:szCs w:val="28"/>
        </w:rPr>
        <w:t>九、其他</w:t>
      </w:r>
    </w:p>
    <w:p>
      <w:pPr>
        <w:widowControl/>
        <w:spacing w:line="360" w:lineRule="auto"/>
        <w:ind w:firstLine="480" w:firstLineChars="200"/>
        <w:jc w:val="left"/>
        <w:outlineLvl w:val="1"/>
        <w:rPr>
          <w:sz w:val="24"/>
        </w:rPr>
      </w:pPr>
      <w:r>
        <w:rPr>
          <w:rFonts w:hint="eastAsia"/>
          <w:bCs/>
          <w:sz w:val="24"/>
        </w:rPr>
        <w:t>38.本招标文件</w:t>
      </w:r>
      <w:r>
        <w:rPr>
          <w:rFonts w:hint="eastAsia"/>
          <w:sz w:val="24"/>
        </w:rPr>
        <w:t>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spacing w:line="360" w:lineRule="atLeast"/>
        <w:jc w:val="left"/>
        <w:outlineLvl w:val="1"/>
        <w:rPr>
          <w:b/>
          <w:sz w:val="24"/>
        </w:rPr>
      </w:pPr>
      <w:bookmarkStart w:id="134" w:name="_Toc217446083"/>
    </w:p>
    <w:p>
      <w:pPr>
        <w:widowControl/>
        <w:spacing w:line="360" w:lineRule="atLeast"/>
        <w:jc w:val="left"/>
        <w:outlineLvl w:val="1"/>
        <w:rPr>
          <w:b/>
          <w:sz w:val="24"/>
        </w:rPr>
      </w:pPr>
    </w:p>
    <w:p>
      <w:pPr>
        <w:widowControl/>
        <w:spacing w:line="360" w:lineRule="atLeast"/>
        <w:jc w:val="left"/>
        <w:outlineLvl w:val="1"/>
        <w:rPr>
          <w:b/>
          <w:sz w:val="24"/>
        </w:rPr>
      </w:pPr>
    </w:p>
    <w:p>
      <w:pPr>
        <w:widowControl/>
        <w:spacing w:line="360" w:lineRule="atLeast"/>
        <w:jc w:val="left"/>
        <w:outlineLvl w:val="1"/>
        <w:rPr>
          <w:b/>
          <w:sz w:val="24"/>
        </w:rPr>
      </w:pPr>
    </w:p>
    <w:p>
      <w:pPr>
        <w:pStyle w:val="2"/>
        <w:rPr>
          <w:b/>
          <w:sz w:val="24"/>
        </w:rPr>
      </w:pPr>
    </w:p>
    <w:p>
      <w:pPr>
        <w:pStyle w:val="3"/>
        <w:rPr>
          <w:sz w:val="36"/>
          <w:szCs w:val="36"/>
        </w:rPr>
      </w:pPr>
      <w:bookmarkStart w:id="135" w:name="_Toc19037"/>
      <w:r>
        <w:rPr>
          <w:rFonts w:hint="eastAsia"/>
          <w:sz w:val="36"/>
          <w:szCs w:val="36"/>
        </w:rPr>
        <w:br w:type="page"/>
      </w:r>
      <w:bookmarkStart w:id="136" w:name="_Toc17315"/>
      <w:bookmarkStart w:id="137" w:name="_Toc15802"/>
      <w:bookmarkStart w:id="138" w:name="_Toc16971"/>
      <w:r>
        <w:rPr>
          <w:rFonts w:hint="eastAsia"/>
          <w:sz w:val="36"/>
          <w:szCs w:val="36"/>
        </w:rPr>
        <w:t>第三章 投标文件格式</w:t>
      </w:r>
      <w:bookmarkEnd w:id="135"/>
      <w:bookmarkEnd w:id="136"/>
      <w:bookmarkEnd w:id="137"/>
      <w:bookmarkEnd w:id="138"/>
      <w:bookmarkStart w:id="139" w:name="_Toc217446082"/>
      <w:bookmarkStart w:id="140" w:name="_Toc308164821"/>
    </w:p>
    <w:p>
      <w:pPr>
        <w:widowControl/>
        <w:spacing w:line="360" w:lineRule="atLeast"/>
        <w:jc w:val="center"/>
        <w:outlineLvl w:val="1"/>
        <w:rPr>
          <w:b/>
          <w:sz w:val="24"/>
        </w:rPr>
      </w:pPr>
    </w:p>
    <w:p>
      <w:pPr>
        <w:widowControl/>
        <w:spacing w:line="360" w:lineRule="auto"/>
        <w:ind w:firstLine="470" w:firstLineChars="196"/>
        <w:rPr>
          <w:sz w:val="24"/>
        </w:rPr>
      </w:pPr>
      <w:r>
        <w:rPr>
          <w:rFonts w:hint="eastAsia"/>
          <w:sz w:val="24"/>
        </w:rPr>
        <w:t>一、本章所制投标文件格式，除格式中明确将该格式作为实质性要求的，一律不具有强制性。</w:t>
      </w:r>
    </w:p>
    <w:p>
      <w:pPr>
        <w:widowControl/>
        <w:spacing w:line="360" w:lineRule="auto"/>
        <w:ind w:firstLine="470" w:firstLineChars="196"/>
        <w:rPr>
          <w:sz w:val="24"/>
        </w:rPr>
      </w:pPr>
      <w:r>
        <w:rPr>
          <w:rFonts w:hint="eastAsia"/>
          <w:sz w:val="24"/>
        </w:rPr>
        <w:t>二、本章所制投标文件格式有关表格中的备注栏，由投标人根据自身投标情况作解释性说明，不作为必填项。</w:t>
      </w:r>
    </w:p>
    <w:p>
      <w:pPr>
        <w:widowControl/>
        <w:spacing w:line="360" w:lineRule="auto"/>
        <w:ind w:firstLine="470" w:firstLineChars="196"/>
        <w:rPr>
          <w:sz w:val="24"/>
        </w:rPr>
      </w:pPr>
      <w:r>
        <w:rPr>
          <w:rFonts w:hint="eastAsia"/>
          <w:sz w:val="24"/>
        </w:rPr>
        <w:t>三、本章所制投标文件格式中需要填写的相关内容事项，可能会与本采购项目无关，在不改变投标文件原义、不影响本项目采购需求的情况下，投标人可以不予填写，但应当注明。</w:t>
      </w:r>
    </w:p>
    <w:p>
      <w:pPr>
        <w:widowControl/>
        <w:spacing w:line="360" w:lineRule="atLeast"/>
        <w:ind w:firstLine="470" w:firstLineChars="196"/>
        <w:outlineLvl w:val="1"/>
        <w:rPr>
          <w:sz w:val="24"/>
        </w:rPr>
      </w:pPr>
    </w:p>
    <w:p>
      <w:pPr>
        <w:widowControl/>
        <w:spacing w:line="360" w:lineRule="atLeast"/>
        <w:ind w:firstLine="470" w:firstLineChars="196"/>
        <w:outlineLvl w:val="1"/>
        <w:rPr>
          <w:sz w:val="24"/>
        </w:rPr>
      </w:pPr>
    </w:p>
    <w:p>
      <w:pPr>
        <w:widowControl/>
        <w:spacing w:line="360" w:lineRule="atLeast"/>
        <w:ind w:firstLine="470" w:firstLineChars="196"/>
        <w:outlineLvl w:val="1"/>
        <w:rPr>
          <w:sz w:val="24"/>
        </w:rPr>
      </w:pPr>
    </w:p>
    <w:p>
      <w:pPr>
        <w:widowControl/>
        <w:spacing w:line="360" w:lineRule="atLeast"/>
        <w:ind w:firstLine="470" w:firstLineChars="196"/>
        <w:outlineLvl w:val="1"/>
        <w:rPr>
          <w:sz w:val="24"/>
        </w:rPr>
      </w:pPr>
    </w:p>
    <w:p>
      <w:pPr>
        <w:spacing w:line="360" w:lineRule="auto"/>
        <w:jc w:val="center"/>
        <w:rPr>
          <w:rFonts w:ascii="Cambria" w:hAnsi="Cambria"/>
          <w:b/>
          <w:bCs/>
          <w:kern w:val="44"/>
          <w:sz w:val="36"/>
          <w:szCs w:val="36"/>
        </w:rPr>
      </w:pPr>
      <w:r>
        <w:rPr>
          <w:rFonts w:hint="eastAsia" w:ascii="黑体" w:eastAsia="黑体"/>
          <w:b/>
          <w:sz w:val="32"/>
          <w:szCs w:val="32"/>
        </w:rPr>
        <w:br w:type="page"/>
      </w:r>
      <w:r>
        <w:rPr>
          <w:rFonts w:hint="eastAsia" w:ascii="Cambria" w:hAnsi="Cambria"/>
          <w:b/>
          <w:bCs/>
          <w:kern w:val="44"/>
          <w:sz w:val="36"/>
          <w:szCs w:val="36"/>
        </w:rPr>
        <w:t>第一部分  资格性投标文件（格式）</w:t>
      </w:r>
    </w:p>
    <w:p>
      <w:pPr>
        <w:spacing w:line="360" w:lineRule="auto"/>
        <w:jc w:val="right"/>
        <w:rPr>
          <w:rFonts w:hint="eastAsia" w:ascii="宋体" w:hAnsi="宋体" w:eastAsia="宋体" w:cs="宋体"/>
          <w:b/>
          <w:sz w:val="32"/>
          <w:szCs w:val="32"/>
        </w:rPr>
      </w:pPr>
      <w:r>
        <w:rPr>
          <w:rFonts w:hint="eastAsia" w:ascii="宋体" w:hAnsi="宋体" w:eastAsia="宋体" w:cs="宋体"/>
          <w:b/>
          <w:sz w:val="36"/>
        </w:rPr>
        <w:t>（正本/副本）</w:t>
      </w:r>
    </w:p>
    <w:p>
      <w:pPr>
        <w:jc w:val="center"/>
        <w:rPr>
          <w:rFonts w:hint="eastAsia" w:ascii="宋体" w:hAnsi="宋体" w:eastAsia="宋体" w:cs="宋体"/>
          <w:b/>
          <w:sz w:val="52"/>
          <w:szCs w:val="52"/>
        </w:rPr>
      </w:pPr>
      <w:r>
        <w:rPr>
          <w:rFonts w:hint="eastAsia" w:ascii="宋体" w:hAnsi="宋体" w:eastAsia="宋体" w:cs="宋体"/>
          <w:b/>
          <w:sz w:val="52"/>
          <w:szCs w:val="52"/>
        </w:rPr>
        <w:t>资</w:t>
      </w:r>
    </w:p>
    <w:p>
      <w:pPr>
        <w:jc w:val="center"/>
        <w:rPr>
          <w:rFonts w:hint="eastAsia" w:ascii="宋体" w:hAnsi="宋体" w:eastAsia="宋体" w:cs="宋体"/>
          <w:b/>
          <w:sz w:val="52"/>
          <w:szCs w:val="52"/>
        </w:rPr>
      </w:pPr>
      <w:r>
        <w:rPr>
          <w:rFonts w:hint="eastAsia" w:ascii="宋体" w:hAnsi="宋体" w:eastAsia="宋体" w:cs="宋体"/>
          <w:b/>
          <w:sz w:val="52"/>
          <w:szCs w:val="52"/>
        </w:rPr>
        <w:t>格</w:t>
      </w:r>
    </w:p>
    <w:p>
      <w:pPr>
        <w:jc w:val="center"/>
        <w:rPr>
          <w:rFonts w:hint="eastAsia" w:ascii="宋体" w:hAnsi="宋体" w:eastAsia="宋体" w:cs="宋体"/>
          <w:b/>
          <w:sz w:val="52"/>
          <w:szCs w:val="52"/>
        </w:rPr>
      </w:pPr>
      <w:r>
        <w:rPr>
          <w:rFonts w:hint="eastAsia" w:ascii="宋体" w:hAnsi="宋体" w:eastAsia="宋体" w:cs="宋体"/>
          <w:b/>
          <w:sz w:val="52"/>
          <w:szCs w:val="52"/>
        </w:rPr>
        <w:t>性</w:t>
      </w:r>
    </w:p>
    <w:p>
      <w:pPr>
        <w:jc w:val="center"/>
        <w:rPr>
          <w:rFonts w:hint="eastAsia" w:ascii="宋体" w:hAnsi="宋体" w:eastAsia="宋体" w:cs="宋体"/>
          <w:b/>
          <w:sz w:val="52"/>
          <w:szCs w:val="52"/>
        </w:rPr>
      </w:pPr>
      <w:r>
        <w:rPr>
          <w:rFonts w:hint="eastAsia" w:ascii="宋体" w:hAnsi="宋体" w:eastAsia="宋体" w:cs="宋体"/>
          <w:b/>
          <w:sz w:val="52"/>
          <w:szCs w:val="52"/>
        </w:rPr>
        <w:t>投</w:t>
      </w:r>
    </w:p>
    <w:p>
      <w:pPr>
        <w:jc w:val="center"/>
        <w:rPr>
          <w:rFonts w:hint="eastAsia" w:ascii="宋体" w:hAnsi="宋体" w:eastAsia="宋体" w:cs="宋体"/>
          <w:b/>
          <w:sz w:val="52"/>
          <w:szCs w:val="52"/>
        </w:rPr>
      </w:pPr>
      <w:r>
        <w:rPr>
          <w:rFonts w:hint="eastAsia" w:ascii="宋体" w:hAnsi="宋体" w:eastAsia="宋体" w:cs="宋体"/>
          <w:b/>
          <w:sz w:val="52"/>
          <w:szCs w:val="52"/>
        </w:rPr>
        <w:t>标</w:t>
      </w:r>
    </w:p>
    <w:p>
      <w:pPr>
        <w:jc w:val="center"/>
        <w:rPr>
          <w:rFonts w:hint="eastAsia" w:ascii="宋体" w:hAnsi="宋体" w:eastAsia="宋体" w:cs="宋体"/>
          <w:b/>
          <w:sz w:val="52"/>
          <w:szCs w:val="52"/>
        </w:rPr>
      </w:pPr>
      <w:r>
        <w:rPr>
          <w:rFonts w:hint="eastAsia" w:ascii="宋体" w:hAnsi="宋体" w:eastAsia="宋体" w:cs="宋体"/>
          <w:b/>
          <w:sz w:val="52"/>
          <w:szCs w:val="52"/>
        </w:rPr>
        <w:t>文</w:t>
      </w:r>
    </w:p>
    <w:p>
      <w:pPr>
        <w:jc w:val="center"/>
        <w:rPr>
          <w:rFonts w:hint="eastAsia" w:ascii="宋体" w:hAnsi="宋体" w:eastAsia="宋体" w:cs="宋体"/>
          <w:b/>
          <w:sz w:val="52"/>
          <w:szCs w:val="52"/>
        </w:rPr>
      </w:pPr>
      <w:r>
        <w:rPr>
          <w:rFonts w:hint="eastAsia" w:ascii="宋体" w:hAnsi="宋体" w:eastAsia="宋体" w:cs="宋体"/>
          <w:b/>
          <w:sz w:val="52"/>
          <w:szCs w:val="52"/>
        </w:rPr>
        <w:t>件</w:t>
      </w:r>
    </w:p>
    <w:p>
      <w:pPr>
        <w:pStyle w:val="2"/>
        <w:rPr>
          <w:rFonts w:hint="eastAsia" w:ascii="宋体" w:hAnsi="宋体" w:eastAsia="宋体" w:cs="宋体"/>
          <w:b/>
          <w:sz w:val="52"/>
          <w:szCs w:val="52"/>
        </w:rPr>
      </w:pPr>
    </w:p>
    <w:p>
      <w:pPr>
        <w:spacing w:line="360" w:lineRule="auto"/>
        <w:jc w:val="left"/>
        <w:rPr>
          <w:rFonts w:hint="eastAsia" w:ascii="宋体" w:hAnsi="宋体" w:eastAsia="宋体" w:cs="宋体"/>
          <w:b/>
          <w:sz w:val="32"/>
          <w:u w:val="single"/>
        </w:rPr>
      </w:pPr>
      <w:r>
        <w:rPr>
          <w:rFonts w:hint="eastAsia" w:ascii="宋体" w:hAnsi="宋体" w:eastAsia="宋体" w:cs="宋体"/>
          <w:b/>
          <w:sz w:val="32"/>
        </w:rPr>
        <w:t>投标人名称：</w:t>
      </w:r>
      <w:r>
        <w:rPr>
          <w:rFonts w:hint="eastAsia" w:ascii="宋体" w:hAnsi="宋体" w:eastAsia="宋体" w:cs="宋体"/>
          <w:b/>
          <w:sz w:val="32"/>
          <w:u w:val="single"/>
        </w:rPr>
        <w:t xml:space="preserve">                                 </w:t>
      </w:r>
    </w:p>
    <w:p>
      <w:pPr>
        <w:spacing w:line="360" w:lineRule="auto"/>
        <w:jc w:val="left"/>
        <w:rPr>
          <w:rFonts w:hint="eastAsia" w:ascii="宋体" w:hAnsi="宋体" w:eastAsia="宋体" w:cs="宋体"/>
        </w:rPr>
      </w:pPr>
      <w:r>
        <w:rPr>
          <w:rFonts w:hint="eastAsia" w:ascii="宋体" w:hAnsi="宋体" w:eastAsia="宋体" w:cs="宋体"/>
          <w:b/>
          <w:sz w:val="32"/>
        </w:rPr>
        <w:t>项目名称：</w:t>
      </w:r>
      <w:r>
        <w:rPr>
          <w:rFonts w:hint="eastAsia" w:ascii="宋体" w:hAnsi="宋体" w:eastAsia="宋体" w:cs="宋体"/>
          <w:b/>
          <w:sz w:val="32"/>
          <w:u w:val="single"/>
        </w:rPr>
        <w:t xml:space="preserve">                                   </w:t>
      </w:r>
    </w:p>
    <w:p>
      <w:pPr>
        <w:spacing w:line="360" w:lineRule="auto"/>
        <w:jc w:val="left"/>
        <w:rPr>
          <w:rFonts w:hint="eastAsia" w:ascii="宋体" w:hAnsi="宋体" w:eastAsia="宋体" w:cs="宋体"/>
          <w:b/>
          <w:sz w:val="32"/>
          <w:u w:val="single"/>
        </w:rPr>
      </w:pPr>
      <w:r>
        <w:rPr>
          <w:rFonts w:hint="eastAsia" w:ascii="宋体" w:hAnsi="宋体" w:eastAsia="宋体" w:cs="宋体"/>
          <w:b/>
          <w:sz w:val="32"/>
        </w:rPr>
        <w:t>采购项目编号：</w:t>
      </w:r>
      <w:r>
        <w:rPr>
          <w:rFonts w:hint="eastAsia" w:ascii="宋体" w:hAnsi="宋体" w:eastAsia="宋体" w:cs="宋体"/>
          <w:b/>
          <w:sz w:val="32"/>
          <w:u w:val="single"/>
        </w:rPr>
        <w:t xml:space="preserve">                               </w:t>
      </w:r>
    </w:p>
    <w:p>
      <w:pPr>
        <w:spacing w:line="360" w:lineRule="auto"/>
        <w:ind w:firstLine="790" w:firstLineChars="246"/>
        <w:jc w:val="center"/>
        <w:rPr>
          <w:rFonts w:hint="eastAsia" w:ascii="宋体" w:hAnsi="宋体" w:eastAsia="宋体" w:cs="宋体"/>
          <w:b/>
          <w:sz w:val="32"/>
        </w:rPr>
      </w:pPr>
    </w:p>
    <w:p>
      <w:pPr>
        <w:spacing w:line="360" w:lineRule="auto"/>
        <w:ind w:firstLine="790" w:firstLineChars="246"/>
        <w:jc w:val="center"/>
        <w:rPr>
          <w:rFonts w:hint="eastAsia" w:ascii="宋体" w:hAnsi="宋体" w:eastAsia="宋体" w:cs="宋体"/>
          <w:b/>
          <w:sz w:val="32"/>
        </w:rPr>
      </w:pPr>
      <w:r>
        <w:rPr>
          <w:rFonts w:hint="eastAsia" w:ascii="宋体" w:hAnsi="宋体" w:eastAsia="宋体" w:cs="宋体"/>
          <w:b/>
          <w:sz w:val="32"/>
        </w:rPr>
        <w:t>日期：</w:t>
      </w:r>
      <w:r>
        <w:rPr>
          <w:rFonts w:hint="eastAsia" w:ascii="宋体" w:hAnsi="宋体" w:eastAsia="宋体" w:cs="宋体"/>
          <w:b/>
          <w:sz w:val="32"/>
          <w:u w:val="single"/>
        </w:rPr>
        <w:t xml:space="preserve">     </w:t>
      </w:r>
      <w:r>
        <w:rPr>
          <w:rFonts w:hint="eastAsia" w:ascii="宋体" w:hAnsi="宋体" w:eastAsia="宋体" w:cs="宋体"/>
          <w:b/>
          <w:sz w:val="32"/>
        </w:rPr>
        <w:t>年</w:t>
      </w:r>
      <w:r>
        <w:rPr>
          <w:rFonts w:hint="eastAsia" w:ascii="宋体" w:hAnsi="宋体" w:eastAsia="宋体" w:cs="宋体"/>
          <w:b/>
          <w:sz w:val="32"/>
          <w:u w:val="single"/>
        </w:rPr>
        <w:t xml:space="preserve">     </w:t>
      </w:r>
      <w:r>
        <w:rPr>
          <w:rFonts w:hint="eastAsia" w:ascii="宋体" w:hAnsi="宋体" w:eastAsia="宋体" w:cs="宋体"/>
          <w:b/>
          <w:sz w:val="32"/>
        </w:rPr>
        <w:t>月</w:t>
      </w:r>
      <w:r>
        <w:rPr>
          <w:rFonts w:hint="eastAsia" w:ascii="宋体" w:hAnsi="宋体" w:eastAsia="宋体" w:cs="宋体"/>
          <w:b/>
          <w:sz w:val="32"/>
          <w:u w:val="single"/>
        </w:rPr>
        <w:t xml:space="preserve">   </w:t>
      </w:r>
      <w:r>
        <w:rPr>
          <w:rFonts w:hint="eastAsia" w:ascii="宋体" w:hAnsi="宋体" w:eastAsia="宋体" w:cs="宋体"/>
          <w:b/>
          <w:sz w:val="32"/>
        </w:rPr>
        <w:t>日</w:t>
      </w:r>
    </w:p>
    <w:p>
      <w:pPr>
        <w:pStyle w:val="2"/>
        <w:rPr>
          <w:rFonts w:ascii="Cambria" w:hAnsi="Cambria"/>
          <w:b/>
          <w:bCs/>
          <w:kern w:val="44"/>
          <w:sz w:val="36"/>
          <w:szCs w:val="36"/>
        </w:rPr>
      </w:pPr>
    </w:p>
    <w:p>
      <w:pPr>
        <w:pStyle w:val="2"/>
        <w:ind w:firstLine="442" w:firstLineChars="200"/>
        <w:rPr>
          <w:rFonts w:hAnsi="宋体" w:cs="宋体"/>
          <w:b/>
          <w:bCs/>
          <w:kern w:val="44"/>
          <w:sz w:val="22"/>
        </w:rPr>
      </w:pPr>
      <w:r>
        <w:rPr>
          <w:rFonts w:hint="eastAsia" w:hAnsi="宋体" w:cs="宋体"/>
          <w:b/>
          <w:bCs/>
          <w:kern w:val="44"/>
          <w:sz w:val="22"/>
        </w:rPr>
        <w:t>注: 本封面后投标人可根据情况自拟目录格式。</w:t>
      </w:r>
    </w:p>
    <w:p>
      <w:pPr>
        <w:pStyle w:val="2"/>
        <w:rPr>
          <w:rFonts w:ascii="黑体" w:eastAsia="黑体"/>
          <w:b/>
          <w:sz w:val="32"/>
          <w:szCs w:val="32"/>
        </w:rPr>
      </w:pPr>
    </w:p>
    <w:p>
      <w:pPr>
        <w:pStyle w:val="2"/>
        <w:rPr>
          <w:rFonts w:ascii="黑体" w:eastAsia="黑体"/>
          <w:b/>
          <w:sz w:val="32"/>
          <w:szCs w:val="32"/>
        </w:rPr>
      </w:pPr>
      <w:r>
        <w:rPr>
          <w:rFonts w:hint="eastAsia" w:ascii="黑体" w:eastAsia="黑体"/>
          <w:b/>
          <w:sz w:val="32"/>
          <w:szCs w:val="32"/>
        </w:rPr>
        <w:t>附件1-1</w:t>
      </w:r>
    </w:p>
    <w:p>
      <w:pPr>
        <w:widowControl/>
        <w:spacing w:line="360" w:lineRule="atLeast"/>
        <w:jc w:val="center"/>
        <w:outlineLvl w:val="1"/>
        <w:rPr>
          <w:rFonts w:ascii="黑体" w:eastAsia="黑体"/>
          <w:b/>
          <w:sz w:val="32"/>
          <w:szCs w:val="32"/>
        </w:rPr>
      </w:pPr>
      <w:r>
        <w:rPr>
          <w:rFonts w:hint="eastAsia" w:ascii="黑体" w:eastAsia="黑体"/>
          <w:b/>
          <w:sz w:val="32"/>
          <w:szCs w:val="32"/>
        </w:rPr>
        <w:t>承诺函</w:t>
      </w:r>
    </w:p>
    <w:p>
      <w:pPr>
        <w:widowControl/>
        <w:spacing w:line="360" w:lineRule="atLeast"/>
        <w:jc w:val="center"/>
        <w:outlineLvl w:val="1"/>
        <w:rPr>
          <w:b/>
          <w:sz w:val="24"/>
        </w:rPr>
      </w:pPr>
    </w:p>
    <w:p>
      <w:pPr>
        <w:widowControl/>
        <w:spacing w:line="360" w:lineRule="auto"/>
        <w:jc w:val="left"/>
        <w:outlineLvl w:val="1"/>
        <w:rPr>
          <w:sz w:val="24"/>
        </w:rPr>
      </w:pPr>
      <w:r>
        <w:rPr>
          <w:rFonts w:hint="eastAsia"/>
          <w:bCs/>
          <w:sz w:val="24"/>
        </w:rPr>
        <w:t>__________________（采购人名称）：</w:t>
      </w:r>
    </w:p>
    <w:p>
      <w:pPr>
        <w:widowControl/>
        <w:spacing w:line="360" w:lineRule="auto"/>
        <w:ind w:firstLine="480" w:firstLineChars="200"/>
        <w:jc w:val="left"/>
        <w:outlineLvl w:val="1"/>
        <w:rPr>
          <w:sz w:val="24"/>
        </w:rPr>
      </w:pPr>
      <w:r>
        <w:rPr>
          <w:rFonts w:hint="eastAsia"/>
          <w:sz w:val="24"/>
        </w:rPr>
        <w:t>我方作为本次采购项目的投标人，根据招标文件要求，现郑重承诺如下：</w:t>
      </w:r>
    </w:p>
    <w:p>
      <w:pPr>
        <w:widowControl/>
        <w:spacing w:line="360" w:lineRule="auto"/>
        <w:ind w:firstLine="480" w:firstLineChars="200"/>
        <w:jc w:val="left"/>
        <w:outlineLvl w:val="1"/>
        <w:rPr>
          <w:sz w:val="24"/>
        </w:rPr>
      </w:pPr>
      <w:r>
        <w:rPr>
          <w:rFonts w:hint="eastAsia"/>
          <w:sz w:val="24"/>
        </w:rPr>
        <w:t>一、具备《中华人民共和国政府采购法》第二十二条第一款和本项目规定的条件：</w:t>
      </w:r>
    </w:p>
    <w:p>
      <w:pPr>
        <w:widowControl/>
        <w:spacing w:line="360" w:lineRule="auto"/>
        <w:ind w:firstLine="480" w:firstLineChars="200"/>
        <w:jc w:val="left"/>
        <w:outlineLvl w:val="1"/>
      </w:pPr>
      <w:r>
        <w:rPr>
          <w:rFonts w:hint="eastAsia"/>
          <w:sz w:val="24"/>
        </w:rPr>
        <w:t xml:space="preserve">（一）具有独立承担民事责任的能力； </w:t>
      </w:r>
    </w:p>
    <w:p>
      <w:pPr>
        <w:widowControl/>
        <w:spacing w:line="360" w:lineRule="auto"/>
        <w:ind w:firstLine="480" w:firstLineChars="200"/>
        <w:jc w:val="left"/>
        <w:outlineLvl w:val="1"/>
      </w:pPr>
      <w:r>
        <w:rPr>
          <w:rFonts w:hint="eastAsia"/>
          <w:sz w:val="24"/>
        </w:rPr>
        <w:t xml:space="preserve">（二）具有良好的商业信誉和健全的财务会计制度； </w:t>
      </w:r>
    </w:p>
    <w:p>
      <w:pPr>
        <w:widowControl/>
        <w:spacing w:line="360" w:lineRule="auto"/>
        <w:ind w:firstLine="480" w:firstLineChars="200"/>
        <w:jc w:val="left"/>
        <w:outlineLvl w:val="1"/>
      </w:pPr>
      <w:r>
        <w:rPr>
          <w:rFonts w:hint="eastAsia"/>
          <w:sz w:val="24"/>
        </w:rPr>
        <w:t xml:space="preserve">（三）具有履行合同所必需的设备和专业技术能力； </w:t>
      </w:r>
    </w:p>
    <w:p>
      <w:pPr>
        <w:widowControl/>
        <w:spacing w:line="360" w:lineRule="auto"/>
        <w:ind w:firstLine="480" w:firstLineChars="200"/>
        <w:jc w:val="left"/>
        <w:outlineLvl w:val="1"/>
      </w:pPr>
      <w:r>
        <w:rPr>
          <w:rFonts w:hint="eastAsia"/>
          <w:sz w:val="24"/>
        </w:rPr>
        <w:t xml:space="preserve">（四）有依法缴纳税收和社会保障资金的良好记录； </w:t>
      </w:r>
    </w:p>
    <w:p>
      <w:pPr>
        <w:widowControl/>
        <w:spacing w:line="360" w:lineRule="auto"/>
        <w:ind w:firstLine="480" w:firstLineChars="200"/>
        <w:jc w:val="left"/>
        <w:outlineLvl w:val="1"/>
        <w:rPr>
          <w:sz w:val="24"/>
        </w:rPr>
      </w:pPr>
      <w:r>
        <w:rPr>
          <w:rFonts w:hint="eastAsia"/>
          <w:sz w:val="24"/>
        </w:rPr>
        <w:t>（五）参加政府采购活动前三年内，在经营活动中没有重大违法记录；</w:t>
      </w:r>
    </w:p>
    <w:p>
      <w:pPr>
        <w:widowControl/>
        <w:spacing w:line="360" w:lineRule="auto"/>
        <w:ind w:firstLine="480" w:firstLineChars="200"/>
        <w:jc w:val="left"/>
        <w:outlineLvl w:val="1"/>
        <w:rPr>
          <w:sz w:val="24"/>
        </w:rPr>
      </w:pPr>
      <w:r>
        <w:rPr>
          <w:rFonts w:hint="eastAsia"/>
          <w:sz w:val="24"/>
        </w:rPr>
        <w:t>（六）法律、行政法规规定的其他条件：</w:t>
      </w:r>
    </w:p>
    <w:p>
      <w:pPr>
        <w:pStyle w:val="2"/>
        <w:spacing w:line="360" w:lineRule="auto"/>
        <w:ind w:firstLine="480" w:firstLineChars="200"/>
        <w:rPr>
          <w:sz w:val="24"/>
        </w:rPr>
      </w:pPr>
      <w:r>
        <w:rPr>
          <w:rFonts w:hint="eastAsia"/>
          <w:sz w:val="24"/>
        </w:rPr>
        <w:t>1、供应商及其现任法定代表人、主要负责人前3年内不得具有行贿犯罪记录。</w:t>
      </w:r>
    </w:p>
    <w:p>
      <w:pPr>
        <w:pStyle w:val="2"/>
        <w:spacing w:line="360" w:lineRule="auto"/>
        <w:ind w:firstLine="480" w:firstLineChars="200"/>
        <w:rPr>
          <w:rFonts w:hAnsi="宋体" w:cs="宋体"/>
          <w:sz w:val="24"/>
        </w:rPr>
      </w:pPr>
      <w:r>
        <w:rPr>
          <w:rFonts w:hint="eastAsia"/>
          <w:sz w:val="24"/>
        </w:rPr>
        <w:t>2、供应商在采购公告发布之日前不得是“信用中国”网站(www.creditchina.gov.cn)、“中国政府采购网”网站(www.ccgp.gov.cn)等渠道中列入失信被执行人、重大税收违法案件当事人名单、政府采购严重违法失信行为记录名单中的投标人。</w:t>
      </w:r>
      <w:r>
        <w:rPr>
          <w:rFonts w:hint="eastAsia" w:hAnsi="宋体" w:cs="宋体"/>
          <w:sz w:val="24"/>
        </w:rPr>
        <w:t xml:space="preserve">   </w:t>
      </w:r>
    </w:p>
    <w:p>
      <w:pPr>
        <w:pStyle w:val="2"/>
        <w:spacing w:line="360" w:lineRule="auto"/>
        <w:ind w:firstLine="480" w:firstLineChars="200"/>
        <w:rPr>
          <w:sz w:val="24"/>
        </w:rPr>
      </w:pPr>
      <w:r>
        <w:rPr>
          <w:rFonts w:hint="eastAsia"/>
          <w:sz w:val="24"/>
        </w:rPr>
        <w:t>我方对上述承诺的内容事项真实性负责。如经查实上述承诺的内容事项存在虚假，我方愿意接受以提供虚假材料谋取中标追究法律责任。</w:t>
      </w:r>
    </w:p>
    <w:p>
      <w:pPr>
        <w:widowControl/>
        <w:spacing w:line="360" w:lineRule="auto"/>
        <w:ind w:left="485" w:leftChars="140" w:hanging="9" w:hangingChars="4"/>
        <w:jc w:val="left"/>
        <w:outlineLvl w:val="1"/>
      </w:pPr>
      <w:r>
        <w:rPr>
          <w:rFonts w:hint="eastAsia"/>
          <w:sz w:val="24"/>
        </w:rPr>
        <w:t>投标人名称：</w:t>
      </w:r>
      <w:r>
        <w:rPr>
          <w:rFonts w:hint="eastAsia"/>
          <w:sz w:val="24"/>
          <w:u w:val="single"/>
        </w:rPr>
        <w:t xml:space="preserve">                           </w:t>
      </w:r>
    </w:p>
    <w:p>
      <w:pPr>
        <w:widowControl/>
        <w:spacing w:line="360" w:lineRule="auto"/>
        <w:ind w:left="485" w:leftChars="140" w:hanging="9" w:hangingChars="4"/>
        <w:jc w:val="left"/>
        <w:outlineLvl w:val="1"/>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jc w:val="left"/>
        <w:rPr>
          <w:rFonts w:hAnsi="宋体"/>
          <w:b/>
          <w:bCs/>
          <w:sz w:val="18"/>
          <w:szCs w:val="18"/>
        </w:rPr>
      </w:pPr>
    </w:p>
    <w:p>
      <w:pPr>
        <w:ind w:firstLine="680" w:firstLineChars="200"/>
        <w:jc w:val="left"/>
        <w:rPr>
          <w:rFonts w:ascii="黑体" w:eastAsia="黑体"/>
          <w:b/>
          <w:sz w:val="32"/>
          <w:szCs w:val="32"/>
        </w:rPr>
      </w:pPr>
      <w:r>
        <w:rPr>
          <w:rFonts w:hint="eastAsia" w:hAnsi="宋体" w:cs="Arial"/>
          <w:szCs w:val="28"/>
        </w:rPr>
        <w:br w:type="page"/>
      </w:r>
      <w:r>
        <w:rPr>
          <w:rFonts w:hint="eastAsia" w:ascii="黑体" w:eastAsia="黑体"/>
          <w:b/>
          <w:sz w:val="32"/>
          <w:szCs w:val="32"/>
        </w:rPr>
        <w:t xml:space="preserve">附件1-2-1 </w:t>
      </w:r>
    </w:p>
    <w:p>
      <w:pPr>
        <w:ind w:firstLine="643" w:firstLineChars="200"/>
        <w:jc w:val="center"/>
        <w:rPr>
          <w:rFonts w:hAnsi="宋体"/>
          <w:szCs w:val="28"/>
        </w:rPr>
      </w:pPr>
      <w:r>
        <w:rPr>
          <w:rFonts w:hint="eastAsia" w:ascii="黑体" w:eastAsia="黑体"/>
          <w:b/>
          <w:sz w:val="32"/>
          <w:szCs w:val="32"/>
        </w:rPr>
        <w:t xml:space="preserve">                                                                         法定代表人授权书</w:t>
      </w:r>
    </w:p>
    <w:p>
      <w:pPr>
        <w:spacing w:line="400" w:lineRule="exact"/>
        <w:jc w:val="center"/>
        <w:rPr>
          <w:rFonts w:hAnsi="宋体"/>
          <w:b/>
          <w:sz w:val="44"/>
        </w:rPr>
      </w:pPr>
    </w:p>
    <w:p>
      <w:pPr>
        <w:pStyle w:val="2"/>
      </w:pPr>
    </w:p>
    <w:p>
      <w:pPr>
        <w:spacing w:line="360" w:lineRule="auto"/>
        <w:rPr>
          <w:rFonts w:hAnsi="宋体"/>
          <w:sz w:val="24"/>
        </w:rPr>
      </w:pPr>
      <w:r>
        <w:rPr>
          <w:rFonts w:hint="eastAsia" w:hAnsi="宋体"/>
          <w:sz w:val="24"/>
        </w:rPr>
        <w:t>__________________（采购人名称）：</w:t>
      </w:r>
    </w:p>
    <w:p>
      <w:pPr>
        <w:spacing w:line="360" w:lineRule="auto"/>
        <w:ind w:firstLine="480" w:firstLineChars="200"/>
        <w:rPr>
          <w:rFonts w:hAnsi="宋体"/>
          <w:sz w:val="24"/>
        </w:rPr>
      </w:pPr>
      <w:r>
        <w:rPr>
          <w:rFonts w:hint="eastAsia" w:hAnsi="宋体"/>
          <w:sz w:val="24"/>
        </w:rPr>
        <w:t>本授权声明：</w:t>
      </w:r>
      <w:r>
        <w:rPr>
          <w:rFonts w:hint="eastAsia" w:hAnsi="宋体"/>
          <w:sz w:val="24"/>
          <w:u w:val="single"/>
        </w:rPr>
        <w:t xml:space="preserve">                     </w:t>
      </w:r>
      <w:r>
        <w:rPr>
          <w:rFonts w:hint="eastAsia" w:hAnsi="宋体"/>
          <w:sz w:val="24"/>
        </w:rPr>
        <w:t>（投标人名称）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）投标活动的合法代表，以我方名义全权处理该项目有关投标、签订合同以及执行合同等一切事宜。</w:t>
      </w:r>
    </w:p>
    <w:p>
      <w:pPr>
        <w:spacing w:line="360" w:lineRule="auto"/>
        <w:ind w:firstLine="480" w:firstLineChars="200"/>
        <w:rPr>
          <w:rFonts w:hAnsi="宋体"/>
          <w:sz w:val="24"/>
        </w:rPr>
      </w:pPr>
      <w:r>
        <w:rPr>
          <w:rFonts w:hint="eastAsia" w:hAnsi="宋体"/>
          <w:sz w:val="24"/>
        </w:rPr>
        <w:t>特此声明。</w:t>
      </w:r>
    </w:p>
    <w:p>
      <w:pPr>
        <w:widowControl/>
        <w:spacing w:line="360" w:lineRule="auto"/>
        <w:ind w:firstLine="470" w:firstLineChars="196"/>
        <w:jc w:val="left"/>
        <w:outlineLvl w:val="1"/>
        <w:rPr>
          <w:sz w:val="24"/>
        </w:rPr>
      </w:pPr>
    </w:p>
    <w:p>
      <w:pPr>
        <w:widowControl/>
        <w:spacing w:line="360" w:lineRule="auto"/>
        <w:ind w:firstLine="470" w:firstLineChars="196"/>
        <w:jc w:val="left"/>
        <w:outlineLvl w:val="1"/>
        <w:rPr>
          <w:sz w:val="24"/>
        </w:rPr>
      </w:pPr>
    </w:p>
    <w:p>
      <w:pPr>
        <w:widowControl/>
        <w:spacing w:line="360" w:lineRule="auto"/>
        <w:ind w:firstLine="470" w:firstLineChars="196"/>
        <w:jc w:val="left"/>
        <w:outlineLvl w:val="1"/>
        <w:rPr>
          <w:sz w:val="24"/>
        </w:rPr>
      </w:pPr>
    </w:p>
    <w:p>
      <w:pPr>
        <w:widowControl/>
        <w:spacing w:line="360" w:lineRule="auto"/>
        <w:ind w:firstLine="470" w:firstLineChars="196"/>
        <w:jc w:val="left"/>
        <w:outlineLvl w:val="1"/>
        <w:rPr>
          <w:sz w:val="24"/>
        </w:rPr>
      </w:pPr>
    </w:p>
    <w:p>
      <w:pPr>
        <w:widowControl/>
        <w:spacing w:line="360" w:lineRule="auto"/>
        <w:ind w:left="485" w:leftChars="140" w:hanging="9" w:hangingChars="4"/>
        <w:jc w:val="left"/>
        <w:outlineLvl w:val="1"/>
      </w:pPr>
      <w:r>
        <w:rPr>
          <w:rFonts w:hint="eastAsia"/>
          <w:sz w:val="24"/>
        </w:rPr>
        <w:t>投标人名称：</w:t>
      </w:r>
      <w:r>
        <w:rPr>
          <w:rFonts w:hint="eastAsia"/>
          <w:sz w:val="24"/>
          <w:u w:val="single"/>
        </w:rPr>
        <w:t xml:space="preserve">                           </w:t>
      </w:r>
    </w:p>
    <w:p>
      <w:pPr>
        <w:widowControl/>
        <w:spacing w:line="360" w:lineRule="auto"/>
        <w:ind w:left="485" w:leftChars="140" w:hanging="9" w:hangingChars="4"/>
        <w:jc w:val="left"/>
        <w:outlineLvl w:val="1"/>
        <w:rPr>
          <w:rFonts w:hAnsi="宋体"/>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Ansi="宋体"/>
          <w:sz w:val="24"/>
        </w:rPr>
      </w:pPr>
    </w:p>
    <w:p>
      <w:pPr>
        <w:spacing w:line="360" w:lineRule="auto"/>
        <w:ind w:left="840" w:hanging="840" w:hangingChars="350"/>
        <w:jc w:val="left"/>
        <w:rPr>
          <w:rFonts w:hAnsi="宋体"/>
          <w:sz w:val="24"/>
        </w:rPr>
      </w:pPr>
    </w:p>
    <w:p>
      <w:pPr>
        <w:jc w:val="left"/>
        <w:rPr>
          <w:rFonts w:hAnsi="宋体"/>
          <w:b/>
          <w:bCs/>
          <w:sz w:val="18"/>
          <w:szCs w:val="18"/>
        </w:rPr>
      </w:pPr>
    </w:p>
    <w:p>
      <w:pPr>
        <w:jc w:val="left"/>
        <w:rPr>
          <w:rFonts w:hAnsi="宋体"/>
          <w:b/>
          <w:bCs/>
          <w:sz w:val="18"/>
          <w:szCs w:val="18"/>
        </w:rPr>
      </w:pPr>
    </w:p>
    <w:p>
      <w:pPr>
        <w:rPr>
          <w:rFonts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Ansi="宋体"/>
          <w:b/>
          <w:bCs/>
          <w:sz w:val="18"/>
          <w:szCs w:val="18"/>
        </w:rPr>
      </w:pPr>
      <w:r>
        <w:rPr>
          <w:rFonts w:hint="eastAsia" w:hAnsi="宋体"/>
          <w:b/>
          <w:bCs/>
          <w:sz w:val="18"/>
          <w:szCs w:val="18"/>
        </w:rPr>
        <w:t>4、授权代表参与投标适用。</w:t>
      </w:r>
    </w:p>
    <w:p>
      <w:r>
        <w:rPr>
          <w:rFonts w:hint="eastAsia"/>
        </w:rPr>
        <w:br w:type="page"/>
      </w:r>
      <w:r>
        <w:rPr>
          <w:rFonts w:hint="eastAsia" w:ascii="黑体" w:eastAsia="黑体"/>
          <w:b/>
          <w:sz w:val="32"/>
          <w:szCs w:val="32"/>
        </w:rPr>
        <w:t xml:space="preserve">附件1-2-2  </w:t>
      </w:r>
      <w:r>
        <w:rPr>
          <w:rFonts w:hint="eastAsia"/>
        </w:rPr>
        <w:t xml:space="preserve">                                        </w:t>
      </w:r>
    </w:p>
    <w:p>
      <w:pPr>
        <w:ind w:firstLine="2570" w:firstLineChars="800"/>
        <w:rPr>
          <w:rFonts w:ascii="黑体" w:eastAsia="黑体"/>
          <w:b/>
          <w:sz w:val="32"/>
          <w:szCs w:val="32"/>
        </w:rPr>
      </w:pPr>
      <w:r>
        <w:rPr>
          <w:rFonts w:hint="eastAsia" w:ascii="黑体" w:eastAsia="黑体"/>
          <w:b/>
          <w:sz w:val="32"/>
          <w:szCs w:val="32"/>
        </w:rPr>
        <w:t>法定代表人身份证明书</w:t>
      </w:r>
    </w:p>
    <w:p>
      <w:pPr>
        <w:spacing w:line="400" w:lineRule="exact"/>
        <w:ind w:firstLine="480" w:firstLineChars="200"/>
        <w:rPr>
          <w:rFonts w:hAnsi="宋体"/>
          <w:sz w:val="24"/>
        </w:rPr>
      </w:pPr>
    </w:p>
    <w:p>
      <w:pPr>
        <w:spacing w:line="360" w:lineRule="auto"/>
        <w:ind w:left="775" w:leftChars="228"/>
      </w:pPr>
      <w:r>
        <w:rPr>
          <w:rFonts w:hint="eastAsia" w:hAnsi="宋体"/>
          <w:sz w:val="24"/>
        </w:rPr>
        <w:t>投标人名称：</w:t>
      </w:r>
      <w:r>
        <w:rPr>
          <w:rFonts w:hint="eastAsia" w:hAnsi="宋体"/>
          <w:sz w:val="24"/>
          <w:u w:val="single"/>
        </w:rPr>
        <w:t xml:space="preserve">                          </w:t>
      </w:r>
    </w:p>
    <w:p>
      <w:pPr>
        <w:spacing w:line="360" w:lineRule="auto"/>
        <w:ind w:left="775" w:leftChars="228"/>
      </w:pPr>
      <w:r>
        <w:rPr>
          <w:rFonts w:hint="eastAsia" w:hAnsi="宋体"/>
          <w:sz w:val="24"/>
        </w:rPr>
        <w:t>单位性质：</w:t>
      </w:r>
      <w:r>
        <w:rPr>
          <w:rFonts w:hint="eastAsia" w:hAnsi="宋体"/>
          <w:sz w:val="24"/>
          <w:u w:val="single"/>
        </w:rPr>
        <w:t xml:space="preserve">                            </w:t>
      </w:r>
      <w:r>
        <w:rPr>
          <w:rFonts w:hint="eastAsia" w:hAnsi="宋体"/>
          <w:sz w:val="24"/>
        </w:rPr>
        <w:t xml:space="preserve"> </w:t>
      </w:r>
    </w:p>
    <w:p>
      <w:pPr>
        <w:spacing w:line="360" w:lineRule="auto"/>
        <w:ind w:left="775" w:leftChars="228"/>
      </w:pPr>
      <w:r>
        <w:rPr>
          <w:rFonts w:hint="eastAsia" w:hAnsi="宋体"/>
          <w:sz w:val="24"/>
        </w:rPr>
        <w:t>地址：</w:t>
      </w:r>
      <w:r>
        <w:rPr>
          <w:rFonts w:hint="eastAsia" w:hAnsi="宋体"/>
          <w:sz w:val="24"/>
          <w:u w:val="single"/>
        </w:rPr>
        <w:t xml:space="preserve">                               </w:t>
      </w:r>
      <w:r>
        <w:rPr>
          <w:rFonts w:hint="eastAsia" w:hAnsi="宋体"/>
          <w:sz w:val="24"/>
        </w:rPr>
        <w:t xml:space="preserve">    </w:t>
      </w:r>
    </w:p>
    <w:p>
      <w:pPr>
        <w:spacing w:line="360" w:lineRule="auto"/>
        <w:ind w:left="775" w:leftChars="228"/>
        <w:rPr>
          <w:rFonts w:hAnsi="宋体"/>
          <w:sz w:val="24"/>
        </w:rPr>
      </w:pPr>
      <w:r>
        <w:rPr>
          <w:rFonts w:hint="eastAsia" w:hAnsi="宋体"/>
          <w:sz w:val="24"/>
        </w:rPr>
        <w:t>成立时间：</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 xml:space="preserve"> 日</w:t>
      </w:r>
    </w:p>
    <w:p>
      <w:pPr>
        <w:spacing w:line="400" w:lineRule="exact"/>
        <w:ind w:firstLine="720" w:firstLineChars="300"/>
      </w:pPr>
      <w:r>
        <w:rPr>
          <w:rFonts w:hint="eastAsia" w:hAnsi="宋体"/>
          <w:sz w:val="24"/>
        </w:rPr>
        <w:t>经营期限：</w:t>
      </w:r>
      <w:r>
        <w:rPr>
          <w:rFonts w:hint="eastAsia" w:hAnsi="宋体"/>
          <w:sz w:val="24"/>
          <w:u w:val="single"/>
        </w:rPr>
        <w:t xml:space="preserve">                                             </w:t>
      </w:r>
      <w:r>
        <w:rPr>
          <w:rFonts w:hint="eastAsia" w:hAnsi="宋体"/>
          <w:sz w:val="24"/>
        </w:rPr>
        <w:t xml:space="preserve"> </w:t>
      </w:r>
    </w:p>
    <w:p>
      <w:pPr>
        <w:spacing w:line="400" w:lineRule="exact"/>
        <w:ind w:firstLine="480" w:firstLineChars="200"/>
        <w:rPr>
          <w:rFonts w:hAnsi="宋体"/>
          <w:sz w:val="24"/>
        </w:rPr>
      </w:pPr>
    </w:p>
    <w:p>
      <w:pPr>
        <w:spacing w:line="360" w:lineRule="auto"/>
        <w:ind w:firstLine="480" w:firstLineChars="200"/>
        <w:rPr>
          <w:rFonts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（投标人全称）的法定代表人（职务：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Ansi="宋体"/>
          <w:sz w:val="24"/>
        </w:rPr>
      </w:pPr>
    </w:p>
    <w:p>
      <w:pPr>
        <w:spacing w:line="400" w:lineRule="exact"/>
        <w:ind w:firstLine="480" w:firstLineChars="200"/>
        <w:rPr>
          <w:rFonts w:hAnsi="宋体"/>
          <w:sz w:val="24"/>
        </w:rPr>
      </w:pPr>
    </w:p>
    <w:p>
      <w:pPr>
        <w:spacing w:line="400" w:lineRule="exact"/>
        <w:ind w:firstLine="480" w:firstLineChars="200"/>
        <w:rPr>
          <w:rFonts w:hAnsi="宋体"/>
          <w:sz w:val="24"/>
        </w:rPr>
      </w:pPr>
      <w:r>
        <w:rPr>
          <w:rFonts w:hint="eastAsia" w:hAnsi="宋体"/>
          <w:sz w:val="24"/>
        </w:rPr>
        <w:t>特此证明</w:t>
      </w:r>
    </w:p>
    <w:p>
      <w:pPr>
        <w:spacing w:line="400" w:lineRule="exact"/>
        <w:ind w:firstLine="480" w:firstLineChars="200"/>
        <w:rPr>
          <w:rFonts w:hAnsi="宋体"/>
          <w:sz w:val="24"/>
        </w:rPr>
      </w:pPr>
    </w:p>
    <w:p>
      <w:pPr>
        <w:spacing w:line="400" w:lineRule="exact"/>
        <w:ind w:firstLine="480" w:firstLineChars="200"/>
        <w:rPr>
          <w:rFonts w:hAnsi="宋体"/>
          <w:sz w:val="24"/>
        </w:rPr>
      </w:pPr>
    </w:p>
    <w:p>
      <w:pPr>
        <w:spacing w:line="400" w:lineRule="exact"/>
        <w:ind w:firstLine="480" w:firstLineChars="200"/>
        <w:rPr>
          <w:rFonts w:hAnsi="宋体"/>
          <w:sz w:val="24"/>
        </w:rPr>
      </w:pPr>
    </w:p>
    <w:p>
      <w:pPr>
        <w:spacing w:line="360" w:lineRule="auto"/>
        <w:ind w:firstLine="480" w:firstLineChars="200"/>
        <w:rPr>
          <w:rFonts w:hAnsi="宋体"/>
          <w:sz w:val="24"/>
        </w:rPr>
      </w:pPr>
      <w:r>
        <w:rPr>
          <w:rFonts w:hint="eastAsia" w:hAnsi="宋体"/>
          <w:sz w:val="24"/>
        </w:rPr>
        <w:t xml:space="preserve">                     投标人名称：</w:t>
      </w:r>
      <w:r>
        <w:rPr>
          <w:rFonts w:hint="eastAsia" w:hAnsi="宋体"/>
          <w:sz w:val="24"/>
          <w:u w:val="single"/>
        </w:rPr>
        <w:t xml:space="preserve">                       </w:t>
      </w:r>
    </w:p>
    <w:p>
      <w:pPr>
        <w:spacing w:line="360" w:lineRule="auto"/>
        <w:ind w:firstLine="480" w:firstLineChars="200"/>
        <w:rPr>
          <w:rFonts w:hAnsi="宋体"/>
          <w:sz w:val="24"/>
        </w:rPr>
      </w:pPr>
      <w:r>
        <w:rPr>
          <w:rFonts w:hint="eastAsia" w:hAnsi="宋体"/>
          <w:sz w:val="24"/>
        </w:rPr>
        <w:t xml:space="preserve">                     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Ansi="宋体"/>
          <w:szCs w:val="28"/>
          <w:u w:val="single"/>
        </w:rPr>
      </w:pPr>
    </w:p>
    <w:p>
      <w:pPr>
        <w:jc w:val="left"/>
        <w:rPr>
          <w:rFonts w:hAnsi="宋体"/>
          <w:b/>
          <w:bCs/>
          <w:sz w:val="18"/>
          <w:szCs w:val="18"/>
        </w:rPr>
      </w:pPr>
    </w:p>
    <w:p>
      <w:pPr>
        <w:pStyle w:val="2"/>
        <w:rPr>
          <w:rFonts w:hAnsi="宋体"/>
          <w:b/>
          <w:bCs/>
          <w:sz w:val="18"/>
          <w:szCs w:val="18"/>
        </w:rPr>
      </w:pPr>
    </w:p>
    <w:p>
      <w:pPr>
        <w:pStyle w:val="2"/>
        <w:rPr>
          <w:rFonts w:hAnsi="宋体"/>
          <w:b/>
          <w:bCs/>
          <w:sz w:val="18"/>
          <w:szCs w:val="18"/>
        </w:rPr>
      </w:pPr>
    </w:p>
    <w:p>
      <w:pPr>
        <w:pStyle w:val="2"/>
        <w:rPr>
          <w:rFonts w:hAnsi="宋体"/>
          <w:b/>
          <w:bCs/>
          <w:sz w:val="18"/>
          <w:szCs w:val="18"/>
        </w:rPr>
      </w:pPr>
    </w:p>
    <w:p>
      <w:pPr>
        <w:jc w:val="left"/>
        <w:rPr>
          <w:rFonts w:hAnsi="宋体"/>
          <w:b/>
          <w:bCs/>
          <w:sz w:val="18"/>
          <w:szCs w:val="18"/>
        </w:rPr>
      </w:pPr>
    </w:p>
    <w:p>
      <w:pPr>
        <w:ind w:left="632" w:hanging="632" w:hangingChars="350"/>
        <w:jc w:val="left"/>
        <w:rPr>
          <w:rFonts w:hAnsi="宋体"/>
          <w:b/>
          <w:bCs/>
          <w:sz w:val="18"/>
          <w:szCs w:val="18"/>
        </w:rPr>
      </w:pPr>
    </w:p>
    <w:p>
      <w:pPr>
        <w:rPr>
          <w:rFonts w:hAnsi="宋体"/>
          <w:b/>
          <w:bCs/>
          <w:sz w:val="18"/>
          <w:szCs w:val="18"/>
        </w:rPr>
      </w:pPr>
    </w:p>
    <w:p>
      <w:pPr>
        <w:rPr>
          <w:rFonts w:hAnsi="宋体"/>
          <w:b/>
          <w:bCs/>
          <w:sz w:val="18"/>
          <w:szCs w:val="18"/>
        </w:rPr>
      </w:pPr>
      <w:r>
        <w:rPr>
          <w:rFonts w:hint="eastAsia" w:hAnsi="宋体"/>
          <w:b/>
          <w:bCs/>
          <w:sz w:val="18"/>
          <w:szCs w:val="18"/>
        </w:rPr>
        <w:t>注：1、附法定代表人身份证明材料复印件；</w:t>
      </w:r>
    </w:p>
    <w:p>
      <w:pPr>
        <w:ind w:firstLine="361" w:firstLineChars="200"/>
        <w:rPr>
          <w:rFonts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ascii="黑体" w:eastAsia="黑体"/>
          <w:b/>
          <w:sz w:val="32"/>
          <w:szCs w:val="32"/>
        </w:rPr>
      </w:pPr>
      <w:r>
        <w:rPr>
          <w:rFonts w:hint="eastAsia" w:hAnsi="宋体"/>
          <w:b/>
          <w:bCs/>
          <w:sz w:val="18"/>
          <w:szCs w:val="18"/>
        </w:rPr>
        <w:t>4、法定代表人参与投标适用。</w:t>
      </w:r>
      <w:r>
        <w:rPr>
          <w:rFonts w:hint="eastAsia" w:ascii="黑体" w:eastAsia="黑体"/>
          <w:b/>
          <w:sz w:val="32"/>
          <w:szCs w:val="32"/>
        </w:rPr>
        <w:br w:type="page"/>
      </w:r>
      <w:r>
        <w:rPr>
          <w:rFonts w:hint="eastAsia" w:ascii="黑体" w:eastAsia="黑体"/>
          <w:b/>
          <w:sz w:val="32"/>
          <w:szCs w:val="32"/>
        </w:rPr>
        <w:t>附件1-3-1</w:t>
      </w:r>
      <w:r>
        <w:rPr>
          <w:rFonts w:hint="eastAsia"/>
        </w:rPr>
        <w:t xml:space="preserve">    </w:t>
      </w:r>
    </w:p>
    <w:p>
      <w:pPr>
        <w:pStyle w:val="5"/>
        <w:spacing w:line="400" w:lineRule="exact"/>
        <w:jc w:val="center"/>
        <w:rPr>
          <w:rFonts w:hAnsi="宋体"/>
          <w:sz w:val="24"/>
        </w:rPr>
      </w:pPr>
      <w:bookmarkStart w:id="141" w:name="_Toc12563"/>
      <w:r>
        <w:rPr>
          <w:rFonts w:hint="eastAsia" w:ascii="宋体" w:hAnsi="宋体" w:eastAsia="宋体" w:cs="华文中宋"/>
        </w:rPr>
        <w:t>中小企业声明函</w:t>
      </w:r>
    </w:p>
    <w:p>
      <w:pPr>
        <w:spacing w:line="360" w:lineRule="auto"/>
        <w:ind w:firstLine="480" w:firstLineChars="200"/>
        <w:rPr>
          <w:sz w:val="24"/>
        </w:rPr>
      </w:pPr>
      <w:r>
        <w:rPr>
          <w:rFonts w:hint="eastAsia"/>
          <w:sz w:val="24"/>
        </w:rPr>
        <w:t>本公司郑重声明，根据《政府采购促进中小企业发展管理办法》（财库〔2020〕46号）的规定，本公司参加</w:t>
      </w:r>
      <w:r>
        <w:rPr>
          <w:rFonts w:hint="eastAsia"/>
          <w:sz w:val="24"/>
          <w:u w:val="single"/>
        </w:rPr>
        <w:t>（单位名称）</w:t>
      </w:r>
      <w:r>
        <w:rPr>
          <w:rFonts w:hint="eastAsia"/>
          <w:sz w:val="24"/>
        </w:rPr>
        <w:t>的（</w:t>
      </w:r>
      <w:r>
        <w:rPr>
          <w:rFonts w:hint="eastAsia"/>
          <w:sz w:val="24"/>
          <w:u w:val="single"/>
        </w:rPr>
        <w:t>项目名称）</w:t>
      </w:r>
      <w:r>
        <w:rPr>
          <w:rFonts w:hint="eastAsia"/>
          <w:sz w:val="24"/>
        </w:rPr>
        <w:t>采购活动，服务全部由符合政策要求的中小企业承接。相关企业的具体情况如下：</w:t>
      </w:r>
    </w:p>
    <w:p>
      <w:pPr>
        <w:keepNext/>
        <w:spacing w:before="240" w:after="60" w:line="360" w:lineRule="auto"/>
        <w:ind w:firstLine="480" w:firstLineChars="200"/>
        <w:rPr>
          <w:sz w:val="24"/>
          <w:szCs w:val="28"/>
        </w:rPr>
      </w:pPr>
      <w:r>
        <w:rPr>
          <w:rFonts w:hint="eastAsia"/>
          <w:sz w:val="24"/>
          <w:szCs w:val="28"/>
        </w:rPr>
        <w:t>1.</w:t>
      </w:r>
      <w:r>
        <w:rPr>
          <w:rFonts w:hint="eastAsia"/>
          <w:sz w:val="24"/>
          <w:szCs w:val="28"/>
          <w:u w:val="single"/>
        </w:rPr>
        <w:t>（标的名称）</w:t>
      </w:r>
      <w:r>
        <w:rPr>
          <w:rFonts w:hint="eastAsia"/>
          <w:sz w:val="24"/>
          <w:szCs w:val="28"/>
        </w:rPr>
        <w:t>，属于</w:t>
      </w:r>
      <w:r>
        <w:rPr>
          <w:rFonts w:hint="eastAsia"/>
          <w:sz w:val="24"/>
          <w:szCs w:val="28"/>
          <w:u w:val="single"/>
        </w:rPr>
        <w:t>（采购文件中明确的所属行业）</w:t>
      </w:r>
      <w:r>
        <w:rPr>
          <w:rFonts w:hint="eastAsia"/>
          <w:sz w:val="24"/>
          <w:szCs w:val="28"/>
        </w:rPr>
        <w:t>；承接企业为</w:t>
      </w:r>
      <w:r>
        <w:rPr>
          <w:rFonts w:hint="eastAsia"/>
          <w:sz w:val="24"/>
          <w:szCs w:val="28"/>
          <w:u w:val="single"/>
        </w:rPr>
        <w:t>（企业名称）</w:t>
      </w:r>
      <w:r>
        <w:rPr>
          <w:rFonts w:hint="eastAsia"/>
          <w:sz w:val="24"/>
          <w:szCs w:val="28"/>
        </w:rPr>
        <w:t>，从业人员</w:t>
      </w:r>
      <w:r>
        <w:rPr>
          <w:rFonts w:hint="eastAsia"/>
          <w:sz w:val="24"/>
          <w:szCs w:val="28"/>
          <w:u w:val="single"/>
        </w:rPr>
        <w:t xml:space="preserve">        </w:t>
      </w:r>
      <w:r>
        <w:rPr>
          <w:rFonts w:hint="eastAsia"/>
          <w:sz w:val="24"/>
          <w:szCs w:val="28"/>
        </w:rPr>
        <w:t>人，营业收入为</w:t>
      </w:r>
      <w:r>
        <w:rPr>
          <w:rFonts w:hint="eastAsia"/>
          <w:sz w:val="24"/>
          <w:szCs w:val="28"/>
          <w:u w:val="single"/>
        </w:rPr>
        <w:t xml:space="preserve">         </w:t>
      </w:r>
      <w:r>
        <w:rPr>
          <w:rFonts w:hint="eastAsia"/>
          <w:sz w:val="24"/>
          <w:szCs w:val="28"/>
        </w:rPr>
        <w:t>万元，资产总额为</w:t>
      </w:r>
      <w:r>
        <w:rPr>
          <w:rFonts w:hint="eastAsia"/>
          <w:sz w:val="24"/>
          <w:szCs w:val="28"/>
          <w:u w:val="single"/>
        </w:rPr>
        <w:t xml:space="preserve">       </w:t>
      </w:r>
      <w:r>
        <w:rPr>
          <w:rFonts w:hint="eastAsia"/>
          <w:sz w:val="24"/>
          <w:szCs w:val="28"/>
        </w:rPr>
        <w:t>万元，属于</w:t>
      </w:r>
      <w:r>
        <w:rPr>
          <w:rFonts w:hint="eastAsia"/>
          <w:sz w:val="24"/>
          <w:szCs w:val="28"/>
          <w:u w:val="single"/>
        </w:rPr>
        <w:t>（中型企业、小型企业、微型企业）</w:t>
      </w:r>
      <w:r>
        <w:rPr>
          <w:rFonts w:hint="eastAsia"/>
          <w:sz w:val="24"/>
          <w:szCs w:val="28"/>
        </w:rPr>
        <w:t>；</w:t>
      </w:r>
    </w:p>
    <w:p>
      <w:pPr>
        <w:spacing w:line="360" w:lineRule="auto"/>
        <w:ind w:firstLine="480" w:firstLineChars="200"/>
        <w:rPr>
          <w:sz w:val="24"/>
        </w:rPr>
      </w:pPr>
      <w:r>
        <w:rPr>
          <w:rFonts w:hint="eastAsia"/>
          <w:sz w:val="24"/>
        </w:rPr>
        <w:t>2.</w:t>
      </w:r>
      <w:r>
        <w:rPr>
          <w:rFonts w:hint="eastAsia"/>
          <w:sz w:val="24"/>
          <w:u w:val="single"/>
        </w:rPr>
        <w:t>（标的名称）</w:t>
      </w:r>
      <w:r>
        <w:rPr>
          <w:rFonts w:hint="eastAsia"/>
          <w:sz w:val="24"/>
        </w:rPr>
        <w:t>，属于</w:t>
      </w:r>
      <w:r>
        <w:rPr>
          <w:rFonts w:hint="eastAsia"/>
          <w:sz w:val="24"/>
          <w:u w:val="single"/>
        </w:rPr>
        <w:t>（采购文件中明确的所属行业）</w:t>
      </w:r>
      <w:r>
        <w:rPr>
          <w:rFonts w:hint="eastAsia"/>
          <w:sz w:val="24"/>
        </w:rPr>
        <w:t>；承接企业为</w:t>
      </w:r>
      <w:r>
        <w:rPr>
          <w:rFonts w:hint="eastAsia"/>
          <w:sz w:val="24"/>
          <w:u w:val="single"/>
        </w:rPr>
        <w:t>（企业名称）</w:t>
      </w:r>
      <w:r>
        <w:rPr>
          <w:rFonts w:hint="eastAsia"/>
          <w:sz w:val="24"/>
        </w:rPr>
        <w:t>，从业人员</w:t>
      </w:r>
      <w:r>
        <w:rPr>
          <w:rFonts w:hint="eastAsia"/>
          <w:sz w:val="24"/>
          <w:u w:val="single"/>
        </w:rPr>
        <w:t xml:space="preserve">        </w:t>
      </w:r>
      <w:r>
        <w:rPr>
          <w:rFonts w:hint="eastAsia"/>
          <w:sz w:val="24"/>
        </w:rPr>
        <w:t>人，营业收入为</w:t>
      </w:r>
      <w:r>
        <w:rPr>
          <w:rFonts w:hint="eastAsia"/>
          <w:sz w:val="24"/>
          <w:u w:val="single"/>
        </w:rPr>
        <w:t xml:space="preserve">         </w:t>
      </w:r>
      <w:r>
        <w:rPr>
          <w:rFonts w:hint="eastAsia"/>
          <w:sz w:val="24"/>
        </w:rPr>
        <w:t>万元，资产总额为</w:t>
      </w:r>
      <w:r>
        <w:rPr>
          <w:rFonts w:hint="eastAsia"/>
          <w:sz w:val="24"/>
          <w:u w:val="single"/>
        </w:rPr>
        <w:t xml:space="preserve">       </w:t>
      </w:r>
      <w:r>
        <w:rPr>
          <w:rFonts w:hint="eastAsia"/>
          <w:sz w:val="24"/>
        </w:rPr>
        <w:t>万元，属于</w:t>
      </w:r>
      <w:r>
        <w:rPr>
          <w:rFonts w:hint="eastAsia"/>
          <w:sz w:val="24"/>
          <w:u w:val="single"/>
        </w:rPr>
        <w:t>（中型企业、小型企业、微型企业）</w:t>
      </w:r>
      <w:r>
        <w:rPr>
          <w:rFonts w:hint="eastAsia"/>
          <w:sz w:val="24"/>
        </w:rPr>
        <w:t>；</w:t>
      </w:r>
    </w:p>
    <w:p>
      <w:pPr>
        <w:spacing w:line="360" w:lineRule="auto"/>
        <w:ind w:firstLine="480" w:firstLineChars="200"/>
        <w:rPr>
          <w:sz w:val="24"/>
          <w:u w:val="single"/>
        </w:rPr>
      </w:pPr>
      <w:r>
        <w:rPr>
          <w:rFonts w:hint="eastAsia"/>
          <w:sz w:val="24"/>
          <w:u w:val="single"/>
        </w:rPr>
        <w:t>......</w:t>
      </w:r>
    </w:p>
    <w:p>
      <w:pPr>
        <w:spacing w:line="360" w:lineRule="auto"/>
        <w:ind w:firstLine="480" w:firstLineChars="200"/>
        <w:rPr>
          <w:sz w:val="24"/>
          <w:u w:val="single"/>
        </w:rPr>
      </w:pPr>
      <w:r>
        <w:rPr>
          <w:rFonts w:hint="eastAsia"/>
          <w:sz w:val="24"/>
          <w:u w:val="single"/>
        </w:rPr>
        <w:t xml:space="preserve">   以上企业，不属于大企业的分支机构，不存在控股股东为大企业的情形，也不存在与大企业的负责人为同一人的情形。</w:t>
      </w:r>
    </w:p>
    <w:p>
      <w:pPr>
        <w:spacing w:line="360" w:lineRule="auto"/>
        <w:ind w:firstLine="480" w:firstLineChars="200"/>
      </w:pPr>
      <w:r>
        <w:rPr>
          <w:rFonts w:hint="eastAsia"/>
          <w:sz w:val="24"/>
          <w:u w:val="single"/>
        </w:rPr>
        <w:t xml:space="preserve">  本企业对上述声明内容的真实性负责。如有虚假，将依法承担相应责任。</w:t>
      </w:r>
    </w:p>
    <w:p>
      <w:pPr>
        <w:spacing w:line="360" w:lineRule="auto"/>
        <w:ind w:firstLine="4243" w:firstLineChars="1768"/>
        <w:rPr>
          <w:b/>
          <w:sz w:val="24"/>
        </w:rPr>
      </w:pPr>
      <w:r>
        <w:rPr>
          <w:rFonts w:hint="eastAsia" w:hAnsi="宋体" w:cs="宋体"/>
          <w:sz w:val="24"/>
          <w:szCs w:val="24"/>
        </w:rPr>
        <w:t xml:space="preserve">  </w:t>
      </w:r>
      <w:r>
        <w:rPr>
          <w:rFonts w:hint="eastAsia"/>
          <w:b/>
          <w:sz w:val="24"/>
        </w:rPr>
        <w:t>企业名称：</w:t>
      </w:r>
    </w:p>
    <w:p>
      <w:pPr>
        <w:spacing w:line="360" w:lineRule="auto"/>
        <w:ind w:firstLine="4501" w:firstLineChars="1868"/>
        <w:jc w:val="left"/>
      </w:pPr>
      <w:r>
        <w:rPr>
          <w:rFonts w:hint="eastAsia"/>
          <w:b/>
          <w:sz w:val="24"/>
        </w:rPr>
        <w:t xml:space="preserve">声明日期：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日</w:t>
      </w:r>
    </w:p>
    <w:p>
      <w:pPr>
        <w:widowControl/>
        <w:spacing w:after="150" w:line="360" w:lineRule="auto"/>
        <w:ind w:firstLine="720" w:firstLineChars="300"/>
        <w:jc w:val="left"/>
        <w:rPr>
          <w:rFonts w:hAnsi="宋体" w:cs="宋体"/>
          <w:sz w:val="24"/>
          <w:szCs w:val="24"/>
        </w:rPr>
      </w:pPr>
    </w:p>
    <w:p>
      <w:pPr>
        <w:widowControl/>
        <w:spacing w:after="150"/>
        <w:jc w:val="left"/>
        <w:rPr>
          <w:rFonts w:hAnsi="宋体" w:cs="华文中宋"/>
          <w:b/>
          <w:bCs/>
          <w:sz w:val="21"/>
          <w:szCs w:val="21"/>
        </w:rPr>
      </w:pPr>
    </w:p>
    <w:p>
      <w:pPr>
        <w:widowControl/>
        <w:spacing w:after="150"/>
        <w:jc w:val="left"/>
        <w:rPr>
          <w:rFonts w:hAnsi="宋体" w:cs="华文中宋"/>
          <w:b/>
          <w:bCs/>
          <w:sz w:val="21"/>
          <w:szCs w:val="21"/>
        </w:rPr>
      </w:pPr>
    </w:p>
    <w:p>
      <w:pPr>
        <w:widowControl/>
        <w:spacing w:after="150"/>
        <w:jc w:val="left"/>
        <w:rPr>
          <w:rFonts w:hAnsi="宋体"/>
          <w:b/>
          <w:bCs/>
          <w:sz w:val="21"/>
          <w:szCs w:val="21"/>
        </w:rPr>
      </w:pPr>
      <w:r>
        <w:rPr>
          <w:rFonts w:hint="eastAsia" w:hAnsi="宋体" w:cs="华文中宋"/>
          <w:b/>
          <w:bCs/>
          <w:sz w:val="21"/>
          <w:szCs w:val="21"/>
        </w:rPr>
        <w:t>注：1.供应商应符合《工业和信息化部、国家统计局、国家发展和改革委员会、财政局关于印发中小企业划型标准规定的通知》（工信部联企业（2011）300号）规定的划分标准。</w:t>
      </w:r>
    </w:p>
    <w:p>
      <w:pPr>
        <w:widowControl/>
        <w:spacing w:after="150"/>
        <w:ind w:firstLine="422" w:firstLineChars="200"/>
        <w:jc w:val="left"/>
        <w:rPr>
          <w:rFonts w:hAnsi="宋体" w:cs="华文中宋"/>
          <w:b/>
          <w:bCs/>
          <w:sz w:val="21"/>
          <w:szCs w:val="21"/>
        </w:rPr>
      </w:pPr>
      <w:r>
        <w:rPr>
          <w:rFonts w:hint="eastAsia" w:hAnsi="宋体" w:cs="华文中宋"/>
          <w:b/>
          <w:bCs/>
          <w:sz w:val="21"/>
          <w:szCs w:val="21"/>
        </w:rPr>
        <w:t>2.如未提供中小企业声明函或签字盖章不符合招标文件要求的，则投标文件作无效处理。</w:t>
      </w:r>
    </w:p>
    <w:p>
      <w:pPr>
        <w:widowControl/>
        <w:spacing w:after="150"/>
        <w:ind w:firstLine="422" w:firstLineChars="200"/>
        <w:jc w:val="left"/>
      </w:pPr>
      <w:r>
        <w:rPr>
          <w:rFonts w:hint="eastAsia" w:hAnsi="宋体" w:cs="华文中宋"/>
          <w:b/>
          <w:bCs/>
          <w:sz w:val="21"/>
          <w:szCs w:val="21"/>
        </w:rPr>
        <w:t>3.从业人员、营业收入、资产总额填报上一年度数据，无上一年度数据的新成立企业可不填报。</w:t>
      </w:r>
    </w:p>
    <w:p>
      <w:pPr>
        <w:spacing w:line="360" w:lineRule="auto"/>
      </w:pPr>
      <w:r>
        <w:rPr>
          <w:rFonts w:hint="eastAsia" w:ascii="黑体"/>
        </w:rPr>
        <w:br w:type="page"/>
      </w:r>
      <w:r>
        <w:rPr>
          <w:rFonts w:hint="eastAsia" w:ascii="黑体"/>
        </w:rPr>
        <w:t>附件1-3-2</w:t>
      </w:r>
      <w:r>
        <w:rPr>
          <w:rFonts w:hint="eastAsia"/>
        </w:rPr>
        <w:t xml:space="preserve">    </w:t>
      </w:r>
    </w:p>
    <w:bookmarkEnd w:id="141"/>
    <w:p>
      <w:pPr>
        <w:pStyle w:val="5"/>
        <w:spacing w:line="400" w:lineRule="exact"/>
        <w:jc w:val="center"/>
        <w:rPr>
          <w:rFonts w:ascii="宋体" w:hAnsi="宋体" w:eastAsia="宋体" w:cs="宋体"/>
        </w:rPr>
      </w:pPr>
      <w:r>
        <w:rPr>
          <w:rFonts w:hint="eastAsia" w:ascii="宋体" w:hAnsi="宋体" w:eastAsia="宋体" w:cs="宋体"/>
        </w:rPr>
        <w:t>残疾人福利性单位声明函</w:t>
      </w:r>
    </w:p>
    <w:p>
      <w:pPr>
        <w:jc w:val="center"/>
        <w:rPr>
          <w:rFonts w:hAnsi="宋体" w:cs="宋体"/>
        </w:rPr>
      </w:pPr>
    </w:p>
    <w:p>
      <w:pPr>
        <w:jc w:val="center"/>
        <w:rPr>
          <w:rFonts w:hAnsi="宋体" w:cs="宋体"/>
        </w:rPr>
      </w:pPr>
    </w:p>
    <w:p>
      <w:pPr>
        <w:spacing w:line="480" w:lineRule="auto"/>
        <w:ind w:firstLine="480"/>
        <w:rPr>
          <w:rFonts w:hAnsi="宋体" w:cs="宋体"/>
          <w:sz w:val="24"/>
        </w:rPr>
      </w:pPr>
      <w:r>
        <w:rPr>
          <w:rFonts w:hint="eastAsia"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rPr>
          <w:rFonts w:hAnsi="宋体" w:cs="宋体"/>
          <w:sz w:val="24"/>
        </w:rPr>
      </w:pPr>
      <w:r>
        <w:rPr>
          <w:rFonts w:hint="eastAsia" w:hAnsi="宋体" w:cs="宋体"/>
          <w:sz w:val="24"/>
        </w:rPr>
        <w:t>本单位对上述声明的真实性负责。如有虚假，将依法承担相应责任。</w:t>
      </w:r>
    </w:p>
    <w:p>
      <w:pPr>
        <w:spacing w:line="480" w:lineRule="auto"/>
        <w:ind w:firstLine="480" w:firstLineChars="200"/>
        <w:jc w:val="left"/>
        <w:rPr>
          <w:rFonts w:hAnsi="宋体" w:cs="宋体"/>
          <w:sz w:val="24"/>
        </w:rPr>
      </w:pPr>
    </w:p>
    <w:p>
      <w:pPr>
        <w:spacing w:line="588" w:lineRule="exact"/>
        <w:ind w:firstLine="624" w:firstLineChars="200"/>
        <w:rPr>
          <w:rFonts w:hAnsi="宋体" w:cs="宋体"/>
          <w:spacing w:val="6"/>
          <w:sz w:val="30"/>
          <w:szCs w:val="30"/>
        </w:rPr>
      </w:pPr>
    </w:p>
    <w:p>
      <w:pPr>
        <w:spacing w:line="500" w:lineRule="exact"/>
        <w:rPr>
          <w:rFonts w:hAnsi="宋体" w:cs="宋体"/>
          <w:sz w:val="24"/>
        </w:rPr>
      </w:pPr>
      <w:r>
        <w:rPr>
          <w:rFonts w:hint="eastAsia" w:hAnsi="宋体" w:cs="宋体"/>
          <w:spacing w:val="6"/>
          <w:sz w:val="30"/>
          <w:szCs w:val="30"/>
        </w:rPr>
        <w:t xml:space="preserve">             </w:t>
      </w:r>
      <w:r>
        <w:rPr>
          <w:rFonts w:hint="eastAsia" w:hAnsi="宋体" w:cs="宋体"/>
          <w:sz w:val="24"/>
        </w:rPr>
        <w:t xml:space="preserve">               企业名称：</w:t>
      </w:r>
      <w:r>
        <w:rPr>
          <w:rFonts w:hint="eastAsia" w:hAnsi="宋体" w:cs="宋体"/>
          <w:sz w:val="24"/>
          <w:u w:val="single"/>
        </w:rPr>
        <w:t xml:space="preserve">                   </w:t>
      </w:r>
      <w:r>
        <w:rPr>
          <w:rFonts w:hint="eastAsia" w:hAnsi="宋体" w:cs="宋体"/>
          <w:sz w:val="24"/>
        </w:rPr>
        <w:t>（盖章）　　　　　　　　　</w:t>
      </w:r>
    </w:p>
    <w:p>
      <w:pPr>
        <w:spacing w:line="500" w:lineRule="exact"/>
        <w:rPr>
          <w:rFonts w:hAnsi="宋体" w:cs="宋体"/>
          <w:sz w:val="24"/>
        </w:rPr>
      </w:pPr>
      <w:r>
        <w:rPr>
          <w:rFonts w:hint="eastAsia" w:hAnsi="宋体" w:cs="宋体"/>
          <w:sz w:val="24"/>
        </w:rPr>
        <w:t xml:space="preserve">                                 日　　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pStyle w:val="54"/>
        <w:ind w:firstLine="723" w:firstLineChars="400"/>
        <w:rPr>
          <w:b/>
          <w:bCs/>
          <w:sz w:val="18"/>
          <w:szCs w:val="18"/>
        </w:rPr>
      </w:pPr>
    </w:p>
    <w:p>
      <w:pPr>
        <w:outlineLvl w:val="1"/>
        <w:rPr>
          <w:rFonts w:ascii="黑体" w:eastAsia="黑体"/>
          <w:b/>
          <w:sz w:val="32"/>
          <w:szCs w:val="32"/>
        </w:rPr>
      </w:pPr>
    </w:p>
    <w:p>
      <w:pPr>
        <w:outlineLvl w:val="1"/>
        <w:rPr>
          <w:rFonts w:ascii="黑体" w:eastAsia="黑体"/>
          <w:b/>
          <w:sz w:val="32"/>
          <w:szCs w:val="32"/>
        </w:rPr>
      </w:pPr>
    </w:p>
    <w:p>
      <w:pPr>
        <w:rPr>
          <w:b/>
          <w:bCs/>
          <w:sz w:val="24"/>
        </w:rPr>
      </w:pPr>
      <w:r>
        <w:rPr>
          <w:rFonts w:hint="eastAsia"/>
          <w:b/>
          <w:bCs/>
          <w:sz w:val="24"/>
        </w:rPr>
        <w:t>注：1、在政府采购活动中，残疾人福利性单位视同小型、微型企业，享受预留份额、评审中价格扣除等促进中小企业发展的政府采购政策。</w:t>
      </w:r>
    </w:p>
    <w:p>
      <w:pPr>
        <w:widowControl/>
        <w:spacing w:after="150"/>
        <w:ind w:firstLine="482" w:firstLineChars="200"/>
        <w:jc w:val="left"/>
        <w:rPr>
          <w:rFonts w:hAnsi="宋体" w:cs="华文中宋"/>
          <w:b/>
          <w:bCs/>
          <w:sz w:val="21"/>
          <w:szCs w:val="21"/>
        </w:rPr>
      </w:pPr>
      <w:r>
        <w:rPr>
          <w:rFonts w:hint="eastAsia"/>
          <w:b/>
          <w:bCs/>
          <w:sz w:val="24"/>
        </w:rPr>
        <w:t>2、</w:t>
      </w:r>
      <w:r>
        <w:rPr>
          <w:rFonts w:hint="eastAsia" w:hAnsi="宋体" w:cs="华文中宋"/>
          <w:b/>
          <w:bCs/>
          <w:sz w:val="21"/>
          <w:szCs w:val="21"/>
        </w:rPr>
        <w:t>供应商为非残疾人福利性单位的，可不提供此声明。</w:t>
      </w:r>
    </w:p>
    <w:p>
      <w:pPr>
        <w:pStyle w:val="2"/>
        <w:ind w:firstLine="723" w:firstLineChars="400"/>
        <w:rPr>
          <w:rFonts w:hAnsi="宋体"/>
          <w:b/>
          <w:bCs/>
          <w:sz w:val="18"/>
          <w:szCs w:val="18"/>
        </w:rPr>
      </w:pPr>
    </w:p>
    <w:p>
      <w:pPr>
        <w:pStyle w:val="5"/>
        <w:spacing w:line="400" w:lineRule="exact"/>
        <w:rPr>
          <w:rFonts w:ascii="黑体"/>
        </w:rPr>
      </w:pPr>
      <w:r>
        <w:rPr>
          <w:rFonts w:hint="eastAsia" w:ascii="黑体"/>
          <w:b w:val="0"/>
        </w:rPr>
        <w:br w:type="page"/>
      </w:r>
      <w:r>
        <w:rPr>
          <w:rFonts w:hint="eastAsia" w:ascii="黑体"/>
        </w:rPr>
        <w:t>附件1-4</w:t>
      </w:r>
    </w:p>
    <w:p>
      <w:pPr>
        <w:spacing w:line="360" w:lineRule="auto"/>
        <w:ind w:firstLine="790" w:firstLineChars="246"/>
        <w:jc w:val="center"/>
        <w:rPr>
          <w:rFonts w:ascii="黑体" w:eastAsia="黑体"/>
          <w:b/>
          <w:sz w:val="32"/>
          <w:szCs w:val="32"/>
        </w:rPr>
      </w:pPr>
      <w:r>
        <w:rPr>
          <w:rFonts w:hint="eastAsia" w:ascii="黑体" w:eastAsia="黑体"/>
          <w:b/>
          <w:sz w:val="32"/>
          <w:szCs w:val="32"/>
        </w:rPr>
        <w:t>投标人应当提供的资格、资质性及其他类似效力要求的相关证明材料</w:t>
      </w:r>
    </w:p>
    <w:p>
      <w:pPr>
        <w:spacing w:line="360" w:lineRule="auto"/>
        <w:ind w:firstLine="790" w:firstLineChars="246"/>
        <w:jc w:val="center"/>
        <w:rPr>
          <w:rFonts w:ascii="黑体" w:eastAsia="黑体"/>
          <w:b/>
          <w:sz w:val="32"/>
          <w:szCs w:val="32"/>
        </w:rPr>
      </w:pPr>
    </w:p>
    <w:p>
      <w:pPr>
        <w:spacing w:line="360" w:lineRule="auto"/>
        <w:rPr>
          <w:rFonts w:hAnsi="宋体" w:cs="宋体"/>
          <w:bCs/>
          <w:sz w:val="24"/>
        </w:rPr>
      </w:pPr>
      <w:r>
        <w:rPr>
          <w:rFonts w:hint="eastAsia" w:hAnsi="宋体" w:cs="宋体"/>
          <w:bCs/>
          <w:sz w:val="24"/>
        </w:rPr>
        <w:t>注：投标人应按招标文件第五章相关要求提供佐证材料，有格式要求的从其要求，无格式要求的格式自拟。</w:t>
      </w:r>
    </w:p>
    <w:p>
      <w:pPr>
        <w:rPr>
          <w:rFonts w:ascii="黑体" w:eastAsia="黑体"/>
          <w:b/>
          <w:sz w:val="32"/>
          <w:szCs w:val="32"/>
        </w:rPr>
      </w:pPr>
    </w:p>
    <w:p>
      <w:pPr>
        <w:widowControl/>
        <w:spacing w:after="150"/>
        <w:ind w:firstLine="480" w:firstLineChars="200"/>
        <w:jc w:val="left"/>
        <w:rPr>
          <w:sz w:val="24"/>
          <w:szCs w:val="20"/>
        </w:rPr>
      </w:pPr>
    </w:p>
    <w:p>
      <w:r>
        <w:rPr>
          <w:rFonts w:hint="eastAsia"/>
          <w:sz w:val="24"/>
          <w:szCs w:val="20"/>
        </w:rPr>
        <w:br w:type="page"/>
      </w:r>
      <w:r>
        <w:rPr>
          <w:rFonts w:hint="eastAsia" w:ascii="黑体" w:eastAsia="黑体"/>
          <w:b/>
          <w:sz w:val="32"/>
          <w:szCs w:val="32"/>
        </w:rPr>
        <w:t xml:space="preserve">        </w:t>
      </w:r>
      <w:r>
        <w:rPr>
          <w:rFonts w:hint="eastAsia" w:ascii="Cambria" w:hAnsi="Cambria"/>
          <w:b/>
          <w:bCs/>
          <w:kern w:val="44"/>
          <w:sz w:val="36"/>
          <w:szCs w:val="36"/>
        </w:rPr>
        <w:t>第二部分 其他响应性投标文件（格式）</w:t>
      </w:r>
    </w:p>
    <w:p>
      <w:pPr>
        <w:spacing w:line="360" w:lineRule="auto"/>
        <w:jc w:val="right"/>
        <w:rPr>
          <w:rFonts w:hint="eastAsia" w:ascii="宋体" w:hAnsi="宋体" w:eastAsia="宋体" w:cs="宋体"/>
          <w:b/>
          <w:sz w:val="36"/>
        </w:rPr>
      </w:pPr>
      <w:r>
        <w:rPr>
          <w:rFonts w:hint="eastAsia" w:ascii="宋体" w:hAnsi="宋体" w:eastAsia="宋体" w:cs="宋体"/>
          <w:b/>
          <w:sz w:val="36"/>
        </w:rPr>
        <w:t>（正本/副本）</w:t>
      </w:r>
    </w:p>
    <w:p>
      <w:pPr>
        <w:jc w:val="center"/>
        <w:rPr>
          <w:rFonts w:hint="eastAsia" w:ascii="宋体" w:hAnsi="宋体" w:eastAsia="宋体" w:cs="宋体"/>
          <w:b/>
          <w:sz w:val="52"/>
          <w:szCs w:val="52"/>
        </w:rPr>
      </w:pPr>
      <w:r>
        <w:rPr>
          <w:rFonts w:hint="eastAsia" w:ascii="宋体" w:hAnsi="宋体" w:eastAsia="宋体" w:cs="宋体"/>
          <w:b/>
          <w:sz w:val="52"/>
          <w:szCs w:val="52"/>
        </w:rPr>
        <w:t>其</w:t>
      </w:r>
    </w:p>
    <w:p>
      <w:pPr>
        <w:jc w:val="center"/>
        <w:rPr>
          <w:rFonts w:hint="eastAsia" w:ascii="宋体" w:hAnsi="宋体" w:eastAsia="宋体" w:cs="宋体"/>
          <w:b/>
          <w:sz w:val="52"/>
          <w:szCs w:val="52"/>
        </w:rPr>
      </w:pPr>
      <w:r>
        <w:rPr>
          <w:rFonts w:hint="eastAsia" w:ascii="宋体" w:hAnsi="宋体" w:eastAsia="宋体" w:cs="宋体"/>
          <w:b/>
          <w:sz w:val="52"/>
          <w:szCs w:val="52"/>
        </w:rPr>
        <w:t>他</w:t>
      </w:r>
    </w:p>
    <w:p>
      <w:pPr>
        <w:jc w:val="center"/>
        <w:rPr>
          <w:rFonts w:hint="eastAsia" w:ascii="宋体" w:hAnsi="宋体" w:eastAsia="宋体" w:cs="宋体"/>
          <w:b/>
          <w:sz w:val="52"/>
          <w:szCs w:val="52"/>
        </w:rPr>
      </w:pPr>
      <w:r>
        <w:rPr>
          <w:rFonts w:hint="eastAsia" w:ascii="宋体" w:hAnsi="宋体" w:eastAsia="宋体" w:cs="宋体"/>
          <w:b/>
          <w:sz w:val="52"/>
          <w:szCs w:val="52"/>
        </w:rPr>
        <w:t>响</w:t>
      </w:r>
    </w:p>
    <w:p>
      <w:pPr>
        <w:jc w:val="center"/>
        <w:rPr>
          <w:rFonts w:hint="eastAsia" w:ascii="宋体" w:hAnsi="宋体" w:eastAsia="宋体" w:cs="宋体"/>
          <w:b/>
          <w:sz w:val="52"/>
          <w:szCs w:val="52"/>
        </w:rPr>
      </w:pPr>
      <w:r>
        <w:rPr>
          <w:rFonts w:hint="eastAsia" w:ascii="宋体" w:hAnsi="宋体" w:eastAsia="宋体" w:cs="宋体"/>
          <w:b/>
          <w:sz w:val="52"/>
          <w:szCs w:val="52"/>
        </w:rPr>
        <w:t>应</w:t>
      </w:r>
    </w:p>
    <w:p>
      <w:pPr>
        <w:jc w:val="center"/>
        <w:rPr>
          <w:rFonts w:hint="eastAsia" w:ascii="宋体" w:hAnsi="宋体" w:eastAsia="宋体" w:cs="宋体"/>
          <w:b/>
          <w:sz w:val="52"/>
          <w:szCs w:val="52"/>
        </w:rPr>
      </w:pPr>
      <w:r>
        <w:rPr>
          <w:rFonts w:hint="eastAsia" w:ascii="宋体" w:hAnsi="宋体" w:eastAsia="宋体" w:cs="宋体"/>
          <w:b/>
          <w:sz w:val="52"/>
          <w:szCs w:val="52"/>
        </w:rPr>
        <w:t>性</w:t>
      </w:r>
    </w:p>
    <w:p>
      <w:pPr>
        <w:jc w:val="center"/>
        <w:rPr>
          <w:rFonts w:hint="eastAsia" w:ascii="宋体" w:hAnsi="宋体" w:eastAsia="宋体" w:cs="宋体"/>
          <w:b/>
          <w:sz w:val="52"/>
          <w:szCs w:val="52"/>
        </w:rPr>
      </w:pPr>
      <w:r>
        <w:rPr>
          <w:rFonts w:hint="eastAsia" w:ascii="宋体" w:hAnsi="宋体" w:eastAsia="宋体" w:cs="宋体"/>
          <w:b/>
          <w:sz w:val="52"/>
          <w:szCs w:val="52"/>
        </w:rPr>
        <w:t>投</w:t>
      </w:r>
    </w:p>
    <w:p>
      <w:pPr>
        <w:jc w:val="center"/>
        <w:rPr>
          <w:rFonts w:hint="eastAsia" w:ascii="宋体" w:hAnsi="宋体" w:eastAsia="宋体" w:cs="宋体"/>
          <w:b/>
          <w:sz w:val="52"/>
          <w:szCs w:val="52"/>
        </w:rPr>
      </w:pPr>
      <w:r>
        <w:rPr>
          <w:rFonts w:hint="eastAsia" w:ascii="宋体" w:hAnsi="宋体" w:eastAsia="宋体" w:cs="宋体"/>
          <w:b/>
          <w:sz w:val="52"/>
          <w:szCs w:val="52"/>
        </w:rPr>
        <w:t>标</w:t>
      </w:r>
    </w:p>
    <w:p>
      <w:pPr>
        <w:jc w:val="center"/>
        <w:rPr>
          <w:rFonts w:hint="eastAsia" w:ascii="宋体" w:hAnsi="宋体" w:eastAsia="宋体" w:cs="宋体"/>
          <w:b/>
          <w:sz w:val="52"/>
          <w:szCs w:val="52"/>
        </w:rPr>
      </w:pPr>
      <w:r>
        <w:rPr>
          <w:rFonts w:hint="eastAsia" w:ascii="宋体" w:hAnsi="宋体" w:eastAsia="宋体" w:cs="宋体"/>
          <w:b/>
          <w:sz w:val="52"/>
          <w:szCs w:val="52"/>
        </w:rPr>
        <w:t>文</w:t>
      </w:r>
    </w:p>
    <w:p>
      <w:pPr>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jc w:val="left"/>
        <w:rPr>
          <w:rFonts w:hint="eastAsia" w:ascii="宋体" w:hAnsi="宋体" w:eastAsia="宋体" w:cs="宋体"/>
          <w:b/>
          <w:sz w:val="32"/>
          <w:u w:val="single"/>
        </w:rPr>
      </w:pPr>
      <w:r>
        <w:rPr>
          <w:rFonts w:hint="eastAsia" w:ascii="宋体" w:hAnsi="宋体" w:eastAsia="宋体" w:cs="宋体"/>
          <w:b/>
          <w:sz w:val="32"/>
        </w:rPr>
        <w:t>投标人名称：</w:t>
      </w:r>
      <w:r>
        <w:rPr>
          <w:rFonts w:hint="eastAsia" w:ascii="宋体" w:hAnsi="宋体" w:eastAsia="宋体" w:cs="宋体"/>
          <w:b/>
          <w:sz w:val="32"/>
          <w:u w:val="single"/>
        </w:rPr>
        <w:t xml:space="preserve">                                 </w:t>
      </w:r>
    </w:p>
    <w:p>
      <w:pPr>
        <w:spacing w:line="360" w:lineRule="auto"/>
        <w:jc w:val="left"/>
        <w:rPr>
          <w:rFonts w:hint="eastAsia" w:ascii="宋体" w:hAnsi="宋体" w:eastAsia="宋体" w:cs="宋体"/>
        </w:rPr>
      </w:pPr>
      <w:r>
        <w:rPr>
          <w:rFonts w:hint="eastAsia" w:ascii="宋体" w:hAnsi="宋体" w:eastAsia="宋体" w:cs="宋体"/>
          <w:b/>
          <w:sz w:val="32"/>
        </w:rPr>
        <w:t>项目名称：</w:t>
      </w:r>
      <w:r>
        <w:rPr>
          <w:rFonts w:hint="eastAsia" w:ascii="宋体" w:hAnsi="宋体" w:eastAsia="宋体" w:cs="宋体"/>
          <w:b/>
          <w:sz w:val="32"/>
          <w:u w:val="single"/>
        </w:rPr>
        <w:t xml:space="preserve">                                   </w:t>
      </w:r>
    </w:p>
    <w:p>
      <w:pPr>
        <w:spacing w:line="360" w:lineRule="auto"/>
        <w:jc w:val="left"/>
        <w:rPr>
          <w:rFonts w:hint="eastAsia" w:ascii="宋体" w:hAnsi="宋体" w:eastAsia="宋体" w:cs="宋体"/>
          <w:b/>
          <w:sz w:val="32"/>
        </w:rPr>
      </w:pPr>
      <w:r>
        <w:rPr>
          <w:rFonts w:hint="eastAsia" w:ascii="宋体" w:hAnsi="宋体" w:eastAsia="宋体" w:cs="宋体"/>
          <w:b/>
          <w:sz w:val="32"/>
        </w:rPr>
        <w:t>采购项目编号：</w:t>
      </w:r>
      <w:r>
        <w:rPr>
          <w:rFonts w:hint="eastAsia" w:ascii="宋体" w:hAnsi="宋体" w:eastAsia="宋体" w:cs="宋体"/>
          <w:b/>
          <w:sz w:val="32"/>
          <w:u w:val="single"/>
        </w:rPr>
        <w:t xml:space="preserve">                               </w:t>
      </w:r>
    </w:p>
    <w:p>
      <w:pPr>
        <w:spacing w:line="360" w:lineRule="auto"/>
        <w:rPr>
          <w:rFonts w:hint="eastAsia" w:ascii="宋体" w:hAnsi="宋体" w:eastAsia="宋体" w:cs="宋体"/>
          <w:b/>
          <w:sz w:val="32"/>
        </w:rPr>
      </w:pPr>
      <w:r>
        <w:rPr>
          <w:rFonts w:hint="eastAsia" w:ascii="宋体" w:hAnsi="宋体" w:eastAsia="宋体" w:cs="宋体"/>
          <w:b/>
          <w:sz w:val="32"/>
        </w:rPr>
        <w:t>日期：</w:t>
      </w:r>
      <w:r>
        <w:rPr>
          <w:rFonts w:hint="eastAsia" w:ascii="宋体" w:hAnsi="宋体" w:eastAsia="宋体" w:cs="宋体"/>
          <w:b/>
          <w:sz w:val="32"/>
          <w:u w:val="single"/>
        </w:rPr>
        <w:t xml:space="preserve">     </w:t>
      </w:r>
      <w:r>
        <w:rPr>
          <w:rFonts w:hint="eastAsia" w:ascii="宋体" w:hAnsi="宋体" w:eastAsia="宋体" w:cs="宋体"/>
          <w:b/>
          <w:sz w:val="32"/>
        </w:rPr>
        <w:t>年</w:t>
      </w:r>
      <w:r>
        <w:rPr>
          <w:rFonts w:hint="eastAsia" w:ascii="宋体" w:hAnsi="宋体" w:eastAsia="宋体" w:cs="宋体"/>
          <w:b/>
          <w:sz w:val="32"/>
          <w:u w:val="single"/>
        </w:rPr>
        <w:t xml:space="preserve">     </w:t>
      </w:r>
      <w:r>
        <w:rPr>
          <w:rFonts w:hint="eastAsia" w:ascii="宋体" w:hAnsi="宋体" w:eastAsia="宋体" w:cs="宋体"/>
          <w:b/>
          <w:sz w:val="32"/>
        </w:rPr>
        <w:t>月</w:t>
      </w:r>
      <w:r>
        <w:rPr>
          <w:rFonts w:hint="eastAsia" w:ascii="宋体" w:hAnsi="宋体" w:eastAsia="宋体" w:cs="宋体"/>
          <w:b/>
          <w:sz w:val="32"/>
          <w:u w:val="single"/>
        </w:rPr>
        <w:t xml:space="preserve">   </w:t>
      </w:r>
      <w:r>
        <w:rPr>
          <w:rFonts w:hint="eastAsia" w:ascii="宋体" w:hAnsi="宋体" w:eastAsia="宋体" w:cs="宋体"/>
          <w:b/>
          <w:sz w:val="32"/>
        </w:rPr>
        <w:t>日</w:t>
      </w:r>
    </w:p>
    <w:p>
      <w:pPr>
        <w:pStyle w:val="2"/>
      </w:pPr>
    </w:p>
    <w:p>
      <w:pPr>
        <w:tabs>
          <w:tab w:val="left" w:pos="1080"/>
        </w:tabs>
        <w:rPr>
          <w:rFonts w:ascii="Cambria" w:hAnsi="Cambria"/>
          <w:b/>
          <w:bCs/>
          <w:kern w:val="44"/>
          <w:sz w:val="22"/>
          <w:szCs w:val="15"/>
        </w:rPr>
      </w:pPr>
    </w:p>
    <w:p>
      <w:pPr>
        <w:rPr>
          <w:rFonts w:ascii="Cambria" w:hAnsi="Cambria"/>
          <w:b/>
          <w:bCs/>
          <w:kern w:val="44"/>
          <w:sz w:val="22"/>
          <w:szCs w:val="15"/>
        </w:rPr>
      </w:pPr>
      <w:r>
        <w:rPr>
          <w:rFonts w:hint="eastAsia" w:ascii="Cambria" w:hAnsi="Cambria"/>
          <w:b/>
          <w:bCs/>
          <w:kern w:val="44"/>
          <w:sz w:val="22"/>
          <w:szCs w:val="15"/>
        </w:rPr>
        <w:t>注:本封面后投标人可根据情况自拟目录格式。</w:t>
      </w:r>
    </w:p>
    <w:p>
      <w:pPr>
        <w:rPr>
          <w:rFonts w:ascii="Cambria" w:hAnsi="Cambria"/>
          <w:b/>
          <w:bCs/>
          <w:kern w:val="44"/>
          <w:sz w:val="22"/>
          <w:szCs w:val="15"/>
        </w:rPr>
      </w:pPr>
    </w:p>
    <w:p>
      <w:pPr>
        <w:rPr>
          <w:rFonts w:ascii="Cambria" w:hAnsi="Cambria"/>
          <w:b/>
          <w:bCs/>
          <w:kern w:val="44"/>
          <w:sz w:val="22"/>
          <w:szCs w:val="15"/>
        </w:rPr>
      </w:pPr>
    </w:p>
    <w:p>
      <w:pPr>
        <w:rPr>
          <w:rFonts w:ascii="黑体" w:eastAsia="黑体"/>
          <w:b/>
          <w:sz w:val="32"/>
          <w:szCs w:val="32"/>
        </w:rPr>
      </w:pPr>
      <w:r>
        <w:rPr>
          <w:rFonts w:hint="eastAsia" w:ascii="黑体" w:eastAsia="黑体"/>
          <w:b/>
          <w:sz w:val="32"/>
          <w:szCs w:val="32"/>
        </w:rPr>
        <w:t xml:space="preserve">附件2-1 </w:t>
      </w:r>
    </w:p>
    <w:p>
      <w:pPr>
        <w:ind w:firstLine="3534" w:firstLineChars="1100"/>
        <w:rPr>
          <w:rFonts w:ascii="黑体" w:eastAsia="黑体"/>
          <w:b/>
          <w:sz w:val="32"/>
          <w:szCs w:val="32"/>
        </w:rPr>
      </w:pPr>
      <w:r>
        <w:rPr>
          <w:rFonts w:hint="eastAsia" w:ascii="黑体" w:eastAsia="黑体"/>
          <w:b/>
          <w:sz w:val="32"/>
          <w:szCs w:val="32"/>
        </w:rPr>
        <w:t>投  标  函</w:t>
      </w:r>
      <w:bookmarkEnd w:id="139"/>
      <w:bookmarkEnd w:id="140"/>
    </w:p>
    <w:p>
      <w:pPr>
        <w:widowControl/>
        <w:spacing w:line="360" w:lineRule="atLeast"/>
        <w:jc w:val="center"/>
        <w:outlineLvl w:val="1"/>
        <w:rPr>
          <w:b/>
          <w:sz w:val="24"/>
        </w:rPr>
      </w:pPr>
    </w:p>
    <w:p>
      <w:pPr>
        <w:pStyle w:val="14"/>
        <w:spacing w:line="400" w:lineRule="exact"/>
        <w:ind w:left="0" w:leftChars="0"/>
        <w:jc w:val="left"/>
        <w:rPr>
          <w:bCs/>
          <w:sz w:val="24"/>
        </w:rPr>
      </w:pPr>
      <w:bookmarkStart w:id="142" w:name="_Toc308164824"/>
      <w:r>
        <w:rPr>
          <w:rFonts w:hint="eastAsia"/>
          <w:bCs/>
          <w:sz w:val="24"/>
        </w:rPr>
        <w:t>__________________（采购人名称）：</w:t>
      </w:r>
    </w:p>
    <w:p>
      <w:pPr>
        <w:widowControl/>
        <w:spacing w:line="360" w:lineRule="atLeast"/>
        <w:ind w:firstLine="480" w:firstLineChars="200"/>
        <w:jc w:val="left"/>
        <w:rPr>
          <w:sz w:val="24"/>
        </w:rPr>
      </w:pPr>
      <w:r>
        <w:rPr>
          <w:rFonts w:hint="eastAsia"/>
          <w:sz w:val="24"/>
        </w:rPr>
        <w:t>我单位作为本次采购项目的投标人，根据招标文件要求，现郑重承诺如下：</w:t>
      </w:r>
    </w:p>
    <w:p>
      <w:pPr>
        <w:widowControl/>
        <w:spacing w:line="360" w:lineRule="auto"/>
        <w:ind w:firstLine="470" w:firstLineChars="196"/>
        <w:jc w:val="left"/>
        <w:rPr>
          <w:sz w:val="24"/>
        </w:rPr>
      </w:pPr>
      <w:r>
        <w:rPr>
          <w:rFonts w:hint="eastAsia"/>
          <w:sz w:val="24"/>
        </w:rPr>
        <w:t>一、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uto"/>
        <w:ind w:firstLine="470" w:firstLineChars="196"/>
        <w:jc w:val="left"/>
        <w:rPr>
          <w:sz w:val="24"/>
        </w:rPr>
      </w:pPr>
      <w:r>
        <w:rPr>
          <w:rFonts w:hint="eastAsia"/>
          <w:sz w:val="24"/>
        </w:rPr>
        <w:t>二、参加本次招标采购活动，不存在与单位负责人为同一人或者存在直接控股、管理关系的其他供应商参与同一合同项下的政府采购活动的行为。</w:t>
      </w:r>
    </w:p>
    <w:p>
      <w:pPr>
        <w:widowControl/>
        <w:spacing w:line="360" w:lineRule="auto"/>
        <w:ind w:firstLine="470" w:firstLineChars="196"/>
        <w:jc w:val="left"/>
        <w:rPr>
          <w:sz w:val="24"/>
        </w:rPr>
      </w:pPr>
      <w:r>
        <w:rPr>
          <w:rFonts w:hint="eastAsia"/>
          <w:sz w:val="24"/>
        </w:rPr>
        <w:t>三、参加本次招标采购活动，不存在和其他供应商在同一合同项下的采购项目中，同时委托同一个自然人、同一家庭的人员、同一单位的人员作为代理人的行为。</w:t>
      </w:r>
    </w:p>
    <w:p>
      <w:pPr>
        <w:widowControl/>
        <w:spacing w:line="360" w:lineRule="auto"/>
        <w:ind w:firstLine="470" w:firstLineChars="196"/>
        <w:jc w:val="left"/>
      </w:pPr>
      <w:r>
        <w:rPr>
          <w:rFonts w:hint="eastAsia"/>
          <w:sz w:val="24"/>
        </w:rPr>
        <w:t>四、投标文件中提供的能够给予贵单位带来优惠、好处的任何材料资料和技术、服务、商务、响应产品等响应承诺情况都是真实的、有效的、合法的。</w:t>
      </w:r>
    </w:p>
    <w:p>
      <w:pPr>
        <w:adjustRightInd w:val="0"/>
        <w:snapToGrid w:val="0"/>
        <w:spacing w:line="360" w:lineRule="auto"/>
        <w:ind w:firstLine="480" w:firstLineChars="200"/>
        <w:rPr>
          <w:rFonts w:hAnsi="宋体"/>
          <w:sz w:val="24"/>
        </w:rPr>
      </w:pPr>
      <w:r>
        <w:rPr>
          <w:rFonts w:hint="eastAsia"/>
          <w:sz w:val="24"/>
        </w:rPr>
        <w:t>五、</w:t>
      </w:r>
      <w:r>
        <w:rPr>
          <w:rFonts w:hint="eastAsia" w:hAnsi="宋体" w:cs="华文中宋"/>
          <w:sz w:val="24"/>
        </w:rPr>
        <w:t>确保该项目质量，促进市场的规范运行和公平竞争，有效制止招投标活动中的不正之风和腐败现象，预防和遏制招标投标中的行贿受贿等违法犯罪活动，我方特作以下承诺：</w:t>
      </w:r>
    </w:p>
    <w:p>
      <w:pPr>
        <w:adjustRightInd w:val="0"/>
        <w:snapToGrid w:val="0"/>
        <w:spacing w:line="360" w:lineRule="auto"/>
        <w:ind w:firstLine="480" w:firstLineChars="200"/>
        <w:rPr>
          <w:rFonts w:hAnsi="宋体"/>
          <w:sz w:val="24"/>
        </w:rPr>
      </w:pPr>
      <w:r>
        <w:rPr>
          <w:rFonts w:hint="eastAsia" w:hAnsi="宋体" w:cs="华文中宋"/>
          <w:sz w:val="24"/>
        </w:rPr>
        <w:t>（一）在本项目投标活动中，我方将自觉遵守《中华人民共和国政府采购法》及有关招标投标管理规章制度开展投标活动。我方不以任何形式向招标采购单位任何人员赠送各种礼品、礼金（礼券）；不邀请招标采购单位人员参与娱乐活动；不串通报名投标，不弄虚作假，不拉拢招、评标人员影响评标工作的公正性。</w:t>
      </w:r>
    </w:p>
    <w:p>
      <w:pPr>
        <w:adjustRightInd w:val="0"/>
        <w:snapToGrid w:val="0"/>
        <w:spacing w:line="360" w:lineRule="auto"/>
        <w:ind w:firstLine="480"/>
        <w:rPr>
          <w:rFonts w:hAnsi="宋体" w:cs="华文中宋"/>
          <w:sz w:val="24"/>
        </w:rPr>
      </w:pPr>
      <w:r>
        <w:rPr>
          <w:rFonts w:hint="eastAsia" w:hAnsi="宋体" w:cs="华文中宋"/>
          <w:sz w:val="24"/>
        </w:rPr>
        <w:t>（二)我们将认真履行以上承诺，并接受监督部门的监督检查，若有违反，将承担相应的行政责任和刑事责任。</w:t>
      </w:r>
    </w:p>
    <w:p>
      <w:pPr>
        <w:adjustRightInd w:val="0"/>
        <w:snapToGrid w:val="0"/>
        <w:spacing w:line="360" w:lineRule="auto"/>
        <w:ind w:firstLine="480"/>
        <w:rPr>
          <w:rFonts w:hAnsi="宋体" w:cs="华文中宋"/>
          <w:sz w:val="24"/>
        </w:rPr>
      </w:pPr>
      <w:r>
        <w:rPr>
          <w:rFonts w:hint="eastAsia" w:hAnsi="宋体" w:cs="华文中宋"/>
          <w:sz w:val="24"/>
        </w:rPr>
        <w:t>六、我方完全同意并响应招标文件第二章总则中“13.知识产权”及招标文件其他关于“知识产权”的说明，承诺由此造成的法律和经济纠纷由我单位全权负责。</w:t>
      </w:r>
    </w:p>
    <w:p>
      <w:pPr>
        <w:pStyle w:val="2"/>
        <w:spacing w:line="360" w:lineRule="auto"/>
        <w:rPr>
          <w:sz w:val="24"/>
        </w:rPr>
      </w:pPr>
      <w:r>
        <w:rPr>
          <w:rFonts w:hint="eastAsia" w:hAnsi="宋体" w:cs="宋体"/>
          <w:sz w:val="24"/>
        </w:rPr>
        <w:t xml:space="preserve">    </w:t>
      </w:r>
      <w:r>
        <w:rPr>
          <w:rFonts w:hint="eastAsia"/>
          <w:sz w:val="24"/>
        </w:rPr>
        <w:t>我方对上述承诺的内容事项真实性负责。如经查实上述承诺的内容事项存在虚假，我方愿意接受以提供虚假材料谋取中标追究法律责任。</w:t>
      </w:r>
    </w:p>
    <w:p>
      <w:pPr>
        <w:widowControl/>
        <w:spacing w:line="360" w:lineRule="atLeast"/>
        <w:ind w:firstLine="470" w:firstLineChars="196"/>
        <w:jc w:val="left"/>
        <w:outlineLvl w:val="1"/>
        <w:rPr>
          <w:sz w:val="24"/>
        </w:rPr>
      </w:pPr>
    </w:p>
    <w:p>
      <w:pPr>
        <w:widowControl/>
        <w:spacing w:line="360" w:lineRule="auto"/>
        <w:ind w:left="485" w:leftChars="140" w:hanging="9" w:hangingChars="4"/>
        <w:jc w:val="left"/>
        <w:outlineLvl w:val="1"/>
        <w:rPr>
          <w:sz w:val="24"/>
          <w:u w:val="single"/>
        </w:rPr>
      </w:pPr>
      <w:r>
        <w:rPr>
          <w:rFonts w:hint="eastAsia"/>
          <w:sz w:val="24"/>
        </w:rPr>
        <w:t>投标人名称：</w:t>
      </w:r>
      <w:r>
        <w:rPr>
          <w:rFonts w:hint="eastAsia"/>
          <w:sz w:val="24"/>
          <w:u w:val="single"/>
        </w:rPr>
        <w:t xml:space="preserve">                           </w:t>
      </w:r>
    </w:p>
    <w:p>
      <w:pPr>
        <w:widowControl/>
        <w:spacing w:line="360" w:lineRule="auto"/>
        <w:ind w:left="485" w:leftChars="140" w:hanging="9" w:hangingChars="4"/>
        <w:jc w:val="left"/>
        <w:outlineLvl w:val="1"/>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2"/>
      </w:pPr>
    </w:p>
    <w:p>
      <w:pPr>
        <w:widowControl/>
        <w:spacing w:line="360" w:lineRule="atLeast"/>
        <w:jc w:val="left"/>
        <w:outlineLvl w:val="1"/>
        <w:rPr>
          <w:rFonts w:ascii="黑体" w:eastAsia="黑体"/>
          <w:b/>
          <w:sz w:val="32"/>
          <w:szCs w:val="32"/>
        </w:rPr>
      </w:pPr>
    </w:p>
    <w:p>
      <w:pPr>
        <w:jc w:val="left"/>
        <w:rPr>
          <w:b/>
          <w:bCs/>
          <w:sz w:val="18"/>
          <w:szCs w:val="18"/>
        </w:rPr>
      </w:pPr>
    </w:p>
    <w:p>
      <w:pPr>
        <w:pStyle w:val="2"/>
        <w:rPr>
          <w:b/>
          <w:bCs/>
          <w:sz w:val="18"/>
          <w:szCs w:val="18"/>
        </w:rPr>
      </w:pPr>
    </w:p>
    <w:p>
      <w:pPr>
        <w:pStyle w:val="2"/>
        <w:rPr>
          <w:b/>
          <w:bCs/>
          <w:sz w:val="18"/>
          <w:szCs w:val="18"/>
        </w:rPr>
      </w:pPr>
    </w:p>
    <w:p>
      <w:pPr>
        <w:jc w:val="left"/>
        <w:rPr>
          <w:b/>
          <w:bCs/>
          <w:sz w:val="18"/>
          <w:szCs w:val="18"/>
        </w:rPr>
      </w:pPr>
    </w:p>
    <w:p>
      <w:pPr>
        <w:jc w:val="left"/>
        <w:rPr>
          <w:b/>
          <w:bCs/>
          <w:sz w:val="18"/>
          <w:szCs w:val="18"/>
        </w:rPr>
      </w:pPr>
    </w:p>
    <w:p>
      <w:pPr>
        <w:jc w:val="left"/>
        <w:rPr>
          <w:b/>
          <w:bCs/>
          <w:sz w:val="18"/>
          <w:szCs w:val="18"/>
        </w:rPr>
      </w:pPr>
    </w:p>
    <w:p>
      <w:pPr>
        <w:jc w:val="left"/>
        <w:rPr>
          <w:b/>
          <w:bCs/>
          <w:sz w:val="18"/>
          <w:szCs w:val="18"/>
        </w:rPr>
      </w:pPr>
    </w:p>
    <w:p>
      <w:pPr>
        <w:jc w:val="left"/>
        <w:rPr>
          <w:b/>
          <w:bCs/>
          <w:sz w:val="18"/>
          <w:szCs w:val="18"/>
        </w:rPr>
      </w:pPr>
    </w:p>
    <w:p>
      <w:pPr>
        <w:jc w:val="left"/>
        <w:rPr>
          <w:b/>
          <w:bCs/>
          <w:sz w:val="18"/>
          <w:szCs w:val="18"/>
        </w:rPr>
      </w:pPr>
    </w:p>
    <w:p>
      <w:pPr>
        <w:jc w:val="left"/>
        <w:rPr>
          <w:b/>
          <w:bCs/>
          <w:sz w:val="18"/>
          <w:szCs w:val="18"/>
        </w:rPr>
      </w:pPr>
    </w:p>
    <w:p>
      <w:pPr>
        <w:jc w:val="left"/>
        <w:rPr>
          <w:b/>
          <w:bCs/>
          <w:sz w:val="18"/>
          <w:szCs w:val="18"/>
        </w:rPr>
      </w:pPr>
    </w:p>
    <w:p>
      <w:pPr>
        <w:widowControl/>
        <w:spacing w:line="360" w:lineRule="atLeast"/>
        <w:jc w:val="left"/>
        <w:outlineLvl w:val="1"/>
        <w:rPr>
          <w:rFonts w:hint="eastAsia" w:ascii="黑体" w:eastAsia="黑体"/>
          <w:b/>
          <w:sz w:val="32"/>
          <w:szCs w:val="32"/>
          <w:lang w:eastAsia="zh-CN"/>
        </w:rPr>
      </w:pPr>
      <w:r>
        <w:rPr>
          <w:rFonts w:hint="eastAsia" w:ascii="黑体" w:eastAsia="黑体"/>
          <w:b/>
          <w:sz w:val="32"/>
          <w:szCs w:val="32"/>
        </w:rPr>
        <w:br w:type="page"/>
      </w:r>
      <w:r>
        <w:rPr>
          <w:rFonts w:hint="eastAsia" w:ascii="黑体" w:eastAsia="黑体"/>
          <w:b/>
          <w:sz w:val="32"/>
          <w:szCs w:val="32"/>
        </w:rPr>
        <w:t>附件2-</w:t>
      </w:r>
      <w:r>
        <w:rPr>
          <w:rFonts w:hint="eastAsia" w:ascii="黑体" w:eastAsia="黑体"/>
          <w:b/>
          <w:sz w:val="32"/>
          <w:szCs w:val="32"/>
          <w:lang w:val="en-US" w:eastAsia="zh-CN"/>
        </w:rPr>
        <w:t>2</w:t>
      </w:r>
    </w:p>
    <w:bookmarkEnd w:id="134"/>
    <w:bookmarkEnd w:id="142"/>
    <w:p>
      <w:pPr>
        <w:ind w:firstLine="3534" w:firstLineChars="1100"/>
        <w:rPr>
          <w:rFonts w:ascii="黑体" w:eastAsia="黑体"/>
          <w:b/>
          <w:sz w:val="32"/>
          <w:szCs w:val="32"/>
        </w:rPr>
      </w:pPr>
      <w:bookmarkStart w:id="143" w:name="_Toc22009"/>
      <w:bookmarkStart w:id="144" w:name="_Toc32732"/>
      <w:bookmarkStart w:id="145" w:name="_Toc31593"/>
      <w:bookmarkStart w:id="146" w:name="_Toc445888112"/>
      <w:bookmarkStart w:id="147" w:name="_Toc217446089"/>
      <w:r>
        <w:rPr>
          <w:rFonts w:hint="eastAsia" w:ascii="黑体" w:eastAsia="黑体"/>
          <w:b/>
          <w:sz w:val="32"/>
          <w:szCs w:val="32"/>
        </w:rPr>
        <w:t>开标一览表</w:t>
      </w:r>
      <w:bookmarkEnd w:id="143"/>
    </w:p>
    <w:p>
      <w:pPr>
        <w:pStyle w:val="2"/>
      </w:pPr>
    </w:p>
    <w:tbl>
      <w:tblPr>
        <w:tblStyle w:val="33"/>
        <w:tblW w:w="9220" w:type="dxa"/>
        <w:tblInd w:w="93" w:type="dxa"/>
        <w:tblLayout w:type="fixed"/>
        <w:tblCellMar>
          <w:top w:w="0" w:type="dxa"/>
          <w:left w:w="108" w:type="dxa"/>
          <w:bottom w:w="0" w:type="dxa"/>
          <w:right w:w="108" w:type="dxa"/>
        </w:tblCellMar>
      </w:tblPr>
      <w:tblGrid>
        <w:gridCol w:w="819"/>
        <w:gridCol w:w="1354"/>
        <w:gridCol w:w="719"/>
        <w:gridCol w:w="2226"/>
        <w:gridCol w:w="4102"/>
      </w:tblGrid>
      <w:tr>
        <w:tblPrEx>
          <w:tblLayout w:type="fixed"/>
          <w:tblCellMar>
            <w:top w:w="0" w:type="dxa"/>
            <w:left w:w="108" w:type="dxa"/>
            <w:bottom w:w="0" w:type="dxa"/>
            <w:right w:w="108" w:type="dxa"/>
          </w:tblCellMar>
        </w:tblPrEx>
        <w:trPr>
          <w:trHeight w:val="57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 w:val="24"/>
              </w:rPr>
            </w:pPr>
          </w:p>
        </w:tc>
      </w:tr>
      <w:tr>
        <w:tblPrEx>
          <w:tblLayout w:type="fixed"/>
          <w:tblCellMar>
            <w:top w:w="0" w:type="dxa"/>
            <w:left w:w="108" w:type="dxa"/>
            <w:bottom w:w="0" w:type="dxa"/>
            <w:right w:w="108" w:type="dxa"/>
          </w:tblCellMar>
        </w:tblPrEx>
        <w:trPr>
          <w:trHeight w:val="565"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采购项目编号</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sz w:val="24"/>
              </w:rPr>
            </w:pPr>
          </w:p>
        </w:tc>
      </w:tr>
      <w:tr>
        <w:tblPrEx>
          <w:tblLayout w:type="fixed"/>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Cs/>
                <w:sz w:val="24"/>
              </w:rPr>
            </w:pPr>
            <w:r>
              <w:rPr>
                <w:rFonts w:hint="eastAsia" w:hAnsi="宋体" w:cs="宋体"/>
                <w:bCs/>
                <w:sz w:val="24"/>
              </w:rPr>
              <w:t>序号</w:t>
            </w:r>
          </w:p>
        </w:tc>
        <w:tc>
          <w:tcPr>
            <w:tcW w:w="4299" w:type="dxa"/>
            <w:gridSpan w:val="3"/>
            <w:tcBorders>
              <w:top w:val="nil"/>
              <w:left w:val="nil"/>
              <w:bottom w:val="single" w:color="auto" w:sz="4" w:space="0"/>
              <w:right w:val="single" w:color="auto" w:sz="4" w:space="0"/>
            </w:tcBorders>
            <w:vAlign w:val="center"/>
          </w:tcPr>
          <w:p>
            <w:pPr>
              <w:spacing w:line="360" w:lineRule="auto"/>
              <w:jc w:val="center"/>
              <w:rPr>
                <w:rFonts w:hAnsi="宋体" w:cs="宋体"/>
                <w:bCs/>
                <w:sz w:val="24"/>
              </w:rPr>
            </w:pPr>
            <w:r>
              <w:rPr>
                <w:rFonts w:hint="eastAsia" w:hAnsi="宋体" w:cs="宋体"/>
                <w:bCs/>
                <w:sz w:val="24"/>
              </w:rPr>
              <w:t>服务内容</w:t>
            </w:r>
          </w:p>
        </w:tc>
        <w:tc>
          <w:tcPr>
            <w:tcW w:w="4102"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rPr>
            </w:pPr>
            <w:r>
              <w:rPr>
                <w:rFonts w:hint="eastAsia" w:hAnsi="宋体" w:cs="宋体"/>
                <w:bCs/>
                <w:sz w:val="24"/>
              </w:rPr>
              <w:t>报价（元）</w:t>
            </w:r>
          </w:p>
        </w:tc>
      </w:tr>
      <w:tr>
        <w:tblPrEx>
          <w:tblLayout w:type="fixed"/>
          <w:tblCellMar>
            <w:top w:w="0" w:type="dxa"/>
            <w:left w:w="108" w:type="dxa"/>
            <w:bottom w:w="0" w:type="dxa"/>
            <w:right w:w="108" w:type="dxa"/>
          </w:tblCellMar>
        </w:tblPrEx>
        <w:trPr>
          <w:trHeight w:val="1999" w:hRule="atLeast"/>
        </w:trPr>
        <w:tc>
          <w:tcPr>
            <w:tcW w:w="819" w:type="dxa"/>
            <w:tcBorders>
              <w:top w:val="nil"/>
              <w:left w:val="single" w:color="auto" w:sz="4" w:space="0"/>
              <w:right w:val="single" w:color="auto" w:sz="4" w:space="0"/>
            </w:tcBorders>
            <w:vAlign w:val="center"/>
          </w:tcPr>
          <w:p>
            <w:pPr>
              <w:widowControl/>
              <w:spacing w:line="360" w:lineRule="auto"/>
              <w:jc w:val="center"/>
              <w:rPr>
                <w:rFonts w:hAnsi="宋体" w:cs="宋体"/>
                <w:bCs/>
                <w:sz w:val="24"/>
              </w:rPr>
            </w:pPr>
            <w:r>
              <w:rPr>
                <w:rFonts w:hint="eastAsia" w:hAnsi="宋体" w:cs="宋体"/>
                <w:bCs/>
                <w:sz w:val="24"/>
              </w:rPr>
              <w:t>1</w:t>
            </w:r>
          </w:p>
        </w:tc>
        <w:tc>
          <w:tcPr>
            <w:tcW w:w="4299" w:type="dxa"/>
            <w:gridSpan w:val="3"/>
            <w:tcBorders>
              <w:top w:val="nil"/>
              <w:left w:val="nil"/>
              <w:right w:val="single" w:color="auto" w:sz="4" w:space="0"/>
            </w:tcBorders>
            <w:vAlign w:val="center"/>
          </w:tcPr>
          <w:p>
            <w:pPr>
              <w:spacing w:line="360" w:lineRule="auto"/>
              <w:jc w:val="center"/>
              <w:rPr>
                <w:rFonts w:hAnsi="宋体" w:cs="宋体"/>
                <w:bCs/>
                <w:sz w:val="24"/>
              </w:rPr>
            </w:pPr>
          </w:p>
        </w:tc>
        <w:tc>
          <w:tcPr>
            <w:tcW w:w="4102"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rPr>
            </w:pPr>
          </w:p>
        </w:tc>
      </w:tr>
      <w:tr>
        <w:tblPrEx>
          <w:tblLayout w:type="fixed"/>
          <w:tblCellMar>
            <w:top w:w="0" w:type="dxa"/>
            <w:left w:w="108" w:type="dxa"/>
            <w:bottom w:w="0" w:type="dxa"/>
            <w:right w:w="108" w:type="dxa"/>
          </w:tblCellMar>
        </w:tblPrEx>
        <w:trPr>
          <w:trHeight w:val="885" w:hRule="atLeast"/>
        </w:trPr>
        <w:tc>
          <w:tcPr>
            <w:tcW w:w="511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rPr>
            </w:pPr>
            <w:r>
              <w:rPr>
                <w:rFonts w:hint="eastAsia" w:hAnsi="宋体" w:cs="宋体"/>
                <w:sz w:val="24"/>
              </w:rPr>
              <w:t>合  计(元)</w:t>
            </w:r>
          </w:p>
        </w:tc>
        <w:tc>
          <w:tcPr>
            <w:tcW w:w="41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Ansi="宋体"/>
                <w:sz w:val="24"/>
              </w:rPr>
            </w:pPr>
          </w:p>
        </w:tc>
      </w:tr>
      <w:tr>
        <w:tblPrEx>
          <w:tblLayout w:type="fixed"/>
          <w:tblCellMar>
            <w:top w:w="0" w:type="dxa"/>
            <w:left w:w="108" w:type="dxa"/>
            <w:bottom w:w="0" w:type="dxa"/>
            <w:right w:w="108" w:type="dxa"/>
          </w:tblCellMar>
        </w:tblPrEx>
        <w:trPr>
          <w:trHeight w:val="1414"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rPr>
            </w:pPr>
            <w:r>
              <w:rPr>
                <w:rFonts w:hint="eastAsia" w:hAnsi="宋体" w:cs="宋体"/>
                <w:sz w:val="24"/>
              </w:rPr>
              <w:t>投标总价</w:t>
            </w:r>
          </w:p>
        </w:tc>
        <w:tc>
          <w:tcPr>
            <w:tcW w:w="7047"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hAnsi="宋体" w:cs="宋体"/>
                <w:sz w:val="24"/>
              </w:rPr>
            </w:pPr>
            <w:r>
              <w:rPr>
                <w:rFonts w:hint="eastAsia" w:hAnsi="宋体"/>
                <w:b/>
                <w:sz w:val="24"/>
              </w:rPr>
              <w:t>人民币大写：</w:t>
            </w:r>
            <w:r>
              <w:rPr>
                <w:rFonts w:hAnsi="宋体"/>
                <w:b/>
                <w:sz w:val="24"/>
                <w:u w:val="single"/>
              </w:rPr>
              <w:t xml:space="preserve">      </w:t>
            </w:r>
            <w:r>
              <w:rPr>
                <w:rFonts w:hint="eastAsia" w:hAnsi="宋体"/>
                <w:b/>
                <w:sz w:val="24"/>
                <w:u w:val="single"/>
              </w:rPr>
              <w:t xml:space="preserve">  </w:t>
            </w:r>
            <w:r>
              <w:rPr>
                <w:rFonts w:hAnsi="宋体"/>
                <w:b/>
                <w:sz w:val="24"/>
                <w:u w:val="single"/>
              </w:rPr>
              <w:t xml:space="preserve">   </w:t>
            </w:r>
            <w:r>
              <w:rPr>
                <w:rFonts w:hint="eastAsia" w:hAnsi="宋体"/>
                <w:b/>
                <w:sz w:val="24"/>
                <w:u w:val="single"/>
              </w:rPr>
              <w:t xml:space="preserve">  </w:t>
            </w:r>
            <w:r>
              <w:rPr>
                <w:rFonts w:hAnsi="宋体"/>
                <w:b/>
                <w:sz w:val="24"/>
                <w:u w:val="single"/>
              </w:rPr>
              <w:t xml:space="preserve">   </w:t>
            </w:r>
            <w:r>
              <w:rPr>
                <w:rFonts w:hint="eastAsia" w:hAnsi="宋体"/>
                <w:b/>
                <w:sz w:val="24"/>
              </w:rPr>
              <w:t>（人民币小写：</w:t>
            </w:r>
            <w:r>
              <w:rPr>
                <w:rFonts w:hAnsi="宋体"/>
                <w:b/>
                <w:sz w:val="24"/>
                <w:u w:val="single"/>
              </w:rPr>
              <w:t xml:space="preserve">    </w:t>
            </w:r>
            <w:r>
              <w:rPr>
                <w:rFonts w:hint="eastAsia" w:hAnsi="宋体"/>
                <w:b/>
                <w:sz w:val="24"/>
                <w:u w:val="single"/>
              </w:rPr>
              <w:t xml:space="preserve"> </w:t>
            </w:r>
            <w:r>
              <w:rPr>
                <w:rFonts w:hAnsi="宋体"/>
                <w:b/>
                <w:sz w:val="24"/>
                <w:u w:val="single"/>
              </w:rPr>
              <w:t xml:space="preserve">  </w:t>
            </w:r>
            <w:r>
              <w:rPr>
                <w:rFonts w:hint="eastAsia" w:hAnsi="宋体"/>
                <w:b/>
                <w:sz w:val="24"/>
              </w:rPr>
              <w:t>元）</w:t>
            </w:r>
          </w:p>
        </w:tc>
      </w:tr>
    </w:tbl>
    <w:p>
      <w:pPr>
        <w:spacing w:line="360" w:lineRule="auto"/>
        <w:rPr>
          <w:rFonts w:hAnsi="宋体"/>
          <w:b/>
          <w:bCs/>
          <w:sz w:val="18"/>
          <w:szCs w:val="18"/>
        </w:rPr>
      </w:pPr>
      <w:r>
        <w:rPr>
          <w:rFonts w:hint="eastAsia"/>
          <w:b/>
          <w:bCs/>
          <w:sz w:val="18"/>
          <w:szCs w:val="18"/>
        </w:rPr>
        <w:t>注：1、</w:t>
      </w:r>
      <w:r>
        <w:rPr>
          <w:rFonts w:hint="eastAsia" w:hAnsi="宋体"/>
          <w:b/>
          <w:bCs/>
          <w:sz w:val="18"/>
          <w:szCs w:val="18"/>
        </w:rPr>
        <w:t>投标人的报价是投标人响应招标项目要求的全部工作内容的价格体现，包括投标人完成本项目所需的一切费用。</w:t>
      </w:r>
    </w:p>
    <w:p>
      <w:pPr>
        <w:rPr>
          <w:rFonts w:hAnsi="宋体"/>
          <w:b/>
          <w:bCs/>
          <w:sz w:val="18"/>
          <w:szCs w:val="18"/>
        </w:rPr>
      </w:pPr>
      <w:r>
        <w:rPr>
          <w:rFonts w:hint="eastAsia" w:hAnsi="宋体"/>
          <w:b/>
          <w:bCs/>
          <w:sz w:val="18"/>
          <w:szCs w:val="18"/>
        </w:rPr>
        <w:t xml:space="preserve">    2、投标人每种服务只允许有一个报价，任何有选择或可调整的报价将不予接受，并按无效投标处理。</w:t>
      </w:r>
    </w:p>
    <w:p>
      <w:pPr>
        <w:pStyle w:val="14"/>
        <w:spacing w:line="400" w:lineRule="exact"/>
        <w:ind w:left="0" w:leftChars="0"/>
        <w:rPr>
          <w:bCs/>
          <w:sz w:val="24"/>
        </w:rPr>
      </w:pPr>
      <w:r>
        <w:rPr>
          <w:rFonts w:hint="eastAsia"/>
          <w:bCs/>
          <w:sz w:val="24"/>
        </w:rPr>
        <w:t xml:space="preserve">                             </w:t>
      </w:r>
    </w:p>
    <w:p>
      <w:pPr>
        <w:widowControl/>
        <w:spacing w:line="360" w:lineRule="auto"/>
        <w:ind w:left="1198" w:leftChars="140" w:hanging="722" w:hangingChars="301"/>
        <w:jc w:val="left"/>
        <w:outlineLvl w:val="1"/>
      </w:pPr>
      <w:r>
        <w:rPr>
          <w:rFonts w:hint="eastAsia"/>
          <w:sz w:val="24"/>
        </w:rPr>
        <w:t>投标人名称：</w:t>
      </w:r>
      <w:r>
        <w:rPr>
          <w:rFonts w:hint="eastAsia"/>
          <w:sz w:val="24"/>
          <w:u w:val="single"/>
        </w:rPr>
        <w:t xml:space="preserve">                           </w:t>
      </w:r>
    </w:p>
    <w:p>
      <w:pPr>
        <w:widowControl/>
        <w:spacing w:line="360" w:lineRule="auto"/>
        <w:ind w:left="1198" w:leftChars="140" w:hanging="722" w:hangingChars="301"/>
        <w:jc w:val="left"/>
        <w:outlineLvl w:val="1"/>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2"/>
      </w:pPr>
    </w:p>
    <w:p>
      <w:pPr>
        <w:widowControl/>
        <w:spacing w:line="360" w:lineRule="atLeast"/>
        <w:jc w:val="left"/>
        <w:outlineLvl w:val="1"/>
        <w:rPr>
          <w:rFonts w:hint="eastAsia" w:ascii="黑体" w:eastAsia="黑体"/>
          <w:b/>
          <w:sz w:val="32"/>
          <w:szCs w:val="32"/>
          <w:lang w:eastAsia="zh-CN"/>
        </w:rPr>
      </w:pPr>
      <w:r>
        <w:rPr>
          <w:rFonts w:hint="eastAsia" w:ascii="黑体" w:eastAsia="黑体"/>
          <w:b/>
          <w:sz w:val="32"/>
          <w:szCs w:val="32"/>
        </w:rPr>
        <w:br w:type="page"/>
      </w:r>
      <w:r>
        <w:rPr>
          <w:rFonts w:hint="eastAsia" w:ascii="黑体" w:eastAsia="黑体"/>
          <w:b/>
          <w:sz w:val="32"/>
          <w:szCs w:val="32"/>
        </w:rPr>
        <w:t>附件2-</w:t>
      </w:r>
      <w:r>
        <w:rPr>
          <w:rFonts w:hint="eastAsia" w:ascii="黑体" w:eastAsia="黑体"/>
          <w:b/>
          <w:sz w:val="32"/>
          <w:szCs w:val="32"/>
          <w:lang w:val="en-US" w:eastAsia="zh-CN"/>
        </w:rPr>
        <w:t>3</w:t>
      </w:r>
    </w:p>
    <w:tbl>
      <w:tblPr>
        <w:tblStyle w:val="33"/>
        <w:tblpPr w:leftFromText="180" w:rightFromText="180" w:vertAnchor="page" w:horzAnchor="page" w:tblpX="1747" w:tblpY="2827"/>
        <w:tblW w:w="90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172"/>
        <w:gridCol w:w="15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投标人名称</w:t>
            </w:r>
          </w:p>
        </w:tc>
        <w:tc>
          <w:tcPr>
            <w:tcW w:w="7523" w:type="dxa"/>
            <w:gridSpan w:val="7"/>
            <w:vAlign w:val="center"/>
          </w:tcPr>
          <w:p>
            <w:pPr>
              <w:autoSpaceDE w:val="0"/>
              <w:autoSpaceDN w:val="0"/>
              <w:adjustRightInd w:val="0"/>
              <w:spacing w:line="400" w:lineRule="exact"/>
              <w:jc w:val="center"/>
              <w:rPr>
                <w:rFonts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注册地址</w:t>
            </w:r>
          </w:p>
        </w:tc>
        <w:tc>
          <w:tcPr>
            <w:tcW w:w="3449" w:type="dxa"/>
            <w:gridSpan w:val="4"/>
            <w:vAlign w:val="center"/>
          </w:tcPr>
          <w:p>
            <w:pPr>
              <w:autoSpaceDE w:val="0"/>
              <w:autoSpaceDN w:val="0"/>
              <w:adjustRightInd w:val="0"/>
              <w:spacing w:line="400" w:lineRule="exact"/>
              <w:jc w:val="center"/>
              <w:rPr>
                <w:rFonts w:hAnsi="宋体"/>
                <w:sz w:val="24"/>
              </w:rPr>
            </w:pPr>
          </w:p>
        </w:tc>
        <w:tc>
          <w:tcPr>
            <w:tcW w:w="1318" w:type="dxa"/>
            <w:vAlign w:val="center"/>
          </w:tcPr>
          <w:p>
            <w:pPr>
              <w:autoSpaceDE w:val="0"/>
              <w:autoSpaceDN w:val="0"/>
              <w:adjustRightInd w:val="0"/>
              <w:spacing w:line="400" w:lineRule="exact"/>
              <w:jc w:val="center"/>
              <w:rPr>
                <w:rFonts w:hAnsi="宋体"/>
                <w:sz w:val="24"/>
              </w:rPr>
            </w:pPr>
            <w:r>
              <w:rPr>
                <w:rFonts w:hint="eastAsia" w:hAnsi="宋体"/>
                <w:sz w:val="24"/>
              </w:rPr>
              <w:t>邮政编码</w:t>
            </w:r>
          </w:p>
        </w:tc>
        <w:tc>
          <w:tcPr>
            <w:tcW w:w="2756" w:type="dxa"/>
            <w:gridSpan w:val="2"/>
            <w:vAlign w:val="center"/>
          </w:tcPr>
          <w:p>
            <w:pPr>
              <w:autoSpaceDE w:val="0"/>
              <w:autoSpaceDN w:val="0"/>
              <w:adjustRightInd w:val="0"/>
              <w:spacing w:line="400" w:lineRule="exact"/>
              <w:jc w:val="center"/>
              <w:rPr>
                <w:rFonts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Merge w:val="restart"/>
            <w:vAlign w:val="center"/>
          </w:tcPr>
          <w:p>
            <w:pPr>
              <w:autoSpaceDE w:val="0"/>
              <w:autoSpaceDN w:val="0"/>
              <w:adjustRightInd w:val="0"/>
              <w:spacing w:line="400" w:lineRule="exact"/>
              <w:jc w:val="center"/>
              <w:rPr>
                <w:rFonts w:hAnsi="宋体"/>
                <w:sz w:val="24"/>
              </w:rPr>
            </w:pPr>
            <w:r>
              <w:rPr>
                <w:rFonts w:hint="eastAsia" w:hAnsi="宋体"/>
                <w:sz w:val="24"/>
              </w:rPr>
              <w:t>联系方式</w:t>
            </w:r>
          </w:p>
        </w:tc>
        <w:tc>
          <w:tcPr>
            <w:tcW w:w="978" w:type="dxa"/>
            <w:vAlign w:val="center"/>
          </w:tcPr>
          <w:p>
            <w:pPr>
              <w:autoSpaceDE w:val="0"/>
              <w:autoSpaceDN w:val="0"/>
              <w:adjustRightInd w:val="0"/>
              <w:spacing w:line="400" w:lineRule="exact"/>
              <w:jc w:val="center"/>
              <w:rPr>
                <w:rFonts w:hAnsi="宋体"/>
                <w:sz w:val="24"/>
              </w:rPr>
            </w:pPr>
            <w:r>
              <w:rPr>
                <w:rFonts w:hint="eastAsia" w:hAnsi="宋体"/>
                <w:sz w:val="24"/>
              </w:rPr>
              <w:t>联系人</w:t>
            </w:r>
          </w:p>
        </w:tc>
        <w:tc>
          <w:tcPr>
            <w:tcW w:w="2463" w:type="dxa"/>
            <w:gridSpan w:val="2"/>
            <w:vAlign w:val="center"/>
          </w:tcPr>
          <w:p>
            <w:pPr>
              <w:autoSpaceDE w:val="0"/>
              <w:autoSpaceDN w:val="0"/>
              <w:adjustRightInd w:val="0"/>
              <w:spacing w:line="400" w:lineRule="exact"/>
              <w:jc w:val="center"/>
              <w:rPr>
                <w:rFonts w:hAnsi="宋体"/>
                <w:sz w:val="24"/>
              </w:rPr>
            </w:pPr>
          </w:p>
        </w:tc>
        <w:tc>
          <w:tcPr>
            <w:tcW w:w="1326" w:type="dxa"/>
            <w:gridSpan w:val="2"/>
            <w:vAlign w:val="center"/>
          </w:tcPr>
          <w:p>
            <w:pPr>
              <w:autoSpaceDE w:val="0"/>
              <w:autoSpaceDN w:val="0"/>
              <w:adjustRightInd w:val="0"/>
              <w:spacing w:line="400" w:lineRule="exact"/>
              <w:jc w:val="center"/>
              <w:rPr>
                <w:rFonts w:hAnsi="宋体"/>
                <w:sz w:val="24"/>
              </w:rPr>
            </w:pPr>
            <w:r>
              <w:rPr>
                <w:rFonts w:hint="eastAsia" w:hAnsi="宋体"/>
                <w:sz w:val="24"/>
              </w:rPr>
              <w:t>电话</w:t>
            </w:r>
          </w:p>
        </w:tc>
        <w:tc>
          <w:tcPr>
            <w:tcW w:w="2756" w:type="dxa"/>
            <w:gridSpan w:val="2"/>
            <w:vAlign w:val="center"/>
          </w:tcPr>
          <w:p>
            <w:pPr>
              <w:autoSpaceDE w:val="0"/>
              <w:autoSpaceDN w:val="0"/>
              <w:adjustRightInd w:val="0"/>
              <w:spacing w:line="400" w:lineRule="exact"/>
              <w:jc w:val="center"/>
              <w:rPr>
                <w:rFonts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16" w:type="dxa"/>
            <w:vMerge w:val="continue"/>
            <w:vAlign w:val="center"/>
          </w:tcPr>
          <w:p>
            <w:pPr>
              <w:autoSpaceDE w:val="0"/>
              <w:autoSpaceDN w:val="0"/>
              <w:adjustRightInd w:val="0"/>
              <w:spacing w:line="400" w:lineRule="exact"/>
              <w:jc w:val="center"/>
              <w:rPr>
                <w:rFonts w:hAnsi="宋体"/>
                <w:sz w:val="24"/>
              </w:rPr>
            </w:pPr>
          </w:p>
        </w:tc>
        <w:tc>
          <w:tcPr>
            <w:tcW w:w="978" w:type="dxa"/>
            <w:vAlign w:val="center"/>
          </w:tcPr>
          <w:p>
            <w:pPr>
              <w:autoSpaceDE w:val="0"/>
              <w:autoSpaceDN w:val="0"/>
              <w:adjustRightInd w:val="0"/>
              <w:spacing w:line="400" w:lineRule="exact"/>
              <w:jc w:val="center"/>
              <w:rPr>
                <w:rFonts w:hAnsi="宋体"/>
                <w:sz w:val="24"/>
              </w:rPr>
            </w:pPr>
            <w:r>
              <w:rPr>
                <w:rFonts w:hint="eastAsia" w:hAnsi="宋体"/>
                <w:sz w:val="24"/>
              </w:rPr>
              <w:t>传真</w:t>
            </w:r>
          </w:p>
        </w:tc>
        <w:tc>
          <w:tcPr>
            <w:tcW w:w="2463" w:type="dxa"/>
            <w:gridSpan w:val="2"/>
            <w:vAlign w:val="center"/>
          </w:tcPr>
          <w:p>
            <w:pPr>
              <w:autoSpaceDE w:val="0"/>
              <w:autoSpaceDN w:val="0"/>
              <w:adjustRightInd w:val="0"/>
              <w:spacing w:line="400" w:lineRule="exact"/>
              <w:jc w:val="center"/>
              <w:rPr>
                <w:rFonts w:hAnsi="宋体"/>
                <w:sz w:val="24"/>
              </w:rPr>
            </w:pPr>
          </w:p>
        </w:tc>
        <w:tc>
          <w:tcPr>
            <w:tcW w:w="1326" w:type="dxa"/>
            <w:gridSpan w:val="2"/>
            <w:vAlign w:val="center"/>
          </w:tcPr>
          <w:p>
            <w:pPr>
              <w:autoSpaceDE w:val="0"/>
              <w:autoSpaceDN w:val="0"/>
              <w:adjustRightInd w:val="0"/>
              <w:spacing w:line="400" w:lineRule="exact"/>
              <w:jc w:val="center"/>
              <w:rPr>
                <w:rFonts w:hAnsi="宋体"/>
                <w:sz w:val="24"/>
              </w:rPr>
            </w:pPr>
            <w:r>
              <w:rPr>
                <w:rFonts w:hint="eastAsia" w:hAnsi="宋体"/>
                <w:sz w:val="24"/>
              </w:rPr>
              <w:t>网址</w:t>
            </w:r>
          </w:p>
        </w:tc>
        <w:tc>
          <w:tcPr>
            <w:tcW w:w="2756" w:type="dxa"/>
            <w:gridSpan w:val="2"/>
            <w:vAlign w:val="center"/>
          </w:tcPr>
          <w:p>
            <w:pPr>
              <w:autoSpaceDE w:val="0"/>
              <w:autoSpaceDN w:val="0"/>
              <w:adjustRightInd w:val="0"/>
              <w:spacing w:line="400" w:lineRule="exact"/>
              <w:jc w:val="center"/>
              <w:rPr>
                <w:rFonts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法定代表人</w:t>
            </w:r>
          </w:p>
        </w:tc>
        <w:tc>
          <w:tcPr>
            <w:tcW w:w="978" w:type="dxa"/>
            <w:vAlign w:val="center"/>
          </w:tcPr>
          <w:p>
            <w:pPr>
              <w:autoSpaceDE w:val="0"/>
              <w:autoSpaceDN w:val="0"/>
              <w:adjustRightInd w:val="0"/>
              <w:spacing w:line="400" w:lineRule="exact"/>
              <w:jc w:val="center"/>
              <w:rPr>
                <w:rFonts w:hAnsi="宋体"/>
                <w:sz w:val="24"/>
              </w:rPr>
            </w:pPr>
            <w:r>
              <w:rPr>
                <w:rFonts w:hint="eastAsia" w:hAnsi="宋体"/>
                <w:sz w:val="24"/>
              </w:rPr>
              <w:t>姓名</w:t>
            </w:r>
          </w:p>
        </w:tc>
        <w:tc>
          <w:tcPr>
            <w:tcW w:w="1215" w:type="dxa"/>
            <w:vAlign w:val="center"/>
          </w:tcPr>
          <w:p>
            <w:pPr>
              <w:autoSpaceDE w:val="0"/>
              <w:autoSpaceDN w:val="0"/>
              <w:adjustRightInd w:val="0"/>
              <w:spacing w:line="400" w:lineRule="exact"/>
              <w:jc w:val="center"/>
              <w:rPr>
                <w:rFonts w:hAnsi="宋体"/>
                <w:sz w:val="24"/>
              </w:rPr>
            </w:pPr>
          </w:p>
        </w:tc>
        <w:tc>
          <w:tcPr>
            <w:tcW w:w="1248" w:type="dxa"/>
            <w:vAlign w:val="center"/>
          </w:tcPr>
          <w:p>
            <w:pPr>
              <w:autoSpaceDE w:val="0"/>
              <w:autoSpaceDN w:val="0"/>
              <w:adjustRightInd w:val="0"/>
              <w:spacing w:line="400" w:lineRule="exact"/>
              <w:jc w:val="center"/>
              <w:rPr>
                <w:rFonts w:hAnsi="宋体"/>
                <w:sz w:val="24"/>
              </w:rPr>
            </w:pPr>
            <w:r>
              <w:rPr>
                <w:rFonts w:hint="eastAsia" w:hAnsi="宋体"/>
                <w:sz w:val="24"/>
              </w:rPr>
              <w:t>技术职称</w:t>
            </w:r>
          </w:p>
        </w:tc>
        <w:tc>
          <w:tcPr>
            <w:tcW w:w="1326" w:type="dxa"/>
            <w:gridSpan w:val="2"/>
            <w:vAlign w:val="center"/>
          </w:tcPr>
          <w:p>
            <w:pPr>
              <w:autoSpaceDE w:val="0"/>
              <w:autoSpaceDN w:val="0"/>
              <w:adjustRightInd w:val="0"/>
              <w:spacing w:line="400" w:lineRule="exact"/>
              <w:jc w:val="center"/>
              <w:rPr>
                <w:rFonts w:hAnsi="宋体"/>
                <w:sz w:val="24"/>
              </w:rPr>
            </w:pPr>
          </w:p>
        </w:tc>
        <w:tc>
          <w:tcPr>
            <w:tcW w:w="1172" w:type="dxa"/>
            <w:vAlign w:val="center"/>
          </w:tcPr>
          <w:p>
            <w:pPr>
              <w:autoSpaceDE w:val="0"/>
              <w:autoSpaceDN w:val="0"/>
              <w:adjustRightInd w:val="0"/>
              <w:spacing w:line="400" w:lineRule="exact"/>
              <w:jc w:val="center"/>
              <w:rPr>
                <w:rFonts w:hAnsi="宋体"/>
                <w:sz w:val="24"/>
              </w:rPr>
            </w:pPr>
            <w:r>
              <w:rPr>
                <w:rFonts w:hint="eastAsia" w:hAnsi="宋体"/>
                <w:sz w:val="24"/>
              </w:rPr>
              <w:t>电话</w:t>
            </w:r>
          </w:p>
        </w:tc>
        <w:tc>
          <w:tcPr>
            <w:tcW w:w="1584" w:type="dxa"/>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技术负责人</w:t>
            </w:r>
          </w:p>
        </w:tc>
        <w:tc>
          <w:tcPr>
            <w:tcW w:w="978" w:type="dxa"/>
            <w:vAlign w:val="center"/>
          </w:tcPr>
          <w:p>
            <w:pPr>
              <w:autoSpaceDE w:val="0"/>
              <w:autoSpaceDN w:val="0"/>
              <w:adjustRightInd w:val="0"/>
              <w:spacing w:line="400" w:lineRule="exact"/>
              <w:jc w:val="center"/>
              <w:rPr>
                <w:rFonts w:hAnsi="宋体"/>
                <w:sz w:val="24"/>
              </w:rPr>
            </w:pPr>
            <w:r>
              <w:rPr>
                <w:rFonts w:hint="eastAsia" w:hAnsi="宋体"/>
                <w:sz w:val="24"/>
              </w:rPr>
              <w:t>姓名</w:t>
            </w:r>
          </w:p>
        </w:tc>
        <w:tc>
          <w:tcPr>
            <w:tcW w:w="1215" w:type="dxa"/>
            <w:vAlign w:val="center"/>
          </w:tcPr>
          <w:p>
            <w:pPr>
              <w:autoSpaceDE w:val="0"/>
              <w:autoSpaceDN w:val="0"/>
              <w:adjustRightInd w:val="0"/>
              <w:spacing w:line="400" w:lineRule="exact"/>
              <w:jc w:val="center"/>
              <w:rPr>
                <w:rFonts w:hAnsi="宋体"/>
                <w:sz w:val="24"/>
              </w:rPr>
            </w:pPr>
          </w:p>
        </w:tc>
        <w:tc>
          <w:tcPr>
            <w:tcW w:w="1248" w:type="dxa"/>
            <w:vAlign w:val="center"/>
          </w:tcPr>
          <w:p>
            <w:pPr>
              <w:autoSpaceDE w:val="0"/>
              <w:autoSpaceDN w:val="0"/>
              <w:adjustRightInd w:val="0"/>
              <w:spacing w:line="400" w:lineRule="exact"/>
              <w:jc w:val="center"/>
              <w:rPr>
                <w:rFonts w:hAnsi="宋体"/>
                <w:sz w:val="24"/>
              </w:rPr>
            </w:pPr>
            <w:r>
              <w:rPr>
                <w:rFonts w:hint="eastAsia" w:hAnsi="宋体"/>
                <w:sz w:val="24"/>
              </w:rPr>
              <w:t>技术职称</w:t>
            </w:r>
          </w:p>
        </w:tc>
        <w:tc>
          <w:tcPr>
            <w:tcW w:w="1326" w:type="dxa"/>
            <w:gridSpan w:val="2"/>
            <w:vAlign w:val="center"/>
          </w:tcPr>
          <w:p>
            <w:pPr>
              <w:autoSpaceDE w:val="0"/>
              <w:autoSpaceDN w:val="0"/>
              <w:adjustRightInd w:val="0"/>
              <w:spacing w:line="400" w:lineRule="exact"/>
              <w:jc w:val="center"/>
              <w:rPr>
                <w:rFonts w:hAnsi="宋体"/>
                <w:sz w:val="24"/>
              </w:rPr>
            </w:pPr>
          </w:p>
        </w:tc>
        <w:tc>
          <w:tcPr>
            <w:tcW w:w="1172" w:type="dxa"/>
            <w:vAlign w:val="center"/>
          </w:tcPr>
          <w:p>
            <w:pPr>
              <w:autoSpaceDE w:val="0"/>
              <w:autoSpaceDN w:val="0"/>
              <w:adjustRightInd w:val="0"/>
              <w:spacing w:line="400" w:lineRule="exact"/>
              <w:jc w:val="center"/>
              <w:rPr>
                <w:rFonts w:hAnsi="宋体"/>
                <w:sz w:val="24"/>
              </w:rPr>
            </w:pPr>
            <w:r>
              <w:rPr>
                <w:rFonts w:hint="eastAsia" w:hAnsi="宋体"/>
                <w:sz w:val="24"/>
              </w:rPr>
              <w:t>电话</w:t>
            </w:r>
          </w:p>
        </w:tc>
        <w:tc>
          <w:tcPr>
            <w:tcW w:w="1584" w:type="dxa"/>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成立时间</w:t>
            </w:r>
          </w:p>
        </w:tc>
        <w:tc>
          <w:tcPr>
            <w:tcW w:w="2193" w:type="dxa"/>
            <w:gridSpan w:val="2"/>
            <w:vAlign w:val="center"/>
          </w:tcPr>
          <w:p>
            <w:pPr>
              <w:autoSpaceDE w:val="0"/>
              <w:autoSpaceDN w:val="0"/>
              <w:adjustRightInd w:val="0"/>
              <w:spacing w:line="400" w:lineRule="exact"/>
              <w:jc w:val="center"/>
              <w:rPr>
                <w:rFonts w:hAnsi="宋体"/>
                <w:sz w:val="24"/>
              </w:rPr>
            </w:pPr>
          </w:p>
        </w:tc>
        <w:tc>
          <w:tcPr>
            <w:tcW w:w="5330" w:type="dxa"/>
            <w:gridSpan w:val="5"/>
            <w:vAlign w:val="center"/>
          </w:tcPr>
          <w:p>
            <w:pPr>
              <w:autoSpaceDE w:val="0"/>
              <w:autoSpaceDN w:val="0"/>
              <w:adjustRightInd w:val="0"/>
              <w:spacing w:line="400" w:lineRule="exact"/>
              <w:ind w:firstLine="1680" w:firstLineChars="700"/>
              <w:rPr>
                <w:rFonts w:hAnsi="宋体"/>
                <w:sz w:val="24"/>
              </w:rPr>
            </w:pPr>
            <w:r>
              <w:rPr>
                <w:rFonts w:hint="eastAsia" w:hAns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资质等级</w:t>
            </w:r>
          </w:p>
        </w:tc>
        <w:tc>
          <w:tcPr>
            <w:tcW w:w="7523" w:type="dxa"/>
            <w:gridSpan w:val="7"/>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营业执照号</w:t>
            </w:r>
          </w:p>
        </w:tc>
        <w:tc>
          <w:tcPr>
            <w:tcW w:w="7523" w:type="dxa"/>
            <w:gridSpan w:val="7"/>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注册资金</w:t>
            </w:r>
          </w:p>
        </w:tc>
        <w:tc>
          <w:tcPr>
            <w:tcW w:w="7523" w:type="dxa"/>
            <w:gridSpan w:val="7"/>
            <w:tcBorders>
              <w:bottom w:val="single" w:color="auto" w:sz="4" w:space="0"/>
            </w:tcBorders>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开户银行</w:t>
            </w:r>
          </w:p>
        </w:tc>
        <w:tc>
          <w:tcPr>
            <w:tcW w:w="7523" w:type="dxa"/>
            <w:gridSpan w:val="7"/>
            <w:tcBorders>
              <w:top w:val="single" w:color="auto" w:sz="4" w:space="0"/>
              <w:bottom w:val="single" w:color="auto" w:sz="4" w:space="0"/>
            </w:tcBorders>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账号</w:t>
            </w:r>
          </w:p>
        </w:tc>
        <w:tc>
          <w:tcPr>
            <w:tcW w:w="7523" w:type="dxa"/>
            <w:gridSpan w:val="7"/>
            <w:tcBorders>
              <w:top w:val="single" w:color="auto" w:sz="4" w:space="0"/>
            </w:tcBorders>
            <w:vAlign w:val="center"/>
          </w:tcPr>
          <w:p>
            <w:pPr>
              <w:autoSpaceDE w:val="0"/>
              <w:autoSpaceDN w:val="0"/>
              <w:adjustRightInd w:val="0"/>
              <w:spacing w:line="400" w:lineRule="exact"/>
              <w:jc w:val="center"/>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66"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经营范围</w:t>
            </w:r>
          </w:p>
        </w:tc>
        <w:tc>
          <w:tcPr>
            <w:tcW w:w="7523" w:type="dxa"/>
            <w:gridSpan w:val="7"/>
            <w:vAlign w:val="center"/>
          </w:tcPr>
          <w:p>
            <w:pPr>
              <w:autoSpaceDE w:val="0"/>
              <w:autoSpaceDN w:val="0"/>
              <w:adjustRightInd w:val="0"/>
              <w:spacing w:line="400" w:lineRule="exact"/>
              <w:rPr>
                <w:rFonts w:hAnsi="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1516" w:type="dxa"/>
            <w:vAlign w:val="center"/>
          </w:tcPr>
          <w:p>
            <w:pPr>
              <w:autoSpaceDE w:val="0"/>
              <w:autoSpaceDN w:val="0"/>
              <w:adjustRightInd w:val="0"/>
              <w:spacing w:line="400" w:lineRule="exact"/>
              <w:jc w:val="center"/>
              <w:rPr>
                <w:rFonts w:hAnsi="宋体"/>
                <w:sz w:val="24"/>
              </w:rPr>
            </w:pPr>
            <w:r>
              <w:rPr>
                <w:rFonts w:hint="eastAsia" w:hAnsi="宋体"/>
                <w:sz w:val="24"/>
              </w:rPr>
              <w:t>备注</w:t>
            </w:r>
          </w:p>
        </w:tc>
        <w:tc>
          <w:tcPr>
            <w:tcW w:w="7523" w:type="dxa"/>
            <w:gridSpan w:val="7"/>
            <w:vAlign w:val="top"/>
          </w:tcPr>
          <w:p>
            <w:pPr>
              <w:autoSpaceDE w:val="0"/>
              <w:autoSpaceDN w:val="0"/>
              <w:adjustRightInd w:val="0"/>
              <w:spacing w:line="400" w:lineRule="exact"/>
              <w:jc w:val="left"/>
              <w:rPr>
                <w:rFonts w:hAnsi="宋体"/>
                <w:sz w:val="24"/>
              </w:rPr>
            </w:pPr>
          </w:p>
        </w:tc>
      </w:tr>
    </w:tbl>
    <w:p>
      <w:pPr>
        <w:jc w:val="center"/>
        <w:rPr>
          <w:rFonts w:ascii="黑体" w:eastAsia="黑体"/>
          <w:b/>
          <w:sz w:val="32"/>
          <w:szCs w:val="32"/>
        </w:rPr>
      </w:pPr>
      <w:r>
        <w:rPr>
          <w:rFonts w:hint="eastAsia" w:ascii="黑体" w:eastAsia="黑体"/>
          <w:b/>
          <w:sz w:val="32"/>
          <w:szCs w:val="32"/>
        </w:rPr>
        <w:t>投标人基本情况表</w:t>
      </w:r>
    </w:p>
    <w:p>
      <w:pPr>
        <w:widowControl/>
        <w:spacing w:line="360" w:lineRule="atLeast"/>
        <w:jc w:val="left"/>
        <w:outlineLvl w:val="1"/>
        <w:rPr>
          <w:rFonts w:ascii="黑体" w:eastAsia="黑体"/>
          <w:b/>
          <w:sz w:val="32"/>
          <w:szCs w:val="32"/>
        </w:rPr>
      </w:pPr>
    </w:p>
    <w:p>
      <w:pPr>
        <w:pStyle w:val="2"/>
      </w:pPr>
    </w:p>
    <w:p>
      <w:pPr>
        <w:widowControl/>
        <w:spacing w:line="360" w:lineRule="atLeast"/>
        <w:jc w:val="left"/>
        <w:outlineLvl w:val="1"/>
        <w:rPr>
          <w:rFonts w:hint="eastAsia" w:ascii="黑体" w:eastAsia="黑体"/>
          <w:b/>
          <w:sz w:val="32"/>
          <w:szCs w:val="32"/>
          <w:lang w:val="en-US" w:eastAsia="zh-CN"/>
        </w:rPr>
      </w:pPr>
      <w:r>
        <w:rPr>
          <w:rFonts w:hint="eastAsia" w:ascii="黑体" w:eastAsia="黑体"/>
          <w:b/>
          <w:sz w:val="32"/>
          <w:szCs w:val="32"/>
        </w:rPr>
        <w:t>附件2-</w:t>
      </w:r>
      <w:r>
        <w:rPr>
          <w:rFonts w:hint="eastAsia" w:ascii="黑体" w:eastAsia="黑体"/>
          <w:b/>
          <w:sz w:val="32"/>
          <w:szCs w:val="32"/>
          <w:lang w:val="en-US" w:eastAsia="zh-CN"/>
        </w:rPr>
        <w:t>4</w:t>
      </w:r>
    </w:p>
    <w:p>
      <w:pPr>
        <w:widowControl/>
        <w:spacing w:line="360" w:lineRule="auto"/>
        <w:jc w:val="center"/>
        <w:outlineLvl w:val="1"/>
        <w:rPr>
          <w:rFonts w:hAnsi="宋体" w:cs="Arial"/>
          <w:szCs w:val="28"/>
        </w:rPr>
      </w:pPr>
    </w:p>
    <w:p>
      <w:pPr>
        <w:ind w:firstLine="2249" w:firstLineChars="700"/>
        <w:rPr>
          <w:rFonts w:ascii="黑体" w:eastAsia="黑体"/>
          <w:b/>
          <w:sz w:val="32"/>
          <w:szCs w:val="32"/>
        </w:rPr>
      </w:pPr>
      <w:r>
        <w:rPr>
          <w:rFonts w:hint="eastAsia" w:ascii="黑体" w:eastAsia="黑体"/>
          <w:b/>
          <w:sz w:val="32"/>
          <w:szCs w:val="32"/>
        </w:rPr>
        <w:t>投标人类似项目业绩一览表</w:t>
      </w:r>
      <w:bookmarkEnd w:id="144"/>
      <w:bookmarkEnd w:id="145"/>
      <w:bookmarkEnd w:id="146"/>
      <w:bookmarkEnd w:id="147"/>
    </w:p>
    <w:p>
      <w:pPr>
        <w:tabs>
          <w:tab w:val="left" w:pos="555"/>
          <w:tab w:val="left" w:pos="2214"/>
          <w:tab w:val="left" w:pos="3774"/>
          <w:tab w:val="left" w:pos="4854"/>
          <w:tab w:val="left" w:pos="5934"/>
          <w:tab w:val="left" w:pos="7014"/>
          <w:tab w:val="left" w:pos="8214"/>
          <w:tab w:val="left" w:pos="10134"/>
          <w:tab w:val="left" w:pos="11124"/>
        </w:tabs>
        <w:ind w:firstLine="405"/>
        <w:rPr>
          <w:rFonts w:hAnsi="宋体" w:cs="Arial"/>
          <w:szCs w:val="21"/>
        </w:rPr>
      </w:pPr>
    </w:p>
    <w:tbl>
      <w:tblPr>
        <w:tblStyle w:val="33"/>
        <w:tblW w:w="917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8"/>
        <w:gridCol w:w="2205"/>
        <w:gridCol w:w="1895"/>
        <w:gridCol w:w="2794"/>
        <w:gridCol w:w="14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 w:hRule="atLeast"/>
          <w:jc w:val="center"/>
        </w:trPr>
        <w:tc>
          <w:tcPr>
            <w:tcW w:w="878" w:type="dxa"/>
            <w:tcBorders>
              <w:top w:val="single" w:color="auto" w:sz="4" w:space="0"/>
            </w:tcBorders>
            <w:vAlign w:val="center"/>
          </w:tcPr>
          <w:p>
            <w:pPr>
              <w:spacing w:line="400" w:lineRule="exact"/>
              <w:ind w:firstLine="141" w:firstLineChars="50"/>
              <w:jc w:val="center"/>
              <w:rPr>
                <w:rFonts w:hAnsi="宋体" w:cs="Arial"/>
                <w:b/>
                <w:sz w:val="28"/>
                <w:szCs w:val="28"/>
              </w:rPr>
            </w:pPr>
            <w:r>
              <w:rPr>
                <w:rFonts w:hint="eastAsia" w:hAnsi="宋体" w:cs="Arial"/>
                <w:b/>
                <w:sz w:val="28"/>
                <w:szCs w:val="28"/>
              </w:rPr>
              <w:t>年份</w:t>
            </w:r>
          </w:p>
        </w:tc>
        <w:tc>
          <w:tcPr>
            <w:tcW w:w="2205" w:type="dxa"/>
            <w:vAlign w:val="center"/>
          </w:tcPr>
          <w:p>
            <w:pPr>
              <w:spacing w:line="400" w:lineRule="exact"/>
              <w:jc w:val="center"/>
              <w:rPr>
                <w:rFonts w:hAnsi="宋体" w:cs="Arial"/>
                <w:b/>
                <w:sz w:val="28"/>
                <w:szCs w:val="28"/>
              </w:rPr>
            </w:pPr>
            <w:r>
              <w:rPr>
                <w:rFonts w:hint="eastAsia" w:hAnsi="宋体" w:cs="Arial"/>
                <w:b/>
                <w:sz w:val="28"/>
                <w:szCs w:val="28"/>
              </w:rPr>
              <w:t>用户名称</w:t>
            </w:r>
          </w:p>
        </w:tc>
        <w:tc>
          <w:tcPr>
            <w:tcW w:w="1895" w:type="dxa"/>
            <w:vAlign w:val="center"/>
          </w:tcPr>
          <w:p>
            <w:pPr>
              <w:spacing w:line="400" w:lineRule="exact"/>
              <w:jc w:val="center"/>
              <w:rPr>
                <w:rFonts w:hAnsi="宋体" w:cs="Arial"/>
                <w:b/>
                <w:sz w:val="28"/>
                <w:szCs w:val="28"/>
              </w:rPr>
            </w:pPr>
            <w:r>
              <w:rPr>
                <w:rFonts w:hAnsi="宋体" w:cs="Arial"/>
                <w:b/>
                <w:sz w:val="28"/>
                <w:szCs w:val="28"/>
              </w:rPr>
              <w:t>项目名称</w:t>
            </w:r>
          </w:p>
        </w:tc>
        <w:tc>
          <w:tcPr>
            <w:tcW w:w="2794" w:type="dxa"/>
            <w:tcBorders>
              <w:right w:val="single" w:color="auto" w:sz="4" w:space="0"/>
            </w:tcBorders>
            <w:vAlign w:val="center"/>
          </w:tcPr>
          <w:p>
            <w:pPr>
              <w:spacing w:line="400" w:lineRule="exact"/>
              <w:jc w:val="center"/>
              <w:rPr>
                <w:rFonts w:hAnsi="宋体" w:cs="Arial"/>
                <w:b/>
                <w:sz w:val="28"/>
                <w:szCs w:val="28"/>
              </w:rPr>
            </w:pPr>
            <w:r>
              <w:rPr>
                <w:rFonts w:hAnsi="宋体" w:cs="Arial"/>
                <w:b/>
                <w:sz w:val="28"/>
                <w:szCs w:val="28"/>
              </w:rPr>
              <w:t>完成时间</w:t>
            </w:r>
          </w:p>
        </w:tc>
        <w:tc>
          <w:tcPr>
            <w:tcW w:w="1406" w:type="dxa"/>
            <w:tcBorders>
              <w:left w:val="single" w:color="auto" w:sz="4" w:space="0"/>
            </w:tcBorders>
            <w:vAlign w:val="center"/>
          </w:tcPr>
          <w:p>
            <w:pPr>
              <w:spacing w:line="400" w:lineRule="exact"/>
              <w:jc w:val="center"/>
              <w:rPr>
                <w:rFonts w:hAnsi="宋体" w:cs="Arial"/>
                <w:b/>
                <w:sz w:val="28"/>
                <w:szCs w:val="28"/>
              </w:rPr>
            </w:pPr>
            <w:r>
              <w:rPr>
                <w:rFonts w:hint="eastAsia" w:hAnsi="宋体" w:cs="Arial"/>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878" w:type="dxa"/>
            <w:vAlign w:val="center"/>
          </w:tcPr>
          <w:p>
            <w:pPr>
              <w:spacing w:line="400" w:lineRule="exact"/>
              <w:jc w:val="center"/>
              <w:rPr>
                <w:rFonts w:hAnsi="宋体" w:cs="Arial"/>
              </w:rPr>
            </w:pPr>
          </w:p>
        </w:tc>
        <w:tc>
          <w:tcPr>
            <w:tcW w:w="2205" w:type="dxa"/>
            <w:vAlign w:val="center"/>
          </w:tcPr>
          <w:p>
            <w:pPr>
              <w:spacing w:line="400" w:lineRule="exact"/>
              <w:jc w:val="center"/>
              <w:rPr>
                <w:rFonts w:hAnsi="宋体" w:cs="Arial"/>
              </w:rPr>
            </w:pPr>
          </w:p>
        </w:tc>
        <w:tc>
          <w:tcPr>
            <w:tcW w:w="1895" w:type="dxa"/>
            <w:vAlign w:val="center"/>
          </w:tcPr>
          <w:p>
            <w:pPr>
              <w:spacing w:line="400" w:lineRule="exact"/>
              <w:jc w:val="center"/>
              <w:rPr>
                <w:rFonts w:hAnsi="宋体" w:cs="Arial"/>
              </w:rPr>
            </w:pPr>
          </w:p>
        </w:tc>
        <w:tc>
          <w:tcPr>
            <w:tcW w:w="2794" w:type="dxa"/>
            <w:tcBorders>
              <w:right w:val="single" w:color="auto" w:sz="4" w:space="0"/>
            </w:tcBorders>
            <w:vAlign w:val="center"/>
          </w:tcPr>
          <w:p>
            <w:pPr>
              <w:spacing w:line="400" w:lineRule="exact"/>
              <w:jc w:val="center"/>
              <w:rPr>
                <w:rFonts w:hAnsi="宋体" w:cs="Arial"/>
              </w:rPr>
            </w:pPr>
          </w:p>
        </w:tc>
        <w:tc>
          <w:tcPr>
            <w:tcW w:w="1406" w:type="dxa"/>
            <w:tcBorders>
              <w:left w:val="single" w:color="auto" w:sz="4" w:space="0"/>
            </w:tcBorders>
            <w:vAlign w:val="center"/>
          </w:tcPr>
          <w:p>
            <w:pPr>
              <w:spacing w:line="400" w:lineRule="exact"/>
              <w:jc w:val="center"/>
              <w:rPr>
                <w:rFonts w:hAnsi="宋体" w:cs="Arial"/>
              </w:rPr>
            </w:pPr>
          </w:p>
        </w:tc>
      </w:tr>
    </w:tbl>
    <w:p>
      <w:pPr>
        <w:rPr>
          <w:rFonts w:hAnsi="宋体" w:cs="华文中宋"/>
          <w:b/>
          <w:bCs/>
          <w:sz w:val="18"/>
          <w:szCs w:val="18"/>
        </w:rPr>
      </w:pPr>
      <w:r>
        <w:rPr>
          <w:rFonts w:hint="eastAsia" w:hAnsi="宋体" w:cs="Arial"/>
          <w:b/>
          <w:bCs/>
          <w:sz w:val="18"/>
          <w:szCs w:val="18"/>
        </w:rPr>
        <w:t>注：1、提供业绩证明材料详见综合评分明细表。</w:t>
      </w:r>
      <w:r>
        <w:rPr>
          <w:rFonts w:hint="eastAsia" w:hAnsi="宋体" w:cs="华文中宋"/>
          <w:b/>
          <w:bCs/>
          <w:sz w:val="18"/>
          <w:szCs w:val="18"/>
        </w:rPr>
        <w:t>如不实，属于弄虚作假，取消投标或中标资格。</w:t>
      </w:r>
    </w:p>
    <w:p>
      <w:pPr>
        <w:ind w:firstLine="368"/>
        <w:rPr>
          <w:rFonts w:hAnsi="宋体" w:cs="华文中宋"/>
          <w:b/>
          <w:bCs/>
          <w:sz w:val="18"/>
          <w:szCs w:val="18"/>
        </w:rPr>
      </w:pPr>
      <w:r>
        <w:rPr>
          <w:rFonts w:hint="eastAsia" w:hAnsi="宋体" w:cs="华文中宋"/>
          <w:b/>
          <w:bCs/>
          <w:sz w:val="18"/>
          <w:szCs w:val="18"/>
        </w:rPr>
        <w:t>2、投标人可根据实际情况增加或变动此表格式。</w:t>
      </w:r>
    </w:p>
    <w:p>
      <w:pPr>
        <w:spacing w:line="400" w:lineRule="exact"/>
        <w:ind w:left="360"/>
        <w:jc w:val="center"/>
        <w:rPr>
          <w:rFonts w:hAnsi="宋体" w:cs="Arial"/>
        </w:rPr>
      </w:pPr>
    </w:p>
    <w:p>
      <w:pPr>
        <w:widowControl/>
        <w:spacing w:line="360" w:lineRule="auto"/>
        <w:ind w:firstLine="470" w:firstLineChars="196"/>
        <w:jc w:val="left"/>
        <w:outlineLvl w:val="1"/>
        <w:rPr>
          <w:sz w:val="24"/>
          <w:u w:val="single"/>
        </w:rPr>
      </w:pPr>
      <w:bookmarkStart w:id="148" w:name="_Toc217446090"/>
      <w:bookmarkStart w:id="149" w:name="_Toc445888113"/>
      <w:r>
        <w:rPr>
          <w:rFonts w:hint="eastAsia"/>
          <w:bCs/>
          <w:sz w:val="24"/>
        </w:rPr>
        <w:t xml:space="preserve">      </w:t>
      </w:r>
      <w:bookmarkStart w:id="150" w:name="_Toc3208"/>
      <w:r>
        <w:rPr>
          <w:rFonts w:hint="eastAsia"/>
          <w:sz w:val="24"/>
        </w:rPr>
        <w:t>投标人名称：</w:t>
      </w:r>
      <w:r>
        <w:rPr>
          <w:rFonts w:hint="eastAsia"/>
          <w:sz w:val="24"/>
          <w:u w:val="single"/>
        </w:rPr>
        <w:t xml:space="preserve">                           </w:t>
      </w:r>
    </w:p>
    <w:p>
      <w:pPr>
        <w:widowControl/>
        <w:spacing w:line="360" w:lineRule="auto"/>
        <w:ind w:firstLine="1190" w:firstLineChars="496"/>
        <w:jc w:val="left"/>
        <w:outlineLvl w:val="1"/>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widowControl/>
        <w:spacing w:line="360" w:lineRule="atLeast"/>
        <w:jc w:val="left"/>
        <w:outlineLvl w:val="1"/>
        <w:rPr>
          <w:rFonts w:hint="eastAsia" w:ascii="黑体" w:eastAsia="黑体"/>
          <w:b/>
          <w:sz w:val="32"/>
          <w:szCs w:val="32"/>
          <w:lang w:eastAsia="zh-CN"/>
        </w:rPr>
      </w:pPr>
      <w:bookmarkStart w:id="151" w:name="_Toc18119"/>
      <w:r>
        <w:rPr>
          <w:rFonts w:hint="eastAsia"/>
          <w:sz w:val="24"/>
          <w:szCs w:val="20"/>
        </w:rPr>
        <w:br w:type="page"/>
      </w:r>
      <w:r>
        <w:rPr>
          <w:rFonts w:hint="eastAsia" w:ascii="黑体" w:eastAsia="黑体"/>
          <w:b/>
          <w:sz w:val="32"/>
          <w:szCs w:val="32"/>
        </w:rPr>
        <w:t>附件2-</w:t>
      </w:r>
      <w:r>
        <w:rPr>
          <w:rFonts w:hint="eastAsia" w:ascii="黑体" w:eastAsia="黑体"/>
          <w:b/>
          <w:sz w:val="32"/>
          <w:szCs w:val="32"/>
          <w:lang w:val="en-US" w:eastAsia="zh-CN"/>
        </w:rPr>
        <w:t>5</w:t>
      </w:r>
    </w:p>
    <w:p>
      <w:pPr>
        <w:widowControl/>
        <w:spacing w:line="360" w:lineRule="atLeast"/>
        <w:jc w:val="center"/>
        <w:outlineLvl w:val="1"/>
        <w:rPr>
          <w:rFonts w:ascii="黑体" w:eastAsia="黑体"/>
          <w:b/>
          <w:sz w:val="32"/>
          <w:szCs w:val="32"/>
        </w:rPr>
      </w:pPr>
      <w:r>
        <w:rPr>
          <w:rFonts w:hint="eastAsia" w:ascii="黑体" w:eastAsia="黑体"/>
          <w:b/>
          <w:sz w:val="32"/>
          <w:szCs w:val="32"/>
        </w:rPr>
        <w:t>服务内容及要求应答表</w:t>
      </w:r>
      <w:bookmarkEnd w:id="148"/>
      <w:bookmarkEnd w:id="149"/>
      <w:bookmarkEnd w:id="150"/>
      <w:bookmarkEnd w:id="151"/>
    </w:p>
    <w:p>
      <w:pPr>
        <w:pStyle w:val="59"/>
        <w:rPr>
          <w:rFonts w:hAnsi="宋体"/>
          <w:sz w:val="21"/>
          <w:szCs w:val="21"/>
        </w:rPr>
      </w:pPr>
    </w:p>
    <w:tbl>
      <w:tblPr>
        <w:tblStyle w:val="3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219"/>
        <w:gridCol w:w="278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031"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序号</w:t>
            </w:r>
          </w:p>
        </w:tc>
        <w:tc>
          <w:tcPr>
            <w:tcW w:w="2219"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招标文件要求</w:t>
            </w:r>
          </w:p>
        </w:tc>
        <w:tc>
          <w:tcPr>
            <w:tcW w:w="2786"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投标文件的应答</w:t>
            </w:r>
          </w:p>
        </w:tc>
        <w:tc>
          <w:tcPr>
            <w:tcW w:w="3250"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bl>
    <w:p>
      <w:pPr>
        <w:rPr>
          <w:rFonts w:hAnsi="宋体"/>
          <w:b/>
          <w:bCs/>
          <w:sz w:val="18"/>
          <w:szCs w:val="18"/>
        </w:rPr>
      </w:pPr>
      <w:r>
        <w:rPr>
          <w:rFonts w:hint="eastAsia" w:hAnsi="宋体"/>
          <w:b/>
          <w:bCs/>
          <w:sz w:val="18"/>
          <w:szCs w:val="18"/>
        </w:rPr>
        <w:t>注：1、按照招标文件第六章中的服务内容及要求进行逐条应答；如与招标文件第六章中服务内容及要求无偏离（包括正偏离和负偏离），则无需逐条应答，视为均响应招标文件第六章中的服务内容及要求，不用在此表中列出,可划“/”。</w:t>
      </w:r>
    </w:p>
    <w:p>
      <w:pPr>
        <w:rPr>
          <w:rFonts w:hAnsi="宋体"/>
          <w:b/>
          <w:bCs/>
          <w:sz w:val="18"/>
          <w:szCs w:val="18"/>
        </w:rPr>
      </w:pPr>
      <w:r>
        <w:rPr>
          <w:rFonts w:hint="eastAsia" w:hAnsi="宋体"/>
          <w:b/>
          <w:bCs/>
          <w:sz w:val="18"/>
          <w:szCs w:val="18"/>
        </w:rPr>
        <w:t xml:space="preserve">    2、投标人必须据实填写，不得虚假填写，否则将取消其投标或中标资格。</w:t>
      </w:r>
    </w:p>
    <w:p>
      <w:pPr>
        <w:spacing w:line="400" w:lineRule="exact"/>
        <w:ind w:left="969" w:leftChars="285"/>
        <w:rPr>
          <w:rFonts w:hAnsi="宋体"/>
          <w:sz w:val="24"/>
        </w:rPr>
      </w:pPr>
    </w:p>
    <w:p>
      <w:pPr>
        <w:adjustRightInd w:val="0"/>
        <w:spacing w:line="400" w:lineRule="exact"/>
        <w:ind w:firstLine="490" w:firstLineChars="175"/>
        <w:jc w:val="left"/>
        <w:rPr>
          <w:rFonts w:hAnsi="宋体"/>
          <w:bCs/>
          <w:sz w:val="28"/>
          <w:szCs w:val="28"/>
        </w:rPr>
      </w:pPr>
    </w:p>
    <w:p>
      <w:pPr>
        <w:adjustRightInd w:val="0"/>
        <w:spacing w:line="400" w:lineRule="exact"/>
        <w:ind w:firstLine="490" w:firstLineChars="175"/>
        <w:jc w:val="left"/>
        <w:rPr>
          <w:rFonts w:hAnsi="宋体"/>
          <w:bCs/>
          <w:sz w:val="28"/>
          <w:szCs w:val="28"/>
        </w:rPr>
      </w:pPr>
    </w:p>
    <w:p>
      <w:pPr>
        <w:widowControl/>
        <w:spacing w:line="360" w:lineRule="auto"/>
        <w:ind w:left="476" w:leftChars="140"/>
        <w:jc w:val="left"/>
        <w:outlineLvl w:val="1"/>
      </w:pPr>
      <w:r>
        <w:rPr>
          <w:rFonts w:hint="eastAsia"/>
          <w:sz w:val="24"/>
        </w:rPr>
        <w:t>投标人名称：</w:t>
      </w:r>
      <w:r>
        <w:rPr>
          <w:rFonts w:hint="eastAsia"/>
          <w:sz w:val="24"/>
          <w:u w:val="single"/>
        </w:rPr>
        <w:t xml:space="preserve">                           </w:t>
      </w:r>
    </w:p>
    <w:p>
      <w:pPr>
        <w:widowControl/>
        <w:spacing w:line="360" w:lineRule="auto"/>
        <w:ind w:left="476" w:leftChars="140"/>
        <w:jc w:val="left"/>
        <w:outlineLvl w:val="1"/>
        <w:rPr>
          <w:rFonts w:hAnsi="宋体"/>
          <w:bCs/>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ind w:firstLine="480" w:firstLineChars="200"/>
        <w:rPr>
          <w:rFonts w:hAnsi="宋体"/>
          <w:bCs/>
          <w:sz w:val="24"/>
        </w:rPr>
      </w:pPr>
    </w:p>
    <w:p>
      <w:pPr>
        <w:spacing w:line="400" w:lineRule="exact"/>
        <w:ind w:firstLine="480" w:firstLineChars="200"/>
        <w:rPr>
          <w:rFonts w:hAnsi="宋体"/>
          <w:bCs/>
          <w:sz w:val="24"/>
        </w:rPr>
      </w:pPr>
    </w:p>
    <w:p>
      <w:pPr>
        <w:spacing w:line="400" w:lineRule="exact"/>
        <w:ind w:firstLine="480" w:firstLineChars="200"/>
        <w:rPr>
          <w:rFonts w:hAnsi="宋体"/>
          <w:bCs/>
          <w:sz w:val="24"/>
        </w:rPr>
      </w:pPr>
    </w:p>
    <w:p>
      <w:pPr>
        <w:spacing w:line="400" w:lineRule="exact"/>
        <w:ind w:firstLine="480" w:firstLineChars="200"/>
        <w:rPr>
          <w:rFonts w:hAnsi="宋体"/>
          <w:bCs/>
          <w:sz w:val="24"/>
        </w:rPr>
      </w:pPr>
    </w:p>
    <w:p>
      <w:pPr>
        <w:widowControl/>
        <w:spacing w:line="360" w:lineRule="atLeast"/>
        <w:jc w:val="left"/>
        <w:outlineLvl w:val="1"/>
        <w:rPr>
          <w:rFonts w:hint="eastAsia" w:ascii="黑体" w:eastAsia="黑体"/>
          <w:b/>
          <w:sz w:val="32"/>
          <w:szCs w:val="32"/>
          <w:lang w:eastAsia="zh-CN"/>
        </w:rPr>
      </w:pPr>
      <w:bookmarkStart w:id="152" w:name="_Toc193023385"/>
      <w:bookmarkStart w:id="153" w:name="_Toc217446091"/>
      <w:r>
        <w:rPr>
          <w:rFonts w:hAnsi="宋体" w:cs="华文中宋"/>
        </w:rPr>
        <w:br w:type="page"/>
      </w:r>
      <w:bookmarkStart w:id="154" w:name="_Toc21317"/>
      <w:bookmarkStart w:id="155" w:name="_Toc31091"/>
      <w:bookmarkStart w:id="156" w:name="_Toc445888114"/>
      <w:r>
        <w:rPr>
          <w:rFonts w:hint="eastAsia"/>
          <w:sz w:val="24"/>
          <w:szCs w:val="20"/>
        </w:rPr>
        <w:t xml:space="preserve"> </w:t>
      </w:r>
      <w:r>
        <w:rPr>
          <w:rFonts w:hint="eastAsia" w:ascii="黑体" w:eastAsia="黑体"/>
          <w:b/>
          <w:sz w:val="32"/>
          <w:szCs w:val="32"/>
        </w:rPr>
        <w:t>附件2-</w:t>
      </w:r>
      <w:r>
        <w:rPr>
          <w:rFonts w:hint="eastAsia" w:ascii="黑体" w:eastAsia="黑体"/>
          <w:b/>
          <w:sz w:val="32"/>
          <w:szCs w:val="32"/>
          <w:lang w:val="en-US" w:eastAsia="zh-CN"/>
        </w:rPr>
        <w:t>6</w:t>
      </w:r>
    </w:p>
    <w:p>
      <w:pPr>
        <w:widowControl/>
        <w:spacing w:line="360" w:lineRule="atLeast"/>
        <w:jc w:val="center"/>
        <w:outlineLvl w:val="1"/>
        <w:rPr>
          <w:rFonts w:ascii="黑体" w:eastAsia="黑体"/>
          <w:b/>
          <w:sz w:val="32"/>
          <w:szCs w:val="32"/>
        </w:rPr>
      </w:pPr>
      <w:r>
        <w:rPr>
          <w:rFonts w:hint="eastAsia" w:ascii="黑体" w:eastAsia="黑体"/>
          <w:b/>
          <w:sz w:val="32"/>
          <w:szCs w:val="32"/>
        </w:rPr>
        <w:t>商务要求应答表</w:t>
      </w:r>
      <w:bookmarkEnd w:id="154"/>
      <w:bookmarkEnd w:id="155"/>
    </w:p>
    <w:p>
      <w:pPr>
        <w:pStyle w:val="59"/>
        <w:rPr>
          <w:rFonts w:hAnsi="宋体"/>
          <w:sz w:val="21"/>
          <w:szCs w:val="21"/>
        </w:rPr>
      </w:pPr>
    </w:p>
    <w:tbl>
      <w:tblPr>
        <w:tblStyle w:val="3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219"/>
        <w:gridCol w:w="2786"/>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031"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序号</w:t>
            </w:r>
          </w:p>
        </w:tc>
        <w:tc>
          <w:tcPr>
            <w:tcW w:w="2219"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招标文件要求</w:t>
            </w:r>
          </w:p>
        </w:tc>
        <w:tc>
          <w:tcPr>
            <w:tcW w:w="2786"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投标文件的应答</w:t>
            </w:r>
          </w:p>
        </w:tc>
        <w:tc>
          <w:tcPr>
            <w:tcW w:w="3250" w:type="dxa"/>
            <w:vAlign w:val="center"/>
          </w:tcPr>
          <w:p>
            <w:pPr>
              <w:pStyle w:val="11"/>
              <w:tabs>
                <w:tab w:val="left" w:pos="6880"/>
              </w:tabs>
              <w:spacing w:line="360" w:lineRule="auto"/>
              <w:ind w:firstLine="0" w:firstLineChars="0"/>
              <w:jc w:val="center"/>
              <w:rPr>
                <w:rFonts w:hAnsi="宋体" w:cs="宋体"/>
                <w:b/>
                <w:sz w:val="24"/>
                <w:szCs w:val="20"/>
              </w:rPr>
            </w:pPr>
            <w:r>
              <w:rPr>
                <w:rFonts w:hint="eastAsia" w:hAnsi="宋体" w:cs="宋体"/>
                <w:b/>
                <w:sz w:val="24"/>
                <w:szCs w:val="20"/>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pStyle w:val="11"/>
              <w:tabs>
                <w:tab w:val="left" w:pos="34"/>
              </w:tabs>
              <w:spacing w:line="360" w:lineRule="auto"/>
              <w:ind w:left="-108" w:firstLine="0" w:firstLineChars="0"/>
              <w:jc w:val="center"/>
              <w:rPr>
                <w:rFonts w:hAnsi="宋体" w:cs="宋体"/>
                <w:sz w:val="24"/>
                <w:szCs w:val="20"/>
              </w:rPr>
            </w:pPr>
          </w:p>
        </w:tc>
        <w:tc>
          <w:tcPr>
            <w:tcW w:w="2219" w:type="dxa"/>
            <w:vAlign w:val="center"/>
          </w:tcPr>
          <w:p>
            <w:pPr>
              <w:pStyle w:val="11"/>
              <w:tabs>
                <w:tab w:val="left" w:pos="6880"/>
              </w:tabs>
              <w:spacing w:line="360" w:lineRule="auto"/>
              <w:ind w:firstLine="480"/>
              <w:rPr>
                <w:rFonts w:hAnsi="宋体" w:cs="宋体"/>
                <w:sz w:val="24"/>
                <w:szCs w:val="20"/>
              </w:rPr>
            </w:pPr>
          </w:p>
        </w:tc>
        <w:tc>
          <w:tcPr>
            <w:tcW w:w="2786" w:type="dxa"/>
            <w:vAlign w:val="center"/>
          </w:tcPr>
          <w:p>
            <w:pPr>
              <w:pStyle w:val="11"/>
              <w:tabs>
                <w:tab w:val="left" w:pos="6880"/>
              </w:tabs>
              <w:spacing w:line="360" w:lineRule="auto"/>
              <w:ind w:firstLine="480"/>
              <w:rPr>
                <w:rFonts w:hAnsi="宋体" w:cs="宋体"/>
                <w:sz w:val="24"/>
                <w:szCs w:val="20"/>
              </w:rPr>
            </w:pPr>
          </w:p>
        </w:tc>
        <w:tc>
          <w:tcPr>
            <w:tcW w:w="3250" w:type="dxa"/>
            <w:vAlign w:val="center"/>
          </w:tcPr>
          <w:p>
            <w:pPr>
              <w:pStyle w:val="11"/>
              <w:tabs>
                <w:tab w:val="left" w:pos="6880"/>
              </w:tabs>
              <w:spacing w:line="360" w:lineRule="auto"/>
              <w:ind w:firstLine="480"/>
              <w:rPr>
                <w:rFonts w:hAnsi="宋体" w:cs="宋体"/>
                <w:sz w:val="24"/>
                <w:szCs w:val="20"/>
              </w:rPr>
            </w:pPr>
          </w:p>
        </w:tc>
      </w:tr>
      <w:bookmarkEnd w:id="152"/>
      <w:bookmarkEnd w:id="156"/>
    </w:tbl>
    <w:p>
      <w:pPr>
        <w:rPr>
          <w:rFonts w:hAnsi="宋体"/>
          <w:b/>
          <w:bCs/>
          <w:sz w:val="18"/>
          <w:szCs w:val="18"/>
        </w:rPr>
      </w:pPr>
      <w:bookmarkStart w:id="157" w:name="_Toc445888115"/>
      <w:bookmarkStart w:id="158" w:name="_Toc8819"/>
      <w:bookmarkStart w:id="159" w:name="_Toc16720"/>
      <w:r>
        <w:rPr>
          <w:rFonts w:hint="eastAsia" w:hAnsi="宋体"/>
          <w:b/>
          <w:bCs/>
          <w:sz w:val="18"/>
          <w:szCs w:val="18"/>
        </w:rPr>
        <w:t>注：1、按照招标文件第六章中的商务要求进行逐条应答；如与招标文件第六章中商务要求无偏离（包括正偏离和负偏离），则无需逐条应答，视为均响应招标文件第六章中的商务要求，不用在此表中列出,可划“/”。</w:t>
      </w:r>
    </w:p>
    <w:p>
      <w:pPr>
        <w:rPr>
          <w:rFonts w:hAnsi="宋体"/>
          <w:b/>
          <w:bCs/>
          <w:sz w:val="18"/>
          <w:szCs w:val="18"/>
        </w:rPr>
      </w:pPr>
      <w:r>
        <w:rPr>
          <w:rFonts w:hint="eastAsia" w:hAnsi="宋体"/>
          <w:b/>
          <w:bCs/>
          <w:sz w:val="18"/>
          <w:szCs w:val="18"/>
        </w:rPr>
        <w:t xml:space="preserve">    2、投标人必须据实填写，不得虚假填写，否则将取消其投标或中标资格。</w:t>
      </w:r>
    </w:p>
    <w:p>
      <w:pPr>
        <w:adjustRightInd w:val="0"/>
        <w:ind w:firstLine="316" w:firstLineChars="175"/>
        <w:jc w:val="left"/>
        <w:rPr>
          <w:rFonts w:hAnsi="宋体"/>
          <w:b/>
          <w:bCs/>
          <w:sz w:val="18"/>
          <w:szCs w:val="18"/>
        </w:rPr>
      </w:pPr>
    </w:p>
    <w:p>
      <w:pPr>
        <w:spacing w:line="400" w:lineRule="exact"/>
        <w:ind w:left="969" w:leftChars="285"/>
        <w:rPr>
          <w:rFonts w:hAnsi="宋体"/>
          <w:sz w:val="24"/>
        </w:rPr>
      </w:pPr>
    </w:p>
    <w:p>
      <w:pPr>
        <w:adjustRightInd w:val="0"/>
        <w:spacing w:line="400" w:lineRule="exact"/>
        <w:ind w:firstLine="490" w:firstLineChars="175"/>
        <w:jc w:val="left"/>
        <w:rPr>
          <w:rFonts w:hAnsi="宋体"/>
          <w:bCs/>
          <w:sz w:val="28"/>
          <w:szCs w:val="28"/>
        </w:rPr>
      </w:pPr>
    </w:p>
    <w:p>
      <w:pPr>
        <w:adjustRightInd w:val="0"/>
        <w:spacing w:line="400" w:lineRule="exact"/>
        <w:ind w:firstLine="490" w:firstLineChars="175"/>
        <w:jc w:val="left"/>
        <w:rPr>
          <w:rFonts w:hAnsi="宋体"/>
          <w:bCs/>
          <w:sz w:val="28"/>
          <w:szCs w:val="28"/>
        </w:rPr>
      </w:pPr>
    </w:p>
    <w:p>
      <w:pPr>
        <w:widowControl/>
        <w:spacing w:line="360" w:lineRule="auto"/>
        <w:ind w:firstLine="480" w:firstLineChars="200"/>
        <w:jc w:val="left"/>
        <w:outlineLvl w:val="1"/>
        <w:rPr>
          <w:sz w:val="24"/>
        </w:rPr>
      </w:pPr>
      <w:r>
        <w:rPr>
          <w:rFonts w:hint="eastAsia"/>
          <w:sz w:val="24"/>
        </w:rPr>
        <w:t>投标人名称：</w:t>
      </w:r>
      <w:r>
        <w:rPr>
          <w:rFonts w:hint="eastAsia"/>
          <w:sz w:val="24"/>
          <w:u w:val="single"/>
        </w:rPr>
        <w:t xml:space="preserve">                           </w:t>
      </w:r>
    </w:p>
    <w:p>
      <w:pPr>
        <w:widowControl/>
        <w:spacing w:line="360" w:lineRule="auto"/>
        <w:ind w:left="476" w:leftChars="140"/>
        <w:jc w:val="left"/>
        <w:outlineLvl w:val="1"/>
        <w:rPr>
          <w:rFonts w:hAnsi="宋体"/>
          <w:sz w:val="24"/>
          <w:u w:val="single"/>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widowControl/>
        <w:spacing w:line="360" w:lineRule="auto"/>
        <w:ind w:left="775" w:leftChars="228"/>
        <w:jc w:val="left"/>
        <w:outlineLvl w:val="1"/>
        <w:rPr>
          <w:rFonts w:hAnsi="宋体"/>
          <w:sz w:val="24"/>
          <w:u w:val="single"/>
        </w:rPr>
      </w:pPr>
    </w:p>
    <w:p>
      <w:pPr>
        <w:widowControl/>
        <w:spacing w:line="360" w:lineRule="auto"/>
        <w:ind w:left="775" w:leftChars="228"/>
        <w:jc w:val="left"/>
        <w:outlineLvl w:val="1"/>
        <w:rPr>
          <w:rFonts w:hAnsi="宋体"/>
          <w:sz w:val="24"/>
          <w:u w:val="single"/>
        </w:rPr>
      </w:pPr>
    </w:p>
    <w:p>
      <w:pPr>
        <w:widowControl/>
        <w:spacing w:line="360" w:lineRule="auto"/>
        <w:ind w:left="775" w:leftChars="228"/>
        <w:jc w:val="left"/>
        <w:outlineLvl w:val="1"/>
        <w:rPr>
          <w:rFonts w:hAnsi="宋体"/>
          <w:sz w:val="24"/>
          <w:u w:val="single"/>
        </w:rPr>
      </w:pPr>
    </w:p>
    <w:p>
      <w:pPr>
        <w:widowControl/>
        <w:spacing w:line="360" w:lineRule="auto"/>
        <w:ind w:left="775" w:leftChars="228"/>
        <w:jc w:val="left"/>
        <w:outlineLvl w:val="1"/>
        <w:rPr>
          <w:rFonts w:hAnsi="宋体"/>
          <w:sz w:val="24"/>
          <w:u w:val="single"/>
        </w:rPr>
      </w:pPr>
    </w:p>
    <w:p>
      <w:pPr>
        <w:widowControl/>
        <w:spacing w:line="360" w:lineRule="auto"/>
        <w:ind w:left="775" w:leftChars="228"/>
        <w:jc w:val="left"/>
        <w:outlineLvl w:val="1"/>
        <w:rPr>
          <w:rFonts w:hAnsi="宋体"/>
          <w:sz w:val="24"/>
          <w:u w:val="single"/>
        </w:rPr>
      </w:pPr>
    </w:p>
    <w:p>
      <w:pPr>
        <w:widowControl/>
        <w:spacing w:line="360" w:lineRule="auto"/>
        <w:jc w:val="left"/>
        <w:outlineLvl w:val="1"/>
        <w:rPr>
          <w:rFonts w:hint="eastAsia" w:hAnsi="宋体" w:eastAsia="黑体"/>
          <w:szCs w:val="28"/>
          <w:lang w:eastAsia="zh-CN"/>
        </w:rPr>
      </w:pPr>
      <w:r>
        <w:rPr>
          <w:rFonts w:hint="eastAsia" w:hAnsi="宋体"/>
          <w:szCs w:val="28"/>
        </w:rPr>
        <w:br w:type="page"/>
      </w:r>
      <w:r>
        <w:rPr>
          <w:rFonts w:hint="eastAsia"/>
          <w:sz w:val="24"/>
          <w:szCs w:val="20"/>
        </w:rPr>
        <w:t xml:space="preserve"> </w:t>
      </w:r>
      <w:r>
        <w:rPr>
          <w:rFonts w:hint="eastAsia" w:ascii="黑体" w:eastAsia="黑体"/>
          <w:b/>
          <w:sz w:val="32"/>
          <w:szCs w:val="32"/>
        </w:rPr>
        <w:t>附件2-</w:t>
      </w:r>
      <w:r>
        <w:rPr>
          <w:rFonts w:hint="eastAsia" w:ascii="黑体" w:eastAsia="黑体"/>
          <w:b/>
          <w:sz w:val="32"/>
          <w:szCs w:val="32"/>
          <w:lang w:val="en-US" w:eastAsia="zh-CN"/>
        </w:rPr>
        <w:t>7</w:t>
      </w:r>
    </w:p>
    <w:bookmarkEnd w:id="153"/>
    <w:bookmarkEnd w:id="157"/>
    <w:p>
      <w:pPr>
        <w:widowControl/>
        <w:spacing w:line="360" w:lineRule="auto"/>
        <w:ind w:left="775" w:leftChars="228"/>
        <w:jc w:val="center"/>
        <w:outlineLvl w:val="1"/>
        <w:rPr>
          <w:rFonts w:hAnsi="宋体" w:cs="华文中宋"/>
          <w:b/>
          <w:bCs/>
          <w:sz w:val="32"/>
          <w:szCs w:val="32"/>
        </w:rPr>
      </w:pPr>
      <w:r>
        <w:rPr>
          <w:rFonts w:hint="eastAsia" w:hAnsi="宋体" w:cs="华文中宋"/>
          <w:b/>
          <w:bCs/>
          <w:sz w:val="32"/>
          <w:szCs w:val="32"/>
        </w:rPr>
        <w:t>拟派驻本项目人员配备一览表</w:t>
      </w:r>
      <w:bookmarkEnd w:id="158"/>
      <w:bookmarkEnd w:id="159"/>
    </w:p>
    <w:tbl>
      <w:tblPr>
        <w:tblStyle w:val="3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225"/>
        <w:gridCol w:w="1134"/>
        <w:gridCol w:w="1211"/>
        <w:gridCol w:w="1134"/>
        <w:gridCol w:w="179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restart"/>
            <w:vAlign w:val="center"/>
          </w:tcPr>
          <w:p>
            <w:pPr>
              <w:jc w:val="center"/>
              <w:rPr>
                <w:rFonts w:hAnsi="宋体"/>
                <w:sz w:val="24"/>
              </w:rPr>
            </w:pPr>
            <w:r>
              <w:rPr>
                <w:rFonts w:hint="eastAsia" w:hAnsi="宋体"/>
                <w:sz w:val="24"/>
              </w:rPr>
              <w:t>类别</w:t>
            </w:r>
          </w:p>
        </w:tc>
        <w:tc>
          <w:tcPr>
            <w:tcW w:w="1225" w:type="dxa"/>
            <w:vMerge w:val="restart"/>
            <w:vAlign w:val="center"/>
          </w:tcPr>
          <w:p>
            <w:pPr>
              <w:jc w:val="center"/>
              <w:rPr>
                <w:rFonts w:hAnsi="宋体"/>
                <w:sz w:val="24"/>
              </w:rPr>
            </w:pPr>
            <w:r>
              <w:rPr>
                <w:rFonts w:hint="eastAsia" w:hAnsi="宋体"/>
                <w:sz w:val="24"/>
              </w:rPr>
              <w:t>姓名</w:t>
            </w:r>
          </w:p>
        </w:tc>
        <w:tc>
          <w:tcPr>
            <w:tcW w:w="1134" w:type="dxa"/>
            <w:vMerge w:val="restart"/>
            <w:vAlign w:val="center"/>
          </w:tcPr>
          <w:p>
            <w:pPr>
              <w:jc w:val="center"/>
              <w:rPr>
                <w:rFonts w:hAnsi="宋体"/>
                <w:sz w:val="24"/>
              </w:rPr>
            </w:pPr>
            <w:r>
              <w:rPr>
                <w:rFonts w:hint="eastAsia" w:hAnsi="宋体"/>
                <w:sz w:val="24"/>
              </w:rPr>
              <w:t>职称</w:t>
            </w:r>
          </w:p>
        </w:tc>
        <w:tc>
          <w:tcPr>
            <w:tcW w:w="4138" w:type="dxa"/>
            <w:gridSpan w:val="3"/>
            <w:vAlign w:val="center"/>
          </w:tcPr>
          <w:p>
            <w:pPr>
              <w:jc w:val="center"/>
              <w:rPr>
                <w:rFonts w:hAnsi="宋体"/>
                <w:sz w:val="24"/>
              </w:rPr>
            </w:pPr>
            <w:r>
              <w:rPr>
                <w:rFonts w:hint="eastAsia" w:hAnsi="宋体"/>
                <w:sz w:val="24"/>
              </w:rPr>
              <w:t>资格证明（附复印件）</w:t>
            </w:r>
          </w:p>
        </w:tc>
        <w:tc>
          <w:tcPr>
            <w:tcW w:w="1290" w:type="dxa"/>
            <w:vMerge w:val="restart"/>
            <w:vAlign w:val="center"/>
          </w:tcPr>
          <w:p>
            <w:pPr>
              <w:spacing w:line="400" w:lineRule="exact"/>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spacing w:line="400" w:lineRule="exact"/>
              <w:jc w:val="center"/>
              <w:rPr>
                <w:rFonts w:hAnsi="宋体" w:cs="Arial"/>
              </w:rPr>
            </w:pPr>
          </w:p>
        </w:tc>
        <w:tc>
          <w:tcPr>
            <w:tcW w:w="1225" w:type="dxa"/>
            <w:vMerge w:val="continue"/>
            <w:vAlign w:val="center"/>
          </w:tcPr>
          <w:p>
            <w:pPr>
              <w:spacing w:line="400" w:lineRule="exact"/>
              <w:jc w:val="center"/>
              <w:rPr>
                <w:rFonts w:hAnsi="宋体" w:cs="Arial"/>
              </w:rPr>
            </w:pPr>
          </w:p>
        </w:tc>
        <w:tc>
          <w:tcPr>
            <w:tcW w:w="1134" w:type="dxa"/>
            <w:vMerge w:val="continue"/>
            <w:vAlign w:val="center"/>
          </w:tcPr>
          <w:p>
            <w:pPr>
              <w:spacing w:line="400" w:lineRule="exact"/>
              <w:jc w:val="center"/>
              <w:rPr>
                <w:rFonts w:hAnsi="宋体" w:cs="Arial"/>
              </w:rPr>
            </w:pPr>
          </w:p>
        </w:tc>
        <w:tc>
          <w:tcPr>
            <w:tcW w:w="1211" w:type="dxa"/>
            <w:vAlign w:val="center"/>
          </w:tcPr>
          <w:p>
            <w:pPr>
              <w:jc w:val="center"/>
              <w:rPr>
                <w:rFonts w:hAnsi="宋体"/>
                <w:sz w:val="24"/>
              </w:rPr>
            </w:pPr>
            <w:r>
              <w:rPr>
                <w:rFonts w:hint="eastAsia" w:hAnsi="宋体"/>
                <w:sz w:val="24"/>
              </w:rPr>
              <w:t>证书名称</w:t>
            </w:r>
          </w:p>
        </w:tc>
        <w:tc>
          <w:tcPr>
            <w:tcW w:w="1134" w:type="dxa"/>
            <w:vAlign w:val="center"/>
          </w:tcPr>
          <w:p>
            <w:pPr>
              <w:jc w:val="center"/>
              <w:rPr>
                <w:rFonts w:hAnsi="宋体"/>
                <w:sz w:val="24"/>
              </w:rPr>
            </w:pPr>
            <w:r>
              <w:rPr>
                <w:rFonts w:hint="eastAsia" w:hAnsi="宋体"/>
                <w:sz w:val="24"/>
              </w:rPr>
              <w:t>级别</w:t>
            </w:r>
          </w:p>
        </w:tc>
        <w:tc>
          <w:tcPr>
            <w:tcW w:w="1793" w:type="dxa"/>
            <w:vAlign w:val="center"/>
          </w:tcPr>
          <w:p>
            <w:pPr>
              <w:jc w:val="center"/>
              <w:rPr>
                <w:rFonts w:hAnsi="宋体"/>
                <w:sz w:val="24"/>
              </w:rPr>
            </w:pPr>
            <w:r>
              <w:rPr>
                <w:rFonts w:hint="eastAsia" w:hAnsi="宋体"/>
                <w:sz w:val="24"/>
              </w:rPr>
              <w:t>证号</w:t>
            </w:r>
          </w:p>
        </w:tc>
        <w:tc>
          <w:tcPr>
            <w:tcW w:w="1290" w:type="dxa"/>
            <w:vMerge w:val="continue"/>
            <w:vAlign w:val="top"/>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Align w:val="center"/>
          </w:tcPr>
          <w:p>
            <w:pPr>
              <w:jc w:val="center"/>
              <w:rPr>
                <w:rFonts w:hAnsi="宋体"/>
                <w:sz w:val="24"/>
              </w:rPr>
            </w:pPr>
            <w:r>
              <w:rPr>
                <w:rFonts w:hint="eastAsia" w:hAnsi="宋体"/>
                <w:sz w:val="24"/>
                <w:lang w:val="zh-CN"/>
              </w:rPr>
              <w:t>项目负责人</w:t>
            </w: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restart"/>
            <w:vAlign w:val="center"/>
          </w:tcPr>
          <w:p>
            <w:pPr>
              <w:jc w:val="center"/>
              <w:rPr>
                <w:rFonts w:hAnsi="宋体"/>
                <w:sz w:val="24"/>
                <w:lang w:val="zh-CN"/>
              </w:rPr>
            </w:pPr>
            <w:r>
              <w:rPr>
                <w:rFonts w:hint="eastAsia" w:hAnsi="宋体"/>
                <w:sz w:val="24"/>
                <w:lang w:val="zh-CN"/>
              </w:rPr>
              <w:t>项目组成员</w:t>
            </w: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jc w:val="center"/>
              <w:rPr>
                <w:rFonts w:hAnsi="宋体"/>
                <w:sz w:val="24"/>
                <w:lang w:val="zh-CN"/>
              </w:rPr>
            </w:pP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jc w:val="center"/>
              <w:rPr>
                <w:rFonts w:hAnsi="宋体"/>
                <w:sz w:val="24"/>
                <w:lang w:val="zh-CN"/>
              </w:rPr>
            </w:pP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jc w:val="center"/>
              <w:rPr>
                <w:rFonts w:hAnsi="宋体"/>
                <w:sz w:val="24"/>
                <w:lang w:val="zh-CN"/>
              </w:rPr>
            </w:pP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jc w:val="center"/>
              <w:rPr>
                <w:rFonts w:hAnsi="宋体"/>
                <w:sz w:val="24"/>
                <w:lang w:val="zh-CN"/>
              </w:rPr>
            </w:pP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30" w:type="dxa"/>
            <w:vMerge w:val="continue"/>
            <w:vAlign w:val="center"/>
          </w:tcPr>
          <w:p>
            <w:pPr>
              <w:jc w:val="center"/>
              <w:rPr>
                <w:rFonts w:hAnsi="宋体"/>
                <w:sz w:val="24"/>
                <w:lang w:val="zh-CN"/>
              </w:rPr>
            </w:pPr>
          </w:p>
        </w:tc>
        <w:tc>
          <w:tcPr>
            <w:tcW w:w="1225" w:type="dxa"/>
            <w:vAlign w:val="center"/>
          </w:tcPr>
          <w:p>
            <w:pPr>
              <w:jc w:val="center"/>
              <w:rPr>
                <w:rFonts w:hAnsi="宋体"/>
                <w:sz w:val="24"/>
              </w:rPr>
            </w:pPr>
          </w:p>
        </w:tc>
        <w:tc>
          <w:tcPr>
            <w:tcW w:w="1134" w:type="dxa"/>
            <w:vAlign w:val="center"/>
          </w:tcPr>
          <w:p>
            <w:pPr>
              <w:jc w:val="center"/>
              <w:rPr>
                <w:rFonts w:hAnsi="宋体"/>
                <w:sz w:val="24"/>
              </w:rPr>
            </w:pPr>
          </w:p>
        </w:tc>
        <w:tc>
          <w:tcPr>
            <w:tcW w:w="1211" w:type="dxa"/>
            <w:vAlign w:val="center"/>
          </w:tcPr>
          <w:p>
            <w:pPr>
              <w:jc w:val="center"/>
              <w:rPr>
                <w:rFonts w:hAnsi="宋体"/>
                <w:sz w:val="24"/>
              </w:rPr>
            </w:pPr>
          </w:p>
        </w:tc>
        <w:tc>
          <w:tcPr>
            <w:tcW w:w="1134" w:type="dxa"/>
            <w:vAlign w:val="center"/>
          </w:tcPr>
          <w:p>
            <w:pPr>
              <w:jc w:val="center"/>
              <w:rPr>
                <w:rFonts w:hAnsi="宋体"/>
                <w:sz w:val="24"/>
              </w:rPr>
            </w:pPr>
          </w:p>
        </w:tc>
        <w:tc>
          <w:tcPr>
            <w:tcW w:w="1793" w:type="dxa"/>
            <w:vAlign w:val="center"/>
          </w:tcPr>
          <w:p>
            <w:pPr>
              <w:jc w:val="center"/>
              <w:rPr>
                <w:rFonts w:hAnsi="宋体"/>
                <w:sz w:val="24"/>
              </w:rPr>
            </w:pPr>
          </w:p>
        </w:tc>
        <w:tc>
          <w:tcPr>
            <w:tcW w:w="1290" w:type="dxa"/>
            <w:vAlign w:val="center"/>
          </w:tcPr>
          <w:p>
            <w:pPr>
              <w:jc w:val="center"/>
              <w:rPr>
                <w:rFonts w:hAnsi="宋体"/>
                <w:sz w:val="24"/>
              </w:rPr>
            </w:pPr>
          </w:p>
        </w:tc>
      </w:tr>
    </w:tbl>
    <w:p>
      <w:pPr>
        <w:spacing w:line="400" w:lineRule="exact"/>
        <w:rPr>
          <w:rFonts w:hAnsi="宋体" w:cs="Arial"/>
          <w:b/>
          <w:bCs/>
          <w:sz w:val="28"/>
        </w:rPr>
      </w:pPr>
    </w:p>
    <w:p>
      <w:pPr>
        <w:rPr>
          <w:rFonts w:hAnsi="宋体" w:cs="Arial"/>
          <w:bCs/>
          <w:sz w:val="24"/>
        </w:rPr>
      </w:pPr>
    </w:p>
    <w:p>
      <w:pPr>
        <w:rPr>
          <w:rFonts w:hAnsi="宋体" w:cs="华文中宋"/>
          <w:b/>
          <w:sz w:val="18"/>
          <w:szCs w:val="18"/>
        </w:rPr>
      </w:pPr>
      <w:r>
        <w:rPr>
          <w:rFonts w:hint="eastAsia" w:hAnsi="宋体" w:cs="Arial"/>
          <w:bCs/>
          <w:sz w:val="24"/>
        </w:rPr>
        <w:t xml:space="preserve">  </w:t>
      </w:r>
      <w:r>
        <w:rPr>
          <w:rFonts w:hint="eastAsia" w:hAnsi="宋体" w:cs="华文中宋"/>
          <w:b/>
          <w:sz w:val="18"/>
          <w:szCs w:val="18"/>
        </w:rPr>
        <w:t>注：1、提供人员所需证明材料详见综合评分明细表。如不实，属于弄虚作假，取消投标或中标资格。</w:t>
      </w:r>
    </w:p>
    <w:p>
      <w:pPr>
        <w:ind w:firstLine="542" w:firstLineChars="300"/>
        <w:rPr>
          <w:rFonts w:hAnsi="宋体" w:cs="华文中宋"/>
          <w:b/>
          <w:sz w:val="18"/>
          <w:szCs w:val="18"/>
        </w:rPr>
      </w:pPr>
      <w:r>
        <w:rPr>
          <w:rFonts w:hint="eastAsia" w:hAnsi="宋体" w:cs="华文中宋"/>
          <w:b/>
          <w:sz w:val="18"/>
          <w:szCs w:val="18"/>
        </w:rPr>
        <w:t>2、投标人可根据实际情况增加或变动此表格式。</w:t>
      </w:r>
    </w:p>
    <w:p>
      <w:pPr>
        <w:pStyle w:val="2"/>
      </w:pPr>
    </w:p>
    <w:p>
      <w:pPr>
        <w:spacing w:line="400" w:lineRule="exact"/>
        <w:jc w:val="center"/>
        <w:rPr>
          <w:rFonts w:hAnsi="宋体" w:cs="Arial"/>
          <w:b/>
          <w:bCs/>
          <w:sz w:val="28"/>
        </w:rPr>
      </w:pPr>
    </w:p>
    <w:p>
      <w:pPr>
        <w:pStyle w:val="14"/>
        <w:spacing w:line="360" w:lineRule="auto"/>
        <w:ind w:left="0" w:leftChars="0"/>
        <w:rPr>
          <w:bCs/>
          <w:sz w:val="24"/>
        </w:rPr>
      </w:pPr>
      <w:r>
        <w:rPr>
          <w:rFonts w:hint="eastAsia"/>
          <w:bCs/>
          <w:sz w:val="24"/>
        </w:rPr>
        <w:t xml:space="preserve">                            </w:t>
      </w:r>
    </w:p>
    <w:p>
      <w:pPr>
        <w:pStyle w:val="14"/>
        <w:spacing w:line="360" w:lineRule="auto"/>
        <w:ind w:left="0" w:leftChars="0"/>
        <w:rPr>
          <w:bCs/>
          <w:sz w:val="24"/>
        </w:rPr>
      </w:pPr>
    </w:p>
    <w:p>
      <w:pPr>
        <w:widowControl/>
        <w:spacing w:line="360" w:lineRule="auto"/>
        <w:jc w:val="left"/>
        <w:outlineLvl w:val="1"/>
      </w:pPr>
      <w:r>
        <w:rPr>
          <w:rFonts w:hint="eastAsia"/>
          <w:sz w:val="24"/>
        </w:rPr>
        <w:t>投标人名称：</w:t>
      </w:r>
      <w:r>
        <w:rPr>
          <w:rFonts w:hint="eastAsia"/>
          <w:sz w:val="24"/>
          <w:u w:val="single"/>
        </w:rPr>
        <w:t xml:space="preserve">                          </w:t>
      </w:r>
    </w:p>
    <w:p>
      <w:pPr>
        <w:widowControl/>
        <w:spacing w:line="360" w:lineRule="auto"/>
        <w:jc w:val="left"/>
        <w:outlineLvl w:val="1"/>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0"/>
        <w:ind w:firstLine="0" w:firstLineChars="0"/>
      </w:pPr>
    </w:p>
    <w:p>
      <w:pPr>
        <w:pStyle w:val="5"/>
        <w:spacing w:line="400" w:lineRule="exact"/>
        <w:jc w:val="left"/>
        <w:rPr>
          <w:rFonts w:hint="eastAsia" w:ascii="宋体" w:hAnsi="宋体" w:eastAsia="黑体" w:cs="华文中宋"/>
          <w:lang w:eastAsia="zh-CN"/>
        </w:rPr>
      </w:pPr>
      <w:bookmarkStart w:id="160" w:name="_Toc28314"/>
      <w:bookmarkStart w:id="161" w:name="_Toc445888116"/>
      <w:bookmarkStart w:id="162" w:name="_Toc21927"/>
      <w:r>
        <w:rPr>
          <w:rFonts w:hint="eastAsia" w:ascii="黑体"/>
        </w:rPr>
        <w:t>附件2-</w:t>
      </w:r>
      <w:r>
        <w:rPr>
          <w:rFonts w:hint="eastAsia" w:ascii="黑体"/>
          <w:lang w:val="en-US" w:eastAsia="zh-CN"/>
        </w:rPr>
        <w:t>8</w:t>
      </w:r>
    </w:p>
    <w:bookmarkEnd w:id="160"/>
    <w:bookmarkEnd w:id="161"/>
    <w:p>
      <w:pPr>
        <w:pStyle w:val="5"/>
        <w:spacing w:line="400" w:lineRule="exact"/>
        <w:jc w:val="center"/>
        <w:rPr>
          <w:rFonts w:ascii="宋体" w:hAnsi="宋体" w:eastAsia="宋体" w:cs="华文中宋"/>
        </w:rPr>
      </w:pPr>
      <w:r>
        <w:rPr>
          <w:rFonts w:hint="eastAsia" w:ascii="宋体" w:hAnsi="宋体" w:eastAsia="宋体" w:cs="华文中宋"/>
        </w:rPr>
        <w:t>服务方案</w:t>
      </w:r>
      <w:bookmarkEnd w:id="162"/>
    </w:p>
    <w:p/>
    <w:p>
      <w:pPr>
        <w:rPr>
          <w:sz w:val="24"/>
        </w:rPr>
      </w:pPr>
      <w:r>
        <w:rPr>
          <w:rFonts w:hint="eastAsia"/>
          <w:sz w:val="24"/>
        </w:rPr>
        <w:t>服务方案格式由投标人自拟。</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460" w:lineRule="exact"/>
        <w:rPr>
          <w:rFonts w:hAnsi="宋体"/>
        </w:rPr>
      </w:pPr>
      <w:r>
        <w:rPr>
          <w:rFonts w:hint="eastAsia"/>
          <w:bCs/>
          <w:sz w:val="24"/>
        </w:rPr>
        <w:t xml:space="preserve">                           </w:t>
      </w:r>
      <w:bookmarkStart w:id="163" w:name="_Toc323759254"/>
      <w:bookmarkStart w:id="164" w:name="_Toc323759335"/>
    </w:p>
    <w:bookmarkEnd w:id="163"/>
    <w:bookmarkEnd w:id="164"/>
    <w:p>
      <w:pPr>
        <w:widowControl/>
        <w:spacing w:after="150"/>
        <w:jc w:val="left"/>
        <w:rPr>
          <w:sz w:val="24"/>
          <w:szCs w:val="20"/>
        </w:rPr>
      </w:pPr>
      <w:bookmarkStart w:id="165" w:name="OLE_LINK14"/>
      <w:bookmarkStart w:id="166" w:name="OLE_LINK13"/>
      <w:bookmarkStart w:id="167" w:name="_Toc445888119"/>
      <w:bookmarkStart w:id="168" w:name="_Toc3083"/>
      <w:bookmarkStart w:id="169" w:name="_Toc27712"/>
    </w:p>
    <w:bookmarkEnd w:id="165"/>
    <w:bookmarkEnd w:id="166"/>
    <w:p>
      <w:pPr>
        <w:rPr>
          <w:rFonts w:hint="eastAsia" w:hAnsi="宋体" w:eastAsia="宋体" w:cs="华文中宋"/>
          <w:lang w:eastAsia="zh-CN"/>
        </w:rPr>
      </w:pPr>
      <w:r>
        <w:rPr>
          <w:rFonts w:hint="eastAsia" w:ascii="Times New Roman" w:hAnsi="宋体" w:cs="华文中宋"/>
          <w:sz w:val="18"/>
          <w:szCs w:val="18"/>
        </w:rPr>
        <w:br w:type="page"/>
      </w:r>
      <w:r>
        <w:rPr>
          <w:rFonts w:hint="eastAsia" w:hAnsi="宋体" w:cs="华文中宋"/>
        </w:rPr>
        <w:t>附件2-</w:t>
      </w:r>
      <w:r>
        <w:rPr>
          <w:rFonts w:hint="eastAsia" w:hAnsi="宋体" w:cs="华文中宋"/>
          <w:lang w:val="en-US" w:eastAsia="zh-CN"/>
        </w:rPr>
        <w:t>9</w:t>
      </w:r>
    </w:p>
    <w:p>
      <w:pPr>
        <w:pStyle w:val="5"/>
        <w:spacing w:line="400" w:lineRule="exact"/>
        <w:jc w:val="center"/>
        <w:rPr>
          <w:rFonts w:ascii="宋体" w:hAnsi="宋体" w:eastAsia="宋体" w:cs="华文中宋"/>
        </w:rPr>
      </w:pPr>
      <w:r>
        <w:rPr>
          <w:rFonts w:hint="eastAsia" w:ascii="宋体" w:hAnsi="宋体" w:eastAsia="宋体" w:cs="华文中宋"/>
        </w:rPr>
        <w:t>其他资料</w:t>
      </w:r>
      <w:bookmarkEnd w:id="167"/>
      <w:bookmarkEnd w:id="168"/>
      <w:bookmarkEnd w:id="169"/>
    </w:p>
    <w:p>
      <w:pPr>
        <w:pStyle w:val="5"/>
        <w:spacing w:line="400" w:lineRule="exact"/>
        <w:jc w:val="left"/>
        <w:rPr>
          <w:rFonts w:ascii="宋体" w:hAnsi="Times New Roman" w:eastAsia="宋体"/>
          <w:b w:val="0"/>
          <w:bCs w:val="0"/>
          <w:sz w:val="24"/>
          <w:szCs w:val="24"/>
        </w:rPr>
      </w:pPr>
      <w:bookmarkStart w:id="170" w:name="_Toc19275"/>
      <w:r>
        <w:rPr>
          <w:rFonts w:hint="eastAsia" w:ascii="宋体" w:hAnsi="Times New Roman" w:eastAsia="宋体"/>
          <w:b w:val="0"/>
          <w:bCs w:val="0"/>
          <w:sz w:val="24"/>
          <w:szCs w:val="24"/>
        </w:rPr>
        <w:t>格式由投标人自拟。</w:t>
      </w:r>
      <w:bookmarkEnd w:id="170"/>
    </w:p>
    <w:p>
      <w:pPr>
        <w:pStyle w:val="5"/>
        <w:spacing w:line="400" w:lineRule="exact"/>
        <w:rPr>
          <w:rFonts w:ascii="宋体" w:hAnsi="Times New Roman" w:eastAsia="宋体"/>
          <w:b w:val="0"/>
          <w:bCs w:val="0"/>
          <w:sz w:val="24"/>
          <w:szCs w:val="24"/>
        </w:rPr>
      </w:pPr>
      <w:bookmarkStart w:id="171" w:name="_Toc21543"/>
    </w:p>
    <w:p/>
    <w:p>
      <w:pPr>
        <w:pStyle w:val="3"/>
        <w:spacing w:line="400" w:lineRule="exact"/>
        <w:rPr>
          <w:rFonts w:ascii="宋体"/>
          <w:sz w:val="36"/>
          <w:szCs w:val="36"/>
        </w:rPr>
      </w:pPr>
      <w:bookmarkStart w:id="172" w:name="_Toc8124"/>
      <w:bookmarkStart w:id="173" w:name="_Toc10829"/>
      <w:bookmarkStart w:id="174" w:name="_Toc6244"/>
      <w:r>
        <w:rPr>
          <w:rStyle w:val="43"/>
          <w:rFonts w:hint="eastAsia"/>
          <w:b/>
          <w:bCs/>
          <w:sz w:val="36"/>
          <w:szCs w:val="36"/>
        </w:rPr>
        <w:br w:type="page"/>
      </w:r>
      <w:r>
        <w:rPr>
          <w:rStyle w:val="43"/>
          <w:rFonts w:hint="eastAsia"/>
          <w:b/>
          <w:bCs/>
          <w:sz w:val="36"/>
          <w:szCs w:val="36"/>
        </w:rPr>
        <w:t>第四章  投标人和投标产品（如涉及）的资格、资质性及其他类似效力要求</w:t>
      </w:r>
      <w:bookmarkEnd w:id="171"/>
      <w:bookmarkEnd w:id="172"/>
      <w:bookmarkEnd w:id="173"/>
      <w:bookmarkEnd w:id="174"/>
    </w:p>
    <w:p>
      <w:pPr>
        <w:pStyle w:val="5"/>
        <w:spacing w:line="360" w:lineRule="auto"/>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62"/>
        <w:ind w:firstLine="0" w:firstLineChars="0"/>
        <w:rPr>
          <w:sz w:val="24"/>
        </w:rPr>
      </w:pPr>
      <w:r>
        <w:rPr>
          <w:b/>
          <w:bCs/>
          <w:sz w:val="24"/>
        </w:rPr>
        <w:t>（一）</w:t>
      </w:r>
      <w:r>
        <w:rPr>
          <w:rFonts w:hint="eastAsia"/>
          <w:b/>
          <w:bCs/>
          <w:sz w:val="24"/>
        </w:rPr>
        <w:t>《中华人民共和国政府采购法》第二十二条第一款第1至5规定的条件</w:t>
      </w:r>
      <w:r>
        <w:rPr>
          <w:rFonts w:hint="eastAsia"/>
          <w:sz w:val="24"/>
        </w:rPr>
        <w:t>：</w:t>
      </w:r>
    </w:p>
    <w:p>
      <w:pPr>
        <w:pStyle w:val="62"/>
        <w:ind w:firstLine="480"/>
        <w:rPr>
          <w:sz w:val="24"/>
        </w:rPr>
      </w:pPr>
      <w:r>
        <w:rPr>
          <w:rFonts w:hint="eastAsia"/>
          <w:sz w:val="24"/>
        </w:rPr>
        <w:t>1、具有独立承担民事责任的能力</w:t>
      </w:r>
      <w:r>
        <w:rPr>
          <w:sz w:val="24"/>
        </w:rPr>
        <w:t>；</w:t>
      </w:r>
    </w:p>
    <w:p>
      <w:pPr>
        <w:tabs>
          <w:tab w:val="left" w:pos="7665"/>
        </w:tabs>
        <w:spacing w:line="360" w:lineRule="auto"/>
        <w:ind w:firstLine="480" w:firstLineChars="200"/>
        <w:rPr>
          <w:sz w:val="24"/>
        </w:rPr>
      </w:pPr>
      <w:r>
        <w:rPr>
          <w:rFonts w:hint="eastAsia"/>
          <w:sz w:val="24"/>
        </w:rPr>
        <w:t>2、具有良好的商业信誉和健全的财务会计制度；</w:t>
      </w:r>
    </w:p>
    <w:p>
      <w:pPr>
        <w:tabs>
          <w:tab w:val="left" w:pos="7665"/>
        </w:tabs>
        <w:spacing w:line="360" w:lineRule="auto"/>
        <w:ind w:firstLine="480" w:firstLineChars="200"/>
        <w:rPr>
          <w:sz w:val="24"/>
        </w:rPr>
      </w:pPr>
      <w:r>
        <w:rPr>
          <w:rFonts w:hint="eastAsia"/>
          <w:sz w:val="24"/>
        </w:rPr>
        <w:t>3、具有履行合同所必须的设备和专业技术能力；</w:t>
      </w:r>
    </w:p>
    <w:p>
      <w:pPr>
        <w:tabs>
          <w:tab w:val="left" w:pos="7665"/>
        </w:tabs>
        <w:spacing w:line="360" w:lineRule="auto"/>
        <w:ind w:firstLine="480" w:firstLineChars="200"/>
        <w:rPr>
          <w:sz w:val="24"/>
        </w:rPr>
      </w:pPr>
      <w:r>
        <w:rPr>
          <w:rFonts w:hint="eastAsia"/>
          <w:sz w:val="24"/>
        </w:rPr>
        <w:t>4、具有依法缴纳税收和社会保障资金的良好记录；</w:t>
      </w:r>
    </w:p>
    <w:p>
      <w:pPr>
        <w:tabs>
          <w:tab w:val="left" w:pos="7665"/>
        </w:tabs>
        <w:spacing w:line="360" w:lineRule="auto"/>
        <w:ind w:firstLine="480" w:firstLineChars="200"/>
        <w:rPr>
          <w:sz w:val="24"/>
        </w:rPr>
      </w:pPr>
      <w:r>
        <w:rPr>
          <w:rFonts w:hint="eastAsia"/>
          <w:sz w:val="24"/>
        </w:rPr>
        <w:t>5、参加本次政府采购活动前三年内，在经营活动中没有重大违法记录。</w:t>
      </w:r>
    </w:p>
    <w:p>
      <w:pPr>
        <w:pStyle w:val="62"/>
        <w:ind w:firstLine="0" w:firstLineChars="0"/>
        <w:rPr>
          <w:b/>
          <w:bCs/>
          <w:sz w:val="24"/>
        </w:rPr>
      </w:pPr>
      <w:r>
        <w:rPr>
          <w:b/>
          <w:bCs/>
          <w:sz w:val="24"/>
        </w:rPr>
        <w:t>（二）</w:t>
      </w:r>
      <w:r>
        <w:rPr>
          <w:rFonts w:hint="eastAsia"/>
          <w:b/>
          <w:bCs/>
          <w:sz w:val="24"/>
        </w:rPr>
        <w:t>法律、行政法规规定的其他条件</w:t>
      </w:r>
      <w:r>
        <w:rPr>
          <w:b/>
          <w:bCs/>
          <w:sz w:val="24"/>
        </w:rPr>
        <w:t>：</w:t>
      </w:r>
    </w:p>
    <w:p>
      <w:pPr>
        <w:pStyle w:val="62"/>
        <w:ind w:firstLine="480"/>
        <w:jc w:val="left"/>
        <w:rPr>
          <w:rFonts w:hAnsi="宋体" w:cs="宋体"/>
          <w:sz w:val="24"/>
        </w:rPr>
      </w:pPr>
      <w:r>
        <w:rPr>
          <w:rFonts w:hint="eastAsia" w:hAnsi="宋体" w:cs="宋体"/>
          <w:sz w:val="24"/>
        </w:rPr>
        <w:t>1、供应商及其现任法定代表人、主要负责人前3年内不得具有行贿犯罪记录。</w:t>
      </w:r>
    </w:p>
    <w:p>
      <w:pPr>
        <w:pStyle w:val="62"/>
        <w:ind w:firstLine="480"/>
        <w:jc w:val="left"/>
        <w:rPr>
          <w:rFonts w:hAnsi="宋体" w:cs="宋体"/>
          <w:color w:val="000000"/>
          <w:sz w:val="24"/>
        </w:rPr>
      </w:pPr>
      <w:r>
        <w:rPr>
          <w:rFonts w:hint="eastAsia" w:hAnsi="宋体" w:cs="宋体"/>
          <w:color w:val="000000"/>
          <w:sz w:val="24"/>
        </w:rPr>
        <w:t>2、供应商在采购公告发布之日前不得是“信用中国”网站(www.creditchina.gov.cn)、“中国政府采购网”网站(www.ccgp.gov.cn)等渠道中列入失信被执行人、重大税收违法案件当事人名单、政府采购严重违法失信行为记录名单中的投标人。</w:t>
      </w:r>
    </w:p>
    <w:p>
      <w:pPr>
        <w:pStyle w:val="62"/>
        <w:ind w:firstLine="422"/>
        <w:jc w:val="left"/>
        <w:rPr>
          <w:rFonts w:hAnsi="宋体" w:cs="宋体"/>
          <w:color w:val="000000"/>
          <w:sz w:val="16"/>
          <w:szCs w:val="15"/>
        </w:rPr>
      </w:pPr>
      <w:r>
        <w:rPr>
          <w:rFonts w:hint="eastAsia" w:hAnsi="宋体" w:cs="宋体"/>
          <w:b/>
          <w:bCs/>
          <w:sz w:val="21"/>
          <w:szCs w:val="13"/>
        </w:rPr>
        <w:t>（注：采购人或采购代理机构在资格审查期间在‘信用中国’网站、 ‘中国政府采购网’网站等渠道对供应商进行信用记录查询，“信用中国”、“中国政府采购网”网站等渠道查询结果，将以纸质截图或将截图保存至电子介质的形式留存。凡被列入失信被执行人、重大税收违法案件当事人名单、政府采购严重违法失信行为记录名单的，视为存在不良信用记录，参与本项目的将被拒绝。）</w:t>
      </w:r>
    </w:p>
    <w:p>
      <w:pPr>
        <w:pStyle w:val="62"/>
        <w:ind w:firstLine="0" w:firstLineChars="0"/>
        <w:rPr>
          <w:color w:val="000000"/>
          <w:sz w:val="24"/>
        </w:rPr>
      </w:pPr>
      <w:r>
        <w:rPr>
          <w:rFonts w:hint="eastAsia"/>
          <w:b/>
          <w:bCs/>
          <w:sz w:val="24"/>
        </w:rPr>
        <w:t>（三）根据采购项目提出的特殊条件</w:t>
      </w:r>
      <w:r>
        <w:rPr>
          <w:b/>
          <w:bCs/>
          <w:sz w:val="24"/>
        </w:rPr>
        <w:t>：</w:t>
      </w:r>
      <w:r>
        <w:rPr>
          <w:rFonts w:hint="eastAsia"/>
          <w:color w:val="000000"/>
          <w:sz w:val="24"/>
        </w:rPr>
        <w:t>无。</w:t>
      </w:r>
    </w:p>
    <w:p>
      <w:pPr>
        <w:pStyle w:val="62"/>
        <w:spacing w:line="440" w:lineRule="exact"/>
        <w:ind w:firstLine="0" w:firstLineChars="0"/>
        <w:rPr>
          <w:b/>
          <w:bCs/>
          <w:sz w:val="24"/>
        </w:rPr>
      </w:pPr>
      <w:r>
        <w:rPr>
          <w:rFonts w:hint="eastAsia"/>
          <w:b/>
          <w:bCs/>
          <w:sz w:val="24"/>
        </w:rPr>
        <w:t>（四）</w:t>
      </w:r>
      <w:r>
        <w:rPr>
          <w:rFonts w:hint="eastAsia" w:hAnsi="宋体" w:cs="宋体"/>
          <w:bCs/>
          <w:sz w:val="24"/>
          <w:szCs w:val="24"/>
        </w:rPr>
        <w:t>本项目专门面对中小企业（含残疾人福利性单位、监狱企业）采购。</w:t>
      </w:r>
    </w:p>
    <w:p>
      <w:pPr>
        <w:pStyle w:val="62"/>
        <w:ind w:firstLine="0" w:firstLineChars="0"/>
        <w:rPr>
          <w:b/>
          <w:bCs/>
          <w:sz w:val="24"/>
        </w:rPr>
      </w:pPr>
      <w:r>
        <w:rPr>
          <w:rFonts w:hint="eastAsia"/>
          <w:b/>
          <w:bCs/>
          <w:sz w:val="24"/>
        </w:rPr>
        <w:t>（五）其他类似效力要求：</w:t>
      </w:r>
    </w:p>
    <w:p>
      <w:pPr>
        <w:pStyle w:val="62"/>
        <w:ind w:firstLine="480"/>
        <w:rPr>
          <w:rFonts w:hAnsi="宋体"/>
          <w:sz w:val="24"/>
        </w:rPr>
      </w:pPr>
      <w:r>
        <w:rPr>
          <w:rFonts w:hint="eastAsia" w:hAnsi="宋体"/>
          <w:sz w:val="24"/>
        </w:rPr>
        <w:t>1、投标人具有参与本项目投标的合法代表。</w:t>
      </w:r>
    </w:p>
    <w:p>
      <w:pPr>
        <w:pStyle w:val="62"/>
        <w:ind w:firstLine="0" w:firstLineChars="0"/>
        <w:rPr>
          <w:b/>
          <w:bCs/>
          <w:sz w:val="24"/>
        </w:rPr>
      </w:pPr>
      <w:r>
        <w:rPr>
          <w:rFonts w:hint="eastAsia"/>
          <w:b/>
          <w:bCs/>
          <w:sz w:val="24"/>
        </w:rPr>
        <w:t>二、投标产品的资格、资质性及其他类似效力要求</w:t>
      </w:r>
    </w:p>
    <w:p>
      <w:pPr>
        <w:spacing w:line="360" w:lineRule="auto"/>
        <w:rPr>
          <w:rFonts w:hAnsi="宋体"/>
          <w:b/>
          <w:bCs/>
          <w:sz w:val="24"/>
        </w:rPr>
      </w:pPr>
      <w:r>
        <w:rPr>
          <w:rFonts w:hint="eastAsia" w:hAnsi="宋体"/>
          <w:b/>
          <w:bCs/>
          <w:sz w:val="24"/>
        </w:rPr>
        <w:t>（一）资格要求：无。</w:t>
      </w:r>
    </w:p>
    <w:p>
      <w:pPr>
        <w:spacing w:line="360" w:lineRule="auto"/>
        <w:rPr>
          <w:rFonts w:hAnsi="宋体"/>
          <w:b/>
          <w:bCs/>
          <w:sz w:val="24"/>
        </w:rPr>
      </w:pPr>
      <w:r>
        <w:rPr>
          <w:rFonts w:hint="eastAsia" w:hAnsi="宋体"/>
          <w:b/>
          <w:bCs/>
          <w:sz w:val="24"/>
        </w:rPr>
        <w:t>（二）资质性要求：无。</w:t>
      </w:r>
    </w:p>
    <w:p>
      <w:pPr>
        <w:spacing w:line="360" w:lineRule="auto"/>
        <w:rPr>
          <w:rFonts w:hAnsi="宋体"/>
          <w:sz w:val="24"/>
        </w:rPr>
      </w:pPr>
      <w:r>
        <w:rPr>
          <w:rFonts w:hint="eastAsia" w:hAnsi="宋体"/>
          <w:b/>
          <w:bCs/>
          <w:sz w:val="24"/>
        </w:rPr>
        <w:t>（三）其他类似效力要求：无。</w:t>
      </w:r>
    </w:p>
    <w:p>
      <w:pPr>
        <w:pStyle w:val="62"/>
        <w:spacing w:line="240" w:lineRule="auto"/>
        <w:ind w:firstLine="0" w:firstLineChars="0"/>
        <w:rPr>
          <w:b/>
          <w:sz w:val="18"/>
          <w:szCs w:val="18"/>
        </w:rPr>
      </w:pPr>
    </w:p>
    <w:p>
      <w:pPr>
        <w:pStyle w:val="62"/>
        <w:spacing w:line="240" w:lineRule="auto"/>
        <w:ind w:firstLine="0" w:firstLineChars="0"/>
        <w:rPr>
          <w:b/>
          <w:sz w:val="18"/>
          <w:szCs w:val="18"/>
        </w:rPr>
      </w:pPr>
      <w:r>
        <w:rPr>
          <w:rFonts w:hint="eastAsia"/>
          <w:b/>
          <w:sz w:val="18"/>
          <w:szCs w:val="18"/>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62"/>
        <w:spacing w:line="240" w:lineRule="auto"/>
        <w:ind w:firstLine="361"/>
        <w:rPr>
          <w:b/>
          <w:sz w:val="18"/>
          <w:szCs w:val="18"/>
          <w:highlight w:val="red"/>
        </w:rPr>
      </w:pPr>
      <w:r>
        <w:rPr>
          <w:rFonts w:hint="eastAsia"/>
          <w:b/>
          <w:sz w:val="18"/>
          <w:szCs w:val="18"/>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62"/>
        <w:spacing w:line="240" w:lineRule="auto"/>
        <w:ind w:firstLine="354" w:firstLineChars="196"/>
        <w:rPr>
          <w:b/>
          <w:sz w:val="18"/>
          <w:szCs w:val="18"/>
        </w:rPr>
      </w:pPr>
    </w:p>
    <w:p/>
    <w:p>
      <w:pPr>
        <w:pStyle w:val="2"/>
      </w:pPr>
    </w:p>
    <w:p>
      <w:pPr>
        <w:pStyle w:val="2"/>
      </w:pPr>
    </w:p>
    <w:p>
      <w:pPr>
        <w:pStyle w:val="2"/>
      </w:pPr>
    </w:p>
    <w:p>
      <w:pPr>
        <w:pStyle w:val="2"/>
      </w:pPr>
    </w:p>
    <w:p>
      <w:pPr>
        <w:pStyle w:val="2"/>
      </w:pPr>
    </w:p>
    <w:p>
      <w:pPr>
        <w:pStyle w:val="2"/>
      </w:pPr>
    </w:p>
    <w:p>
      <w:pPr>
        <w:pStyle w:val="2"/>
      </w:pPr>
    </w:p>
    <w:p>
      <w:pPr>
        <w:pStyle w:val="3"/>
        <w:spacing w:line="240" w:lineRule="auto"/>
        <w:jc w:val="both"/>
        <w:rPr>
          <w:szCs w:val="36"/>
        </w:rPr>
      </w:pPr>
      <w:bookmarkStart w:id="175" w:name="_Toc7494"/>
      <w:r>
        <w:rPr>
          <w:rFonts w:hint="eastAsia"/>
          <w:sz w:val="36"/>
          <w:szCs w:val="36"/>
        </w:rPr>
        <w:br w:type="page"/>
      </w:r>
      <w:bookmarkStart w:id="176" w:name="_Toc19813"/>
      <w:bookmarkStart w:id="177" w:name="_Toc21655"/>
      <w:bookmarkStart w:id="178" w:name="_Toc18208"/>
      <w:r>
        <w:rPr>
          <w:rStyle w:val="43"/>
          <w:rFonts w:hint="eastAsia"/>
          <w:b/>
          <w:bCs/>
          <w:sz w:val="36"/>
          <w:szCs w:val="36"/>
        </w:rPr>
        <w:t>第五章  投标人应当提供的资格、资质性及其他类似效力要求的相关证明材料</w:t>
      </w:r>
      <w:bookmarkEnd w:id="175"/>
      <w:bookmarkEnd w:id="176"/>
      <w:bookmarkEnd w:id="177"/>
      <w:bookmarkEnd w:id="178"/>
    </w:p>
    <w:p>
      <w:pPr>
        <w:pStyle w:val="5"/>
        <w:spacing w:line="360" w:lineRule="exact"/>
        <w:rPr>
          <w:rFonts w:ascii="宋体" w:eastAsia="宋体"/>
          <w:sz w:val="24"/>
          <w:szCs w:val="24"/>
        </w:rPr>
      </w:pPr>
      <w:bookmarkStart w:id="179" w:name="_Toc5677"/>
      <w:bookmarkStart w:id="180" w:name="_Toc6299"/>
      <w:bookmarkStart w:id="181" w:name="_Toc19942"/>
      <w:bookmarkStart w:id="182" w:name="_Toc19481"/>
      <w:bookmarkStart w:id="183" w:name="_Toc26342"/>
      <w:r>
        <w:rPr>
          <w:rFonts w:hint="eastAsia" w:ascii="宋体" w:eastAsia="宋体"/>
          <w:sz w:val="24"/>
          <w:szCs w:val="24"/>
        </w:rPr>
        <w:t>一、应当提供的投标人资格、资质性及其他类似效力要求的相关证明材料</w:t>
      </w:r>
    </w:p>
    <w:p>
      <w:pPr>
        <w:pStyle w:val="62"/>
        <w:ind w:firstLine="482"/>
        <w:rPr>
          <w:rFonts w:hAnsi="宋体" w:cs="宋体"/>
          <w:b/>
          <w:bCs/>
          <w:sz w:val="24"/>
        </w:rPr>
      </w:pPr>
      <w:r>
        <w:rPr>
          <w:rFonts w:hint="eastAsia" w:hAnsi="宋体" w:cs="宋体"/>
          <w:b/>
          <w:bCs/>
          <w:sz w:val="24"/>
        </w:rPr>
        <w:t>（一）具备《中华人民共和国政府采购法》第二十二条第一款规定条件的证明材料：</w:t>
      </w:r>
    </w:p>
    <w:p>
      <w:pPr>
        <w:pStyle w:val="62"/>
        <w:ind w:firstLine="480"/>
        <w:rPr>
          <w:rFonts w:hAnsi="宋体" w:cs="宋体"/>
          <w:sz w:val="24"/>
        </w:rPr>
      </w:pPr>
      <w:r>
        <w:rPr>
          <w:rFonts w:hint="eastAsia" w:hAnsi="宋体" w:cs="宋体"/>
          <w:sz w:val="24"/>
        </w:rPr>
        <w:t>1、具有独立承担民事责任的能力的证明材料：有效的营业执照复印件或事业单位法人证书或其他类似效力证明材料复印件。</w:t>
      </w:r>
    </w:p>
    <w:p>
      <w:pPr>
        <w:tabs>
          <w:tab w:val="left" w:pos="7665"/>
        </w:tabs>
        <w:spacing w:line="360" w:lineRule="auto"/>
        <w:ind w:firstLine="480" w:firstLineChars="200"/>
        <w:rPr>
          <w:rFonts w:hAnsi="宋体" w:cs="宋体"/>
          <w:sz w:val="24"/>
        </w:rPr>
      </w:pPr>
      <w:r>
        <w:rPr>
          <w:rFonts w:hint="eastAsia" w:hAnsi="宋体" w:cs="宋体"/>
          <w:sz w:val="24"/>
        </w:rPr>
        <w:t>2、具有良好的商业信誉和健全的财务会计制度的证明材料：</w:t>
      </w:r>
    </w:p>
    <w:p>
      <w:pPr>
        <w:pStyle w:val="2"/>
        <w:spacing w:line="360" w:lineRule="auto"/>
        <w:ind w:firstLine="480"/>
        <w:rPr>
          <w:rFonts w:hAnsi="宋体" w:cs="宋体"/>
          <w:sz w:val="24"/>
        </w:rPr>
      </w:pPr>
      <w:r>
        <w:rPr>
          <w:rFonts w:hint="eastAsia" w:hAnsi="宋体" w:cs="宋体"/>
          <w:sz w:val="24"/>
        </w:rPr>
        <w:t>（1）具有良好的商业信誉的证明材料：可提供承诺函（格式详见附件1-1）。</w:t>
      </w:r>
    </w:p>
    <w:p>
      <w:pPr>
        <w:pStyle w:val="2"/>
        <w:spacing w:line="360" w:lineRule="auto"/>
        <w:ind w:firstLine="480"/>
        <w:rPr>
          <w:rFonts w:hAnsi="宋体" w:cs="宋体"/>
          <w:sz w:val="24"/>
        </w:rPr>
      </w:pPr>
      <w:r>
        <w:rPr>
          <w:rFonts w:hint="eastAsia" w:hAnsi="宋体" w:cs="宋体"/>
          <w:sz w:val="24"/>
        </w:rPr>
        <w:t>（2）具有健全的财务会计制度的证明材料：</w:t>
      </w:r>
    </w:p>
    <w:p>
      <w:pPr>
        <w:tabs>
          <w:tab w:val="left" w:pos="7665"/>
        </w:tabs>
        <w:spacing w:line="360" w:lineRule="auto"/>
        <w:ind w:firstLine="720" w:firstLineChars="300"/>
        <w:rPr>
          <w:rFonts w:hAnsi="宋体" w:cs="宋体"/>
          <w:color w:val="000000"/>
          <w:sz w:val="24"/>
        </w:rPr>
      </w:pPr>
      <w:r>
        <w:rPr>
          <w:rFonts w:hint="eastAsia" w:hAnsi="宋体" w:cs="宋体"/>
          <w:color w:val="000000"/>
          <w:sz w:val="24"/>
        </w:rPr>
        <w:t>①投标人可提供2019年或2020年度的经审计的财务报告复印件；</w:t>
      </w:r>
    </w:p>
    <w:p>
      <w:pPr>
        <w:tabs>
          <w:tab w:val="left" w:pos="7665"/>
        </w:tabs>
        <w:spacing w:line="360" w:lineRule="auto"/>
        <w:ind w:firstLine="720" w:firstLineChars="300"/>
        <w:rPr>
          <w:rFonts w:hAnsi="宋体" w:cs="宋体"/>
          <w:sz w:val="24"/>
        </w:rPr>
      </w:pPr>
      <w:r>
        <w:rPr>
          <w:rFonts w:hint="eastAsia" w:hAnsi="宋体" w:cs="宋体"/>
          <w:sz w:val="24"/>
        </w:rPr>
        <w:t>②也可提供距文件递交截止日一年内银行出具的资信证明复印件；</w:t>
      </w:r>
    </w:p>
    <w:p>
      <w:pPr>
        <w:tabs>
          <w:tab w:val="left" w:pos="7665"/>
        </w:tabs>
        <w:spacing w:line="360" w:lineRule="auto"/>
        <w:ind w:firstLine="720" w:firstLineChars="300"/>
        <w:rPr>
          <w:rFonts w:hAnsi="宋体" w:cs="宋体"/>
          <w:sz w:val="24"/>
        </w:rPr>
      </w:pPr>
      <w:r>
        <w:rPr>
          <w:rFonts w:hint="eastAsia" w:hAnsi="宋体" w:cs="宋体"/>
          <w:sz w:val="24"/>
        </w:rPr>
        <w:t>③也可提供</w:t>
      </w:r>
      <w:r>
        <w:rPr>
          <w:rFonts w:hint="eastAsia" w:hAnsi="宋体" w:cs="宋体"/>
          <w:color w:val="000000"/>
          <w:sz w:val="24"/>
        </w:rPr>
        <w:t>2019年或2020年度</w:t>
      </w:r>
      <w:r>
        <w:rPr>
          <w:rFonts w:hint="eastAsia" w:hAnsi="宋体" w:cs="宋体"/>
          <w:sz w:val="24"/>
        </w:rPr>
        <w:t>内部的财务报表复印件（至少包含资产负债表）</w:t>
      </w:r>
    </w:p>
    <w:p>
      <w:pPr>
        <w:tabs>
          <w:tab w:val="left" w:pos="7665"/>
        </w:tabs>
        <w:spacing w:line="360" w:lineRule="auto"/>
        <w:ind w:firstLine="720" w:firstLineChars="300"/>
        <w:rPr>
          <w:rFonts w:hAnsi="宋体" w:cs="宋体"/>
          <w:color w:val="000000"/>
          <w:sz w:val="24"/>
        </w:rPr>
      </w:pPr>
      <w:r>
        <w:rPr>
          <w:rFonts w:hint="eastAsia" w:hAnsi="宋体" w:cs="宋体"/>
          <w:color w:val="000000"/>
          <w:sz w:val="24"/>
        </w:rPr>
        <w:t>④投标人注册时间截至投标文件递交截止日不足一年的，可提供在工商备案的公司章程复印件。</w:t>
      </w:r>
    </w:p>
    <w:p>
      <w:pPr>
        <w:tabs>
          <w:tab w:val="left" w:pos="7665"/>
        </w:tabs>
        <w:spacing w:line="360" w:lineRule="auto"/>
        <w:ind w:firstLine="480" w:firstLineChars="200"/>
        <w:rPr>
          <w:rFonts w:hAnsi="宋体" w:cs="宋体"/>
          <w:sz w:val="24"/>
        </w:rPr>
      </w:pPr>
      <w:r>
        <w:rPr>
          <w:rFonts w:hint="eastAsia" w:hAnsi="宋体" w:cs="宋体"/>
          <w:sz w:val="24"/>
        </w:rPr>
        <w:t>3、具有履行合同所必须的设备和专业技术能力的证明材料：可提供承诺函（格式详见附件1-1）。</w:t>
      </w:r>
    </w:p>
    <w:p>
      <w:pPr>
        <w:tabs>
          <w:tab w:val="left" w:pos="7665"/>
        </w:tabs>
        <w:spacing w:line="360" w:lineRule="auto"/>
        <w:ind w:firstLine="480" w:firstLineChars="200"/>
        <w:rPr>
          <w:rFonts w:hAnsi="宋体" w:cs="宋体"/>
          <w:sz w:val="24"/>
        </w:rPr>
      </w:pPr>
      <w:r>
        <w:rPr>
          <w:rFonts w:hint="eastAsia" w:hAnsi="宋体" w:cs="宋体"/>
          <w:sz w:val="24"/>
        </w:rPr>
        <w:t>4、具有依法缴纳税收和社会保障资金的良好记录的证明材料：</w:t>
      </w:r>
    </w:p>
    <w:p>
      <w:pPr>
        <w:spacing w:line="360" w:lineRule="auto"/>
        <w:ind w:firstLine="480"/>
        <w:jc w:val="left"/>
        <w:rPr>
          <w:rFonts w:hAnsi="宋体" w:cs="宋体"/>
          <w:sz w:val="24"/>
        </w:rPr>
      </w:pPr>
      <w:r>
        <w:rPr>
          <w:rFonts w:hint="eastAsia" w:hAnsi="宋体" w:cs="宋体"/>
          <w:sz w:val="24"/>
        </w:rPr>
        <w:t>（1）提供2021年1月至投标截止日期前任意一个月的公司依法缴纳税收证明（银行或税务缴税付款凭证）复印件；也可提供承诺函（格式详见附件1-1）。</w:t>
      </w:r>
    </w:p>
    <w:p>
      <w:pPr>
        <w:spacing w:line="360" w:lineRule="auto"/>
        <w:ind w:firstLine="480" w:firstLineChars="200"/>
        <w:jc w:val="left"/>
        <w:rPr>
          <w:rFonts w:hAnsi="宋体" w:cs="宋体"/>
          <w:sz w:val="24"/>
        </w:rPr>
      </w:pPr>
      <w:r>
        <w:rPr>
          <w:rFonts w:hint="eastAsia" w:hAnsi="宋体" w:cs="宋体"/>
          <w:sz w:val="24"/>
        </w:rPr>
        <w:t>（2）提供2021年1月至投标截止日期前任意一个月社会保障资金缴纳凭证【新成立公司按实际应缴纳情况提供】复印件（未缴纳社保的事业单位应提供相关主管部门出具的证明材料复印件）；也可提供承诺函（格式详见附件1-1）。</w:t>
      </w:r>
    </w:p>
    <w:p>
      <w:pPr>
        <w:tabs>
          <w:tab w:val="left" w:pos="7665"/>
        </w:tabs>
        <w:spacing w:line="360" w:lineRule="auto"/>
        <w:ind w:firstLine="480" w:firstLineChars="200"/>
        <w:rPr>
          <w:rFonts w:hAnsi="宋体" w:cs="宋体"/>
          <w:sz w:val="24"/>
        </w:rPr>
      </w:pPr>
      <w:r>
        <w:rPr>
          <w:rFonts w:hint="eastAsia" w:hAnsi="宋体" w:cs="宋体"/>
          <w:sz w:val="24"/>
        </w:rPr>
        <w:t>5、参加本次政府采购活动前三年内，在经营活动中没有重大违法记录的证明材料：可提供承诺函（格式详见附件1-1）。</w:t>
      </w:r>
    </w:p>
    <w:p>
      <w:pPr>
        <w:pStyle w:val="62"/>
        <w:ind w:firstLine="482"/>
        <w:rPr>
          <w:rFonts w:hAnsi="宋体" w:cs="宋体"/>
          <w:b/>
          <w:bCs/>
          <w:sz w:val="24"/>
        </w:rPr>
      </w:pPr>
      <w:r>
        <w:rPr>
          <w:rFonts w:hint="eastAsia" w:hAnsi="宋体" w:cs="宋体"/>
          <w:b/>
          <w:bCs/>
          <w:sz w:val="24"/>
        </w:rPr>
        <w:t>（二）具备法律、行政法规规定的其他条件的证明材料：</w:t>
      </w:r>
    </w:p>
    <w:p>
      <w:pPr>
        <w:pStyle w:val="62"/>
        <w:ind w:firstLine="480"/>
        <w:rPr>
          <w:rFonts w:hAnsi="宋体" w:cs="宋体"/>
          <w:sz w:val="24"/>
        </w:rPr>
      </w:pPr>
      <w:r>
        <w:rPr>
          <w:rFonts w:hint="eastAsia"/>
          <w:sz w:val="24"/>
        </w:rPr>
        <w:t>（1）</w:t>
      </w:r>
      <w:r>
        <w:rPr>
          <w:rFonts w:hint="eastAsia" w:hAnsi="宋体" w:cs="宋体"/>
          <w:sz w:val="24"/>
        </w:rPr>
        <w:t>供应商及其现任法定代表人、主要负责人前3年内不得具有行贿犯罪记录的证明材料：可提供承诺函（格式详见附件1-1）。</w:t>
      </w:r>
    </w:p>
    <w:p>
      <w:pPr>
        <w:pStyle w:val="62"/>
        <w:ind w:firstLine="480"/>
        <w:jc w:val="left"/>
        <w:rPr>
          <w:rFonts w:hAnsi="宋体" w:cs="宋体"/>
          <w:color w:val="000000"/>
          <w:sz w:val="24"/>
        </w:rPr>
      </w:pPr>
      <w:r>
        <w:rPr>
          <w:rFonts w:hint="eastAsia"/>
          <w:color w:val="000000"/>
          <w:sz w:val="24"/>
        </w:rPr>
        <w:t>（2）</w:t>
      </w:r>
      <w:r>
        <w:rPr>
          <w:rFonts w:hint="eastAsia" w:hAnsi="宋体" w:cs="宋体"/>
          <w:color w:val="000000"/>
          <w:sz w:val="24"/>
        </w:rPr>
        <w:t>供应商在采购公告发布之日前不得是“信用中国”网站(www.creditchina.gov.cn)、“中国政府采购网”网站(www.ccgp.gov.cn)等渠道中列入失信被执行人、重大税收违法案件当事人名单、政府采购严重违法失信行为记录名单中的投标人证明材料：可提供承诺函（格式详见附件1-1）。</w:t>
      </w:r>
    </w:p>
    <w:p>
      <w:pPr>
        <w:pStyle w:val="62"/>
        <w:ind w:firstLine="422"/>
        <w:jc w:val="left"/>
        <w:rPr>
          <w:rFonts w:hAnsi="宋体" w:cs="宋体"/>
          <w:color w:val="000000"/>
          <w:sz w:val="16"/>
          <w:szCs w:val="15"/>
        </w:rPr>
      </w:pPr>
      <w:r>
        <w:rPr>
          <w:rFonts w:hint="eastAsia" w:hAnsi="宋体" w:cs="宋体"/>
          <w:b/>
          <w:bCs/>
          <w:sz w:val="21"/>
          <w:szCs w:val="13"/>
        </w:rPr>
        <w:t>（注：采购人或采购代理机构在资格审查期间在‘信用中国’网站、 ‘中国政府采购网’网站等渠道对供应商进行信用记录查询，“信用中国”、“中国政府采购网”网站等渠道查询结果，将以纸质截图或将截图保存至电子介质的形式留存。凡被列入失信被执行人、重大税收违法案件当事人名单、政府采购严重违法失信行为记录名单的，视为存在不良信用记录，参与本项目的将被拒绝。）</w:t>
      </w:r>
    </w:p>
    <w:p>
      <w:pPr>
        <w:pStyle w:val="62"/>
        <w:ind w:firstLine="482"/>
        <w:rPr>
          <w:rFonts w:hAnsi="宋体" w:cs="宋体"/>
          <w:sz w:val="24"/>
        </w:rPr>
      </w:pPr>
      <w:r>
        <w:rPr>
          <w:rFonts w:hint="eastAsia" w:hAnsi="宋体" w:cs="宋体"/>
          <w:b/>
          <w:bCs/>
          <w:sz w:val="24"/>
        </w:rPr>
        <w:t>（三）具备根据采购项目提出的特殊条件的证明材料（按照招标文件要求提供）：无</w:t>
      </w:r>
      <w:r>
        <w:rPr>
          <w:rFonts w:hint="eastAsia" w:hAnsi="宋体" w:cs="宋体"/>
          <w:sz w:val="24"/>
        </w:rPr>
        <w:t>。</w:t>
      </w:r>
    </w:p>
    <w:p>
      <w:pPr>
        <w:pStyle w:val="62"/>
        <w:ind w:firstLine="482"/>
        <w:rPr>
          <w:rFonts w:hAnsi="宋体" w:cs="宋体"/>
          <w:bCs/>
          <w:sz w:val="24"/>
          <w:szCs w:val="24"/>
        </w:rPr>
      </w:pPr>
      <w:r>
        <w:rPr>
          <w:rFonts w:hint="eastAsia" w:hAnsi="宋体" w:cs="宋体"/>
          <w:b/>
          <w:bCs/>
          <w:sz w:val="24"/>
        </w:rPr>
        <w:t>（四）本项目专门面对中小企业（含残疾人福利性单位、监狱企业）采购的证</w:t>
      </w:r>
      <w:r>
        <w:rPr>
          <w:rFonts w:hint="eastAsia" w:hAnsi="宋体" w:cs="宋体"/>
          <w:b/>
          <w:bCs/>
          <w:sz w:val="24"/>
          <w:lang w:eastAsia="zh-CN"/>
        </w:rPr>
        <w:t>明</w:t>
      </w:r>
      <w:r>
        <w:rPr>
          <w:rFonts w:hint="eastAsia" w:hAnsi="宋体" w:cs="宋体"/>
          <w:b/>
          <w:bCs/>
          <w:sz w:val="24"/>
        </w:rPr>
        <w:t>材料：</w:t>
      </w:r>
      <w:r>
        <w:rPr>
          <w:rFonts w:hint="eastAsia" w:hAnsi="宋体" w:cs="宋体"/>
          <w:bCs/>
          <w:sz w:val="24"/>
          <w:szCs w:val="24"/>
        </w:rPr>
        <w:t>中小企业应当提供《中小企业声明函》原件（格式详见</w:t>
      </w:r>
      <w:r>
        <w:rPr>
          <w:rFonts w:hint="eastAsia" w:hAnsi="宋体" w:cs="宋体"/>
          <w:sz w:val="24"/>
        </w:rPr>
        <w:t>本招标文件第三章附件1-3-1</w:t>
      </w:r>
      <w:r>
        <w:rPr>
          <w:rFonts w:hint="eastAsia" w:hAnsi="宋体" w:cs="宋体"/>
          <w:bCs/>
          <w:sz w:val="24"/>
          <w:szCs w:val="24"/>
        </w:rPr>
        <w:t>）；残疾人福利性单位提供《残疾人福利性单位声明函》原件（格式详见</w:t>
      </w:r>
      <w:r>
        <w:rPr>
          <w:rFonts w:hint="eastAsia" w:hAnsi="宋体" w:cs="宋体"/>
          <w:sz w:val="24"/>
        </w:rPr>
        <w:t>本招标文件第三章附件1-3-2</w:t>
      </w:r>
      <w:r>
        <w:rPr>
          <w:rFonts w:hint="eastAsia" w:hAnsi="宋体" w:cs="宋体"/>
          <w:bCs/>
          <w:sz w:val="24"/>
          <w:szCs w:val="24"/>
        </w:rPr>
        <w:t>）；监狱企业提供省级以上监狱管理局、戒毒管理局（含新疆建设兵团）出具的属于监狱企业的证明文件复印件。</w:t>
      </w:r>
    </w:p>
    <w:p>
      <w:pPr>
        <w:pStyle w:val="62"/>
        <w:ind w:firstLine="482"/>
        <w:rPr>
          <w:b/>
          <w:bCs/>
          <w:sz w:val="24"/>
        </w:rPr>
      </w:pPr>
      <w:r>
        <w:rPr>
          <w:rFonts w:hint="eastAsia"/>
          <w:b/>
          <w:bCs/>
          <w:sz w:val="24"/>
        </w:rPr>
        <w:t>（五）其他类似效力要求证明材料：</w:t>
      </w:r>
    </w:p>
    <w:p>
      <w:pPr>
        <w:pStyle w:val="2"/>
        <w:spacing w:line="360" w:lineRule="auto"/>
        <w:ind w:firstLine="480" w:firstLineChars="200"/>
        <w:rPr>
          <w:rFonts w:hAnsi="宋体"/>
          <w:sz w:val="24"/>
        </w:rPr>
      </w:pPr>
      <w:r>
        <w:rPr>
          <w:rFonts w:hint="eastAsia" w:hAnsi="宋体"/>
          <w:sz w:val="24"/>
        </w:rPr>
        <w:t>1、投标人具有参与本项目投标的合法代表的证明材料：</w:t>
      </w:r>
    </w:p>
    <w:p>
      <w:pPr>
        <w:spacing w:line="360" w:lineRule="auto"/>
        <w:ind w:firstLine="480" w:firstLineChars="200"/>
        <w:rPr>
          <w:sz w:val="24"/>
        </w:rPr>
      </w:pPr>
      <w:r>
        <w:rPr>
          <w:rFonts w:hint="eastAsia"/>
          <w:sz w:val="24"/>
        </w:rPr>
        <w:t>（1）法定代表人身份证明书原件及法定代表人身份证明材料</w:t>
      </w:r>
      <w:r>
        <w:rPr>
          <w:rFonts w:hint="eastAsia" w:hAnsi="宋体" w:cs="宋体"/>
          <w:bCs/>
          <w:sz w:val="24"/>
          <w:szCs w:val="24"/>
        </w:rPr>
        <w:t>复印件</w:t>
      </w:r>
      <w:r>
        <w:rPr>
          <w:rFonts w:hint="eastAsia"/>
          <w:sz w:val="24"/>
        </w:rPr>
        <w:t>（注：法定代表人参与投标适用）。</w:t>
      </w:r>
    </w:p>
    <w:p>
      <w:pPr>
        <w:spacing w:line="360" w:lineRule="auto"/>
        <w:ind w:firstLine="480" w:firstLineChars="200"/>
        <w:rPr>
          <w:b/>
          <w:bCs/>
          <w:sz w:val="24"/>
        </w:rPr>
      </w:pPr>
      <w:r>
        <w:rPr>
          <w:rFonts w:hint="eastAsia"/>
          <w:sz w:val="24"/>
        </w:rPr>
        <w:t>（2）法定代表人授权书原件、授权代表身份证明材料及法定代表人身份证明材料</w:t>
      </w:r>
      <w:r>
        <w:rPr>
          <w:rFonts w:hint="eastAsia" w:hAnsi="宋体" w:cs="宋体"/>
          <w:bCs/>
          <w:sz w:val="24"/>
          <w:szCs w:val="24"/>
        </w:rPr>
        <w:t>复印件</w:t>
      </w:r>
      <w:r>
        <w:rPr>
          <w:rFonts w:hint="eastAsia"/>
          <w:sz w:val="24"/>
        </w:rPr>
        <w:t>（注：授权代表参与投标适用）。</w:t>
      </w:r>
    </w:p>
    <w:p>
      <w:pPr>
        <w:pStyle w:val="62"/>
        <w:ind w:firstLine="0" w:firstLineChars="0"/>
        <w:rPr>
          <w:b/>
          <w:bCs/>
          <w:sz w:val="24"/>
        </w:rPr>
      </w:pPr>
      <w:r>
        <w:rPr>
          <w:rFonts w:hint="eastAsia"/>
          <w:b/>
          <w:bCs/>
          <w:sz w:val="24"/>
        </w:rPr>
        <w:t>二、应当提供的投标产品的资格、资质性及其他类似效力要求的相关证明材料</w:t>
      </w:r>
    </w:p>
    <w:p>
      <w:pPr>
        <w:spacing w:line="360" w:lineRule="auto"/>
        <w:rPr>
          <w:rFonts w:hAnsi="宋体"/>
          <w:sz w:val="24"/>
        </w:rPr>
      </w:pPr>
      <w:r>
        <w:rPr>
          <w:rFonts w:hint="eastAsia" w:hAnsi="宋体"/>
          <w:sz w:val="24"/>
        </w:rPr>
        <w:t>（一）资格要求</w:t>
      </w:r>
      <w:r>
        <w:rPr>
          <w:rFonts w:hint="eastAsia"/>
          <w:sz w:val="24"/>
        </w:rPr>
        <w:t>证明材料</w:t>
      </w:r>
      <w:r>
        <w:rPr>
          <w:rFonts w:hint="eastAsia" w:hAnsi="宋体"/>
          <w:sz w:val="24"/>
        </w:rPr>
        <w:t>：无。</w:t>
      </w:r>
    </w:p>
    <w:p>
      <w:pPr>
        <w:spacing w:line="360" w:lineRule="auto"/>
        <w:rPr>
          <w:rFonts w:hAnsi="宋体"/>
          <w:sz w:val="24"/>
        </w:rPr>
      </w:pPr>
      <w:r>
        <w:rPr>
          <w:rFonts w:hint="eastAsia" w:hAnsi="宋体"/>
          <w:sz w:val="24"/>
        </w:rPr>
        <w:t>（二）资质性要求</w:t>
      </w:r>
      <w:r>
        <w:rPr>
          <w:rFonts w:hint="eastAsia"/>
          <w:sz w:val="24"/>
        </w:rPr>
        <w:t>证明材料</w:t>
      </w:r>
      <w:r>
        <w:rPr>
          <w:rFonts w:hint="eastAsia" w:hAnsi="宋体"/>
          <w:sz w:val="24"/>
        </w:rPr>
        <w:t>：无。</w:t>
      </w:r>
    </w:p>
    <w:p>
      <w:pPr>
        <w:spacing w:line="360" w:lineRule="auto"/>
        <w:rPr>
          <w:b/>
          <w:sz w:val="24"/>
        </w:rPr>
      </w:pPr>
      <w:r>
        <w:rPr>
          <w:rFonts w:hint="eastAsia" w:hAnsi="宋体"/>
          <w:sz w:val="24"/>
        </w:rPr>
        <w:t>（三）其他类似效力要求</w:t>
      </w:r>
      <w:r>
        <w:rPr>
          <w:rFonts w:hint="eastAsia"/>
          <w:sz w:val="24"/>
        </w:rPr>
        <w:t>证明材料</w:t>
      </w:r>
      <w:r>
        <w:rPr>
          <w:rFonts w:hint="eastAsia" w:hAnsi="宋体"/>
          <w:sz w:val="24"/>
        </w:rPr>
        <w:t>：无。</w:t>
      </w:r>
    </w:p>
    <w:p>
      <w:pPr>
        <w:rPr>
          <w:rFonts w:hAnsi="宋体"/>
          <w:b/>
          <w:sz w:val="18"/>
          <w:szCs w:val="18"/>
        </w:rPr>
      </w:pPr>
    </w:p>
    <w:p>
      <w:pPr>
        <w:rPr>
          <w:rFonts w:hAnsi="宋体"/>
          <w:b/>
          <w:sz w:val="18"/>
          <w:szCs w:val="18"/>
        </w:rPr>
      </w:pPr>
      <w:bookmarkStart w:id="184" w:name="_Toc217446093"/>
      <w:r>
        <w:rPr>
          <w:rFonts w:hint="eastAsia" w:hAnsi="宋体"/>
          <w:b/>
          <w:sz w:val="18"/>
          <w:szCs w:val="18"/>
        </w:rPr>
        <w:t>注：1、投标人提供的以上资格、资质性及其他类似效力要求的相关证明材料</w:t>
      </w:r>
      <w:bookmarkStart w:id="185" w:name="_Toc23006"/>
      <w:r>
        <w:rPr>
          <w:rFonts w:hint="eastAsia" w:hAnsi="宋体"/>
          <w:b/>
          <w:sz w:val="18"/>
          <w:szCs w:val="18"/>
        </w:rPr>
        <w:t>为复印件或影印件的均应加盖投标人单位鲜章。</w:t>
      </w:r>
      <w:bookmarkEnd w:id="185"/>
    </w:p>
    <w:p>
      <w:pPr>
        <w:ind w:firstLine="361" w:firstLineChars="200"/>
        <w:rPr>
          <w:rFonts w:hAnsi="宋体"/>
          <w:b/>
          <w:sz w:val="18"/>
          <w:szCs w:val="18"/>
        </w:rPr>
      </w:pPr>
      <w:r>
        <w:rPr>
          <w:rFonts w:hint="eastAsia" w:hAnsi="宋体"/>
          <w:b/>
          <w:sz w:val="18"/>
          <w:szCs w:val="18"/>
        </w:rPr>
        <w:t>2、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ind w:firstLine="361" w:firstLineChars="200"/>
        <w:rPr>
          <w:rFonts w:hAnsi="宋体"/>
          <w:b/>
          <w:sz w:val="18"/>
          <w:szCs w:val="18"/>
        </w:rPr>
      </w:pPr>
    </w:p>
    <w:bookmarkEnd w:id="184"/>
    <w:p>
      <w:pPr>
        <w:pStyle w:val="3"/>
        <w:pageBreakBefore/>
        <w:spacing w:line="400" w:lineRule="exact"/>
        <w:rPr>
          <w:b/>
          <w:bCs/>
          <w:color w:val="000000"/>
          <w:sz w:val="36"/>
          <w:szCs w:val="36"/>
        </w:rPr>
      </w:pPr>
      <w:r>
        <w:rPr>
          <w:rFonts w:hint="eastAsia"/>
          <w:b/>
          <w:bCs/>
          <w:color w:val="000000"/>
          <w:sz w:val="36"/>
          <w:szCs w:val="36"/>
        </w:rPr>
        <w:t>第六章 招标项目服务</w:t>
      </w:r>
      <w:r>
        <w:rPr>
          <w:rFonts w:hint="eastAsia"/>
          <w:b/>
          <w:bCs/>
          <w:color w:val="000000"/>
          <w:sz w:val="36"/>
          <w:szCs w:val="36"/>
          <w:lang w:eastAsia="zh-CN"/>
        </w:rPr>
        <w:t>、</w:t>
      </w:r>
      <w:r>
        <w:rPr>
          <w:rFonts w:hint="eastAsia"/>
          <w:b/>
          <w:bCs/>
          <w:color w:val="000000"/>
          <w:sz w:val="36"/>
          <w:szCs w:val="36"/>
        </w:rPr>
        <w:t>商务</w:t>
      </w:r>
      <w:r>
        <w:rPr>
          <w:rFonts w:hint="eastAsia"/>
          <w:b/>
          <w:bCs/>
          <w:color w:val="000000"/>
          <w:sz w:val="36"/>
          <w:szCs w:val="36"/>
          <w:lang w:eastAsia="zh-CN"/>
        </w:rPr>
        <w:t>及其他</w:t>
      </w:r>
      <w:r>
        <w:rPr>
          <w:rFonts w:hint="eastAsia"/>
          <w:b/>
          <w:bCs/>
          <w:color w:val="000000"/>
          <w:sz w:val="36"/>
          <w:szCs w:val="36"/>
        </w:rPr>
        <w:t>要求</w:t>
      </w:r>
      <w:bookmarkEnd w:id="179"/>
      <w:bookmarkEnd w:id="180"/>
      <w:bookmarkEnd w:id="181"/>
      <w:bookmarkEnd w:id="182"/>
      <w:bookmarkEnd w:id="183"/>
    </w:p>
    <w:p>
      <w:pPr>
        <w:spacing w:line="360" w:lineRule="auto"/>
        <w:ind w:firstLine="482" w:firstLineChars="200"/>
        <w:jc w:val="left"/>
        <w:rPr>
          <w:rFonts w:hAnsi="宋体"/>
          <w:b/>
          <w:sz w:val="24"/>
        </w:rPr>
      </w:pPr>
      <w:bookmarkStart w:id="186" w:name="bookmark12"/>
      <w:r>
        <w:rPr>
          <w:rFonts w:hint="eastAsia" w:hAnsi="宋体"/>
          <w:b/>
          <w:sz w:val="24"/>
        </w:rPr>
        <w:t>一、服务内容及要求</w:t>
      </w:r>
    </w:p>
    <w:bookmarkEnd w:id="186"/>
    <w:p>
      <w:pPr>
        <w:spacing w:line="360" w:lineRule="auto"/>
        <w:ind w:firstLine="480" w:firstLineChars="200"/>
        <w:jc w:val="left"/>
        <w:rPr>
          <w:rFonts w:hAnsi="宋体" w:cs="宋体"/>
          <w:sz w:val="24"/>
        </w:rPr>
      </w:pPr>
      <w:r>
        <w:rPr>
          <w:rFonts w:hint="eastAsia" w:hAnsi="宋体" w:cs="宋体"/>
          <w:sz w:val="24"/>
        </w:rPr>
        <w:t>1、研究范围</w:t>
      </w:r>
    </w:p>
    <w:p>
      <w:pPr>
        <w:spacing w:line="360" w:lineRule="auto"/>
        <w:ind w:firstLine="480" w:firstLineChars="200"/>
        <w:jc w:val="left"/>
        <w:rPr>
          <w:rFonts w:hAnsi="宋体" w:cs="宋体"/>
          <w:sz w:val="24"/>
        </w:rPr>
      </w:pPr>
      <w:r>
        <w:rPr>
          <w:rFonts w:hint="eastAsia" w:hAnsi="宋体" w:cs="宋体"/>
          <w:sz w:val="24"/>
        </w:rPr>
        <w:t>本次研究范围为郫都区全域，包含3个镇、7个街道，总面积393.79平方公里，现状人口约139万人。</w:t>
      </w:r>
    </w:p>
    <w:p>
      <w:pPr>
        <w:spacing w:line="360" w:lineRule="auto"/>
        <w:ind w:firstLine="480" w:firstLineChars="200"/>
        <w:jc w:val="left"/>
        <w:rPr>
          <w:rFonts w:hAnsi="宋体" w:cs="宋体"/>
          <w:sz w:val="24"/>
        </w:rPr>
      </w:pPr>
      <w:r>
        <w:rPr>
          <w:rFonts w:hint="eastAsia" w:hAnsi="宋体" w:cs="宋体"/>
          <w:sz w:val="24"/>
        </w:rPr>
        <w:t>2、工作内容</w:t>
      </w:r>
    </w:p>
    <w:p>
      <w:pPr>
        <w:spacing w:line="360" w:lineRule="auto"/>
        <w:ind w:firstLine="480" w:firstLineChars="200"/>
        <w:jc w:val="left"/>
        <w:rPr>
          <w:rFonts w:hAnsi="宋体" w:cs="宋体"/>
          <w:sz w:val="24"/>
        </w:rPr>
      </w:pPr>
      <w:r>
        <w:rPr>
          <w:rFonts w:hint="eastAsia" w:hAnsi="宋体" w:cs="宋体"/>
          <w:sz w:val="24"/>
        </w:rPr>
        <w:t>本次研究内容基于《郫都区乡村振兴规划》等工作基础，借鉴国内外先进地区城乡融合经验，包括镇村体系构建、片区划定、人口流动与聚居指引、分单元发展指引四个部分：</w:t>
      </w:r>
    </w:p>
    <w:p>
      <w:pPr>
        <w:spacing w:line="360" w:lineRule="auto"/>
        <w:ind w:firstLine="480" w:firstLineChars="200"/>
        <w:jc w:val="left"/>
        <w:rPr>
          <w:rFonts w:hAnsi="宋体" w:cs="宋体"/>
          <w:sz w:val="24"/>
        </w:rPr>
      </w:pPr>
      <w:r>
        <w:rPr>
          <w:rFonts w:hint="eastAsia" w:hAnsi="宋体" w:cs="宋体"/>
          <w:sz w:val="24"/>
        </w:rPr>
        <w:t>（1）镇村体系构建</w:t>
      </w:r>
    </w:p>
    <w:p>
      <w:pPr>
        <w:spacing w:line="360" w:lineRule="auto"/>
        <w:ind w:firstLine="480" w:firstLineChars="200"/>
        <w:jc w:val="left"/>
        <w:rPr>
          <w:rFonts w:hAnsi="宋体" w:cs="宋体"/>
          <w:sz w:val="24"/>
        </w:rPr>
      </w:pPr>
      <w:r>
        <w:rPr>
          <w:rFonts w:hint="eastAsia" w:hAnsi="宋体" w:cs="宋体"/>
          <w:sz w:val="24"/>
        </w:rPr>
        <w:t>基于郫都区城乡融合基础现状特征与趋势研判，明确新时期郫都城乡融合发展的方向与重点，构建城镇村体系。</w:t>
      </w:r>
    </w:p>
    <w:p>
      <w:pPr>
        <w:spacing w:line="360" w:lineRule="auto"/>
        <w:ind w:firstLine="480" w:firstLineChars="200"/>
        <w:jc w:val="left"/>
        <w:rPr>
          <w:rFonts w:hAnsi="宋体" w:cs="宋体"/>
          <w:sz w:val="24"/>
        </w:rPr>
      </w:pPr>
      <w:r>
        <w:rPr>
          <w:rFonts w:hint="eastAsia" w:hAnsi="宋体" w:cs="宋体"/>
          <w:sz w:val="24"/>
        </w:rPr>
        <w:t>（2）片区划定</w:t>
      </w:r>
    </w:p>
    <w:p>
      <w:pPr>
        <w:spacing w:line="360" w:lineRule="auto"/>
        <w:ind w:firstLine="480" w:firstLineChars="200"/>
        <w:jc w:val="left"/>
        <w:rPr>
          <w:rFonts w:hAnsi="宋体" w:cs="宋体"/>
          <w:sz w:val="24"/>
        </w:rPr>
      </w:pPr>
      <w:r>
        <w:rPr>
          <w:rFonts w:hint="eastAsia" w:hAnsi="宋体" w:cs="宋体"/>
          <w:sz w:val="24"/>
        </w:rPr>
        <w:t>明确郫都区“城乡融合单元-多村连片”两级空间体系，划定城乡融合发展单元，选定中心镇、中心村。</w:t>
      </w:r>
    </w:p>
    <w:p>
      <w:pPr>
        <w:spacing w:line="360" w:lineRule="auto"/>
        <w:ind w:firstLine="480" w:firstLineChars="200"/>
        <w:jc w:val="left"/>
        <w:rPr>
          <w:rFonts w:hAnsi="宋体" w:cs="宋体"/>
          <w:sz w:val="24"/>
        </w:rPr>
      </w:pPr>
      <w:r>
        <w:rPr>
          <w:rFonts w:hint="eastAsia" w:hAnsi="宋体" w:cs="宋体"/>
          <w:sz w:val="24"/>
        </w:rPr>
        <w:t>（3）人口流动与聚居指引</w:t>
      </w:r>
    </w:p>
    <w:p>
      <w:pPr>
        <w:spacing w:line="360" w:lineRule="auto"/>
        <w:ind w:firstLine="480" w:firstLineChars="200"/>
        <w:jc w:val="left"/>
        <w:rPr>
          <w:rFonts w:hAnsi="宋体" w:cs="宋体"/>
          <w:sz w:val="24"/>
        </w:rPr>
      </w:pPr>
      <w:r>
        <w:rPr>
          <w:rFonts w:hint="eastAsia" w:hAnsi="宋体" w:cs="宋体"/>
          <w:sz w:val="24"/>
        </w:rPr>
        <w:t>结合案例经验，分析人口流动规律与趋势、城镇发展导向，明确各级城镇的中心和聚居体系，提出人口城镇化和聚居引导方向。并对下一步城乡融合发展，提出产业、公共服务等方面的进一步提升方向。</w:t>
      </w:r>
    </w:p>
    <w:p>
      <w:pPr>
        <w:spacing w:line="360" w:lineRule="auto"/>
        <w:ind w:firstLine="480" w:firstLineChars="200"/>
        <w:jc w:val="left"/>
        <w:rPr>
          <w:rFonts w:hAnsi="宋体" w:cs="宋体"/>
          <w:sz w:val="24"/>
        </w:rPr>
      </w:pPr>
      <w:r>
        <w:rPr>
          <w:rFonts w:hint="eastAsia" w:hAnsi="宋体" w:cs="宋体"/>
          <w:sz w:val="24"/>
        </w:rPr>
        <w:t>（4）分单元发展指引</w:t>
      </w:r>
    </w:p>
    <w:p>
      <w:pPr>
        <w:spacing w:line="360" w:lineRule="auto"/>
        <w:ind w:firstLine="480" w:firstLineChars="200"/>
        <w:jc w:val="left"/>
        <w:rPr>
          <w:rFonts w:hAnsi="宋体" w:cs="宋体"/>
          <w:sz w:val="24"/>
        </w:rPr>
      </w:pPr>
      <w:r>
        <w:rPr>
          <w:rFonts w:hint="eastAsia" w:hAnsi="宋体" w:cs="宋体"/>
          <w:sz w:val="24"/>
        </w:rPr>
        <w:t>对于各城乡融合发展单元、多村连片村级片区提出人口规模、功能定位等方面的发展指引。</w:t>
      </w:r>
    </w:p>
    <w:p>
      <w:pPr>
        <w:spacing w:line="360" w:lineRule="auto"/>
        <w:ind w:firstLine="480" w:firstLineChars="200"/>
        <w:jc w:val="left"/>
        <w:rPr>
          <w:rFonts w:hAnsi="宋体" w:cs="宋体"/>
          <w:sz w:val="24"/>
        </w:rPr>
      </w:pPr>
      <w:r>
        <w:rPr>
          <w:rFonts w:hint="eastAsia" w:hAnsi="宋体" w:cs="宋体"/>
          <w:sz w:val="24"/>
        </w:rPr>
        <w:t>3、成果要求</w:t>
      </w:r>
    </w:p>
    <w:p>
      <w:pPr>
        <w:spacing w:line="360" w:lineRule="auto"/>
        <w:ind w:firstLine="480" w:firstLineChars="200"/>
        <w:jc w:val="left"/>
        <w:rPr>
          <w:rFonts w:hAnsi="宋体" w:cs="宋体"/>
          <w:sz w:val="24"/>
        </w:rPr>
      </w:pPr>
      <w:r>
        <w:rPr>
          <w:rFonts w:hint="eastAsia" w:hAnsi="宋体" w:cs="宋体"/>
          <w:sz w:val="24"/>
        </w:rPr>
        <w:t>送审成果：纸质文件（图文合并本）一式两份。</w:t>
      </w:r>
    </w:p>
    <w:p>
      <w:pPr>
        <w:spacing w:line="360" w:lineRule="auto"/>
        <w:ind w:firstLine="480" w:firstLineChars="200"/>
        <w:jc w:val="left"/>
        <w:rPr>
          <w:rFonts w:hAnsi="宋体" w:cs="宋体"/>
          <w:sz w:val="24"/>
        </w:rPr>
      </w:pPr>
      <w:r>
        <w:rPr>
          <w:rFonts w:hint="eastAsia" w:hAnsi="宋体" w:cs="宋体"/>
          <w:sz w:val="24"/>
        </w:rPr>
        <w:t>正式成果：纸质文件（图文合并本）一式两份，刻录光盘两张。</w:t>
      </w:r>
    </w:p>
    <w:p>
      <w:pPr>
        <w:spacing w:line="360" w:lineRule="auto"/>
        <w:ind w:firstLine="482" w:firstLineChars="200"/>
        <w:jc w:val="left"/>
        <w:rPr>
          <w:rFonts w:hAnsi="宋体"/>
          <w:b/>
          <w:sz w:val="24"/>
        </w:rPr>
      </w:pPr>
      <w:r>
        <w:rPr>
          <w:rFonts w:hint="eastAsia" w:hAnsi="宋体"/>
          <w:b/>
          <w:sz w:val="24"/>
        </w:rPr>
        <w:t>二、商务要求</w:t>
      </w:r>
    </w:p>
    <w:p>
      <w:pPr>
        <w:spacing w:line="360" w:lineRule="auto"/>
        <w:ind w:firstLine="480" w:firstLineChars="200"/>
        <w:jc w:val="left"/>
        <w:rPr>
          <w:rFonts w:hAnsi="宋体" w:cs="宋体"/>
          <w:sz w:val="24"/>
        </w:rPr>
      </w:pPr>
      <w:r>
        <w:rPr>
          <w:rFonts w:hint="eastAsia" w:hAnsi="宋体" w:cs="宋体"/>
          <w:sz w:val="24"/>
        </w:rPr>
        <w:t>1、付款方式</w:t>
      </w:r>
    </w:p>
    <w:p>
      <w:pPr>
        <w:spacing w:line="360" w:lineRule="auto"/>
        <w:ind w:firstLine="480" w:firstLineChars="200"/>
        <w:jc w:val="left"/>
        <w:rPr>
          <w:rFonts w:hAnsi="宋体" w:cs="宋体"/>
          <w:sz w:val="24"/>
        </w:rPr>
      </w:pPr>
      <w:r>
        <w:rPr>
          <w:rFonts w:hint="eastAsia" w:hAnsi="宋体" w:cs="宋体"/>
          <w:sz w:val="24"/>
        </w:rPr>
        <w:t>第一次付费：合同总额的50%，合同签订之日起7个工作日内。</w:t>
      </w:r>
    </w:p>
    <w:p>
      <w:pPr>
        <w:spacing w:line="360" w:lineRule="auto"/>
        <w:ind w:firstLine="480" w:firstLineChars="200"/>
        <w:jc w:val="left"/>
        <w:rPr>
          <w:rFonts w:hAnsi="宋体" w:cs="宋体"/>
          <w:sz w:val="24"/>
        </w:rPr>
      </w:pPr>
      <w:r>
        <w:rPr>
          <w:rFonts w:hint="eastAsia" w:hAnsi="宋体" w:cs="宋体"/>
          <w:sz w:val="24"/>
        </w:rPr>
        <w:t>第二次付费：合同总额的40%，送审成果通过相关审查7个工作日内。</w:t>
      </w:r>
    </w:p>
    <w:p>
      <w:pPr>
        <w:spacing w:line="360" w:lineRule="auto"/>
        <w:ind w:firstLine="480" w:firstLineChars="200"/>
        <w:jc w:val="left"/>
        <w:rPr>
          <w:rFonts w:hAnsi="宋体" w:cs="宋体"/>
          <w:sz w:val="24"/>
        </w:rPr>
      </w:pPr>
      <w:r>
        <w:rPr>
          <w:rFonts w:hint="eastAsia" w:hAnsi="宋体" w:cs="宋体"/>
          <w:sz w:val="24"/>
        </w:rPr>
        <w:t xml:space="preserve">第三次付费：合同总额的10%，提交正式成果纸质文件时甲方支付尾款。乙方收到甲方尾款后，7个工作日内向甲方提交电子成果。 </w:t>
      </w:r>
    </w:p>
    <w:p>
      <w:pPr>
        <w:spacing w:line="360" w:lineRule="auto"/>
        <w:ind w:firstLine="480" w:firstLineChars="200"/>
        <w:jc w:val="left"/>
        <w:rPr>
          <w:rFonts w:hAnsi="宋体" w:cs="宋体"/>
          <w:sz w:val="24"/>
        </w:rPr>
      </w:pPr>
      <w:r>
        <w:rPr>
          <w:rFonts w:hint="eastAsia" w:hAnsi="宋体" w:cs="宋体"/>
          <w:sz w:val="24"/>
        </w:rPr>
        <w:t>2、项目时间安排</w:t>
      </w:r>
    </w:p>
    <w:p>
      <w:pPr>
        <w:spacing w:line="360" w:lineRule="auto"/>
        <w:ind w:firstLine="480" w:firstLineChars="200"/>
        <w:jc w:val="left"/>
        <w:rPr>
          <w:rFonts w:hAnsi="宋体" w:cs="宋体"/>
          <w:sz w:val="24"/>
        </w:rPr>
      </w:pPr>
      <w:r>
        <w:rPr>
          <w:rFonts w:hint="eastAsia" w:hAnsi="宋体" w:cs="宋体"/>
          <w:sz w:val="24"/>
        </w:rPr>
        <w:t>合同签订、首付款到账、资料齐备后50个工作日内提交送审成果，送审成果经相关审查通过并收到相关会议纪要（意见）修改后20个工作日内提交正式成果。</w:t>
      </w:r>
    </w:p>
    <w:p>
      <w:pPr>
        <w:spacing w:line="360" w:lineRule="auto"/>
        <w:ind w:firstLine="480" w:firstLineChars="200"/>
        <w:jc w:val="left"/>
        <w:rPr>
          <w:rFonts w:hAnsi="宋体" w:cs="宋体"/>
          <w:sz w:val="24"/>
        </w:rPr>
      </w:pPr>
      <w:r>
        <w:rPr>
          <w:rFonts w:hint="eastAsia" w:hAnsi="宋体" w:cs="宋体"/>
          <w:sz w:val="24"/>
        </w:rPr>
        <w:t>签订合同后，因甲方原因推迟或延误验收时间，由甲方与乙方协商确定，项目进度顺延。如遇不可抗力原因造成工作延误，合同约定时间自然顺延，或重新约定。</w:t>
      </w:r>
    </w:p>
    <w:p>
      <w:pPr>
        <w:spacing w:line="360" w:lineRule="auto"/>
        <w:ind w:firstLine="480" w:firstLineChars="200"/>
        <w:jc w:val="left"/>
        <w:rPr>
          <w:rFonts w:hAnsi="宋体" w:cs="宋体"/>
          <w:sz w:val="24"/>
        </w:rPr>
      </w:pPr>
      <w:r>
        <w:rPr>
          <w:rFonts w:hint="eastAsia" w:hAnsi="宋体" w:cs="宋体"/>
          <w:sz w:val="24"/>
        </w:rPr>
        <w:t>3、验收标准及要求</w:t>
      </w:r>
    </w:p>
    <w:p>
      <w:pPr>
        <w:spacing w:line="360" w:lineRule="auto"/>
        <w:ind w:firstLine="480" w:firstLineChars="200"/>
        <w:rPr>
          <w:rFonts w:hAnsi="宋体" w:cs="宋体"/>
          <w:sz w:val="24"/>
        </w:rPr>
      </w:pPr>
      <w:r>
        <w:rPr>
          <w:rFonts w:hint="eastAsia" w:hAnsi="宋体" w:cs="宋体"/>
          <w:color w:val="000000"/>
          <w:sz w:val="24"/>
        </w:rPr>
        <w:t>本项目采购人将严格按照政府采购相关法律法规以及《财政部关于进一步加强政府采购需求和履约验收管理的指导意见》(财库〔2016〕205 号)的要求</w:t>
      </w:r>
      <w:r>
        <w:rPr>
          <w:rFonts w:hint="eastAsia" w:hAnsi="宋体" w:cs="宋体"/>
          <w:sz w:val="24"/>
        </w:rPr>
        <w:t>、招标文件的要求、中标人的投标文件及承诺以及合同约定标准进行验收。</w:t>
      </w:r>
    </w:p>
    <w:p>
      <w:pPr>
        <w:spacing w:line="360" w:lineRule="auto"/>
        <w:ind w:firstLine="482" w:firstLineChars="200"/>
        <w:jc w:val="left"/>
        <w:rPr>
          <w:rFonts w:hAnsi="宋体"/>
          <w:b/>
          <w:sz w:val="24"/>
        </w:rPr>
      </w:pPr>
      <w:r>
        <w:rPr>
          <w:rFonts w:hint="eastAsia" w:hAnsi="宋体"/>
          <w:b/>
          <w:sz w:val="24"/>
        </w:rPr>
        <w:t>三、其他要求</w:t>
      </w:r>
    </w:p>
    <w:p>
      <w:pPr>
        <w:pStyle w:val="11"/>
        <w:spacing w:line="360" w:lineRule="auto"/>
        <w:ind w:firstLine="480"/>
        <w:rPr>
          <w:rFonts w:hAnsi="宋体" w:cs="宋体"/>
          <w:bCs/>
          <w:sz w:val="24"/>
        </w:rPr>
      </w:pPr>
      <w:r>
        <w:rPr>
          <w:rFonts w:hint="eastAsia" w:hAnsi="宋体" w:cs="宋体"/>
          <w:bCs/>
          <w:sz w:val="24"/>
        </w:rPr>
        <w:t>供应商投标文件中需包括但不限于下列内容：</w:t>
      </w:r>
    </w:p>
    <w:p>
      <w:pPr>
        <w:pStyle w:val="11"/>
        <w:spacing w:line="360" w:lineRule="auto"/>
        <w:ind w:firstLine="480"/>
        <w:rPr>
          <w:rFonts w:hAnsi="宋体" w:cs="宋体"/>
          <w:bCs/>
          <w:sz w:val="24"/>
        </w:rPr>
      </w:pPr>
      <w:r>
        <w:rPr>
          <w:rFonts w:hint="eastAsia" w:hAnsi="宋体" w:cs="宋体"/>
          <w:bCs/>
          <w:sz w:val="24"/>
        </w:rPr>
        <w:t xml:space="preserve">1、提供的服务方案包括项目认识和方案规划思路、进度安排、跟踪服务承诺等。 </w:t>
      </w:r>
    </w:p>
    <w:p>
      <w:pPr>
        <w:pStyle w:val="11"/>
        <w:spacing w:line="360" w:lineRule="auto"/>
        <w:ind w:firstLine="480"/>
        <w:rPr>
          <w:rFonts w:hAnsi="宋体" w:cs="宋体"/>
          <w:bCs/>
          <w:sz w:val="24"/>
        </w:rPr>
      </w:pPr>
      <w:r>
        <w:rPr>
          <w:rFonts w:hint="eastAsia" w:hAnsi="宋体" w:cs="宋体"/>
          <w:bCs/>
          <w:sz w:val="24"/>
        </w:rPr>
        <w:t>2、配备的人员包括项目负责人和团队成员。</w:t>
      </w:r>
    </w:p>
    <w:p>
      <w:pPr>
        <w:pStyle w:val="11"/>
        <w:spacing w:line="360" w:lineRule="auto"/>
        <w:ind w:firstLine="480"/>
        <w:rPr>
          <w:rFonts w:hAnsi="宋体" w:cs="宋体"/>
          <w:bCs/>
          <w:sz w:val="24"/>
        </w:rPr>
      </w:pPr>
      <w:r>
        <w:rPr>
          <w:rFonts w:hint="eastAsia" w:hAnsi="宋体" w:cs="宋体"/>
          <w:bCs/>
          <w:sz w:val="24"/>
        </w:rPr>
        <w:t>3、荣誉。</w:t>
      </w:r>
    </w:p>
    <w:p>
      <w:pPr>
        <w:pStyle w:val="11"/>
        <w:spacing w:line="360" w:lineRule="auto"/>
        <w:ind w:firstLine="480"/>
        <w:rPr>
          <w:rFonts w:hAnsi="宋体" w:cs="宋体"/>
          <w:bCs/>
          <w:sz w:val="24"/>
        </w:rPr>
      </w:pPr>
      <w:r>
        <w:rPr>
          <w:rFonts w:hint="eastAsia" w:hAnsi="宋体" w:cs="宋体"/>
          <w:bCs/>
          <w:sz w:val="24"/>
        </w:rPr>
        <w:t>4、类似业绩。</w:t>
      </w:r>
    </w:p>
    <w:p>
      <w:pPr>
        <w:pStyle w:val="11"/>
        <w:ind w:firstLine="0" w:firstLineChars="0"/>
        <w:rPr>
          <w:b/>
          <w:bCs/>
          <w:sz w:val="21"/>
          <w:szCs w:val="21"/>
        </w:rPr>
      </w:pPr>
      <w:r>
        <w:rPr>
          <w:rFonts w:hint="eastAsia"/>
          <w:b/>
          <w:bCs/>
          <w:sz w:val="21"/>
          <w:szCs w:val="21"/>
        </w:rPr>
        <w:t>注意：本章的要求不能作为资格性条件要求评标，如存在资格性条件要求，应当认定招标文件编制存在重大缺陷，评标委员会应当停止评标。</w:t>
      </w:r>
    </w:p>
    <w:p>
      <w:pPr>
        <w:pStyle w:val="3"/>
        <w:spacing w:line="400" w:lineRule="exact"/>
        <w:rPr>
          <w:rFonts w:ascii="宋体"/>
          <w:b/>
          <w:bCs/>
          <w:sz w:val="36"/>
          <w:szCs w:val="36"/>
        </w:rPr>
      </w:pPr>
      <w:r>
        <w:rPr>
          <w:rFonts w:hint="eastAsia" w:ascii="宋体"/>
          <w:sz w:val="36"/>
          <w:szCs w:val="36"/>
        </w:rPr>
        <w:br w:type="page"/>
      </w:r>
      <w:bookmarkStart w:id="187" w:name="_Toc3256"/>
      <w:bookmarkStart w:id="188" w:name="_Toc20925"/>
      <w:bookmarkStart w:id="189" w:name="_Toc29380"/>
      <w:bookmarkStart w:id="190" w:name="_Toc14948"/>
      <w:r>
        <w:rPr>
          <w:rFonts w:hint="eastAsia" w:ascii="宋体"/>
          <w:b/>
          <w:bCs/>
          <w:sz w:val="36"/>
          <w:szCs w:val="36"/>
        </w:rPr>
        <w:t>第七章  评标办法</w:t>
      </w:r>
      <w:bookmarkEnd w:id="187"/>
      <w:bookmarkEnd w:id="188"/>
      <w:bookmarkEnd w:id="189"/>
      <w:bookmarkEnd w:id="190"/>
      <w:bookmarkStart w:id="191" w:name="_Hlt101846155"/>
      <w:bookmarkEnd w:id="191"/>
      <w:bookmarkStart w:id="192" w:name="_Toc217446097"/>
      <w:bookmarkStart w:id="193" w:name="_Toc183582280"/>
      <w:bookmarkStart w:id="194" w:name="_Toc183682415"/>
      <w:bookmarkStart w:id="195" w:name="_Toc208849007"/>
    </w:p>
    <w:p>
      <w:pPr>
        <w:pStyle w:val="6"/>
        <w:spacing w:line="360" w:lineRule="auto"/>
        <w:ind w:firstLine="482" w:firstLineChars="200"/>
        <w:jc w:val="left"/>
        <w:rPr>
          <w:rFonts w:ascii="黑体" w:eastAsia="黑体"/>
          <w:bCs w:val="0"/>
        </w:rPr>
      </w:pPr>
      <w:bookmarkStart w:id="196" w:name="_Toc9671"/>
      <w:bookmarkStart w:id="197" w:name="_Toc1618"/>
      <w:bookmarkStart w:id="198" w:name="_Toc22020"/>
      <w:r>
        <w:rPr>
          <w:rFonts w:hint="eastAsia" w:ascii="黑体" w:eastAsia="黑体"/>
          <w:sz w:val="24"/>
          <w:szCs w:val="24"/>
        </w:rPr>
        <w:t>1. 总则</w:t>
      </w:r>
      <w:bookmarkEnd w:id="192"/>
      <w:bookmarkEnd w:id="193"/>
      <w:bookmarkEnd w:id="194"/>
      <w:bookmarkEnd w:id="195"/>
      <w:bookmarkEnd w:id="196"/>
      <w:bookmarkEnd w:id="197"/>
      <w:bookmarkEnd w:id="198"/>
    </w:p>
    <w:p>
      <w:pPr>
        <w:spacing w:line="360" w:lineRule="auto"/>
        <w:ind w:firstLine="480" w:firstLineChars="200"/>
        <w:rPr>
          <w:sz w:val="24"/>
        </w:rPr>
      </w:pPr>
      <w:bookmarkStart w:id="199" w:name="_Toc217446103"/>
      <w:bookmarkStart w:id="200" w:name="_Toc217446099"/>
      <w:r>
        <w:rPr>
          <w:rFonts w:hint="eastAsia"/>
          <w:sz w:val="24"/>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sz w:val="24"/>
        </w:rPr>
      </w:pPr>
      <w:r>
        <w:rPr>
          <w:rFonts w:hint="eastAsia"/>
          <w:sz w:val="24"/>
        </w:rPr>
        <w:t xml:space="preserve">1.2 </w:t>
      </w:r>
      <w:r>
        <w:rPr>
          <w:rFonts w:hint="eastAsia"/>
          <w:bCs/>
          <w:sz w:val="24"/>
        </w:rPr>
        <w:t>评标工作由采购代理机构负责组织，具体评标事务由采购代理机构依法组建的评标委员会负责。评标委员会由采购人代表和有关技术、经济、法律等方面的专家组成。</w:t>
      </w:r>
    </w:p>
    <w:p>
      <w:pPr>
        <w:spacing w:line="360" w:lineRule="auto"/>
        <w:ind w:firstLine="480" w:firstLineChars="200"/>
        <w:rPr>
          <w:sz w:val="24"/>
        </w:rPr>
      </w:pPr>
      <w:r>
        <w:rPr>
          <w:rFonts w:hint="eastAsia"/>
          <w:sz w:val="24"/>
        </w:rPr>
        <w:t>1.3 评标工作应遵循公平、公正、科学及择优的原则，并以相同的评标程序和标准对待所有的投标人。</w:t>
      </w:r>
    </w:p>
    <w:p>
      <w:pPr>
        <w:spacing w:line="360" w:lineRule="auto"/>
        <w:ind w:firstLine="480" w:firstLineChars="200"/>
        <w:rPr>
          <w:sz w:val="24"/>
        </w:rPr>
      </w:pPr>
      <w:r>
        <w:rPr>
          <w:rFonts w:hint="eastAsia"/>
          <w:sz w:val="24"/>
        </w:rPr>
        <w:t>1.4 评标委员会按照招标文件规定的评标方法和标准进行评标，并独立履行下列职责：</w:t>
      </w:r>
    </w:p>
    <w:p>
      <w:pPr>
        <w:spacing w:line="360" w:lineRule="auto"/>
        <w:ind w:firstLine="480" w:firstLineChars="200"/>
        <w:rPr>
          <w:sz w:val="24"/>
        </w:rPr>
      </w:pPr>
      <w:bookmarkStart w:id="201" w:name="_Toc217446098"/>
      <w:r>
        <w:rPr>
          <w:rFonts w:hint="eastAsia"/>
          <w:sz w:val="24"/>
        </w:rPr>
        <w:t>（一）熟悉和理解招标文件；</w:t>
      </w:r>
    </w:p>
    <w:p>
      <w:pPr>
        <w:spacing w:line="360" w:lineRule="auto"/>
        <w:ind w:firstLine="480" w:firstLineChars="200"/>
        <w:rPr>
          <w:sz w:val="24"/>
        </w:rPr>
      </w:pPr>
      <w:r>
        <w:rPr>
          <w:rFonts w:hint="eastAsia"/>
          <w:sz w:val="24"/>
        </w:rPr>
        <w:t>（二）审查供应商投标文件（已通过资格审查）等是否满足招标文件要求，并作出评价；</w:t>
      </w:r>
    </w:p>
    <w:p>
      <w:pPr>
        <w:spacing w:line="360" w:lineRule="auto"/>
        <w:ind w:firstLine="480" w:firstLineChars="200"/>
        <w:rPr>
          <w:sz w:val="24"/>
        </w:rPr>
      </w:pPr>
      <w:r>
        <w:rPr>
          <w:rFonts w:hint="eastAsia"/>
          <w:sz w:val="24"/>
        </w:rPr>
        <w:t>（三）根据需要要求招标采购单位对招标文件作出解释；根据需要要求供应商对投标文件有关事项作出澄清、说明或者更正；</w:t>
      </w:r>
    </w:p>
    <w:p>
      <w:pPr>
        <w:spacing w:line="360" w:lineRule="auto"/>
        <w:ind w:firstLine="480" w:firstLineChars="200"/>
        <w:rPr>
          <w:sz w:val="24"/>
        </w:rPr>
      </w:pPr>
      <w:r>
        <w:rPr>
          <w:rFonts w:hint="eastAsia"/>
          <w:sz w:val="24"/>
        </w:rPr>
        <w:t>（四）推荐中标候选供应商；</w:t>
      </w:r>
    </w:p>
    <w:p>
      <w:pPr>
        <w:spacing w:line="360" w:lineRule="auto"/>
        <w:ind w:firstLine="480" w:firstLineChars="200"/>
        <w:rPr>
          <w:sz w:val="24"/>
        </w:rPr>
      </w:pPr>
      <w:r>
        <w:rPr>
          <w:rFonts w:hint="eastAsia"/>
          <w:sz w:val="24"/>
        </w:rPr>
        <w:t>（五）起草评标报告并进行签署；</w:t>
      </w:r>
    </w:p>
    <w:p>
      <w:pPr>
        <w:spacing w:line="360" w:lineRule="auto"/>
        <w:ind w:firstLine="480" w:firstLineChars="200"/>
        <w:rPr>
          <w:sz w:val="24"/>
        </w:rPr>
      </w:pPr>
      <w:r>
        <w:rPr>
          <w:rFonts w:hint="eastAsia"/>
          <w:sz w:val="24"/>
        </w:rPr>
        <w:t>（六）向招标采购单位、财政部门或者其他监督部门报告非法干预评标工作的行为；</w:t>
      </w:r>
    </w:p>
    <w:p>
      <w:pPr>
        <w:spacing w:line="360" w:lineRule="auto"/>
        <w:ind w:firstLine="480" w:firstLineChars="200"/>
        <w:rPr>
          <w:sz w:val="24"/>
        </w:rPr>
      </w:pPr>
      <w:r>
        <w:rPr>
          <w:rFonts w:hint="eastAsia"/>
          <w:sz w:val="24"/>
        </w:rPr>
        <w:t>（七）法律、法规和规章规定的其他职责。</w:t>
      </w:r>
    </w:p>
    <w:p>
      <w:pPr>
        <w:spacing w:line="360" w:lineRule="auto"/>
        <w:ind w:firstLine="480" w:firstLineChars="200"/>
        <w:rPr>
          <w:sz w:val="24"/>
        </w:rPr>
      </w:pPr>
      <w:r>
        <w:rPr>
          <w:rFonts w:hint="eastAsia"/>
          <w:sz w:val="24"/>
        </w:rPr>
        <w:t>1.5 评标过程独立、保密。投标人非法干预评标过程的行为将导致其投标文件作为无效处理。</w:t>
      </w:r>
    </w:p>
    <w:p>
      <w:pPr>
        <w:spacing w:line="360" w:lineRule="auto"/>
        <w:ind w:firstLine="480" w:firstLineChars="200"/>
        <w:rPr>
          <w:rFonts w:ascii="黑体" w:eastAsia="黑体"/>
          <w:b/>
          <w:sz w:val="24"/>
        </w:rPr>
      </w:pPr>
      <w:r>
        <w:rPr>
          <w:rFonts w:hint="eastAsia"/>
          <w:sz w:val="24"/>
        </w:rPr>
        <w:t>1.6评标委员会评价投标文件的响应性，对于投标人而言，除评标委员会要求其澄清、说明或者更正而提供的资料外，仅依据投标文件本身的内容，不寻求其他外部证据。</w:t>
      </w:r>
    </w:p>
    <w:p>
      <w:pPr>
        <w:spacing w:line="360" w:lineRule="auto"/>
        <w:ind w:firstLine="482" w:firstLineChars="200"/>
        <w:rPr>
          <w:rFonts w:ascii="黑体" w:eastAsia="黑体"/>
          <w:b/>
          <w:sz w:val="24"/>
        </w:rPr>
      </w:pPr>
      <w:r>
        <w:rPr>
          <w:rFonts w:hint="eastAsia" w:ascii="黑体" w:eastAsia="黑体"/>
          <w:b/>
          <w:sz w:val="24"/>
        </w:rPr>
        <w:t>2.评标方法</w:t>
      </w:r>
    </w:p>
    <w:bookmarkEnd w:id="201"/>
    <w:p>
      <w:pPr>
        <w:spacing w:line="360" w:lineRule="auto"/>
        <w:ind w:firstLine="480" w:firstLineChars="200"/>
        <w:rPr>
          <w:sz w:val="24"/>
        </w:rPr>
      </w:pPr>
      <w:r>
        <w:rPr>
          <w:rFonts w:hint="eastAsia"/>
          <w:sz w:val="24"/>
        </w:rPr>
        <w:t>本项目评标方法为：综合评分法。</w:t>
      </w:r>
    </w:p>
    <w:p>
      <w:pPr>
        <w:spacing w:line="360" w:lineRule="auto"/>
        <w:ind w:firstLine="480" w:firstLineChars="200"/>
        <w:outlineLvl w:val="1"/>
        <w:rPr>
          <w:rFonts w:ascii="黑体" w:eastAsia="黑体"/>
          <w:b/>
          <w:sz w:val="24"/>
        </w:rPr>
      </w:pPr>
      <w:r>
        <w:rPr>
          <w:rFonts w:hint="eastAsia" w:ascii="黑体" w:eastAsia="黑体"/>
          <w:sz w:val="24"/>
        </w:rPr>
        <w:t>3.</w:t>
      </w:r>
      <w:r>
        <w:rPr>
          <w:rFonts w:hint="eastAsia" w:ascii="黑体" w:eastAsia="黑体"/>
          <w:b/>
          <w:sz w:val="24"/>
        </w:rPr>
        <w:t>评标程序</w:t>
      </w:r>
    </w:p>
    <w:p>
      <w:pPr>
        <w:spacing w:line="360" w:lineRule="auto"/>
        <w:ind w:firstLine="480" w:firstLineChars="200"/>
        <w:rPr>
          <w:sz w:val="24"/>
        </w:rPr>
      </w:pPr>
      <w:r>
        <w:rPr>
          <w:rFonts w:hint="eastAsia"/>
          <w:sz w:val="24"/>
        </w:rPr>
        <w:t>3.1熟悉和理解招标文件和停止评标。</w:t>
      </w:r>
    </w:p>
    <w:p>
      <w:pPr>
        <w:spacing w:line="360" w:lineRule="auto"/>
        <w:ind w:firstLine="480" w:firstLineChars="200"/>
        <w:rPr>
          <w:sz w:val="24"/>
        </w:rPr>
      </w:pPr>
      <w:r>
        <w:rPr>
          <w:rFonts w:hint="eastAsia"/>
          <w:sz w:val="24"/>
        </w:rPr>
        <w:t>3.1.1评标委员会正式评标前，应当对招标文件进行熟悉和理解，内容主要包括招标文件中采购项目服务和商务要求、评标方法和标准以及可能涉及签订政府采购合同的内容等。</w:t>
      </w:r>
    </w:p>
    <w:p>
      <w:pPr>
        <w:spacing w:line="360" w:lineRule="auto"/>
        <w:ind w:firstLine="480" w:firstLineChars="200"/>
        <w:rPr>
          <w:sz w:val="24"/>
        </w:rPr>
      </w:pPr>
      <w:r>
        <w:rPr>
          <w:rFonts w:hint="eastAsia"/>
          <w:sz w:val="24"/>
        </w:rPr>
        <w:t>3.1.2评标委员会熟悉和理解招标文件以及评标过程中，发现本招标文件有下列情形之一的，评标委员会应当停止评标：</w:t>
      </w:r>
    </w:p>
    <w:p>
      <w:pPr>
        <w:spacing w:line="360" w:lineRule="auto"/>
        <w:ind w:firstLine="480" w:firstLineChars="200"/>
        <w:rPr>
          <w:sz w:val="24"/>
        </w:rPr>
      </w:pPr>
      <w:r>
        <w:rPr>
          <w:rFonts w:hint="eastAsia"/>
          <w:sz w:val="24"/>
        </w:rPr>
        <w:t>（1）招标文件的规定存在歧义、重大缺陷的；</w:t>
      </w:r>
    </w:p>
    <w:p>
      <w:pPr>
        <w:spacing w:line="360" w:lineRule="auto"/>
        <w:ind w:firstLine="480" w:firstLineChars="200"/>
        <w:rPr>
          <w:sz w:val="24"/>
        </w:rPr>
      </w:pPr>
      <w:r>
        <w:rPr>
          <w:rFonts w:hint="eastAsia"/>
          <w:sz w:val="24"/>
        </w:rPr>
        <w:t>（2）招标文件明显以不合理条件对供应商实行差别待遇或者歧视待遇的；</w:t>
      </w:r>
    </w:p>
    <w:p>
      <w:pPr>
        <w:spacing w:line="360" w:lineRule="auto"/>
        <w:ind w:firstLine="480" w:firstLineChars="200"/>
        <w:rPr>
          <w:sz w:val="24"/>
        </w:rPr>
      </w:pPr>
      <w:r>
        <w:rPr>
          <w:rFonts w:hint="eastAsia"/>
          <w:sz w:val="24"/>
        </w:rPr>
        <w:t>（3）采购项目属于国家规定的优先、强制采购范围，但是招标文件未依法体现优先、强制采购相关规定的；</w:t>
      </w:r>
    </w:p>
    <w:p>
      <w:pPr>
        <w:spacing w:line="360" w:lineRule="auto"/>
        <w:ind w:firstLine="480" w:firstLineChars="200"/>
        <w:rPr>
          <w:sz w:val="24"/>
        </w:rPr>
      </w:pPr>
      <w:r>
        <w:rPr>
          <w:rFonts w:hint="eastAsia"/>
          <w:sz w:val="24"/>
        </w:rPr>
        <w:t>（4）采购项目属于政府采购促进中小企业发展的范围，但是招标文件未依法体现促进中小企业发展相关规定的；</w:t>
      </w:r>
    </w:p>
    <w:p>
      <w:pPr>
        <w:spacing w:line="360" w:lineRule="auto"/>
        <w:ind w:firstLine="480" w:firstLineChars="200"/>
        <w:rPr>
          <w:sz w:val="24"/>
        </w:rPr>
      </w:pPr>
      <w:r>
        <w:rPr>
          <w:rFonts w:hint="eastAsia"/>
          <w:sz w:val="24"/>
        </w:rPr>
        <w:t>（5）招标文件规定的评标方法是综合评分法、最低评标价法之外的评标方法，或者虽然名称为综合评分法、最低评标价法，但实际上不符合国家规定；</w:t>
      </w:r>
    </w:p>
    <w:p>
      <w:pPr>
        <w:spacing w:line="360" w:lineRule="auto"/>
        <w:ind w:firstLine="480" w:firstLineChars="200"/>
        <w:rPr>
          <w:sz w:val="24"/>
        </w:rPr>
      </w:pPr>
      <w:r>
        <w:rPr>
          <w:rFonts w:hint="eastAsia"/>
          <w:sz w:val="24"/>
        </w:rPr>
        <w:t>（6）招标文件将投标人的资格条件列为评分因素的；</w:t>
      </w:r>
    </w:p>
    <w:p>
      <w:pPr>
        <w:spacing w:line="360" w:lineRule="auto"/>
        <w:ind w:firstLine="480" w:firstLineChars="200"/>
        <w:rPr>
          <w:sz w:val="24"/>
        </w:rPr>
      </w:pPr>
      <w:r>
        <w:rPr>
          <w:rFonts w:hint="eastAsia"/>
          <w:sz w:val="24"/>
        </w:rPr>
        <w:t>（7）招标文件有违反国家其他有关强制性规定的情形。</w:t>
      </w:r>
    </w:p>
    <w:p>
      <w:pPr>
        <w:spacing w:line="360" w:lineRule="auto"/>
        <w:ind w:firstLine="480" w:firstLineChars="200"/>
        <w:rPr>
          <w:sz w:val="24"/>
        </w:rPr>
      </w:pPr>
      <w:r>
        <w:rPr>
          <w:rFonts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sz w:val="24"/>
        </w:rPr>
      </w:pPr>
      <w:r>
        <w:rPr>
          <w:rFonts w:hint="eastAsia"/>
          <w:sz w:val="24"/>
        </w:rPr>
        <w:t>3.2资格性检查。</w:t>
      </w:r>
    </w:p>
    <w:p>
      <w:pPr>
        <w:spacing w:line="360" w:lineRule="auto"/>
        <w:ind w:firstLine="480" w:firstLineChars="200"/>
        <w:rPr>
          <w:sz w:val="24"/>
        </w:rPr>
      </w:pPr>
      <w:r>
        <w:rPr>
          <w:rFonts w:hint="eastAsia"/>
          <w:sz w:val="24"/>
        </w:rPr>
        <w:t>资格性审查时因断电、断网、系统故障或其他不可抗力等因素，导致资格审查小组无法通过系统阅读投标文件进行审查的，待系统恢复后继续审查</w:t>
      </w:r>
      <w:r>
        <w:rPr>
          <w:rFonts w:hint="eastAsia" w:hAnsi="宋体"/>
          <w:sz w:val="28"/>
          <w:szCs w:val="28"/>
        </w:rPr>
        <w:t>。</w:t>
      </w:r>
      <w:r>
        <w:rPr>
          <w:rFonts w:hint="eastAsia"/>
          <w:sz w:val="24"/>
        </w:rPr>
        <w:t>出现上述情况时，采购代理机构将以（电话、短信、电子邮件等形式）通知各投标人。</w:t>
      </w:r>
    </w:p>
    <w:p>
      <w:pPr>
        <w:spacing w:line="360" w:lineRule="auto"/>
        <w:ind w:firstLine="480" w:firstLineChars="200"/>
        <w:rPr>
          <w:sz w:val="24"/>
        </w:rPr>
      </w:pPr>
      <w:r>
        <w:rPr>
          <w:rFonts w:hint="eastAsia"/>
          <w:sz w:val="24"/>
        </w:rPr>
        <w:t>公开招标采购项目开标结束后，采购人或采购代理机构应依据法律法规和本招标文件的规定，对投标文件是否按照规定要求提供资格性证明材料、是否属于禁止参加投标的供应商等进行审查，以确定投标供应商是否具备投标资格。投标人投标文件属于下列情况之一的，在资格性检查时按照无效投标处理：</w:t>
      </w:r>
    </w:p>
    <w:p>
      <w:pPr>
        <w:spacing w:line="360" w:lineRule="auto"/>
        <w:ind w:firstLine="480" w:firstLineChars="200"/>
        <w:rPr>
          <w:sz w:val="24"/>
        </w:rPr>
      </w:pPr>
      <w:r>
        <w:rPr>
          <w:rFonts w:hint="eastAsia"/>
          <w:sz w:val="24"/>
        </w:rPr>
        <w:t>（1）未按照招标文件第五章要求提供证明材料的；</w:t>
      </w:r>
    </w:p>
    <w:p>
      <w:pPr>
        <w:spacing w:line="360" w:lineRule="auto"/>
        <w:ind w:firstLine="480" w:firstLineChars="200"/>
        <w:rPr>
          <w:sz w:val="24"/>
        </w:rPr>
      </w:pPr>
      <w:r>
        <w:rPr>
          <w:rFonts w:hint="eastAsia"/>
          <w:sz w:val="24"/>
        </w:rPr>
        <w:t>（2）属于禁止参加投标的供应商。</w:t>
      </w:r>
    </w:p>
    <w:p>
      <w:pPr>
        <w:pStyle w:val="2"/>
        <w:spacing w:line="360" w:lineRule="auto"/>
        <w:ind w:firstLine="480" w:firstLineChars="200"/>
        <w:rPr>
          <w:highlight w:val="red"/>
        </w:rPr>
      </w:pPr>
      <w:r>
        <w:rPr>
          <w:rFonts w:hint="eastAsia"/>
          <w:sz w:val="24"/>
        </w:rPr>
        <w:t>（3）未在政采云平台上获取招标文件。</w:t>
      </w:r>
    </w:p>
    <w:p>
      <w:pPr>
        <w:spacing w:line="360" w:lineRule="auto"/>
        <w:ind w:firstLine="482" w:firstLineChars="200"/>
        <w:rPr>
          <w:b/>
          <w:sz w:val="24"/>
        </w:rPr>
      </w:pPr>
      <w:r>
        <w:rPr>
          <w:rFonts w:hint="eastAsia"/>
          <w:b/>
          <w:sz w:val="24"/>
        </w:rPr>
        <w:t>注：1、本项目由采购代理机构进行资格性检查。</w:t>
      </w:r>
    </w:p>
    <w:p>
      <w:pPr>
        <w:spacing w:line="360" w:lineRule="auto"/>
        <w:ind w:firstLine="487" w:firstLineChars="202"/>
        <w:rPr>
          <w:b/>
          <w:sz w:val="24"/>
        </w:rPr>
      </w:pPr>
      <w:r>
        <w:rPr>
          <w:rFonts w:hint="eastAsia" w:hAnsi="宋体"/>
          <w:b/>
          <w:sz w:val="24"/>
        </w:rPr>
        <w:t>2、投标人的投标文件资格性审查时被判定为无效的，招标代理机构将通知投标人（邮件、电话、“政府采购云平台”等任一方式）。投标人如对资格审查结论有异议的，应及时向招标代理机构反馈意见。（说明：无论投标人是否收到通知或提供反馈意见，均不影响资格审查和评标工作，招标代理机构对此将不承担任何的责任。投标人对资格审查结论有异议的，其反馈意见仅限于资格审查小组对资格审查结论的正确性进行复核，避免出现审查错误。）</w:t>
      </w:r>
    </w:p>
    <w:p>
      <w:pPr>
        <w:spacing w:line="360" w:lineRule="auto"/>
        <w:ind w:firstLine="482" w:firstLineChars="200"/>
        <w:rPr>
          <w:b/>
          <w:sz w:val="24"/>
        </w:rPr>
      </w:pPr>
      <w:r>
        <w:rPr>
          <w:rFonts w:hint="eastAsia"/>
          <w:b/>
          <w:sz w:val="24"/>
        </w:rPr>
        <w:t>3.3符合性检查。</w:t>
      </w:r>
    </w:p>
    <w:p>
      <w:pPr>
        <w:spacing w:line="360" w:lineRule="auto"/>
        <w:ind w:firstLine="480" w:firstLineChars="200"/>
        <w:rPr>
          <w:sz w:val="24"/>
        </w:rPr>
      </w:pPr>
      <w:r>
        <w:rPr>
          <w:rFonts w:hint="eastAsia"/>
          <w:sz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sz w:val="24"/>
        </w:rPr>
      </w:pPr>
      <w:r>
        <w:rPr>
          <w:rFonts w:hint="eastAsia"/>
          <w:sz w:val="24"/>
        </w:rPr>
        <w:t>3.3.2投标文件（包括单独递交的开标一览表）有下列情形的，本项目不作为实质性要求进行规定，即不作为符合性审查事项，不得作为无效投标处理：</w:t>
      </w:r>
    </w:p>
    <w:p>
      <w:pPr>
        <w:spacing w:line="360" w:lineRule="auto"/>
        <w:ind w:firstLine="480" w:firstLineChars="200"/>
        <w:rPr>
          <w:sz w:val="24"/>
        </w:rPr>
      </w:pPr>
      <w:r>
        <w:rPr>
          <w:rFonts w:hint="eastAsia"/>
          <w:sz w:val="24"/>
        </w:rPr>
        <w:t>（1）其他不影响采购项目实质性要求的情形。</w:t>
      </w:r>
    </w:p>
    <w:p>
      <w:pPr>
        <w:spacing w:line="360" w:lineRule="auto"/>
        <w:ind w:firstLine="480" w:firstLineChars="200"/>
        <w:rPr>
          <w:sz w:val="24"/>
        </w:rPr>
      </w:pPr>
      <w:r>
        <w:rPr>
          <w:rFonts w:hint="eastAsia"/>
          <w:sz w:val="24"/>
        </w:rPr>
        <w:t>3.3.3除政府采购法律制度规定的情形外，本项目投标人或者其投标文件有下列情形之一的，作为无效投标处理：</w:t>
      </w:r>
    </w:p>
    <w:p>
      <w:pPr>
        <w:spacing w:line="360" w:lineRule="auto"/>
        <w:ind w:firstLine="480" w:firstLineChars="200"/>
        <w:rPr>
          <w:sz w:val="24"/>
        </w:rPr>
      </w:pPr>
      <w:r>
        <w:rPr>
          <w:rFonts w:hint="eastAsia"/>
          <w:sz w:val="24"/>
        </w:rPr>
        <w:t>（一）投标文件组成明显不符合招标文件的规定要求，影响评标委员会评判的；</w:t>
      </w:r>
    </w:p>
    <w:p>
      <w:pPr>
        <w:spacing w:line="360" w:lineRule="auto"/>
        <w:ind w:firstLine="480" w:firstLineChars="200"/>
        <w:rPr>
          <w:sz w:val="24"/>
        </w:rPr>
      </w:pPr>
      <w:r>
        <w:rPr>
          <w:rFonts w:hint="eastAsia"/>
          <w:sz w:val="24"/>
        </w:rPr>
        <w:t>（二）投标文件的格式、语言、计量单位、报价货币、知识产权、投标有效期等不符合招标文件的规定，影响评标委员会评判的；</w:t>
      </w:r>
    </w:p>
    <w:p>
      <w:pPr>
        <w:spacing w:line="360" w:lineRule="auto"/>
        <w:ind w:firstLine="480" w:firstLineChars="200"/>
        <w:rPr>
          <w:sz w:val="24"/>
        </w:rPr>
      </w:pPr>
      <w:r>
        <w:rPr>
          <w:rFonts w:hint="eastAsia"/>
          <w:sz w:val="24"/>
        </w:rPr>
        <w:t>（三）投标报价不符合招标文件规定的价格标底和其他报价规定的；</w:t>
      </w:r>
    </w:p>
    <w:p>
      <w:pPr>
        <w:spacing w:line="360" w:lineRule="auto"/>
        <w:ind w:firstLine="480" w:firstLineChars="200"/>
        <w:rPr>
          <w:sz w:val="24"/>
        </w:rPr>
      </w:pPr>
      <w:r>
        <w:rPr>
          <w:rFonts w:hint="eastAsia"/>
          <w:sz w:val="24"/>
        </w:rPr>
        <w:t>（四）应答内容没有完全响应招标文件的实质性要求的；</w:t>
      </w:r>
    </w:p>
    <w:p>
      <w:pPr>
        <w:spacing w:line="360" w:lineRule="auto"/>
        <w:ind w:firstLine="480" w:firstLineChars="200"/>
        <w:rPr>
          <w:sz w:val="24"/>
        </w:rPr>
      </w:pPr>
      <w:r>
        <w:rPr>
          <w:rFonts w:hint="eastAsia"/>
          <w:sz w:val="24"/>
        </w:rPr>
        <w:t>（五）招标文件有明确要求，但投标文件未载明或者载明的采购项目履约时间、方式、数量与招标文件要求不一致的。</w:t>
      </w:r>
    </w:p>
    <w:p>
      <w:pPr>
        <w:spacing w:line="360" w:lineRule="auto"/>
        <w:ind w:firstLine="482" w:firstLineChars="200"/>
        <w:rPr>
          <w:sz w:val="24"/>
        </w:rPr>
      </w:pPr>
      <w:r>
        <w:rPr>
          <w:rFonts w:hint="eastAsia" w:hAnsi="宋体"/>
          <w:b/>
          <w:sz w:val="24"/>
        </w:rPr>
        <w:t>注：</w:t>
      </w:r>
      <w:r>
        <w:rPr>
          <w:rFonts w:hAnsi="宋体"/>
          <w:b/>
          <w:sz w:val="24"/>
        </w:rPr>
        <w:t>投标人的投标文件符合性审查时被判定为无效投标文件的，招标代理机构将通知投标人（以邮件、电话、“政府采购云平台”等任一方式）。投标人如对评审结论有异议的，应及时向招标代理机构反馈意见。招标代理机构在评审结束前将收到的反馈意见及时告知评标委员会。（说明：无论投标人是否收到通知或提供反馈意见，均不影响评标委员会的评标工作，且招标代理机构对此将不承担任何的责任。投标人对评审结论有异议的，其反馈意见仅限于评标委员会对评审结论的正确性进行复核，避免出现评审错误。）</w:t>
      </w:r>
    </w:p>
    <w:p>
      <w:pPr>
        <w:spacing w:line="360" w:lineRule="auto"/>
        <w:ind w:firstLine="480" w:firstLineChars="200"/>
        <w:rPr>
          <w:sz w:val="24"/>
        </w:rPr>
      </w:pPr>
      <w:r>
        <w:rPr>
          <w:rFonts w:hint="eastAsia"/>
          <w:sz w:val="24"/>
        </w:rPr>
        <w:t>3.4比较与评价。按招标文件中规定的评标方法和标准，对未作无效投标处理的投标文件进行评估，综合比较与评价。</w:t>
      </w:r>
    </w:p>
    <w:p>
      <w:pPr>
        <w:spacing w:line="360" w:lineRule="auto"/>
        <w:ind w:firstLine="480" w:firstLineChars="200"/>
        <w:rPr>
          <w:sz w:val="24"/>
        </w:rPr>
      </w:pPr>
      <w:r>
        <w:rPr>
          <w:rFonts w:hint="eastAsia"/>
          <w:sz w:val="24"/>
        </w:rPr>
        <w:t>3.5复核。评分汇总结束后，评标委员会应当进行复核，特别要对拟推荐为中标候选供应商的、报价最低的、投标文件被认定为无效的进行重点复核。</w:t>
      </w:r>
    </w:p>
    <w:p>
      <w:pPr>
        <w:spacing w:line="360" w:lineRule="auto"/>
        <w:ind w:firstLine="480" w:firstLineChars="200"/>
        <w:rPr>
          <w:sz w:val="24"/>
        </w:rPr>
      </w:pPr>
      <w:r>
        <w:rPr>
          <w:rFonts w:hint="eastAsia"/>
          <w:sz w:val="24"/>
        </w:rPr>
        <w:t>3.6推荐中标候选供应商。中标候选供应商应当排序。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供应商注册地在不发达地区或者少数民族地区的优先；报价相同且满足招标文件全部实质性要求且按照评审因素的量化指标评审得分也相同的，且供应商注册地在不发达地区或者少数民族地区的并列，由采购人自主采取公平、择优的方式选择中标供应商。</w:t>
      </w:r>
    </w:p>
    <w:p>
      <w:pPr>
        <w:spacing w:line="360" w:lineRule="auto"/>
        <w:ind w:firstLine="480" w:firstLineChars="200"/>
        <w:rPr>
          <w:sz w:val="24"/>
        </w:rPr>
      </w:pPr>
      <w:r>
        <w:rPr>
          <w:rFonts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sz w:val="24"/>
        </w:rPr>
      </w:pPr>
      <w:r>
        <w:rPr>
          <w:rFonts w:hint="eastAsia"/>
          <w:sz w:val="24"/>
        </w:rPr>
        <w:t>3.7出具评标报告。评标委员会推荐中标候选供应商后，应当向招标采购单位出具评标报告。评标报告应当包括下列内容：</w:t>
      </w:r>
    </w:p>
    <w:p>
      <w:pPr>
        <w:spacing w:line="360" w:lineRule="auto"/>
        <w:ind w:firstLine="480" w:firstLineChars="200"/>
        <w:rPr>
          <w:sz w:val="24"/>
        </w:rPr>
      </w:pPr>
      <w:r>
        <w:rPr>
          <w:rFonts w:hint="eastAsia"/>
          <w:sz w:val="24"/>
        </w:rPr>
        <w:t>（一）招标公告刊登的媒体名称、开标日期和地点；</w:t>
      </w:r>
    </w:p>
    <w:p>
      <w:pPr>
        <w:spacing w:line="360" w:lineRule="auto"/>
        <w:ind w:firstLine="480" w:firstLineChars="200"/>
        <w:rPr>
          <w:sz w:val="24"/>
        </w:rPr>
      </w:pPr>
      <w:r>
        <w:rPr>
          <w:rFonts w:hint="eastAsia"/>
          <w:sz w:val="24"/>
        </w:rPr>
        <w:t>（二）获取招标文件的投标人名单和评标委员会成员名单；</w:t>
      </w:r>
    </w:p>
    <w:p>
      <w:pPr>
        <w:spacing w:line="360" w:lineRule="auto"/>
        <w:ind w:firstLine="480" w:firstLineChars="200"/>
        <w:rPr>
          <w:sz w:val="24"/>
        </w:rPr>
      </w:pPr>
      <w:r>
        <w:rPr>
          <w:rFonts w:hint="eastAsia"/>
          <w:sz w:val="24"/>
        </w:rPr>
        <w:t>（三）评标方法和标准；</w:t>
      </w:r>
    </w:p>
    <w:p>
      <w:pPr>
        <w:spacing w:line="360" w:lineRule="auto"/>
        <w:ind w:firstLine="480" w:firstLineChars="200"/>
        <w:rPr>
          <w:sz w:val="24"/>
        </w:rPr>
      </w:pPr>
      <w:r>
        <w:rPr>
          <w:rFonts w:hint="eastAsia"/>
          <w:sz w:val="24"/>
        </w:rPr>
        <w:t>（四）开标记录和评标情况及说明，包括无效投标人名单及原因；</w:t>
      </w:r>
    </w:p>
    <w:p>
      <w:pPr>
        <w:spacing w:line="360" w:lineRule="auto"/>
        <w:ind w:firstLine="480" w:firstLineChars="200"/>
        <w:rPr>
          <w:sz w:val="24"/>
        </w:rPr>
      </w:pPr>
      <w:r>
        <w:rPr>
          <w:rFonts w:hint="eastAsia"/>
          <w:sz w:val="24"/>
        </w:rPr>
        <w:t>（五）评标结果和中标候选供应商排序表；</w:t>
      </w:r>
    </w:p>
    <w:p>
      <w:pPr>
        <w:spacing w:line="360" w:lineRule="auto"/>
        <w:ind w:firstLine="480" w:firstLineChars="200"/>
        <w:rPr>
          <w:sz w:val="24"/>
        </w:rPr>
      </w:pPr>
      <w:r>
        <w:rPr>
          <w:rFonts w:hint="eastAsia"/>
          <w:sz w:val="24"/>
        </w:rPr>
        <w:t>（六）评标委员会授标建议；</w:t>
      </w:r>
    </w:p>
    <w:p>
      <w:pPr>
        <w:spacing w:line="360" w:lineRule="auto"/>
        <w:ind w:firstLine="480" w:firstLineChars="200"/>
        <w:rPr>
          <w:sz w:val="24"/>
        </w:rPr>
      </w:pPr>
      <w:r>
        <w:rPr>
          <w:rFonts w:hint="eastAsia"/>
          <w:sz w:val="24"/>
        </w:rPr>
        <w:t>（七）报价最高的投标人为中标候选人的，评标委员会应当对其报价的合理性予以特别说明。</w:t>
      </w:r>
    </w:p>
    <w:p>
      <w:pPr>
        <w:spacing w:line="360" w:lineRule="auto"/>
        <w:ind w:firstLine="480" w:firstLineChars="200"/>
        <w:rPr>
          <w:sz w:val="24"/>
        </w:rPr>
      </w:pPr>
      <w:r>
        <w:rPr>
          <w:rFonts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sz w:val="24"/>
        </w:rPr>
      </w:pPr>
      <w:r>
        <w:rPr>
          <w:rFonts w:hint="eastAsia"/>
          <w:sz w:val="24"/>
        </w:rPr>
        <w:t>3.8评标争议处理规则。评标委员会在评审过程中，就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sz w:val="24"/>
        </w:rPr>
      </w:pPr>
      <w:r>
        <w:rPr>
          <w:rFonts w:hint="eastAsia"/>
          <w:sz w:val="24"/>
        </w:rPr>
        <w:t>3.9供应商应当书面澄清、说明或者更正。</w:t>
      </w:r>
    </w:p>
    <w:p>
      <w:pPr>
        <w:spacing w:line="360" w:lineRule="auto"/>
        <w:ind w:firstLine="480" w:firstLineChars="200"/>
        <w:rPr>
          <w:sz w:val="24"/>
        </w:rPr>
      </w:pPr>
      <w:r>
        <w:rPr>
          <w:rFonts w:hint="eastAsia"/>
          <w:sz w:val="24"/>
        </w:rPr>
        <w:t>3.9.1在评标过程中，供应商投标文件实质性符合招标文件要求的前提下，评标委员会对投标文件中含义不明确、同类问题表述不一致或者有明显文字和计算错误的内容，应当要求供应商作出必要的书面澄清、说明或者更正，并给予供应商必要的反馈时间。</w:t>
      </w:r>
    </w:p>
    <w:p>
      <w:pPr>
        <w:spacing w:line="360" w:lineRule="auto"/>
        <w:ind w:firstLine="480" w:firstLineChars="200"/>
        <w:rPr>
          <w:sz w:val="24"/>
        </w:rPr>
      </w:pPr>
      <w:r>
        <w:rPr>
          <w:rFonts w:hint="eastAsia"/>
          <w:sz w:val="24"/>
        </w:rPr>
        <w:t>3.9.2评标结束之前，投标人应随时关注系统提示，及时通过“政府采购云平台”在线响应评标委员会发出的澄清、说明或补正要求，签章并确认提交成功。逾时回复将不能提交，视为投标人自行放弃，其损失由投标人承担。</w:t>
      </w:r>
    </w:p>
    <w:p>
      <w:pPr>
        <w:spacing w:line="360" w:lineRule="auto"/>
        <w:ind w:firstLine="480" w:firstLineChars="200"/>
        <w:rPr>
          <w:sz w:val="24"/>
        </w:rPr>
      </w:pPr>
      <w:r>
        <w:rPr>
          <w:rFonts w:hint="eastAsia"/>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sz w:val="24"/>
        </w:rPr>
      </w:pPr>
      <w:r>
        <w:rPr>
          <w:rFonts w:hint="eastAsia"/>
          <w:sz w:val="24"/>
        </w:rPr>
        <w:t>（一）按财政部规定应当在评标时不予承认的投标文件内容事项；</w:t>
      </w:r>
    </w:p>
    <w:p>
      <w:pPr>
        <w:spacing w:line="360" w:lineRule="auto"/>
        <w:ind w:firstLine="480" w:firstLineChars="200"/>
        <w:rPr>
          <w:sz w:val="24"/>
        </w:rPr>
      </w:pPr>
      <w:r>
        <w:rPr>
          <w:rFonts w:hint="eastAsia"/>
          <w:sz w:val="24"/>
        </w:rPr>
        <w:t>（二）投标文件中已经明确的内容事项；</w:t>
      </w:r>
    </w:p>
    <w:p>
      <w:pPr>
        <w:spacing w:line="360" w:lineRule="auto"/>
        <w:ind w:firstLine="480" w:firstLineChars="200"/>
        <w:rPr>
          <w:sz w:val="24"/>
        </w:rPr>
      </w:pPr>
      <w:r>
        <w:rPr>
          <w:rFonts w:hint="eastAsia"/>
          <w:sz w:val="24"/>
        </w:rPr>
        <w:t>（三）投标文件未提供的材料。</w:t>
      </w:r>
    </w:p>
    <w:p>
      <w:pPr>
        <w:spacing w:line="360" w:lineRule="auto"/>
        <w:ind w:firstLine="480" w:firstLineChars="200"/>
        <w:rPr>
          <w:sz w:val="24"/>
        </w:rPr>
      </w:pPr>
      <w:r>
        <w:rPr>
          <w:rFonts w:hint="eastAsia"/>
          <w:sz w:val="24"/>
        </w:rPr>
        <w:t>3.9.5 本项目采购过程中，投标文件出现下列情况的，不需要供应商澄清、说明或者更正，按照以下原则处理：</w:t>
      </w:r>
    </w:p>
    <w:p>
      <w:pPr>
        <w:spacing w:line="360" w:lineRule="auto"/>
        <w:ind w:firstLine="480" w:firstLineChars="200"/>
        <w:rPr>
          <w:sz w:val="24"/>
        </w:rPr>
      </w:pPr>
      <w:r>
        <w:rPr>
          <w:rFonts w:hint="eastAsia"/>
          <w:sz w:val="24"/>
        </w:rPr>
        <w:t>（一）投标文件的大写金额和小写金额不一致的，以大写金额为准，但大写金额出现文字错误，导致金额无法判断的除外；</w:t>
      </w:r>
    </w:p>
    <w:p>
      <w:pPr>
        <w:spacing w:line="360" w:lineRule="auto"/>
        <w:ind w:firstLine="480" w:firstLineChars="200"/>
        <w:rPr>
          <w:sz w:val="24"/>
        </w:rPr>
      </w:pPr>
      <w:r>
        <w:rPr>
          <w:rFonts w:hint="eastAsia"/>
          <w:sz w:val="24"/>
        </w:rPr>
        <w:t>（二）总价金额与按单价汇总金额不一致的，以单价汇总金额计算结果为准，但是单价金额出现计算错误、明显人为工作失误的除外；</w:t>
      </w:r>
    </w:p>
    <w:p>
      <w:pPr>
        <w:spacing w:line="360" w:lineRule="auto"/>
        <w:ind w:firstLine="480" w:firstLineChars="200"/>
        <w:rPr>
          <w:sz w:val="24"/>
        </w:rPr>
      </w:pPr>
      <w:r>
        <w:rPr>
          <w:rFonts w:hint="eastAsia"/>
          <w:sz w:val="24"/>
        </w:rPr>
        <w:t>（三）单价金额小数点有明显错位的，应以总价为准，并修改单价；</w:t>
      </w:r>
    </w:p>
    <w:p>
      <w:pPr>
        <w:spacing w:line="360" w:lineRule="auto"/>
        <w:ind w:firstLine="480" w:firstLineChars="200"/>
        <w:rPr>
          <w:sz w:val="24"/>
        </w:rPr>
      </w:pPr>
      <w:r>
        <w:rPr>
          <w:rFonts w:hint="eastAsia"/>
          <w:sz w:val="24"/>
        </w:rPr>
        <w:t>（四）对不同语言文本投标文件的解释发生异议的，以中文文本为准。</w:t>
      </w:r>
    </w:p>
    <w:p>
      <w:pPr>
        <w:spacing w:line="360" w:lineRule="auto"/>
        <w:ind w:firstLine="480" w:firstLineChars="200"/>
        <w:rPr>
          <w:sz w:val="24"/>
        </w:rPr>
      </w:pPr>
      <w:r>
        <w:rPr>
          <w:rFonts w:hint="eastAsia"/>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360" w:lineRule="auto"/>
        <w:ind w:firstLine="482" w:firstLineChars="200"/>
        <w:rPr>
          <w:b/>
          <w:sz w:val="24"/>
        </w:rPr>
      </w:pPr>
      <w:r>
        <w:rPr>
          <w:rFonts w:hint="eastAsia"/>
          <w:b/>
          <w:sz w:val="24"/>
        </w:rPr>
        <w:t>注：评标委员会当积极履行澄清、说明或者更正的职责，不得滥用权力。供应商的投标文件可以要求澄清、说明或者更正的，不得未经澄清、说明或者更正而直接作无效投标处理。</w:t>
      </w:r>
    </w:p>
    <w:p>
      <w:pPr>
        <w:pStyle w:val="54"/>
        <w:spacing w:line="360" w:lineRule="auto"/>
        <w:ind w:firstLine="480" w:firstLineChars="200"/>
        <w:jc w:val="both"/>
      </w:pPr>
      <w:r>
        <w:rPr>
          <w:rFonts w:hint="eastAsia"/>
        </w:rPr>
        <w:t>3.10 低于成本价投标处理。</w:t>
      </w:r>
    </w:p>
    <w:p>
      <w:pPr>
        <w:pStyle w:val="54"/>
        <w:spacing w:line="360" w:lineRule="auto"/>
        <w:ind w:firstLine="480" w:firstLineChars="200"/>
        <w:jc w:val="both"/>
      </w:pPr>
      <w:r>
        <w:rPr>
          <w:rFonts w:hint="eastAsia"/>
        </w:rPr>
        <w:t>3.10.1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4"/>
        <w:spacing w:line="360" w:lineRule="auto"/>
        <w:ind w:firstLine="480" w:firstLineChars="200"/>
        <w:jc w:val="both"/>
      </w:pPr>
      <w:r>
        <w:rPr>
          <w:rFonts w:hint="eastAsia"/>
        </w:rPr>
        <w:t>3.10.2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54"/>
        <w:spacing w:line="360" w:lineRule="auto"/>
        <w:ind w:firstLine="482" w:firstLineChars="200"/>
        <w:jc w:val="both"/>
        <w:rPr>
          <w:b/>
          <w:bCs/>
          <w:lang w:val="zh-CN"/>
        </w:rPr>
      </w:pPr>
      <w:r>
        <w:rPr>
          <w:rFonts w:hint="eastAsia"/>
          <w:b/>
          <w:bCs/>
        </w:rPr>
        <w:t>注：</w:t>
      </w:r>
      <w:r>
        <w:rPr>
          <w:rFonts w:hint="eastAsia"/>
          <w:b/>
          <w:bCs/>
          <w:lang w:val="zh-CN"/>
        </w:rPr>
        <w:t>投标人提交的书面说明、相关证明材料（如涉及），应当加盖投标人（法定名称）电子印章，在评标委员会要求的时间内通过政府采购云平台进行递交，否则无效（给予供应商澄清、说明的时间不得少于</w:t>
      </w:r>
      <w:r>
        <w:rPr>
          <w:rFonts w:hint="eastAsia"/>
          <w:b/>
          <w:bCs/>
        </w:rPr>
        <w:t>30分钟，供应商已明确表示澄清、说明完毕的除外</w:t>
      </w:r>
      <w:r>
        <w:rPr>
          <w:rFonts w:hint="eastAsia"/>
          <w:b/>
          <w:bCs/>
          <w:lang w:val="zh-CN"/>
        </w:rPr>
        <w:t>）。如因系统故障（</w:t>
      </w:r>
      <w:r>
        <w:rPr>
          <w:rFonts w:hint="eastAsia"/>
          <w:b/>
          <w:bCs/>
        </w:rPr>
        <w:t>包括组织场所停电、断网等）</w:t>
      </w:r>
      <w:r>
        <w:rPr>
          <w:rFonts w:hint="eastAsia"/>
          <w:b/>
          <w:bCs/>
          <w:lang w:val="zh-CN"/>
        </w:rPr>
        <w:t>导致系统无法使用的，由投标人按评标委员会的要求进行澄清或者说明。</w:t>
      </w:r>
    </w:p>
    <w:p>
      <w:pPr>
        <w:pStyle w:val="54"/>
        <w:spacing w:line="360" w:lineRule="auto"/>
        <w:ind w:firstLine="480" w:firstLineChars="200"/>
        <w:jc w:val="both"/>
      </w:pPr>
      <w:r>
        <w:rPr>
          <w:rFonts w:hint="eastAsia"/>
        </w:rPr>
        <w:t>3.10.3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p>
      <w:pPr>
        <w:pStyle w:val="54"/>
        <w:spacing w:line="360" w:lineRule="auto"/>
        <w:ind w:firstLine="480" w:firstLineChars="200"/>
        <w:jc w:val="both"/>
      </w:pPr>
      <w:r>
        <w:rPr>
          <w:rFonts w:hint="eastAsia"/>
        </w:rPr>
        <w:t>3.11招标采购单位现场复核评标结果。</w:t>
      </w:r>
    </w:p>
    <w:p>
      <w:pPr>
        <w:pStyle w:val="54"/>
        <w:spacing w:line="360" w:lineRule="auto"/>
        <w:ind w:firstLine="480" w:firstLineChars="200"/>
        <w:jc w:val="both"/>
      </w:pPr>
      <w:r>
        <w:rPr>
          <w:rFonts w:hint="eastAsia"/>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54"/>
        <w:spacing w:line="360" w:lineRule="auto"/>
        <w:ind w:firstLine="480" w:firstLineChars="200"/>
        <w:jc w:val="both"/>
      </w:pPr>
      <w:r>
        <w:rPr>
          <w:rFonts w:hint="eastAsia"/>
        </w:rPr>
        <w:t>（一）分值汇总计算错误的；</w:t>
      </w:r>
    </w:p>
    <w:p>
      <w:pPr>
        <w:pStyle w:val="54"/>
        <w:spacing w:line="360" w:lineRule="auto"/>
        <w:ind w:firstLine="480" w:firstLineChars="200"/>
        <w:jc w:val="both"/>
      </w:pPr>
      <w:r>
        <w:rPr>
          <w:rFonts w:hint="eastAsia"/>
        </w:rPr>
        <w:t>（二）分项评分超出评分标准范围的；</w:t>
      </w:r>
    </w:p>
    <w:p>
      <w:pPr>
        <w:pStyle w:val="54"/>
        <w:spacing w:line="360" w:lineRule="auto"/>
        <w:ind w:firstLine="480" w:firstLineChars="200"/>
        <w:jc w:val="both"/>
      </w:pPr>
      <w:r>
        <w:rPr>
          <w:rFonts w:hint="eastAsia"/>
        </w:rPr>
        <w:t>（三）评标委员会对客观评审因素不一致的；</w:t>
      </w:r>
    </w:p>
    <w:p>
      <w:pPr>
        <w:pStyle w:val="54"/>
        <w:spacing w:line="360" w:lineRule="auto"/>
        <w:ind w:firstLine="480" w:firstLineChars="200"/>
        <w:jc w:val="both"/>
      </w:pPr>
      <w:r>
        <w:rPr>
          <w:rFonts w:hint="eastAsia"/>
        </w:rPr>
        <w:t>（四）经评标委员会认定评分畸高、畸低的。</w:t>
      </w:r>
    </w:p>
    <w:p>
      <w:pPr>
        <w:pStyle w:val="54"/>
        <w:spacing w:line="360" w:lineRule="auto"/>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4"/>
        <w:spacing w:line="360" w:lineRule="auto"/>
        <w:ind w:firstLine="480" w:firstLineChars="200"/>
        <w:jc w:val="both"/>
      </w:pPr>
      <w:r>
        <w:rPr>
          <w:rFonts w:hint="eastAsia"/>
        </w:rPr>
        <w:t>3.11.2有下列情形之一的，不得修改评标结果或者重新评标：</w:t>
      </w:r>
    </w:p>
    <w:p>
      <w:pPr>
        <w:pStyle w:val="54"/>
        <w:spacing w:line="360" w:lineRule="auto"/>
        <w:ind w:firstLine="480" w:firstLineChars="200"/>
        <w:jc w:val="both"/>
      </w:pPr>
      <w:r>
        <w:rPr>
          <w:rFonts w:hint="eastAsia"/>
        </w:rPr>
        <w:t>（一）评标委员会已经出具评标报告并且离开评标现场的；</w:t>
      </w:r>
    </w:p>
    <w:p>
      <w:pPr>
        <w:pStyle w:val="54"/>
        <w:spacing w:line="360" w:lineRule="auto"/>
        <w:ind w:firstLine="480" w:firstLineChars="200"/>
        <w:jc w:val="both"/>
      </w:pPr>
      <w:r>
        <w:rPr>
          <w:rFonts w:hint="eastAsia"/>
        </w:rPr>
        <w:t>（二）招标采购单位现场复核时，复核工作人员数量不足的；</w:t>
      </w:r>
    </w:p>
    <w:p>
      <w:pPr>
        <w:pStyle w:val="54"/>
        <w:spacing w:line="360" w:lineRule="auto"/>
        <w:ind w:firstLine="480" w:firstLineChars="200"/>
        <w:jc w:val="both"/>
      </w:pPr>
      <w:r>
        <w:rPr>
          <w:rFonts w:hint="eastAsia"/>
        </w:rPr>
        <w:t>（三）招标采购单位现场复核时，没有采购监督人员现场监督的；</w:t>
      </w:r>
    </w:p>
    <w:p>
      <w:pPr>
        <w:pStyle w:val="54"/>
        <w:spacing w:line="360" w:lineRule="auto"/>
        <w:ind w:firstLine="480" w:firstLineChars="200"/>
        <w:jc w:val="both"/>
      </w:pPr>
      <w:r>
        <w:rPr>
          <w:rFonts w:hint="eastAsia"/>
        </w:rPr>
        <w:t>（四）招标采购单位现场复核内容超出规定范围的；</w:t>
      </w:r>
    </w:p>
    <w:p>
      <w:pPr>
        <w:pStyle w:val="54"/>
        <w:spacing w:line="360" w:lineRule="auto"/>
        <w:ind w:firstLine="480" w:firstLineChars="200"/>
        <w:jc w:val="both"/>
      </w:pPr>
      <w:r>
        <w:rPr>
          <w:rFonts w:hint="eastAsia"/>
        </w:rPr>
        <w:t>（五）招标采购单位未提供书面建议的。</w:t>
      </w:r>
    </w:p>
    <w:p>
      <w:pPr>
        <w:pStyle w:val="54"/>
        <w:spacing w:line="360" w:lineRule="auto"/>
        <w:ind w:firstLine="480" w:firstLineChars="200"/>
        <w:jc w:val="both"/>
      </w:pPr>
      <w:r>
        <w:rPr>
          <w:rFonts w:hint="eastAsia"/>
        </w:rPr>
        <w:t xml:space="preserve">3.11.3出现下列情形之一的，应当中止电子化采购活动，并保留相关证明材料备查： </w:t>
      </w:r>
    </w:p>
    <w:p>
      <w:pPr>
        <w:pStyle w:val="54"/>
        <w:spacing w:line="360" w:lineRule="auto"/>
        <w:ind w:firstLine="480" w:firstLineChars="200"/>
        <w:jc w:val="both"/>
      </w:pPr>
      <w:r>
        <w:rPr>
          <w:rFonts w:hint="eastAsia"/>
        </w:rPr>
        <w:t>（一）系统发生故障（包括感染病毒、应用或数据库出错）而无法正常使用的；</w:t>
      </w:r>
    </w:p>
    <w:p>
      <w:pPr>
        <w:pStyle w:val="54"/>
        <w:spacing w:line="360" w:lineRule="auto"/>
        <w:ind w:firstLine="480" w:firstLineChars="200"/>
        <w:jc w:val="both"/>
      </w:pPr>
      <w:r>
        <w:rPr>
          <w:rFonts w:hint="eastAsia"/>
        </w:rPr>
        <w:t>（二）因组织场所停电、断网等原因，导致采购活动无法继续通过交易系统实施的；</w:t>
      </w:r>
    </w:p>
    <w:p>
      <w:pPr>
        <w:pStyle w:val="54"/>
        <w:spacing w:line="360" w:lineRule="auto"/>
        <w:ind w:firstLine="480" w:firstLineChars="200"/>
        <w:jc w:val="both"/>
      </w:pPr>
      <w:r>
        <w:rPr>
          <w:rFonts w:hint="eastAsia"/>
        </w:rPr>
        <w:t>（三）其他无法保证电子化交易的公平、公正和安全的情况。</w:t>
      </w:r>
    </w:p>
    <w:p>
      <w:pPr>
        <w:pStyle w:val="54"/>
        <w:spacing w:line="360" w:lineRule="auto"/>
        <w:ind w:firstLine="480" w:firstLineChars="200"/>
        <w:jc w:val="both"/>
      </w:pPr>
      <w:r>
        <w:rPr>
          <w:rFonts w:hint="eastAsia"/>
        </w:rPr>
        <w:t>出现前款规定的情形，不影响采购公平、公正的，待上述情形消除后继续组织采购活动；影响或者可能影响采购公平、公正的，应当依法废标或者终止采购活动。</w:t>
      </w:r>
    </w:p>
    <w:p>
      <w:pPr>
        <w:spacing w:line="360" w:lineRule="auto"/>
        <w:rPr>
          <w:rFonts w:ascii="黑体" w:eastAsia="黑体"/>
          <w:sz w:val="24"/>
        </w:rPr>
      </w:pPr>
      <w:r>
        <w:rPr>
          <w:rFonts w:hint="eastAsia" w:ascii="黑体" w:eastAsia="黑体"/>
          <w:sz w:val="24"/>
        </w:rPr>
        <w:t>4. 评标细则及标准</w:t>
      </w:r>
      <w:bookmarkEnd w:id="199"/>
    </w:p>
    <w:p>
      <w:pPr>
        <w:pStyle w:val="54"/>
        <w:spacing w:line="360" w:lineRule="auto"/>
        <w:ind w:firstLine="480" w:firstLineChars="200"/>
        <w:jc w:val="both"/>
      </w:pPr>
      <w:r>
        <w:rPr>
          <w:rFonts w:hint="eastAsia"/>
        </w:rPr>
        <w:t>4.1 本次综合评分的因素是：详见综合评分明细表。</w:t>
      </w:r>
    </w:p>
    <w:p>
      <w:pPr>
        <w:pStyle w:val="54"/>
        <w:spacing w:line="360" w:lineRule="auto"/>
        <w:ind w:firstLine="480" w:firstLineChars="200"/>
        <w:jc w:val="both"/>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360" w:lineRule="auto"/>
        <w:ind w:firstLine="480" w:firstLineChars="200"/>
        <w:rPr>
          <w:sz w:val="24"/>
          <w:szCs w:val="24"/>
        </w:rPr>
      </w:pPr>
      <w:r>
        <w:rPr>
          <w:rFonts w:hint="eastAsia"/>
          <w:sz w:val="24"/>
          <w:szCs w:val="24"/>
        </w:rPr>
        <w:t>4.3综合评分明细表</w:t>
      </w:r>
    </w:p>
    <w:p>
      <w:pPr>
        <w:pStyle w:val="13"/>
        <w:tabs>
          <w:tab w:val="left" w:pos="600"/>
        </w:tabs>
        <w:spacing w:line="360" w:lineRule="auto"/>
        <w:ind w:firstLine="480" w:firstLineChars="200"/>
        <w:rPr>
          <w:sz w:val="24"/>
          <w:szCs w:val="24"/>
        </w:rPr>
      </w:pPr>
      <w:r>
        <w:rPr>
          <w:rFonts w:hint="eastAsia"/>
          <w:sz w:val="24"/>
          <w:szCs w:val="24"/>
        </w:rPr>
        <w:t>4.3.1综合评分明细表的制定以科学合理、降低评委会自由裁量权为原则。</w:t>
      </w:r>
    </w:p>
    <w:p>
      <w:pPr>
        <w:pStyle w:val="13"/>
        <w:tabs>
          <w:tab w:val="left" w:pos="600"/>
        </w:tabs>
        <w:spacing w:line="360" w:lineRule="auto"/>
        <w:ind w:firstLine="480" w:firstLineChars="200"/>
        <w:rPr>
          <w:sz w:val="24"/>
          <w:szCs w:val="24"/>
        </w:rPr>
      </w:pPr>
      <w:r>
        <w:rPr>
          <w:rFonts w:hint="eastAsia"/>
          <w:sz w:val="24"/>
          <w:szCs w:val="24"/>
        </w:rPr>
        <w:t>4.3.2综合评分明细表</w:t>
      </w:r>
      <w:bookmarkStart w:id="202" w:name="_Toc217446059"/>
    </w:p>
    <w:p>
      <w:pPr>
        <w:pStyle w:val="2"/>
      </w:pPr>
      <w:r>
        <w:br w:type="page"/>
      </w:r>
    </w:p>
    <w:p>
      <w:pPr>
        <w:pStyle w:val="13"/>
        <w:tabs>
          <w:tab w:val="left" w:pos="600"/>
        </w:tabs>
        <w:spacing w:line="360" w:lineRule="auto"/>
        <w:ind w:firstLine="482" w:firstLineChars="200"/>
        <w:jc w:val="center"/>
        <w:rPr>
          <w:b/>
          <w:bCs/>
          <w:sz w:val="24"/>
          <w:szCs w:val="24"/>
        </w:rPr>
      </w:pPr>
      <w:r>
        <w:rPr>
          <w:rFonts w:hint="eastAsia"/>
          <w:b/>
          <w:bCs/>
          <w:sz w:val="24"/>
          <w:szCs w:val="24"/>
        </w:rPr>
        <w:t>综合评分明细表</w:t>
      </w:r>
      <w:bookmarkEnd w:id="202"/>
      <w:bookmarkStart w:id="203" w:name="_Toc217446060"/>
    </w:p>
    <w:tbl>
      <w:tblPr>
        <w:tblStyle w:val="33"/>
        <w:tblpPr w:leftFromText="180" w:rightFromText="180" w:vertAnchor="text" w:horzAnchor="page" w:tblpX="1790" w:tblpY="290"/>
        <w:tblOverlap w:val="never"/>
        <w:tblW w:w="8586"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449"/>
        <w:gridCol w:w="668"/>
        <w:gridCol w:w="893"/>
        <w:gridCol w:w="706"/>
        <w:gridCol w:w="587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trPr>
        <w:tc>
          <w:tcPr>
            <w:tcW w:w="449" w:type="dxa"/>
            <w:tcBorders>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序号</w:t>
            </w:r>
          </w:p>
        </w:tc>
        <w:tc>
          <w:tcPr>
            <w:tcW w:w="1561" w:type="dxa"/>
            <w:gridSpan w:val="2"/>
            <w:tcBorders>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评分因素</w:t>
            </w:r>
          </w:p>
          <w:p>
            <w:pPr>
              <w:spacing w:line="360" w:lineRule="auto"/>
              <w:ind w:firstLine="28"/>
              <w:jc w:val="center"/>
              <w:rPr>
                <w:rFonts w:hAnsi="宋体" w:cs="宋体"/>
                <w:sz w:val="24"/>
                <w:szCs w:val="24"/>
              </w:rPr>
            </w:pPr>
            <w:r>
              <w:rPr>
                <w:rFonts w:hint="eastAsia" w:hAnsi="宋体" w:cs="宋体"/>
                <w:sz w:val="24"/>
                <w:szCs w:val="24"/>
              </w:rPr>
              <w:t>及 权 重</w:t>
            </w:r>
          </w:p>
        </w:tc>
        <w:tc>
          <w:tcPr>
            <w:tcW w:w="706" w:type="dxa"/>
            <w:tcBorders>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分 值</w:t>
            </w:r>
          </w:p>
        </w:tc>
        <w:tc>
          <w:tcPr>
            <w:tcW w:w="5870" w:type="dxa"/>
            <w:tcBorders>
              <w:left w:val="single" w:color="auto" w:sz="8" w:space="0"/>
              <w:bottom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811" w:hRule="atLeast"/>
        </w:trPr>
        <w:tc>
          <w:tcPr>
            <w:tcW w:w="449" w:type="dxa"/>
            <w:tcBorders>
              <w:top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1</w:t>
            </w:r>
          </w:p>
        </w:tc>
        <w:tc>
          <w:tcPr>
            <w:tcW w:w="1561"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报价</w:t>
            </w:r>
          </w:p>
          <w:p>
            <w:pPr>
              <w:spacing w:line="360" w:lineRule="auto"/>
              <w:ind w:firstLine="28"/>
              <w:jc w:val="center"/>
              <w:rPr>
                <w:rFonts w:hAnsi="宋体" w:cs="宋体"/>
                <w:sz w:val="24"/>
                <w:szCs w:val="24"/>
              </w:rPr>
            </w:pPr>
            <w:r>
              <w:rPr>
                <w:rFonts w:hint="eastAsia" w:hAnsi="宋体" w:cs="宋体"/>
                <w:sz w:val="24"/>
                <w:szCs w:val="24"/>
              </w:rPr>
              <w:t>10%</w:t>
            </w:r>
          </w:p>
        </w:tc>
        <w:tc>
          <w:tcPr>
            <w:tcW w:w="706" w:type="dxa"/>
            <w:tcBorders>
              <w:top w:val="single" w:color="auto" w:sz="8" w:space="0"/>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10分</w:t>
            </w:r>
          </w:p>
        </w:tc>
        <w:tc>
          <w:tcPr>
            <w:tcW w:w="5870" w:type="dxa"/>
            <w:tcBorders>
              <w:top w:val="single" w:color="auto" w:sz="8" w:space="0"/>
              <w:left w:val="single" w:color="auto" w:sz="8" w:space="0"/>
              <w:bottom w:val="single" w:color="auto" w:sz="8" w:space="0"/>
            </w:tcBorders>
            <w:vAlign w:val="center"/>
          </w:tcPr>
          <w:p>
            <w:pPr>
              <w:spacing w:line="360" w:lineRule="auto"/>
              <w:ind w:firstLine="480" w:firstLineChars="200"/>
              <w:jc w:val="left"/>
              <w:rPr>
                <w:rFonts w:hAnsi="宋体" w:cs="宋体"/>
                <w:sz w:val="24"/>
                <w:szCs w:val="24"/>
              </w:rPr>
            </w:pPr>
            <w:r>
              <w:rPr>
                <w:rFonts w:hint="eastAsia" w:hAnsi="宋体" w:cs="宋体"/>
                <w:sz w:val="24"/>
                <w:szCs w:val="24"/>
              </w:rPr>
              <w:t>以满足招标文件要求且投标价格最低的投标报价为评标基准价，其价格分为满分。其他供应商的价格分统一按照下列公式计算：投标报价得分=(评标基准价／投标报价)×分值。</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965" w:hRule="atLeast"/>
        </w:trPr>
        <w:tc>
          <w:tcPr>
            <w:tcW w:w="449" w:type="dxa"/>
            <w:vMerge w:val="restart"/>
            <w:tcBorders>
              <w:top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2</w:t>
            </w:r>
          </w:p>
        </w:tc>
        <w:tc>
          <w:tcPr>
            <w:tcW w:w="668" w:type="dxa"/>
            <w:vMerge w:val="restart"/>
            <w:tcBorders>
              <w:top w:val="single" w:color="auto" w:sz="8" w:space="0"/>
              <w:left w:val="single" w:color="auto" w:sz="8" w:space="0"/>
              <w:right w:val="single" w:color="auto" w:sz="8" w:space="0"/>
            </w:tcBorders>
            <w:vAlign w:val="center"/>
          </w:tcPr>
          <w:p>
            <w:pPr>
              <w:spacing w:line="360" w:lineRule="auto"/>
              <w:rPr>
                <w:rFonts w:hAnsi="宋体" w:cs="宋体"/>
                <w:sz w:val="24"/>
                <w:szCs w:val="24"/>
              </w:rPr>
            </w:pPr>
          </w:p>
          <w:p>
            <w:pPr>
              <w:pStyle w:val="5"/>
              <w:rPr>
                <w:rFonts w:ascii="宋体" w:hAnsi="宋体" w:eastAsia="宋体" w:cs="宋体"/>
                <w:sz w:val="24"/>
                <w:szCs w:val="24"/>
              </w:rPr>
            </w:pPr>
          </w:p>
          <w:p>
            <w:pPr>
              <w:rPr>
                <w:rFonts w:hAnsi="宋体" w:cs="宋体"/>
                <w:sz w:val="24"/>
                <w:szCs w:val="24"/>
              </w:rPr>
            </w:pPr>
          </w:p>
          <w:p>
            <w:pPr>
              <w:pStyle w:val="5"/>
              <w:rPr>
                <w:rFonts w:ascii="宋体" w:hAnsi="宋体" w:eastAsia="宋体" w:cs="宋体"/>
                <w:sz w:val="24"/>
                <w:szCs w:val="24"/>
              </w:rPr>
            </w:pPr>
          </w:p>
          <w:p>
            <w:pPr>
              <w:rPr>
                <w:rFonts w:hAnsi="宋体" w:cs="宋体"/>
                <w:sz w:val="24"/>
                <w:szCs w:val="24"/>
              </w:rPr>
            </w:pPr>
          </w:p>
          <w:p>
            <w:pPr>
              <w:pStyle w:val="5"/>
              <w:rPr>
                <w:rFonts w:ascii="宋体" w:hAnsi="宋体" w:eastAsia="宋体" w:cs="宋体"/>
                <w:sz w:val="24"/>
                <w:szCs w:val="24"/>
              </w:rPr>
            </w:pPr>
          </w:p>
          <w:p>
            <w:pPr>
              <w:rPr>
                <w:rFonts w:hAnsi="宋体" w:cs="宋体"/>
                <w:sz w:val="24"/>
                <w:szCs w:val="24"/>
              </w:rPr>
            </w:pPr>
          </w:p>
          <w:p>
            <w:pPr>
              <w:pStyle w:val="5"/>
              <w:rPr>
                <w:rFonts w:ascii="宋体" w:hAnsi="宋体" w:eastAsia="宋体" w:cs="宋体"/>
                <w:sz w:val="24"/>
                <w:szCs w:val="24"/>
              </w:rPr>
            </w:pPr>
          </w:p>
          <w:p>
            <w:pPr>
              <w:rPr>
                <w:rFonts w:hAnsi="宋体" w:cs="宋体"/>
                <w:sz w:val="24"/>
                <w:szCs w:val="24"/>
              </w:rPr>
            </w:pPr>
          </w:p>
          <w:p>
            <w:pPr>
              <w:pStyle w:val="5"/>
            </w:pPr>
          </w:p>
          <w:p>
            <w:pPr>
              <w:spacing w:line="360" w:lineRule="auto"/>
              <w:ind w:firstLine="28"/>
              <w:jc w:val="center"/>
              <w:rPr>
                <w:rFonts w:hAnsi="宋体" w:cs="宋体"/>
                <w:sz w:val="24"/>
                <w:szCs w:val="24"/>
              </w:rPr>
            </w:pPr>
            <w:r>
              <w:rPr>
                <w:rFonts w:hint="eastAsia" w:hAnsi="宋体" w:cs="宋体"/>
                <w:sz w:val="24"/>
                <w:szCs w:val="24"/>
              </w:rPr>
              <w:t>服务</w:t>
            </w:r>
          </w:p>
          <w:p>
            <w:pPr>
              <w:spacing w:line="360" w:lineRule="auto"/>
              <w:ind w:firstLine="28"/>
              <w:jc w:val="center"/>
              <w:rPr>
                <w:rFonts w:hAnsi="宋体" w:cs="宋体"/>
                <w:sz w:val="24"/>
                <w:szCs w:val="24"/>
              </w:rPr>
            </w:pPr>
            <w:r>
              <w:rPr>
                <w:rFonts w:hint="eastAsia" w:hAnsi="宋体" w:cs="宋体"/>
                <w:sz w:val="24"/>
                <w:szCs w:val="24"/>
              </w:rPr>
              <w:t>方案</w:t>
            </w:r>
          </w:p>
          <w:p>
            <w:pPr>
              <w:spacing w:line="360" w:lineRule="auto"/>
              <w:ind w:firstLine="28"/>
              <w:jc w:val="center"/>
              <w:rPr>
                <w:rFonts w:hAnsi="宋体" w:cs="宋体"/>
                <w:color w:val="FF0000"/>
                <w:sz w:val="24"/>
                <w:szCs w:val="24"/>
              </w:rPr>
            </w:pPr>
            <w:r>
              <w:rPr>
                <w:rFonts w:hint="eastAsia" w:hAnsi="宋体" w:cs="宋体"/>
                <w:sz w:val="24"/>
                <w:szCs w:val="24"/>
              </w:rPr>
              <w:t>51%</w:t>
            </w:r>
          </w:p>
        </w:tc>
        <w:tc>
          <w:tcPr>
            <w:tcW w:w="893" w:type="dxa"/>
            <w:tcBorders>
              <w:top w:val="single" w:color="auto" w:sz="8" w:space="0"/>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项目认知</w:t>
            </w:r>
          </w:p>
        </w:tc>
        <w:tc>
          <w:tcPr>
            <w:tcW w:w="706" w:type="dxa"/>
            <w:tcBorders>
              <w:top w:val="single" w:color="auto" w:sz="8" w:space="0"/>
              <w:left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12分</w:t>
            </w:r>
          </w:p>
        </w:tc>
        <w:tc>
          <w:tcPr>
            <w:tcW w:w="5870" w:type="dxa"/>
            <w:tcBorders>
              <w:top w:val="single" w:color="auto" w:sz="8" w:space="0"/>
              <w:left w:val="single" w:color="auto" w:sz="8" w:space="0"/>
            </w:tcBorders>
            <w:vAlign w:val="center"/>
          </w:tcPr>
          <w:p>
            <w:pPr>
              <w:spacing w:line="360" w:lineRule="auto"/>
              <w:ind w:firstLine="480" w:firstLineChars="200"/>
              <w:jc w:val="left"/>
              <w:rPr>
                <w:rFonts w:hAnsi="宋体" w:cs="宋体"/>
                <w:sz w:val="24"/>
                <w:szCs w:val="24"/>
              </w:rPr>
            </w:pPr>
            <w:r>
              <w:rPr>
                <w:rFonts w:hint="eastAsia" w:hAnsi="宋体" w:cs="宋体"/>
                <w:sz w:val="24"/>
                <w:szCs w:val="24"/>
              </w:rPr>
              <w:t>1、工作认识（</w:t>
            </w:r>
            <w:r>
              <w:rPr>
                <w:rFonts w:hint="eastAsia" w:hAnsi="宋体" w:cs="宋体"/>
                <w:sz w:val="24"/>
                <w:szCs w:val="24"/>
                <w:lang w:val="en-US" w:eastAsia="zh-CN"/>
              </w:rPr>
              <w:t>6</w:t>
            </w:r>
            <w:r>
              <w:rPr>
                <w:rFonts w:hint="eastAsia" w:hAnsi="宋体" w:cs="宋体"/>
                <w:sz w:val="24"/>
                <w:szCs w:val="24"/>
              </w:rPr>
              <w:t>分）</w:t>
            </w:r>
          </w:p>
          <w:p>
            <w:pPr>
              <w:spacing w:line="360" w:lineRule="auto"/>
              <w:ind w:firstLine="480" w:firstLineChars="200"/>
              <w:rPr>
                <w:rFonts w:hAnsi="宋体" w:cs="宋体"/>
                <w:sz w:val="24"/>
                <w:szCs w:val="24"/>
              </w:rPr>
            </w:pPr>
            <w:r>
              <w:rPr>
                <w:rFonts w:hint="eastAsia" w:hAnsi="宋体" w:cs="宋体"/>
                <w:sz w:val="24"/>
                <w:szCs w:val="24"/>
              </w:rPr>
              <w:t>①投标人能够系统梳理国家、省市关于乡村振兴的政策文件，②城乡融合的发展要求，③明确新时期郫都城乡融合发展的方向。</w:t>
            </w:r>
            <w:r>
              <w:rPr>
                <w:rFonts w:hint="eastAsia" w:hAnsi="宋体" w:cs="宋体"/>
                <w:sz w:val="24"/>
              </w:rPr>
              <w:t>每具有一项得2分，最多得</w:t>
            </w:r>
            <w:r>
              <w:rPr>
                <w:rFonts w:hint="eastAsia" w:hAnsi="宋体" w:cs="宋体"/>
                <w:sz w:val="24"/>
                <w:lang w:val="en-US" w:eastAsia="zh-CN"/>
              </w:rPr>
              <w:t>6</w:t>
            </w:r>
            <w:r>
              <w:rPr>
                <w:rFonts w:hint="eastAsia" w:hAnsi="宋体" w:cs="宋体"/>
                <w:sz w:val="24"/>
              </w:rPr>
              <w:t xml:space="preserve">分；在此基础上，方案中存在缺陷或不足，每有一处扣1分；扣完为止。  </w:t>
            </w:r>
          </w:p>
          <w:p>
            <w:pPr>
              <w:spacing w:line="360" w:lineRule="auto"/>
              <w:ind w:firstLine="480" w:firstLineChars="200"/>
              <w:jc w:val="left"/>
              <w:rPr>
                <w:rFonts w:hAnsi="宋体" w:cs="宋体"/>
                <w:sz w:val="24"/>
                <w:szCs w:val="24"/>
              </w:rPr>
            </w:pPr>
            <w:r>
              <w:rPr>
                <w:rFonts w:hint="eastAsia" w:hAnsi="宋体" w:cs="宋体"/>
                <w:sz w:val="24"/>
                <w:szCs w:val="24"/>
              </w:rPr>
              <w:t>2、相关经验借鉴（</w:t>
            </w:r>
            <w:r>
              <w:rPr>
                <w:rFonts w:hint="eastAsia" w:hAnsi="宋体" w:cs="宋体"/>
                <w:sz w:val="24"/>
                <w:szCs w:val="24"/>
                <w:lang w:val="en-US" w:eastAsia="zh-CN"/>
              </w:rPr>
              <w:t>6</w:t>
            </w:r>
            <w:r>
              <w:rPr>
                <w:rFonts w:hint="eastAsia" w:hAnsi="宋体" w:cs="宋体"/>
                <w:sz w:val="24"/>
                <w:szCs w:val="24"/>
              </w:rPr>
              <w:t>分）</w:t>
            </w:r>
          </w:p>
          <w:p>
            <w:pPr>
              <w:spacing w:line="460" w:lineRule="exact"/>
              <w:ind w:firstLine="511" w:firstLineChars="213"/>
              <w:jc w:val="left"/>
              <w:rPr>
                <w:rFonts w:hAnsi="宋体" w:cs="宋体"/>
                <w:sz w:val="24"/>
              </w:rPr>
            </w:pPr>
            <w:r>
              <w:rPr>
                <w:rFonts w:hint="eastAsia" w:hAnsi="宋体" w:cs="宋体"/>
                <w:sz w:val="24"/>
                <w:szCs w:val="24"/>
              </w:rPr>
              <w:t>对①国外及②国内先进地区城乡融合特色做法进行充分认识分析。</w:t>
            </w:r>
            <w:r>
              <w:rPr>
                <w:rFonts w:hint="eastAsia" w:hAnsi="宋体" w:cs="宋体"/>
                <w:sz w:val="24"/>
              </w:rPr>
              <w:t>每具有一项得</w:t>
            </w:r>
            <w:r>
              <w:rPr>
                <w:rFonts w:hint="eastAsia" w:hAnsi="宋体" w:cs="宋体"/>
                <w:sz w:val="24"/>
                <w:lang w:val="en-US" w:eastAsia="zh-CN"/>
              </w:rPr>
              <w:t>3</w:t>
            </w:r>
            <w:r>
              <w:rPr>
                <w:rFonts w:hint="eastAsia" w:hAnsi="宋体" w:cs="宋体"/>
                <w:sz w:val="24"/>
              </w:rPr>
              <w:t>分，最多得</w:t>
            </w:r>
            <w:r>
              <w:rPr>
                <w:rFonts w:hint="eastAsia" w:hAnsi="宋体" w:cs="宋体"/>
                <w:sz w:val="24"/>
                <w:lang w:val="en-US" w:eastAsia="zh-CN"/>
              </w:rPr>
              <w:t>6</w:t>
            </w:r>
            <w:r>
              <w:rPr>
                <w:rFonts w:hint="eastAsia" w:hAnsi="宋体" w:cs="宋体"/>
                <w:sz w:val="24"/>
              </w:rPr>
              <w:t>分；在此基础上，方案中存在缺陷或不足，每有一处扣1</w:t>
            </w:r>
            <w:r>
              <w:rPr>
                <w:rFonts w:hint="eastAsia" w:hAnsi="宋体" w:cs="宋体"/>
                <w:sz w:val="24"/>
                <w:lang w:val="en-US" w:eastAsia="zh-CN"/>
              </w:rPr>
              <w:t>.5</w:t>
            </w:r>
            <w:r>
              <w:rPr>
                <w:rFonts w:hint="eastAsia" w:hAnsi="宋体" w:cs="宋体"/>
                <w:sz w:val="24"/>
              </w:rPr>
              <w:t>分；扣完为止。</w:t>
            </w:r>
          </w:p>
          <w:p>
            <w:pPr>
              <w:spacing w:line="460" w:lineRule="exact"/>
              <w:ind w:firstLine="385" w:firstLineChars="213"/>
              <w:jc w:val="left"/>
              <w:rPr>
                <w:rFonts w:hAnsi="宋体" w:cs="宋体"/>
                <w:b/>
                <w:bCs/>
                <w:color w:val="000000"/>
                <w:sz w:val="18"/>
                <w:szCs w:val="18"/>
                <w:lang w:val="zh-CN"/>
              </w:rPr>
            </w:pPr>
            <w:r>
              <w:rPr>
                <w:rFonts w:hint="eastAsia" w:hAnsi="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spacing w:line="360" w:lineRule="auto"/>
              <w:ind w:firstLine="361" w:firstLineChars="200"/>
              <w:jc w:val="left"/>
              <w:rPr>
                <w:rFonts w:hAnsi="宋体" w:cs="宋体"/>
                <w:sz w:val="24"/>
                <w:szCs w:val="24"/>
              </w:rPr>
            </w:pPr>
            <w:r>
              <w:rPr>
                <w:rFonts w:hint="eastAsia" w:hAnsi="宋体" w:cs="宋体"/>
                <w:b/>
                <w:bCs/>
                <w:color w:val="000000"/>
                <w:sz w:val="18"/>
                <w:szCs w:val="18"/>
                <w:lang w:val="zh-CN"/>
              </w:rPr>
              <w:t>②以评审专家结合项目实际情况和投标文件独立评审为准。</w:t>
            </w:r>
            <w:r>
              <w:rPr>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4657" w:hRule="atLeast"/>
        </w:trPr>
        <w:tc>
          <w:tcPr>
            <w:tcW w:w="449" w:type="dxa"/>
            <w:vMerge w:val="continue"/>
            <w:tcBorders>
              <w:right w:val="single" w:color="auto" w:sz="8" w:space="0"/>
            </w:tcBorders>
            <w:vAlign w:val="center"/>
          </w:tcPr>
          <w:p>
            <w:pPr>
              <w:spacing w:line="360" w:lineRule="auto"/>
              <w:ind w:firstLine="28"/>
              <w:jc w:val="center"/>
              <w:rPr>
                <w:rFonts w:hAnsi="宋体" w:cs="宋体"/>
                <w:sz w:val="24"/>
                <w:szCs w:val="24"/>
              </w:rPr>
            </w:pPr>
          </w:p>
        </w:tc>
        <w:tc>
          <w:tcPr>
            <w:tcW w:w="668" w:type="dxa"/>
            <w:vMerge w:val="continue"/>
            <w:tcBorders>
              <w:left w:val="single" w:color="auto" w:sz="8" w:space="0"/>
              <w:right w:val="single" w:color="auto" w:sz="8" w:space="0"/>
            </w:tcBorders>
            <w:vAlign w:val="center"/>
          </w:tcPr>
          <w:p>
            <w:pPr>
              <w:spacing w:line="360" w:lineRule="auto"/>
              <w:rPr>
                <w:rFonts w:hAnsi="宋体" w:cs="宋体"/>
                <w:sz w:val="24"/>
                <w:szCs w:val="24"/>
              </w:rPr>
            </w:pPr>
          </w:p>
        </w:tc>
        <w:tc>
          <w:tcPr>
            <w:tcW w:w="893" w:type="dxa"/>
            <w:tcBorders>
              <w:top w:val="single" w:color="auto" w:sz="8" w:space="0"/>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初步方案的规划思路</w:t>
            </w:r>
          </w:p>
        </w:tc>
        <w:tc>
          <w:tcPr>
            <w:tcW w:w="706" w:type="dxa"/>
            <w:tcBorders>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30分</w:t>
            </w:r>
          </w:p>
        </w:tc>
        <w:tc>
          <w:tcPr>
            <w:tcW w:w="5870" w:type="dxa"/>
            <w:tcBorders>
              <w:left w:val="single" w:color="auto" w:sz="8" w:space="0"/>
              <w:bottom w:val="single" w:color="auto" w:sz="8" w:space="0"/>
            </w:tcBorders>
            <w:vAlign w:val="center"/>
          </w:tcPr>
          <w:p>
            <w:pPr>
              <w:spacing w:line="360" w:lineRule="auto"/>
              <w:ind w:firstLine="480" w:firstLineChars="200"/>
              <w:jc w:val="left"/>
              <w:rPr>
                <w:rFonts w:hAnsi="宋体" w:cs="宋体"/>
                <w:sz w:val="24"/>
                <w:szCs w:val="24"/>
              </w:rPr>
            </w:pPr>
            <w:r>
              <w:rPr>
                <w:rFonts w:hint="eastAsia" w:hAnsi="宋体" w:cs="宋体"/>
                <w:sz w:val="24"/>
                <w:szCs w:val="24"/>
              </w:rPr>
              <w:t>1、郫都区镇村基础现状及趋势研判（6分）</w:t>
            </w:r>
          </w:p>
          <w:p>
            <w:pPr>
              <w:spacing w:line="360" w:lineRule="auto"/>
              <w:ind w:firstLine="480" w:firstLineChars="200"/>
              <w:rPr>
                <w:rFonts w:hAnsi="宋体" w:cs="宋体"/>
                <w:sz w:val="24"/>
              </w:rPr>
            </w:pPr>
            <w:r>
              <w:rPr>
                <w:rFonts w:hint="eastAsia" w:hAnsi="宋体" w:cs="宋体"/>
                <w:sz w:val="24"/>
                <w:szCs w:val="24"/>
              </w:rPr>
              <w:t>对郫都区①人口变化、②建设基础、③自然条件、④产业发展、⑤文化资源、⑥建设管理作出研判。</w:t>
            </w:r>
            <w:r>
              <w:rPr>
                <w:rFonts w:hint="eastAsia" w:hAnsi="宋体" w:cs="宋体"/>
                <w:sz w:val="24"/>
              </w:rPr>
              <w:t xml:space="preserve">每具有一项得1分，最多得6分；在此基础上，方案中存在缺陷或不足，每有一处扣0.5分；扣完为止。  </w:t>
            </w:r>
          </w:p>
          <w:p>
            <w:pPr>
              <w:spacing w:line="360" w:lineRule="auto"/>
              <w:ind w:firstLine="480" w:firstLineChars="200"/>
              <w:jc w:val="left"/>
              <w:rPr>
                <w:rFonts w:hAnsi="宋体" w:cs="宋体"/>
                <w:sz w:val="24"/>
                <w:szCs w:val="24"/>
              </w:rPr>
            </w:pPr>
            <w:r>
              <w:rPr>
                <w:rFonts w:hint="eastAsia" w:hAnsi="宋体" w:cs="宋体"/>
                <w:sz w:val="24"/>
                <w:szCs w:val="24"/>
              </w:rPr>
              <w:t>2、全域城镇村体系</w:t>
            </w:r>
            <w:r>
              <w:rPr>
                <w:rFonts w:hint="eastAsia" w:hAnsi="宋体" w:cs="宋体"/>
                <w:sz w:val="24"/>
                <w:szCs w:val="24"/>
                <w:lang w:val="en-US" w:eastAsia="zh-CN"/>
              </w:rPr>
              <w:t>构建</w:t>
            </w:r>
            <w:r>
              <w:rPr>
                <w:rFonts w:hint="eastAsia" w:hAnsi="宋体" w:cs="宋体"/>
                <w:sz w:val="24"/>
                <w:szCs w:val="24"/>
              </w:rPr>
              <w:t>及城乡融合规划方向研究（24分）</w:t>
            </w:r>
          </w:p>
          <w:p>
            <w:pPr>
              <w:spacing w:line="360" w:lineRule="auto"/>
              <w:ind w:firstLine="480" w:firstLineChars="200"/>
              <w:rPr>
                <w:rFonts w:hAnsi="宋体" w:cs="宋体"/>
                <w:sz w:val="24"/>
              </w:rPr>
            </w:pPr>
            <w:r>
              <w:rPr>
                <w:rFonts w:hint="eastAsia" w:hAnsi="宋体" w:cs="宋体"/>
                <w:kern w:val="2"/>
                <w:sz w:val="24"/>
                <w:szCs w:val="24"/>
              </w:rPr>
              <w:t>①构建并划定“城乡融合单元-多村连片”两级空间体系；②选定中心镇、中心村；③提出人口城镇化和聚居引导方向；④对下一步城乡融合发展提出产业、公共服务等方面的提升方向。</w:t>
            </w:r>
            <w:r>
              <w:rPr>
                <w:rFonts w:hint="eastAsia" w:hAnsi="宋体" w:cs="宋体"/>
                <w:sz w:val="24"/>
              </w:rPr>
              <w:t>每具有一项得6分，最多得24分；在此基础上，方案中存在缺陷或不足，每有一处扣</w:t>
            </w:r>
            <w:r>
              <w:rPr>
                <w:rFonts w:hint="eastAsia" w:hAnsi="宋体" w:cs="宋体"/>
                <w:sz w:val="24"/>
                <w:lang w:val="en-US" w:eastAsia="zh-CN"/>
              </w:rPr>
              <w:t>3</w:t>
            </w:r>
            <w:r>
              <w:rPr>
                <w:rFonts w:hint="eastAsia" w:hAnsi="宋体" w:cs="宋体"/>
                <w:sz w:val="24"/>
              </w:rPr>
              <w:t xml:space="preserve">分；扣完为止。 </w:t>
            </w:r>
          </w:p>
          <w:p>
            <w:pPr>
              <w:spacing w:line="460" w:lineRule="exact"/>
              <w:ind w:firstLine="361" w:firstLineChars="200"/>
              <w:jc w:val="left"/>
              <w:rPr>
                <w:rFonts w:hAnsi="宋体" w:cs="宋体"/>
                <w:b/>
                <w:bCs/>
                <w:color w:val="000000"/>
                <w:sz w:val="18"/>
                <w:szCs w:val="18"/>
                <w:lang w:val="zh-CN"/>
              </w:rPr>
            </w:pPr>
            <w:r>
              <w:rPr>
                <w:rFonts w:hint="eastAsia" w:hAnsi="宋体" w:cs="宋体"/>
                <w:b/>
                <w:bCs/>
                <w:color w:val="000000"/>
                <w:sz w:val="18"/>
                <w:szCs w:val="18"/>
                <w:lang w:val="zh-CN"/>
              </w:rPr>
              <w:t>注：①缺陷或不足是指：存在不适用项目实际情况的情形、凭空编造、方案中内容前后不一致、前后逻辑错误、涉及的规范及标准错误、地点区域错误、不符合项目实际情况等；</w:t>
            </w:r>
          </w:p>
          <w:p>
            <w:pPr>
              <w:spacing w:line="460" w:lineRule="exact"/>
              <w:ind w:firstLine="385" w:firstLineChars="213"/>
              <w:jc w:val="left"/>
              <w:rPr>
                <w:rFonts w:hAnsi="宋体" w:cs="宋体"/>
                <w:sz w:val="24"/>
                <w:szCs w:val="24"/>
              </w:rPr>
            </w:pPr>
            <w:r>
              <w:rPr>
                <w:rFonts w:hint="eastAsia" w:hAnsi="宋体" w:cs="宋体"/>
                <w:b/>
                <w:bCs/>
                <w:color w:val="000000"/>
                <w:sz w:val="18"/>
                <w:szCs w:val="18"/>
                <w:lang w:val="zh-CN"/>
              </w:rPr>
              <w:t>②以评审专家结合项目实际情况和投标文件独立评审为准。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673" w:hRule="atLeast"/>
        </w:trPr>
        <w:tc>
          <w:tcPr>
            <w:tcW w:w="449" w:type="dxa"/>
            <w:vMerge w:val="continue"/>
            <w:tcBorders>
              <w:right w:val="single" w:color="auto" w:sz="8" w:space="0"/>
            </w:tcBorders>
            <w:vAlign w:val="center"/>
          </w:tcPr>
          <w:p>
            <w:pPr>
              <w:spacing w:line="360" w:lineRule="auto"/>
              <w:ind w:firstLine="28"/>
              <w:jc w:val="center"/>
              <w:rPr>
                <w:rFonts w:hAnsi="宋体" w:cs="宋体"/>
                <w:sz w:val="24"/>
                <w:szCs w:val="24"/>
              </w:rPr>
            </w:pPr>
          </w:p>
        </w:tc>
        <w:tc>
          <w:tcPr>
            <w:tcW w:w="668" w:type="dxa"/>
            <w:vMerge w:val="continue"/>
            <w:tcBorders>
              <w:left w:val="single" w:color="auto" w:sz="8" w:space="0"/>
              <w:right w:val="single" w:color="auto" w:sz="8" w:space="0"/>
            </w:tcBorders>
            <w:vAlign w:val="center"/>
          </w:tcPr>
          <w:p>
            <w:pPr>
              <w:spacing w:line="360" w:lineRule="auto"/>
              <w:ind w:firstLine="28"/>
              <w:jc w:val="center"/>
              <w:rPr>
                <w:rFonts w:hAnsi="宋体" w:cs="宋体"/>
                <w:sz w:val="24"/>
                <w:szCs w:val="24"/>
              </w:rPr>
            </w:pPr>
          </w:p>
        </w:tc>
        <w:tc>
          <w:tcPr>
            <w:tcW w:w="893"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hAnsi="宋体" w:cs="宋体"/>
                <w:sz w:val="24"/>
                <w:szCs w:val="24"/>
              </w:rPr>
            </w:pPr>
            <w:r>
              <w:rPr>
                <w:rFonts w:hint="eastAsia" w:hAnsi="宋体" w:cs="宋体"/>
                <w:sz w:val="24"/>
                <w:szCs w:val="24"/>
              </w:rPr>
              <w:t>进度安排</w:t>
            </w:r>
          </w:p>
        </w:tc>
        <w:tc>
          <w:tcPr>
            <w:tcW w:w="706"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5分</w:t>
            </w:r>
          </w:p>
        </w:tc>
        <w:tc>
          <w:tcPr>
            <w:tcW w:w="5870" w:type="dxa"/>
            <w:tcBorders>
              <w:top w:val="single" w:color="auto" w:sz="8" w:space="0"/>
              <w:left w:val="single" w:color="auto" w:sz="8" w:space="0"/>
              <w:bottom w:val="single" w:color="auto" w:sz="8" w:space="0"/>
            </w:tcBorders>
            <w:vAlign w:val="center"/>
          </w:tcPr>
          <w:p>
            <w:pPr>
              <w:spacing w:line="460" w:lineRule="exact"/>
              <w:ind w:firstLine="511" w:firstLineChars="213"/>
              <w:jc w:val="left"/>
              <w:rPr>
                <w:rFonts w:hAnsi="宋体" w:cs="宋体"/>
                <w:sz w:val="24"/>
              </w:rPr>
            </w:pPr>
            <w:r>
              <w:rPr>
                <w:rFonts w:hint="eastAsia" w:hAnsi="宋体" w:cs="宋体"/>
                <w:sz w:val="24"/>
                <w:szCs w:val="24"/>
              </w:rPr>
              <w:t>进度安排中包含了①工期安排和②工作任务完成的时限的得5分；</w:t>
            </w:r>
            <w:r>
              <w:rPr>
                <w:rFonts w:hint="eastAsia" w:hAnsi="宋体" w:cs="宋体"/>
                <w:sz w:val="24"/>
              </w:rPr>
              <w:t xml:space="preserve">每具有一项得2.5分，最多得5分；在此基础上，方案中存在缺陷或不足，每有一处扣1.25分；扣完为止。 </w:t>
            </w:r>
          </w:p>
          <w:p>
            <w:pPr>
              <w:spacing w:line="460" w:lineRule="exact"/>
              <w:ind w:firstLine="385" w:firstLineChars="213"/>
              <w:jc w:val="left"/>
              <w:rPr>
                <w:rFonts w:hAnsi="宋体" w:cs="宋体"/>
                <w:b/>
                <w:bCs/>
                <w:color w:val="000000"/>
                <w:sz w:val="18"/>
                <w:szCs w:val="18"/>
                <w:lang w:val="zh-CN"/>
              </w:rPr>
            </w:pPr>
            <w:r>
              <w:rPr>
                <w:rFonts w:hint="eastAsia" w:hAnsi="宋体" w:cs="宋体"/>
                <w:b/>
                <w:bCs/>
                <w:color w:val="000000"/>
                <w:sz w:val="18"/>
                <w:szCs w:val="18"/>
                <w:lang w:val="zh-CN"/>
              </w:rPr>
              <w:t>注：</w:t>
            </w:r>
            <w:r>
              <w:rPr>
                <w:rFonts w:hint="eastAsia" w:hAnsi="宋体" w:cs="宋体"/>
                <w:b/>
                <w:bCs/>
                <w:color w:val="000000"/>
                <w:sz w:val="18"/>
                <w:szCs w:val="18"/>
              </w:rPr>
              <w:t>①</w:t>
            </w:r>
            <w:r>
              <w:rPr>
                <w:rFonts w:hint="eastAsia" w:hAnsi="宋体" w:cs="宋体"/>
                <w:b/>
                <w:bCs/>
                <w:color w:val="000000"/>
                <w:sz w:val="18"/>
                <w:szCs w:val="18"/>
                <w:lang w:val="zh-CN"/>
              </w:rPr>
              <w:t>缺陷或不足是指：存在不适用项目实际情况的情形、凭空编造、方案中内容前后不一致、前后逻辑错误、涉及的规范及标准错误、地点区域错误、不符合项目实际情况等；</w:t>
            </w:r>
          </w:p>
          <w:p>
            <w:pPr>
              <w:spacing w:line="360" w:lineRule="auto"/>
              <w:ind w:firstLine="361" w:firstLineChars="200"/>
              <w:rPr>
                <w:rFonts w:hAnsi="宋体" w:cs="宋体"/>
                <w:sz w:val="24"/>
                <w:szCs w:val="24"/>
              </w:rPr>
            </w:pPr>
            <w:r>
              <w:rPr>
                <w:rFonts w:hint="eastAsia" w:hAnsi="宋体" w:cs="宋体"/>
                <w:b/>
                <w:bCs/>
                <w:color w:val="000000"/>
                <w:sz w:val="18"/>
                <w:szCs w:val="18"/>
                <w:lang w:val="zh-CN"/>
              </w:rPr>
              <w:t>②以评审专家结合项目实际情况和响应文件独立评审为准。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858" w:hRule="atLeast"/>
        </w:trPr>
        <w:tc>
          <w:tcPr>
            <w:tcW w:w="449" w:type="dxa"/>
            <w:vMerge w:val="continue"/>
            <w:tcBorders>
              <w:bottom w:val="single" w:color="auto" w:sz="8" w:space="0"/>
              <w:right w:val="single" w:color="auto" w:sz="8" w:space="0"/>
            </w:tcBorders>
            <w:vAlign w:val="center"/>
          </w:tcPr>
          <w:p>
            <w:pPr>
              <w:spacing w:line="360" w:lineRule="auto"/>
              <w:ind w:firstLine="28"/>
              <w:jc w:val="center"/>
              <w:rPr>
                <w:rFonts w:hAnsi="宋体" w:cs="宋体"/>
                <w:sz w:val="24"/>
                <w:szCs w:val="24"/>
              </w:rPr>
            </w:pPr>
          </w:p>
        </w:tc>
        <w:tc>
          <w:tcPr>
            <w:tcW w:w="668" w:type="dxa"/>
            <w:vMerge w:val="continue"/>
            <w:tcBorders>
              <w:left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p>
        </w:tc>
        <w:tc>
          <w:tcPr>
            <w:tcW w:w="893"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Ansi="宋体" w:cs="宋体"/>
                <w:sz w:val="24"/>
                <w:szCs w:val="24"/>
                <w:lang w:val="zh-CN"/>
              </w:rPr>
            </w:pPr>
            <w:r>
              <w:rPr>
                <w:rFonts w:hint="eastAsia" w:hAnsi="宋体" w:cs="宋体"/>
                <w:sz w:val="24"/>
                <w:szCs w:val="24"/>
                <w:lang w:val="zh-CN"/>
              </w:rPr>
              <w:t>跟踪服务承诺</w:t>
            </w:r>
          </w:p>
        </w:tc>
        <w:tc>
          <w:tcPr>
            <w:tcW w:w="706"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4分</w:t>
            </w:r>
          </w:p>
        </w:tc>
        <w:tc>
          <w:tcPr>
            <w:tcW w:w="5870" w:type="dxa"/>
            <w:tcBorders>
              <w:top w:val="single" w:color="auto" w:sz="8" w:space="0"/>
              <w:left w:val="single" w:color="auto" w:sz="8" w:space="0"/>
              <w:bottom w:val="single" w:color="auto" w:sz="8" w:space="0"/>
            </w:tcBorders>
            <w:vAlign w:val="top"/>
          </w:tcPr>
          <w:p>
            <w:pPr>
              <w:spacing w:line="460" w:lineRule="exact"/>
              <w:ind w:firstLine="511" w:firstLineChars="213"/>
              <w:jc w:val="left"/>
              <w:rPr>
                <w:rFonts w:hAnsi="宋体" w:cs="宋体"/>
                <w:sz w:val="24"/>
              </w:rPr>
            </w:pPr>
            <w:r>
              <w:rPr>
                <w:rFonts w:hint="eastAsia" w:hAnsi="宋体" w:cs="宋体"/>
                <w:sz w:val="24"/>
                <w:szCs w:val="24"/>
              </w:rPr>
              <w:t>跟踪服务承诺包含了①保证设计质量和②配合项目实施、提供优质服务；</w:t>
            </w:r>
            <w:r>
              <w:rPr>
                <w:rFonts w:hint="eastAsia" w:hAnsi="宋体" w:cs="宋体"/>
                <w:sz w:val="24"/>
              </w:rPr>
              <w:t xml:space="preserve">每具有一项得2分，最多得4分；在此基础上，方案中存在缺陷或不足，每有一处扣1分；扣完为止。 </w:t>
            </w:r>
          </w:p>
          <w:p>
            <w:pPr>
              <w:spacing w:line="460" w:lineRule="exact"/>
              <w:ind w:firstLine="385" w:firstLineChars="213"/>
              <w:jc w:val="left"/>
              <w:rPr>
                <w:rFonts w:hAnsi="宋体" w:cs="宋体"/>
                <w:b/>
                <w:bCs/>
                <w:color w:val="000000"/>
                <w:sz w:val="18"/>
                <w:szCs w:val="18"/>
                <w:lang w:val="zh-CN"/>
              </w:rPr>
            </w:pPr>
            <w:r>
              <w:rPr>
                <w:rFonts w:hint="eastAsia" w:hAnsi="宋体" w:cs="宋体"/>
                <w:b/>
                <w:bCs/>
                <w:color w:val="000000"/>
                <w:sz w:val="18"/>
                <w:szCs w:val="18"/>
                <w:lang w:val="zh-CN"/>
              </w:rPr>
              <w:t>注：</w:t>
            </w:r>
            <w:r>
              <w:rPr>
                <w:rFonts w:hint="eastAsia" w:hAnsi="宋体" w:cs="宋体"/>
                <w:b/>
                <w:bCs/>
                <w:color w:val="000000"/>
                <w:sz w:val="18"/>
                <w:szCs w:val="18"/>
              </w:rPr>
              <w:t>①</w:t>
            </w:r>
            <w:r>
              <w:rPr>
                <w:rFonts w:hint="eastAsia" w:hAnsi="宋体" w:cs="宋体"/>
                <w:b/>
                <w:bCs/>
                <w:color w:val="000000"/>
                <w:sz w:val="18"/>
                <w:szCs w:val="18"/>
                <w:lang w:val="zh-CN"/>
              </w:rPr>
              <w:t>缺陷或不足是指：存在不适用项目实际情况的情形、凭空编造、方案中内容前后不一致、前后逻辑错误、涉及的规范及标准错误、地点区域错误、不符合项目实际情况等；</w:t>
            </w:r>
          </w:p>
          <w:p>
            <w:pPr>
              <w:spacing w:line="360" w:lineRule="auto"/>
              <w:ind w:firstLine="361" w:firstLineChars="200"/>
              <w:jc w:val="left"/>
              <w:rPr>
                <w:rFonts w:hAnsi="宋体" w:cs="宋体"/>
                <w:sz w:val="24"/>
                <w:szCs w:val="24"/>
              </w:rPr>
            </w:pPr>
            <w:r>
              <w:rPr>
                <w:rFonts w:hint="eastAsia" w:hAnsi="宋体" w:cs="宋体"/>
                <w:b/>
                <w:bCs/>
                <w:color w:val="000000"/>
                <w:sz w:val="18"/>
                <w:szCs w:val="18"/>
                <w:lang w:val="zh-CN"/>
              </w:rPr>
              <w:t>②以评审专家结合项目实际情况和响应文件独立评审为准。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555" w:hRule="atLeast"/>
        </w:trPr>
        <w:tc>
          <w:tcPr>
            <w:tcW w:w="449" w:type="dxa"/>
            <w:vMerge w:val="restart"/>
            <w:tcBorders>
              <w:top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3</w:t>
            </w:r>
          </w:p>
        </w:tc>
        <w:tc>
          <w:tcPr>
            <w:tcW w:w="668" w:type="dxa"/>
            <w:vMerge w:val="restart"/>
            <w:tcBorders>
              <w:top w:val="single" w:color="auto" w:sz="8" w:space="0"/>
              <w:left w:val="single" w:color="auto" w:sz="8" w:space="0"/>
              <w:right w:val="single" w:color="auto" w:sz="8" w:space="0"/>
            </w:tcBorders>
            <w:vAlign w:val="center"/>
          </w:tcPr>
          <w:p>
            <w:pPr>
              <w:spacing w:line="360" w:lineRule="auto"/>
              <w:jc w:val="center"/>
              <w:rPr>
                <w:rFonts w:hAnsi="宋体" w:cs="宋体"/>
                <w:sz w:val="24"/>
                <w:szCs w:val="24"/>
              </w:rPr>
            </w:pPr>
          </w:p>
          <w:p>
            <w:pPr>
              <w:spacing w:line="360" w:lineRule="auto"/>
              <w:jc w:val="center"/>
              <w:rPr>
                <w:rFonts w:hAnsi="宋体" w:cs="宋体"/>
                <w:sz w:val="24"/>
                <w:szCs w:val="24"/>
              </w:rPr>
            </w:pPr>
            <w:r>
              <w:rPr>
                <w:rFonts w:hint="eastAsia" w:hAnsi="宋体" w:cs="宋体"/>
                <w:sz w:val="24"/>
                <w:szCs w:val="24"/>
              </w:rPr>
              <w:t>团队实力15%</w:t>
            </w:r>
          </w:p>
        </w:tc>
        <w:tc>
          <w:tcPr>
            <w:tcW w:w="893" w:type="dxa"/>
            <w:tcBorders>
              <w:top w:val="single" w:color="auto" w:sz="8" w:space="0"/>
              <w:left w:val="single" w:color="auto" w:sz="8" w:space="0"/>
              <w:bottom w:val="single" w:color="auto" w:sz="4"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项目负责人</w:t>
            </w:r>
          </w:p>
          <w:p>
            <w:pPr>
              <w:spacing w:line="360" w:lineRule="auto"/>
              <w:jc w:val="center"/>
              <w:rPr>
                <w:rFonts w:hAnsi="宋体" w:cs="宋体"/>
                <w:sz w:val="24"/>
                <w:szCs w:val="24"/>
              </w:rPr>
            </w:pPr>
          </w:p>
        </w:tc>
        <w:tc>
          <w:tcPr>
            <w:tcW w:w="706" w:type="dxa"/>
            <w:tcBorders>
              <w:top w:val="single" w:color="auto" w:sz="8" w:space="0"/>
              <w:left w:val="single" w:color="auto" w:sz="8" w:space="0"/>
              <w:bottom w:val="single" w:color="auto" w:sz="4"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5分</w:t>
            </w:r>
          </w:p>
        </w:tc>
        <w:tc>
          <w:tcPr>
            <w:tcW w:w="5870" w:type="dxa"/>
            <w:tcBorders>
              <w:top w:val="single" w:color="auto" w:sz="8" w:space="0"/>
              <w:left w:val="single" w:color="auto" w:sz="8" w:space="0"/>
              <w:bottom w:val="single" w:color="auto" w:sz="4" w:space="0"/>
            </w:tcBorders>
            <w:vAlign w:val="center"/>
          </w:tcPr>
          <w:p>
            <w:pPr>
              <w:pStyle w:val="2"/>
              <w:spacing w:line="360" w:lineRule="auto"/>
              <w:ind w:firstLine="480" w:firstLineChars="200"/>
              <w:rPr>
                <w:rFonts w:hAnsi="宋体" w:cs="宋体"/>
                <w:sz w:val="24"/>
                <w:szCs w:val="24"/>
              </w:rPr>
            </w:pPr>
            <w:r>
              <w:rPr>
                <w:rFonts w:hint="eastAsia" w:hAnsi="宋体" w:cs="宋体"/>
                <w:sz w:val="24"/>
                <w:szCs w:val="24"/>
              </w:rPr>
              <w:t>项目负责人同时具有规划</w:t>
            </w:r>
            <w:r>
              <w:rPr>
                <w:rFonts w:hint="eastAsia" w:hAnsi="宋体" w:cs="宋体"/>
                <w:sz w:val="24"/>
                <w:szCs w:val="24"/>
                <w:lang w:eastAsia="zh-CN"/>
              </w:rPr>
              <w:t>类</w:t>
            </w:r>
            <w:r>
              <w:rPr>
                <w:rFonts w:hint="eastAsia" w:hAnsi="宋体" w:cs="宋体"/>
                <w:sz w:val="24"/>
                <w:szCs w:val="24"/>
              </w:rPr>
              <w:t>专业高级及以上职称和注册城乡规划师资格证书的得5分，只具有其中一项不得分。</w:t>
            </w:r>
          </w:p>
          <w:p>
            <w:pPr>
              <w:pStyle w:val="2"/>
              <w:spacing w:line="360" w:lineRule="auto"/>
              <w:ind w:firstLine="361" w:firstLineChars="200"/>
              <w:rPr>
                <w:rFonts w:hAnsi="宋体" w:cs="宋体"/>
                <w:sz w:val="24"/>
                <w:szCs w:val="24"/>
                <w:lang w:val="zh-CN"/>
              </w:rPr>
            </w:pPr>
            <w:r>
              <w:rPr>
                <w:rFonts w:hint="eastAsia" w:hAnsi="宋体" w:cs="宋体"/>
                <w:b/>
                <w:bCs/>
                <w:color w:val="000000"/>
                <w:sz w:val="18"/>
                <w:szCs w:val="18"/>
                <w:lang w:val="zh-CN"/>
              </w:rPr>
              <w:t>注：提供相关资格证书复印件，并加盖投标人</w:t>
            </w:r>
            <w:r>
              <w:rPr>
                <w:rFonts w:hint="eastAsia" w:hAnsi="宋体" w:cs="宋体"/>
                <w:b/>
                <w:bCs/>
                <w:sz w:val="18"/>
                <w:szCs w:val="18"/>
              </w:rPr>
              <w:t>电子签章</w:t>
            </w:r>
            <w:r>
              <w:rPr>
                <w:rFonts w:hint="eastAsia" w:hAnsi="宋体" w:cs="宋体"/>
                <w:b/>
                <w:bCs/>
                <w:color w:val="000000"/>
                <w:sz w:val="18"/>
                <w:szCs w:val="18"/>
                <w:lang w:val="zh-CN"/>
              </w:rPr>
              <w:t>，否则此项不得分。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164" w:hRule="atLeast"/>
        </w:trPr>
        <w:tc>
          <w:tcPr>
            <w:tcW w:w="449" w:type="dxa"/>
            <w:vMerge w:val="continue"/>
            <w:tcBorders>
              <w:top w:val="single" w:color="auto" w:sz="8" w:space="0"/>
              <w:bottom w:val="single" w:color="auto" w:sz="8" w:space="0"/>
              <w:right w:val="single" w:color="auto" w:sz="8" w:space="0"/>
            </w:tcBorders>
            <w:vAlign w:val="center"/>
          </w:tcPr>
          <w:p>
            <w:pPr>
              <w:spacing w:line="360" w:lineRule="auto"/>
              <w:ind w:firstLine="28"/>
              <w:jc w:val="center"/>
              <w:rPr>
                <w:rFonts w:hAnsi="宋体" w:cs="宋体"/>
                <w:sz w:val="24"/>
                <w:szCs w:val="24"/>
              </w:rPr>
            </w:pPr>
          </w:p>
        </w:tc>
        <w:tc>
          <w:tcPr>
            <w:tcW w:w="668" w:type="dxa"/>
            <w:vMerge w:val="continue"/>
            <w:tcBorders>
              <w:left w:val="single" w:color="auto" w:sz="8" w:space="0"/>
              <w:right w:val="single" w:color="auto" w:sz="8" w:space="0"/>
            </w:tcBorders>
            <w:vAlign w:val="center"/>
          </w:tcPr>
          <w:p>
            <w:pPr>
              <w:spacing w:line="360" w:lineRule="auto"/>
              <w:rPr>
                <w:rFonts w:hAnsi="宋体" w:cs="宋体"/>
                <w:sz w:val="24"/>
                <w:szCs w:val="24"/>
              </w:rPr>
            </w:pPr>
          </w:p>
        </w:tc>
        <w:tc>
          <w:tcPr>
            <w:tcW w:w="893"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团队成员（项目负责人除外）</w:t>
            </w:r>
          </w:p>
          <w:p>
            <w:pPr>
              <w:spacing w:line="360" w:lineRule="auto"/>
              <w:jc w:val="center"/>
              <w:rPr>
                <w:rFonts w:hAnsi="宋体" w:cs="宋体"/>
                <w:sz w:val="24"/>
                <w:szCs w:val="24"/>
              </w:rPr>
            </w:pPr>
          </w:p>
        </w:tc>
        <w:tc>
          <w:tcPr>
            <w:tcW w:w="706"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10分</w:t>
            </w:r>
          </w:p>
        </w:tc>
        <w:tc>
          <w:tcPr>
            <w:tcW w:w="5870" w:type="dxa"/>
            <w:tcBorders>
              <w:top w:val="single" w:color="auto" w:sz="8" w:space="0"/>
              <w:left w:val="single" w:color="auto" w:sz="8" w:space="0"/>
              <w:bottom w:val="single" w:color="auto" w:sz="8" w:space="0"/>
            </w:tcBorders>
            <w:vAlign w:val="center"/>
          </w:tcPr>
          <w:p>
            <w:pPr>
              <w:spacing w:line="360" w:lineRule="auto"/>
              <w:ind w:firstLine="480" w:firstLineChars="200"/>
              <w:jc w:val="left"/>
              <w:rPr>
                <w:rFonts w:hAnsi="宋体" w:cs="宋体"/>
                <w:sz w:val="24"/>
                <w:szCs w:val="24"/>
              </w:rPr>
            </w:pPr>
            <w:r>
              <w:rPr>
                <w:rFonts w:hint="eastAsia" w:hAnsi="宋体" w:cs="宋体"/>
                <w:sz w:val="24"/>
                <w:szCs w:val="24"/>
                <w:lang w:val="zh-CN"/>
              </w:rPr>
              <w:t>每有1名成员具备规划类专业高级</w:t>
            </w:r>
            <w:r>
              <w:rPr>
                <w:rFonts w:hint="eastAsia" w:hAnsi="宋体" w:cs="宋体"/>
                <w:sz w:val="24"/>
                <w:szCs w:val="24"/>
              </w:rPr>
              <w:t>及</w:t>
            </w:r>
            <w:r>
              <w:rPr>
                <w:rFonts w:hint="eastAsia" w:hAnsi="宋体" w:cs="宋体"/>
                <w:sz w:val="24"/>
                <w:szCs w:val="24"/>
                <w:lang w:val="zh-CN"/>
              </w:rPr>
              <w:t>以上职称得</w:t>
            </w:r>
            <w:r>
              <w:rPr>
                <w:rFonts w:hint="eastAsia" w:hAnsi="宋体" w:cs="宋体"/>
                <w:sz w:val="24"/>
                <w:szCs w:val="24"/>
              </w:rPr>
              <w:t>2分；</w:t>
            </w:r>
            <w:r>
              <w:rPr>
                <w:rFonts w:hint="eastAsia" w:hAnsi="宋体" w:cs="宋体"/>
                <w:sz w:val="24"/>
                <w:szCs w:val="24"/>
                <w:lang w:val="zh-CN"/>
              </w:rPr>
              <w:t>每有1名成员具备注册城乡规划师</w:t>
            </w:r>
            <w:r>
              <w:rPr>
                <w:rFonts w:hint="eastAsia" w:hAnsi="宋体" w:cs="宋体"/>
                <w:sz w:val="24"/>
                <w:szCs w:val="24"/>
              </w:rPr>
              <w:t>资格</w:t>
            </w:r>
            <w:r>
              <w:rPr>
                <w:rFonts w:hint="eastAsia" w:hAnsi="宋体" w:cs="宋体"/>
                <w:sz w:val="24"/>
                <w:szCs w:val="24"/>
                <w:lang w:val="zh-CN"/>
              </w:rPr>
              <w:t>证书的得</w:t>
            </w:r>
            <w:r>
              <w:rPr>
                <w:rFonts w:hint="eastAsia" w:hAnsi="宋体" w:cs="宋体"/>
                <w:sz w:val="24"/>
                <w:szCs w:val="24"/>
              </w:rPr>
              <w:t>2</w:t>
            </w:r>
            <w:r>
              <w:rPr>
                <w:rFonts w:hint="eastAsia" w:hAnsi="宋体" w:cs="宋体"/>
                <w:sz w:val="24"/>
                <w:szCs w:val="24"/>
                <w:lang w:val="zh-CN"/>
              </w:rPr>
              <w:t>分；每有1名成员具备规划类专业中级职称的得1分。</w:t>
            </w:r>
            <w:r>
              <w:rPr>
                <w:rFonts w:hint="eastAsia" w:hAnsi="宋体" w:cs="宋体"/>
                <w:sz w:val="24"/>
                <w:szCs w:val="24"/>
              </w:rPr>
              <w:t>本项最多得10分。</w:t>
            </w:r>
          </w:p>
          <w:p>
            <w:pPr>
              <w:pStyle w:val="2"/>
              <w:spacing w:line="360" w:lineRule="auto"/>
              <w:ind w:firstLine="361" w:firstLineChars="200"/>
              <w:rPr>
                <w:rFonts w:hAnsi="宋体" w:cs="宋体"/>
                <w:sz w:val="24"/>
                <w:szCs w:val="24"/>
                <w:lang w:val="zh-CN"/>
              </w:rPr>
            </w:pPr>
            <w:r>
              <w:rPr>
                <w:rFonts w:hint="eastAsia" w:hAnsi="宋体" w:cs="宋体"/>
                <w:b/>
                <w:bCs/>
                <w:sz w:val="18"/>
                <w:szCs w:val="18"/>
              </w:rPr>
              <w:t>注：提供证书复印件并加盖投标人电子签章，同一人员不重复计分，同一人员证书以得分最高的为准。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854" w:hRule="atLeast"/>
        </w:trPr>
        <w:tc>
          <w:tcPr>
            <w:tcW w:w="449" w:type="dxa"/>
            <w:tcBorders>
              <w:top w:val="single" w:color="auto" w:sz="8" w:space="0"/>
              <w:bottom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4</w:t>
            </w:r>
          </w:p>
        </w:tc>
        <w:tc>
          <w:tcPr>
            <w:tcW w:w="1561" w:type="dxa"/>
            <w:gridSpan w:val="2"/>
            <w:tcBorders>
              <w:top w:val="single" w:color="auto" w:sz="8" w:space="0"/>
              <w:left w:val="single" w:color="auto" w:sz="8" w:space="0"/>
              <w:bottom w:val="single" w:color="auto" w:sz="8" w:space="0"/>
              <w:right w:val="single" w:color="auto" w:sz="8" w:space="0"/>
            </w:tcBorders>
            <w:vAlign w:val="center"/>
          </w:tcPr>
          <w:p>
            <w:pPr>
              <w:pStyle w:val="2"/>
              <w:spacing w:line="360" w:lineRule="auto"/>
              <w:jc w:val="center"/>
              <w:rPr>
                <w:rFonts w:hAnsi="宋体" w:cs="宋体"/>
                <w:sz w:val="24"/>
                <w:szCs w:val="24"/>
              </w:rPr>
            </w:pPr>
            <w:r>
              <w:rPr>
                <w:rFonts w:hint="eastAsia" w:hAnsi="宋体" w:cs="宋体"/>
                <w:sz w:val="24"/>
                <w:szCs w:val="24"/>
              </w:rPr>
              <w:t>荣誉</w:t>
            </w:r>
          </w:p>
          <w:p>
            <w:pPr>
              <w:pStyle w:val="2"/>
              <w:spacing w:line="360" w:lineRule="auto"/>
              <w:jc w:val="center"/>
              <w:rPr>
                <w:rFonts w:hAnsi="宋体" w:cs="宋体"/>
                <w:sz w:val="24"/>
                <w:szCs w:val="24"/>
              </w:rPr>
            </w:pPr>
            <w:r>
              <w:rPr>
                <w:rFonts w:hint="eastAsia" w:hAnsi="宋体" w:cs="宋体"/>
                <w:sz w:val="24"/>
                <w:szCs w:val="24"/>
              </w:rPr>
              <w:t>12%</w:t>
            </w:r>
          </w:p>
        </w:tc>
        <w:tc>
          <w:tcPr>
            <w:tcW w:w="706" w:type="dxa"/>
            <w:tcBorders>
              <w:top w:val="single" w:color="auto" w:sz="8" w:space="0"/>
              <w:left w:val="single" w:color="auto" w:sz="8" w:space="0"/>
              <w:bottom w:val="single" w:color="auto" w:sz="8" w:space="0"/>
              <w:right w:val="single" w:color="auto" w:sz="8" w:space="0"/>
            </w:tcBorders>
            <w:vAlign w:val="center"/>
          </w:tcPr>
          <w:p>
            <w:pPr>
              <w:pStyle w:val="2"/>
              <w:spacing w:line="360" w:lineRule="auto"/>
              <w:jc w:val="center"/>
              <w:rPr>
                <w:rFonts w:hAnsi="宋体" w:cs="宋体"/>
                <w:sz w:val="24"/>
                <w:szCs w:val="24"/>
              </w:rPr>
            </w:pPr>
            <w:r>
              <w:rPr>
                <w:rFonts w:hint="eastAsia" w:hAnsi="宋体" w:cs="宋体"/>
                <w:sz w:val="24"/>
                <w:szCs w:val="24"/>
              </w:rPr>
              <w:t>12分</w:t>
            </w:r>
          </w:p>
        </w:tc>
        <w:tc>
          <w:tcPr>
            <w:tcW w:w="5870" w:type="dxa"/>
            <w:tcBorders>
              <w:top w:val="single" w:color="auto" w:sz="8" w:space="0"/>
              <w:left w:val="single" w:color="auto" w:sz="8" w:space="0"/>
              <w:bottom w:val="single" w:color="auto" w:sz="8" w:space="0"/>
            </w:tcBorders>
            <w:vAlign w:val="center"/>
          </w:tcPr>
          <w:p>
            <w:pPr>
              <w:spacing w:line="360" w:lineRule="auto"/>
              <w:ind w:firstLine="480" w:firstLineChars="200"/>
              <w:rPr>
                <w:rFonts w:hAnsi="宋体" w:cs="宋体"/>
                <w:sz w:val="24"/>
                <w:szCs w:val="24"/>
                <w:highlight w:val="yellow"/>
              </w:rPr>
            </w:pPr>
            <w:r>
              <w:rPr>
                <w:rFonts w:hint="eastAsia" w:hAnsi="宋体" w:cs="宋体"/>
                <w:sz w:val="24"/>
                <w:szCs w:val="24"/>
                <w:lang w:eastAsia="zh-CN"/>
              </w:rPr>
              <w:t>投标人</w:t>
            </w:r>
            <w:r>
              <w:rPr>
                <w:rFonts w:hint="eastAsia" w:hAnsi="宋体" w:cs="宋体"/>
                <w:sz w:val="24"/>
                <w:szCs w:val="24"/>
              </w:rPr>
              <w:t>自2017年1月1日</w:t>
            </w:r>
            <w:r>
              <w:rPr>
                <w:rFonts w:hint="eastAsia" w:hAnsi="宋体" w:cs="宋体"/>
                <w:sz w:val="24"/>
                <w:szCs w:val="24"/>
                <w:lang w:eastAsia="zh-CN"/>
              </w:rPr>
              <w:t>（含）</w:t>
            </w:r>
            <w:r>
              <w:rPr>
                <w:rFonts w:hint="eastAsia" w:hAnsi="宋体" w:cs="宋体"/>
                <w:sz w:val="24"/>
                <w:szCs w:val="24"/>
              </w:rPr>
              <w:t>以来类似项目（规划研究类或专项规划类）</w:t>
            </w:r>
            <w:r>
              <w:rPr>
                <w:rFonts w:hint="eastAsia" w:hAnsi="宋体"/>
                <w:sz w:val="24"/>
                <w:lang w:val="zh-CN"/>
              </w:rPr>
              <w:t>获得省级优秀城乡规划设计一等奖的得</w:t>
            </w:r>
            <w:r>
              <w:rPr>
                <w:rFonts w:hint="eastAsia" w:hAnsi="宋体"/>
                <w:sz w:val="24"/>
              </w:rPr>
              <w:t>1.5</w:t>
            </w:r>
            <w:r>
              <w:rPr>
                <w:rFonts w:hint="eastAsia" w:hAnsi="宋体"/>
                <w:sz w:val="24"/>
                <w:lang w:val="zh-CN"/>
              </w:rPr>
              <w:t>分，二等奖的得</w:t>
            </w:r>
            <w:r>
              <w:rPr>
                <w:rFonts w:hint="eastAsia" w:hAnsi="宋体"/>
                <w:sz w:val="24"/>
              </w:rPr>
              <w:t>1分，三等奖的得0.5分；</w:t>
            </w:r>
            <w:r>
              <w:rPr>
                <w:rFonts w:hint="eastAsia" w:hAnsi="宋体"/>
                <w:sz w:val="24"/>
                <w:lang w:val="zh-CN"/>
              </w:rPr>
              <w:t>供应商在2017年</w:t>
            </w:r>
            <w:r>
              <w:rPr>
                <w:rFonts w:hint="eastAsia" w:hAnsi="宋体"/>
                <w:sz w:val="24"/>
              </w:rPr>
              <w:t>1月1日（含）</w:t>
            </w:r>
            <w:r>
              <w:rPr>
                <w:rFonts w:hint="eastAsia" w:hAnsi="宋体"/>
                <w:sz w:val="24"/>
                <w:lang w:val="zh-CN"/>
              </w:rPr>
              <w:t>以来</w:t>
            </w:r>
            <w:r>
              <w:rPr>
                <w:rFonts w:hint="eastAsia" w:hAnsi="宋体"/>
                <w:sz w:val="24"/>
              </w:rPr>
              <w:t>获得</w:t>
            </w:r>
            <w:r>
              <w:rPr>
                <w:rFonts w:hint="eastAsia" w:hAnsi="宋体"/>
                <w:sz w:val="24"/>
                <w:lang w:val="zh-CN"/>
              </w:rPr>
              <w:t>国家级优秀城乡规划设计项目一等奖的得</w:t>
            </w:r>
            <w:r>
              <w:rPr>
                <w:rFonts w:hint="eastAsia" w:hAnsi="宋体"/>
                <w:sz w:val="24"/>
              </w:rPr>
              <w:t>3</w:t>
            </w:r>
            <w:r>
              <w:rPr>
                <w:rFonts w:hint="eastAsia" w:hAnsi="宋体"/>
                <w:sz w:val="24"/>
                <w:lang w:val="zh-CN"/>
              </w:rPr>
              <w:t>分，二等奖的得</w:t>
            </w:r>
            <w:r>
              <w:rPr>
                <w:rFonts w:hint="eastAsia" w:hAnsi="宋体"/>
                <w:sz w:val="24"/>
              </w:rPr>
              <w:t>2分，三等奖的得1分，</w:t>
            </w:r>
            <w:r>
              <w:rPr>
                <w:rFonts w:hint="eastAsia" w:hAnsi="宋体"/>
                <w:sz w:val="24"/>
                <w:lang w:val="zh-CN"/>
              </w:rPr>
              <w:t>此项最多得</w:t>
            </w:r>
            <w:r>
              <w:rPr>
                <w:rFonts w:hint="eastAsia" w:hAnsi="宋体"/>
                <w:sz w:val="24"/>
              </w:rPr>
              <w:t>12分</w:t>
            </w:r>
            <w:r>
              <w:rPr>
                <w:rFonts w:hint="eastAsia" w:hAnsi="宋体"/>
                <w:sz w:val="24"/>
                <w:lang w:val="zh-CN"/>
              </w:rPr>
              <w:t>。</w:t>
            </w:r>
          </w:p>
          <w:p>
            <w:pPr>
              <w:pStyle w:val="2"/>
              <w:spacing w:line="360" w:lineRule="auto"/>
              <w:ind w:firstLine="361" w:firstLineChars="200"/>
              <w:rPr>
                <w:rFonts w:hAnsi="宋体" w:cs="宋体"/>
                <w:sz w:val="24"/>
                <w:szCs w:val="24"/>
                <w:lang w:val="zh-CN"/>
              </w:rPr>
            </w:pPr>
            <w:r>
              <w:rPr>
                <w:rFonts w:hint="eastAsia" w:hAnsi="宋体" w:cs="宋体"/>
                <w:b/>
                <w:bCs/>
                <w:sz w:val="18"/>
                <w:szCs w:val="18"/>
              </w:rPr>
              <w:t>注：提供相关证书复印件，并加盖投标人电子签章；同一项目不重复计分，同一项目以得分最高的为准。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84" w:hRule="atLeast"/>
        </w:trPr>
        <w:tc>
          <w:tcPr>
            <w:tcW w:w="449" w:type="dxa"/>
            <w:tcBorders>
              <w:top w:val="single" w:color="auto" w:sz="8" w:space="0"/>
              <w:right w:val="single" w:color="auto" w:sz="8" w:space="0"/>
            </w:tcBorders>
            <w:vAlign w:val="center"/>
          </w:tcPr>
          <w:p>
            <w:pPr>
              <w:spacing w:line="360" w:lineRule="auto"/>
              <w:jc w:val="center"/>
              <w:rPr>
                <w:rFonts w:hAnsi="宋体" w:cs="宋体"/>
                <w:sz w:val="24"/>
                <w:szCs w:val="24"/>
              </w:rPr>
            </w:pPr>
            <w:r>
              <w:rPr>
                <w:rFonts w:hint="eastAsia" w:hAnsi="宋体" w:cs="宋体"/>
                <w:sz w:val="24"/>
                <w:szCs w:val="24"/>
              </w:rPr>
              <w:t>5</w:t>
            </w:r>
          </w:p>
        </w:tc>
        <w:tc>
          <w:tcPr>
            <w:tcW w:w="1561" w:type="dxa"/>
            <w:gridSpan w:val="2"/>
            <w:tcBorders>
              <w:top w:val="single" w:color="auto" w:sz="8" w:space="0"/>
              <w:left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类似</w:t>
            </w:r>
          </w:p>
          <w:p>
            <w:pPr>
              <w:spacing w:line="360" w:lineRule="auto"/>
              <w:ind w:firstLine="28"/>
              <w:jc w:val="center"/>
              <w:rPr>
                <w:rFonts w:hAnsi="宋体" w:cs="宋体"/>
                <w:sz w:val="24"/>
                <w:szCs w:val="24"/>
              </w:rPr>
            </w:pPr>
            <w:r>
              <w:rPr>
                <w:rFonts w:hint="eastAsia" w:hAnsi="宋体" w:cs="宋体"/>
                <w:sz w:val="24"/>
                <w:szCs w:val="24"/>
              </w:rPr>
              <w:t>业绩</w:t>
            </w:r>
          </w:p>
          <w:p>
            <w:pPr>
              <w:pStyle w:val="2"/>
              <w:spacing w:line="360" w:lineRule="auto"/>
              <w:jc w:val="center"/>
              <w:rPr>
                <w:rFonts w:hAnsi="宋体" w:cs="宋体"/>
                <w:sz w:val="24"/>
                <w:szCs w:val="24"/>
              </w:rPr>
            </w:pPr>
            <w:r>
              <w:rPr>
                <w:rFonts w:hint="eastAsia" w:hAnsi="宋体" w:cs="宋体"/>
                <w:sz w:val="24"/>
                <w:szCs w:val="24"/>
              </w:rPr>
              <w:t>12%</w:t>
            </w:r>
          </w:p>
        </w:tc>
        <w:tc>
          <w:tcPr>
            <w:tcW w:w="706" w:type="dxa"/>
            <w:tcBorders>
              <w:top w:val="single" w:color="auto" w:sz="8" w:space="0"/>
              <w:left w:val="single" w:color="auto" w:sz="8" w:space="0"/>
              <w:right w:val="single" w:color="auto" w:sz="8" w:space="0"/>
            </w:tcBorders>
            <w:vAlign w:val="center"/>
          </w:tcPr>
          <w:p>
            <w:pPr>
              <w:spacing w:line="360" w:lineRule="auto"/>
              <w:ind w:firstLine="28"/>
              <w:jc w:val="center"/>
              <w:rPr>
                <w:rFonts w:hAnsi="宋体" w:cs="宋体"/>
                <w:sz w:val="24"/>
                <w:szCs w:val="24"/>
              </w:rPr>
            </w:pPr>
            <w:r>
              <w:rPr>
                <w:rFonts w:hint="eastAsia" w:hAnsi="宋体" w:cs="宋体"/>
                <w:sz w:val="24"/>
                <w:szCs w:val="24"/>
              </w:rPr>
              <w:t>12分</w:t>
            </w:r>
          </w:p>
        </w:tc>
        <w:tc>
          <w:tcPr>
            <w:tcW w:w="5870" w:type="dxa"/>
            <w:tcBorders>
              <w:top w:val="single" w:color="auto" w:sz="8" w:space="0"/>
              <w:left w:val="single" w:color="auto" w:sz="8" w:space="0"/>
            </w:tcBorders>
            <w:vAlign w:val="center"/>
          </w:tcPr>
          <w:p>
            <w:pPr>
              <w:pStyle w:val="2"/>
              <w:spacing w:line="360" w:lineRule="auto"/>
              <w:ind w:firstLine="480" w:firstLineChars="200"/>
              <w:rPr>
                <w:rFonts w:hAnsi="宋体" w:cs="宋体"/>
                <w:sz w:val="24"/>
                <w:szCs w:val="24"/>
              </w:rPr>
            </w:pPr>
            <w:r>
              <w:rPr>
                <w:rFonts w:hint="eastAsia" w:hAnsi="宋体" w:cs="宋体"/>
                <w:sz w:val="24"/>
                <w:szCs w:val="24"/>
                <w:lang w:eastAsia="zh-CN"/>
              </w:rPr>
              <w:t>投标人</w:t>
            </w:r>
            <w:r>
              <w:rPr>
                <w:rFonts w:hint="eastAsia" w:hAnsi="宋体" w:cs="宋体"/>
                <w:sz w:val="24"/>
                <w:szCs w:val="24"/>
              </w:rPr>
              <w:t>自2018年1月1日（含）至今每具有一个类似项目（包括但不限于规划研究类或专项规划类）业绩的得2分，本项最多得12分。</w:t>
            </w:r>
          </w:p>
          <w:p>
            <w:pPr>
              <w:spacing w:line="360" w:lineRule="auto"/>
              <w:ind w:firstLine="361" w:firstLineChars="200"/>
              <w:rPr>
                <w:rFonts w:hAnsi="宋体" w:cs="宋体"/>
                <w:b/>
                <w:bCs/>
                <w:sz w:val="24"/>
                <w:szCs w:val="24"/>
                <w:lang w:val="zh-CN"/>
              </w:rPr>
            </w:pPr>
            <w:r>
              <w:rPr>
                <w:rFonts w:hint="eastAsia" w:hAnsi="宋体" w:cs="宋体"/>
                <w:b/>
                <w:bCs/>
                <w:sz w:val="18"/>
                <w:szCs w:val="18"/>
              </w:rPr>
              <w:t>注：投标人提供合同复印件，并加盖投标人电子签章。</w:t>
            </w:r>
          </w:p>
        </w:tc>
      </w:tr>
    </w:tbl>
    <w:p>
      <w:pPr>
        <w:pStyle w:val="13"/>
        <w:tabs>
          <w:tab w:val="left" w:pos="600"/>
        </w:tabs>
        <w:spacing w:line="360" w:lineRule="auto"/>
        <w:ind w:firstLine="482" w:firstLineChars="200"/>
        <w:jc w:val="center"/>
        <w:rPr>
          <w:b/>
          <w:bCs/>
          <w:sz w:val="24"/>
          <w:szCs w:val="24"/>
        </w:rPr>
      </w:pPr>
    </w:p>
    <w:p>
      <w:pPr>
        <w:pStyle w:val="5"/>
        <w:spacing w:line="360" w:lineRule="auto"/>
        <w:ind w:firstLine="482" w:firstLineChars="200"/>
        <w:rPr>
          <w:rFonts w:ascii="黑体"/>
          <w:sz w:val="24"/>
          <w:szCs w:val="24"/>
        </w:rPr>
      </w:pPr>
      <w:r>
        <w:rPr>
          <w:rFonts w:hint="eastAsia" w:ascii="黑体"/>
          <w:sz w:val="24"/>
          <w:szCs w:val="24"/>
        </w:rPr>
        <w:t>5. 废 标</w:t>
      </w:r>
    </w:p>
    <w:p>
      <w:pPr>
        <w:spacing w:line="400" w:lineRule="exact"/>
        <w:ind w:firstLine="480" w:firstLineChars="200"/>
        <w:rPr>
          <w:sz w:val="24"/>
        </w:rPr>
      </w:pPr>
      <w:r>
        <w:rPr>
          <w:rFonts w:hint="eastAsia"/>
          <w:sz w:val="24"/>
        </w:rPr>
        <w:t>5.1本次政府采购活动中，出现下列情形之一的，予以废标：</w:t>
      </w:r>
    </w:p>
    <w:p>
      <w:pPr>
        <w:spacing w:line="400" w:lineRule="exact"/>
        <w:ind w:firstLine="480" w:firstLineChars="200"/>
        <w:rPr>
          <w:sz w:val="24"/>
        </w:rPr>
      </w:pPr>
      <w:r>
        <w:rPr>
          <w:rFonts w:hint="eastAsia"/>
          <w:sz w:val="24"/>
        </w:rPr>
        <w:t>（1）符合专业条件的供应商或者对招标文件作实质响应的供应商不足三家的；</w:t>
      </w:r>
    </w:p>
    <w:p>
      <w:pPr>
        <w:spacing w:line="400" w:lineRule="exact"/>
        <w:ind w:firstLine="480" w:firstLineChars="200"/>
        <w:rPr>
          <w:sz w:val="24"/>
        </w:rPr>
      </w:pPr>
      <w:r>
        <w:rPr>
          <w:rFonts w:hint="eastAsia"/>
          <w:sz w:val="24"/>
        </w:rPr>
        <w:t>（2）出现影响采购公正的违法、违规行为的；</w:t>
      </w:r>
    </w:p>
    <w:p>
      <w:pPr>
        <w:spacing w:line="400" w:lineRule="exact"/>
        <w:ind w:firstLine="480" w:firstLineChars="200"/>
        <w:rPr>
          <w:sz w:val="24"/>
        </w:rPr>
      </w:pPr>
      <w:r>
        <w:rPr>
          <w:rFonts w:hint="eastAsia"/>
          <w:sz w:val="24"/>
        </w:rPr>
        <w:t>（3）投标人的报价均超过了采购预算，采购人不能支付的；</w:t>
      </w:r>
    </w:p>
    <w:p>
      <w:pPr>
        <w:spacing w:line="400" w:lineRule="exact"/>
        <w:ind w:firstLine="480" w:firstLineChars="200"/>
        <w:rPr>
          <w:sz w:val="24"/>
        </w:rPr>
      </w:pPr>
      <w:r>
        <w:rPr>
          <w:rFonts w:hint="eastAsia"/>
          <w:sz w:val="24"/>
        </w:rPr>
        <w:t>（4）因重大变故，采购任务取消的。</w:t>
      </w:r>
    </w:p>
    <w:p>
      <w:pPr>
        <w:spacing w:line="400" w:lineRule="exact"/>
        <w:ind w:firstLine="480" w:firstLineChars="200"/>
        <w:rPr>
          <w:sz w:val="24"/>
        </w:rPr>
      </w:pPr>
      <w:r>
        <w:rPr>
          <w:rFonts w:hint="eastAsia"/>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sz w:val="24"/>
        </w:rPr>
      </w:pPr>
      <w:r>
        <w:rPr>
          <w:rFonts w:hint="eastAsia"/>
          <w:sz w:val="24"/>
        </w:rPr>
        <w:t>5.2对于评标过程中废标的采购项目，评标委员会应当对招标文件是否存在倾向性和歧视性、是否存在不合理条款进行论证，并出具书面论证意见。</w:t>
      </w:r>
    </w:p>
    <w:p>
      <w:pPr>
        <w:pStyle w:val="5"/>
        <w:spacing w:line="360" w:lineRule="auto"/>
        <w:ind w:firstLine="472" w:firstLineChars="196"/>
        <w:rPr>
          <w:rFonts w:ascii="黑体"/>
          <w:sz w:val="24"/>
          <w:szCs w:val="24"/>
        </w:rPr>
      </w:pPr>
      <w:r>
        <w:rPr>
          <w:rFonts w:hint="eastAsia" w:ascii="黑体"/>
          <w:sz w:val="24"/>
          <w:szCs w:val="24"/>
        </w:rPr>
        <w:t>6.定标</w:t>
      </w:r>
      <w:bookmarkEnd w:id="203"/>
      <w:bookmarkStart w:id="204" w:name="_Toc217446061"/>
    </w:p>
    <w:p>
      <w:pPr>
        <w:spacing w:line="360" w:lineRule="auto"/>
        <w:ind w:firstLine="480" w:firstLineChars="200"/>
        <w:rPr>
          <w:sz w:val="24"/>
        </w:rPr>
      </w:pPr>
      <w:r>
        <w:rPr>
          <w:rFonts w:hint="eastAsia"/>
          <w:sz w:val="24"/>
        </w:rPr>
        <w:t>6.1. 定标原则</w:t>
      </w:r>
      <w:bookmarkEnd w:id="204"/>
      <w:r>
        <w:rPr>
          <w:rFonts w:hint="eastAsia"/>
          <w:sz w:val="24"/>
        </w:rPr>
        <w:t>：本项目根据评标委员会推荐的中标候选供应商名单，按顺序确定中标供应商。</w:t>
      </w:r>
      <w:bookmarkStart w:id="205" w:name="_Toc217446062"/>
    </w:p>
    <w:p>
      <w:pPr>
        <w:spacing w:line="360" w:lineRule="auto"/>
        <w:ind w:firstLine="480" w:firstLineChars="200"/>
        <w:rPr>
          <w:sz w:val="24"/>
        </w:rPr>
      </w:pPr>
      <w:r>
        <w:rPr>
          <w:rFonts w:hint="eastAsia"/>
          <w:sz w:val="24"/>
        </w:rPr>
        <w:t>6.2. 定标程序</w:t>
      </w:r>
      <w:bookmarkEnd w:id="205"/>
    </w:p>
    <w:p>
      <w:pPr>
        <w:spacing w:line="360" w:lineRule="auto"/>
        <w:ind w:firstLine="480" w:firstLineChars="200"/>
        <w:rPr>
          <w:sz w:val="24"/>
        </w:rPr>
      </w:pPr>
      <w:r>
        <w:rPr>
          <w:rFonts w:hint="eastAsia"/>
          <w:sz w:val="24"/>
        </w:rPr>
        <w:t>6.2.1 评标委员会将评标情况写出书面报告，推荐中标候选供应商。</w:t>
      </w:r>
    </w:p>
    <w:p>
      <w:pPr>
        <w:spacing w:line="360" w:lineRule="auto"/>
        <w:ind w:firstLine="480" w:firstLineChars="200"/>
        <w:rPr>
          <w:sz w:val="24"/>
        </w:rPr>
      </w:pPr>
      <w:r>
        <w:rPr>
          <w:rFonts w:hint="eastAsia"/>
          <w:sz w:val="24"/>
        </w:rPr>
        <w:t>6.2.2 采购代理机构在评标结束后2个工作日内将评标报告送采购人。</w:t>
      </w:r>
    </w:p>
    <w:p>
      <w:pPr>
        <w:spacing w:line="360" w:lineRule="auto"/>
        <w:ind w:firstLine="480" w:firstLineChars="200"/>
        <w:rPr>
          <w:sz w:val="24"/>
        </w:rPr>
      </w:pPr>
      <w:r>
        <w:rPr>
          <w:rFonts w:hint="eastAsia"/>
          <w:sz w:val="24"/>
        </w:rPr>
        <w:t>6.2.3 采购人在收到评标报告后5个工作日内，按照评标报告中推荐的中标候选供应商顺序确定中标供应商。推荐中标候选供应商。中标候选供应商应当排序。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供应商注册地在不发达地区或者少数民族地区的优先；报价相同且满足招标文件全部实质性要求且按照评审因素的量化指标评审得分也相同的，且供应商注册地在不发达地区或者少数民族地区的并列，由采购人自主采取公平、择优的方式选择中标供应商。</w:t>
      </w:r>
    </w:p>
    <w:p>
      <w:pPr>
        <w:spacing w:line="360" w:lineRule="auto"/>
        <w:ind w:firstLine="482" w:firstLineChars="200"/>
        <w:rPr>
          <w:b/>
          <w:sz w:val="24"/>
        </w:rPr>
      </w:pPr>
      <w:r>
        <w:rPr>
          <w:rFonts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sz w:val="24"/>
        </w:rPr>
      </w:pPr>
      <w:r>
        <w:rPr>
          <w:rFonts w:hint="eastAsia"/>
          <w:sz w:val="24"/>
        </w:rPr>
        <w:t>6.2.4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sz w:val="24"/>
        </w:rPr>
      </w:pPr>
      <w:r>
        <w:rPr>
          <w:rFonts w:hint="eastAsia"/>
          <w:sz w:val="24"/>
        </w:rPr>
        <w:t>6.2.5 招标采购单位不退回投标人投标文件和其他投标资料。</w:t>
      </w:r>
    </w:p>
    <w:bookmarkEnd w:id="200"/>
    <w:p>
      <w:pPr>
        <w:pStyle w:val="5"/>
        <w:spacing w:line="360" w:lineRule="auto"/>
        <w:ind w:firstLine="482" w:firstLineChars="200"/>
        <w:rPr>
          <w:rFonts w:ascii="黑体"/>
          <w:bCs w:val="0"/>
          <w:sz w:val="24"/>
          <w:szCs w:val="24"/>
        </w:rPr>
      </w:pPr>
      <w:bookmarkStart w:id="206" w:name="_Toc183582297"/>
      <w:bookmarkStart w:id="207" w:name="_Toc208849022"/>
      <w:bookmarkStart w:id="208" w:name="_Toc217446105"/>
      <w:bookmarkStart w:id="209" w:name="_Toc183682432"/>
      <w:r>
        <w:rPr>
          <w:rFonts w:hint="eastAsia" w:ascii="黑体"/>
          <w:bCs w:val="0"/>
          <w:sz w:val="24"/>
          <w:szCs w:val="24"/>
        </w:rPr>
        <w:t xml:space="preserve">7. </w:t>
      </w:r>
      <w:bookmarkEnd w:id="206"/>
      <w:bookmarkEnd w:id="207"/>
      <w:bookmarkEnd w:id="208"/>
      <w:bookmarkEnd w:id="209"/>
      <w:r>
        <w:rPr>
          <w:rFonts w:hint="eastAsia" w:ascii="黑体"/>
          <w:sz w:val="24"/>
          <w:szCs w:val="24"/>
        </w:rPr>
        <w:t>评标专家在</w:t>
      </w:r>
      <w:r>
        <w:rPr>
          <w:rFonts w:hint="eastAsia" w:ascii="黑体"/>
          <w:sz w:val="24"/>
        </w:rPr>
        <w:t>政府采购活动</w:t>
      </w:r>
      <w:r>
        <w:rPr>
          <w:rFonts w:hint="eastAsia" w:ascii="黑体"/>
          <w:sz w:val="24"/>
          <w:szCs w:val="24"/>
        </w:rPr>
        <w:t>中承担以下义务：</w:t>
      </w:r>
    </w:p>
    <w:p>
      <w:pPr>
        <w:spacing w:line="360" w:lineRule="auto"/>
        <w:ind w:firstLine="480" w:firstLineChars="200"/>
        <w:rPr>
          <w:sz w:val="24"/>
        </w:rPr>
      </w:pPr>
      <w:r>
        <w:rPr>
          <w:rFonts w:hint="eastAsia"/>
          <w:sz w:val="24"/>
        </w:rPr>
        <w:t xml:space="preserve">（一）遵守评审工作纪律； </w:t>
      </w:r>
    </w:p>
    <w:p>
      <w:pPr>
        <w:spacing w:line="360" w:lineRule="auto"/>
        <w:ind w:firstLine="480" w:firstLineChars="200"/>
        <w:rPr>
          <w:sz w:val="24"/>
        </w:rPr>
      </w:pPr>
      <w:r>
        <w:rPr>
          <w:rFonts w:hint="eastAsia"/>
          <w:sz w:val="24"/>
        </w:rPr>
        <w:t>（二）按照客观、公正、审慎的原则，根据采购文件规定的评审程序、评审方法和评审标准进行独立评审；</w:t>
      </w:r>
    </w:p>
    <w:p>
      <w:pPr>
        <w:spacing w:line="360" w:lineRule="auto"/>
        <w:ind w:firstLine="480" w:firstLineChars="200"/>
        <w:rPr>
          <w:sz w:val="24"/>
        </w:rPr>
      </w:pPr>
      <w:r>
        <w:rPr>
          <w:rFonts w:hint="eastAsia"/>
          <w:sz w:val="24"/>
        </w:rPr>
        <w:t>（三）不得泄露评审文件、评审情况和在评审过程中获悉的商业秘密；</w:t>
      </w:r>
    </w:p>
    <w:p>
      <w:pPr>
        <w:spacing w:line="360" w:lineRule="auto"/>
        <w:ind w:firstLine="480" w:firstLineChars="200"/>
        <w:rPr>
          <w:sz w:val="24"/>
        </w:rPr>
      </w:pPr>
      <w:r>
        <w:rPr>
          <w:rFonts w:hint="eastAsia"/>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sz w:val="24"/>
        </w:rPr>
      </w:pPr>
      <w:r>
        <w:rPr>
          <w:rFonts w:hint="eastAsia"/>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sz w:val="24"/>
        </w:rPr>
      </w:pPr>
      <w:r>
        <w:rPr>
          <w:rFonts w:hint="eastAsia"/>
          <w:sz w:val="24"/>
        </w:rPr>
        <w:t>（六）配合答复处理供应商的询问、质疑和投诉等事项；</w:t>
      </w:r>
    </w:p>
    <w:p>
      <w:pPr>
        <w:spacing w:line="360" w:lineRule="auto"/>
        <w:ind w:firstLine="480" w:firstLineChars="200"/>
        <w:rPr>
          <w:sz w:val="24"/>
        </w:rPr>
      </w:pPr>
      <w:r>
        <w:rPr>
          <w:rFonts w:hint="eastAsia"/>
          <w:sz w:val="24"/>
        </w:rPr>
        <w:t>（七）法律、法规和规章规定的其他义务。</w:t>
      </w:r>
    </w:p>
    <w:p>
      <w:pPr>
        <w:pStyle w:val="5"/>
        <w:spacing w:line="360" w:lineRule="auto"/>
        <w:ind w:firstLine="482" w:firstLineChars="200"/>
        <w:rPr>
          <w:rFonts w:ascii="黑体"/>
          <w:bCs w:val="0"/>
          <w:sz w:val="24"/>
          <w:szCs w:val="24"/>
        </w:rPr>
      </w:pPr>
      <w:r>
        <w:rPr>
          <w:rFonts w:hint="eastAsia" w:ascii="黑体"/>
          <w:bCs w:val="0"/>
          <w:sz w:val="24"/>
          <w:szCs w:val="24"/>
        </w:rPr>
        <w:t>8.评标专家在政府采购活动中应当遵守以下工作纪律：</w:t>
      </w:r>
    </w:p>
    <w:p>
      <w:pPr>
        <w:spacing w:line="360" w:lineRule="auto"/>
        <w:ind w:firstLine="480" w:firstLineChars="200"/>
        <w:rPr>
          <w:sz w:val="24"/>
        </w:rPr>
      </w:pPr>
      <w:r>
        <w:rPr>
          <w:rFonts w:hint="eastAsia"/>
          <w:sz w:val="24"/>
        </w:rPr>
        <w:t>（一）遵行《政府采购法》第十二条和《政府采购法实施条例》第九条及财政部关于回避的规定。</w:t>
      </w:r>
    </w:p>
    <w:p>
      <w:pPr>
        <w:spacing w:line="360" w:lineRule="auto"/>
        <w:ind w:firstLine="480" w:firstLineChars="200"/>
        <w:rPr>
          <w:sz w:val="24"/>
        </w:rPr>
      </w:pPr>
      <w:r>
        <w:rPr>
          <w:rFonts w:hint="eastAsia"/>
          <w:sz w:val="24"/>
        </w:rPr>
        <w:t>（二）评标前，应当将通讯工具或者相关电子设备交由招标采购单位统一保管。</w:t>
      </w:r>
    </w:p>
    <w:p>
      <w:pPr>
        <w:spacing w:line="360" w:lineRule="auto"/>
        <w:ind w:firstLine="480" w:firstLineChars="200"/>
        <w:rPr>
          <w:sz w:val="24"/>
        </w:rPr>
      </w:pPr>
      <w:r>
        <w:rPr>
          <w:rFonts w:hint="eastAsia"/>
          <w:sz w:val="24"/>
        </w:rPr>
        <w:t>（三）评标过程中，不得与外界联系，因发生不可预见情况，确实需要与外界联系的，应当在监督人员监督之下办理。</w:t>
      </w:r>
    </w:p>
    <w:p>
      <w:pPr>
        <w:spacing w:line="360" w:lineRule="auto"/>
        <w:ind w:firstLine="480" w:firstLineChars="200"/>
        <w:rPr>
          <w:sz w:val="24"/>
        </w:rPr>
      </w:pPr>
      <w:r>
        <w:rPr>
          <w:rFonts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sz w:val="24"/>
        </w:rPr>
      </w:pPr>
      <w:r>
        <w:rPr>
          <w:rFonts w:hint="eastAsia"/>
          <w:sz w:val="24"/>
        </w:rPr>
        <w:t>（五）在评标过程中和评标结束后，不得记录、复制或带走任何评标资料，除因规定的义务外，不得向外界透露评标内容。</w:t>
      </w:r>
    </w:p>
    <w:p>
      <w:pPr>
        <w:spacing w:line="360" w:lineRule="auto"/>
        <w:ind w:firstLine="480" w:firstLineChars="200"/>
        <w:rPr>
          <w:sz w:val="24"/>
        </w:rPr>
      </w:pPr>
      <w:r>
        <w:rPr>
          <w:rFonts w:hint="eastAsia"/>
          <w:sz w:val="24"/>
        </w:rPr>
        <w:t>（六）服从评标现场招标采购单位的现场秩序管理，接受评标现场监督人员的合法监督。</w:t>
      </w:r>
    </w:p>
    <w:p>
      <w:pPr>
        <w:spacing w:line="360" w:lineRule="auto"/>
        <w:ind w:firstLine="480" w:firstLineChars="200"/>
        <w:rPr>
          <w:sz w:val="24"/>
        </w:rPr>
      </w:pPr>
      <w:r>
        <w:rPr>
          <w:rFonts w:hint="eastAsia"/>
          <w:sz w:val="24"/>
        </w:rPr>
        <w:t>（七）遵守有关廉洁自律规定，不得私下接触供应商，不得收受供应商及有关业务单位和个人的财物或好处，不得接受采购组织单位的请托。</w:t>
      </w:r>
    </w:p>
    <w:p>
      <w:pPr>
        <w:spacing w:line="360" w:lineRule="auto"/>
        <w:jc w:val="left"/>
        <w:rPr>
          <w:rStyle w:val="43"/>
          <w:rFonts w:ascii="Arial" w:hAnsi="Arial" w:eastAsia="黑体"/>
          <w:sz w:val="36"/>
          <w:szCs w:val="36"/>
        </w:rPr>
      </w:pPr>
      <w:bookmarkStart w:id="210" w:name="_Toc22996"/>
      <w:bookmarkStart w:id="211" w:name="_Toc93"/>
      <w:bookmarkStart w:id="212" w:name="_Toc12751"/>
      <w:r>
        <w:rPr>
          <w:rStyle w:val="43"/>
          <w:rFonts w:hint="eastAsia" w:ascii="Arial" w:hAnsi="Arial" w:eastAsia="黑体"/>
          <w:sz w:val="36"/>
          <w:szCs w:val="36"/>
        </w:rPr>
        <w:br w:type="page"/>
      </w:r>
      <w:bookmarkEnd w:id="210"/>
      <w:bookmarkEnd w:id="211"/>
      <w:bookmarkEnd w:id="212"/>
    </w:p>
    <w:p>
      <w:pPr>
        <w:spacing w:line="360" w:lineRule="auto"/>
        <w:jc w:val="left"/>
        <w:rPr>
          <w:rStyle w:val="43"/>
          <w:rFonts w:ascii="Arial" w:hAnsi="Arial" w:eastAsia="黑体"/>
          <w:sz w:val="36"/>
          <w:szCs w:val="36"/>
        </w:rPr>
      </w:pPr>
    </w:p>
    <w:p>
      <w:pPr>
        <w:spacing w:line="360" w:lineRule="auto"/>
        <w:jc w:val="center"/>
        <w:rPr>
          <w:rStyle w:val="43"/>
          <w:rFonts w:ascii="Arial" w:hAnsi="Arial" w:eastAsia="黑体"/>
          <w:sz w:val="36"/>
          <w:szCs w:val="36"/>
        </w:rPr>
      </w:pPr>
      <w:bookmarkStart w:id="213" w:name="_Toc417904360"/>
      <w:r>
        <w:rPr>
          <w:rFonts w:hint="eastAsia"/>
        </w:rPr>
        <w:t>第八章  合同主要条款</w:t>
      </w:r>
      <w:bookmarkEnd w:id="213"/>
      <w:r>
        <w:rPr>
          <w:rFonts w:hint="eastAsia" w:hAnsi="宋体" w:cs="宋体"/>
          <w:b w:val="0"/>
          <w:bCs/>
        </w:rPr>
        <w:t>(</w:t>
      </w:r>
      <w:r>
        <w:rPr>
          <w:rFonts w:hint="eastAsia"/>
        </w:rPr>
        <w:t>样例）</w:t>
      </w:r>
    </w:p>
    <w:p>
      <w:pPr>
        <w:spacing w:line="360" w:lineRule="auto"/>
        <w:jc w:val="left"/>
        <w:rPr>
          <w:rStyle w:val="43"/>
          <w:rFonts w:ascii="Arial" w:hAnsi="Arial" w:eastAsia="黑体"/>
          <w:sz w:val="36"/>
          <w:szCs w:val="36"/>
        </w:rPr>
      </w:pPr>
    </w:p>
    <w:p>
      <w:pPr>
        <w:spacing w:line="360" w:lineRule="auto"/>
        <w:jc w:val="left"/>
        <w:rPr>
          <w:rFonts w:hAnsi="宋体"/>
          <w:sz w:val="24"/>
          <w:szCs w:val="24"/>
        </w:rPr>
      </w:pPr>
      <w:r>
        <w:rPr>
          <w:rFonts w:hint="eastAsia" w:hAnsi="宋体"/>
          <w:sz w:val="24"/>
          <w:szCs w:val="24"/>
        </w:rPr>
        <w:t xml:space="preserve">项目名称：                    </w:t>
      </w:r>
    </w:p>
    <w:p>
      <w:pPr>
        <w:spacing w:line="360" w:lineRule="auto"/>
        <w:ind w:firstLine="480" w:firstLineChars="200"/>
        <w:jc w:val="left"/>
        <w:rPr>
          <w:rFonts w:hAnsi="宋体"/>
          <w:sz w:val="24"/>
          <w:szCs w:val="24"/>
        </w:rPr>
      </w:pPr>
    </w:p>
    <w:p>
      <w:pPr>
        <w:spacing w:line="360" w:lineRule="auto"/>
        <w:jc w:val="center"/>
        <w:rPr>
          <w:rFonts w:hAnsi="宋体"/>
          <w:sz w:val="24"/>
          <w:szCs w:val="24"/>
        </w:rPr>
      </w:pPr>
    </w:p>
    <w:p>
      <w:pPr>
        <w:autoSpaceDE w:val="0"/>
        <w:autoSpaceDN w:val="0"/>
        <w:adjustRightInd w:val="0"/>
        <w:spacing w:line="360" w:lineRule="auto"/>
        <w:ind w:right="150"/>
        <w:rPr>
          <w:rFonts w:hAnsi="宋体"/>
          <w:sz w:val="24"/>
          <w:szCs w:val="24"/>
        </w:rPr>
      </w:pPr>
      <w:r>
        <w:rPr>
          <w:rFonts w:hint="eastAsia" w:hAnsi="宋体"/>
          <w:sz w:val="24"/>
          <w:szCs w:val="24"/>
        </w:rPr>
        <w:t xml:space="preserve">项目地点： </w:t>
      </w:r>
    </w:p>
    <w:p>
      <w:pPr>
        <w:spacing w:line="360" w:lineRule="auto"/>
        <w:rPr>
          <w:rFonts w:hAnsi="宋体"/>
          <w:sz w:val="24"/>
          <w:szCs w:val="24"/>
        </w:rPr>
      </w:pPr>
    </w:p>
    <w:p>
      <w:pPr>
        <w:spacing w:line="360" w:lineRule="auto"/>
        <w:rPr>
          <w:rFonts w:hAnsi="宋体"/>
          <w:sz w:val="24"/>
          <w:szCs w:val="24"/>
        </w:rPr>
      </w:pPr>
    </w:p>
    <w:p>
      <w:pPr>
        <w:spacing w:line="360" w:lineRule="auto"/>
        <w:rPr>
          <w:rFonts w:hAnsi="宋体"/>
          <w:sz w:val="24"/>
          <w:szCs w:val="24"/>
        </w:rPr>
      </w:pPr>
      <w:r>
        <w:rPr>
          <w:rFonts w:hint="eastAsia" w:hAnsi="宋体"/>
          <w:sz w:val="24"/>
          <w:szCs w:val="24"/>
        </w:rPr>
        <w:t xml:space="preserve">委 托 方： </w:t>
      </w:r>
    </w:p>
    <w:p>
      <w:pPr>
        <w:spacing w:line="360" w:lineRule="auto"/>
        <w:rPr>
          <w:rFonts w:hAnsi="宋体"/>
          <w:sz w:val="24"/>
          <w:szCs w:val="24"/>
        </w:rPr>
      </w:pPr>
      <w:r>
        <w:rPr>
          <w:rFonts w:hint="eastAsia" w:hAnsi="宋体"/>
          <w:sz w:val="24"/>
          <w:szCs w:val="24"/>
        </w:rPr>
        <w:t xml:space="preserve">（甲方）  </w:t>
      </w:r>
    </w:p>
    <w:p>
      <w:pPr>
        <w:spacing w:line="360" w:lineRule="auto"/>
        <w:rPr>
          <w:rFonts w:hAnsi="宋体"/>
          <w:sz w:val="24"/>
          <w:szCs w:val="24"/>
        </w:rPr>
      </w:pPr>
    </w:p>
    <w:p>
      <w:pPr>
        <w:spacing w:line="360" w:lineRule="auto"/>
        <w:rPr>
          <w:rFonts w:hAnsi="宋体"/>
          <w:sz w:val="24"/>
          <w:szCs w:val="24"/>
        </w:rPr>
      </w:pPr>
    </w:p>
    <w:p>
      <w:pPr>
        <w:spacing w:line="360" w:lineRule="auto"/>
        <w:rPr>
          <w:rFonts w:hAnsi="宋体"/>
          <w:sz w:val="24"/>
          <w:szCs w:val="24"/>
        </w:rPr>
      </w:pPr>
      <w:r>
        <w:rPr>
          <w:rFonts w:hint="eastAsia" w:hAnsi="宋体"/>
          <w:sz w:val="24"/>
          <w:szCs w:val="24"/>
        </w:rPr>
        <w:t xml:space="preserve">规划设计方： </w:t>
      </w:r>
    </w:p>
    <w:p>
      <w:pPr>
        <w:spacing w:line="360" w:lineRule="auto"/>
        <w:rPr>
          <w:rFonts w:hAnsi="宋体"/>
          <w:sz w:val="24"/>
          <w:szCs w:val="24"/>
        </w:rPr>
      </w:pPr>
      <w:r>
        <w:rPr>
          <w:rFonts w:hint="eastAsia" w:hAnsi="宋体"/>
          <w:sz w:val="24"/>
          <w:szCs w:val="24"/>
        </w:rPr>
        <w:t>（乙方）</w:t>
      </w:r>
    </w:p>
    <w:p>
      <w:pPr>
        <w:spacing w:line="360" w:lineRule="auto"/>
        <w:rPr>
          <w:rFonts w:hAnsi="宋体"/>
          <w:sz w:val="24"/>
          <w:szCs w:val="24"/>
        </w:rPr>
      </w:pPr>
    </w:p>
    <w:p>
      <w:pPr>
        <w:tabs>
          <w:tab w:val="left" w:pos="5565"/>
        </w:tabs>
        <w:snapToGrid w:val="0"/>
        <w:spacing w:line="360" w:lineRule="auto"/>
        <w:rPr>
          <w:rFonts w:hAnsi="宋体"/>
          <w:sz w:val="24"/>
          <w:szCs w:val="24"/>
        </w:rPr>
      </w:pPr>
    </w:p>
    <w:p>
      <w:pPr>
        <w:tabs>
          <w:tab w:val="left" w:pos="5565"/>
        </w:tabs>
        <w:snapToGrid w:val="0"/>
        <w:spacing w:line="360" w:lineRule="auto"/>
        <w:rPr>
          <w:rFonts w:hAnsi="宋体"/>
          <w:sz w:val="24"/>
          <w:szCs w:val="24"/>
        </w:rPr>
      </w:pPr>
      <w:r>
        <w:rPr>
          <w:rFonts w:hint="eastAsia" w:hAnsi="宋体"/>
          <w:sz w:val="24"/>
          <w:szCs w:val="24"/>
        </w:rPr>
        <w:t xml:space="preserve">签定地点： </w:t>
      </w:r>
    </w:p>
    <w:p>
      <w:pPr>
        <w:pStyle w:val="2"/>
        <w:rPr>
          <w:rFonts w:hAnsi="宋体"/>
          <w:kern w:val="2"/>
          <w:sz w:val="24"/>
          <w:szCs w:val="24"/>
        </w:rPr>
      </w:pPr>
    </w:p>
    <w:p>
      <w:pPr>
        <w:rPr>
          <w:rFonts w:hAnsi="宋体"/>
          <w:sz w:val="24"/>
          <w:szCs w:val="24"/>
        </w:rPr>
      </w:pPr>
    </w:p>
    <w:p>
      <w:pPr>
        <w:tabs>
          <w:tab w:val="left" w:pos="5565"/>
        </w:tabs>
        <w:snapToGrid w:val="0"/>
        <w:rPr>
          <w:rFonts w:hAnsi="宋体"/>
          <w:sz w:val="24"/>
          <w:szCs w:val="24"/>
        </w:rPr>
      </w:pPr>
      <w:r>
        <w:rPr>
          <w:rFonts w:hint="eastAsia" w:hAnsi="宋体"/>
          <w:sz w:val="24"/>
          <w:szCs w:val="24"/>
        </w:rPr>
        <w:t>签订</w:t>
      </w:r>
      <w:r>
        <w:rPr>
          <w:rFonts w:hAnsi="宋体"/>
          <w:sz w:val="24"/>
          <w:szCs w:val="24"/>
        </w:rPr>
        <w:t>时间：</w:t>
      </w:r>
      <w:r>
        <w:rPr>
          <w:rFonts w:hint="eastAsia" w:hAnsi="宋体"/>
          <w:sz w:val="24"/>
          <w:szCs w:val="24"/>
        </w:rPr>
        <w:t xml:space="preserve">      年    月    日</w:t>
      </w:r>
    </w:p>
    <w:p>
      <w:pPr>
        <w:spacing w:line="360" w:lineRule="auto"/>
        <w:ind w:firstLine="480" w:firstLineChars="200"/>
        <w:jc w:val="left"/>
        <w:rPr>
          <w:rFonts w:hAnsi="宋体"/>
          <w:sz w:val="24"/>
          <w:szCs w:val="24"/>
        </w:rPr>
      </w:pPr>
      <w:r>
        <w:rPr>
          <w:rFonts w:hint="eastAsia" w:hAnsi="宋体"/>
          <w:sz w:val="24"/>
          <w:szCs w:val="24"/>
        </w:rPr>
        <w:t xml:space="preserve">项目名称（以下简称项目）： </w:t>
      </w:r>
    </w:p>
    <w:p>
      <w:pPr>
        <w:spacing w:line="360" w:lineRule="auto"/>
        <w:ind w:firstLine="480" w:firstLineChars="200"/>
        <w:jc w:val="left"/>
        <w:rPr>
          <w:rFonts w:hAnsi="宋体"/>
          <w:sz w:val="24"/>
          <w:szCs w:val="24"/>
        </w:rPr>
      </w:pPr>
      <w:r>
        <w:rPr>
          <w:rFonts w:hint="eastAsia" w:hAnsi="宋体"/>
          <w:sz w:val="24"/>
          <w:szCs w:val="24"/>
        </w:rPr>
        <w:t xml:space="preserve">委托单位（以下简称甲方）： </w:t>
      </w:r>
    </w:p>
    <w:p>
      <w:pPr>
        <w:spacing w:line="360" w:lineRule="auto"/>
        <w:ind w:firstLine="480" w:firstLineChars="200"/>
        <w:rPr>
          <w:rFonts w:hAnsi="宋体"/>
          <w:sz w:val="24"/>
          <w:szCs w:val="24"/>
        </w:rPr>
      </w:pPr>
      <w:r>
        <w:rPr>
          <w:rFonts w:hint="eastAsia" w:hAnsi="宋体"/>
          <w:sz w:val="24"/>
          <w:szCs w:val="24"/>
        </w:rPr>
        <w:t xml:space="preserve">设计单位（以下简称乙方）： </w:t>
      </w:r>
    </w:p>
    <w:p>
      <w:pPr>
        <w:spacing w:line="360" w:lineRule="auto"/>
        <w:jc w:val="left"/>
        <w:rPr>
          <w:rFonts w:hAnsi="宋体"/>
          <w:sz w:val="24"/>
          <w:szCs w:val="24"/>
        </w:rPr>
      </w:pPr>
      <w:r>
        <w:rPr>
          <w:rFonts w:hint="eastAsia" w:hAnsi="宋体"/>
          <w:sz w:val="24"/>
          <w:szCs w:val="24"/>
        </w:rPr>
        <w:t>甲方委托乙方承担   采购项目编制服务，经双方协商一致，签订本合同。</w:t>
      </w:r>
    </w:p>
    <w:p>
      <w:pPr>
        <w:spacing w:line="360" w:lineRule="auto"/>
        <w:ind w:right="-100" w:firstLine="570"/>
        <w:outlineLvl w:val="0"/>
        <w:rPr>
          <w:rFonts w:hAnsi="宋体"/>
          <w:sz w:val="24"/>
          <w:szCs w:val="24"/>
        </w:rPr>
      </w:pPr>
      <w:r>
        <w:rPr>
          <w:rFonts w:hint="eastAsia" w:hAnsi="宋体"/>
          <w:sz w:val="24"/>
          <w:szCs w:val="24"/>
        </w:rPr>
        <w:t>第一条  本合同签订依据：</w:t>
      </w:r>
    </w:p>
    <w:p>
      <w:pPr>
        <w:spacing w:line="360" w:lineRule="auto"/>
        <w:ind w:right="-100" w:firstLine="570"/>
        <w:rPr>
          <w:rFonts w:hAnsi="宋体"/>
          <w:sz w:val="24"/>
          <w:szCs w:val="24"/>
        </w:rPr>
      </w:pPr>
      <w:r>
        <w:rPr>
          <w:rFonts w:hAnsi="宋体"/>
          <w:sz w:val="24"/>
          <w:szCs w:val="24"/>
        </w:rPr>
        <w:t>1.1</w:t>
      </w:r>
      <w:r>
        <w:rPr>
          <w:rFonts w:hint="eastAsia" w:hAnsi="宋体"/>
          <w:sz w:val="24"/>
          <w:szCs w:val="24"/>
        </w:rPr>
        <w:t xml:space="preserve"> </w:t>
      </w:r>
      <w:r>
        <w:rPr>
          <w:rFonts w:hAnsi="宋体"/>
          <w:sz w:val="24"/>
          <w:szCs w:val="24"/>
        </w:rPr>
        <w:t>《</w:t>
      </w:r>
      <w:r>
        <w:rPr>
          <w:rFonts w:hint="eastAsia" w:hAnsi="宋体"/>
          <w:sz w:val="24"/>
          <w:szCs w:val="24"/>
        </w:rPr>
        <w:t>中华人民共和国民法典</w:t>
      </w:r>
      <w:r>
        <w:rPr>
          <w:rFonts w:hAnsi="宋体"/>
          <w:sz w:val="24"/>
          <w:szCs w:val="24"/>
        </w:rPr>
        <w:t>》、</w:t>
      </w:r>
      <w:r>
        <w:rPr>
          <w:rFonts w:hint="eastAsia" w:hAnsi="宋体"/>
          <w:sz w:val="24"/>
          <w:szCs w:val="24"/>
        </w:rPr>
        <w:t>《中华人民共和国城乡规划法》。</w:t>
      </w:r>
    </w:p>
    <w:p>
      <w:pPr>
        <w:spacing w:line="360" w:lineRule="auto"/>
        <w:ind w:right="-100" w:firstLine="570"/>
        <w:rPr>
          <w:rFonts w:hAnsi="宋体"/>
          <w:sz w:val="24"/>
          <w:szCs w:val="24"/>
        </w:rPr>
      </w:pPr>
      <w:r>
        <w:rPr>
          <w:rFonts w:hAnsi="宋体"/>
          <w:sz w:val="24"/>
          <w:szCs w:val="24"/>
        </w:rPr>
        <w:t>1.2</w:t>
      </w:r>
      <w:r>
        <w:rPr>
          <w:rFonts w:hint="eastAsia" w:hAnsi="宋体"/>
          <w:sz w:val="24"/>
          <w:szCs w:val="24"/>
        </w:rPr>
        <w:t xml:space="preserve"> 国家及地方有关城市规划设计管理法规和规章。</w:t>
      </w:r>
    </w:p>
    <w:p>
      <w:pPr>
        <w:spacing w:line="360" w:lineRule="auto"/>
        <w:ind w:right="-100" w:firstLine="570"/>
        <w:outlineLvl w:val="0"/>
        <w:rPr>
          <w:rFonts w:hAnsi="宋体"/>
          <w:sz w:val="24"/>
          <w:szCs w:val="24"/>
        </w:rPr>
      </w:pPr>
      <w:r>
        <w:rPr>
          <w:rFonts w:hint="eastAsia" w:hAnsi="宋体"/>
          <w:sz w:val="24"/>
          <w:szCs w:val="24"/>
        </w:rPr>
        <w:t>第二条  甲方向乙方提供的技术资料和工作条件</w:t>
      </w:r>
    </w:p>
    <w:p>
      <w:pPr>
        <w:spacing w:line="360" w:lineRule="auto"/>
        <w:ind w:right="-100" w:firstLine="570"/>
        <w:rPr>
          <w:rFonts w:hAnsi="宋体"/>
          <w:sz w:val="24"/>
          <w:szCs w:val="24"/>
        </w:rPr>
      </w:pPr>
      <w:r>
        <w:rPr>
          <w:rFonts w:hint="eastAsia" w:hAnsi="宋体"/>
          <w:sz w:val="24"/>
          <w:szCs w:val="24"/>
        </w:rPr>
        <w:t>本项目甲方协助乙方收集相关主要技术资料，且提供的资料复印件由乙方随设计任务书一并归档，不再退还甲方。</w:t>
      </w:r>
    </w:p>
    <w:p>
      <w:pPr>
        <w:pStyle w:val="5"/>
        <w:spacing w:line="360" w:lineRule="auto"/>
        <w:ind w:firstLine="236" w:firstLineChars="98"/>
        <w:rPr>
          <w:rFonts w:ascii="宋体" w:hAnsi="宋体" w:eastAsia="宋体"/>
          <w:b w:val="0"/>
          <w:bCs w:val="0"/>
          <w:kern w:val="2"/>
          <w:sz w:val="24"/>
          <w:szCs w:val="24"/>
        </w:rPr>
      </w:pPr>
      <w:r>
        <w:rPr>
          <w:rFonts w:hint="eastAsia" w:ascii="宋体" w:hAnsi="宋体" w:eastAsia="宋体"/>
          <w:sz w:val="24"/>
          <w:szCs w:val="24"/>
        </w:rPr>
        <w:t>第三条</w:t>
      </w:r>
      <w:r>
        <w:rPr>
          <w:rFonts w:hint="eastAsia" w:ascii="宋体" w:hAnsi="宋体" w:eastAsia="宋体" w:cs="宋体"/>
          <w:sz w:val="24"/>
          <w:szCs w:val="24"/>
        </w:rPr>
        <w:t xml:space="preserve">  </w:t>
      </w:r>
      <w:r>
        <w:rPr>
          <w:rFonts w:hint="eastAsia" w:ascii="宋体" w:hAnsi="宋体" w:eastAsia="宋体"/>
          <w:b w:val="0"/>
          <w:bCs w:val="0"/>
          <w:kern w:val="2"/>
          <w:sz w:val="24"/>
          <w:szCs w:val="24"/>
        </w:rPr>
        <w:t>服务内容及要求</w:t>
      </w:r>
    </w:p>
    <w:p>
      <w:pPr>
        <w:keepNext/>
        <w:keepLines/>
        <w:spacing w:before="260" w:after="260" w:line="360" w:lineRule="auto"/>
        <w:ind w:firstLine="482" w:firstLineChars="200"/>
        <w:outlineLvl w:val="1"/>
        <w:rPr>
          <w:rFonts w:hAnsi="宋体"/>
          <w:b/>
          <w:sz w:val="24"/>
          <w:szCs w:val="24"/>
        </w:rPr>
      </w:pPr>
      <w:r>
        <w:rPr>
          <w:rFonts w:hint="eastAsia" w:hAnsi="宋体"/>
          <w:b/>
          <w:sz w:val="24"/>
          <w:szCs w:val="24"/>
        </w:rPr>
        <w:t>1、研究范围</w:t>
      </w:r>
    </w:p>
    <w:p>
      <w:pPr>
        <w:spacing w:line="360" w:lineRule="auto"/>
        <w:ind w:firstLine="480" w:firstLineChars="200"/>
        <w:rPr>
          <w:rFonts w:hAnsi="宋体"/>
          <w:sz w:val="24"/>
          <w:szCs w:val="24"/>
        </w:rPr>
      </w:pPr>
      <w:r>
        <w:rPr>
          <w:rFonts w:hint="eastAsia" w:hAnsi="宋体"/>
          <w:sz w:val="24"/>
          <w:szCs w:val="24"/>
        </w:rPr>
        <w:t>本次研究范围为郫都区全域，包含3个镇、7个街道，总面积393.79平方公里，现状人口约139万人。</w:t>
      </w:r>
    </w:p>
    <w:p>
      <w:pPr>
        <w:keepNext/>
        <w:keepLines/>
        <w:spacing w:before="260" w:after="260" w:line="360" w:lineRule="auto"/>
        <w:ind w:firstLine="482" w:firstLineChars="200"/>
        <w:outlineLvl w:val="1"/>
        <w:rPr>
          <w:rFonts w:hAnsi="宋体"/>
          <w:b/>
          <w:sz w:val="24"/>
          <w:szCs w:val="24"/>
        </w:rPr>
      </w:pPr>
      <w:r>
        <w:rPr>
          <w:rFonts w:hint="eastAsia" w:hAnsi="宋体"/>
          <w:b/>
          <w:sz w:val="24"/>
          <w:szCs w:val="24"/>
        </w:rPr>
        <w:t>2、工作内容</w:t>
      </w:r>
    </w:p>
    <w:p>
      <w:pPr>
        <w:spacing w:line="360" w:lineRule="auto"/>
        <w:ind w:firstLine="480" w:firstLineChars="200"/>
        <w:rPr>
          <w:rFonts w:hAnsi="宋体"/>
          <w:sz w:val="24"/>
          <w:szCs w:val="24"/>
        </w:rPr>
      </w:pPr>
      <w:r>
        <w:rPr>
          <w:rFonts w:hint="eastAsia" w:hAnsi="宋体"/>
          <w:sz w:val="24"/>
          <w:szCs w:val="24"/>
        </w:rPr>
        <w:t>本次研究内容基于《郫都区乡村振兴规划》等工作基础，借鉴国内外先进地区城乡融合经验，包括镇村体系构建、片区划定、人口流动与聚居指引、分单元发展指引四个部分：</w:t>
      </w:r>
    </w:p>
    <w:p>
      <w:pPr>
        <w:spacing w:line="360" w:lineRule="auto"/>
        <w:ind w:firstLine="480" w:firstLineChars="200"/>
        <w:rPr>
          <w:rFonts w:hAnsi="宋体"/>
          <w:sz w:val="24"/>
          <w:szCs w:val="24"/>
        </w:rPr>
      </w:pPr>
      <w:r>
        <w:rPr>
          <w:rFonts w:hint="eastAsia" w:hAnsi="宋体"/>
          <w:sz w:val="24"/>
          <w:szCs w:val="24"/>
        </w:rPr>
        <w:t>（1）镇村体系构建</w:t>
      </w:r>
    </w:p>
    <w:p>
      <w:pPr>
        <w:spacing w:line="360" w:lineRule="auto"/>
        <w:ind w:firstLine="480" w:firstLineChars="200"/>
        <w:rPr>
          <w:rFonts w:hAnsi="宋体"/>
          <w:sz w:val="24"/>
          <w:szCs w:val="24"/>
        </w:rPr>
      </w:pPr>
      <w:r>
        <w:rPr>
          <w:rFonts w:hint="eastAsia" w:hAnsi="宋体"/>
          <w:sz w:val="24"/>
          <w:szCs w:val="24"/>
        </w:rPr>
        <w:t>基于郫都区城乡融合基础现状特征与趋势研判，明确新时期郫都城乡融合发展的方向与重点，构建城镇村体系。</w:t>
      </w:r>
    </w:p>
    <w:p>
      <w:pPr>
        <w:spacing w:line="360" w:lineRule="auto"/>
        <w:ind w:firstLine="480" w:firstLineChars="200"/>
        <w:rPr>
          <w:rFonts w:hAnsi="宋体"/>
          <w:sz w:val="24"/>
          <w:szCs w:val="24"/>
        </w:rPr>
      </w:pPr>
      <w:r>
        <w:rPr>
          <w:rFonts w:hint="eastAsia" w:hAnsi="宋体"/>
          <w:sz w:val="24"/>
          <w:szCs w:val="24"/>
        </w:rPr>
        <w:t>（2）片区划定</w:t>
      </w:r>
    </w:p>
    <w:p>
      <w:pPr>
        <w:spacing w:line="360" w:lineRule="auto"/>
        <w:ind w:firstLine="480" w:firstLineChars="200"/>
        <w:rPr>
          <w:rFonts w:hAnsi="宋体"/>
          <w:sz w:val="24"/>
          <w:szCs w:val="24"/>
        </w:rPr>
      </w:pPr>
      <w:r>
        <w:rPr>
          <w:rFonts w:hint="eastAsia" w:hAnsi="宋体"/>
          <w:sz w:val="24"/>
          <w:szCs w:val="24"/>
        </w:rPr>
        <w:t>明确郫都区“城乡融合单元-多村连片”两级空间体系，划定城乡融合发展单元，选定中心镇、中心村。</w:t>
      </w:r>
    </w:p>
    <w:p>
      <w:pPr>
        <w:spacing w:line="360" w:lineRule="auto"/>
        <w:ind w:firstLine="480" w:firstLineChars="200"/>
        <w:rPr>
          <w:rFonts w:hAnsi="宋体"/>
          <w:sz w:val="24"/>
          <w:szCs w:val="24"/>
        </w:rPr>
      </w:pPr>
      <w:r>
        <w:rPr>
          <w:rFonts w:hint="eastAsia" w:hAnsi="宋体"/>
          <w:sz w:val="24"/>
          <w:szCs w:val="24"/>
        </w:rPr>
        <w:t>（3）人口流动与聚居指引</w:t>
      </w:r>
    </w:p>
    <w:p>
      <w:pPr>
        <w:spacing w:line="360" w:lineRule="auto"/>
        <w:ind w:firstLine="480" w:firstLineChars="200"/>
        <w:rPr>
          <w:rFonts w:hAnsi="宋体"/>
          <w:sz w:val="24"/>
          <w:szCs w:val="24"/>
        </w:rPr>
      </w:pPr>
      <w:r>
        <w:rPr>
          <w:rFonts w:hint="eastAsia" w:hAnsi="宋体"/>
          <w:sz w:val="24"/>
          <w:szCs w:val="24"/>
        </w:rPr>
        <w:t>结合案例经验，分析人口流动规律与趋势、城镇发展导向，明确各级城镇的中心和聚居体系，提出人口城镇化和聚居引导方向。并对下一步城乡融合发展，提出产业、公共服务等方面的进一步提升方向。</w:t>
      </w:r>
    </w:p>
    <w:p>
      <w:pPr>
        <w:spacing w:line="360" w:lineRule="auto"/>
        <w:ind w:firstLine="480" w:firstLineChars="200"/>
        <w:rPr>
          <w:rFonts w:hAnsi="宋体"/>
          <w:sz w:val="24"/>
          <w:szCs w:val="24"/>
        </w:rPr>
      </w:pPr>
      <w:r>
        <w:rPr>
          <w:rFonts w:hint="eastAsia" w:hAnsi="宋体"/>
          <w:sz w:val="24"/>
          <w:szCs w:val="24"/>
        </w:rPr>
        <w:t>（4）分单元发展指引</w:t>
      </w:r>
    </w:p>
    <w:p>
      <w:pPr>
        <w:spacing w:line="360" w:lineRule="auto"/>
        <w:ind w:firstLine="480" w:firstLineChars="200"/>
        <w:rPr>
          <w:rFonts w:hAnsi="宋体"/>
          <w:sz w:val="24"/>
          <w:szCs w:val="24"/>
        </w:rPr>
      </w:pPr>
      <w:r>
        <w:rPr>
          <w:rFonts w:hint="eastAsia" w:hAnsi="宋体"/>
          <w:sz w:val="24"/>
          <w:szCs w:val="24"/>
        </w:rPr>
        <w:t>对于各城乡融合发展单元、多村连片村级片区提出人口规模、功能定位等方面的发展指引。</w:t>
      </w:r>
    </w:p>
    <w:p>
      <w:pPr>
        <w:keepNext/>
        <w:keepLines/>
        <w:spacing w:before="260" w:after="260" w:line="360" w:lineRule="auto"/>
        <w:ind w:firstLine="482" w:firstLineChars="200"/>
        <w:outlineLvl w:val="1"/>
        <w:rPr>
          <w:rFonts w:hAnsi="宋体" w:cs="宋体"/>
          <w:b/>
          <w:bCs/>
          <w:sz w:val="24"/>
          <w:szCs w:val="24"/>
        </w:rPr>
      </w:pPr>
      <w:r>
        <w:rPr>
          <w:rFonts w:hint="eastAsia" w:hAnsi="宋体" w:cs="宋体"/>
          <w:b/>
          <w:bCs/>
          <w:sz w:val="24"/>
          <w:szCs w:val="24"/>
        </w:rPr>
        <w:t>3、成果要求</w:t>
      </w:r>
    </w:p>
    <w:p>
      <w:pPr>
        <w:spacing w:line="360" w:lineRule="auto"/>
        <w:ind w:firstLine="480" w:firstLineChars="200"/>
        <w:jc w:val="left"/>
        <w:textAlignment w:val="baseline"/>
        <w:rPr>
          <w:rFonts w:hAnsi="宋体" w:cs="宋体"/>
          <w:sz w:val="24"/>
          <w:szCs w:val="24"/>
        </w:rPr>
      </w:pPr>
      <w:r>
        <w:rPr>
          <w:rFonts w:hint="eastAsia" w:hAnsi="宋体" w:cs="宋体"/>
          <w:sz w:val="24"/>
          <w:szCs w:val="24"/>
        </w:rPr>
        <w:t>送审成果：纸质文件（图文合并本）一式两份。</w:t>
      </w:r>
    </w:p>
    <w:p>
      <w:pPr>
        <w:spacing w:line="360" w:lineRule="auto"/>
        <w:ind w:firstLine="480" w:firstLineChars="200"/>
        <w:jc w:val="left"/>
        <w:textAlignment w:val="baseline"/>
        <w:rPr>
          <w:rFonts w:hAnsi="宋体" w:cs="宋体"/>
          <w:sz w:val="24"/>
          <w:szCs w:val="24"/>
        </w:rPr>
      </w:pPr>
      <w:r>
        <w:rPr>
          <w:rFonts w:hint="eastAsia" w:hAnsi="宋体" w:cs="宋体"/>
          <w:sz w:val="24"/>
          <w:szCs w:val="24"/>
        </w:rPr>
        <w:t>正式成果：纸质文件（图文合并本）一式两份，刻录光盘两张。</w:t>
      </w:r>
    </w:p>
    <w:p>
      <w:pPr>
        <w:keepNext/>
        <w:keepLines/>
        <w:spacing w:before="260" w:after="260" w:line="360" w:lineRule="auto"/>
        <w:ind w:firstLine="482" w:firstLineChars="200"/>
        <w:outlineLvl w:val="1"/>
        <w:rPr>
          <w:rStyle w:val="44"/>
          <w:rFonts w:ascii="宋体" w:hAnsi="宋体" w:cs="宋体"/>
          <w:sz w:val="24"/>
          <w:szCs w:val="24"/>
        </w:rPr>
      </w:pPr>
      <w:r>
        <w:rPr>
          <w:rFonts w:hint="eastAsia" w:hAnsi="宋体" w:cs="宋体"/>
          <w:b/>
          <w:bCs/>
          <w:sz w:val="24"/>
          <w:szCs w:val="24"/>
        </w:rPr>
        <w:t>4、进度</w:t>
      </w:r>
      <w:r>
        <w:rPr>
          <w:rFonts w:hAnsi="宋体" w:cs="宋体"/>
          <w:b/>
          <w:bCs/>
          <w:sz w:val="24"/>
          <w:szCs w:val="24"/>
        </w:rPr>
        <w:t>安排</w:t>
      </w:r>
    </w:p>
    <w:p>
      <w:pPr>
        <w:spacing w:line="360" w:lineRule="auto"/>
        <w:ind w:firstLine="480" w:firstLineChars="200"/>
        <w:jc w:val="left"/>
        <w:textAlignment w:val="baseline"/>
        <w:rPr>
          <w:rFonts w:hAnsi="宋体" w:cs="宋体"/>
          <w:sz w:val="24"/>
          <w:szCs w:val="24"/>
        </w:rPr>
      </w:pPr>
      <w:r>
        <w:rPr>
          <w:rStyle w:val="44"/>
          <w:rFonts w:hint="eastAsia" w:ascii="宋体" w:hAnsi="宋体" w:cs="宋体"/>
          <w:sz w:val="24"/>
          <w:szCs w:val="24"/>
        </w:rPr>
        <w:t>合同签订、首付款到账、资料齐备后50个工作日内提交送审成果，送审成果经相关审查通过并收到相关会议纪要（意见）修改后20个工作日内提交正式成果。签订合同后，因甲方原因推迟或延误验收时间，由甲方与乙方协商确定，项目进度顺延。如遇不可抗力原因造成工作延误，合同约定时间自然顺延，或重新约定。</w:t>
      </w:r>
    </w:p>
    <w:p>
      <w:pPr>
        <w:spacing w:line="360" w:lineRule="auto"/>
        <w:ind w:right="-100" w:firstLine="480" w:firstLineChars="200"/>
        <w:outlineLvl w:val="0"/>
        <w:rPr>
          <w:rFonts w:hAnsi="宋体"/>
          <w:sz w:val="24"/>
          <w:szCs w:val="24"/>
        </w:rPr>
      </w:pPr>
      <w:r>
        <w:rPr>
          <w:rFonts w:hint="eastAsia" w:hAnsi="宋体"/>
          <w:sz w:val="24"/>
          <w:szCs w:val="24"/>
        </w:rPr>
        <w:t>第四条  报酬及支付方式</w:t>
      </w:r>
    </w:p>
    <w:p>
      <w:pPr>
        <w:spacing w:line="360" w:lineRule="auto"/>
        <w:ind w:firstLine="480" w:firstLineChars="200"/>
        <w:rPr>
          <w:rFonts w:hAnsi="宋体"/>
          <w:sz w:val="24"/>
          <w:szCs w:val="24"/>
        </w:rPr>
      </w:pPr>
      <w:r>
        <w:rPr>
          <w:rFonts w:hAnsi="宋体"/>
          <w:sz w:val="24"/>
          <w:szCs w:val="24"/>
        </w:rPr>
        <w:t>4.1</w:t>
      </w:r>
      <w:r>
        <w:rPr>
          <w:rFonts w:hint="eastAsia" w:hAnsi="宋体"/>
          <w:sz w:val="24"/>
          <w:szCs w:val="24"/>
        </w:rPr>
        <w:t xml:space="preserve"> 服务费用：</w:t>
      </w:r>
    </w:p>
    <w:p>
      <w:pPr>
        <w:spacing w:line="360" w:lineRule="auto"/>
        <w:ind w:firstLine="480" w:firstLineChars="200"/>
        <w:jc w:val="left"/>
        <w:textAlignment w:val="baseline"/>
        <w:rPr>
          <w:rStyle w:val="44"/>
          <w:rFonts w:ascii="宋体" w:hAnsi="宋体" w:cs="宋体"/>
          <w:sz w:val="24"/>
          <w:szCs w:val="24"/>
        </w:rPr>
      </w:pPr>
      <w:r>
        <w:rPr>
          <w:rStyle w:val="44"/>
          <w:rFonts w:hint="eastAsia" w:ascii="宋体" w:hAnsi="宋体" w:cs="宋体"/>
          <w:sz w:val="24"/>
          <w:szCs w:val="24"/>
        </w:rPr>
        <w:t>第一次付费：合同总额的50%，合同签订之日起7个工作日内。</w:t>
      </w:r>
    </w:p>
    <w:p>
      <w:pPr>
        <w:spacing w:line="360" w:lineRule="auto"/>
        <w:ind w:firstLine="480" w:firstLineChars="200"/>
        <w:jc w:val="left"/>
        <w:textAlignment w:val="baseline"/>
        <w:rPr>
          <w:rStyle w:val="44"/>
          <w:rFonts w:ascii="宋体" w:hAnsi="宋体" w:cs="宋体"/>
          <w:sz w:val="24"/>
          <w:szCs w:val="24"/>
        </w:rPr>
      </w:pPr>
      <w:r>
        <w:rPr>
          <w:rStyle w:val="44"/>
          <w:rFonts w:hint="eastAsia" w:ascii="宋体" w:hAnsi="宋体" w:cs="宋体"/>
          <w:sz w:val="24"/>
          <w:szCs w:val="24"/>
        </w:rPr>
        <w:t>第二次付费：合同总额的40%，送审成果通过相关审查7个工作日内。</w:t>
      </w:r>
    </w:p>
    <w:p>
      <w:pPr>
        <w:pStyle w:val="2"/>
        <w:spacing w:line="360" w:lineRule="auto"/>
        <w:rPr>
          <w:rStyle w:val="44"/>
          <w:rFonts w:ascii="宋体" w:hAnsi="宋体" w:cs="宋体"/>
          <w:sz w:val="24"/>
          <w:szCs w:val="24"/>
        </w:rPr>
      </w:pPr>
      <w:r>
        <w:rPr>
          <w:rFonts w:hint="eastAsia" w:hAnsi="宋体"/>
          <w:sz w:val="24"/>
          <w:szCs w:val="24"/>
        </w:rPr>
        <w:t xml:space="preserve">    </w:t>
      </w:r>
      <w:r>
        <w:rPr>
          <w:rStyle w:val="44"/>
          <w:rFonts w:hint="eastAsia" w:ascii="宋体" w:hAnsi="宋体" w:cs="宋体"/>
          <w:sz w:val="24"/>
          <w:szCs w:val="24"/>
        </w:rPr>
        <w:t>第三次付费：合同总额的10%，提交正式成果</w:t>
      </w:r>
      <w:r>
        <w:rPr>
          <w:rStyle w:val="44"/>
          <w:rFonts w:ascii="宋体" w:hAnsi="宋体" w:cs="宋体"/>
          <w:sz w:val="24"/>
          <w:szCs w:val="24"/>
        </w:rPr>
        <w:t>纸质</w:t>
      </w:r>
      <w:r>
        <w:rPr>
          <w:rStyle w:val="44"/>
          <w:rFonts w:hint="eastAsia" w:ascii="宋体" w:hAnsi="宋体" w:cs="宋体"/>
          <w:sz w:val="24"/>
          <w:szCs w:val="24"/>
        </w:rPr>
        <w:t>文件时甲方</w:t>
      </w:r>
      <w:r>
        <w:rPr>
          <w:rStyle w:val="44"/>
          <w:rFonts w:ascii="宋体" w:hAnsi="宋体" w:cs="宋体"/>
          <w:sz w:val="24"/>
          <w:szCs w:val="24"/>
        </w:rPr>
        <w:t>支付尾款。</w:t>
      </w:r>
      <w:r>
        <w:rPr>
          <w:rStyle w:val="44"/>
          <w:rFonts w:hint="eastAsia" w:ascii="宋体" w:hAnsi="宋体" w:cs="宋体"/>
          <w:sz w:val="24"/>
          <w:szCs w:val="24"/>
        </w:rPr>
        <w:t>乙方</w:t>
      </w:r>
      <w:r>
        <w:rPr>
          <w:rStyle w:val="44"/>
          <w:rFonts w:ascii="宋体" w:hAnsi="宋体" w:cs="宋体"/>
          <w:sz w:val="24"/>
          <w:szCs w:val="24"/>
        </w:rPr>
        <w:t>收到甲方尾款后，</w:t>
      </w:r>
      <w:r>
        <w:rPr>
          <w:rStyle w:val="44"/>
          <w:rFonts w:hint="eastAsia" w:ascii="宋体" w:hAnsi="宋体" w:cs="宋体"/>
          <w:sz w:val="24"/>
          <w:szCs w:val="24"/>
        </w:rPr>
        <w:t>7个工作日内向</w:t>
      </w:r>
      <w:r>
        <w:rPr>
          <w:rStyle w:val="44"/>
          <w:rFonts w:ascii="宋体" w:hAnsi="宋体" w:cs="宋体"/>
          <w:sz w:val="24"/>
          <w:szCs w:val="24"/>
        </w:rPr>
        <w:t>甲方提交电子成果。</w:t>
      </w:r>
      <w:r>
        <w:rPr>
          <w:rStyle w:val="44"/>
          <w:rFonts w:hint="eastAsia" w:ascii="宋体" w:hAnsi="宋体" w:cs="宋体"/>
          <w:sz w:val="24"/>
          <w:szCs w:val="24"/>
        </w:rPr>
        <w:t xml:space="preserve"> </w:t>
      </w:r>
    </w:p>
    <w:p>
      <w:pPr>
        <w:spacing w:line="360" w:lineRule="auto"/>
        <w:ind w:firstLine="480" w:firstLineChars="200"/>
        <w:rPr>
          <w:rFonts w:hAnsi="宋体"/>
          <w:sz w:val="24"/>
          <w:szCs w:val="24"/>
        </w:rPr>
      </w:pPr>
      <w:r>
        <w:rPr>
          <w:rFonts w:hAnsi="宋体"/>
          <w:sz w:val="24"/>
          <w:szCs w:val="24"/>
        </w:rPr>
        <w:t>4.2</w:t>
      </w:r>
      <w:r>
        <w:rPr>
          <w:rFonts w:hint="eastAsia" w:hAnsi="宋体"/>
          <w:sz w:val="24"/>
          <w:szCs w:val="24"/>
        </w:rPr>
        <w:t>乙方应向甲方提交合法、有效的完税发票，否则，甲方有权拒绝付款。</w:t>
      </w:r>
    </w:p>
    <w:p>
      <w:pPr>
        <w:spacing w:line="360" w:lineRule="auto"/>
        <w:ind w:right="-100" w:firstLine="570"/>
        <w:outlineLvl w:val="0"/>
        <w:rPr>
          <w:rFonts w:hAnsi="宋体"/>
          <w:sz w:val="24"/>
          <w:szCs w:val="24"/>
        </w:rPr>
      </w:pPr>
      <w:r>
        <w:rPr>
          <w:rFonts w:hint="eastAsia" w:hAnsi="宋体"/>
          <w:sz w:val="24"/>
          <w:szCs w:val="24"/>
        </w:rPr>
        <w:t>第五条  双方责任</w:t>
      </w:r>
    </w:p>
    <w:p>
      <w:pPr>
        <w:spacing w:line="360" w:lineRule="auto"/>
        <w:ind w:right="-100" w:firstLine="480" w:firstLineChars="200"/>
        <w:rPr>
          <w:rFonts w:hAnsi="宋体"/>
          <w:sz w:val="24"/>
          <w:szCs w:val="24"/>
        </w:rPr>
      </w:pPr>
      <w:r>
        <w:rPr>
          <w:rFonts w:hAnsi="宋体"/>
          <w:sz w:val="24"/>
          <w:szCs w:val="24"/>
        </w:rPr>
        <w:t>5.1</w:t>
      </w:r>
      <w:r>
        <w:rPr>
          <w:rFonts w:hint="eastAsia" w:hAnsi="宋体"/>
          <w:sz w:val="24"/>
          <w:szCs w:val="24"/>
        </w:rPr>
        <w:t xml:space="preserve"> 甲方责任</w:t>
      </w:r>
    </w:p>
    <w:p>
      <w:pPr>
        <w:spacing w:line="360" w:lineRule="auto"/>
        <w:ind w:right="-100" w:firstLine="480" w:firstLineChars="200"/>
        <w:rPr>
          <w:rFonts w:hAnsi="宋体"/>
          <w:sz w:val="24"/>
          <w:szCs w:val="24"/>
        </w:rPr>
      </w:pPr>
      <w:r>
        <w:rPr>
          <w:rFonts w:hAnsi="宋体"/>
          <w:sz w:val="24"/>
          <w:szCs w:val="24"/>
        </w:rPr>
        <w:t>5.1.1</w:t>
      </w:r>
      <w:r>
        <w:rPr>
          <w:rFonts w:hint="eastAsia" w:hAnsi="宋体"/>
          <w:sz w:val="24"/>
          <w:szCs w:val="24"/>
        </w:rPr>
        <w:t xml:space="preserve"> 甲方按本合同规定的内容，在规定的时间内向乙方提交乙方规划设计需要的资料及文件，并对其完整性、正确性及时限性负责。由于甲方原因，造成规划设计所需资料不齐、不准、错误或收集困难时，乙方按本合同第三条规定的交付规划设计文件时间顺延，由于乙方未事先告知或遗漏告知所需资料而产生的延误，时间不予顺延。</w:t>
      </w:r>
    </w:p>
    <w:p>
      <w:pPr>
        <w:spacing w:line="360" w:lineRule="auto"/>
        <w:ind w:right="-100" w:firstLine="570"/>
        <w:rPr>
          <w:rFonts w:hAnsi="宋体"/>
          <w:sz w:val="24"/>
          <w:szCs w:val="24"/>
        </w:rPr>
      </w:pPr>
      <w:r>
        <w:rPr>
          <w:rFonts w:hAnsi="宋体"/>
          <w:sz w:val="24"/>
          <w:szCs w:val="24"/>
        </w:rPr>
        <w:t>5.1.2</w:t>
      </w:r>
      <w:r>
        <w:rPr>
          <w:rFonts w:hint="eastAsia" w:hAnsi="宋体"/>
          <w:sz w:val="24"/>
          <w:szCs w:val="24"/>
        </w:rPr>
        <w:t>在合同履行期间，甲方要求终止或解除合同，应及时书面通知乙方。乙方已开始工作的，甲方应根据乙方已进行的实际工作量，不足一半的，按该阶段规划设计费的一半支付；超过一半的，按该阶段规划设计费的全部支付。</w:t>
      </w:r>
    </w:p>
    <w:p>
      <w:pPr>
        <w:spacing w:line="360" w:lineRule="auto"/>
        <w:ind w:right="-100" w:firstLine="570"/>
        <w:rPr>
          <w:rFonts w:hAnsi="宋体"/>
          <w:sz w:val="24"/>
          <w:szCs w:val="24"/>
        </w:rPr>
      </w:pPr>
      <w:r>
        <w:rPr>
          <w:rFonts w:hAnsi="宋体"/>
          <w:sz w:val="24"/>
          <w:szCs w:val="24"/>
        </w:rPr>
        <w:t>5.1.</w:t>
      </w:r>
      <w:r>
        <w:rPr>
          <w:rFonts w:hint="eastAsia" w:hAnsi="宋体"/>
          <w:sz w:val="24"/>
          <w:szCs w:val="24"/>
        </w:rPr>
        <w:t>3甲方应协助配合乙方设计人员收集各种规划设计需要的现场资料。</w:t>
      </w:r>
    </w:p>
    <w:p>
      <w:pPr>
        <w:spacing w:line="360" w:lineRule="auto"/>
        <w:ind w:right="-100" w:firstLine="570"/>
        <w:rPr>
          <w:rFonts w:hAnsi="宋体"/>
          <w:sz w:val="24"/>
          <w:szCs w:val="24"/>
        </w:rPr>
      </w:pPr>
      <w:r>
        <w:rPr>
          <w:rFonts w:hAnsi="宋体"/>
          <w:sz w:val="24"/>
          <w:szCs w:val="24"/>
        </w:rPr>
        <w:t>5.1.</w:t>
      </w:r>
      <w:r>
        <w:rPr>
          <w:rFonts w:hint="eastAsia" w:hAnsi="宋体"/>
          <w:sz w:val="24"/>
          <w:szCs w:val="24"/>
        </w:rPr>
        <w:t>4甲方应保护因本项目的实施而掌握的乙方的商业秘密，未经乙方同意不得向第三方披露，如发生以上情况，乙方有权索赔。</w:t>
      </w:r>
    </w:p>
    <w:p>
      <w:pPr>
        <w:spacing w:line="360" w:lineRule="auto"/>
        <w:ind w:right="-100" w:firstLine="570"/>
        <w:rPr>
          <w:rFonts w:hAnsi="宋体"/>
          <w:sz w:val="24"/>
          <w:szCs w:val="24"/>
        </w:rPr>
      </w:pPr>
      <w:r>
        <w:rPr>
          <w:rFonts w:hAnsi="宋体"/>
          <w:sz w:val="24"/>
          <w:szCs w:val="24"/>
        </w:rPr>
        <w:t>5.1.</w:t>
      </w:r>
      <w:r>
        <w:rPr>
          <w:rFonts w:hint="eastAsia" w:hAnsi="宋体"/>
          <w:sz w:val="24"/>
          <w:szCs w:val="24"/>
        </w:rPr>
        <w:t>5从乙方交付甲方规划设计方案征求意见之日起，甲方未在三个月内将对规划设计方案的意见返交乙方，本合同再继续履行时，应对规划设计周期及规划设计费予以重新商定；如不继续履行时，则视为甲方终止合同，按</w:t>
      </w:r>
      <w:r>
        <w:rPr>
          <w:rFonts w:hAnsi="宋体"/>
          <w:sz w:val="24"/>
          <w:szCs w:val="24"/>
        </w:rPr>
        <w:t>5.1.2</w:t>
      </w:r>
      <w:r>
        <w:rPr>
          <w:rFonts w:hint="eastAsia" w:hAnsi="宋体"/>
          <w:sz w:val="24"/>
          <w:szCs w:val="24"/>
        </w:rPr>
        <w:t>条处理。</w:t>
      </w:r>
    </w:p>
    <w:p>
      <w:pPr>
        <w:spacing w:line="360" w:lineRule="auto"/>
        <w:ind w:right="-100" w:firstLine="570"/>
        <w:rPr>
          <w:rFonts w:hAnsi="宋体"/>
          <w:sz w:val="24"/>
          <w:szCs w:val="24"/>
        </w:rPr>
      </w:pPr>
      <w:r>
        <w:rPr>
          <w:rFonts w:hAnsi="宋体"/>
          <w:sz w:val="24"/>
          <w:szCs w:val="24"/>
        </w:rPr>
        <w:t>5.1.</w:t>
      </w:r>
      <w:r>
        <w:rPr>
          <w:rFonts w:hint="eastAsia" w:hAnsi="宋体"/>
          <w:sz w:val="24"/>
          <w:szCs w:val="24"/>
        </w:rPr>
        <w:t>6规划设计方案需城市规划主管部门审批或需专家评审的，由甲方组织评审及承担相关评审费用。</w:t>
      </w:r>
    </w:p>
    <w:p>
      <w:pPr>
        <w:spacing w:line="360" w:lineRule="auto"/>
        <w:ind w:right="-100" w:firstLine="570"/>
        <w:rPr>
          <w:rFonts w:hAnsi="宋体"/>
          <w:sz w:val="24"/>
          <w:szCs w:val="24"/>
        </w:rPr>
      </w:pPr>
      <w:r>
        <w:rPr>
          <w:rFonts w:hAnsi="宋体"/>
          <w:sz w:val="24"/>
          <w:szCs w:val="24"/>
        </w:rPr>
        <w:t>5.</w:t>
      </w:r>
      <w:r>
        <w:rPr>
          <w:rFonts w:hint="eastAsia" w:hAnsi="宋体"/>
          <w:sz w:val="24"/>
          <w:szCs w:val="24"/>
        </w:rPr>
        <w:t>1</w:t>
      </w:r>
      <w:r>
        <w:rPr>
          <w:rFonts w:hAnsi="宋体"/>
          <w:sz w:val="24"/>
          <w:szCs w:val="24"/>
        </w:rPr>
        <w:t>.</w:t>
      </w:r>
      <w:r>
        <w:rPr>
          <w:rFonts w:hint="eastAsia" w:hAnsi="宋体"/>
          <w:sz w:val="24"/>
          <w:szCs w:val="24"/>
        </w:rPr>
        <w:t>7 甲方变更委托设计项目、规模、条件或因提交的资料重大错误，或所提交资料做较大修改，以致造成乙方设计需返工时，双方除需另行协商签订补充协议，重新明确有关条款，并按本合同的内容根据乙方已完成的工作量支付设计费外，甲方还应按乙方所增加的工作量向乙方增付设计费。</w:t>
      </w:r>
    </w:p>
    <w:p>
      <w:pPr>
        <w:spacing w:line="360" w:lineRule="auto"/>
        <w:ind w:right="-100" w:firstLine="570"/>
        <w:rPr>
          <w:rFonts w:hAnsi="宋体"/>
          <w:sz w:val="24"/>
          <w:szCs w:val="24"/>
        </w:rPr>
      </w:pPr>
      <w:r>
        <w:rPr>
          <w:rFonts w:hAnsi="宋体"/>
          <w:sz w:val="24"/>
          <w:szCs w:val="24"/>
        </w:rPr>
        <w:t>5.2</w:t>
      </w:r>
      <w:r>
        <w:rPr>
          <w:rFonts w:hint="eastAsia" w:hAnsi="宋体"/>
          <w:sz w:val="24"/>
          <w:szCs w:val="24"/>
        </w:rPr>
        <w:t xml:space="preserve"> 乙方责任</w:t>
      </w:r>
    </w:p>
    <w:p>
      <w:pPr>
        <w:spacing w:line="360" w:lineRule="auto"/>
        <w:ind w:right="-100" w:firstLine="570"/>
        <w:outlineLvl w:val="0"/>
        <w:rPr>
          <w:rFonts w:hAnsi="宋体"/>
          <w:sz w:val="24"/>
          <w:szCs w:val="24"/>
        </w:rPr>
      </w:pPr>
      <w:r>
        <w:rPr>
          <w:rFonts w:hAnsi="宋体"/>
          <w:sz w:val="24"/>
          <w:szCs w:val="24"/>
        </w:rPr>
        <w:t>5.2.1</w:t>
      </w:r>
      <w:r>
        <w:rPr>
          <w:rFonts w:hint="eastAsia" w:hAnsi="宋体"/>
          <w:sz w:val="24"/>
          <w:szCs w:val="24"/>
        </w:rPr>
        <w:t xml:space="preserve"> 乙方按本合同第三条规定的内容、时间及份数向甲方交付规划设计文件。</w:t>
      </w:r>
    </w:p>
    <w:p>
      <w:pPr>
        <w:spacing w:line="360" w:lineRule="auto"/>
        <w:ind w:right="-100" w:firstLine="570"/>
        <w:rPr>
          <w:rFonts w:hAnsi="宋体"/>
          <w:sz w:val="24"/>
          <w:szCs w:val="24"/>
        </w:rPr>
      </w:pPr>
      <w:r>
        <w:rPr>
          <w:rFonts w:hAnsi="宋体"/>
          <w:sz w:val="24"/>
          <w:szCs w:val="24"/>
        </w:rPr>
        <w:t>5.2.2</w:t>
      </w:r>
      <w:r>
        <w:rPr>
          <w:rFonts w:hint="eastAsia" w:hAnsi="宋体"/>
          <w:sz w:val="24"/>
          <w:szCs w:val="24"/>
        </w:rPr>
        <w:t xml:space="preserve"> 乙方根据甲方提供的基础资料，经过现场踏勘和分析后，按照国家、自然资源部、地方的有关法规和规范，以及相关规划的要求，为甲方作出规划设计方案。规划方案应征求甲方意见，规划设计方案需城市规划主管部门或专家审批的，待审批意见下达后乙方</w:t>
      </w:r>
      <w:r>
        <w:rPr>
          <w:rFonts w:hAnsi="宋体"/>
          <w:sz w:val="24"/>
          <w:szCs w:val="24"/>
        </w:rPr>
        <w:t>根据会议纪要修改完善</w:t>
      </w:r>
      <w:r>
        <w:rPr>
          <w:rFonts w:hint="eastAsia" w:hAnsi="宋体"/>
          <w:sz w:val="24"/>
          <w:szCs w:val="24"/>
        </w:rPr>
        <w:t>出正式规划设计文件。</w:t>
      </w:r>
    </w:p>
    <w:p>
      <w:pPr>
        <w:spacing w:line="360" w:lineRule="auto"/>
        <w:ind w:right="-100" w:firstLine="570"/>
        <w:outlineLvl w:val="0"/>
        <w:rPr>
          <w:rFonts w:hAnsi="宋体"/>
          <w:sz w:val="24"/>
          <w:szCs w:val="24"/>
        </w:rPr>
      </w:pPr>
      <w:r>
        <w:rPr>
          <w:rFonts w:hAnsi="宋体"/>
          <w:sz w:val="24"/>
          <w:szCs w:val="24"/>
        </w:rPr>
        <w:t>5.2.3</w:t>
      </w:r>
      <w:r>
        <w:rPr>
          <w:rFonts w:hint="eastAsia" w:hAnsi="宋体"/>
          <w:sz w:val="24"/>
          <w:szCs w:val="24"/>
        </w:rPr>
        <w:t xml:space="preserve"> 乙方对规划设计文件出现的遗漏、错误或与实际使用不相符的部分负责修改、补充；提供对规划资料文件和图纸中涉及的数据、术语等相关咨询服务。</w:t>
      </w:r>
    </w:p>
    <w:p>
      <w:pPr>
        <w:spacing w:line="360" w:lineRule="auto"/>
        <w:ind w:right="-100" w:firstLine="570"/>
        <w:rPr>
          <w:rFonts w:hAnsi="宋体"/>
          <w:sz w:val="24"/>
          <w:szCs w:val="24"/>
        </w:rPr>
      </w:pPr>
      <w:r>
        <w:rPr>
          <w:rFonts w:hAnsi="宋体"/>
          <w:sz w:val="24"/>
          <w:szCs w:val="24"/>
        </w:rPr>
        <w:t>5.2.</w:t>
      </w:r>
      <w:r>
        <w:rPr>
          <w:rFonts w:hint="eastAsia" w:hAnsi="宋体"/>
          <w:sz w:val="24"/>
          <w:szCs w:val="24"/>
        </w:rPr>
        <w:t>4 乙方交付规划设计文件后，按照分级评审原则，负责参加有关上级组织的评审，并根据评审意见负责不超过本合同规定范围内的必要修改和补充。</w:t>
      </w:r>
    </w:p>
    <w:p>
      <w:pPr>
        <w:spacing w:line="360" w:lineRule="auto"/>
        <w:ind w:right="-100" w:firstLine="570"/>
        <w:outlineLvl w:val="0"/>
        <w:rPr>
          <w:rFonts w:hAnsi="宋体"/>
          <w:sz w:val="24"/>
          <w:szCs w:val="24"/>
        </w:rPr>
      </w:pPr>
      <w:r>
        <w:rPr>
          <w:rFonts w:hAnsi="宋体"/>
          <w:sz w:val="24"/>
          <w:szCs w:val="24"/>
        </w:rPr>
        <w:t>5.2.</w:t>
      </w:r>
      <w:r>
        <w:rPr>
          <w:rFonts w:hint="eastAsia" w:hAnsi="宋体"/>
          <w:sz w:val="24"/>
          <w:szCs w:val="24"/>
        </w:rPr>
        <w:t>5 乙方不得向第三方扩散、转让甲方提交的图纸等技术资料，如发生以上情况并给甲方造成经济损失，甲方有权索赔。</w:t>
      </w:r>
    </w:p>
    <w:p>
      <w:pPr>
        <w:spacing w:line="360" w:lineRule="auto"/>
        <w:ind w:right="-100" w:firstLine="570"/>
        <w:outlineLvl w:val="0"/>
        <w:rPr>
          <w:rFonts w:hAnsi="宋体"/>
          <w:sz w:val="24"/>
          <w:szCs w:val="24"/>
        </w:rPr>
      </w:pPr>
      <w:r>
        <w:rPr>
          <w:rFonts w:hint="eastAsia" w:hAnsi="宋体"/>
          <w:sz w:val="24"/>
          <w:szCs w:val="24"/>
        </w:rPr>
        <w:t>第六条  违约责任</w:t>
      </w:r>
    </w:p>
    <w:p>
      <w:pPr>
        <w:spacing w:line="360" w:lineRule="auto"/>
        <w:ind w:right="-100" w:firstLine="570"/>
        <w:rPr>
          <w:rFonts w:hAnsi="宋体"/>
          <w:sz w:val="24"/>
          <w:szCs w:val="24"/>
        </w:rPr>
      </w:pPr>
      <w:r>
        <w:rPr>
          <w:rFonts w:hint="eastAsia" w:hAnsi="宋体"/>
          <w:sz w:val="24"/>
          <w:szCs w:val="24"/>
        </w:rPr>
        <w:t>6.1</w:t>
      </w:r>
      <w:r>
        <w:rPr>
          <w:rFonts w:hAnsi="宋体"/>
          <w:sz w:val="24"/>
          <w:szCs w:val="24"/>
        </w:rPr>
        <w:t>甲、乙任何一方不履行本合同义务或者履行本合同义务不符合本合同规定的，应当承担继续履行、采取补救措施或者赔偿损失等违约责任。</w:t>
      </w:r>
    </w:p>
    <w:p>
      <w:pPr>
        <w:spacing w:line="360" w:lineRule="auto"/>
        <w:ind w:right="-100" w:firstLine="570"/>
        <w:rPr>
          <w:rFonts w:hAnsi="宋体"/>
          <w:sz w:val="24"/>
          <w:szCs w:val="24"/>
        </w:rPr>
      </w:pPr>
      <w:r>
        <w:rPr>
          <w:rFonts w:hint="eastAsia" w:hAnsi="宋体"/>
          <w:sz w:val="24"/>
          <w:szCs w:val="24"/>
        </w:rPr>
        <w:t>6.2在合同签订后，甲方无故要求终止或解除合同，乙方未开始设计工作的，不退还甲方已付的启动费；已开始设计工作的，甲方应根据乙方已进行的实际工作量，不足一半时，按该阶段设计咨询服务费的一半支付；超过一半时，按该阶段设计咨询服务费的全部支付。</w:t>
      </w:r>
    </w:p>
    <w:p>
      <w:pPr>
        <w:spacing w:line="360" w:lineRule="auto"/>
        <w:ind w:right="-100" w:firstLine="570"/>
        <w:rPr>
          <w:rFonts w:hAnsi="宋体"/>
          <w:sz w:val="24"/>
          <w:szCs w:val="24"/>
        </w:rPr>
      </w:pPr>
      <w:r>
        <w:rPr>
          <w:rFonts w:hint="eastAsia" w:hAnsi="宋体"/>
          <w:sz w:val="24"/>
          <w:szCs w:val="24"/>
        </w:rPr>
        <w:t>6</w:t>
      </w:r>
      <w:r>
        <w:rPr>
          <w:rFonts w:hAnsi="宋体"/>
          <w:sz w:val="24"/>
          <w:szCs w:val="24"/>
        </w:rPr>
        <w:t>.</w:t>
      </w:r>
      <w:r>
        <w:rPr>
          <w:rFonts w:hint="eastAsia" w:hAnsi="宋体"/>
          <w:sz w:val="24"/>
          <w:szCs w:val="24"/>
        </w:rPr>
        <w:t>3 甲方应按本合同第四条所约定的金额和时间支付设计费，每逾期支付一天，应按应付金额的万分之五/天承担违约金。逾期超过三十天的，乙方有权停止履行下阶段设计工作。在甲方结清应付款项前不予提交设计资料文件、图纸，并书面通知甲方，且逾期支付超过三十天的乙方</w:t>
      </w:r>
      <w:r>
        <w:rPr>
          <w:rFonts w:hAnsi="宋体"/>
          <w:sz w:val="24"/>
          <w:szCs w:val="24"/>
        </w:rPr>
        <w:t>有权解除本协议，并要求甲方</w:t>
      </w:r>
      <w:r>
        <w:rPr>
          <w:rFonts w:hint="eastAsia" w:hAnsi="宋体"/>
          <w:sz w:val="24"/>
          <w:szCs w:val="24"/>
        </w:rPr>
        <w:t>按</w:t>
      </w:r>
      <w:r>
        <w:rPr>
          <w:rFonts w:hAnsi="宋体"/>
          <w:sz w:val="24"/>
          <w:szCs w:val="24"/>
        </w:rPr>
        <w:t>合同总金额千分之二</w:t>
      </w:r>
      <w:r>
        <w:rPr>
          <w:rFonts w:hint="eastAsia" w:hAnsi="宋体"/>
          <w:sz w:val="24"/>
          <w:szCs w:val="24"/>
        </w:rPr>
        <w:t>/天</w:t>
      </w:r>
      <w:r>
        <w:rPr>
          <w:rFonts w:hAnsi="宋体"/>
          <w:sz w:val="24"/>
          <w:szCs w:val="24"/>
        </w:rPr>
        <w:t>的</w:t>
      </w:r>
      <w:r>
        <w:rPr>
          <w:rFonts w:hint="eastAsia" w:hAnsi="宋体"/>
          <w:sz w:val="24"/>
          <w:szCs w:val="24"/>
        </w:rPr>
        <w:t>标准计付</w:t>
      </w:r>
      <w:r>
        <w:rPr>
          <w:rFonts w:hAnsi="宋体"/>
          <w:sz w:val="24"/>
          <w:szCs w:val="24"/>
        </w:rPr>
        <w:t>违约金</w:t>
      </w:r>
      <w:r>
        <w:rPr>
          <w:rFonts w:hint="eastAsia" w:hAnsi="宋体"/>
          <w:sz w:val="24"/>
          <w:szCs w:val="24"/>
        </w:rPr>
        <w:t>，但违约金累计不得超过合同总金额的20%</w:t>
      </w:r>
      <w:r>
        <w:rPr>
          <w:rFonts w:hAnsi="宋体"/>
          <w:sz w:val="24"/>
          <w:szCs w:val="24"/>
        </w:rPr>
        <w:t>。</w:t>
      </w:r>
    </w:p>
    <w:p>
      <w:pPr>
        <w:spacing w:line="360" w:lineRule="auto"/>
        <w:ind w:right="-100" w:firstLine="570"/>
        <w:rPr>
          <w:rFonts w:hAnsi="宋体"/>
          <w:sz w:val="24"/>
          <w:szCs w:val="24"/>
        </w:rPr>
      </w:pPr>
      <w:r>
        <w:rPr>
          <w:rFonts w:hint="eastAsia" w:hAnsi="宋体"/>
          <w:sz w:val="24"/>
          <w:szCs w:val="24"/>
        </w:rPr>
        <w:t>6</w:t>
      </w:r>
      <w:r>
        <w:rPr>
          <w:rFonts w:hAnsi="宋体"/>
          <w:sz w:val="24"/>
          <w:szCs w:val="24"/>
        </w:rPr>
        <w:t>.</w:t>
      </w:r>
      <w:r>
        <w:rPr>
          <w:rFonts w:hint="eastAsia" w:hAnsi="宋体"/>
          <w:sz w:val="24"/>
          <w:szCs w:val="24"/>
        </w:rPr>
        <w:t>4 由于乙方自身原因延误，按本合同第三条规定的设计资料文件、图纸的交付时间，每延误一天，应按该阶段应收设计费的万分之五/天承担违约金。由于乙方自身原因延误超过三十天的，甲方有权解除本协议，并有权按同等标准要求支付违约金，但违约金累计不得超过合同总金额的20%。</w:t>
      </w:r>
    </w:p>
    <w:p>
      <w:pPr>
        <w:spacing w:line="360" w:lineRule="auto"/>
        <w:ind w:right="-100" w:firstLine="570"/>
        <w:rPr>
          <w:rFonts w:hAnsi="宋体"/>
          <w:sz w:val="24"/>
          <w:szCs w:val="24"/>
        </w:rPr>
      </w:pPr>
      <w:r>
        <w:rPr>
          <w:rFonts w:hint="eastAsia" w:hAnsi="宋体"/>
          <w:sz w:val="24"/>
          <w:szCs w:val="24"/>
        </w:rPr>
        <w:t>6.5本合同生效后，如任何一方违约，守约方为维护权益向违约方追偿的一切费用，包括但不限于律师费、诉讼费、保全费、鉴定费、差旅费等，由违约方承担。</w:t>
      </w:r>
    </w:p>
    <w:p>
      <w:pPr>
        <w:spacing w:line="360" w:lineRule="auto"/>
        <w:ind w:right="-100" w:firstLine="570"/>
        <w:outlineLvl w:val="0"/>
        <w:rPr>
          <w:rFonts w:hAnsi="宋体"/>
          <w:sz w:val="24"/>
          <w:szCs w:val="24"/>
        </w:rPr>
      </w:pPr>
      <w:r>
        <w:rPr>
          <w:rFonts w:hint="eastAsia" w:hAnsi="宋体"/>
          <w:sz w:val="24"/>
          <w:szCs w:val="24"/>
        </w:rPr>
        <w:t>第七条  知识产权</w:t>
      </w:r>
    </w:p>
    <w:p>
      <w:pPr>
        <w:spacing w:line="360" w:lineRule="auto"/>
        <w:ind w:right="-100" w:firstLine="57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1乙方对设计完成的成果享有署名权，甲方将委托设计的所有费用结算完毕后，甲方对所有委托事项成果享有著作权。双方</w:t>
      </w:r>
      <w:r>
        <w:rPr>
          <w:rFonts w:hAnsi="宋体"/>
          <w:sz w:val="24"/>
          <w:szCs w:val="24"/>
        </w:rPr>
        <w:t>共享署名权。</w:t>
      </w:r>
    </w:p>
    <w:p>
      <w:pPr>
        <w:spacing w:line="360" w:lineRule="auto"/>
        <w:ind w:right="-100" w:firstLine="570"/>
        <w:rPr>
          <w:rFonts w:hAnsi="宋体"/>
          <w:sz w:val="24"/>
          <w:szCs w:val="24"/>
        </w:rPr>
      </w:pPr>
      <w:r>
        <w:rPr>
          <w:rFonts w:hint="eastAsia" w:hAnsi="宋体"/>
          <w:sz w:val="24"/>
          <w:szCs w:val="24"/>
        </w:rPr>
        <w:t>7</w:t>
      </w:r>
      <w:r>
        <w:rPr>
          <w:rFonts w:hAnsi="宋体"/>
          <w:sz w:val="24"/>
          <w:szCs w:val="24"/>
        </w:rPr>
        <w:t>.</w:t>
      </w:r>
      <w:r>
        <w:rPr>
          <w:rFonts w:hint="eastAsia" w:hAnsi="宋体"/>
          <w:sz w:val="24"/>
          <w:szCs w:val="24"/>
        </w:rPr>
        <w:t>2 甲方在未结清所有委托设计费用并取得著作权之前，甲方对该成果不享有处置的权利。</w:t>
      </w:r>
    </w:p>
    <w:p>
      <w:pPr>
        <w:spacing w:line="360" w:lineRule="auto"/>
        <w:ind w:right="-100" w:firstLine="570"/>
        <w:outlineLvl w:val="0"/>
        <w:rPr>
          <w:rFonts w:hAnsi="宋体"/>
          <w:sz w:val="24"/>
          <w:szCs w:val="24"/>
        </w:rPr>
      </w:pPr>
      <w:r>
        <w:rPr>
          <w:rFonts w:hint="eastAsia" w:hAnsi="宋体"/>
          <w:sz w:val="24"/>
          <w:szCs w:val="24"/>
        </w:rPr>
        <w:t>第八条 验收</w:t>
      </w:r>
    </w:p>
    <w:p>
      <w:pPr>
        <w:spacing w:line="360" w:lineRule="auto"/>
        <w:ind w:right="-100" w:firstLine="570"/>
        <w:outlineLvl w:val="0"/>
        <w:rPr>
          <w:rFonts w:hAnsi="宋体" w:cs="宋体"/>
          <w:color w:val="000000"/>
          <w:sz w:val="24"/>
        </w:rPr>
      </w:pPr>
      <w:r>
        <w:rPr>
          <w:rFonts w:hint="eastAsia" w:hAnsi="宋体" w:cs="宋体"/>
          <w:color w:val="000000"/>
          <w:sz w:val="24"/>
        </w:rPr>
        <w:t>本项目采购人将严格按照政府采购相关法律法规以及《财政部关于进一步加强政府采购需求和履约验收管理的指导意见》(财库〔2016〕205 号)的要求、招标文件的要求、中标人的投标文件及承诺以及合同约定标准进行验收。</w:t>
      </w:r>
    </w:p>
    <w:p>
      <w:pPr>
        <w:spacing w:line="360" w:lineRule="auto"/>
        <w:ind w:right="-100" w:firstLine="570"/>
        <w:outlineLvl w:val="0"/>
        <w:rPr>
          <w:rFonts w:hAnsi="宋体"/>
          <w:sz w:val="24"/>
          <w:szCs w:val="24"/>
        </w:rPr>
      </w:pPr>
      <w:r>
        <w:rPr>
          <w:rFonts w:hint="eastAsia" w:hAnsi="宋体"/>
          <w:sz w:val="24"/>
          <w:szCs w:val="24"/>
        </w:rPr>
        <w:t>第九条  其它</w:t>
      </w:r>
    </w:p>
    <w:p>
      <w:pPr>
        <w:spacing w:line="360" w:lineRule="auto"/>
        <w:ind w:right="-100" w:firstLine="57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乙方有义务努力做好相关后续服务工作。</w:t>
      </w:r>
    </w:p>
    <w:p>
      <w:pPr>
        <w:spacing w:line="360" w:lineRule="auto"/>
        <w:ind w:right="-100" w:firstLine="57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2 甲方委托乙方承担本合同内容以外的工作服务，应另外支付费用。</w:t>
      </w:r>
    </w:p>
    <w:p>
      <w:pPr>
        <w:spacing w:line="360" w:lineRule="auto"/>
        <w:ind w:right="-100" w:firstLine="57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3 由于不可抗力因素造成本合同无法履行时，双方应及时协商解决。</w:t>
      </w:r>
    </w:p>
    <w:p>
      <w:pPr>
        <w:spacing w:line="360" w:lineRule="auto"/>
        <w:ind w:right="-100" w:firstLine="570"/>
        <w:rPr>
          <w:rFonts w:hAnsi="宋体"/>
          <w:sz w:val="24"/>
          <w:szCs w:val="24"/>
        </w:rPr>
      </w:pPr>
      <w:r>
        <w:rPr>
          <w:rFonts w:hint="eastAsia" w:hAnsi="宋体"/>
          <w:sz w:val="24"/>
          <w:szCs w:val="24"/>
        </w:rPr>
        <w:t>9.3.1</w:t>
      </w:r>
      <w:r>
        <w:rPr>
          <w:rFonts w:hAnsi="宋体"/>
          <w:sz w:val="24"/>
          <w:szCs w:val="24"/>
        </w:rPr>
        <w:t>不可抗力是指地震、台风、水灾、火灾、战争</w:t>
      </w:r>
      <w:r>
        <w:rPr>
          <w:rFonts w:hint="eastAsia" w:hAnsi="宋体"/>
          <w:sz w:val="24"/>
          <w:szCs w:val="24"/>
        </w:rPr>
        <w:t>、</w:t>
      </w:r>
      <w:r>
        <w:rPr>
          <w:rFonts w:hAnsi="宋体"/>
          <w:sz w:val="24"/>
          <w:szCs w:val="24"/>
        </w:rPr>
        <w:t>疫情或其它不能预见、不能避免并不能克服的客观情况。如果一方当事人认为不可抗力发生并影响其履行本合同义务，应在第一时间通知另一方当事人，并在不可抗力发生后的十（10）日内提交书面证明材料。按照不可抗力对履行合同影响的程度，由双方协商决定是否免除或者部分免除合同义务，或者延期履行合同。</w:t>
      </w:r>
    </w:p>
    <w:p>
      <w:pPr>
        <w:spacing w:line="360" w:lineRule="auto"/>
        <w:ind w:right="-100" w:firstLine="570"/>
        <w:rPr>
          <w:rFonts w:hAnsi="宋体"/>
          <w:sz w:val="24"/>
          <w:szCs w:val="24"/>
        </w:rPr>
      </w:pPr>
      <w:r>
        <w:rPr>
          <w:rFonts w:hint="eastAsia" w:hAnsi="宋体"/>
          <w:sz w:val="24"/>
          <w:szCs w:val="24"/>
        </w:rPr>
        <w:t>9.3.2</w:t>
      </w:r>
      <w:r>
        <w:rPr>
          <w:rFonts w:hAnsi="宋体"/>
          <w:sz w:val="24"/>
          <w:szCs w:val="24"/>
        </w:rPr>
        <w:t>不可抗力发生时，任何一方均不能被视为违约或不履行本合同义务。在合同签订后，乙方尚未开始设计工作的，乙方不退还甲方已付的启动费；乙方已开始设计工作的，甲方应根据乙方已进行的实际工作量，支付设计费。费用由双方协商后书面确定。</w:t>
      </w:r>
    </w:p>
    <w:p>
      <w:pPr>
        <w:spacing w:line="360" w:lineRule="auto"/>
        <w:ind w:right="-100" w:firstLine="570"/>
        <w:rPr>
          <w:rFonts w:hAnsi="宋体"/>
          <w:sz w:val="24"/>
          <w:szCs w:val="24"/>
        </w:rPr>
      </w:pPr>
      <w:r>
        <w:rPr>
          <w:rFonts w:hint="eastAsia" w:hAnsi="宋体"/>
          <w:sz w:val="24"/>
          <w:szCs w:val="24"/>
        </w:rPr>
        <w:t>9.4在本合同履行期间，双方发生争议时应协商解决，协商不成时则向甲方所在地人民法院提起诉讼。</w:t>
      </w:r>
    </w:p>
    <w:p>
      <w:pPr>
        <w:spacing w:line="360" w:lineRule="auto"/>
        <w:ind w:right="-100" w:firstLine="57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5 本合同未尽事宜，由双方协商解决，并及时签订补充协议，补充协议经双方签字生效后，与本合同具有同等效力。</w:t>
      </w:r>
    </w:p>
    <w:p>
      <w:pPr>
        <w:spacing w:line="360" w:lineRule="auto"/>
        <w:ind w:right="-100" w:firstLine="570"/>
        <w:rPr>
          <w:rFonts w:hAnsi="宋体"/>
          <w:sz w:val="24"/>
          <w:szCs w:val="24"/>
        </w:rPr>
      </w:pPr>
      <w:r>
        <w:rPr>
          <w:rFonts w:hint="eastAsia" w:hAnsi="宋体"/>
          <w:sz w:val="24"/>
          <w:szCs w:val="24"/>
        </w:rPr>
        <w:t>9</w:t>
      </w:r>
      <w:r>
        <w:rPr>
          <w:rFonts w:hAnsi="宋体"/>
          <w:sz w:val="24"/>
          <w:szCs w:val="24"/>
        </w:rPr>
        <w:t>.</w:t>
      </w:r>
      <w:r>
        <w:rPr>
          <w:rFonts w:hint="eastAsia" w:hAnsi="宋体"/>
          <w:sz w:val="24"/>
          <w:szCs w:val="24"/>
        </w:rPr>
        <w:t>6 甲乙双方履行完本合同规定的权利和义务后，本合同自行失效。</w:t>
      </w:r>
    </w:p>
    <w:p>
      <w:pPr>
        <w:spacing w:line="360" w:lineRule="auto"/>
        <w:ind w:right="-100" w:firstLine="570"/>
        <w:rPr>
          <w:rFonts w:hAnsi="宋体"/>
          <w:sz w:val="24"/>
          <w:szCs w:val="24"/>
        </w:rPr>
      </w:pPr>
      <w:r>
        <w:rPr>
          <w:rFonts w:hint="eastAsia" w:hAnsi="宋体"/>
          <w:sz w:val="24"/>
          <w:szCs w:val="24"/>
        </w:rPr>
        <w:t>9.7本合同一式X份，甲方执X份，乙方执X份，双方签字盖章后生效。</w:t>
      </w:r>
    </w:p>
    <w:p>
      <w:pPr>
        <w:tabs>
          <w:tab w:val="left" w:pos="0"/>
        </w:tabs>
        <w:spacing w:line="360" w:lineRule="auto"/>
        <w:ind w:firstLine="480" w:firstLineChars="200"/>
        <w:rPr>
          <w:rFonts w:hAnsi="宋体"/>
          <w:sz w:val="24"/>
          <w:szCs w:val="24"/>
        </w:rPr>
      </w:pPr>
      <w:r>
        <w:rPr>
          <w:rFonts w:hint="eastAsia" w:hAnsi="宋体"/>
          <w:sz w:val="24"/>
          <w:szCs w:val="24"/>
        </w:rPr>
        <w:t>甲方：</w:t>
      </w:r>
      <w:r>
        <w:rPr>
          <w:rFonts w:hAnsi="宋体"/>
          <w:sz w:val="24"/>
          <w:szCs w:val="24"/>
        </w:rPr>
        <w:t xml:space="preserve">   （盖章）   </w:t>
      </w:r>
      <w:r>
        <w:rPr>
          <w:rFonts w:hAnsi="宋体"/>
          <w:sz w:val="24"/>
          <w:szCs w:val="24"/>
        </w:rPr>
        <w:tab/>
      </w:r>
      <w:r>
        <w:rPr>
          <w:rFonts w:hAnsi="宋体"/>
          <w:sz w:val="24"/>
          <w:szCs w:val="24"/>
        </w:rPr>
        <w:tab/>
      </w:r>
      <w:r>
        <w:rPr>
          <w:rFonts w:hAnsi="宋体"/>
          <w:sz w:val="24"/>
          <w:szCs w:val="24"/>
        </w:rPr>
        <w:tab/>
      </w:r>
      <w:r>
        <w:rPr>
          <w:rFonts w:hAnsi="宋体"/>
          <w:sz w:val="24"/>
          <w:szCs w:val="24"/>
        </w:rPr>
        <w:t xml:space="preserve">    乙方：   （盖章）</w:t>
      </w:r>
    </w:p>
    <w:p>
      <w:pPr>
        <w:tabs>
          <w:tab w:val="left" w:pos="0"/>
        </w:tabs>
        <w:spacing w:line="360" w:lineRule="auto"/>
        <w:ind w:firstLine="480" w:firstLineChars="200"/>
        <w:rPr>
          <w:rFonts w:hAnsi="宋体"/>
          <w:sz w:val="24"/>
          <w:szCs w:val="24"/>
        </w:rPr>
      </w:pPr>
      <w:r>
        <w:rPr>
          <w:rFonts w:hint="eastAsia" w:hAnsi="宋体"/>
          <w:sz w:val="24"/>
          <w:szCs w:val="24"/>
        </w:rPr>
        <w:t>法定代表人（授权代表）：           法定代表人（授权代表）：</w:t>
      </w:r>
    </w:p>
    <w:p>
      <w:pPr>
        <w:tabs>
          <w:tab w:val="left" w:pos="0"/>
        </w:tabs>
        <w:spacing w:line="360" w:lineRule="auto"/>
        <w:ind w:firstLine="480" w:firstLineChars="200"/>
        <w:rPr>
          <w:rFonts w:hAnsi="宋体"/>
          <w:sz w:val="24"/>
          <w:szCs w:val="24"/>
        </w:rPr>
      </w:pPr>
      <w:r>
        <w:rPr>
          <w:rFonts w:hint="eastAsia" w:hAnsi="宋体"/>
          <w:sz w:val="24"/>
          <w:szCs w:val="24"/>
        </w:rPr>
        <w:t>地址：                           地址：</w:t>
      </w:r>
    </w:p>
    <w:p>
      <w:pPr>
        <w:tabs>
          <w:tab w:val="left" w:pos="0"/>
        </w:tabs>
        <w:spacing w:line="360" w:lineRule="auto"/>
        <w:ind w:firstLine="480" w:firstLineChars="200"/>
        <w:rPr>
          <w:rFonts w:hAnsi="宋体"/>
          <w:sz w:val="24"/>
          <w:szCs w:val="24"/>
        </w:rPr>
      </w:pPr>
      <w:r>
        <w:rPr>
          <w:rFonts w:hint="eastAsia" w:hAnsi="宋体"/>
          <w:sz w:val="24"/>
          <w:szCs w:val="24"/>
        </w:rPr>
        <w:t>开户银行：                       开户银行：</w:t>
      </w:r>
    </w:p>
    <w:p>
      <w:pPr>
        <w:tabs>
          <w:tab w:val="left" w:pos="0"/>
        </w:tabs>
        <w:spacing w:line="360" w:lineRule="auto"/>
        <w:ind w:firstLine="480" w:firstLineChars="200"/>
        <w:rPr>
          <w:rFonts w:hAnsi="宋体"/>
          <w:sz w:val="24"/>
          <w:szCs w:val="24"/>
        </w:rPr>
      </w:pPr>
      <w:r>
        <w:rPr>
          <w:rFonts w:hint="eastAsia" w:hAnsi="宋体"/>
          <w:sz w:val="24"/>
          <w:szCs w:val="24"/>
        </w:rPr>
        <w:t>账号：                            账号：</w:t>
      </w:r>
    </w:p>
    <w:p>
      <w:pPr>
        <w:tabs>
          <w:tab w:val="left" w:pos="0"/>
        </w:tabs>
        <w:spacing w:line="360" w:lineRule="auto"/>
        <w:ind w:firstLine="480" w:firstLineChars="200"/>
        <w:rPr>
          <w:rFonts w:hAnsi="宋体"/>
          <w:sz w:val="24"/>
          <w:szCs w:val="24"/>
        </w:rPr>
      </w:pPr>
      <w:r>
        <w:rPr>
          <w:rFonts w:hint="eastAsia" w:hAnsi="宋体"/>
          <w:sz w:val="24"/>
          <w:szCs w:val="24"/>
        </w:rPr>
        <w:t>电话：                            电话：</w:t>
      </w:r>
    </w:p>
    <w:p>
      <w:pPr>
        <w:tabs>
          <w:tab w:val="left" w:pos="0"/>
        </w:tabs>
        <w:spacing w:line="360" w:lineRule="auto"/>
        <w:ind w:firstLine="480" w:firstLineChars="200"/>
        <w:rPr>
          <w:rFonts w:hAnsi="宋体"/>
          <w:sz w:val="24"/>
          <w:szCs w:val="24"/>
        </w:rPr>
      </w:pPr>
      <w:r>
        <w:rPr>
          <w:rFonts w:hint="eastAsia" w:hAnsi="宋体"/>
          <w:sz w:val="24"/>
          <w:szCs w:val="24"/>
        </w:rPr>
        <w:t>传真：                            传真：</w:t>
      </w:r>
    </w:p>
    <w:p>
      <w:pPr>
        <w:pStyle w:val="10"/>
        <w:spacing w:line="360" w:lineRule="auto"/>
        <w:ind w:firstLine="0" w:firstLineChars="0"/>
        <w:rPr>
          <w:rFonts w:hAnsi="宋体" w:cs="宋体"/>
          <w:b/>
          <w:bCs/>
          <w:sz w:val="24"/>
          <w:szCs w:val="24"/>
        </w:rPr>
      </w:pPr>
      <w:r>
        <w:rPr>
          <w:rFonts w:hint="eastAsia" w:ascii="宋体" w:hAnsi="宋体"/>
          <w:sz w:val="24"/>
          <w:szCs w:val="24"/>
        </w:rPr>
        <w:t>签约日期：</w:t>
      </w:r>
      <w:r>
        <w:rPr>
          <w:rFonts w:ascii="宋体" w:hAnsi="宋体"/>
          <w:sz w:val="24"/>
          <w:szCs w:val="24"/>
        </w:rPr>
        <w:t xml:space="preserve">  年  月   日 </w:t>
      </w:r>
      <w:r>
        <w:rPr>
          <w:rFonts w:ascii="宋体" w:hAnsi="宋体"/>
          <w:sz w:val="24"/>
          <w:szCs w:val="24"/>
        </w:rPr>
        <w:tab/>
      </w:r>
      <w:r>
        <w:rPr>
          <w:rFonts w:ascii="宋体" w:hAnsi="宋体"/>
          <w:sz w:val="24"/>
          <w:szCs w:val="24"/>
        </w:rPr>
        <w:tab/>
      </w:r>
      <w:r>
        <w:rPr>
          <w:rFonts w:ascii="宋体" w:hAnsi="宋体"/>
          <w:sz w:val="24"/>
          <w:szCs w:val="24"/>
        </w:rPr>
        <w:t xml:space="preserve">   签约日期：  年   月   日</w:t>
      </w:r>
    </w:p>
    <w:p>
      <w:pPr>
        <w:jc w:val="left"/>
        <w:rPr>
          <w:rFonts w:hAnsi="宋体" w:cs="宋体"/>
          <w:b/>
          <w:bCs/>
          <w:sz w:val="22"/>
          <w:szCs w:val="16"/>
        </w:rPr>
      </w:pPr>
      <w:r>
        <w:rPr>
          <w:rFonts w:hint="eastAsia" w:hAnsi="宋体" w:cs="宋体"/>
          <w:b/>
          <w:bCs/>
          <w:sz w:val="22"/>
          <w:szCs w:val="16"/>
        </w:rPr>
        <w:t>注：本政府采购合同采购人及中标人可以根据实际情况进行调整,具体以实际签订为准。</w:t>
      </w:r>
    </w:p>
    <w:p>
      <w:pPr>
        <w:spacing w:line="360" w:lineRule="auto"/>
        <w:ind w:right="-100"/>
        <w:rPr>
          <w:rFonts w:hAnsi="宋体"/>
          <w:sz w:val="24"/>
          <w:szCs w:val="24"/>
        </w:rPr>
      </w:pPr>
    </w:p>
    <w:p>
      <w:pPr>
        <w:pStyle w:val="10"/>
        <w:ind w:firstLine="221"/>
        <w:rPr>
          <w:rFonts w:hAnsi="宋体" w:cs="宋体"/>
          <w:b/>
          <w:bCs/>
          <w:sz w:val="22"/>
          <w:szCs w:val="16"/>
        </w:rPr>
      </w:pPr>
    </w:p>
    <w:p>
      <w:pPr>
        <w:pStyle w:val="10"/>
        <w:ind w:firstLine="221"/>
        <w:rPr>
          <w:rFonts w:hAnsi="宋体" w:cs="宋体"/>
          <w:b/>
          <w:bCs/>
          <w:sz w:val="22"/>
          <w:szCs w:val="16"/>
        </w:rPr>
      </w:pPr>
    </w:p>
    <w:p>
      <w:pPr>
        <w:pStyle w:val="10"/>
        <w:ind w:firstLine="221"/>
        <w:rPr>
          <w:rFonts w:hAnsi="宋体" w:cs="宋体"/>
          <w:b/>
          <w:bCs/>
          <w:sz w:val="22"/>
          <w:szCs w:val="16"/>
        </w:rPr>
      </w:pPr>
    </w:p>
    <w:p>
      <w:pPr>
        <w:pStyle w:val="10"/>
        <w:ind w:firstLine="221"/>
        <w:rPr>
          <w:rFonts w:hAnsi="宋体" w:cs="宋体"/>
          <w:b/>
          <w:bCs/>
          <w:sz w:val="22"/>
          <w:szCs w:val="16"/>
        </w:rPr>
      </w:pPr>
    </w:p>
    <w:p>
      <w:pPr>
        <w:pStyle w:val="10"/>
        <w:ind w:firstLine="221"/>
        <w:rPr>
          <w:rFonts w:hAnsi="宋体" w:cs="宋体"/>
          <w:b/>
          <w:bCs/>
          <w:sz w:val="22"/>
          <w:szCs w:val="16"/>
        </w:rPr>
      </w:pPr>
    </w:p>
    <w:p>
      <w:pPr>
        <w:pStyle w:val="10"/>
        <w:ind w:firstLine="0" w:firstLineChars="0"/>
        <w:rPr>
          <w:rFonts w:hAnsi="宋体" w:cs="宋体"/>
          <w:b/>
          <w:bCs/>
          <w:sz w:val="22"/>
          <w:szCs w:val="16"/>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楷体à.ā">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68</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7Q7CRyQEAAH4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b/>
        <w:bCs/>
        <w:szCs w:val="13"/>
        <w:u w:val="single"/>
      </w:rPr>
    </w:pPr>
    <w:r>
      <w:drawing>
        <wp:inline distT="0" distB="0" distL="114300" distR="114300">
          <wp:extent cx="1049655" cy="309245"/>
          <wp:effectExtent l="0" t="0" r="1714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rPr>
      <w:t xml:space="preserve">                                         </w:t>
    </w:r>
    <w:r>
      <w:rPr>
        <w:rFonts w:hint="eastAsia"/>
        <w:b/>
        <w:bCs/>
        <w:szCs w:val="13"/>
        <w:u w:val="single"/>
      </w:rPr>
      <w:t>郫都区城镇村体系规划研究编制项目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ACD1"/>
    <w:multiLevelType w:val="singleLevel"/>
    <w:tmpl w:val="59E1ACD1"/>
    <w:lvl w:ilvl="0" w:tentative="0">
      <w:start w:val="1"/>
      <w:numFmt w:val="decimal"/>
      <w:suff w:val="nothing"/>
      <w:lvlText w:val="（%1）"/>
      <w:lvlJc w:val="left"/>
    </w:lvl>
  </w:abstractNum>
  <w:abstractNum w:abstractNumId="1">
    <w:nsid w:val="59E6FEBA"/>
    <w:multiLevelType w:val="singleLevel"/>
    <w:tmpl w:val="59E6FEBA"/>
    <w:lvl w:ilvl="0" w:tentative="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EC"/>
    <w:rsid w:val="000123D5"/>
    <w:rsid w:val="00027609"/>
    <w:rsid w:val="000504C3"/>
    <w:rsid w:val="000615BF"/>
    <w:rsid w:val="00066EB1"/>
    <w:rsid w:val="00067B05"/>
    <w:rsid w:val="00082E7C"/>
    <w:rsid w:val="00084735"/>
    <w:rsid w:val="00091050"/>
    <w:rsid w:val="000A0FE5"/>
    <w:rsid w:val="000D177E"/>
    <w:rsid w:val="000D4622"/>
    <w:rsid w:val="000E4A7F"/>
    <w:rsid w:val="000E4EA8"/>
    <w:rsid w:val="00120C30"/>
    <w:rsid w:val="0012666E"/>
    <w:rsid w:val="001478F5"/>
    <w:rsid w:val="00152EF4"/>
    <w:rsid w:val="00154FF2"/>
    <w:rsid w:val="00164CD0"/>
    <w:rsid w:val="00172A27"/>
    <w:rsid w:val="00180242"/>
    <w:rsid w:val="001A3F34"/>
    <w:rsid w:val="001A6D1A"/>
    <w:rsid w:val="001C75B8"/>
    <w:rsid w:val="001F4640"/>
    <w:rsid w:val="0021799F"/>
    <w:rsid w:val="0025284D"/>
    <w:rsid w:val="002B1ADF"/>
    <w:rsid w:val="002D11B2"/>
    <w:rsid w:val="002E085A"/>
    <w:rsid w:val="002E5419"/>
    <w:rsid w:val="002E5A7F"/>
    <w:rsid w:val="002F6798"/>
    <w:rsid w:val="00356826"/>
    <w:rsid w:val="0036223A"/>
    <w:rsid w:val="00373FD3"/>
    <w:rsid w:val="003912FD"/>
    <w:rsid w:val="00392861"/>
    <w:rsid w:val="003943FF"/>
    <w:rsid w:val="003C20E1"/>
    <w:rsid w:val="003C59CB"/>
    <w:rsid w:val="00401C70"/>
    <w:rsid w:val="00404BCB"/>
    <w:rsid w:val="00405B33"/>
    <w:rsid w:val="00415E8F"/>
    <w:rsid w:val="00424EF5"/>
    <w:rsid w:val="0043312B"/>
    <w:rsid w:val="00434225"/>
    <w:rsid w:val="0044015E"/>
    <w:rsid w:val="0044681E"/>
    <w:rsid w:val="00457338"/>
    <w:rsid w:val="00476E55"/>
    <w:rsid w:val="0048318F"/>
    <w:rsid w:val="00484FB6"/>
    <w:rsid w:val="00493893"/>
    <w:rsid w:val="004A78B0"/>
    <w:rsid w:val="004C0027"/>
    <w:rsid w:val="004C0727"/>
    <w:rsid w:val="004C482D"/>
    <w:rsid w:val="004C6D30"/>
    <w:rsid w:val="004F2BE2"/>
    <w:rsid w:val="004F3D19"/>
    <w:rsid w:val="004F4104"/>
    <w:rsid w:val="005205A0"/>
    <w:rsid w:val="00543C28"/>
    <w:rsid w:val="00566FB2"/>
    <w:rsid w:val="00596433"/>
    <w:rsid w:val="005B03BE"/>
    <w:rsid w:val="005B0E4E"/>
    <w:rsid w:val="005C292A"/>
    <w:rsid w:val="005C2ECE"/>
    <w:rsid w:val="005C514B"/>
    <w:rsid w:val="005D632A"/>
    <w:rsid w:val="00600BF2"/>
    <w:rsid w:val="006203B6"/>
    <w:rsid w:val="00637E4B"/>
    <w:rsid w:val="00650E70"/>
    <w:rsid w:val="00650ED8"/>
    <w:rsid w:val="00683E60"/>
    <w:rsid w:val="00690C39"/>
    <w:rsid w:val="006A047D"/>
    <w:rsid w:val="006E3E8D"/>
    <w:rsid w:val="006F3B1E"/>
    <w:rsid w:val="00701793"/>
    <w:rsid w:val="00701FE1"/>
    <w:rsid w:val="00710BE6"/>
    <w:rsid w:val="00711111"/>
    <w:rsid w:val="00722BE5"/>
    <w:rsid w:val="0072306E"/>
    <w:rsid w:val="00730CC6"/>
    <w:rsid w:val="00762F69"/>
    <w:rsid w:val="00773B31"/>
    <w:rsid w:val="007862F8"/>
    <w:rsid w:val="00787E96"/>
    <w:rsid w:val="00792283"/>
    <w:rsid w:val="007929E5"/>
    <w:rsid w:val="00795E0F"/>
    <w:rsid w:val="007A20B9"/>
    <w:rsid w:val="007B00AC"/>
    <w:rsid w:val="007B1A87"/>
    <w:rsid w:val="007E23AF"/>
    <w:rsid w:val="007E4557"/>
    <w:rsid w:val="00803365"/>
    <w:rsid w:val="00834127"/>
    <w:rsid w:val="008711A7"/>
    <w:rsid w:val="00882A5B"/>
    <w:rsid w:val="00890245"/>
    <w:rsid w:val="008A583D"/>
    <w:rsid w:val="008C6E3C"/>
    <w:rsid w:val="008C6FB6"/>
    <w:rsid w:val="008D4B78"/>
    <w:rsid w:val="008F3DC7"/>
    <w:rsid w:val="00922D1A"/>
    <w:rsid w:val="00931F0B"/>
    <w:rsid w:val="0093303C"/>
    <w:rsid w:val="00934F0D"/>
    <w:rsid w:val="00960B17"/>
    <w:rsid w:val="0099299B"/>
    <w:rsid w:val="009B7C12"/>
    <w:rsid w:val="00A02AC9"/>
    <w:rsid w:val="00A03244"/>
    <w:rsid w:val="00A15997"/>
    <w:rsid w:val="00A23D90"/>
    <w:rsid w:val="00A275C6"/>
    <w:rsid w:val="00A333B6"/>
    <w:rsid w:val="00A655F2"/>
    <w:rsid w:val="00A711EB"/>
    <w:rsid w:val="00A733D8"/>
    <w:rsid w:val="00AA0D3E"/>
    <w:rsid w:val="00AB212B"/>
    <w:rsid w:val="00AB670B"/>
    <w:rsid w:val="00AD1B69"/>
    <w:rsid w:val="00AD2454"/>
    <w:rsid w:val="00AE33C5"/>
    <w:rsid w:val="00AF21D8"/>
    <w:rsid w:val="00B00738"/>
    <w:rsid w:val="00B00CCD"/>
    <w:rsid w:val="00B17258"/>
    <w:rsid w:val="00B31E9D"/>
    <w:rsid w:val="00B34073"/>
    <w:rsid w:val="00B359C6"/>
    <w:rsid w:val="00B42E0B"/>
    <w:rsid w:val="00B70AA3"/>
    <w:rsid w:val="00BA5E5B"/>
    <w:rsid w:val="00BC1B96"/>
    <w:rsid w:val="00BE13B8"/>
    <w:rsid w:val="00BF0EAA"/>
    <w:rsid w:val="00C02E1C"/>
    <w:rsid w:val="00C302B8"/>
    <w:rsid w:val="00C428DE"/>
    <w:rsid w:val="00C921DE"/>
    <w:rsid w:val="00C92649"/>
    <w:rsid w:val="00CC3DCF"/>
    <w:rsid w:val="00CC7E55"/>
    <w:rsid w:val="00CD50A1"/>
    <w:rsid w:val="00CE7886"/>
    <w:rsid w:val="00CF1545"/>
    <w:rsid w:val="00CF4DCA"/>
    <w:rsid w:val="00D01F50"/>
    <w:rsid w:val="00D20198"/>
    <w:rsid w:val="00D226CB"/>
    <w:rsid w:val="00D3376F"/>
    <w:rsid w:val="00D56E34"/>
    <w:rsid w:val="00D74036"/>
    <w:rsid w:val="00D917E5"/>
    <w:rsid w:val="00D9763F"/>
    <w:rsid w:val="00DA6A5E"/>
    <w:rsid w:val="00DA748C"/>
    <w:rsid w:val="00DA7B20"/>
    <w:rsid w:val="00DC6F43"/>
    <w:rsid w:val="00DD3701"/>
    <w:rsid w:val="00DD53F0"/>
    <w:rsid w:val="00DD7C80"/>
    <w:rsid w:val="00DE4681"/>
    <w:rsid w:val="00E05C68"/>
    <w:rsid w:val="00E10BCC"/>
    <w:rsid w:val="00E31F2B"/>
    <w:rsid w:val="00E52C91"/>
    <w:rsid w:val="00E63BC1"/>
    <w:rsid w:val="00E81BD5"/>
    <w:rsid w:val="00E82FC8"/>
    <w:rsid w:val="00E90128"/>
    <w:rsid w:val="00E9233C"/>
    <w:rsid w:val="00E95F1A"/>
    <w:rsid w:val="00EA1719"/>
    <w:rsid w:val="00EA33BE"/>
    <w:rsid w:val="00EA7017"/>
    <w:rsid w:val="00EB0921"/>
    <w:rsid w:val="00EB1011"/>
    <w:rsid w:val="00ED3A0C"/>
    <w:rsid w:val="00EF1327"/>
    <w:rsid w:val="00F02B7B"/>
    <w:rsid w:val="00F37401"/>
    <w:rsid w:val="00F46F52"/>
    <w:rsid w:val="00F55657"/>
    <w:rsid w:val="00F56218"/>
    <w:rsid w:val="00FA7ABF"/>
    <w:rsid w:val="00FE198D"/>
    <w:rsid w:val="01402777"/>
    <w:rsid w:val="016E378F"/>
    <w:rsid w:val="01755094"/>
    <w:rsid w:val="01CD68CC"/>
    <w:rsid w:val="01DC313D"/>
    <w:rsid w:val="01E66F11"/>
    <w:rsid w:val="020A121E"/>
    <w:rsid w:val="022342B4"/>
    <w:rsid w:val="022A54E5"/>
    <w:rsid w:val="026D703B"/>
    <w:rsid w:val="02747869"/>
    <w:rsid w:val="02BD351F"/>
    <w:rsid w:val="02CA4505"/>
    <w:rsid w:val="02E73797"/>
    <w:rsid w:val="02E82452"/>
    <w:rsid w:val="03261790"/>
    <w:rsid w:val="032959CE"/>
    <w:rsid w:val="03393B40"/>
    <w:rsid w:val="033B119E"/>
    <w:rsid w:val="035E4153"/>
    <w:rsid w:val="03681232"/>
    <w:rsid w:val="03877D37"/>
    <w:rsid w:val="039F1AAE"/>
    <w:rsid w:val="03DB450C"/>
    <w:rsid w:val="03ED51C1"/>
    <w:rsid w:val="03F23D13"/>
    <w:rsid w:val="04186EAF"/>
    <w:rsid w:val="043C6A0D"/>
    <w:rsid w:val="04450842"/>
    <w:rsid w:val="04691DAB"/>
    <w:rsid w:val="046F31AC"/>
    <w:rsid w:val="04876EE4"/>
    <w:rsid w:val="04980BDE"/>
    <w:rsid w:val="04C5523B"/>
    <w:rsid w:val="04E617E6"/>
    <w:rsid w:val="04EE569D"/>
    <w:rsid w:val="04FA0C4A"/>
    <w:rsid w:val="051D1D96"/>
    <w:rsid w:val="0526320C"/>
    <w:rsid w:val="0529633F"/>
    <w:rsid w:val="053C05AD"/>
    <w:rsid w:val="0592532D"/>
    <w:rsid w:val="059B1E55"/>
    <w:rsid w:val="05A7091B"/>
    <w:rsid w:val="05AF1F07"/>
    <w:rsid w:val="05B112F7"/>
    <w:rsid w:val="05DD7066"/>
    <w:rsid w:val="05FF31A1"/>
    <w:rsid w:val="06015197"/>
    <w:rsid w:val="06171652"/>
    <w:rsid w:val="062F13BC"/>
    <w:rsid w:val="063F450A"/>
    <w:rsid w:val="065048CA"/>
    <w:rsid w:val="065870A2"/>
    <w:rsid w:val="06642FD7"/>
    <w:rsid w:val="06686272"/>
    <w:rsid w:val="06A045BC"/>
    <w:rsid w:val="06A21747"/>
    <w:rsid w:val="06B41AB5"/>
    <w:rsid w:val="06C14297"/>
    <w:rsid w:val="06CB485D"/>
    <w:rsid w:val="06CB48D6"/>
    <w:rsid w:val="06DB3FED"/>
    <w:rsid w:val="06E5726B"/>
    <w:rsid w:val="06EE14D8"/>
    <w:rsid w:val="06FB5EBD"/>
    <w:rsid w:val="074F6D88"/>
    <w:rsid w:val="075E729C"/>
    <w:rsid w:val="075F6F02"/>
    <w:rsid w:val="07D4129C"/>
    <w:rsid w:val="07DC28BA"/>
    <w:rsid w:val="07F40814"/>
    <w:rsid w:val="07F6544A"/>
    <w:rsid w:val="080C136C"/>
    <w:rsid w:val="08175E72"/>
    <w:rsid w:val="08314CF2"/>
    <w:rsid w:val="0836528E"/>
    <w:rsid w:val="08384009"/>
    <w:rsid w:val="08530A12"/>
    <w:rsid w:val="087679FA"/>
    <w:rsid w:val="087F2F44"/>
    <w:rsid w:val="08992FB7"/>
    <w:rsid w:val="08B52FCC"/>
    <w:rsid w:val="08BB026F"/>
    <w:rsid w:val="08D71FB4"/>
    <w:rsid w:val="08F024B8"/>
    <w:rsid w:val="08F66C0C"/>
    <w:rsid w:val="091C2A82"/>
    <w:rsid w:val="09410B51"/>
    <w:rsid w:val="09A243A6"/>
    <w:rsid w:val="09B80005"/>
    <w:rsid w:val="09E6587F"/>
    <w:rsid w:val="0A1A4389"/>
    <w:rsid w:val="0A6C4152"/>
    <w:rsid w:val="0A940328"/>
    <w:rsid w:val="0AAA50DA"/>
    <w:rsid w:val="0AAD7F2A"/>
    <w:rsid w:val="0AB82F7A"/>
    <w:rsid w:val="0AC06A5C"/>
    <w:rsid w:val="0AE22403"/>
    <w:rsid w:val="0AF1717D"/>
    <w:rsid w:val="0B002B65"/>
    <w:rsid w:val="0B1B34DF"/>
    <w:rsid w:val="0B6860F7"/>
    <w:rsid w:val="0BD17629"/>
    <w:rsid w:val="0BE57A3E"/>
    <w:rsid w:val="0C237344"/>
    <w:rsid w:val="0C6C637D"/>
    <w:rsid w:val="0C8E414C"/>
    <w:rsid w:val="0C960181"/>
    <w:rsid w:val="0CC9182A"/>
    <w:rsid w:val="0CE95D70"/>
    <w:rsid w:val="0CEC0B19"/>
    <w:rsid w:val="0CEF2CC9"/>
    <w:rsid w:val="0D1964AA"/>
    <w:rsid w:val="0D600B0D"/>
    <w:rsid w:val="0DD67CAB"/>
    <w:rsid w:val="0DDA66AC"/>
    <w:rsid w:val="0E206B9D"/>
    <w:rsid w:val="0E2126C5"/>
    <w:rsid w:val="0E2C1667"/>
    <w:rsid w:val="0E8C7792"/>
    <w:rsid w:val="0EAE1DAB"/>
    <w:rsid w:val="0EC1512D"/>
    <w:rsid w:val="0EC3784D"/>
    <w:rsid w:val="0F1064D6"/>
    <w:rsid w:val="0F23428E"/>
    <w:rsid w:val="0F256BD8"/>
    <w:rsid w:val="0F2D0704"/>
    <w:rsid w:val="0F315654"/>
    <w:rsid w:val="0F6F0B70"/>
    <w:rsid w:val="0F7325E7"/>
    <w:rsid w:val="0FA1172E"/>
    <w:rsid w:val="0FBA220B"/>
    <w:rsid w:val="0FD47E2A"/>
    <w:rsid w:val="0FEA4715"/>
    <w:rsid w:val="0FF7237E"/>
    <w:rsid w:val="10083FFF"/>
    <w:rsid w:val="100B0531"/>
    <w:rsid w:val="101E6DED"/>
    <w:rsid w:val="102320A3"/>
    <w:rsid w:val="103B036F"/>
    <w:rsid w:val="105708D1"/>
    <w:rsid w:val="107E00AB"/>
    <w:rsid w:val="10961A19"/>
    <w:rsid w:val="10CD25DF"/>
    <w:rsid w:val="10EA068B"/>
    <w:rsid w:val="10EC2961"/>
    <w:rsid w:val="10FD7534"/>
    <w:rsid w:val="11195906"/>
    <w:rsid w:val="112302D9"/>
    <w:rsid w:val="1128436C"/>
    <w:rsid w:val="1147400D"/>
    <w:rsid w:val="115949AE"/>
    <w:rsid w:val="11740875"/>
    <w:rsid w:val="11843E8F"/>
    <w:rsid w:val="11931055"/>
    <w:rsid w:val="11A408AF"/>
    <w:rsid w:val="11CC56D5"/>
    <w:rsid w:val="11E958DC"/>
    <w:rsid w:val="120257D4"/>
    <w:rsid w:val="12047091"/>
    <w:rsid w:val="120535B7"/>
    <w:rsid w:val="12246D0B"/>
    <w:rsid w:val="122C2136"/>
    <w:rsid w:val="123266DF"/>
    <w:rsid w:val="124979E0"/>
    <w:rsid w:val="124E6A52"/>
    <w:rsid w:val="12530EE9"/>
    <w:rsid w:val="125C16DA"/>
    <w:rsid w:val="12690C7B"/>
    <w:rsid w:val="12B34EC0"/>
    <w:rsid w:val="12C03F10"/>
    <w:rsid w:val="12D9797F"/>
    <w:rsid w:val="130848A6"/>
    <w:rsid w:val="1314205E"/>
    <w:rsid w:val="132F303B"/>
    <w:rsid w:val="134C0E6F"/>
    <w:rsid w:val="13595041"/>
    <w:rsid w:val="13603C8D"/>
    <w:rsid w:val="136773B9"/>
    <w:rsid w:val="137C6EA4"/>
    <w:rsid w:val="13846C54"/>
    <w:rsid w:val="13941C94"/>
    <w:rsid w:val="13E62294"/>
    <w:rsid w:val="13F4024D"/>
    <w:rsid w:val="13FE6C3D"/>
    <w:rsid w:val="141768E6"/>
    <w:rsid w:val="14331236"/>
    <w:rsid w:val="143F6275"/>
    <w:rsid w:val="14433F6E"/>
    <w:rsid w:val="14791344"/>
    <w:rsid w:val="147A6CDD"/>
    <w:rsid w:val="147D5C1E"/>
    <w:rsid w:val="14942EC3"/>
    <w:rsid w:val="14957569"/>
    <w:rsid w:val="149F083D"/>
    <w:rsid w:val="150C429A"/>
    <w:rsid w:val="15184DB6"/>
    <w:rsid w:val="155E6E24"/>
    <w:rsid w:val="15925C4B"/>
    <w:rsid w:val="1598544C"/>
    <w:rsid w:val="15D82112"/>
    <w:rsid w:val="15DB702A"/>
    <w:rsid w:val="15DD0857"/>
    <w:rsid w:val="15E7547E"/>
    <w:rsid w:val="15F42D9E"/>
    <w:rsid w:val="15F87401"/>
    <w:rsid w:val="15FF19A4"/>
    <w:rsid w:val="16061B0B"/>
    <w:rsid w:val="16221D9A"/>
    <w:rsid w:val="164E7021"/>
    <w:rsid w:val="1692009F"/>
    <w:rsid w:val="16950BF0"/>
    <w:rsid w:val="16BC4B09"/>
    <w:rsid w:val="16F37AF6"/>
    <w:rsid w:val="16F628D0"/>
    <w:rsid w:val="17127845"/>
    <w:rsid w:val="1739592E"/>
    <w:rsid w:val="173F7A3D"/>
    <w:rsid w:val="1776627E"/>
    <w:rsid w:val="17794995"/>
    <w:rsid w:val="17FB6725"/>
    <w:rsid w:val="17FE087A"/>
    <w:rsid w:val="18701479"/>
    <w:rsid w:val="187B119B"/>
    <w:rsid w:val="187C2911"/>
    <w:rsid w:val="187D363C"/>
    <w:rsid w:val="18901F2E"/>
    <w:rsid w:val="18EC58DA"/>
    <w:rsid w:val="19056408"/>
    <w:rsid w:val="19152D18"/>
    <w:rsid w:val="1921016D"/>
    <w:rsid w:val="19225D26"/>
    <w:rsid w:val="192C53DD"/>
    <w:rsid w:val="19523729"/>
    <w:rsid w:val="195A6063"/>
    <w:rsid w:val="195B5C5E"/>
    <w:rsid w:val="196058D9"/>
    <w:rsid w:val="19DB474F"/>
    <w:rsid w:val="19E47CE8"/>
    <w:rsid w:val="19E76E41"/>
    <w:rsid w:val="1A025CD8"/>
    <w:rsid w:val="1A1C660E"/>
    <w:rsid w:val="1A335443"/>
    <w:rsid w:val="1A3E5048"/>
    <w:rsid w:val="1A3E5CFE"/>
    <w:rsid w:val="1A521A1E"/>
    <w:rsid w:val="1A6661E3"/>
    <w:rsid w:val="1A6A43F3"/>
    <w:rsid w:val="1A9470AD"/>
    <w:rsid w:val="1AA25B1A"/>
    <w:rsid w:val="1AD93481"/>
    <w:rsid w:val="1AF91407"/>
    <w:rsid w:val="1B7E17DD"/>
    <w:rsid w:val="1B9A35A2"/>
    <w:rsid w:val="1BA033F1"/>
    <w:rsid w:val="1BA51A70"/>
    <w:rsid w:val="1BA9030B"/>
    <w:rsid w:val="1BCC1DC6"/>
    <w:rsid w:val="1BFA41E5"/>
    <w:rsid w:val="1C0A4C23"/>
    <w:rsid w:val="1C23217A"/>
    <w:rsid w:val="1C266A19"/>
    <w:rsid w:val="1C4005DD"/>
    <w:rsid w:val="1C536B8E"/>
    <w:rsid w:val="1C590115"/>
    <w:rsid w:val="1C7C60DB"/>
    <w:rsid w:val="1C7D1F0A"/>
    <w:rsid w:val="1C9E5BB6"/>
    <w:rsid w:val="1CE47F2D"/>
    <w:rsid w:val="1D07742A"/>
    <w:rsid w:val="1D2F2D8D"/>
    <w:rsid w:val="1D720F04"/>
    <w:rsid w:val="1DAB57EE"/>
    <w:rsid w:val="1DBA287A"/>
    <w:rsid w:val="1DC119F3"/>
    <w:rsid w:val="1DEC0BE9"/>
    <w:rsid w:val="1E1E7E39"/>
    <w:rsid w:val="1E4A2AA2"/>
    <w:rsid w:val="1E583771"/>
    <w:rsid w:val="1E5939EA"/>
    <w:rsid w:val="1E5A118C"/>
    <w:rsid w:val="1EA571AB"/>
    <w:rsid w:val="1EB25111"/>
    <w:rsid w:val="1EBE525B"/>
    <w:rsid w:val="1EC539EB"/>
    <w:rsid w:val="1EC96032"/>
    <w:rsid w:val="1ECF50A0"/>
    <w:rsid w:val="1EFC1BDC"/>
    <w:rsid w:val="1F1E6CAF"/>
    <w:rsid w:val="1F22748A"/>
    <w:rsid w:val="1F3A7A2A"/>
    <w:rsid w:val="1F3D6368"/>
    <w:rsid w:val="1F461DE9"/>
    <w:rsid w:val="1F4C7AB4"/>
    <w:rsid w:val="1F70112B"/>
    <w:rsid w:val="1F786A39"/>
    <w:rsid w:val="1F8A20BE"/>
    <w:rsid w:val="1F8F16CC"/>
    <w:rsid w:val="1FCF32AD"/>
    <w:rsid w:val="1FDC0780"/>
    <w:rsid w:val="1FDE489C"/>
    <w:rsid w:val="1FFF0E22"/>
    <w:rsid w:val="20016D9B"/>
    <w:rsid w:val="201831BA"/>
    <w:rsid w:val="20445002"/>
    <w:rsid w:val="204A0686"/>
    <w:rsid w:val="205C4416"/>
    <w:rsid w:val="20693CF0"/>
    <w:rsid w:val="2070133F"/>
    <w:rsid w:val="208255FF"/>
    <w:rsid w:val="209B7575"/>
    <w:rsid w:val="20B37307"/>
    <w:rsid w:val="20DE423E"/>
    <w:rsid w:val="20E95066"/>
    <w:rsid w:val="21020307"/>
    <w:rsid w:val="210B657F"/>
    <w:rsid w:val="21204A41"/>
    <w:rsid w:val="21563364"/>
    <w:rsid w:val="21761D1F"/>
    <w:rsid w:val="21B259C3"/>
    <w:rsid w:val="21C47CEC"/>
    <w:rsid w:val="21EC041B"/>
    <w:rsid w:val="21EE4805"/>
    <w:rsid w:val="21F32F41"/>
    <w:rsid w:val="2234522E"/>
    <w:rsid w:val="223C2692"/>
    <w:rsid w:val="224A6D31"/>
    <w:rsid w:val="22587DAF"/>
    <w:rsid w:val="226D073F"/>
    <w:rsid w:val="22BA5647"/>
    <w:rsid w:val="22D661BF"/>
    <w:rsid w:val="22FD19A4"/>
    <w:rsid w:val="230947A7"/>
    <w:rsid w:val="23344755"/>
    <w:rsid w:val="2335671F"/>
    <w:rsid w:val="23753592"/>
    <w:rsid w:val="237B406F"/>
    <w:rsid w:val="23A40A00"/>
    <w:rsid w:val="23D729D3"/>
    <w:rsid w:val="23E05C3E"/>
    <w:rsid w:val="24172F35"/>
    <w:rsid w:val="241F69F3"/>
    <w:rsid w:val="242F591E"/>
    <w:rsid w:val="245C1B42"/>
    <w:rsid w:val="246111C3"/>
    <w:rsid w:val="24806955"/>
    <w:rsid w:val="24A65265"/>
    <w:rsid w:val="24DE4182"/>
    <w:rsid w:val="24E76539"/>
    <w:rsid w:val="24F35F27"/>
    <w:rsid w:val="250E568F"/>
    <w:rsid w:val="2515777C"/>
    <w:rsid w:val="252130F0"/>
    <w:rsid w:val="254101C0"/>
    <w:rsid w:val="25654AEB"/>
    <w:rsid w:val="25723257"/>
    <w:rsid w:val="257D4C7B"/>
    <w:rsid w:val="25864514"/>
    <w:rsid w:val="25917E86"/>
    <w:rsid w:val="259F507E"/>
    <w:rsid w:val="25A30CE4"/>
    <w:rsid w:val="25B0650E"/>
    <w:rsid w:val="25B9627E"/>
    <w:rsid w:val="25BD7F1D"/>
    <w:rsid w:val="25C70C02"/>
    <w:rsid w:val="25CF6CD8"/>
    <w:rsid w:val="25D05EFC"/>
    <w:rsid w:val="25EB22BD"/>
    <w:rsid w:val="25EC2FDE"/>
    <w:rsid w:val="25ED3E8F"/>
    <w:rsid w:val="26274D6E"/>
    <w:rsid w:val="26386D90"/>
    <w:rsid w:val="26875B69"/>
    <w:rsid w:val="269346A7"/>
    <w:rsid w:val="26935A70"/>
    <w:rsid w:val="26B02227"/>
    <w:rsid w:val="26BD593D"/>
    <w:rsid w:val="273F66F7"/>
    <w:rsid w:val="27401799"/>
    <w:rsid w:val="275B6A3F"/>
    <w:rsid w:val="2773109E"/>
    <w:rsid w:val="27BB49AC"/>
    <w:rsid w:val="27D24A05"/>
    <w:rsid w:val="27E40F64"/>
    <w:rsid w:val="283A3E56"/>
    <w:rsid w:val="28666746"/>
    <w:rsid w:val="28861F48"/>
    <w:rsid w:val="288A1AC2"/>
    <w:rsid w:val="288B60FA"/>
    <w:rsid w:val="28986098"/>
    <w:rsid w:val="28B264EE"/>
    <w:rsid w:val="28C21428"/>
    <w:rsid w:val="28E822B0"/>
    <w:rsid w:val="28F84529"/>
    <w:rsid w:val="29221DD0"/>
    <w:rsid w:val="292655B1"/>
    <w:rsid w:val="29767E41"/>
    <w:rsid w:val="2979429B"/>
    <w:rsid w:val="299432D4"/>
    <w:rsid w:val="29B55251"/>
    <w:rsid w:val="29BF54F1"/>
    <w:rsid w:val="29D90550"/>
    <w:rsid w:val="29F73B97"/>
    <w:rsid w:val="2A0642C9"/>
    <w:rsid w:val="2A26308C"/>
    <w:rsid w:val="2A412A8B"/>
    <w:rsid w:val="2A5A644C"/>
    <w:rsid w:val="2A6D09BA"/>
    <w:rsid w:val="2A9436DF"/>
    <w:rsid w:val="2AA62DDF"/>
    <w:rsid w:val="2ABD36EB"/>
    <w:rsid w:val="2AC96DB6"/>
    <w:rsid w:val="2AEE3925"/>
    <w:rsid w:val="2AF41DB4"/>
    <w:rsid w:val="2B277F6C"/>
    <w:rsid w:val="2B356AF0"/>
    <w:rsid w:val="2B486036"/>
    <w:rsid w:val="2B626E74"/>
    <w:rsid w:val="2B8D1406"/>
    <w:rsid w:val="2B990335"/>
    <w:rsid w:val="2B995D44"/>
    <w:rsid w:val="2BA02C88"/>
    <w:rsid w:val="2BA3710A"/>
    <w:rsid w:val="2BA551FE"/>
    <w:rsid w:val="2BAA3C28"/>
    <w:rsid w:val="2BCE7C85"/>
    <w:rsid w:val="2BE74683"/>
    <w:rsid w:val="2BF44DD2"/>
    <w:rsid w:val="2C312CA3"/>
    <w:rsid w:val="2C3E33FF"/>
    <w:rsid w:val="2C3F1ED8"/>
    <w:rsid w:val="2C491D58"/>
    <w:rsid w:val="2C4B19AB"/>
    <w:rsid w:val="2CA41538"/>
    <w:rsid w:val="2CCA5FC8"/>
    <w:rsid w:val="2CD30C2A"/>
    <w:rsid w:val="2D6A0CA5"/>
    <w:rsid w:val="2D6F4E43"/>
    <w:rsid w:val="2D8145D7"/>
    <w:rsid w:val="2D9A0A08"/>
    <w:rsid w:val="2DB60DE0"/>
    <w:rsid w:val="2DCC2028"/>
    <w:rsid w:val="2E6B30BB"/>
    <w:rsid w:val="2E7C3C8C"/>
    <w:rsid w:val="2E983AD9"/>
    <w:rsid w:val="2EA31DC2"/>
    <w:rsid w:val="2EA47EBB"/>
    <w:rsid w:val="2EB931F9"/>
    <w:rsid w:val="2EE11434"/>
    <w:rsid w:val="2F051BEB"/>
    <w:rsid w:val="2F05739C"/>
    <w:rsid w:val="2F0E6367"/>
    <w:rsid w:val="2F0F5741"/>
    <w:rsid w:val="2F28108C"/>
    <w:rsid w:val="2F346B46"/>
    <w:rsid w:val="2F3B6943"/>
    <w:rsid w:val="2F576007"/>
    <w:rsid w:val="2F6C4AB8"/>
    <w:rsid w:val="2F8873AB"/>
    <w:rsid w:val="2F8B1161"/>
    <w:rsid w:val="2F9D5071"/>
    <w:rsid w:val="2FBE0ADC"/>
    <w:rsid w:val="2FC82D25"/>
    <w:rsid w:val="2FD20E20"/>
    <w:rsid w:val="2FF202AE"/>
    <w:rsid w:val="300352B9"/>
    <w:rsid w:val="30576A3C"/>
    <w:rsid w:val="3065016D"/>
    <w:rsid w:val="309F0B47"/>
    <w:rsid w:val="30B0274E"/>
    <w:rsid w:val="30B16838"/>
    <w:rsid w:val="30C33D96"/>
    <w:rsid w:val="30E42053"/>
    <w:rsid w:val="30E95987"/>
    <w:rsid w:val="30FC46A7"/>
    <w:rsid w:val="311F58CE"/>
    <w:rsid w:val="314B29C9"/>
    <w:rsid w:val="315B6C00"/>
    <w:rsid w:val="316E29DA"/>
    <w:rsid w:val="31730A8E"/>
    <w:rsid w:val="317C05F3"/>
    <w:rsid w:val="317E7146"/>
    <w:rsid w:val="318E52D2"/>
    <w:rsid w:val="31931724"/>
    <w:rsid w:val="319841B2"/>
    <w:rsid w:val="319D2202"/>
    <w:rsid w:val="31A21CDD"/>
    <w:rsid w:val="31D943BB"/>
    <w:rsid w:val="31E1512B"/>
    <w:rsid w:val="31F318CB"/>
    <w:rsid w:val="31FB3766"/>
    <w:rsid w:val="320311C0"/>
    <w:rsid w:val="32086C4D"/>
    <w:rsid w:val="322C53CB"/>
    <w:rsid w:val="324376F8"/>
    <w:rsid w:val="32587D5F"/>
    <w:rsid w:val="327056A9"/>
    <w:rsid w:val="328167A8"/>
    <w:rsid w:val="32AC1EC2"/>
    <w:rsid w:val="32DD5D05"/>
    <w:rsid w:val="33087175"/>
    <w:rsid w:val="331E1225"/>
    <w:rsid w:val="333762E1"/>
    <w:rsid w:val="333D1281"/>
    <w:rsid w:val="333F012A"/>
    <w:rsid w:val="336A0681"/>
    <w:rsid w:val="337409B8"/>
    <w:rsid w:val="33742609"/>
    <w:rsid w:val="337535E5"/>
    <w:rsid w:val="33804100"/>
    <w:rsid w:val="33823ECB"/>
    <w:rsid w:val="33971535"/>
    <w:rsid w:val="33A50DFB"/>
    <w:rsid w:val="33BE6D78"/>
    <w:rsid w:val="33CF41C1"/>
    <w:rsid w:val="33D16EC8"/>
    <w:rsid w:val="33E92168"/>
    <w:rsid w:val="34287E6D"/>
    <w:rsid w:val="34367327"/>
    <w:rsid w:val="34597FD3"/>
    <w:rsid w:val="345F12B2"/>
    <w:rsid w:val="34804843"/>
    <w:rsid w:val="348C1E71"/>
    <w:rsid w:val="34A075A0"/>
    <w:rsid w:val="34AC2C97"/>
    <w:rsid w:val="34B55BB7"/>
    <w:rsid w:val="34E63BAA"/>
    <w:rsid w:val="34E82DC5"/>
    <w:rsid w:val="35016B46"/>
    <w:rsid w:val="351014B6"/>
    <w:rsid w:val="35142FBF"/>
    <w:rsid w:val="35172B04"/>
    <w:rsid w:val="35512330"/>
    <w:rsid w:val="355377A7"/>
    <w:rsid w:val="356034FB"/>
    <w:rsid w:val="356C55D3"/>
    <w:rsid w:val="3578720D"/>
    <w:rsid w:val="359D5710"/>
    <w:rsid w:val="35BF4641"/>
    <w:rsid w:val="35D57F52"/>
    <w:rsid w:val="36024F0F"/>
    <w:rsid w:val="36120DE8"/>
    <w:rsid w:val="361F482E"/>
    <w:rsid w:val="36605BA9"/>
    <w:rsid w:val="366A1A09"/>
    <w:rsid w:val="36786228"/>
    <w:rsid w:val="36812644"/>
    <w:rsid w:val="36893F4B"/>
    <w:rsid w:val="368F0CB2"/>
    <w:rsid w:val="36CF4F9F"/>
    <w:rsid w:val="36D34F4F"/>
    <w:rsid w:val="36F422E8"/>
    <w:rsid w:val="3709606C"/>
    <w:rsid w:val="3711093C"/>
    <w:rsid w:val="37133692"/>
    <w:rsid w:val="372679F2"/>
    <w:rsid w:val="37606AAD"/>
    <w:rsid w:val="37841E99"/>
    <w:rsid w:val="37C92303"/>
    <w:rsid w:val="37F81014"/>
    <w:rsid w:val="38026AB9"/>
    <w:rsid w:val="381145DD"/>
    <w:rsid w:val="387351C3"/>
    <w:rsid w:val="388E1C20"/>
    <w:rsid w:val="38B31522"/>
    <w:rsid w:val="38C230AA"/>
    <w:rsid w:val="38CB1FCC"/>
    <w:rsid w:val="38DC0D2F"/>
    <w:rsid w:val="38DD5A5D"/>
    <w:rsid w:val="38DE5278"/>
    <w:rsid w:val="391C1A68"/>
    <w:rsid w:val="39584B62"/>
    <w:rsid w:val="39956294"/>
    <w:rsid w:val="39D22ECD"/>
    <w:rsid w:val="39F73DF2"/>
    <w:rsid w:val="3A2C63A1"/>
    <w:rsid w:val="3A462319"/>
    <w:rsid w:val="3A6E5507"/>
    <w:rsid w:val="3AB93385"/>
    <w:rsid w:val="3AC65B65"/>
    <w:rsid w:val="3B55243E"/>
    <w:rsid w:val="3B854D02"/>
    <w:rsid w:val="3BA03F84"/>
    <w:rsid w:val="3BAC1A10"/>
    <w:rsid w:val="3BAF1030"/>
    <w:rsid w:val="3BF30471"/>
    <w:rsid w:val="3C007648"/>
    <w:rsid w:val="3C4445B0"/>
    <w:rsid w:val="3C47673C"/>
    <w:rsid w:val="3C48594D"/>
    <w:rsid w:val="3C4C3AC0"/>
    <w:rsid w:val="3CA61681"/>
    <w:rsid w:val="3CAE1EF1"/>
    <w:rsid w:val="3CB8313A"/>
    <w:rsid w:val="3CBC33D6"/>
    <w:rsid w:val="3CC16E99"/>
    <w:rsid w:val="3CD82C71"/>
    <w:rsid w:val="3CF7310E"/>
    <w:rsid w:val="3D0B5356"/>
    <w:rsid w:val="3D1523DD"/>
    <w:rsid w:val="3D16201B"/>
    <w:rsid w:val="3D2E791A"/>
    <w:rsid w:val="3D3408CC"/>
    <w:rsid w:val="3D6B77D7"/>
    <w:rsid w:val="3D7218C5"/>
    <w:rsid w:val="3D804335"/>
    <w:rsid w:val="3D8A5BFF"/>
    <w:rsid w:val="3D9C4D40"/>
    <w:rsid w:val="3DAA1C05"/>
    <w:rsid w:val="3DB876BC"/>
    <w:rsid w:val="3DCC034A"/>
    <w:rsid w:val="3E2567BB"/>
    <w:rsid w:val="3E3F160C"/>
    <w:rsid w:val="3E453519"/>
    <w:rsid w:val="3E542D3E"/>
    <w:rsid w:val="3E5634B5"/>
    <w:rsid w:val="3E787AE7"/>
    <w:rsid w:val="3E7B0598"/>
    <w:rsid w:val="3EB25357"/>
    <w:rsid w:val="3ECE49B5"/>
    <w:rsid w:val="3ED075D9"/>
    <w:rsid w:val="3EE2536F"/>
    <w:rsid w:val="3F504121"/>
    <w:rsid w:val="3F696545"/>
    <w:rsid w:val="3F7D65A1"/>
    <w:rsid w:val="3F834F8B"/>
    <w:rsid w:val="3F872765"/>
    <w:rsid w:val="3F8946F5"/>
    <w:rsid w:val="3FA54668"/>
    <w:rsid w:val="3FA8739D"/>
    <w:rsid w:val="3FC223B9"/>
    <w:rsid w:val="3FC27B52"/>
    <w:rsid w:val="3FC5382D"/>
    <w:rsid w:val="3FD60DBA"/>
    <w:rsid w:val="3FDD18D4"/>
    <w:rsid w:val="3FF75640"/>
    <w:rsid w:val="3FF76023"/>
    <w:rsid w:val="401731B7"/>
    <w:rsid w:val="40243BDC"/>
    <w:rsid w:val="40270825"/>
    <w:rsid w:val="40367E6D"/>
    <w:rsid w:val="403B7BF8"/>
    <w:rsid w:val="404B141F"/>
    <w:rsid w:val="40594719"/>
    <w:rsid w:val="40B222C8"/>
    <w:rsid w:val="40CF284C"/>
    <w:rsid w:val="40EB47D2"/>
    <w:rsid w:val="40F300D0"/>
    <w:rsid w:val="411E6895"/>
    <w:rsid w:val="41202F53"/>
    <w:rsid w:val="41380663"/>
    <w:rsid w:val="415773D2"/>
    <w:rsid w:val="415D53D4"/>
    <w:rsid w:val="417B0CD2"/>
    <w:rsid w:val="417F2204"/>
    <w:rsid w:val="417F38C3"/>
    <w:rsid w:val="41812E2F"/>
    <w:rsid w:val="418D1DCA"/>
    <w:rsid w:val="419D640F"/>
    <w:rsid w:val="41C55826"/>
    <w:rsid w:val="420F5472"/>
    <w:rsid w:val="42827CBF"/>
    <w:rsid w:val="429E6281"/>
    <w:rsid w:val="42A02BA0"/>
    <w:rsid w:val="42B277B3"/>
    <w:rsid w:val="42D91D9A"/>
    <w:rsid w:val="42DC1D5E"/>
    <w:rsid w:val="42E220DA"/>
    <w:rsid w:val="42E65769"/>
    <w:rsid w:val="42FC19EA"/>
    <w:rsid w:val="435B5F3E"/>
    <w:rsid w:val="436A508E"/>
    <w:rsid w:val="4396162B"/>
    <w:rsid w:val="439651B8"/>
    <w:rsid w:val="43E03F43"/>
    <w:rsid w:val="440C20DB"/>
    <w:rsid w:val="440F1049"/>
    <w:rsid w:val="44136819"/>
    <w:rsid w:val="443921BA"/>
    <w:rsid w:val="443D7173"/>
    <w:rsid w:val="44414652"/>
    <w:rsid w:val="44457AAB"/>
    <w:rsid w:val="4447734E"/>
    <w:rsid w:val="44487E98"/>
    <w:rsid w:val="448F2126"/>
    <w:rsid w:val="44921177"/>
    <w:rsid w:val="44A32CB3"/>
    <w:rsid w:val="44AF4855"/>
    <w:rsid w:val="44AF62FE"/>
    <w:rsid w:val="44C937A6"/>
    <w:rsid w:val="44D53F78"/>
    <w:rsid w:val="44E55CD7"/>
    <w:rsid w:val="44EA2960"/>
    <w:rsid w:val="44FA1F50"/>
    <w:rsid w:val="450B5C3E"/>
    <w:rsid w:val="45315D7E"/>
    <w:rsid w:val="453A335D"/>
    <w:rsid w:val="453D51B9"/>
    <w:rsid w:val="454401C0"/>
    <w:rsid w:val="456E658E"/>
    <w:rsid w:val="45A5737A"/>
    <w:rsid w:val="45B646CA"/>
    <w:rsid w:val="45C03D00"/>
    <w:rsid w:val="45C26ADC"/>
    <w:rsid w:val="45CF4DE6"/>
    <w:rsid w:val="45E20609"/>
    <w:rsid w:val="45FC14D6"/>
    <w:rsid w:val="45FD6689"/>
    <w:rsid w:val="45FE01C3"/>
    <w:rsid w:val="462E2466"/>
    <w:rsid w:val="46644773"/>
    <w:rsid w:val="466D59C2"/>
    <w:rsid w:val="46751C6E"/>
    <w:rsid w:val="46795B32"/>
    <w:rsid w:val="4685178A"/>
    <w:rsid w:val="46DA3884"/>
    <w:rsid w:val="46EC56A3"/>
    <w:rsid w:val="46F024EF"/>
    <w:rsid w:val="473A0FD9"/>
    <w:rsid w:val="473B3F3A"/>
    <w:rsid w:val="473D370B"/>
    <w:rsid w:val="47497D40"/>
    <w:rsid w:val="475A5D12"/>
    <w:rsid w:val="476D6756"/>
    <w:rsid w:val="477D3D97"/>
    <w:rsid w:val="4791366F"/>
    <w:rsid w:val="47AA428B"/>
    <w:rsid w:val="47B36CA5"/>
    <w:rsid w:val="47FF7637"/>
    <w:rsid w:val="48011373"/>
    <w:rsid w:val="480B4513"/>
    <w:rsid w:val="480E5918"/>
    <w:rsid w:val="48233ECF"/>
    <w:rsid w:val="482D1E7F"/>
    <w:rsid w:val="489E2246"/>
    <w:rsid w:val="489F0E2F"/>
    <w:rsid w:val="48B12143"/>
    <w:rsid w:val="48BC60AB"/>
    <w:rsid w:val="48CE0A19"/>
    <w:rsid w:val="49006F16"/>
    <w:rsid w:val="490A252C"/>
    <w:rsid w:val="49227F24"/>
    <w:rsid w:val="49457381"/>
    <w:rsid w:val="495455EC"/>
    <w:rsid w:val="495951A1"/>
    <w:rsid w:val="498D0C44"/>
    <w:rsid w:val="49CE44E9"/>
    <w:rsid w:val="49DF0727"/>
    <w:rsid w:val="4A1E45D1"/>
    <w:rsid w:val="4A251517"/>
    <w:rsid w:val="4A411BE2"/>
    <w:rsid w:val="4A49730C"/>
    <w:rsid w:val="4A897A89"/>
    <w:rsid w:val="4A8A55C1"/>
    <w:rsid w:val="4AA44933"/>
    <w:rsid w:val="4AA6164E"/>
    <w:rsid w:val="4AB0598B"/>
    <w:rsid w:val="4AD44B26"/>
    <w:rsid w:val="4AEF28B5"/>
    <w:rsid w:val="4B07252D"/>
    <w:rsid w:val="4B2334DE"/>
    <w:rsid w:val="4B47144B"/>
    <w:rsid w:val="4B4854C4"/>
    <w:rsid w:val="4B5D3E7E"/>
    <w:rsid w:val="4BA26BD3"/>
    <w:rsid w:val="4C1038C2"/>
    <w:rsid w:val="4C515961"/>
    <w:rsid w:val="4C6F2AA2"/>
    <w:rsid w:val="4C755979"/>
    <w:rsid w:val="4CAF48D8"/>
    <w:rsid w:val="4CB35851"/>
    <w:rsid w:val="4CCC03D6"/>
    <w:rsid w:val="4CFC0E3F"/>
    <w:rsid w:val="4D16138E"/>
    <w:rsid w:val="4D5B0653"/>
    <w:rsid w:val="4D5E696A"/>
    <w:rsid w:val="4D722CD2"/>
    <w:rsid w:val="4DAE13E9"/>
    <w:rsid w:val="4DFD03F8"/>
    <w:rsid w:val="4E143C3D"/>
    <w:rsid w:val="4E1E2531"/>
    <w:rsid w:val="4E2C2762"/>
    <w:rsid w:val="4E440D95"/>
    <w:rsid w:val="4EEE4BFC"/>
    <w:rsid w:val="4F042655"/>
    <w:rsid w:val="4F4A3F8E"/>
    <w:rsid w:val="4F5A1645"/>
    <w:rsid w:val="4F715344"/>
    <w:rsid w:val="4F871910"/>
    <w:rsid w:val="4FB62ABE"/>
    <w:rsid w:val="4FB953F6"/>
    <w:rsid w:val="4FBF3CFD"/>
    <w:rsid w:val="4FEE414C"/>
    <w:rsid w:val="500B51C7"/>
    <w:rsid w:val="505270AC"/>
    <w:rsid w:val="506D5FB8"/>
    <w:rsid w:val="508F2768"/>
    <w:rsid w:val="50936C8E"/>
    <w:rsid w:val="509E278F"/>
    <w:rsid w:val="50AF346A"/>
    <w:rsid w:val="50D07A5B"/>
    <w:rsid w:val="50D11DEB"/>
    <w:rsid w:val="50E46156"/>
    <w:rsid w:val="511156CA"/>
    <w:rsid w:val="5114073F"/>
    <w:rsid w:val="51527B2B"/>
    <w:rsid w:val="51B03FC9"/>
    <w:rsid w:val="51BF231B"/>
    <w:rsid w:val="51CF2014"/>
    <w:rsid w:val="51CF587A"/>
    <w:rsid w:val="51EA0C86"/>
    <w:rsid w:val="51F57F42"/>
    <w:rsid w:val="51F85506"/>
    <w:rsid w:val="520E773C"/>
    <w:rsid w:val="52127CA5"/>
    <w:rsid w:val="52137B8A"/>
    <w:rsid w:val="522F19B7"/>
    <w:rsid w:val="525070F0"/>
    <w:rsid w:val="526001A5"/>
    <w:rsid w:val="52800429"/>
    <w:rsid w:val="5297396F"/>
    <w:rsid w:val="52BD10BE"/>
    <w:rsid w:val="52C61212"/>
    <w:rsid w:val="52F1442F"/>
    <w:rsid w:val="52F40EA7"/>
    <w:rsid w:val="53363DCA"/>
    <w:rsid w:val="53417E14"/>
    <w:rsid w:val="5356153C"/>
    <w:rsid w:val="536D17FF"/>
    <w:rsid w:val="53776FD5"/>
    <w:rsid w:val="53842566"/>
    <w:rsid w:val="5387756B"/>
    <w:rsid w:val="539344BA"/>
    <w:rsid w:val="53A81BE3"/>
    <w:rsid w:val="53C8726A"/>
    <w:rsid w:val="53E727D9"/>
    <w:rsid w:val="5403781F"/>
    <w:rsid w:val="541403C5"/>
    <w:rsid w:val="541632C1"/>
    <w:rsid w:val="54297FC3"/>
    <w:rsid w:val="544903CE"/>
    <w:rsid w:val="54633AAA"/>
    <w:rsid w:val="54805FF2"/>
    <w:rsid w:val="54AB6E99"/>
    <w:rsid w:val="54C60F90"/>
    <w:rsid w:val="54D22D30"/>
    <w:rsid w:val="54D975C9"/>
    <w:rsid w:val="54DC573F"/>
    <w:rsid w:val="553A13EF"/>
    <w:rsid w:val="55405371"/>
    <w:rsid w:val="5544593E"/>
    <w:rsid w:val="55466950"/>
    <w:rsid w:val="556B37AF"/>
    <w:rsid w:val="55715931"/>
    <w:rsid w:val="55892A82"/>
    <w:rsid w:val="559210B1"/>
    <w:rsid w:val="559649BC"/>
    <w:rsid w:val="56122341"/>
    <w:rsid w:val="565D0C4B"/>
    <w:rsid w:val="567524BF"/>
    <w:rsid w:val="56797033"/>
    <w:rsid w:val="567E51BB"/>
    <w:rsid w:val="5680048C"/>
    <w:rsid w:val="56823F44"/>
    <w:rsid w:val="56830159"/>
    <w:rsid w:val="56876083"/>
    <w:rsid w:val="56D55F4E"/>
    <w:rsid w:val="57023BFF"/>
    <w:rsid w:val="570B289A"/>
    <w:rsid w:val="57132F86"/>
    <w:rsid w:val="571847CE"/>
    <w:rsid w:val="57220B52"/>
    <w:rsid w:val="572E14F3"/>
    <w:rsid w:val="573D34EE"/>
    <w:rsid w:val="5747256E"/>
    <w:rsid w:val="574C7B03"/>
    <w:rsid w:val="5756635B"/>
    <w:rsid w:val="57572522"/>
    <w:rsid w:val="57640C68"/>
    <w:rsid w:val="577425B2"/>
    <w:rsid w:val="57881488"/>
    <w:rsid w:val="579F17D8"/>
    <w:rsid w:val="57D6621F"/>
    <w:rsid w:val="57E50100"/>
    <w:rsid w:val="57EC0BCC"/>
    <w:rsid w:val="57EC5050"/>
    <w:rsid w:val="57F1311B"/>
    <w:rsid w:val="57FD5624"/>
    <w:rsid w:val="58007D9B"/>
    <w:rsid w:val="58075440"/>
    <w:rsid w:val="581026E8"/>
    <w:rsid w:val="58145116"/>
    <w:rsid w:val="581B0D4D"/>
    <w:rsid w:val="5837057A"/>
    <w:rsid w:val="583C6053"/>
    <w:rsid w:val="58442D63"/>
    <w:rsid w:val="585E2913"/>
    <w:rsid w:val="587E0B4D"/>
    <w:rsid w:val="58A1629E"/>
    <w:rsid w:val="58A70B00"/>
    <w:rsid w:val="58BC324D"/>
    <w:rsid w:val="58BF5FE7"/>
    <w:rsid w:val="58C5172B"/>
    <w:rsid w:val="58E10CB3"/>
    <w:rsid w:val="58E47B44"/>
    <w:rsid w:val="59093A16"/>
    <w:rsid w:val="591710D4"/>
    <w:rsid w:val="591A4951"/>
    <w:rsid w:val="595F38CF"/>
    <w:rsid w:val="59907070"/>
    <w:rsid w:val="59B91F76"/>
    <w:rsid w:val="59D06D28"/>
    <w:rsid w:val="59DE4DD4"/>
    <w:rsid w:val="5A21032E"/>
    <w:rsid w:val="5A3D01BA"/>
    <w:rsid w:val="5A637887"/>
    <w:rsid w:val="5A724625"/>
    <w:rsid w:val="5A7D0FA5"/>
    <w:rsid w:val="5A8316F4"/>
    <w:rsid w:val="5A855F4E"/>
    <w:rsid w:val="5AAA5FC2"/>
    <w:rsid w:val="5AB3081F"/>
    <w:rsid w:val="5AB40734"/>
    <w:rsid w:val="5AEA6672"/>
    <w:rsid w:val="5AEB65D3"/>
    <w:rsid w:val="5AEC5F99"/>
    <w:rsid w:val="5B171EDB"/>
    <w:rsid w:val="5B3C5FAD"/>
    <w:rsid w:val="5B5333AD"/>
    <w:rsid w:val="5B5642C2"/>
    <w:rsid w:val="5B646745"/>
    <w:rsid w:val="5BA5647A"/>
    <w:rsid w:val="5BB608F6"/>
    <w:rsid w:val="5BF11C42"/>
    <w:rsid w:val="5BFE3914"/>
    <w:rsid w:val="5C0A26C5"/>
    <w:rsid w:val="5C222408"/>
    <w:rsid w:val="5C542CA4"/>
    <w:rsid w:val="5C6E411C"/>
    <w:rsid w:val="5C971BCA"/>
    <w:rsid w:val="5CA2680B"/>
    <w:rsid w:val="5CBC4EEF"/>
    <w:rsid w:val="5CCB65B7"/>
    <w:rsid w:val="5D02739C"/>
    <w:rsid w:val="5D1619FC"/>
    <w:rsid w:val="5D1F1E59"/>
    <w:rsid w:val="5D1F601D"/>
    <w:rsid w:val="5D490C9F"/>
    <w:rsid w:val="5D49397A"/>
    <w:rsid w:val="5D630CF1"/>
    <w:rsid w:val="5D6F179A"/>
    <w:rsid w:val="5D7E3400"/>
    <w:rsid w:val="5DC7447A"/>
    <w:rsid w:val="5DDA0749"/>
    <w:rsid w:val="5E3A3DC0"/>
    <w:rsid w:val="5E8E347A"/>
    <w:rsid w:val="5EBD3CCB"/>
    <w:rsid w:val="5EC17D82"/>
    <w:rsid w:val="5EC316DF"/>
    <w:rsid w:val="5EDF52A8"/>
    <w:rsid w:val="5F002B31"/>
    <w:rsid w:val="5F2B77C6"/>
    <w:rsid w:val="5F3166F4"/>
    <w:rsid w:val="5F341718"/>
    <w:rsid w:val="5F9D1C0E"/>
    <w:rsid w:val="5FCC3E41"/>
    <w:rsid w:val="60010FB9"/>
    <w:rsid w:val="600176BA"/>
    <w:rsid w:val="601176D5"/>
    <w:rsid w:val="6029602A"/>
    <w:rsid w:val="602F5613"/>
    <w:rsid w:val="60400646"/>
    <w:rsid w:val="604C0B1C"/>
    <w:rsid w:val="6056205E"/>
    <w:rsid w:val="60800E84"/>
    <w:rsid w:val="60922CFB"/>
    <w:rsid w:val="60A85C4D"/>
    <w:rsid w:val="60E6759D"/>
    <w:rsid w:val="60F56749"/>
    <w:rsid w:val="60FF1398"/>
    <w:rsid w:val="6156585D"/>
    <w:rsid w:val="6180474A"/>
    <w:rsid w:val="61F02AE0"/>
    <w:rsid w:val="62277506"/>
    <w:rsid w:val="6228646B"/>
    <w:rsid w:val="622F4F0C"/>
    <w:rsid w:val="627649D4"/>
    <w:rsid w:val="628F40DF"/>
    <w:rsid w:val="62A54475"/>
    <w:rsid w:val="62D807AA"/>
    <w:rsid w:val="62FB7EB0"/>
    <w:rsid w:val="63083EDE"/>
    <w:rsid w:val="631E5A44"/>
    <w:rsid w:val="63204918"/>
    <w:rsid w:val="637B483D"/>
    <w:rsid w:val="63C057BC"/>
    <w:rsid w:val="63D938A6"/>
    <w:rsid w:val="63DC0C29"/>
    <w:rsid w:val="63EC4BC1"/>
    <w:rsid w:val="63F85962"/>
    <w:rsid w:val="64037DFC"/>
    <w:rsid w:val="64067CAC"/>
    <w:rsid w:val="64360DD2"/>
    <w:rsid w:val="64383F10"/>
    <w:rsid w:val="64520A45"/>
    <w:rsid w:val="64632AB9"/>
    <w:rsid w:val="64790728"/>
    <w:rsid w:val="64811450"/>
    <w:rsid w:val="64963BC7"/>
    <w:rsid w:val="64B55DEC"/>
    <w:rsid w:val="64C0310F"/>
    <w:rsid w:val="64E5707A"/>
    <w:rsid w:val="650347E4"/>
    <w:rsid w:val="650B289D"/>
    <w:rsid w:val="650F4BEF"/>
    <w:rsid w:val="65191769"/>
    <w:rsid w:val="65250765"/>
    <w:rsid w:val="65473AC0"/>
    <w:rsid w:val="658514A0"/>
    <w:rsid w:val="65923CFD"/>
    <w:rsid w:val="6595030E"/>
    <w:rsid w:val="65972A06"/>
    <w:rsid w:val="65D90869"/>
    <w:rsid w:val="65ED6803"/>
    <w:rsid w:val="66195F74"/>
    <w:rsid w:val="66AE168E"/>
    <w:rsid w:val="66CC37B1"/>
    <w:rsid w:val="67407252"/>
    <w:rsid w:val="679A7767"/>
    <w:rsid w:val="67D27ADF"/>
    <w:rsid w:val="67DE792B"/>
    <w:rsid w:val="67F374F4"/>
    <w:rsid w:val="67F961D1"/>
    <w:rsid w:val="6802638E"/>
    <w:rsid w:val="68212E94"/>
    <w:rsid w:val="6831183A"/>
    <w:rsid w:val="6839017A"/>
    <w:rsid w:val="683E0D8C"/>
    <w:rsid w:val="685476B6"/>
    <w:rsid w:val="6856690E"/>
    <w:rsid w:val="68667E1F"/>
    <w:rsid w:val="68A77F45"/>
    <w:rsid w:val="68AA2B99"/>
    <w:rsid w:val="68C03F21"/>
    <w:rsid w:val="68D101AD"/>
    <w:rsid w:val="68E13820"/>
    <w:rsid w:val="693457FC"/>
    <w:rsid w:val="69597E8D"/>
    <w:rsid w:val="696132DC"/>
    <w:rsid w:val="6983064C"/>
    <w:rsid w:val="69F12AF5"/>
    <w:rsid w:val="6A395C12"/>
    <w:rsid w:val="6A3F0354"/>
    <w:rsid w:val="6A3F5828"/>
    <w:rsid w:val="6A421397"/>
    <w:rsid w:val="6A7A21AD"/>
    <w:rsid w:val="6A9A69CF"/>
    <w:rsid w:val="6AE25BD9"/>
    <w:rsid w:val="6AF511D4"/>
    <w:rsid w:val="6B2D22A4"/>
    <w:rsid w:val="6B4C255C"/>
    <w:rsid w:val="6B5A672A"/>
    <w:rsid w:val="6B613751"/>
    <w:rsid w:val="6BAA0A13"/>
    <w:rsid w:val="6BDC7963"/>
    <w:rsid w:val="6C050232"/>
    <w:rsid w:val="6C07661A"/>
    <w:rsid w:val="6C140821"/>
    <w:rsid w:val="6C1E3116"/>
    <w:rsid w:val="6C274B43"/>
    <w:rsid w:val="6C2E1E07"/>
    <w:rsid w:val="6C3C28DF"/>
    <w:rsid w:val="6C8C22A8"/>
    <w:rsid w:val="6CA038D5"/>
    <w:rsid w:val="6CA42BE9"/>
    <w:rsid w:val="6CB476C3"/>
    <w:rsid w:val="6CB556D8"/>
    <w:rsid w:val="6CC6094E"/>
    <w:rsid w:val="6CD16A6D"/>
    <w:rsid w:val="6CD3338B"/>
    <w:rsid w:val="6CE541BB"/>
    <w:rsid w:val="6CFF5F63"/>
    <w:rsid w:val="6D0777B6"/>
    <w:rsid w:val="6D352DCF"/>
    <w:rsid w:val="6D8C364D"/>
    <w:rsid w:val="6D93480F"/>
    <w:rsid w:val="6D93652A"/>
    <w:rsid w:val="6DA55021"/>
    <w:rsid w:val="6DA706BE"/>
    <w:rsid w:val="6DC54A78"/>
    <w:rsid w:val="6DD11C81"/>
    <w:rsid w:val="6DD92FDD"/>
    <w:rsid w:val="6DE07122"/>
    <w:rsid w:val="6E24119C"/>
    <w:rsid w:val="6E2551B4"/>
    <w:rsid w:val="6E280E59"/>
    <w:rsid w:val="6E313892"/>
    <w:rsid w:val="6E4D1848"/>
    <w:rsid w:val="6E51080D"/>
    <w:rsid w:val="6E8847F4"/>
    <w:rsid w:val="6E942F9F"/>
    <w:rsid w:val="6EA868EA"/>
    <w:rsid w:val="6EED1A7D"/>
    <w:rsid w:val="6F362BC0"/>
    <w:rsid w:val="6F3C5741"/>
    <w:rsid w:val="6F441D47"/>
    <w:rsid w:val="6F4664C0"/>
    <w:rsid w:val="6F495B57"/>
    <w:rsid w:val="6F6704C4"/>
    <w:rsid w:val="6F6D623A"/>
    <w:rsid w:val="6F9A0EBF"/>
    <w:rsid w:val="6F9C663D"/>
    <w:rsid w:val="6FA1174B"/>
    <w:rsid w:val="6FA932FF"/>
    <w:rsid w:val="6FEA5250"/>
    <w:rsid w:val="702078E8"/>
    <w:rsid w:val="707626CB"/>
    <w:rsid w:val="708A40ED"/>
    <w:rsid w:val="70A54487"/>
    <w:rsid w:val="70B402FF"/>
    <w:rsid w:val="70DC411D"/>
    <w:rsid w:val="70E53E49"/>
    <w:rsid w:val="710E7EDD"/>
    <w:rsid w:val="71152830"/>
    <w:rsid w:val="71214A0A"/>
    <w:rsid w:val="7128277F"/>
    <w:rsid w:val="71347448"/>
    <w:rsid w:val="714340C1"/>
    <w:rsid w:val="714B2757"/>
    <w:rsid w:val="719F1A77"/>
    <w:rsid w:val="71A16C46"/>
    <w:rsid w:val="71B00960"/>
    <w:rsid w:val="71B44994"/>
    <w:rsid w:val="71CD4249"/>
    <w:rsid w:val="72134DAC"/>
    <w:rsid w:val="7238071C"/>
    <w:rsid w:val="725743B2"/>
    <w:rsid w:val="727078C2"/>
    <w:rsid w:val="7285040F"/>
    <w:rsid w:val="72912384"/>
    <w:rsid w:val="72A91382"/>
    <w:rsid w:val="72AE7AF9"/>
    <w:rsid w:val="72CA1C7A"/>
    <w:rsid w:val="72CE50FF"/>
    <w:rsid w:val="72DE2429"/>
    <w:rsid w:val="73535D5C"/>
    <w:rsid w:val="73556DFF"/>
    <w:rsid w:val="736F5B53"/>
    <w:rsid w:val="73705AFE"/>
    <w:rsid w:val="73785414"/>
    <w:rsid w:val="737F3518"/>
    <w:rsid w:val="7387164C"/>
    <w:rsid w:val="739E1FAF"/>
    <w:rsid w:val="73CD1197"/>
    <w:rsid w:val="73F34CB4"/>
    <w:rsid w:val="73F51277"/>
    <w:rsid w:val="73F84F57"/>
    <w:rsid w:val="741F3CF8"/>
    <w:rsid w:val="74270614"/>
    <w:rsid w:val="742D6C8B"/>
    <w:rsid w:val="74460C97"/>
    <w:rsid w:val="7446689E"/>
    <w:rsid w:val="74874D6E"/>
    <w:rsid w:val="748F67FB"/>
    <w:rsid w:val="74E52626"/>
    <w:rsid w:val="7516294F"/>
    <w:rsid w:val="751E45F3"/>
    <w:rsid w:val="75212ACA"/>
    <w:rsid w:val="754D39A2"/>
    <w:rsid w:val="758F40E3"/>
    <w:rsid w:val="75AA3FF6"/>
    <w:rsid w:val="75AC4727"/>
    <w:rsid w:val="75CA1D8A"/>
    <w:rsid w:val="75CD4A66"/>
    <w:rsid w:val="75EC1CF1"/>
    <w:rsid w:val="75F772B8"/>
    <w:rsid w:val="75FA6CAA"/>
    <w:rsid w:val="760A1760"/>
    <w:rsid w:val="762F1B80"/>
    <w:rsid w:val="764422A7"/>
    <w:rsid w:val="76497763"/>
    <w:rsid w:val="766407E8"/>
    <w:rsid w:val="768519E4"/>
    <w:rsid w:val="76A62D84"/>
    <w:rsid w:val="76C70154"/>
    <w:rsid w:val="76D10D17"/>
    <w:rsid w:val="76E55F8C"/>
    <w:rsid w:val="76FE7A77"/>
    <w:rsid w:val="771E5DDD"/>
    <w:rsid w:val="77204FB4"/>
    <w:rsid w:val="772A1E9D"/>
    <w:rsid w:val="77343EC3"/>
    <w:rsid w:val="7748250C"/>
    <w:rsid w:val="775A32CA"/>
    <w:rsid w:val="77795E75"/>
    <w:rsid w:val="7791480A"/>
    <w:rsid w:val="7799308C"/>
    <w:rsid w:val="77C67D48"/>
    <w:rsid w:val="77DC72F7"/>
    <w:rsid w:val="77E41185"/>
    <w:rsid w:val="77EE482D"/>
    <w:rsid w:val="77F2569F"/>
    <w:rsid w:val="785339AF"/>
    <w:rsid w:val="785D1F8C"/>
    <w:rsid w:val="7861046E"/>
    <w:rsid w:val="78636EC0"/>
    <w:rsid w:val="7866798E"/>
    <w:rsid w:val="78722608"/>
    <w:rsid w:val="78CF39DC"/>
    <w:rsid w:val="78D365FA"/>
    <w:rsid w:val="78E012DC"/>
    <w:rsid w:val="78F42FA2"/>
    <w:rsid w:val="78F857C6"/>
    <w:rsid w:val="7906477F"/>
    <w:rsid w:val="792769AE"/>
    <w:rsid w:val="796736DC"/>
    <w:rsid w:val="797C0E2B"/>
    <w:rsid w:val="79946B2F"/>
    <w:rsid w:val="79A36CF7"/>
    <w:rsid w:val="79B27941"/>
    <w:rsid w:val="79CD78BD"/>
    <w:rsid w:val="79F16587"/>
    <w:rsid w:val="7A062838"/>
    <w:rsid w:val="7A422233"/>
    <w:rsid w:val="7A4E116C"/>
    <w:rsid w:val="7A6004DE"/>
    <w:rsid w:val="7A6D4830"/>
    <w:rsid w:val="7AAE27E6"/>
    <w:rsid w:val="7AB07740"/>
    <w:rsid w:val="7AC21B8D"/>
    <w:rsid w:val="7ACA5EB4"/>
    <w:rsid w:val="7B047148"/>
    <w:rsid w:val="7B2A4AB5"/>
    <w:rsid w:val="7B451048"/>
    <w:rsid w:val="7B5E74BF"/>
    <w:rsid w:val="7B69530C"/>
    <w:rsid w:val="7B757903"/>
    <w:rsid w:val="7BA366DC"/>
    <w:rsid w:val="7BBA1E87"/>
    <w:rsid w:val="7BE02C8E"/>
    <w:rsid w:val="7BF767ED"/>
    <w:rsid w:val="7C1F6BBC"/>
    <w:rsid w:val="7C374C20"/>
    <w:rsid w:val="7C375531"/>
    <w:rsid w:val="7C4645C0"/>
    <w:rsid w:val="7C46696D"/>
    <w:rsid w:val="7C7C7CC8"/>
    <w:rsid w:val="7CA23F6B"/>
    <w:rsid w:val="7CB80C6F"/>
    <w:rsid w:val="7CE31129"/>
    <w:rsid w:val="7D116E1E"/>
    <w:rsid w:val="7D352058"/>
    <w:rsid w:val="7D3B0550"/>
    <w:rsid w:val="7D4D40BB"/>
    <w:rsid w:val="7D51029C"/>
    <w:rsid w:val="7D8B1081"/>
    <w:rsid w:val="7DAF6387"/>
    <w:rsid w:val="7DD579DA"/>
    <w:rsid w:val="7E011530"/>
    <w:rsid w:val="7E110388"/>
    <w:rsid w:val="7E1C11EC"/>
    <w:rsid w:val="7E346A60"/>
    <w:rsid w:val="7E523F98"/>
    <w:rsid w:val="7E581C19"/>
    <w:rsid w:val="7E5E69ED"/>
    <w:rsid w:val="7E631C6A"/>
    <w:rsid w:val="7E805004"/>
    <w:rsid w:val="7E8F7152"/>
    <w:rsid w:val="7E952D86"/>
    <w:rsid w:val="7F1E74FF"/>
    <w:rsid w:val="7F42259F"/>
    <w:rsid w:val="7F4B4263"/>
    <w:rsid w:val="7F4E63A3"/>
    <w:rsid w:val="7F675E9B"/>
    <w:rsid w:val="7F9150D4"/>
    <w:rsid w:val="7FBB62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1"/>
    <w:basedOn w:val="4"/>
    <w:next w:val="1"/>
    <w:link w:val="43"/>
    <w:qFormat/>
    <w:uiPriority w:val="0"/>
    <w:pPr>
      <w:keepNext/>
      <w:keepLines/>
      <w:spacing w:before="340" w:after="330" w:line="578" w:lineRule="auto"/>
      <w:outlineLvl w:val="0"/>
    </w:pPr>
    <w:rPr>
      <w:rFonts w:ascii="Times New Roman"/>
      <w:b w:val="0"/>
      <w:bCs w:val="0"/>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5"/>
    <w:basedOn w:val="1"/>
    <w:next w:val="1"/>
    <w:qFormat/>
    <w:uiPriority w:val="0"/>
    <w:pPr>
      <w:spacing w:before="100" w:beforeAutospacing="1" w:after="100" w:afterAutospacing="1"/>
      <w:jc w:val="left"/>
      <w:outlineLvl w:val="4"/>
    </w:pPr>
    <w:rPr>
      <w:rFonts w:hint="eastAsia" w:hAnsi="宋体"/>
      <w:b/>
      <w:sz w:val="20"/>
      <w:szCs w:val="20"/>
    </w:rPr>
  </w:style>
  <w:style w:type="character" w:default="1" w:styleId="22">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kern w:val="2"/>
      <w:sz w:val="32"/>
      <w:szCs w:val="32"/>
    </w:rPr>
  </w:style>
  <w:style w:type="paragraph" w:styleId="8">
    <w:name w:val="annotation subject"/>
    <w:basedOn w:val="9"/>
    <w:next w:val="9"/>
    <w:link w:val="48"/>
    <w:qFormat/>
    <w:uiPriority w:val="0"/>
    <w:rPr>
      <w:b/>
      <w:bCs/>
    </w:rPr>
  </w:style>
  <w:style w:type="paragraph" w:styleId="9">
    <w:name w:val="annotation text"/>
    <w:basedOn w:val="1"/>
    <w:link w:val="37"/>
    <w:qFormat/>
    <w:uiPriority w:val="0"/>
    <w:pPr>
      <w:jc w:val="left"/>
    </w:pPr>
  </w:style>
  <w:style w:type="paragraph" w:styleId="10">
    <w:name w:val="Body Text First Indent"/>
    <w:basedOn w:val="2"/>
    <w:unhideWhenUsed/>
    <w:qFormat/>
    <w:uiPriority w:val="99"/>
    <w:pPr>
      <w:ind w:firstLine="420" w:firstLineChars="100"/>
    </w:pPr>
    <w:rPr>
      <w:rFonts w:ascii="Times New Roman"/>
    </w:rPr>
  </w:style>
  <w:style w:type="paragraph" w:styleId="11">
    <w:name w:val="Normal Indent"/>
    <w:basedOn w:val="1"/>
    <w:qFormat/>
    <w:uiPriority w:val="0"/>
    <w:pPr>
      <w:ind w:firstLine="200" w:firstLineChars="200"/>
    </w:pPr>
  </w:style>
  <w:style w:type="paragraph" w:styleId="12">
    <w:name w:val="Document Map"/>
    <w:basedOn w:val="1"/>
    <w:link w:val="39"/>
    <w:qFormat/>
    <w:uiPriority w:val="0"/>
    <w:rPr>
      <w:sz w:val="18"/>
      <w:szCs w:val="18"/>
    </w:rPr>
  </w:style>
  <w:style w:type="paragraph" w:styleId="13">
    <w:name w:val="Body Text Indent"/>
    <w:basedOn w:val="1"/>
    <w:qFormat/>
    <w:uiPriority w:val="0"/>
    <w:pPr>
      <w:ind w:firstLine="630"/>
    </w:pPr>
    <w:rPr>
      <w:sz w:val="32"/>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8"/>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20"/>
    </w:rPr>
  </w:style>
  <w:style w:type="paragraph" w:styleId="17">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20">
    <w:name w:val="Body Text Indent 3"/>
    <w:basedOn w:val="1"/>
    <w:qFormat/>
    <w:uiPriority w:val="0"/>
    <w:pPr>
      <w:spacing w:before="40" w:after="40"/>
      <w:ind w:firstLine="525"/>
    </w:pPr>
    <w:rPr>
      <w:b/>
      <w:color w:val="000000"/>
      <w:spacing w:val="2"/>
      <w:sz w:val="24"/>
    </w:rPr>
  </w:style>
  <w:style w:type="paragraph" w:styleId="21">
    <w:name w:val="Normal (Web)"/>
    <w:basedOn w:val="1"/>
    <w:qFormat/>
    <w:uiPriority w:val="0"/>
    <w:pPr>
      <w:widowControl/>
      <w:spacing w:before="100" w:beforeAutospacing="1" w:after="100" w:afterAutospacing="1"/>
      <w:jc w:val="left"/>
    </w:pPr>
    <w:rPr>
      <w:sz w:val="18"/>
      <w:szCs w:val="18"/>
    </w:rPr>
  </w:style>
  <w:style w:type="character" w:styleId="23">
    <w:name w:val="Strong"/>
    <w:qFormat/>
    <w:uiPriority w:val="0"/>
    <w:rPr>
      <w:b/>
    </w:rPr>
  </w:style>
  <w:style w:type="character" w:styleId="24">
    <w:name w:val="page number"/>
    <w:qFormat/>
    <w:uiPriority w:val="0"/>
  </w:style>
  <w:style w:type="character" w:styleId="25">
    <w:name w:val="FollowedHyperlink"/>
    <w:qFormat/>
    <w:uiPriority w:val="0"/>
    <w:rPr>
      <w:color w:val="333333"/>
      <w:u w:val="none"/>
    </w:rPr>
  </w:style>
  <w:style w:type="character" w:styleId="26">
    <w:name w:val="Emphasis"/>
    <w:qFormat/>
    <w:uiPriority w:val="0"/>
  </w:style>
  <w:style w:type="character" w:styleId="27">
    <w:name w:val="HTML Definition"/>
    <w:qFormat/>
    <w:uiPriority w:val="0"/>
  </w:style>
  <w:style w:type="character" w:styleId="28">
    <w:name w:val="HTML Variable"/>
    <w:qFormat/>
    <w:uiPriority w:val="0"/>
  </w:style>
  <w:style w:type="character" w:styleId="29">
    <w:name w:val="Hyperlink"/>
    <w:qFormat/>
    <w:uiPriority w:val="0"/>
    <w:rPr>
      <w:color w:val="333333"/>
      <w:u w:val="none"/>
    </w:rPr>
  </w:style>
  <w:style w:type="character" w:styleId="30">
    <w:name w:val="HTML Code"/>
    <w:qFormat/>
    <w:uiPriority w:val="0"/>
    <w:rPr>
      <w:rFonts w:ascii="Courier New" w:hAnsi="Courier New"/>
      <w:sz w:val="20"/>
    </w:rPr>
  </w:style>
  <w:style w:type="character" w:styleId="31">
    <w:name w:val="annotation reference"/>
    <w:qFormat/>
    <w:uiPriority w:val="0"/>
    <w:rPr>
      <w:sz w:val="21"/>
      <w:szCs w:val="21"/>
    </w:rPr>
  </w:style>
  <w:style w:type="character" w:styleId="32">
    <w:name w:val="HTML Cite"/>
    <w:qFormat/>
    <w:uiPriority w:val="0"/>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modifier"/>
    <w:qFormat/>
    <w:uiPriority w:val="0"/>
    <w:rPr>
      <w:color w:val="FF0000"/>
    </w:rPr>
  </w:style>
  <w:style w:type="character" w:customStyle="1" w:styleId="36">
    <w:name w:val="font111"/>
    <w:qFormat/>
    <w:uiPriority w:val="0"/>
    <w:rPr>
      <w:rFonts w:hint="default" w:ascii="Eʩ" w:hAnsi="Eʩ" w:eastAsia="Eʩ" w:cs="Eʩ"/>
      <w:color w:val="000000"/>
      <w:sz w:val="21"/>
      <w:szCs w:val="21"/>
      <w:u w:val="single"/>
    </w:rPr>
  </w:style>
  <w:style w:type="character" w:customStyle="1" w:styleId="37">
    <w:name w:val="批注文字 Char"/>
    <w:link w:val="9"/>
    <w:qFormat/>
    <w:uiPriority w:val="0"/>
    <w:rPr>
      <w:rFonts w:ascii="宋体"/>
      <w:sz w:val="34"/>
      <w:szCs w:val="22"/>
    </w:rPr>
  </w:style>
  <w:style w:type="character" w:customStyle="1" w:styleId="38">
    <w:name w:val="批注框文本 Char"/>
    <w:link w:val="15"/>
    <w:qFormat/>
    <w:uiPriority w:val="0"/>
    <w:rPr>
      <w:rFonts w:ascii="宋体"/>
      <w:sz w:val="18"/>
      <w:szCs w:val="18"/>
    </w:rPr>
  </w:style>
  <w:style w:type="character" w:customStyle="1" w:styleId="39">
    <w:name w:val="文档结构图 Char"/>
    <w:link w:val="12"/>
    <w:qFormat/>
    <w:uiPriority w:val="0"/>
    <w:rPr>
      <w:rFonts w:ascii="宋体"/>
      <w:sz w:val="18"/>
      <w:szCs w:val="18"/>
    </w:rPr>
  </w:style>
  <w:style w:type="character" w:customStyle="1" w:styleId="40">
    <w:name w:val="页眉 Char"/>
    <w:link w:val="17"/>
    <w:qFormat/>
    <w:uiPriority w:val="0"/>
    <w:rPr>
      <w:rFonts w:ascii="宋体"/>
      <w:sz w:val="18"/>
      <w:szCs w:val="18"/>
    </w:rPr>
  </w:style>
  <w:style w:type="character" w:customStyle="1" w:styleId="41">
    <w:name w:val="selected"/>
    <w:qFormat/>
    <w:uiPriority w:val="0"/>
    <w:rPr>
      <w:shd w:val="clear" w:color="auto" w:fill="B00006"/>
    </w:rPr>
  </w:style>
  <w:style w:type="character" w:customStyle="1" w:styleId="42">
    <w:name w:val="font31"/>
    <w:qFormat/>
    <w:uiPriority w:val="0"/>
    <w:rPr>
      <w:rFonts w:hint="eastAsia" w:ascii="宋体" w:hAnsi="宋体" w:eastAsia="宋体" w:cs="宋体"/>
      <w:color w:val="000000"/>
      <w:sz w:val="21"/>
      <w:szCs w:val="21"/>
      <w:u w:val="none"/>
    </w:rPr>
  </w:style>
  <w:style w:type="character" w:customStyle="1" w:styleId="43">
    <w:name w:val="标题 1 Char"/>
    <w:link w:val="3"/>
    <w:qFormat/>
    <w:uiPriority w:val="0"/>
    <w:rPr>
      <w:b/>
      <w:bCs/>
      <w:kern w:val="44"/>
      <w:sz w:val="44"/>
      <w:szCs w:val="44"/>
    </w:rPr>
  </w:style>
  <w:style w:type="character" w:customStyle="1" w:styleId="44">
    <w:name w:val="NormalCharacter"/>
    <w:qFormat/>
    <w:uiPriority w:val="0"/>
    <w:rPr>
      <w:rFonts w:ascii="Calibri" w:hAnsi="Calibri" w:eastAsia="宋体" w:cs="Times New Roman"/>
      <w:kern w:val="2"/>
      <w:sz w:val="21"/>
      <w:szCs w:val="22"/>
      <w:lang w:val="en-US" w:eastAsia="zh-CN" w:bidi="ar-SA"/>
    </w:rPr>
  </w:style>
  <w:style w:type="character" w:customStyle="1" w:styleId="45">
    <w:name w:val="gpa"/>
    <w:qFormat/>
    <w:uiPriority w:val="0"/>
    <w:rPr>
      <w:rFonts w:ascii="Arial" w:hAnsi="Arial" w:cs="Arial"/>
      <w:sz w:val="15"/>
      <w:szCs w:val="15"/>
    </w:rPr>
  </w:style>
  <w:style w:type="character" w:customStyle="1" w:styleId="46">
    <w:name w:val="label"/>
    <w:qFormat/>
    <w:uiPriority w:val="0"/>
    <w:rPr>
      <w:color w:val="555555"/>
    </w:rPr>
  </w:style>
  <w:style w:type="character" w:customStyle="1" w:styleId="47">
    <w:name w:val="displayarti"/>
    <w:qFormat/>
    <w:uiPriority w:val="0"/>
    <w:rPr>
      <w:color w:val="FFFFFF"/>
      <w:shd w:val="clear" w:color="auto" w:fill="A00000"/>
    </w:rPr>
  </w:style>
  <w:style w:type="character" w:customStyle="1" w:styleId="48">
    <w:name w:val="批注主题 Char"/>
    <w:link w:val="8"/>
    <w:qFormat/>
    <w:uiPriority w:val="0"/>
  </w:style>
  <w:style w:type="paragraph" w:customStyle="1" w:styleId="49">
    <w:name w:val="Char Char Char2"/>
    <w:basedOn w:val="1"/>
    <w:qFormat/>
    <w:uiPriority w:val="0"/>
    <w:rPr>
      <w:rFonts w:ascii="Times New Roman"/>
      <w:kern w:val="2"/>
      <w:sz w:val="21"/>
      <w:szCs w:val="24"/>
    </w:rPr>
  </w:style>
  <w:style w:type="paragraph" w:customStyle="1" w:styleId="50">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51">
    <w:name w:val="_Style 47"/>
    <w:unhideWhenUsed/>
    <w:qFormat/>
    <w:uiPriority w:val="99"/>
    <w:rPr>
      <w:rFonts w:ascii="宋体" w:hAnsi="Times New Roman" w:eastAsia="宋体" w:cs="Times New Roman"/>
      <w:sz w:val="34"/>
      <w:szCs w:val="22"/>
      <w:lang w:val="en-US" w:eastAsia="zh-CN" w:bidi="ar-SA"/>
    </w:rPr>
  </w:style>
  <w:style w:type="paragraph" w:customStyle="1" w:styleId="52">
    <w:name w:val="列出段落2"/>
    <w:basedOn w:val="1"/>
    <w:qFormat/>
    <w:uiPriority w:val="0"/>
    <w:pPr>
      <w:ind w:firstLine="420" w:firstLineChars="200"/>
    </w:pPr>
    <w:rPr>
      <w:rFonts w:ascii="Times New Roman"/>
      <w:kern w:val="2"/>
      <w:sz w:val="21"/>
    </w:rPr>
  </w:style>
  <w:style w:type="paragraph" w:customStyle="1" w:styleId="53">
    <w:name w:val="List Paragraph1"/>
    <w:basedOn w:val="1"/>
    <w:qFormat/>
    <w:uiPriority w:val="0"/>
    <w:pPr>
      <w:ind w:firstLine="420" w:firstLineChars="200"/>
    </w:pPr>
    <w:rPr>
      <w:rFonts w:ascii="Calibri" w:hAnsi="Calibri"/>
      <w:kern w:val="2"/>
      <w:sz w:val="21"/>
    </w:rPr>
  </w:style>
  <w:style w:type="paragraph" w:customStyle="1" w:styleId="5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5">
    <w:name w:val="列出段落1"/>
    <w:basedOn w:val="1"/>
    <w:qFormat/>
    <w:uiPriority w:val="0"/>
    <w:pPr>
      <w:spacing w:line="480" w:lineRule="auto"/>
      <w:ind w:firstLine="420" w:firstLineChars="200"/>
      <w:jc w:val="left"/>
    </w:pPr>
    <w:rPr>
      <w:rFonts w:ascii="Times New Roman" w:eastAsia="仿宋_GB2312"/>
      <w:color w:val="000000"/>
      <w:kern w:val="2"/>
      <w:sz w:val="28"/>
      <w:szCs w:val="28"/>
    </w:rPr>
  </w:style>
  <w:style w:type="paragraph" w:customStyle="1" w:styleId="56">
    <w:name w:val="Char Char Char"/>
    <w:basedOn w:val="1"/>
    <w:qFormat/>
    <w:uiPriority w:val="0"/>
    <w:rPr>
      <w:rFonts w:ascii="Times New Roman"/>
      <w:kern w:val="2"/>
      <w:sz w:val="21"/>
      <w:szCs w:val="24"/>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表格"/>
    <w:basedOn w:val="1"/>
    <w:qFormat/>
    <w:uiPriority w:val="0"/>
    <w:pPr>
      <w:spacing w:line="400" w:lineRule="exact"/>
    </w:pPr>
    <w:rPr>
      <w:sz w:val="24"/>
    </w:rPr>
  </w:style>
  <w:style w:type="paragraph" w:customStyle="1" w:styleId="60">
    <w:name w:val="_Style 1"/>
    <w:basedOn w:val="1"/>
    <w:qFormat/>
    <w:uiPriority w:val="0"/>
    <w:pPr>
      <w:ind w:firstLine="420" w:firstLineChars="200"/>
    </w:pPr>
    <w:rPr>
      <w:sz w:val="18"/>
      <w:szCs w:val="18"/>
    </w:rPr>
  </w:style>
  <w:style w:type="paragraph" w:customStyle="1" w:styleId="61">
    <w:name w:val="Char Char Char1"/>
    <w:basedOn w:val="1"/>
    <w:qFormat/>
    <w:uiPriority w:val="0"/>
    <w:rPr>
      <w:rFonts w:ascii="Times New Roman"/>
      <w:szCs w:val="24"/>
    </w:rPr>
  </w:style>
  <w:style w:type="paragraph" w:customStyle="1" w:styleId="62">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70</Pages>
  <Words>31565</Words>
  <Characters>32917</Characters>
  <Lines>261</Lines>
  <Paragraphs>73</Paragraphs>
  <ScaleCrop>false</ScaleCrop>
  <LinksUpToDate>false</LinksUpToDate>
  <CharactersWithSpaces>34844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2021-09-07T14:30:00Z</dcterms:created>
  <dc:creator>s</dc:creator>
  <cp:lastModifiedBy>Fiona</cp:lastModifiedBy>
  <cp:lastPrinted>2021-11-16T09:00:00Z</cp:lastPrinted>
  <dcterms:modified xsi:type="dcterms:W3CDTF">2021-12-01T03:37:53Z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B109113482F94B35A1A75964DB559B05</vt:lpwstr>
  </property>
</Properties>
</file>