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rPr>
      </w:pPr>
    </w:p>
    <w:p>
      <w:pPr>
        <w:spacing w:line="360" w:lineRule="auto"/>
        <w:jc w:val="center"/>
        <w:rPr>
          <w:rFonts w:hint="eastAsia"/>
          <w:b/>
          <w:sz w:val="28"/>
          <w:szCs w:val="28"/>
        </w:rPr>
      </w:pPr>
      <w:r>
        <w:rPr>
          <w:rFonts w:hint="eastAsia" w:hAnsi="宋体" w:cs="宋体"/>
          <w:b/>
          <w:color w:val="000000"/>
          <w:sz w:val="44"/>
          <w:szCs w:val="44"/>
          <w:lang w:eastAsia="zh-CN"/>
        </w:rPr>
        <w:t>成华区耕地后备资源调查评价工作</w:t>
      </w:r>
      <w:r>
        <w:rPr>
          <w:rFonts w:hint="eastAsia"/>
          <w:b/>
          <w:sz w:val="28"/>
          <w:szCs w:val="28"/>
        </w:rPr>
        <w:t xml:space="preserve"> </w:t>
      </w:r>
    </w:p>
    <w:p>
      <w:pPr>
        <w:pStyle w:val="11"/>
        <w:rPr>
          <w:rFonts w:hint="eastAsia"/>
        </w:rPr>
      </w:pPr>
    </w:p>
    <w:p>
      <w:pPr>
        <w:jc w:val="center"/>
        <w:rPr>
          <w:rFonts w:hint="eastAsia"/>
          <w:b/>
          <w:sz w:val="72"/>
          <w:szCs w:val="72"/>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b/>
          <w:sz w:val="72"/>
          <w:szCs w:val="72"/>
        </w:rPr>
      </w:pPr>
      <w:r>
        <w:rPr>
          <w:rFonts w:hint="eastAsia"/>
          <w:b/>
          <w:sz w:val="72"/>
          <w:szCs w:val="72"/>
        </w:rPr>
        <w:t>件</w:t>
      </w:r>
    </w:p>
    <w:p>
      <w:pPr>
        <w:pStyle w:val="11"/>
        <w:jc w:val="center"/>
        <w:rPr>
          <w:rFonts w:hint="eastAsia"/>
        </w:rPr>
      </w:pPr>
    </w:p>
    <w:p>
      <w:pPr>
        <w:spacing w:line="360" w:lineRule="auto"/>
        <w:jc w:val="center"/>
        <w:rPr>
          <w:rFonts w:hint="eastAsia" w:hAnsi="宋体"/>
          <w:b/>
          <w:bCs/>
          <w:sz w:val="32"/>
          <w:highlight w:val="none"/>
          <w:lang w:val="en-US" w:eastAsia="zh-CN"/>
        </w:rPr>
      </w:pPr>
      <w:r>
        <w:rPr>
          <w:rFonts w:hint="eastAsia" w:hAnsi="宋体"/>
          <w:b/>
          <w:bCs/>
          <w:sz w:val="32"/>
          <w:highlight w:val="none"/>
          <w:lang w:val="en-US" w:eastAsia="zh-CN"/>
        </w:rPr>
        <w:t>成都市成华区规划和自然资源局</w:t>
      </w:r>
    </w:p>
    <w:p>
      <w:pPr>
        <w:spacing w:line="360" w:lineRule="auto"/>
        <w:jc w:val="center"/>
        <w:rPr>
          <w:rFonts w:hint="eastAsia" w:hAnsi="宋体"/>
          <w:b/>
          <w:bCs/>
          <w:sz w:val="32"/>
        </w:rPr>
      </w:pPr>
      <w:r>
        <w:rPr>
          <w:rFonts w:hint="eastAsia" w:hAnsi="宋体"/>
          <w:b/>
          <w:bCs/>
          <w:sz w:val="32"/>
        </w:rPr>
        <w:t>四川华驰工程项目管理有限公司</w:t>
      </w:r>
    </w:p>
    <w:p>
      <w:pPr>
        <w:spacing w:line="400" w:lineRule="exact"/>
        <w:jc w:val="center"/>
        <w:rPr>
          <w:rFonts w:hint="eastAsia" w:hAnsi="宋体"/>
          <w:b/>
          <w:bCs/>
          <w:sz w:val="32"/>
        </w:rPr>
      </w:pPr>
      <w:r>
        <w:rPr>
          <w:rFonts w:hint="eastAsia" w:hAnsi="宋体"/>
          <w:b/>
          <w:bCs/>
          <w:sz w:val="32"/>
        </w:rPr>
        <w:t>共同编制</w:t>
      </w:r>
    </w:p>
    <w:p>
      <w:pPr>
        <w:spacing w:line="360" w:lineRule="auto"/>
        <w:ind w:firstLine="3301" w:firstLineChars="1096"/>
        <w:rPr>
          <w:rFonts w:hint="eastAsia"/>
          <w:b/>
          <w:sz w:val="30"/>
          <w:szCs w:val="30"/>
        </w:rPr>
      </w:pPr>
    </w:p>
    <w:p>
      <w:pPr>
        <w:spacing w:line="360" w:lineRule="auto"/>
        <w:ind w:firstLine="3012" w:firstLineChars="1000"/>
        <w:jc w:val="left"/>
        <w:rPr>
          <w:rFonts w:hint="eastAsia"/>
          <w:b/>
          <w:bCs/>
          <w:sz w:val="32"/>
          <w:szCs w:val="32"/>
          <w:lang w:val="zh-CN"/>
        </w:rPr>
      </w:pPr>
      <w:r>
        <w:rPr>
          <w:rFonts w:hint="eastAsia"/>
          <w:b/>
          <w:sz w:val="30"/>
          <w:szCs w:val="30"/>
        </w:rPr>
        <w:t>二0二一</w:t>
      </w:r>
      <w:r>
        <w:rPr>
          <w:b/>
          <w:bCs/>
          <w:sz w:val="32"/>
          <w:szCs w:val="32"/>
          <w:lang w:val="zh-CN"/>
        </w:rPr>
        <w:t>年</w:t>
      </w:r>
      <w:r>
        <w:rPr>
          <w:rFonts w:hint="eastAsia"/>
          <w:b/>
          <w:bCs/>
          <w:sz w:val="32"/>
          <w:szCs w:val="32"/>
          <w:lang w:val="en-US" w:eastAsia="zh-CN"/>
        </w:rPr>
        <w:t>十一</w:t>
      </w:r>
      <w:r>
        <w:rPr>
          <w:b/>
          <w:bCs/>
          <w:sz w:val="32"/>
          <w:szCs w:val="32"/>
          <w:lang w:val="zh-CN"/>
        </w:rPr>
        <w:t>月</w:t>
      </w:r>
    </w:p>
    <w:p>
      <w:pPr>
        <w:pStyle w:val="5"/>
        <w:spacing w:line="360" w:lineRule="exact"/>
        <w:rPr>
          <w:rFonts w:hint="eastAsia" w:ascii="宋体" w:eastAsia="宋体"/>
          <w:b w:val="0"/>
          <w:bCs w:val="0"/>
          <w:sz w:val="36"/>
        </w:rPr>
        <w:sectPr>
          <w:headerReference r:id="rId3" w:type="default"/>
          <w:pgSz w:w="11907" w:h="16840"/>
          <w:pgMar w:top="1440" w:right="1800" w:bottom="1440" w:left="1800" w:header="851" w:footer="992" w:gutter="0"/>
          <w:cols w:space="720" w:num="1"/>
          <w:docGrid w:linePitch="312" w:charSpace="0"/>
        </w:sectPr>
      </w:pPr>
    </w:p>
    <w:p>
      <w:pPr>
        <w:pStyle w:val="5"/>
        <w:keepNext w:val="0"/>
        <w:keepLines w:val="0"/>
        <w:spacing w:line="360" w:lineRule="exact"/>
        <w:jc w:val="center"/>
        <w:rPr>
          <w:rFonts w:hint="eastAsia" w:ascii="宋体" w:eastAsia="宋体"/>
          <w:b w:val="0"/>
          <w:bCs w:val="0"/>
          <w:sz w:val="36"/>
        </w:rPr>
      </w:pPr>
      <w:bookmarkStart w:id="0" w:name="_Hlt101843627"/>
      <w:bookmarkEnd w:id="0"/>
      <w:bookmarkStart w:id="1" w:name="_Hlt101233737"/>
      <w:bookmarkEnd w:id="1"/>
    </w:p>
    <w:p>
      <w:pPr>
        <w:pStyle w:val="5"/>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9"/>
        <w:tabs>
          <w:tab w:val="right" w:leader="dot" w:pos="8500"/>
        </w:tabs>
        <w:spacing w:line="360" w:lineRule="auto"/>
        <w:jc w:val="left"/>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_Toc13104 </w:instrText>
      </w:r>
      <w:r>
        <w:rPr>
          <w:sz w:val="28"/>
          <w:szCs w:val="28"/>
        </w:rPr>
        <w:fldChar w:fldCharType="separate"/>
      </w:r>
      <w:r>
        <w:rPr>
          <w:rFonts w:hint="eastAsia" w:hAnsi="Arial"/>
          <w:bCs/>
          <w:kern w:val="2"/>
          <w:sz w:val="28"/>
          <w:szCs w:val="28"/>
        </w:rPr>
        <w:t>第一章  磋商邀请</w:t>
      </w:r>
      <w:r>
        <w:rPr>
          <w:sz w:val="28"/>
          <w:szCs w:val="28"/>
        </w:rPr>
        <w:tab/>
      </w:r>
      <w:r>
        <w:rPr>
          <w:sz w:val="28"/>
          <w:szCs w:val="28"/>
        </w:rPr>
        <w:fldChar w:fldCharType="begin"/>
      </w:r>
      <w:r>
        <w:rPr>
          <w:sz w:val="28"/>
          <w:szCs w:val="28"/>
        </w:rPr>
        <w:instrText xml:space="preserve"> PAGEREF _Toc13104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_Toc30824 </w:instrText>
      </w:r>
      <w:r>
        <w:rPr>
          <w:sz w:val="28"/>
          <w:szCs w:val="28"/>
        </w:rPr>
        <w:fldChar w:fldCharType="separate"/>
      </w:r>
      <w:r>
        <w:rPr>
          <w:rFonts w:hint="eastAsia" w:hAnsi="Arial"/>
          <w:bCs/>
          <w:kern w:val="2"/>
          <w:sz w:val="28"/>
          <w:szCs w:val="28"/>
        </w:rPr>
        <w:t>第二章  磋商须知</w:t>
      </w:r>
      <w:r>
        <w:rPr>
          <w:sz w:val="28"/>
          <w:szCs w:val="28"/>
        </w:rPr>
        <w:tab/>
      </w:r>
      <w:r>
        <w:rPr>
          <w:sz w:val="28"/>
          <w:szCs w:val="28"/>
        </w:rPr>
        <w:fldChar w:fldCharType="begin"/>
      </w:r>
      <w:r>
        <w:rPr>
          <w:sz w:val="28"/>
          <w:szCs w:val="28"/>
        </w:rPr>
        <w:instrText xml:space="preserve"> PAGEREF _Toc30824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_Toc4190 </w:instrText>
      </w:r>
      <w:r>
        <w:rPr>
          <w:sz w:val="28"/>
          <w:szCs w:val="28"/>
        </w:rPr>
        <w:fldChar w:fldCharType="separate"/>
      </w:r>
      <w:r>
        <w:rPr>
          <w:rFonts w:hint="eastAsia"/>
          <w:bCs/>
          <w:sz w:val="28"/>
          <w:szCs w:val="28"/>
        </w:rPr>
        <w:t>第三章  供应商资格条件要求</w:t>
      </w:r>
      <w:r>
        <w:rPr>
          <w:sz w:val="28"/>
          <w:szCs w:val="28"/>
        </w:rPr>
        <w:tab/>
      </w:r>
      <w:r>
        <w:rPr>
          <w:sz w:val="28"/>
          <w:szCs w:val="28"/>
        </w:rPr>
        <w:fldChar w:fldCharType="begin"/>
      </w:r>
      <w:r>
        <w:rPr>
          <w:sz w:val="28"/>
          <w:szCs w:val="28"/>
        </w:rPr>
        <w:instrText xml:space="preserve"> PAGEREF _Toc4190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_Toc14752 </w:instrText>
      </w:r>
      <w:r>
        <w:rPr>
          <w:sz w:val="28"/>
          <w:szCs w:val="28"/>
        </w:rPr>
        <w:fldChar w:fldCharType="separate"/>
      </w:r>
      <w:r>
        <w:rPr>
          <w:rFonts w:hint="eastAsia" w:hAnsi="Arial"/>
          <w:bCs/>
          <w:kern w:val="2"/>
          <w:sz w:val="28"/>
          <w:szCs w:val="28"/>
        </w:rPr>
        <w:t>第四章  供应商资格证明材料</w:t>
      </w:r>
      <w:r>
        <w:rPr>
          <w:sz w:val="28"/>
          <w:szCs w:val="28"/>
        </w:rPr>
        <w:tab/>
      </w:r>
      <w:r>
        <w:rPr>
          <w:sz w:val="28"/>
          <w:szCs w:val="28"/>
        </w:rPr>
        <w:fldChar w:fldCharType="begin"/>
      </w:r>
      <w:r>
        <w:rPr>
          <w:sz w:val="28"/>
          <w:szCs w:val="28"/>
        </w:rPr>
        <w:instrText xml:space="preserve"> PAGEREF _Toc14752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_Toc32607 </w:instrText>
      </w:r>
      <w:r>
        <w:rPr>
          <w:sz w:val="28"/>
          <w:szCs w:val="28"/>
        </w:rPr>
        <w:fldChar w:fldCharType="separate"/>
      </w:r>
      <w:r>
        <w:rPr>
          <w:rFonts w:hint="eastAsia"/>
          <w:bCs/>
          <w:sz w:val="28"/>
          <w:szCs w:val="28"/>
        </w:rPr>
        <w:t>第五章  项目服务及商务要求</w:t>
      </w:r>
      <w:r>
        <w:rPr>
          <w:sz w:val="28"/>
          <w:szCs w:val="28"/>
        </w:rPr>
        <w:tab/>
      </w:r>
      <w:r>
        <w:rPr>
          <w:sz w:val="28"/>
          <w:szCs w:val="28"/>
        </w:rPr>
        <w:fldChar w:fldCharType="begin"/>
      </w:r>
      <w:r>
        <w:rPr>
          <w:sz w:val="28"/>
          <w:szCs w:val="28"/>
        </w:rPr>
        <w:instrText xml:space="preserve"> PAGEREF _Toc32607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_Toc7744 </w:instrText>
      </w:r>
      <w:r>
        <w:rPr>
          <w:sz w:val="28"/>
          <w:szCs w:val="28"/>
        </w:rPr>
        <w:fldChar w:fldCharType="separate"/>
      </w:r>
      <w:r>
        <w:rPr>
          <w:rFonts w:hint="eastAsia"/>
          <w:bCs/>
          <w:sz w:val="28"/>
          <w:szCs w:val="28"/>
        </w:rPr>
        <w:t>第六章  采购项目实质性要求</w:t>
      </w:r>
      <w:bookmarkStart w:id="2" w:name="_Hlt4329286"/>
      <w:bookmarkStart w:id="3" w:name="_Hlt4329285"/>
      <w:r>
        <w:rPr>
          <w:sz w:val="28"/>
          <w:szCs w:val="28"/>
        </w:rPr>
        <w:tab/>
      </w:r>
      <w:bookmarkEnd w:id="2"/>
      <w:bookmarkEnd w:id="3"/>
      <w:r>
        <w:rPr>
          <w:sz w:val="28"/>
          <w:szCs w:val="28"/>
        </w:rPr>
        <w:fldChar w:fldCharType="begin"/>
      </w:r>
      <w:r>
        <w:rPr>
          <w:sz w:val="28"/>
          <w:szCs w:val="28"/>
        </w:rPr>
        <w:instrText xml:space="preserve"> PAGEREF _Toc7744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_Toc4911 </w:instrText>
      </w:r>
      <w:r>
        <w:rPr>
          <w:sz w:val="28"/>
          <w:szCs w:val="28"/>
        </w:rPr>
        <w:fldChar w:fldCharType="separate"/>
      </w:r>
      <w:r>
        <w:rPr>
          <w:rFonts w:hint="eastAsia"/>
          <w:sz w:val="28"/>
          <w:szCs w:val="28"/>
        </w:rPr>
        <w:t>第七章  磋商内容、磋商过程中可实质性变动的内容</w:t>
      </w:r>
      <w:r>
        <w:rPr>
          <w:sz w:val="28"/>
          <w:szCs w:val="28"/>
        </w:rPr>
        <w:tab/>
      </w:r>
      <w:r>
        <w:rPr>
          <w:sz w:val="28"/>
          <w:szCs w:val="28"/>
        </w:rPr>
        <w:fldChar w:fldCharType="begin"/>
      </w:r>
      <w:r>
        <w:rPr>
          <w:sz w:val="28"/>
          <w:szCs w:val="28"/>
        </w:rPr>
        <w:instrText xml:space="preserve"> PAGEREF _Toc4911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_Toc6624 </w:instrText>
      </w:r>
      <w:r>
        <w:rPr>
          <w:sz w:val="28"/>
          <w:szCs w:val="28"/>
        </w:rPr>
        <w:fldChar w:fldCharType="separate"/>
      </w:r>
      <w:r>
        <w:rPr>
          <w:rFonts w:hint="eastAsia"/>
          <w:bCs/>
          <w:sz w:val="28"/>
          <w:szCs w:val="28"/>
        </w:rPr>
        <w:t>第八章  响应文件格式</w:t>
      </w:r>
      <w:r>
        <w:rPr>
          <w:sz w:val="28"/>
          <w:szCs w:val="28"/>
        </w:rPr>
        <w:tab/>
      </w:r>
      <w:r>
        <w:rPr>
          <w:sz w:val="28"/>
          <w:szCs w:val="28"/>
        </w:rPr>
        <w:fldChar w:fldCharType="begin"/>
      </w:r>
      <w:r>
        <w:rPr>
          <w:sz w:val="28"/>
          <w:szCs w:val="28"/>
        </w:rPr>
        <w:instrText xml:space="preserve"> PAGEREF _Toc6624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_Toc1731 </w:instrText>
      </w:r>
      <w:r>
        <w:rPr>
          <w:sz w:val="28"/>
          <w:szCs w:val="28"/>
        </w:rPr>
        <w:fldChar w:fldCharType="separate"/>
      </w:r>
      <w:r>
        <w:rPr>
          <w:rFonts w:hint="eastAsia"/>
          <w:bCs/>
          <w:sz w:val="28"/>
          <w:szCs w:val="28"/>
        </w:rPr>
        <w:t>第九章  评审方法</w:t>
      </w:r>
      <w:r>
        <w:rPr>
          <w:sz w:val="28"/>
          <w:szCs w:val="28"/>
        </w:rPr>
        <w:tab/>
      </w:r>
      <w:r>
        <w:rPr>
          <w:sz w:val="28"/>
          <w:szCs w:val="28"/>
        </w:rPr>
        <w:fldChar w:fldCharType="begin"/>
      </w:r>
      <w:r>
        <w:rPr>
          <w:sz w:val="28"/>
          <w:szCs w:val="28"/>
        </w:rPr>
        <w:instrText xml:space="preserve"> PAGEREF _Toc1731 </w:instrText>
      </w:r>
      <w:r>
        <w:rPr>
          <w:sz w:val="28"/>
          <w:szCs w:val="28"/>
        </w:rPr>
        <w:fldChar w:fldCharType="separate"/>
      </w:r>
      <w:r>
        <w:rPr>
          <w:sz w:val="28"/>
          <w:szCs w:val="28"/>
        </w:rPr>
        <w:t>50</w:t>
      </w:r>
      <w:r>
        <w:rPr>
          <w:sz w:val="28"/>
          <w:szCs w:val="28"/>
        </w:rPr>
        <w:fldChar w:fldCharType="end"/>
      </w:r>
      <w:r>
        <w:rPr>
          <w:sz w:val="28"/>
          <w:szCs w:val="28"/>
        </w:rPr>
        <w:fldChar w:fldCharType="end"/>
      </w:r>
    </w:p>
    <w:p>
      <w:pPr>
        <w:pStyle w:val="19"/>
        <w:tabs>
          <w:tab w:val="right" w:leader="dot" w:pos="8500"/>
        </w:tabs>
        <w:spacing w:line="360" w:lineRule="auto"/>
        <w:jc w:val="left"/>
        <w:rPr>
          <w:sz w:val="28"/>
          <w:szCs w:val="28"/>
        </w:rPr>
      </w:pPr>
      <w:r>
        <w:rPr>
          <w:sz w:val="28"/>
          <w:szCs w:val="28"/>
        </w:rPr>
        <w:fldChar w:fldCharType="begin"/>
      </w:r>
      <w:r>
        <w:rPr>
          <w:sz w:val="28"/>
          <w:szCs w:val="28"/>
        </w:rPr>
        <w:instrText xml:space="preserve"> HYPERLINK \l _Toc26854 </w:instrText>
      </w:r>
      <w:r>
        <w:rPr>
          <w:sz w:val="28"/>
          <w:szCs w:val="28"/>
        </w:rPr>
        <w:fldChar w:fldCharType="separate"/>
      </w:r>
      <w:r>
        <w:rPr>
          <w:rFonts w:hint="eastAsia"/>
          <w:bCs/>
          <w:sz w:val="28"/>
          <w:szCs w:val="28"/>
        </w:rPr>
        <w:t>第十章  合同主要条款</w:t>
      </w:r>
      <w:r>
        <w:rPr>
          <w:sz w:val="28"/>
          <w:szCs w:val="28"/>
        </w:rPr>
        <w:tab/>
      </w:r>
      <w:r>
        <w:rPr>
          <w:sz w:val="28"/>
          <w:szCs w:val="28"/>
        </w:rPr>
        <w:fldChar w:fldCharType="begin"/>
      </w:r>
      <w:r>
        <w:rPr>
          <w:sz w:val="28"/>
          <w:szCs w:val="28"/>
        </w:rPr>
        <w:instrText xml:space="preserve"> PAGEREF _Toc26854 </w:instrText>
      </w:r>
      <w:r>
        <w:rPr>
          <w:sz w:val="28"/>
          <w:szCs w:val="28"/>
        </w:rPr>
        <w:fldChar w:fldCharType="separate"/>
      </w:r>
      <w:r>
        <w:rPr>
          <w:sz w:val="28"/>
          <w:szCs w:val="28"/>
        </w:rPr>
        <w:t>64</w:t>
      </w:r>
      <w:r>
        <w:rPr>
          <w:sz w:val="28"/>
          <w:szCs w:val="28"/>
        </w:rPr>
        <w:fldChar w:fldCharType="end"/>
      </w:r>
      <w:r>
        <w:rPr>
          <w:sz w:val="28"/>
          <w:szCs w:val="28"/>
        </w:rPr>
        <w:fldChar w:fldCharType="end"/>
      </w:r>
    </w:p>
    <w:p>
      <w:pPr>
        <w:pStyle w:val="19"/>
        <w:tabs>
          <w:tab w:val="right" w:leader="dot" w:pos="8500"/>
        </w:tabs>
        <w:spacing w:line="360" w:lineRule="auto"/>
        <w:jc w:val="left"/>
      </w:pPr>
      <w:r>
        <w:rPr>
          <w:sz w:val="28"/>
          <w:szCs w:val="28"/>
        </w:rPr>
        <w:fldChar w:fldCharType="begin"/>
      </w:r>
      <w:r>
        <w:rPr>
          <w:sz w:val="28"/>
          <w:szCs w:val="28"/>
        </w:rPr>
        <w:instrText xml:space="preserve"> HYPERLINK \l _Toc2794 </w:instrText>
      </w:r>
      <w:r>
        <w:rPr>
          <w:sz w:val="28"/>
          <w:szCs w:val="28"/>
        </w:rPr>
        <w:fldChar w:fldCharType="separate"/>
      </w:r>
      <w:r>
        <w:rPr>
          <w:rFonts w:hint="eastAsia" w:hAnsi="Arial"/>
          <w:bCs/>
          <w:kern w:val="2"/>
          <w:sz w:val="28"/>
          <w:szCs w:val="28"/>
        </w:rPr>
        <w:t>附件</w:t>
      </w:r>
      <w:r>
        <w:rPr>
          <w:rFonts w:hint="eastAsia" w:hAnsi="Arial"/>
          <w:bCs/>
          <w:kern w:val="2"/>
          <w:sz w:val="28"/>
          <w:szCs w:val="28"/>
          <w:lang w:val="en-US" w:eastAsia="zh-CN"/>
        </w:rPr>
        <w:t>1</w:t>
      </w:r>
      <w:r>
        <w:rPr>
          <w:rFonts w:hint="eastAsia" w:hAnsi="Arial"/>
          <w:bCs/>
          <w:kern w:val="2"/>
          <w:sz w:val="28"/>
          <w:szCs w:val="28"/>
        </w:rPr>
        <w:t xml:space="preserve">   最后报价表</w:t>
      </w:r>
      <w:r>
        <w:rPr>
          <w:sz w:val="28"/>
          <w:szCs w:val="28"/>
        </w:rPr>
        <w:tab/>
      </w:r>
      <w:r>
        <w:rPr>
          <w:sz w:val="28"/>
          <w:szCs w:val="28"/>
        </w:rPr>
        <w:fldChar w:fldCharType="begin"/>
      </w:r>
      <w:r>
        <w:rPr>
          <w:sz w:val="28"/>
          <w:szCs w:val="28"/>
        </w:rPr>
        <w:instrText xml:space="preserve"> PAGEREF _Toc2794 </w:instrText>
      </w:r>
      <w:r>
        <w:rPr>
          <w:sz w:val="28"/>
          <w:szCs w:val="28"/>
        </w:rPr>
        <w:fldChar w:fldCharType="separate"/>
      </w:r>
      <w:r>
        <w:rPr>
          <w:sz w:val="28"/>
          <w:szCs w:val="28"/>
        </w:rPr>
        <w:t>71</w:t>
      </w:r>
      <w:r>
        <w:rPr>
          <w:sz w:val="28"/>
          <w:szCs w:val="28"/>
        </w:rPr>
        <w:fldChar w:fldCharType="end"/>
      </w:r>
      <w:r>
        <w:rPr>
          <w:sz w:val="28"/>
          <w:szCs w:val="28"/>
        </w:rPr>
        <w:fldChar w:fldCharType="end"/>
      </w:r>
    </w:p>
    <w:p>
      <w:pPr>
        <w:pStyle w:val="62"/>
        <w:tabs>
          <w:tab w:val="right" w:leader="dot" w:pos="8500"/>
        </w:tabs>
      </w:pPr>
      <w:r>
        <w:fldChar w:fldCharType="end"/>
      </w:r>
    </w:p>
    <w:p>
      <w:pPr>
        <w:tabs>
          <w:tab w:val="left" w:pos="1295"/>
        </w:tabs>
        <w:spacing w:line="480" w:lineRule="auto"/>
        <w:rPr>
          <w:rFonts w:hint="eastAsia" w:eastAsia="宋体"/>
          <w:lang w:eastAsia="zh-CN"/>
        </w:rPr>
      </w:pPr>
      <w:r>
        <w:rPr>
          <w:rFonts w:hint="eastAsia"/>
          <w:lang w:eastAsia="zh-CN"/>
        </w:rPr>
        <w:tab/>
      </w:r>
    </w:p>
    <w:p>
      <w:pPr>
        <w:pStyle w:val="62"/>
        <w:tabs>
          <w:tab w:val="right" w:leader="dot" w:pos="8306"/>
        </w:tabs>
        <w:spacing w:line="480" w:lineRule="auto"/>
        <w:rPr>
          <w:b/>
          <w:bCs/>
        </w:rPr>
      </w:pPr>
    </w:p>
    <w:p>
      <w:pPr>
        <w:spacing w:line="480" w:lineRule="auto"/>
        <w:ind w:firstLine="482" w:firstLineChars="200"/>
        <w:rPr>
          <w:rFonts w:hint="eastAsia" w:hAnsi="宋体"/>
          <w:b/>
          <w:bCs/>
          <w:sz w:val="24"/>
        </w:rPr>
      </w:pPr>
    </w:p>
    <w:p>
      <w:pPr>
        <w:spacing w:line="480" w:lineRule="auto"/>
        <w:ind w:firstLine="480" w:firstLineChars="200"/>
        <w:rPr>
          <w:rFonts w:hint="eastAsia" w:hAnsi="宋体"/>
          <w:bCs/>
          <w:sz w:val="24"/>
        </w:rPr>
      </w:pPr>
    </w:p>
    <w:p>
      <w:pPr>
        <w:ind w:firstLine="480" w:firstLineChars="200"/>
        <w:rPr>
          <w:rFonts w:hint="eastAsia" w:hAnsi="宋体"/>
          <w:bCs/>
          <w:sz w:val="24"/>
        </w:rPr>
      </w:pPr>
    </w:p>
    <w:p>
      <w:pPr>
        <w:ind w:firstLine="480" w:firstLineChars="200"/>
        <w:rPr>
          <w:rFonts w:hint="eastAsia" w:hAnsi="宋体"/>
          <w:bCs/>
          <w:sz w:val="24"/>
        </w:rPr>
      </w:pPr>
    </w:p>
    <w:p>
      <w:pPr>
        <w:pStyle w:val="3"/>
        <w:keepNext w:val="0"/>
        <w:keepLines w:val="0"/>
        <w:spacing w:line="240" w:lineRule="atLeast"/>
        <w:rPr>
          <w:rFonts w:hint="eastAsia" w:hAnsi="Arial"/>
          <w:b w:val="0"/>
          <w:bCs w:val="0"/>
          <w:kern w:val="2"/>
          <w:sz w:val="36"/>
          <w:szCs w:val="32"/>
        </w:rPr>
      </w:pPr>
      <w:bookmarkStart w:id="4" w:name="_Toc17152"/>
      <w:bookmarkStart w:id="5" w:name="_Toc13104"/>
      <w:bookmarkStart w:id="6" w:name="_Toc31685"/>
      <w:bookmarkStart w:id="7" w:name="_Toc9504"/>
      <w:bookmarkStart w:id="8" w:name="_Toc20201"/>
    </w:p>
    <w:p>
      <w:pPr>
        <w:pStyle w:val="3"/>
        <w:keepNext w:val="0"/>
        <w:keepLines w:val="0"/>
        <w:spacing w:line="240" w:lineRule="atLeast"/>
        <w:rPr>
          <w:rFonts w:hint="eastAsia" w:hAnsi="Arial"/>
          <w:kern w:val="2"/>
          <w:sz w:val="36"/>
          <w:szCs w:val="32"/>
        </w:rPr>
        <w:sectPr>
          <w:headerReference r:id="rId4" w:type="default"/>
          <w:footerReference r:id="rId5" w:type="default"/>
          <w:pgSz w:w="11850" w:h="16783"/>
          <w:pgMar w:top="1440" w:right="1550" w:bottom="1440" w:left="1800" w:header="851" w:footer="992" w:gutter="0"/>
          <w:pgNumType w:fmt="numberInDash" w:start="1"/>
          <w:cols w:space="720" w:num="1"/>
          <w:docGrid w:type="lines" w:linePitch="312" w:charSpace="0"/>
        </w:sectPr>
      </w:pPr>
    </w:p>
    <w:p>
      <w:pPr>
        <w:pStyle w:val="3"/>
        <w:keepNext w:val="0"/>
        <w:keepLines w:val="0"/>
        <w:spacing w:line="240" w:lineRule="atLeast"/>
        <w:rPr>
          <w:rFonts w:hint="eastAsia"/>
        </w:rPr>
      </w:pPr>
      <w:r>
        <w:rPr>
          <w:rFonts w:hint="eastAsia" w:hAnsi="Arial"/>
          <w:kern w:val="2"/>
          <w:sz w:val="36"/>
          <w:szCs w:val="32"/>
        </w:rPr>
        <w:t>第一章  磋商邀请</w:t>
      </w:r>
      <w:bookmarkEnd w:id="4"/>
      <w:bookmarkEnd w:id="5"/>
      <w:bookmarkEnd w:id="6"/>
      <w:bookmarkEnd w:id="7"/>
      <w:bookmarkEnd w:id="8"/>
    </w:p>
    <w:p>
      <w:pPr>
        <w:spacing w:line="560" w:lineRule="exact"/>
        <w:ind w:firstLine="480" w:firstLineChars="200"/>
        <w:jc w:val="left"/>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（采购代理机构）受</w:t>
      </w:r>
      <w:r>
        <w:rPr>
          <w:rFonts w:hint="eastAsia" w:hAnsi="宋体" w:cs="宋体"/>
          <w:sz w:val="24"/>
          <w:szCs w:val="22"/>
          <w:u w:val="single"/>
          <w:lang w:val="en-US" w:eastAsia="zh-CN"/>
        </w:rPr>
        <w:t>成都市成华区规划和自然资源局</w:t>
      </w:r>
      <w:r>
        <w:rPr>
          <w:rFonts w:hint="eastAsia" w:hAnsi="宋体" w:cs="宋体"/>
          <w:bCs/>
          <w:sz w:val="24"/>
        </w:rPr>
        <w:t>（采购人）</w:t>
      </w:r>
      <w:r>
        <w:rPr>
          <w:rFonts w:hint="eastAsia" w:hAnsi="宋体" w:cs="宋体"/>
          <w:sz w:val="24"/>
        </w:rPr>
        <w:t>委托，拟对</w:t>
      </w:r>
      <w:r>
        <w:rPr>
          <w:rFonts w:hint="eastAsia" w:hAnsi="宋体" w:cs="宋体"/>
          <w:sz w:val="24"/>
          <w:szCs w:val="32"/>
          <w:u w:val="single"/>
          <w:lang w:val="en-US" w:eastAsia="zh-CN"/>
        </w:rPr>
        <w:t>成华区耕地后备资源调查评价工作</w:t>
      </w:r>
      <w:r>
        <w:rPr>
          <w:rFonts w:hint="eastAsia" w:hAnsi="宋体" w:cs="宋体"/>
          <w:sz w:val="24"/>
          <w:szCs w:val="32"/>
        </w:rPr>
        <w:t>采用</w:t>
      </w:r>
      <w:r>
        <w:rPr>
          <w:rFonts w:hint="eastAsia" w:hAnsi="宋体" w:cs="宋体"/>
          <w:sz w:val="24"/>
          <w:szCs w:val="32"/>
          <w:u w:val="single"/>
        </w:rPr>
        <w:t>竞争性磋商</w:t>
      </w:r>
      <w:r>
        <w:rPr>
          <w:rFonts w:hint="eastAsia" w:hAnsi="宋体" w:cs="宋体"/>
          <w:sz w:val="24"/>
          <w:szCs w:val="32"/>
        </w:rPr>
        <w:t>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eastAsia" w:hAnsi="宋体" w:cs="宋体"/>
          <w:sz w:val="24"/>
        </w:rPr>
      </w:pPr>
      <w:r>
        <w:rPr>
          <w:rFonts w:hint="eastAsia" w:hAnsi="宋体" w:cs="宋体"/>
          <w:sz w:val="24"/>
        </w:rPr>
        <w:t>1.采购项目编号：</w:t>
      </w:r>
      <w:r>
        <w:rPr>
          <w:rFonts w:hint="eastAsia" w:hAnsi="宋体" w:cs="宋体"/>
          <w:sz w:val="24"/>
        </w:rPr>
        <w:tab/>
      </w:r>
      <w:r>
        <w:rPr>
          <w:rFonts w:hint="eastAsia" w:hAnsi="宋体" w:cs="宋体"/>
          <w:sz w:val="24"/>
        </w:rPr>
        <w:t xml:space="preserve">以四川政府采购网系统生成编号为准  </w:t>
      </w:r>
    </w:p>
    <w:p>
      <w:pPr>
        <w:spacing w:line="360" w:lineRule="auto"/>
        <w:ind w:firstLine="480" w:firstLineChars="200"/>
        <w:rPr>
          <w:rFonts w:hint="eastAsia" w:hAnsi="宋体" w:cs="宋体"/>
          <w:sz w:val="24"/>
          <w:lang w:eastAsia="zh-CN"/>
        </w:rPr>
      </w:pPr>
      <w:r>
        <w:rPr>
          <w:rFonts w:hint="eastAsia" w:hAnsi="宋体" w:cs="宋体"/>
          <w:sz w:val="24"/>
        </w:rPr>
        <w:t>2.采购项目名称：</w:t>
      </w:r>
      <w:r>
        <w:rPr>
          <w:rFonts w:hint="eastAsia" w:hAnsi="宋体" w:cs="宋体"/>
          <w:sz w:val="24"/>
          <w:lang w:val="en-US" w:eastAsia="zh-CN"/>
        </w:rPr>
        <w:t>成华区耕地后备资源调查评价工作</w:t>
      </w:r>
    </w:p>
    <w:p>
      <w:pPr>
        <w:spacing w:line="360" w:lineRule="auto"/>
        <w:ind w:firstLine="480" w:firstLineChars="200"/>
        <w:rPr>
          <w:rFonts w:hint="eastAsia" w:hAnsi="宋体" w:cs="宋体"/>
          <w:sz w:val="24"/>
          <w:szCs w:val="22"/>
        </w:rPr>
      </w:pPr>
      <w:r>
        <w:rPr>
          <w:rFonts w:hint="eastAsia" w:hAnsi="宋体" w:cs="宋体"/>
          <w:sz w:val="24"/>
        </w:rPr>
        <w:t>3.</w:t>
      </w:r>
      <w:r>
        <w:rPr>
          <w:rFonts w:hint="eastAsia" w:hAnsi="宋体" w:cs="宋体"/>
          <w:sz w:val="24"/>
          <w:szCs w:val="22"/>
        </w:rPr>
        <w:t>采购人：</w:t>
      </w:r>
      <w:r>
        <w:rPr>
          <w:rFonts w:hint="eastAsia" w:hAnsi="宋体" w:cs="宋体"/>
          <w:sz w:val="24"/>
          <w:szCs w:val="22"/>
          <w:lang w:val="en-US" w:eastAsia="zh-CN"/>
        </w:rPr>
        <w:t>成都市成华区规划和自然资源局</w:t>
      </w:r>
    </w:p>
    <w:p>
      <w:pPr>
        <w:spacing w:line="360" w:lineRule="auto"/>
        <w:ind w:firstLine="480" w:firstLineChars="200"/>
        <w:rPr>
          <w:rFonts w:hint="eastAsia" w:hAnsi="宋体" w:cs="宋体"/>
          <w:sz w:val="24"/>
        </w:rPr>
      </w:pPr>
      <w:r>
        <w:rPr>
          <w:rFonts w:hint="eastAsia" w:hAnsi="宋体" w:cs="宋体"/>
          <w:sz w:val="24"/>
        </w:rPr>
        <w:t>4.采购代理机构：四川华驰工程项目管理有限公司</w:t>
      </w:r>
    </w:p>
    <w:p>
      <w:pPr>
        <w:spacing w:line="360" w:lineRule="auto"/>
        <w:ind w:firstLine="480" w:firstLineChars="200"/>
        <w:rPr>
          <w:rFonts w:hint="eastAsia" w:hAnsi="宋体" w:cs="宋体"/>
          <w:sz w:val="24"/>
        </w:rPr>
      </w:pPr>
      <w:r>
        <w:rPr>
          <w:rFonts w:hint="eastAsia" w:hAnsi="宋体" w:cs="宋体"/>
          <w:sz w:val="24"/>
        </w:rPr>
        <w:t>二、资金情况</w:t>
      </w:r>
    </w:p>
    <w:p>
      <w:pPr>
        <w:spacing w:line="360" w:lineRule="auto"/>
        <w:ind w:firstLine="480" w:firstLineChars="200"/>
        <w:rPr>
          <w:rFonts w:hint="eastAsia" w:hAnsi="宋体" w:cs="宋体"/>
          <w:b/>
          <w:bCs/>
          <w:sz w:val="24"/>
        </w:rPr>
      </w:pPr>
      <w:r>
        <w:rPr>
          <w:rFonts w:hint="eastAsia" w:hAnsi="宋体" w:cs="宋体"/>
          <w:sz w:val="24"/>
        </w:rPr>
        <w:t>资金来源及金额：财政性资</w:t>
      </w:r>
      <w:r>
        <w:rPr>
          <w:rFonts w:hint="eastAsia" w:hAnsi="宋体" w:cs="宋体"/>
          <w:sz w:val="24"/>
          <w:highlight w:val="none"/>
        </w:rPr>
        <w:t>金</w:t>
      </w:r>
      <w:r>
        <w:rPr>
          <w:rFonts w:hint="eastAsia" w:hAnsi="宋体" w:cs="宋体"/>
          <w:sz w:val="24"/>
          <w:highlight w:val="none"/>
          <w:u w:val="single"/>
        </w:rPr>
        <w:t xml:space="preserve"> </w:t>
      </w:r>
      <w:r>
        <w:rPr>
          <w:rFonts w:hint="eastAsia" w:hAnsi="宋体" w:cs="宋体"/>
          <w:color w:val="000000"/>
          <w:sz w:val="24"/>
          <w:highlight w:val="none"/>
          <w:u w:val="single"/>
        </w:rPr>
        <w:t xml:space="preserve"> </w:t>
      </w:r>
      <w:r>
        <w:rPr>
          <w:rFonts w:hint="eastAsia" w:hAnsi="宋体" w:cs="宋体"/>
          <w:color w:val="000000"/>
          <w:sz w:val="24"/>
          <w:highlight w:val="none"/>
          <w:u w:val="single"/>
          <w:lang w:val="en-US" w:eastAsia="zh-CN"/>
        </w:rPr>
        <w:t xml:space="preserve">40 </w:t>
      </w:r>
      <w:r>
        <w:rPr>
          <w:rFonts w:hint="eastAsia" w:hAnsi="宋体" w:cs="宋体"/>
          <w:sz w:val="24"/>
          <w:highlight w:val="none"/>
          <w:u w:val="single"/>
        </w:rPr>
        <w:t xml:space="preserve"> </w:t>
      </w:r>
      <w:r>
        <w:rPr>
          <w:rFonts w:hint="eastAsia" w:hAnsi="宋体" w:cs="宋体"/>
          <w:sz w:val="24"/>
          <w:highlight w:val="none"/>
        </w:rPr>
        <w:t>万</w:t>
      </w:r>
      <w:r>
        <w:rPr>
          <w:rFonts w:hint="eastAsia" w:hAnsi="宋体" w:cs="宋体"/>
          <w:sz w:val="24"/>
        </w:rPr>
        <w:t>元。</w:t>
      </w:r>
    </w:p>
    <w:p>
      <w:pPr>
        <w:spacing w:line="360" w:lineRule="auto"/>
        <w:ind w:firstLine="480" w:firstLineChars="200"/>
        <w:rPr>
          <w:rFonts w:hint="eastAsia" w:hAnsi="宋体" w:cs="宋体"/>
          <w:sz w:val="24"/>
          <w:szCs w:val="28"/>
        </w:rPr>
      </w:pPr>
      <w:r>
        <w:rPr>
          <w:rFonts w:hint="eastAsia" w:hAnsi="宋体" w:cs="宋体"/>
          <w:sz w:val="24"/>
          <w:szCs w:val="22"/>
        </w:rPr>
        <w:t>三、采购项目简介：</w:t>
      </w:r>
      <w:r>
        <w:rPr>
          <w:rFonts w:hint="eastAsia" w:hAnsi="宋体" w:cs="宋体"/>
          <w:sz w:val="24"/>
        </w:rPr>
        <w:t>详见磋商文件第五章。</w:t>
      </w:r>
    </w:p>
    <w:p>
      <w:pPr>
        <w:spacing w:after="120" w:line="360" w:lineRule="auto"/>
        <w:ind w:firstLine="480" w:firstLineChars="200"/>
        <w:jc w:val="left"/>
        <w:rPr>
          <w:rFonts w:hint="eastAsia" w:hAnsi="宋体" w:cs="宋体"/>
          <w:bCs/>
          <w:sz w:val="24"/>
        </w:rPr>
      </w:pPr>
      <w:r>
        <w:rPr>
          <w:rFonts w:hint="eastAsia" w:hAnsi="宋体" w:cs="宋体"/>
          <w:sz w:val="24"/>
          <w:szCs w:val="22"/>
        </w:rPr>
        <w:t>四、供应商邀请方式：</w:t>
      </w:r>
      <w:r>
        <w:rPr>
          <w:rFonts w:hint="eastAsia" w:hAnsi="宋体" w:cs="宋体"/>
          <w:bCs/>
          <w:sz w:val="24"/>
        </w:rPr>
        <w:t>本磋商邀请拟在</w:t>
      </w:r>
      <w:r>
        <w:rPr>
          <w:rFonts w:hint="eastAsia" w:hAnsi="宋体" w:cs="宋体"/>
          <w:bCs/>
          <w:sz w:val="24"/>
          <w:u w:val="single"/>
        </w:rPr>
        <w:t>四川政府采购网</w:t>
      </w:r>
      <w:r>
        <w:rPr>
          <w:rFonts w:hint="eastAsia" w:hAnsi="宋体" w:cs="宋体"/>
          <w:bCs/>
          <w:sz w:val="24"/>
        </w:rPr>
        <w:t>上发布磋商公告的形式邀请供应商。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五、供应商参加本次政府采购活动应具备下列条件：</w:t>
      </w:r>
    </w:p>
    <w:p>
      <w:pPr>
        <w:pStyle w:val="74"/>
        <w:ind w:firstLine="600" w:firstLineChars="250"/>
        <w:rPr>
          <w:rFonts w:hint="eastAsia" w:hAnsi="宋体" w:cs="宋体"/>
          <w:sz w:val="24"/>
        </w:rPr>
      </w:pPr>
      <w:r>
        <w:rPr>
          <w:rFonts w:hint="eastAsia" w:hAnsi="宋体" w:cs="宋体"/>
          <w:sz w:val="24"/>
        </w:rPr>
        <w:t>1.具有独立承担民事责任的能力；</w:t>
      </w:r>
    </w:p>
    <w:p>
      <w:pPr>
        <w:tabs>
          <w:tab w:val="left" w:pos="7665"/>
        </w:tabs>
        <w:spacing w:line="360" w:lineRule="auto"/>
        <w:ind w:firstLine="600" w:firstLineChars="250"/>
        <w:rPr>
          <w:rFonts w:hint="eastAsia" w:hAnsi="宋体" w:cs="宋体"/>
          <w:sz w:val="24"/>
        </w:rPr>
      </w:pPr>
      <w:r>
        <w:rPr>
          <w:rFonts w:hint="eastAsia" w:hAnsi="宋体" w:cs="宋体"/>
          <w:sz w:val="24"/>
        </w:rPr>
        <w:t>2.具有良好的商业信誉和健全的财务会计制度；</w:t>
      </w:r>
    </w:p>
    <w:p>
      <w:pPr>
        <w:tabs>
          <w:tab w:val="left" w:pos="7665"/>
        </w:tabs>
        <w:spacing w:line="360" w:lineRule="auto"/>
        <w:ind w:firstLine="600" w:firstLineChars="250"/>
        <w:rPr>
          <w:rFonts w:hint="eastAsia" w:hAnsi="宋体" w:cs="宋体"/>
          <w:sz w:val="24"/>
        </w:rPr>
      </w:pPr>
      <w:r>
        <w:rPr>
          <w:rFonts w:hint="eastAsia" w:hAnsi="宋体" w:cs="宋体"/>
          <w:sz w:val="24"/>
        </w:rPr>
        <w:t>3.具有履行合同所必须的设备和专业技术能力；</w:t>
      </w:r>
    </w:p>
    <w:p>
      <w:pPr>
        <w:tabs>
          <w:tab w:val="left" w:pos="7665"/>
        </w:tabs>
        <w:spacing w:line="360" w:lineRule="auto"/>
        <w:ind w:firstLine="600" w:firstLineChars="250"/>
        <w:rPr>
          <w:rFonts w:hint="eastAsia" w:hAnsi="宋体" w:cs="宋体"/>
          <w:sz w:val="24"/>
        </w:rPr>
      </w:pPr>
      <w:r>
        <w:rPr>
          <w:rFonts w:hint="eastAsia" w:hAnsi="宋体" w:cs="宋体"/>
          <w:sz w:val="24"/>
        </w:rPr>
        <w:t>4.具有依法缴纳税收和社会保障资金的良好记录；</w:t>
      </w:r>
    </w:p>
    <w:p>
      <w:pPr>
        <w:tabs>
          <w:tab w:val="left" w:pos="7665"/>
        </w:tabs>
        <w:spacing w:line="360" w:lineRule="auto"/>
        <w:ind w:firstLine="600" w:firstLineChars="250"/>
        <w:rPr>
          <w:rFonts w:hint="eastAsia" w:hAnsi="宋体" w:cs="宋体"/>
          <w:sz w:val="24"/>
        </w:rPr>
      </w:pPr>
      <w:r>
        <w:rPr>
          <w:rFonts w:hint="eastAsia" w:hAnsi="宋体" w:cs="宋体"/>
          <w:sz w:val="24"/>
        </w:rPr>
        <w:t>5.参加本次政府采购活动前三年内，在经营活动中没有重大违法记录；</w:t>
      </w:r>
    </w:p>
    <w:p>
      <w:pPr>
        <w:pStyle w:val="74"/>
        <w:ind w:firstLine="600" w:firstLineChars="250"/>
        <w:rPr>
          <w:rFonts w:hint="eastAsia" w:hAnsi="宋体" w:cs="宋体"/>
          <w:sz w:val="24"/>
        </w:rPr>
      </w:pPr>
      <w:r>
        <w:rPr>
          <w:rFonts w:hint="eastAsia" w:hAnsi="宋体" w:cs="宋体"/>
          <w:sz w:val="24"/>
        </w:rPr>
        <w:t>6.法律、行政法规规定的其他条件：参加本项目政府采购活动的供应商单位及其现任法定代表人、主要负责人前3年内不得具有行贿犯罪记录；</w:t>
      </w:r>
    </w:p>
    <w:p>
      <w:pPr>
        <w:pStyle w:val="74"/>
        <w:ind w:firstLine="720" w:firstLineChars="300"/>
        <w:jc w:val="left"/>
        <w:rPr>
          <w:rFonts w:hint="eastAsia" w:hAnsi="宋体" w:cs="宋体"/>
          <w:sz w:val="24"/>
          <w:szCs w:val="22"/>
          <w:highlight w:val="none"/>
          <w:lang w:eastAsia="zh-CN"/>
        </w:rPr>
      </w:pPr>
      <w:r>
        <w:rPr>
          <w:rFonts w:hint="eastAsia" w:hAnsi="宋体" w:cs="宋体"/>
          <w:sz w:val="24"/>
          <w:highlight w:val="none"/>
        </w:rPr>
        <w:t>7.采购人根据采购项目提出的特殊条件：</w:t>
      </w:r>
      <w:r>
        <w:rPr>
          <w:rFonts w:hint="eastAsia" w:hAnsi="宋体"/>
          <w:sz w:val="24"/>
          <w:szCs w:val="22"/>
          <w:highlight w:val="none"/>
          <w:lang w:eastAsia="zh-CN"/>
        </w:rPr>
        <w:t>供应商具有行政主管部门颁发的测绘资质乙级或以上资质证书，专业范围包括地理信息系统工程（专业子项包含地理信息数据处理）；按照《自然资源部办公厅关于开展测绘资质复审换证工作的通知》在递交响应文件之前已完成测绘资质复审换证的供应商，其要求为：具有行政主管部门颁发的测绘资质乙级或以上资质证书，专业范围包括地理信息系统工程。</w:t>
      </w:r>
    </w:p>
    <w:p>
      <w:pPr>
        <w:pStyle w:val="74"/>
        <w:ind w:firstLine="600" w:firstLineChars="250"/>
        <w:rPr>
          <w:rFonts w:hint="default" w:ascii="宋体" w:hAnsi="宋体" w:eastAsia="宋体" w:cs="宋体"/>
          <w:sz w:val="24"/>
          <w:lang w:val="en-US" w:eastAsia="zh-CN"/>
        </w:rPr>
      </w:pPr>
      <w:r>
        <w:rPr>
          <w:rFonts w:hint="eastAsia" w:hAnsi="宋体" w:cs="宋体"/>
          <w:sz w:val="24"/>
          <w:lang w:val="en-US" w:eastAsia="zh-CN"/>
        </w:rPr>
        <w:t>8.</w:t>
      </w:r>
      <w:r>
        <w:rPr>
          <w:rFonts w:hint="eastAsia" w:ascii="宋体" w:hAnsi="宋体" w:eastAsia="宋体" w:cs="宋体"/>
          <w:sz w:val="24"/>
          <w:lang w:val="en-US" w:eastAsia="zh-CN"/>
        </w:rPr>
        <w:t>本项目专门面向中小企业（含残疾人福利性单位、监狱企业）采购。</w:t>
      </w:r>
    </w:p>
    <w:p>
      <w:pPr>
        <w:pStyle w:val="74"/>
        <w:ind w:firstLine="600" w:firstLineChars="250"/>
        <w:rPr>
          <w:rFonts w:hint="eastAsia" w:hAnsi="宋体" w:cs="宋体"/>
          <w:sz w:val="24"/>
          <w:szCs w:val="22"/>
        </w:rPr>
      </w:pPr>
      <w:r>
        <w:rPr>
          <w:rFonts w:hint="eastAsia" w:hAnsi="宋体" w:cs="宋体"/>
          <w:sz w:val="24"/>
          <w:szCs w:val="22"/>
          <w:lang w:val="en-US" w:eastAsia="zh-CN"/>
        </w:rPr>
        <w:t>9</w:t>
      </w:r>
      <w:r>
        <w:rPr>
          <w:rFonts w:hint="eastAsia" w:hAnsi="宋体" w:cs="宋体"/>
          <w:sz w:val="24"/>
          <w:szCs w:val="22"/>
        </w:rPr>
        <w:t>.本项目不接受联合体磋商。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六、禁止参加本次采购活动的供应商</w:t>
      </w:r>
    </w:p>
    <w:p>
      <w:pPr>
        <w:spacing w:line="360" w:lineRule="auto"/>
        <w:ind w:firstLine="480" w:firstLineChars="200"/>
        <w:rPr>
          <w:rFonts w:hint="eastAsia" w:hAnsi="宋体" w:cs="宋体"/>
          <w:sz w:val="24"/>
        </w:rPr>
      </w:pPr>
      <w:r>
        <w:rPr>
          <w:rFonts w:hint="eastAsia" w:hAnsi="宋体" w:cs="宋体"/>
          <w:sz w:val="24"/>
        </w:rPr>
        <w:t>1.根据《关于在政府采购活动中查询及使用信用记录有关问题的通知》（财库〔2016〕125号）的要求，采购代理机构在</w:t>
      </w:r>
      <w:r>
        <w:rPr>
          <w:rFonts w:hint="eastAsia" w:hAnsi="宋体" w:cs="宋体"/>
          <w:sz w:val="24"/>
          <w:lang w:val="en-US" w:eastAsia="zh-CN"/>
        </w:rPr>
        <w:t>磋商当天</w:t>
      </w:r>
      <w:r>
        <w:rPr>
          <w:rFonts w:hint="eastAsia" w:hAnsi="宋体" w:cs="宋体"/>
          <w:sz w:val="24"/>
        </w:rPr>
        <w:t>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spacing w:line="360" w:lineRule="auto"/>
        <w:ind w:firstLine="480" w:firstLineChars="200"/>
        <w:rPr>
          <w:rFonts w:hint="eastAsia" w:hAnsi="宋体" w:cs="宋体"/>
          <w:sz w:val="24"/>
        </w:rPr>
      </w:pPr>
      <w:r>
        <w:rPr>
          <w:rFonts w:hint="eastAsia"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sz w:val="24"/>
          <w:szCs w:val="22"/>
        </w:rPr>
      </w:pPr>
      <w:r>
        <w:rPr>
          <w:rFonts w:hint="eastAsia" w:hAnsi="宋体" w:cs="宋体"/>
          <w:sz w:val="24"/>
          <w:szCs w:val="22"/>
        </w:rPr>
        <w:t>七、磋商文件获取时间、地点：</w:t>
      </w:r>
    </w:p>
    <w:p>
      <w:pPr>
        <w:spacing w:after="50" w:line="360" w:lineRule="auto"/>
        <w:ind w:firstLine="480" w:firstLineChars="200"/>
        <w:rPr>
          <w:rFonts w:hint="eastAsia"/>
          <w:sz w:val="24"/>
          <w:highlight w:val="none"/>
        </w:rPr>
      </w:pPr>
      <w:r>
        <w:rPr>
          <w:rFonts w:hint="eastAsia"/>
          <w:sz w:val="24"/>
          <w:highlight w:val="none"/>
          <w:lang w:eastAsia="zh-CN"/>
        </w:rPr>
        <w:t>磋商</w:t>
      </w:r>
      <w:r>
        <w:rPr>
          <w:rFonts w:hint="eastAsia"/>
          <w:sz w:val="24"/>
          <w:highlight w:val="none"/>
        </w:rPr>
        <w:t>文件获取时间： 2021年</w:t>
      </w:r>
      <w:r>
        <w:rPr>
          <w:rFonts w:hint="eastAsia"/>
          <w:sz w:val="24"/>
          <w:highlight w:val="none"/>
          <w:lang w:val="en-US" w:eastAsia="zh-CN"/>
        </w:rPr>
        <w:t>11</w:t>
      </w:r>
      <w:r>
        <w:rPr>
          <w:rFonts w:hint="eastAsia"/>
          <w:sz w:val="24"/>
          <w:highlight w:val="none"/>
        </w:rPr>
        <w:t>月</w:t>
      </w:r>
      <w:r>
        <w:rPr>
          <w:rFonts w:hint="eastAsia"/>
          <w:sz w:val="24"/>
          <w:highlight w:val="none"/>
          <w:lang w:val="en-US" w:eastAsia="zh-CN"/>
        </w:rPr>
        <w:t>26</w:t>
      </w:r>
      <w:r>
        <w:rPr>
          <w:rFonts w:hint="eastAsia"/>
          <w:sz w:val="24"/>
          <w:highlight w:val="none"/>
        </w:rPr>
        <w:t>日至2021年</w:t>
      </w:r>
      <w:r>
        <w:rPr>
          <w:rFonts w:hint="eastAsia"/>
          <w:sz w:val="24"/>
          <w:highlight w:val="none"/>
          <w:lang w:val="en-US" w:eastAsia="zh-CN"/>
        </w:rPr>
        <w:t>12</w:t>
      </w:r>
      <w:r>
        <w:rPr>
          <w:rFonts w:hint="eastAsia"/>
          <w:sz w:val="24"/>
          <w:highlight w:val="none"/>
        </w:rPr>
        <w:t>月</w:t>
      </w:r>
      <w:r>
        <w:rPr>
          <w:rFonts w:hint="eastAsia"/>
          <w:sz w:val="24"/>
          <w:highlight w:val="none"/>
          <w:lang w:val="en-US" w:eastAsia="zh-CN"/>
        </w:rPr>
        <w:t>3</w:t>
      </w:r>
      <w:r>
        <w:rPr>
          <w:rFonts w:hint="eastAsia"/>
          <w:sz w:val="24"/>
          <w:highlight w:val="none"/>
        </w:rPr>
        <w:t>日（北京时间）止。</w:t>
      </w:r>
    </w:p>
    <w:p>
      <w:pPr>
        <w:spacing w:after="50" w:line="360" w:lineRule="auto"/>
        <w:ind w:firstLine="480" w:firstLineChars="200"/>
        <w:rPr>
          <w:rFonts w:hint="eastAsia"/>
          <w:sz w:val="24"/>
          <w:highlight w:val="none"/>
        </w:rPr>
      </w:pPr>
      <w:r>
        <w:rPr>
          <w:rFonts w:hint="eastAsia"/>
          <w:sz w:val="24"/>
          <w:highlight w:val="none"/>
          <w:lang w:eastAsia="zh-CN"/>
        </w:rPr>
        <w:t>磋商</w:t>
      </w:r>
      <w:r>
        <w:rPr>
          <w:rFonts w:hint="eastAsia"/>
          <w:sz w:val="24"/>
          <w:highlight w:val="none"/>
        </w:rPr>
        <w:t>文件获取方式：</w:t>
      </w:r>
      <w:r>
        <w:rPr>
          <w:rFonts w:hint="eastAsia"/>
          <w:sz w:val="24"/>
          <w:highlight w:val="none"/>
          <w:lang w:eastAsia="zh-CN"/>
        </w:rPr>
        <w:t>供应商</w:t>
      </w:r>
      <w:r>
        <w:rPr>
          <w:rFonts w:hint="eastAsia"/>
          <w:sz w:val="24"/>
          <w:highlight w:val="none"/>
        </w:rPr>
        <w:t>从“政府采购云平台”获取采购文件（网址：https://www.zcygov.cn）。登录政府采购云平台—项目采购—获取采购文件—申请获取采购文件。</w:t>
      </w:r>
    </w:p>
    <w:p>
      <w:pPr>
        <w:spacing w:after="50" w:line="360" w:lineRule="auto"/>
        <w:ind w:firstLine="480" w:firstLineChars="200"/>
        <w:rPr>
          <w:rFonts w:hint="eastAsia"/>
          <w:sz w:val="24"/>
          <w:highlight w:val="none"/>
        </w:rPr>
      </w:pPr>
      <w:r>
        <w:rPr>
          <w:rFonts w:hint="eastAsia"/>
          <w:sz w:val="24"/>
          <w:highlight w:val="none"/>
        </w:rPr>
        <w:t>提示：</w:t>
      </w:r>
    </w:p>
    <w:p>
      <w:pPr>
        <w:spacing w:after="50" w:line="360" w:lineRule="auto"/>
        <w:ind w:firstLine="480" w:firstLineChars="200"/>
        <w:rPr>
          <w:rFonts w:hint="eastAsia"/>
          <w:sz w:val="24"/>
          <w:highlight w:val="none"/>
        </w:rPr>
      </w:pPr>
      <w:r>
        <w:rPr>
          <w:rFonts w:hint="eastAsia"/>
          <w:sz w:val="24"/>
          <w:highlight w:val="none"/>
        </w:rPr>
        <w:t>（1）本项目</w:t>
      </w:r>
      <w:r>
        <w:rPr>
          <w:rFonts w:hint="eastAsia"/>
          <w:sz w:val="24"/>
          <w:highlight w:val="none"/>
          <w:lang w:eastAsia="zh-CN"/>
        </w:rPr>
        <w:t>磋商</w:t>
      </w:r>
      <w:r>
        <w:rPr>
          <w:rFonts w:hint="eastAsia"/>
          <w:sz w:val="24"/>
          <w:highlight w:val="none"/>
        </w:rPr>
        <w:t>文件免费获取。</w:t>
      </w:r>
    </w:p>
    <w:p>
      <w:pPr>
        <w:spacing w:after="50" w:line="360" w:lineRule="auto"/>
        <w:ind w:firstLine="480" w:firstLineChars="200"/>
        <w:rPr>
          <w:rFonts w:hint="eastAsia"/>
          <w:sz w:val="24"/>
          <w:highlight w:val="none"/>
        </w:rPr>
      </w:pPr>
      <w:r>
        <w:rPr>
          <w:rFonts w:hint="eastAsia"/>
          <w:sz w:val="24"/>
          <w:highlight w:val="none"/>
        </w:rPr>
        <w:t>（2）</w:t>
      </w:r>
      <w:r>
        <w:rPr>
          <w:rFonts w:hint="eastAsia"/>
          <w:sz w:val="24"/>
          <w:highlight w:val="none"/>
          <w:lang w:eastAsia="zh-CN"/>
        </w:rPr>
        <w:t>供应商</w:t>
      </w:r>
      <w:r>
        <w:rPr>
          <w:rFonts w:hint="eastAsia"/>
          <w:sz w:val="24"/>
          <w:highlight w:val="none"/>
        </w:rPr>
        <w:t>只有在“政府采购云平台”完成获取</w:t>
      </w:r>
      <w:r>
        <w:rPr>
          <w:rFonts w:hint="eastAsia"/>
          <w:sz w:val="24"/>
          <w:highlight w:val="none"/>
          <w:lang w:val="en-US" w:eastAsia="zh-CN"/>
        </w:rPr>
        <w:t>采购文件</w:t>
      </w:r>
      <w:r>
        <w:rPr>
          <w:rFonts w:hint="eastAsia"/>
          <w:sz w:val="24"/>
          <w:highlight w:val="none"/>
        </w:rPr>
        <w:t>申请并下载</w:t>
      </w:r>
      <w:r>
        <w:rPr>
          <w:rFonts w:hint="eastAsia"/>
          <w:sz w:val="24"/>
          <w:highlight w:val="none"/>
          <w:lang w:eastAsia="zh-CN"/>
        </w:rPr>
        <w:t>磋商</w:t>
      </w:r>
      <w:r>
        <w:rPr>
          <w:rFonts w:hint="eastAsia"/>
          <w:sz w:val="24"/>
          <w:highlight w:val="none"/>
        </w:rPr>
        <w:t>文件后才视作依法参与本项目。如未在“政府采购云平台”内完成相关流程，引起的投标无效责任自负。</w:t>
      </w:r>
    </w:p>
    <w:p>
      <w:pPr>
        <w:spacing w:after="50" w:line="360" w:lineRule="auto"/>
        <w:ind w:firstLine="480" w:firstLineChars="200"/>
        <w:jc w:val="left"/>
        <w:rPr>
          <w:rFonts w:hint="eastAsia"/>
          <w:sz w:val="24"/>
          <w:highlight w:val="none"/>
        </w:rPr>
      </w:pPr>
      <w:r>
        <w:rPr>
          <w:rFonts w:hint="eastAsia"/>
          <w:sz w:val="24"/>
          <w:highlight w:val="none"/>
        </w:rPr>
        <w:t>（3）</w:t>
      </w:r>
      <w:r>
        <w:rPr>
          <w:rFonts w:hint="eastAsia"/>
          <w:sz w:val="24"/>
          <w:highlight w:val="none"/>
          <w:lang w:eastAsia="zh-CN"/>
        </w:rPr>
        <w:t>政府采购云平台供应商注册地址： https://middle.zcygov.cn/v-settle-front/registry</w:t>
      </w:r>
    </w:p>
    <w:p>
      <w:pPr>
        <w:spacing w:after="50" w:line="360" w:lineRule="auto"/>
        <w:ind w:firstLine="480" w:firstLineChars="200"/>
        <w:rPr>
          <w:rFonts w:hint="eastAsia" w:hAnsi="宋体" w:cs="宋体"/>
          <w:sz w:val="24"/>
        </w:rPr>
      </w:pPr>
      <w:r>
        <w:rPr>
          <w:rFonts w:hint="eastAsia" w:hAnsi="宋体" w:cs="宋体"/>
          <w:sz w:val="24"/>
          <w:szCs w:val="22"/>
        </w:rPr>
        <w:t>八、首次递交响应文件截止时间：</w:t>
      </w:r>
      <w:r>
        <w:rPr>
          <w:rFonts w:hint="eastAsia" w:hAnsi="宋体" w:cs="宋体"/>
          <w:b/>
          <w:sz w:val="24"/>
          <w:szCs w:val="28"/>
          <w:u w:val="single"/>
        </w:rPr>
        <w:t>2021年</w:t>
      </w:r>
      <w:r>
        <w:rPr>
          <w:rFonts w:hint="eastAsia" w:hAnsi="宋体" w:cs="宋体"/>
          <w:b/>
          <w:sz w:val="24"/>
          <w:szCs w:val="28"/>
          <w:u w:val="single"/>
          <w:lang w:val="en-US" w:eastAsia="zh-CN"/>
        </w:rPr>
        <w:t>12</w:t>
      </w:r>
      <w:r>
        <w:rPr>
          <w:rFonts w:hint="eastAsia" w:hAnsi="宋体" w:cs="宋体"/>
          <w:b/>
          <w:sz w:val="24"/>
          <w:szCs w:val="28"/>
          <w:u w:val="single"/>
        </w:rPr>
        <w:t>月</w:t>
      </w:r>
      <w:r>
        <w:rPr>
          <w:rFonts w:hint="eastAsia" w:hAnsi="宋体" w:cs="宋体"/>
          <w:b/>
          <w:sz w:val="24"/>
          <w:szCs w:val="28"/>
          <w:u w:val="single"/>
          <w:lang w:val="en-US" w:eastAsia="zh-CN"/>
        </w:rPr>
        <w:t>8</w:t>
      </w:r>
      <w:r>
        <w:rPr>
          <w:rFonts w:hint="eastAsia" w:hAnsi="宋体" w:cs="宋体"/>
          <w:b/>
          <w:sz w:val="24"/>
          <w:szCs w:val="28"/>
          <w:u w:val="single"/>
        </w:rPr>
        <w:t>日</w:t>
      </w:r>
      <w:r>
        <w:rPr>
          <w:rFonts w:hint="eastAsia" w:hAnsi="宋体" w:cs="宋体"/>
          <w:b/>
          <w:sz w:val="24"/>
          <w:szCs w:val="28"/>
          <w:u w:val="single"/>
          <w:lang w:val="en-US" w:eastAsia="zh-CN"/>
        </w:rPr>
        <w:t>13</w:t>
      </w:r>
      <w:r>
        <w:rPr>
          <w:rFonts w:hint="eastAsia" w:hAnsi="宋体" w:cs="宋体"/>
          <w:b/>
          <w:sz w:val="24"/>
          <w:szCs w:val="28"/>
          <w:u w:val="single"/>
        </w:rPr>
        <w:t>时</w:t>
      </w:r>
      <w:r>
        <w:rPr>
          <w:rFonts w:hint="eastAsia" w:hAnsi="宋体" w:cs="宋体"/>
          <w:b/>
          <w:sz w:val="24"/>
          <w:szCs w:val="28"/>
          <w:u w:val="single"/>
          <w:lang w:val="en-US" w:eastAsia="zh-CN"/>
        </w:rPr>
        <w:t>30</w:t>
      </w:r>
      <w:r>
        <w:rPr>
          <w:rFonts w:hint="eastAsia" w:hAnsi="宋体" w:cs="宋体"/>
          <w:b/>
          <w:sz w:val="24"/>
          <w:szCs w:val="28"/>
          <w:u w:val="single"/>
        </w:rPr>
        <w:t>分（北京时间）。</w:t>
      </w:r>
    </w:p>
    <w:p>
      <w:pPr>
        <w:spacing w:after="120" w:line="360" w:lineRule="auto"/>
        <w:ind w:firstLine="480" w:firstLineChars="200"/>
        <w:rPr>
          <w:rFonts w:hint="eastAsia" w:hAnsi="宋体" w:cs="宋体"/>
          <w:sz w:val="24"/>
          <w:szCs w:val="24"/>
        </w:rPr>
      </w:pPr>
      <w:r>
        <w:rPr>
          <w:rFonts w:hint="eastAsia" w:hAnsi="宋体" w:cs="宋体"/>
          <w:sz w:val="24"/>
          <w:szCs w:val="24"/>
        </w:rPr>
        <w:t>响应文件必须在首次递交响应文件截止时间前送达磋商地点。逾期送达</w:t>
      </w:r>
      <w:r>
        <w:rPr>
          <w:rFonts w:hint="eastAsia" w:hAnsi="宋体" w:cs="宋体"/>
          <w:sz w:val="24"/>
        </w:rPr>
        <w:t>或者未密封</w:t>
      </w:r>
      <w:r>
        <w:rPr>
          <w:rFonts w:hint="eastAsia" w:hAnsi="宋体" w:cs="宋体"/>
          <w:sz w:val="24"/>
          <w:szCs w:val="24"/>
        </w:rPr>
        <w:t>的响应文件,</w:t>
      </w:r>
      <w:r>
        <w:rPr>
          <w:rFonts w:hint="eastAsia" w:hAnsi="宋体" w:cs="宋体"/>
          <w:sz w:val="24"/>
        </w:rPr>
        <w:t>采购代理机构恕不接收</w:t>
      </w:r>
      <w:r>
        <w:rPr>
          <w:rFonts w:hint="eastAsia" w:hAnsi="宋体" w:cs="宋体"/>
          <w:sz w:val="24"/>
          <w:szCs w:val="24"/>
        </w:rPr>
        <w:t>。本次磋商不接受邮寄的响应文件。</w:t>
      </w:r>
    </w:p>
    <w:p>
      <w:pPr>
        <w:spacing w:after="120" w:line="360" w:lineRule="auto"/>
        <w:ind w:firstLine="480" w:firstLineChars="200"/>
        <w:rPr>
          <w:rFonts w:hint="eastAsia" w:hAnsi="宋体" w:cs="宋体"/>
          <w:sz w:val="24"/>
        </w:rPr>
      </w:pPr>
      <w:r>
        <w:rPr>
          <w:rFonts w:hint="eastAsia" w:hAnsi="宋体" w:cs="宋体"/>
          <w:sz w:val="24"/>
          <w:szCs w:val="22"/>
        </w:rPr>
        <w:t>九、首次递交响应文件地点：</w:t>
      </w:r>
      <w:r>
        <w:rPr>
          <w:rFonts w:hint="eastAsia" w:hAnsi="宋体" w:cs="宋体"/>
          <w:sz w:val="24"/>
          <w:u w:val="single"/>
        </w:rPr>
        <w:t>成都市武侯区武侯大道顺江段77号汇点广场3座9楼37-39号四川华驰工程项目管理有限公司开评标中心</w:t>
      </w:r>
      <w:r>
        <w:rPr>
          <w:rFonts w:hint="eastAsia" w:hAnsi="宋体" w:cs="宋体"/>
          <w:sz w:val="24"/>
        </w:rPr>
        <w:t>。</w:t>
      </w:r>
    </w:p>
    <w:p>
      <w:pPr>
        <w:spacing w:line="360" w:lineRule="auto"/>
        <w:ind w:firstLine="487" w:firstLineChars="203"/>
        <w:rPr>
          <w:rFonts w:hint="eastAsia" w:hAnsi="宋体" w:cs="宋体"/>
          <w:b/>
          <w:sz w:val="24"/>
          <w:szCs w:val="28"/>
        </w:rPr>
      </w:pPr>
      <w:r>
        <w:rPr>
          <w:rFonts w:hint="eastAsia" w:hAnsi="宋体" w:cs="宋体"/>
          <w:sz w:val="24"/>
          <w:szCs w:val="22"/>
        </w:rPr>
        <w:t>十、首次递交响应文件开启时间：</w:t>
      </w:r>
      <w:r>
        <w:rPr>
          <w:rFonts w:hint="eastAsia" w:hAnsi="宋体" w:cs="宋体"/>
          <w:b/>
          <w:sz w:val="24"/>
          <w:szCs w:val="28"/>
          <w:u w:val="single"/>
        </w:rPr>
        <w:t>2021年</w:t>
      </w:r>
      <w:r>
        <w:rPr>
          <w:rFonts w:hint="eastAsia" w:hAnsi="宋体" w:cs="宋体"/>
          <w:b/>
          <w:sz w:val="24"/>
          <w:szCs w:val="28"/>
          <w:u w:val="single"/>
          <w:lang w:val="en-US" w:eastAsia="zh-CN"/>
        </w:rPr>
        <w:t>12</w:t>
      </w:r>
      <w:r>
        <w:rPr>
          <w:rFonts w:hint="eastAsia" w:hAnsi="宋体" w:cs="宋体"/>
          <w:b/>
          <w:sz w:val="24"/>
          <w:szCs w:val="28"/>
          <w:u w:val="single"/>
        </w:rPr>
        <w:t>月</w:t>
      </w:r>
      <w:r>
        <w:rPr>
          <w:rFonts w:hint="eastAsia" w:hAnsi="宋体" w:cs="宋体"/>
          <w:b/>
          <w:sz w:val="24"/>
          <w:szCs w:val="28"/>
          <w:u w:val="single"/>
          <w:lang w:val="en-US" w:eastAsia="zh-CN"/>
        </w:rPr>
        <w:t>8</w:t>
      </w:r>
      <w:r>
        <w:rPr>
          <w:rFonts w:hint="eastAsia" w:hAnsi="宋体" w:cs="宋体"/>
          <w:b/>
          <w:sz w:val="24"/>
          <w:szCs w:val="28"/>
          <w:u w:val="single"/>
        </w:rPr>
        <w:t>日</w:t>
      </w:r>
      <w:r>
        <w:rPr>
          <w:rFonts w:hint="eastAsia" w:hAnsi="宋体" w:cs="宋体"/>
          <w:b/>
          <w:sz w:val="24"/>
          <w:szCs w:val="28"/>
          <w:u w:val="single"/>
          <w:lang w:val="en-US" w:eastAsia="zh-CN"/>
        </w:rPr>
        <w:t>13</w:t>
      </w:r>
      <w:r>
        <w:rPr>
          <w:rFonts w:hint="eastAsia" w:hAnsi="宋体" w:cs="宋体"/>
          <w:b/>
          <w:sz w:val="24"/>
          <w:szCs w:val="28"/>
          <w:u w:val="single"/>
        </w:rPr>
        <w:t>时</w:t>
      </w:r>
      <w:r>
        <w:rPr>
          <w:rFonts w:hint="eastAsia" w:hAnsi="宋体" w:cs="宋体"/>
          <w:b/>
          <w:sz w:val="24"/>
          <w:szCs w:val="28"/>
          <w:u w:val="single"/>
          <w:lang w:val="en-US" w:eastAsia="zh-CN"/>
        </w:rPr>
        <w:t>30</w:t>
      </w:r>
      <w:r>
        <w:rPr>
          <w:rFonts w:hint="eastAsia" w:hAnsi="宋体" w:cs="宋体"/>
          <w:b/>
          <w:sz w:val="24"/>
          <w:szCs w:val="28"/>
          <w:u w:val="single"/>
        </w:rPr>
        <w:t>分</w:t>
      </w:r>
      <w:r>
        <w:rPr>
          <w:rFonts w:hint="eastAsia" w:hAnsi="宋体" w:cs="宋体"/>
          <w:b/>
          <w:sz w:val="24"/>
          <w:szCs w:val="28"/>
        </w:rPr>
        <w:t xml:space="preserve">（北京时间）在磋商地点开启。  </w:t>
      </w:r>
    </w:p>
    <w:p>
      <w:pPr>
        <w:spacing w:line="360" w:lineRule="auto"/>
        <w:ind w:firstLine="487" w:firstLineChars="203"/>
        <w:rPr>
          <w:rFonts w:hint="eastAsia" w:ascii="黑体" w:hAnsi="宋体" w:eastAsia="黑体"/>
          <w:sz w:val="24"/>
          <w:szCs w:val="22"/>
        </w:rPr>
      </w:pPr>
      <w:r>
        <w:rPr>
          <w:rFonts w:hint="eastAsia" w:hAnsi="宋体" w:cs="宋体"/>
          <w:sz w:val="24"/>
          <w:szCs w:val="22"/>
        </w:rPr>
        <w:t>十一、磋商地点：</w:t>
      </w:r>
      <w:r>
        <w:rPr>
          <w:rFonts w:hint="eastAsia" w:hAnsi="宋体" w:cs="宋体"/>
          <w:b/>
          <w:bCs/>
          <w:sz w:val="24"/>
          <w:u w:val="single"/>
        </w:rPr>
        <w:t>成都市武侯区武侯大道顺江段77号汇点广场3座9楼37-39号四川华驰工程项目管理有限公司开评标中心。</w:t>
      </w:r>
      <w:r>
        <w:rPr>
          <w:rFonts w:hint="eastAsia" w:hAnsi="宋体" w:cs="宋体"/>
          <w:b/>
          <w:bCs/>
          <w:sz w:val="24"/>
          <w:szCs w:val="28"/>
        </w:rPr>
        <w:t xml:space="preserve"> </w:t>
      </w:r>
    </w:p>
    <w:p>
      <w:pPr>
        <w:spacing w:line="360" w:lineRule="auto"/>
        <w:ind w:firstLine="487" w:firstLineChars="203"/>
        <w:rPr>
          <w:rFonts w:hint="eastAsia" w:hAnsi="宋体" w:cs="宋体"/>
          <w:sz w:val="24"/>
          <w:szCs w:val="22"/>
        </w:rPr>
      </w:pPr>
      <w:r>
        <w:rPr>
          <w:rFonts w:hint="eastAsia" w:hAnsi="宋体" w:cs="宋体"/>
          <w:sz w:val="24"/>
          <w:szCs w:val="22"/>
        </w:rPr>
        <w:t>十二、联系方式</w:t>
      </w:r>
    </w:p>
    <w:p>
      <w:pPr>
        <w:pStyle w:val="74"/>
        <w:ind w:firstLine="482"/>
        <w:rPr>
          <w:rFonts w:hint="eastAsia" w:hAnsi="宋体" w:cs="宋体"/>
          <w:b/>
          <w:sz w:val="24"/>
          <w:szCs w:val="22"/>
        </w:rPr>
      </w:pPr>
      <w:r>
        <w:rPr>
          <w:rFonts w:hint="eastAsia" w:hAnsi="宋体" w:cs="宋体"/>
          <w:b/>
          <w:sz w:val="24"/>
          <w:szCs w:val="22"/>
        </w:rPr>
        <w:t>采 购 人：</w:t>
      </w:r>
      <w:r>
        <w:rPr>
          <w:rFonts w:hint="eastAsia" w:hAnsi="宋体" w:cs="宋体"/>
          <w:b/>
          <w:sz w:val="24"/>
          <w:szCs w:val="22"/>
          <w:lang w:val="en-US" w:eastAsia="zh-CN"/>
        </w:rPr>
        <w:t>成都市成华区规划和自然资源局</w:t>
      </w:r>
    </w:p>
    <w:p>
      <w:pPr>
        <w:pStyle w:val="74"/>
        <w:ind w:firstLine="480"/>
        <w:rPr>
          <w:rFonts w:hint="eastAsia" w:hAnsi="宋体" w:eastAsia="宋体" w:cs="宋体"/>
          <w:sz w:val="24"/>
          <w:szCs w:val="22"/>
          <w:lang w:val="en-US" w:eastAsia="zh-CN"/>
        </w:rPr>
      </w:pPr>
      <w:r>
        <w:rPr>
          <w:rFonts w:hint="eastAsia" w:hAnsi="宋体" w:cs="宋体"/>
          <w:sz w:val="24"/>
          <w:szCs w:val="22"/>
          <w:highlight w:val="none"/>
        </w:rPr>
        <w:t>地    址：</w:t>
      </w:r>
      <w:r>
        <w:rPr>
          <w:rFonts w:hint="eastAsia" w:hAnsi="宋体" w:cs="宋体"/>
          <w:sz w:val="24"/>
          <w:szCs w:val="22"/>
          <w:lang w:eastAsia="zh-CN"/>
        </w:rPr>
        <w:t>成都市成华区华泰路33号</w:t>
      </w:r>
    </w:p>
    <w:p>
      <w:pPr>
        <w:pStyle w:val="74"/>
        <w:ind w:firstLine="480"/>
        <w:rPr>
          <w:rFonts w:hint="eastAsia" w:hAnsi="宋体" w:eastAsia="宋体" w:cs="宋体"/>
          <w:sz w:val="24"/>
          <w:szCs w:val="22"/>
          <w:lang w:eastAsia="zh-CN"/>
        </w:rPr>
      </w:pPr>
      <w:r>
        <w:rPr>
          <w:rFonts w:hint="eastAsia" w:hAnsi="宋体" w:cs="宋体"/>
          <w:sz w:val="24"/>
          <w:szCs w:val="22"/>
        </w:rPr>
        <w:t>联 系 人：</w:t>
      </w:r>
      <w:r>
        <w:rPr>
          <w:rFonts w:hint="eastAsia" w:hAnsi="宋体" w:cs="宋体"/>
          <w:sz w:val="24"/>
          <w:szCs w:val="22"/>
          <w:lang w:eastAsia="zh-CN"/>
        </w:rPr>
        <w:t>李老师</w:t>
      </w:r>
    </w:p>
    <w:p>
      <w:pPr>
        <w:pStyle w:val="74"/>
        <w:ind w:firstLine="480"/>
        <w:rPr>
          <w:rFonts w:hint="eastAsia" w:ascii="宋体" w:hAnsi="宋体" w:eastAsia="宋体" w:cs="宋体"/>
          <w:sz w:val="24"/>
          <w:szCs w:val="22"/>
        </w:rPr>
      </w:pPr>
      <w:r>
        <w:rPr>
          <w:rFonts w:hint="eastAsia" w:ascii="宋体" w:hAnsi="宋体" w:eastAsia="宋体" w:cs="宋体"/>
          <w:sz w:val="24"/>
          <w:szCs w:val="22"/>
        </w:rPr>
        <w:t>联系电话：028-84306778</w:t>
      </w:r>
    </w:p>
    <w:p>
      <w:pPr>
        <w:pStyle w:val="74"/>
        <w:ind w:firstLine="480"/>
        <w:rPr>
          <w:rFonts w:hint="eastAsia" w:cs="宋体"/>
          <w:sz w:val="24"/>
        </w:rPr>
      </w:pPr>
    </w:p>
    <w:p>
      <w:pPr>
        <w:pStyle w:val="74"/>
        <w:ind w:firstLine="482"/>
        <w:rPr>
          <w:rFonts w:hint="eastAsia" w:hAnsi="宋体" w:cs="宋体"/>
          <w:b/>
          <w:sz w:val="24"/>
        </w:rPr>
      </w:pPr>
      <w:r>
        <w:rPr>
          <w:rFonts w:hint="eastAsia" w:hAnsi="宋体" w:cs="宋体"/>
          <w:b/>
          <w:sz w:val="24"/>
        </w:rPr>
        <w:t xml:space="preserve">采购代理机构：四川华驰工程项目管理有限公司 </w:t>
      </w:r>
    </w:p>
    <w:p>
      <w:pPr>
        <w:pStyle w:val="74"/>
        <w:ind w:firstLine="480"/>
        <w:rPr>
          <w:rFonts w:hint="eastAsia" w:hAnsi="宋体" w:cs="宋体"/>
          <w:sz w:val="24"/>
        </w:rPr>
      </w:pPr>
      <w:r>
        <w:rPr>
          <w:rFonts w:hint="eastAsia" w:hAnsi="宋体" w:cs="宋体"/>
          <w:sz w:val="24"/>
        </w:rPr>
        <w:t xml:space="preserve">地    址：成都市武侯区武侯大道顺江段77号汇点广场3栋8楼29-31号、9楼37-39号 </w:t>
      </w:r>
    </w:p>
    <w:p>
      <w:pPr>
        <w:pStyle w:val="74"/>
        <w:ind w:firstLine="480"/>
        <w:rPr>
          <w:rFonts w:hint="eastAsia" w:hAnsi="宋体" w:cs="宋体"/>
          <w:sz w:val="24"/>
        </w:rPr>
      </w:pPr>
      <w:r>
        <w:rPr>
          <w:rFonts w:hint="eastAsia" w:hAnsi="宋体" w:cs="宋体"/>
          <w:sz w:val="24"/>
        </w:rPr>
        <w:t>联 系 人：</w:t>
      </w:r>
      <w:r>
        <w:rPr>
          <w:rFonts w:hint="eastAsia" w:hAnsi="宋体" w:cs="宋体"/>
          <w:sz w:val="24"/>
          <w:lang w:eastAsia="zh-CN"/>
        </w:rPr>
        <w:t>刘老师</w:t>
      </w:r>
    </w:p>
    <w:p>
      <w:pPr>
        <w:pStyle w:val="74"/>
        <w:ind w:firstLine="480"/>
        <w:rPr>
          <w:rFonts w:hint="eastAsia"/>
          <w:sz w:val="24"/>
          <w:szCs w:val="24"/>
        </w:rPr>
      </w:pPr>
      <w:r>
        <w:rPr>
          <w:rFonts w:hint="eastAsia" w:hAnsi="宋体" w:cs="宋体"/>
          <w:sz w:val="24"/>
        </w:rPr>
        <w:t>联系电话：028-86582286</w:t>
      </w:r>
    </w:p>
    <w:p>
      <w:pPr>
        <w:pStyle w:val="3"/>
        <w:keepNext w:val="0"/>
        <w:keepLines w:val="0"/>
        <w:spacing w:line="240" w:lineRule="atLeast"/>
        <w:rPr>
          <w:rFonts w:hint="eastAsia"/>
          <w:sz w:val="36"/>
          <w:szCs w:val="36"/>
        </w:rPr>
      </w:pPr>
      <w:bookmarkStart w:id="9" w:name="_Toc213396945"/>
      <w:bookmarkStart w:id="10" w:name="_Toc213496267"/>
      <w:bookmarkStart w:id="11" w:name="_Toc213397009"/>
      <w:bookmarkStart w:id="12" w:name="_Toc213396759"/>
      <w:bookmarkStart w:id="13" w:name="_Toc217446031"/>
    </w:p>
    <w:p>
      <w:pPr>
        <w:pStyle w:val="3"/>
        <w:keepNext w:val="0"/>
        <w:keepLines w:val="0"/>
        <w:spacing w:line="240" w:lineRule="atLeast"/>
        <w:rPr>
          <w:rFonts w:hint="eastAsia"/>
          <w:sz w:val="36"/>
          <w:szCs w:val="36"/>
        </w:rPr>
      </w:pPr>
    </w:p>
    <w:p>
      <w:pPr>
        <w:pStyle w:val="3"/>
        <w:keepNext w:val="0"/>
        <w:keepLines w:val="0"/>
        <w:spacing w:line="240" w:lineRule="atLeast"/>
        <w:jc w:val="right"/>
        <w:rPr>
          <w:rFonts w:hint="eastAsia" w:hAnsi="宋体" w:cs="宋体"/>
          <w:kern w:val="2"/>
          <w:sz w:val="24"/>
          <w:szCs w:val="22"/>
        </w:rPr>
      </w:pPr>
      <w:r>
        <w:rPr>
          <w:rFonts w:hint="eastAsia" w:hAnsi="宋体" w:cs="宋体"/>
          <w:kern w:val="2"/>
          <w:sz w:val="24"/>
          <w:szCs w:val="22"/>
        </w:rPr>
        <w:t xml:space="preserve">                                       </w:t>
      </w:r>
      <w:bookmarkStart w:id="14" w:name="_Toc543"/>
      <w:bookmarkStart w:id="15" w:name="_Toc26339"/>
      <w:bookmarkStart w:id="16" w:name="_Toc23100"/>
    </w:p>
    <w:p>
      <w:pPr>
        <w:pStyle w:val="3"/>
        <w:keepNext w:val="0"/>
        <w:keepLines w:val="0"/>
        <w:spacing w:line="240" w:lineRule="atLeast"/>
        <w:rPr>
          <w:rFonts w:hint="eastAsia" w:hAnsi="宋体" w:cs="宋体"/>
          <w:kern w:val="2"/>
          <w:sz w:val="24"/>
          <w:szCs w:val="22"/>
        </w:rPr>
      </w:pPr>
    </w:p>
    <w:p>
      <w:pPr>
        <w:pStyle w:val="3"/>
        <w:keepNext w:val="0"/>
        <w:keepLines w:val="0"/>
        <w:spacing w:line="240" w:lineRule="atLeast"/>
        <w:jc w:val="both"/>
        <w:rPr>
          <w:rFonts w:hint="eastAsia" w:hAnsi="宋体" w:cs="宋体"/>
          <w:kern w:val="2"/>
          <w:sz w:val="24"/>
          <w:szCs w:val="22"/>
        </w:rPr>
      </w:pPr>
    </w:p>
    <w:p>
      <w:pPr>
        <w:rPr>
          <w:rFonts w:hint="eastAsia"/>
        </w:rPr>
      </w:pPr>
    </w:p>
    <w:p>
      <w:pPr>
        <w:pStyle w:val="3"/>
        <w:keepNext w:val="0"/>
        <w:keepLines w:val="0"/>
        <w:tabs>
          <w:tab w:val="left" w:pos="2706"/>
        </w:tabs>
        <w:spacing w:line="240" w:lineRule="atLeast"/>
        <w:ind w:firstLine="2880" w:firstLineChars="800"/>
        <w:jc w:val="both"/>
        <w:rPr>
          <w:rFonts w:hint="eastAsia"/>
          <w:b w:val="0"/>
          <w:bCs w:val="0"/>
          <w:sz w:val="36"/>
          <w:szCs w:val="36"/>
        </w:rPr>
      </w:pPr>
      <w:bookmarkStart w:id="17" w:name="_Toc7293"/>
      <w:bookmarkStart w:id="18" w:name="_Toc1876"/>
      <w:bookmarkStart w:id="19" w:name="_Toc30824"/>
      <w:r>
        <w:rPr>
          <w:rFonts w:hint="eastAsia" w:hAnsi="Arial"/>
          <w:b w:val="0"/>
          <w:bCs w:val="0"/>
          <w:kern w:val="2"/>
          <w:sz w:val="36"/>
          <w:szCs w:val="32"/>
        </w:rPr>
        <w:t>第二章  磋商须知</w:t>
      </w:r>
      <w:bookmarkEnd w:id="9"/>
      <w:bookmarkEnd w:id="10"/>
      <w:bookmarkEnd w:id="11"/>
      <w:bookmarkEnd w:id="12"/>
      <w:bookmarkEnd w:id="13"/>
      <w:bookmarkEnd w:id="14"/>
      <w:bookmarkEnd w:id="15"/>
      <w:bookmarkEnd w:id="16"/>
      <w:bookmarkEnd w:id="17"/>
      <w:bookmarkEnd w:id="18"/>
      <w:bookmarkEnd w:id="19"/>
    </w:p>
    <w:p>
      <w:pPr>
        <w:pStyle w:val="5"/>
        <w:keepNext w:val="0"/>
        <w:keepLines w:val="0"/>
        <w:spacing w:line="240" w:lineRule="atLeast"/>
        <w:jc w:val="center"/>
        <w:rPr>
          <w:rFonts w:hint="eastAsia"/>
        </w:rPr>
      </w:pPr>
      <w:r>
        <w:rPr>
          <w:rFonts w:hint="eastAsia"/>
        </w:rPr>
        <w:t xml:space="preserve">  一、供应商须知附表</w:t>
      </w:r>
    </w:p>
    <w:tbl>
      <w:tblPr>
        <w:tblStyle w:val="2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845"/>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序号</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内容</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1</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rPr>
            </w:pPr>
            <w:r>
              <w:rPr>
                <w:rFonts w:hint="eastAsia"/>
                <w:lang w:val="zh-CN"/>
              </w:rPr>
              <w:t>确定邀请磋商的供应商数量和方式</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color w:val="000000"/>
                <w:lang w:val="zh-CN"/>
              </w:rPr>
            </w:pPr>
            <w:r>
              <w:rPr>
                <w:rFonts w:hint="eastAsia"/>
                <w:color w:val="000000"/>
                <w:lang w:val="zh-CN"/>
              </w:rPr>
              <w:t>本次磋商邀请的供应商数量：不少于</w:t>
            </w:r>
            <w:r>
              <w:rPr>
                <w:rFonts w:hint="eastAsia"/>
                <w:color w:val="000000"/>
              </w:rPr>
              <w:t>3家。</w:t>
            </w:r>
          </w:p>
          <w:p>
            <w:pPr>
              <w:pStyle w:val="64"/>
              <w:spacing w:line="360" w:lineRule="auto"/>
              <w:ind w:firstLine="480" w:firstLineChars="200"/>
              <w:jc w:val="both"/>
              <w:rPr>
                <w:rFonts w:hint="eastAsia"/>
              </w:rPr>
            </w:pPr>
            <w:r>
              <w:rPr>
                <w:rFonts w:hint="eastAsia"/>
                <w:bCs/>
              </w:rPr>
              <w:t>本磋商邀请拟在</w:t>
            </w:r>
            <w:r>
              <w:rPr>
                <w:rFonts w:hint="eastAsia"/>
                <w:bCs/>
                <w:u w:val="single"/>
              </w:rPr>
              <w:t>四川政府采购网</w:t>
            </w:r>
            <w:r>
              <w:rPr>
                <w:rFonts w:hint="eastAsia"/>
                <w:bCs/>
              </w:rPr>
              <w:t>上发布磋商公告的形式邀请供应商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2</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lang w:val="zh-CN"/>
              </w:rPr>
            </w:pPr>
            <w:r>
              <w:rPr>
                <w:rFonts w:hint="eastAsia"/>
                <w:lang w:val="zh-CN"/>
              </w:rPr>
              <w:t>采购预算</w:t>
            </w:r>
          </w:p>
          <w:p>
            <w:pPr>
              <w:pStyle w:val="64"/>
              <w:spacing w:line="360" w:lineRule="auto"/>
              <w:ind w:left="38"/>
              <w:jc w:val="center"/>
              <w:rPr>
                <w:rFonts w:hint="eastAsia"/>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rPr>
                <w:rFonts w:hint="eastAsia"/>
                <w:highlight w:val="none"/>
                <w:lang w:val="zh-CN"/>
              </w:rPr>
            </w:pPr>
            <w:r>
              <w:rPr>
                <w:rFonts w:hint="eastAsia"/>
                <w:highlight w:val="none"/>
                <w:lang w:val="zh-CN"/>
              </w:rPr>
              <w:t>采购预算：</w:t>
            </w:r>
            <w:r>
              <w:rPr>
                <w:rFonts w:hint="eastAsia"/>
                <w:highlight w:val="none"/>
                <w:u w:val="single"/>
                <w:lang w:val="en-US" w:eastAsia="zh-CN"/>
              </w:rPr>
              <w:t>40</w:t>
            </w:r>
            <w:r>
              <w:rPr>
                <w:rFonts w:hint="eastAsia"/>
                <w:highlight w:val="none"/>
              </w:rPr>
              <w:t xml:space="preserve"> 万</w:t>
            </w:r>
            <w:r>
              <w:rPr>
                <w:rFonts w:hint="eastAsia"/>
                <w:highlight w:val="none"/>
                <w:lang w:val="zh-CN"/>
              </w:rPr>
              <w:t>元；</w:t>
            </w:r>
          </w:p>
          <w:p>
            <w:pPr>
              <w:pStyle w:val="64"/>
              <w:spacing w:line="360" w:lineRule="auto"/>
              <w:ind w:firstLine="482" w:firstLineChars="200"/>
              <w:rPr>
                <w:rFonts w:hint="eastAsia"/>
                <w:highlight w:val="none"/>
              </w:rPr>
            </w:pPr>
            <w:r>
              <w:rPr>
                <w:rFonts w:hint="eastAsia"/>
                <w:b/>
                <w:bCs/>
                <w:highlight w:val="none"/>
                <w:lang w:val="zh-CN"/>
              </w:rPr>
              <w:t>注：超过采购预算的报价无效</w:t>
            </w:r>
            <w:r>
              <w:rPr>
                <w:rFonts w:hint="eastAsia"/>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Ansi="宋体"/>
                <w:sz w:val="24"/>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lang w:val="zh-CN"/>
              </w:rPr>
            </w:pPr>
            <w:r>
              <w:rPr>
                <w:rFonts w:hint="eastAsia"/>
                <w:lang w:val="zh-CN"/>
              </w:rPr>
              <w:t>最高限价</w:t>
            </w:r>
          </w:p>
          <w:p>
            <w:pPr>
              <w:pStyle w:val="64"/>
              <w:spacing w:line="360" w:lineRule="auto"/>
              <w:ind w:left="38"/>
              <w:jc w:val="center"/>
              <w:rPr>
                <w:rFonts w:hint="eastAsia"/>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highlight w:val="none"/>
                <w:lang w:val="zh-CN"/>
              </w:rPr>
            </w:pPr>
            <w:r>
              <w:rPr>
                <w:rFonts w:hint="eastAsia"/>
                <w:highlight w:val="none"/>
                <w:lang w:val="zh-CN"/>
              </w:rPr>
              <w:t>最高限价：</w:t>
            </w:r>
            <w:r>
              <w:rPr>
                <w:rFonts w:hint="eastAsia"/>
                <w:highlight w:val="none"/>
                <w:u w:val="single"/>
                <w:lang w:val="en-US" w:eastAsia="zh-CN"/>
              </w:rPr>
              <w:t>40</w:t>
            </w:r>
            <w:r>
              <w:rPr>
                <w:rFonts w:hint="eastAsia"/>
                <w:highlight w:val="none"/>
              </w:rPr>
              <w:t>万</w:t>
            </w:r>
            <w:r>
              <w:rPr>
                <w:rFonts w:hint="eastAsia"/>
                <w:highlight w:val="none"/>
                <w:lang w:val="zh-CN"/>
              </w:rPr>
              <w:t>元。</w:t>
            </w:r>
          </w:p>
          <w:p>
            <w:pPr>
              <w:pStyle w:val="64"/>
              <w:spacing w:line="360" w:lineRule="auto"/>
              <w:ind w:firstLine="482" w:firstLineChars="200"/>
              <w:jc w:val="both"/>
              <w:rPr>
                <w:rFonts w:hint="eastAsia"/>
                <w:highlight w:val="none"/>
              </w:rPr>
            </w:pPr>
            <w:r>
              <w:rPr>
                <w:rFonts w:hint="eastAsia"/>
                <w:b/>
                <w:bCs/>
                <w:highlight w:val="none"/>
                <w:lang w:val="zh-CN"/>
              </w:rPr>
              <w:t>注：超过最高限价的报价无效。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rPr>
              <w:t>4</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lang w:val="zh-CN"/>
              </w:rPr>
            </w:pPr>
            <w:r>
              <w:rPr>
                <w:rFonts w:hint="eastAsia"/>
                <w:lang w:val="zh-CN"/>
              </w:rPr>
              <w:t>本项目所属</w:t>
            </w:r>
          </w:p>
          <w:p>
            <w:pPr>
              <w:pStyle w:val="64"/>
              <w:spacing w:line="360" w:lineRule="auto"/>
              <w:ind w:left="38"/>
              <w:jc w:val="center"/>
              <w:rPr>
                <w:rFonts w:hint="eastAsia"/>
                <w:lang w:val="zh-CN"/>
              </w:rPr>
            </w:pPr>
            <w:r>
              <w:rPr>
                <w:rFonts w:hint="eastAsia"/>
                <w:lang w:val="zh-CN"/>
              </w:rPr>
              <w:t>行业</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lang w:val="zh-CN"/>
              </w:rPr>
            </w:pPr>
            <w:r>
              <w:rPr>
                <w:rFonts w:hint="eastAsia"/>
                <w:lang w:val="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rPr>
              <w:t>5</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rPr>
            </w:pPr>
            <w:r>
              <w:rPr>
                <w:rFonts w:hint="eastAsia"/>
              </w:rPr>
              <w:t>低于成本价</w:t>
            </w:r>
          </w:p>
          <w:p>
            <w:pPr>
              <w:pStyle w:val="64"/>
              <w:spacing w:line="360" w:lineRule="auto"/>
              <w:ind w:left="38"/>
              <w:jc w:val="center"/>
              <w:rPr>
                <w:rFonts w:hint="eastAsia"/>
              </w:rPr>
            </w:pPr>
            <w:r>
              <w:rPr>
                <w:rFonts w:hint="eastAsia"/>
              </w:rPr>
              <w:t>不正当竞争预防措施</w:t>
            </w:r>
          </w:p>
          <w:p>
            <w:pPr>
              <w:pStyle w:val="64"/>
              <w:spacing w:line="360" w:lineRule="auto"/>
              <w:ind w:left="38"/>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服务质量或者不能诚信履约的，磋商小组应当要求其在磋商现场合理的时间内提供书面说明，并提交相关证明材料，供应商不能证明其报价合理性的，磋商小组应当将其作为无效处理。</w:t>
            </w:r>
          </w:p>
          <w:p>
            <w:pPr>
              <w:pStyle w:val="64"/>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8</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rPr>
            </w:pPr>
            <w:r>
              <w:rPr>
                <w:rFonts w:hint="eastAsia"/>
              </w:rPr>
              <w:t>政府采购信用供应商融资</w:t>
            </w:r>
          </w:p>
        </w:tc>
        <w:tc>
          <w:tcPr>
            <w:tcW w:w="6288" w:type="dxa"/>
            <w:tcBorders>
              <w:top w:val="single" w:color="auto" w:sz="4" w:space="0"/>
              <w:left w:val="single" w:color="auto" w:sz="4" w:space="0"/>
              <w:bottom w:val="single" w:color="auto" w:sz="4" w:space="0"/>
              <w:right w:val="single" w:color="auto" w:sz="4" w:space="0"/>
            </w:tcBorders>
            <w:vAlign w:val="top"/>
          </w:tcPr>
          <w:p>
            <w:pPr>
              <w:pStyle w:val="64"/>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64"/>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64"/>
              <w:spacing w:line="360" w:lineRule="auto"/>
              <w:ind w:firstLine="480" w:firstLineChars="200"/>
              <w:rPr>
                <w:rFonts w:hint="eastAsia"/>
              </w:rPr>
            </w:pPr>
            <w:r>
              <w:rPr>
                <w:rFonts w:hint="eastAsia"/>
              </w:rPr>
              <w:t>3.具体内容详见附件《成都市财政局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w:t>
            </w:r>
          </w:p>
          <w:p>
            <w:pPr>
              <w:pStyle w:val="64"/>
              <w:spacing w:line="360" w:lineRule="auto"/>
              <w:ind w:firstLine="480" w:firstLineChars="200"/>
            </w:pPr>
            <w:r>
              <w:rPr>
                <w:rFonts w:hint="eastAsia"/>
              </w:rPr>
              <w:t>4.具体详情可以向采购代理机构咨询。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lang w:val="en-US" w:eastAsia="zh-CN"/>
              </w:rPr>
              <w:t>9</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lang w:val="zh-CN"/>
              </w:rPr>
            </w:pPr>
            <w:r>
              <w:rPr>
                <w:rFonts w:hint="eastAsia"/>
                <w:lang w:val="zh-CN"/>
              </w:rPr>
              <w:t>联合体</w:t>
            </w:r>
          </w:p>
          <w:p>
            <w:pPr>
              <w:pStyle w:val="64"/>
              <w:spacing w:line="360" w:lineRule="auto"/>
              <w:ind w:left="38"/>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lang w:val="en-US" w:eastAsia="zh-CN"/>
              </w:rPr>
            </w:pPr>
            <w:r>
              <w:rPr>
                <w:rFonts w:hint="eastAsia" w:hAnsi="宋体"/>
                <w:sz w:val="24"/>
                <w:lang w:val="en-US" w:eastAsia="zh-CN"/>
              </w:rPr>
              <w:t>10</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rPr>
            </w:pPr>
            <w:r>
              <w:rPr>
                <w:rFonts w:hint="eastAsia"/>
                <w:lang w:val="zh-CN"/>
              </w:rPr>
              <w:t>磋商保证金</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lang w:val="en-US" w:eastAsia="zh-CN"/>
              </w:rPr>
            </w:pPr>
            <w:r>
              <w:rPr>
                <w:rFonts w:hint="eastAsia" w:hAnsi="宋体"/>
                <w:sz w:val="24"/>
                <w:lang w:val="en-US" w:eastAsia="zh-CN"/>
              </w:rPr>
              <w:t>11</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响应文件</w:t>
            </w:r>
          </w:p>
          <w:p>
            <w:pPr>
              <w:pStyle w:val="64"/>
              <w:spacing w:line="360" w:lineRule="auto"/>
              <w:jc w:val="center"/>
              <w:rPr>
                <w:rFonts w:hint="eastAsia"/>
                <w:lang w:val="zh-CN"/>
              </w:rPr>
            </w:pPr>
            <w:r>
              <w:rPr>
                <w:rFonts w:hint="eastAsia"/>
                <w:lang w:val="zh-CN"/>
              </w:rPr>
              <w:t>有效期</w:t>
            </w:r>
          </w:p>
          <w:p>
            <w:pPr>
              <w:pStyle w:val="64"/>
              <w:spacing w:line="360" w:lineRule="auto"/>
              <w:jc w:val="center"/>
              <w:rPr>
                <w:rFonts w:hint="eastAsia"/>
                <w:lang w:val="zh-CN"/>
              </w:rPr>
            </w:pPr>
            <w:r>
              <w:rPr>
                <w:rFonts w:hint="eastAsia"/>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lang w:val="en-US" w:eastAsia="zh-CN"/>
              </w:rPr>
            </w:pPr>
            <w:r>
              <w:rPr>
                <w:rFonts w:hint="eastAsia" w:hAnsi="宋体"/>
                <w:sz w:val="24"/>
                <w:lang w:val="en-US" w:eastAsia="zh-CN"/>
              </w:rPr>
              <w:t>12</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sz w:val="24"/>
              </w:rPr>
            </w:pPr>
            <w:r>
              <w:rPr>
                <w:rFonts w:hint="eastAsia" w:hAnsi="宋体"/>
                <w:sz w:val="24"/>
                <w:lang w:val="zh-CN"/>
              </w:rPr>
              <w:t>响应文件组成</w:t>
            </w:r>
            <w:r>
              <w:rPr>
                <w:rFonts w:hint="eastAsia" w:hAnsi="宋体"/>
                <w:sz w:val="24"/>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64"/>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64"/>
              <w:spacing w:line="360" w:lineRule="auto"/>
              <w:ind w:firstLine="480" w:firstLineChars="200"/>
              <w:jc w:val="both"/>
              <w:rPr>
                <w:lang w:val="zh-CN"/>
              </w:rPr>
            </w:pPr>
            <w:r>
              <w:rPr>
                <w:rFonts w:hint="eastAsia"/>
              </w:rPr>
              <w:t>2.</w:t>
            </w:r>
            <w:r>
              <w:rPr>
                <w:rFonts w:hint="eastAsia"/>
                <w:lang w:val="zh-CN"/>
              </w:rPr>
              <w:t>其他响应文件：正本一份，副本二份，副本可以由正本复印而成；若正本和副本有不一致的内容，以正本书面响应文件为准。</w:t>
            </w:r>
          </w:p>
          <w:p>
            <w:pPr>
              <w:pStyle w:val="64"/>
              <w:spacing w:line="360" w:lineRule="auto"/>
              <w:ind w:firstLine="480" w:firstLineChars="200"/>
              <w:jc w:val="both"/>
              <w:rPr>
                <w:rFonts w:hint="eastAsia"/>
              </w:rPr>
            </w:pPr>
            <w:r>
              <w:rPr>
                <w:rFonts w:hint="eastAsia"/>
              </w:rPr>
              <w:t>3.</w:t>
            </w:r>
            <w:r>
              <w:rPr>
                <w:rFonts w:hint="eastAsia"/>
                <w:lang w:val="zh-CN"/>
              </w:rPr>
              <w:t>电子文档一份，电子文档采用光盘或</w:t>
            </w:r>
            <w:r>
              <w:rPr>
                <w:rFonts w:hint="eastAsia"/>
              </w:rPr>
              <w:t>U盘制作</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签字盖章</w:t>
            </w:r>
          </w:p>
          <w:p>
            <w:pPr>
              <w:pStyle w:val="64"/>
              <w:spacing w:line="360" w:lineRule="auto"/>
              <w:jc w:val="center"/>
              <w:rPr>
                <w:rFonts w:hint="eastAsia"/>
                <w:lang w:val="zh-CN"/>
              </w:rPr>
            </w:pPr>
            <w:r>
              <w:rPr>
                <w:rFonts w:hint="eastAsia"/>
                <w:lang w:val="zh-CN"/>
              </w:rPr>
              <w:t>（实质性要求）</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64"/>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lang w:val="en-US" w:eastAsia="zh-CN"/>
              </w:rPr>
            </w:pPr>
            <w:r>
              <w:rPr>
                <w:rFonts w:hint="eastAsia" w:hAnsi="宋体"/>
                <w:sz w:val="24"/>
                <w:lang w:val="en-US" w:eastAsia="zh-CN"/>
              </w:rPr>
              <w:t>14</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响应文件封面的标注</w:t>
            </w:r>
          </w:p>
        </w:tc>
        <w:tc>
          <w:tcPr>
            <w:tcW w:w="62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val="en-US" w:eastAsia="zh-CN"/>
              </w:rPr>
            </w:pPr>
            <w:r>
              <w:rPr>
                <w:rFonts w:hint="eastAsia" w:hAnsi="宋体"/>
                <w:sz w:val="24"/>
              </w:rPr>
              <w:t>1</w:t>
            </w:r>
            <w:r>
              <w:rPr>
                <w:rFonts w:hint="eastAsia" w:hAnsi="宋体"/>
                <w:sz w:val="24"/>
                <w:lang w:val="en-US" w:eastAsia="zh-CN"/>
              </w:rPr>
              <w:t>5</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响应文件的</w:t>
            </w:r>
          </w:p>
          <w:p>
            <w:pPr>
              <w:pStyle w:val="64"/>
              <w:spacing w:line="360" w:lineRule="auto"/>
              <w:jc w:val="center"/>
              <w:rPr>
                <w:rFonts w:hint="eastAsia"/>
                <w:lang w:val="zh-CN"/>
              </w:rPr>
            </w:pPr>
            <w:r>
              <w:rPr>
                <w:rFonts w:hint="eastAsia"/>
                <w:lang w:val="zh-CN"/>
              </w:rPr>
              <w:t>装订</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lang w:eastAsia="zh-CN"/>
              </w:rPr>
            </w:pPr>
            <w:r>
              <w:rPr>
                <w:rFonts w:hint="eastAsia" w:hAnsi="宋体"/>
                <w:sz w:val="24"/>
              </w:rPr>
              <w:t>1</w:t>
            </w:r>
            <w:r>
              <w:rPr>
                <w:rFonts w:hint="eastAsia" w:hAnsi="宋体"/>
                <w:sz w:val="24"/>
                <w:lang w:val="en-US" w:eastAsia="zh-CN"/>
              </w:rPr>
              <w:t>6</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响应文件密封和密封袋标注</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1.响应文件可以按资格响应文件、其他响应文件、电子文档单独密封包装，也可以所有响应文件密封包装在一个密封袋内。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；按资格响应文件、其他响应文件、电子文档单独密封包装的，密封袋的最外层应清楚地标明采购项目名称、采购项目编号、资格响应文件或其他响应文件或电子文档、供应商名称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lang w:val="en-US" w:eastAsia="zh-CN"/>
              </w:rPr>
            </w:pPr>
            <w:r>
              <w:rPr>
                <w:rFonts w:hint="eastAsia" w:hAnsi="宋体"/>
                <w:sz w:val="24"/>
                <w:lang w:val="en-US" w:eastAsia="zh-CN"/>
              </w:rPr>
              <w:t>17</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jc w:val="center"/>
              <w:rPr>
                <w:rFonts w:hint="eastAsia"/>
                <w:lang w:val="zh-CN"/>
              </w:rPr>
            </w:pPr>
            <w:r>
              <w:rPr>
                <w:rFonts w:hint="eastAsia"/>
                <w:lang w:val="zh-CN"/>
              </w:rPr>
              <w:t>首次递交响应文件截止时间地点、开启响应文件时间及</w:t>
            </w:r>
          </w:p>
          <w:p>
            <w:pPr>
              <w:pStyle w:val="64"/>
              <w:spacing w:line="360" w:lineRule="auto"/>
              <w:jc w:val="center"/>
              <w:rPr>
                <w:rFonts w:hint="eastAsia"/>
                <w:lang w:val="zh-CN"/>
              </w:rPr>
            </w:pPr>
            <w:r>
              <w:rPr>
                <w:rFonts w:hint="eastAsia"/>
                <w:lang w:val="zh-CN"/>
              </w:rPr>
              <w:t>磋商地点</w:t>
            </w:r>
          </w:p>
        </w:tc>
        <w:tc>
          <w:tcPr>
            <w:tcW w:w="6288"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18</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rPr>
            </w:pPr>
            <w:r>
              <w:rPr>
                <w:rFonts w:hint="eastAsia"/>
                <w:bCs/>
              </w:rPr>
              <w:t>磋商</w:t>
            </w:r>
            <w:r>
              <w:rPr>
                <w:rFonts w:hint="eastAsia"/>
                <w:lang w:val="zh-CN"/>
              </w:rPr>
              <w:t>文件咨询</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联系人：刘老师。       </w:t>
            </w:r>
          </w:p>
          <w:p>
            <w:pPr>
              <w:pStyle w:val="64"/>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19</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rPr>
            </w:pPr>
            <w:r>
              <w:rPr>
                <w:rFonts w:hint="eastAsia"/>
                <w:lang w:val="zh-CN"/>
              </w:rPr>
              <w:t>磋商过程、结果工作咨询</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联系人：刘老师。       </w:t>
            </w:r>
          </w:p>
          <w:p>
            <w:pPr>
              <w:pStyle w:val="64"/>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20</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rPr>
                <w:rFonts w:hint="eastAsia"/>
                <w:lang w:val="zh-CN"/>
              </w:rPr>
            </w:pPr>
            <w:r>
              <w:rPr>
                <w:rFonts w:hint="eastAsia"/>
                <w:lang w:val="zh-CN"/>
              </w:rPr>
              <w:t>磋商情况公告</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21</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ind w:left="38"/>
              <w:jc w:val="center"/>
              <w:rPr>
                <w:rFonts w:hint="eastAsia"/>
                <w:lang w:val="zh-CN"/>
              </w:rPr>
            </w:pPr>
            <w:r>
              <w:rPr>
                <w:rFonts w:hint="eastAsia"/>
                <w:lang w:val="zh-CN"/>
              </w:rPr>
              <w:t>成交通知书</w:t>
            </w:r>
          </w:p>
          <w:p>
            <w:pPr>
              <w:pStyle w:val="64"/>
              <w:ind w:left="38"/>
              <w:jc w:val="center"/>
              <w:rPr>
                <w:rFonts w:hint="eastAsia"/>
              </w:rPr>
            </w:pPr>
            <w:r>
              <w:rPr>
                <w:rFonts w:hint="eastAsia"/>
                <w:lang w:val="zh-CN"/>
              </w:rPr>
              <w:t>领取</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联系人：刘老师。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22</w:t>
            </w:r>
          </w:p>
        </w:tc>
        <w:tc>
          <w:tcPr>
            <w:tcW w:w="1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napToGrid w:val="0"/>
              <w:spacing w:line="5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按本项目按照采购代理机构与采购人签订的委托代理协议,本项目参照《招标代理服务收费管理暂行办法》（计价格〔2002〕1980号）收费标准</w:t>
            </w:r>
            <w:r>
              <w:rPr>
                <w:rFonts w:hint="eastAsia" w:ascii="宋体" w:hAnsi="宋体" w:eastAsia="宋体" w:cs="宋体"/>
                <w:sz w:val="24"/>
                <w:szCs w:val="24"/>
                <w:highlight w:val="none"/>
                <w:lang w:val="en-US" w:eastAsia="zh-CN"/>
              </w:rPr>
              <w:t>,以成交价作为计算基数</w:t>
            </w:r>
            <w:r>
              <w:rPr>
                <w:rFonts w:hint="eastAsia" w:ascii="宋体" w:hAnsi="宋体" w:eastAsia="宋体" w:cs="宋体"/>
                <w:sz w:val="24"/>
                <w:szCs w:val="24"/>
                <w:highlight w:val="none"/>
                <w:lang w:val="zh-CN"/>
              </w:rPr>
              <w:t>收取采购代理服务费，按照以上标准计算后，代理费不足8000元，按照8000元收取，由成交供应商在领取成交通知书时，一次性全额向采购代理机构交纳采购代理服务费。</w:t>
            </w:r>
          </w:p>
          <w:p>
            <w:pPr>
              <w:pStyle w:val="64"/>
              <w:spacing w:line="360" w:lineRule="auto"/>
              <w:ind w:firstLine="480" w:firstLineChars="200"/>
              <w:jc w:val="both"/>
              <w:rPr>
                <w:rFonts w:hint="eastAsia"/>
                <w:szCs w:val="22"/>
                <w:highlight w:val="none"/>
                <w:lang w:val="zh-CN"/>
              </w:rPr>
            </w:pPr>
            <w:r>
              <w:rPr>
                <w:rFonts w:hint="eastAsia"/>
                <w:szCs w:val="22"/>
                <w:highlight w:val="none"/>
                <w:lang w:val="zh-CN"/>
              </w:rPr>
              <w:t>采购代理费支付信息：</w:t>
            </w:r>
          </w:p>
          <w:p>
            <w:pPr>
              <w:pStyle w:val="64"/>
              <w:spacing w:line="360" w:lineRule="auto"/>
              <w:ind w:firstLine="480" w:firstLineChars="200"/>
              <w:jc w:val="both"/>
              <w:rPr>
                <w:rFonts w:hint="eastAsia"/>
                <w:highlight w:val="none"/>
                <w:lang w:val="zh-CN"/>
              </w:rPr>
            </w:pPr>
            <w:r>
              <w:rPr>
                <w:rFonts w:hint="eastAsia"/>
                <w:highlight w:val="none"/>
                <w:lang w:val="zh-CN"/>
              </w:rPr>
              <w:t>收款单位：四川华驰工程项目管理有限公司</w:t>
            </w:r>
          </w:p>
          <w:p>
            <w:pPr>
              <w:pStyle w:val="64"/>
              <w:spacing w:line="360" w:lineRule="auto"/>
              <w:ind w:firstLine="480" w:firstLineChars="200"/>
              <w:jc w:val="both"/>
              <w:rPr>
                <w:rFonts w:hint="eastAsia"/>
                <w:highlight w:val="none"/>
                <w:lang w:val="zh-CN"/>
              </w:rPr>
            </w:pPr>
            <w:r>
              <w:rPr>
                <w:rFonts w:hint="eastAsia"/>
                <w:highlight w:val="none"/>
                <w:lang w:val="zh-CN"/>
              </w:rPr>
              <w:t>开户行：中国农业银行股份有限公司成都武科支行</w:t>
            </w:r>
          </w:p>
          <w:p>
            <w:pPr>
              <w:pStyle w:val="64"/>
              <w:spacing w:line="360" w:lineRule="auto"/>
              <w:ind w:firstLine="480" w:firstLineChars="200"/>
              <w:jc w:val="both"/>
            </w:pPr>
            <w:r>
              <w:rPr>
                <w:rFonts w:hint="eastAsia"/>
                <w:highlight w:val="none"/>
                <w:lang w:val="zh-CN"/>
              </w:rPr>
              <w:t>银行账号：22821401040010750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3</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38"/>
              <w:jc w:val="center"/>
            </w:pPr>
            <w:r>
              <w:rPr>
                <w:rFonts w:hint="eastAsia"/>
                <w:lang w:val="zh-CN"/>
              </w:rPr>
              <w:t>履约保证金</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24</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ind w:left="96"/>
              <w:jc w:val="center"/>
              <w:rPr>
                <w:rFonts w:hint="eastAsia"/>
                <w:lang w:val="zh-CN"/>
              </w:rPr>
            </w:pPr>
            <w:r>
              <w:rPr>
                <w:rFonts w:hint="eastAsia"/>
                <w:lang w:val="zh-CN"/>
              </w:rPr>
              <w:t>政府采购</w:t>
            </w:r>
          </w:p>
          <w:p>
            <w:pPr>
              <w:pStyle w:val="64"/>
              <w:ind w:left="96"/>
              <w:jc w:val="center"/>
              <w:rPr>
                <w:rFonts w:hint="eastAsia"/>
                <w:lang w:val="zh-CN"/>
              </w:rPr>
            </w:pPr>
            <w:r>
              <w:rPr>
                <w:rFonts w:hint="eastAsia"/>
                <w:lang w:val="zh-CN"/>
              </w:rPr>
              <w:t>合同公告</w:t>
            </w:r>
          </w:p>
          <w:p>
            <w:pPr>
              <w:pStyle w:val="64"/>
              <w:ind w:left="96"/>
              <w:jc w:val="center"/>
              <w:rPr>
                <w:rFonts w:hint="eastAsia"/>
                <w:lang w:val="zh-CN"/>
              </w:rPr>
            </w:pPr>
            <w:r>
              <w:rPr>
                <w:rFonts w:hint="eastAsia"/>
                <w:lang w:val="zh-CN"/>
              </w:rPr>
              <w:t>备案</w:t>
            </w:r>
          </w:p>
        </w:tc>
        <w:tc>
          <w:tcPr>
            <w:tcW w:w="628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lang w:val="en-US" w:eastAsia="zh-CN"/>
              </w:rPr>
              <w:t>成都市成华区财政局备案</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25</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ind w:left="38"/>
              <w:jc w:val="center"/>
              <w:rPr>
                <w:rFonts w:hint="eastAsia"/>
              </w:rPr>
            </w:pPr>
            <w:r>
              <w:rPr>
                <w:rFonts w:hint="eastAsia"/>
                <w:lang w:val="zh-CN"/>
              </w:rPr>
              <w:t>供应商询问</w:t>
            </w:r>
          </w:p>
        </w:tc>
        <w:tc>
          <w:tcPr>
            <w:tcW w:w="6288" w:type="dxa"/>
            <w:tcBorders>
              <w:top w:val="single" w:color="auto" w:sz="4" w:space="0"/>
              <w:left w:val="single" w:color="auto" w:sz="4" w:space="0"/>
              <w:bottom w:val="single" w:color="auto" w:sz="4" w:space="0"/>
              <w:right w:val="single" w:color="auto" w:sz="4" w:space="0"/>
            </w:tcBorders>
            <w:vAlign w:val="top"/>
          </w:tcPr>
          <w:p>
            <w:pPr>
              <w:pStyle w:val="64"/>
              <w:spacing w:line="360" w:lineRule="auto"/>
              <w:ind w:firstLine="480" w:firstLineChars="200"/>
              <w:rPr>
                <w:rFonts w:hint="eastAsia"/>
              </w:rPr>
            </w:pPr>
            <w:r>
              <w:rPr>
                <w:rFonts w:hint="eastAsia"/>
                <w:lang w:val="zh-CN"/>
              </w:rPr>
              <w:t>根据委托代理协议约定，采购人负责对采购文件服务及商务内容部分的询问答复，采购代理机构负责采购文件服务及商务内容部分以外的询问答复。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26</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ind w:left="96"/>
              <w:jc w:val="center"/>
              <w:rPr>
                <w:rFonts w:hint="eastAsia"/>
              </w:rPr>
            </w:pPr>
            <w:r>
              <w:rPr>
                <w:rFonts w:hint="eastAsia"/>
                <w:lang w:val="zh-CN"/>
              </w:rPr>
              <w:t>供应商质疑</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根据委托代理协议约定，采购人负责对采购文件服务及商务内容部分的质疑进行答复，采购代理机构负责采购文件服务及商务内容部分以外的质疑答复。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64"/>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sz w:val="24"/>
                <w:szCs w:val="24"/>
                <w:lang w:eastAsia="zh-CN"/>
              </w:rPr>
            </w:pPr>
            <w:r>
              <w:rPr>
                <w:rFonts w:hAnsi="宋体"/>
                <w:sz w:val="24"/>
                <w:szCs w:val="24"/>
              </w:rPr>
              <w:t>2</w:t>
            </w:r>
            <w:r>
              <w:rPr>
                <w:rFonts w:hint="eastAsia" w:hAnsi="宋体"/>
                <w:sz w:val="24"/>
                <w:szCs w:val="24"/>
                <w:lang w:val="en-US" w:eastAsia="zh-CN"/>
              </w:rPr>
              <w:t>7</w:t>
            </w:r>
          </w:p>
        </w:tc>
        <w:tc>
          <w:tcPr>
            <w:tcW w:w="1845" w:type="dxa"/>
            <w:tcBorders>
              <w:top w:val="single" w:color="auto" w:sz="4" w:space="0"/>
              <w:left w:val="single" w:color="auto" w:sz="4" w:space="0"/>
              <w:bottom w:val="single" w:color="auto" w:sz="4" w:space="0"/>
              <w:right w:val="single" w:color="auto" w:sz="4" w:space="0"/>
            </w:tcBorders>
            <w:vAlign w:val="center"/>
          </w:tcPr>
          <w:p>
            <w:pPr>
              <w:pStyle w:val="64"/>
              <w:ind w:left="96"/>
              <w:jc w:val="center"/>
              <w:rPr>
                <w:rFonts w:hint="eastAsia"/>
              </w:rPr>
            </w:pPr>
            <w:r>
              <w:rPr>
                <w:rFonts w:hint="eastAsia"/>
                <w:lang w:val="zh-CN"/>
              </w:rPr>
              <w:t>供应商投诉</w:t>
            </w:r>
          </w:p>
        </w:tc>
        <w:tc>
          <w:tcPr>
            <w:tcW w:w="6288" w:type="dxa"/>
            <w:tcBorders>
              <w:top w:val="single" w:color="auto" w:sz="4" w:space="0"/>
              <w:left w:val="single" w:color="auto" w:sz="4" w:space="0"/>
              <w:bottom w:val="single" w:color="auto" w:sz="4" w:space="0"/>
              <w:right w:val="single" w:color="auto" w:sz="4" w:space="0"/>
            </w:tcBorders>
            <w:vAlign w:val="center"/>
          </w:tcPr>
          <w:p>
            <w:pPr>
              <w:spacing w:line="360" w:lineRule="auto"/>
              <w:ind w:right="170" w:rightChars="50" w:firstLine="480" w:firstLineChars="200"/>
              <w:jc w:val="left"/>
              <w:rPr>
                <w:sz w:val="24"/>
                <w:lang w:val="zh-CN"/>
              </w:rPr>
            </w:pPr>
            <w:r>
              <w:rPr>
                <w:rFonts w:hint="eastAsia"/>
                <w:sz w:val="24"/>
                <w:lang w:val="zh-CN"/>
              </w:rPr>
              <w:t>投诉受理单位：本采购项目同级财政部门，即成都市成华区财政局。</w:t>
            </w:r>
          </w:p>
          <w:p>
            <w:pPr>
              <w:spacing w:line="360" w:lineRule="auto"/>
              <w:ind w:right="170" w:rightChars="50" w:firstLine="480" w:firstLineChars="200"/>
              <w:jc w:val="left"/>
              <w:rPr>
                <w:sz w:val="24"/>
                <w:lang w:val="zh-CN"/>
              </w:rPr>
            </w:pPr>
            <w:r>
              <w:rPr>
                <w:rFonts w:hint="eastAsia"/>
                <w:sz w:val="24"/>
                <w:lang w:val="zh-CN"/>
              </w:rPr>
              <w:t>联系电话：028-84356267</w:t>
            </w:r>
          </w:p>
          <w:p>
            <w:pPr>
              <w:pStyle w:val="64"/>
              <w:spacing w:line="360" w:lineRule="auto"/>
              <w:ind w:firstLine="480" w:firstLineChars="200"/>
              <w:rPr>
                <w:rFonts w:hint="eastAsia"/>
                <w:highlight w:val="green"/>
                <w:lang w:val="zh-CN"/>
              </w:rPr>
            </w:pPr>
            <w:r>
              <w:rPr>
                <w:rFonts w:hint="eastAsia"/>
                <w:lang w:val="zh-CN"/>
              </w:rPr>
              <w:t>地址：四川省成都市成华区一环路东三段148号。</w:t>
            </w:r>
          </w:p>
          <w:p>
            <w:pPr>
              <w:pStyle w:val="64"/>
              <w:spacing w:line="360" w:lineRule="auto"/>
              <w:ind w:firstLine="402" w:firstLineChars="200"/>
              <w:rPr>
                <w:rFonts w:hint="eastAsia"/>
              </w:rPr>
            </w:pPr>
            <w:r>
              <w:rPr>
                <w:rFonts w:hint="eastAsia"/>
                <w:b/>
                <w:bCs/>
                <w:sz w:val="20"/>
                <w:szCs w:val="22"/>
                <w:lang w:val="zh-CN"/>
              </w:rPr>
              <w:t>注：根据《中华人民共和国政府采购法实施条例》的规定，供应商投诉事项不得超出已质疑事项的范围。</w:t>
            </w:r>
          </w:p>
        </w:tc>
      </w:tr>
    </w:tbl>
    <w:p>
      <w:pPr>
        <w:rPr>
          <w:rFonts w:hint="eastAsia"/>
        </w:rPr>
      </w:pPr>
    </w:p>
    <w:p>
      <w:pPr>
        <w:pStyle w:val="7"/>
        <w:rPr>
          <w:rFonts w:hint="eastAsia"/>
        </w:rPr>
      </w:pPr>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2" w:firstLineChars="200"/>
        <w:rPr>
          <w:rFonts w:hint="eastAsia" w:hAnsi="宋体"/>
          <w:sz w:val="24"/>
        </w:rPr>
      </w:pPr>
      <w:bookmarkStart w:id="20" w:name="_Toc183582205"/>
      <w:bookmarkStart w:id="21" w:name="_Toc183682342"/>
      <w:bookmarkStart w:id="22" w:name="_Toc217446034"/>
    </w:p>
    <w:p>
      <w:pPr>
        <w:pStyle w:val="6"/>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0"/>
      <w:bookmarkEnd w:id="21"/>
      <w:r>
        <w:rPr>
          <w:rFonts w:hint="eastAsia" w:hAnsi="宋体"/>
          <w:sz w:val="24"/>
          <w:szCs w:val="24"/>
        </w:rPr>
        <w:t>适用范围</w:t>
      </w:r>
      <w:bookmarkEnd w:id="22"/>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本磋商文件仅适用于本次磋商所叙述的服务采购。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3" w:name="_Toc183682343"/>
      <w:bookmarkStart w:id="24" w:name="_Toc217446035"/>
      <w:bookmarkStart w:id="25" w:name="_Toc183582206"/>
      <w:r>
        <w:rPr>
          <w:rFonts w:hAnsi="宋体"/>
          <w:sz w:val="24"/>
        </w:rPr>
        <w:t>2.</w:t>
      </w:r>
      <w:bookmarkEnd w:id="23"/>
      <w:bookmarkEnd w:id="24"/>
      <w:bookmarkEnd w:id="25"/>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1本次磋商的采购人是</w:t>
      </w:r>
      <w:r>
        <w:rPr>
          <w:rFonts w:hint="eastAsia" w:hAnsi="宋体" w:cs="宋体"/>
          <w:bCs/>
          <w:sz w:val="24"/>
          <w:szCs w:val="22"/>
          <w:u w:val="single"/>
          <w:lang w:val="en-US" w:eastAsia="zh-CN"/>
        </w:rPr>
        <w:t>成都市成华区规划和自然资源局</w:t>
      </w:r>
      <w:r>
        <w:rPr>
          <w:rFonts w:hint="eastAsia" w:hAnsi="宋体" w:cs="宋体"/>
          <w:bCs/>
          <w:sz w:val="24"/>
          <w:szCs w:val="22"/>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6" w:name="_Toc183682344"/>
      <w:bookmarkStart w:id="27" w:name="_Toc183582207"/>
      <w:bookmarkStart w:id="28" w:name="_Toc217446036"/>
      <w:bookmarkStart w:id="29" w:name="_Toc217390843"/>
      <w:r>
        <w:rPr>
          <w:rFonts w:hAnsi="宋体"/>
          <w:sz w:val="24"/>
        </w:rPr>
        <w:t>3.</w:t>
      </w:r>
      <w:r>
        <w:rPr>
          <w:rFonts w:hint="eastAsia" w:hAnsi="宋体"/>
          <w:sz w:val="24"/>
        </w:rPr>
        <w:t xml:space="preserve"> 合格</w:t>
      </w:r>
      <w:bookmarkEnd w:id="26"/>
      <w:bookmarkEnd w:id="27"/>
      <w:bookmarkEnd w:id="28"/>
      <w:bookmarkEnd w:id="29"/>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6"/>
        <w:keepNext w:val="0"/>
        <w:keepLines w:val="0"/>
        <w:spacing w:before="0" w:after="0" w:line="400" w:lineRule="exact"/>
        <w:ind w:firstLine="482" w:firstLineChars="200"/>
        <w:rPr>
          <w:rFonts w:hint="eastAsia" w:hAnsi="宋体"/>
          <w:sz w:val="24"/>
        </w:rPr>
      </w:pPr>
      <w:bookmarkStart w:id="30" w:name="_Toc183582208"/>
      <w:bookmarkStart w:id="31" w:name="_Toc217446037"/>
      <w:bookmarkStart w:id="32" w:name="_Toc183682345"/>
    </w:p>
    <w:p>
      <w:pPr>
        <w:pStyle w:val="6"/>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0"/>
      <w:bookmarkEnd w:id="31"/>
      <w:bookmarkEnd w:id="32"/>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75"/>
        <w:spacing w:line="400" w:lineRule="exact"/>
        <w:ind w:left="1" w:firstLine="482" w:firstLineChars="200"/>
        <w:rPr>
          <w:rFonts w:hint="eastAsia" w:hAnsi="宋体"/>
          <w:b/>
          <w:sz w:val="24"/>
        </w:rPr>
      </w:pPr>
      <w:r>
        <w:rPr>
          <w:rFonts w:hint="eastAsia" w:hAnsi="宋体"/>
          <w:b/>
          <w:sz w:val="24"/>
        </w:rPr>
        <w:t>5.充分、公平竞争保障措施（实质性要求）</w:t>
      </w:r>
    </w:p>
    <w:p>
      <w:pPr>
        <w:pStyle w:val="75"/>
        <w:spacing w:line="360" w:lineRule="auto"/>
        <w:ind w:left="1" w:firstLine="480" w:firstLineChars="200"/>
        <w:rPr>
          <w:rFonts w:hint="eastAsia" w:hAnsi="宋体"/>
          <w:sz w:val="28"/>
          <w:szCs w:val="28"/>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5"/>
        <w:spacing w:line="360" w:lineRule="auto"/>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75"/>
        <w:spacing w:line="360" w:lineRule="auto"/>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75"/>
        <w:spacing w:line="360" w:lineRule="auto"/>
        <w:ind w:left="1" w:firstLine="480" w:firstLineChars="200"/>
        <w:rPr>
          <w:rFonts w:hint="eastAsia" w:hAnsi="宋体"/>
          <w:sz w:val="24"/>
        </w:rPr>
      </w:pPr>
      <w:r>
        <w:rPr>
          <w:rFonts w:hint="eastAsia" w:hAnsi="宋体"/>
          <w:sz w:val="24"/>
        </w:rPr>
        <w:t>5.4供应商实际控制人或者中高级管理人员，同时是采购代理机构工作人员，不得参与本项目政府采购活动。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5.5同一母公司的子公司不得以不同供应商身份与其母公司或与其母公司的其他子公司同时参加本项目同一合同项下的采购活动。</w:t>
      </w:r>
    </w:p>
    <w:p>
      <w:pPr>
        <w:spacing w:line="360" w:lineRule="auto"/>
        <w:ind w:firstLine="480" w:firstLineChars="200"/>
        <w:rPr>
          <w:rFonts w:hint="eastAsia" w:hAnsi="宋体"/>
          <w:sz w:val="24"/>
        </w:rPr>
      </w:pPr>
      <w:r>
        <w:rPr>
          <w:rFonts w:hint="eastAsia" w:hAnsi="宋体"/>
          <w:sz w:val="24"/>
        </w:rPr>
        <w:t>5.6供应商与采购代理机构存在关联关系，或者是采购代理机构的母公司或子公司，不得参加本项目政府采购活动。</w:t>
      </w:r>
    </w:p>
    <w:p>
      <w:pPr>
        <w:pStyle w:val="75"/>
        <w:spacing w:line="360" w:lineRule="auto"/>
        <w:ind w:left="1" w:firstLine="480" w:firstLineChars="200"/>
        <w:rPr>
          <w:rFonts w:hint="eastAsia" w:hAnsi="宋体"/>
          <w:sz w:val="24"/>
        </w:rPr>
      </w:pPr>
      <w:r>
        <w:rPr>
          <w:rFonts w:hint="eastAsia" w:hAnsi="宋体"/>
          <w:sz w:val="24"/>
        </w:rPr>
        <w:t>5.7回避。政府采购活动中，采购人员及相关人员与供应商有下列利害关系之一的，应当回避：</w:t>
      </w:r>
    </w:p>
    <w:p>
      <w:pPr>
        <w:pStyle w:val="75"/>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75"/>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75"/>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75"/>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75"/>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75"/>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75"/>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5"/>
        <w:spacing w:line="360" w:lineRule="auto"/>
        <w:ind w:left="1" w:firstLine="482" w:firstLineChars="200"/>
        <w:rPr>
          <w:rFonts w:hint="eastAsia" w:hAnsi="宋体"/>
          <w:b/>
          <w:sz w:val="24"/>
        </w:rPr>
      </w:pPr>
    </w:p>
    <w:p>
      <w:pPr>
        <w:pStyle w:val="75"/>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710" w:firstLineChars="296"/>
        <w:rPr>
          <w:rFonts w:hint="eastAsia" w:hAnsi="宋体"/>
          <w:sz w:val="24"/>
          <w:szCs w:val="22"/>
        </w:rPr>
      </w:pPr>
      <w:r>
        <w:rPr>
          <w:rFonts w:hint="eastAsia" w:hAnsi="宋体"/>
          <w:sz w:val="24"/>
          <w:szCs w:val="22"/>
        </w:rPr>
        <w:t>本项目不接受联合体磋商。</w:t>
      </w:r>
    </w:p>
    <w:p>
      <w:pPr>
        <w:pStyle w:val="75"/>
        <w:spacing w:line="360" w:lineRule="auto"/>
        <w:ind w:firstLine="482" w:firstLineChars="200"/>
        <w:rPr>
          <w:rFonts w:hint="eastAsia" w:hAnsi="宋体"/>
          <w:b/>
          <w:sz w:val="24"/>
        </w:rPr>
      </w:pPr>
    </w:p>
    <w:p>
      <w:pPr>
        <w:pStyle w:val="75"/>
        <w:spacing w:line="360" w:lineRule="auto"/>
        <w:ind w:firstLine="482" w:firstLineChars="200"/>
        <w:rPr>
          <w:rFonts w:hint="eastAsia" w:hAnsi="宋体"/>
          <w:b/>
          <w:sz w:val="24"/>
        </w:rPr>
      </w:pPr>
      <w:r>
        <w:rPr>
          <w:rFonts w:hint="eastAsia" w:hAnsi="宋体"/>
          <w:b/>
          <w:sz w:val="24"/>
        </w:rPr>
        <w:t>7.磋商保证金</w:t>
      </w:r>
    </w:p>
    <w:p>
      <w:pPr>
        <w:pStyle w:val="75"/>
        <w:spacing w:line="360" w:lineRule="auto"/>
        <w:rPr>
          <w:rFonts w:hint="eastAsia" w:hAnsi="宋体"/>
          <w:sz w:val="24"/>
          <w:szCs w:val="22"/>
        </w:rPr>
      </w:pPr>
      <w:r>
        <w:rPr>
          <w:rFonts w:hint="eastAsia" w:hAnsi="宋体"/>
          <w:b/>
          <w:sz w:val="24"/>
        </w:rPr>
        <w:t xml:space="preserve">     </w:t>
      </w:r>
      <w:r>
        <w:rPr>
          <w:rFonts w:hint="eastAsia" w:hAnsi="宋体"/>
          <w:sz w:val="24"/>
          <w:szCs w:val="22"/>
        </w:rPr>
        <w:t xml:space="preserve"> 本项目不做要求。</w:t>
      </w:r>
    </w:p>
    <w:p>
      <w:pPr>
        <w:pStyle w:val="75"/>
        <w:spacing w:line="360" w:lineRule="auto"/>
        <w:rPr>
          <w:rFonts w:hint="eastAsia" w:hAnsi="宋体"/>
          <w:sz w:val="24"/>
          <w:szCs w:val="22"/>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3"/>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3"/>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3"/>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在其相关技术及服务方面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ascii="黑体" w:eastAsia="宋体"/>
          <w:bCs/>
          <w:lang w:eastAsia="zh-CN"/>
        </w:rPr>
      </w:pPr>
      <w:r>
        <w:rPr>
          <w:rFonts w:hint="eastAsia" w:hAnsi="宋体"/>
          <w:sz w:val="24"/>
        </w:rPr>
        <w:t>9</w:t>
      </w:r>
      <w:r>
        <w:rPr>
          <w:rFonts w:hAnsi="宋体"/>
          <w:sz w:val="24"/>
        </w:rPr>
        <w:t>.4</w:t>
      </w:r>
      <w:r>
        <w:rPr>
          <w:rFonts w:hint="eastAsia" w:hAnsi="宋体"/>
          <w:sz w:val="24"/>
        </w:rPr>
        <w:t xml:space="preserve"> 如供应商提供的本项目中包含其不拥有的知识产权，采购人视为在供应商报价中已包括了采购人合法使用该知识产权的相关费用</w:t>
      </w:r>
      <w:bookmarkStart w:id="33" w:name="_Toc89075875"/>
      <w:bookmarkStart w:id="34" w:name="_Toc183582209"/>
      <w:bookmarkStart w:id="35" w:name="_Toc77400779"/>
      <w:bookmarkStart w:id="36" w:name="_Toc183682346"/>
      <w:bookmarkStart w:id="37" w:name="_Toc217446038"/>
      <w:r>
        <w:rPr>
          <w:rFonts w:hint="eastAsia" w:hAnsi="宋体"/>
          <w:sz w:val="24"/>
        </w:rPr>
        <w:t>，采购人不再因供应商采用所不拥有的知识产权而另行支付任何费用</w:t>
      </w:r>
      <w:r>
        <w:rPr>
          <w:rFonts w:hint="eastAsia" w:hAnsi="宋体"/>
          <w:sz w:val="24"/>
          <w:lang w:eastAsia="zh-CN"/>
        </w:rPr>
        <w:t>。</w:t>
      </w:r>
    </w:p>
    <w:p>
      <w:pPr>
        <w:pStyle w:val="5"/>
        <w:keepNext w:val="0"/>
        <w:keepLines w:val="0"/>
        <w:spacing w:before="0" w:after="0" w:line="400" w:lineRule="exact"/>
        <w:jc w:val="center"/>
        <w:rPr>
          <w:rFonts w:hint="eastAsia" w:ascii="黑体"/>
          <w:bCs w:val="0"/>
        </w:rPr>
      </w:pPr>
      <w:r>
        <w:rPr>
          <w:rFonts w:hint="eastAsia" w:ascii="黑体"/>
          <w:bCs w:val="0"/>
        </w:rPr>
        <w:t>三、磋商文件</w:t>
      </w:r>
      <w:bookmarkEnd w:id="33"/>
      <w:bookmarkEnd w:id="34"/>
      <w:bookmarkEnd w:id="35"/>
      <w:bookmarkEnd w:id="36"/>
      <w:bookmarkEnd w:id="37"/>
    </w:p>
    <w:p>
      <w:pPr>
        <w:pStyle w:val="6"/>
        <w:keepNext w:val="0"/>
        <w:keepLines w:val="0"/>
        <w:spacing w:before="0" w:after="0" w:line="400" w:lineRule="exact"/>
        <w:rPr>
          <w:rFonts w:hint="eastAsia" w:hAnsi="宋体"/>
          <w:sz w:val="24"/>
        </w:rPr>
      </w:pPr>
      <w:bookmarkStart w:id="38" w:name="_Toc217446039"/>
      <w:bookmarkStart w:id="39" w:name="_Toc183682347"/>
      <w:bookmarkStart w:id="40" w:name="_Toc183582210"/>
    </w:p>
    <w:p>
      <w:pPr>
        <w:pStyle w:val="6"/>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38"/>
      <w:bookmarkEnd w:id="39"/>
      <w:bookmarkEnd w:id="40"/>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400" w:lineRule="exact"/>
        <w:ind w:firstLine="482" w:firstLineChars="200"/>
        <w:rPr>
          <w:rFonts w:hint="eastAsia" w:hAnsi="宋体"/>
          <w:sz w:val="24"/>
        </w:rPr>
      </w:pPr>
      <w:bookmarkStart w:id="41" w:name="_Toc183582211"/>
      <w:bookmarkStart w:id="42" w:name="_Toc183682348"/>
      <w:bookmarkStart w:id="43" w:name="_Toc217446040"/>
    </w:p>
    <w:p>
      <w:pPr>
        <w:pStyle w:val="6"/>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1"/>
      <w:bookmarkEnd w:id="42"/>
      <w:r>
        <w:rPr>
          <w:rFonts w:hint="eastAsia" w:hAnsi="宋体"/>
          <w:sz w:val="24"/>
        </w:rPr>
        <w:t>和修改</w:t>
      </w:r>
      <w:bookmarkEnd w:id="43"/>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6"/>
        <w:keepNext w:val="0"/>
        <w:keepLines w:val="0"/>
        <w:spacing w:before="0" w:after="0" w:line="400" w:lineRule="exact"/>
        <w:ind w:firstLine="482" w:firstLineChars="200"/>
        <w:rPr>
          <w:rFonts w:hint="eastAsia" w:hAnsi="宋体"/>
          <w:color w:val="000000"/>
          <w:sz w:val="24"/>
        </w:rPr>
      </w:pPr>
    </w:p>
    <w:p>
      <w:pPr>
        <w:pStyle w:val="6"/>
        <w:keepNext w:val="0"/>
        <w:keepLines w:val="0"/>
        <w:spacing w:before="0" w:after="0" w:line="360" w:lineRule="auto"/>
        <w:ind w:firstLine="482" w:firstLineChars="200"/>
        <w:rPr>
          <w:rFonts w:hint="eastAsia" w:hAnsi="宋体"/>
          <w:color w:val="000000"/>
          <w:sz w:val="24"/>
        </w:rPr>
      </w:pPr>
      <w:bookmarkStart w:id="44" w:name="_Toc208848971"/>
      <w:bookmarkStart w:id="45" w:name="_Toc217446041"/>
      <w:r>
        <w:rPr>
          <w:rFonts w:hint="eastAsia" w:hAnsi="宋体"/>
          <w:color w:val="000000"/>
          <w:sz w:val="24"/>
        </w:rPr>
        <w:t>12.答疑会和现场考察</w:t>
      </w:r>
      <w:bookmarkEnd w:id="44"/>
      <w:bookmarkEnd w:id="45"/>
    </w:p>
    <w:p>
      <w:pPr>
        <w:tabs>
          <w:tab w:val="left" w:pos="720"/>
        </w:tabs>
        <w:spacing w:line="360" w:lineRule="auto"/>
        <w:ind w:firstLine="480" w:firstLineChars="200"/>
        <w:rPr>
          <w:rFonts w:hint="eastAsia" w:hAnsi="宋体"/>
          <w:color w:val="000000"/>
          <w:sz w:val="24"/>
        </w:rPr>
      </w:pPr>
      <w:bookmarkStart w:id="46" w:name="_Toc217446042"/>
      <w:bookmarkStart w:id="47" w:name="_Toc89075876"/>
      <w:bookmarkStart w:id="48" w:name="_Toc183682351"/>
      <w:bookmarkStart w:id="49" w:name="_Toc183582214"/>
      <w:bookmarkStart w:id="50" w:name="_Toc77400780"/>
      <w:r>
        <w:rPr>
          <w:rFonts w:hint="eastAsia" w:hAnsi="宋体"/>
          <w:color w:val="000000"/>
          <w:sz w:val="24"/>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color w:val="000000"/>
          <w:sz w:val="24"/>
        </w:rPr>
      </w:pPr>
      <w:r>
        <w:rPr>
          <w:rFonts w:hint="eastAsia" w:hAnsi="宋体"/>
          <w:color w:val="000000"/>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color w:val="000000"/>
          <w:sz w:val="24"/>
        </w:rPr>
      </w:pPr>
      <w:r>
        <w:rPr>
          <w:rFonts w:hint="eastAsia" w:hAnsi="宋体"/>
          <w:color w:val="000000"/>
          <w:sz w:val="24"/>
        </w:rPr>
        <w:t>12.3（实质性要求）供应商考察现场或者参加答疑会所发生的一切费用由供应商自己承担。</w:t>
      </w:r>
    </w:p>
    <w:p>
      <w:pPr>
        <w:pStyle w:val="5"/>
        <w:keepNext w:val="0"/>
        <w:keepLines w:val="0"/>
        <w:spacing w:before="0" w:after="0" w:line="400" w:lineRule="exact"/>
        <w:jc w:val="center"/>
        <w:rPr>
          <w:rFonts w:hint="eastAsia" w:ascii="黑体"/>
          <w:bCs w:val="0"/>
        </w:rPr>
      </w:pPr>
    </w:p>
    <w:p>
      <w:pPr>
        <w:pStyle w:val="5"/>
        <w:keepNext w:val="0"/>
        <w:keepLines w:val="0"/>
        <w:spacing w:before="0" w:after="0" w:line="400" w:lineRule="exact"/>
        <w:jc w:val="center"/>
        <w:rPr>
          <w:rFonts w:hint="eastAsia" w:ascii="黑体"/>
          <w:bCs w:val="0"/>
        </w:rPr>
      </w:pPr>
      <w:r>
        <w:rPr>
          <w:rFonts w:hint="eastAsia" w:ascii="黑体"/>
          <w:bCs w:val="0"/>
        </w:rPr>
        <w:t>四、响应文件</w:t>
      </w:r>
      <w:bookmarkEnd w:id="46"/>
      <w:bookmarkEnd w:id="47"/>
      <w:bookmarkEnd w:id="48"/>
      <w:bookmarkEnd w:id="49"/>
      <w:bookmarkEnd w:id="50"/>
    </w:p>
    <w:p>
      <w:pPr>
        <w:rPr>
          <w:rFonts w:hint="eastAsia"/>
        </w:rPr>
      </w:pPr>
    </w:p>
    <w:p>
      <w:pPr>
        <w:pStyle w:val="6"/>
        <w:keepNext w:val="0"/>
        <w:keepLines w:val="0"/>
        <w:spacing w:before="0" w:after="0" w:line="360" w:lineRule="auto"/>
        <w:ind w:firstLine="482" w:firstLineChars="200"/>
        <w:rPr>
          <w:rFonts w:hint="eastAsia" w:hAnsi="宋体"/>
          <w:sz w:val="24"/>
        </w:rPr>
      </w:pPr>
      <w:bookmarkStart w:id="51" w:name="_Toc183582215"/>
      <w:bookmarkStart w:id="52" w:name="_Toc183682352"/>
      <w:bookmarkStart w:id="53" w:name="_Toc217446043"/>
      <w:r>
        <w:rPr>
          <w:rFonts w:hint="eastAsia" w:hAnsi="宋体"/>
          <w:sz w:val="24"/>
        </w:rPr>
        <w:t>13.响应文件的组成</w:t>
      </w:r>
    </w:p>
    <w:p>
      <w:pPr>
        <w:spacing w:line="360" w:lineRule="auto"/>
        <w:ind w:left="3" w:leftChars="1" w:firstLine="480" w:firstLineChars="200"/>
        <w:rPr>
          <w:rFonts w:hAnsi="宋体" w:cs="宋体"/>
          <w:sz w:val="24"/>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响应文件包括资格响应文件、其他响应文件和电子文档。</w:t>
      </w:r>
    </w:p>
    <w:p>
      <w:pPr>
        <w:spacing w:line="360" w:lineRule="auto"/>
        <w:jc w:val="left"/>
        <w:rPr>
          <w:rFonts w:hAnsi="宋体" w:cs="宋体"/>
          <w:sz w:val="24"/>
        </w:rPr>
      </w:pPr>
      <w:r>
        <w:rPr>
          <w:rFonts w:hAnsi="宋体" w:cs="宋体"/>
          <w:sz w:val="24"/>
        </w:rPr>
        <w:t xml:space="preserve">    </w:t>
      </w:r>
      <w:r>
        <w:rPr>
          <w:rFonts w:hint="eastAsia" w:hAnsi="宋体" w:cs="宋体"/>
          <w:sz w:val="24"/>
        </w:rPr>
        <w:t>13.2</w:t>
      </w:r>
      <w:r>
        <w:rPr>
          <w:rFonts w:hAnsi="宋体" w:cs="宋体"/>
          <w:sz w:val="24"/>
        </w:rPr>
        <w:t>资格响应文件应包括下列内容：</w:t>
      </w:r>
    </w:p>
    <w:p>
      <w:pPr>
        <w:tabs>
          <w:tab w:val="left" w:pos="540"/>
        </w:tabs>
        <w:spacing w:line="360" w:lineRule="auto"/>
        <w:ind w:firstLine="480" w:firstLineChars="200"/>
        <w:rPr>
          <w:rFonts w:hint="eastAsia"/>
          <w:sz w:val="24"/>
        </w:rPr>
      </w:pPr>
      <w:r>
        <w:rPr>
          <w:rFonts w:hint="eastAsia" w:hAnsi="宋体"/>
          <w:sz w:val="24"/>
        </w:rPr>
        <w:t>（1）承诺函；</w:t>
      </w:r>
    </w:p>
    <w:p>
      <w:pPr>
        <w:spacing w:line="360" w:lineRule="auto"/>
        <w:ind w:firstLine="480" w:firstLineChars="200"/>
        <w:rPr>
          <w:rFonts w:hint="eastAsia"/>
        </w:rPr>
      </w:pPr>
      <w:r>
        <w:rPr>
          <w:rFonts w:hint="eastAsia" w:hAnsi="宋体"/>
          <w:sz w:val="24"/>
        </w:rPr>
        <w:t>（2）法定代表人授权委托书或法定代表人身份证明书；</w:t>
      </w:r>
    </w:p>
    <w:p>
      <w:pPr>
        <w:spacing w:line="360" w:lineRule="auto"/>
        <w:ind w:firstLine="480" w:firstLineChars="200"/>
        <w:jc w:val="left"/>
        <w:rPr>
          <w:rFonts w:hAnsi="宋体" w:cs="宋体"/>
          <w:sz w:val="24"/>
        </w:rPr>
      </w:pPr>
      <w:r>
        <w:rPr>
          <w:rFonts w:hAnsi="宋体" w:cs="宋体"/>
          <w:sz w:val="24"/>
        </w:rPr>
        <w:t>（3）供应商基本情况一览表；</w:t>
      </w:r>
    </w:p>
    <w:p>
      <w:pPr>
        <w:spacing w:line="360" w:lineRule="auto"/>
        <w:ind w:firstLine="480" w:firstLineChars="200"/>
        <w:jc w:val="left"/>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）《中小企业声明函》或《残疾人福利性单位声明函》；</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5</w:t>
      </w:r>
      <w:r>
        <w:rPr>
          <w:rFonts w:hAnsi="宋体" w:cs="宋体"/>
          <w:sz w:val="24"/>
        </w:rPr>
        <w:t>）</w:t>
      </w:r>
      <w:r>
        <w:rPr>
          <w:rFonts w:hint="eastAsia" w:hAnsi="宋体" w:cs="宋体"/>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lang w:val="en-US" w:eastAsia="zh-CN"/>
        </w:rPr>
        <w:t>6</w:t>
      </w:r>
      <w:r>
        <w:rPr>
          <w:rFonts w:hAnsi="宋体" w:cs="宋体"/>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2"/>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pPr>
      <w:r>
        <w:rPr>
          <w:rFonts w:hAnsi="宋体" w:cs="宋体"/>
          <w:sz w:val="24"/>
        </w:rPr>
        <w:t>（2）第一次报价</w:t>
      </w:r>
      <w:r>
        <w:rPr>
          <w:rFonts w:hint="eastAsia" w:hAnsi="宋体" w:cs="宋体"/>
          <w:sz w:val="24"/>
        </w:rPr>
        <w:t>表</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rPr>
        <w:t>3</w:t>
      </w:r>
      <w:r>
        <w:rPr>
          <w:rFonts w:hAnsi="宋体" w:cs="宋体"/>
          <w:sz w:val="24"/>
        </w:rPr>
        <w:t>）</w:t>
      </w:r>
      <w:r>
        <w:rPr>
          <w:rFonts w:hint="eastAsia" w:hAnsi="宋体" w:cs="宋体"/>
          <w:sz w:val="24"/>
        </w:rPr>
        <w:t>服务内容及要求应答表；</w:t>
      </w:r>
    </w:p>
    <w:p>
      <w:pPr>
        <w:spacing w:line="360" w:lineRule="auto"/>
        <w:ind w:firstLine="480" w:firstLineChars="200"/>
        <w:jc w:val="left"/>
        <w:rPr>
          <w:rFonts w:hint="eastAsia" w:hAnsi="宋体" w:cs="宋体"/>
          <w:sz w:val="24"/>
        </w:rPr>
      </w:pPr>
      <w:r>
        <w:rPr>
          <w:rFonts w:hint="eastAsia" w:hAnsi="宋体" w:cs="宋体"/>
          <w:sz w:val="24"/>
        </w:rPr>
        <w:t>（4）商务要求应答表；</w:t>
      </w:r>
    </w:p>
    <w:p>
      <w:pPr>
        <w:spacing w:line="360" w:lineRule="auto"/>
        <w:ind w:firstLine="480" w:firstLineChars="200"/>
        <w:rPr>
          <w:rFonts w:hint="eastAsia" w:hAnsi="宋体"/>
          <w:sz w:val="24"/>
        </w:rPr>
      </w:pPr>
      <w:r>
        <w:rPr>
          <w:rFonts w:hint="eastAsia" w:hAnsi="宋体"/>
          <w:sz w:val="24"/>
        </w:rPr>
        <w:t>（5）拟派驻本项目人员配置一览表；</w:t>
      </w:r>
    </w:p>
    <w:p>
      <w:pPr>
        <w:spacing w:line="360" w:lineRule="auto"/>
        <w:ind w:firstLine="480" w:firstLineChars="200"/>
        <w:rPr>
          <w:rFonts w:hint="eastAsia" w:hAnsi="宋体"/>
          <w:sz w:val="24"/>
          <w:szCs w:val="22"/>
        </w:rPr>
      </w:pPr>
      <w:r>
        <w:rPr>
          <w:rFonts w:hint="eastAsia" w:hAnsi="宋体"/>
          <w:sz w:val="24"/>
          <w:szCs w:val="22"/>
        </w:rPr>
        <w:t>（6）供应商类似业绩一览表；</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7）</w:t>
      </w:r>
      <w:r>
        <w:rPr>
          <w:rFonts w:hint="eastAsia" w:hAnsi="宋体" w:cs="宋体"/>
          <w:sz w:val="24"/>
          <w:lang w:eastAsia="zh-CN"/>
        </w:rPr>
        <w:t>服务</w:t>
      </w:r>
      <w:r>
        <w:rPr>
          <w:rFonts w:hint="eastAsia" w:hAnsi="宋体" w:cs="宋体"/>
          <w:sz w:val="24"/>
        </w:rPr>
        <w:t>方案</w:t>
      </w:r>
      <w:r>
        <w:rPr>
          <w:rFonts w:hAnsi="宋体" w:cs="宋体"/>
          <w:sz w:val="24"/>
        </w:rPr>
        <w:t>；</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8</w:t>
      </w:r>
      <w:r>
        <w:rPr>
          <w:rFonts w:hAnsi="宋体" w:cs="宋体"/>
          <w:sz w:val="24"/>
        </w:rPr>
        <w:t>）供应商认为需要提供的其他材料</w:t>
      </w:r>
      <w:r>
        <w:rPr>
          <w:rFonts w:hint="eastAsia" w:hAnsi="宋体" w:cs="宋体"/>
          <w:sz w:val="24"/>
        </w:rPr>
        <w:t>。</w:t>
      </w:r>
    </w:p>
    <w:p>
      <w:pPr>
        <w:pStyle w:val="11"/>
        <w:spacing w:line="360" w:lineRule="auto"/>
        <w:ind w:firstLine="480" w:firstLineChars="200"/>
        <w:rPr>
          <w:rFonts w:hint="eastAsia" w:hAnsi="宋体"/>
          <w:sz w:val="24"/>
        </w:rPr>
      </w:pPr>
      <w:r>
        <w:rPr>
          <w:rFonts w:hint="eastAsia" w:hAnsi="宋体" w:cs="宋体"/>
          <w:kern w:val="2"/>
          <w:sz w:val="24"/>
          <w:szCs w:val="24"/>
        </w:rPr>
        <w:t>13.4电子文档中包含资格响应文件和其他响应文件的电子数据。</w:t>
      </w:r>
    </w:p>
    <w:p>
      <w:pPr>
        <w:pStyle w:val="6"/>
        <w:keepNext w:val="0"/>
        <w:keepLines w:val="0"/>
        <w:spacing w:before="0" w:after="0" w:line="360" w:lineRule="auto"/>
        <w:ind w:firstLine="482" w:firstLineChars="200"/>
        <w:rPr>
          <w:rFonts w:hint="eastAsia" w:hAnsi="宋体"/>
          <w:bCs w:val="0"/>
          <w:sz w:val="24"/>
        </w:rPr>
      </w:pPr>
    </w:p>
    <w:p>
      <w:pPr>
        <w:pStyle w:val="6"/>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1"/>
      <w:bookmarkEnd w:id="52"/>
      <w:bookmarkEnd w:id="53"/>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360" w:lineRule="auto"/>
        <w:ind w:firstLine="482" w:firstLineChars="200"/>
        <w:rPr>
          <w:rFonts w:hint="eastAsia" w:hAnsi="宋体"/>
          <w:sz w:val="24"/>
        </w:rPr>
      </w:pPr>
      <w:bookmarkStart w:id="54" w:name="_Toc183582216"/>
      <w:bookmarkStart w:id="55" w:name="_Toc183682353"/>
      <w:bookmarkStart w:id="56" w:name="_Toc217446044"/>
    </w:p>
    <w:p>
      <w:pPr>
        <w:pStyle w:val="6"/>
        <w:keepNext w:val="0"/>
        <w:keepLines w:val="0"/>
        <w:spacing w:before="0" w:after="0" w:line="360" w:lineRule="auto"/>
        <w:ind w:firstLine="482" w:firstLineChars="200"/>
        <w:rPr>
          <w:rFonts w:hint="eastAsia" w:hAnsi="宋体"/>
          <w:sz w:val="24"/>
        </w:rPr>
      </w:pPr>
      <w:r>
        <w:rPr>
          <w:rFonts w:hint="eastAsia" w:hAnsi="宋体"/>
          <w:sz w:val="24"/>
        </w:rPr>
        <w:t>15．计量单位</w:t>
      </w:r>
      <w:bookmarkEnd w:id="54"/>
      <w:bookmarkEnd w:id="55"/>
      <w:bookmarkEnd w:id="56"/>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7"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7"/>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58" w:name="_Toc217446051"/>
      <w:bookmarkStart w:id="59" w:name="_Toc183682361"/>
      <w:bookmarkStart w:id="60" w:name="_Toc183582224"/>
    </w:p>
    <w:p>
      <w:pPr>
        <w:spacing w:line="400" w:lineRule="exact"/>
        <w:ind w:firstLine="472" w:firstLineChars="196"/>
        <w:rPr>
          <w:rFonts w:hint="eastAsia" w:hAnsi="宋体"/>
          <w:b/>
          <w:sz w:val="24"/>
        </w:rPr>
      </w:pPr>
      <w:r>
        <w:rPr>
          <w:rFonts w:hint="eastAsia" w:hAnsi="宋体"/>
          <w:b/>
          <w:sz w:val="24"/>
        </w:rPr>
        <w:t>18.响应文件的编制和签署</w:t>
      </w:r>
    </w:p>
    <w:bookmarkEnd w:id="58"/>
    <w:bookmarkEnd w:id="59"/>
    <w:bookmarkEnd w:id="60"/>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1" w:name="_Toc183682363"/>
      <w:bookmarkStart w:id="62" w:name="_Toc217446053"/>
      <w:bookmarkStart w:id="63" w:name="_Toc183582226"/>
      <w:bookmarkStart w:id="64" w:name="_Toc89075877"/>
      <w:bookmarkStart w:id="65" w:name="_Toc77400781"/>
    </w:p>
    <w:p>
      <w:pPr>
        <w:pStyle w:val="11"/>
        <w:spacing w:line="360" w:lineRule="auto"/>
        <w:ind w:firstLine="480"/>
        <w:rPr>
          <w:rFonts w:hint="eastAsia" w:hAnsi="宋体"/>
          <w:sz w:val="24"/>
        </w:rPr>
      </w:pPr>
      <w:r>
        <w:rPr>
          <w:rFonts w:hint="eastAsia" w:hAnsi="宋体"/>
          <w:sz w:val="24"/>
        </w:rPr>
        <w:t>18.3其他有关规定详见供应商须知附表。</w:t>
      </w:r>
    </w:p>
    <w:p>
      <w:pPr>
        <w:pStyle w:val="11"/>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11"/>
        <w:rPr>
          <w:rFonts w:hint="eastAsia"/>
          <w:sz w:val="24"/>
          <w:szCs w:val="24"/>
        </w:rPr>
      </w:pPr>
    </w:p>
    <w:bookmarkEnd w:id="61"/>
    <w:bookmarkEnd w:id="62"/>
    <w:bookmarkEnd w:id="63"/>
    <w:bookmarkEnd w:id="64"/>
    <w:bookmarkEnd w:id="65"/>
    <w:p>
      <w:pPr>
        <w:tabs>
          <w:tab w:val="left" w:pos="1080"/>
        </w:tabs>
        <w:spacing w:line="360" w:lineRule="auto"/>
        <w:ind w:firstLine="463" w:firstLineChars="192"/>
        <w:rPr>
          <w:rFonts w:hint="eastAsia" w:hAnsi="宋体"/>
          <w:b/>
          <w:sz w:val="24"/>
        </w:rPr>
      </w:pPr>
      <w:bookmarkStart w:id="66" w:name="_Toc183682365"/>
      <w:bookmarkStart w:id="67" w:name="_Toc183582228"/>
      <w:bookmarkStart w:id="68" w:name="_Toc217446055"/>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9"/>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6"/>
    <w:bookmarkEnd w:id="67"/>
    <w:bookmarkEnd w:id="68"/>
    <w:p>
      <w:pPr>
        <w:pStyle w:val="5"/>
        <w:keepNext w:val="0"/>
        <w:keepLines w:val="0"/>
        <w:spacing w:before="0" w:after="0" w:line="400" w:lineRule="exact"/>
        <w:jc w:val="center"/>
        <w:rPr>
          <w:rFonts w:hint="eastAsia"/>
          <w:sz w:val="24"/>
        </w:rPr>
      </w:pPr>
    </w:p>
    <w:p>
      <w:pPr>
        <w:pStyle w:val="5"/>
        <w:keepNext w:val="0"/>
        <w:keepLines w:val="0"/>
        <w:spacing w:line="400" w:lineRule="exact"/>
        <w:jc w:val="center"/>
        <w:rPr>
          <w:rFonts w:hint="eastAsia"/>
        </w:rPr>
      </w:pPr>
      <w:bookmarkStart w:id="69" w:name="_Toc217446056"/>
      <w:bookmarkStart w:id="70" w:name="_Toc89075878"/>
      <w:bookmarkStart w:id="71" w:name="_Toc183682368"/>
      <w:bookmarkStart w:id="72" w:name="_Toc77400782"/>
      <w:bookmarkStart w:id="73" w:name="_Toc183582231"/>
      <w:r>
        <w:rPr>
          <w:rFonts w:hint="eastAsia"/>
        </w:rPr>
        <w:t>五、评审</w:t>
      </w:r>
    </w:p>
    <w:p>
      <w:pPr>
        <w:pStyle w:val="5"/>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5"/>
        <w:keepNext w:val="0"/>
        <w:keepLines w:val="0"/>
        <w:spacing w:line="400" w:lineRule="exact"/>
        <w:jc w:val="center"/>
        <w:rPr>
          <w:rFonts w:hint="eastAsia" w:ascii="宋体" w:hAnsi="宋体" w:eastAsia="宋体"/>
          <w:b w:val="0"/>
          <w:sz w:val="24"/>
          <w:szCs w:val="24"/>
        </w:rPr>
      </w:pPr>
    </w:p>
    <w:p>
      <w:pPr>
        <w:pStyle w:val="5"/>
        <w:keepNext w:val="0"/>
        <w:keepLines w:val="0"/>
        <w:spacing w:line="400" w:lineRule="exact"/>
        <w:jc w:val="center"/>
        <w:rPr>
          <w:rFonts w:hint="eastAsia"/>
        </w:rPr>
      </w:pPr>
      <w:r>
        <w:rPr>
          <w:rFonts w:hint="eastAsia" w:ascii="黑体" w:hAnsi="宋体"/>
        </w:rPr>
        <w:t>六、成交事项</w:t>
      </w:r>
    </w:p>
    <w:p>
      <w:pPr>
        <w:pStyle w:val="5"/>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w:t>
      </w:r>
      <w:r>
        <w:rPr>
          <w:rFonts w:hint="eastAsia" w:ascii="宋体" w:hAnsi="宋体" w:eastAsia="宋体"/>
          <w:b w:val="0"/>
          <w:sz w:val="24"/>
          <w:szCs w:val="24"/>
          <w:lang w:val="en-US" w:eastAsia="zh-CN"/>
        </w:rPr>
        <w:t>3</w:t>
      </w:r>
      <w:r>
        <w:rPr>
          <w:rFonts w:hint="eastAsia" w:ascii="宋体" w:hAnsi="宋体" w:eastAsia="宋体"/>
          <w:b w:val="0"/>
          <w:sz w:val="24"/>
          <w:szCs w:val="24"/>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5"/>
        <w:keepNext w:val="0"/>
        <w:keepLines w:val="0"/>
        <w:spacing w:line="400" w:lineRule="exact"/>
        <w:jc w:val="center"/>
        <w:rPr>
          <w:rFonts w:hint="eastAsia"/>
        </w:rPr>
      </w:pPr>
      <w:r>
        <w:rPr>
          <w:rFonts w:hint="eastAsia"/>
        </w:rPr>
        <w:t>七、合同事项</w:t>
      </w:r>
    </w:p>
    <w:p>
      <w:pPr>
        <w:pStyle w:val="5"/>
        <w:keepNext w:val="0"/>
        <w:keepLines w:val="0"/>
        <w:spacing w:before="0" w:after="0" w:line="400" w:lineRule="exact"/>
        <w:ind w:firstLine="472" w:firstLineChars="196"/>
        <w:rPr>
          <w:rFonts w:hint="eastAsia" w:ascii="宋体" w:hAnsi="宋体" w:eastAsia="宋体"/>
          <w:sz w:val="24"/>
          <w:szCs w:val="24"/>
        </w:rPr>
      </w:pPr>
    </w:p>
    <w:p>
      <w:pPr>
        <w:pStyle w:val="5"/>
        <w:keepNext w:val="0"/>
        <w:keepLines w:val="0"/>
        <w:spacing w:before="0" w:after="0" w:line="360" w:lineRule="auto"/>
        <w:ind w:firstLine="472" w:firstLineChars="196"/>
        <w:rPr>
          <w:rFonts w:hint="eastAsia" w:ascii="宋体" w:hAnsi="宋体" w:eastAsia="宋体"/>
          <w:sz w:val="24"/>
          <w:szCs w:val="24"/>
        </w:rPr>
      </w:pPr>
      <w:bookmarkStart w:id="74" w:name="_Toc430773927"/>
      <w:bookmarkStart w:id="75" w:name="_Toc101174151"/>
      <w:bookmarkStart w:id="76" w:name="_Toc209847069"/>
      <w:bookmarkStart w:id="77" w:name="_Toc101338364"/>
      <w:bookmarkStart w:id="78" w:name="_Toc101250646"/>
      <w:r>
        <w:rPr>
          <w:rFonts w:hint="eastAsia" w:ascii="宋体" w:hAnsi="宋体" w:eastAsia="宋体"/>
          <w:sz w:val="24"/>
          <w:szCs w:val="24"/>
        </w:rPr>
        <w:t>26.签订合同</w:t>
      </w:r>
      <w:bookmarkEnd w:id="74"/>
      <w:bookmarkEnd w:id="75"/>
      <w:bookmarkEnd w:id="76"/>
      <w:bookmarkEnd w:id="77"/>
      <w:bookmarkEnd w:id="78"/>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本项目不允许任何形式的分包。</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11"/>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11"/>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11"/>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rPr>
        <w:t>30.履约保证金（实质性要求）：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在合同履行过程中，如发生合同纠纷，合同双方应按照《民法典》的有关规定进行处理。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34.1本项目采购人将严格按照政府采购相关法律法规以及《财政部关于进一步加强政府采购需求和履约验收管理的指导意见》(财库〔2016〕205 号)的要求进行验收。</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采购人将按照政府采购合同规定，及时向成交供应商支付采购资金。本项目采购资金采取授权支付（以采购计划表载明的为准），支付程序为：详见磋商文件第五章。</w:t>
      </w:r>
    </w:p>
    <w:p>
      <w:pPr>
        <w:pStyle w:val="11"/>
        <w:rPr>
          <w:rFonts w:hint="eastAsia"/>
        </w:rPr>
      </w:pPr>
    </w:p>
    <w:p>
      <w:pPr>
        <w:pStyle w:val="5"/>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pStyle w:val="3"/>
        <w:keepNext w:val="0"/>
        <w:keepLines w:val="0"/>
        <w:widowControl/>
        <w:shd w:val="clear" w:color="auto" w:fill="FFFFFF"/>
        <w:spacing w:before="0" w:after="0" w:line="360" w:lineRule="auto"/>
        <w:ind w:firstLine="480" w:firstLineChars="200"/>
        <w:jc w:val="left"/>
        <w:rPr>
          <w:rFonts w:hint="eastAsia" w:hAnsi="宋体"/>
          <w:kern w:val="2"/>
          <w:sz w:val="24"/>
          <w:szCs w:val="24"/>
        </w:rPr>
      </w:pPr>
      <w:bookmarkStart w:id="79" w:name="_Toc971"/>
      <w:bookmarkStart w:id="80" w:name="_Toc9965"/>
      <w:r>
        <w:rPr>
          <w:rFonts w:hint="eastAsia" w:hAnsi="宋体"/>
          <w:b w:val="0"/>
          <w:bCs w:val="0"/>
          <w:kern w:val="2"/>
          <w:sz w:val="24"/>
          <w:szCs w:val="24"/>
        </w:rPr>
        <w:t>37.</w:t>
      </w:r>
      <w:r>
        <w:rPr>
          <w:rFonts w:hint="eastAsia" w:hAnsi="宋体"/>
          <w:kern w:val="2"/>
          <w:sz w:val="24"/>
          <w:szCs w:val="24"/>
        </w:rPr>
        <w:t>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79"/>
      <w:bookmarkEnd w:id="80"/>
    </w:p>
    <w:p>
      <w:pPr>
        <w:pStyle w:val="11"/>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1" w:name="_Toc4889"/>
      <w:bookmarkStart w:id="82" w:name="_Toc28765"/>
      <w:bookmarkStart w:id="83" w:name="_Toc7671"/>
      <w:bookmarkStart w:id="84" w:name="_Toc8975"/>
      <w:bookmarkStart w:id="85" w:name="_Toc4190"/>
    </w:p>
    <w:p>
      <w:pPr>
        <w:pStyle w:val="3"/>
        <w:rPr>
          <w:rFonts w:hint="eastAsia"/>
          <w:b w:val="0"/>
          <w:bCs w:val="0"/>
          <w:sz w:val="36"/>
          <w:szCs w:val="36"/>
        </w:rPr>
      </w:pPr>
      <w:r>
        <w:rPr>
          <w:rFonts w:hint="eastAsia"/>
          <w:b w:val="0"/>
          <w:bCs w:val="0"/>
          <w:sz w:val="36"/>
          <w:szCs w:val="36"/>
        </w:rPr>
        <w:br w:type="page"/>
      </w:r>
      <w:r>
        <w:rPr>
          <w:rFonts w:hint="eastAsia"/>
          <w:b w:val="0"/>
          <w:bCs w:val="0"/>
          <w:sz w:val="36"/>
          <w:szCs w:val="36"/>
        </w:rPr>
        <w:t>第三章  供应商资格条件要求</w:t>
      </w:r>
      <w:bookmarkEnd w:id="81"/>
      <w:bookmarkEnd w:id="82"/>
      <w:bookmarkEnd w:id="83"/>
      <w:bookmarkEnd w:id="84"/>
      <w:bookmarkEnd w:id="85"/>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74"/>
        <w:ind w:firstLine="480"/>
        <w:jc w:val="left"/>
        <w:rPr>
          <w:rFonts w:hint="eastAsia" w:hAnsi="宋体" w:cs="宋体"/>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74"/>
        <w:ind w:firstLine="480"/>
        <w:jc w:val="left"/>
        <w:rPr>
          <w:rFonts w:hint="eastAsia" w:hAnsi="宋体"/>
          <w:sz w:val="24"/>
          <w:szCs w:val="22"/>
          <w:highlight w:val="none"/>
          <w:lang w:eastAsia="zh-CN"/>
        </w:rPr>
      </w:pPr>
      <w:r>
        <w:rPr>
          <w:rFonts w:hint="eastAsia" w:hAnsi="宋体"/>
          <w:sz w:val="24"/>
        </w:rPr>
        <w:t>（三）根据采购项目提出的特殊</w:t>
      </w:r>
      <w:r>
        <w:rPr>
          <w:rFonts w:hint="eastAsia" w:hAnsi="宋体"/>
          <w:sz w:val="24"/>
          <w:szCs w:val="22"/>
          <w:highlight w:val="none"/>
        </w:rPr>
        <w:t>条件：</w:t>
      </w:r>
      <w:r>
        <w:rPr>
          <w:rFonts w:hint="eastAsia" w:hAnsi="宋体"/>
          <w:sz w:val="24"/>
          <w:szCs w:val="22"/>
          <w:highlight w:val="none"/>
          <w:lang w:eastAsia="zh-CN"/>
        </w:rPr>
        <w:t>供应商具有行政主管部门颁发的测绘资质乙级或以上资质证书，专业范围包括地理信息系统工程（专业子项包含地理信息数据处理）；按照《自然资源部办公厅关于开展测绘资质复审换证工作的通知》在递交响应文件之前已完成测绘资质复审换证的供应商，其要求为：具有行政主管部门颁发的测绘资质乙级或以上资质证书，专业范围包括地理信息系统工程。</w:t>
      </w:r>
    </w:p>
    <w:p>
      <w:pPr>
        <w:pStyle w:val="74"/>
        <w:ind w:firstLine="480"/>
        <w:jc w:val="left"/>
        <w:rPr>
          <w:rFonts w:hint="eastAsia" w:hAnsi="宋体" w:cs="宋体"/>
          <w:sz w:val="24"/>
          <w:szCs w:val="22"/>
        </w:rPr>
      </w:pPr>
      <w:r>
        <w:rPr>
          <w:rFonts w:hint="eastAsia" w:ascii="宋体" w:hAnsi="宋体" w:eastAsia="宋体" w:cs="宋体"/>
          <w:sz w:val="24"/>
          <w:lang w:val="en-US" w:eastAsia="zh-CN"/>
        </w:rPr>
        <w:t>（四）本项目专门面向中小企业（含残疾人福利性单位、监狱企业）采购</w:t>
      </w:r>
      <w:r>
        <w:rPr>
          <w:rFonts w:hint="eastAsia" w:hAnsi="宋体" w:cs="宋体"/>
          <w:sz w:val="24"/>
          <w:szCs w:val="22"/>
        </w:rPr>
        <w:t>。</w:t>
      </w:r>
    </w:p>
    <w:p>
      <w:pPr>
        <w:spacing w:line="360" w:lineRule="auto"/>
        <w:jc w:val="left"/>
        <w:rPr>
          <w:rFonts w:hint="eastAsia" w:hAnsi="宋体"/>
          <w:kern w:val="2"/>
          <w:sz w:val="24"/>
          <w:szCs w:val="22"/>
        </w:rPr>
      </w:pPr>
      <w:r>
        <w:rPr>
          <w:rFonts w:hint="eastAsia" w:hAnsi="宋体"/>
          <w:b/>
          <w:bCs/>
          <w:sz w:val="28"/>
          <w:szCs w:val="28"/>
        </w:rPr>
        <w:t>二、供应商其他类似效力要求：</w:t>
      </w:r>
    </w:p>
    <w:p>
      <w:pPr>
        <w:pStyle w:val="74"/>
        <w:ind w:firstLine="480"/>
        <w:jc w:val="left"/>
        <w:rPr>
          <w:rFonts w:hint="eastAsia" w:hAnsi="宋体" w:cs="宋体"/>
          <w:sz w:val="24"/>
          <w:szCs w:val="22"/>
        </w:rPr>
      </w:pPr>
      <w:r>
        <w:rPr>
          <w:rFonts w:hint="eastAsia" w:hAnsi="宋体"/>
          <w:kern w:val="2"/>
          <w:sz w:val="24"/>
          <w:szCs w:val="22"/>
        </w:rPr>
        <w:t>1、</w:t>
      </w:r>
      <w:r>
        <w:rPr>
          <w:rFonts w:hint="eastAsia" w:hAnsi="宋体" w:cs="宋体"/>
          <w:sz w:val="24"/>
          <w:szCs w:val="22"/>
        </w:rPr>
        <w:t>供应商具有参与本项目磋商的合法代表。</w:t>
      </w:r>
    </w:p>
    <w:p>
      <w:pPr>
        <w:pStyle w:val="74"/>
        <w:ind w:firstLine="480"/>
        <w:jc w:val="left"/>
        <w:rPr>
          <w:rFonts w:hint="eastAsia" w:hAnsi="宋体" w:cs="宋体"/>
          <w:sz w:val="24"/>
          <w:szCs w:val="22"/>
        </w:rPr>
      </w:pPr>
    </w:p>
    <w:p>
      <w:pPr>
        <w:widowControl/>
        <w:jc w:val="left"/>
        <w:rPr>
          <w:rFonts w:hint="eastAsia"/>
          <w:b/>
          <w:bCs/>
          <w:sz w:val="21"/>
          <w:szCs w:val="21"/>
        </w:rPr>
      </w:pPr>
    </w:p>
    <w:p>
      <w:pPr>
        <w:widowControl/>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pStyle w:val="3"/>
        <w:keepNext w:val="0"/>
        <w:keepLines w:val="0"/>
        <w:spacing w:line="240" w:lineRule="atLeast"/>
        <w:ind w:firstLine="1800" w:firstLineChars="500"/>
        <w:jc w:val="both"/>
        <w:rPr>
          <w:rFonts w:hint="eastAsia" w:hAnsi="Arial"/>
          <w:b w:val="0"/>
          <w:bCs w:val="0"/>
          <w:kern w:val="2"/>
          <w:sz w:val="36"/>
          <w:szCs w:val="32"/>
        </w:rPr>
      </w:pPr>
      <w:bookmarkStart w:id="86" w:name="_Toc27686"/>
      <w:bookmarkStart w:id="87" w:name="_Toc6305"/>
      <w:bookmarkStart w:id="88" w:name="_Toc26824"/>
      <w:bookmarkStart w:id="89" w:name="_Toc14752"/>
      <w:bookmarkStart w:id="90" w:name="_Toc20190"/>
      <w:r>
        <w:rPr>
          <w:rFonts w:hint="eastAsia" w:hAnsi="Arial"/>
          <w:b w:val="0"/>
          <w:bCs w:val="0"/>
          <w:kern w:val="2"/>
          <w:sz w:val="36"/>
          <w:szCs w:val="32"/>
        </w:rPr>
        <w:t>第四章  供应商资格证明材料</w:t>
      </w:r>
      <w:bookmarkEnd w:id="86"/>
      <w:bookmarkEnd w:id="87"/>
      <w:bookmarkEnd w:id="88"/>
      <w:bookmarkEnd w:id="89"/>
      <w:bookmarkEnd w:id="90"/>
    </w:p>
    <w:p>
      <w:pPr>
        <w:spacing w:line="360" w:lineRule="auto"/>
        <w:jc w:val="left"/>
        <w:rPr>
          <w:rFonts w:hint="eastAsia" w:hAnsi="宋体"/>
          <w:b/>
          <w:bCs/>
          <w:sz w:val="28"/>
          <w:szCs w:val="28"/>
        </w:rPr>
      </w:pPr>
      <w:r>
        <w:rPr>
          <w:rFonts w:hint="eastAsia" w:hAnsi="宋体"/>
          <w:b/>
          <w:bCs/>
          <w:sz w:val="28"/>
          <w:szCs w:val="28"/>
        </w:rPr>
        <w:t>一、供应商应提交的资格证明材料：</w:t>
      </w:r>
    </w:p>
    <w:p>
      <w:pPr>
        <w:pStyle w:val="74"/>
        <w:ind w:firstLine="480"/>
        <w:rPr>
          <w:rFonts w:hint="eastAsia" w:hAnsi="宋体"/>
          <w:sz w:val="24"/>
        </w:rPr>
      </w:pPr>
      <w:r>
        <w:rPr>
          <w:rFonts w:hint="eastAsia" w:hAnsi="宋体"/>
          <w:sz w:val="24"/>
        </w:rPr>
        <w:t>（一）</w:t>
      </w:r>
      <w:r>
        <w:rPr>
          <w:rFonts w:hint="eastAsia" w:hAnsi="宋体"/>
          <w:b/>
          <w:bCs/>
          <w:sz w:val="24"/>
        </w:rPr>
        <w:t>满足《中华人民共和国政府采购法》第二十二条第一款第1项至第5项规定的条件的证明材料</w:t>
      </w:r>
      <w:r>
        <w:rPr>
          <w:rFonts w:hint="eastAsia" w:hAnsi="宋体"/>
          <w:sz w:val="24"/>
        </w:rPr>
        <w:t>：</w:t>
      </w:r>
    </w:p>
    <w:p>
      <w:pPr>
        <w:pStyle w:val="74"/>
        <w:ind w:firstLine="482"/>
        <w:rPr>
          <w:rFonts w:hint="eastAsia" w:hAnsi="宋体" w:cs="宋体"/>
          <w:b/>
          <w:bCs/>
          <w:sz w:val="24"/>
        </w:rPr>
      </w:pPr>
      <w:r>
        <w:rPr>
          <w:rFonts w:hint="eastAsia" w:hAnsi="宋体" w:cs="宋体"/>
          <w:b/>
          <w:bCs/>
          <w:sz w:val="24"/>
        </w:rPr>
        <w:t>1、具有独立承担民事责任的能力的证明材料：有效的营业执照复印件或事业单位法人证书或其他类似效力证明材料复印件。</w:t>
      </w:r>
    </w:p>
    <w:p>
      <w:pPr>
        <w:tabs>
          <w:tab w:val="left" w:pos="7665"/>
        </w:tabs>
        <w:spacing w:line="360" w:lineRule="auto"/>
        <w:ind w:firstLine="482" w:firstLineChars="200"/>
        <w:rPr>
          <w:rFonts w:hint="eastAsia" w:hAnsi="宋体" w:cs="宋体"/>
          <w:b/>
          <w:bCs/>
          <w:sz w:val="24"/>
        </w:rPr>
      </w:pPr>
      <w:r>
        <w:rPr>
          <w:rFonts w:hint="eastAsia" w:hAnsi="宋体" w:cs="宋体"/>
          <w:b/>
          <w:bCs/>
          <w:sz w:val="24"/>
        </w:rPr>
        <w:t>2、具有良好的商业信誉和健全的财务会计制度的证明材料：</w:t>
      </w:r>
    </w:p>
    <w:p>
      <w:pPr>
        <w:pStyle w:val="11"/>
        <w:spacing w:line="360" w:lineRule="auto"/>
        <w:ind w:firstLine="480"/>
        <w:rPr>
          <w:rFonts w:hint="eastAsia" w:hAnsi="宋体" w:cs="宋体"/>
          <w:sz w:val="24"/>
        </w:rPr>
      </w:pPr>
      <w:r>
        <w:rPr>
          <w:rFonts w:hint="eastAsia" w:hAnsi="宋体" w:cs="宋体"/>
          <w:sz w:val="24"/>
        </w:rPr>
        <w:t>（1）具有良好的商业信誉的证明材料：可提供承诺函</w:t>
      </w:r>
      <w:r>
        <w:rPr>
          <w:rFonts w:hint="eastAsia" w:hAnsi="宋体" w:cs="宋体"/>
          <w:sz w:val="24"/>
          <w:szCs w:val="22"/>
        </w:rPr>
        <w:t>（格式详见本磋商文件第八章附件1-1）</w:t>
      </w:r>
      <w:r>
        <w:rPr>
          <w:rFonts w:hint="eastAsia" w:hAnsi="宋体" w:cs="宋体"/>
          <w:sz w:val="24"/>
        </w:rPr>
        <w:t>。</w:t>
      </w:r>
    </w:p>
    <w:p>
      <w:pPr>
        <w:pStyle w:val="11"/>
        <w:spacing w:line="360" w:lineRule="auto"/>
        <w:ind w:firstLine="480"/>
        <w:rPr>
          <w:rFonts w:hint="eastAsia" w:hAnsi="宋体" w:cs="宋体"/>
          <w:sz w:val="24"/>
        </w:rPr>
      </w:pPr>
      <w:r>
        <w:rPr>
          <w:rFonts w:hint="eastAsia" w:hAnsi="宋体" w:cs="宋体"/>
          <w:sz w:val="24"/>
        </w:rPr>
        <w:t>（2）具有健全的财务会计制度的证明材料：</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rPr>
        <w:t>①提供2019年度或2020年度经审计的财务报告（至少包含资产负债表）</w:t>
      </w:r>
      <w:r>
        <w:rPr>
          <w:rFonts w:hint="eastAsia" w:hAnsi="宋体" w:cs="宋体"/>
          <w:sz w:val="24"/>
          <w:lang w:val="en-US" w:eastAsia="zh-CN"/>
        </w:rPr>
        <w:t>;</w:t>
      </w:r>
    </w:p>
    <w:p>
      <w:pPr>
        <w:tabs>
          <w:tab w:val="left" w:pos="7665"/>
        </w:tabs>
        <w:spacing w:line="360" w:lineRule="auto"/>
        <w:ind w:firstLine="480" w:firstLineChars="200"/>
        <w:rPr>
          <w:rFonts w:hint="eastAsia" w:hAnsi="宋体" w:cs="宋体"/>
          <w:sz w:val="24"/>
        </w:rPr>
      </w:pPr>
      <w:r>
        <w:rPr>
          <w:rFonts w:hint="eastAsia" w:hAnsi="宋体" w:cs="宋体"/>
          <w:sz w:val="24"/>
        </w:rPr>
        <w:t>②可提供投标文件递交截止日一年内基本开户银行出具的资信证明（复印件）或专业担保机构出具的担保函（复印件）</w:t>
      </w:r>
      <w:r>
        <w:rPr>
          <w:rFonts w:hint="eastAsia" w:hAnsi="宋体" w:cs="宋体"/>
          <w:sz w:val="24"/>
          <w:lang w:val="en-US" w:eastAsia="zh-CN"/>
        </w:rPr>
        <w:t>;</w:t>
      </w:r>
      <w:r>
        <w:rPr>
          <w:rFonts w:hint="eastAsia" w:hAnsi="宋体" w:cs="宋体"/>
          <w:sz w:val="24"/>
        </w:rPr>
        <w:t xml:space="preserve"> </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rPr>
        <w:t xml:space="preserve">③可提供具有健全的财务会计制度的承诺函 </w:t>
      </w:r>
      <w:r>
        <w:rPr>
          <w:rFonts w:hint="eastAsia" w:hAnsi="宋体" w:cs="宋体"/>
          <w:sz w:val="24"/>
          <w:lang w:val="en-US" w:eastAsia="zh-CN"/>
        </w:rPr>
        <w:t>;</w:t>
      </w:r>
    </w:p>
    <w:p>
      <w:pPr>
        <w:tabs>
          <w:tab w:val="left" w:pos="7665"/>
        </w:tabs>
        <w:spacing w:line="360" w:lineRule="auto"/>
        <w:ind w:firstLine="480" w:firstLineChars="200"/>
        <w:rPr>
          <w:rFonts w:hint="eastAsia" w:hAnsi="宋体" w:eastAsia="宋体" w:cs="宋体"/>
          <w:sz w:val="24"/>
          <w:lang w:val="en-US" w:eastAsia="zh-CN"/>
        </w:rPr>
      </w:pPr>
      <w:r>
        <w:rPr>
          <w:rFonts w:hint="eastAsia" w:hAnsi="宋体" w:cs="宋体"/>
          <w:sz w:val="24"/>
          <w:highlight w:val="none"/>
        </w:rPr>
        <w:t>④可提供2019年度或2020年度内部财务报表复印件</w:t>
      </w:r>
      <w:r>
        <w:rPr>
          <w:rFonts w:hint="eastAsia" w:hAnsi="宋体" w:cs="宋体"/>
          <w:sz w:val="24"/>
          <w:highlight w:val="none"/>
          <w:lang w:eastAsia="zh-CN"/>
        </w:rPr>
        <w:t>（</w:t>
      </w:r>
      <w:r>
        <w:rPr>
          <w:rFonts w:hint="eastAsia" w:hAnsi="宋体" w:cs="宋体"/>
          <w:sz w:val="24"/>
          <w:highlight w:val="none"/>
        </w:rPr>
        <w:t>至少包含资产负债表</w:t>
      </w:r>
      <w:r>
        <w:rPr>
          <w:rFonts w:hint="eastAsia" w:hAnsi="宋体" w:cs="宋体"/>
          <w:sz w:val="24"/>
          <w:highlight w:val="none"/>
          <w:lang w:eastAsia="zh-CN"/>
        </w:rPr>
        <w:t>）</w:t>
      </w:r>
      <w:r>
        <w:rPr>
          <w:rFonts w:hint="eastAsia" w:hAnsi="宋体" w:cs="宋体"/>
          <w:sz w:val="24"/>
          <w:highlight w:val="none"/>
        </w:rPr>
        <w:t xml:space="preserve"> </w:t>
      </w:r>
      <w:r>
        <w:rPr>
          <w:rFonts w:hint="eastAsia" w:hAnsi="宋体" w:cs="宋体"/>
          <w:sz w:val="24"/>
          <w:highlight w:val="none"/>
          <w:lang w:val="en-US" w:eastAsia="zh-CN"/>
        </w:rPr>
        <w:t>;</w:t>
      </w:r>
    </w:p>
    <w:p>
      <w:pPr>
        <w:tabs>
          <w:tab w:val="left" w:pos="7665"/>
        </w:tabs>
        <w:spacing w:line="360" w:lineRule="auto"/>
        <w:ind w:firstLine="480" w:firstLineChars="200"/>
        <w:rPr>
          <w:rFonts w:hint="eastAsia" w:hAnsi="宋体" w:cs="宋体"/>
          <w:sz w:val="24"/>
        </w:rPr>
      </w:pPr>
      <w:r>
        <w:rPr>
          <w:rFonts w:hint="eastAsia" w:hAnsi="宋体" w:cs="宋体"/>
          <w:sz w:val="24"/>
        </w:rPr>
        <w:t>⑤如是新成立公司且注册时间至截至时间不足一年的，可提供工商局备案的公司章程（复印件）。（注：①—⑤项具有同等效力，提供任一项均可。）</w:t>
      </w:r>
    </w:p>
    <w:p>
      <w:pPr>
        <w:tabs>
          <w:tab w:val="left" w:pos="7665"/>
        </w:tabs>
        <w:spacing w:line="360" w:lineRule="auto"/>
        <w:ind w:firstLine="482" w:firstLineChars="200"/>
        <w:rPr>
          <w:rFonts w:hint="eastAsia" w:hAnsi="宋体" w:cs="宋体"/>
          <w:sz w:val="24"/>
        </w:rPr>
      </w:pPr>
      <w:r>
        <w:rPr>
          <w:rFonts w:hint="eastAsia" w:hAnsi="宋体" w:cs="宋体"/>
          <w:b/>
          <w:bCs/>
          <w:sz w:val="24"/>
        </w:rPr>
        <w:t>3、具有履行合同所必须的设备和专业技术能力的证明材料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tabs>
          <w:tab w:val="left" w:pos="7665"/>
        </w:tabs>
        <w:spacing w:line="360" w:lineRule="auto"/>
        <w:ind w:firstLine="482" w:firstLineChars="200"/>
        <w:rPr>
          <w:rFonts w:hint="eastAsia" w:hAnsi="宋体" w:cs="宋体"/>
          <w:sz w:val="24"/>
        </w:rPr>
      </w:pPr>
      <w:r>
        <w:rPr>
          <w:rFonts w:hint="eastAsia" w:hAnsi="宋体" w:cs="宋体"/>
          <w:b/>
          <w:bCs/>
          <w:sz w:val="24"/>
        </w:rPr>
        <w:t>4、具有依法缴纳税收和社会保障资金的良好记录的证明材料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482" w:firstLineChars="200"/>
        <w:jc w:val="left"/>
        <w:rPr>
          <w:rFonts w:hint="eastAsia" w:hAnsi="宋体" w:cs="宋体"/>
          <w:sz w:val="24"/>
        </w:rPr>
      </w:pPr>
      <w:r>
        <w:rPr>
          <w:rFonts w:hint="eastAsia" w:hAnsi="宋体" w:cs="宋体"/>
          <w:b/>
          <w:bCs/>
          <w:sz w:val="24"/>
        </w:rPr>
        <w:t>5、参加本次政府采购活动前三年内，在经营活动中没有重大违法记录的证明材料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540" w:firstLineChars="225"/>
        <w:rPr>
          <w:rFonts w:hint="eastAsia" w:hAnsi="宋体"/>
          <w:sz w:val="24"/>
        </w:rPr>
      </w:pPr>
      <w:r>
        <w:rPr>
          <w:rFonts w:hint="eastAsia" w:hAnsi="宋体"/>
          <w:sz w:val="24"/>
        </w:rPr>
        <w:t>（二）</w:t>
      </w:r>
      <w:r>
        <w:rPr>
          <w:rFonts w:hint="eastAsia" w:hAnsi="宋体"/>
          <w:b/>
          <w:bCs/>
          <w:sz w:val="24"/>
        </w:rPr>
        <w:t>满足法律、行政法规规定的其他条件的证明材料</w:t>
      </w:r>
      <w:r>
        <w:rPr>
          <w:rFonts w:hint="eastAsia" w:hAnsi="宋体"/>
          <w:sz w:val="24"/>
        </w:rPr>
        <w:t>：</w:t>
      </w:r>
    </w:p>
    <w:p>
      <w:pPr>
        <w:spacing w:line="360" w:lineRule="auto"/>
        <w:ind w:firstLine="540" w:firstLineChars="225"/>
        <w:rPr>
          <w:rFonts w:hint="eastAsia"/>
        </w:rPr>
      </w:pP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政府采购活动的供应商单位及其现任法定代表人、主要负责人前3年内不得具有行贿犯罪记录”的</w:t>
      </w:r>
      <w:r>
        <w:rPr>
          <w:rFonts w:hint="eastAsia" w:hAnsi="宋体"/>
          <w:sz w:val="24"/>
        </w:rPr>
        <w:t>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pStyle w:val="74"/>
        <w:ind w:firstLine="480"/>
        <w:jc w:val="left"/>
        <w:rPr>
          <w:rFonts w:hint="eastAsia" w:hAnsi="宋体"/>
          <w:sz w:val="24"/>
          <w:szCs w:val="22"/>
          <w:highlight w:val="none"/>
          <w:lang w:eastAsia="zh-CN"/>
        </w:rPr>
      </w:pPr>
      <w:r>
        <w:rPr>
          <w:rFonts w:hint="eastAsia" w:hAnsi="宋体"/>
          <w:sz w:val="24"/>
          <w:lang w:eastAsia="zh-CN"/>
        </w:rPr>
        <w:t>（</w:t>
      </w:r>
      <w:r>
        <w:rPr>
          <w:rFonts w:hint="eastAsia" w:hAnsi="宋体"/>
          <w:sz w:val="24"/>
          <w:lang w:val="en-US" w:eastAsia="zh-CN"/>
        </w:rPr>
        <w:t>三）</w:t>
      </w:r>
      <w:r>
        <w:rPr>
          <w:rFonts w:hint="eastAsia" w:hAnsi="宋体"/>
          <w:sz w:val="24"/>
        </w:rPr>
        <w:t>根据采购项目提出的特殊条件的证明材料：</w:t>
      </w:r>
      <w:r>
        <w:rPr>
          <w:rFonts w:hint="eastAsia" w:hAnsi="宋体"/>
          <w:sz w:val="24"/>
          <w:szCs w:val="22"/>
          <w:highlight w:val="none"/>
          <w:lang w:eastAsia="zh-CN"/>
        </w:rPr>
        <w:t>供应商</w:t>
      </w:r>
      <w:r>
        <w:rPr>
          <w:rFonts w:hint="eastAsia" w:hAnsi="宋体"/>
          <w:sz w:val="24"/>
          <w:szCs w:val="22"/>
          <w:highlight w:val="none"/>
          <w:lang w:val="en-US" w:eastAsia="zh-CN"/>
        </w:rPr>
        <w:t>提供具有行政主管部门颁发的测绘资质乙级或以上资质证书复印件，专业范围包括地理信息系统工程（专业子项包含地理信息数据处理）；按照《自然资源部办公厅关于开展测绘资质复审换证工作的通知》在递交响应文件之前已完成测绘资质复审换证的供应商，其要求为：提供具有行政主管部门颁发的测绘资质乙级或以上资质证书复印件，专业范围包括地理信息系统工程</w:t>
      </w:r>
      <w:r>
        <w:rPr>
          <w:rFonts w:hint="eastAsia" w:hAnsi="宋体"/>
          <w:sz w:val="24"/>
          <w:szCs w:val="22"/>
          <w:highlight w:val="none"/>
          <w:lang w:eastAsia="zh-CN"/>
        </w:rPr>
        <w:t>。</w:t>
      </w:r>
    </w:p>
    <w:p>
      <w:pPr>
        <w:pStyle w:val="74"/>
        <w:numPr>
          <w:numId w:val="0"/>
        </w:numPr>
        <w:spacing w:line="440" w:lineRule="exact"/>
        <w:ind w:firstLine="480" w:firstLineChars="200"/>
        <w:rPr>
          <w:rFonts w:hint="eastAsia" w:hAnsi="宋体"/>
          <w:sz w:val="24"/>
          <w:szCs w:val="22"/>
          <w:highlight w:val="none"/>
        </w:rPr>
      </w:pPr>
      <w:r>
        <w:rPr>
          <w:rFonts w:hint="eastAsia" w:hAnsi="宋体" w:cs="宋体"/>
          <w:bCs/>
          <w:sz w:val="24"/>
          <w:szCs w:val="24"/>
          <w:highlight w:val="none"/>
          <w:lang w:eastAsia="zh-CN"/>
        </w:rPr>
        <w:t>（</w:t>
      </w:r>
      <w:r>
        <w:rPr>
          <w:rFonts w:hint="eastAsia" w:hAnsi="宋体" w:cs="宋体"/>
          <w:bCs/>
          <w:sz w:val="24"/>
          <w:szCs w:val="24"/>
          <w:highlight w:val="none"/>
          <w:lang w:val="en-US" w:eastAsia="zh-CN"/>
        </w:rPr>
        <w:t>四）</w:t>
      </w:r>
      <w:r>
        <w:rPr>
          <w:rFonts w:hint="eastAsia" w:ascii="宋体" w:hAnsi="宋体" w:eastAsia="宋体" w:cs="宋体"/>
          <w:bCs/>
          <w:sz w:val="24"/>
          <w:szCs w:val="24"/>
          <w:highlight w:val="none"/>
          <w:lang w:eastAsia="zh-CN"/>
        </w:rPr>
        <w:t>本项目专门面对</w:t>
      </w:r>
      <w:r>
        <w:rPr>
          <w:rFonts w:hint="eastAsia" w:ascii="宋体" w:hAnsi="宋体" w:eastAsia="宋体" w:cs="宋体"/>
          <w:bCs/>
          <w:sz w:val="24"/>
          <w:szCs w:val="24"/>
          <w:highlight w:val="none"/>
        </w:rPr>
        <w:t>中小企业（含残疾人福利性单位、监狱企业）</w:t>
      </w:r>
      <w:r>
        <w:rPr>
          <w:rFonts w:hint="eastAsia" w:ascii="宋体" w:hAnsi="宋体" w:eastAsia="宋体" w:cs="宋体"/>
          <w:bCs/>
          <w:sz w:val="24"/>
          <w:szCs w:val="24"/>
          <w:highlight w:val="none"/>
          <w:lang w:eastAsia="zh-CN"/>
        </w:rPr>
        <w:t>采购的证</w:t>
      </w:r>
      <w:r>
        <w:rPr>
          <w:rFonts w:hint="eastAsia" w:ascii="宋体" w:hAnsi="宋体" w:eastAsia="宋体" w:cs="宋体"/>
          <w:bCs/>
          <w:sz w:val="24"/>
          <w:szCs w:val="24"/>
          <w:highlight w:val="none"/>
          <w:lang w:val="en-US" w:eastAsia="zh-CN"/>
        </w:rPr>
        <w:t>明</w:t>
      </w:r>
      <w:r>
        <w:rPr>
          <w:rFonts w:hint="eastAsia" w:ascii="宋体" w:hAnsi="宋体" w:eastAsia="宋体" w:cs="宋体"/>
          <w:bCs/>
          <w:sz w:val="24"/>
          <w:szCs w:val="24"/>
          <w:highlight w:val="none"/>
          <w:lang w:eastAsia="zh-CN"/>
        </w:rPr>
        <w:t>材料：</w:t>
      </w:r>
      <w:r>
        <w:rPr>
          <w:rFonts w:hint="eastAsia" w:ascii="宋体" w:hAnsi="宋体" w:eastAsia="宋体" w:cs="宋体"/>
          <w:bCs/>
          <w:sz w:val="24"/>
          <w:szCs w:val="24"/>
          <w:highlight w:val="none"/>
        </w:rPr>
        <w:t>中小企业应当提供《中小企业声明函》原件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4-1</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残疾人福利性单位</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《残疾人福利性单位声明函》原件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4-2</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监狱企业</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省级以上监狱管理局、戒毒管理局（含新疆建设兵团）出具的属于监狱企业的证明文件</w:t>
      </w:r>
      <w:r>
        <w:rPr>
          <w:rFonts w:hint="eastAsia" w:ascii="宋体" w:hAnsi="宋体" w:eastAsia="宋体" w:cs="宋体"/>
          <w:bCs/>
          <w:sz w:val="24"/>
          <w:szCs w:val="24"/>
          <w:highlight w:val="none"/>
          <w:lang w:eastAsia="zh-CN"/>
        </w:rPr>
        <w:t>复印件</w:t>
      </w:r>
      <w:r>
        <w:rPr>
          <w:rFonts w:hint="eastAsia" w:hAnsi="宋体" w:cs="宋体"/>
          <w:bCs/>
          <w:sz w:val="24"/>
          <w:szCs w:val="24"/>
          <w:highlight w:val="none"/>
          <w:lang w:eastAsia="zh-CN"/>
        </w:rPr>
        <w:t>。</w:t>
      </w:r>
    </w:p>
    <w:p>
      <w:pPr>
        <w:numPr>
          <w:ilvl w:val="0"/>
          <w:numId w:val="3"/>
        </w:numPr>
        <w:spacing w:line="360" w:lineRule="auto"/>
        <w:jc w:val="left"/>
        <w:rPr>
          <w:rFonts w:hint="eastAsia" w:hAnsi="宋体"/>
          <w:b/>
          <w:bCs/>
          <w:sz w:val="28"/>
          <w:szCs w:val="28"/>
        </w:rPr>
      </w:pPr>
      <w:r>
        <w:rPr>
          <w:rFonts w:hint="eastAsia" w:hAnsi="宋体"/>
          <w:b/>
          <w:bCs/>
          <w:sz w:val="28"/>
          <w:szCs w:val="28"/>
        </w:rPr>
        <w:t>满足供应商其他类似效力要求的证明材料：</w:t>
      </w:r>
    </w:p>
    <w:p>
      <w:pPr>
        <w:pStyle w:val="11"/>
        <w:spacing w:line="360" w:lineRule="auto"/>
        <w:ind w:firstLine="480" w:firstLineChars="200"/>
        <w:rPr>
          <w:rFonts w:hint="eastAsia" w:hAnsi="宋体"/>
          <w:sz w:val="24"/>
        </w:rPr>
      </w:pPr>
      <w:r>
        <w:rPr>
          <w:rFonts w:hint="eastAsia" w:hAnsi="宋体"/>
          <w:sz w:val="24"/>
        </w:rPr>
        <w:t>1.</w:t>
      </w:r>
      <w:r>
        <w:rPr>
          <w:rFonts w:hint="eastAsia" w:hAnsi="宋体"/>
          <w:b/>
          <w:bCs/>
          <w:sz w:val="24"/>
        </w:rPr>
        <w:t>供应商具有参与本项目磋商的合法代表的证明材料</w:t>
      </w:r>
      <w:r>
        <w:rPr>
          <w:rFonts w:hint="eastAsia" w:hAnsi="宋体"/>
          <w:sz w:val="24"/>
        </w:rPr>
        <w:t>：</w:t>
      </w:r>
    </w:p>
    <w:p>
      <w:pPr>
        <w:spacing w:line="360" w:lineRule="auto"/>
        <w:ind w:firstLine="480" w:firstLineChars="200"/>
        <w:rPr>
          <w:rFonts w:hint="eastAsia"/>
          <w:sz w:val="24"/>
        </w:rPr>
      </w:pPr>
      <w:r>
        <w:rPr>
          <w:rFonts w:hint="eastAsia"/>
          <w:sz w:val="24"/>
        </w:rPr>
        <w:t>（1）法定代表人身份证明书原件及法定代表人身份证明材料复印件。（法定代表人参与磋商适用）</w:t>
      </w:r>
    </w:p>
    <w:p>
      <w:pPr>
        <w:spacing w:line="360" w:lineRule="auto"/>
        <w:ind w:firstLine="480" w:firstLineChars="200"/>
        <w:rPr>
          <w:rFonts w:hint="eastAsia"/>
          <w:sz w:val="24"/>
        </w:rPr>
      </w:pPr>
      <w:r>
        <w:rPr>
          <w:rFonts w:hint="eastAsia"/>
          <w:sz w:val="24"/>
        </w:rPr>
        <w:t>（2）法定代表人授权书原件、授权代表身份证明材料及法定代表人身份证明材料复印件。（授权代表参与磋商适用）</w:t>
      </w:r>
    </w:p>
    <w:p>
      <w:pPr>
        <w:pStyle w:val="11"/>
        <w:rPr>
          <w:rFonts w:hint="eastAsia" w:hAnsi="宋体"/>
          <w:b/>
          <w:bCs/>
          <w:sz w:val="21"/>
          <w:szCs w:val="21"/>
        </w:rPr>
      </w:pPr>
    </w:p>
    <w:p>
      <w:pPr>
        <w:rPr>
          <w:rFonts w:hint="eastAsia" w:hAnsi="宋体"/>
          <w:b/>
          <w:bCs/>
          <w:sz w:val="21"/>
          <w:szCs w:val="21"/>
        </w:rPr>
      </w:pPr>
    </w:p>
    <w:p>
      <w:pPr>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11"/>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1" w:name="_Toc4542"/>
      <w:bookmarkStart w:id="92" w:name="_Toc9284"/>
      <w:bookmarkStart w:id="93" w:name="_Toc32607"/>
      <w:bookmarkStart w:id="94" w:name="_Toc23471"/>
      <w:bookmarkStart w:id="95" w:name="_Toc5636"/>
    </w:p>
    <w:p>
      <w:pPr>
        <w:pStyle w:val="11"/>
        <w:rPr>
          <w:rFonts w:hint="eastAsia" w:hAnsi="宋体"/>
          <w:b/>
          <w:bCs/>
          <w:sz w:val="21"/>
          <w:szCs w:val="21"/>
        </w:rPr>
      </w:pPr>
    </w:p>
    <w:p>
      <w:pPr>
        <w:pStyle w:val="11"/>
        <w:rPr>
          <w:rFonts w:hint="eastAsia" w:hAnsi="宋体"/>
          <w:b/>
          <w:bCs/>
          <w:sz w:val="21"/>
          <w:szCs w:val="21"/>
        </w:rPr>
      </w:pPr>
    </w:p>
    <w:p>
      <w:pPr>
        <w:pStyle w:val="11"/>
        <w:rPr>
          <w:rFonts w:hint="eastAsia" w:hAnsi="宋体"/>
          <w:b/>
          <w:bCs/>
          <w:sz w:val="21"/>
          <w:szCs w:val="21"/>
        </w:rPr>
      </w:pPr>
    </w:p>
    <w:p>
      <w:pPr>
        <w:pStyle w:val="3"/>
        <w:numPr>
          <w:ilvl w:val="0"/>
          <w:numId w:val="4"/>
        </w:numPr>
        <w:rPr>
          <w:rFonts w:hint="eastAsia"/>
          <w:b w:val="0"/>
          <w:bCs w:val="0"/>
          <w:sz w:val="36"/>
          <w:szCs w:val="36"/>
        </w:rPr>
      </w:pPr>
      <w:r>
        <w:rPr>
          <w:rFonts w:hint="eastAsia"/>
          <w:b w:val="0"/>
          <w:bCs w:val="0"/>
          <w:sz w:val="36"/>
          <w:szCs w:val="36"/>
        </w:rPr>
        <w:br w:type="page"/>
      </w:r>
      <w:bookmarkEnd w:id="91"/>
      <w:bookmarkEnd w:id="92"/>
      <w:bookmarkEnd w:id="93"/>
      <w:bookmarkEnd w:id="94"/>
      <w:bookmarkEnd w:id="95"/>
      <w:bookmarkStart w:id="96" w:name="_Toc217446095"/>
      <w:r>
        <w:rPr>
          <w:rFonts w:hint="eastAsia"/>
          <w:b w:val="0"/>
          <w:bCs w:val="0"/>
          <w:sz w:val="36"/>
          <w:szCs w:val="36"/>
        </w:rPr>
        <w:t>项目服务</w:t>
      </w:r>
      <w:r>
        <w:rPr>
          <w:rFonts w:hint="eastAsia"/>
          <w:b w:val="0"/>
          <w:bCs w:val="0"/>
          <w:sz w:val="36"/>
          <w:szCs w:val="36"/>
          <w:lang w:eastAsia="zh-CN"/>
        </w:rPr>
        <w:t>、</w:t>
      </w:r>
      <w:r>
        <w:rPr>
          <w:rFonts w:hint="eastAsia"/>
          <w:b w:val="0"/>
          <w:bCs w:val="0"/>
          <w:sz w:val="36"/>
          <w:szCs w:val="36"/>
        </w:rPr>
        <w:t>商务</w:t>
      </w:r>
      <w:r>
        <w:rPr>
          <w:rFonts w:hint="eastAsia"/>
          <w:b w:val="0"/>
          <w:bCs w:val="0"/>
          <w:sz w:val="36"/>
          <w:szCs w:val="36"/>
          <w:lang w:val="en-US" w:eastAsia="zh-CN"/>
        </w:rPr>
        <w:t>及其他</w:t>
      </w:r>
      <w:r>
        <w:rPr>
          <w:rFonts w:hint="eastAsia"/>
          <w:b w:val="0"/>
          <w:bCs w:val="0"/>
          <w:sz w:val="36"/>
          <w:szCs w:val="36"/>
        </w:rPr>
        <w:t>要求</w:t>
      </w:r>
    </w:p>
    <w:bookmarkEnd w:id="69"/>
    <w:bookmarkEnd w:id="70"/>
    <w:bookmarkEnd w:id="71"/>
    <w:bookmarkEnd w:id="72"/>
    <w:bookmarkEnd w:id="73"/>
    <w:bookmarkEnd w:id="96"/>
    <w:p>
      <w:pPr>
        <w:numPr>
          <w:ilvl w:val="0"/>
          <w:numId w:val="0"/>
        </w:numPr>
        <w:spacing w:line="360" w:lineRule="auto"/>
        <w:jc w:val="left"/>
        <w:rPr>
          <w:rFonts w:hint="eastAsia" w:hAnsi="宋体"/>
          <w:b/>
          <w:sz w:val="28"/>
          <w:szCs w:val="28"/>
          <w:highlight w:val="none"/>
          <w:lang w:val="en-US" w:eastAsia="zh-CN"/>
        </w:rPr>
      </w:pPr>
      <w:bookmarkStart w:id="97" w:name="_Toc183582232"/>
      <w:bookmarkStart w:id="98" w:name="_Toc183682369"/>
      <w:bookmarkStart w:id="99" w:name="_Toc217446057"/>
      <w:r>
        <w:rPr>
          <w:rFonts w:hint="eastAsia" w:hAnsi="宋体"/>
          <w:b/>
          <w:sz w:val="28"/>
          <w:szCs w:val="28"/>
          <w:highlight w:val="none"/>
          <w:lang w:eastAsia="zh-CN"/>
        </w:rPr>
        <w:t>一、</w:t>
      </w:r>
      <w:r>
        <w:rPr>
          <w:rFonts w:hint="eastAsia" w:hAnsi="宋体"/>
          <w:b/>
          <w:sz w:val="28"/>
          <w:szCs w:val="28"/>
          <w:highlight w:val="none"/>
          <w:lang w:val="en-US" w:eastAsia="zh-CN"/>
        </w:rPr>
        <w:t>服务内容及要求</w:t>
      </w:r>
    </w:p>
    <w:p>
      <w:pPr>
        <w:pStyle w:val="65"/>
        <w:keepNext w:val="0"/>
        <w:keepLines w:val="0"/>
        <w:widowControl w:val="0"/>
        <w:shd w:val="clear" w:color="auto" w:fill="auto"/>
        <w:bidi w:val="0"/>
        <w:spacing w:before="0" w:after="0" w:line="600" w:lineRule="exact"/>
        <w:ind w:right="0"/>
        <w:jc w:val="both"/>
        <w:rPr>
          <w:rFonts w:hint="eastAsia" w:ascii="仿宋_GB2312" w:eastAsia="仿宋_GB2312"/>
          <w:b/>
          <w:bCs w:val="0"/>
          <w:sz w:val="24"/>
          <w:szCs w:val="24"/>
          <w:lang w:val="en-US" w:eastAsia="zh-CN"/>
        </w:rPr>
      </w:pPr>
      <w:r>
        <w:rPr>
          <w:rFonts w:hint="eastAsia" w:cs="Times New Roman"/>
          <w:b/>
          <w:bCs w:val="0"/>
          <w:sz w:val="24"/>
          <w:szCs w:val="24"/>
          <w:highlight w:val="none"/>
          <w:u w:val="none"/>
          <w:shd w:val="clear" w:color="auto" w:fill="auto"/>
          <w:lang w:val="en-US" w:eastAsia="zh-CN" w:bidi="ar-SA"/>
        </w:rPr>
        <w:t>（一）</w:t>
      </w:r>
      <w:r>
        <w:rPr>
          <w:rFonts w:hint="eastAsia" w:ascii="宋体" w:hAnsi="宋体" w:eastAsia="宋体" w:cs="Times New Roman"/>
          <w:b/>
          <w:bCs w:val="0"/>
          <w:sz w:val="24"/>
          <w:szCs w:val="24"/>
          <w:highlight w:val="none"/>
          <w:u w:val="none"/>
          <w:shd w:val="clear" w:color="auto" w:fill="auto"/>
          <w:lang w:val="en-US" w:eastAsia="zh-CN" w:bidi="ar-SA"/>
        </w:rPr>
        <w:t>项目背景</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依据</w:t>
      </w:r>
      <w:r>
        <w:rPr>
          <w:rFonts w:hint="eastAsia" w:hAnsi="宋体"/>
          <w:b w:val="0"/>
          <w:bCs/>
          <w:sz w:val="24"/>
          <w:highlight w:val="none"/>
        </w:rPr>
        <w:t>《自然资源部办公厅关于开展全国耕地后备资源调查评价工作的通知》(自然资办发(2021) 47号）和《四川省自然资源厅办公室关于印发&lt;四川省耕地后备资源调查评价工作实施方案&gt;的通知》(川自然资办函〔2021)156号）要求，</w:t>
      </w:r>
      <w:r>
        <w:rPr>
          <w:rFonts w:hint="eastAsia" w:hAnsi="宋体"/>
          <w:b w:val="0"/>
          <w:bCs/>
          <w:sz w:val="24"/>
          <w:highlight w:val="none"/>
          <w:lang w:eastAsia="zh-CN"/>
        </w:rPr>
        <w:t>结合我区耕地后备资源的实际情况，</w:t>
      </w:r>
      <w:r>
        <w:rPr>
          <w:rFonts w:hint="eastAsia" w:hAnsi="宋体"/>
          <w:b w:val="0"/>
          <w:bCs/>
          <w:sz w:val="24"/>
          <w:highlight w:val="none"/>
        </w:rPr>
        <w:t>开展耕地后备资源调查评价工作。</w:t>
      </w:r>
    </w:p>
    <w:p>
      <w:pPr>
        <w:pStyle w:val="65"/>
        <w:keepNext w:val="0"/>
        <w:keepLines w:val="0"/>
        <w:widowControl w:val="0"/>
        <w:shd w:val="clear" w:color="auto" w:fill="auto"/>
        <w:bidi w:val="0"/>
        <w:spacing w:before="0" w:after="0" w:line="600" w:lineRule="exact"/>
        <w:ind w:right="0"/>
        <w:jc w:val="both"/>
        <w:rPr>
          <w:rFonts w:hint="eastAsia" w:ascii="宋体" w:hAnsi="宋体" w:eastAsia="宋体" w:cs="Times New Roman"/>
          <w:b/>
          <w:bCs w:val="0"/>
          <w:sz w:val="24"/>
          <w:szCs w:val="20"/>
          <w:highlight w:val="none"/>
          <w:u w:val="none"/>
          <w:shd w:val="clear" w:color="auto" w:fill="auto"/>
          <w:lang w:val="en-US" w:eastAsia="zh-CN" w:bidi="ar-SA"/>
        </w:rPr>
      </w:pPr>
      <w:r>
        <w:rPr>
          <w:rFonts w:hint="eastAsia" w:cs="Times New Roman"/>
          <w:b/>
          <w:bCs w:val="0"/>
          <w:sz w:val="24"/>
          <w:szCs w:val="20"/>
          <w:highlight w:val="none"/>
          <w:u w:val="none"/>
          <w:shd w:val="clear" w:color="auto" w:fill="auto"/>
          <w:lang w:val="en-US" w:eastAsia="zh-CN" w:bidi="ar-SA"/>
        </w:rPr>
        <w:t>（二）</w:t>
      </w:r>
      <w:r>
        <w:rPr>
          <w:rFonts w:hint="eastAsia" w:ascii="宋体" w:hAnsi="宋体" w:eastAsia="宋体" w:cs="Times New Roman"/>
          <w:b/>
          <w:bCs w:val="0"/>
          <w:sz w:val="24"/>
          <w:szCs w:val="20"/>
          <w:highlight w:val="none"/>
          <w:u w:val="none"/>
          <w:shd w:val="clear" w:color="auto" w:fill="auto"/>
          <w:lang w:val="en-US" w:eastAsia="zh-CN" w:bidi="ar-SA"/>
        </w:rPr>
        <w:t>工作内容</w:t>
      </w:r>
    </w:p>
    <w:p>
      <w:pPr>
        <w:spacing w:line="360" w:lineRule="auto"/>
        <w:ind w:firstLine="480" w:firstLineChars="200"/>
        <w:jc w:val="left"/>
        <w:rPr>
          <w:rFonts w:hint="eastAsia" w:hAnsi="宋体"/>
          <w:b w:val="0"/>
          <w:bCs/>
          <w:sz w:val="24"/>
          <w:highlight w:val="none"/>
          <w:lang w:eastAsia="zh-CN"/>
        </w:rPr>
      </w:pPr>
      <w:r>
        <w:rPr>
          <w:rFonts w:hint="eastAsia" w:hAnsi="宋体"/>
          <w:b w:val="0"/>
          <w:bCs/>
          <w:sz w:val="24"/>
          <w:highlight w:val="none"/>
          <w:lang w:val="en-US" w:eastAsia="zh-CN"/>
        </w:rPr>
        <w:t>1、</w:t>
      </w:r>
      <w:r>
        <w:rPr>
          <w:rFonts w:hint="eastAsia" w:hAnsi="宋体"/>
          <w:b w:val="0"/>
          <w:bCs/>
          <w:sz w:val="24"/>
          <w:highlight w:val="none"/>
          <w:lang w:eastAsia="zh-CN"/>
        </w:rPr>
        <w:t>调查评价目标任务</w:t>
      </w:r>
    </w:p>
    <w:p>
      <w:pPr>
        <w:spacing w:line="360" w:lineRule="auto"/>
        <w:ind w:firstLine="480" w:firstLineChars="200"/>
        <w:jc w:val="left"/>
        <w:rPr>
          <w:rFonts w:hint="eastAsia" w:hAnsi="宋体"/>
          <w:b w:val="0"/>
          <w:bCs/>
          <w:sz w:val="24"/>
          <w:highlight w:val="none"/>
          <w:lang w:eastAsia="zh-CN"/>
        </w:rPr>
      </w:pPr>
      <w:r>
        <w:rPr>
          <w:rFonts w:hint="eastAsia" w:hAnsi="宋体"/>
          <w:b w:val="0"/>
          <w:bCs/>
          <w:sz w:val="24"/>
          <w:highlight w:val="none"/>
          <w:lang w:eastAsia="zh-CN"/>
        </w:rPr>
        <w:t>以第三次全国国土调查和2020年度国土变更调查成果为基础，收集并比对分析林业、水利、生态环境等相关数据，开展可开发耕地、可恢复耕地、可垦造水田的资源调查评价，并形成耕 地后备资源调查评价数据成果、分析报告和实施方案。</w:t>
      </w:r>
    </w:p>
    <w:p>
      <w:pPr>
        <w:pStyle w:val="65"/>
        <w:keepNext w:val="0"/>
        <w:keepLines w:val="0"/>
        <w:widowControl w:val="0"/>
        <w:shd w:val="clear" w:color="auto" w:fill="auto"/>
        <w:bidi w:val="0"/>
        <w:spacing w:before="0" w:after="0" w:line="600" w:lineRule="exact"/>
        <w:ind w:left="0" w:leftChars="0" w:right="0" w:firstLine="480" w:firstLineChars="200"/>
        <w:jc w:val="both"/>
        <w:rPr>
          <w:rFonts w:hint="eastAsia" w:ascii="宋体" w:hAnsi="宋体" w:eastAsia="宋体" w:cs="Times New Roman"/>
          <w:b w:val="0"/>
          <w:bCs/>
          <w:sz w:val="24"/>
          <w:szCs w:val="20"/>
          <w:highlight w:val="none"/>
          <w:u w:val="none"/>
          <w:shd w:val="clear" w:color="auto" w:fill="auto"/>
          <w:lang w:val="en-US" w:eastAsia="zh-CN" w:bidi="ar-SA"/>
        </w:rPr>
      </w:pPr>
      <w:r>
        <w:rPr>
          <w:rFonts w:hint="eastAsia" w:cs="Times New Roman"/>
          <w:b w:val="0"/>
          <w:bCs/>
          <w:sz w:val="24"/>
          <w:szCs w:val="20"/>
          <w:highlight w:val="none"/>
          <w:u w:val="none"/>
          <w:shd w:val="clear" w:color="auto" w:fill="auto"/>
          <w:lang w:val="en-US" w:eastAsia="zh-CN" w:bidi="ar-SA"/>
        </w:rPr>
        <w:t>2、</w:t>
      </w:r>
      <w:r>
        <w:rPr>
          <w:rFonts w:hint="eastAsia" w:ascii="宋体" w:hAnsi="宋体" w:eastAsia="宋体" w:cs="Times New Roman"/>
          <w:b w:val="0"/>
          <w:bCs/>
          <w:sz w:val="24"/>
          <w:szCs w:val="20"/>
          <w:highlight w:val="none"/>
          <w:u w:val="none"/>
          <w:shd w:val="clear" w:color="auto" w:fill="auto"/>
          <w:lang w:val="en-US" w:eastAsia="zh-CN" w:bidi="ar-SA"/>
        </w:rPr>
        <w:t>调查评价对象</w:t>
      </w:r>
    </w:p>
    <w:p>
      <w:pPr>
        <w:spacing w:line="360" w:lineRule="auto"/>
        <w:ind w:firstLine="480" w:firstLineChars="200"/>
        <w:jc w:val="left"/>
        <w:rPr>
          <w:rFonts w:hint="eastAsia" w:hAnsi="宋体"/>
          <w:b w:val="0"/>
          <w:bCs/>
          <w:sz w:val="24"/>
          <w:highlight w:val="none"/>
        </w:rPr>
      </w:pPr>
      <w:bookmarkStart w:id="100" w:name="bookmark12"/>
      <w:r>
        <w:rPr>
          <w:rFonts w:hint="eastAsia" w:hAnsi="宋体"/>
          <w:b w:val="0"/>
          <w:bCs/>
          <w:sz w:val="24"/>
          <w:highlight w:val="none"/>
        </w:rPr>
        <w:t>（</w:t>
      </w:r>
      <w:bookmarkEnd w:id="100"/>
      <w:r>
        <w:rPr>
          <w:rFonts w:hint="eastAsia" w:hAnsi="宋体"/>
          <w:b w:val="0"/>
          <w:bCs/>
          <w:sz w:val="24"/>
          <w:highlight w:val="none"/>
          <w:lang w:val="en-US" w:eastAsia="zh-CN"/>
        </w:rPr>
        <w:t>1</w:t>
      </w:r>
      <w:r>
        <w:rPr>
          <w:rFonts w:hint="eastAsia" w:hAnsi="宋体"/>
          <w:b w:val="0"/>
          <w:bCs/>
          <w:sz w:val="24"/>
          <w:highlight w:val="none"/>
        </w:rPr>
        <w:t>）可开发耕地后备资源调查评价</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①</w:t>
      </w:r>
      <w:r>
        <w:rPr>
          <w:rFonts w:hint="eastAsia" w:hAnsi="宋体"/>
          <w:b w:val="0"/>
          <w:bCs/>
          <w:sz w:val="24"/>
          <w:highlight w:val="none"/>
        </w:rPr>
        <w:t>开展调查。依据国家下发的其他草地、盐碱地、沙地、裸土 地图斑底图，全面查清我省前述四类图斑耕地后备资源的面积、 类型和分布情况。同时，对不在国家下发底图范围内，因局部小气候、灌溉条件等因素，地方认为宜作为耕地后备资源的其他草 地、盐碱地、沙地和裸土地，经省级统筹，进行补充调查。</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②</w:t>
      </w:r>
      <w:r>
        <w:rPr>
          <w:rFonts w:hint="eastAsia" w:hAnsi="宋体"/>
          <w:b w:val="0"/>
          <w:bCs/>
          <w:sz w:val="24"/>
          <w:highlight w:val="none"/>
        </w:rPr>
        <w:t>开展宜耕性评价。在调查基础上，提出耕地后备资源开发利用管理建议和措施，并形成县级耕地后备资源调查评价数据成果 和调查评价分析报告，纳入国家级耕地后备资源调查评价潜力数据库，与国土调查数据库实现集成，同步形成我省科学合理可开 发耕地后备资源实施方案。</w:t>
      </w:r>
    </w:p>
    <w:p>
      <w:pPr>
        <w:spacing w:line="360" w:lineRule="auto"/>
        <w:ind w:firstLine="480" w:firstLineChars="200"/>
        <w:jc w:val="left"/>
        <w:rPr>
          <w:rFonts w:hint="eastAsia" w:hAnsi="宋体"/>
          <w:b w:val="0"/>
          <w:bCs/>
          <w:sz w:val="24"/>
          <w:highlight w:val="none"/>
        </w:rPr>
      </w:pPr>
      <w:bookmarkStart w:id="101" w:name="bookmark13"/>
      <w:r>
        <w:rPr>
          <w:rFonts w:hint="eastAsia" w:hAnsi="宋体"/>
          <w:b w:val="0"/>
          <w:bCs/>
          <w:sz w:val="24"/>
          <w:highlight w:val="none"/>
        </w:rPr>
        <w:t>（</w:t>
      </w:r>
      <w:bookmarkEnd w:id="101"/>
      <w:r>
        <w:rPr>
          <w:rFonts w:hint="eastAsia" w:hAnsi="宋体"/>
          <w:b w:val="0"/>
          <w:bCs/>
          <w:sz w:val="24"/>
          <w:highlight w:val="none"/>
          <w:lang w:val="en-US" w:eastAsia="zh-CN"/>
        </w:rPr>
        <w:t>2）</w:t>
      </w:r>
      <w:r>
        <w:rPr>
          <w:rFonts w:hint="eastAsia" w:hAnsi="宋体"/>
          <w:b w:val="0"/>
          <w:bCs/>
          <w:sz w:val="24"/>
          <w:highlight w:val="none"/>
        </w:rPr>
        <w:t>可恢复耕地资源潜力调查评价</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rPr>
        <w:t>依据</w:t>
      </w:r>
      <w:r>
        <w:rPr>
          <w:rFonts w:hint="eastAsia" w:hAnsi="宋体"/>
          <w:b w:val="0"/>
          <w:bCs/>
          <w:sz w:val="24"/>
          <w:highlight w:val="none"/>
          <w:lang w:val="zh-CN" w:eastAsia="zh-CN"/>
        </w:rPr>
        <w:t>“三</w:t>
      </w:r>
      <w:r>
        <w:rPr>
          <w:rFonts w:hint="eastAsia" w:hAnsi="宋体"/>
          <w:b w:val="0"/>
          <w:bCs/>
          <w:sz w:val="24"/>
          <w:highlight w:val="none"/>
        </w:rPr>
        <w:t>调”和2020年度国土变更调查成果，结合</w:t>
      </w:r>
      <w:r>
        <w:rPr>
          <w:rFonts w:hint="eastAsia" w:hAnsi="宋体"/>
          <w:b w:val="0"/>
          <w:bCs/>
          <w:sz w:val="24"/>
          <w:highlight w:val="none"/>
          <w:lang w:val="zh-CN" w:eastAsia="zh-CN"/>
        </w:rPr>
        <w:t>“二</w:t>
      </w:r>
      <w:r>
        <w:rPr>
          <w:rFonts w:hint="eastAsia" w:hAnsi="宋体"/>
          <w:b w:val="0"/>
          <w:bCs/>
          <w:sz w:val="24"/>
          <w:highlight w:val="none"/>
        </w:rPr>
        <w:t>调” 成果、林地一张图、河湖岸线划定等成果，分析农作物生长周期 规律，分析恢复路径，部门间、省市县联动开展可恢复耕地资源 潜力调查，并形成县级可恢复耕地资源潜力调查评价数据成果， 同步形成我省科学合理可恢复耕地资源总体实施方案。调查重点 是</w:t>
      </w:r>
      <w:r>
        <w:rPr>
          <w:rFonts w:hint="eastAsia" w:hAnsi="宋体"/>
          <w:b w:val="0"/>
          <w:bCs/>
          <w:sz w:val="24"/>
          <w:highlight w:val="none"/>
          <w:lang w:val="zh-CN" w:eastAsia="zh-CN"/>
        </w:rPr>
        <w:t>“三</w:t>
      </w:r>
      <w:r>
        <w:rPr>
          <w:rFonts w:hint="eastAsia" w:hAnsi="宋体"/>
          <w:b w:val="0"/>
          <w:bCs/>
          <w:sz w:val="24"/>
          <w:highlight w:val="none"/>
        </w:rPr>
        <w:t>调”中标注</w:t>
      </w:r>
      <w:r>
        <w:rPr>
          <w:rFonts w:hint="eastAsia" w:hAnsi="宋体"/>
          <w:b w:val="0"/>
          <w:bCs/>
          <w:sz w:val="24"/>
          <w:highlight w:val="none"/>
          <w:lang w:val="zh-CN" w:eastAsia="zh-CN"/>
        </w:rPr>
        <w:t>“即可</w:t>
      </w:r>
      <w:r>
        <w:rPr>
          <w:rFonts w:hint="eastAsia" w:hAnsi="宋体"/>
          <w:b w:val="0"/>
          <w:bCs/>
          <w:sz w:val="24"/>
          <w:highlight w:val="none"/>
        </w:rPr>
        <w:t>恢复”和</w:t>
      </w:r>
      <w:r>
        <w:rPr>
          <w:rFonts w:hint="eastAsia" w:hAnsi="宋体"/>
          <w:b w:val="0"/>
          <w:bCs/>
          <w:sz w:val="24"/>
          <w:highlight w:val="none"/>
          <w:lang w:val="zh-CN" w:eastAsia="zh-CN"/>
        </w:rPr>
        <w:t>“工程</w:t>
      </w:r>
      <w:r>
        <w:rPr>
          <w:rFonts w:hint="eastAsia" w:hAnsi="宋体"/>
          <w:b w:val="0"/>
          <w:bCs/>
          <w:sz w:val="24"/>
          <w:highlight w:val="none"/>
        </w:rPr>
        <w:t>恢复” 土地，林地一张 图与</w:t>
      </w:r>
      <w:r>
        <w:rPr>
          <w:rFonts w:hint="eastAsia" w:hAnsi="宋体"/>
          <w:b w:val="0"/>
          <w:bCs/>
          <w:sz w:val="24"/>
          <w:highlight w:val="none"/>
          <w:lang w:val="zh-CN" w:eastAsia="zh-CN"/>
        </w:rPr>
        <w:t>“三</w:t>
      </w:r>
      <w:r>
        <w:rPr>
          <w:rFonts w:hint="eastAsia" w:hAnsi="宋体"/>
          <w:b w:val="0"/>
          <w:bCs/>
          <w:sz w:val="24"/>
          <w:highlight w:val="none"/>
        </w:rPr>
        <w:t>调”数据不重叠且耕作条件良好的土地等。</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3、</w:t>
      </w:r>
      <w:r>
        <w:rPr>
          <w:rFonts w:hint="eastAsia" w:hAnsi="宋体"/>
          <w:b w:val="0"/>
          <w:bCs/>
          <w:sz w:val="24"/>
          <w:highlight w:val="none"/>
        </w:rPr>
        <w:t>可垦造水田资源潜力调查评价</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rPr>
        <w:t>依据</w:t>
      </w:r>
      <w:r>
        <w:rPr>
          <w:rFonts w:hint="eastAsia" w:hAnsi="宋体"/>
          <w:b w:val="0"/>
          <w:bCs/>
          <w:sz w:val="24"/>
          <w:highlight w:val="none"/>
          <w:lang w:val="zh-CN" w:eastAsia="zh-CN"/>
        </w:rPr>
        <w:t>“三</w:t>
      </w:r>
      <w:r>
        <w:rPr>
          <w:rFonts w:hint="eastAsia" w:hAnsi="宋体"/>
          <w:b w:val="0"/>
          <w:bCs/>
          <w:sz w:val="24"/>
          <w:highlight w:val="none"/>
        </w:rPr>
        <w:t>调”和2020年度国土变更调查成果，分析重大水 利规划、建设中新增灌面情况，分析自然灌溉条件便利、群众种 植粮食积极性高的地区情况，开展可垦造为水田的旱地、水浇地 资源潜力调查评价，并形成县级可垦造水田资源潜力调查评价数 据成果，同步形成我省科学合理可垦造水田资源总体实施方案。</w:t>
      </w:r>
    </w:p>
    <w:p>
      <w:pPr>
        <w:spacing w:line="360" w:lineRule="auto"/>
        <w:ind w:firstLine="720" w:firstLineChars="300"/>
        <w:jc w:val="left"/>
        <w:rPr>
          <w:rFonts w:hint="eastAsia" w:hAnsi="宋体"/>
          <w:b w:val="0"/>
          <w:bCs/>
          <w:sz w:val="24"/>
          <w:highlight w:val="none"/>
        </w:rPr>
      </w:pPr>
      <w:r>
        <w:rPr>
          <w:rFonts w:hint="eastAsia" w:hAnsi="宋体"/>
          <w:b w:val="0"/>
          <w:bCs/>
          <w:sz w:val="24"/>
          <w:highlight w:val="none"/>
          <w:lang w:val="en-US" w:eastAsia="zh-CN"/>
        </w:rPr>
        <w:t>4、</w:t>
      </w:r>
      <w:r>
        <w:rPr>
          <w:rFonts w:hint="eastAsia" w:hAnsi="宋体"/>
          <w:b w:val="0"/>
          <w:bCs/>
          <w:sz w:val="24"/>
          <w:highlight w:val="none"/>
        </w:rPr>
        <w:t>调查评价主要内容</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（1）</w:t>
      </w:r>
      <w:r>
        <w:rPr>
          <w:rFonts w:hint="eastAsia" w:hAnsi="宋体"/>
          <w:b w:val="0"/>
          <w:bCs/>
          <w:sz w:val="24"/>
          <w:highlight w:val="none"/>
        </w:rPr>
        <w:t>开展调查评价</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rPr>
        <w:t>采用</w:t>
      </w:r>
      <w:r>
        <w:rPr>
          <w:rFonts w:hint="eastAsia" w:hAnsi="宋体"/>
          <w:b w:val="0"/>
          <w:bCs/>
          <w:sz w:val="24"/>
          <w:highlight w:val="none"/>
          <w:lang w:val="zh-CN" w:eastAsia="zh-CN"/>
        </w:rPr>
        <w:t>“内</w:t>
      </w:r>
      <w:r>
        <w:rPr>
          <w:rFonts w:hint="eastAsia" w:hAnsi="宋体"/>
          <w:b w:val="0"/>
          <w:bCs/>
          <w:sz w:val="24"/>
          <w:highlight w:val="none"/>
        </w:rPr>
        <w:t>外业相结合”的调查方式，依据</w:t>
      </w:r>
      <w:r>
        <w:rPr>
          <w:rFonts w:hint="eastAsia" w:hAnsi="宋体"/>
          <w:b w:val="0"/>
          <w:bCs/>
          <w:sz w:val="24"/>
          <w:highlight w:val="none"/>
          <w:lang w:val="zh-CN" w:eastAsia="zh-CN"/>
        </w:rPr>
        <w:t>“三</w:t>
      </w:r>
      <w:r>
        <w:rPr>
          <w:rFonts w:hint="eastAsia" w:hAnsi="宋体"/>
          <w:b w:val="0"/>
          <w:bCs/>
          <w:sz w:val="24"/>
          <w:highlight w:val="none"/>
        </w:rPr>
        <w:t>调”和2020年度国土变更调查成果，林业、水利、环保等相关数据成果开展调查评价。</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①</w:t>
      </w:r>
      <w:r>
        <w:rPr>
          <w:rFonts w:hint="eastAsia" w:hAnsi="宋体"/>
          <w:b w:val="0"/>
          <w:bCs/>
          <w:sz w:val="24"/>
          <w:highlight w:val="none"/>
        </w:rPr>
        <w:t>以其他草地、盐碱地、沙地、裸土地四类图斑为对象进行评价，并将水资源作为重要约束性指标，作出是否适宜开发成耕地（即宜耕性）的明确判断，掌握可开发耕地后备资源的数量、类型和分布状况。</w:t>
      </w:r>
    </w:p>
    <w:p>
      <w:pPr>
        <w:spacing w:line="360" w:lineRule="auto"/>
        <w:ind w:firstLine="480" w:firstLineChars="200"/>
        <w:jc w:val="left"/>
        <w:rPr>
          <w:rFonts w:hint="eastAsia" w:hAnsi="宋体"/>
          <w:b w:val="0"/>
          <w:bCs/>
          <w:sz w:val="24"/>
          <w:highlight w:val="none"/>
        </w:rPr>
      </w:pPr>
      <w:bookmarkStart w:id="102" w:name="bookmark16"/>
      <w:bookmarkEnd w:id="102"/>
      <w:r>
        <w:rPr>
          <w:rFonts w:hint="eastAsia" w:hAnsi="宋体"/>
          <w:b w:val="0"/>
          <w:bCs/>
          <w:sz w:val="24"/>
          <w:highlight w:val="none"/>
          <w:lang w:val="en-US" w:eastAsia="zh-CN"/>
        </w:rPr>
        <w:t>②</w:t>
      </w:r>
      <w:r>
        <w:rPr>
          <w:rFonts w:hint="eastAsia" w:hAnsi="宋体"/>
          <w:b w:val="0"/>
          <w:bCs/>
          <w:sz w:val="24"/>
          <w:highlight w:val="none"/>
        </w:rPr>
        <w:t>以标注</w:t>
      </w:r>
      <w:r>
        <w:rPr>
          <w:rFonts w:hint="eastAsia" w:hAnsi="宋体"/>
          <w:b w:val="0"/>
          <w:bCs/>
          <w:sz w:val="24"/>
          <w:highlight w:val="none"/>
          <w:lang w:val="zh-CN" w:eastAsia="zh-CN"/>
        </w:rPr>
        <w:t>“即可</w:t>
      </w:r>
      <w:r>
        <w:rPr>
          <w:rFonts w:hint="eastAsia" w:hAnsi="宋体"/>
          <w:b w:val="0"/>
          <w:bCs/>
          <w:sz w:val="24"/>
          <w:highlight w:val="none"/>
        </w:rPr>
        <w:t>恢复”和</w:t>
      </w:r>
      <w:r>
        <w:rPr>
          <w:rFonts w:hint="eastAsia" w:hAnsi="宋体"/>
          <w:b w:val="0"/>
          <w:bCs/>
          <w:sz w:val="24"/>
          <w:highlight w:val="none"/>
          <w:lang w:val="zh-CN" w:eastAsia="zh-CN"/>
        </w:rPr>
        <w:t>“工程</w:t>
      </w:r>
      <w:r>
        <w:rPr>
          <w:rFonts w:hint="eastAsia" w:hAnsi="宋体"/>
          <w:b w:val="0"/>
          <w:bCs/>
          <w:sz w:val="24"/>
          <w:highlight w:val="none"/>
        </w:rPr>
        <w:t>恢复”的土地为对象进行评 价，作出是否适宜恢复为稳定耕地的明确判断，掌握可恢复耕地的数量、类型和分布状况。</w:t>
      </w:r>
    </w:p>
    <w:p>
      <w:pPr>
        <w:spacing w:line="360" w:lineRule="auto"/>
        <w:ind w:firstLine="480" w:firstLineChars="200"/>
        <w:jc w:val="left"/>
        <w:rPr>
          <w:rFonts w:hint="eastAsia" w:hAnsi="宋体"/>
          <w:b w:val="0"/>
          <w:bCs/>
          <w:sz w:val="24"/>
          <w:highlight w:val="none"/>
        </w:rPr>
      </w:pPr>
      <w:bookmarkStart w:id="103" w:name="bookmark17"/>
      <w:bookmarkEnd w:id="103"/>
      <w:r>
        <w:rPr>
          <w:rFonts w:hint="eastAsia" w:hAnsi="宋体"/>
          <w:b w:val="0"/>
          <w:bCs/>
          <w:sz w:val="24"/>
          <w:highlight w:val="none"/>
          <w:lang w:val="en-US" w:eastAsia="zh-CN"/>
        </w:rPr>
        <w:t>③</w:t>
      </w:r>
      <w:r>
        <w:rPr>
          <w:rFonts w:hint="eastAsia" w:hAnsi="宋体"/>
          <w:b w:val="0"/>
          <w:bCs/>
          <w:sz w:val="24"/>
          <w:highlight w:val="none"/>
        </w:rPr>
        <w:t>以旱地、水浇地为对象进行评价，充分结合</w:t>
      </w:r>
      <w:r>
        <w:rPr>
          <w:rFonts w:hint="eastAsia" w:hAnsi="宋体"/>
          <w:b w:val="0"/>
          <w:bCs/>
          <w:sz w:val="24"/>
          <w:highlight w:val="none"/>
          <w:lang w:val="zh-CN" w:eastAsia="zh-CN"/>
        </w:rPr>
        <w:t>“十</w:t>
      </w:r>
      <w:r>
        <w:rPr>
          <w:rFonts w:hint="eastAsia" w:hAnsi="宋体"/>
          <w:b w:val="0"/>
          <w:bCs/>
          <w:sz w:val="24"/>
          <w:highlight w:val="none"/>
        </w:rPr>
        <w:t>四五”水利发展规划、重大水利工程灌区、既有农田水利基础设施、粮油主产区等耕作习惯，</w:t>
      </w:r>
      <w:r>
        <w:rPr>
          <w:rFonts w:hint="eastAsia" w:hAnsi="宋体"/>
          <w:b w:val="0"/>
          <w:bCs/>
          <w:sz w:val="24"/>
          <w:highlight w:val="none"/>
          <w:lang w:val="zh-CN" w:eastAsia="zh-CN"/>
        </w:rPr>
        <w:t>“以</w:t>
      </w:r>
      <w:r>
        <w:rPr>
          <w:rFonts w:hint="eastAsia" w:hAnsi="宋体"/>
          <w:b w:val="0"/>
          <w:bCs/>
          <w:sz w:val="24"/>
          <w:highlight w:val="none"/>
        </w:rPr>
        <w:t>水定田”，对垦造水田作适宜性评价，掌握可垦造水田的数量、类型和分布状况。</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5、</w:t>
      </w:r>
      <w:r>
        <w:rPr>
          <w:rFonts w:hint="eastAsia" w:hAnsi="宋体"/>
          <w:b w:val="0"/>
          <w:bCs/>
          <w:sz w:val="24"/>
          <w:highlight w:val="none"/>
        </w:rPr>
        <w:t>形成调查评价数据成果</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w:t>
      </w:r>
      <w:r>
        <w:rPr>
          <w:rFonts w:hint="eastAsia" w:hAnsi="宋体"/>
          <w:b w:val="0"/>
          <w:bCs/>
          <w:sz w:val="24"/>
          <w:highlight w:val="none"/>
          <w:lang w:val="en-US" w:eastAsia="zh-CN"/>
        </w:rPr>
        <w:t>1</w:t>
      </w:r>
      <w:r>
        <w:rPr>
          <w:rFonts w:hint="eastAsia" w:hAnsi="宋体"/>
          <w:b w:val="0"/>
          <w:bCs/>
          <w:sz w:val="24"/>
          <w:highlight w:val="none"/>
          <w:lang w:eastAsia="zh-CN"/>
        </w:rPr>
        <w:t>）</w:t>
      </w:r>
      <w:r>
        <w:rPr>
          <w:rFonts w:hint="eastAsia" w:hAnsi="宋体"/>
          <w:b w:val="0"/>
          <w:bCs/>
          <w:sz w:val="24"/>
          <w:highlight w:val="none"/>
        </w:rPr>
        <w:t>按照耕地后备资源调查评价技术规范和数据库建设标准，根据调查评价结果，以县为单位，制作县级调查评价数据成果，并形成省级可开发耕地后备资源潜力数据库、省级可恢复耕地和可垦造水田耕地资源调查评价潜力数据库。</w:t>
      </w:r>
    </w:p>
    <w:p>
      <w:pPr>
        <w:spacing w:line="360" w:lineRule="auto"/>
        <w:ind w:firstLine="480" w:firstLineChars="200"/>
        <w:jc w:val="left"/>
        <w:rPr>
          <w:rFonts w:hint="eastAsia" w:hAnsi="宋体"/>
          <w:b w:val="0"/>
          <w:bCs/>
          <w:sz w:val="24"/>
          <w:highlight w:val="none"/>
        </w:rPr>
      </w:pPr>
      <w:bookmarkStart w:id="104" w:name="bookmark19"/>
      <w:bookmarkEnd w:id="104"/>
      <w:r>
        <w:rPr>
          <w:rFonts w:hint="eastAsia" w:hAnsi="宋体"/>
          <w:b w:val="0"/>
          <w:bCs/>
          <w:sz w:val="24"/>
          <w:highlight w:val="none"/>
          <w:lang w:eastAsia="zh-CN"/>
        </w:rPr>
        <w:t>（</w:t>
      </w:r>
      <w:r>
        <w:rPr>
          <w:rFonts w:hint="eastAsia" w:hAnsi="宋体"/>
          <w:b w:val="0"/>
          <w:bCs/>
          <w:sz w:val="24"/>
          <w:highlight w:val="none"/>
          <w:lang w:val="en-US" w:eastAsia="zh-CN"/>
        </w:rPr>
        <w:t>2</w:t>
      </w:r>
      <w:r>
        <w:rPr>
          <w:rFonts w:hint="eastAsia" w:hAnsi="宋体"/>
          <w:b w:val="0"/>
          <w:bCs/>
          <w:sz w:val="24"/>
          <w:highlight w:val="none"/>
          <w:lang w:eastAsia="zh-CN"/>
        </w:rPr>
        <w:t>）</w:t>
      </w:r>
      <w:r>
        <w:rPr>
          <w:rFonts w:hint="eastAsia" w:hAnsi="宋体"/>
          <w:b w:val="0"/>
          <w:bCs/>
          <w:sz w:val="24"/>
          <w:highlight w:val="none"/>
        </w:rPr>
        <w:t>制作耕地后备资源调查评价矢量数据，编制耕地后备资源 调查评价分类型统计表，形成县级耕地后备资源调查评价数据成果。对国家下发图斑范围外的其他草地、盐碱地、沙地、裸土地,还应制作补充耕地后备资源调查评价矢量数据。</w:t>
      </w:r>
    </w:p>
    <w:p>
      <w:pPr>
        <w:spacing w:line="360" w:lineRule="auto"/>
        <w:ind w:firstLine="480" w:firstLineChars="200"/>
        <w:jc w:val="left"/>
        <w:rPr>
          <w:rFonts w:hint="eastAsia" w:hAnsi="宋体"/>
          <w:b w:val="0"/>
          <w:bCs/>
          <w:sz w:val="24"/>
          <w:highlight w:val="none"/>
        </w:rPr>
      </w:pPr>
      <w:bookmarkStart w:id="105" w:name="bookmark20"/>
      <w:bookmarkEnd w:id="105"/>
      <w:r>
        <w:rPr>
          <w:rFonts w:hint="eastAsia" w:hAnsi="宋体"/>
          <w:b w:val="0"/>
          <w:bCs/>
          <w:sz w:val="24"/>
          <w:highlight w:val="none"/>
          <w:lang w:eastAsia="zh-CN"/>
        </w:rPr>
        <w:t>（</w:t>
      </w:r>
      <w:r>
        <w:rPr>
          <w:rFonts w:hint="eastAsia" w:hAnsi="宋体"/>
          <w:b w:val="0"/>
          <w:bCs/>
          <w:sz w:val="24"/>
          <w:highlight w:val="none"/>
          <w:lang w:val="en-US" w:eastAsia="zh-CN"/>
        </w:rPr>
        <w:t>3</w:t>
      </w:r>
      <w:r>
        <w:rPr>
          <w:rFonts w:hint="eastAsia" w:hAnsi="宋体"/>
          <w:b w:val="0"/>
          <w:bCs/>
          <w:sz w:val="24"/>
          <w:highlight w:val="none"/>
          <w:lang w:eastAsia="zh-CN"/>
        </w:rPr>
        <w:t>）</w:t>
      </w:r>
      <w:r>
        <w:rPr>
          <w:rFonts w:hint="eastAsia" w:hAnsi="宋体"/>
          <w:b w:val="0"/>
          <w:bCs/>
          <w:sz w:val="24"/>
          <w:highlight w:val="none"/>
        </w:rPr>
        <w:t>制作可恢复耕地资源潜力调查评价矢量数据，编制可恢复 耕地资源潜力调查评价分类型统计表，形成县级可恢复耕地资源潜力调查评价数据成果。</w:t>
      </w:r>
    </w:p>
    <w:p>
      <w:pPr>
        <w:spacing w:line="360" w:lineRule="auto"/>
        <w:ind w:firstLine="480" w:firstLineChars="200"/>
        <w:jc w:val="left"/>
        <w:rPr>
          <w:rFonts w:hint="eastAsia" w:hAnsi="宋体"/>
          <w:b w:val="0"/>
          <w:bCs/>
          <w:sz w:val="24"/>
          <w:highlight w:val="none"/>
        </w:rPr>
      </w:pPr>
      <w:bookmarkStart w:id="106" w:name="bookmark21"/>
      <w:bookmarkEnd w:id="106"/>
      <w:r>
        <w:rPr>
          <w:rFonts w:hint="eastAsia" w:hAnsi="宋体"/>
          <w:b w:val="0"/>
          <w:bCs/>
          <w:sz w:val="24"/>
          <w:highlight w:val="none"/>
          <w:lang w:eastAsia="zh-CN"/>
        </w:rPr>
        <w:t>（</w:t>
      </w:r>
      <w:r>
        <w:rPr>
          <w:rFonts w:hint="eastAsia" w:hAnsi="宋体"/>
          <w:b w:val="0"/>
          <w:bCs/>
          <w:sz w:val="24"/>
          <w:highlight w:val="none"/>
          <w:lang w:val="en-US" w:eastAsia="zh-CN"/>
        </w:rPr>
        <w:t>4</w:t>
      </w:r>
      <w:r>
        <w:rPr>
          <w:rFonts w:hint="eastAsia" w:hAnsi="宋体"/>
          <w:b w:val="0"/>
          <w:bCs/>
          <w:sz w:val="24"/>
          <w:highlight w:val="none"/>
          <w:lang w:eastAsia="zh-CN"/>
        </w:rPr>
        <w:t>）</w:t>
      </w:r>
      <w:r>
        <w:rPr>
          <w:rFonts w:hint="eastAsia" w:hAnsi="宋体"/>
          <w:b w:val="0"/>
          <w:bCs/>
          <w:sz w:val="24"/>
          <w:highlight w:val="none"/>
        </w:rPr>
        <w:t>制作可垦造水田资源潜力调查评价矢量数据，编制可垦造 水田资源潜力调查评价分类型统计表，形成县级可垦造水田资源潜力调查评价数据成果。</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（5）</w:t>
      </w:r>
      <w:r>
        <w:rPr>
          <w:rFonts w:hint="eastAsia" w:hAnsi="宋体"/>
          <w:b w:val="0"/>
          <w:bCs/>
          <w:sz w:val="24"/>
          <w:highlight w:val="none"/>
        </w:rPr>
        <w:t>提出耕地后备资源开发利用工作建议</w:t>
      </w:r>
    </w:p>
    <w:p>
      <w:pPr>
        <w:spacing w:line="360" w:lineRule="auto"/>
        <w:ind w:firstLine="480" w:firstLineChars="200"/>
        <w:jc w:val="left"/>
        <w:rPr>
          <w:rFonts w:hint="eastAsia" w:hAnsi="宋体"/>
          <w:b w:val="0"/>
          <w:bCs/>
          <w:sz w:val="24"/>
          <w:highlight w:val="none"/>
          <w:lang w:eastAsia="zh-CN"/>
        </w:rPr>
      </w:pPr>
      <w:r>
        <w:rPr>
          <w:rFonts w:hint="eastAsia" w:hAnsi="宋体"/>
          <w:b w:val="0"/>
          <w:bCs/>
          <w:sz w:val="24"/>
          <w:highlight w:val="none"/>
        </w:rPr>
        <w:t>根据耕地后备资源汇总成果，结合社会、经济、人口、生态等情况，对各类耕地后备资源的面积、类型和分布等进行综合分析，提出可开发利用耕地后备资源的工作建议，编写省、县耕地后备资源调查评价分析报告和实施方案。</w:t>
      </w:r>
    </w:p>
    <w:p>
      <w:pPr>
        <w:numPr>
          <w:ilvl w:val="0"/>
          <w:numId w:val="0"/>
        </w:numPr>
        <w:spacing w:line="360" w:lineRule="auto"/>
        <w:jc w:val="left"/>
        <w:rPr>
          <w:rFonts w:hint="eastAsia" w:hAnsi="宋体"/>
          <w:b/>
          <w:sz w:val="28"/>
          <w:szCs w:val="28"/>
          <w:highlight w:val="none"/>
          <w:lang w:val="en-US" w:eastAsia="zh-CN"/>
        </w:rPr>
      </w:pPr>
      <w:r>
        <w:rPr>
          <w:rFonts w:hint="eastAsia" w:hAnsi="宋体"/>
          <w:b/>
          <w:sz w:val="28"/>
          <w:szCs w:val="28"/>
          <w:highlight w:val="none"/>
          <w:lang w:val="en-US" w:eastAsia="zh-CN"/>
        </w:rPr>
        <w:t>二、商务要求</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1、</w:t>
      </w:r>
      <w:r>
        <w:rPr>
          <w:rFonts w:hint="eastAsia" w:hAnsi="宋体"/>
          <w:b w:val="0"/>
          <w:bCs/>
          <w:sz w:val="24"/>
          <w:highlight w:val="none"/>
        </w:rPr>
        <w:t>服务期限:具体完成时间根据上级部门要求执行。</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2、</w:t>
      </w:r>
      <w:r>
        <w:rPr>
          <w:rFonts w:hint="eastAsia" w:hAnsi="宋体"/>
          <w:b w:val="0"/>
          <w:bCs/>
          <w:sz w:val="24"/>
          <w:highlight w:val="none"/>
        </w:rPr>
        <w:t>服务地点:成都市</w:t>
      </w:r>
      <w:r>
        <w:rPr>
          <w:rFonts w:hint="eastAsia" w:hAnsi="宋体"/>
          <w:b w:val="0"/>
          <w:bCs/>
          <w:sz w:val="24"/>
          <w:highlight w:val="none"/>
          <w:lang w:eastAsia="zh-CN"/>
        </w:rPr>
        <w:t>成华区</w:t>
      </w:r>
      <w:r>
        <w:rPr>
          <w:rFonts w:hint="eastAsia" w:hAnsi="宋体"/>
          <w:b w:val="0"/>
          <w:bCs/>
          <w:sz w:val="24"/>
          <w:highlight w:val="none"/>
        </w:rPr>
        <w:t>行政区域范围内。</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val="en-US" w:eastAsia="zh-CN"/>
        </w:rPr>
        <w:t>3、</w:t>
      </w:r>
      <w:r>
        <w:rPr>
          <w:rFonts w:hint="eastAsia" w:hAnsi="宋体"/>
          <w:b w:val="0"/>
          <w:bCs/>
          <w:sz w:val="24"/>
          <w:highlight w:val="none"/>
        </w:rPr>
        <w:t>支付方式</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w:t>
      </w:r>
      <w:r>
        <w:rPr>
          <w:rFonts w:hint="eastAsia" w:hAnsi="宋体"/>
          <w:b w:val="0"/>
          <w:bCs/>
          <w:sz w:val="24"/>
          <w:highlight w:val="none"/>
          <w:lang w:val="en-US" w:eastAsia="zh-CN"/>
        </w:rPr>
        <w:t>1</w:t>
      </w:r>
      <w:r>
        <w:rPr>
          <w:rFonts w:hint="eastAsia" w:hAnsi="宋体"/>
          <w:b w:val="0"/>
          <w:bCs/>
          <w:sz w:val="24"/>
          <w:highlight w:val="none"/>
          <w:lang w:eastAsia="zh-CN"/>
        </w:rPr>
        <w:t>）</w:t>
      </w:r>
      <w:r>
        <w:rPr>
          <w:rFonts w:hint="eastAsia" w:hAnsi="宋体"/>
          <w:b w:val="0"/>
          <w:bCs/>
          <w:sz w:val="24"/>
          <w:highlight w:val="none"/>
        </w:rPr>
        <w:t>第一次支付：采购合同生效后5日内，采购人向成交供应商支付合同金额的50%；</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w:t>
      </w:r>
      <w:r>
        <w:rPr>
          <w:rFonts w:hint="eastAsia" w:hAnsi="宋体"/>
          <w:b w:val="0"/>
          <w:bCs/>
          <w:sz w:val="24"/>
          <w:highlight w:val="none"/>
          <w:lang w:val="en-US" w:eastAsia="zh-CN"/>
        </w:rPr>
        <w:t>2</w:t>
      </w:r>
      <w:r>
        <w:rPr>
          <w:rFonts w:hint="eastAsia" w:hAnsi="宋体"/>
          <w:b w:val="0"/>
          <w:bCs/>
          <w:sz w:val="24"/>
          <w:highlight w:val="none"/>
          <w:lang w:eastAsia="zh-CN"/>
        </w:rPr>
        <w:t>）</w:t>
      </w:r>
      <w:r>
        <w:rPr>
          <w:rFonts w:hint="eastAsia" w:hAnsi="宋体"/>
          <w:b w:val="0"/>
          <w:bCs/>
          <w:sz w:val="24"/>
          <w:highlight w:val="none"/>
        </w:rPr>
        <w:t>第二次支付:完成外业调查举证和内业农户恢复意愿调查图件制作打印后5日内，采购人向成交供应商支付合同金额的35%;</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w:t>
      </w:r>
      <w:r>
        <w:rPr>
          <w:rFonts w:hint="eastAsia" w:hAnsi="宋体"/>
          <w:b w:val="0"/>
          <w:bCs/>
          <w:sz w:val="24"/>
          <w:highlight w:val="none"/>
          <w:lang w:val="en-US" w:eastAsia="zh-CN"/>
        </w:rPr>
        <w:t>3</w:t>
      </w:r>
      <w:r>
        <w:rPr>
          <w:rFonts w:hint="eastAsia" w:hAnsi="宋体"/>
          <w:b w:val="0"/>
          <w:bCs/>
          <w:sz w:val="24"/>
          <w:highlight w:val="none"/>
          <w:lang w:eastAsia="zh-CN"/>
        </w:rPr>
        <w:t>）</w:t>
      </w:r>
      <w:r>
        <w:rPr>
          <w:rFonts w:hint="eastAsia" w:hAnsi="宋体"/>
          <w:b w:val="0"/>
          <w:bCs/>
          <w:sz w:val="24"/>
          <w:highlight w:val="none"/>
        </w:rPr>
        <w:t>第三次支付：通过四川省自然资源厅质检合格(如省厅不质检或审核，则通过成都市规划和自然资源局质检合格）并汇交最终成果后10日内，采购人向成交供应商支付合同金额的剩余15%。</w:t>
      </w:r>
    </w:p>
    <w:p>
      <w:pPr>
        <w:spacing w:line="360" w:lineRule="auto"/>
        <w:ind w:firstLine="480" w:firstLineChars="200"/>
        <w:jc w:val="left"/>
        <w:rPr>
          <w:rFonts w:hint="eastAsia" w:hAnsi="宋体"/>
          <w:b w:val="0"/>
          <w:bCs/>
          <w:sz w:val="24"/>
          <w:highlight w:val="none"/>
        </w:rPr>
      </w:pPr>
      <w:r>
        <w:rPr>
          <w:rFonts w:hint="eastAsia" w:hAnsi="宋体"/>
          <w:b w:val="0"/>
          <w:bCs/>
          <w:sz w:val="24"/>
          <w:highlight w:val="none"/>
          <w:lang w:eastAsia="zh-CN"/>
        </w:rPr>
        <w:t>（</w:t>
      </w:r>
      <w:r>
        <w:rPr>
          <w:rFonts w:hint="eastAsia" w:hAnsi="宋体"/>
          <w:b w:val="0"/>
          <w:bCs/>
          <w:sz w:val="24"/>
          <w:highlight w:val="none"/>
          <w:lang w:val="en-US" w:eastAsia="zh-CN"/>
        </w:rPr>
        <w:t>4</w:t>
      </w:r>
      <w:r>
        <w:rPr>
          <w:rFonts w:hint="eastAsia" w:hAnsi="宋体"/>
          <w:b w:val="0"/>
          <w:bCs/>
          <w:sz w:val="24"/>
          <w:highlight w:val="none"/>
          <w:lang w:eastAsia="zh-CN"/>
        </w:rPr>
        <w:t>）</w:t>
      </w:r>
      <w:r>
        <w:rPr>
          <w:rFonts w:hint="eastAsia" w:hAnsi="宋体"/>
          <w:b w:val="0"/>
          <w:bCs/>
          <w:sz w:val="24"/>
          <w:highlight w:val="none"/>
        </w:rPr>
        <w:t>成交供应商须向采购人出具合法有效完整的完税发票及凭证资料进行支付结算。</w:t>
      </w:r>
    </w:p>
    <w:p>
      <w:pPr>
        <w:spacing w:line="360" w:lineRule="auto"/>
        <w:ind w:firstLine="480" w:firstLineChars="200"/>
        <w:jc w:val="left"/>
        <w:rPr>
          <w:rFonts w:hint="eastAsia" w:hAnsi="宋体"/>
          <w:sz w:val="24"/>
          <w:highlight w:val="none"/>
        </w:rPr>
      </w:pPr>
      <w:r>
        <w:rPr>
          <w:rFonts w:hint="eastAsia" w:hAnsi="宋体"/>
          <w:b w:val="0"/>
          <w:bCs/>
          <w:sz w:val="24"/>
          <w:highlight w:val="none"/>
          <w:lang w:val="en-US" w:eastAsia="zh-CN"/>
        </w:rPr>
        <w:t>4、</w:t>
      </w:r>
      <w:r>
        <w:rPr>
          <w:rFonts w:hint="eastAsia" w:hAnsi="宋体"/>
          <w:b w:val="0"/>
          <w:bCs/>
          <w:sz w:val="24"/>
          <w:highlight w:val="none"/>
        </w:rPr>
        <w:t>验收标准和方法:成交人与采购人应严格执行《财政部关于进一步加强政府采购需求和履约验收管理的指导意见》（财库〔2016〕205号）等相关规定的要求进行验收。</w:t>
      </w:r>
    </w:p>
    <w:p>
      <w:pPr>
        <w:numPr>
          <w:ilvl w:val="0"/>
          <w:numId w:val="0"/>
        </w:numPr>
        <w:spacing w:line="360" w:lineRule="auto"/>
        <w:jc w:val="left"/>
        <w:rPr>
          <w:rFonts w:hint="eastAsia" w:hAnsi="宋体"/>
          <w:b/>
          <w:sz w:val="28"/>
          <w:szCs w:val="28"/>
          <w:highlight w:val="none"/>
          <w:lang w:val="en-US" w:eastAsia="zh-CN"/>
        </w:rPr>
      </w:pPr>
      <w:r>
        <w:rPr>
          <w:rFonts w:hint="eastAsia" w:hAnsi="宋体"/>
          <w:b/>
          <w:sz w:val="28"/>
          <w:szCs w:val="28"/>
          <w:highlight w:val="none"/>
          <w:lang w:val="en-US" w:eastAsia="zh-CN"/>
        </w:rPr>
        <w:t>三、其他要求</w:t>
      </w:r>
    </w:p>
    <w:p>
      <w:pPr>
        <w:pStyle w:val="9"/>
        <w:spacing w:line="360" w:lineRule="auto"/>
        <w:ind w:firstLine="480"/>
        <w:rPr>
          <w:rFonts w:hint="eastAsia" w:ascii="宋体" w:hAnsi="宋体" w:cs="宋体"/>
          <w:bCs/>
          <w:sz w:val="24"/>
        </w:rPr>
      </w:pPr>
      <w:r>
        <w:rPr>
          <w:rFonts w:hint="eastAsia" w:ascii="宋体" w:hAnsi="宋体" w:cs="宋体"/>
          <w:bCs/>
          <w:sz w:val="24"/>
        </w:rPr>
        <w:t>供应商响应文件中需包括但不限于下列内容：</w:t>
      </w:r>
    </w:p>
    <w:p>
      <w:pPr>
        <w:spacing w:line="500" w:lineRule="exact"/>
        <w:ind w:firstLine="480" w:firstLineChars="200"/>
        <w:contextualSpacing/>
        <w:rPr>
          <w:rFonts w:hint="eastAsia" w:ascii="宋体" w:hAnsi="宋体" w:cs="宋体"/>
          <w:bCs/>
          <w:sz w:val="24"/>
        </w:rPr>
      </w:pPr>
      <w:r>
        <w:rPr>
          <w:rFonts w:hint="eastAsia" w:ascii="宋体" w:hAnsi="宋体" w:cs="宋体"/>
          <w:bCs/>
          <w:sz w:val="24"/>
        </w:rPr>
        <w:t>1、提供的服务方案包括项目认</w:t>
      </w:r>
      <w:r>
        <w:rPr>
          <w:rFonts w:hint="eastAsia" w:hAnsi="宋体" w:cs="宋体"/>
          <w:bCs/>
          <w:sz w:val="24"/>
          <w:lang w:val="en-US" w:eastAsia="zh-CN"/>
        </w:rPr>
        <w:t>识</w:t>
      </w:r>
      <w:r>
        <w:rPr>
          <w:rFonts w:hint="eastAsia" w:ascii="宋体" w:hAnsi="宋体" w:cs="宋体"/>
          <w:bCs/>
          <w:sz w:val="24"/>
        </w:rPr>
        <w:t xml:space="preserve">、评价工作认识、项目评价工作技术方法、可开发调查评价方案、可恢复调查评价方案、可垦造水田调查评价方案、进度安排等。 </w:t>
      </w:r>
    </w:p>
    <w:p>
      <w:pPr>
        <w:spacing w:line="500" w:lineRule="exact"/>
        <w:ind w:firstLine="480" w:firstLineChars="200"/>
        <w:contextualSpacing/>
        <w:rPr>
          <w:rFonts w:hint="eastAsia" w:ascii="宋体" w:hAnsi="宋体" w:cs="宋体"/>
          <w:bCs/>
          <w:sz w:val="24"/>
        </w:rPr>
      </w:pPr>
      <w:r>
        <w:rPr>
          <w:rFonts w:hint="eastAsia" w:ascii="宋体" w:hAnsi="宋体" w:cs="宋体"/>
          <w:bCs/>
          <w:sz w:val="24"/>
        </w:rPr>
        <w:t>2、质量保证及保密制度措施</w:t>
      </w:r>
      <w:r>
        <w:rPr>
          <w:rFonts w:hint="eastAsia" w:hAnsi="宋体" w:cs="宋体"/>
          <w:bCs/>
          <w:sz w:val="24"/>
          <w:lang w:eastAsia="zh-CN"/>
        </w:rPr>
        <w:t>。</w:t>
      </w:r>
    </w:p>
    <w:p>
      <w:pPr>
        <w:spacing w:line="500" w:lineRule="exact"/>
        <w:ind w:firstLine="480" w:firstLineChars="200"/>
        <w:contextualSpacing/>
        <w:rPr>
          <w:rFonts w:hint="eastAsia" w:ascii="宋体" w:hAnsi="宋体" w:cs="宋体"/>
          <w:bCs/>
          <w:sz w:val="24"/>
        </w:rPr>
      </w:pPr>
      <w:r>
        <w:rPr>
          <w:rFonts w:hint="eastAsia" w:ascii="宋体" w:hAnsi="宋体" w:cs="宋体"/>
          <w:bCs/>
          <w:sz w:val="24"/>
        </w:rPr>
        <w:t>3、履约能力包括人员配备、类似业绩和设备。</w:t>
      </w:r>
    </w:p>
    <w:p>
      <w:pPr>
        <w:spacing w:line="500" w:lineRule="exact"/>
        <w:ind w:firstLine="422" w:firstLineChars="200"/>
        <w:contextualSpacing/>
        <w:rPr>
          <w:rFonts w:hint="eastAsia"/>
          <w:b/>
          <w:bCs/>
          <w:sz w:val="36"/>
          <w:szCs w:val="36"/>
        </w:rPr>
      </w:pPr>
      <w:r>
        <w:rPr>
          <w:rFonts w:hint="eastAsia"/>
          <w:b/>
          <w:bCs/>
          <w:snapToGrid w:val="0"/>
          <w:sz w:val="21"/>
          <w:szCs w:val="21"/>
        </w:rPr>
        <w:t>注意：本章的要求不能作为资格条件要求评审，如存在资格条件要求，应当认定磋商文件编制存在重大缺陷，评审委员会应当停止评审。</w:t>
      </w:r>
      <w:bookmarkStart w:id="107" w:name="_Toc22542"/>
      <w:bookmarkStart w:id="108" w:name="_Toc7744"/>
      <w:bookmarkStart w:id="109" w:name="_Toc20245"/>
      <w:bookmarkStart w:id="110" w:name="_Toc30980"/>
      <w:bookmarkStart w:id="111" w:name="_Toc31518"/>
    </w:p>
    <w:p>
      <w:pPr>
        <w:pStyle w:val="3"/>
        <w:rPr>
          <w:rFonts w:hint="eastAsia"/>
          <w:b w:val="0"/>
          <w:bCs w:val="0"/>
          <w:sz w:val="36"/>
          <w:szCs w:val="36"/>
        </w:rPr>
      </w:pPr>
      <w:r>
        <w:rPr>
          <w:rFonts w:hint="eastAsia"/>
          <w:b w:val="0"/>
          <w:bCs w:val="0"/>
          <w:sz w:val="36"/>
          <w:szCs w:val="36"/>
        </w:rPr>
        <w:br w:type="page"/>
      </w:r>
      <w:r>
        <w:rPr>
          <w:rFonts w:hint="eastAsia"/>
          <w:b w:val="0"/>
          <w:bCs w:val="0"/>
          <w:sz w:val="36"/>
          <w:szCs w:val="36"/>
        </w:rPr>
        <w:t>第六章 采购项目实质性要求</w:t>
      </w:r>
      <w:bookmarkEnd w:id="107"/>
      <w:bookmarkEnd w:id="108"/>
      <w:bookmarkEnd w:id="109"/>
      <w:bookmarkEnd w:id="110"/>
      <w:bookmarkEnd w:id="111"/>
    </w:p>
    <w:p>
      <w:pPr>
        <w:pStyle w:val="11"/>
        <w:spacing w:line="360" w:lineRule="auto"/>
        <w:rPr>
          <w:rFonts w:hint="eastAsia" w:hAnsi="宋体"/>
          <w:b/>
          <w:bCs/>
          <w:sz w:val="28"/>
          <w:szCs w:val="28"/>
        </w:rPr>
      </w:pPr>
      <w:r>
        <w:rPr>
          <w:rFonts w:hint="eastAsia" w:hAnsi="宋体"/>
          <w:b/>
          <w:bCs/>
          <w:sz w:val="28"/>
          <w:szCs w:val="28"/>
        </w:rPr>
        <w:t>详见磋商文件第五章内容“</w:t>
      </w:r>
      <w:r>
        <w:rPr>
          <w:rFonts w:hint="eastAsia" w:hAnsi="宋体"/>
          <w:b/>
          <w:bCs/>
          <w:sz w:val="28"/>
          <w:szCs w:val="28"/>
          <w:lang w:eastAsia="zh-CN"/>
        </w:rPr>
        <w:t>一、</w:t>
      </w:r>
      <w:r>
        <w:rPr>
          <w:rFonts w:hint="eastAsia" w:hAnsi="宋体"/>
          <w:b/>
          <w:bCs/>
          <w:sz w:val="28"/>
          <w:szCs w:val="28"/>
        </w:rPr>
        <w:t>服务内容及要求”、“</w:t>
      </w:r>
      <w:r>
        <w:rPr>
          <w:rFonts w:hint="eastAsia" w:hAnsi="宋体"/>
          <w:b/>
          <w:bCs/>
          <w:sz w:val="28"/>
          <w:szCs w:val="28"/>
          <w:lang w:eastAsia="zh-CN"/>
        </w:rPr>
        <w:t>二、</w:t>
      </w:r>
      <w:r>
        <w:rPr>
          <w:rFonts w:hint="eastAsia" w:hAnsi="宋体"/>
          <w:b/>
          <w:bCs/>
          <w:sz w:val="28"/>
          <w:szCs w:val="28"/>
        </w:rPr>
        <w:t xml:space="preserve">商务要求”。     </w:t>
      </w:r>
    </w:p>
    <w:p>
      <w:pPr>
        <w:pStyle w:val="11"/>
        <w:spacing w:line="360" w:lineRule="auto"/>
        <w:ind w:firstLine="562" w:firstLineChars="200"/>
        <w:rPr>
          <w:rFonts w:hint="eastAsia" w:hAnsi="宋体"/>
          <w:b/>
          <w:bCs/>
          <w:sz w:val="28"/>
          <w:szCs w:val="28"/>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spacing w:line="360" w:lineRule="auto"/>
        <w:jc w:val="left"/>
        <w:rPr>
          <w:rStyle w:val="39"/>
          <w:rFonts w:hint="eastAsia"/>
          <w:sz w:val="36"/>
          <w:szCs w:val="36"/>
        </w:rPr>
      </w:pPr>
      <w:bookmarkStart w:id="112" w:name="_Toc23111"/>
      <w:bookmarkStart w:id="113" w:name="_Toc17624"/>
      <w:bookmarkStart w:id="114" w:name="_Toc25617"/>
      <w:bookmarkStart w:id="115" w:name="_Toc4330"/>
      <w:bookmarkStart w:id="116" w:name="_Toc4911"/>
    </w:p>
    <w:p>
      <w:pPr>
        <w:spacing w:line="360" w:lineRule="auto"/>
        <w:jc w:val="left"/>
        <w:rPr>
          <w:rStyle w:val="39"/>
          <w:rFonts w:hint="eastAsia"/>
          <w:sz w:val="36"/>
          <w:szCs w:val="36"/>
        </w:rPr>
      </w:pPr>
      <w:r>
        <w:rPr>
          <w:rStyle w:val="39"/>
          <w:rFonts w:hint="eastAsia"/>
          <w:sz w:val="36"/>
          <w:szCs w:val="36"/>
        </w:rPr>
        <w:t>第七章  磋商内容、磋商过程中</w:t>
      </w:r>
      <w:bookmarkEnd w:id="112"/>
      <w:bookmarkEnd w:id="113"/>
      <w:bookmarkEnd w:id="114"/>
      <w:r>
        <w:rPr>
          <w:rStyle w:val="39"/>
          <w:rFonts w:hint="eastAsia"/>
          <w:sz w:val="36"/>
          <w:szCs w:val="36"/>
        </w:rPr>
        <w:t>可实质性变动的内容</w:t>
      </w:r>
      <w:bookmarkEnd w:id="115"/>
    </w:p>
    <w:bookmarkEnd w:id="116"/>
    <w:p>
      <w:pPr>
        <w:pStyle w:val="5"/>
        <w:keepNext w:val="0"/>
        <w:keepLines w:val="0"/>
        <w:spacing w:before="0" w:after="0" w:line="400" w:lineRule="exact"/>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11"/>
        <w:spacing w:line="360" w:lineRule="auto"/>
        <w:ind w:firstLine="241" w:firstLineChars="100"/>
        <w:rPr>
          <w:rFonts w:hint="eastAsia" w:hAnsi="宋体"/>
          <w:b/>
          <w:bCs/>
          <w:sz w:val="24"/>
        </w:rPr>
      </w:pPr>
      <w:r>
        <w:rPr>
          <w:rFonts w:hint="eastAsia" w:hAnsi="宋体"/>
          <w:b/>
          <w:bCs/>
          <w:sz w:val="24"/>
        </w:rPr>
        <w:t>1、磋商文件第五章内</w:t>
      </w:r>
      <w:r>
        <w:rPr>
          <w:rFonts w:hint="eastAsia" w:ascii="宋体" w:hAnsi="宋体" w:eastAsia="宋体" w:cs="Times New Roman"/>
          <w:b/>
          <w:bCs/>
          <w:sz w:val="24"/>
        </w:rPr>
        <w:t>容“</w:t>
      </w:r>
      <w:r>
        <w:rPr>
          <w:rFonts w:hint="eastAsia" w:ascii="宋体" w:hAnsi="宋体" w:eastAsia="宋体" w:cs="Times New Roman"/>
          <w:b/>
          <w:bCs/>
          <w:sz w:val="24"/>
          <w:lang w:eastAsia="zh-CN"/>
        </w:rPr>
        <w:t>一、</w:t>
      </w:r>
      <w:r>
        <w:rPr>
          <w:rFonts w:hint="eastAsia" w:ascii="宋体" w:hAnsi="宋体" w:eastAsia="宋体" w:cs="Times New Roman"/>
          <w:b/>
          <w:bCs/>
          <w:sz w:val="24"/>
        </w:rPr>
        <w:t>服务内容及要求”、“</w:t>
      </w:r>
      <w:r>
        <w:rPr>
          <w:rFonts w:hint="eastAsia" w:ascii="宋体" w:hAnsi="宋体" w:eastAsia="宋体" w:cs="Times New Roman"/>
          <w:b/>
          <w:bCs/>
          <w:sz w:val="24"/>
          <w:lang w:eastAsia="zh-CN"/>
        </w:rPr>
        <w:t>二、</w:t>
      </w:r>
      <w:r>
        <w:rPr>
          <w:rFonts w:hint="eastAsia" w:ascii="宋体" w:hAnsi="宋体" w:eastAsia="宋体" w:cs="Times New Roman"/>
          <w:b/>
          <w:bCs/>
          <w:sz w:val="24"/>
        </w:rPr>
        <w:t>商务要求”</w:t>
      </w:r>
      <w:r>
        <w:rPr>
          <w:rFonts w:hint="eastAsia" w:hAnsi="宋体"/>
          <w:b/>
          <w:bCs/>
          <w:sz w:val="24"/>
        </w:rPr>
        <w:t>。</w:t>
      </w:r>
    </w:p>
    <w:p>
      <w:pPr>
        <w:spacing w:line="360" w:lineRule="auto"/>
        <w:ind w:firstLine="241" w:firstLineChars="100"/>
        <w:jc w:val="left"/>
        <w:rPr>
          <w:rFonts w:hAnsi="宋体"/>
          <w:b/>
          <w:bCs/>
          <w:sz w:val="24"/>
        </w:rPr>
      </w:pPr>
      <w:r>
        <w:rPr>
          <w:rFonts w:hint="eastAsia" w:hAnsi="宋体"/>
          <w:b/>
          <w:bCs/>
          <w:sz w:val="24"/>
        </w:rPr>
        <w:t>2、合同主要条款。</w:t>
      </w:r>
    </w:p>
    <w:p>
      <w:pPr>
        <w:pStyle w:val="11"/>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rPr>
          <w:rFonts w:hint="eastAsia"/>
          <w:b/>
          <w:bCs/>
          <w:sz w:val="36"/>
          <w:szCs w:val="36"/>
        </w:rPr>
      </w:pPr>
      <w:r>
        <w:rPr>
          <w:rFonts w:hint="eastAsia" w:ascii="黑体" w:hAnsi="宋体" w:eastAsia="黑体"/>
          <w:b/>
          <w:bCs/>
          <w:sz w:val="32"/>
          <w:szCs w:val="32"/>
        </w:rPr>
        <w:br w:type="page"/>
      </w:r>
      <w:bookmarkStart w:id="117" w:name="_Toc30722"/>
      <w:bookmarkStart w:id="118" w:name="_Toc6624"/>
      <w:bookmarkStart w:id="119" w:name="_Toc24224"/>
      <w:bookmarkStart w:id="120" w:name="_Toc22815"/>
      <w:bookmarkStart w:id="121" w:name="_Toc9235"/>
      <w:r>
        <w:rPr>
          <w:rFonts w:hint="eastAsia"/>
          <w:b/>
          <w:bCs/>
          <w:sz w:val="36"/>
          <w:szCs w:val="36"/>
        </w:rPr>
        <w:t>第八章  响应文件格式</w:t>
      </w:r>
      <w:bookmarkEnd w:id="117"/>
      <w:bookmarkEnd w:id="118"/>
      <w:bookmarkEnd w:id="119"/>
      <w:bookmarkEnd w:id="120"/>
      <w:bookmarkEnd w:id="121"/>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w:t>
      </w:r>
      <w:r>
        <w:rPr>
          <w:rFonts w:hint="eastAsia"/>
          <w:sz w:val="24"/>
          <w:lang w:eastAsia="zh-CN"/>
        </w:rPr>
        <w:t>。</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11"/>
        <w:rPr>
          <w:rFonts w:hint="eastAsia"/>
        </w:rPr>
      </w:pPr>
    </w:p>
    <w:p>
      <w:pPr>
        <w:spacing w:line="360" w:lineRule="auto"/>
        <w:jc w:val="left"/>
        <w:rPr>
          <w:rFonts w:hAnsi="宋体" w:cs="宋体"/>
          <w:sz w:val="36"/>
        </w:rPr>
      </w:pP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11"/>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rPr>
          <w:rFonts w:hAnsi="宋体" w:cs="宋体"/>
          <w:sz w:val="36"/>
        </w:rPr>
      </w:pPr>
      <w:r>
        <w:rPr>
          <w:rFonts w:hAnsi="宋体" w:cs="宋体"/>
          <w:sz w:val="36"/>
        </w:rPr>
        <w:t>（资格响应文件或其他响应文件）</w:t>
      </w:r>
    </w:p>
    <w:p>
      <w:pPr>
        <w:jc w:val="center"/>
        <w:rPr>
          <w:rFonts w:hAnsi="宋体" w:cs="宋体"/>
          <w:sz w:val="32"/>
        </w:rPr>
      </w:pPr>
    </w:p>
    <w:p>
      <w:pPr>
        <w:jc w:val="center"/>
        <w:rPr>
          <w:rFonts w:hAnsi="宋体" w:cs="宋体"/>
          <w:sz w:val="32"/>
        </w:rPr>
      </w:pPr>
    </w:p>
    <w:p>
      <w:pPr>
        <w:ind w:firstLine="1920" w:firstLineChars="600"/>
        <w:jc w:val="left"/>
        <w:rPr>
          <w:rFonts w:hAnsi="宋体" w:cs="宋体"/>
          <w:sz w:val="32"/>
          <w:u w:val="single"/>
        </w:rPr>
      </w:pPr>
      <w:r>
        <w:rPr>
          <w:rFonts w:hAnsi="宋体" w:cs="宋体"/>
          <w:sz w:val="32"/>
        </w:rPr>
        <w:t>供应商名称：</w:t>
      </w:r>
    </w:p>
    <w:p>
      <w:pPr>
        <w:ind w:firstLine="640"/>
        <w:jc w:val="left"/>
        <w:rPr>
          <w:rFonts w:hAnsi="宋体" w:cs="宋体"/>
          <w:sz w:val="32"/>
        </w:rPr>
      </w:pPr>
    </w:p>
    <w:p>
      <w:pPr>
        <w:ind w:firstLine="1920" w:firstLineChars="600"/>
        <w:rPr>
          <w:rFonts w:hAnsi="宋体" w:cs="宋体"/>
          <w:sz w:val="32"/>
        </w:rPr>
      </w:pPr>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pPr>
      <w:r>
        <w:rPr>
          <w:rFonts w:hint="eastAsia" w:hAnsi="宋体" w:cs="宋体"/>
          <w:b/>
          <w:bCs/>
          <w:sz w:val="32"/>
          <w:szCs w:val="32"/>
        </w:rPr>
        <w:t xml:space="preserve">第一部分 </w:t>
      </w:r>
      <w:r>
        <w:rPr>
          <w:rFonts w:hAnsi="宋体" w:cs="宋体"/>
          <w:b/>
          <w:bCs/>
          <w:sz w:val="32"/>
          <w:szCs w:val="32"/>
        </w:rPr>
        <w:t>资格响应文件（格式）</w:t>
      </w:r>
    </w:p>
    <w:p>
      <w:pPr>
        <w:numPr>
          <w:ilvl w:val="0"/>
          <w:numId w:val="5"/>
        </w:numPr>
        <w:spacing w:line="360" w:lineRule="auto"/>
        <w:jc w:val="center"/>
        <w:rPr>
          <w:rFonts w:hAnsi="宋体" w:cs="宋体"/>
          <w:b/>
          <w:bCs/>
          <w:sz w:val="32"/>
          <w:szCs w:val="32"/>
        </w:rPr>
      </w:pPr>
      <w:r>
        <w:rPr>
          <w:rFonts w:hAnsi="宋体" w:cs="宋体"/>
          <w:b/>
          <w:bCs/>
          <w:sz w:val="32"/>
          <w:szCs w:val="32"/>
        </w:rPr>
        <w:t>供应商的资格证明文件</w:t>
      </w:r>
    </w:p>
    <w:p>
      <w:pPr>
        <w:pStyle w:val="5"/>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5"/>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74"/>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jc w:val="left"/>
        <w:rPr>
          <w:rFonts w:hAnsi="宋体"/>
          <w:sz w:val="24"/>
          <w:szCs w:val="24"/>
        </w:rPr>
      </w:pPr>
      <w:r>
        <w:rPr>
          <w:rFonts w:hint="eastAsia" w:hAnsi="宋体"/>
          <w:sz w:val="24"/>
          <w:szCs w:val="24"/>
        </w:rPr>
        <w:t>九</w:t>
      </w:r>
      <w:r>
        <w:rPr>
          <w:rFonts w:hAnsi="宋体"/>
          <w:sz w:val="24"/>
          <w:szCs w:val="24"/>
        </w:rPr>
        <w:t>、</w:t>
      </w:r>
      <w:r>
        <w:rPr>
          <w:rFonts w:hint="eastAsia"/>
          <w:sz w:val="24"/>
        </w:rPr>
        <w:t>我方</w:t>
      </w:r>
      <w:r>
        <w:rPr>
          <w:rFonts w:hAnsi="宋体"/>
          <w:sz w:val="24"/>
          <w:szCs w:val="24"/>
        </w:rPr>
        <w:t>将按照</w:t>
      </w:r>
      <w:r>
        <w:rPr>
          <w:rFonts w:hint="eastAsia" w:hAnsi="宋体"/>
          <w:sz w:val="24"/>
          <w:szCs w:val="24"/>
        </w:rPr>
        <w:t>《财政部关于进一步加强政府采购需求和履约验收管理的指导意见》(财库〔2016〕205 号)</w:t>
      </w:r>
      <w:r>
        <w:rPr>
          <w:rFonts w:hAnsi="宋体"/>
          <w:sz w:val="24"/>
          <w:szCs w:val="24"/>
        </w:rPr>
        <w:t>的规定并结合项目要求进行验收。</w:t>
      </w:r>
    </w:p>
    <w:p>
      <w:pPr>
        <w:spacing w:line="360" w:lineRule="auto"/>
        <w:ind w:firstLine="480" w:firstLineChars="200"/>
        <w:rPr>
          <w:rFonts w:hint="eastAsia" w:hAnsi="宋体"/>
          <w:sz w:val="24"/>
        </w:rPr>
      </w:pPr>
      <w:r>
        <w:rPr>
          <w:rFonts w:hint="eastAsia" w:hAnsi="宋体"/>
          <w:sz w:val="24"/>
        </w:rPr>
        <w:t>十、响应文件中提供的任何资料和技术、服务、商务等响应承诺情况都是真实的、有效的、合法的。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5"/>
        <w:spacing w:line="360" w:lineRule="auto"/>
        <w:ind w:left="680"/>
        <w:rPr>
          <w:bCs/>
          <w:sz w:val="24"/>
        </w:rPr>
      </w:pPr>
    </w:p>
    <w:p>
      <w:pPr>
        <w:pStyle w:val="15"/>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spacing w:before="0" w:after="0" w:line="360" w:lineRule="auto"/>
        <w:jc w:val="left"/>
        <w:rPr>
          <w:rFonts w:hAnsi="宋体" w:eastAsia="Times New Roman" w:cs="华文中宋"/>
          <w:sz w:val="24"/>
        </w:rPr>
      </w:pPr>
      <w:r>
        <w:rPr>
          <w:rFonts w:hAnsi="宋体" w:eastAsia="Times New Roman" w:cs="华文中宋"/>
          <w:sz w:val="24"/>
        </w:rPr>
        <w:t xml:space="preserve"> </w:t>
      </w:r>
    </w:p>
    <w:p>
      <w:pPr>
        <w:pStyle w:val="5"/>
        <w:spacing w:before="0" w:after="0" w:line="360" w:lineRule="auto"/>
        <w:jc w:val="left"/>
        <w:rPr>
          <w:rFonts w:hAnsi="宋体" w:eastAsia="Times New Roman" w:cs="华文中宋"/>
          <w:sz w:val="24"/>
        </w:rPr>
      </w:pPr>
    </w:p>
    <w:p>
      <w:pPr>
        <w:pStyle w:val="5"/>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11"/>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outlineLvl w:val="1"/>
        <w:rPr>
          <w:rFonts w:hint="eastAsia"/>
          <w:sz w:val="24"/>
        </w:rPr>
      </w:pPr>
    </w:p>
    <w:p>
      <w:pPr>
        <w:widowControl/>
        <w:spacing w:line="360" w:lineRule="auto"/>
        <w:ind w:firstLine="470" w:firstLineChars="196"/>
        <w:jc w:val="left"/>
        <w:outlineLvl w:val="1"/>
        <w:rPr>
          <w:rFonts w:hint="eastAsia"/>
          <w:sz w:val="24"/>
        </w:rPr>
      </w:pPr>
    </w:p>
    <w:p>
      <w:pPr>
        <w:widowControl/>
        <w:spacing w:line="360" w:lineRule="auto"/>
        <w:ind w:firstLine="470" w:firstLineChars="196"/>
        <w:jc w:val="left"/>
        <w:outlineLvl w:val="1"/>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eastAsia="宋体"/>
          <w:sz w:val="24"/>
          <w:u w:val="single"/>
          <w:lang w:eastAsia="zh-CN"/>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p>
    <w:p>
      <w:pPr>
        <w:spacing w:line="360" w:lineRule="auto"/>
        <w:ind w:left="775" w:leftChars="228"/>
        <w:rPr>
          <w:rFonts w:hint="eastAsia" w:eastAsia="宋体"/>
          <w:sz w:val="24"/>
          <w:u w:val="single"/>
          <w:lang w:eastAsia="zh-CN"/>
        </w:rPr>
      </w:pPr>
      <w:r>
        <w:rPr>
          <w:rFonts w:hint="eastAsia"/>
          <w:sz w:val="24"/>
        </w:rPr>
        <w:t>授权代表签字：</w:t>
      </w:r>
      <w:r>
        <w:rPr>
          <w:rFonts w:hint="eastAsia" w:hAnsi="宋体"/>
          <w:sz w:val="24"/>
          <w:u w:val="single"/>
        </w:rPr>
        <w:t xml:space="preserve">              </w:t>
      </w:r>
      <w:r>
        <w:rPr>
          <w:rFonts w:hint="eastAsia"/>
          <w:sz w:val="24"/>
          <w:u w:val="single"/>
        </w:rPr>
        <w:t xml:space="preserve">      </w:t>
      </w:r>
    </w:p>
    <w:p>
      <w:pPr>
        <w:spacing w:line="360" w:lineRule="auto"/>
        <w:ind w:left="775" w:leftChars="228"/>
        <w:rPr>
          <w:rFonts w:hint="eastAsia" w:hAnsi="宋体"/>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5"/>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rPr>
      </w:pPr>
      <w:r>
        <w:rPr>
          <w:rFonts w:hint="eastAsia" w:ascii="黑体" w:eastAsia="黑体"/>
          <w:b/>
          <w:sz w:val="32"/>
          <w:szCs w:val="32"/>
        </w:rPr>
        <w:t>法定代表人身份证明书</w:t>
      </w:r>
    </w:p>
    <w:p>
      <w:pPr>
        <w:spacing w:line="360" w:lineRule="auto"/>
        <w:jc w:val="center"/>
        <w:rPr>
          <w:rFonts w:hAnsi="宋体"/>
          <w:sz w:val="24"/>
        </w:rPr>
      </w:pPr>
    </w:p>
    <w:p>
      <w:pPr>
        <w:pStyle w:val="11"/>
        <w:rPr>
          <w:rFonts w:hint="eastAsia"/>
        </w:rPr>
      </w:pPr>
    </w:p>
    <w:p>
      <w:pPr>
        <w:spacing w:line="360" w:lineRule="auto"/>
        <w:ind w:left="775" w:leftChars="228"/>
        <w:rPr>
          <w:rFonts w:hint="eastAsia" w:hAnsi="宋体" w:eastAsia="宋体"/>
          <w:sz w:val="24"/>
          <w:u w:val="single"/>
          <w:lang w:eastAsia="zh-CN"/>
        </w:rPr>
      </w:pPr>
      <w:r>
        <w:rPr>
          <w:rFonts w:hint="eastAsia" w:hAnsi="宋体"/>
          <w:sz w:val="24"/>
        </w:rPr>
        <w:t>供应商名称：</w:t>
      </w:r>
      <w:r>
        <w:rPr>
          <w:rFonts w:hint="eastAsia" w:hAnsi="宋体"/>
          <w:sz w:val="24"/>
          <w:u w:val="single"/>
        </w:rPr>
        <w:t xml:space="preserve">                          </w:t>
      </w:r>
    </w:p>
    <w:p>
      <w:pPr>
        <w:spacing w:line="360" w:lineRule="auto"/>
        <w:ind w:left="775" w:leftChars="228"/>
        <w:rPr>
          <w:rFonts w:hint="eastAsia" w:hAnsi="宋体" w:eastAsia="宋体"/>
          <w:sz w:val="24"/>
          <w:lang w:eastAsia="zh-CN"/>
        </w:rPr>
      </w:pPr>
      <w:r>
        <w:rPr>
          <w:rFonts w:hint="eastAsia" w:hAnsi="宋体"/>
          <w:sz w:val="24"/>
        </w:rPr>
        <w:t>单位性质：</w:t>
      </w:r>
      <w:r>
        <w:rPr>
          <w:rFonts w:hint="eastAsia" w:hAnsi="宋体"/>
          <w:sz w:val="24"/>
          <w:u w:val="single"/>
        </w:rPr>
        <w:t xml:space="preserve">                            </w:t>
      </w:r>
      <w:r>
        <w:rPr>
          <w:rFonts w:hint="eastAsia" w:hAnsi="宋体"/>
          <w:sz w:val="24"/>
        </w:rPr>
        <w:t xml:space="preserve"> </w:t>
      </w:r>
    </w:p>
    <w:p>
      <w:pPr>
        <w:spacing w:line="360" w:lineRule="auto"/>
        <w:ind w:left="775" w:leftChars="228"/>
        <w:rPr>
          <w:rFonts w:hint="eastAsia" w:hAnsi="宋体" w:eastAsia="宋体"/>
          <w:sz w:val="24"/>
          <w:lang w:eastAsia="zh-CN"/>
        </w:rPr>
      </w:pPr>
      <w:r>
        <w:rPr>
          <w:rFonts w:hint="eastAsia" w:hAnsi="宋体"/>
          <w:sz w:val="24"/>
        </w:rPr>
        <w:t>地址：</w:t>
      </w:r>
      <w:r>
        <w:rPr>
          <w:rFonts w:hint="eastAsia" w:hAnsi="宋体"/>
          <w:sz w:val="24"/>
          <w:u w:val="single"/>
        </w:rPr>
        <w:t xml:space="preserve">                               </w:t>
      </w:r>
      <w:r>
        <w:rPr>
          <w:rFonts w:hint="eastAsia" w:hAnsi="宋体"/>
          <w:sz w:val="24"/>
        </w:rPr>
        <w:t xml:space="preserve">    </w:t>
      </w:r>
    </w:p>
    <w:p>
      <w:pPr>
        <w:spacing w:line="360" w:lineRule="auto"/>
        <w:ind w:left="775" w:leftChars="228"/>
        <w:rPr>
          <w:rFonts w:hint="eastAsia" w:hAnsi="宋体"/>
          <w:sz w:val="24"/>
          <w:szCs w:val="22"/>
        </w:rPr>
      </w:pPr>
      <w:r>
        <w:rPr>
          <w:rFonts w:hint="eastAsia" w:hAnsi="宋体"/>
          <w:sz w:val="24"/>
          <w:szCs w:val="22"/>
        </w:rPr>
        <w:t>成立时间：      年        月          日</w:t>
      </w:r>
    </w:p>
    <w:p>
      <w:pPr>
        <w:spacing w:line="360" w:lineRule="auto"/>
        <w:ind w:left="775" w:leftChars="228"/>
        <w:rPr>
          <w:rFonts w:hint="eastAsia" w:hAnsi="宋体" w:eastAsia="宋体"/>
          <w:sz w:val="24"/>
          <w:lang w:eastAsia="zh-CN"/>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p>
    <w:p>
      <w:pPr>
        <w:pStyle w:val="11"/>
        <w:rPr>
          <w:rFonts w:hint="eastAsia"/>
          <w:lang w:eastAsia="zh-CN"/>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11"/>
        <w:rPr>
          <w:rFonts w:hint="eastAsia"/>
        </w:rPr>
      </w:pPr>
    </w:p>
    <w:tbl>
      <w:tblPr>
        <w:tblStyle w:val="25"/>
        <w:tblW w:w="928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vAlign w:val="center"/>
          </w:tcPr>
          <w:p>
            <w:pPr>
              <w:autoSpaceDE w:val="0"/>
              <w:autoSpaceDN w:val="0"/>
              <w:adjustRightInd w:val="0"/>
              <w:spacing w:line="400" w:lineRule="exact"/>
              <w:jc w:val="center"/>
              <w:rPr>
                <w:rFonts w:hint="eastAsia" w:hAnsi="宋体"/>
                <w:sz w:val="22"/>
                <w:szCs w:val="22"/>
              </w:rPr>
            </w:pPr>
          </w:p>
        </w:tc>
        <w:tc>
          <w:tcPr>
            <w:tcW w:w="1437"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52" w:type="dxa"/>
            <w:vMerge w:val="continue"/>
            <w:vAlign w:val="center"/>
          </w:tcPr>
          <w:p>
            <w:pPr>
              <w:autoSpaceDE w:val="0"/>
              <w:autoSpaceDN w:val="0"/>
              <w:adjustRightInd w:val="0"/>
              <w:spacing w:line="400" w:lineRule="exact"/>
              <w:jc w:val="center"/>
              <w:rPr>
                <w:rFonts w:hint="eastAsia" w:hAnsi="宋体"/>
                <w:sz w:val="22"/>
                <w:szCs w:val="22"/>
              </w:rPr>
            </w:pP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vAlign w:val="center"/>
          </w:tcPr>
          <w:p>
            <w:pPr>
              <w:autoSpaceDE w:val="0"/>
              <w:autoSpaceDN w:val="0"/>
              <w:adjustRightInd w:val="0"/>
              <w:spacing w:line="400" w:lineRule="exact"/>
              <w:jc w:val="center"/>
              <w:rPr>
                <w:rFonts w:hint="eastAsia" w:hAnsi="宋体"/>
                <w:sz w:val="22"/>
                <w:szCs w:val="22"/>
              </w:rPr>
            </w:pPr>
          </w:p>
        </w:tc>
        <w:tc>
          <w:tcPr>
            <w:tcW w:w="1445"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vAlign w:val="center"/>
          </w:tcPr>
          <w:p>
            <w:pPr>
              <w:autoSpaceDE w:val="0"/>
              <w:autoSpaceDN w:val="0"/>
              <w:adjustRightInd w:val="0"/>
              <w:spacing w:line="400" w:lineRule="exact"/>
              <w:jc w:val="center"/>
              <w:rPr>
                <w:rFonts w:hint="eastAsia" w:hAnsi="宋体"/>
                <w:sz w:val="22"/>
                <w:szCs w:val="22"/>
              </w:rPr>
            </w:pPr>
          </w:p>
        </w:tc>
        <w:tc>
          <w:tcPr>
            <w:tcW w:w="1360"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vAlign w:val="center"/>
          </w:tcPr>
          <w:p>
            <w:pPr>
              <w:autoSpaceDE w:val="0"/>
              <w:autoSpaceDN w:val="0"/>
              <w:adjustRightInd w:val="0"/>
              <w:spacing w:line="400" w:lineRule="exact"/>
              <w:jc w:val="center"/>
              <w:rPr>
                <w:rFonts w:hint="eastAsia" w:hAnsi="宋体"/>
                <w:sz w:val="22"/>
                <w:szCs w:val="22"/>
              </w:rPr>
            </w:pPr>
          </w:p>
        </w:tc>
        <w:tc>
          <w:tcPr>
            <w:tcW w:w="1277" w:type="dxa"/>
            <w:gridSpan w:val="2"/>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5245" w:type="dxa"/>
            <w:gridSpan w:val="6"/>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restart"/>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vAlign w:val="center"/>
          </w:tcPr>
          <w:p>
            <w:pPr>
              <w:autoSpaceDE w:val="0"/>
              <w:autoSpaceDN w:val="0"/>
              <w:adjustRightInd w:val="0"/>
              <w:spacing w:line="400" w:lineRule="exact"/>
              <w:jc w:val="center"/>
              <w:rPr>
                <w:rFonts w:hint="eastAsia" w:hAnsi="宋体"/>
                <w:sz w:val="22"/>
                <w:szCs w:val="22"/>
              </w:rPr>
            </w:pPr>
          </w:p>
        </w:tc>
        <w:tc>
          <w:tcPr>
            <w:tcW w:w="1360" w:type="dxa"/>
            <w:vMerge w:val="continue"/>
            <w:vAlign w:val="center"/>
          </w:tcPr>
          <w:p>
            <w:pPr>
              <w:autoSpaceDE w:val="0"/>
              <w:autoSpaceDN w:val="0"/>
              <w:adjustRightInd w:val="0"/>
              <w:spacing w:line="400" w:lineRule="exact"/>
              <w:jc w:val="center"/>
              <w:rPr>
                <w:rFonts w:hint="eastAsia" w:hAnsi="宋体"/>
                <w:sz w:val="22"/>
                <w:szCs w:val="22"/>
              </w:rPr>
            </w:pPr>
          </w:p>
        </w:tc>
        <w:tc>
          <w:tcPr>
            <w:tcW w:w="1619" w:type="dxa"/>
            <w:gridSpan w:val="3"/>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31" w:hRule="atLeast"/>
          <w:jc w:val="center"/>
        </w:trPr>
        <w:tc>
          <w:tcPr>
            <w:tcW w:w="1652" w:type="dxa"/>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52" w:type="dxa"/>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pStyle w:val="11"/>
        <w:jc w:val="both"/>
        <w:rPr>
          <w:rFonts w:hint="default" w:hAnsi="宋体" w:eastAsia="宋体" w:cs="宋体"/>
          <w:b/>
          <w:bCs/>
          <w:kern w:val="2"/>
          <w:sz w:val="32"/>
          <w:szCs w:val="32"/>
          <w:lang w:val="en-US" w:eastAsia="zh-CN"/>
        </w:rPr>
      </w:pPr>
      <w:r>
        <w:rPr>
          <w:rFonts w:hint="eastAsia" w:ascii="黑体" w:eastAsia="黑体"/>
          <w:b/>
          <w:sz w:val="32"/>
          <w:szCs w:val="32"/>
        </w:rPr>
        <w:br w:type="page"/>
      </w:r>
      <w:r>
        <w:rPr>
          <w:rFonts w:hAnsi="宋体" w:cs="宋体"/>
          <w:b/>
          <w:bCs/>
          <w:kern w:val="2"/>
          <w:sz w:val="32"/>
          <w:szCs w:val="32"/>
        </w:rPr>
        <w:t>附件1-</w:t>
      </w:r>
      <w:r>
        <w:rPr>
          <w:rFonts w:hint="eastAsia" w:hAnsi="宋体" w:cs="宋体"/>
          <w:b/>
          <w:bCs/>
          <w:kern w:val="2"/>
          <w:sz w:val="32"/>
          <w:szCs w:val="32"/>
          <w:lang w:val="en-US" w:eastAsia="zh-CN"/>
        </w:rPr>
        <w:t>4-1</w:t>
      </w:r>
    </w:p>
    <w:p>
      <w:pPr>
        <w:pStyle w:val="11"/>
        <w:jc w:val="center"/>
        <w:rPr>
          <w:rFonts w:hint="eastAsia" w:hAnsi="宋体" w:cs="华文中宋"/>
          <w:b/>
          <w:bCs/>
          <w:szCs w:val="22"/>
        </w:rPr>
      </w:pPr>
      <w:r>
        <w:rPr>
          <w:rFonts w:hint="eastAsia" w:hAnsi="宋体" w:cs="华文中宋"/>
          <w:b/>
          <w:bCs/>
          <w:szCs w:val="22"/>
        </w:rPr>
        <w:t>中小企业声明函</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本公司郑重声明，根据《政府采购促进中小企业发展管理办法》（财库﹝2020﹞46 号）的规定，本公司参加</w:t>
      </w:r>
      <w:r>
        <w:rPr>
          <w:rFonts w:hint="eastAsia" w:hAnsi="宋体" w:cs="宋体"/>
          <w:sz w:val="24"/>
          <w:szCs w:val="24"/>
          <w:u w:val="single"/>
        </w:rPr>
        <w:t xml:space="preserve">             </w:t>
      </w:r>
      <w:r>
        <w:rPr>
          <w:rFonts w:hAnsi="宋体" w:cs="宋体"/>
          <w:sz w:val="24"/>
          <w:szCs w:val="24"/>
        </w:rPr>
        <w:t>（单位名称）的</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（项目名称）采购活动，服务全部由符合政策要求的中小企业承接。相关企业（含联合 体中的中小企业、签订分包意向协议的中小企业）的具体情况如下： </w:t>
      </w:r>
    </w:p>
    <w:p>
      <w:pPr>
        <w:widowControl/>
        <w:numPr>
          <w:ilvl w:val="0"/>
          <w:numId w:val="6"/>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名称），属于</w:t>
      </w:r>
      <w:r>
        <w:rPr>
          <w:rFonts w:hint="eastAsia" w:hAnsi="宋体" w:cs="宋体"/>
          <w:sz w:val="24"/>
          <w:szCs w:val="24"/>
        </w:rPr>
        <w:t>其他未列明</w:t>
      </w:r>
      <w:r>
        <w:rPr>
          <w:rFonts w:hAnsi="宋体" w:cs="宋体"/>
          <w:sz w:val="24"/>
          <w:szCs w:val="24"/>
        </w:rPr>
        <w:t>行业；承建（承接）企业为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（中型企业、小型企业、微型企业）； </w:t>
      </w:r>
    </w:p>
    <w:p>
      <w:pPr>
        <w:widowControl/>
        <w:numPr>
          <w:ilvl w:val="0"/>
          <w:numId w:val="6"/>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名称），属于</w:t>
      </w:r>
      <w:r>
        <w:rPr>
          <w:rFonts w:hint="eastAsia" w:hAnsi="宋体" w:cs="宋体"/>
          <w:sz w:val="24"/>
          <w:szCs w:val="24"/>
        </w:rPr>
        <w:t>其他未列明</w:t>
      </w:r>
      <w:r>
        <w:rPr>
          <w:rFonts w:hAnsi="宋体" w:cs="宋体"/>
          <w:sz w:val="24"/>
          <w:szCs w:val="24"/>
        </w:rPr>
        <w:t>行业；承建（承接）企业为</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（中型企业、小型企业、微型企业）； </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 </w:t>
      </w:r>
    </w:p>
    <w:p>
      <w:pPr>
        <w:widowControl/>
        <w:spacing w:after="150" w:line="360" w:lineRule="auto"/>
        <w:ind w:firstLine="720" w:firstLineChars="300"/>
        <w:jc w:val="left"/>
        <w:rPr>
          <w:rFonts w:hAnsi="宋体" w:cs="宋体"/>
          <w:sz w:val="24"/>
          <w:szCs w:val="24"/>
        </w:rPr>
      </w:pPr>
      <w:r>
        <w:rPr>
          <w:rFonts w:hAnsi="宋体" w:cs="宋体"/>
          <w:sz w:val="24"/>
          <w:szCs w:val="24"/>
          <w:highlight w:val="none"/>
        </w:rPr>
        <w:t>以上</w:t>
      </w:r>
      <w:r>
        <w:rPr>
          <w:rFonts w:hAnsi="宋体" w:cs="宋体"/>
          <w:sz w:val="24"/>
          <w:szCs w:val="24"/>
        </w:rPr>
        <w:t xml:space="preserve">企业，不属于大企业的分支机构，不存在控股股东为大企业的情形，也不存在与大企业的负责人为同一人的情形。本企业对上述声明内容的真实性负责。如有虚假，将依法承担相应责任。 </w:t>
      </w:r>
    </w:p>
    <w:p>
      <w:pPr>
        <w:widowControl/>
        <w:spacing w:after="150" w:line="360" w:lineRule="auto"/>
        <w:ind w:firstLine="5040" w:firstLineChars="2100"/>
        <w:jc w:val="left"/>
        <w:rPr>
          <w:rFonts w:hAnsi="宋体" w:cs="宋体"/>
          <w:sz w:val="24"/>
          <w:szCs w:val="24"/>
        </w:rPr>
      </w:pPr>
      <w:r>
        <w:rPr>
          <w:rFonts w:hAnsi="宋体" w:cs="宋体"/>
          <w:sz w:val="24"/>
          <w:szCs w:val="24"/>
        </w:rPr>
        <w:t>企业名称（盖章）：</w:t>
      </w:r>
    </w:p>
    <w:p>
      <w:pPr>
        <w:widowControl/>
        <w:spacing w:after="150" w:line="360" w:lineRule="auto"/>
        <w:ind w:firstLine="720" w:firstLineChars="300"/>
        <w:jc w:val="left"/>
        <w:rPr>
          <w:rFonts w:hint="eastAsia" w:hAnsi="宋体" w:cs="宋体"/>
          <w:sz w:val="24"/>
          <w:szCs w:val="24"/>
        </w:rPr>
      </w:pPr>
      <w:r>
        <w:rPr>
          <w:rFonts w:hAnsi="宋体" w:cs="宋体"/>
          <w:sz w:val="24"/>
          <w:szCs w:val="24"/>
        </w:rPr>
        <w:t xml:space="preserve"> </w:t>
      </w:r>
      <w:r>
        <w:rPr>
          <w:rFonts w:hint="eastAsia" w:hAnsi="宋体" w:cs="宋体"/>
          <w:sz w:val="24"/>
          <w:szCs w:val="24"/>
        </w:rPr>
        <w:t xml:space="preserve">                                   </w:t>
      </w:r>
      <w:r>
        <w:rPr>
          <w:rFonts w:hAnsi="宋体" w:cs="宋体"/>
          <w:sz w:val="24"/>
          <w:szCs w:val="24"/>
        </w:rPr>
        <w:t xml:space="preserve">日 期： </w:t>
      </w:r>
      <w:r>
        <w:rPr>
          <w:rFonts w:hint="eastAsia" w:hAnsi="宋体" w:cs="宋体"/>
          <w:sz w:val="24"/>
          <w:szCs w:val="24"/>
        </w:rPr>
        <w:t xml:space="preserve"> </w:t>
      </w:r>
    </w:p>
    <w:p>
      <w:pPr>
        <w:widowControl/>
        <w:spacing w:after="150"/>
        <w:jc w:val="left"/>
        <w:rPr>
          <w:rFonts w:hAnsi="宋体"/>
          <w:b/>
          <w:bCs/>
          <w:sz w:val="21"/>
          <w:szCs w:val="21"/>
        </w:rPr>
      </w:pPr>
      <w:r>
        <w:rPr>
          <w:rFonts w:hint="eastAsia" w:hAnsi="宋体" w:cs="华文中宋"/>
          <w:b/>
          <w:bCs/>
          <w:sz w:val="21"/>
          <w:szCs w:val="21"/>
        </w:rPr>
        <w:t>注：1.供应商符合《工业和信息化部、国家统计局、国家发展和改革委员会、财政局关于印发中小企业划型标准规定的通知》（工信部联企业（2011）300号）规定的划分标准</w:t>
      </w:r>
      <w:r>
        <w:rPr>
          <w:rFonts w:hint="eastAsia" w:hAnsi="宋体"/>
          <w:b/>
          <w:bCs/>
          <w:sz w:val="21"/>
          <w:szCs w:val="21"/>
        </w:rPr>
        <w:t>。</w:t>
      </w:r>
    </w:p>
    <w:p>
      <w:pPr>
        <w:widowControl/>
        <w:spacing w:after="150"/>
        <w:ind w:firstLine="211" w:firstLineChars="100"/>
        <w:jc w:val="left"/>
        <w:rPr>
          <w:rFonts w:hint="eastAsia" w:hAnsi="宋体" w:cs="华文中宋"/>
          <w:b/>
          <w:bCs/>
          <w:sz w:val="21"/>
          <w:szCs w:val="21"/>
        </w:rPr>
      </w:pPr>
      <w:r>
        <w:rPr>
          <w:rFonts w:hint="eastAsia" w:hAnsi="宋体" w:cs="华文中宋"/>
          <w:b/>
          <w:bCs/>
          <w:sz w:val="21"/>
          <w:szCs w:val="21"/>
        </w:rPr>
        <w:t>2.如未提供中小企业声明函或签字盖章不符合磋商文件要求的，则</w:t>
      </w:r>
      <w:r>
        <w:rPr>
          <w:rFonts w:hint="eastAsia" w:hAnsi="宋体" w:cs="华文中宋"/>
          <w:b/>
          <w:bCs/>
          <w:sz w:val="21"/>
          <w:szCs w:val="21"/>
          <w:lang w:eastAsia="zh-CN"/>
        </w:rPr>
        <w:t>响应文件做无效处理</w:t>
      </w:r>
      <w:r>
        <w:rPr>
          <w:rFonts w:hint="eastAsia" w:hAnsi="宋体" w:cs="华文中宋"/>
          <w:b/>
          <w:bCs/>
          <w:sz w:val="21"/>
          <w:szCs w:val="21"/>
        </w:rPr>
        <w:t>。</w:t>
      </w:r>
    </w:p>
    <w:p>
      <w:pPr>
        <w:widowControl/>
        <w:spacing w:after="150"/>
        <w:ind w:firstLine="211" w:firstLineChars="100"/>
        <w:jc w:val="left"/>
      </w:pPr>
      <w:r>
        <w:rPr>
          <w:rFonts w:hint="eastAsia" w:hAnsi="宋体" w:cs="华文中宋"/>
          <w:b/>
          <w:bCs/>
          <w:sz w:val="21"/>
          <w:szCs w:val="21"/>
        </w:rPr>
        <w:t>3.从业人员、营业收入、资产总额填报上一年度数据，无上一年度数据的新成立企业可不填报。</w:t>
      </w:r>
    </w:p>
    <w:p>
      <w:pPr>
        <w:spacing w:line="588" w:lineRule="exact"/>
        <w:jc w:val="left"/>
        <w:rPr>
          <w:rFonts w:hint="eastAsia"/>
          <w:sz w:val="24"/>
        </w:rPr>
      </w:pPr>
    </w:p>
    <w:p>
      <w:pPr>
        <w:pStyle w:val="11"/>
        <w:rPr>
          <w:rFonts w:hint="eastAsia"/>
        </w:rPr>
      </w:pPr>
    </w:p>
    <w:p>
      <w:pPr>
        <w:spacing w:line="588" w:lineRule="exact"/>
        <w:jc w:val="left"/>
        <w:rPr>
          <w:rFonts w:hint="eastAsia" w:ascii="仿宋_GB2312" w:eastAsia="仿宋_GB2312"/>
          <w:b/>
          <w:spacing w:val="6"/>
          <w:sz w:val="32"/>
          <w:szCs w:val="32"/>
        </w:rPr>
      </w:pPr>
      <w:r>
        <w:rPr>
          <w:rFonts w:hint="eastAsia"/>
          <w:sz w:val="24"/>
        </w:rPr>
        <w:t xml:space="preserve"> </w:t>
      </w:r>
      <w:r>
        <w:rPr>
          <w:rFonts w:hint="eastAsia" w:ascii="黑体" w:eastAsia="黑体"/>
          <w:b/>
          <w:sz w:val="32"/>
          <w:szCs w:val="32"/>
        </w:rPr>
        <w:t>附件</w:t>
      </w:r>
      <w:r>
        <w:rPr>
          <w:rFonts w:hint="eastAsia" w:ascii="黑体" w:eastAsia="黑体"/>
          <w:b/>
          <w:sz w:val="32"/>
          <w:szCs w:val="32"/>
          <w:lang w:val="en-US" w:eastAsia="zh-CN"/>
        </w:rPr>
        <w:t>1</w:t>
      </w:r>
      <w:r>
        <w:rPr>
          <w:rFonts w:hint="eastAsia" w:ascii="黑体" w:eastAsia="黑体"/>
          <w:b/>
          <w:sz w:val="32"/>
          <w:szCs w:val="32"/>
        </w:rPr>
        <w:t>-</w:t>
      </w:r>
      <w:r>
        <w:rPr>
          <w:rFonts w:hint="eastAsia" w:ascii="黑体" w:eastAsia="黑体"/>
          <w:b/>
          <w:sz w:val="32"/>
          <w:szCs w:val="32"/>
          <w:lang w:val="en-US" w:eastAsia="zh-CN"/>
        </w:rPr>
        <w:t>4</w:t>
      </w:r>
      <w:r>
        <w:rPr>
          <w:rFonts w:hint="eastAsia" w:ascii="黑体"/>
          <w:b/>
          <w:sz w:val="32"/>
          <w:szCs w:val="32"/>
        </w:rPr>
        <w:t>-2</w:t>
      </w:r>
    </w:p>
    <w:p>
      <w:pPr>
        <w:pStyle w:val="5"/>
        <w:spacing w:line="400" w:lineRule="exact"/>
        <w:jc w:val="center"/>
        <w:rPr>
          <w:rFonts w:ascii="宋体" w:hAnsi="宋体" w:eastAsia="宋体" w:cs="华文中宋"/>
        </w:rPr>
      </w:pPr>
      <w:r>
        <w:rPr>
          <w:rFonts w:ascii="宋体" w:hAnsi="宋体" w:eastAsia="宋体" w:cs="华文中宋"/>
        </w:rPr>
        <w:t>残疾人福利性单位声明函</w:t>
      </w:r>
    </w:p>
    <w:p>
      <w:pPr>
        <w:jc w:val="center"/>
      </w:pPr>
    </w:p>
    <w:p>
      <w:pPr>
        <w:jc w:val="center"/>
      </w:pP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sz w:val="24"/>
          <w:szCs w:val="24"/>
        </w:rPr>
      </w:pPr>
    </w:p>
    <w:p>
      <w:pPr>
        <w:spacing w:line="588" w:lineRule="exact"/>
        <w:ind w:firstLine="624" w:firstLineChars="200"/>
        <w:rPr>
          <w:rFonts w:ascii="仿宋_GB2312" w:eastAsia="仿宋_GB2312"/>
          <w:spacing w:val="6"/>
          <w:sz w:val="30"/>
          <w:szCs w:val="30"/>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b/>
          <w:bCs/>
          <w:sz w:val="18"/>
          <w:szCs w:val="18"/>
        </w:rPr>
      </w:pPr>
    </w:p>
    <w:p>
      <w:pPr>
        <w:rPr>
          <w:rFonts w:hint="eastAsia"/>
          <w:b/>
          <w:bCs/>
          <w:sz w:val="18"/>
          <w:szCs w:val="18"/>
        </w:rPr>
      </w:pPr>
    </w:p>
    <w:p>
      <w:pPr>
        <w:rPr>
          <w:rFonts w:hint="eastAsia"/>
          <w:b/>
          <w:bCs/>
          <w:sz w:val="18"/>
          <w:szCs w:val="18"/>
        </w:rPr>
      </w:pPr>
    </w:p>
    <w:p>
      <w:pPr>
        <w:pStyle w:val="7"/>
        <w:rPr>
          <w:rFonts w:hint="eastAsia"/>
          <w:b w:val="0"/>
          <w:bCs w:val="0"/>
          <w:sz w:val="18"/>
          <w:szCs w:val="18"/>
        </w:rPr>
      </w:pPr>
    </w:p>
    <w:p>
      <w:pPr>
        <w:widowControl/>
        <w:spacing w:after="150"/>
        <w:jc w:val="left"/>
        <w:rPr>
          <w:rFonts w:hint="eastAsia" w:ascii="宋体" w:hAnsi="宋体" w:eastAsia="宋体" w:cs="华文中宋"/>
          <w:b/>
          <w:bCs/>
          <w:sz w:val="21"/>
          <w:szCs w:val="21"/>
        </w:rPr>
      </w:pPr>
      <w:r>
        <w:rPr>
          <w:rFonts w:hint="eastAsia" w:ascii="宋体" w:hAnsi="宋体" w:eastAsia="宋体" w:cs="华文中宋"/>
          <w:b/>
          <w:bCs/>
          <w:sz w:val="21"/>
          <w:szCs w:val="21"/>
          <w:lang w:eastAsia="zh-CN"/>
        </w:rPr>
        <w:t>注：</w:t>
      </w:r>
      <w:r>
        <w:rPr>
          <w:rFonts w:hint="eastAsia" w:ascii="宋体" w:hAnsi="宋体" w:eastAsia="宋体" w:cs="华文中宋"/>
          <w:b/>
          <w:bCs/>
          <w:sz w:val="21"/>
          <w:szCs w:val="21"/>
          <w:lang w:val="en-US" w:eastAsia="zh-CN"/>
        </w:rPr>
        <w:t>1、</w:t>
      </w:r>
      <w:r>
        <w:rPr>
          <w:rFonts w:hint="eastAsia" w:ascii="宋体" w:hAnsi="宋体" w:eastAsia="宋体" w:cs="华文中宋"/>
          <w:b/>
          <w:bCs/>
          <w:sz w:val="21"/>
          <w:szCs w:val="21"/>
        </w:rPr>
        <w:t>残疾人福利性单位视同小型、微型企业，享受预留份额、评审中价格扣除等促进中小企业发展的政府采购政策。残疾人福利性单位属于小型、微型企业的，不重复享受政策。</w:t>
      </w:r>
    </w:p>
    <w:p>
      <w:pPr>
        <w:widowControl/>
        <w:spacing w:after="150"/>
        <w:ind w:firstLine="422" w:firstLineChars="200"/>
        <w:jc w:val="left"/>
        <w:rPr>
          <w:rFonts w:hint="eastAsia" w:ascii="宋体" w:hAnsi="宋体" w:eastAsia="宋体" w:cs="华文中宋"/>
          <w:b/>
          <w:bCs/>
          <w:sz w:val="21"/>
          <w:szCs w:val="21"/>
        </w:rPr>
      </w:pPr>
      <w:r>
        <w:rPr>
          <w:rFonts w:hint="eastAsia" w:ascii="宋体" w:hAnsi="宋体" w:eastAsia="宋体" w:cs="华文中宋"/>
          <w:b/>
          <w:bCs/>
          <w:sz w:val="21"/>
          <w:szCs w:val="21"/>
          <w:lang w:val="en-US" w:eastAsia="zh-CN"/>
        </w:rPr>
        <w:t>2、</w:t>
      </w:r>
      <w:r>
        <w:rPr>
          <w:rFonts w:hint="eastAsia" w:ascii="宋体" w:hAnsi="宋体" w:eastAsia="宋体" w:cs="华文中宋"/>
          <w:b/>
          <w:bCs/>
          <w:sz w:val="21"/>
          <w:szCs w:val="21"/>
        </w:rPr>
        <w:t>供应商为非残疾人福利性单位的，可不提供此声明。</w:t>
      </w:r>
    </w:p>
    <w:p>
      <w:pPr>
        <w:rPr>
          <w:rFonts w:hint="eastAsia"/>
        </w:rPr>
      </w:pPr>
    </w:p>
    <w:p>
      <w:pPr>
        <w:spacing w:line="400" w:lineRule="exact"/>
        <w:rPr>
          <w:rFonts w:hint="eastAsia" w:hAnsi="宋体" w:eastAsia="宋体" w:cs="宋体"/>
          <w:b/>
          <w:bCs/>
          <w:kern w:val="2"/>
          <w:sz w:val="32"/>
          <w:szCs w:val="32"/>
          <w:lang w:eastAsia="zh-CN"/>
        </w:rPr>
      </w:pPr>
      <w:r>
        <w:rPr>
          <w:rFonts w:hint="eastAsia" w:hAnsi="宋体" w:cs="华文中宋"/>
          <w:b/>
          <w:bCs/>
          <w:sz w:val="21"/>
          <w:szCs w:val="21"/>
        </w:rPr>
        <w:br w:type="page"/>
      </w:r>
      <w:r>
        <w:rPr>
          <w:rFonts w:hint="eastAsia" w:hAnsi="宋体" w:cs="宋体"/>
          <w:b/>
          <w:bCs/>
          <w:kern w:val="2"/>
          <w:sz w:val="32"/>
          <w:szCs w:val="32"/>
        </w:rPr>
        <w:t>附件1-</w:t>
      </w:r>
      <w:r>
        <w:rPr>
          <w:rFonts w:hint="eastAsia" w:hAnsi="宋体" w:cs="宋体"/>
          <w:b/>
          <w:bCs/>
          <w:kern w:val="2"/>
          <w:sz w:val="32"/>
          <w:szCs w:val="32"/>
          <w:lang w:val="en-US" w:eastAsia="zh-CN"/>
        </w:rPr>
        <w:t>5</w:t>
      </w:r>
    </w:p>
    <w:p>
      <w:pPr>
        <w:rPr>
          <w:rFonts w:hint="eastAsia" w:ascii="黑体" w:eastAsia="黑体"/>
          <w:b/>
          <w:sz w:val="32"/>
          <w:szCs w:val="32"/>
        </w:rPr>
      </w:pPr>
    </w:p>
    <w:p>
      <w:pPr>
        <w:ind w:firstLine="643" w:firstLineChars="200"/>
        <w:rPr>
          <w:rFonts w:hint="eastAsia" w:ascii="黑体" w:eastAsia="黑体"/>
          <w:b/>
          <w:sz w:val="32"/>
          <w:szCs w:val="32"/>
        </w:rPr>
      </w:pPr>
      <w:r>
        <w:rPr>
          <w:rFonts w:hint="eastAsia" w:ascii="黑体" w:eastAsia="黑体"/>
          <w:b/>
          <w:sz w:val="32"/>
          <w:szCs w:val="32"/>
        </w:rPr>
        <w:t>供应商按照本磋商文件第四章要求应当提供的资格证明材料</w:t>
      </w:r>
    </w:p>
    <w:p>
      <w:pPr>
        <w:spacing w:line="360" w:lineRule="auto"/>
        <w:ind w:firstLine="790" w:firstLineChars="246"/>
        <w:jc w:val="center"/>
        <w:rPr>
          <w:rFonts w:hint="eastAsia" w:ascii="黑体" w:eastAsia="黑体"/>
          <w:b/>
          <w:sz w:val="32"/>
          <w:szCs w:val="32"/>
        </w:rPr>
      </w:pPr>
    </w:p>
    <w:p>
      <w:pPr>
        <w:rPr>
          <w:rFonts w:hint="eastAsia" w:hAnsi="宋体" w:cs="宋体"/>
          <w:b/>
          <w:sz w:val="21"/>
          <w:szCs w:val="21"/>
        </w:rPr>
      </w:pPr>
      <w:r>
        <w:rPr>
          <w:rFonts w:hint="eastAsia" w:hAnsi="宋体" w:cs="宋体"/>
          <w:b/>
          <w:sz w:val="21"/>
          <w:szCs w:val="21"/>
        </w:rPr>
        <w:t>注：供应商应按磋商文件第四章相关要求提供佐证材料，有格式要求的从其要求，无格式要求的格式自拟。</w:t>
      </w: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680" w:firstLine="643" w:firstLineChars="200"/>
        <w:jc w:val="center"/>
        <w:rPr>
          <w:rFonts w:hint="eastAsia"/>
          <w:b/>
          <w:sz w:val="32"/>
          <w:szCs w:val="32"/>
        </w:rPr>
      </w:pPr>
    </w:p>
    <w:p>
      <w:pPr>
        <w:pStyle w:val="15"/>
        <w:spacing w:line="360" w:lineRule="auto"/>
        <w:ind w:left="0" w:leftChars="0"/>
        <w:jc w:val="left"/>
        <w:rPr>
          <w:rFonts w:hint="eastAsia" w:eastAsia="宋体"/>
          <w:b/>
          <w:sz w:val="32"/>
          <w:szCs w:val="32"/>
          <w:lang w:eastAsia="zh-CN"/>
        </w:rPr>
      </w:pPr>
      <w:r>
        <w:rPr>
          <w:rFonts w:hint="eastAsia" w:hAnsi="宋体" w:cs="宋体"/>
          <w:b/>
          <w:bCs/>
          <w:kern w:val="2"/>
          <w:sz w:val="32"/>
          <w:szCs w:val="32"/>
        </w:rPr>
        <w:t>附件1-</w:t>
      </w:r>
      <w:r>
        <w:rPr>
          <w:rFonts w:hint="eastAsia" w:hAnsi="宋体" w:cs="宋体"/>
          <w:b/>
          <w:bCs/>
          <w:kern w:val="2"/>
          <w:sz w:val="32"/>
          <w:szCs w:val="32"/>
          <w:lang w:val="en-US" w:eastAsia="zh-CN"/>
        </w:rPr>
        <w:t>6</w:t>
      </w:r>
    </w:p>
    <w:p>
      <w:pPr>
        <w:pStyle w:val="15"/>
        <w:spacing w:line="360" w:lineRule="auto"/>
        <w:ind w:left="680" w:firstLine="1285" w:firstLineChars="400"/>
        <w:rPr>
          <w:rFonts w:hint="eastAsia"/>
          <w:b/>
          <w:sz w:val="32"/>
          <w:szCs w:val="32"/>
        </w:rPr>
      </w:pPr>
      <w:r>
        <w:rPr>
          <w:rFonts w:hint="eastAsia"/>
          <w:b/>
          <w:sz w:val="32"/>
          <w:szCs w:val="32"/>
        </w:rPr>
        <w:t>供应商认为需要提供的其他材料</w:t>
      </w:r>
    </w:p>
    <w:p>
      <w:pPr>
        <w:pStyle w:val="15"/>
        <w:spacing w:line="360" w:lineRule="auto"/>
        <w:ind w:left="0" w:leftChars="0"/>
        <w:jc w:val="left"/>
        <w:rPr>
          <w:rFonts w:hint="eastAsia"/>
          <w:b/>
          <w:sz w:val="21"/>
          <w:szCs w:val="21"/>
        </w:rPr>
      </w:pPr>
    </w:p>
    <w:p>
      <w:pPr>
        <w:pStyle w:val="15"/>
        <w:spacing w:line="360" w:lineRule="auto"/>
        <w:ind w:left="0" w:leftChars="0" w:firstLine="422" w:firstLineChars="200"/>
        <w:jc w:val="left"/>
        <w:rPr>
          <w:rFonts w:hint="eastAsia"/>
          <w:b/>
          <w:sz w:val="32"/>
          <w:szCs w:val="32"/>
        </w:rPr>
      </w:pPr>
      <w:r>
        <w:rPr>
          <w:rFonts w:hint="eastAsia"/>
          <w:b/>
          <w:sz w:val="21"/>
          <w:szCs w:val="21"/>
        </w:rPr>
        <w:t>格式由供应商自拟。</w:t>
      </w:r>
    </w:p>
    <w:p>
      <w:pPr>
        <w:pStyle w:val="15"/>
        <w:spacing w:line="360" w:lineRule="auto"/>
        <w:ind w:left="680" w:firstLine="643" w:firstLineChars="200"/>
        <w:jc w:val="center"/>
        <w:rPr>
          <w:rFonts w:hint="eastAsia"/>
          <w:b/>
          <w:sz w:val="32"/>
          <w:szCs w:val="32"/>
        </w:rPr>
      </w:pPr>
      <w:r>
        <w:rPr>
          <w:rFonts w:hint="eastAsia"/>
          <w:b/>
          <w:sz w:val="32"/>
          <w:szCs w:val="32"/>
        </w:rPr>
        <w:br w:type="page"/>
      </w:r>
    </w:p>
    <w:p>
      <w:pPr>
        <w:pStyle w:val="15"/>
        <w:spacing w:line="360" w:lineRule="auto"/>
        <w:ind w:left="680" w:firstLine="723" w:firstLineChars="200"/>
        <w:jc w:val="center"/>
        <w:rPr>
          <w:rFonts w:hAnsi="宋体" w:cs="宋体"/>
          <w:bCs/>
          <w:sz w:val="36"/>
          <w:szCs w:val="36"/>
        </w:rPr>
      </w:pPr>
      <w:r>
        <w:rPr>
          <w:rFonts w:hAnsi="宋体" w:cs="宋体"/>
          <w:b/>
          <w:bCs/>
          <w:sz w:val="36"/>
          <w:szCs w:val="36"/>
        </w:rPr>
        <w:t>第二部分 其他响应文件（格式）</w:t>
      </w:r>
    </w:p>
    <w:p>
      <w:pPr>
        <w:pStyle w:val="5"/>
        <w:spacing w:line="360" w:lineRule="auto"/>
        <w:jc w:val="left"/>
        <w:rPr>
          <w:rFonts w:ascii="宋体" w:hAnsi="宋体" w:eastAsia="宋体" w:cs="宋体"/>
          <w:sz w:val="34"/>
          <w:szCs w:val="20"/>
        </w:rPr>
      </w:pPr>
      <w:r>
        <w:rPr>
          <w:rFonts w:ascii="宋体" w:hAnsi="宋体" w:eastAsia="宋体" w:cs="宋体"/>
        </w:rPr>
        <w:t>附件2-1</w:t>
      </w:r>
    </w:p>
    <w:p>
      <w:pPr>
        <w:pStyle w:val="15"/>
        <w:spacing w:line="360" w:lineRule="auto"/>
        <w:ind w:left="680"/>
        <w:jc w:val="center"/>
        <w:rPr>
          <w:rFonts w:hAnsi="宋体" w:cs="宋体"/>
          <w:bCs/>
          <w:sz w:val="24"/>
        </w:rPr>
      </w:pPr>
      <w:r>
        <w:rPr>
          <w:rFonts w:hint="eastAsia" w:hAnsi="宋体" w:cs="宋体"/>
          <w:b/>
          <w:bCs/>
          <w:sz w:val="36"/>
          <w:szCs w:val="36"/>
        </w:rPr>
        <w:t>响应</w:t>
      </w:r>
      <w:r>
        <w:rPr>
          <w:rFonts w:hAnsi="宋体" w:cs="宋体"/>
          <w:b/>
          <w:bCs/>
          <w:sz w:val="36"/>
          <w:szCs w:val="36"/>
        </w:rPr>
        <w:t>函</w:t>
      </w:r>
    </w:p>
    <w:p>
      <w:pPr>
        <w:pStyle w:val="15"/>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所需服务。</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正本壹份、副本贰份、电子文档壹份。经磋商进入</w:t>
      </w:r>
      <w:r>
        <w:rPr>
          <w:rFonts w:hint="eastAsia" w:hAnsi="宋体" w:cs="宋体"/>
          <w:sz w:val="24"/>
          <w:szCs w:val="24"/>
        </w:rPr>
        <w:t>最后报</w:t>
      </w:r>
      <w:r>
        <w:rPr>
          <w:rFonts w:hAnsi="宋体" w:cs="宋体"/>
          <w:sz w:val="24"/>
          <w:szCs w:val="24"/>
        </w:rPr>
        <w:t>价时，提供</w:t>
      </w:r>
      <w:r>
        <w:rPr>
          <w:rFonts w:hint="eastAsia" w:hAnsi="宋体" w:cs="宋体"/>
          <w:sz w:val="24"/>
          <w:szCs w:val="24"/>
        </w:rPr>
        <w:t>最后报价表</w:t>
      </w:r>
      <w:r>
        <w:rPr>
          <w:rFonts w:hAnsi="宋体" w:cs="宋体"/>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5.</w:t>
      </w:r>
      <w:r>
        <w:rPr>
          <w:rFonts w:hint="eastAsia" w:hAnsi="宋体"/>
          <w:sz w:val="24"/>
        </w:rPr>
        <w:t>我方</w:t>
      </w:r>
      <w:r>
        <w:rPr>
          <w:rFonts w:hAnsi="宋体" w:cs="宋体"/>
          <w:sz w:val="24"/>
          <w:szCs w:val="24"/>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6.</w:t>
      </w:r>
      <w:r>
        <w:rPr>
          <w:rFonts w:hAnsi="宋体" w:cs="宋体"/>
          <w:sz w:val="24"/>
          <w:szCs w:val="24"/>
        </w:rPr>
        <w:t>本响应文件磋商有效期为</w:t>
      </w:r>
      <w:r>
        <w:rPr>
          <w:rFonts w:hint="eastAsia" w:hAnsi="宋体" w:cs="宋体"/>
          <w:sz w:val="24"/>
          <w:szCs w:val="24"/>
          <w:lang w:val="zh-CN"/>
        </w:rPr>
        <w:t>递交磋商响应文件截止之日起</w:t>
      </w:r>
      <w:r>
        <w:rPr>
          <w:rFonts w:hAnsi="宋体" w:cs="宋体"/>
          <w:sz w:val="24"/>
          <w:szCs w:val="24"/>
          <w:u w:val="single"/>
        </w:rPr>
        <w:t xml:space="preserve">    </w:t>
      </w:r>
      <w:r>
        <w:rPr>
          <w:rFonts w:hAnsi="宋体" w:cs="宋体"/>
          <w:sz w:val="24"/>
          <w:szCs w:val="24"/>
        </w:rPr>
        <w:t>天，有效期届满之前对本单位均有约束力。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7.</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rPr>
      </w:pPr>
      <w:r>
        <w:rPr>
          <w:rFonts w:hint="eastAsia" w:hAnsi="宋体" w:cs="宋体"/>
          <w:sz w:val="24"/>
          <w:szCs w:val="24"/>
        </w:rPr>
        <w:t>8.</w:t>
      </w:r>
      <w:r>
        <w:rPr>
          <w:rFonts w:hint="eastAsia" w:hAnsi="宋体" w:cs="宋体"/>
          <w:sz w:val="24"/>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rPr>
      </w:pPr>
      <w:r>
        <w:rPr>
          <w:rFonts w:hint="eastAsia" w:hAnsi="宋体" w:cs="宋体"/>
          <w:sz w:val="24"/>
          <w:szCs w:val="24"/>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9.我方完全同意磋商文件中关于知识产权的说明，承诺由此造成的法律和经济纠纷由我单位全权负责</w:t>
      </w:r>
      <w:r>
        <w:rPr>
          <w:rFonts w:hAnsi="宋体" w:cs="宋体"/>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10.</w:t>
      </w:r>
      <w:r>
        <w:rPr>
          <w:rFonts w:hAnsi="宋体" w:cs="宋体"/>
          <w:sz w:val="24"/>
          <w:szCs w:val="24"/>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11.</w:t>
      </w:r>
      <w:r>
        <w:rPr>
          <w:rFonts w:hAnsi="宋体" w:cs="宋体"/>
          <w:sz w:val="24"/>
          <w:szCs w:val="24"/>
        </w:rPr>
        <w:t>若本单位成为成交供应商，将按照本</w:t>
      </w:r>
      <w:r>
        <w:rPr>
          <w:rFonts w:hint="eastAsia" w:hAnsi="宋体" w:cs="宋体"/>
          <w:sz w:val="24"/>
          <w:szCs w:val="24"/>
        </w:rPr>
        <w:t>磋商</w:t>
      </w:r>
      <w:r>
        <w:rPr>
          <w:rFonts w:hAnsi="宋体" w:cs="宋体"/>
          <w:sz w:val="24"/>
          <w:szCs w:val="24"/>
        </w:rPr>
        <w:t>文件要求支付采购代理服务费。</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12.</w:t>
      </w:r>
      <w:r>
        <w:rPr>
          <w:rFonts w:hAnsi="宋体" w:cs="宋体"/>
          <w:sz w:val="24"/>
          <w:szCs w:val="24"/>
        </w:rPr>
        <w:t>若因本单位原因造成</w:t>
      </w:r>
      <w:r>
        <w:rPr>
          <w:rFonts w:hint="eastAsia" w:hAnsi="宋体" w:cs="宋体"/>
          <w:sz w:val="24"/>
          <w:szCs w:val="24"/>
        </w:rPr>
        <w:t>采购活动终止</w:t>
      </w:r>
      <w:r>
        <w:rPr>
          <w:rFonts w:hAnsi="宋体" w:cs="宋体"/>
          <w:sz w:val="24"/>
          <w:szCs w:val="24"/>
        </w:rPr>
        <w:t>，给采购人及采购代理机构带来的损失由本单位承担。</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775" w:leftChars="228"/>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5"/>
        <w:ind w:left="680" w:firstLine="480" w:firstLineChars="200"/>
        <w:rPr>
          <w:rFonts w:hAnsi="宋体" w:cs="宋体"/>
          <w:bCs/>
          <w:sz w:val="24"/>
          <w:u w:val="single"/>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widowControl/>
        <w:outlineLvl w:val="1"/>
        <w:rPr>
          <w:rFonts w:hint="eastAsia" w:hAnsi="宋体" w:cs="宋体"/>
          <w:b/>
          <w:bCs/>
          <w:sz w:val="21"/>
          <w:szCs w:val="21"/>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0" w:leftChars="0"/>
        <w:rPr>
          <w:rFonts w:hAnsi="宋体" w:cs="宋体"/>
          <w:bCs/>
          <w:sz w:val="24"/>
          <w:u w:val="single"/>
        </w:rPr>
      </w:pPr>
    </w:p>
    <w:p>
      <w:pPr>
        <w:widowControl/>
        <w:spacing w:line="360" w:lineRule="auto"/>
        <w:outlineLvl w:val="1"/>
        <w:rPr>
          <w:rFonts w:hint="eastAsia" w:ascii="黑体" w:eastAsia="黑体"/>
          <w:b/>
          <w:sz w:val="32"/>
          <w:szCs w:val="32"/>
        </w:rPr>
      </w:pPr>
    </w:p>
    <w:p>
      <w:pPr>
        <w:widowControl/>
        <w:spacing w:line="360" w:lineRule="auto"/>
        <w:outlineLvl w:val="1"/>
        <w:rPr>
          <w:rFonts w:hint="eastAsia" w:ascii="黑体" w:eastAsia="黑体"/>
          <w:b/>
          <w:sz w:val="32"/>
          <w:szCs w:val="32"/>
        </w:rPr>
      </w:pPr>
      <w:r>
        <w:rPr>
          <w:rFonts w:hint="eastAsia" w:ascii="黑体" w:eastAsia="黑体"/>
          <w:b/>
          <w:sz w:val="32"/>
          <w:szCs w:val="32"/>
        </w:rPr>
        <w:t>附件2-2</w:t>
      </w:r>
    </w:p>
    <w:p>
      <w:pPr>
        <w:pStyle w:val="15"/>
        <w:spacing w:line="360" w:lineRule="auto"/>
        <w:ind w:left="680" w:firstLine="2530" w:firstLineChars="700"/>
        <w:rPr>
          <w:rFonts w:hint="eastAsia" w:hAnsi="宋体" w:cs="宋体"/>
          <w:b/>
          <w:bCs/>
          <w:sz w:val="36"/>
          <w:szCs w:val="36"/>
        </w:rPr>
      </w:pPr>
      <w:r>
        <w:rPr>
          <w:rFonts w:hint="eastAsia" w:hAnsi="宋体" w:cs="宋体"/>
          <w:b/>
          <w:bCs/>
          <w:sz w:val="36"/>
          <w:szCs w:val="36"/>
        </w:rPr>
        <w:t>第一次报价表</w:t>
      </w:r>
    </w:p>
    <w:tbl>
      <w:tblPr>
        <w:tblStyle w:val="25"/>
        <w:tblpPr w:leftFromText="180" w:rightFromText="180" w:vertAnchor="text" w:horzAnchor="page" w:tblpX="1857" w:tblpY="119"/>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2498" w:type="dxa"/>
            <w:tcBorders>
              <w:top w:val="single" w:color="auto" w:sz="4" w:space="0"/>
              <w:left w:val="single" w:color="auto" w:sz="4" w:space="0"/>
              <w:right w:val="single" w:color="auto" w:sz="4" w:space="0"/>
            </w:tcBorders>
            <w:vAlign w:val="center"/>
          </w:tcPr>
          <w:p>
            <w:pPr>
              <w:spacing w:line="360" w:lineRule="auto"/>
              <w:jc w:val="center"/>
              <w:rPr>
                <w:rFonts w:hAnsi="宋体" w:cs="华文中宋"/>
                <w:b/>
                <w:bCs/>
                <w:sz w:val="24"/>
                <w:szCs w:val="24"/>
              </w:rPr>
            </w:pPr>
            <w:r>
              <w:rPr>
                <w:rFonts w:hint="eastAsia" w:hAnsi="宋体" w:cs="华文中宋"/>
                <w:b/>
                <w:bCs/>
                <w:sz w:val="24"/>
                <w:szCs w:val="24"/>
              </w:rPr>
              <w:t>报价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hAnsi="宋体" w:cs="华文中宋"/>
                <w:b/>
                <w:bCs/>
                <w:sz w:val="24"/>
                <w:szCs w:val="24"/>
              </w:rPr>
            </w:pPr>
            <w:r>
              <w:rPr>
                <w:rFonts w:hint="eastAsia" w:hAnsi="宋体" w:cs="华文中宋"/>
                <w:b/>
                <w:bCs/>
                <w:sz w:val="24"/>
                <w:szCs w:val="24"/>
              </w:rPr>
              <w:t>小写：</w:t>
            </w:r>
            <w:r>
              <w:rPr>
                <w:rFonts w:hint="eastAsia" w:hAnsi="宋体" w:cs="华文中宋"/>
                <w:b/>
                <w:bCs/>
                <w:sz w:val="24"/>
                <w:szCs w:val="24"/>
                <w:u w:val="single"/>
              </w:rPr>
              <w:t xml:space="preserve">                 </w:t>
            </w:r>
            <w:r>
              <w:rPr>
                <w:rFonts w:hint="eastAsia" w:hAnsi="宋体" w:cs="华文中宋"/>
                <w:b/>
                <w:bCs/>
                <w:sz w:val="24"/>
                <w:szCs w:val="24"/>
              </w:rPr>
              <w:t>元</w:t>
            </w:r>
          </w:p>
          <w:p>
            <w:pPr>
              <w:pStyle w:val="11"/>
              <w:spacing w:line="480" w:lineRule="auto"/>
            </w:pPr>
            <w:r>
              <w:rPr>
                <w:rFonts w:hint="eastAsia" w:hAnsi="宋体" w:cs="华文中宋"/>
                <w:b/>
                <w:bCs/>
                <w:sz w:val="24"/>
                <w:szCs w:val="24"/>
              </w:rPr>
              <w:t>大写：</w:t>
            </w:r>
            <w:r>
              <w:rPr>
                <w:rFonts w:hint="eastAsia" w:hAnsi="宋体" w:cs="华文中宋"/>
                <w:b/>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964" w:firstLineChars="400"/>
              <w:rPr>
                <w:rFonts w:hint="eastAsia"/>
                <w:b/>
                <w:bCs/>
                <w:sz w:val="24"/>
                <w:szCs w:val="24"/>
              </w:rPr>
            </w:pPr>
            <w:r>
              <w:rPr>
                <w:rFonts w:hint="eastAsia"/>
                <w:b/>
                <w:bCs/>
                <w:sz w:val="24"/>
                <w:szCs w:val="24"/>
              </w:rPr>
              <w:t>备注</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b/>
                <w:bCs/>
                <w:sz w:val="24"/>
                <w:szCs w:val="24"/>
              </w:rPr>
            </w:pPr>
          </w:p>
        </w:tc>
      </w:tr>
    </w:tbl>
    <w:p>
      <w:pPr>
        <w:pStyle w:val="15"/>
        <w:spacing w:line="360" w:lineRule="auto"/>
        <w:ind w:left="680" w:firstLine="2530" w:firstLineChars="700"/>
        <w:rPr>
          <w:rFonts w:hint="eastAsia" w:hAnsi="宋体" w:cs="宋体"/>
          <w:b/>
          <w:bCs/>
          <w:sz w:val="36"/>
          <w:szCs w:val="36"/>
        </w:rPr>
      </w:pPr>
    </w:p>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int="eastAsia" w:hAnsi="宋体"/>
          <w:b/>
          <w:bCs/>
          <w:sz w:val="21"/>
          <w:szCs w:val="21"/>
        </w:rPr>
      </w:pPr>
      <w:r>
        <w:rPr>
          <w:rFonts w:hint="eastAsia" w:hAnsi="宋体"/>
          <w:b/>
          <w:bCs/>
          <w:sz w:val="21"/>
          <w:szCs w:val="21"/>
        </w:rPr>
        <w:t>2、供应商每种服务只允许有一个报价，并且在合同履行过程中是固定不变的，任何有选择或可调整的报价将不予接受，并按无效响应处理。（实质性要求）</w:t>
      </w:r>
    </w:p>
    <w:p>
      <w:pPr>
        <w:pStyle w:val="15"/>
        <w:ind w:left="680" w:firstLine="480" w:firstLineChars="200"/>
        <w:rPr>
          <w:rFonts w:hAnsi="宋体" w:cs="宋体"/>
          <w:bCs/>
          <w:sz w:val="24"/>
        </w:rPr>
      </w:pPr>
    </w:p>
    <w:p>
      <w:pPr>
        <w:pStyle w:val="15"/>
        <w:ind w:left="0" w:leftChars="0"/>
        <w:rPr>
          <w:rFonts w:hAnsi="宋体" w:cs="宋体"/>
          <w:bCs/>
          <w:sz w:val="24"/>
        </w:rPr>
      </w:pPr>
    </w:p>
    <w:p>
      <w:pPr>
        <w:pStyle w:val="15"/>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5"/>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pStyle w:val="15"/>
        <w:spacing w:line="360" w:lineRule="auto"/>
        <w:ind w:left="0" w:leftChars="0" w:firstLine="480" w:firstLineChars="200"/>
        <w:rPr>
          <w:rFonts w:hAnsi="宋体" w:cs="宋体"/>
          <w:bCs/>
          <w:sz w:val="24"/>
        </w:rPr>
      </w:pPr>
      <w:r>
        <w:rPr>
          <w:rFonts w:hAnsi="宋体" w:cs="宋体"/>
          <w:bCs/>
          <w:sz w:val="24"/>
        </w:rPr>
        <w:t>日期：__________________</w:t>
      </w:r>
    </w:p>
    <w:p>
      <w:pPr>
        <w:pStyle w:val="15"/>
        <w:ind w:left="0" w:leftChars="0"/>
        <w:rPr>
          <w:rFonts w:hAnsi="宋体" w:cs="宋体"/>
          <w:bCs/>
          <w:sz w:val="24"/>
          <w:u w:val="single"/>
        </w:rPr>
      </w:pPr>
    </w:p>
    <w:p>
      <w:pPr>
        <w:jc w:val="left"/>
        <w:rPr>
          <w:rFonts w:hint="eastAsia" w:ascii="黑体" w:eastAsia="黑体"/>
          <w:b/>
          <w:sz w:val="32"/>
          <w:szCs w:val="32"/>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highlight w:val="red"/>
        </w:rPr>
      </w:pPr>
      <w:r>
        <w:rPr>
          <w:rFonts w:hint="eastAsia" w:hAnsi="宋体"/>
          <w:b/>
          <w:bCs/>
          <w:sz w:val="32"/>
          <w:szCs w:val="32"/>
        </w:rPr>
        <w:t>服务内容及要求应答表</w:t>
      </w:r>
    </w:p>
    <w:p>
      <w:pPr>
        <w:pStyle w:val="18"/>
        <w:pBdr>
          <w:bottom w:val="none" w:color="auto" w:sz="0" w:space="0"/>
        </w:pBdr>
        <w:tabs>
          <w:tab w:val="clear" w:pos="4153"/>
          <w:tab w:val="clear" w:pos="8306"/>
        </w:tabs>
        <w:snapToGrid/>
        <w:jc w:val="both"/>
        <w:rPr>
          <w:rFonts w:hint="eastAsia" w:hAnsi="宋体"/>
          <w:sz w:val="24"/>
          <w:szCs w:val="24"/>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center"/>
          </w:tcPr>
          <w:p>
            <w:pPr>
              <w:jc w:val="center"/>
              <w:rPr>
                <w:rFonts w:hint="eastAsia" w:hAnsi="宋体"/>
                <w:sz w:val="24"/>
              </w:rPr>
            </w:pPr>
            <w:r>
              <w:rPr>
                <w:rFonts w:hint="eastAsia" w:hAnsi="宋体"/>
                <w:sz w:val="24"/>
              </w:rPr>
              <w:t>序号</w:t>
            </w:r>
          </w:p>
        </w:tc>
        <w:tc>
          <w:tcPr>
            <w:tcW w:w="2737" w:type="dxa"/>
            <w:vAlign w:val="center"/>
          </w:tcPr>
          <w:p>
            <w:pPr>
              <w:jc w:val="center"/>
              <w:rPr>
                <w:rFonts w:hint="eastAsia" w:hAnsi="宋体"/>
                <w:sz w:val="24"/>
              </w:rPr>
            </w:pPr>
            <w:r>
              <w:rPr>
                <w:rFonts w:hint="eastAsia" w:hAnsi="宋体"/>
                <w:sz w:val="24"/>
              </w:rPr>
              <w:t>采购文件要求</w:t>
            </w:r>
          </w:p>
        </w:tc>
        <w:tc>
          <w:tcPr>
            <w:tcW w:w="2625" w:type="dxa"/>
            <w:vAlign w:val="center"/>
          </w:tcPr>
          <w:p>
            <w:pPr>
              <w:jc w:val="center"/>
              <w:rPr>
                <w:rFonts w:hint="eastAsia" w:hAnsi="宋体"/>
                <w:sz w:val="24"/>
              </w:rPr>
            </w:pPr>
            <w:r>
              <w:rPr>
                <w:rFonts w:hint="eastAsia" w:hAnsi="宋体"/>
                <w:sz w:val="24"/>
              </w:rPr>
              <w:t>响应文件响应</w:t>
            </w:r>
          </w:p>
        </w:tc>
        <w:tc>
          <w:tcPr>
            <w:tcW w:w="2361" w:type="dxa"/>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ind w:left="-340" w:leftChars="-100" w:firstLine="338" w:firstLineChars="141"/>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vAlign w:val="top"/>
          </w:tcPr>
          <w:p>
            <w:pPr>
              <w:jc w:val="center"/>
              <w:rPr>
                <w:rFonts w:hint="eastAsia" w:hAnsi="宋体"/>
                <w:sz w:val="24"/>
              </w:rPr>
            </w:pPr>
          </w:p>
        </w:tc>
        <w:tc>
          <w:tcPr>
            <w:tcW w:w="2737" w:type="dxa"/>
            <w:vAlign w:val="top"/>
          </w:tcPr>
          <w:p>
            <w:pPr>
              <w:jc w:val="center"/>
              <w:rPr>
                <w:rFonts w:hint="eastAsia" w:hAnsi="宋体"/>
                <w:sz w:val="24"/>
              </w:rPr>
            </w:pPr>
          </w:p>
        </w:tc>
        <w:tc>
          <w:tcPr>
            <w:tcW w:w="2625" w:type="dxa"/>
            <w:vAlign w:val="top"/>
          </w:tcPr>
          <w:p>
            <w:pPr>
              <w:jc w:val="center"/>
              <w:rPr>
                <w:rFonts w:hint="eastAsia" w:hAnsi="宋体"/>
                <w:sz w:val="24"/>
              </w:rPr>
            </w:pPr>
          </w:p>
        </w:tc>
        <w:tc>
          <w:tcPr>
            <w:tcW w:w="2361" w:type="dxa"/>
            <w:vAlign w:val="top"/>
          </w:tcPr>
          <w:p>
            <w:pPr>
              <w:jc w:val="center"/>
              <w:rPr>
                <w:rFonts w:hint="eastAsia" w:hAnsi="宋体"/>
                <w:sz w:val="24"/>
              </w:rPr>
            </w:pPr>
          </w:p>
        </w:tc>
      </w:tr>
    </w:tbl>
    <w:p>
      <w:pPr>
        <w:rPr>
          <w:rFonts w:hint="eastAsia" w:hAnsi="宋体"/>
          <w:b/>
          <w:bCs/>
          <w:sz w:val="21"/>
          <w:szCs w:val="21"/>
        </w:rPr>
      </w:pPr>
      <w:r>
        <w:rPr>
          <w:rFonts w:hint="eastAsia" w:hAnsi="宋体"/>
          <w:b/>
          <w:bCs/>
          <w:sz w:val="21"/>
          <w:szCs w:val="21"/>
        </w:rPr>
        <w:t>注：1.按照本磋商文件第五章中的服务内容及要求进行逐条应答；如与本磋商文件第五章中的服务内容及要求无偏离（偏离包括正偏离和负偏离），则无需逐条应答，视为均响应本磋商文件第五章中的服务内容及要求。</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476" w:leftChars="140"/>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5"/>
        <w:tabs>
          <w:tab w:val="left" w:pos="0"/>
        </w:tabs>
        <w:ind w:left="680"/>
        <w:jc w:val="center"/>
        <w:rPr>
          <w:rFonts w:hint="eastAsia"/>
          <w:b/>
          <w:sz w:val="32"/>
          <w:szCs w:val="32"/>
        </w:rPr>
      </w:pPr>
      <w:r>
        <w:rPr>
          <w:rFonts w:hint="eastAsia"/>
          <w:b/>
          <w:sz w:val="32"/>
          <w:szCs w:val="32"/>
        </w:rPr>
        <w:t>商务要求应答表</w:t>
      </w:r>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23" w:type="dxa"/>
            <w:vAlign w:val="center"/>
          </w:tcPr>
          <w:p>
            <w:pPr>
              <w:jc w:val="center"/>
              <w:rPr>
                <w:rFonts w:hint="eastAsia" w:hAnsi="宋体"/>
                <w:sz w:val="24"/>
              </w:rPr>
            </w:pPr>
            <w:r>
              <w:rPr>
                <w:rFonts w:hint="eastAsia" w:hAnsi="宋体"/>
                <w:sz w:val="24"/>
              </w:rPr>
              <w:t>序号</w:t>
            </w:r>
          </w:p>
        </w:tc>
        <w:tc>
          <w:tcPr>
            <w:tcW w:w="2934" w:type="dxa"/>
            <w:vAlign w:val="center"/>
          </w:tcPr>
          <w:p>
            <w:pPr>
              <w:jc w:val="center"/>
              <w:rPr>
                <w:rFonts w:hint="eastAsia" w:hAnsi="宋体"/>
                <w:sz w:val="24"/>
              </w:rPr>
            </w:pPr>
            <w:r>
              <w:rPr>
                <w:rFonts w:hint="eastAsia" w:hAnsi="宋体"/>
                <w:sz w:val="24"/>
              </w:rPr>
              <w:t>采购文件要求</w:t>
            </w:r>
          </w:p>
        </w:tc>
        <w:tc>
          <w:tcPr>
            <w:tcW w:w="2237" w:type="dxa"/>
            <w:vAlign w:val="center"/>
          </w:tcPr>
          <w:p>
            <w:pPr>
              <w:jc w:val="center"/>
              <w:rPr>
                <w:rFonts w:hint="eastAsia" w:hAnsi="宋体"/>
                <w:sz w:val="24"/>
              </w:rPr>
            </w:pPr>
            <w:r>
              <w:rPr>
                <w:rFonts w:hint="eastAsia" w:hAnsi="宋体"/>
                <w:sz w:val="24"/>
              </w:rPr>
              <w:t>响应文件响应</w:t>
            </w:r>
          </w:p>
        </w:tc>
        <w:tc>
          <w:tcPr>
            <w:tcW w:w="2225" w:type="dxa"/>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vAlign w:val="top"/>
          </w:tcPr>
          <w:p>
            <w:pPr>
              <w:jc w:val="center"/>
              <w:rPr>
                <w:rFonts w:hint="eastAsia" w:hAnsi="宋体"/>
                <w:sz w:val="24"/>
              </w:rPr>
            </w:pPr>
          </w:p>
        </w:tc>
        <w:tc>
          <w:tcPr>
            <w:tcW w:w="2934" w:type="dxa"/>
            <w:vAlign w:val="top"/>
          </w:tcPr>
          <w:p>
            <w:pPr>
              <w:jc w:val="center"/>
              <w:rPr>
                <w:rFonts w:hint="eastAsia" w:hAnsi="宋体"/>
                <w:sz w:val="24"/>
              </w:rPr>
            </w:pPr>
          </w:p>
        </w:tc>
        <w:tc>
          <w:tcPr>
            <w:tcW w:w="2237" w:type="dxa"/>
            <w:vAlign w:val="top"/>
          </w:tcPr>
          <w:p>
            <w:pPr>
              <w:jc w:val="center"/>
              <w:rPr>
                <w:rFonts w:hint="eastAsia" w:hAnsi="宋体"/>
                <w:sz w:val="24"/>
              </w:rPr>
            </w:pPr>
          </w:p>
        </w:tc>
        <w:tc>
          <w:tcPr>
            <w:tcW w:w="2225" w:type="dxa"/>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rPr>
      </w:pPr>
      <w:r>
        <w:rPr>
          <w:rFonts w:hint="eastAsia" w:hAnsi="宋体"/>
          <w:b/>
          <w:bCs/>
          <w:sz w:val="21"/>
          <w:szCs w:val="21"/>
        </w:rPr>
        <w:t>注：1.按照本磋商文件第五章中的商务要求进行逐条应答；如与本磋商文件第五章中的商务要求无偏离（偏离包括正偏离和负偏离），则无需逐条应答，视为均响应本磋商文件第五章中的商务要求。</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ˎ̥" w:hAnsi="ˎ̥"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widowControl/>
        <w:spacing w:line="360" w:lineRule="auto"/>
        <w:ind w:left="476" w:leftChars="140"/>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0" w:leftChars="0"/>
        <w:rPr>
          <w:rFonts w:hAnsi="宋体" w:cs="宋体"/>
          <w:bCs/>
          <w:sz w:val="24"/>
          <w:u w:val="single"/>
        </w:rPr>
      </w:pPr>
    </w:p>
    <w:p>
      <w:pPr>
        <w:pStyle w:val="15"/>
        <w:tabs>
          <w:tab w:val="left" w:pos="0"/>
        </w:tabs>
        <w:ind w:left="0" w:leftChars="0"/>
        <w:jc w:val="left"/>
        <w:rPr>
          <w:rFonts w:hint="eastAsia" w:hAnsi="宋体" w:cs="华文中宋"/>
          <w:b/>
          <w:bCs/>
          <w:sz w:val="32"/>
          <w:szCs w:val="32"/>
        </w:rPr>
      </w:pPr>
      <w:r>
        <w:rPr>
          <w:rFonts w:hint="eastAsia" w:ascii="黑体" w:eastAsia="黑体"/>
          <w:b/>
          <w:sz w:val="32"/>
          <w:szCs w:val="32"/>
        </w:rPr>
        <w:t>附件2-5</w:t>
      </w:r>
    </w:p>
    <w:p>
      <w:pPr>
        <w:widowControl/>
        <w:spacing w:line="360" w:lineRule="auto"/>
        <w:ind w:left="775" w:leftChars="228"/>
        <w:jc w:val="center"/>
        <w:outlineLvl w:val="1"/>
        <w:rPr>
          <w:rFonts w:hint="eastAsia" w:hAnsi="宋体" w:cs="华文中宋"/>
          <w:b/>
          <w:bCs/>
          <w:sz w:val="32"/>
          <w:szCs w:val="32"/>
        </w:rPr>
      </w:pPr>
      <w:r>
        <w:rPr>
          <w:rFonts w:hint="eastAsia" w:hAnsi="宋体" w:cs="华文中宋"/>
          <w:b/>
          <w:bCs/>
          <w:sz w:val="32"/>
          <w:szCs w:val="32"/>
        </w:rPr>
        <w:t>拟派驻本项目人员配备一览表</w:t>
      </w:r>
    </w:p>
    <w:p>
      <w:pPr>
        <w:spacing w:line="400" w:lineRule="exact"/>
        <w:rPr>
          <w:rFonts w:hint="eastAsia" w:hAnsi="宋体" w:cs="Arial"/>
          <w:b/>
          <w:bCs/>
          <w:sz w:val="28"/>
        </w:rPr>
      </w:pPr>
    </w:p>
    <w:tbl>
      <w:tblPr>
        <w:tblStyle w:val="25"/>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3"/>
        <w:gridCol w:w="1066"/>
        <w:gridCol w:w="1065"/>
        <w:gridCol w:w="1394"/>
        <w:gridCol w:w="974"/>
        <w:gridCol w:w="111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7" w:type="dxa"/>
            <w:vMerge w:val="restart"/>
            <w:vAlign w:val="center"/>
          </w:tcPr>
          <w:p>
            <w:pPr>
              <w:spacing w:line="400" w:lineRule="exact"/>
              <w:jc w:val="center"/>
              <w:rPr>
                <w:rFonts w:hint="eastAsia" w:hAnsi="宋体" w:cs="Arial"/>
                <w:sz w:val="24"/>
              </w:rPr>
            </w:pPr>
            <w:r>
              <w:rPr>
                <w:rFonts w:hint="eastAsia" w:hAnsi="宋体" w:cs="Arial"/>
                <w:sz w:val="24"/>
              </w:rPr>
              <w:t>职务</w:t>
            </w:r>
          </w:p>
        </w:tc>
        <w:tc>
          <w:tcPr>
            <w:tcW w:w="1063" w:type="dxa"/>
            <w:vMerge w:val="restart"/>
            <w:vAlign w:val="center"/>
          </w:tcPr>
          <w:p>
            <w:pPr>
              <w:spacing w:line="400" w:lineRule="exact"/>
              <w:jc w:val="center"/>
              <w:rPr>
                <w:rFonts w:hint="eastAsia" w:hAnsi="宋体" w:cs="Arial"/>
                <w:sz w:val="24"/>
              </w:rPr>
            </w:pPr>
            <w:r>
              <w:rPr>
                <w:rFonts w:hint="eastAsia" w:hAnsi="宋体" w:cs="Arial"/>
                <w:sz w:val="24"/>
              </w:rPr>
              <w:t>姓名</w:t>
            </w:r>
          </w:p>
        </w:tc>
        <w:tc>
          <w:tcPr>
            <w:tcW w:w="1066" w:type="dxa"/>
            <w:vMerge w:val="restart"/>
            <w:vAlign w:val="center"/>
          </w:tcPr>
          <w:p>
            <w:pPr>
              <w:spacing w:line="400" w:lineRule="exact"/>
              <w:jc w:val="center"/>
              <w:rPr>
                <w:rFonts w:hint="eastAsia" w:hAnsi="宋体" w:cs="Arial"/>
                <w:sz w:val="24"/>
              </w:rPr>
            </w:pPr>
            <w:r>
              <w:rPr>
                <w:rFonts w:hint="eastAsia" w:hAnsi="宋体" w:cs="Arial"/>
                <w:sz w:val="24"/>
              </w:rPr>
              <w:t>职称</w:t>
            </w:r>
          </w:p>
        </w:tc>
        <w:tc>
          <w:tcPr>
            <w:tcW w:w="1065" w:type="dxa"/>
            <w:vMerge w:val="restart"/>
            <w:vAlign w:val="center"/>
          </w:tcPr>
          <w:p>
            <w:pPr>
              <w:spacing w:line="400" w:lineRule="exact"/>
              <w:jc w:val="center"/>
              <w:rPr>
                <w:rFonts w:hint="eastAsia" w:hAnsi="宋体" w:cs="Arial"/>
                <w:sz w:val="24"/>
              </w:rPr>
            </w:pPr>
            <w:r>
              <w:rPr>
                <w:rFonts w:hint="eastAsia" w:hAnsi="宋体" w:cs="Arial"/>
                <w:sz w:val="24"/>
              </w:rPr>
              <w:t>常住地</w:t>
            </w:r>
          </w:p>
        </w:tc>
        <w:tc>
          <w:tcPr>
            <w:tcW w:w="4455" w:type="dxa"/>
            <w:gridSpan w:val="4"/>
            <w:vAlign w:val="center"/>
          </w:tcPr>
          <w:p>
            <w:pPr>
              <w:spacing w:line="400" w:lineRule="exact"/>
              <w:jc w:val="center"/>
              <w:rPr>
                <w:rFonts w:hint="eastAsia" w:hAnsi="宋体" w:cs="Arial"/>
                <w:sz w:val="24"/>
              </w:rPr>
            </w:pPr>
            <w:r>
              <w:rPr>
                <w:rFonts w:hint="eastAsia" w:hAnsi="宋体" w:cs="Arial"/>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7" w:type="dxa"/>
            <w:vMerge w:val="continue"/>
            <w:vAlign w:val="center"/>
          </w:tcPr>
          <w:p>
            <w:pPr>
              <w:spacing w:line="400" w:lineRule="exact"/>
              <w:jc w:val="center"/>
              <w:rPr>
                <w:rFonts w:hint="eastAsia" w:hAnsi="宋体" w:cs="Arial"/>
                <w:sz w:val="24"/>
              </w:rPr>
            </w:pPr>
          </w:p>
        </w:tc>
        <w:tc>
          <w:tcPr>
            <w:tcW w:w="1063" w:type="dxa"/>
            <w:vMerge w:val="continue"/>
            <w:vAlign w:val="center"/>
          </w:tcPr>
          <w:p>
            <w:pPr>
              <w:spacing w:line="400" w:lineRule="exact"/>
              <w:jc w:val="center"/>
              <w:rPr>
                <w:rFonts w:hint="eastAsia" w:hAnsi="宋体" w:cs="Arial"/>
                <w:sz w:val="24"/>
              </w:rPr>
            </w:pPr>
          </w:p>
        </w:tc>
        <w:tc>
          <w:tcPr>
            <w:tcW w:w="1066" w:type="dxa"/>
            <w:vMerge w:val="continue"/>
            <w:vAlign w:val="center"/>
          </w:tcPr>
          <w:p>
            <w:pPr>
              <w:spacing w:line="400" w:lineRule="exact"/>
              <w:jc w:val="center"/>
              <w:rPr>
                <w:rFonts w:hint="eastAsia" w:hAnsi="宋体" w:cs="Arial"/>
                <w:sz w:val="24"/>
              </w:rPr>
            </w:pPr>
          </w:p>
        </w:tc>
        <w:tc>
          <w:tcPr>
            <w:tcW w:w="1065" w:type="dxa"/>
            <w:vMerge w:val="continue"/>
            <w:vAlign w:val="center"/>
          </w:tcPr>
          <w:p>
            <w:pPr>
              <w:spacing w:line="400" w:lineRule="exact"/>
              <w:jc w:val="center"/>
              <w:rPr>
                <w:rFonts w:hAnsi="宋体" w:cs="Arial"/>
                <w:sz w:val="24"/>
              </w:rPr>
            </w:pPr>
          </w:p>
        </w:tc>
        <w:tc>
          <w:tcPr>
            <w:tcW w:w="1394" w:type="dxa"/>
            <w:vAlign w:val="center"/>
          </w:tcPr>
          <w:p>
            <w:pPr>
              <w:spacing w:line="400" w:lineRule="exact"/>
              <w:jc w:val="center"/>
              <w:rPr>
                <w:rFonts w:hint="eastAsia" w:hAnsi="宋体" w:cs="Arial"/>
                <w:sz w:val="24"/>
              </w:rPr>
            </w:pPr>
            <w:r>
              <w:rPr>
                <w:rFonts w:hint="eastAsia" w:hAnsi="宋体" w:cs="Arial"/>
                <w:sz w:val="24"/>
              </w:rPr>
              <w:t>证书名称</w:t>
            </w:r>
          </w:p>
        </w:tc>
        <w:tc>
          <w:tcPr>
            <w:tcW w:w="974" w:type="dxa"/>
            <w:vAlign w:val="center"/>
          </w:tcPr>
          <w:p>
            <w:pPr>
              <w:spacing w:line="400" w:lineRule="exact"/>
              <w:jc w:val="center"/>
              <w:rPr>
                <w:rFonts w:hint="eastAsia" w:hAnsi="宋体" w:cs="Arial"/>
                <w:sz w:val="24"/>
              </w:rPr>
            </w:pPr>
            <w:r>
              <w:rPr>
                <w:rFonts w:hint="eastAsia" w:hAnsi="宋体" w:cs="Arial"/>
                <w:sz w:val="24"/>
              </w:rPr>
              <w:t>级别</w:t>
            </w:r>
          </w:p>
        </w:tc>
        <w:tc>
          <w:tcPr>
            <w:tcW w:w="1112" w:type="dxa"/>
            <w:vAlign w:val="center"/>
          </w:tcPr>
          <w:p>
            <w:pPr>
              <w:spacing w:line="400" w:lineRule="exact"/>
              <w:jc w:val="center"/>
              <w:rPr>
                <w:rFonts w:hint="eastAsia" w:hAnsi="宋体" w:cs="Arial"/>
                <w:sz w:val="24"/>
              </w:rPr>
            </w:pPr>
            <w:r>
              <w:rPr>
                <w:rFonts w:hint="eastAsia" w:hAnsi="宋体" w:cs="Arial"/>
                <w:sz w:val="24"/>
              </w:rPr>
              <w:t>证号</w:t>
            </w:r>
          </w:p>
        </w:tc>
        <w:tc>
          <w:tcPr>
            <w:tcW w:w="975" w:type="dxa"/>
            <w:vAlign w:val="center"/>
          </w:tcPr>
          <w:p>
            <w:pPr>
              <w:spacing w:line="400" w:lineRule="exact"/>
              <w:jc w:val="center"/>
              <w:rPr>
                <w:rFonts w:hint="eastAsia" w:hAnsi="宋体" w:cs="Arial"/>
                <w:sz w:val="24"/>
              </w:rPr>
            </w:pPr>
            <w:r>
              <w:rPr>
                <w:rFonts w:hint="eastAsia" w:hAnsi="宋体" w:cs="Arial"/>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7" w:type="dxa"/>
            <w:vAlign w:val="top"/>
          </w:tcPr>
          <w:p>
            <w:pPr>
              <w:spacing w:line="400" w:lineRule="exact"/>
              <w:jc w:val="center"/>
              <w:rPr>
                <w:rFonts w:hAnsi="宋体" w:cs="Arial"/>
                <w:sz w:val="24"/>
              </w:rPr>
            </w:pPr>
          </w:p>
        </w:tc>
        <w:tc>
          <w:tcPr>
            <w:tcW w:w="1063" w:type="dxa"/>
            <w:vAlign w:val="top"/>
          </w:tcPr>
          <w:p>
            <w:pPr>
              <w:spacing w:line="400" w:lineRule="exact"/>
              <w:jc w:val="center"/>
              <w:rPr>
                <w:rFonts w:hAnsi="宋体" w:cs="Arial"/>
                <w:sz w:val="24"/>
              </w:rPr>
            </w:pPr>
          </w:p>
        </w:tc>
        <w:tc>
          <w:tcPr>
            <w:tcW w:w="1066" w:type="dxa"/>
            <w:vAlign w:val="top"/>
          </w:tcPr>
          <w:p>
            <w:pPr>
              <w:spacing w:line="400" w:lineRule="exact"/>
              <w:jc w:val="center"/>
              <w:rPr>
                <w:rFonts w:hAnsi="宋体" w:cs="Arial"/>
                <w:sz w:val="24"/>
              </w:rPr>
            </w:pPr>
          </w:p>
        </w:tc>
        <w:tc>
          <w:tcPr>
            <w:tcW w:w="1065" w:type="dxa"/>
            <w:vAlign w:val="top"/>
          </w:tcPr>
          <w:p>
            <w:pPr>
              <w:spacing w:line="400" w:lineRule="exact"/>
              <w:jc w:val="center"/>
              <w:rPr>
                <w:rFonts w:hAnsi="宋体" w:cs="Arial"/>
                <w:sz w:val="24"/>
              </w:rPr>
            </w:pPr>
          </w:p>
        </w:tc>
        <w:tc>
          <w:tcPr>
            <w:tcW w:w="1394" w:type="dxa"/>
            <w:vAlign w:val="top"/>
          </w:tcPr>
          <w:p>
            <w:pPr>
              <w:spacing w:line="400" w:lineRule="exact"/>
              <w:jc w:val="center"/>
              <w:rPr>
                <w:rFonts w:hAnsi="宋体" w:cs="Arial"/>
                <w:sz w:val="24"/>
              </w:rPr>
            </w:pPr>
          </w:p>
        </w:tc>
        <w:tc>
          <w:tcPr>
            <w:tcW w:w="974" w:type="dxa"/>
            <w:vAlign w:val="top"/>
          </w:tcPr>
          <w:p>
            <w:pPr>
              <w:spacing w:line="400" w:lineRule="exact"/>
              <w:jc w:val="center"/>
              <w:rPr>
                <w:rFonts w:hAnsi="宋体" w:cs="Arial"/>
                <w:sz w:val="24"/>
              </w:rPr>
            </w:pPr>
          </w:p>
        </w:tc>
        <w:tc>
          <w:tcPr>
            <w:tcW w:w="1112" w:type="dxa"/>
            <w:vAlign w:val="top"/>
          </w:tcPr>
          <w:p>
            <w:pPr>
              <w:spacing w:line="400" w:lineRule="exact"/>
              <w:jc w:val="center"/>
              <w:rPr>
                <w:rFonts w:hAnsi="宋体" w:cs="Arial"/>
                <w:sz w:val="24"/>
              </w:rPr>
            </w:pPr>
          </w:p>
        </w:tc>
        <w:tc>
          <w:tcPr>
            <w:tcW w:w="975" w:type="dxa"/>
            <w:vAlign w:val="top"/>
          </w:tcPr>
          <w:p>
            <w:pPr>
              <w:spacing w:line="400" w:lineRule="exact"/>
              <w:jc w:val="center"/>
              <w:rPr>
                <w:rFonts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7" w:type="dxa"/>
            <w:vAlign w:val="top"/>
          </w:tcPr>
          <w:p>
            <w:pPr>
              <w:spacing w:line="400" w:lineRule="exact"/>
              <w:jc w:val="center"/>
              <w:rPr>
                <w:rFonts w:hAnsi="宋体" w:cs="Arial"/>
                <w:sz w:val="24"/>
              </w:rPr>
            </w:pPr>
          </w:p>
        </w:tc>
        <w:tc>
          <w:tcPr>
            <w:tcW w:w="1063" w:type="dxa"/>
            <w:vAlign w:val="top"/>
          </w:tcPr>
          <w:p>
            <w:pPr>
              <w:spacing w:line="400" w:lineRule="exact"/>
              <w:jc w:val="center"/>
              <w:rPr>
                <w:rFonts w:hAnsi="宋体" w:cs="Arial"/>
                <w:sz w:val="24"/>
              </w:rPr>
            </w:pPr>
          </w:p>
        </w:tc>
        <w:tc>
          <w:tcPr>
            <w:tcW w:w="1066" w:type="dxa"/>
            <w:vAlign w:val="top"/>
          </w:tcPr>
          <w:p>
            <w:pPr>
              <w:spacing w:line="400" w:lineRule="exact"/>
              <w:jc w:val="center"/>
              <w:rPr>
                <w:rFonts w:hAnsi="宋体" w:cs="Arial"/>
                <w:sz w:val="24"/>
              </w:rPr>
            </w:pPr>
          </w:p>
        </w:tc>
        <w:tc>
          <w:tcPr>
            <w:tcW w:w="1065" w:type="dxa"/>
            <w:vAlign w:val="top"/>
          </w:tcPr>
          <w:p>
            <w:pPr>
              <w:spacing w:line="400" w:lineRule="exact"/>
              <w:jc w:val="center"/>
              <w:rPr>
                <w:rFonts w:hAnsi="宋体" w:cs="Arial"/>
                <w:sz w:val="24"/>
              </w:rPr>
            </w:pPr>
          </w:p>
        </w:tc>
        <w:tc>
          <w:tcPr>
            <w:tcW w:w="1394" w:type="dxa"/>
            <w:vAlign w:val="top"/>
          </w:tcPr>
          <w:p>
            <w:pPr>
              <w:spacing w:line="400" w:lineRule="exact"/>
              <w:jc w:val="center"/>
              <w:rPr>
                <w:rFonts w:hAnsi="宋体" w:cs="Arial"/>
                <w:sz w:val="24"/>
              </w:rPr>
            </w:pPr>
          </w:p>
        </w:tc>
        <w:tc>
          <w:tcPr>
            <w:tcW w:w="974" w:type="dxa"/>
            <w:vAlign w:val="top"/>
          </w:tcPr>
          <w:p>
            <w:pPr>
              <w:spacing w:line="400" w:lineRule="exact"/>
              <w:jc w:val="center"/>
              <w:rPr>
                <w:rFonts w:hAnsi="宋体" w:cs="Arial"/>
                <w:sz w:val="24"/>
              </w:rPr>
            </w:pPr>
          </w:p>
        </w:tc>
        <w:tc>
          <w:tcPr>
            <w:tcW w:w="1112" w:type="dxa"/>
            <w:vAlign w:val="top"/>
          </w:tcPr>
          <w:p>
            <w:pPr>
              <w:spacing w:line="400" w:lineRule="exact"/>
              <w:jc w:val="center"/>
              <w:rPr>
                <w:rFonts w:hAnsi="宋体" w:cs="Arial"/>
                <w:sz w:val="24"/>
              </w:rPr>
            </w:pPr>
          </w:p>
        </w:tc>
        <w:tc>
          <w:tcPr>
            <w:tcW w:w="975" w:type="dxa"/>
            <w:vAlign w:val="top"/>
          </w:tcPr>
          <w:p>
            <w:pPr>
              <w:spacing w:line="400" w:lineRule="exact"/>
              <w:jc w:val="center"/>
              <w:rPr>
                <w:rFonts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7" w:type="dxa"/>
            <w:vAlign w:val="top"/>
          </w:tcPr>
          <w:p>
            <w:pPr>
              <w:spacing w:line="400" w:lineRule="exact"/>
              <w:jc w:val="center"/>
              <w:rPr>
                <w:rFonts w:hAnsi="宋体" w:cs="Arial"/>
                <w:sz w:val="24"/>
              </w:rPr>
            </w:pPr>
          </w:p>
        </w:tc>
        <w:tc>
          <w:tcPr>
            <w:tcW w:w="1063" w:type="dxa"/>
            <w:vAlign w:val="top"/>
          </w:tcPr>
          <w:p>
            <w:pPr>
              <w:spacing w:line="400" w:lineRule="exact"/>
              <w:jc w:val="center"/>
              <w:rPr>
                <w:rFonts w:hAnsi="宋体" w:cs="Arial"/>
                <w:sz w:val="24"/>
              </w:rPr>
            </w:pPr>
          </w:p>
        </w:tc>
        <w:tc>
          <w:tcPr>
            <w:tcW w:w="1066" w:type="dxa"/>
            <w:vAlign w:val="top"/>
          </w:tcPr>
          <w:p>
            <w:pPr>
              <w:spacing w:line="400" w:lineRule="exact"/>
              <w:jc w:val="center"/>
              <w:rPr>
                <w:rFonts w:hAnsi="宋体" w:cs="Arial"/>
                <w:sz w:val="24"/>
              </w:rPr>
            </w:pPr>
          </w:p>
        </w:tc>
        <w:tc>
          <w:tcPr>
            <w:tcW w:w="1065" w:type="dxa"/>
            <w:vAlign w:val="top"/>
          </w:tcPr>
          <w:p>
            <w:pPr>
              <w:spacing w:line="400" w:lineRule="exact"/>
              <w:jc w:val="center"/>
              <w:rPr>
                <w:rFonts w:hAnsi="宋体" w:cs="Arial"/>
                <w:sz w:val="24"/>
              </w:rPr>
            </w:pPr>
          </w:p>
        </w:tc>
        <w:tc>
          <w:tcPr>
            <w:tcW w:w="1394" w:type="dxa"/>
            <w:vAlign w:val="top"/>
          </w:tcPr>
          <w:p>
            <w:pPr>
              <w:spacing w:line="400" w:lineRule="exact"/>
              <w:jc w:val="center"/>
              <w:rPr>
                <w:rFonts w:hAnsi="宋体" w:cs="Arial"/>
                <w:sz w:val="24"/>
              </w:rPr>
            </w:pPr>
          </w:p>
        </w:tc>
        <w:tc>
          <w:tcPr>
            <w:tcW w:w="974" w:type="dxa"/>
            <w:vAlign w:val="top"/>
          </w:tcPr>
          <w:p>
            <w:pPr>
              <w:spacing w:line="400" w:lineRule="exact"/>
              <w:jc w:val="center"/>
              <w:rPr>
                <w:rFonts w:hAnsi="宋体" w:cs="Arial"/>
                <w:sz w:val="24"/>
              </w:rPr>
            </w:pPr>
          </w:p>
        </w:tc>
        <w:tc>
          <w:tcPr>
            <w:tcW w:w="1112" w:type="dxa"/>
            <w:vAlign w:val="top"/>
          </w:tcPr>
          <w:p>
            <w:pPr>
              <w:spacing w:line="400" w:lineRule="exact"/>
              <w:jc w:val="center"/>
              <w:rPr>
                <w:rFonts w:hAnsi="宋体" w:cs="Arial"/>
                <w:sz w:val="24"/>
              </w:rPr>
            </w:pPr>
          </w:p>
        </w:tc>
        <w:tc>
          <w:tcPr>
            <w:tcW w:w="975" w:type="dxa"/>
            <w:vAlign w:val="top"/>
          </w:tcPr>
          <w:p>
            <w:pPr>
              <w:spacing w:line="400" w:lineRule="exact"/>
              <w:jc w:val="center"/>
              <w:rPr>
                <w:rFonts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7" w:type="dxa"/>
            <w:vAlign w:val="top"/>
          </w:tcPr>
          <w:p>
            <w:pPr>
              <w:spacing w:line="400" w:lineRule="exact"/>
              <w:jc w:val="center"/>
              <w:rPr>
                <w:rFonts w:hAnsi="宋体" w:cs="Arial"/>
                <w:sz w:val="24"/>
              </w:rPr>
            </w:pPr>
          </w:p>
        </w:tc>
        <w:tc>
          <w:tcPr>
            <w:tcW w:w="1063" w:type="dxa"/>
            <w:vAlign w:val="top"/>
          </w:tcPr>
          <w:p>
            <w:pPr>
              <w:spacing w:line="400" w:lineRule="exact"/>
              <w:jc w:val="center"/>
              <w:rPr>
                <w:rFonts w:hAnsi="宋体" w:cs="Arial"/>
                <w:sz w:val="24"/>
              </w:rPr>
            </w:pPr>
          </w:p>
        </w:tc>
        <w:tc>
          <w:tcPr>
            <w:tcW w:w="1066" w:type="dxa"/>
            <w:vAlign w:val="top"/>
          </w:tcPr>
          <w:p>
            <w:pPr>
              <w:spacing w:line="400" w:lineRule="exact"/>
              <w:jc w:val="center"/>
              <w:rPr>
                <w:rFonts w:hAnsi="宋体" w:cs="Arial"/>
                <w:sz w:val="24"/>
              </w:rPr>
            </w:pPr>
          </w:p>
        </w:tc>
        <w:tc>
          <w:tcPr>
            <w:tcW w:w="1065" w:type="dxa"/>
            <w:vAlign w:val="top"/>
          </w:tcPr>
          <w:p>
            <w:pPr>
              <w:spacing w:line="400" w:lineRule="exact"/>
              <w:jc w:val="center"/>
              <w:rPr>
                <w:rFonts w:hAnsi="宋体" w:cs="Arial"/>
                <w:sz w:val="24"/>
              </w:rPr>
            </w:pPr>
          </w:p>
        </w:tc>
        <w:tc>
          <w:tcPr>
            <w:tcW w:w="1394" w:type="dxa"/>
            <w:vAlign w:val="top"/>
          </w:tcPr>
          <w:p>
            <w:pPr>
              <w:spacing w:line="400" w:lineRule="exact"/>
              <w:jc w:val="center"/>
              <w:rPr>
                <w:rFonts w:hAnsi="宋体" w:cs="Arial"/>
                <w:sz w:val="24"/>
              </w:rPr>
            </w:pPr>
          </w:p>
        </w:tc>
        <w:tc>
          <w:tcPr>
            <w:tcW w:w="974" w:type="dxa"/>
            <w:vAlign w:val="top"/>
          </w:tcPr>
          <w:p>
            <w:pPr>
              <w:spacing w:line="400" w:lineRule="exact"/>
              <w:jc w:val="center"/>
              <w:rPr>
                <w:rFonts w:hAnsi="宋体" w:cs="Arial"/>
                <w:sz w:val="24"/>
              </w:rPr>
            </w:pPr>
          </w:p>
        </w:tc>
        <w:tc>
          <w:tcPr>
            <w:tcW w:w="1112" w:type="dxa"/>
            <w:vAlign w:val="top"/>
          </w:tcPr>
          <w:p>
            <w:pPr>
              <w:spacing w:line="400" w:lineRule="exact"/>
              <w:jc w:val="center"/>
              <w:rPr>
                <w:rFonts w:hAnsi="宋体" w:cs="Arial"/>
                <w:sz w:val="24"/>
              </w:rPr>
            </w:pPr>
          </w:p>
        </w:tc>
        <w:tc>
          <w:tcPr>
            <w:tcW w:w="975" w:type="dxa"/>
            <w:vAlign w:val="top"/>
          </w:tcPr>
          <w:p>
            <w:pPr>
              <w:spacing w:line="400" w:lineRule="exact"/>
              <w:jc w:val="center"/>
              <w:rPr>
                <w:rFonts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7" w:type="dxa"/>
            <w:vAlign w:val="top"/>
          </w:tcPr>
          <w:p>
            <w:pPr>
              <w:spacing w:line="400" w:lineRule="exact"/>
              <w:jc w:val="center"/>
              <w:rPr>
                <w:rFonts w:hAnsi="宋体" w:cs="Arial"/>
                <w:sz w:val="24"/>
              </w:rPr>
            </w:pPr>
          </w:p>
        </w:tc>
        <w:tc>
          <w:tcPr>
            <w:tcW w:w="1063" w:type="dxa"/>
            <w:vAlign w:val="top"/>
          </w:tcPr>
          <w:p>
            <w:pPr>
              <w:spacing w:line="400" w:lineRule="exact"/>
              <w:jc w:val="center"/>
              <w:rPr>
                <w:rFonts w:hAnsi="宋体" w:cs="Arial"/>
                <w:b/>
                <w:bCs/>
                <w:sz w:val="24"/>
              </w:rPr>
            </w:pPr>
          </w:p>
        </w:tc>
        <w:tc>
          <w:tcPr>
            <w:tcW w:w="1066" w:type="dxa"/>
            <w:vAlign w:val="top"/>
          </w:tcPr>
          <w:p>
            <w:pPr>
              <w:spacing w:line="400" w:lineRule="exact"/>
              <w:jc w:val="center"/>
              <w:rPr>
                <w:rFonts w:hAnsi="宋体" w:cs="Arial"/>
                <w:b/>
                <w:bCs/>
                <w:sz w:val="24"/>
              </w:rPr>
            </w:pPr>
          </w:p>
        </w:tc>
        <w:tc>
          <w:tcPr>
            <w:tcW w:w="1065" w:type="dxa"/>
            <w:vAlign w:val="top"/>
          </w:tcPr>
          <w:p>
            <w:pPr>
              <w:spacing w:line="400" w:lineRule="exact"/>
              <w:jc w:val="center"/>
              <w:rPr>
                <w:rFonts w:hAnsi="宋体" w:cs="Arial"/>
                <w:b/>
                <w:bCs/>
                <w:sz w:val="24"/>
              </w:rPr>
            </w:pPr>
          </w:p>
        </w:tc>
        <w:tc>
          <w:tcPr>
            <w:tcW w:w="1394" w:type="dxa"/>
            <w:vAlign w:val="top"/>
          </w:tcPr>
          <w:p>
            <w:pPr>
              <w:spacing w:line="400" w:lineRule="exact"/>
              <w:jc w:val="center"/>
              <w:rPr>
                <w:rFonts w:hAnsi="宋体" w:cs="Arial"/>
                <w:b/>
                <w:bCs/>
                <w:sz w:val="24"/>
              </w:rPr>
            </w:pPr>
          </w:p>
        </w:tc>
        <w:tc>
          <w:tcPr>
            <w:tcW w:w="974" w:type="dxa"/>
            <w:vAlign w:val="top"/>
          </w:tcPr>
          <w:p>
            <w:pPr>
              <w:spacing w:line="400" w:lineRule="exact"/>
              <w:jc w:val="center"/>
              <w:rPr>
                <w:rFonts w:hAnsi="宋体" w:cs="Arial"/>
                <w:b/>
                <w:bCs/>
                <w:sz w:val="24"/>
              </w:rPr>
            </w:pPr>
          </w:p>
        </w:tc>
        <w:tc>
          <w:tcPr>
            <w:tcW w:w="1112" w:type="dxa"/>
            <w:vAlign w:val="top"/>
          </w:tcPr>
          <w:p>
            <w:pPr>
              <w:spacing w:line="400" w:lineRule="exact"/>
              <w:jc w:val="center"/>
              <w:rPr>
                <w:rFonts w:hAnsi="宋体" w:cs="Arial"/>
                <w:b/>
                <w:bCs/>
                <w:sz w:val="24"/>
              </w:rPr>
            </w:pPr>
          </w:p>
        </w:tc>
        <w:tc>
          <w:tcPr>
            <w:tcW w:w="975" w:type="dxa"/>
            <w:vAlign w:val="top"/>
          </w:tcPr>
          <w:p>
            <w:pPr>
              <w:spacing w:line="400" w:lineRule="exact"/>
              <w:jc w:val="center"/>
              <w:rPr>
                <w:rFonts w:hAnsi="宋体" w:cs="Arial"/>
                <w:b/>
                <w:bCs/>
                <w:sz w:val="24"/>
              </w:rPr>
            </w:pPr>
          </w:p>
        </w:tc>
      </w:tr>
    </w:tbl>
    <w:p>
      <w:pPr>
        <w:rPr>
          <w:rFonts w:hint="eastAsia" w:hAnsi="宋体"/>
          <w:b/>
          <w:bCs/>
          <w:sz w:val="18"/>
          <w:szCs w:val="18"/>
        </w:rPr>
      </w:pPr>
      <w:r>
        <w:rPr>
          <w:rFonts w:hint="eastAsia" w:hAnsi="宋体"/>
          <w:b/>
          <w:bCs/>
          <w:sz w:val="18"/>
          <w:szCs w:val="18"/>
        </w:rPr>
        <w:t>注：1、提供人员所需证明材料详见综合评分明细表。如不实，属于弄虚作假，取消磋商或成交资格。</w:t>
      </w:r>
    </w:p>
    <w:p>
      <w:pPr>
        <w:ind w:firstLine="361" w:firstLineChars="200"/>
        <w:rPr>
          <w:rFonts w:hint="eastAsia" w:hAnsi="宋体"/>
          <w:b/>
          <w:bCs/>
          <w:sz w:val="18"/>
          <w:szCs w:val="18"/>
        </w:rPr>
      </w:pPr>
      <w:r>
        <w:rPr>
          <w:rFonts w:hint="eastAsia" w:hAnsi="宋体"/>
          <w:b/>
          <w:bCs/>
          <w:sz w:val="18"/>
          <w:szCs w:val="18"/>
        </w:rPr>
        <w:t>2、供应商可根据实际情况增加或变动此表格式。</w:t>
      </w:r>
    </w:p>
    <w:p>
      <w:pPr>
        <w:widowControl/>
        <w:spacing w:line="360" w:lineRule="auto"/>
        <w:ind w:firstLine="480" w:firstLineChars="200"/>
        <w:jc w:val="left"/>
        <w:outlineLvl w:val="1"/>
        <w:rPr>
          <w:rFonts w:hint="eastAsia"/>
          <w:sz w:val="24"/>
        </w:rPr>
      </w:pPr>
    </w:p>
    <w:p>
      <w:pPr>
        <w:widowControl/>
        <w:spacing w:line="360" w:lineRule="auto"/>
        <w:ind w:firstLine="480" w:firstLineChars="200"/>
        <w:jc w:val="left"/>
        <w:outlineLvl w:val="1"/>
        <w:rPr>
          <w:rFonts w:hint="eastAsia"/>
          <w:sz w:val="24"/>
        </w:rPr>
      </w:pPr>
    </w:p>
    <w:p>
      <w:pPr>
        <w:widowControl/>
        <w:spacing w:line="360" w:lineRule="auto"/>
        <w:ind w:firstLine="480" w:firstLineChars="200"/>
        <w:jc w:val="left"/>
        <w:outlineLvl w:val="1"/>
        <w:rPr>
          <w:rFonts w:hint="eastAsia"/>
          <w:sz w:val="24"/>
        </w:rPr>
      </w:pPr>
    </w:p>
    <w:p>
      <w:pPr>
        <w:widowControl/>
        <w:spacing w:line="360" w:lineRule="auto"/>
        <w:ind w:firstLine="480" w:firstLineChars="200"/>
        <w:jc w:val="left"/>
        <w:outlineLvl w:val="1"/>
        <w:rPr>
          <w:rFonts w:hint="eastAsia"/>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476" w:leftChars="140"/>
        <w:rPr>
          <w:rFonts w:hint="eastAsia" w:eastAsia="宋体"/>
          <w:sz w:val="24"/>
          <w:lang w:eastAsia="zh-CN"/>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p>
    <w:p>
      <w:pPr>
        <w:spacing w:line="360" w:lineRule="auto"/>
        <w:ind w:left="476" w:leftChars="140"/>
        <w:rPr>
          <w:rFonts w:hint="eastAsia"/>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p>
    <w:p>
      <w:pPr>
        <w:pStyle w:val="15"/>
        <w:tabs>
          <w:tab w:val="left" w:pos="0"/>
        </w:tabs>
        <w:ind w:left="0" w:leftChars="0"/>
        <w:jc w:val="left"/>
        <w:rPr>
          <w:rFonts w:hint="eastAsia" w:ascii="黑体" w:eastAsia="黑体"/>
          <w:b/>
          <w:sz w:val="32"/>
          <w:szCs w:val="32"/>
        </w:rPr>
      </w:pPr>
      <w:r>
        <w:rPr>
          <w:rFonts w:hint="eastAsia" w:ascii="黑体" w:eastAsia="黑体"/>
          <w:b/>
          <w:sz w:val="32"/>
          <w:szCs w:val="32"/>
        </w:rPr>
        <w:t>附件2-6</w:t>
      </w:r>
    </w:p>
    <w:p>
      <w:pPr>
        <w:ind w:firstLine="2249" w:firstLineChars="700"/>
        <w:rPr>
          <w:rFonts w:hint="eastAsia" w:ascii="黑体" w:eastAsia="黑体"/>
          <w:b/>
          <w:sz w:val="32"/>
          <w:szCs w:val="32"/>
        </w:rPr>
      </w:pPr>
      <w:r>
        <w:rPr>
          <w:rFonts w:hint="eastAsia" w:ascii="黑体" w:eastAsia="黑体"/>
          <w:b/>
          <w:sz w:val="32"/>
          <w:szCs w:val="32"/>
        </w:rPr>
        <w:t>供应商类似项目业绩一览表</w:t>
      </w:r>
    </w:p>
    <w:p>
      <w:pPr>
        <w:tabs>
          <w:tab w:val="left" w:pos="555"/>
          <w:tab w:val="left" w:pos="2214"/>
          <w:tab w:val="left" w:pos="3774"/>
          <w:tab w:val="left" w:pos="4854"/>
          <w:tab w:val="left" w:pos="5934"/>
          <w:tab w:val="left" w:pos="7014"/>
          <w:tab w:val="left" w:pos="8214"/>
          <w:tab w:val="left" w:pos="10134"/>
          <w:tab w:val="left" w:pos="11124"/>
        </w:tabs>
        <w:ind w:firstLine="405"/>
        <w:rPr>
          <w:rFonts w:hint="eastAsia" w:hAnsi="宋体" w:cs="Arial"/>
          <w:szCs w:val="21"/>
        </w:rPr>
      </w:pPr>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0"/>
        <w:gridCol w:w="1541"/>
        <w:gridCol w:w="1682"/>
        <w:gridCol w:w="1637"/>
        <w:gridCol w:w="2142"/>
        <w:gridCol w:w="10"/>
        <w:gridCol w:w="13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70" w:type="dxa"/>
            <w:tcBorders>
              <w:top w:val="single" w:color="auto" w:sz="4" w:space="0"/>
            </w:tcBorders>
            <w:vAlign w:val="center"/>
          </w:tcPr>
          <w:p>
            <w:pPr>
              <w:spacing w:line="400" w:lineRule="exact"/>
              <w:ind w:firstLine="105" w:firstLineChars="50"/>
              <w:jc w:val="center"/>
              <w:rPr>
                <w:rFonts w:hint="eastAsia" w:hAnsi="宋体" w:cs="Arial"/>
                <w:b/>
                <w:sz w:val="21"/>
                <w:szCs w:val="21"/>
              </w:rPr>
            </w:pPr>
            <w:r>
              <w:rPr>
                <w:rFonts w:hint="eastAsia" w:hAnsi="宋体" w:cs="Arial"/>
                <w:b/>
                <w:sz w:val="21"/>
                <w:szCs w:val="21"/>
              </w:rPr>
              <w:t>年份</w:t>
            </w:r>
          </w:p>
        </w:tc>
        <w:tc>
          <w:tcPr>
            <w:tcW w:w="1541" w:type="dxa"/>
            <w:vAlign w:val="center"/>
          </w:tcPr>
          <w:p>
            <w:pPr>
              <w:spacing w:line="400" w:lineRule="exact"/>
              <w:jc w:val="center"/>
              <w:rPr>
                <w:rFonts w:hint="eastAsia" w:hAnsi="宋体" w:cs="Arial"/>
                <w:b/>
                <w:sz w:val="21"/>
                <w:szCs w:val="21"/>
              </w:rPr>
            </w:pPr>
            <w:r>
              <w:rPr>
                <w:rFonts w:hint="eastAsia" w:hAnsi="宋体" w:cs="Arial"/>
                <w:b/>
                <w:sz w:val="21"/>
                <w:szCs w:val="21"/>
              </w:rPr>
              <w:t>用户名称</w:t>
            </w:r>
          </w:p>
        </w:tc>
        <w:tc>
          <w:tcPr>
            <w:tcW w:w="1682" w:type="dxa"/>
            <w:vAlign w:val="center"/>
          </w:tcPr>
          <w:p>
            <w:pPr>
              <w:spacing w:line="400" w:lineRule="exact"/>
              <w:jc w:val="center"/>
              <w:rPr>
                <w:rFonts w:hAnsi="宋体" w:cs="Arial"/>
                <w:b/>
                <w:sz w:val="21"/>
                <w:szCs w:val="21"/>
              </w:rPr>
            </w:pPr>
            <w:r>
              <w:rPr>
                <w:rFonts w:hAnsi="宋体" w:cs="Arial"/>
                <w:b/>
                <w:sz w:val="21"/>
                <w:szCs w:val="21"/>
              </w:rPr>
              <w:t>项目名称</w:t>
            </w:r>
          </w:p>
        </w:tc>
        <w:tc>
          <w:tcPr>
            <w:tcW w:w="1637" w:type="dxa"/>
            <w:vAlign w:val="center"/>
          </w:tcPr>
          <w:p>
            <w:pPr>
              <w:spacing w:line="400" w:lineRule="exact"/>
              <w:jc w:val="center"/>
              <w:rPr>
                <w:rFonts w:hAnsi="宋体" w:cs="Arial"/>
                <w:b/>
                <w:sz w:val="21"/>
                <w:szCs w:val="21"/>
              </w:rPr>
            </w:pPr>
            <w:r>
              <w:rPr>
                <w:rFonts w:hAnsi="宋体" w:cs="Arial"/>
                <w:b/>
                <w:sz w:val="21"/>
                <w:szCs w:val="21"/>
              </w:rPr>
              <w:t>完成时间</w:t>
            </w:r>
          </w:p>
        </w:tc>
        <w:tc>
          <w:tcPr>
            <w:tcW w:w="2152" w:type="dxa"/>
            <w:gridSpan w:val="2"/>
            <w:tcBorders>
              <w:right w:val="single" w:color="auto" w:sz="4" w:space="0"/>
            </w:tcBorders>
            <w:vAlign w:val="center"/>
          </w:tcPr>
          <w:p>
            <w:pPr>
              <w:spacing w:line="400" w:lineRule="exact"/>
              <w:jc w:val="center"/>
              <w:rPr>
                <w:rFonts w:hint="eastAsia" w:hAnsi="宋体" w:cs="Arial"/>
                <w:b/>
                <w:sz w:val="21"/>
                <w:szCs w:val="21"/>
              </w:rPr>
            </w:pPr>
            <w:r>
              <w:rPr>
                <w:rFonts w:hAnsi="宋体" w:cs="Arial"/>
                <w:b/>
                <w:sz w:val="21"/>
                <w:szCs w:val="21"/>
              </w:rPr>
              <w:t>合同金额</w:t>
            </w:r>
          </w:p>
        </w:tc>
        <w:tc>
          <w:tcPr>
            <w:tcW w:w="1396" w:type="dxa"/>
            <w:tcBorders>
              <w:left w:val="single" w:color="auto" w:sz="4" w:space="0"/>
            </w:tcBorders>
            <w:vAlign w:val="center"/>
          </w:tcPr>
          <w:p>
            <w:pPr>
              <w:spacing w:line="400" w:lineRule="exact"/>
              <w:jc w:val="center"/>
              <w:rPr>
                <w:rFonts w:hint="eastAsia" w:hAnsi="宋体" w:cs="Arial"/>
                <w:b/>
                <w:sz w:val="21"/>
                <w:szCs w:val="21"/>
              </w:rPr>
            </w:pPr>
            <w:r>
              <w:rPr>
                <w:rFonts w:hint="eastAsia"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vAlign w:val="center"/>
          </w:tcPr>
          <w:p>
            <w:pPr>
              <w:spacing w:line="400" w:lineRule="exact"/>
              <w:jc w:val="center"/>
              <w:rPr>
                <w:rFonts w:hAnsi="宋体" w:cs="Arial"/>
                <w:sz w:val="28"/>
                <w:szCs w:val="28"/>
              </w:rPr>
            </w:pPr>
          </w:p>
        </w:tc>
        <w:tc>
          <w:tcPr>
            <w:tcW w:w="1682" w:type="dxa"/>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52" w:type="dxa"/>
            <w:gridSpan w:val="2"/>
            <w:tcBorders>
              <w:right w:val="single" w:color="auto" w:sz="4" w:space="0"/>
            </w:tcBorders>
            <w:vAlign w:val="center"/>
          </w:tcPr>
          <w:p>
            <w:pPr>
              <w:spacing w:line="400" w:lineRule="exact"/>
              <w:jc w:val="center"/>
              <w:rPr>
                <w:rFonts w:hAnsi="宋体" w:cs="Arial"/>
                <w:sz w:val="28"/>
                <w:szCs w:val="28"/>
              </w:rPr>
            </w:pPr>
          </w:p>
        </w:tc>
        <w:tc>
          <w:tcPr>
            <w:tcW w:w="1396" w:type="dxa"/>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vAlign w:val="center"/>
          </w:tcPr>
          <w:p>
            <w:pPr>
              <w:spacing w:line="400" w:lineRule="exact"/>
              <w:jc w:val="center"/>
              <w:rPr>
                <w:rFonts w:hAnsi="宋体" w:cs="Arial"/>
                <w:sz w:val="28"/>
                <w:szCs w:val="28"/>
              </w:rPr>
            </w:pPr>
          </w:p>
        </w:tc>
        <w:tc>
          <w:tcPr>
            <w:tcW w:w="1682" w:type="dxa"/>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52" w:type="dxa"/>
            <w:gridSpan w:val="2"/>
            <w:tcBorders>
              <w:right w:val="single" w:color="auto" w:sz="4" w:space="0"/>
            </w:tcBorders>
            <w:vAlign w:val="center"/>
          </w:tcPr>
          <w:p>
            <w:pPr>
              <w:spacing w:line="400" w:lineRule="exact"/>
              <w:jc w:val="center"/>
              <w:rPr>
                <w:rFonts w:hAnsi="宋体" w:cs="Arial"/>
                <w:sz w:val="28"/>
                <w:szCs w:val="28"/>
              </w:rPr>
            </w:pPr>
          </w:p>
        </w:tc>
        <w:tc>
          <w:tcPr>
            <w:tcW w:w="1396" w:type="dxa"/>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vAlign w:val="center"/>
          </w:tcPr>
          <w:p>
            <w:pPr>
              <w:spacing w:line="400" w:lineRule="exact"/>
              <w:jc w:val="center"/>
              <w:rPr>
                <w:rFonts w:hAnsi="宋体" w:cs="Arial"/>
                <w:sz w:val="28"/>
                <w:szCs w:val="28"/>
              </w:rPr>
            </w:pPr>
          </w:p>
        </w:tc>
        <w:tc>
          <w:tcPr>
            <w:tcW w:w="1682" w:type="dxa"/>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52" w:type="dxa"/>
            <w:gridSpan w:val="2"/>
            <w:tcBorders>
              <w:right w:val="single" w:color="auto" w:sz="4" w:space="0"/>
            </w:tcBorders>
            <w:vAlign w:val="center"/>
          </w:tcPr>
          <w:p>
            <w:pPr>
              <w:spacing w:line="400" w:lineRule="exact"/>
              <w:jc w:val="center"/>
              <w:rPr>
                <w:rFonts w:hAnsi="宋体" w:cs="Arial"/>
                <w:sz w:val="28"/>
                <w:szCs w:val="28"/>
              </w:rPr>
            </w:pPr>
          </w:p>
        </w:tc>
        <w:tc>
          <w:tcPr>
            <w:tcW w:w="1396" w:type="dxa"/>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tcBorders>
              <w:right w:val="single" w:color="auto" w:sz="4" w:space="0"/>
            </w:tcBorders>
            <w:vAlign w:val="center"/>
          </w:tcPr>
          <w:p>
            <w:pPr>
              <w:spacing w:line="400" w:lineRule="exact"/>
              <w:jc w:val="center"/>
              <w:rPr>
                <w:rFonts w:hAnsi="宋体" w:cs="Arial"/>
                <w:sz w:val="28"/>
                <w:szCs w:val="28"/>
              </w:rPr>
            </w:pPr>
          </w:p>
        </w:tc>
        <w:tc>
          <w:tcPr>
            <w:tcW w:w="1682" w:type="dxa"/>
            <w:tcBorders>
              <w:left w:val="single" w:color="auto" w:sz="4" w:space="0"/>
            </w:tcBorders>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52" w:type="dxa"/>
            <w:gridSpan w:val="2"/>
            <w:tcBorders>
              <w:right w:val="single" w:color="auto" w:sz="4" w:space="0"/>
            </w:tcBorders>
            <w:vAlign w:val="center"/>
          </w:tcPr>
          <w:p>
            <w:pPr>
              <w:spacing w:line="400" w:lineRule="exact"/>
              <w:jc w:val="center"/>
              <w:rPr>
                <w:rFonts w:hAnsi="宋体" w:cs="Arial"/>
                <w:sz w:val="28"/>
                <w:szCs w:val="28"/>
              </w:rPr>
            </w:pPr>
          </w:p>
        </w:tc>
        <w:tc>
          <w:tcPr>
            <w:tcW w:w="1396" w:type="dxa"/>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tcBorders>
              <w:right w:val="single" w:color="auto" w:sz="4" w:space="0"/>
            </w:tcBorders>
            <w:vAlign w:val="center"/>
          </w:tcPr>
          <w:p>
            <w:pPr>
              <w:spacing w:line="400" w:lineRule="exact"/>
              <w:rPr>
                <w:rFonts w:hint="eastAsia" w:hAnsi="宋体" w:cs="Arial"/>
                <w:sz w:val="28"/>
                <w:szCs w:val="28"/>
              </w:rPr>
            </w:pPr>
          </w:p>
        </w:tc>
        <w:tc>
          <w:tcPr>
            <w:tcW w:w="1541" w:type="dxa"/>
            <w:tcBorders>
              <w:left w:val="single" w:color="auto" w:sz="4" w:space="0"/>
              <w:right w:val="single" w:color="auto" w:sz="4" w:space="0"/>
            </w:tcBorders>
            <w:vAlign w:val="center"/>
          </w:tcPr>
          <w:p>
            <w:pPr>
              <w:spacing w:line="400" w:lineRule="exact"/>
              <w:rPr>
                <w:rFonts w:hint="eastAsia" w:hAnsi="宋体" w:cs="Arial"/>
                <w:sz w:val="28"/>
                <w:szCs w:val="28"/>
              </w:rPr>
            </w:pPr>
          </w:p>
        </w:tc>
        <w:tc>
          <w:tcPr>
            <w:tcW w:w="1682" w:type="dxa"/>
            <w:tcBorders>
              <w:left w:val="single" w:color="auto" w:sz="4" w:space="0"/>
              <w:right w:val="single" w:color="auto" w:sz="4" w:space="0"/>
            </w:tcBorders>
            <w:vAlign w:val="center"/>
          </w:tcPr>
          <w:p>
            <w:pPr>
              <w:spacing w:line="400" w:lineRule="exact"/>
              <w:rPr>
                <w:rFonts w:hint="eastAsia" w:hAnsi="宋体" w:cs="Arial"/>
                <w:sz w:val="28"/>
                <w:szCs w:val="28"/>
              </w:rPr>
            </w:pPr>
          </w:p>
        </w:tc>
        <w:tc>
          <w:tcPr>
            <w:tcW w:w="1637" w:type="dxa"/>
            <w:tcBorders>
              <w:left w:val="single" w:color="auto" w:sz="4" w:space="0"/>
              <w:right w:val="single" w:color="auto" w:sz="4" w:space="0"/>
            </w:tcBorders>
            <w:vAlign w:val="center"/>
          </w:tcPr>
          <w:p>
            <w:pPr>
              <w:spacing w:line="400" w:lineRule="exact"/>
              <w:rPr>
                <w:rFonts w:hint="eastAsia" w:hAnsi="宋体" w:cs="Arial"/>
                <w:sz w:val="28"/>
                <w:szCs w:val="28"/>
              </w:rPr>
            </w:pPr>
          </w:p>
        </w:tc>
        <w:tc>
          <w:tcPr>
            <w:tcW w:w="2152" w:type="dxa"/>
            <w:gridSpan w:val="2"/>
            <w:tcBorders>
              <w:left w:val="single" w:color="auto" w:sz="4" w:space="0"/>
              <w:right w:val="single" w:color="auto" w:sz="4" w:space="0"/>
            </w:tcBorders>
            <w:vAlign w:val="center"/>
          </w:tcPr>
          <w:p>
            <w:pPr>
              <w:spacing w:line="400" w:lineRule="exact"/>
              <w:rPr>
                <w:rFonts w:hint="eastAsia" w:hAnsi="宋体" w:cs="Arial"/>
                <w:sz w:val="28"/>
                <w:szCs w:val="28"/>
              </w:rPr>
            </w:pPr>
          </w:p>
        </w:tc>
        <w:tc>
          <w:tcPr>
            <w:tcW w:w="1396" w:type="dxa"/>
            <w:tcBorders>
              <w:left w:val="single" w:color="auto" w:sz="4" w:space="0"/>
            </w:tcBorders>
            <w:vAlign w:val="center"/>
          </w:tcPr>
          <w:p>
            <w:pPr>
              <w:spacing w:line="400" w:lineRule="exact"/>
              <w:rPr>
                <w:rFonts w:hint="eastAsia"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rPr>
                <w:rFonts w:hint="eastAsia" w:hAnsi="宋体" w:cs="Arial"/>
                <w:sz w:val="28"/>
                <w:szCs w:val="28"/>
              </w:rPr>
            </w:pPr>
          </w:p>
        </w:tc>
        <w:tc>
          <w:tcPr>
            <w:tcW w:w="1541" w:type="dxa"/>
            <w:vAlign w:val="center"/>
          </w:tcPr>
          <w:p>
            <w:pPr>
              <w:spacing w:line="400" w:lineRule="exact"/>
              <w:rPr>
                <w:rFonts w:hint="eastAsia" w:hAnsi="宋体" w:cs="Arial"/>
                <w:sz w:val="28"/>
                <w:szCs w:val="28"/>
              </w:rPr>
            </w:pPr>
          </w:p>
        </w:tc>
        <w:tc>
          <w:tcPr>
            <w:tcW w:w="1682" w:type="dxa"/>
            <w:vAlign w:val="center"/>
          </w:tcPr>
          <w:p>
            <w:pPr>
              <w:spacing w:line="400" w:lineRule="exact"/>
              <w:rPr>
                <w:rFonts w:hint="eastAsia" w:hAnsi="宋体" w:cs="Arial"/>
                <w:sz w:val="28"/>
                <w:szCs w:val="28"/>
              </w:rPr>
            </w:pPr>
          </w:p>
        </w:tc>
        <w:tc>
          <w:tcPr>
            <w:tcW w:w="1637" w:type="dxa"/>
            <w:vAlign w:val="center"/>
          </w:tcPr>
          <w:p>
            <w:pPr>
              <w:spacing w:line="400" w:lineRule="exact"/>
              <w:rPr>
                <w:rFonts w:hint="eastAsia" w:hAnsi="宋体" w:cs="Arial"/>
                <w:sz w:val="28"/>
                <w:szCs w:val="28"/>
              </w:rPr>
            </w:pPr>
          </w:p>
        </w:tc>
        <w:tc>
          <w:tcPr>
            <w:tcW w:w="2142" w:type="dxa"/>
            <w:tcBorders>
              <w:right w:val="single" w:color="auto" w:sz="4" w:space="0"/>
            </w:tcBorders>
            <w:vAlign w:val="center"/>
          </w:tcPr>
          <w:p>
            <w:pPr>
              <w:spacing w:line="400" w:lineRule="exact"/>
              <w:rPr>
                <w:rFonts w:hint="eastAsia" w:hAnsi="宋体" w:cs="Arial"/>
                <w:sz w:val="28"/>
                <w:szCs w:val="28"/>
              </w:rPr>
            </w:pPr>
          </w:p>
        </w:tc>
        <w:tc>
          <w:tcPr>
            <w:tcW w:w="1406" w:type="dxa"/>
            <w:gridSpan w:val="2"/>
            <w:tcBorders>
              <w:left w:val="single" w:color="auto" w:sz="4" w:space="0"/>
            </w:tcBorders>
            <w:vAlign w:val="center"/>
          </w:tcPr>
          <w:p>
            <w:pPr>
              <w:spacing w:line="400" w:lineRule="exact"/>
              <w:rPr>
                <w:rFonts w:hint="eastAsia"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vAlign w:val="center"/>
          </w:tcPr>
          <w:p>
            <w:pPr>
              <w:spacing w:line="400" w:lineRule="exact"/>
              <w:jc w:val="center"/>
              <w:rPr>
                <w:rFonts w:hAnsi="宋体" w:cs="Arial"/>
                <w:sz w:val="28"/>
                <w:szCs w:val="28"/>
              </w:rPr>
            </w:pPr>
          </w:p>
        </w:tc>
        <w:tc>
          <w:tcPr>
            <w:tcW w:w="1682" w:type="dxa"/>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42" w:type="dxa"/>
            <w:tcBorders>
              <w:right w:val="single" w:color="auto" w:sz="4" w:space="0"/>
            </w:tcBorders>
            <w:vAlign w:val="center"/>
          </w:tcPr>
          <w:p>
            <w:pPr>
              <w:spacing w:line="400" w:lineRule="exact"/>
              <w:jc w:val="center"/>
              <w:rPr>
                <w:rFonts w:hAnsi="宋体" w:cs="Arial"/>
                <w:sz w:val="28"/>
                <w:szCs w:val="28"/>
              </w:rPr>
            </w:pPr>
          </w:p>
        </w:tc>
        <w:tc>
          <w:tcPr>
            <w:tcW w:w="1406" w:type="dxa"/>
            <w:gridSpan w:val="2"/>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0" w:type="dxa"/>
            <w:vAlign w:val="center"/>
          </w:tcPr>
          <w:p>
            <w:pPr>
              <w:spacing w:line="400" w:lineRule="exact"/>
              <w:jc w:val="center"/>
              <w:rPr>
                <w:rFonts w:hAnsi="宋体" w:cs="Arial"/>
                <w:sz w:val="28"/>
                <w:szCs w:val="28"/>
              </w:rPr>
            </w:pPr>
          </w:p>
        </w:tc>
        <w:tc>
          <w:tcPr>
            <w:tcW w:w="1541" w:type="dxa"/>
            <w:vAlign w:val="center"/>
          </w:tcPr>
          <w:p>
            <w:pPr>
              <w:spacing w:line="400" w:lineRule="exact"/>
              <w:jc w:val="center"/>
              <w:rPr>
                <w:rFonts w:hAnsi="宋体" w:cs="Arial"/>
                <w:sz w:val="28"/>
                <w:szCs w:val="28"/>
              </w:rPr>
            </w:pPr>
          </w:p>
        </w:tc>
        <w:tc>
          <w:tcPr>
            <w:tcW w:w="1682" w:type="dxa"/>
            <w:vAlign w:val="center"/>
          </w:tcPr>
          <w:p>
            <w:pPr>
              <w:spacing w:line="400" w:lineRule="exact"/>
              <w:jc w:val="center"/>
              <w:rPr>
                <w:rFonts w:hAnsi="宋体" w:cs="Arial"/>
                <w:sz w:val="28"/>
                <w:szCs w:val="28"/>
              </w:rPr>
            </w:pPr>
          </w:p>
        </w:tc>
        <w:tc>
          <w:tcPr>
            <w:tcW w:w="1637" w:type="dxa"/>
            <w:vAlign w:val="center"/>
          </w:tcPr>
          <w:p>
            <w:pPr>
              <w:spacing w:line="400" w:lineRule="exact"/>
              <w:jc w:val="center"/>
              <w:rPr>
                <w:rFonts w:hAnsi="宋体" w:cs="Arial"/>
                <w:sz w:val="28"/>
                <w:szCs w:val="28"/>
              </w:rPr>
            </w:pPr>
          </w:p>
        </w:tc>
        <w:tc>
          <w:tcPr>
            <w:tcW w:w="2142" w:type="dxa"/>
            <w:tcBorders>
              <w:right w:val="single" w:color="auto" w:sz="4" w:space="0"/>
            </w:tcBorders>
            <w:vAlign w:val="center"/>
          </w:tcPr>
          <w:p>
            <w:pPr>
              <w:spacing w:line="400" w:lineRule="exact"/>
              <w:jc w:val="center"/>
              <w:rPr>
                <w:rFonts w:hAnsi="宋体" w:cs="Arial"/>
                <w:sz w:val="28"/>
                <w:szCs w:val="28"/>
              </w:rPr>
            </w:pPr>
          </w:p>
        </w:tc>
        <w:tc>
          <w:tcPr>
            <w:tcW w:w="1406" w:type="dxa"/>
            <w:gridSpan w:val="2"/>
            <w:tcBorders>
              <w:left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70" w:type="dxa"/>
            <w:tcBorders>
              <w:bottom w:val="single" w:color="auto" w:sz="4" w:space="0"/>
            </w:tcBorders>
            <w:vAlign w:val="center"/>
          </w:tcPr>
          <w:p>
            <w:pPr>
              <w:spacing w:line="400" w:lineRule="exact"/>
              <w:jc w:val="center"/>
              <w:rPr>
                <w:rFonts w:hAnsi="宋体" w:cs="Arial"/>
                <w:sz w:val="28"/>
                <w:szCs w:val="28"/>
              </w:rPr>
            </w:pPr>
          </w:p>
        </w:tc>
        <w:tc>
          <w:tcPr>
            <w:tcW w:w="1541" w:type="dxa"/>
            <w:tcBorders>
              <w:bottom w:val="single" w:color="auto" w:sz="4" w:space="0"/>
            </w:tcBorders>
            <w:vAlign w:val="center"/>
          </w:tcPr>
          <w:p>
            <w:pPr>
              <w:spacing w:line="400" w:lineRule="exact"/>
              <w:jc w:val="center"/>
              <w:rPr>
                <w:rFonts w:hAnsi="宋体" w:cs="Arial"/>
                <w:sz w:val="28"/>
                <w:szCs w:val="28"/>
              </w:rPr>
            </w:pPr>
          </w:p>
        </w:tc>
        <w:tc>
          <w:tcPr>
            <w:tcW w:w="1682" w:type="dxa"/>
            <w:tcBorders>
              <w:bottom w:val="single" w:color="auto" w:sz="4" w:space="0"/>
            </w:tcBorders>
            <w:vAlign w:val="center"/>
          </w:tcPr>
          <w:p>
            <w:pPr>
              <w:spacing w:line="400" w:lineRule="exact"/>
              <w:jc w:val="center"/>
              <w:rPr>
                <w:rFonts w:hAnsi="宋体" w:cs="Arial"/>
                <w:sz w:val="28"/>
                <w:szCs w:val="28"/>
              </w:rPr>
            </w:pPr>
          </w:p>
        </w:tc>
        <w:tc>
          <w:tcPr>
            <w:tcW w:w="1637" w:type="dxa"/>
            <w:tcBorders>
              <w:bottom w:val="single" w:color="auto" w:sz="4" w:space="0"/>
            </w:tcBorders>
            <w:vAlign w:val="center"/>
          </w:tcPr>
          <w:p>
            <w:pPr>
              <w:spacing w:line="400" w:lineRule="exact"/>
              <w:jc w:val="center"/>
              <w:rPr>
                <w:rFonts w:hAnsi="宋体" w:cs="Arial"/>
                <w:sz w:val="28"/>
                <w:szCs w:val="28"/>
              </w:rPr>
            </w:pPr>
          </w:p>
        </w:tc>
        <w:tc>
          <w:tcPr>
            <w:tcW w:w="2142" w:type="dxa"/>
            <w:tcBorders>
              <w:bottom w:val="single" w:color="auto" w:sz="4" w:space="0"/>
              <w:right w:val="single" w:color="auto" w:sz="4" w:space="0"/>
            </w:tcBorders>
            <w:vAlign w:val="center"/>
          </w:tcPr>
          <w:p>
            <w:pPr>
              <w:spacing w:line="400" w:lineRule="exact"/>
              <w:jc w:val="center"/>
              <w:rPr>
                <w:rFonts w:hAnsi="宋体" w:cs="Arial"/>
                <w:sz w:val="28"/>
                <w:szCs w:val="28"/>
              </w:rPr>
            </w:pPr>
          </w:p>
        </w:tc>
        <w:tc>
          <w:tcPr>
            <w:tcW w:w="1406" w:type="dxa"/>
            <w:gridSpan w:val="2"/>
            <w:tcBorders>
              <w:left w:val="single" w:color="auto" w:sz="4" w:space="0"/>
              <w:bottom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70"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541"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82"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37"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2142" w:type="dxa"/>
            <w:tcBorders>
              <w:top w:val="single" w:color="auto" w:sz="4" w:space="0"/>
              <w:bottom w:val="single" w:color="auto" w:sz="4" w:space="0"/>
              <w:right w:val="single" w:color="auto" w:sz="4" w:space="0"/>
            </w:tcBorders>
            <w:vAlign w:val="center"/>
          </w:tcPr>
          <w:p>
            <w:pPr>
              <w:spacing w:line="400" w:lineRule="exact"/>
              <w:jc w:val="center"/>
              <w:rPr>
                <w:rFonts w:hAnsi="宋体" w:cs="Arial"/>
                <w:sz w:val="28"/>
                <w:szCs w:val="28"/>
              </w:rPr>
            </w:pPr>
          </w:p>
        </w:tc>
        <w:tc>
          <w:tcPr>
            <w:tcW w:w="1406"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70"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541"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82"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37"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2142" w:type="dxa"/>
            <w:tcBorders>
              <w:top w:val="single" w:color="auto" w:sz="4" w:space="0"/>
              <w:bottom w:val="single" w:color="auto" w:sz="4" w:space="0"/>
              <w:right w:val="single" w:color="auto" w:sz="4" w:space="0"/>
            </w:tcBorders>
            <w:vAlign w:val="center"/>
          </w:tcPr>
          <w:p>
            <w:pPr>
              <w:spacing w:line="400" w:lineRule="exact"/>
              <w:jc w:val="center"/>
              <w:rPr>
                <w:rFonts w:hAnsi="宋体" w:cs="Arial"/>
                <w:sz w:val="28"/>
                <w:szCs w:val="28"/>
              </w:rPr>
            </w:pPr>
          </w:p>
        </w:tc>
        <w:tc>
          <w:tcPr>
            <w:tcW w:w="1406"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70"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541"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82"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1637" w:type="dxa"/>
            <w:tcBorders>
              <w:top w:val="single" w:color="auto" w:sz="4" w:space="0"/>
              <w:bottom w:val="single" w:color="auto" w:sz="4" w:space="0"/>
            </w:tcBorders>
            <w:vAlign w:val="center"/>
          </w:tcPr>
          <w:p>
            <w:pPr>
              <w:spacing w:line="400" w:lineRule="exact"/>
              <w:jc w:val="center"/>
              <w:rPr>
                <w:rFonts w:hAnsi="宋体" w:cs="Arial"/>
                <w:sz w:val="28"/>
                <w:szCs w:val="28"/>
              </w:rPr>
            </w:pPr>
          </w:p>
        </w:tc>
        <w:tc>
          <w:tcPr>
            <w:tcW w:w="2142" w:type="dxa"/>
            <w:tcBorders>
              <w:top w:val="single" w:color="auto" w:sz="4" w:space="0"/>
              <w:bottom w:val="single" w:color="auto" w:sz="4" w:space="0"/>
              <w:right w:val="single" w:color="auto" w:sz="4" w:space="0"/>
            </w:tcBorders>
            <w:vAlign w:val="center"/>
          </w:tcPr>
          <w:p>
            <w:pPr>
              <w:spacing w:line="400" w:lineRule="exact"/>
              <w:jc w:val="center"/>
              <w:rPr>
                <w:rFonts w:hAnsi="宋体" w:cs="Arial"/>
                <w:sz w:val="28"/>
                <w:szCs w:val="28"/>
              </w:rPr>
            </w:pPr>
          </w:p>
        </w:tc>
        <w:tc>
          <w:tcPr>
            <w:tcW w:w="1406"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70" w:type="dxa"/>
            <w:tcBorders>
              <w:top w:val="single" w:color="auto" w:sz="4" w:space="0"/>
            </w:tcBorders>
            <w:vAlign w:val="center"/>
          </w:tcPr>
          <w:p>
            <w:pPr>
              <w:spacing w:line="400" w:lineRule="exact"/>
              <w:jc w:val="center"/>
              <w:rPr>
                <w:rFonts w:hAnsi="宋体" w:cs="Arial"/>
                <w:sz w:val="28"/>
                <w:szCs w:val="28"/>
              </w:rPr>
            </w:pPr>
          </w:p>
        </w:tc>
        <w:tc>
          <w:tcPr>
            <w:tcW w:w="1541" w:type="dxa"/>
            <w:tcBorders>
              <w:top w:val="single" w:color="auto" w:sz="4" w:space="0"/>
            </w:tcBorders>
            <w:vAlign w:val="center"/>
          </w:tcPr>
          <w:p>
            <w:pPr>
              <w:spacing w:line="400" w:lineRule="exact"/>
              <w:jc w:val="center"/>
              <w:rPr>
                <w:rFonts w:hAnsi="宋体" w:cs="Arial"/>
                <w:sz w:val="28"/>
                <w:szCs w:val="28"/>
              </w:rPr>
            </w:pPr>
          </w:p>
        </w:tc>
        <w:tc>
          <w:tcPr>
            <w:tcW w:w="1682" w:type="dxa"/>
            <w:tcBorders>
              <w:top w:val="single" w:color="auto" w:sz="4" w:space="0"/>
            </w:tcBorders>
            <w:vAlign w:val="center"/>
          </w:tcPr>
          <w:p>
            <w:pPr>
              <w:spacing w:line="400" w:lineRule="exact"/>
              <w:jc w:val="center"/>
              <w:rPr>
                <w:rFonts w:hAnsi="宋体" w:cs="Arial"/>
                <w:sz w:val="28"/>
                <w:szCs w:val="28"/>
              </w:rPr>
            </w:pPr>
          </w:p>
        </w:tc>
        <w:tc>
          <w:tcPr>
            <w:tcW w:w="1637" w:type="dxa"/>
            <w:tcBorders>
              <w:top w:val="single" w:color="auto" w:sz="4" w:space="0"/>
            </w:tcBorders>
            <w:vAlign w:val="center"/>
          </w:tcPr>
          <w:p>
            <w:pPr>
              <w:spacing w:line="400" w:lineRule="exact"/>
              <w:jc w:val="center"/>
              <w:rPr>
                <w:rFonts w:hAnsi="宋体" w:cs="Arial"/>
                <w:sz w:val="28"/>
                <w:szCs w:val="28"/>
              </w:rPr>
            </w:pPr>
          </w:p>
        </w:tc>
        <w:tc>
          <w:tcPr>
            <w:tcW w:w="2142" w:type="dxa"/>
            <w:tcBorders>
              <w:top w:val="single" w:color="auto" w:sz="4" w:space="0"/>
              <w:right w:val="single" w:color="auto" w:sz="4" w:space="0"/>
            </w:tcBorders>
            <w:vAlign w:val="center"/>
          </w:tcPr>
          <w:p>
            <w:pPr>
              <w:spacing w:line="400" w:lineRule="exact"/>
              <w:jc w:val="center"/>
              <w:rPr>
                <w:rFonts w:hAnsi="宋体" w:cs="Arial"/>
                <w:sz w:val="28"/>
                <w:szCs w:val="28"/>
              </w:rPr>
            </w:pPr>
          </w:p>
        </w:tc>
        <w:tc>
          <w:tcPr>
            <w:tcW w:w="1406" w:type="dxa"/>
            <w:gridSpan w:val="2"/>
            <w:tcBorders>
              <w:top w:val="single" w:color="auto" w:sz="4" w:space="0"/>
              <w:left w:val="single" w:color="auto" w:sz="4" w:space="0"/>
            </w:tcBorders>
            <w:vAlign w:val="center"/>
          </w:tcPr>
          <w:p>
            <w:pPr>
              <w:spacing w:line="400" w:lineRule="exact"/>
              <w:jc w:val="center"/>
              <w:rPr>
                <w:rFonts w:hAnsi="宋体" w:cs="Arial"/>
                <w:sz w:val="28"/>
                <w:szCs w:val="28"/>
              </w:rPr>
            </w:pPr>
          </w:p>
        </w:tc>
      </w:tr>
    </w:tbl>
    <w:p>
      <w:pPr>
        <w:rPr>
          <w:rFonts w:hint="eastAsia" w:hAnsi="宋体" w:cs="华文中宋"/>
          <w:b/>
          <w:bCs/>
          <w:sz w:val="18"/>
          <w:szCs w:val="18"/>
        </w:rPr>
      </w:pPr>
      <w:r>
        <w:rPr>
          <w:rFonts w:hint="eastAsia" w:hAnsi="宋体" w:cs="Arial"/>
          <w:b/>
          <w:bCs/>
          <w:sz w:val="18"/>
          <w:szCs w:val="18"/>
        </w:rPr>
        <w:t>注：1、提供业绩证明材料详见综合评分明细表。</w:t>
      </w:r>
      <w:r>
        <w:rPr>
          <w:rFonts w:hint="eastAsia" w:hAnsi="宋体" w:cs="华文中宋"/>
          <w:b/>
          <w:bCs/>
          <w:sz w:val="18"/>
          <w:szCs w:val="18"/>
        </w:rPr>
        <w:t>如不实，属于弄虚作假，取消磋商或成交资格。</w:t>
      </w:r>
    </w:p>
    <w:p>
      <w:pPr>
        <w:rPr>
          <w:rFonts w:hint="eastAsia" w:hAnsi="宋体" w:cs="Arial"/>
          <w:b/>
          <w:bCs/>
          <w:szCs w:val="21"/>
          <w:highlight w:val="red"/>
        </w:rPr>
      </w:pPr>
      <w:r>
        <w:rPr>
          <w:rFonts w:hint="eastAsia" w:hAnsi="宋体" w:cs="华文中宋"/>
          <w:b/>
          <w:bCs/>
          <w:sz w:val="18"/>
          <w:szCs w:val="18"/>
        </w:rPr>
        <w:t xml:space="preserve">    2、供应商可根据实际情况增加或变动此表格式。</w:t>
      </w:r>
    </w:p>
    <w:p>
      <w:pPr>
        <w:tabs>
          <w:tab w:val="left" w:pos="555"/>
          <w:tab w:val="left" w:pos="2214"/>
          <w:tab w:val="left" w:pos="3774"/>
          <w:tab w:val="left" w:pos="4854"/>
          <w:tab w:val="left" w:pos="5934"/>
          <w:tab w:val="left" w:pos="7014"/>
          <w:tab w:val="left" w:pos="8214"/>
          <w:tab w:val="left" w:pos="10134"/>
          <w:tab w:val="left" w:pos="11124"/>
        </w:tabs>
        <w:ind w:firstLine="405"/>
        <w:rPr>
          <w:rFonts w:hint="eastAsia" w:hAnsi="宋体" w:cs="Arial"/>
          <w:szCs w:val="21"/>
        </w:rPr>
      </w:pPr>
    </w:p>
    <w:p>
      <w:pPr>
        <w:spacing w:line="400" w:lineRule="exact"/>
        <w:ind w:left="360"/>
        <w:jc w:val="center"/>
        <w:rPr>
          <w:rFonts w:hint="eastAsia" w:hAnsi="宋体" w:cs="Arial"/>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eastAsia="宋体"/>
          <w:sz w:val="24"/>
          <w:u w:val="single"/>
          <w:lang w:eastAsia="zh-CN"/>
        </w:rPr>
      </w:pPr>
      <w:r>
        <w:rPr>
          <w:rFonts w:hint="eastAsia"/>
          <w:sz w:val="24"/>
        </w:rPr>
        <w:t>法定代表人或授权代表（签字或加盖个人名章）：</w:t>
      </w:r>
      <w:r>
        <w:rPr>
          <w:rFonts w:hint="eastAsia" w:hAnsi="宋体"/>
          <w:sz w:val="24"/>
          <w:u w:val="single"/>
        </w:rPr>
        <w:t xml:space="preserve">              </w:t>
      </w:r>
      <w:r>
        <w:rPr>
          <w:rFonts w:hint="eastAsia"/>
          <w:sz w:val="24"/>
          <w:u w:val="single"/>
        </w:rPr>
        <w:t xml:space="preserve">      </w:t>
      </w:r>
    </w:p>
    <w:p>
      <w:pPr>
        <w:widowControl/>
        <w:spacing w:line="360" w:lineRule="auto"/>
        <w:ind w:left="476" w:leftChars="140"/>
        <w:jc w:val="left"/>
        <w:outlineLvl w:val="1"/>
        <w:rPr>
          <w:rFonts w:hint="eastAsia"/>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widowControl/>
        <w:spacing w:line="360" w:lineRule="atLeast"/>
        <w:jc w:val="left"/>
        <w:outlineLvl w:val="1"/>
        <w:rPr>
          <w:rFonts w:hint="eastAsia"/>
          <w:sz w:val="24"/>
        </w:rPr>
      </w:pPr>
    </w:p>
    <w:p>
      <w:pPr>
        <w:pStyle w:val="15"/>
        <w:ind w:left="0" w:leftChars="0"/>
        <w:rPr>
          <w:rFonts w:hAnsi="宋体" w:cs="宋体"/>
          <w:bCs/>
          <w:sz w:val="24"/>
          <w:u w:val="single"/>
        </w:rPr>
      </w:pPr>
    </w:p>
    <w:p>
      <w:pPr>
        <w:pStyle w:val="5"/>
        <w:spacing w:line="400" w:lineRule="exact"/>
        <w:jc w:val="left"/>
        <w:rPr>
          <w:rFonts w:hAnsi="宋体" w:cs="华文中宋"/>
          <w:b w:val="0"/>
          <w:bCs w:val="0"/>
        </w:rPr>
      </w:pPr>
      <w:r>
        <w:rPr>
          <w:rFonts w:hint="eastAsia" w:ascii="黑体"/>
        </w:rPr>
        <w:t>附件2-7</w:t>
      </w:r>
    </w:p>
    <w:p>
      <w:pPr>
        <w:pStyle w:val="11"/>
        <w:jc w:val="center"/>
        <w:rPr>
          <w:rFonts w:hint="eastAsia" w:hAnsi="宋体" w:cs="华文中宋"/>
          <w:b/>
          <w:bCs/>
        </w:rPr>
      </w:pPr>
      <w:r>
        <w:rPr>
          <w:rFonts w:hint="eastAsia" w:hAnsi="宋体" w:cs="华文中宋"/>
          <w:b/>
          <w:bCs/>
          <w:lang w:eastAsia="zh-CN"/>
        </w:rPr>
        <w:t>服务</w:t>
      </w:r>
      <w:r>
        <w:rPr>
          <w:rFonts w:hint="eastAsia" w:hAnsi="宋体" w:cs="华文中宋"/>
          <w:b/>
          <w:bCs/>
        </w:rPr>
        <w:t>方案</w:t>
      </w:r>
    </w:p>
    <w:p>
      <w:pPr>
        <w:pStyle w:val="11"/>
        <w:jc w:val="center"/>
        <w:rPr>
          <w:rFonts w:hint="eastAsia" w:hAnsi="宋体" w:cs="华文中宋"/>
          <w:b/>
          <w:bCs/>
        </w:rPr>
      </w:pPr>
    </w:p>
    <w:p>
      <w:pPr>
        <w:ind w:firstLine="480" w:firstLineChars="200"/>
        <w:rPr>
          <w:rFonts w:hint="eastAsia"/>
          <w:sz w:val="24"/>
        </w:rPr>
      </w:pPr>
      <w:r>
        <w:rPr>
          <w:rFonts w:hint="eastAsia"/>
          <w:sz w:val="24"/>
        </w:rPr>
        <w:t>格式由供应商自拟。</w:t>
      </w:r>
    </w:p>
    <w:p>
      <w:pPr>
        <w:pStyle w:val="5"/>
        <w:spacing w:line="400" w:lineRule="exact"/>
        <w:jc w:val="left"/>
        <w:rPr>
          <w:rFonts w:hint="eastAsia" w:ascii="黑体"/>
        </w:rPr>
      </w:pPr>
    </w:p>
    <w:p>
      <w:pPr>
        <w:pStyle w:val="5"/>
        <w:spacing w:line="400" w:lineRule="exact"/>
        <w:jc w:val="left"/>
        <w:rPr>
          <w:rFonts w:ascii="黑体" w:eastAsia="黑体"/>
          <w:b w:val="0"/>
          <w:sz w:val="32"/>
          <w:szCs w:val="32"/>
        </w:rPr>
      </w:pPr>
      <w:r>
        <w:rPr>
          <w:rFonts w:hint="eastAsia" w:ascii="黑体"/>
        </w:rPr>
        <w:br w:type="page"/>
      </w:r>
      <w:r>
        <w:rPr>
          <w:rFonts w:hint="eastAsia" w:ascii="黑体"/>
        </w:rPr>
        <w:t>附件2-8</w:t>
      </w:r>
    </w:p>
    <w:p>
      <w:pPr>
        <w:pStyle w:val="11"/>
        <w:rPr>
          <w:rFonts w:hint="eastAsia"/>
        </w:rPr>
      </w:pPr>
    </w:p>
    <w:p>
      <w:pPr>
        <w:pStyle w:val="5"/>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5"/>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5"/>
        <w:spacing w:line="400" w:lineRule="exact"/>
        <w:rPr>
          <w:rFonts w:hint="eastAsia" w:ascii="宋体" w:hAnsi="Times New Roman" w:eastAsia="宋体"/>
          <w:b w:val="0"/>
          <w:bCs w:val="0"/>
          <w:sz w:val="24"/>
          <w:szCs w:val="24"/>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680" w:firstLine="480" w:firstLineChars="200"/>
        <w:rPr>
          <w:rFonts w:hAnsi="宋体" w:cs="宋体"/>
          <w:bCs/>
          <w:sz w:val="24"/>
          <w:u w:val="single"/>
        </w:rPr>
      </w:pPr>
    </w:p>
    <w:p>
      <w:pPr>
        <w:pStyle w:val="15"/>
        <w:ind w:left="0" w:leftChars="0"/>
        <w:rPr>
          <w:rFonts w:hAnsi="宋体" w:cs="宋体"/>
          <w:bCs/>
          <w:sz w:val="24"/>
          <w:u w:val="single"/>
        </w:rPr>
      </w:pPr>
    </w:p>
    <w:p>
      <w:pPr>
        <w:pStyle w:val="3"/>
        <w:rPr>
          <w:rFonts w:hint="eastAsia" w:hAnsi="宋体"/>
          <w:sz w:val="24"/>
          <w:szCs w:val="24"/>
        </w:rPr>
      </w:pPr>
      <w:bookmarkStart w:id="122" w:name="_Toc29203"/>
      <w:bookmarkStart w:id="123" w:name="_Toc1731"/>
      <w:r>
        <w:rPr>
          <w:rFonts w:hint="eastAsia"/>
          <w:sz w:val="36"/>
          <w:szCs w:val="36"/>
        </w:rPr>
        <w:t>第九章  评审方法</w:t>
      </w:r>
      <w:bookmarkEnd w:id="122"/>
      <w:bookmarkEnd w:id="123"/>
    </w:p>
    <w:p>
      <w:pPr>
        <w:pStyle w:val="5"/>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5"/>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序号</w:t>
            </w:r>
          </w:p>
        </w:tc>
        <w:tc>
          <w:tcPr>
            <w:tcW w:w="4765" w:type="dxa"/>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1</w:t>
            </w:r>
          </w:p>
        </w:tc>
        <w:tc>
          <w:tcPr>
            <w:tcW w:w="4765" w:type="dxa"/>
            <w:vAlign w:val="center"/>
          </w:tcPr>
          <w:p>
            <w:pPr>
              <w:jc w:val="left"/>
              <w:rPr>
                <w:rFonts w:hint="eastAsia" w:hAnsi="宋体" w:cs="宋体"/>
                <w:sz w:val="24"/>
                <w:szCs w:val="24"/>
              </w:rPr>
            </w:pPr>
            <w:r>
              <w:rPr>
                <w:rFonts w:hint="eastAsia"/>
                <w:sz w:val="24"/>
              </w:rPr>
              <w:t>按照本磋商文件第四章要求提供证明材料。</w:t>
            </w:r>
          </w:p>
        </w:tc>
        <w:tc>
          <w:tcPr>
            <w:tcW w:w="2724" w:type="dxa"/>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Align w:val="center"/>
          </w:tcPr>
          <w:p>
            <w:pPr>
              <w:jc w:val="center"/>
              <w:rPr>
                <w:rFonts w:hint="eastAsia" w:hAnsi="宋体" w:cs="宋体"/>
                <w:sz w:val="24"/>
                <w:szCs w:val="24"/>
              </w:rPr>
            </w:pPr>
            <w:r>
              <w:rPr>
                <w:rFonts w:hint="eastAsia" w:hAnsi="宋体" w:cs="宋体"/>
                <w:sz w:val="24"/>
                <w:szCs w:val="24"/>
              </w:rPr>
              <w:t>2</w:t>
            </w:r>
          </w:p>
        </w:tc>
        <w:tc>
          <w:tcPr>
            <w:tcW w:w="4765" w:type="dxa"/>
            <w:vAlign w:val="center"/>
          </w:tcPr>
          <w:p>
            <w:pPr>
              <w:jc w:val="left"/>
              <w:rPr>
                <w:rFonts w:hint="eastAsia" w:hAnsi="宋体" w:cs="宋体"/>
                <w:sz w:val="24"/>
                <w:szCs w:val="24"/>
              </w:rPr>
            </w:pPr>
            <w:r>
              <w:rPr>
                <w:rFonts w:hint="eastAsia"/>
                <w:sz w:val="24"/>
              </w:rPr>
              <w:t>不属于本磋商文件规定的禁止参加磋商的供应商。</w:t>
            </w:r>
          </w:p>
        </w:tc>
        <w:tc>
          <w:tcPr>
            <w:tcW w:w="2724" w:type="dxa"/>
            <w:vAlign w:val="center"/>
          </w:tcPr>
          <w:p>
            <w:pPr>
              <w:pStyle w:val="11"/>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vAlign w:val="center"/>
          </w:tcPr>
          <w:p>
            <w:pPr>
              <w:jc w:val="center"/>
              <w:rPr>
                <w:rFonts w:hAnsi="宋体" w:cs="宋体"/>
                <w:sz w:val="24"/>
                <w:szCs w:val="24"/>
              </w:rPr>
            </w:pPr>
            <w:r>
              <w:rPr>
                <w:rFonts w:hint="eastAsia" w:hAnsi="宋体" w:cs="宋体"/>
                <w:sz w:val="24"/>
                <w:szCs w:val="24"/>
              </w:rPr>
              <w:t>3</w:t>
            </w:r>
          </w:p>
        </w:tc>
        <w:tc>
          <w:tcPr>
            <w:tcW w:w="4765" w:type="dxa"/>
            <w:vAlign w:val="center"/>
          </w:tcPr>
          <w:p>
            <w:pPr>
              <w:jc w:val="left"/>
              <w:rPr>
                <w:rFonts w:hint="eastAsia"/>
                <w:sz w:val="24"/>
              </w:rPr>
            </w:pPr>
            <w:r>
              <w:rPr>
                <w:rFonts w:hint="eastAsia"/>
                <w:sz w:val="24"/>
              </w:rPr>
              <w:t>按照规定获取了磋商文件，属于实质性参加政府采购活动的供应商。</w:t>
            </w:r>
          </w:p>
        </w:tc>
        <w:tc>
          <w:tcPr>
            <w:tcW w:w="2724" w:type="dxa"/>
            <w:vAlign w:val="center"/>
          </w:tcPr>
          <w:p>
            <w:pPr>
              <w:pStyle w:val="11"/>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vAlign w:val="center"/>
          </w:tcPr>
          <w:p>
            <w:pPr>
              <w:pStyle w:val="11"/>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11"/>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Ansi="宋体"/>
                <w:sz w:val="24"/>
                <w:szCs w:val="24"/>
              </w:rPr>
            </w:pPr>
            <w:r>
              <w:rPr>
                <w:rFonts w:hint="eastAsia" w:hAnsi="宋体"/>
                <w:sz w:val="24"/>
                <w:szCs w:val="24"/>
              </w:rPr>
              <w:t>1</w:t>
            </w:r>
          </w:p>
        </w:tc>
        <w:tc>
          <w:tcPr>
            <w:tcW w:w="3239" w:type="dxa"/>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5"/>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证原件查验。否则，其响应文件将作为无效响应。）</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pStyle w:val="5"/>
        <w:keepNext w:val="0"/>
        <w:keepLines w:val="0"/>
        <w:spacing w:before="0" w:after="0" w:line="360" w:lineRule="auto"/>
        <w:ind w:firstLine="470" w:firstLineChars="196"/>
        <w:rPr>
          <w:rFonts w:hint="eastAsia" w:hAnsi="宋体"/>
          <w:b w:val="0"/>
          <w:bCs w:val="0"/>
          <w:color w:val="000000"/>
          <w:sz w:val="24"/>
        </w:rPr>
      </w:pPr>
      <w:r>
        <w:rPr>
          <w:rFonts w:hint="eastAsia" w:ascii="宋体" w:hAnsi="宋体" w:eastAsia="宋体" w:cs="Times New Roman"/>
          <w:b w:val="0"/>
          <w:bCs w:val="0"/>
          <w:sz w:val="24"/>
          <w:szCs w:val="24"/>
        </w:rPr>
        <w:t>2.5.1磋商结束后，磋商小组应当要求所有实质性响应的供应商在规定时间内提交最后报价（最后报价表详见附件</w:t>
      </w: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），提交最后报价的供应商不得少于</w:t>
      </w:r>
      <w:r>
        <w:rPr>
          <w:rFonts w:hint="eastAsia" w:ascii="宋体" w:hAnsi="宋体" w:eastAsia="宋体" w:cs="Times New Roman"/>
          <w:b w:val="0"/>
          <w:bCs w:val="0"/>
          <w:sz w:val="24"/>
          <w:szCs w:val="24"/>
          <w:lang w:val="en-US" w:eastAsia="zh-CN"/>
        </w:rPr>
        <w:t>3</w:t>
      </w:r>
      <w:r>
        <w:rPr>
          <w:rFonts w:hint="eastAsia" w:ascii="宋体" w:hAnsi="宋体" w:eastAsia="宋体" w:cs="Times New Roman"/>
          <w:b w:val="0"/>
          <w:bCs w:val="0"/>
          <w:sz w:val="24"/>
          <w:szCs w:val="24"/>
        </w:rPr>
        <w:t>家</w:t>
      </w: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color w:val="000000"/>
          <w:sz w:val="24"/>
          <w:szCs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eastAsia="宋体" w:cs="Times New Roman"/>
          <w:b w:val="0"/>
          <w:bCs w:val="0"/>
          <w:sz w:val="24"/>
          <w:szCs w:val="24"/>
          <w:lang w:eastAsia="zh-CN"/>
        </w:rPr>
        <w:t>】</w:t>
      </w:r>
      <w:r>
        <w:rPr>
          <w:rFonts w:hint="eastAsia" w:hAnsi="宋体"/>
          <w:b w:val="0"/>
          <w:bCs w:val="0"/>
          <w:color w:val="000000"/>
          <w:sz w:val="24"/>
          <w:highlight w:val="none"/>
        </w:rPr>
        <w:t>。</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1"/>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64"/>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1.在评审过程中，评审委员会认为供应商报价明显低于其它通过有效性、完整性和响应程度审查的供应商，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有可能影响产品质量或者不能诚信履约的，磋商小组应当要求其在谈判现场合理的时间内提供书面说明，并提交相关证明材料，供应商不能证明其报价合理性的，磋商小组应当将其作为无效处理。</w:t>
      </w:r>
    </w:p>
    <w:p>
      <w:pPr>
        <w:pStyle w:val="64"/>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11"/>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低顺序推荐2家及以上成交候选供应商，并编写磋商报告。评审得分相同的，按照最后报价由低到高的顺序推荐。评审得分且最后报价相同的，按照技术指标优劣顺序推荐。评审得分相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tabs>
          <w:tab w:val="left" w:pos="7031"/>
        </w:tabs>
        <w:spacing w:line="360" w:lineRule="auto"/>
        <w:ind w:firstLine="480" w:firstLineChars="200"/>
        <w:rPr>
          <w:rFonts w:hint="eastAsia" w:hAnsi="宋体"/>
          <w:sz w:val="24"/>
        </w:rPr>
      </w:pPr>
      <w:r>
        <w:rPr>
          <w:rFonts w:hint="eastAsia" w:hAnsi="宋体"/>
          <w:sz w:val="24"/>
        </w:rPr>
        <w:t>（3）分项评分超出评分标准范围的；</w:t>
      </w:r>
      <w:r>
        <w:rPr>
          <w:rFonts w:hint="eastAsia" w:hAnsi="宋体"/>
          <w:sz w:val="24"/>
        </w:rPr>
        <w:tab/>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rPr>
      </w:pPr>
      <w:r>
        <w:rPr>
          <w:rFonts w:hint="eastAsia" w:hAnsi="宋体"/>
          <w:sz w:val="24"/>
        </w:rPr>
        <w:t>（1）因情况变化，不再符合规定的竞争性磋商采购方式适用情形的；</w:t>
      </w:r>
    </w:p>
    <w:p>
      <w:pPr>
        <w:spacing w:line="360" w:lineRule="auto"/>
        <w:ind w:firstLine="480" w:firstLineChars="200"/>
        <w:rPr>
          <w:rFonts w:hint="eastAsia" w:hAnsi="宋体"/>
          <w:sz w:val="24"/>
        </w:rPr>
      </w:pPr>
      <w:r>
        <w:rPr>
          <w:rFonts w:hint="eastAsia" w:hAnsi="宋体"/>
          <w:sz w:val="24"/>
        </w:rPr>
        <w:t>（2）出现影响采购公正的违法、违规行为的；</w:t>
      </w:r>
    </w:p>
    <w:p>
      <w:pPr>
        <w:spacing w:line="360" w:lineRule="auto"/>
        <w:ind w:firstLine="480" w:firstLineChars="200"/>
        <w:rPr>
          <w:rFonts w:hAnsi="宋体"/>
          <w:color w:val="000000"/>
          <w:sz w:val="24"/>
        </w:rPr>
      </w:pPr>
      <w:r>
        <w:rPr>
          <w:rFonts w:hint="eastAsia" w:hAnsi="宋体"/>
          <w:color w:val="000000"/>
          <w:sz w:val="24"/>
        </w:rPr>
        <w:t>（3）在采购过程中通过资格性审查的供应商不足3家的；</w:t>
      </w:r>
    </w:p>
    <w:p>
      <w:pPr>
        <w:pStyle w:val="5"/>
        <w:keepNext w:val="0"/>
        <w:keepLines w:val="0"/>
        <w:spacing w:before="0" w:after="0" w:line="360" w:lineRule="auto"/>
        <w:ind w:firstLine="470" w:firstLineChars="196"/>
        <w:rPr>
          <w:rFonts w:hint="eastAsia" w:ascii="宋体" w:hAnsi="宋体" w:eastAsia="宋体" w:cs="Times New Roman"/>
          <w:b w:val="0"/>
          <w:bCs w:val="0"/>
          <w:sz w:val="24"/>
          <w:szCs w:val="20"/>
          <w:lang w:val="en-US" w:eastAsia="zh-CN" w:bidi="ar-SA"/>
        </w:rPr>
      </w:pPr>
      <w:r>
        <w:rPr>
          <w:rFonts w:hint="eastAsia" w:ascii="宋体" w:hAnsi="宋体" w:eastAsia="宋体" w:cs="Times New Roman"/>
          <w:b w:val="0"/>
          <w:bCs w:val="0"/>
          <w:sz w:val="24"/>
          <w:szCs w:val="20"/>
          <w:lang w:val="en-US" w:eastAsia="zh-CN" w:bidi="ar-SA"/>
        </w:rPr>
        <w:t>（4）磋商后符合要求的供应商或者报价未超过最高限价的供应商不足3家的【</w:t>
      </w:r>
      <w:r>
        <w:rPr>
          <w:rFonts w:hint="eastAsia" w:ascii="宋体" w:hAnsi="宋体" w:eastAsia="宋体" w:cs="Times New Roman"/>
          <w:b w:val="0"/>
          <w:bCs w:val="0"/>
          <w:sz w:val="24"/>
          <w:szCs w:val="20"/>
          <w:lang w:val="zh-CN" w:eastAsia="zh-CN" w:bidi="ar-SA"/>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r>
        <w:rPr>
          <w:rFonts w:hint="eastAsia" w:ascii="宋体" w:hAnsi="宋体" w:eastAsia="宋体" w:cs="Times New Roman"/>
          <w:b w:val="0"/>
          <w:bCs w:val="0"/>
          <w:sz w:val="24"/>
          <w:szCs w:val="20"/>
          <w:lang w:val="en-US" w:eastAsia="zh-CN" w:bidi="ar-SA"/>
        </w:rPr>
        <w:t>】。</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pStyle w:val="13"/>
        <w:tabs>
          <w:tab w:val="left" w:pos="600"/>
        </w:tabs>
        <w:spacing w:line="360" w:lineRule="auto"/>
        <w:ind w:firstLine="480" w:firstLineChars="200"/>
        <w:rPr>
          <w:rFonts w:hint="eastAsia"/>
          <w:sz w:val="24"/>
          <w:szCs w:val="24"/>
        </w:rPr>
      </w:pPr>
      <w:r>
        <w:rPr>
          <w:rFonts w:hint="eastAsia"/>
          <w:sz w:val="24"/>
          <w:szCs w:val="24"/>
        </w:rPr>
        <w:t>3.2综合评分明细表</w:t>
      </w:r>
    </w:p>
    <w:p>
      <w:pPr>
        <w:pStyle w:val="13"/>
        <w:tabs>
          <w:tab w:val="left" w:pos="600"/>
        </w:tabs>
        <w:spacing w:line="360" w:lineRule="auto"/>
        <w:ind w:firstLine="480" w:firstLineChars="200"/>
        <w:rPr>
          <w:rFonts w:hint="eastAsia"/>
          <w:sz w:val="24"/>
          <w:szCs w:val="24"/>
        </w:rPr>
      </w:pPr>
      <w:r>
        <w:rPr>
          <w:rFonts w:hint="eastAsia"/>
          <w:sz w:val="24"/>
          <w:szCs w:val="24"/>
        </w:rPr>
        <w:t>3.2.1综合评分明细表的制定以科学合理、降低评委会自由裁量权为原则。</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3.2.2综合评分明细表</w:t>
      </w:r>
    </w:p>
    <w:tbl>
      <w:tblPr>
        <w:tblStyle w:val="25"/>
        <w:tblW w:w="9526" w:type="dxa"/>
        <w:jc w:val="center"/>
        <w:tblLayout w:type="fixed"/>
        <w:tblCellMar>
          <w:top w:w="0" w:type="dxa"/>
          <w:left w:w="108" w:type="dxa"/>
          <w:bottom w:w="0" w:type="dxa"/>
          <w:right w:w="108" w:type="dxa"/>
        </w:tblCellMar>
      </w:tblPr>
      <w:tblGrid>
        <w:gridCol w:w="534"/>
        <w:gridCol w:w="1059"/>
        <w:gridCol w:w="730"/>
        <w:gridCol w:w="7203"/>
      </w:tblGrid>
      <w:tr>
        <w:tblPrEx>
          <w:tblCellMar>
            <w:top w:w="0" w:type="dxa"/>
            <w:left w:w="108" w:type="dxa"/>
            <w:bottom w:w="0" w:type="dxa"/>
            <w:right w:w="108" w:type="dxa"/>
          </w:tblCellMar>
        </w:tblPrEx>
        <w:trPr>
          <w:trHeight w:val="22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pStyle w:val="11"/>
              <w:rPr>
                <w:rFonts w:hint="eastAsia"/>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评分因素及权重</w:t>
            </w: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评分标准</w:t>
            </w:r>
          </w:p>
        </w:tc>
      </w:tr>
      <w:tr>
        <w:tblPrEx>
          <w:tblCellMar>
            <w:top w:w="0" w:type="dxa"/>
            <w:left w:w="108" w:type="dxa"/>
            <w:bottom w:w="0" w:type="dxa"/>
            <w:right w:w="108" w:type="dxa"/>
          </w:tblCellMar>
        </w:tblPrEx>
        <w:trPr>
          <w:trHeight w:val="1006"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7203" w:type="dxa"/>
            <w:tcBorders>
              <w:top w:val="single" w:color="auto" w:sz="4" w:space="0"/>
              <w:left w:val="single" w:color="auto" w:sz="4" w:space="0"/>
              <w:bottom w:val="single" w:color="auto" w:sz="4" w:space="0"/>
              <w:right w:val="single" w:color="auto" w:sz="4" w:space="0"/>
            </w:tcBorders>
            <w:vAlign w:val="center"/>
          </w:tcPr>
          <w:p>
            <w:pPr>
              <w:widowControl w:val="0"/>
              <w:kinsoku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价格得分=（评审基准价/最后报价）×10（评审基准价指满足磋商文件要求且价格最低的最后报价）。</w:t>
            </w:r>
          </w:p>
        </w:tc>
      </w:tr>
      <w:tr>
        <w:tblPrEx>
          <w:tblCellMar>
            <w:top w:w="0" w:type="dxa"/>
            <w:left w:w="108" w:type="dxa"/>
            <w:bottom w:w="0" w:type="dxa"/>
            <w:right w:w="108" w:type="dxa"/>
          </w:tblCellMar>
        </w:tblPrEx>
        <w:trPr>
          <w:trHeight w:val="1228"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5</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val="en-US" w:eastAsia="zh-CN"/>
              </w:rPr>
              <w:t>项目认识</w:t>
            </w:r>
            <w:r>
              <w:rPr>
                <w:rFonts w:hint="eastAsia" w:hAnsi="宋体" w:cs="宋体"/>
                <w:kern w:val="0"/>
                <w:sz w:val="24"/>
                <w:szCs w:val="24"/>
                <w:highlight w:val="none"/>
                <w:lang w:val="en-US" w:eastAsia="zh-CN"/>
              </w:rPr>
              <w:t>3</w:t>
            </w:r>
            <w:r>
              <w:rPr>
                <w:rFonts w:hint="eastAsia" w:ascii="宋体" w:hAnsi="宋体" w:eastAsia="宋体" w:cs="宋体"/>
                <w:kern w:val="0"/>
                <w:sz w:val="24"/>
                <w:szCs w:val="24"/>
                <w:highlight w:val="none"/>
              </w:rPr>
              <w:t>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供应商能够对项目的</w:t>
            </w:r>
            <w:r>
              <w:rPr>
                <w:rFonts w:hint="eastAsia" w:ascii="宋体" w:hAnsi="宋体" w:eastAsia="宋体" w:cs="宋体"/>
                <w:b w:val="0"/>
                <w:bCs w:val="0"/>
                <w:sz w:val="24"/>
                <w:szCs w:val="24"/>
                <w:highlight w:val="none"/>
              </w:rPr>
              <w:t>①项目背景</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②工作内容</w:t>
            </w:r>
            <w:r>
              <w:rPr>
                <w:rFonts w:hint="eastAsia" w:ascii="宋体" w:hAnsi="宋体" w:eastAsia="宋体" w:cs="宋体"/>
                <w:b w:val="0"/>
                <w:bCs w:val="0"/>
                <w:sz w:val="24"/>
                <w:szCs w:val="24"/>
                <w:highlight w:val="none"/>
                <w:lang w:eastAsia="zh-CN"/>
              </w:rPr>
              <w:t>；</w:t>
            </w:r>
            <w:r>
              <w:rPr>
                <w:rFonts w:hint="eastAsia" w:hAnsi="宋体" w:cs="宋体"/>
                <w:b w:val="0"/>
                <w:bCs w:val="0"/>
                <w:sz w:val="24"/>
                <w:szCs w:val="24"/>
                <w:highlight w:val="none"/>
                <w:lang w:val="en-US" w:eastAsia="zh-CN"/>
              </w:rPr>
              <w:t>③</w:t>
            </w:r>
            <w:r>
              <w:rPr>
                <w:rFonts w:hint="eastAsia" w:ascii="宋体" w:hAnsi="宋体" w:eastAsia="宋体" w:cs="宋体"/>
                <w:b w:val="0"/>
                <w:bCs w:val="0"/>
                <w:sz w:val="24"/>
                <w:szCs w:val="24"/>
                <w:highlight w:val="none"/>
              </w:rPr>
              <w:t>相关政策</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lang w:val="en-US" w:eastAsia="zh-CN"/>
              </w:rPr>
              <w:t>等内容进行认识和分析。</w:t>
            </w:r>
            <w:r>
              <w:rPr>
                <w:rFonts w:hint="eastAsia" w:ascii="宋体" w:hAnsi="宋体" w:eastAsia="宋体" w:cs="宋体"/>
                <w:sz w:val="24"/>
                <w:szCs w:val="24"/>
                <w:highlight w:val="none"/>
              </w:rPr>
              <w:t>每具有一项得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分；在此基础上，方案中存在缺陷或不足，每有一处扣</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分；扣完为止。</w:t>
            </w:r>
          </w:p>
          <w:p>
            <w:pPr>
              <w:bidi w:val="0"/>
              <w:spacing w:line="360" w:lineRule="auto"/>
              <w:ind w:firstLine="361" w:firstLineChars="200"/>
              <w:jc w:val="left"/>
              <w:rPr>
                <w:rFonts w:hint="eastAsia" w:ascii="宋体" w:hAnsi="宋体" w:eastAsia="宋体" w:cs="宋体"/>
                <w:b/>
                <w:bCs/>
                <w:color w:val="000000"/>
                <w:sz w:val="18"/>
                <w:szCs w:val="18"/>
                <w:highlight w:val="none"/>
                <w:lang w:val="zh-CN"/>
              </w:rPr>
            </w:pPr>
            <w:r>
              <w:rPr>
                <w:rFonts w:hint="eastAsia" w:ascii="宋体" w:hAnsi="宋体" w:eastAsia="宋体" w:cs="宋体"/>
                <w:b/>
                <w:bCs/>
                <w:color w:val="000000"/>
                <w:sz w:val="18"/>
                <w:szCs w:val="18"/>
                <w:highlight w:val="none"/>
                <w:lang w:val="zh-CN"/>
              </w:rPr>
              <w:t>注：①缺陷或不足是指：存在不适用项目实际情况的情形、凭空编造、方案中内容前后不一致、前后逻辑错误、涉及的规范及标准错误、地点区域错误、不符合项目实际情况等；</w:t>
            </w:r>
          </w:p>
          <w:p>
            <w:pPr>
              <w:widowControl w:val="0"/>
              <w:spacing w:line="360" w:lineRule="auto"/>
              <w:ind w:firstLine="361" w:firstLineChars="200"/>
              <w:rPr>
                <w:rFonts w:hint="eastAsia" w:ascii="宋体" w:hAnsi="宋体" w:eastAsia="宋体" w:cs="宋体"/>
                <w:b w:val="0"/>
                <w:bCs w:val="0"/>
                <w:sz w:val="24"/>
                <w:szCs w:val="24"/>
                <w:highlight w:val="none"/>
              </w:rPr>
            </w:pPr>
            <w:r>
              <w:rPr>
                <w:rFonts w:hint="eastAsia" w:ascii="宋体" w:hAnsi="宋体" w:eastAsia="宋体" w:cs="宋体"/>
                <w:b/>
                <w:bCs/>
                <w:color w:val="000000"/>
                <w:sz w:val="18"/>
                <w:szCs w:val="18"/>
                <w:highlight w:val="none"/>
                <w:lang w:val="zh-CN"/>
              </w:rPr>
              <w:t>②以评审专家结合项目实际情况和</w:t>
            </w:r>
            <w:r>
              <w:rPr>
                <w:rFonts w:hint="eastAsia" w:ascii="宋体" w:hAnsi="宋体" w:eastAsia="宋体" w:cs="宋体"/>
                <w:b/>
                <w:bCs/>
                <w:color w:val="000000"/>
                <w:sz w:val="18"/>
                <w:szCs w:val="18"/>
                <w:highlight w:val="none"/>
                <w:lang w:val="en-US" w:eastAsia="zh-CN"/>
              </w:rPr>
              <w:t>响应</w:t>
            </w:r>
            <w:r>
              <w:rPr>
                <w:rFonts w:hint="eastAsia" w:ascii="宋体" w:hAnsi="宋体" w:eastAsia="宋体" w:cs="宋体"/>
                <w:b/>
                <w:bCs/>
                <w:color w:val="000000"/>
                <w:sz w:val="18"/>
                <w:szCs w:val="18"/>
                <w:highlight w:val="none"/>
                <w:lang w:val="zh-CN"/>
              </w:rPr>
              <w:t>文件独立评审为准。</w:t>
            </w:r>
            <w:r>
              <w:rPr>
                <w:rFonts w:hint="eastAsia" w:ascii="宋体" w:hAnsi="宋体" w:eastAsia="宋体" w:cs="宋体"/>
                <w:sz w:val="24"/>
                <w:szCs w:val="24"/>
                <w:highlight w:val="none"/>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val="en-US"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评价工作认识</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p>
            <w:pPr>
              <w:pStyle w:val="8"/>
              <w:spacing w:line="360" w:lineRule="auto"/>
              <w:rPr>
                <w:rFonts w:hint="eastAsia" w:ascii="宋体" w:hAnsi="宋体" w:eastAsia="宋体" w:cs="宋体"/>
                <w:sz w:val="24"/>
                <w:szCs w:val="24"/>
                <w:lang w:val="en-US" w:eastAsia="zh-CN"/>
              </w:rPr>
            </w:pP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zh-CN"/>
              </w:rPr>
              <w:t>供应商</w:t>
            </w:r>
            <w:r>
              <w:rPr>
                <w:rFonts w:hint="eastAsia" w:ascii="宋体" w:hAnsi="宋体" w:eastAsia="宋体" w:cs="宋体"/>
                <w:b w:val="0"/>
                <w:bCs w:val="0"/>
                <w:sz w:val="24"/>
                <w:szCs w:val="24"/>
                <w:lang w:val="en-US" w:eastAsia="zh-CN"/>
              </w:rPr>
              <w:t>提供的</w:t>
            </w:r>
            <w:r>
              <w:rPr>
                <w:rFonts w:hint="eastAsia" w:ascii="宋体" w:hAnsi="宋体" w:eastAsia="宋体" w:cs="宋体"/>
                <w:b w:val="0"/>
                <w:bCs w:val="0"/>
                <w:sz w:val="24"/>
                <w:szCs w:val="24"/>
                <w:lang w:val="zh-CN"/>
              </w:rPr>
              <w:t>本项</w:t>
            </w:r>
            <w:r>
              <w:rPr>
                <w:rFonts w:hint="eastAsia" w:ascii="宋体" w:hAnsi="宋体" w:eastAsia="宋体" w:cs="宋体"/>
                <w:b w:val="0"/>
                <w:bCs w:val="0"/>
                <w:sz w:val="24"/>
                <w:szCs w:val="24"/>
                <w:lang w:val="zh-CN" w:eastAsia="zh-CN"/>
              </w:rPr>
              <w:t>目的评价工作</w:t>
            </w:r>
            <w:r>
              <w:rPr>
                <w:rFonts w:hint="eastAsia" w:ascii="宋体" w:hAnsi="宋体" w:eastAsia="宋体" w:cs="宋体"/>
                <w:b w:val="0"/>
                <w:bCs w:val="0"/>
                <w:sz w:val="24"/>
                <w:szCs w:val="24"/>
                <w:lang w:val="en-US" w:eastAsia="zh-CN"/>
              </w:rPr>
              <w:t>认识</w:t>
            </w:r>
            <w:r>
              <w:rPr>
                <w:rFonts w:hint="eastAsia" w:ascii="宋体" w:hAnsi="宋体" w:eastAsia="宋体" w:cs="宋体"/>
                <w:b w:val="0"/>
                <w:bCs w:val="0"/>
                <w:sz w:val="24"/>
                <w:szCs w:val="24"/>
                <w:lang w:val="zh-CN" w:eastAsia="zh-CN"/>
              </w:rPr>
              <w:t>方案</w:t>
            </w:r>
            <w:r>
              <w:rPr>
                <w:rFonts w:hint="eastAsia" w:ascii="宋体" w:hAnsi="宋体" w:eastAsia="宋体" w:cs="宋体"/>
                <w:b w:val="0"/>
                <w:bCs w:val="0"/>
                <w:sz w:val="24"/>
                <w:szCs w:val="24"/>
                <w:lang w:val="en-US" w:eastAsia="zh-CN"/>
              </w:rPr>
              <w:t>包括但不限于</w:t>
            </w:r>
            <w:r>
              <w:rPr>
                <w:rFonts w:hint="eastAsia" w:ascii="宋体" w:hAnsi="宋体" w:eastAsia="宋体" w:cs="宋体"/>
                <w:b w:val="0"/>
                <w:bCs w:val="0"/>
                <w:color w:val="000000"/>
                <w:sz w:val="24"/>
                <w:szCs w:val="24"/>
                <w:lang w:val="zh-CN"/>
              </w:rPr>
              <w:t>①</w:t>
            </w:r>
            <w:r>
              <w:rPr>
                <w:rFonts w:hint="eastAsia" w:ascii="宋体" w:hAnsi="宋体" w:eastAsia="宋体" w:cs="宋体"/>
                <w:b w:val="0"/>
                <w:bCs w:val="0"/>
                <w:color w:val="000000"/>
                <w:sz w:val="24"/>
                <w:szCs w:val="24"/>
                <w:lang w:val="zh-CN" w:eastAsia="zh-CN"/>
              </w:rPr>
              <w:t>评价对象</w:t>
            </w:r>
            <w:r>
              <w:rPr>
                <w:rFonts w:hint="eastAsia" w:ascii="宋体" w:hAnsi="宋体" w:eastAsia="宋体" w:cs="宋体"/>
                <w:b w:val="0"/>
                <w:bCs w:val="0"/>
                <w:color w:val="000000"/>
                <w:sz w:val="24"/>
                <w:szCs w:val="24"/>
                <w:lang w:val="zh-CN"/>
              </w:rPr>
              <w:t>；②</w:t>
            </w:r>
            <w:r>
              <w:rPr>
                <w:rFonts w:hint="eastAsia" w:ascii="宋体" w:hAnsi="宋体" w:eastAsia="宋体" w:cs="宋体"/>
                <w:b w:val="0"/>
                <w:bCs w:val="0"/>
                <w:color w:val="000000"/>
                <w:sz w:val="24"/>
                <w:szCs w:val="24"/>
                <w:lang w:val="zh-CN" w:eastAsia="zh-CN"/>
              </w:rPr>
              <w:t>评价体系指标理解；</w:t>
            </w:r>
            <w:r>
              <w:rPr>
                <w:rFonts w:hint="eastAsia" w:ascii="宋体" w:hAnsi="宋体" w:eastAsia="宋体" w:cs="宋体"/>
                <w:b w:val="0"/>
                <w:bCs w:val="0"/>
                <w:color w:val="000000"/>
                <w:sz w:val="24"/>
                <w:szCs w:val="24"/>
                <w:lang w:val="zh-CN"/>
              </w:rPr>
              <w:t>③调</w:t>
            </w:r>
            <w:r>
              <w:rPr>
                <w:rFonts w:hint="eastAsia" w:ascii="宋体" w:hAnsi="宋体" w:eastAsia="宋体" w:cs="宋体"/>
                <w:b w:val="0"/>
                <w:bCs w:val="0"/>
                <w:color w:val="000000"/>
                <w:sz w:val="24"/>
                <w:szCs w:val="24"/>
                <w:lang w:val="zh-CN" w:eastAsia="zh-CN"/>
              </w:rPr>
              <w:t>评价要求。</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项目评价工作技术方法</w:t>
            </w:r>
          </w:p>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zh-CN"/>
              </w:rPr>
              <w:t>供应商提供本项目的</w:t>
            </w:r>
            <w:r>
              <w:rPr>
                <w:rFonts w:hint="eastAsia" w:ascii="宋体" w:hAnsi="宋体" w:eastAsia="宋体" w:cs="宋体"/>
                <w:sz w:val="24"/>
                <w:szCs w:val="24"/>
                <w:lang w:eastAsia="zh-CN"/>
              </w:rPr>
              <w:t>评价技术方法</w:t>
            </w:r>
            <w:r>
              <w:rPr>
                <w:rFonts w:hint="eastAsia" w:ascii="宋体" w:hAnsi="宋体" w:eastAsia="宋体" w:cs="宋体"/>
                <w:b w:val="0"/>
                <w:bCs w:val="0"/>
                <w:sz w:val="24"/>
                <w:szCs w:val="24"/>
                <w:lang w:val="zh-CN"/>
              </w:rPr>
              <w:t>内容</w:t>
            </w:r>
            <w:r>
              <w:rPr>
                <w:rFonts w:hint="eastAsia" w:ascii="宋体" w:hAnsi="宋体" w:eastAsia="宋体" w:cs="宋体"/>
                <w:b w:val="0"/>
                <w:bCs w:val="0"/>
                <w:sz w:val="24"/>
                <w:szCs w:val="24"/>
                <w:lang w:val="en-US" w:eastAsia="zh-CN"/>
              </w:rPr>
              <w:t>包括但不限于：</w:t>
            </w:r>
            <w:r>
              <w:rPr>
                <w:rFonts w:hint="eastAsia" w:ascii="宋体" w:hAnsi="宋体" w:eastAsia="宋体" w:cs="宋体"/>
                <w:b w:val="0"/>
                <w:bCs w:val="0"/>
                <w:color w:val="000000"/>
                <w:sz w:val="24"/>
                <w:szCs w:val="24"/>
                <w:lang w:val="zh-CN"/>
              </w:rPr>
              <w:t>①</w:t>
            </w:r>
            <w:r>
              <w:rPr>
                <w:rFonts w:hint="eastAsia" w:ascii="宋体" w:hAnsi="宋体" w:eastAsia="宋体" w:cs="宋体"/>
                <w:b w:val="0"/>
                <w:bCs w:val="0"/>
                <w:color w:val="000000"/>
                <w:sz w:val="24"/>
                <w:szCs w:val="24"/>
                <w:lang w:val="zh-CN" w:eastAsia="zh-CN"/>
              </w:rPr>
              <w:t>可开发耕地后备资源调查评价</w:t>
            </w:r>
            <w:r>
              <w:rPr>
                <w:rFonts w:hint="eastAsia" w:ascii="宋体" w:hAnsi="宋体" w:eastAsia="宋体" w:cs="宋体"/>
                <w:sz w:val="24"/>
                <w:szCs w:val="24"/>
                <w:lang w:eastAsia="zh-CN"/>
              </w:rPr>
              <w:t>评价技术方法</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zh-CN"/>
              </w:rPr>
              <w:t>②</w:t>
            </w:r>
            <w:r>
              <w:rPr>
                <w:rFonts w:hint="eastAsia" w:ascii="宋体" w:hAnsi="宋体" w:eastAsia="宋体" w:cs="宋体"/>
                <w:b w:val="0"/>
                <w:bCs w:val="0"/>
                <w:color w:val="000000"/>
                <w:sz w:val="24"/>
                <w:szCs w:val="24"/>
                <w:lang w:val="zh-CN" w:eastAsia="zh-CN"/>
              </w:rPr>
              <w:t>可恢复耕地资源潜力调查评价</w:t>
            </w:r>
            <w:r>
              <w:rPr>
                <w:rFonts w:hint="eastAsia" w:ascii="宋体" w:hAnsi="宋体" w:eastAsia="宋体" w:cs="宋体"/>
                <w:sz w:val="24"/>
                <w:szCs w:val="24"/>
                <w:lang w:eastAsia="zh-CN"/>
              </w:rPr>
              <w:t>评价技术方法</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val="zh-CN"/>
              </w:rPr>
              <w:t>③</w:t>
            </w:r>
            <w:r>
              <w:rPr>
                <w:rFonts w:hint="eastAsia" w:ascii="宋体" w:hAnsi="宋体" w:eastAsia="宋体" w:cs="宋体"/>
                <w:b w:val="0"/>
                <w:bCs w:val="0"/>
                <w:color w:val="000000"/>
                <w:sz w:val="24"/>
                <w:szCs w:val="24"/>
                <w:lang w:val="zh-CN" w:eastAsia="zh-CN"/>
              </w:rPr>
              <w:t>可垦造水田资源潜力调查评价</w:t>
            </w:r>
            <w:r>
              <w:rPr>
                <w:rFonts w:hint="eastAsia" w:ascii="宋体" w:hAnsi="宋体" w:eastAsia="宋体" w:cs="宋体"/>
                <w:sz w:val="24"/>
                <w:szCs w:val="24"/>
                <w:lang w:eastAsia="zh-CN"/>
              </w:rPr>
              <w:t>评价技术方法</w:t>
            </w:r>
            <w:r>
              <w:rPr>
                <w:rFonts w:hint="eastAsia" w:ascii="宋体" w:hAnsi="宋体" w:eastAsia="宋体" w:cs="宋体"/>
                <w:b w:val="0"/>
                <w:bCs w:val="0"/>
                <w:color w:val="000000"/>
                <w:sz w:val="24"/>
                <w:szCs w:val="24"/>
                <w:lang w:val="zh-CN" w:eastAsia="zh-CN"/>
              </w:rPr>
              <w:t>；</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可开发调查评价方案</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zh-CN"/>
              </w:rPr>
              <w:t>供应商提供本项目的</w:t>
            </w:r>
            <w:r>
              <w:rPr>
                <w:rFonts w:hint="eastAsia" w:ascii="宋体" w:hAnsi="宋体" w:eastAsia="宋体" w:cs="宋体"/>
                <w:b w:val="0"/>
                <w:bCs w:val="0"/>
                <w:sz w:val="24"/>
                <w:szCs w:val="24"/>
                <w:lang w:val="zh-CN" w:eastAsia="zh-CN"/>
              </w:rPr>
              <w:t>可开发耕地后备资源调查评价方案</w:t>
            </w:r>
            <w:r>
              <w:rPr>
                <w:rFonts w:hint="eastAsia" w:ascii="宋体" w:hAnsi="宋体" w:eastAsia="宋体" w:cs="宋体"/>
                <w:b w:val="0"/>
                <w:bCs w:val="0"/>
                <w:sz w:val="24"/>
                <w:szCs w:val="24"/>
                <w:lang w:val="zh-CN"/>
              </w:rPr>
              <w:t>：内容包含</w:t>
            </w:r>
            <w:r>
              <w:rPr>
                <w:rFonts w:hint="eastAsia" w:ascii="宋体" w:hAnsi="宋体" w:eastAsia="宋体" w:cs="宋体"/>
                <w:b w:val="0"/>
                <w:bCs w:val="0"/>
                <w:sz w:val="24"/>
                <w:szCs w:val="24"/>
                <w:lang w:val="en-US" w:eastAsia="zh-CN"/>
              </w:rPr>
              <w:t>但不限于：</w:t>
            </w:r>
            <w:r>
              <w:rPr>
                <w:rFonts w:hint="eastAsia" w:ascii="宋体" w:hAnsi="宋体" w:eastAsia="宋体" w:cs="宋体"/>
                <w:b w:val="0"/>
                <w:bCs w:val="0"/>
                <w:color w:val="000000"/>
                <w:sz w:val="24"/>
                <w:szCs w:val="24"/>
                <w:lang w:val="zh-CN"/>
              </w:rPr>
              <w:t>①</w:t>
            </w:r>
            <w:r>
              <w:rPr>
                <w:rFonts w:hint="eastAsia" w:ascii="宋体" w:hAnsi="宋体" w:eastAsia="宋体" w:cs="宋体"/>
                <w:b w:val="0"/>
                <w:bCs w:val="0"/>
                <w:color w:val="000000"/>
                <w:sz w:val="24"/>
                <w:szCs w:val="24"/>
                <w:lang w:val="zh-CN" w:eastAsia="zh-CN"/>
              </w:rPr>
              <w:t>评价指标体系建立；</w:t>
            </w:r>
            <w:r>
              <w:rPr>
                <w:rFonts w:hint="eastAsia" w:ascii="宋体" w:hAnsi="宋体" w:eastAsia="宋体" w:cs="宋体"/>
                <w:b w:val="0"/>
                <w:bCs w:val="0"/>
                <w:color w:val="000000"/>
                <w:sz w:val="24"/>
                <w:szCs w:val="24"/>
                <w:lang w:val="zh-CN"/>
              </w:rPr>
              <w:t>②</w:t>
            </w:r>
            <w:r>
              <w:rPr>
                <w:rFonts w:hint="eastAsia" w:ascii="宋体" w:hAnsi="宋体" w:eastAsia="宋体" w:cs="宋体"/>
                <w:b w:val="0"/>
                <w:bCs w:val="0"/>
                <w:color w:val="000000"/>
                <w:sz w:val="24"/>
                <w:szCs w:val="24"/>
                <w:lang w:val="zh-CN" w:eastAsia="zh-CN"/>
              </w:rPr>
              <w:t>评价指标矢量化；</w:t>
            </w:r>
            <w:r>
              <w:rPr>
                <w:rFonts w:hint="eastAsia" w:ascii="宋体" w:hAnsi="宋体" w:eastAsia="宋体" w:cs="宋体"/>
                <w:b w:val="0"/>
                <w:bCs w:val="0"/>
                <w:color w:val="000000"/>
                <w:sz w:val="24"/>
                <w:szCs w:val="24"/>
                <w:lang w:val="zh-CN"/>
              </w:rPr>
              <w:t>③</w:t>
            </w:r>
            <w:r>
              <w:rPr>
                <w:rFonts w:hint="eastAsia" w:ascii="宋体" w:hAnsi="宋体" w:eastAsia="宋体" w:cs="宋体"/>
                <w:b w:val="0"/>
                <w:bCs w:val="0"/>
                <w:color w:val="000000"/>
                <w:sz w:val="24"/>
                <w:szCs w:val="24"/>
                <w:lang w:val="zh-CN" w:eastAsia="zh-CN"/>
              </w:rPr>
              <w:t>开展宜耕性评价；</w:t>
            </w:r>
            <w:r>
              <w:rPr>
                <w:rFonts w:hint="eastAsia" w:ascii="宋体" w:hAnsi="宋体" w:eastAsia="宋体" w:cs="宋体"/>
                <w:b w:val="0"/>
                <w:bCs w:val="0"/>
                <w:color w:val="000000"/>
                <w:sz w:val="24"/>
                <w:szCs w:val="24"/>
                <w:lang w:val="zh-CN"/>
              </w:rPr>
              <w:t>④</w:t>
            </w:r>
            <w:r>
              <w:rPr>
                <w:rFonts w:hint="eastAsia" w:ascii="宋体" w:hAnsi="宋体" w:eastAsia="宋体" w:cs="宋体"/>
                <w:b w:val="0"/>
                <w:bCs w:val="0"/>
                <w:color w:val="000000"/>
                <w:sz w:val="24"/>
                <w:szCs w:val="24"/>
                <w:lang w:val="zh-CN" w:eastAsia="zh-CN"/>
              </w:rPr>
              <w:t>数据库成果；</w:t>
            </w:r>
            <w:r>
              <w:rPr>
                <w:rFonts w:hint="eastAsia" w:ascii="宋体" w:hAnsi="宋体" w:eastAsia="宋体" w:cs="宋体"/>
                <w:b w:val="0"/>
                <w:bCs w:val="0"/>
                <w:color w:val="000000"/>
                <w:sz w:val="24"/>
                <w:szCs w:val="24"/>
                <w:lang w:val="zh-CN"/>
              </w:rPr>
              <w:t>⑤</w:t>
            </w:r>
            <w:r>
              <w:rPr>
                <w:rFonts w:hint="eastAsia" w:ascii="宋体" w:hAnsi="宋体" w:eastAsia="宋体" w:cs="宋体"/>
                <w:b w:val="0"/>
                <w:bCs w:val="0"/>
                <w:color w:val="000000"/>
                <w:sz w:val="24"/>
                <w:szCs w:val="24"/>
                <w:lang w:val="zh-CN" w:eastAsia="zh-CN"/>
              </w:rPr>
              <w:t>数据成果质量检查；⑥成果汇总与上报。</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可恢复调查评价方案</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highlight w:val="none"/>
                <w:lang w:val="zh-CN"/>
              </w:rPr>
              <w:t>供应商提供本项目的</w:t>
            </w:r>
            <w:r>
              <w:rPr>
                <w:rFonts w:hint="eastAsia" w:ascii="宋体" w:hAnsi="宋体" w:eastAsia="宋体" w:cs="宋体"/>
                <w:b w:val="0"/>
                <w:bCs w:val="0"/>
                <w:sz w:val="24"/>
                <w:szCs w:val="24"/>
                <w:highlight w:val="none"/>
                <w:lang w:val="zh-CN" w:eastAsia="zh-CN"/>
              </w:rPr>
              <w:t>可恢复耕地资源潜力调查评价方案</w:t>
            </w:r>
            <w:r>
              <w:rPr>
                <w:rFonts w:hint="eastAsia" w:ascii="宋体" w:hAnsi="宋体" w:eastAsia="宋体" w:cs="宋体"/>
                <w:b w:val="0"/>
                <w:bCs w:val="0"/>
                <w:sz w:val="24"/>
                <w:szCs w:val="24"/>
                <w:highlight w:val="none"/>
                <w:lang w:val="zh-CN"/>
              </w:rPr>
              <w:t>内容包含</w:t>
            </w:r>
            <w:r>
              <w:rPr>
                <w:rFonts w:hint="eastAsia" w:ascii="宋体" w:hAnsi="宋体" w:eastAsia="宋体" w:cs="宋体"/>
                <w:b w:val="0"/>
                <w:bCs w:val="0"/>
                <w:sz w:val="24"/>
                <w:szCs w:val="24"/>
                <w:highlight w:val="none"/>
                <w:lang w:val="en-US" w:eastAsia="zh-CN"/>
              </w:rPr>
              <w:t>但不限于：</w:t>
            </w:r>
            <w:r>
              <w:rPr>
                <w:rFonts w:hint="eastAsia" w:ascii="宋体" w:hAnsi="宋体" w:eastAsia="宋体" w:cs="宋体"/>
                <w:b w:val="0"/>
                <w:bCs w:val="0"/>
                <w:color w:val="000000"/>
                <w:sz w:val="24"/>
                <w:szCs w:val="24"/>
                <w:highlight w:val="none"/>
                <w:lang w:val="zh-CN"/>
              </w:rPr>
              <w:t>①</w:t>
            </w:r>
            <w:r>
              <w:rPr>
                <w:rFonts w:hint="eastAsia" w:ascii="宋体" w:hAnsi="宋体" w:eastAsia="宋体" w:cs="宋体"/>
                <w:b w:val="0"/>
                <w:bCs w:val="0"/>
                <w:color w:val="000000"/>
                <w:sz w:val="24"/>
                <w:szCs w:val="24"/>
                <w:highlight w:val="none"/>
                <w:lang w:val="zh-CN" w:eastAsia="zh-CN"/>
              </w:rPr>
              <w:t>评价指标体系建立；</w:t>
            </w:r>
            <w:r>
              <w:rPr>
                <w:rFonts w:hint="eastAsia" w:ascii="宋体" w:hAnsi="宋体" w:eastAsia="宋体" w:cs="宋体"/>
                <w:b w:val="0"/>
                <w:bCs w:val="0"/>
                <w:color w:val="000000"/>
                <w:sz w:val="24"/>
                <w:szCs w:val="24"/>
                <w:highlight w:val="none"/>
                <w:lang w:val="zh-CN"/>
              </w:rPr>
              <w:t>②</w:t>
            </w:r>
            <w:r>
              <w:rPr>
                <w:rFonts w:hint="eastAsia" w:ascii="宋体" w:hAnsi="宋体" w:eastAsia="宋体" w:cs="宋体"/>
                <w:b w:val="0"/>
                <w:bCs w:val="0"/>
                <w:color w:val="000000"/>
                <w:sz w:val="24"/>
                <w:szCs w:val="24"/>
                <w:highlight w:val="none"/>
                <w:lang w:val="zh-CN" w:eastAsia="zh-CN"/>
              </w:rPr>
              <w:t>评价指标矢量化；</w:t>
            </w:r>
            <w:r>
              <w:rPr>
                <w:rFonts w:hint="eastAsia" w:ascii="宋体" w:hAnsi="宋体" w:eastAsia="宋体" w:cs="宋体"/>
                <w:b w:val="0"/>
                <w:bCs w:val="0"/>
                <w:color w:val="000000"/>
                <w:sz w:val="24"/>
                <w:szCs w:val="24"/>
                <w:highlight w:val="none"/>
                <w:lang w:val="zh-CN"/>
              </w:rPr>
              <w:t>③</w:t>
            </w:r>
            <w:r>
              <w:rPr>
                <w:rFonts w:hint="eastAsia" w:ascii="宋体" w:hAnsi="宋体" w:eastAsia="宋体" w:cs="宋体"/>
                <w:b w:val="0"/>
                <w:bCs w:val="0"/>
                <w:color w:val="000000"/>
                <w:sz w:val="24"/>
                <w:szCs w:val="24"/>
                <w:highlight w:val="none"/>
                <w:lang w:val="zh-CN" w:eastAsia="zh-CN"/>
              </w:rPr>
              <w:t>开展适宜性评价；</w:t>
            </w:r>
            <w:r>
              <w:rPr>
                <w:rFonts w:hint="eastAsia" w:ascii="宋体" w:hAnsi="宋体" w:eastAsia="宋体" w:cs="宋体"/>
                <w:b w:val="0"/>
                <w:bCs w:val="0"/>
                <w:color w:val="000000"/>
                <w:sz w:val="24"/>
                <w:szCs w:val="24"/>
                <w:highlight w:val="none"/>
                <w:lang w:val="zh-CN"/>
              </w:rPr>
              <w:t>④</w:t>
            </w:r>
            <w:r>
              <w:rPr>
                <w:rFonts w:hint="eastAsia" w:ascii="宋体" w:hAnsi="宋体" w:eastAsia="宋体" w:cs="宋体"/>
                <w:b w:val="0"/>
                <w:bCs w:val="0"/>
                <w:color w:val="000000"/>
                <w:sz w:val="24"/>
                <w:szCs w:val="24"/>
                <w:highlight w:val="none"/>
                <w:lang w:val="zh-CN" w:eastAsia="zh-CN"/>
              </w:rPr>
              <w:t>成果汇总与上报。</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hAnsi="宋体" w:cs="宋体"/>
                <w:sz w:val="24"/>
                <w:szCs w:val="24"/>
                <w:lang w:val="en-US" w:eastAsia="zh-CN"/>
              </w:rPr>
              <w:t>.5</w:t>
            </w:r>
            <w:bookmarkStart w:id="131" w:name="_GoBack"/>
            <w:bookmarkEnd w:id="131"/>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可垦造水田调查评价方案</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highlight w:val="none"/>
                <w:lang w:val="zh-CN"/>
              </w:rPr>
              <w:t>供应商提供本项目的</w:t>
            </w:r>
            <w:r>
              <w:rPr>
                <w:rFonts w:hint="eastAsia" w:ascii="宋体" w:hAnsi="宋体" w:eastAsia="宋体" w:cs="宋体"/>
                <w:b w:val="0"/>
                <w:bCs w:val="0"/>
                <w:sz w:val="24"/>
                <w:szCs w:val="24"/>
                <w:highlight w:val="none"/>
                <w:lang w:val="zh-CN" w:eastAsia="zh-CN"/>
              </w:rPr>
              <w:t>可恢复耕地资源潜力调查评价方案</w:t>
            </w:r>
            <w:r>
              <w:rPr>
                <w:rFonts w:hint="eastAsia" w:ascii="宋体" w:hAnsi="宋体" w:eastAsia="宋体" w:cs="宋体"/>
                <w:b w:val="0"/>
                <w:bCs w:val="0"/>
                <w:sz w:val="24"/>
                <w:szCs w:val="24"/>
                <w:highlight w:val="none"/>
                <w:lang w:val="zh-CN"/>
              </w:rPr>
              <w:t>内容包含</w:t>
            </w:r>
            <w:r>
              <w:rPr>
                <w:rFonts w:hint="eastAsia" w:ascii="宋体" w:hAnsi="宋体" w:eastAsia="宋体" w:cs="宋体"/>
                <w:b w:val="0"/>
                <w:bCs w:val="0"/>
                <w:sz w:val="24"/>
                <w:szCs w:val="24"/>
                <w:highlight w:val="none"/>
                <w:lang w:val="en-US" w:eastAsia="zh-CN"/>
              </w:rPr>
              <w:t>但不限于：</w:t>
            </w:r>
            <w:r>
              <w:rPr>
                <w:rFonts w:hint="eastAsia" w:ascii="宋体" w:hAnsi="宋体" w:eastAsia="宋体" w:cs="宋体"/>
                <w:b w:val="0"/>
                <w:bCs w:val="0"/>
                <w:color w:val="000000"/>
                <w:sz w:val="24"/>
                <w:szCs w:val="24"/>
                <w:highlight w:val="none"/>
                <w:lang w:val="zh-CN"/>
              </w:rPr>
              <w:t>①</w:t>
            </w:r>
            <w:r>
              <w:rPr>
                <w:rFonts w:hint="eastAsia" w:ascii="宋体" w:hAnsi="宋体" w:eastAsia="宋体" w:cs="宋体"/>
                <w:b w:val="0"/>
                <w:bCs w:val="0"/>
                <w:color w:val="000000"/>
                <w:sz w:val="24"/>
                <w:szCs w:val="24"/>
                <w:highlight w:val="none"/>
                <w:lang w:val="zh-CN" w:eastAsia="zh-CN"/>
              </w:rPr>
              <w:t>评价指标体系建立；</w:t>
            </w:r>
            <w:r>
              <w:rPr>
                <w:rFonts w:hint="eastAsia" w:ascii="宋体" w:hAnsi="宋体" w:eastAsia="宋体" w:cs="宋体"/>
                <w:b w:val="0"/>
                <w:bCs w:val="0"/>
                <w:color w:val="000000"/>
                <w:sz w:val="24"/>
                <w:szCs w:val="24"/>
                <w:highlight w:val="none"/>
                <w:lang w:val="zh-CN"/>
              </w:rPr>
              <w:t>②</w:t>
            </w:r>
            <w:r>
              <w:rPr>
                <w:rFonts w:hint="eastAsia" w:ascii="宋体" w:hAnsi="宋体" w:eastAsia="宋体" w:cs="宋体"/>
                <w:b w:val="0"/>
                <w:bCs w:val="0"/>
                <w:color w:val="000000"/>
                <w:sz w:val="24"/>
                <w:szCs w:val="24"/>
                <w:highlight w:val="none"/>
                <w:lang w:val="zh-CN" w:eastAsia="zh-CN"/>
              </w:rPr>
              <w:t>评价指标矢量化；</w:t>
            </w:r>
            <w:r>
              <w:rPr>
                <w:rFonts w:hint="eastAsia" w:ascii="宋体" w:hAnsi="宋体" w:eastAsia="宋体" w:cs="宋体"/>
                <w:b w:val="0"/>
                <w:bCs w:val="0"/>
                <w:color w:val="000000"/>
                <w:sz w:val="24"/>
                <w:szCs w:val="24"/>
                <w:highlight w:val="none"/>
                <w:lang w:val="zh-CN"/>
              </w:rPr>
              <w:t>③</w:t>
            </w:r>
            <w:r>
              <w:rPr>
                <w:rFonts w:hint="eastAsia" w:ascii="宋体" w:hAnsi="宋体" w:eastAsia="宋体" w:cs="宋体"/>
                <w:b w:val="0"/>
                <w:bCs w:val="0"/>
                <w:color w:val="000000"/>
                <w:sz w:val="24"/>
                <w:szCs w:val="24"/>
                <w:highlight w:val="none"/>
                <w:lang w:val="zh-CN" w:eastAsia="zh-CN"/>
              </w:rPr>
              <w:t>开展适宜性评价；</w:t>
            </w:r>
            <w:r>
              <w:rPr>
                <w:rFonts w:hint="eastAsia" w:ascii="宋体" w:hAnsi="宋体" w:eastAsia="宋体" w:cs="宋体"/>
                <w:b w:val="0"/>
                <w:bCs w:val="0"/>
                <w:color w:val="000000"/>
                <w:sz w:val="24"/>
                <w:szCs w:val="24"/>
                <w:highlight w:val="none"/>
                <w:lang w:val="zh-CN"/>
              </w:rPr>
              <w:t>④</w:t>
            </w:r>
            <w:r>
              <w:rPr>
                <w:rFonts w:hint="eastAsia" w:ascii="宋体" w:hAnsi="宋体" w:eastAsia="宋体" w:cs="宋体"/>
                <w:b w:val="0"/>
                <w:bCs w:val="0"/>
                <w:color w:val="000000"/>
                <w:sz w:val="24"/>
                <w:szCs w:val="24"/>
                <w:highlight w:val="none"/>
                <w:lang w:val="zh-CN" w:eastAsia="zh-CN"/>
              </w:rPr>
              <w:t>县级成果汇总与上报。</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highlight w:val="none"/>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进度安排</w:t>
            </w:r>
            <w:r>
              <w:rPr>
                <w:rFonts w:hint="eastAsia" w:ascii="宋体" w:hAnsi="宋体" w:eastAsia="宋体" w:cs="宋体"/>
                <w:kern w:val="0"/>
                <w:sz w:val="24"/>
                <w:szCs w:val="24"/>
                <w:lang w:val="en-US" w:eastAsia="zh-CN"/>
              </w:rPr>
              <w:t>6分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b w:val="0"/>
                <w:bCs w:val="0"/>
                <w:color w:val="000000"/>
                <w:sz w:val="24"/>
                <w:szCs w:val="24"/>
                <w:lang w:val="zh-CN" w:eastAsia="zh-CN"/>
              </w:rPr>
            </w:pPr>
            <w:r>
              <w:rPr>
                <w:rFonts w:hint="eastAsia" w:ascii="宋体" w:hAnsi="宋体" w:eastAsia="宋体" w:cs="宋体"/>
                <w:b w:val="0"/>
                <w:bCs w:val="0"/>
                <w:sz w:val="24"/>
                <w:szCs w:val="24"/>
                <w:lang w:val="zh-CN"/>
              </w:rPr>
              <w:t>供应商提供本项目的工期进度安排内容包含</w:t>
            </w:r>
            <w:r>
              <w:rPr>
                <w:rFonts w:hint="eastAsia" w:ascii="宋体" w:hAnsi="宋体" w:eastAsia="宋体" w:cs="宋体"/>
                <w:b w:val="0"/>
                <w:bCs w:val="0"/>
                <w:sz w:val="24"/>
                <w:szCs w:val="24"/>
                <w:lang w:val="en-US" w:eastAsia="zh-CN"/>
              </w:rPr>
              <w:t>但不限于：</w:t>
            </w:r>
            <w:r>
              <w:rPr>
                <w:rFonts w:hint="eastAsia" w:ascii="宋体" w:hAnsi="宋体" w:eastAsia="宋体" w:cs="宋体"/>
                <w:b w:val="0"/>
                <w:bCs w:val="0"/>
                <w:color w:val="000000"/>
                <w:sz w:val="24"/>
                <w:szCs w:val="24"/>
                <w:lang w:val="zh-CN"/>
              </w:rPr>
              <w:t>①项目工期节点；</w:t>
            </w:r>
            <w:r>
              <w:rPr>
                <w:rFonts w:hint="eastAsia" w:ascii="宋体" w:hAnsi="宋体" w:eastAsia="宋体" w:cs="宋体"/>
                <w:b w:val="0"/>
                <w:bCs w:val="0"/>
                <w:color w:val="000000"/>
                <w:sz w:val="24"/>
                <w:szCs w:val="24"/>
                <w:lang w:val="zh-CN" w:eastAsia="zh-CN"/>
              </w:rPr>
              <w:t>②</w:t>
            </w:r>
            <w:r>
              <w:rPr>
                <w:rFonts w:hint="eastAsia" w:ascii="宋体" w:hAnsi="宋体" w:eastAsia="宋体" w:cs="宋体"/>
                <w:b w:val="0"/>
                <w:bCs w:val="0"/>
                <w:sz w:val="24"/>
                <w:szCs w:val="24"/>
              </w:rPr>
              <w:t>进度时间</w:t>
            </w:r>
            <w:r>
              <w:rPr>
                <w:rFonts w:hint="eastAsia" w:ascii="宋体" w:hAnsi="宋体" w:eastAsia="宋体" w:cs="宋体"/>
                <w:b w:val="0"/>
                <w:bCs w:val="0"/>
                <w:sz w:val="24"/>
                <w:szCs w:val="24"/>
                <w:lang w:eastAsia="zh-CN"/>
              </w:rPr>
              <w:t>安排；</w:t>
            </w:r>
            <w:r>
              <w:rPr>
                <w:rFonts w:hint="eastAsia" w:ascii="宋体" w:hAnsi="宋体" w:eastAsia="宋体" w:cs="宋体"/>
                <w:b w:val="0"/>
                <w:bCs w:val="0"/>
                <w:color w:val="000000"/>
                <w:sz w:val="24"/>
                <w:szCs w:val="24"/>
                <w:lang w:val="zh-CN"/>
              </w:rPr>
              <w:t>③</w:t>
            </w:r>
            <w:r>
              <w:rPr>
                <w:rFonts w:hint="eastAsia" w:ascii="宋体" w:hAnsi="宋体" w:eastAsia="宋体" w:cs="宋体"/>
                <w:b w:val="0"/>
                <w:bCs w:val="0"/>
                <w:sz w:val="24"/>
                <w:szCs w:val="24"/>
                <w:highlight w:val="none"/>
              </w:rPr>
              <w:t>工期管理措施</w:t>
            </w:r>
            <w:r>
              <w:rPr>
                <w:rFonts w:hint="eastAsia" w:ascii="宋体" w:hAnsi="宋体" w:eastAsia="宋体" w:cs="宋体"/>
                <w:b w:val="0"/>
                <w:bCs w:val="0"/>
                <w:color w:val="000000"/>
                <w:sz w:val="24"/>
                <w:szCs w:val="24"/>
                <w:lang w:val="zh-CN" w:eastAsia="zh-CN"/>
              </w:rPr>
              <w:t>；</w:t>
            </w:r>
          </w:p>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kern w:val="0"/>
                <w:sz w:val="24"/>
                <w:szCs w:val="24"/>
              </w:rPr>
              <w:t>质量保证及保密制度措施</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质量保证措施6分</w:t>
            </w:r>
          </w:p>
          <w:p>
            <w:pPr>
              <w:spacing w:line="360" w:lineRule="auto"/>
              <w:jc w:val="center"/>
              <w:rPr>
                <w:rFonts w:hint="eastAsia" w:ascii="宋体" w:hAnsi="宋体" w:eastAsia="宋体" w:cs="宋体"/>
                <w:sz w:val="24"/>
                <w:szCs w:val="24"/>
                <w:lang w:val="en-US" w:eastAsia="zh-CN"/>
              </w:rPr>
            </w:pP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zh-CN"/>
              </w:rPr>
              <w:t>供应商提供本项目</w:t>
            </w:r>
            <w:r>
              <w:rPr>
                <w:rFonts w:hint="eastAsia" w:ascii="宋体" w:hAnsi="宋体" w:eastAsia="宋体" w:cs="宋体"/>
                <w:b w:val="0"/>
                <w:bCs w:val="0"/>
                <w:sz w:val="24"/>
                <w:szCs w:val="24"/>
                <w:lang w:val="zh-CN" w:eastAsia="zh-CN"/>
              </w:rPr>
              <w:t>质量保证措施方案</w:t>
            </w:r>
            <w:r>
              <w:rPr>
                <w:rFonts w:hint="eastAsia" w:ascii="宋体" w:hAnsi="宋体" w:eastAsia="宋体" w:cs="宋体"/>
                <w:b w:val="0"/>
                <w:bCs w:val="0"/>
                <w:sz w:val="24"/>
                <w:szCs w:val="24"/>
                <w:lang w:val="zh-CN"/>
              </w:rPr>
              <w:t>内容包含</w:t>
            </w:r>
            <w:r>
              <w:rPr>
                <w:rFonts w:hint="eastAsia" w:ascii="宋体" w:hAnsi="宋体" w:eastAsia="宋体" w:cs="宋体"/>
                <w:b w:val="0"/>
                <w:bCs w:val="0"/>
                <w:sz w:val="24"/>
                <w:szCs w:val="24"/>
                <w:lang w:val="en-US" w:eastAsia="zh-CN"/>
              </w:rPr>
              <w:t>但不限于：</w:t>
            </w:r>
            <w:r>
              <w:rPr>
                <w:rFonts w:hint="eastAsia" w:ascii="宋体" w:hAnsi="宋体" w:eastAsia="宋体" w:cs="宋体"/>
                <w:b w:val="0"/>
                <w:bCs w:val="0"/>
                <w:color w:val="000000"/>
                <w:sz w:val="24"/>
                <w:szCs w:val="24"/>
                <w:lang w:val="zh-CN"/>
              </w:rPr>
              <w:t>①质量保证管理制度，</w:t>
            </w:r>
            <w:r>
              <w:rPr>
                <w:rFonts w:hint="eastAsia" w:ascii="宋体" w:hAnsi="宋体" w:eastAsia="宋体" w:cs="宋体"/>
                <w:b w:val="0"/>
                <w:bCs w:val="0"/>
                <w:color w:val="000000"/>
                <w:sz w:val="24"/>
                <w:szCs w:val="24"/>
                <w:lang w:val="zh-CN" w:eastAsia="zh-CN"/>
              </w:rPr>
              <w:t>②</w:t>
            </w:r>
            <w:r>
              <w:rPr>
                <w:rFonts w:hint="eastAsia" w:ascii="宋体" w:hAnsi="宋体" w:eastAsia="宋体" w:cs="宋体"/>
                <w:b w:val="0"/>
                <w:bCs w:val="0"/>
                <w:sz w:val="24"/>
                <w:szCs w:val="24"/>
              </w:rPr>
              <w:t>质量保证措施完善</w:t>
            </w:r>
            <w:r>
              <w:rPr>
                <w:rFonts w:hint="eastAsia" w:ascii="宋体" w:hAnsi="宋体" w:eastAsia="宋体" w:cs="宋体"/>
                <w:b w:val="0"/>
                <w:bCs w:val="0"/>
                <w:color w:val="000000"/>
                <w:sz w:val="24"/>
                <w:szCs w:val="24"/>
                <w:lang w:val="zh-CN"/>
              </w:rPr>
              <w:t>；③</w:t>
            </w:r>
            <w:r>
              <w:rPr>
                <w:rFonts w:hint="eastAsia" w:ascii="宋体" w:hAnsi="宋体" w:eastAsia="宋体" w:cs="宋体"/>
                <w:b w:val="0"/>
                <w:bCs w:val="0"/>
                <w:sz w:val="24"/>
                <w:szCs w:val="24"/>
              </w:rPr>
              <w:t>质量保证措施设置</w:t>
            </w:r>
            <w:r>
              <w:rPr>
                <w:rFonts w:hint="eastAsia" w:ascii="宋体" w:hAnsi="宋体" w:eastAsia="宋体" w:cs="宋体"/>
                <w:b w:val="0"/>
                <w:bCs w:val="0"/>
                <w:color w:val="000000"/>
                <w:sz w:val="24"/>
                <w:szCs w:val="24"/>
                <w:lang w:val="zh-CN" w:eastAsia="zh-CN"/>
              </w:rPr>
              <w:t>；</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保密制度措施</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sz w:val="24"/>
                <w:szCs w:val="24"/>
                <w:lang w:val="zh-CN"/>
              </w:rPr>
              <w:t>供应商提供本项目</w:t>
            </w:r>
            <w:r>
              <w:rPr>
                <w:rFonts w:hint="eastAsia" w:ascii="宋体" w:hAnsi="宋体" w:eastAsia="宋体" w:cs="宋体"/>
                <w:b w:val="0"/>
                <w:bCs w:val="0"/>
                <w:sz w:val="24"/>
                <w:szCs w:val="24"/>
                <w:lang w:val="zh-CN" w:eastAsia="zh-CN"/>
              </w:rPr>
              <w:t>保密制度措施方案</w:t>
            </w:r>
            <w:r>
              <w:rPr>
                <w:rFonts w:hint="eastAsia" w:ascii="宋体" w:hAnsi="宋体" w:eastAsia="宋体" w:cs="宋体"/>
                <w:b w:val="0"/>
                <w:bCs w:val="0"/>
                <w:sz w:val="24"/>
                <w:szCs w:val="24"/>
                <w:lang w:val="zh-CN"/>
              </w:rPr>
              <w:t>内容包含</w:t>
            </w:r>
            <w:r>
              <w:rPr>
                <w:rFonts w:hint="eastAsia" w:ascii="宋体" w:hAnsi="宋体" w:eastAsia="宋体" w:cs="宋体"/>
                <w:b w:val="0"/>
                <w:bCs w:val="0"/>
                <w:sz w:val="24"/>
                <w:szCs w:val="24"/>
                <w:lang w:val="en-US" w:eastAsia="zh-CN"/>
              </w:rPr>
              <w:t>但不限于：</w:t>
            </w:r>
            <w:r>
              <w:rPr>
                <w:rFonts w:hint="eastAsia" w:ascii="宋体" w:hAnsi="宋体" w:eastAsia="宋体" w:cs="宋体"/>
                <w:b w:val="0"/>
                <w:bCs w:val="0"/>
                <w:color w:val="000000"/>
                <w:sz w:val="24"/>
                <w:szCs w:val="24"/>
                <w:lang w:val="zh-CN"/>
              </w:rPr>
              <w:t>①保密制度；</w:t>
            </w:r>
            <w:r>
              <w:rPr>
                <w:rFonts w:hint="eastAsia" w:ascii="宋体" w:hAnsi="宋体" w:eastAsia="宋体" w:cs="宋体"/>
                <w:b w:val="0"/>
                <w:bCs w:val="0"/>
                <w:color w:val="000000"/>
                <w:sz w:val="24"/>
                <w:szCs w:val="24"/>
                <w:lang w:val="zh-CN" w:eastAsia="zh-CN"/>
              </w:rPr>
              <w:t>②</w:t>
            </w:r>
            <w:r>
              <w:rPr>
                <w:rFonts w:hint="eastAsia" w:ascii="宋体" w:hAnsi="宋体" w:eastAsia="宋体" w:cs="宋体"/>
                <w:b w:val="0"/>
                <w:bCs w:val="0"/>
                <w:sz w:val="24"/>
                <w:szCs w:val="24"/>
                <w:lang w:eastAsia="zh-CN"/>
              </w:rPr>
              <w:t>保密措施</w:t>
            </w:r>
            <w:r>
              <w:rPr>
                <w:rFonts w:hint="eastAsia" w:ascii="宋体" w:hAnsi="宋体" w:eastAsia="宋体" w:cs="宋体"/>
                <w:b w:val="0"/>
                <w:bCs w:val="0"/>
                <w:color w:val="000000"/>
                <w:sz w:val="24"/>
                <w:szCs w:val="24"/>
                <w:lang w:val="zh-CN" w:eastAsia="zh-CN"/>
              </w:rPr>
              <w:t>；</w:t>
            </w:r>
            <w:r>
              <w:rPr>
                <w:rFonts w:hint="eastAsia" w:ascii="宋体" w:hAnsi="宋体" w:eastAsia="宋体" w:cs="宋体"/>
                <w:sz w:val="24"/>
                <w:szCs w:val="24"/>
              </w:rPr>
              <w:t>每具有一项得</w:t>
            </w:r>
            <w:r>
              <w:rPr>
                <w:rFonts w:hint="eastAsia" w:ascii="宋体" w:hAnsi="宋体" w:eastAsia="宋体" w:cs="宋体"/>
                <w:sz w:val="24"/>
                <w:szCs w:val="24"/>
                <w:lang w:val="en-US" w:eastAsia="zh-CN"/>
              </w:rPr>
              <w:t>2.5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分；在此基础上，方案中存在缺陷或不足，每有一处扣</w:t>
            </w:r>
            <w:r>
              <w:rPr>
                <w:rFonts w:hint="eastAsia" w:ascii="宋体" w:hAnsi="宋体" w:eastAsia="宋体" w:cs="宋体"/>
                <w:sz w:val="24"/>
                <w:szCs w:val="24"/>
                <w:lang w:val="en-US" w:eastAsia="zh-CN"/>
              </w:rPr>
              <w:t>1.25</w:t>
            </w:r>
            <w:r>
              <w:rPr>
                <w:rFonts w:hint="eastAsia" w:ascii="宋体" w:hAnsi="宋体" w:eastAsia="宋体" w:cs="宋体"/>
                <w:sz w:val="24"/>
                <w:szCs w:val="24"/>
              </w:rPr>
              <w:t>分；扣完为止。</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注：①缺陷或不足是指：存在不适用项目实际情况的情形、凭空编造、方案中内容前后不一致、前后逻辑错误、涉及的规范及标准错误、地点区域错误、不符合项目实际情况等；</w:t>
            </w:r>
          </w:p>
          <w:p>
            <w:pPr>
              <w:bidi w:val="0"/>
              <w:spacing w:line="360" w:lineRule="auto"/>
              <w:ind w:firstLine="361"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18"/>
                <w:szCs w:val="18"/>
                <w:lang w:val="zh-CN"/>
              </w:rPr>
              <w:t>②以评审专家结合项目实际情况和</w:t>
            </w:r>
            <w:r>
              <w:rPr>
                <w:rFonts w:hint="eastAsia" w:ascii="宋体" w:hAnsi="宋体" w:eastAsia="宋体" w:cs="宋体"/>
                <w:b/>
                <w:bCs/>
                <w:color w:val="000000"/>
                <w:sz w:val="18"/>
                <w:szCs w:val="18"/>
                <w:lang w:val="en-US" w:eastAsia="zh-CN"/>
              </w:rPr>
              <w:t>响应</w:t>
            </w:r>
            <w:r>
              <w:rPr>
                <w:rFonts w:hint="eastAsia" w:ascii="宋体" w:hAnsi="宋体" w:eastAsia="宋体" w:cs="宋体"/>
                <w:b/>
                <w:bCs/>
                <w:color w:val="000000"/>
                <w:sz w:val="18"/>
                <w:szCs w:val="18"/>
                <w:lang w:val="zh-CN"/>
              </w:rPr>
              <w:t>文件独立评审为准。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1006" w:hRule="atLeast"/>
          <w:jc w:val="center"/>
        </w:trPr>
        <w:tc>
          <w:tcPr>
            <w:tcW w:w="5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能力</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hAnsi="宋体" w:cs="宋体"/>
                <w:kern w:val="0"/>
                <w:sz w:val="24"/>
                <w:szCs w:val="24"/>
                <w:lang w:val="en-US" w:eastAsia="zh-CN"/>
              </w:rPr>
              <w:t>8</w:t>
            </w:r>
            <w:r>
              <w:rPr>
                <w:rFonts w:hint="eastAsia" w:ascii="宋体" w:hAnsi="宋体" w:eastAsia="宋体" w:cs="宋体"/>
                <w:kern w:val="0"/>
                <w:sz w:val="24"/>
                <w:szCs w:val="24"/>
              </w:rPr>
              <w:t>分</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项目负责人</w:t>
            </w:r>
            <w:r>
              <w:rPr>
                <w:rFonts w:hint="eastAsia" w:ascii="宋体" w:hAnsi="宋体" w:eastAsia="宋体" w:cs="宋体"/>
                <w:b w:val="0"/>
                <w:bCs w:val="0"/>
                <w:color w:val="000000"/>
                <w:sz w:val="24"/>
                <w:szCs w:val="24"/>
                <w:highlight w:val="none"/>
                <w:lang w:eastAsia="zh-CN"/>
              </w:rPr>
              <w:t>：具有电子计算机</w:t>
            </w:r>
            <w:r>
              <w:rPr>
                <w:rFonts w:hint="eastAsia" w:hAnsi="宋体" w:eastAsia="宋体" w:cs="宋体"/>
                <w:b w:val="0"/>
                <w:bCs w:val="0"/>
                <w:color w:val="000000"/>
                <w:sz w:val="24"/>
                <w:szCs w:val="24"/>
                <w:highlight w:val="none"/>
                <w:lang w:val="en-US" w:eastAsia="zh-CN"/>
              </w:rPr>
              <w:t>类</w:t>
            </w:r>
            <w:r>
              <w:rPr>
                <w:rFonts w:hint="eastAsia" w:ascii="宋体" w:hAnsi="宋体" w:eastAsia="宋体" w:cs="宋体"/>
                <w:b w:val="0"/>
                <w:bCs w:val="0"/>
                <w:color w:val="000000"/>
                <w:sz w:val="24"/>
                <w:szCs w:val="24"/>
                <w:highlight w:val="none"/>
                <w:lang w:val="en-US" w:eastAsia="zh-CN"/>
              </w:rPr>
              <w:t>专业</w:t>
            </w:r>
            <w:r>
              <w:rPr>
                <w:rFonts w:hint="eastAsia" w:ascii="宋体" w:hAnsi="宋体" w:eastAsia="宋体" w:cs="宋体"/>
                <w:b w:val="0"/>
                <w:bCs w:val="0"/>
                <w:color w:val="000000"/>
                <w:sz w:val="24"/>
                <w:szCs w:val="24"/>
                <w:highlight w:val="none"/>
                <w:lang w:eastAsia="zh-CN"/>
              </w:rPr>
              <w:t>中级</w:t>
            </w:r>
            <w:r>
              <w:rPr>
                <w:rFonts w:hint="eastAsia" w:ascii="宋体" w:hAnsi="宋体" w:eastAsia="宋体" w:cs="宋体"/>
                <w:b w:val="0"/>
                <w:bCs w:val="0"/>
                <w:color w:val="000000"/>
                <w:sz w:val="24"/>
                <w:szCs w:val="24"/>
                <w:lang w:eastAsia="zh-CN"/>
              </w:rPr>
              <w:t>及以上职称的得</w:t>
            </w:r>
            <w:r>
              <w:rPr>
                <w:rFonts w:hint="eastAsia"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分。</w:t>
            </w:r>
          </w:p>
          <w:p>
            <w:pPr>
              <w:bidi w:val="0"/>
              <w:spacing w:line="360" w:lineRule="auto"/>
              <w:ind w:firstLine="480" w:firstLineChars="200"/>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项目技术人员</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测绘类</w:t>
            </w:r>
            <w:r>
              <w:rPr>
                <w:rFonts w:hint="eastAsia" w:ascii="宋体" w:hAnsi="宋体" w:eastAsia="宋体" w:cs="宋体"/>
                <w:b w:val="0"/>
                <w:bCs w:val="0"/>
                <w:color w:val="000000"/>
                <w:sz w:val="24"/>
                <w:szCs w:val="24"/>
                <w:lang w:val="en-US" w:eastAsia="zh-CN"/>
              </w:rPr>
              <w:t>专业</w:t>
            </w:r>
            <w:r>
              <w:rPr>
                <w:rFonts w:hint="eastAsia" w:ascii="宋体" w:hAnsi="宋体" w:eastAsia="宋体" w:cs="宋体"/>
                <w:b w:val="0"/>
                <w:bCs w:val="0"/>
                <w:color w:val="000000"/>
                <w:sz w:val="24"/>
                <w:szCs w:val="24"/>
              </w:rPr>
              <w:t>中级及以上职称的得2分，最</w:t>
            </w:r>
            <w:r>
              <w:rPr>
                <w:rFonts w:hint="eastAsia" w:ascii="宋体" w:hAnsi="宋体" w:eastAsia="宋体" w:cs="宋体"/>
                <w:b w:val="0"/>
                <w:bCs w:val="0"/>
                <w:color w:val="000000"/>
                <w:sz w:val="24"/>
                <w:szCs w:val="24"/>
                <w:lang w:eastAsia="zh-CN"/>
              </w:rPr>
              <w:t>多得</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分。</w:t>
            </w:r>
          </w:p>
          <w:p>
            <w:pPr>
              <w:bidi w:val="0"/>
              <w:spacing w:line="360" w:lineRule="auto"/>
              <w:ind w:firstLine="361" w:firstLineChars="200"/>
              <w:jc w:val="left"/>
              <w:rPr>
                <w:rFonts w:hint="eastAsia" w:ascii="宋体" w:hAnsi="宋体" w:eastAsia="宋体" w:cs="宋体"/>
                <w:b w:val="0"/>
                <w:bCs w:val="0"/>
                <w:color w:val="000000"/>
                <w:kern w:val="2"/>
                <w:sz w:val="24"/>
                <w:szCs w:val="24"/>
                <w:lang w:val="zh-CN" w:eastAsia="zh-CN" w:bidi="ar-SA"/>
              </w:rPr>
            </w:pPr>
            <w:r>
              <w:rPr>
                <w:rFonts w:hint="eastAsia" w:ascii="宋体" w:hAnsi="宋体" w:eastAsia="宋体" w:cs="宋体"/>
                <w:b/>
                <w:bCs/>
                <w:color w:val="000000"/>
                <w:sz w:val="18"/>
                <w:szCs w:val="18"/>
                <w:lang w:val="zh-CN"/>
              </w:rPr>
              <w:t>注：提供证书复印件并加盖</w:t>
            </w:r>
            <w:r>
              <w:rPr>
                <w:rFonts w:hint="eastAsia" w:ascii="宋体" w:hAnsi="宋体" w:eastAsia="宋体" w:cs="宋体"/>
                <w:b/>
                <w:bCs/>
                <w:color w:val="000000"/>
                <w:sz w:val="18"/>
                <w:szCs w:val="18"/>
                <w:lang w:val="en-US" w:eastAsia="zh-CN"/>
              </w:rPr>
              <w:t>供应商单位公章（鲜章）</w:t>
            </w:r>
            <w:r>
              <w:rPr>
                <w:rFonts w:hint="eastAsia" w:ascii="宋体" w:hAnsi="宋体" w:eastAsia="宋体" w:cs="宋体"/>
                <w:b/>
                <w:bCs/>
                <w:color w:val="000000"/>
                <w:sz w:val="18"/>
                <w:szCs w:val="18"/>
                <w:lang w:val="zh-CN"/>
              </w:rPr>
              <w:t>，同一人员不重复计分。</w:t>
            </w:r>
          </w:p>
        </w:tc>
      </w:tr>
      <w:tr>
        <w:tblPrEx>
          <w:tblCellMar>
            <w:top w:w="0" w:type="dxa"/>
            <w:left w:w="108" w:type="dxa"/>
            <w:bottom w:w="0" w:type="dxa"/>
            <w:right w:w="108" w:type="dxa"/>
          </w:tblCellMar>
        </w:tblPrEx>
        <w:trPr>
          <w:trHeight w:val="1426"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lang w:val="en-US"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业绩</w:t>
            </w:r>
            <w:r>
              <w:rPr>
                <w:rFonts w:hint="eastAsia" w:ascii="宋体" w:hAnsi="宋体" w:eastAsia="宋体" w:cs="宋体"/>
                <w:kern w:val="0"/>
                <w:sz w:val="24"/>
                <w:szCs w:val="24"/>
                <w:highlight w:val="none"/>
                <w:lang w:val="en-US" w:eastAsia="zh-CN"/>
              </w:rPr>
              <w:t>12%</w:t>
            </w:r>
          </w:p>
          <w:p>
            <w:pPr>
              <w:spacing w:line="360" w:lineRule="auto"/>
              <w:jc w:val="center"/>
              <w:rPr>
                <w:rFonts w:hint="eastAsia" w:ascii="宋体" w:hAnsi="宋体" w:eastAsia="宋体" w:cs="宋体"/>
                <w:kern w:val="2"/>
                <w:sz w:val="24"/>
                <w:szCs w:val="24"/>
                <w:lang w:val="en-US" w:eastAsia="zh-CN" w:bidi="ar-SA"/>
              </w:rPr>
            </w:pPr>
          </w:p>
        </w:tc>
        <w:tc>
          <w:tcPr>
            <w:tcW w:w="7203" w:type="dxa"/>
            <w:tcBorders>
              <w:top w:val="single" w:color="auto" w:sz="4" w:space="0"/>
              <w:left w:val="single" w:color="auto" w:sz="4" w:space="0"/>
              <w:bottom w:val="single" w:color="auto" w:sz="4" w:space="0"/>
              <w:right w:val="single" w:color="auto" w:sz="4" w:space="0"/>
            </w:tcBorders>
            <w:vAlign w:val="center"/>
          </w:tcPr>
          <w:p>
            <w:pPr>
              <w:bidi w:val="0"/>
              <w:spacing w:line="360" w:lineRule="auto"/>
              <w:ind w:firstLine="480" w:firstLineChars="200"/>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供应商201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val="zh-CN"/>
              </w:rPr>
              <w:t>年1月1日至今具有类似</w:t>
            </w:r>
            <w:r>
              <w:rPr>
                <w:rFonts w:hint="eastAsia" w:ascii="宋体" w:hAnsi="宋体" w:eastAsia="宋体" w:cs="宋体"/>
                <w:b w:val="0"/>
                <w:bCs w:val="0"/>
                <w:sz w:val="24"/>
                <w:szCs w:val="24"/>
                <w:lang w:val="en-US" w:eastAsia="zh-CN"/>
              </w:rPr>
              <w:t>项目（类似项目是指：</w:t>
            </w:r>
            <w:r>
              <w:rPr>
                <w:rFonts w:hint="eastAsia" w:ascii="宋体" w:hAnsi="宋体" w:eastAsia="宋体" w:cs="宋体"/>
                <w:b w:val="0"/>
                <w:bCs w:val="0"/>
                <w:sz w:val="24"/>
                <w:szCs w:val="24"/>
                <w:lang w:val="zh-CN"/>
              </w:rPr>
              <w:t>耕地保护年度变更</w:t>
            </w:r>
            <w:r>
              <w:rPr>
                <w:rFonts w:hint="eastAsia" w:hAnsi="宋体" w:eastAsia="宋体" w:cs="宋体"/>
                <w:b w:val="0"/>
                <w:bCs w:val="0"/>
                <w:sz w:val="24"/>
                <w:szCs w:val="24"/>
                <w:lang w:val="zh-CN"/>
              </w:rPr>
              <w:t>或</w:t>
            </w:r>
            <w:r>
              <w:rPr>
                <w:rFonts w:hint="eastAsia" w:ascii="宋体" w:hAnsi="宋体" w:eastAsia="宋体" w:cs="宋体"/>
                <w:b w:val="0"/>
                <w:bCs w:val="0"/>
                <w:sz w:val="24"/>
                <w:szCs w:val="24"/>
                <w:lang w:val="zh-CN" w:eastAsia="zh-CN"/>
              </w:rPr>
              <w:t>耕地卫片</w:t>
            </w:r>
            <w:r>
              <w:rPr>
                <w:rFonts w:hint="eastAsia" w:hAnsi="宋体" w:eastAsia="宋体" w:cs="宋体"/>
                <w:b w:val="0"/>
                <w:bCs w:val="0"/>
                <w:sz w:val="24"/>
                <w:szCs w:val="24"/>
                <w:lang w:val="zh-CN" w:eastAsia="zh-CN"/>
              </w:rPr>
              <w:t>或</w:t>
            </w:r>
            <w:r>
              <w:rPr>
                <w:rFonts w:hint="eastAsia" w:ascii="宋体" w:hAnsi="宋体" w:eastAsia="宋体" w:cs="宋体"/>
                <w:b w:val="0"/>
                <w:bCs w:val="0"/>
                <w:sz w:val="24"/>
                <w:szCs w:val="24"/>
                <w:lang w:val="zh-CN" w:eastAsia="zh-CN"/>
              </w:rPr>
              <w:t>耕地后备资源调查</w:t>
            </w:r>
            <w:r>
              <w:rPr>
                <w:rFonts w:hint="eastAsia" w:hAnsi="宋体" w:eastAsia="宋体" w:cs="宋体"/>
                <w:b w:val="0"/>
                <w:bCs w:val="0"/>
                <w:sz w:val="24"/>
                <w:szCs w:val="24"/>
                <w:lang w:val="zh-CN" w:eastAsia="zh-CN"/>
              </w:rPr>
              <w:t>或</w:t>
            </w:r>
            <w:r>
              <w:rPr>
                <w:rFonts w:hint="eastAsia" w:ascii="宋体" w:hAnsi="宋体" w:eastAsia="宋体" w:cs="宋体"/>
                <w:b w:val="0"/>
                <w:bCs w:val="0"/>
                <w:sz w:val="24"/>
                <w:szCs w:val="24"/>
                <w:lang w:val="zh-CN"/>
              </w:rPr>
              <w:t>基本农田</w:t>
            </w:r>
            <w:r>
              <w:rPr>
                <w:rFonts w:hint="eastAsia" w:ascii="宋体" w:hAnsi="宋体" w:eastAsia="宋体" w:cs="宋体"/>
                <w:b w:val="0"/>
                <w:bCs w:val="0"/>
                <w:sz w:val="24"/>
                <w:szCs w:val="24"/>
                <w:lang w:val="en-US" w:eastAsia="zh-CN"/>
              </w:rPr>
              <w:t>划定</w:t>
            </w:r>
            <w:r>
              <w:rPr>
                <w:rFonts w:hint="eastAsia" w:hAnsi="宋体" w:eastAsia="宋体" w:cs="宋体"/>
                <w:b w:val="0"/>
                <w:bCs w:val="0"/>
                <w:sz w:val="24"/>
                <w:szCs w:val="24"/>
                <w:lang w:val="zh-CN" w:eastAsia="zh-CN"/>
              </w:rPr>
              <w:t>或</w:t>
            </w:r>
            <w:r>
              <w:rPr>
                <w:rFonts w:hint="eastAsia" w:ascii="宋体" w:hAnsi="宋体" w:eastAsia="宋体" w:cs="宋体"/>
                <w:b w:val="0"/>
                <w:bCs w:val="0"/>
                <w:sz w:val="24"/>
                <w:szCs w:val="24"/>
                <w:lang w:val="zh-CN"/>
              </w:rPr>
              <w:t>国土调查</w:t>
            </w:r>
            <w:r>
              <w:rPr>
                <w:rFonts w:hint="eastAsia" w:ascii="宋体" w:hAnsi="宋体" w:eastAsia="宋体" w:cs="宋体"/>
                <w:b w:val="0"/>
                <w:bCs w:val="0"/>
                <w:sz w:val="24"/>
                <w:szCs w:val="24"/>
                <w:lang w:val="en-US" w:eastAsia="zh-CN"/>
              </w:rPr>
              <w:t>）的每提供一个得3分，本项最多得12分</w:t>
            </w:r>
            <w:r>
              <w:rPr>
                <w:rFonts w:hint="eastAsia" w:hAnsi="宋体" w:eastAsia="宋体" w:cs="宋体"/>
                <w:b w:val="0"/>
                <w:bCs w:val="0"/>
                <w:sz w:val="24"/>
                <w:szCs w:val="24"/>
                <w:lang w:val="en-US" w:eastAsia="zh-CN"/>
              </w:rPr>
              <w:t>。</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ascii="宋体" w:hAnsi="宋体" w:eastAsia="宋体" w:cs="宋体"/>
                <w:b/>
                <w:bCs/>
                <w:color w:val="000000"/>
                <w:sz w:val="18"/>
                <w:szCs w:val="18"/>
                <w:lang w:val="zh-CN"/>
              </w:rPr>
              <w:t>注：</w:t>
            </w:r>
            <w:r>
              <w:rPr>
                <w:rFonts w:hint="eastAsia" w:ascii="宋体" w:hAnsi="宋体" w:eastAsia="宋体" w:cs="宋体"/>
                <w:b/>
                <w:bCs/>
                <w:color w:val="000000"/>
                <w:sz w:val="18"/>
                <w:szCs w:val="18"/>
                <w:lang w:val="en-US" w:eastAsia="zh-CN"/>
              </w:rPr>
              <w:t>1.</w:t>
            </w:r>
            <w:r>
              <w:rPr>
                <w:rFonts w:hint="eastAsia" w:ascii="宋体" w:hAnsi="宋体" w:eastAsia="宋体" w:cs="宋体"/>
                <w:b/>
                <w:bCs/>
                <w:color w:val="000000"/>
                <w:sz w:val="18"/>
                <w:szCs w:val="18"/>
                <w:lang w:val="zh-CN"/>
              </w:rPr>
              <w:t>以上业绩需提供合同（或任务来源证明文件）复印件</w:t>
            </w:r>
            <w:r>
              <w:rPr>
                <w:rFonts w:hint="eastAsia" w:ascii="宋体" w:hAnsi="宋体" w:eastAsia="宋体" w:cs="宋体"/>
                <w:b/>
                <w:bCs/>
                <w:color w:val="000000"/>
                <w:sz w:val="18"/>
                <w:szCs w:val="18"/>
                <w:lang w:val="en-US" w:eastAsia="zh-CN"/>
              </w:rPr>
              <w:t>并</w:t>
            </w:r>
            <w:r>
              <w:rPr>
                <w:rFonts w:hint="eastAsia" w:ascii="宋体" w:hAnsi="宋体" w:eastAsia="宋体" w:cs="宋体"/>
                <w:b/>
                <w:bCs/>
                <w:color w:val="000000"/>
                <w:sz w:val="18"/>
                <w:szCs w:val="18"/>
                <w:lang w:val="zh-CN"/>
              </w:rPr>
              <w:t>加盖</w:t>
            </w:r>
            <w:r>
              <w:rPr>
                <w:rFonts w:hint="eastAsia" w:ascii="宋体" w:hAnsi="宋体" w:eastAsia="宋体" w:cs="宋体"/>
                <w:b/>
                <w:bCs/>
                <w:color w:val="000000"/>
                <w:sz w:val="18"/>
                <w:szCs w:val="18"/>
                <w:lang w:val="en-US" w:eastAsia="zh-CN"/>
              </w:rPr>
              <w:t>供应商单位</w:t>
            </w:r>
            <w:r>
              <w:rPr>
                <w:rFonts w:hint="eastAsia" w:ascii="宋体" w:hAnsi="宋体" w:eastAsia="宋体" w:cs="宋体"/>
                <w:b/>
                <w:bCs/>
                <w:color w:val="000000"/>
                <w:sz w:val="18"/>
                <w:szCs w:val="18"/>
                <w:lang w:val="zh-CN"/>
              </w:rPr>
              <w:t>公章</w:t>
            </w:r>
            <w:r>
              <w:rPr>
                <w:rFonts w:hint="eastAsia" w:ascii="宋体" w:hAnsi="宋体" w:eastAsia="宋体" w:cs="宋体"/>
                <w:b/>
                <w:bCs/>
                <w:color w:val="000000"/>
                <w:sz w:val="18"/>
                <w:szCs w:val="18"/>
                <w:lang w:val="zh-CN" w:eastAsia="zh-CN"/>
              </w:rPr>
              <w:t>（</w:t>
            </w:r>
            <w:r>
              <w:rPr>
                <w:rFonts w:hint="eastAsia" w:ascii="宋体" w:hAnsi="宋体" w:eastAsia="宋体" w:cs="宋体"/>
                <w:b/>
                <w:bCs/>
                <w:color w:val="000000"/>
                <w:sz w:val="18"/>
                <w:szCs w:val="18"/>
                <w:lang w:val="en-US" w:eastAsia="zh-CN"/>
              </w:rPr>
              <w:t>鲜章</w:t>
            </w:r>
            <w:r>
              <w:rPr>
                <w:rFonts w:hint="eastAsia" w:ascii="宋体" w:hAnsi="宋体" w:eastAsia="宋体" w:cs="宋体"/>
                <w:b/>
                <w:bCs/>
                <w:color w:val="000000"/>
                <w:sz w:val="18"/>
                <w:szCs w:val="18"/>
                <w:lang w:val="zh-CN" w:eastAsia="zh-CN"/>
              </w:rPr>
              <w:t>）</w:t>
            </w:r>
            <w:r>
              <w:rPr>
                <w:rFonts w:hint="eastAsia" w:ascii="宋体" w:hAnsi="宋体" w:eastAsia="宋体" w:cs="宋体"/>
                <w:b/>
                <w:bCs/>
                <w:color w:val="000000"/>
                <w:sz w:val="18"/>
                <w:szCs w:val="18"/>
                <w:lang w:val="zh-CN"/>
              </w:rPr>
              <w:t>，未附证明材料或证明材料不齐、不能清晰反映上述内容的，不得分。</w:t>
            </w:r>
          </w:p>
          <w:p>
            <w:pPr>
              <w:bidi w:val="0"/>
              <w:spacing w:line="360" w:lineRule="auto"/>
              <w:ind w:firstLine="361" w:firstLineChars="200"/>
              <w:jc w:val="left"/>
              <w:rPr>
                <w:rFonts w:hint="eastAsia" w:ascii="宋体" w:hAnsi="宋体" w:eastAsia="宋体" w:cs="宋体"/>
                <w:b/>
                <w:bCs/>
                <w:color w:val="000000"/>
                <w:sz w:val="18"/>
                <w:szCs w:val="18"/>
                <w:lang w:val="zh-CN"/>
              </w:rPr>
            </w:pPr>
            <w:r>
              <w:rPr>
                <w:rFonts w:hint="eastAsia" w:hAnsi="宋体" w:eastAsia="宋体" w:cs="宋体"/>
                <w:b/>
                <w:bCs/>
                <w:color w:val="000000"/>
                <w:sz w:val="18"/>
                <w:szCs w:val="18"/>
                <w:lang w:val="en-US" w:eastAsia="zh-CN"/>
              </w:rPr>
              <w:t>2.</w:t>
            </w:r>
            <w:r>
              <w:rPr>
                <w:rFonts w:hint="eastAsia" w:ascii="宋体" w:hAnsi="宋体" w:eastAsia="宋体" w:cs="宋体"/>
                <w:b/>
                <w:bCs/>
                <w:color w:val="000000"/>
                <w:sz w:val="18"/>
                <w:szCs w:val="18"/>
                <w:lang w:val="zh-CN"/>
              </w:rPr>
              <w:t>业绩时间以合同签订时间为准。</w:t>
            </w:r>
          </w:p>
          <w:p>
            <w:pPr>
              <w:bidi w:val="0"/>
              <w:spacing w:line="360" w:lineRule="auto"/>
              <w:ind w:firstLine="361" w:firstLineChars="200"/>
              <w:jc w:val="left"/>
              <w:rPr>
                <w:rFonts w:hint="eastAsia"/>
                <w:lang w:val="zh-CN" w:eastAsia="zh-CN"/>
              </w:rPr>
            </w:pPr>
            <w:r>
              <w:rPr>
                <w:rFonts w:hint="eastAsia" w:hAnsi="宋体" w:eastAsia="宋体" w:cs="宋体"/>
                <w:b/>
                <w:bCs/>
                <w:color w:val="000000"/>
                <w:sz w:val="18"/>
                <w:szCs w:val="18"/>
                <w:lang w:val="en-US" w:eastAsia="zh-CN"/>
              </w:rPr>
              <w:t>3.</w:t>
            </w:r>
            <w:r>
              <w:rPr>
                <w:rFonts w:hint="eastAsia" w:ascii="宋体" w:hAnsi="宋体" w:eastAsia="宋体" w:cs="宋体"/>
                <w:b/>
                <w:bCs/>
                <w:color w:val="000000"/>
                <w:sz w:val="18"/>
                <w:szCs w:val="18"/>
                <w:lang w:val="zh-CN" w:eastAsia="zh-CN"/>
              </w:rPr>
              <w:t>合同分包和转包无效。</w:t>
            </w:r>
          </w:p>
        </w:tc>
      </w:tr>
      <w:tr>
        <w:tblPrEx>
          <w:tblCellMar>
            <w:top w:w="0" w:type="dxa"/>
            <w:left w:w="108" w:type="dxa"/>
            <w:bottom w:w="0" w:type="dxa"/>
            <w:right w:w="108" w:type="dxa"/>
          </w:tblCellMar>
        </w:tblPrEx>
        <w:trPr>
          <w:trHeight w:val="341" w:hRule="atLeast"/>
          <w:jc w:val="center"/>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p>
        </w:tc>
        <w:tc>
          <w:tcPr>
            <w:tcW w:w="7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p>
        </w:tc>
        <w:tc>
          <w:tcPr>
            <w:tcW w:w="7203" w:type="dxa"/>
            <w:tcBorders>
              <w:top w:val="single" w:color="auto" w:sz="4" w:space="0"/>
              <w:left w:val="nil"/>
              <w:bottom w:val="single" w:color="auto" w:sz="4" w:space="0"/>
              <w:right w:val="single" w:color="auto" w:sz="4" w:space="0"/>
            </w:tcBorders>
            <w:vAlign w:val="center"/>
          </w:tcPr>
          <w:p>
            <w:pPr>
              <w:pStyle w:val="61"/>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供应商根据本项目配置相关</w:t>
            </w:r>
            <w:r>
              <w:rPr>
                <w:rFonts w:hint="eastAsia" w:hAnsi="宋体" w:eastAsia="宋体" w:cs="宋体"/>
                <w:b w:val="0"/>
                <w:bCs w:val="0"/>
                <w:color w:val="000000"/>
                <w:sz w:val="24"/>
                <w:szCs w:val="24"/>
                <w:lang w:eastAsia="zh-CN"/>
              </w:rPr>
              <w:t>自有</w:t>
            </w:r>
            <w:r>
              <w:rPr>
                <w:rFonts w:hint="eastAsia" w:ascii="宋体" w:hAnsi="宋体" w:eastAsia="宋体" w:cs="宋体"/>
                <w:b w:val="0"/>
                <w:bCs w:val="0"/>
                <w:color w:val="000000"/>
                <w:sz w:val="24"/>
                <w:szCs w:val="24"/>
              </w:rPr>
              <w:t>设备（包含GPS、全站仪</w:t>
            </w:r>
            <w:r>
              <w:rPr>
                <w:rFonts w:hint="eastAsia" w:ascii="宋体" w:hAnsi="宋体" w:eastAsia="宋体" w:cs="宋体"/>
                <w:b w:val="0"/>
                <w:bCs w:val="0"/>
                <w:color w:val="000000"/>
                <w:sz w:val="24"/>
                <w:szCs w:val="24"/>
                <w:lang w:eastAsia="zh-CN"/>
              </w:rPr>
              <w:t>、平板电脑</w:t>
            </w:r>
            <w:r>
              <w:rPr>
                <w:rFonts w:hint="eastAsia" w:ascii="宋体" w:hAnsi="宋体" w:eastAsia="宋体" w:cs="宋体"/>
                <w:b w:val="0"/>
                <w:bCs w:val="0"/>
                <w:color w:val="000000"/>
                <w:sz w:val="24"/>
                <w:szCs w:val="24"/>
              </w:rPr>
              <w:t>），要求如下：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    1、提供GPS设备1台得1分，最高2分。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2、提供全站仪设备1台得1分，最高3分。</w:t>
            </w:r>
          </w:p>
          <w:p>
            <w:pPr>
              <w:pStyle w:val="9"/>
              <w:spacing w:line="360" w:lineRule="auto"/>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lang w:val="en-US" w:eastAsia="zh-CN"/>
              </w:rPr>
              <w:t>3、提供平板电脑5台及以上的得1分。</w:t>
            </w:r>
          </w:p>
          <w:p>
            <w:pPr>
              <w:keepNext w:val="0"/>
              <w:keepLines w:val="0"/>
              <w:pageBreakBefore w:val="0"/>
              <w:kinsoku/>
              <w:wordWrap/>
              <w:overflowPunct/>
              <w:topLinePunct w:val="0"/>
              <w:autoSpaceDE/>
              <w:autoSpaceDN/>
              <w:bidi w:val="0"/>
              <w:adjustRightInd/>
              <w:snapToGrid/>
              <w:spacing w:line="360" w:lineRule="auto"/>
              <w:ind w:firstLine="361" w:firstLineChars="200"/>
              <w:textAlignment w:val="auto"/>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18"/>
                <w:szCs w:val="18"/>
                <w:lang w:val="zh-CN"/>
              </w:rPr>
              <w:t>注：提供以上</w:t>
            </w:r>
            <w:r>
              <w:rPr>
                <w:rFonts w:hint="eastAsia" w:hAnsi="宋体" w:eastAsia="宋体" w:cs="宋体"/>
                <w:b/>
                <w:bCs/>
                <w:color w:val="000000"/>
                <w:sz w:val="18"/>
                <w:szCs w:val="18"/>
                <w:lang w:val="zh-CN"/>
              </w:rPr>
              <w:t>自有</w:t>
            </w:r>
            <w:r>
              <w:rPr>
                <w:rFonts w:hint="eastAsia" w:ascii="宋体" w:hAnsi="宋体" w:eastAsia="宋体" w:cs="宋体"/>
                <w:b/>
                <w:bCs/>
                <w:color w:val="000000"/>
                <w:sz w:val="18"/>
                <w:szCs w:val="18"/>
                <w:lang w:val="zh-CN"/>
              </w:rPr>
              <w:t>设备购买发票复印件或有效期内的检定证书复印件</w:t>
            </w:r>
            <w:r>
              <w:rPr>
                <w:rFonts w:hint="eastAsia" w:ascii="宋体" w:hAnsi="宋体" w:eastAsia="宋体" w:cs="宋体"/>
                <w:b/>
                <w:bCs/>
                <w:color w:val="000000"/>
                <w:sz w:val="18"/>
                <w:szCs w:val="18"/>
                <w:lang w:val="zh-CN" w:eastAsia="zh-CN"/>
              </w:rPr>
              <w:t>（平板电脑不提供检定证书），并</w:t>
            </w:r>
            <w:r>
              <w:rPr>
                <w:rFonts w:hint="eastAsia" w:ascii="宋体" w:hAnsi="宋体" w:eastAsia="宋体" w:cs="宋体"/>
                <w:b/>
                <w:bCs/>
                <w:color w:val="000000"/>
                <w:sz w:val="18"/>
                <w:szCs w:val="18"/>
                <w:lang w:val="zh-CN"/>
              </w:rPr>
              <w:t>加盖供应商</w:t>
            </w:r>
            <w:r>
              <w:rPr>
                <w:rFonts w:hint="eastAsia" w:ascii="宋体" w:hAnsi="宋体" w:eastAsia="宋体" w:cs="宋体"/>
                <w:b/>
                <w:bCs/>
                <w:color w:val="000000"/>
                <w:sz w:val="18"/>
                <w:szCs w:val="18"/>
                <w:lang w:val="en-US" w:eastAsia="zh-CN"/>
              </w:rPr>
              <w:t>单位</w:t>
            </w:r>
            <w:r>
              <w:rPr>
                <w:rFonts w:hint="eastAsia" w:ascii="宋体" w:hAnsi="宋体" w:eastAsia="宋体" w:cs="宋体"/>
                <w:b/>
                <w:bCs/>
                <w:color w:val="000000"/>
                <w:sz w:val="18"/>
                <w:szCs w:val="18"/>
                <w:lang w:val="zh-CN"/>
              </w:rPr>
              <w:t>公章（</w:t>
            </w:r>
            <w:r>
              <w:rPr>
                <w:rFonts w:hint="eastAsia" w:ascii="宋体" w:hAnsi="宋体" w:eastAsia="宋体" w:cs="宋体"/>
                <w:b/>
                <w:bCs/>
                <w:color w:val="000000"/>
                <w:sz w:val="18"/>
                <w:szCs w:val="18"/>
                <w:lang w:val="en-US" w:eastAsia="zh-CN"/>
              </w:rPr>
              <w:t>鲜章</w:t>
            </w:r>
            <w:r>
              <w:rPr>
                <w:rFonts w:hint="eastAsia" w:ascii="宋体" w:hAnsi="宋体" w:eastAsia="宋体" w:cs="宋体"/>
                <w:b/>
                <w:bCs/>
                <w:color w:val="000000"/>
                <w:sz w:val="18"/>
                <w:szCs w:val="18"/>
                <w:lang w:val="zh-CN"/>
              </w:rPr>
              <w:t>）</w:t>
            </w:r>
            <w:r>
              <w:rPr>
                <w:rFonts w:hint="eastAsia" w:ascii="宋体" w:hAnsi="宋体" w:eastAsia="宋体" w:cs="宋体"/>
                <w:b/>
                <w:bCs/>
                <w:color w:val="000000"/>
                <w:sz w:val="18"/>
                <w:szCs w:val="18"/>
                <w:lang w:val="zh-CN" w:eastAsia="zh-CN"/>
              </w:rPr>
              <w:t>。</w:t>
            </w:r>
          </w:p>
        </w:tc>
      </w:tr>
    </w:tbl>
    <w:p>
      <w:pPr>
        <w:rPr>
          <w:rFonts w:hint="eastAsia"/>
          <w:color w:val="000000"/>
          <w:sz w:val="24"/>
        </w:rPr>
      </w:pPr>
    </w:p>
    <w:p>
      <w:pPr>
        <w:rPr>
          <w:rFonts w:hint="eastAsia" w:hAnsi="宋体"/>
          <w:b/>
          <w:color w:val="000000"/>
          <w:sz w:val="24"/>
        </w:rPr>
      </w:pPr>
      <w:r>
        <w:rPr>
          <w:rFonts w:hint="eastAsia"/>
          <w:color w:val="000000"/>
          <w:sz w:val="24"/>
        </w:rPr>
        <w:t>注：评分的取值按四舍五入法，保留小数点后两位。</w:t>
      </w:r>
    </w:p>
    <w:p>
      <w:pPr>
        <w:tabs>
          <w:tab w:val="left" w:pos="851"/>
        </w:tabs>
        <w:spacing w:line="400" w:lineRule="exact"/>
        <w:ind w:firstLine="482" w:firstLineChars="200"/>
        <w:rPr>
          <w:rFonts w:hint="eastAsia" w:hAnsi="宋体"/>
          <w:b/>
          <w:color w:val="000000"/>
          <w:sz w:val="24"/>
        </w:rPr>
      </w:pP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sz w:val="24"/>
        </w:rPr>
      </w:pPr>
    </w:p>
    <w:p>
      <w:pPr>
        <w:spacing w:line="360" w:lineRule="auto"/>
        <w:jc w:val="center"/>
        <w:rPr>
          <w:rFonts w:hint="eastAsia"/>
          <w:b/>
          <w:bCs/>
          <w:sz w:val="36"/>
          <w:szCs w:val="36"/>
        </w:rPr>
      </w:pPr>
      <w:bookmarkStart w:id="124" w:name="_Toc27681"/>
      <w:bookmarkStart w:id="125" w:name="_Toc13486"/>
      <w:r>
        <w:rPr>
          <w:rFonts w:hint="eastAsia"/>
          <w:b/>
          <w:bCs/>
          <w:sz w:val="36"/>
          <w:szCs w:val="36"/>
        </w:rPr>
        <w:br w:type="page"/>
      </w:r>
      <w:bookmarkStart w:id="126" w:name="_Toc26854"/>
    </w:p>
    <w:p>
      <w:pPr>
        <w:spacing w:line="360" w:lineRule="auto"/>
        <w:jc w:val="center"/>
        <w:rPr>
          <w:rFonts w:hint="eastAsia" w:hAnsi="宋体" w:cs="宋体"/>
          <w:sz w:val="32"/>
          <w:szCs w:val="32"/>
          <w:highlight w:val="none"/>
        </w:rPr>
      </w:pPr>
      <w:r>
        <w:rPr>
          <w:rFonts w:hint="eastAsia"/>
          <w:b/>
          <w:bCs/>
          <w:sz w:val="36"/>
          <w:szCs w:val="36"/>
          <w:highlight w:val="none"/>
        </w:rPr>
        <w:t xml:space="preserve">第十章  </w:t>
      </w:r>
      <w:bookmarkEnd w:id="124"/>
      <w:bookmarkEnd w:id="125"/>
      <w:bookmarkEnd w:id="126"/>
      <w:bookmarkStart w:id="127" w:name="_Toc1292"/>
      <w:r>
        <w:rPr>
          <w:rFonts w:hint="eastAsia"/>
          <w:b/>
          <w:bCs/>
          <w:sz w:val="36"/>
          <w:szCs w:val="36"/>
          <w:highlight w:val="none"/>
        </w:rPr>
        <w:t>合同主要条款</w:t>
      </w:r>
      <w:r>
        <w:rPr>
          <w:rFonts w:hint="eastAsia" w:hAnsi="宋体" w:cs="宋体"/>
          <w:b/>
          <w:bCs/>
          <w:sz w:val="32"/>
          <w:szCs w:val="32"/>
          <w:highlight w:val="none"/>
          <w:lang w:val="zh-CN"/>
        </w:rPr>
        <w:t>（</w:t>
      </w:r>
      <w:r>
        <w:rPr>
          <w:rFonts w:hint="eastAsia" w:hAnsi="宋体" w:cs="宋体"/>
          <w:b/>
          <w:bCs/>
          <w:sz w:val="32"/>
          <w:szCs w:val="32"/>
          <w:highlight w:val="none"/>
        </w:rPr>
        <w:t>样例</w:t>
      </w:r>
      <w:r>
        <w:rPr>
          <w:rFonts w:hint="eastAsia" w:hAnsi="宋体" w:cs="宋体"/>
          <w:b/>
          <w:bCs/>
          <w:sz w:val="32"/>
          <w:szCs w:val="32"/>
          <w:highlight w:val="none"/>
          <w:lang w:val="zh-CN"/>
        </w:rPr>
        <w:t>）</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合同编号：XXXX。</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年XX月XX日。</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snapToGrid w:val="0"/>
        <w:spacing w:after="0" w:line="360" w:lineRule="auto"/>
        <w:ind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依据《中华人民共和国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文件》，乙方的《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通知书》等均为本合同的组成部分</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项目基本情况</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合同期限</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服务内容与质量标准</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1、XXXX；</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2、XXXX</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服务费用及支付方式</w:t>
      </w:r>
    </w:p>
    <w:p>
      <w:pPr>
        <w:keepNext w:val="0"/>
        <w:keepLines w:val="0"/>
        <w:pageBreakBefore w:val="0"/>
        <w:widowControl w:val="0"/>
        <w:numPr>
          <w:ilvl w:val="0"/>
          <w:numId w:val="8"/>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本项目服务费用由以下组成：</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1、XX万元；</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2、XX万元</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keepNext w:val="0"/>
        <w:keepLines w:val="0"/>
        <w:pageBreakBefore w:val="0"/>
        <w:widowControl w:val="0"/>
        <w:numPr>
          <w:ilvl w:val="0"/>
          <w:numId w:val="8"/>
        </w:numPr>
        <w:tabs>
          <w:tab w:val="left" w:pos="780"/>
        </w:tabs>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服务费支付方式</w:t>
      </w:r>
      <w:r>
        <w:rPr>
          <w:rFonts w:hint="eastAsia" w:ascii="宋体" w:hAnsi="宋体" w:eastAsia="宋体" w:cs="宋体"/>
          <w:b/>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知识产权</w:t>
      </w:r>
    </w:p>
    <w:p>
      <w:pPr>
        <w:keepNext w:val="0"/>
        <w:keepLines w:val="0"/>
        <w:pageBreakBefore w:val="0"/>
        <w:widowControl w:val="0"/>
        <w:tabs>
          <w:tab w:val="left" w:pos="144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无产权瑕疵条款</w:t>
      </w:r>
    </w:p>
    <w:p>
      <w:pPr>
        <w:keepNext w:val="0"/>
        <w:keepLines w:val="0"/>
        <w:pageBreakBefore w:val="0"/>
        <w:widowControl w:val="0"/>
        <w:tabs>
          <w:tab w:val="left" w:pos="144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甲方的权利和义务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2、甲方有权依据双方签订的考评办法对乙方提供的服务进行定期考评。当考评结果未达到标准时，有权依据考评办法约定的数额扣除履约保证金。</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乙方的权利和义务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jc w:val="left"/>
        <w:textAlignment w:val="baseline"/>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不可抗力事件处理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解决合同纠纷的方式</w:t>
      </w:r>
    </w:p>
    <w:p>
      <w:pPr>
        <w:keepNext w:val="0"/>
        <w:keepLines w:val="0"/>
        <w:pageBreakBefore w:val="0"/>
        <w:widowControl w:val="0"/>
        <w:numPr>
          <w:ilvl w:val="0"/>
          <w:numId w:val="9"/>
        </w:numPr>
        <w:tabs>
          <w:tab w:val="left" w:pos="0"/>
        </w:tabs>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在执行本合同中发生的或与本合同有关的争端，双方应通过友好协商解决，经协商在XX天内不能达成协议时</w:t>
      </w:r>
      <w:r>
        <w:rPr>
          <w:rFonts w:hint="eastAsia" w:ascii="宋体" w:hAnsi="宋体" w:eastAsia="宋体" w:cs="宋体"/>
          <w:color w:val="auto"/>
          <w:sz w:val="24"/>
          <w:szCs w:val="24"/>
          <w:highlight w:val="none"/>
          <w:lang w:eastAsia="zh-CN"/>
        </w:rPr>
        <w:t>，双方同意将争议提交采购人所在地的法院解决。</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合同生效及其他</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3、本合同一式XX份，自双方签章之日起起效。甲方XX份，乙方XX份，政府采购代理机构XX份，同级财政部门备案XX份，具有同等法律效力。</w:t>
      </w:r>
    </w:p>
    <w:p>
      <w:pPr>
        <w:keepNext w:val="0"/>
        <w:keepLines w:val="0"/>
        <w:pageBreakBefore w:val="0"/>
        <w:widowControl w:val="0"/>
        <w:numPr>
          <w:ilvl w:val="0"/>
          <w:numId w:val="7"/>
        </w:numPr>
        <w:kinsoku/>
        <w:wordWrap/>
        <w:overflowPunct/>
        <w:topLinePunct w:val="0"/>
        <w:autoSpaceDE/>
        <w:autoSpaceDN/>
        <w:bidi w:val="0"/>
        <w:adjustRightInd w:val="0"/>
        <w:snapToGrid w:val="0"/>
        <w:spacing w:after="0" w:line="360" w:lineRule="auto"/>
        <w:ind w:left="0" w:right="0" w:rightChars="0"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文件</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2、项目修改澄清文件</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pStyle w:val="76"/>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pPr>
        <w:pStyle w:val="63"/>
        <w:spacing w:line="240" w:lineRule="auto"/>
        <w:ind w:firstLine="241" w:firstLineChars="100"/>
        <w:rPr>
          <w:rFonts w:hint="eastAsia" w:cs="宋体"/>
          <w:b/>
          <w:sz w:val="24"/>
          <w:szCs w:val="22"/>
        </w:rPr>
      </w:pPr>
    </w:p>
    <w:p>
      <w:pPr>
        <w:jc w:val="left"/>
      </w:pPr>
      <w:r>
        <w:rPr>
          <w:rFonts w:hint="eastAsia" w:hAnsi="宋体" w:cs="宋体"/>
          <w:b/>
          <w:bCs/>
          <w:sz w:val="22"/>
          <w:szCs w:val="16"/>
        </w:rPr>
        <w:t>注：本政府采购合同采购人及成交供应商可以根据实际情况进行调整,具体以实际签订为准。</w:t>
      </w:r>
    </w:p>
    <w:p>
      <w:pPr>
        <w:pStyle w:val="15"/>
        <w:ind w:left="0" w:leftChars="0"/>
        <w:rPr>
          <w:rStyle w:val="39"/>
          <w:rFonts w:hint="eastAsia" w:eastAsia="宋体"/>
          <w:sz w:val="36"/>
          <w:szCs w:val="36"/>
          <w:lang w:eastAsia="zh-CN"/>
        </w:rPr>
      </w:pPr>
      <w:r>
        <w:rPr>
          <w:rStyle w:val="39"/>
          <w:rFonts w:hint="eastAsia"/>
          <w:sz w:val="36"/>
          <w:szCs w:val="36"/>
        </w:rPr>
        <w:br w:type="page"/>
      </w:r>
      <w:bookmarkEnd w:id="97"/>
      <w:bookmarkEnd w:id="98"/>
      <w:bookmarkEnd w:id="99"/>
      <w:bookmarkEnd w:id="127"/>
      <w:bookmarkStart w:id="128" w:name="_Toc10686"/>
      <w:bookmarkStart w:id="129" w:name="_Toc2794"/>
      <w:r>
        <w:rPr>
          <w:rStyle w:val="39"/>
          <w:rFonts w:hint="eastAsia"/>
          <w:sz w:val="36"/>
          <w:szCs w:val="36"/>
        </w:rPr>
        <w:t>附件</w:t>
      </w:r>
      <w:bookmarkEnd w:id="128"/>
      <w:bookmarkEnd w:id="129"/>
      <w:r>
        <w:rPr>
          <w:rStyle w:val="39"/>
          <w:rFonts w:hint="eastAsia"/>
          <w:sz w:val="36"/>
          <w:szCs w:val="36"/>
          <w:lang w:val="en-US" w:eastAsia="zh-CN"/>
        </w:rPr>
        <w:t>1</w:t>
      </w:r>
    </w:p>
    <w:p>
      <w:pPr>
        <w:pStyle w:val="15"/>
        <w:spacing w:line="360" w:lineRule="auto"/>
        <w:ind w:left="680"/>
        <w:jc w:val="center"/>
        <w:rPr>
          <w:rFonts w:hAnsi="宋体" w:cs="宋体"/>
          <w:bCs/>
          <w:sz w:val="24"/>
        </w:rPr>
      </w:pPr>
      <w:bookmarkStart w:id="130" w:name="_Toc24039"/>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30"/>
    </w:p>
    <w:p>
      <w:pPr>
        <w:pStyle w:val="15"/>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tbl>
      <w:tblPr>
        <w:tblStyle w:val="25"/>
        <w:tblpPr w:leftFromText="180" w:rightFromText="180" w:vertAnchor="text" w:horzAnchor="page" w:tblpX="1857" w:tblpY="119"/>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
                <w:bCs/>
                <w:sz w:val="24"/>
                <w:szCs w:val="24"/>
              </w:rPr>
            </w:pPr>
            <w:r>
              <w:rPr>
                <w:rFonts w:hAnsi="宋体" w:cs="华文中宋"/>
                <w:b/>
                <w:bCs/>
                <w:sz w:val="24"/>
                <w:szCs w:val="24"/>
              </w:rPr>
              <w:t>项目名称</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华文中宋"/>
                <w:b/>
                <w:bCs/>
                <w:sz w:val="24"/>
                <w:szCs w:val="24"/>
              </w:rPr>
            </w:pPr>
            <w:r>
              <w:rPr>
                <w:rFonts w:hAnsi="宋体" w:cs="华文中宋"/>
                <w:b/>
                <w:bCs/>
                <w:sz w:val="24"/>
                <w:szCs w:val="24"/>
              </w:rPr>
              <w:t>采购</w:t>
            </w:r>
            <w:r>
              <w:rPr>
                <w:rFonts w:hint="eastAsia" w:hAnsi="宋体" w:cs="华文中宋"/>
                <w:b/>
                <w:bCs/>
                <w:sz w:val="24"/>
                <w:szCs w:val="24"/>
              </w:rPr>
              <w:t>项目</w:t>
            </w:r>
            <w:r>
              <w:rPr>
                <w:rFonts w:hAnsi="宋体" w:cs="华文中宋"/>
                <w:b/>
                <w:bCs/>
                <w:sz w:val="24"/>
                <w:szCs w:val="24"/>
              </w:rPr>
              <w:t>编号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498" w:type="dxa"/>
            <w:tcBorders>
              <w:top w:val="single" w:color="auto" w:sz="4" w:space="0"/>
              <w:left w:val="single" w:color="auto" w:sz="4" w:space="0"/>
              <w:right w:val="single" w:color="auto" w:sz="4" w:space="0"/>
            </w:tcBorders>
            <w:vAlign w:val="center"/>
          </w:tcPr>
          <w:p>
            <w:pPr>
              <w:spacing w:line="360" w:lineRule="auto"/>
              <w:jc w:val="center"/>
              <w:rPr>
                <w:rFonts w:hAnsi="宋体" w:cs="华文中宋"/>
                <w:b/>
                <w:bCs/>
                <w:sz w:val="24"/>
                <w:szCs w:val="24"/>
              </w:rPr>
            </w:pPr>
            <w:r>
              <w:rPr>
                <w:rFonts w:hint="eastAsia" w:hAnsi="宋体" w:cs="华文中宋"/>
                <w:b/>
                <w:bCs/>
                <w:sz w:val="24"/>
                <w:szCs w:val="24"/>
              </w:rPr>
              <w:t>最后报价</w:t>
            </w:r>
          </w:p>
        </w:tc>
        <w:tc>
          <w:tcPr>
            <w:tcW w:w="6218" w:type="dxa"/>
            <w:tcBorders>
              <w:top w:val="single" w:color="auto" w:sz="4" w:space="0"/>
              <w:left w:val="single" w:color="auto" w:sz="4" w:space="0"/>
              <w:bottom w:val="single" w:color="auto" w:sz="4" w:space="0"/>
              <w:right w:val="single" w:color="auto" w:sz="4" w:space="0"/>
            </w:tcBorders>
            <w:vAlign w:val="center"/>
          </w:tcPr>
          <w:p>
            <w:pPr>
              <w:spacing w:line="480" w:lineRule="auto"/>
              <w:jc w:val="left"/>
              <w:rPr>
                <w:rFonts w:hint="eastAsia" w:hAnsi="宋体" w:cs="华文中宋"/>
                <w:b/>
                <w:bCs/>
                <w:sz w:val="24"/>
                <w:szCs w:val="24"/>
              </w:rPr>
            </w:pPr>
            <w:r>
              <w:rPr>
                <w:rFonts w:hint="eastAsia" w:hAnsi="宋体" w:cs="华文中宋"/>
                <w:b/>
                <w:bCs/>
                <w:sz w:val="24"/>
                <w:szCs w:val="24"/>
              </w:rPr>
              <w:t>小写：</w:t>
            </w:r>
            <w:r>
              <w:rPr>
                <w:rFonts w:hint="eastAsia" w:hAnsi="宋体" w:cs="华文中宋"/>
                <w:b/>
                <w:bCs/>
                <w:sz w:val="24"/>
                <w:szCs w:val="24"/>
                <w:u w:val="single"/>
              </w:rPr>
              <w:t xml:space="preserve">                   </w:t>
            </w:r>
            <w:r>
              <w:rPr>
                <w:rFonts w:hint="eastAsia" w:hAnsi="宋体" w:cs="华文中宋"/>
                <w:b/>
                <w:bCs/>
                <w:sz w:val="24"/>
                <w:szCs w:val="24"/>
              </w:rPr>
              <w:t>万元</w:t>
            </w:r>
          </w:p>
          <w:p>
            <w:pPr>
              <w:pStyle w:val="11"/>
              <w:spacing w:line="480" w:lineRule="auto"/>
            </w:pPr>
            <w:r>
              <w:rPr>
                <w:rFonts w:hint="eastAsia" w:hAnsi="宋体" w:cs="华文中宋"/>
                <w:b/>
                <w:bCs/>
                <w:sz w:val="24"/>
                <w:szCs w:val="24"/>
              </w:rPr>
              <w:t>大写：</w:t>
            </w:r>
            <w:r>
              <w:rPr>
                <w:rFonts w:hint="eastAsia" w:hAnsi="宋体" w:cs="华文中宋"/>
                <w:b/>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4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964" w:firstLineChars="400"/>
              <w:rPr>
                <w:rFonts w:hint="eastAsia"/>
                <w:b/>
                <w:bCs/>
                <w:sz w:val="24"/>
                <w:szCs w:val="24"/>
              </w:rPr>
            </w:pPr>
            <w:r>
              <w:rPr>
                <w:rFonts w:hint="eastAsia"/>
                <w:b/>
                <w:bCs/>
                <w:sz w:val="24"/>
                <w:szCs w:val="24"/>
              </w:rPr>
              <w:t>备注</w:t>
            </w:r>
          </w:p>
        </w:tc>
        <w:tc>
          <w:tcPr>
            <w:tcW w:w="621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b/>
                <w:bCs/>
                <w:sz w:val="24"/>
                <w:szCs w:val="24"/>
              </w:rPr>
            </w:pPr>
          </w:p>
        </w:tc>
      </w:tr>
    </w:tbl>
    <w:p>
      <w:pPr>
        <w:pStyle w:val="63"/>
        <w:spacing w:line="240" w:lineRule="auto"/>
        <w:ind w:firstLine="0" w:firstLineChars="0"/>
        <w:rPr>
          <w:rFonts w:hint="eastAsia" w:ascii="宋体" w:eastAsia="宋体" w:cs="宋体"/>
          <w:b/>
          <w:bCs/>
          <w:sz w:val="18"/>
          <w:szCs w:val="18"/>
        </w:rPr>
      </w:pPr>
    </w:p>
    <w:p>
      <w:pPr>
        <w:pStyle w:val="63"/>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w:t>
      </w:r>
    </w:p>
    <w:p>
      <w:pPr>
        <w:pStyle w:val="63"/>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63"/>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63"/>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63"/>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4.供应商每种服务只允许有一个报价，并且在合同履行过程中是固定不变的，任何有选择或可调整的报</w:t>
      </w:r>
    </w:p>
    <w:p>
      <w:pPr>
        <w:pStyle w:val="63"/>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价将不予接受，并按无效响应处理。（实质性要求）</w:t>
      </w:r>
    </w:p>
    <w:p>
      <w:pPr>
        <w:pStyle w:val="63"/>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63"/>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63"/>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63"/>
        <w:spacing w:line="240" w:lineRule="auto"/>
        <w:ind w:firstLine="0" w:firstLineChars="0"/>
        <w:rPr>
          <w:rFonts w:hint="eastAsia"/>
          <w:b/>
          <w:bCs/>
          <w:sz w:val="18"/>
          <w:szCs w:val="18"/>
        </w:rPr>
      </w:pPr>
      <w:r>
        <w:rPr>
          <w:rFonts w:hint="eastAsia" w:ascii="宋体" w:eastAsia="宋体" w:cs="宋体"/>
          <w:b/>
          <w:bCs/>
          <w:sz w:val="18"/>
          <w:szCs w:val="18"/>
        </w:rPr>
        <w:t>作人员，由交采购人、采购代理机构工作人员收齐后集中递交评审委员会。</w:t>
      </w:r>
    </w:p>
    <w:p>
      <w:pPr>
        <w:pStyle w:val="63"/>
        <w:spacing w:line="400" w:lineRule="exact"/>
        <w:ind w:firstLine="0" w:firstLineChars="0"/>
        <w:rPr>
          <w:rFonts w:ascii="宋体" w:eastAsia="宋体" w:cs="宋体"/>
          <w:b/>
          <w:sz w:val="22"/>
          <w:szCs w:val="22"/>
        </w:rPr>
      </w:pPr>
    </w:p>
    <w:p>
      <w:pPr>
        <w:pStyle w:val="63"/>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63"/>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63"/>
        <w:spacing w:line="360" w:lineRule="auto"/>
        <w:ind w:firstLine="241" w:firstLineChars="100"/>
        <w:rPr>
          <w:rFonts w:hint="eastAsia" w:cs="宋体"/>
          <w:b/>
          <w:bCs/>
          <w:snapToGrid w:val="0"/>
          <w:szCs w:val="21"/>
          <w:u w:val="single"/>
        </w:rPr>
      </w:pPr>
      <w:r>
        <w:rPr>
          <w:rFonts w:hint="eastAsia" w:ascii="宋体" w:eastAsia="宋体" w:cs="宋体"/>
          <w:b/>
          <w:sz w:val="24"/>
          <w:szCs w:val="22"/>
        </w:rPr>
        <w:t xml:space="preserve">日  期： </w:t>
      </w:r>
      <w:r>
        <w:rPr>
          <w:rFonts w:hint="eastAsia" w:ascii="宋体" w:eastAsia="宋体" w:cs="宋体"/>
          <w:b/>
          <w:bCs/>
          <w:snapToGrid w:val="0"/>
          <w:szCs w:val="21"/>
          <w:u w:val="single"/>
        </w:rPr>
        <w:t xml:space="preserve">                          </w:t>
      </w:r>
      <w:r>
        <w:rPr>
          <w:rFonts w:hint="eastAsia" w:cs="宋体"/>
          <w:b/>
          <w:sz w:val="24"/>
          <w:szCs w:val="22"/>
        </w:rPr>
        <w:t xml:space="preserve">      </w:t>
      </w:r>
    </w:p>
    <w:sectPr>
      <w:footerReference r:id="rId6" w:type="default"/>
      <w:pgSz w:w="11850" w:h="16783"/>
      <w:pgMar w:top="1440" w:right="155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Ansi="宋体" w:cs="宋体"/>
        <w:bCs/>
        <w:color w:val="000000"/>
        <w:sz w:val="20"/>
        <w:u w:val="single"/>
      </w:rPr>
    </w:pPr>
    <w:r>
      <w:rPr>
        <w:u w:val="single"/>
      </w:rPr>
      <w:drawing>
        <wp:inline distT="0" distB="0" distL="114300" distR="114300">
          <wp:extent cx="1049655" cy="309245"/>
          <wp:effectExtent l="0" t="0" r="1714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left="5040" w:hanging="5040" w:hangingChars="2800"/>
      <w:jc w:val="both"/>
    </w:pPr>
    <w:r>
      <w:rPr>
        <w:u w:val="single"/>
      </w:rPr>
      <w:drawing>
        <wp:inline distT="0" distB="0" distL="114300" distR="114300">
          <wp:extent cx="1049655" cy="309245"/>
          <wp:effectExtent l="0" t="0" r="17145" b="146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F18AF"/>
    <w:multiLevelType w:val="singleLevel"/>
    <w:tmpl w:val="D3BF18AF"/>
    <w:lvl w:ilvl="0" w:tentative="0">
      <w:start w:val="2"/>
      <w:numFmt w:val="chineseCounting"/>
      <w:suff w:val="nothing"/>
      <w:lvlText w:val="%1、"/>
      <w:lvlJc w:val="left"/>
      <w:rPr>
        <w:rFonts w:hint="eastAsia"/>
      </w:rPr>
    </w:lvl>
  </w:abstractNum>
  <w:abstractNum w:abstractNumId="1">
    <w:nsid w:val="E32688F2"/>
    <w:multiLevelType w:val="singleLevel"/>
    <w:tmpl w:val="E32688F2"/>
    <w:lvl w:ilvl="0" w:tentative="0">
      <w:start w:val="1"/>
      <w:numFmt w:val="decimal"/>
      <w:suff w:val="space"/>
      <w:lvlText w:val="%1."/>
      <w:lvlJc w:val="left"/>
    </w:lvl>
  </w:abstractNum>
  <w:abstractNum w:abstractNumId="2">
    <w:nsid w:val="EB436F66"/>
    <w:multiLevelType w:val="singleLevel"/>
    <w:tmpl w:val="EB436F66"/>
    <w:lvl w:ilvl="0" w:tentative="0">
      <w:start w:val="1"/>
      <w:numFmt w:val="decimal"/>
      <w:suff w:val="nothing"/>
      <w:lvlText w:val="（%1）"/>
      <w:lvlJc w:val="left"/>
    </w:lvl>
  </w:abstractNum>
  <w:abstractNum w:abstractNumId="3">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6E752D"/>
    <w:multiLevelType w:val="singleLevel"/>
    <w:tmpl w:val="236E752D"/>
    <w:lvl w:ilvl="0" w:tentative="0">
      <w:start w:val="1"/>
      <w:numFmt w:val="decimal"/>
      <w:suff w:val="nothing"/>
      <w:lvlText w:val="%1、"/>
      <w:lvlJc w:val="left"/>
    </w:lvl>
  </w:abstractNum>
  <w:abstractNum w:abstractNumId="5">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6">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pStyle w:val="72"/>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6F3D617"/>
    <w:multiLevelType w:val="singleLevel"/>
    <w:tmpl w:val="56F3D617"/>
    <w:lvl w:ilvl="0" w:tentative="0">
      <w:start w:val="1"/>
      <w:numFmt w:val="chineseCounting"/>
      <w:suff w:val="nothing"/>
      <w:lvlText w:val="%1、"/>
      <w:lvlJc w:val="left"/>
    </w:lvl>
  </w:abstractNum>
  <w:abstractNum w:abstractNumId="8">
    <w:nsid w:val="58EB4A8D"/>
    <w:multiLevelType w:val="singleLevel"/>
    <w:tmpl w:val="58EB4A8D"/>
    <w:lvl w:ilvl="0" w:tentative="0">
      <w:start w:val="5"/>
      <w:numFmt w:val="chineseCounting"/>
      <w:suff w:val="space"/>
      <w:lvlText w:val="第%1章"/>
      <w:lvlJc w:val="left"/>
      <w:rPr>
        <w:rFonts w:hint="eastAsia"/>
      </w:rPr>
    </w:lvl>
  </w:abstractNum>
  <w:num w:numId="1">
    <w:abstractNumId w:val="6"/>
  </w:num>
  <w:num w:numId="2">
    <w:abstractNumId w:val="2"/>
  </w:num>
  <w:num w:numId="3">
    <w:abstractNumId w:val="0"/>
  </w:num>
  <w:num w:numId="4">
    <w:abstractNumId w:val="8"/>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1"/>
    <w:rsid w:val="000012E7"/>
    <w:rsid w:val="00001660"/>
    <w:rsid w:val="00004B89"/>
    <w:rsid w:val="00013385"/>
    <w:rsid w:val="0001438F"/>
    <w:rsid w:val="00014483"/>
    <w:rsid w:val="00015AD4"/>
    <w:rsid w:val="000176E8"/>
    <w:rsid w:val="0002064B"/>
    <w:rsid w:val="00021F2A"/>
    <w:rsid w:val="00022084"/>
    <w:rsid w:val="000222FA"/>
    <w:rsid w:val="0002293A"/>
    <w:rsid w:val="00023A37"/>
    <w:rsid w:val="00023E17"/>
    <w:rsid w:val="000246A1"/>
    <w:rsid w:val="00024A16"/>
    <w:rsid w:val="00026E80"/>
    <w:rsid w:val="00030DE6"/>
    <w:rsid w:val="00031286"/>
    <w:rsid w:val="00031558"/>
    <w:rsid w:val="00032335"/>
    <w:rsid w:val="00032783"/>
    <w:rsid w:val="00035948"/>
    <w:rsid w:val="0003757E"/>
    <w:rsid w:val="00037885"/>
    <w:rsid w:val="000408C4"/>
    <w:rsid w:val="00041FE4"/>
    <w:rsid w:val="000451F8"/>
    <w:rsid w:val="000452ED"/>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2E6"/>
    <w:rsid w:val="000739F4"/>
    <w:rsid w:val="00073B7E"/>
    <w:rsid w:val="00074138"/>
    <w:rsid w:val="000743DD"/>
    <w:rsid w:val="0007588A"/>
    <w:rsid w:val="00081A37"/>
    <w:rsid w:val="00082B75"/>
    <w:rsid w:val="000834B0"/>
    <w:rsid w:val="000839BF"/>
    <w:rsid w:val="00084183"/>
    <w:rsid w:val="00085D8C"/>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1C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DBE"/>
    <w:rsid w:val="000D4EFB"/>
    <w:rsid w:val="000D705A"/>
    <w:rsid w:val="000D710C"/>
    <w:rsid w:val="000D7F26"/>
    <w:rsid w:val="000E0A69"/>
    <w:rsid w:val="000E583C"/>
    <w:rsid w:val="000E6476"/>
    <w:rsid w:val="000E6CD7"/>
    <w:rsid w:val="000F1E0B"/>
    <w:rsid w:val="000F422B"/>
    <w:rsid w:val="000F45A9"/>
    <w:rsid w:val="000F6854"/>
    <w:rsid w:val="00100B7D"/>
    <w:rsid w:val="00100C85"/>
    <w:rsid w:val="00100FCD"/>
    <w:rsid w:val="0010167E"/>
    <w:rsid w:val="00101CB5"/>
    <w:rsid w:val="001033D2"/>
    <w:rsid w:val="00105014"/>
    <w:rsid w:val="00105C94"/>
    <w:rsid w:val="0010666F"/>
    <w:rsid w:val="00106683"/>
    <w:rsid w:val="001114EB"/>
    <w:rsid w:val="001116C7"/>
    <w:rsid w:val="00111F41"/>
    <w:rsid w:val="00114DE5"/>
    <w:rsid w:val="00114EBA"/>
    <w:rsid w:val="001150A5"/>
    <w:rsid w:val="001212C2"/>
    <w:rsid w:val="00121403"/>
    <w:rsid w:val="0012276E"/>
    <w:rsid w:val="001239E7"/>
    <w:rsid w:val="00123E53"/>
    <w:rsid w:val="00123FC0"/>
    <w:rsid w:val="00124F7A"/>
    <w:rsid w:val="00126265"/>
    <w:rsid w:val="00126D87"/>
    <w:rsid w:val="00131F14"/>
    <w:rsid w:val="001329EB"/>
    <w:rsid w:val="001345C8"/>
    <w:rsid w:val="0013590F"/>
    <w:rsid w:val="00136485"/>
    <w:rsid w:val="00136D53"/>
    <w:rsid w:val="00142470"/>
    <w:rsid w:val="00143164"/>
    <w:rsid w:val="0014425B"/>
    <w:rsid w:val="001451F2"/>
    <w:rsid w:val="001464DD"/>
    <w:rsid w:val="00147272"/>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2BB4"/>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B55EB"/>
    <w:rsid w:val="001C2CAE"/>
    <w:rsid w:val="001C4880"/>
    <w:rsid w:val="001C4A5B"/>
    <w:rsid w:val="001C5AF6"/>
    <w:rsid w:val="001D0F62"/>
    <w:rsid w:val="001D2331"/>
    <w:rsid w:val="001D3913"/>
    <w:rsid w:val="001D7AFB"/>
    <w:rsid w:val="001E0521"/>
    <w:rsid w:val="001E0CB9"/>
    <w:rsid w:val="001E148C"/>
    <w:rsid w:val="001E3B05"/>
    <w:rsid w:val="001E5BB0"/>
    <w:rsid w:val="001E6EBF"/>
    <w:rsid w:val="001E6EC9"/>
    <w:rsid w:val="001E6EF9"/>
    <w:rsid w:val="001F035E"/>
    <w:rsid w:val="001F1E7D"/>
    <w:rsid w:val="001F2E29"/>
    <w:rsid w:val="001F492D"/>
    <w:rsid w:val="001F62FB"/>
    <w:rsid w:val="001F64F5"/>
    <w:rsid w:val="001F79FC"/>
    <w:rsid w:val="001F7DBD"/>
    <w:rsid w:val="00203068"/>
    <w:rsid w:val="00205336"/>
    <w:rsid w:val="00206D18"/>
    <w:rsid w:val="0021013C"/>
    <w:rsid w:val="002120D0"/>
    <w:rsid w:val="002125E6"/>
    <w:rsid w:val="00215638"/>
    <w:rsid w:val="0021668E"/>
    <w:rsid w:val="00220283"/>
    <w:rsid w:val="00221523"/>
    <w:rsid w:val="00224333"/>
    <w:rsid w:val="00224CDC"/>
    <w:rsid w:val="002270B2"/>
    <w:rsid w:val="00230304"/>
    <w:rsid w:val="00230D10"/>
    <w:rsid w:val="002320BC"/>
    <w:rsid w:val="002332EA"/>
    <w:rsid w:val="002342C9"/>
    <w:rsid w:val="00240F55"/>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3A4B"/>
    <w:rsid w:val="00277B58"/>
    <w:rsid w:val="00280D8F"/>
    <w:rsid w:val="00281347"/>
    <w:rsid w:val="002857AA"/>
    <w:rsid w:val="0029048E"/>
    <w:rsid w:val="00290AEB"/>
    <w:rsid w:val="00291539"/>
    <w:rsid w:val="00292632"/>
    <w:rsid w:val="00294EBC"/>
    <w:rsid w:val="0029626C"/>
    <w:rsid w:val="00297B8B"/>
    <w:rsid w:val="002A06C5"/>
    <w:rsid w:val="002A0877"/>
    <w:rsid w:val="002A0B7A"/>
    <w:rsid w:val="002A0C3D"/>
    <w:rsid w:val="002A0C82"/>
    <w:rsid w:val="002A1E56"/>
    <w:rsid w:val="002A4317"/>
    <w:rsid w:val="002A7D03"/>
    <w:rsid w:val="002B067F"/>
    <w:rsid w:val="002B06DF"/>
    <w:rsid w:val="002B0960"/>
    <w:rsid w:val="002B3263"/>
    <w:rsid w:val="002B3FE9"/>
    <w:rsid w:val="002B4920"/>
    <w:rsid w:val="002B5EB0"/>
    <w:rsid w:val="002B6D25"/>
    <w:rsid w:val="002B7D1D"/>
    <w:rsid w:val="002C0169"/>
    <w:rsid w:val="002C0185"/>
    <w:rsid w:val="002C0964"/>
    <w:rsid w:val="002C2154"/>
    <w:rsid w:val="002C2FC2"/>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82C"/>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66C75"/>
    <w:rsid w:val="0037029D"/>
    <w:rsid w:val="00370C8A"/>
    <w:rsid w:val="0037288F"/>
    <w:rsid w:val="00372E53"/>
    <w:rsid w:val="00373951"/>
    <w:rsid w:val="0037405F"/>
    <w:rsid w:val="003749DE"/>
    <w:rsid w:val="00375F76"/>
    <w:rsid w:val="0037714C"/>
    <w:rsid w:val="00381E2B"/>
    <w:rsid w:val="00382A01"/>
    <w:rsid w:val="00383BFA"/>
    <w:rsid w:val="00384FE6"/>
    <w:rsid w:val="003851CE"/>
    <w:rsid w:val="00386948"/>
    <w:rsid w:val="003924E0"/>
    <w:rsid w:val="003927BE"/>
    <w:rsid w:val="00394101"/>
    <w:rsid w:val="0039521C"/>
    <w:rsid w:val="00395323"/>
    <w:rsid w:val="00395A66"/>
    <w:rsid w:val="0039654A"/>
    <w:rsid w:val="0039658A"/>
    <w:rsid w:val="00396685"/>
    <w:rsid w:val="00397D24"/>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E35F5"/>
    <w:rsid w:val="003E44CB"/>
    <w:rsid w:val="003E585E"/>
    <w:rsid w:val="003E683B"/>
    <w:rsid w:val="003F2938"/>
    <w:rsid w:val="003F4247"/>
    <w:rsid w:val="003F4F88"/>
    <w:rsid w:val="003F7462"/>
    <w:rsid w:val="00400273"/>
    <w:rsid w:val="00400415"/>
    <w:rsid w:val="00400C71"/>
    <w:rsid w:val="00400F8F"/>
    <w:rsid w:val="00401075"/>
    <w:rsid w:val="00403397"/>
    <w:rsid w:val="00404202"/>
    <w:rsid w:val="00405597"/>
    <w:rsid w:val="004056A0"/>
    <w:rsid w:val="0040665B"/>
    <w:rsid w:val="00406C2F"/>
    <w:rsid w:val="004071DA"/>
    <w:rsid w:val="0041210C"/>
    <w:rsid w:val="00420862"/>
    <w:rsid w:val="00420880"/>
    <w:rsid w:val="00421009"/>
    <w:rsid w:val="004233F9"/>
    <w:rsid w:val="0042372A"/>
    <w:rsid w:val="004259A8"/>
    <w:rsid w:val="00425ACB"/>
    <w:rsid w:val="00425E38"/>
    <w:rsid w:val="004264B4"/>
    <w:rsid w:val="00427793"/>
    <w:rsid w:val="004277FA"/>
    <w:rsid w:val="00430020"/>
    <w:rsid w:val="00432D94"/>
    <w:rsid w:val="004347BF"/>
    <w:rsid w:val="00434EDB"/>
    <w:rsid w:val="00436108"/>
    <w:rsid w:val="004368E1"/>
    <w:rsid w:val="00436A1E"/>
    <w:rsid w:val="00437349"/>
    <w:rsid w:val="00437C11"/>
    <w:rsid w:val="00437F68"/>
    <w:rsid w:val="00440010"/>
    <w:rsid w:val="00441691"/>
    <w:rsid w:val="00442203"/>
    <w:rsid w:val="004440D6"/>
    <w:rsid w:val="0044451B"/>
    <w:rsid w:val="00446C23"/>
    <w:rsid w:val="00447598"/>
    <w:rsid w:val="00447F5D"/>
    <w:rsid w:val="004507ED"/>
    <w:rsid w:val="00451934"/>
    <w:rsid w:val="004522CD"/>
    <w:rsid w:val="00453DA2"/>
    <w:rsid w:val="00454103"/>
    <w:rsid w:val="004569C9"/>
    <w:rsid w:val="00457964"/>
    <w:rsid w:val="004643AF"/>
    <w:rsid w:val="00464C62"/>
    <w:rsid w:val="00465A54"/>
    <w:rsid w:val="00466370"/>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3DDB"/>
    <w:rsid w:val="0049425B"/>
    <w:rsid w:val="00494369"/>
    <w:rsid w:val="004967DA"/>
    <w:rsid w:val="004A0510"/>
    <w:rsid w:val="004A11B8"/>
    <w:rsid w:val="004A2B4F"/>
    <w:rsid w:val="004A5A50"/>
    <w:rsid w:val="004A6596"/>
    <w:rsid w:val="004A7ED0"/>
    <w:rsid w:val="004B1CB6"/>
    <w:rsid w:val="004B2E17"/>
    <w:rsid w:val="004B31F5"/>
    <w:rsid w:val="004B42C6"/>
    <w:rsid w:val="004B46E7"/>
    <w:rsid w:val="004B4E67"/>
    <w:rsid w:val="004B56B6"/>
    <w:rsid w:val="004B58B4"/>
    <w:rsid w:val="004B6AF1"/>
    <w:rsid w:val="004B7913"/>
    <w:rsid w:val="004B7CD4"/>
    <w:rsid w:val="004C12D1"/>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98F"/>
    <w:rsid w:val="004E7C5E"/>
    <w:rsid w:val="004F053A"/>
    <w:rsid w:val="004F2BA1"/>
    <w:rsid w:val="004F6640"/>
    <w:rsid w:val="004F6D0A"/>
    <w:rsid w:val="00500450"/>
    <w:rsid w:val="005023EE"/>
    <w:rsid w:val="00503A72"/>
    <w:rsid w:val="00503CA8"/>
    <w:rsid w:val="00506D4F"/>
    <w:rsid w:val="0050736D"/>
    <w:rsid w:val="0051137A"/>
    <w:rsid w:val="00511759"/>
    <w:rsid w:val="00512F35"/>
    <w:rsid w:val="00515F84"/>
    <w:rsid w:val="00516884"/>
    <w:rsid w:val="00516E92"/>
    <w:rsid w:val="0051796C"/>
    <w:rsid w:val="0052149F"/>
    <w:rsid w:val="005234C2"/>
    <w:rsid w:val="00523933"/>
    <w:rsid w:val="00524715"/>
    <w:rsid w:val="005275DB"/>
    <w:rsid w:val="00527E7B"/>
    <w:rsid w:val="00534655"/>
    <w:rsid w:val="0053654A"/>
    <w:rsid w:val="005379D8"/>
    <w:rsid w:val="00537DFF"/>
    <w:rsid w:val="005437F7"/>
    <w:rsid w:val="00544303"/>
    <w:rsid w:val="0054439D"/>
    <w:rsid w:val="005455D7"/>
    <w:rsid w:val="0054613F"/>
    <w:rsid w:val="00546F02"/>
    <w:rsid w:val="0054726C"/>
    <w:rsid w:val="00547477"/>
    <w:rsid w:val="00550637"/>
    <w:rsid w:val="00550C15"/>
    <w:rsid w:val="00551E54"/>
    <w:rsid w:val="00552A5B"/>
    <w:rsid w:val="00552F1A"/>
    <w:rsid w:val="00553A9F"/>
    <w:rsid w:val="00555666"/>
    <w:rsid w:val="005557AE"/>
    <w:rsid w:val="0055769A"/>
    <w:rsid w:val="005603D7"/>
    <w:rsid w:val="00560776"/>
    <w:rsid w:val="00562EF8"/>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2358"/>
    <w:rsid w:val="005D3DE5"/>
    <w:rsid w:val="005D408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586A"/>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638"/>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6158"/>
    <w:rsid w:val="00687E71"/>
    <w:rsid w:val="00690343"/>
    <w:rsid w:val="00693EA5"/>
    <w:rsid w:val="006959B9"/>
    <w:rsid w:val="00695A3E"/>
    <w:rsid w:val="00697536"/>
    <w:rsid w:val="006A04EB"/>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C9"/>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0A7"/>
    <w:rsid w:val="006F19FC"/>
    <w:rsid w:val="006F6F4D"/>
    <w:rsid w:val="006F72D9"/>
    <w:rsid w:val="006F74F3"/>
    <w:rsid w:val="00703E8A"/>
    <w:rsid w:val="00706597"/>
    <w:rsid w:val="007068BA"/>
    <w:rsid w:val="00707B59"/>
    <w:rsid w:val="00710A76"/>
    <w:rsid w:val="0071161C"/>
    <w:rsid w:val="00713051"/>
    <w:rsid w:val="00716115"/>
    <w:rsid w:val="007162A9"/>
    <w:rsid w:val="00716B69"/>
    <w:rsid w:val="00721582"/>
    <w:rsid w:val="00721914"/>
    <w:rsid w:val="007236E6"/>
    <w:rsid w:val="00723C1A"/>
    <w:rsid w:val="0072427E"/>
    <w:rsid w:val="007270F6"/>
    <w:rsid w:val="0073057D"/>
    <w:rsid w:val="00730609"/>
    <w:rsid w:val="00731DA2"/>
    <w:rsid w:val="00732155"/>
    <w:rsid w:val="0073276D"/>
    <w:rsid w:val="00734122"/>
    <w:rsid w:val="007352A4"/>
    <w:rsid w:val="00736FE3"/>
    <w:rsid w:val="007372D1"/>
    <w:rsid w:val="00737F15"/>
    <w:rsid w:val="0074082A"/>
    <w:rsid w:val="00740840"/>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496"/>
    <w:rsid w:val="00762466"/>
    <w:rsid w:val="00763F24"/>
    <w:rsid w:val="00764146"/>
    <w:rsid w:val="007646F7"/>
    <w:rsid w:val="00764BF3"/>
    <w:rsid w:val="0076635D"/>
    <w:rsid w:val="007663CC"/>
    <w:rsid w:val="00766C89"/>
    <w:rsid w:val="00766D98"/>
    <w:rsid w:val="007673B6"/>
    <w:rsid w:val="00767B1F"/>
    <w:rsid w:val="007707AA"/>
    <w:rsid w:val="00774962"/>
    <w:rsid w:val="00775F64"/>
    <w:rsid w:val="00776970"/>
    <w:rsid w:val="00777FC5"/>
    <w:rsid w:val="00780DCA"/>
    <w:rsid w:val="00781660"/>
    <w:rsid w:val="007818C9"/>
    <w:rsid w:val="00782920"/>
    <w:rsid w:val="00785F5B"/>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E17"/>
    <w:rsid w:val="007B5FA8"/>
    <w:rsid w:val="007B6900"/>
    <w:rsid w:val="007B7884"/>
    <w:rsid w:val="007C0294"/>
    <w:rsid w:val="007C12CC"/>
    <w:rsid w:val="007C3B0F"/>
    <w:rsid w:val="007C3E8E"/>
    <w:rsid w:val="007C563E"/>
    <w:rsid w:val="007C6221"/>
    <w:rsid w:val="007D39E5"/>
    <w:rsid w:val="007D3C78"/>
    <w:rsid w:val="007D425A"/>
    <w:rsid w:val="007D54E9"/>
    <w:rsid w:val="007D5A19"/>
    <w:rsid w:val="007E193D"/>
    <w:rsid w:val="007E31A6"/>
    <w:rsid w:val="007E37B8"/>
    <w:rsid w:val="007E4F90"/>
    <w:rsid w:val="007F00ED"/>
    <w:rsid w:val="007F2474"/>
    <w:rsid w:val="007F3B9A"/>
    <w:rsid w:val="007F5FAD"/>
    <w:rsid w:val="007F620C"/>
    <w:rsid w:val="008004E8"/>
    <w:rsid w:val="00801B05"/>
    <w:rsid w:val="008025D3"/>
    <w:rsid w:val="00806AA9"/>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4753"/>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37"/>
    <w:rsid w:val="00874451"/>
    <w:rsid w:val="00875714"/>
    <w:rsid w:val="00877038"/>
    <w:rsid w:val="00882065"/>
    <w:rsid w:val="00882E0C"/>
    <w:rsid w:val="008834FA"/>
    <w:rsid w:val="00883E14"/>
    <w:rsid w:val="00885488"/>
    <w:rsid w:val="00887A37"/>
    <w:rsid w:val="00893A50"/>
    <w:rsid w:val="008944AF"/>
    <w:rsid w:val="0089587E"/>
    <w:rsid w:val="008970D5"/>
    <w:rsid w:val="00897B8F"/>
    <w:rsid w:val="008A0B92"/>
    <w:rsid w:val="008A1079"/>
    <w:rsid w:val="008A1875"/>
    <w:rsid w:val="008A35BD"/>
    <w:rsid w:val="008A3B23"/>
    <w:rsid w:val="008A3D8C"/>
    <w:rsid w:val="008A3E63"/>
    <w:rsid w:val="008A4078"/>
    <w:rsid w:val="008A51A9"/>
    <w:rsid w:val="008A7440"/>
    <w:rsid w:val="008B0085"/>
    <w:rsid w:val="008B2B51"/>
    <w:rsid w:val="008B346E"/>
    <w:rsid w:val="008B4E2A"/>
    <w:rsid w:val="008B5136"/>
    <w:rsid w:val="008B68FD"/>
    <w:rsid w:val="008C023C"/>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461"/>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6E2D"/>
    <w:rsid w:val="0093790A"/>
    <w:rsid w:val="00941323"/>
    <w:rsid w:val="009417EE"/>
    <w:rsid w:val="00945A9B"/>
    <w:rsid w:val="009465F5"/>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5C09"/>
    <w:rsid w:val="00996CE3"/>
    <w:rsid w:val="00996F0B"/>
    <w:rsid w:val="009A07C7"/>
    <w:rsid w:val="009A0958"/>
    <w:rsid w:val="009A1FE1"/>
    <w:rsid w:val="009A4BD5"/>
    <w:rsid w:val="009A4F79"/>
    <w:rsid w:val="009A5259"/>
    <w:rsid w:val="009A636B"/>
    <w:rsid w:val="009A6CC8"/>
    <w:rsid w:val="009A73D0"/>
    <w:rsid w:val="009A7416"/>
    <w:rsid w:val="009A7CA1"/>
    <w:rsid w:val="009B520F"/>
    <w:rsid w:val="009B6998"/>
    <w:rsid w:val="009C17E0"/>
    <w:rsid w:val="009C21A8"/>
    <w:rsid w:val="009C58FC"/>
    <w:rsid w:val="009D004A"/>
    <w:rsid w:val="009D0197"/>
    <w:rsid w:val="009D19AE"/>
    <w:rsid w:val="009D1FA3"/>
    <w:rsid w:val="009D2805"/>
    <w:rsid w:val="009D3609"/>
    <w:rsid w:val="009D7994"/>
    <w:rsid w:val="009E1712"/>
    <w:rsid w:val="009E2A2C"/>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5B97"/>
    <w:rsid w:val="00A25BBF"/>
    <w:rsid w:val="00A3179E"/>
    <w:rsid w:val="00A33051"/>
    <w:rsid w:val="00A331CA"/>
    <w:rsid w:val="00A337E5"/>
    <w:rsid w:val="00A33805"/>
    <w:rsid w:val="00A34DB9"/>
    <w:rsid w:val="00A3546D"/>
    <w:rsid w:val="00A35DEB"/>
    <w:rsid w:val="00A365D7"/>
    <w:rsid w:val="00A36829"/>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2A8A"/>
    <w:rsid w:val="00A8489E"/>
    <w:rsid w:val="00A85309"/>
    <w:rsid w:val="00A858C3"/>
    <w:rsid w:val="00A85B90"/>
    <w:rsid w:val="00A87F68"/>
    <w:rsid w:val="00A90F1E"/>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6F15"/>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59F"/>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17878"/>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575D"/>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4D68"/>
    <w:rsid w:val="00B9528F"/>
    <w:rsid w:val="00B9529C"/>
    <w:rsid w:val="00B9543F"/>
    <w:rsid w:val="00B9553B"/>
    <w:rsid w:val="00BA3397"/>
    <w:rsid w:val="00BA606B"/>
    <w:rsid w:val="00BA73AF"/>
    <w:rsid w:val="00BA78B0"/>
    <w:rsid w:val="00BA796C"/>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3634"/>
    <w:rsid w:val="00BE5099"/>
    <w:rsid w:val="00BE53FC"/>
    <w:rsid w:val="00BE573A"/>
    <w:rsid w:val="00BE63C9"/>
    <w:rsid w:val="00BE79E6"/>
    <w:rsid w:val="00BF2A99"/>
    <w:rsid w:val="00BF2B76"/>
    <w:rsid w:val="00BF303D"/>
    <w:rsid w:val="00BF3D62"/>
    <w:rsid w:val="00BF3FF4"/>
    <w:rsid w:val="00BF54BB"/>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1CAC"/>
    <w:rsid w:val="00C131FB"/>
    <w:rsid w:val="00C15341"/>
    <w:rsid w:val="00C20E1F"/>
    <w:rsid w:val="00C21258"/>
    <w:rsid w:val="00C215E3"/>
    <w:rsid w:val="00C234E3"/>
    <w:rsid w:val="00C25127"/>
    <w:rsid w:val="00C37429"/>
    <w:rsid w:val="00C411E5"/>
    <w:rsid w:val="00C417AD"/>
    <w:rsid w:val="00C452B7"/>
    <w:rsid w:val="00C45A12"/>
    <w:rsid w:val="00C46DC8"/>
    <w:rsid w:val="00C500B1"/>
    <w:rsid w:val="00C500DE"/>
    <w:rsid w:val="00C50DD6"/>
    <w:rsid w:val="00C51B02"/>
    <w:rsid w:val="00C51F56"/>
    <w:rsid w:val="00C53BA5"/>
    <w:rsid w:val="00C53E7F"/>
    <w:rsid w:val="00C53F5E"/>
    <w:rsid w:val="00C543EA"/>
    <w:rsid w:val="00C56C4B"/>
    <w:rsid w:val="00C5764E"/>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40CD"/>
    <w:rsid w:val="00C96476"/>
    <w:rsid w:val="00C966E5"/>
    <w:rsid w:val="00C9746E"/>
    <w:rsid w:val="00C97D01"/>
    <w:rsid w:val="00CA07E5"/>
    <w:rsid w:val="00CA124D"/>
    <w:rsid w:val="00CA2F94"/>
    <w:rsid w:val="00CA5643"/>
    <w:rsid w:val="00CA5CD4"/>
    <w:rsid w:val="00CB0602"/>
    <w:rsid w:val="00CB1C77"/>
    <w:rsid w:val="00CB2706"/>
    <w:rsid w:val="00CB32BB"/>
    <w:rsid w:val="00CB53CC"/>
    <w:rsid w:val="00CB77AC"/>
    <w:rsid w:val="00CC02B6"/>
    <w:rsid w:val="00CC0515"/>
    <w:rsid w:val="00CC0BA0"/>
    <w:rsid w:val="00CC1849"/>
    <w:rsid w:val="00CC1EDA"/>
    <w:rsid w:val="00CC218A"/>
    <w:rsid w:val="00CC3230"/>
    <w:rsid w:val="00CC4394"/>
    <w:rsid w:val="00CC44AE"/>
    <w:rsid w:val="00CC51B5"/>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257C"/>
    <w:rsid w:val="00D04121"/>
    <w:rsid w:val="00D04665"/>
    <w:rsid w:val="00D051E7"/>
    <w:rsid w:val="00D0793C"/>
    <w:rsid w:val="00D07B26"/>
    <w:rsid w:val="00D111BB"/>
    <w:rsid w:val="00D1246C"/>
    <w:rsid w:val="00D12661"/>
    <w:rsid w:val="00D13E2C"/>
    <w:rsid w:val="00D14FF6"/>
    <w:rsid w:val="00D155CF"/>
    <w:rsid w:val="00D164A6"/>
    <w:rsid w:val="00D1702F"/>
    <w:rsid w:val="00D170E0"/>
    <w:rsid w:val="00D20EEA"/>
    <w:rsid w:val="00D21377"/>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5F71"/>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57F21"/>
    <w:rsid w:val="00D60A82"/>
    <w:rsid w:val="00D61169"/>
    <w:rsid w:val="00D6122C"/>
    <w:rsid w:val="00D61F43"/>
    <w:rsid w:val="00D6212B"/>
    <w:rsid w:val="00D63F07"/>
    <w:rsid w:val="00D654F0"/>
    <w:rsid w:val="00D6594F"/>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74F"/>
    <w:rsid w:val="00DC7F24"/>
    <w:rsid w:val="00DD08E7"/>
    <w:rsid w:val="00DD52DE"/>
    <w:rsid w:val="00DD7107"/>
    <w:rsid w:val="00DE28C4"/>
    <w:rsid w:val="00DE29A8"/>
    <w:rsid w:val="00DE4225"/>
    <w:rsid w:val="00DE6006"/>
    <w:rsid w:val="00DE7457"/>
    <w:rsid w:val="00DE7500"/>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3CAF"/>
    <w:rsid w:val="00E8554D"/>
    <w:rsid w:val="00E859F8"/>
    <w:rsid w:val="00E875DE"/>
    <w:rsid w:val="00E87C9B"/>
    <w:rsid w:val="00E9018A"/>
    <w:rsid w:val="00E93090"/>
    <w:rsid w:val="00E93C34"/>
    <w:rsid w:val="00EA05A2"/>
    <w:rsid w:val="00EA2BCA"/>
    <w:rsid w:val="00EA2C71"/>
    <w:rsid w:val="00EA4509"/>
    <w:rsid w:val="00EA7E56"/>
    <w:rsid w:val="00EB021E"/>
    <w:rsid w:val="00EB05ED"/>
    <w:rsid w:val="00EB0C4B"/>
    <w:rsid w:val="00EB0DC4"/>
    <w:rsid w:val="00EB0E52"/>
    <w:rsid w:val="00EB1F77"/>
    <w:rsid w:val="00EB506E"/>
    <w:rsid w:val="00EC63A7"/>
    <w:rsid w:val="00ED0405"/>
    <w:rsid w:val="00ED0D35"/>
    <w:rsid w:val="00ED1E20"/>
    <w:rsid w:val="00ED2FB9"/>
    <w:rsid w:val="00ED4C47"/>
    <w:rsid w:val="00ED4D48"/>
    <w:rsid w:val="00ED59BF"/>
    <w:rsid w:val="00ED70B4"/>
    <w:rsid w:val="00EE2A0A"/>
    <w:rsid w:val="00EE2DA4"/>
    <w:rsid w:val="00EE4005"/>
    <w:rsid w:val="00EE4550"/>
    <w:rsid w:val="00EE4C19"/>
    <w:rsid w:val="00EE5D47"/>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887"/>
    <w:rsid w:val="00F14DB7"/>
    <w:rsid w:val="00F14F6E"/>
    <w:rsid w:val="00F20994"/>
    <w:rsid w:val="00F22C96"/>
    <w:rsid w:val="00F22ED1"/>
    <w:rsid w:val="00F24866"/>
    <w:rsid w:val="00F27225"/>
    <w:rsid w:val="00F30258"/>
    <w:rsid w:val="00F313E2"/>
    <w:rsid w:val="00F32B6C"/>
    <w:rsid w:val="00F361E3"/>
    <w:rsid w:val="00F401C9"/>
    <w:rsid w:val="00F407D9"/>
    <w:rsid w:val="00F415A0"/>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147E"/>
    <w:rsid w:val="00F814B8"/>
    <w:rsid w:val="00F8342E"/>
    <w:rsid w:val="00F83D75"/>
    <w:rsid w:val="00F8456D"/>
    <w:rsid w:val="00F847C6"/>
    <w:rsid w:val="00F8683B"/>
    <w:rsid w:val="00F87CC2"/>
    <w:rsid w:val="00F9063F"/>
    <w:rsid w:val="00F90B81"/>
    <w:rsid w:val="00F912E2"/>
    <w:rsid w:val="00F91DD6"/>
    <w:rsid w:val="00F9528D"/>
    <w:rsid w:val="00F962E9"/>
    <w:rsid w:val="00F96F2A"/>
    <w:rsid w:val="00F97818"/>
    <w:rsid w:val="00FA1933"/>
    <w:rsid w:val="00FA1DC2"/>
    <w:rsid w:val="00FA271F"/>
    <w:rsid w:val="00FA7E7A"/>
    <w:rsid w:val="00FB0E0E"/>
    <w:rsid w:val="00FB0EBD"/>
    <w:rsid w:val="00FB151D"/>
    <w:rsid w:val="00FB27E2"/>
    <w:rsid w:val="00FB2D03"/>
    <w:rsid w:val="00FB44B4"/>
    <w:rsid w:val="00FB44BC"/>
    <w:rsid w:val="00FB4F69"/>
    <w:rsid w:val="00FB653D"/>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B74"/>
    <w:rsid w:val="00FE2D09"/>
    <w:rsid w:val="00FE2E38"/>
    <w:rsid w:val="00FE37C0"/>
    <w:rsid w:val="00FE3E44"/>
    <w:rsid w:val="00FE4DA2"/>
    <w:rsid w:val="00FE4E97"/>
    <w:rsid w:val="00FE51E3"/>
    <w:rsid w:val="00FE5708"/>
    <w:rsid w:val="00FE5D7D"/>
    <w:rsid w:val="00FF1AE9"/>
    <w:rsid w:val="00FF1DE6"/>
    <w:rsid w:val="00FF44B7"/>
    <w:rsid w:val="00FF4EFD"/>
    <w:rsid w:val="00FF5CD6"/>
    <w:rsid w:val="00FF5E86"/>
    <w:rsid w:val="00FF7F7D"/>
    <w:rsid w:val="014A107D"/>
    <w:rsid w:val="01607B43"/>
    <w:rsid w:val="016C6438"/>
    <w:rsid w:val="01B923E2"/>
    <w:rsid w:val="01EF682A"/>
    <w:rsid w:val="02074F73"/>
    <w:rsid w:val="020F41B6"/>
    <w:rsid w:val="021B2540"/>
    <w:rsid w:val="02254738"/>
    <w:rsid w:val="029C742D"/>
    <w:rsid w:val="02CB0C3C"/>
    <w:rsid w:val="02DD4F78"/>
    <w:rsid w:val="02E57FD9"/>
    <w:rsid w:val="0345085C"/>
    <w:rsid w:val="0357456F"/>
    <w:rsid w:val="03B200A5"/>
    <w:rsid w:val="03B65901"/>
    <w:rsid w:val="03C51773"/>
    <w:rsid w:val="03CC1058"/>
    <w:rsid w:val="044F20D8"/>
    <w:rsid w:val="04767467"/>
    <w:rsid w:val="04D00CBA"/>
    <w:rsid w:val="050A53A3"/>
    <w:rsid w:val="05134230"/>
    <w:rsid w:val="05BD3E0B"/>
    <w:rsid w:val="05C42E34"/>
    <w:rsid w:val="05C439BE"/>
    <w:rsid w:val="05D30C70"/>
    <w:rsid w:val="05D64F36"/>
    <w:rsid w:val="05F90774"/>
    <w:rsid w:val="06516C2A"/>
    <w:rsid w:val="06836D4E"/>
    <w:rsid w:val="068A6301"/>
    <w:rsid w:val="068A68A9"/>
    <w:rsid w:val="069739A0"/>
    <w:rsid w:val="06BE19ED"/>
    <w:rsid w:val="06FE04A9"/>
    <w:rsid w:val="07142E61"/>
    <w:rsid w:val="072E59DC"/>
    <w:rsid w:val="078941FC"/>
    <w:rsid w:val="07A17F31"/>
    <w:rsid w:val="07B31AA9"/>
    <w:rsid w:val="07B96D5A"/>
    <w:rsid w:val="07D16B3F"/>
    <w:rsid w:val="07D27A07"/>
    <w:rsid w:val="07D8633C"/>
    <w:rsid w:val="07E07102"/>
    <w:rsid w:val="07EF11F2"/>
    <w:rsid w:val="08297AE6"/>
    <w:rsid w:val="08B24CA8"/>
    <w:rsid w:val="08B85B05"/>
    <w:rsid w:val="08BC366A"/>
    <w:rsid w:val="08CF7B16"/>
    <w:rsid w:val="08DD105D"/>
    <w:rsid w:val="090F07DE"/>
    <w:rsid w:val="091F430C"/>
    <w:rsid w:val="09807F72"/>
    <w:rsid w:val="09BD4B07"/>
    <w:rsid w:val="09F412E3"/>
    <w:rsid w:val="0A0356D5"/>
    <w:rsid w:val="0A514815"/>
    <w:rsid w:val="0A90761C"/>
    <w:rsid w:val="0ABF6136"/>
    <w:rsid w:val="0AF07433"/>
    <w:rsid w:val="0AF6118A"/>
    <w:rsid w:val="0B4F1853"/>
    <w:rsid w:val="0B505E09"/>
    <w:rsid w:val="0B896742"/>
    <w:rsid w:val="0BC11322"/>
    <w:rsid w:val="0BE66440"/>
    <w:rsid w:val="0BEE319E"/>
    <w:rsid w:val="0C0104F1"/>
    <w:rsid w:val="0C0E31F3"/>
    <w:rsid w:val="0C434B67"/>
    <w:rsid w:val="0C6B57E7"/>
    <w:rsid w:val="0CA13BD9"/>
    <w:rsid w:val="0CAD5A7C"/>
    <w:rsid w:val="0CBA353D"/>
    <w:rsid w:val="0CD623C4"/>
    <w:rsid w:val="0CE76332"/>
    <w:rsid w:val="0D2442DE"/>
    <w:rsid w:val="0DC2684A"/>
    <w:rsid w:val="0DCB0D92"/>
    <w:rsid w:val="0DF35932"/>
    <w:rsid w:val="0E2F0AB4"/>
    <w:rsid w:val="0E811C85"/>
    <w:rsid w:val="0E823BA4"/>
    <w:rsid w:val="0EC43500"/>
    <w:rsid w:val="0F0624A1"/>
    <w:rsid w:val="0F1800C9"/>
    <w:rsid w:val="0F256B35"/>
    <w:rsid w:val="0F296FC9"/>
    <w:rsid w:val="0F512268"/>
    <w:rsid w:val="0F645131"/>
    <w:rsid w:val="0F7F55D8"/>
    <w:rsid w:val="0FAC65B6"/>
    <w:rsid w:val="0FFF541D"/>
    <w:rsid w:val="101C2CF0"/>
    <w:rsid w:val="106E0029"/>
    <w:rsid w:val="107B4D51"/>
    <w:rsid w:val="1094003F"/>
    <w:rsid w:val="10F802E1"/>
    <w:rsid w:val="11016F50"/>
    <w:rsid w:val="119248BD"/>
    <w:rsid w:val="11A4640C"/>
    <w:rsid w:val="11DE77B2"/>
    <w:rsid w:val="11E05210"/>
    <w:rsid w:val="11E743A3"/>
    <w:rsid w:val="127150DA"/>
    <w:rsid w:val="1290754B"/>
    <w:rsid w:val="12B50926"/>
    <w:rsid w:val="12D43D5B"/>
    <w:rsid w:val="12F12527"/>
    <w:rsid w:val="13017506"/>
    <w:rsid w:val="130C59E3"/>
    <w:rsid w:val="132D03A8"/>
    <w:rsid w:val="13301268"/>
    <w:rsid w:val="1359523A"/>
    <w:rsid w:val="137A1931"/>
    <w:rsid w:val="137F41D7"/>
    <w:rsid w:val="13A9783C"/>
    <w:rsid w:val="13C1355D"/>
    <w:rsid w:val="13FC4AA7"/>
    <w:rsid w:val="14270236"/>
    <w:rsid w:val="14317571"/>
    <w:rsid w:val="14874212"/>
    <w:rsid w:val="14A151E6"/>
    <w:rsid w:val="14BF508B"/>
    <w:rsid w:val="14C62AEF"/>
    <w:rsid w:val="150F2C95"/>
    <w:rsid w:val="152B2415"/>
    <w:rsid w:val="15694990"/>
    <w:rsid w:val="15731989"/>
    <w:rsid w:val="15AE4CBB"/>
    <w:rsid w:val="15EF40F9"/>
    <w:rsid w:val="15FF5951"/>
    <w:rsid w:val="160378FE"/>
    <w:rsid w:val="161B48A8"/>
    <w:rsid w:val="16815664"/>
    <w:rsid w:val="16C00EE1"/>
    <w:rsid w:val="17154F9B"/>
    <w:rsid w:val="171B69F0"/>
    <w:rsid w:val="173621D4"/>
    <w:rsid w:val="175956D4"/>
    <w:rsid w:val="177277CA"/>
    <w:rsid w:val="17E94392"/>
    <w:rsid w:val="18483C15"/>
    <w:rsid w:val="18621FCA"/>
    <w:rsid w:val="187355D7"/>
    <w:rsid w:val="18743BF5"/>
    <w:rsid w:val="18CA4102"/>
    <w:rsid w:val="19196AD4"/>
    <w:rsid w:val="191F6E7F"/>
    <w:rsid w:val="197058BD"/>
    <w:rsid w:val="19823EEB"/>
    <w:rsid w:val="19A7648A"/>
    <w:rsid w:val="19BD4D00"/>
    <w:rsid w:val="19F62CCE"/>
    <w:rsid w:val="19F715BB"/>
    <w:rsid w:val="1A2E1F26"/>
    <w:rsid w:val="1A4742AD"/>
    <w:rsid w:val="1A6106EA"/>
    <w:rsid w:val="1A9E5F7F"/>
    <w:rsid w:val="1ACA3A9F"/>
    <w:rsid w:val="1AD43B2B"/>
    <w:rsid w:val="1AD95F60"/>
    <w:rsid w:val="1B2E6535"/>
    <w:rsid w:val="1B402CF8"/>
    <w:rsid w:val="1B940823"/>
    <w:rsid w:val="1B965E54"/>
    <w:rsid w:val="1BBD341D"/>
    <w:rsid w:val="1BE11115"/>
    <w:rsid w:val="1BEB39E0"/>
    <w:rsid w:val="1C4C4874"/>
    <w:rsid w:val="1C5E7DFA"/>
    <w:rsid w:val="1C634BD6"/>
    <w:rsid w:val="1C735E99"/>
    <w:rsid w:val="1C9E66CC"/>
    <w:rsid w:val="1CF55740"/>
    <w:rsid w:val="1CF67E15"/>
    <w:rsid w:val="1D103DE0"/>
    <w:rsid w:val="1D267D2A"/>
    <w:rsid w:val="1D566903"/>
    <w:rsid w:val="1D5A5110"/>
    <w:rsid w:val="1D7936CD"/>
    <w:rsid w:val="1D892500"/>
    <w:rsid w:val="1DA710F3"/>
    <w:rsid w:val="1DD60043"/>
    <w:rsid w:val="1DF04699"/>
    <w:rsid w:val="1E0F5992"/>
    <w:rsid w:val="1E135007"/>
    <w:rsid w:val="1E2B64B7"/>
    <w:rsid w:val="1E395EC3"/>
    <w:rsid w:val="1E4C7D38"/>
    <w:rsid w:val="1E550B9F"/>
    <w:rsid w:val="1EBA44ED"/>
    <w:rsid w:val="1F406A85"/>
    <w:rsid w:val="1F420F96"/>
    <w:rsid w:val="1F50457A"/>
    <w:rsid w:val="1FC428C3"/>
    <w:rsid w:val="1FF07B34"/>
    <w:rsid w:val="2003671D"/>
    <w:rsid w:val="200A6406"/>
    <w:rsid w:val="202044A7"/>
    <w:rsid w:val="203B475F"/>
    <w:rsid w:val="20716DE0"/>
    <w:rsid w:val="208A4386"/>
    <w:rsid w:val="208E1AD8"/>
    <w:rsid w:val="20CC44A9"/>
    <w:rsid w:val="20CC6FB6"/>
    <w:rsid w:val="20D90C30"/>
    <w:rsid w:val="20D95918"/>
    <w:rsid w:val="21213BA6"/>
    <w:rsid w:val="21904451"/>
    <w:rsid w:val="21C25390"/>
    <w:rsid w:val="21C64A8A"/>
    <w:rsid w:val="21CD1849"/>
    <w:rsid w:val="21DC69F6"/>
    <w:rsid w:val="21F9599F"/>
    <w:rsid w:val="227305BC"/>
    <w:rsid w:val="22BD0FA3"/>
    <w:rsid w:val="230032DD"/>
    <w:rsid w:val="230A6E2D"/>
    <w:rsid w:val="2336669C"/>
    <w:rsid w:val="23737F16"/>
    <w:rsid w:val="239D52C1"/>
    <w:rsid w:val="239F41B7"/>
    <w:rsid w:val="23D90571"/>
    <w:rsid w:val="2418792E"/>
    <w:rsid w:val="2455394F"/>
    <w:rsid w:val="24694D2D"/>
    <w:rsid w:val="246958BE"/>
    <w:rsid w:val="24697E68"/>
    <w:rsid w:val="24795B71"/>
    <w:rsid w:val="2490073F"/>
    <w:rsid w:val="24A50B2A"/>
    <w:rsid w:val="24CD042B"/>
    <w:rsid w:val="24D41116"/>
    <w:rsid w:val="25037873"/>
    <w:rsid w:val="25070D53"/>
    <w:rsid w:val="250B298E"/>
    <w:rsid w:val="25393E87"/>
    <w:rsid w:val="255601DE"/>
    <w:rsid w:val="255A232C"/>
    <w:rsid w:val="257978AF"/>
    <w:rsid w:val="25C278F5"/>
    <w:rsid w:val="263D5F92"/>
    <w:rsid w:val="265965D7"/>
    <w:rsid w:val="269C1854"/>
    <w:rsid w:val="26AA529D"/>
    <w:rsid w:val="26E329D2"/>
    <w:rsid w:val="26F316E7"/>
    <w:rsid w:val="271F3217"/>
    <w:rsid w:val="273845DB"/>
    <w:rsid w:val="2751532A"/>
    <w:rsid w:val="275B7C39"/>
    <w:rsid w:val="276A1F47"/>
    <w:rsid w:val="27B83DFD"/>
    <w:rsid w:val="27BA2042"/>
    <w:rsid w:val="27C7477B"/>
    <w:rsid w:val="27D05B30"/>
    <w:rsid w:val="27D206E9"/>
    <w:rsid w:val="283F6A72"/>
    <w:rsid w:val="2851581D"/>
    <w:rsid w:val="28520406"/>
    <w:rsid w:val="286001D0"/>
    <w:rsid w:val="286E64C8"/>
    <w:rsid w:val="287E2C52"/>
    <w:rsid w:val="28BA51E4"/>
    <w:rsid w:val="28F842A1"/>
    <w:rsid w:val="290B2EB2"/>
    <w:rsid w:val="293928F3"/>
    <w:rsid w:val="293F29BC"/>
    <w:rsid w:val="296D538F"/>
    <w:rsid w:val="297941D9"/>
    <w:rsid w:val="29B25BCF"/>
    <w:rsid w:val="29C92343"/>
    <w:rsid w:val="29D00A9E"/>
    <w:rsid w:val="2A3021D8"/>
    <w:rsid w:val="2A581DD6"/>
    <w:rsid w:val="2A616DDD"/>
    <w:rsid w:val="2A7A3D85"/>
    <w:rsid w:val="2A865CD2"/>
    <w:rsid w:val="2AA82C95"/>
    <w:rsid w:val="2AC8287B"/>
    <w:rsid w:val="2ADE2395"/>
    <w:rsid w:val="2AFB6A19"/>
    <w:rsid w:val="2B0B5632"/>
    <w:rsid w:val="2B4458AD"/>
    <w:rsid w:val="2B4E168C"/>
    <w:rsid w:val="2B714694"/>
    <w:rsid w:val="2B7551AB"/>
    <w:rsid w:val="2B812A45"/>
    <w:rsid w:val="2B946EF4"/>
    <w:rsid w:val="2BA81107"/>
    <w:rsid w:val="2BA91FEB"/>
    <w:rsid w:val="2BBE5064"/>
    <w:rsid w:val="2BC24D84"/>
    <w:rsid w:val="2BC25FF4"/>
    <w:rsid w:val="2BC6522A"/>
    <w:rsid w:val="2BDA10DE"/>
    <w:rsid w:val="2C100735"/>
    <w:rsid w:val="2C3C1011"/>
    <w:rsid w:val="2C3E3416"/>
    <w:rsid w:val="2C916771"/>
    <w:rsid w:val="2CFF52E9"/>
    <w:rsid w:val="2D2A7D5E"/>
    <w:rsid w:val="2D473866"/>
    <w:rsid w:val="2D4C3E5F"/>
    <w:rsid w:val="2D792E4B"/>
    <w:rsid w:val="2D9D3D66"/>
    <w:rsid w:val="2DB65F13"/>
    <w:rsid w:val="2DD00F58"/>
    <w:rsid w:val="2E004A16"/>
    <w:rsid w:val="2E251686"/>
    <w:rsid w:val="2E497D11"/>
    <w:rsid w:val="2E4F07F0"/>
    <w:rsid w:val="2E652693"/>
    <w:rsid w:val="2F07047D"/>
    <w:rsid w:val="2F3E5C55"/>
    <w:rsid w:val="2F5D7CAB"/>
    <w:rsid w:val="2F7E5428"/>
    <w:rsid w:val="2FBE0389"/>
    <w:rsid w:val="2FDD3D81"/>
    <w:rsid w:val="302D1068"/>
    <w:rsid w:val="30450F18"/>
    <w:rsid w:val="306509F0"/>
    <w:rsid w:val="30692357"/>
    <w:rsid w:val="30F54578"/>
    <w:rsid w:val="3104091A"/>
    <w:rsid w:val="313F47C2"/>
    <w:rsid w:val="318609BF"/>
    <w:rsid w:val="31A21C1C"/>
    <w:rsid w:val="31BE5182"/>
    <w:rsid w:val="31CF1E13"/>
    <w:rsid w:val="31D057AE"/>
    <w:rsid w:val="32097245"/>
    <w:rsid w:val="32106F9F"/>
    <w:rsid w:val="32514C0F"/>
    <w:rsid w:val="3253078A"/>
    <w:rsid w:val="32656677"/>
    <w:rsid w:val="327116B6"/>
    <w:rsid w:val="32824EB2"/>
    <w:rsid w:val="32980345"/>
    <w:rsid w:val="33177DE6"/>
    <w:rsid w:val="336378E6"/>
    <w:rsid w:val="338A1C27"/>
    <w:rsid w:val="33990DE9"/>
    <w:rsid w:val="33F44DBC"/>
    <w:rsid w:val="343A3CF7"/>
    <w:rsid w:val="34660275"/>
    <w:rsid w:val="349A3ABF"/>
    <w:rsid w:val="34A27E92"/>
    <w:rsid w:val="34A708A3"/>
    <w:rsid w:val="34DB19EC"/>
    <w:rsid w:val="34DD2583"/>
    <w:rsid w:val="34F652A9"/>
    <w:rsid w:val="34FF398C"/>
    <w:rsid w:val="3536596E"/>
    <w:rsid w:val="3541556A"/>
    <w:rsid w:val="35550803"/>
    <w:rsid w:val="355630A1"/>
    <w:rsid w:val="35681118"/>
    <w:rsid w:val="35B073CB"/>
    <w:rsid w:val="35BB0582"/>
    <w:rsid w:val="361B53DA"/>
    <w:rsid w:val="36686DE4"/>
    <w:rsid w:val="36815FD8"/>
    <w:rsid w:val="36931B28"/>
    <w:rsid w:val="369F03D7"/>
    <w:rsid w:val="36C65F61"/>
    <w:rsid w:val="36E70D4C"/>
    <w:rsid w:val="36EE6E85"/>
    <w:rsid w:val="36FB59AF"/>
    <w:rsid w:val="370B213B"/>
    <w:rsid w:val="372A6CA3"/>
    <w:rsid w:val="372C33CB"/>
    <w:rsid w:val="37731E1A"/>
    <w:rsid w:val="378D61B1"/>
    <w:rsid w:val="379B48C7"/>
    <w:rsid w:val="37B350C4"/>
    <w:rsid w:val="37D12A52"/>
    <w:rsid w:val="37E4492B"/>
    <w:rsid w:val="38163279"/>
    <w:rsid w:val="3881467D"/>
    <w:rsid w:val="38A2393B"/>
    <w:rsid w:val="38AB5D1F"/>
    <w:rsid w:val="38B63924"/>
    <w:rsid w:val="38DB05F6"/>
    <w:rsid w:val="38FF270E"/>
    <w:rsid w:val="39033709"/>
    <w:rsid w:val="394D1547"/>
    <w:rsid w:val="39573B78"/>
    <w:rsid w:val="39831A8C"/>
    <w:rsid w:val="39D00F6C"/>
    <w:rsid w:val="3A084EF6"/>
    <w:rsid w:val="3A292874"/>
    <w:rsid w:val="3A3A44D6"/>
    <w:rsid w:val="3A3A5FA8"/>
    <w:rsid w:val="3A717B5D"/>
    <w:rsid w:val="3AB51953"/>
    <w:rsid w:val="3AB64AC4"/>
    <w:rsid w:val="3ABF32CA"/>
    <w:rsid w:val="3AC94CED"/>
    <w:rsid w:val="3AE2740D"/>
    <w:rsid w:val="3B1B1A71"/>
    <w:rsid w:val="3B290DCF"/>
    <w:rsid w:val="3B42615E"/>
    <w:rsid w:val="3B981BC9"/>
    <w:rsid w:val="3BC82579"/>
    <w:rsid w:val="3BC9618E"/>
    <w:rsid w:val="3BF6393F"/>
    <w:rsid w:val="3BF72E24"/>
    <w:rsid w:val="3CBE4E79"/>
    <w:rsid w:val="3D083822"/>
    <w:rsid w:val="3D204605"/>
    <w:rsid w:val="3D375258"/>
    <w:rsid w:val="3D417783"/>
    <w:rsid w:val="3D6422E0"/>
    <w:rsid w:val="3DB00B54"/>
    <w:rsid w:val="3DC05CD8"/>
    <w:rsid w:val="3DC240C5"/>
    <w:rsid w:val="3DCC5ACD"/>
    <w:rsid w:val="3DD65334"/>
    <w:rsid w:val="3E1644B9"/>
    <w:rsid w:val="3E26745D"/>
    <w:rsid w:val="3E515FFD"/>
    <w:rsid w:val="3E7C3D7D"/>
    <w:rsid w:val="3F386D54"/>
    <w:rsid w:val="3F4E2C53"/>
    <w:rsid w:val="3F710525"/>
    <w:rsid w:val="3F837273"/>
    <w:rsid w:val="3F99348B"/>
    <w:rsid w:val="3FA86EA3"/>
    <w:rsid w:val="3FA91A03"/>
    <w:rsid w:val="3FEA13A7"/>
    <w:rsid w:val="401E4D45"/>
    <w:rsid w:val="40517186"/>
    <w:rsid w:val="409611B7"/>
    <w:rsid w:val="40A41CE7"/>
    <w:rsid w:val="40AE37AA"/>
    <w:rsid w:val="410161CC"/>
    <w:rsid w:val="41092917"/>
    <w:rsid w:val="41212FCE"/>
    <w:rsid w:val="41233C27"/>
    <w:rsid w:val="413C54FE"/>
    <w:rsid w:val="41863C3D"/>
    <w:rsid w:val="41C935BF"/>
    <w:rsid w:val="41F07DF5"/>
    <w:rsid w:val="42294B4F"/>
    <w:rsid w:val="423A1090"/>
    <w:rsid w:val="42B25C28"/>
    <w:rsid w:val="42B6391C"/>
    <w:rsid w:val="42C53633"/>
    <w:rsid w:val="42D163E9"/>
    <w:rsid w:val="42F567E6"/>
    <w:rsid w:val="42FB7840"/>
    <w:rsid w:val="430316B0"/>
    <w:rsid w:val="433E70B3"/>
    <w:rsid w:val="43775251"/>
    <w:rsid w:val="43A419F6"/>
    <w:rsid w:val="43AC508A"/>
    <w:rsid w:val="43F17F36"/>
    <w:rsid w:val="43F74956"/>
    <w:rsid w:val="44073024"/>
    <w:rsid w:val="4456673F"/>
    <w:rsid w:val="446D076D"/>
    <w:rsid w:val="44AC5404"/>
    <w:rsid w:val="44BE5308"/>
    <w:rsid w:val="44D82EBE"/>
    <w:rsid w:val="450553AB"/>
    <w:rsid w:val="4528599C"/>
    <w:rsid w:val="455126FD"/>
    <w:rsid w:val="45583099"/>
    <w:rsid w:val="455F2803"/>
    <w:rsid w:val="457C4ED2"/>
    <w:rsid w:val="459918D1"/>
    <w:rsid w:val="45AE1C72"/>
    <w:rsid w:val="45C836A2"/>
    <w:rsid w:val="45E01719"/>
    <w:rsid w:val="45FA4888"/>
    <w:rsid w:val="45FF6C21"/>
    <w:rsid w:val="46027257"/>
    <w:rsid w:val="460702C1"/>
    <w:rsid w:val="46072C50"/>
    <w:rsid w:val="461D7BB2"/>
    <w:rsid w:val="461E5E07"/>
    <w:rsid w:val="465325FC"/>
    <w:rsid w:val="46576B6E"/>
    <w:rsid w:val="46624781"/>
    <w:rsid w:val="466C7651"/>
    <w:rsid w:val="46705609"/>
    <w:rsid w:val="47095866"/>
    <w:rsid w:val="471742EC"/>
    <w:rsid w:val="472C6276"/>
    <w:rsid w:val="477D5331"/>
    <w:rsid w:val="47A6139C"/>
    <w:rsid w:val="47C624CA"/>
    <w:rsid w:val="480439D4"/>
    <w:rsid w:val="484465F2"/>
    <w:rsid w:val="486124A2"/>
    <w:rsid w:val="491409B4"/>
    <w:rsid w:val="4927378F"/>
    <w:rsid w:val="493E5398"/>
    <w:rsid w:val="494A3653"/>
    <w:rsid w:val="495F635A"/>
    <w:rsid w:val="49B44630"/>
    <w:rsid w:val="49C17DAA"/>
    <w:rsid w:val="49CF4DDB"/>
    <w:rsid w:val="49DE5E6B"/>
    <w:rsid w:val="4A320934"/>
    <w:rsid w:val="4A4A1B93"/>
    <w:rsid w:val="4A507817"/>
    <w:rsid w:val="4A5671D7"/>
    <w:rsid w:val="4A63321B"/>
    <w:rsid w:val="4AD4101E"/>
    <w:rsid w:val="4AED4C82"/>
    <w:rsid w:val="4AFA402D"/>
    <w:rsid w:val="4B4241FC"/>
    <w:rsid w:val="4B8C2AE6"/>
    <w:rsid w:val="4BF33319"/>
    <w:rsid w:val="4BFB7450"/>
    <w:rsid w:val="4C4B7BB5"/>
    <w:rsid w:val="4C737F20"/>
    <w:rsid w:val="4C7F61B4"/>
    <w:rsid w:val="4C8429F3"/>
    <w:rsid w:val="4C8E6A8B"/>
    <w:rsid w:val="4C943774"/>
    <w:rsid w:val="4CA97F98"/>
    <w:rsid w:val="4CBD09CB"/>
    <w:rsid w:val="4CC270ED"/>
    <w:rsid w:val="4CC52D0E"/>
    <w:rsid w:val="4CFC0882"/>
    <w:rsid w:val="4D0B563F"/>
    <w:rsid w:val="4D3F70AA"/>
    <w:rsid w:val="4D563A91"/>
    <w:rsid w:val="4DB2109E"/>
    <w:rsid w:val="4DE85007"/>
    <w:rsid w:val="4E73460F"/>
    <w:rsid w:val="4EB26A36"/>
    <w:rsid w:val="4EE366D5"/>
    <w:rsid w:val="4EE4115C"/>
    <w:rsid w:val="4EFC1110"/>
    <w:rsid w:val="4F213246"/>
    <w:rsid w:val="4F2C69DD"/>
    <w:rsid w:val="4F511EB8"/>
    <w:rsid w:val="4F5705EA"/>
    <w:rsid w:val="4FAF689A"/>
    <w:rsid w:val="50360EA9"/>
    <w:rsid w:val="509B1AA9"/>
    <w:rsid w:val="509C7B51"/>
    <w:rsid w:val="50C2466D"/>
    <w:rsid w:val="511451BF"/>
    <w:rsid w:val="51684FBA"/>
    <w:rsid w:val="516A339B"/>
    <w:rsid w:val="516E0E64"/>
    <w:rsid w:val="518F67E2"/>
    <w:rsid w:val="51B72A6B"/>
    <w:rsid w:val="51BE19C6"/>
    <w:rsid w:val="51CF54F5"/>
    <w:rsid w:val="521A3708"/>
    <w:rsid w:val="523621EC"/>
    <w:rsid w:val="524A6FFF"/>
    <w:rsid w:val="5299448D"/>
    <w:rsid w:val="52B66F0F"/>
    <w:rsid w:val="52F4513C"/>
    <w:rsid w:val="53390328"/>
    <w:rsid w:val="53666790"/>
    <w:rsid w:val="5374393E"/>
    <w:rsid w:val="538B0D8E"/>
    <w:rsid w:val="53981830"/>
    <w:rsid w:val="53BF63F9"/>
    <w:rsid w:val="53C14E61"/>
    <w:rsid w:val="53C24379"/>
    <w:rsid w:val="544B5D2F"/>
    <w:rsid w:val="545821FA"/>
    <w:rsid w:val="546102B6"/>
    <w:rsid w:val="54616B2D"/>
    <w:rsid w:val="548D7504"/>
    <w:rsid w:val="54CE36B4"/>
    <w:rsid w:val="54E0268E"/>
    <w:rsid w:val="54F30651"/>
    <w:rsid w:val="54F85B43"/>
    <w:rsid w:val="557D76D7"/>
    <w:rsid w:val="558F617B"/>
    <w:rsid w:val="559235BB"/>
    <w:rsid w:val="55987B7D"/>
    <w:rsid w:val="55A62CDC"/>
    <w:rsid w:val="55DC3B13"/>
    <w:rsid w:val="55F55F21"/>
    <w:rsid w:val="56056525"/>
    <w:rsid w:val="5630519D"/>
    <w:rsid w:val="563C255F"/>
    <w:rsid w:val="566607B4"/>
    <w:rsid w:val="56AB593A"/>
    <w:rsid w:val="56B2469D"/>
    <w:rsid w:val="56C74833"/>
    <w:rsid w:val="56EE7C43"/>
    <w:rsid w:val="56F850E9"/>
    <w:rsid w:val="57213BCF"/>
    <w:rsid w:val="57292F3E"/>
    <w:rsid w:val="576304FE"/>
    <w:rsid w:val="577F439A"/>
    <w:rsid w:val="578627C3"/>
    <w:rsid w:val="578A4CEF"/>
    <w:rsid w:val="57A6060A"/>
    <w:rsid w:val="57C47FFA"/>
    <w:rsid w:val="57CC5A25"/>
    <w:rsid w:val="57ED7A43"/>
    <w:rsid w:val="580E33E6"/>
    <w:rsid w:val="58344C6E"/>
    <w:rsid w:val="58426CFE"/>
    <w:rsid w:val="587810C5"/>
    <w:rsid w:val="588D740E"/>
    <w:rsid w:val="58AA38F2"/>
    <w:rsid w:val="58D07DFD"/>
    <w:rsid w:val="58F013EF"/>
    <w:rsid w:val="58FE60A5"/>
    <w:rsid w:val="590631BA"/>
    <w:rsid w:val="590943AD"/>
    <w:rsid w:val="59442A69"/>
    <w:rsid w:val="594538C7"/>
    <w:rsid w:val="59902E95"/>
    <w:rsid w:val="59A70354"/>
    <w:rsid w:val="59F67B14"/>
    <w:rsid w:val="59F853D7"/>
    <w:rsid w:val="5A0B667B"/>
    <w:rsid w:val="5A380E4D"/>
    <w:rsid w:val="5A572918"/>
    <w:rsid w:val="5A944537"/>
    <w:rsid w:val="5AD23E34"/>
    <w:rsid w:val="5AD830D2"/>
    <w:rsid w:val="5AE60FC1"/>
    <w:rsid w:val="5AE94419"/>
    <w:rsid w:val="5AF527FB"/>
    <w:rsid w:val="5B2739E3"/>
    <w:rsid w:val="5B5A3732"/>
    <w:rsid w:val="5B5F1E33"/>
    <w:rsid w:val="5B7F4DA2"/>
    <w:rsid w:val="5B8E77E9"/>
    <w:rsid w:val="5BA374A8"/>
    <w:rsid w:val="5BCF5A05"/>
    <w:rsid w:val="5BD45BB9"/>
    <w:rsid w:val="5C262738"/>
    <w:rsid w:val="5C2B2E1B"/>
    <w:rsid w:val="5C456B8A"/>
    <w:rsid w:val="5C4D6BA5"/>
    <w:rsid w:val="5C76501E"/>
    <w:rsid w:val="5C9207F0"/>
    <w:rsid w:val="5C9E32A3"/>
    <w:rsid w:val="5CDD3BBF"/>
    <w:rsid w:val="5CFF616A"/>
    <w:rsid w:val="5D02463E"/>
    <w:rsid w:val="5D092805"/>
    <w:rsid w:val="5D0F7551"/>
    <w:rsid w:val="5D3E2223"/>
    <w:rsid w:val="5D5E5ACA"/>
    <w:rsid w:val="5E3C43D7"/>
    <w:rsid w:val="5E635C2B"/>
    <w:rsid w:val="5E700D6B"/>
    <w:rsid w:val="5EC402EF"/>
    <w:rsid w:val="5EF01AE6"/>
    <w:rsid w:val="5F1D5FA1"/>
    <w:rsid w:val="5F3063F2"/>
    <w:rsid w:val="5F33595E"/>
    <w:rsid w:val="5F39539F"/>
    <w:rsid w:val="5F3C7237"/>
    <w:rsid w:val="5F69790F"/>
    <w:rsid w:val="5F7A7E50"/>
    <w:rsid w:val="5F98506D"/>
    <w:rsid w:val="5FAD7A3E"/>
    <w:rsid w:val="5FCF073B"/>
    <w:rsid w:val="5FE33342"/>
    <w:rsid w:val="5FF33437"/>
    <w:rsid w:val="5FF34D36"/>
    <w:rsid w:val="601475DB"/>
    <w:rsid w:val="601900A1"/>
    <w:rsid w:val="601C7259"/>
    <w:rsid w:val="602E0A3F"/>
    <w:rsid w:val="604246AC"/>
    <w:rsid w:val="606A54BC"/>
    <w:rsid w:val="60DE6672"/>
    <w:rsid w:val="60DF27BA"/>
    <w:rsid w:val="60FF3DCA"/>
    <w:rsid w:val="61081E82"/>
    <w:rsid w:val="610D3BF9"/>
    <w:rsid w:val="612065E9"/>
    <w:rsid w:val="61410EB1"/>
    <w:rsid w:val="617A2152"/>
    <w:rsid w:val="61802A6B"/>
    <w:rsid w:val="618356D4"/>
    <w:rsid w:val="61F566A5"/>
    <w:rsid w:val="626F31E2"/>
    <w:rsid w:val="627A6A1A"/>
    <w:rsid w:val="62C901EA"/>
    <w:rsid w:val="62D40BE2"/>
    <w:rsid w:val="62ED5718"/>
    <w:rsid w:val="62F07A13"/>
    <w:rsid w:val="631B3D16"/>
    <w:rsid w:val="632E1FE1"/>
    <w:rsid w:val="634937C2"/>
    <w:rsid w:val="63542DD1"/>
    <w:rsid w:val="635469AE"/>
    <w:rsid w:val="63B67F8A"/>
    <w:rsid w:val="63CD4411"/>
    <w:rsid w:val="642F05C2"/>
    <w:rsid w:val="648F7719"/>
    <w:rsid w:val="64AA6A94"/>
    <w:rsid w:val="64E4018A"/>
    <w:rsid w:val="651D594F"/>
    <w:rsid w:val="65244E88"/>
    <w:rsid w:val="658735BB"/>
    <w:rsid w:val="65CF6708"/>
    <w:rsid w:val="66024C58"/>
    <w:rsid w:val="660917E2"/>
    <w:rsid w:val="66690664"/>
    <w:rsid w:val="667966C7"/>
    <w:rsid w:val="66B13D8E"/>
    <w:rsid w:val="66B20005"/>
    <w:rsid w:val="66B428A0"/>
    <w:rsid w:val="66BD09FF"/>
    <w:rsid w:val="66DD1FEC"/>
    <w:rsid w:val="66F62E78"/>
    <w:rsid w:val="670479BC"/>
    <w:rsid w:val="671A2C7C"/>
    <w:rsid w:val="67260C68"/>
    <w:rsid w:val="672924E5"/>
    <w:rsid w:val="673823B8"/>
    <w:rsid w:val="6760706A"/>
    <w:rsid w:val="677D4943"/>
    <w:rsid w:val="678E3594"/>
    <w:rsid w:val="67922009"/>
    <w:rsid w:val="679A0889"/>
    <w:rsid w:val="67A47E08"/>
    <w:rsid w:val="680E37A0"/>
    <w:rsid w:val="68165E6C"/>
    <w:rsid w:val="68213496"/>
    <w:rsid w:val="687C5E4C"/>
    <w:rsid w:val="68961913"/>
    <w:rsid w:val="68A2694E"/>
    <w:rsid w:val="68A715BA"/>
    <w:rsid w:val="68C6450F"/>
    <w:rsid w:val="68DA22E0"/>
    <w:rsid w:val="68DD785B"/>
    <w:rsid w:val="69015F5D"/>
    <w:rsid w:val="69112231"/>
    <w:rsid w:val="69416630"/>
    <w:rsid w:val="69631961"/>
    <w:rsid w:val="696C5631"/>
    <w:rsid w:val="698801EE"/>
    <w:rsid w:val="69A61F2A"/>
    <w:rsid w:val="69DC0FE4"/>
    <w:rsid w:val="69E42881"/>
    <w:rsid w:val="69FB279D"/>
    <w:rsid w:val="6A141167"/>
    <w:rsid w:val="6A380AF9"/>
    <w:rsid w:val="6A3C3AEF"/>
    <w:rsid w:val="6A740798"/>
    <w:rsid w:val="6A88155D"/>
    <w:rsid w:val="6ABE0B42"/>
    <w:rsid w:val="6AC01212"/>
    <w:rsid w:val="6B0A0174"/>
    <w:rsid w:val="6B6331D1"/>
    <w:rsid w:val="6B69724C"/>
    <w:rsid w:val="6BA47ACC"/>
    <w:rsid w:val="6BA74D59"/>
    <w:rsid w:val="6BC37E65"/>
    <w:rsid w:val="6C17763B"/>
    <w:rsid w:val="6C417F2E"/>
    <w:rsid w:val="6C613840"/>
    <w:rsid w:val="6D066CC0"/>
    <w:rsid w:val="6D444864"/>
    <w:rsid w:val="6D474BE0"/>
    <w:rsid w:val="6D671314"/>
    <w:rsid w:val="6D6F1808"/>
    <w:rsid w:val="6D921277"/>
    <w:rsid w:val="6DE249FB"/>
    <w:rsid w:val="6E0B5782"/>
    <w:rsid w:val="6E73378F"/>
    <w:rsid w:val="6E7E2D90"/>
    <w:rsid w:val="6ED270A2"/>
    <w:rsid w:val="6ED904CF"/>
    <w:rsid w:val="6F1339B5"/>
    <w:rsid w:val="6F147E2C"/>
    <w:rsid w:val="6F3150E1"/>
    <w:rsid w:val="6F4F0279"/>
    <w:rsid w:val="6F614617"/>
    <w:rsid w:val="6F8228BD"/>
    <w:rsid w:val="6FD536A3"/>
    <w:rsid w:val="6FF428C4"/>
    <w:rsid w:val="70736637"/>
    <w:rsid w:val="70746904"/>
    <w:rsid w:val="708B4764"/>
    <w:rsid w:val="70E73382"/>
    <w:rsid w:val="712E4411"/>
    <w:rsid w:val="71614A1E"/>
    <w:rsid w:val="719B4B26"/>
    <w:rsid w:val="719D4565"/>
    <w:rsid w:val="71A57F33"/>
    <w:rsid w:val="71B10B06"/>
    <w:rsid w:val="71D05141"/>
    <w:rsid w:val="7208312A"/>
    <w:rsid w:val="721B7602"/>
    <w:rsid w:val="72264365"/>
    <w:rsid w:val="722A3C8E"/>
    <w:rsid w:val="725D056C"/>
    <w:rsid w:val="72622B9E"/>
    <w:rsid w:val="730E6D75"/>
    <w:rsid w:val="73252325"/>
    <w:rsid w:val="737C1E8E"/>
    <w:rsid w:val="73863882"/>
    <w:rsid w:val="73D469E5"/>
    <w:rsid w:val="73DF1FFC"/>
    <w:rsid w:val="73DF746D"/>
    <w:rsid w:val="73EB5EE1"/>
    <w:rsid w:val="73F365C7"/>
    <w:rsid w:val="74017CE9"/>
    <w:rsid w:val="742F0433"/>
    <w:rsid w:val="743E20C5"/>
    <w:rsid w:val="744E5A2D"/>
    <w:rsid w:val="748143CF"/>
    <w:rsid w:val="748E5A80"/>
    <w:rsid w:val="74AE1518"/>
    <w:rsid w:val="75326978"/>
    <w:rsid w:val="755139A3"/>
    <w:rsid w:val="75590609"/>
    <w:rsid w:val="7579593F"/>
    <w:rsid w:val="75A64EC5"/>
    <w:rsid w:val="75B25FC9"/>
    <w:rsid w:val="75D93239"/>
    <w:rsid w:val="75E90392"/>
    <w:rsid w:val="76552BDA"/>
    <w:rsid w:val="767C25F7"/>
    <w:rsid w:val="76D62783"/>
    <w:rsid w:val="76ED0130"/>
    <w:rsid w:val="76ED654A"/>
    <w:rsid w:val="77361B6C"/>
    <w:rsid w:val="774C501D"/>
    <w:rsid w:val="774D10ED"/>
    <w:rsid w:val="777E43FE"/>
    <w:rsid w:val="7785787E"/>
    <w:rsid w:val="77990FE4"/>
    <w:rsid w:val="77993085"/>
    <w:rsid w:val="77D667E7"/>
    <w:rsid w:val="77FF2878"/>
    <w:rsid w:val="78014387"/>
    <w:rsid w:val="78132AD4"/>
    <w:rsid w:val="78304A4B"/>
    <w:rsid w:val="783E6BEC"/>
    <w:rsid w:val="786113A5"/>
    <w:rsid w:val="78A80BF9"/>
    <w:rsid w:val="78E12489"/>
    <w:rsid w:val="78E15654"/>
    <w:rsid w:val="79002D29"/>
    <w:rsid w:val="79414D25"/>
    <w:rsid w:val="794633AF"/>
    <w:rsid w:val="795B11AE"/>
    <w:rsid w:val="79E55AB2"/>
    <w:rsid w:val="79F51A57"/>
    <w:rsid w:val="79F71AAE"/>
    <w:rsid w:val="79FE4BC6"/>
    <w:rsid w:val="7A165D5A"/>
    <w:rsid w:val="7A19138D"/>
    <w:rsid w:val="7A476A08"/>
    <w:rsid w:val="7A5138B5"/>
    <w:rsid w:val="7A637DCA"/>
    <w:rsid w:val="7A827286"/>
    <w:rsid w:val="7A8C49C3"/>
    <w:rsid w:val="7AB817FF"/>
    <w:rsid w:val="7AC311E0"/>
    <w:rsid w:val="7ADB3C02"/>
    <w:rsid w:val="7ADE05A3"/>
    <w:rsid w:val="7AE43150"/>
    <w:rsid w:val="7AF8538E"/>
    <w:rsid w:val="7B5A1A14"/>
    <w:rsid w:val="7BA37F8E"/>
    <w:rsid w:val="7BA41074"/>
    <w:rsid w:val="7BA76DE2"/>
    <w:rsid w:val="7BFC6F46"/>
    <w:rsid w:val="7C341B7B"/>
    <w:rsid w:val="7C3A5042"/>
    <w:rsid w:val="7C445C02"/>
    <w:rsid w:val="7D095A4D"/>
    <w:rsid w:val="7D270701"/>
    <w:rsid w:val="7D2B36A3"/>
    <w:rsid w:val="7D3867AA"/>
    <w:rsid w:val="7D6972DA"/>
    <w:rsid w:val="7E0103E6"/>
    <w:rsid w:val="7E1D7F48"/>
    <w:rsid w:val="7E284D20"/>
    <w:rsid w:val="7E4074FC"/>
    <w:rsid w:val="7E474F62"/>
    <w:rsid w:val="7EDE1210"/>
    <w:rsid w:val="7EED7863"/>
    <w:rsid w:val="7EEF7316"/>
    <w:rsid w:val="7F0F64A1"/>
    <w:rsid w:val="7F7A4206"/>
    <w:rsid w:val="7F894EC2"/>
    <w:rsid w:val="7FCE6025"/>
    <w:rsid w:val="7FDE55B1"/>
    <w:rsid w:val="7FF1737E"/>
    <w:rsid w:val="7FF568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4"/>
    <w:next w:val="1"/>
    <w:link w:val="39"/>
    <w:qFormat/>
    <w:uiPriority w:val="0"/>
    <w:pPr>
      <w:keepNext/>
      <w:keepLines/>
      <w:spacing w:before="340" w:after="330" w:line="578" w:lineRule="auto"/>
      <w:outlineLvl w:val="0"/>
    </w:pPr>
    <w:rPr>
      <w:rFonts w:ascii="Times New Roman" w:hAnsi="Times New Roman"/>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spacing w:before="240" w:after="60"/>
      <w:outlineLvl w:val="3"/>
    </w:pPr>
    <w:rPr>
      <w:b/>
      <w:bCs/>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Title"/>
    <w:basedOn w:val="1"/>
    <w:next w:val="1"/>
    <w:qFormat/>
    <w:uiPriority w:val="0"/>
    <w:pPr>
      <w:spacing w:before="240" w:after="60"/>
      <w:jc w:val="center"/>
      <w:outlineLvl w:val="0"/>
    </w:pPr>
    <w:rPr>
      <w:rFonts w:ascii="Cambria" w:hAnsi="Cambria"/>
      <w:b/>
      <w:bCs/>
      <w:kern w:val="2"/>
      <w:sz w:val="32"/>
      <w:szCs w:val="32"/>
    </w:rPr>
  </w:style>
  <w:style w:type="paragraph" w:styleId="8">
    <w:name w:val="index 8"/>
    <w:basedOn w:val="1"/>
    <w:next w:val="1"/>
    <w:unhideWhenUsed/>
    <w:qFormat/>
    <w:uiPriority w:val="99"/>
    <w:pPr>
      <w:ind w:left="1400" w:leftChars="1400"/>
    </w:pPr>
  </w:style>
  <w:style w:type="paragraph" w:styleId="9">
    <w:name w:val="Normal Indent"/>
    <w:basedOn w:val="1"/>
    <w:next w:val="7"/>
    <w:link w:val="40"/>
    <w:qFormat/>
    <w:uiPriority w:val="0"/>
    <w:pPr>
      <w:ind w:firstLine="420" w:firstLineChars="200"/>
    </w:pPr>
    <w:rPr>
      <w:rFonts w:ascii="Times New Roman"/>
      <w:kern w:val="2"/>
      <w:sz w:val="21"/>
      <w:szCs w:val="24"/>
    </w:rPr>
  </w:style>
  <w:style w:type="paragraph" w:styleId="10">
    <w:name w:val="annotation text"/>
    <w:basedOn w:val="1"/>
    <w:link w:val="41"/>
    <w:qFormat/>
    <w:uiPriority w:val="0"/>
    <w:pPr>
      <w:jc w:val="left"/>
    </w:pPr>
    <w:rPr>
      <w:rFonts w:ascii="Times New Roman"/>
      <w:kern w:val="2"/>
      <w:sz w:val="18"/>
    </w:rPr>
  </w:style>
  <w:style w:type="paragraph" w:styleId="11">
    <w:name w:val="Body Text"/>
    <w:basedOn w:val="1"/>
    <w:next w:val="12"/>
    <w:qFormat/>
    <w:uiPriority w:val="0"/>
    <w:pPr>
      <w:spacing w:after="120"/>
    </w:pPr>
  </w:style>
  <w:style w:type="paragraph" w:styleId="12">
    <w:name w:val="Body Text First Indent"/>
    <w:basedOn w:val="11"/>
    <w:qFormat/>
    <w:uiPriority w:val="0"/>
    <w:pPr>
      <w:spacing w:after="0"/>
      <w:ind w:firstLine="420" w:firstLineChars="100"/>
    </w:pPr>
    <w:rPr>
      <w:rFonts w:hint="default" w:ascii="Arial" w:hAnsi="Arial" w:eastAsia="宋体" w:cs="Times New Roman"/>
      <w:kern w:val="2"/>
      <w:sz w:val="21"/>
    </w:rPr>
  </w:style>
  <w:style w:type="paragraph" w:styleId="13">
    <w:name w:val="Body Text Indent"/>
    <w:basedOn w:val="1"/>
    <w:link w:val="42"/>
    <w:qFormat/>
    <w:uiPriority w:val="0"/>
    <w:pPr>
      <w:ind w:firstLine="630"/>
    </w:pPr>
    <w:rPr>
      <w:rFonts w:ascii="Times New Roman"/>
      <w:kern w:val="2"/>
      <w:sz w:val="32"/>
    </w:rPr>
  </w:style>
  <w:style w:type="paragraph" w:styleId="14">
    <w:name w:val="Plain Text"/>
    <w:basedOn w:val="1"/>
    <w:link w:val="43"/>
    <w:qFormat/>
    <w:uiPriority w:val="0"/>
    <w:pPr>
      <w:autoSpaceDE w:val="0"/>
      <w:autoSpaceDN w:val="0"/>
      <w:adjustRightInd w:val="0"/>
    </w:pPr>
    <w:rPr>
      <w:rFonts w:hAnsi="Tms Rmn"/>
      <w:sz w:val="21"/>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4"/>
    <w:qFormat/>
    <w:uiPriority w:val="99"/>
    <w:pPr>
      <w:tabs>
        <w:tab w:val="center" w:pos="4153"/>
        <w:tab w:val="right" w:pos="8306"/>
      </w:tabs>
      <w:snapToGrid w:val="0"/>
      <w:jc w:val="left"/>
    </w:pPr>
    <w:rPr>
      <w:rFonts w:ascii="Times New Roman"/>
      <w:kern w:val="2"/>
      <w:sz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9">
    <w:name w:val="toc 1"/>
    <w:basedOn w:val="1"/>
    <w:next w:val="1"/>
    <w:qFormat/>
    <w:uiPriority w:val="0"/>
  </w:style>
  <w:style w:type="paragraph" w:styleId="20">
    <w:name w:val="Subtitle"/>
    <w:basedOn w:val="1"/>
    <w:next w:val="1"/>
    <w:qFormat/>
    <w:uiPriority w:val="0"/>
    <w:pPr>
      <w:spacing w:before="240" w:after="60" w:line="312" w:lineRule="auto"/>
      <w:jc w:val="center"/>
      <w:outlineLvl w:val="1"/>
    </w:pPr>
    <w:rPr>
      <w:rFonts w:ascii="Cambria" w:hAnsi="Cambria" w:eastAsia="宋体"/>
      <w:b/>
      <w:bCs/>
      <w:kern w:val="28"/>
      <w:szCs w:val="32"/>
    </w:rPr>
  </w:style>
  <w:style w:type="paragraph" w:styleId="21">
    <w:name w:val="Body Text Indent 3"/>
    <w:basedOn w:val="1"/>
    <w:link w:val="46"/>
    <w:qFormat/>
    <w:uiPriority w:val="0"/>
    <w:pPr>
      <w:spacing w:after="120"/>
      <w:ind w:left="420" w:leftChars="200"/>
    </w:pPr>
    <w:rPr>
      <w:rFonts w:ascii="Times New Roman"/>
      <w:kern w:val="2"/>
      <w:sz w:val="16"/>
      <w:szCs w:val="16"/>
    </w:rPr>
  </w:style>
  <w:style w:type="paragraph" w:styleId="22">
    <w:name w:val="table of figures"/>
    <w:basedOn w:val="1"/>
    <w:next w:val="1"/>
    <w:qFormat/>
    <w:uiPriority w:val="0"/>
    <w:pPr>
      <w:spacing w:line="260" w:lineRule="exact"/>
      <w:jc w:val="left"/>
    </w:pPr>
    <w:rPr>
      <w:sz w:val="21"/>
    </w:rPr>
  </w:style>
  <w:style w:type="paragraph" w:styleId="2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4">
    <w:name w:val="annotation subject"/>
    <w:basedOn w:val="10"/>
    <w:next w:val="10"/>
    <w:link w:val="47"/>
    <w:qFormat/>
    <w:uiPriority w:val="0"/>
    <w:rPr>
      <w:b/>
      <w:bCs/>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333333"/>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0"/>
    <w:rPr>
      <w:color w:val="333333"/>
      <w:u w:val="none"/>
    </w:rPr>
  </w:style>
  <w:style w:type="character" w:styleId="35">
    <w:name w:val="HTML Code"/>
    <w:qFormat/>
    <w:uiPriority w:val="0"/>
    <w:rPr>
      <w:rFonts w:ascii="Courier New" w:hAnsi="Courier New"/>
      <w:sz w:val="20"/>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Sample"/>
    <w:basedOn w:val="27"/>
    <w:qFormat/>
    <w:uiPriority w:val="0"/>
    <w:rPr>
      <w:rFonts w:ascii="Courier New" w:hAnsi="Courier New"/>
    </w:rPr>
  </w:style>
  <w:style w:type="character" w:customStyle="1" w:styleId="39">
    <w:name w:val="标题 1 Char"/>
    <w:link w:val="3"/>
    <w:qFormat/>
    <w:uiPriority w:val="0"/>
    <w:rPr>
      <w:b/>
      <w:bCs/>
      <w:kern w:val="44"/>
      <w:sz w:val="44"/>
      <w:szCs w:val="44"/>
    </w:rPr>
  </w:style>
  <w:style w:type="character" w:customStyle="1" w:styleId="40">
    <w:name w:val="正文缩进 Char"/>
    <w:link w:val="9"/>
    <w:qFormat/>
    <w:uiPriority w:val="0"/>
    <w:rPr>
      <w:rFonts w:eastAsia="宋体"/>
      <w:kern w:val="2"/>
      <w:sz w:val="21"/>
      <w:szCs w:val="24"/>
      <w:lang w:val="en-US" w:eastAsia="zh-CN" w:bidi="ar-SA"/>
    </w:rPr>
  </w:style>
  <w:style w:type="character" w:customStyle="1" w:styleId="41">
    <w:name w:val="批注文字 Char"/>
    <w:link w:val="10"/>
    <w:qFormat/>
    <w:uiPriority w:val="0"/>
    <w:rPr>
      <w:kern w:val="2"/>
      <w:sz w:val="18"/>
      <w:lang w:bidi="ar-SA"/>
    </w:rPr>
  </w:style>
  <w:style w:type="character" w:customStyle="1" w:styleId="42">
    <w:name w:val="正文文本缩进 Char"/>
    <w:link w:val="13"/>
    <w:qFormat/>
    <w:uiPriority w:val="0"/>
    <w:rPr>
      <w:rFonts w:eastAsia="宋体"/>
      <w:kern w:val="2"/>
      <w:sz w:val="32"/>
      <w:lang w:val="en-US" w:eastAsia="zh-CN" w:bidi="ar-SA"/>
    </w:rPr>
  </w:style>
  <w:style w:type="character" w:customStyle="1" w:styleId="43">
    <w:name w:val="纯文本 Char"/>
    <w:link w:val="14"/>
    <w:unhideWhenUsed/>
    <w:qFormat/>
    <w:uiPriority w:val="0"/>
    <w:rPr>
      <w:rFonts w:ascii="宋体" w:hAnsi="Tms Rmn" w:eastAsia="宋体"/>
      <w:sz w:val="21"/>
      <w:lang w:val="en-US" w:eastAsia="zh-CN" w:bidi="ar-SA"/>
    </w:rPr>
  </w:style>
  <w:style w:type="character" w:customStyle="1" w:styleId="44">
    <w:name w:val="页脚 Char"/>
    <w:link w:val="17"/>
    <w:qFormat/>
    <w:uiPriority w:val="99"/>
    <w:rPr>
      <w:rFonts w:eastAsia="宋体"/>
      <w:kern w:val="2"/>
      <w:sz w:val="18"/>
      <w:lang w:val="en-US" w:eastAsia="zh-CN" w:bidi="ar-SA"/>
    </w:rPr>
  </w:style>
  <w:style w:type="character" w:customStyle="1" w:styleId="45">
    <w:name w:val="页眉 Char"/>
    <w:link w:val="18"/>
    <w:qFormat/>
    <w:uiPriority w:val="0"/>
    <w:rPr>
      <w:rFonts w:eastAsia="宋体"/>
      <w:kern w:val="2"/>
      <w:sz w:val="18"/>
      <w:lang w:val="en-US" w:eastAsia="zh-CN" w:bidi="ar-SA"/>
    </w:rPr>
  </w:style>
  <w:style w:type="character" w:customStyle="1" w:styleId="46">
    <w:name w:val="正文文本缩进 3 Char"/>
    <w:link w:val="21"/>
    <w:qFormat/>
    <w:uiPriority w:val="0"/>
    <w:rPr>
      <w:kern w:val="2"/>
      <w:sz w:val="16"/>
      <w:szCs w:val="16"/>
    </w:rPr>
  </w:style>
  <w:style w:type="character" w:customStyle="1" w:styleId="47">
    <w:name w:val="批注主题 Char"/>
    <w:link w:val="24"/>
    <w:qFormat/>
    <w:uiPriority w:val="0"/>
    <w:rPr>
      <w:b/>
      <w:bCs/>
      <w:kern w:val="2"/>
      <w:sz w:val="21"/>
      <w:szCs w:val="24"/>
      <w:lang w:bidi="ar-SA"/>
    </w:rPr>
  </w:style>
  <w:style w:type="character" w:customStyle="1" w:styleId="48">
    <w:name w:val="img"/>
    <w:qFormat/>
    <w:uiPriority w:val="0"/>
  </w:style>
  <w:style w:type="character" w:customStyle="1" w:styleId="49">
    <w:name w:val="label"/>
    <w:qFormat/>
    <w:uiPriority w:val="0"/>
    <w:rPr>
      <w:color w:val="555555"/>
    </w:rPr>
  </w:style>
  <w:style w:type="character" w:customStyle="1" w:styleId="50">
    <w:name w:val="img1"/>
    <w:qFormat/>
    <w:uiPriority w:val="0"/>
  </w:style>
  <w:style w:type="character" w:customStyle="1" w:styleId="51">
    <w:name w:val="（符号）邀请函中一、"/>
    <w:qFormat/>
    <w:uiPriority w:val="0"/>
    <w:rPr>
      <w:rFonts w:ascii="黑体" w:hAnsi="黑体" w:eastAsia="黑体"/>
      <w:b/>
      <w:bCs/>
      <w:sz w:val="24"/>
    </w:rPr>
  </w:style>
  <w:style w:type="character" w:customStyle="1" w:styleId="52">
    <w:name w:val=" Char Char9"/>
    <w:qFormat/>
    <w:uiPriority w:val="0"/>
    <w:rPr>
      <w:kern w:val="2"/>
      <w:sz w:val="21"/>
    </w:rPr>
  </w:style>
  <w:style w:type="character" w:customStyle="1" w:styleId="53">
    <w:name w:val="GW-正文 Char"/>
    <w:link w:val="54"/>
    <w:qFormat/>
    <w:uiPriority w:val="0"/>
    <w:rPr>
      <w:rFonts w:eastAsia="仿宋_GB2312"/>
      <w:kern w:val="2"/>
      <w:sz w:val="24"/>
      <w:szCs w:val="24"/>
      <w:lang w:val="en-US" w:eastAsia="zh-CN" w:bidi="ar-SA"/>
    </w:rPr>
  </w:style>
  <w:style w:type="paragraph" w:customStyle="1" w:styleId="54">
    <w:name w:val="GW-正文"/>
    <w:basedOn w:val="1"/>
    <w:link w:val="53"/>
    <w:qFormat/>
    <w:uiPriority w:val="0"/>
    <w:pPr>
      <w:spacing w:line="360" w:lineRule="auto"/>
      <w:ind w:firstLine="200" w:firstLineChars="200"/>
    </w:pPr>
    <w:rPr>
      <w:rFonts w:ascii="Times New Roman" w:eastAsia="仿宋_GB2312"/>
      <w:kern w:val="2"/>
      <w:sz w:val="24"/>
      <w:szCs w:val="24"/>
    </w:rPr>
  </w:style>
  <w:style w:type="character" w:customStyle="1" w:styleId="55">
    <w:name w:val="modifier"/>
    <w:qFormat/>
    <w:uiPriority w:val="0"/>
    <w:rPr>
      <w:color w:val="FF0000"/>
    </w:rPr>
  </w:style>
  <w:style w:type="character" w:customStyle="1" w:styleId="56">
    <w:name w:val="列出段落 Char"/>
    <w:link w:val="57"/>
    <w:qFormat/>
    <w:uiPriority w:val="0"/>
    <w:rPr>
      <w:rFonts w:eastAsia="宋体"/>
      <w:kern w:val="2"/>
      <w:sz w:val="21"/>
      <w:szCs w:val="24"/>
      <w:lang w:val="en-US" w:eastAsia="zh-CN" w:bidi="ar-SA"/>
    </w:rPr>
  </w:style>
  <w:style w:type="paragraph" w:styleId="57">
    <w:name w:val="List Paragraph"/>
    <w:basedOn w:val="1"/>
    <w:link w:val="56"/>
    <w:qFormat/>
    <w:uiPriority w:val="0"/>
    <w:pPr>
      <w:ind w:firstLine="420" w:firstLineChars="200"/>
    </w:pPr>
    <w:rPr>
      <w:rFonts w:ascii="Times New Roman"/>
      <w:kern w:val="2"/>
      <w:sz w:val="21"/>
      <w:szCs w:val="24"/>
    </w:rPr>
  </w:style>
  <w:style w:type="character" w:customStyle="1" w:styleId="58">
    <w:name w:val="批注文字 Char1"/>
    <w:qFormat/>
    <w:uiPriority w:val="0"/>
    <w:rPr>
      <w:kern w:val="2"/>
      <w:sz w:val="18"/>
      <w:lang w:bidi="ar-SA"/>
    </w:rPr>
  </w:style>
  <w:style w:type="character" w:customStyle="1" w:styleId="59">
    <w:name w:val="NormalCharacter"/>
    <w:qFormat/>
    <w:uiPriority w:val="0"/>
  </w:style>
  <w:style w:type="paragraph" w:customStyle="1" w:styleId="60">
    <w:name w:val="Normal_0"/>
    <w:qFormat/>
    <w:uiPriority w:val="0"/>
    <w:rPr>
      <w:rFonts w:ascii="Times New Roman" w:hAnsi="Times New Roman" w:eastAsia="Times New Roman" w:cs="Times New Roman"/>
      <w:sz w:val="24"/>
      <w:szCs w:val="24"/>
      <w:lang w:val="en-US" w:eastAsia="zh-CN" w:bidi="ar-SA"/>
    </w:rPr>
  </w:style>
  <w:style w:type="paragraph" w:customStyle="1" w:styleId="61">
    <w:name w:val="表格内容"/>
    <w:basedOn w:val="1"/>
    <w:qFormat/>
    <w:uiPriority w:val="2"/>
    <w:pPr>
      <w:jc w:val="center"/>
    </w:p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样式 正文（首行缩进两字） + 宋体 小四"/>
    <w:basedOn w:val="9"/>
    <w:qFormat/>
    <w:uiPriority w:val="0"/>
    <w:pPr>
      <w:spacing w:line="100" w:lineRule="atLeast"/>
      <w:ind w:firstLine="546" w:firstLineChars="192"/>
      <w:jc w:val="left"/>
    </w:pPr>
    <w:rPr>
      <w:rFonts w:ascii="仿宋_GB2312" w:hAnsi="宋体" w:eastAsia="仿宋_GB2312"/>
      <w:sz w:val="28"/>
    </w:rPr>
  </w:style>
  <w:style w:type="paragraph" w:customStyle="1" w:styleId="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5">
    <w:name w:val="Body text|1"/>
    <w:basedOn w:val="1"/>
    <w:qFormat/>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paragraph" w:customStyle="1" w:styleId="66">
    <w:name w:val="列出段落1"/>
    <w:basedOn w:val="1"/>
    <w:qFormat/>
    <w:uiPriority w:val="0"/>
    <w:pPr>
      <w:ind w:firstLine="420" w:firstLineChars="200"/>
    </w:pPr>
    <w:rPr>
      <w:rFonts w:hAnsi="Calibri" w:eastAsia="宋体" w:cs="Times New Roman"/>
    </w:rPr>
  </w:style>
  <w:style w:type="paragraph" w:customStyle="1" w:styleId="67">
    <w:name w:val="Char Char Char2"/>
    <w:basedOn w:val="1"/>
    <w:qFormat/>
    <w:uiPriority w:val="0"/>
    <w:rPr>
      <w:rFonts w:ascii="Times New Roman"/>
      <w:kern w:val="2"/>
      <w:sz w:val="21"/>
      <w:szCs w:val="24"/>
    </w:rPr>
  </w:style>
  <w:style w:type="paragraph" w:customStyle="1" w:styleId="68">
    <w:name w:val="Char Char Char"/>
    <w:basedOn w:val="1"/>
    <w:qFormat/>
    <w:uiPriority w:val="0"/>
    <w:rPr>
      <w:rFonts w:ascii="Times New Roman"/>
      <w:kern w:val="2"/>
      <w:sz w:val="21"/>
      <w:szCs w:val="24"/>
    </w:rPr>
  </w:style>
  <w:style w:type="paragraph" w:customStyle="1" w:styleId="69">
    <w:name w:val="Char Char Char1"/>
    <w:basedOn w:val="1"/>
    <w:qFormat/>
    <w:uiPriority w:val="0"/>
    <w:rPr>
      <w:rFonts w:ascii="Times New Roman"/>
      <w:szCs w:val="24"/>
    </w:rPr>
  </w:style>
  <w:style w:type="paragraph" w:customStyle="1" w:styleId="70">
    <w:name w:val="样式 首行缩进:  2 字符"/>
    <w:basedOn w:val="1"/>
    <w:qFormat/>
    <w:uiPriority w:val="0"/>
    <w:pPr>
      <w:spacing w:line="400" w:lineRule="exact"/>
      <w:ind w:firstLine="200" w:firstLineChars="200"/>
    </w:pPr>
    <w:rPr>
      <w:rFonts w:cs="宋体"/>
      <w:sz w:val="24"/>
    </w:rPr>
  </w:style>
  <w:style w:type="paragraph" w:customStyle="1" w:styleId="71">
    <w:name w:val="表格"/>
    <w:basedOn w:val="1"/>
    <w:qFormat/>
    <w:uiPriority w:val="0"/>
    <w:pPr>
      <w:spacing w:line="400" w:lineRule="exact"/>
    </w:pPr>
    <w:rPr>
      <w:sz w:val="24"/>
    </w:rPr>
  </w:style>
  <w:style w:type="paragraph" w:customStyle="1" w:styleId="72">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73">
    <w:name w:val="Char Char Char Char Char Char Char Char Char Char Char Char Char Char1 Char Char Char Char"/>
    <w:basedOn w:val="1"/>
    <w:qFormat/>
    <w:uiPriority w:val="0"/>
    <w:rPr>
      <w:szCs w:val="21"/>
    </w:rPr>
  </w:style>
  <w:style w:type="paragraph" w:customStyle="1" w:styleId="74">
    <w:name w:val="正文首行缩进两字符"/>
    <w:basedOn w:val="1"/>
    <w:qFormat/>
    <w:uiPriority w:val="0"/>
    <w:pPr>
      <w:spacing w:line="360" w:lineRule="auto"/>
      <w:ind w:firstLine="200" w:firstLineChars="200"/>
    </w:pPr>
  </w:style>
  <w:style w:type="paragraph" w:customStyle="1" w:styleId="7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6">
    <w:name w:val="_Style 2"/>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69</Pages>
  <Words>31357</Words>
  <Characters>32528</Characters>
  <Lines>263</Lines>
  <Paragraphs>74</Paragraphs>
  <TotalTime>1</TotalTime>
  <ScaleCrop>false</ScaleCrop>
  <LinksUpToDate>false</LinksUpToDate>
  <CharactersWithSpaces>34699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2021-08-18T03:32:00Z</dcterms:created>
  <dc:creator>吴正新</dc:creator>
  <cp:lastModifiedBy>阿凡</cp:lastModifiedBy>
  <cp:lastPrinted>2021-09-02T01:42:00Z</cp:lastPrinted>
  <dcterms:modified xsi:type="dcterms:W3CDTF">2021-11-25T08:15:47Z</dcterms:modified>
  <dc:title>招标编号：xx政采招[xxxx] xxx号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AD507B7237E54D60B1D98C96DE6E175B</vt:lpwstr>
  </property>
</Properties>
</file>