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right"/>
        <w:rPr>
          <w:rFonts w:hint="eastAsia" w:ascii="宋体" w:hAnsi="宋体" w:eastAsia="宋体" w:cs="宋体"/>
          <w:strike/>
          <w:dstrike w:val="0"/>
          <w:color w:val="auto"/>
          <w:sz w:val="28"/>
          <w:szCs w:val="28"/>
          <w:highlight w:val="none"/>
          <w:u w:val="single"/>
          <w:lang w:eastAsia="zh-CN"/>
        </w:rPr>
      </w:pPr>
      <w:r>
        <w:rPr>
          <w:rFonts w:hint="eastAsia" w:ascii="宋体" w:hAnsi="宋体" w:eastAsia="宋体" w:cs="宋体"/>
          <w:b/>
          <w:color w:val="auto"/>
          <w:sz w:val="28"/>
          <w:szCs w:val="28"/>
          <w:highlight w:val="none"/>
        </w:rPr>
        <w:t>项目编号：</w:t>
      </w:r>
      <w:r>
        <w:rPr>
          <w:rFonts w:hint="eastAsia" w:cs="宋体"/>
          <w:b/>
          <w:bCs/>
          <w:strike w:val="0"/>
          <w:dstrike w:val="0"/>
          <w:color w:val="auto"/>
          <w:sz w:val="28"/>
          <w:szCs w:val="28"/>
          <w:highlight w:val="none"/>
          <w:u w:val="single"/>
          <w:lang w:eastAsia="zh-CN"/>
        </w:rPr>
        <w:t>510106202100224</w:t>
      </w:r>
    </w:p>
    <w:p>
      <w:pPr>
        <w:pStyle w:val="50"/>
        <w:jc w:val="both"/>
        <w:rPr>
          <w:rFonts w:hint="eastAsia" w:ascii="宋体" w:hAnsi="宋体" w:eastAsia="宋体" w:cs="宋体"/>
          <w:b/>
          <w:color w:val="auto"/>
          <w:sz w:val="48"/>
          <w:szCs w:val="48"/>
          <w:highlight w:val="none"/>
        </w:rPr>
      </w:pPr>
    </w:p>
    <w:p>
      <w:pPr>
        <w:pStyle w:val="50"/>
        <w:jc w:val="center"/>
        <w:rPr>
          <w:rFonts w:hint="eastAsia" w:ascii="宋体" w:hAnsi="宋体" w:eastAsia="宋体" w:cs="宋体"/>
          <w:b/>
          <w:color w:val="auto"/>
          <w:sz w:val="52"/>
          <w:szCs w:val="52"/>
          <w:highlight w:val="none"/>
          <w:lang w:eastAsia="zh-CN"/>
        </w:rPr>
      </w:pPr>
    </w:p>
    <w:p>
      <w:pPr>
        <w:bidi w:val="0"/>
        <w:jc w:val="center"/>
        <w:rPr>
          <w:rFonts w:hint="eastAsia"/>
          <w:b/>
          <w:bCs/>
          <w:color w:val="auto"/>
          <w:sz w:val="36"/>
          <w:szCs w:val="36"/>
          <w:highlight w:val="none"/>
          <w:lang w:eastAsia="zh-CN"/>
        </w:rPr>
      </w:pPr>
      <w:r>
        <w:rPr>
          <w:rFonts w:hint="eastAsia"/>
          <w:b/>
          <w:bCs/>
          <w:color w:val="auto"/>
          <w:sz w:val="36"/>
          <w:szCs w:val="36"/>
          <w:highlight w:val="none"/>
          <w:lang w:eastAsia="zh-CN"/>
        </w:rPr>
        <w:t>成都市金牛区医疗机构管理服务中心</w:t>
      </w:r>
    </w:p>
    <w:p>
      <w:pPr>
        <w:bidi w:val="0"/>
        <w:jc w:val="center"/>
        <w:rPr>
          <w:rFonts w:hint="eastAsia"/>
          <w:b/>
          <w:bCs/>
          <w:color w:val="auto"/>
          <w:sz w:val="36"/>
          <w:szCs w:val="36"/>
          <w:highlight w:val="none"/>
        </w:rPr>
      </w:pPr>
      <w:r>
        <w:rPr>
          <w:rFonts w:hint="eastAsia"/>
          <w:b/>
          <w:bCs/>
          <w:color w:val="auto"/>
          <w:sz w:val="36"/>
          <w:szCs w:val="36"/>
          <w:highlight w:val="none"/>
          <w:lang w:eastAsia="zh-CN"/>
        </w:rPr>
        <w:t>成都市金牛区中医医院工程基坑变形观测及主体结构沉降观测服务（第二次）</w:t>
      </w: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rPr>
          <w:rFonts w:hint="eastAsia" w:ascii="宋体" w:hAnsi="宋体" w:eastAsia="宋体" w:cs="宋体"/>
          <w:color w:val="auto"/>
          <w:highlight w:val="none"/>
        </w:rPr>
      </w:pPr>
    </w:p>
    <w:p>
      <w:pPr>
        <w:pStyle w:val="5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p>
    <w:p>
      <w:pPr>
        <w:adjustRightInd w:val="0"/>
        <w:snapToGrid w:val="0"/>
        <w:spacing w:line="480" w:lineRule="auto"/>
        <w:ind w:firstLine="0" w:firstLineChars="0"/>
        <w:jc w:val="both"/>
        <w:rPr>
          <w:rFonts w:hint="eastAsia" w:ascii="宋体" w:hAnsi="宋体" w:eastAsia="宋体" w:cs="宋体"/>
          <w:b/>
          <w:color w:val="auto"/>
          <w:sz w:val="28"/>
          <w:szCs w:val="28"/>
          <w:highlight w:val="none"/>
        </w:rPr>
      </w:pPr>
    </w:p>
    <w:p>
      <w:pPr>
        <w:adjustRightInd w:val="0"/>
        <w:snapToGrid w:val="0"/>
        <w:spacing w:line="480" w:lineRule="auto"/>
        <w:ind w:firstLine="0" w:firstLineChars="0"/>
        <w:jc w:val="both"/>
        <w:rPr>
          <w:rFonts w:hint="eastAsia" w:ascii="宋体" w:hAnsi="宋体" w:eastAsia="宋体" w:cs="宋体"/>
          <w:b/>
          <w:color w:val="auto"/>
          <w:sz w:val="28"/>
          <w:szCs w:val="28"/>
          <w:highlight w:val="none"/>
        </w:rPr>
      </w:pPr>
    </w:p>
    <w:p>
      <w:pPr>
        <w:adjustRightInd w:val="0"/>
        <w:snapToGrid w:val="0"/>
        <w:spacing w:line="480" w:lineRule="auto"/>
        <w:ind w:firstLine="0" w:firstLineChars="0"/>
        <w:jc w:val="both"/>
        <w:rPr>
          <w:rFonts w:hint="eastAsia" w:ascii="宋体" w:hAnsi="宋体" w:eastAsia="宋体" w:cs="宋体"/>
          <w:b/>
          <w:color w:val="auto"/>
          <w:sz w:val="28"/>
          <w:szCs w:val="28"/>
          <w:highlight w:val="none"/>
        </w:rPr>
      </w:pPr>
    </w:p>
    <w:p>
      <w:pPr>
        <w:adjustRightInd w:val="0"/>
        <w:snapToGrid w:val="0"/>
        <w:spacing w:line="48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采购人：</w:t>
      </w:r>
      <w:r>
        <w:rPr>
          <w:rFonts w:hint="eastAsia" w:cs="宋体"/>
          <w:b/>
          <w:color w:val="auto"/>
          <w:sz w:val="28"/>
          <w:szCs w:val="28"/>
          <w:highlight w:val="none"/>
          <w:u w:val="single"/>
          <w:lang w:eastAsia="zh-CN"/>
        </w:rPr>
        <w:t>成都市金牛区医疗机构管理服务中心</w:t>
      </w:r>
      <w:r>
        <w:rPr>
          <w:rFonts w:hint="eastAsia" w:ascii="宋体" w:hAnsi="宋体" w:eastAsia="宋体" w:cs="宋体"/>
          <w:b/>
          <w:color w:val="auto"/>
          <w:sz w:val="28"/>
          <w:szCs w:val="28"/>
          <w:highlight w:val="none"/>
        </w:rPr>
        <w:t>（单位盖章）</w:t>
      </w:r>
    </w:p>
    <w:p>
      <w:pPr>
        <w:adjustRightInd w:val="0"/>
        <w:snapToGrid w:val="0"/>
        <w:spacing w:line="48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u w:val="single"/>
        </w:rPr>
        <w:t>四川天力招标有限责任公司</w:t>
      </w:r>
      <w:r>
        <w:rPr>
          <w:rFonts w:hint="eastAsia" w:ascii="宋体" w:hAnsi="宋体" w:eastAsia="宋体" w:cs="宋体"/>
          <w:b/>
          <w:color w:val="auto"/>
          <w:sz w:val="28"/>
          <w:szCs w:val="28"/>
          <w:highlight w:val="none"/>
        </w:rPr>
        <w:t>（单位盖章）</w:t>
      </w:r>
    </w:p>
    <w:p>
      <w:pPr>
        <w:adjustRightInd w:val="0"/>
        <w:snapToGrid w:val="0"/>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共同编制</w:t>
      </w:r>
    </w:p>
    <w:p>
      <w:pPr>
        <w:adjustRightInd w:val="0"/>
        <w:snapToGrid w:val="0"/>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中国·四川（成都）</w:t>
      </w:r>
    </w:p>
    <w:p>
      <w:pPr>
        <w:ind w:firstLine="0" w:firstLineChars="0"/>
        <w:jc w:val="center"/>
        <w:rPr>
          <w:rFonts w:hint="eastAsia" w:ascii="宋体" w:hAnsi="宋体" w:eastAsia="宋体" w:cs="宋体"/>
          <w:color w:val="auto"/>
          <w:highlight w:val="none"/>
        </w:rPr>
      </w:pPr>
      <w:bookmarkStart w:id="0" w:name="_Hlt101843627"/>
      <w:bookmarkEnd w:id="0"/>
      <w:bookmarkStart w:id="1" w:name="_Hlt101233737"/>
      <w:bookmarkEnd w:id="1"/>
      <w:r>
        <w:rPr>
          <w:rFonts w:hint="eastAsia" w:ascii="宋体" w:hAnsi="宋体" w:eastAsia="宋体" w:cs="宋体"/>
          <w:b/>
          <w:color w:val="auto"/>
          <w:sz w:val="28"/>
          <w:szCs w:val="28"/>
          <w:highlight w:val="none"/>
        </w:rPr>
        <w:t>2021年</w:t>
      </w:r>
      <w:r>
        <w:rPr>
          <w:rFonts w:hint="eastAsia" w:cs="宋体"/>
          <w:b/>
          <w:color w:val="auto"/>
          <w:sz w:val="28"/>
          <w:szCs w:val="28"/>
          <w:highlight w:val="none"/>
          <w:lang w:val="en-US" w:eastAsia="zh-CN"/>
        </w:rPr>
        <w:t>11</w:t>
      </w:r>
      <w:r>
        <w:rPr>
          <w:rFonts w:hint="eastAsia" w:ascii="宋体" w:hAnsi="宋体" w:eastAsia="宋体" w:cs="宋体"/>
          <w:b/>
          <w:color w:val="auto"/>
          <w:sz w:val="28"/>
          <w:szCs w:val="28"/>
          <w:highlight w:val="none"/>
        </w:rPr>
        <w:t>月</w:t>
      </w:r>
    </w:p>
    <w:p>
      <w:pPr>
        <w:adjustRightInd w:val="0"/>
        <w:snapToGrid w:val="0"/>
        <w:spacing w:line="480" w:lineRule="auto"/>
        <w:ind w:firstLine="0" w:firstLineChars="0"/>
        <w:jc w:val="center"/>
        <w:rPr>
          <w:rFonts w:hint="eastAsia" w:ascii="宋体" w:hAnsi="宋体" w:eastAsia="宋体" w:cs="宋体"/>
          <w:b/>
          <w:bCs/>
          <w:color w:val="auto"/>
          <w:sz w:val="30"/>
          <w:szCs w:val="30"/>
          <w:highlight w:val="none"/>
        </w:rPr>
        <w:sectPr>
          <w:headerReference r:id="rId5" w:type="default"/>
          <w:pgSz w:w="11850" w:h="16783"/>
          <w:pgMar w:top="1440" w:right="1800" w:bottom="1440" w:left="1800" w:header="851" w:footer="992" w:gutter="0"/>
          <w:pgNumType w:start="1"/>
          <w:cols w:space="720" w:num="1"/>
          <w:titlePg/>
          <w:docGrid w:type="lines" w:linePitch="312" w:charSpace="0"/>
        </w:sectPr>
      </w:pPr>
    </w:p>
    <w:sdt>
      <w:sdtPr>
        <w:rPr>
          <w:rFonts w:hint="eastAsia" w:ascii="宋体" w:hAnsi="宋体" w:eastAsia="宋体" w:cs="宋体"/>
          <w:b/>
          <w:bCs/>
          <w:color w:val="auto"/>
          <w:sz w:val="30"/>
          <w:szCs w:val="30"/>
          <w:highlight w:val="none"/>
        </w:rPr>
        <w:id w:val="147477019"/>
        <w15:color w:val="DBDBDB"/>
        <w:docPartObj>
          <w:docPartGallery w:val="Table of Contents"/>
          <w:docPartUnique/>
        </w:docPartObj>
      </w:sdtPr>
      <w:sdtEndPr>
        <w:rPr>
          <w:rFonts w:hint="eastAsia" w:ascii="宋体" w:hAnsi="宋体" w:eastAsia="宋体" w:cs="宋体"/>
          <w:b/>
          <w:bCs/>
          <w:color w:val="auto"/>
          <w:sz w:val="24"/>
          <w:szCs w:val="24"/>
          <w:highlight w:val="none"/>
        </w:rPr>
      </w:sdtEndPr>
      <w:sdtContent>
        <w:p>
          <w:pPr>
            <w:adjustRightInd w:val="0"/>
            <w:snapToGrid w:val="0"/>
            <w:spacing w:line="480" w:lineRule="auto"/>
            <w:ind w:firstLine="0" w:firstLineChars="0"/>
            <w:jc w:val="center"/>
            <w:rPr>
              <w:rFonts w:hint="eastAsia" w:ascii="宋体" w:hAnsi="宋体" w:eastAsia="宋体" w:cs="宋体"/>
              <w:b/>
              <w:bCs/>
              <w:color w:val="auto"/>
              <w:sz w:val="30"/>
              <w:szCs w:val="30"/>
              <w:highlight w:val="none"/>
            </w:rPr>
          </w:pPr>
          <w:bookmarkStart w:id="2" w:name="_Toc181610856"/>
          <w:bookmarkStart w:id="3" w:name="_Toc13321"/>
          <w:bookmarkStart w:id="4" w:name="_Toc32544"/>
          <w:bookmarkStart w:id="5" w:name="_Toc204575871"/>
          <w:bookmarkStart w:id="6" w:name="_Toc181591102"/>
          <w:bookmarkStart w:id="7" w:name="_Toc101247312"/>
          <w:bookmarkStart w:id="8" w:name="_Toc148505181"/>
          <w:bookmarkStart w:id="9" w:name="_Toc101234248"/>
          <w:bookmarkStart w:id="10" w:name="_Toc101328520"/>
          <w:r>
            <w:rPr>
              <w:rFonts w:hint="eastAsia" w:ascii="宋体" w:hAnsi="宋体" w:eastAsia="宋体" w:cs="宋体"/>
              <w:b/>
              <w:bCs/>
              <w:color w:val="auto"/>
              <w:sz w:val="30"/>
              <w:szCs w:val="30"/>
              <w:highlight w:val="none"/>
            </w:rPr>
            <w:t>目 录</w:t>
          </w:r>
        </w:p>
        <w:p>
          <w:pPr>
            <w:pStyle w:val="22"/>
            <w:keepNext w:val="0"/>
            <w:keepLines w:val="0"/>
            <w:pageBreakBefore w:val="0"/>
            <w:widowControl w:val="0"/>
            <w:tabs>
              <w:tab w:val="right" w:leader="dot" w:pos="8250"/>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_Toc16449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250"/>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_Toc16066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磋商须知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_Toc16066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250"/>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供应商资格条件要求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250"/>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供应商资格证明材料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250"/>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采购项目技术服务、商务及其他要求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250"/>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_Toc21211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磋商内容、磋商过程中可实质性变动的内容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_Toc21211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250"/>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_Toc13324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_Toc13324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250"/>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第八章 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keepNext w:val="0"/>
            <w:keepLines w:val="0"/>
            <w:pageBreakBefore w:val="0"/>
            <w:widowControl w:val="0"/>
            <w:tabs>
              <w:tab w:val="right" w:leader="dot" w:pos="8250"/>
            </w:tabs>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_Toc5301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第九章 政府采购合同（草案）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_Toc5301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left" w:pos="620"/>
              <w:tab w:val="right" w:leader="dot" w:pos="8364"/>
            </w:tabs>
            <w:adjustRightInd w:val="0"/>
            <w:snapToGrid w:val="0"/>
            <w:spacing w:line="48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pPr>
        <w:pStyle w:val="4"/>
        <w:tabs>
          <w:tab w:val="left" w:pos="0"/>
        </w:tabs>
        <w:autoSpaceDE w:val="0"/>
        <w:autoSpaceDN w:val="0"/>
        <w:adjustRightInd w:val="0"/>
        <w:spacing w:line="360" w:lineRule="auto"/>
        <w:rPr>
          <w:rFonts w:hint="eastAsia" w:ascii="宋体" w:hAnsi="宋体" w:eastAsia="宋体" w:cs="宋体"/>
          <w:color w:val="auto"/>
          <w:highlight w:val="none"/>
        </w:rPr>
      </w:pPr>
      <w:bookmarkStart w:id="11" w:name="_Toc30440"/>
      <w:bookmarkStart w:id="12" w:name="_Toc4107"/>
      <w:r>
        <w:rPr>
          <w:rFonts w:hint="eastAsia" w:ascii="宋体" w:hAnsi="宋体" w:eastAsia="宋体" w:cs="宋体"/>
          <w:color w:val="auto"/>
          <w:sz w:val="28"/>
          <w:szCs w:val="28"/>
          <w:highlight w:val="none"/>
        </w:rPr>
        <w:br w:type="page"/>
      </w:r>
      <w:bookmarkStart w:id="13" w:name="_Toc14946"/>
      <w:bookmarkStart w:id="14" w:name="_Toc31957"/>
      <w:bookmarkStart w:id="15" w:name="_Toc18205"/>
      <w:bookmarkStart w:id="16" w:name="_Toc2311"/>
      <w:bookmarkStart w:id="17" w:name="_Toc9237"/>
      <w:bookmarkStart w:id="18" w:name="_Toc16449"/>
      <w:r>
        <w:rPr>
          <w:rStyle w:val="45"/>
          <w:rFonts w:hint="eastAsia" w:ascii="宋体" w:hAnsi="宋体" w:eastAsia="宋体" w:cs="宋体"/>
          <w:b/>
          <w:bCs/>
          <w:color w:val="auto"/>
          <w:highlight w:val="none"/>
        </w:rPr>
        <w:t xml:space="preserve">第一章 </w:t>
      </w:r>
      <w:bookmarkEnd w:id="2"/>
      <w:bookmarkEnd w:id="3"/>
      <w:bookmarkEnd w:id="4"/>
      <w:bookmarkEnd w:id="5"/>
      <w:bookmarkEnd w:id="6"/>
      <w:bookmarkEnd w:id="11"/>
      <w:bookmarkEnd w:id="12"/>
      <w:bookmarkEnd w:id="13"/>
      <w:bookmarkEnd w:id="14"/>
      <w:bookmarkEnd w:id="15"/>
      <w:bookmarkEnd w:id="16"/>
      <w:bookmarkEnd w:id="17"/>
      <w:bookmarkStart w:id="19" w:name="_Toc35393797"/>
      <w:bookmarkStart w:id="20" w:name="_Toc28359011"/>
      <w:r>
        <w:rPr>
          <w:rStyle w:val="45"/>
          <w:rFonts w:hint="eastAsia" w:ascii="宋体" w:hAnsi="宋体" w:eastAsia="宋体" w:cs="宋体"/>
          <w:b/>
          <w:bCs/>
          <w:color w:val="auto"/>
          <w:highlight w:val="none"/>
        </w:rPr>
        <w:t>竞争性磋商公告</w:t>
      </w:r>
      <w:bookmarkEnd w:id="18"/>
      <w:bookmarkEnd w:id="19"/>
      <w:bookmarkEnd w:id="20"/>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4" w:type="dxa"/>
          </w:tcPr>
          <w:p>
            <w:pPr>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项目概况</w:t>
            </w:r>
          </w:p>
          <w:p>
            <w:pPr>
              <w:ind w:firstLine="482"/>
              <w:jc w:val="both"/>
              <w:rPr>
                <w:rFonts w:hint="eastAsia" w:ascii="宋体" w:hAnsi="宋体" w:eastAsia="宋体" w:cs="宋体"/>
                <w:color w:val="auto"/>
                <w:highlight w:val="none"/>
              </w:rPr>
            </w:pPr>
            <w:r>
              <w:rPr>
                <w:rFonts w:hint="eastAsia" w:cs="宋体"/>
                <w:b/>
                <w:bCs/>
                <w:color w:val="auto"/>
                <w:highlight w:val="none"/>
                <w:u w:val="single"/>
                <w:lang w:eastAsia="zh-CN"/>
              </w:rPr>
              <w:t>成都市金牛区医疗机构管理服务中心成都市金牛区中医医院工程基坑变形观测及主体结构沉降观测服务（第二次）</w:t>
            </w:r>
            <w:r>
              <w:rPr>
                <w:rFonts w:hint="eastAsia" w:ascii="宋体" w:hAnsi="宋体" w:eastAsia="宋体" w:cs="宋体"/>
                <w:color w:val="auto"/>
                <w:highlight w:val="none"/>
              </w:rPr>
              <w:t>采购项目的潜在供应商应在</w:t>
            </w:r>
            <w:r>
              <w:rPr>
                <w:rFonts w:hint="eastAsia" w:ascii="宋体" w:hAnsi="宋体" w:eastAsia="宋体" w:cs="宋体"/>
                <w:b/>
                <w:bCs/>
                <w:color w:val="auto"/>
                <w:highlight w:val="none"/>
                <w:u w:val="single"/>
                <w:lang w:eastAsia="zh-CN"/>
              </w:rPr>
              <w:t>“政府采购云平台”（网址：https://www.zcygov.cn）</w:t>
            </w:r>
            <w:r>
              <w:rPr>
                <w:rFonts w:hint="eastAsia" w:ascii="宋体" w:hAnsi="宋体" w:eastAsia="宋体" w:cs="宋体"/>
                <w:color w:val="auto"/>
                <w:highlight w:val="none"/>
              </w:rPr>
              <w:t>获取采购文件，并于</w:t>
            </w:r>
            <w:r>
              <w:rPr>
                <w:rFonts w:hint="eastAsia" w:ascii="宋体" w:hAnsi="宋体" w:eastAsia="宋体" w:cs="宋体"/>
                <w:b/>
                <w:bCs/>
                <w:color w:val="auto"/>
                <w:highlight w:val="none"/>
                <w:u w:val="single"/>
              </w:rPr>
              <w:t>2021年</w:t>
            </w:r>
            <w:r>
              <w:rPr>
                <w:rFonts w:hint="eastAsia" w:cs="宋体"/>
                <w:b/>
                <w:bCs/>
                <w:color w:val="auto"/>
                <w:highlight w:val="none"/>
                <w:u w:val="single"/>
                <w:lang w:val="en-US" w:eastAsia="zh-CN"/>
              </w:rPr>
              <w:t>12</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9</w:t>
            </w:r>
            <w:r>
              <w:rPr>
                <w:rFonts w:hint="eastAsia" w:ascii="宋体" w:hAnsi="宋体" w:eastAsia="宋体" w:cs="宋体"/>
                <w:b/>
                <w:bCs/>
                <w:color w:val="auto"/>
                <w:highlight w:val="none"/>
                <w:u w:val="single"/>
              </w:rPr>
              <w:t>日</w:t>
            </w:r>
            <w:r>
              <w:rPr>
                <w:rFonts w:hint="eastAsia" w:cs="宋体"/>
                <w:b/>
                <w:bCs/>
                <w:color w:val="auto"/>
                <w:highlight w:val="none"/>
                <w:u w:val="single"/>
                <w:lang w:val="en-US" w:eastAsia="zh-CN"/>
              </w:rPr>
              <w:t>9</w:t>
            </w:r>
            <w:r>
              <w:rPr>
                <w:rFonts w:hint="eastAsia" w:ascii="宋体" w:hAnsi="宋体" w:eastAsia="宋体" w:cs="宋体"/>
                <w:b/>
                <w:bCs/>
                <w:color w:val="auto"/>
                <w:highlight w:val="none"/>
                <w:u w:val="single"/>
              </w:rPr>
              <w:t>点</w:t>
            </w:r>
            <w:r>
              <w:rPr>
                <w:rFonts w:hint="eastAsia" w:cs="宋体"/>
                <w:b/>
                <w:bCs/>
                <w:color w:val="auto"/>
                <w:highlight w:val="none"/>
                <w:u w:val="single"/>
                <w:lang w:val="en-US" w:eastAsia="zh-CN"/>
              </w:rPr>
              <w:t>30</w:t>
            </w:r>
            <w:r>
              <w:rPr>
                <w:rFonts w:hint="eastAsia" w:ascii="宋体" w:hAnsi="宋体" w:eastAsia="宋体" w:cs="宋体"/>
                <w:b/>
                <w:bCs/>
                <w:color w:val="auto"/>
                <w:highlight w:val="none"/>
                <w:u w:val="single"/>
              </w:rPr>
              <w:t>分</w:t>
            </w:r>
            <w:r>
              <w:rPr>
                <w:rFonts w:hint="eastAsia" w:ascii="宋体" w:hAnsi="宋体" w:eastAsia="宋体" w:cs="宋体"/>
                <w:b/>
                <w:bCs/>
                <w:color w:val="auto"/>
                <w:highlight w:val="none"/>
              </w:rPr>
              <w:t>（北京时间）</w:t>
            </w:r>
            <w:r>
              <w:rPr>
                <w:rFonts w:hint="eastAsia" w:ascii="宋体" w:hAnsi="宋体" w:eastAsia="宋体" w:cs="宋体"/>
                <w:color w:val="auto"/>
                <w:highlight w:val="none"/>
              </w:rPr>
              <w:t>前提交响应文件。</w:t>
            </w:r>
          </w:p>
        </w:tc>
      </w:tr>
    </w:tbl>
    <w:p>
      <w:pPr>
        <w:ind w:firstLine="0" w:firstLineChars="0"/>
        <w:rPr>
          <w:rFonts w:hint="eastAsia" w:ascii="宋体" w:hAnsi="宋体" w:eastAsia="宋体" w:cs="宋体"/>
          <w:b/>
          <w:bCs/>
          <w:color w:val="auto"/>
          <w:highlight w:val="none"/>
        </w:rPr>
      </w:pPr>
      <w:bookmarkStart w:id="21" w:name="_Toc35393629"/>
      <w:bookmarkStart w:id="22" w:name="_Toc28359089"/>
      <w:bookmarkStart w:id="23" w:name="_Toc28359012"/>
      <w:bookmarkStart w:id="24" w:name="_Toc35393798"/>
      <w:r>
        <w:rPr>
          <w:rFonts w:hint="eastAsia" w:ascii="宋体" w:hAnsi="宋体" w:eastAsia="宋体" w:cs="宋体"/>
          <w:b/>
          <w:bCs/>
          <w:color w:val="auto"/>
          <w:highlight w:val="none"/>
        </w:rPr>
        <w:t>一、项目基本情况</w:t>
      </w:r>
      <w:bookmarkEnd w:id="21"/>
      <w:bookmarkEnd w:id="22"/>
      <w:bookmarkEnd w:id="23"/>
      <w:bookmarkEnd w:id="24"/>
    </w:p>
    <w:p>
      <w:pPr>
        <w:bidi w:val="0"/>
        <w:rPr>
          <w:rFonts w:hint="eastAsia" w:cs="宋体"/>
          <w:b/>
          <w:bCs/>
          <w:color w:val="auto"/>
          <w:highlight w:val="none"/>
          <w:lang w:eastAsia="zh-CN"/>
        </w:rPr>
      </w:pPr>
      <w:r>
        <w:rPr>
          <w:rFonts w:hint="eastAsia" w:ascii="宋体" w:hAnsi="宋体" w:eastAsia="宋体" w:cs="宋体"/>
          <w:b/>
          <w:bCs/>
          <w:color w:val="auto"/>
          <w:highlight w:val="none"/>
        </w:rPr>
        <w:t>项目编号：</w:t>
      </w:r>
      <w:r>
        <w:rPr>
          <w:rFonts w:hint="eastAsia" w:cs="宋体"/>
          <w:b/>
          <w:bCs/>
          <w:color w:val="auto"/>
          <w:highlight w:val="none"/>
          <w:lang w:eastAsia="zh-CN"/>
        </w:rPr>
        <w:t>510106202100224</w:t>
      </w:r>
    </w:p>
    <w:p>
      <w:pPr>
        <w:bidi w:val="0"/>
        <w:rPr>
          <w:rFonts w:hint="eastAsia" w:cs="宋体"/>
          <w:b/>
          <w:bCs/>
          <w:color w:val="auto"/>
          <w:highlight w:val="none"/>
          <w:lang w:eastAsia="zh-CN"/>
        </w:rPr>
      </w:pPr>
      <w:r>
        <w:rPr>
          <w:rFonts w:hint="eastAsia" w:ascii="宋体" w:hAnsi="宋体" w:eastAsia="宋体" w:cs="宋体"/>
          <w:b/>
          <w:bCs/>
          <w:color w:val="auto"/>
          <w:highlight w:val="none"/>
        </w:rPr>
        <w:t>项目名称：</w:t>
      </w:r>
      <w:r>
        <w:rPr>
          <w:rFonts w:hint="eastAsia" w:cs="宋体"/>
          <w:b/>
          <w:bCs/>
          <w:color w:val="auto"/>
          <w:highlight w:val="none"/>
          <w:lang w:eastAsia="zh-CN"/>
        </w:rPr>
        <w:t>成都市金牛区医疗机构管理服务中心成都市金牛区中医医院工程基坑变形观测及主体结构沉降观测服务（第二次）</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采购方式：□竞争性谈判 ☑竞争性磋商 □询价</w:t>
      </w:r>
    </w:p>
    <w:p>
      <w:pPr>
        <w:ind w:firstLine="48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预算金额：</w:t>
      </w:r>
      <w:r>
        <w:rPr>
          <w:rFonts w:hint="eastAsia" w:cs="宋体"/>
          <w:b/>
          <w:bCs/>
          <w:color w:val="auto"/>
          <w:highlight w:val="none"/>
          <w:lang w:eastAsia="zh-CN"/>
        </w:rPr>
        <w:t>42万元</w:t>
      </w:r>
    </w:p>
    <w:p>
      <w:pPr>
        <w:ind w:firstLine="48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最高限价：</w:t>
      </w:r>
      <w:r>
        <w:rPr>
          <w:rFonts w:hint="eastAsia" w:cs="宋体"/>
          <w:b/>
          <w:bCs/>
          <w:color w:val="auto"/>
          <w:highlight w:val="none"/>
          <w:lang w:eastAsia="zh-CN"/>
        </w:rPr>
        <w:t>42万元</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采购需求：本项目为</w:t>
      </w:r>
      <w:r>
        <w:rPr>
          <w:rFonts w:hint="eastAsia" w:cs="宋体"/>
          <w:color w:val="auto"/>
          <w:highlight w:val="none"/>
          <w:lang w:eastAsia="zh-CN"/>
        </w:rPr>
        <w:t>成都市金牛区医疗机构管理服务中心成都市金牛区中医医院工程基坑变形观测及主体结构沉降观测服务（第二次）</w:t>
      </w:r>
      <w:r>
        <w:rPr>
          <w:rFonts w:hint="eastAsia" w:ascii="宋体" w:hAnsi="宋体" w:eastAsia="宋体" w:cs="宋体"/>
          <w:color w:val="auto"/>
          <w:highlight w:val="none"/>
        </w:rPr>
        <w:t>，共1个包件。详细的技术服务、商务及其他要求见磋商文件第五章。</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合同履行期限：</w:t>
      </w:r>
      <w:r>
        <w:rPr>
          <w:rFonts w:hint="eastAsia" w:cs="宋体"/>
          <w:color w:val="auto"/>
          <w:highlight w:val="none"/>
          <w:lang w:eastAsia="zh-CN"/>
        </w:rPr>
        <w:t>自合同签订之日起至竣工验收止。</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b/>
          <w:bCs/>
          <w:color w:val="auto"/>
          <w:highlight w:val="none"/>
        </w:rPr>
        <w:t>不接受</w:t>
      </w:r>
      <w:r>
        <w:rPr>
          <w:rFonts w:hint="eastAsia" w:ascii="宋体" w:hAnsi="宋体" w:eastAsia="宋体" w:cs="宋体"/>
          <w:color w:val="auto"/>
          <w:highlight w:val="none"/>
        </w:rPr>
        <w:t>联合体。</w:t>
      </w:r>
    </w:p>
    <w:p>
      <w:pPr>
        <w:ind w:firstLine="0" w:firstLineChars="0"/>
        <w:rPr>
          <w:rFonts w:hint="eastAsia" w:ascii="宋体" w:hAnsi="宋体" w:eastAsia="宋体" w:cs="宋体"/>
          <w:b/>
          <w:bCs/>
          <w:color w:val="auto"/>
          <w:highlight w:val="none"/>
        </w:rPr>
      </w:pPr>
      <w:bookmarkStart w:id="25" w:name="_Toc28359013"/>
      <w:bookmarkStart w:id="26" w:name="_Toc35393799"/>
      <w:bookmarkStart w:id="27" w:name="_Toc28359090"/>
      <w:bookmarkStart w:id="28" w:name="_Toc35393630"/>
      <w:r>
        <w:rPr>
          <w:rFonts w:hint="eastAsia" w:ascii="宋体" w:hAnsi="宋体" w:eastAsia="宋体" w:cs="宋体"/>
          <w:b/>
          <w:bCs/>
          <w:color w:val="auto"/>
          <w:highlight w:val="none"/>
        </w:rPr>
        <w:t>二、申请人的资格要求：</w:t>
      </w:r>
      <w:bookmarkEnd w:id="25"/>
      <w:bookmarkEnd w:id="26"/>
      <w:bookmarkEnd w:id="27"/>
      <w:bookmarkEnd w:id="28"/>
    </w:p>
    <w:p>
      <w:pPr>
        <w:numPr>
          <w:ilvl w:val="0"/>
          <w:numId w:val="1"/>
        </w:numPr>
        <w:bidi w:val="0"/>
        <w:ind w:left="0" w:leftChars="0" w:firstLine="482" w:firstLineChars="200"/>
        <w:rPr>
          <w:rFonts w:hint="eastAsia" w:ascii="宋体" w:hAnsi="宋体" w:eastAsia="宋体" w:cs="宋体"/>
          <w:b/>
          <w:bCs/>
          <w:color w:val="auto"/>
          <w:highlight w:val="none"/>
        </w:rPr>
      </w:pPr>
      <w:bookmarkStart w:id="29" w:name="_Toc28359091"/>
      <w:bookmarkStart w:id="30" w:name="_Toc28359014"/>
      <w:bookmarkStart w:id="31" w:name="_Toc35393631"/>
      <w:bookmarkStart w:id="32" w:name="_Toc35393800"/>
      <w:r>
        <w:rPr>
          <w:rFonts w:hint="eastAsia" w:ascii="宋体" w:hAnsi="宋体" w:eastAsia="宋体" w:cs="宋体"/>
          <w:b/>
          <w:bCs/>
          <w:color w:val="auto"/>
          <w:highlight w:val="none"/>
        </w:rPr>
        <w:t>满足《中华人民共和国政府采购法》第二十二条规定；</w:t>
      </w:r>
    </w:p>
    <w:p>
      <w:pPr>
        <w:numPr>
          <w:ilvl w:val="0"/>
          <w:numId w:val="1"/>
        </w:numPr>
        <w:bidi w:val="0"/>
        <w:ind w:left="0" w:leftChars="0" w:firstLine="48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落实政府采购政策需满足的资格要求：本项目专门面向中小企业（监狱企业、残疾人福利性单位视同小微企业）</w:t>
      </w:r>
      <w:r>
        <w:rPr>
          <w:rFonts w:hint="eastAsia" w:cs="宋体"/>
          <w:b/>
          <w:bCs/>
          <w:color w:val="auto"/>
          <w:highlight w:val="none"/>
          <w:lang w:eastAsia="zh-CN"/>
        </w:rPr>
        <w:t>采购</w:t>
      </w:r>
      <w:r>
        <w:rPr>
          <w:rFonts w:hint="eastAsia" w:ascii="宋体" w:hAnsi="宋体" w:eastAsia="宋体" w:cs="宋体"/>
          <w:b/>
          <w:bCs/>
          <w:color w:val="auto"/>
          <w:highlight w:val="none"/>
          <w:lang w:eastAsia="zh-CN"/>
        </w:rPr>
        <w:t>。</w:t>
      </w:r>
    </w:p>
    <w:p>
      <w:pPr>
        <w:numPr>
          <w:ilvl w:val="0"/>
          <w:numId w:val="1"/>
        </w:numPr>
        <w:bidi w:val="0"/>
        <w:ind w:left="0" w:leftChars="0"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本项目的特定资格要求</w:t>
      </w:r>
      <w:r>
        <w:rPr>
          <w:rFonts w:hint="eastAsia" w:ascii="宋体" w:hAnsi="宋体" w:eastAsia="宋体" w:cs="宋体"/>
          <w:b/>
          <w:bCs/>
          <w:color w:val="auto"/>
          <w:highlight w:val="none"/>
          <w:u w:val="none"/>
          <w:lang w:eastAsia="zh-CN"/>
        </w:rPr>
        <w:t>：</w:t>
      </w:r>
      <w:r>
        <w:rPr>
          <w:rFonts w:hint="eastAsia" w:cs="宋体"/>
          <w:b/>
          <w:bCs/>
          <w:color w:val="auto"/>
          <w:highlight w:val="none"/>
          <w:u w:val="none"/>
          <w:lang w:eastAsia="zh-CN"/>
        </w:rPr>
        <w:t>供应商具有建设行政主管部门颁发的建设工程质量检测机构资质证书（专业范围至少包含：地基基础工程检测、主体结构工程检测）和市场监管部门颁发的检验检测机构资质认定证书。</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三、获取采购文件</w:t>
      </w:r>
      <w:bookmarkEnd w:id="29"/>
      <w:bookmarkEnd w:id="30"/>
      <w:bookmarkEnd w:id="31"/>
      <w:bookmarkEnd w:id="3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b/>
          <w:bCs/>
          <w:color w:val="auto"/>
          <w:highlight w:val="none"/>
          <w:u w:val="single"/>
        </w:rPr>
        <w:t>2021年</w:t>
      </w:r>
      <w:r>
        <w:rPr>
          <w:rFonts w:hint="eastAsia" w:cs="宋体"/>
          <w:b/>
          <w:bCs/>
          <w:color w:val="auto"/>
          <w:highlight w:val="none"/>
          <w:u w:val="single"/>
          <w:lang w:val="en-US" w:eastAsia="zh-CN"/>
        </w:rPr>
        <w:t>11</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29</w:t>
      </w:r>
      <w:r>
        <w:rPr>
          <w:rFonts w:hint="eastAsia" w:ascii="宋体" w:hAnsi="宋体" w:eastAsia="宋体" w:cs="宋体"/>
          <w:b/>
          <w:bCs/>
          <w:color w:val="auto"/>
          <w:highlight w:val="none"/>
          <w:u w:val="single"/>
        </w:rPr>
        <w:t>日</w:t>
      </w:r>
      <w:r>
        <w:rPr>
          <w:rFonts w:hint="eastAsia" w:ascii="宋体" w:hAnsi="宋体" w:eastAsia="宋体" w:cs="宋体"/>
          <w:b/>
          <w:bCs/>
          <w:color w:val="auto"/>
          <w:highlight w:val="none"/>
        </w:rPr>
        <w:t>至</w:t>
      </w:r>
      <w:r>
        <w:rPr>
          <w:rFonts w:hint="eastAsia" w:ascii="宋体" w:hAnsi="宋体" w:eastAsia="宋体" w:cs="宋体"/>
          <w:b/>
          <w:bCs/>
          <w:color w:val="auto"/>
          <w:highlight w:val="none"/>
          <w:u w:val="single"/>
        </w:rPr>
        <w:t>2021年</w:t>
      </w:r>
      <w:r>
        <w:rPr>
          <w:rFonts w:hint="eastAsia" w:cs="宋体"/>
          <w:b/>
          <w:bCs/>
          <w:color w:val="auto"/>
          <w:highlight w:val="none"/>
          <w:u w:val="single"/>
          <w:lang w:val="en-US" w:eastAsia="zh-CN"/>
        </w:rPr>
        <w:t>12</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3</w:t>
      </w:r>
      <w:r>
        <w:rPr>
          <w:rFonts w:hint="eastAsia" w:ascii="宋体" w:hAnsi="宋体" w:eastAsia="宋体" w:cs="宋体"/>
          <w:b/>
          <w:bCs/>
          <w:color w:val="auto"/>
          <w:highlight w:val="none"/>
          <w:u w:val="single"/>
        </w:rPr>
        <w:t>日</w:t>
      </w:r>
      <w:r>
        <w:rPr>
          <w:rFonts w:hint="eastAsia" w:ascii="宋体" w:hAnsi="宋体" w:eastAsia="宋体" w:cs="宋体"/>
          <w:color w:val="auto"/>
          <w:highlight w:val="none"/>
        </w:rPr>
        <w:t>，</w:t>
      </w:r>
      <w:r>
        <w:rPr>
          <w:rFonts w:hint="eastAsia" w:ascii="宋体" w:hAnsi="宋体" w:eastAsia="宋体" w:cs="宋体"/>
          <w:b/>
          <w:bCs/>
          <w:color w:val="auto"/>
          <w:highlight w:val="none"/>
          <w:u w:val="single"/>
        </w:rPr>
        <w:t>每天上午9：00</w:t>
      </w:r>
      <w:r>
        <w:rPr>
          <w:rFonts w:hint="eastAsia" w:ascii="宋体" w:hAnsi="宋体" w:eastAsia="宋体" w:cs="宋体"/>
          <w:b/>
          <w:bCs/>
          <w:color w:val="auto"/>
          <w:highlight w:val="none"/>
        </w:rPr>
        <w:t>至</w:t>
      </w:r>
      <w:r>
        <w:rPr>
          <w:rFonts w:hint="eastAsia" w:ascii="宋体" w:hAnsi="宋体" w:eastAsia="宋体" w:cs="宋体"/>
          <w:b/>
          <w:bCs/>
          <w:color w:val="auto"/>
          <w:highlight w:val="none"/>
          <w:u w:val="single"/>
        </w:rPr>
        <w:t>12：00</w:t>
      </w:r>
      <w:r>
        <w:rPr>
          <w:rFonts w:hint="eastAsia" w:ascii="宋体" w:hAnsi="宋体" w:eastAsia="宋体" w:cs="宋体"/>
          <w:b/>
          <w:bCs/>
          <w:color w:val="auto"/>
          <w:highlight w:val="none"/>
        </w:rPr>
        <w:t>，</w:t>
      </w:r>
      <w:r>
        <w:rPr>
          <w:rFonts w:hint="eastAsia" w:ascii="宋体" w:hAnsi="宋体" w:eastAsia="宋体" w:cs="宋体"/>
          <w:b/>
          <w:bCs/>
          <w:color w:val="auto"/>
          <w:highlight w:val="none"/>
          <w:u w:val="single"/>
        </w:rPr>
        <w:t>下午14：00</w:t>
      </w:r>
      <w:r>
        <w:rPr>
          <w:rFonts w:hint="eastAsia" w:ascii="宋体" w:hAnsi="宋体" w:eastAsia="宋体" w:cs="宋体"/>
          <w:b/>
          <w:bCs/>
          <w:color w:val="auto"/>
          <w:highlight w:val="none"/>
        </w:rPr>
        <w:t>至</w:t>
      </w:r>
      <w:r>
        <w:rPr>
          <w:rFonts w:hint="eastAsia" w:ascii="宋体" w:hAnsi="宋体" w:eastAsia="宋体" w:cs="宋体"/>
          <w:b/>
          <w:bCs/>
          <w:color w:val="auto"/>
          <w:highlight w:val="none"/>
          <w:u w:val="single"/>
        </w:rPr>
        <w:t>17：00</w:t>
      </w:r>
      <w:r>
        <w:rPr>
          <w:rFonts w:hint="eastAsia" w:ascii="宋体" w:hAnsi="宋体" w:eastAsia="宋体" w:cs="宋体"/>
          <w:b/>
          <w:bCs/>
          <w:color w:val="auto"/>
          <w:highlight w:val="none"/>
        </w:rPr>
        <w:t>（北京时间，法定节假日除外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地点：“政府采购云平台”（网址：https://www.zcygov.cn）。</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方式：供应商须在“政府采购云平台”注册后，从“政府采购云平台”（网址：https://www.zcygov.cn）获取采购文件。登录政府采购云平台—项目采购—获取采购文件—申请获取采购文件。提示：（1）本项目磋商文件免费获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2）供应商只有在“政府采购云平台”完成获取磋商文件申请并下载磋商文件后才视作依法参与本项目。如未在“政府采购云平台”内完成相关流程，引起的无效行为责任自负。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3）政府采购云平台供应商注册地址： https://middle.zcygov.cn/v-settle-front/registry</w:t>
      </w:r>
      <w:r>
        <w:rPr>
          <w:rFonts w:hint="eastAsia" w:ascii="宋体" w:hAnsi="宋体" w:eastAsia="宋体" w:cs="宋体"/>
          <w:color w:val="auto"/>
          <w:highlight w:val="none"/>
          <w:lang w:eastAsia="zh-CN"/>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售价：0元/份。</w:t>
      </w:r>
    </w:p>
    <w:p>
      <w:pPr>
        <w:ind w:firstLine="0" w:firstLineChars="0"/>
        <w:rPr>
          <w:rFonts w:hint="eastAsia" w:ascii="宋体" w:hAnsi="宋体" w:eastAsia="宋体" w:cs="宋体"/>
          <w:b/>
          <w:bCs/>
          <w:color w:val="auto"/>
          <w:highlight w:val="none"/>
        </w:rPr>
      </w:pPr>
      <w:bookmarkStart w:id="33" w:name="_Toc28359092"/>
      <w:bookmarkStart w:id="34" w:name="_Toc35393801"/>
      <w:bookmarkStart w:id="35" w:name="_Toc35393632"/>
      <w:bookmarkStart w:id="36" w:name="_Toc28359015"/>
      <w:r>
        <w:rPr>
          <w:rFonts w:hint="eastAsia" w:ascii="宋体" w:hAnsi="宋体" w:eastAsia="宋体" w:cs="宋体"/>
          <w:b/>
          <w:bCs/>
          <w:color w:val="auto"/>
          <w:highlight w:val="none"/>
        </w:rPr>
        <w:t>四、响应文件提交</w:t>
      </w:r>
      <w:bookmarkEnd w:id="33"/>
      <w:bookmarkEnd w:id="34"/>
      <w:bookmarkEnd w:id="35"/>
      <w:bookmarkEnd w:id="36"/>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截止时间：</w:t>
      </w:r>
      <w:r>
        <w:rPr>
          <w:rFonts w:hint="eastAsia" w:ascii="宋体" w:hAnsi="宋体" w:eastAsia="宋体" w:cs="宋体"/>
          <w:b/>
          <w:bCs/>
          <w:color w:val="auto"/>
          <w:highlight w:val="none"/>
          <w:u w:val="single"/>
        </w:rPr>
        <w:t>2021年</w:t>
      </w:r>
      <w:r>
        <w:rPr>
          <w:rFonts w:hint="eastAsia" w:cs="宋体"/>
          <w:b/>
          <w:bCs/>
          <w:color w:val="auto"/>
          <w:highlight w:val="none"/>
          <w:u w:val="single"/>
          <w:lang w:val="en-US" w:eastAsia="zh-CN"/>
        </w:rPr>
        <w:t>12</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9</w:t>
      </w:r>
      <w:r>
        <w:rPr>
          <w:rFonts w:hint="eastAsia" w:ascii="宋体" w:hAnsi="宋体" w:eastAsia="宋体" w:cs="宋体"/>
          <w:b/>
          <w:bCs/>
          <w:color w:val="auto"/>
          <w:highlight w:val="none"/>
          <w:u w:val="single"/>
        </w:rPr>
        <w:t>日</w:t>
      </w:r>
      <w:r>
        <w:rPr>
          <w:rFonts w:hint="eastAsia" w:cs="宋体"/>
          <w:b/>
          <w:bCs/>
          <w:color w:val="auto"/>
          <w:highlight w:val="none"/>
          <w:u w:val="single"/>
          <w:lang w:val="en-US" w:eastAsia="zh-CN"/>
        </w:rPr>
        <w:t>9</w:t>
      </w:r>
      <w:r>
        <w:rPr>
          <w:rFonts w:hint="eastAsia" w:ascii="宋体" w:hAnsi="宋体" w:eastAsia="宋体" w:cs="宋体"/>
          <w:b/>
          <w:bCs/>
          <w:color w:val="auto"/>
          <w:highlight w:val="none"/>
          <w:u w:val="single"/>
        </w:rPr>
        <w:t>点</w:t>
      </w:r>
      <w:r>
        <w:rPr>
          <w:rFonts w:hint="eastAsia" w:cs="宋体"/>
          <w:b/>
          <w:bCs/>
          <w:color w:val="auto"/>
          <w:highlight w:val="none"/>
          <w:u w:val="single"/>
          <w:lang w:val="en-US" w:eastAsia="zh-CN"/>
        </w:rPr>
        <w:t>30</w:t>
      </w:r>
      <w:r>
        <w:rPr>
          <w:rFonts w:hint="eastAsia" w:ascii="宋体" w:hAnsi="宋体" w:eastAsia="宋体" w:cs="宋体"/>
          <w:b/>
          <w:bCs/>
          <w:color w:val="auto"/>
          <w:highlight w:val="none"/>
          <w:u w:val="single"/>
        </w:rPr>
        <w:t>分</w:t>
      </w:r>
      <w:r>
        <w:rPr>
          <w:rFonts w:hint="eastAsia" w:ascii="宋体" w:hAnsi="宋体" w:eastAsia="宋体" w:cs="宋体"/>
          <w:b/>
          <w:bCs/>
          <w:color w:val="auto"/>
          <w:highlight w:val="none"/>
        </w:rPr>
        <w:t>（北京时间）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地点：成都市金牛区九里堤南路93号6楼。</w:t>
      </w:r>
    </w:p>
    <w:p>
      <w:pPr>
        <w:ind w:firstLine="0" w:firstLineChars="0"/>
        <w:rPr>
          <w:rFonts w:hint="eastAsia" w:ascii="宋体" w:hAnsi="宋体" w:eastAsia="宋体" w:cs="宋体"/>
          <w:b/>
          <w:bCs/>
          <w:color w:val="auto"/>
          <w:highlight w:val="none"/>
        </w:rPr>
      </w:pPr>
      <w:bookmarkStart w:id="37" w:name="_Toc28359016"/>
      <w:bookmarkStart w:id="38" w:name="_Toc28359093"/>
      <w:bookmarkStart w:id="39" w:name="_Toc35393633"/>
      <w:bookmarkStart w:id="40" w:name="_Toc35393802"/>
      <w:r>
        <w:rPr>
          <w:rFonts w:hint="eastAsia" w:ascii="宋体" w:hAnsi="宋体" w:eastAsia="宋体" w:cs="宋体"/>
          <w:b/>
          <w:bCs/>
          <w:color w:val="auto"/>
          <w:highlight w:val="none"/>
        </w:rPr>
        <w:t>五、开启</w:t>
      </w:r>
      <w:bookmarkEnd w:id="37"/>
      <w:bookmarkEnd w:id="38"/>
      <w:bookmarkEnd w:id="39"/>
      <w:bookmarkEnd w:id="40"/>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时间：</w:t>
      </w:r>
      <w:r>
        <w:rPr>
          <w:rFonts w:hint="eastAsia" w:ascii="宋体" w:hAnsi="宋体" w:eastAsia="宋体" w:cs="宋体"/>
          <w:b/>
          <w:bCs/>
          <w:color w:val="auto"/>
          <w:highlight w:val="none"/>
          <w:u w:val="single"/>
        </w:rPr>
        <w:t>2021年</w:t>
      </w:r>
      <w:r>
        <w:rPr>
          <w:rFonts w:hint="eastAsia" w:cs="宋体"/>
          <w:b/>
          <w:bCs/>
          <w:color w:val="auto"/>
          <w:highlight w:val="none"/>
          <w:u w:val="single"/>
          <w:lang w:val="en-US" w:eastAsia="zh-CN"/>
        </w:rPr>
        <w:t>12</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9</w:t>
      </w:r>
      <w:r>
        <w:rPr>
          <w:rFonts w:hint="eastAsia" w:ascii="宋体" w:hAnsi="宋体" w:eastAsia="宋体" w:cs="宋体"/>
          <w:b/>
          <w:bCs/>
          <w:color w:val="auto"/>
          <w:highlight w:val="none"/>
          <w:u w:val="single"/>
        </w:rPr>
        <w:t>日</w:t>
      </w:r>
      <w:r>
        <w:rPr>
          <w:rFonts w:hint="eastAsia" w:cs="宋体"/>
          <w:b/>
          <w:bCs/>
          <w:color w:val="auto"/>
          <w:highlight w:val="none"/>
          <w:u w:val="single"/>
          <w:lang w:val="en-US" w:eastAsia="zh-CN"/>
        </w:rPr>
        <w:t>9</w:t>
      </w:r>
      <w:r>
        <w:rPr>
          <w:rFonts w:hint="eastAsia" w:ascii="宋体" w:hAnsi="宋体" w:eastAsia="宋体" w:cs="宋体"/>
          <w:b/>
          <w:bCs/>
          <w:color w:val="auto"/>
          <w:highlight w:val="none"/>
          <w:u w:val="single"/>
        </w:rPr>
        <w:t>点</w:t>
      </w:r>
      <w:r>
        <w:rPr>
          <w:rFonts w:hint="eastAsia" w:cs="宋体"/>
          <w:b/>
          <w:bCs/>
          <w:color w:val="auto"/>
          <w:highlight w:val="none"/>
          <w:u w:val="single"/>
          <w:lang w:val="en-US" w:eastAsia="zh-CN"/>
        </w:rPr>
        <w:t>30</w:t>
      </w:r>
      <w:r>
        <w:rPr>
          <w:rFonts w:hint="eastAsia" w:ascii="宋体" w:hAnsi="宋体" w:eastAsia="宋体" w:cs="宋体"/>
          <w:b/>
          <w:bCs/>
          <w:color w:val="auto"/>
          <w:highlight w:val="none"/>
          <w:u w:val="single"/>
        </w:rPr>
        <w:t>分</w:t>
      </w:r>
      <w:r>
        <w:rPr>
          <w:rFonts w:hint="eastAsia" w:ascii="宋体" w:hAnsi="宋体" w:eastAsia="宋体" w:cs="宋体"/>
          <w:b/>
          <w:bCs/>
          <w:color w:val="auto"/>
          <w:highlight w:val="none"/>
        </w:rPr>
        <w:t>（北京时间）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地点：成都市金牛区九里堤南路93号6楼。</w:t>
      </w:r>
    </w:p>
    <w:p>
      <w:pPr>
        <w:ind w:firstLine="0" w:firstLineChars="0"/>
        <w:rPr>
          <w:rFonts w:hint="eastAsia" w:ascii="宋体" w:hAnsi="宋体" w:eastAsia="宋体" w:cs="宋体"/>
          <w:b/>
          <w:bCs/>
          <w:color w:val="auto"/>
          <w:highlight w:val="none"/>
        </w:rPr>
      </w:pPr>
      <w:bookmarkStart w:id="41" w:name="_Toc35393634"/>
      <w:bookmarkStart w:id="42" w:name="_Toc35393803"/>
      <w:bookmarkStart w:id="43" w:name="_Toc28359017"/>
      <w:bookmarkStart w:id="44" w:name="_Toc28359094"/>
      <w:r>
        <w:rPr>
          <w:rFonts w:hint="eastAsia" w:ascii="宋体" w:hAnsi="宋体" w:eastAsia="宋体" w:cs="宋体"/>
          <w:b/>
          <w:bCs/>
          <w:color w:val="auto"/>
          <w:highlight w:val="none"/>
        </w:rPr>
        <w:t>六、公告期限</w:t>
      </w:r>
      <w:bookmarkEnd w:id="41"/>
      <w:bookmarkEnd w:id="42"/>
      <w:bookmarkEnd w:id="43"/>
      <w:bookmarkEnd w:id="4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自本公告发布之日起3个工作日。</w:t>
      </w:r>
    </w:p>
    <w:p>
      <w:pPr>
        <w:ind w:firstLine="0" w:firstLineChars="0"/>
        <w:rPr>
          <w:rFonts w:hint="eastAsia" w:ascii="宋体" w:hAnsi="宋体" w:eastAsia="宋体" w:cs="宋体"/>
          <w:b/>
          <w:bCs/>
          <w:color w:val="auto"/>
          <w:highlight w:val="none"/>
        </w:rPr>
      </w:pPr>
      <w:bookmarkStart w:id="45" w:name="_Toc35393804"/>
      <w:bookmarkStart w:id="46" w:name="_Toc35393635"/>
      <w:r>
        <w:rPr>
          <w:rFonts w:hint="eastAsia" w:ascii="宋体" w:hAnsi="宋体" w:eastAsia="宋体" w:cs="宋体"/>
          <w:b/>
          <w:bCs/>
          <w:color w:val="auto"/>
          <w:highlight w:val="none"/>
        </w:rPr>
        <w:t>七、其他补充事宜</w:t>
      </w:r>
      <w:bookmarkEnd w:id="45"/>
      <w:bookmarkEnd w:id="46"/>
    </w:p>
    <w:p>
      <w:pPr>
        <w:ind w:firstLine="482"/>
        <w:rPr>
          <w:rFonts w:hint="eastAsia" w:ascii="宋体" w:hAnsi="宋体" w:eastAsia="宋体" w:cs="宋体"/>
          <w:b/>
          <w:bCs/>
          <w:color w:val="auto"/>
          <w:highlight w:val="none"/>
        </w:rPr>
      </w:pPr>
      <w:bookmarkStart w:id="47" w:name="_Toc28359018"/>
      <w:bookmarkStart w:id="48" w:name="_Toc35393636"/>
      <w:bookmarkStart w:id="49" w:name="_Toc35393805"/>
      <w:bookmarkStart w:id="50" w:name="_Toc28359095"/>
      <w:r>
        <w:rPr>
          <w:rFonts w:hint="eastAsia" w:ascii="宋体" w:hAnsi="宋体" w:eastAsia="宋体" w:cs="宋体"/>
          <w:b/>
          <w:bCs/>
          <w:color w:val="auto"/>
          <w:highlight w:val="none"/>
        </w:rPr>
        <w:t>1.本项目参加政府采购活动的供应商及其现任法定代表人/主要负责人在前三年内不得具有行贿犯罪记录。</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2.禁止参加本次采购活动的供应商</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1）根据《关于在政府采购活动中查询及使用信用记录有关问题的通知》（财库〔2016〕125号）的要求，</w:t>
      </w:r>
      <w:r>
        <w:rPr>
          <w:rFonts w:hint="eastAsia" w:ascii="宋体" w:hAnsi="宋体" w:eastAsia="宋体" w:cs="宋体"/>
          <w:b/>
          <w:bCs/>
          <w:color w:val="auto"/>
          <w:highlight w:val="none"/>
        </w:rPr>
        <w:t>拒绝列入失信被执行人名单、重大税收违法案件当事人名单、政府采购严重违法失信行为记录名单中的供应商报名参加本项目的采购活动。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3.本项目确定供应商重大违法记录中较大数额罚款的金额标准是指：</w:t>
      </w:r>
      <w:r>
        <w:rPr>
          <w:rFonts w:hint="eastAsia" w:ascii="宋体" w:hAnsi="宋体" w:eastAsia="宋体" w:cs="宋体"/>
          <w:color w:val="auto"/>
          <w:highlight w:val="none"/>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4.中小企业政府采购信用融资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根据《四川省财政厅关于推进四川省政府采购供应商信用融资工作的通知》（川财采[2018]123号）文件要求，为助力解决政府采购中标、成交供应商资金不足、融资难、融资贵的困难，有融资需求的供应商可根据四川政府采购网公示的银行及其“政采贷”产品，凭中标（成交）通知书向银行提出贷款意向申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根据《成都市财政局关于增补“蓉采贷”政策合作银行及做好相关工作的通知》（成财采发〔2020〕20号），参加本次采购活动的中小企业供应商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5.需落实的政府采购政策：</w:t>
      </w:r>
      <w:r>
        <w:rPr>
          <w:rFonts w:hint="eastAsia" w:ascii="宋体" w:hAnsi="宋体" w:eastAsia="宋体" w:cs="宋体"/>
          <w:color w:val="auto"/>
          <w:highlight w:val="none"/>
        </w:rPr>
        <w:t>优先采购节能产品,强制采购节能产品,优先采购环境标志产品,优先采购无线局域网产品,促进中小企业发展,促进监狱企业发展,促进残疾人福利性单位发展。</w:t>
      </w:r>
    </w:p>
    <w:p>
      <w:pPr>
        <w:bidi w:val="0"/>
        <w:rPr>
          <w:rFonts w:hint="eastAsia"/>
          <w:b/>
          <w:bCs/>
          <w:color w:val="auto"/>
          <w:highlight w:val="none"/>
          <w:lang w:val="zh-CN" w:eastAsia="zh-CN"/>
        </w:rPr>
      </w:pPr>
      <w:r>
        <w:rPr>
          <w:rFonts w:hint="eastAsia"/>
          <w:b/>
          <w:bCs/>
          <w:color w:val="auto"/>
          <w:highlight w:val="none"/>
          <w:lang w:val="zh-CN" w:eastAsia="zh-CN"/>
        </w:rPr>
        <w:t>6.资金情况：财政性资金；采购计划文号：SCZC510106212099_20210001，采购品目：C0904测绘服务</w:t>
      </w:r>
      <w:r>
        <w:rPr>
          <w:rFonts w:hint="eastAsia"/>
          <w:b/>
          <w:bCs/>
          <w:color w:val="auto"/>
          <w:highlight w:val="none"/>
          <w:lang w:val="en-US" w:eastAsia="zh-CN"/>
        </w:rPr>
        <w:t>，</w:t>
      </w:r>
      <w:r>
        <w:rPr>
          <w:rFonts w:hint="eastAsia"/>
          <w:b/>
          <w:bCs/>
          <w:color w:val="auto"/>
          <w:highlight w:val="none"/>
          <w:lang w:val="zh-CN" w:eastAsia="zh-CN"/>
        </w:rPr>
        <w:t>项目属性：服务。</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7.监督机构：</w:t>
      </w:r>
      <w:r>
        <w:rPr>
          <w:rFonts w:hint="eastAsia" w:ascii="宋体" w:hAnsi="宋体" w:eastAsia="宋体" w:cs="宋体"/>
          <w:b/>
          <w:bCs/>
          <w:color w:val="auto"/>
          <w:highlight w:val="none"/>
          <w:lang w:val="zh-CN"/>
        </w:rPr>
        <w:t>成都市金牛区财政局</w:t>
      </w:r>
      <w:r>
        <w:rPr>
          <w:rFonts w:hint="eastAsia" w:ascii="宋体" w:hAnsi="宋体" w:eastAsia="宋体" w:cs="宋体"/>
          <w:b/>
          <w:bCs/>
          <w:color w:val="auto"/>
          <w:highlight w:val="none"/>
        </w:rPr>
        <w:t>，电话：</w:t>
      </w:r>
      <w:r>
        <w:rPr>
          <w:rFonts w:hint="eastAsia" w:cs="宋体"/>
          <w:b/>
          <w:bCs/>
          <w:color w:val="auto"/>
          <w:highlight w:val="none"/>
          <w:lang w:eastAsia="zh-CN"/>
        </w:rPr>
        <w:t>028-87705190</w:t>
      </w:r>
      <w:r>
        <w:rPr>
          <w:rFonts w:hint="eastAsia" w:ascii="宋体" w:hAnsi="宋体" w:eastAsia="宋体" w:cs="宋体"/>
          <w:b/>
          <w:bCs/>
          <w:color w:val="auto"/>
          <w:highlight w:val="none"/>
        </w:rPr>
        <w:t>。</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八、凡对本次采购提出询问，请按以下方式联系。</w:t>
      </w:r>
      <w:bookmarkEnd w:id="47"/>
      <w:bookmarkEnd w:id="48"/>
      <w:bookmarkEnd w:id="49"/>
      <w:bookmarkEnd w:id="50"/>
    </w:p>
    <w:p>
      <w:pPr>
        <w:ind w:firstLine="480"/>
        <w:rPr>
          <w:rFonts w:hint="eastAsia" w:ascii="宋体" w:hAnsi="宋体" w:eastAsia="宋体" w:cs="宋体"/>
          <w:color w:val="auto"/>
          <w:highlight w:val="none"/>
        </w:rPr>
      </w:pPr>
      <w:bookmarkStart w:id="51" w:name="_Toc28359019"/>
      <w:bookmarkStart w:id="52" w:name="_Toc35393637"/>
      <w:bookmarkStart w:id="53" w:name="_Toc28359096"/>
      <w:bookmarkStart w:id="54" w:name="_Toc35393806"/>
      <w:r>
        <w:rPr>
          <w:rFonts w:hint="eastAsia" w:ascii="宋体" w:hAnsi="宋体" w:eastAsia="宋体" w:cs="宋体"/>
          <w:color w:val="auto"/>
          <w:highlight w:val="none"/>
        </w:rPr>
        <w:t>1.采购人信息</w:t>
      </w:r>
      <w:bookmarkEnd w:id="51"/>
      <w:bookmarkEnd w:id="52"/>
      <w:bookmarkEnd w:id="53"/>
      <w:bookmarkEnd w:id="5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cs="宋体"/>
          <w:b/>
          <w:bCs/>
          <w:color w:val="auto"/>
          <w:highlight w:val="none"/>
          <w:lang w:eastAsia="zh-CN"/>
        </w:rPr>
        <w:t>成都市金牛区医疗机构管理服务中心</w:t>
      </w:r>
      <w:r>
        <w:rPr>
          <w:rFonts w:hint="eastAsia" w:ascii="宋体" w:hAnsi="宋体" w:eastAsia="宋体" w:cs="宋体"/>
          <w:color w:val="auto"/>
          <w:highlight w:val="none"/>
        </w:rPr>
        <w:t>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cs="宋体"/>
          <w:color w:val="auto"/>
          <w:highlight w:val="none"/>
          <w:lang w:eastAsia="zh-CN"/>
        </w:rPr>
        <w:t>成都市金牛区蜀营街20号</w:t>
      </w:r>
      <w:r>
        <w:rPr>
          <w:rFonts w:hint="eastAsia" w:ascii="宋体" w:hAnsi="宋体" w:eastAsia="宋体" w:cs="宋体"/>
          <w:color w:val="auto"/>
          <w:highlight w:val="none"/>
        </w:rPr>
        <w:t>　</w:t>
      </w:r>
    </w:p>
    <w:p>
      <w:pPr>
        <w:ind w:firstLine="480"/>
        <w:rPr>
          <w:rFonts w:hint="eastAsia" w:cs="宋体"/>
          <w:color w:val="auto"/>
          <w:highlight w:val="none"/>
          <w:lang w:eastAsia="zh-CN"/>
        </w:rPr>
      </w:pPr>
      <w:r>
        <w:rPr>
          <w:rFonts w:hint="eastAsia" w:ascii="宋体" w:hAnsi="宋体" w:eastAsia="宋体" w:cs="宋体"/>
          <w:color w:val="auto"/>
          <w:highlight w:val="none"/>
        </w:rPr>
        <w:t>联系方式：</w:t>
      </w:r>
      <w:r>
        <w:rPr>
          <w:rFonts w:hint="eastAsia" w:cs="宋体"/>
          <w:color w:val="auto"/>
          <w:highlight w:val="none"/>
          <w:lang w:eastAsia="zh-CN"/>
        </w:rPr>
        <w:t>028-87506389</w:t>
      </w:r>
      <w:bookmarkStart w:id="55" w:name="_Toc35393638"/>
      <w:bookmarkStart w:id="56" w:name="_Toc28359097"/>
      <w:bookmarkStart w:id="57" w:name="_Toc28359020"/>
      <w:bookmarkStart w:id="58" w:name="_Toc3539380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bookmarkEnd w:id="55"/>
      <w:bookmarkEnd w:id="56"/>
      <w:bookmarkEnd w:id="57"/>
      <w:bookmarkEnd w:id="58"/>
    </w:p>
    <w:p>
      <w:pPr>
        <w:ind w:firstLine="480"/>
        <w:rPr>
          <w:rFonts w:hint="eastAsia" w:ascii="宋体" w:hAnsi="宋体" w:eastAsia="宋体" w:cs="宋体"/>
          <w:b/>
          <w:bCs/>
          <w:color w:val="auto"/>
          <w:highlight w:val="none"/>
        </w:rPr>
      </w:pPr>
      <w:r>
        <w:rPr>
          <w:rFonts w:hint="eastAsia" w:ascii="宋体" w:hAnsi="宋体" w:eastAsia="宋体" w:cs="宋体"/>
          <w:color w:val="auto"/>
          <w:highlight w:val="none"/>
        </w:rPr>
        <w:t>名    称：</w:t>
      </w:r>
      <w:r>
        <w:rPr>
          <w:rFonts w:hint="eastAsia" w:ascii="宋体" w:hAnsi="宋体" w:eastAsia="宋体" w:cs="宋体"/>
          <w:b/>
          <w:bCs/>
          <w:color w:val="auto"/>
          <w:highlight w:val="none"/>
        </w:rPr>
        <w:t>四川天力招标有限责任公司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地　　址：成都市金牛区九里堤南路93号6楼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cs="宋体"/>
          <w:color w:val="auto"/>
          <w:highlight w:val="none"/>
          <w:lang w:eastAsia="zh-CN"/>
        </w:rPr>
        <w:t>028-87701706</w:t>
      </w:r>
      <w:r>
        <w:rPr>
          <w:rFonts w:hint="eastAsia" w:ascii="宋体" w:hAnsi="宋体" w:eastAsia="宋体" w:cs="宋体"/>
          <w:color w:val="auto"/>
          <w:highlight w:val="none"/>
        </w:rPr>
        <w:t>　　</w:t>
      </w:r>
    </w:p>
    <w:p>
      <w:pPr>
        <w:ind w:firstLine="480"/>
        <w:rPr>
          <w:rFonts w:hint="eastAsia" w:ascii="宋体" w:hAnsi="宋体" w:eastAsia="宋体" w:cs="宋体"/>
          <w:color w:val="auto"/>
          <w:highlight w:val="none"/>
        </w:rPr>
      </w:pPr>
      <w:bookmarkStart w:id="59" w:name="_Toc28359098"/>
      <w:bookmarkStart w:id="60" w:name="_Toc35393639"/>
      <w:bookmarkStart w:id="61" w:name="_Toc28359021"/>
      <w:bookmarkStart w:id="62" w:name="_Toc35393808"/>
      <w:r>
        <w:rPr>
          <w:rFonts w:hint="eastAsia" w:ascii="宋体" w:hAnsi="宋体" w:eastAsia="宋体" w:cs="宋体"/>
          <w:color w:val="auto"/>
          <w:highlight w:val="none"/>
        </w:rPr>
        <w:t>3.项目联系方式</w:t>
      </w:r>
      <w:bookmarkEnd w:id="59"/>
      <w:bookmarkEnd w:id="60"/>
      <w:bookmarkEnd w:id="61"/>
      <w:bookmarkEnd w:id="6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项目联系人：何</w:t>
      </w:r>
      <w:r>
        <w:rPr>
          <w:rFonts w:hint="eastAsia" w:ascii="宋体" w:hAnsi="宋体" w:eastAsia="宋体" w:cs="宋体"/>
          <w:color w:val="auto"/>
          <w:highlight w:val="none"/>
          <w:lang w:eastAsia="zh-CN"/>
        </w:rPr>
        <w:t>女士</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杨女士</w:t>
      </w:r>
      <w:r>
        <w:rPr>
          <w:rFonts w:hint="eastAsia" w:ascii="宋体" w:hAnsi="宋体" w:eastAsia="宋体" w:cs="宋体"/>
          <w:color w:val="auto"/>
          <w:highlight w:val="none"/>
        </w:rPr>
        <w:t xml:space="preserve">   </w:t>
      </w:r>
    </w:p>
    <w:p>
      <w:pPr>
        <w:ind w:firstLine="480"/>
        <w:rPr>
          <w:rStyle w:val="45"/>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cs="宋体"/>
          <w:color w:val="auto"/>
          <w:highlight w:val="none"/>
          <w:lang w:eastAsia="zh-CN"/>
        </w:rPr>
        <w:t>028-87701706</w:t>
      </w:r>
      <w:r>
        <w:rPr>
          <w:rFonts w:hint="eastAsia" w:ascii="宋体" w:hAnsi="宋体" w:eastAsia="宋体" w:cs="宋体"/>
          <w:color w:val="auto"/>
          <w:highlight w:val="none"/>
        </w:rPr>
        <w:t>　</w:t>
      </w:r>
      <w:bookmarkStart w:id="63" w:name="_Toc25021"/>
      <w:bookmarkStart w:id="64" w:name="_Toc9620"/>
      <w:bookmarkStart w:id="65" w:name="_Toc20075"/>
      <w:bookmarkStart w:id="66" w:name="_Toc17565"/>
      <w:bookmarkStart w:id="67" w:name="_Toc30527"/>
      <w:bookmarkStart w:id="68" w:name="_Toc2471"/>
      <w:bookmarkStart w:id="69" w:name="_Toc6346"/>
      <w:bookmarkStart w:id="70" w:name="_Toc23753"/>
    </w:p>
    <w:p>
      <w:pPr>
        <w:ind w:firstLine="602"/>
        <w:rPr>
          <w:rStyle w:val="45"/>
          <w:rFonts w:hint="eastAsia" w:ascii="宋体" w:hAnsi="宋体" w:eastAsia="宋体" w:cs="宋体"/>
          <w:color w:val="auto"/>
          <w:highlight w:val="none"/>
        </w:rPr>
      </w:pPr>
      <w:r>
        <w:rPr>
          <w:rStyle w:val="45"/>
          <w:rFonts w:hint="eastAsia" w:ascii="宋体" w:hAnsi="宋体" w:eastAsia="宋体" w:cs="宋体"/>
          <w:color w:val="auto"/>
          <w:highlight w:val="none"/>
        </w:rPr>
        <w:br w:type="page"/>
      </w:r>
    </w:p>
    <w:p>
      <w:pPr>
        <w:adjustRightInd w:val="0"/>
        <w:snapToGrid w:val="0"/>
        <w:ind w:firstLine="0" w:firstLineChars="0"/>
        <w:jc w:val="center"/>
        <w:outlineLvl w:val="0"/>
        <w:rPr>
          <w:rFonts w:hint="eastAsia" w:ascii="宋体" w:hAnsi="宋体" w:eastAsia="宋体" w:cs="宋体"/>
          <w:b/>
          <w:bCs/>
          <w:color w:val="auto"/>
          <w:sz w:val="28"/>
          <w:szCs w:val="28"/>
          <w:highlight w:val="none"/>
        </w:rPr>
      </w:pPr>
      <w:bookmarkStart w:id="71" w:name="_Toc16066"/>
      <w:r>
        <w:rPr>
          <w:rStyle w:val="45"/>
          <w:rFonts w:hint="eastAsia" w:ascii="宋体" w:hAnsi="宋体" w:eastAsia="宋体" w:cs="宋体"/>
          <w:color w:val="auto"/>
          <w:highlight w:val="none"/>
        </w:rPr>
        <w:t xml:space="preserve">第二章 </w:t>
      </w:r>
      <w:bookmarkStart w:id="72" w:name="_Toc12871"/>
      <w:r>
        <w:rPr>
          <w:rStyle w:val="45"/>
          <w:rFonts w:hint="eastAsia" w:ascii="宋体" w:hAnsi="宋体" w:eastAsia="宋体" w:cs="宋体"/>
          <w:color w:val="auto"/>
          <w:highlight w:val="none"/>
        </w:rPr>
        <w:t>磋商须知</w:t>
      </w:r>
      <w:bookmarkEnd w:id="63"/>
      <w:bookmarkEnd w:id="64"/>
      <w:bookmarkEnd w:id="65"/>
      <w:bookmarkEnd w:id="66"/>
      <w:bookmarkEnd w:id="67"/>
      <w:bookmarkEnd w:id="68"/>
      <w:bookmarkEnd w:id="69"/>
      <w:bookmarkEnd w:id="70"/>
      <w:bookmarkEnd w:id="71"/>
      <w:bookmarkEnd w:id="72"/>
    </w:p>
    <w:p>
      <w:pPr>
        <w:pStyle w:val="5"/>
        <w:jc w:val="center"/>
        <w:rPr>
          <w:rFonts w:hint="eastAsia" w:ascii="宋体" w:hAnsi="宋体" w:eastAsia="宋体" w:cs="宋体"/>
          <w:color w:val="auto"/>
          <w:highlight w:val="none"/>
        </w:rPr>
      </w:pPr>
      <w:bookmarkStart w:id="73" w:name="_Toc16618"/>
      <w:bookmarkStart w:id="74" w:name="_Toc17946"/>
      <w:bookmarkStart w:id="75" w:name="_Toc18675"/>
      <w:bookmarkStart w:id="76" w:name="_Toc30631"/>
      <w:bookmarkStart w:id="77" w:name="_Toc11381"/>
      <w:bookmarkStart w:id="78" w:name="_Toc27964"/>
      <w:bookmarkStart w:id="79" w:name="_Toc3894"/>
      <w:r>
        <w:rPr>
          <w:rFonts w:hint="eastAsia" w:ascii="宋体" w:hAnsi="宋体" w:eastAsia="宋体" w:cs="宋体"/>
          <w:color w:val="auto"/>
          <w:highlight w:val="none"/>
        </w:rPr>
        <w:t>一、供应商须知附表</w:t>
      </w:r>
      <w:bookmarkEnd w:id="73"/>
      <w:bookmarkEnd w:id="74"/>
    </w:p>
    <w:tbl>
      <w:tblPr>
        <w:tblStyle w:val="32"/>
        <w:tblW w:w="949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63"/>
        <w:gridCol w:w="1436"/>
        <w:gridCol w:w="729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应知事项</w:t>
            </w:r>
          </w:p>
        </w:tc>
        <w:tc>
          <w:tcPr>
            <w:tcW w:w="7294"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确定邀请磋商的供应商数量和方式</w:t>
            </w:r>
          </w:p>
        </w:tc>
        <w:tc>
          <w:tcPr>
            <w:tcW w:w="7294" w:type="dxa"/>
            <w:vAlign w:val="center"/>
          </w:tcPr>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本次采购采取方式</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邀请参加磋商的供应商。</w:t>
            </w:r>
          </w:p>
          <w:p>
            <w:pPr>
              <w:pStyle w:val="29"/>
              <w:widowControl w:val="0"/>
              <w:adjustRightInd w:val="0"/>
              <w:snapToGrid w:val="0"/>
              <w:spacing w:before="0" w:beforeAutospacing="0" w:after="0" w:afterAutospacing="0"/>
              <w:ind w:firstLine="210" w:firstLineChars="1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zh-CN"/>
              </w:rPr>
              <w:t>方式1（公告方式）：本次竞争性磋商邀请在四川政府采购（</w:t>
            </w:r>
            <w:r>
              <w:rPr>
                <w:rFonts w:hint="eastAsia" w:ascii="宋体" w:hAnsi="宋体" w:eastAsia="宋体" w:cs="宋体"/>
                <w:color w:val="auto"/>
                <w:sz w:val="21"/>
                <w:szCs w:val="21"/>
                <w:highlight w:val="none"/>
                <w:shd w:val="clear" w:color="auto" w:fill="FFFFFF"/>
              </w:rPr>
              <w:t>http://www.ccgp-</w:t>
            </w:r>
          </w:p>
          <w:p>
            <w:pPr>
              <w:pStyle w:val="29"/>
              <w:widowControl w:val="0"/>
              <w:adjustRightInd w:val="0"/>
              <w:snapToGrid w:val="0"/>
              <w:spacing w:before="0" w:beforeAutospacing="0" w:after="0" w:afterAutospacing="0"/>
              <w:ind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shd w:val="clear" w:color="auto" w:fill="FFFFFF"/>
              </w:rPr>
              <w:t>sichuan.gov.cn</w:t>
            </w:r>
            <w:r>
              <w:rPr>
                <w:rFonts w:hint="eastAsia" w:ascii="宋体" w:hAnsi="宋体" w:eastAsia="宋体" w:cs="宋体"/>
                <w:color w:val="auto"/>
                <w:sz w:val="21"/>
                <w:szCs w:val="21"/>
                <w:highlight w:val="none"/>
                <w:lang w:val="zh-CN"/>
              </w:rPr>
              <w:t>）上以公告形式发布；</w:t>
            </w:r>
          </w:p>
          <w:p>
            <w:pPr>
              <w:pStyle w:val="61"/>
              <w:autoSpaceDE/>
              <w:autoSpaceDN/>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方式2（书面推荐）：通过采购人和评审专家各自出具书面推荐意见，推荐符合相应资格条件的供应商参与本次采购活动；</w:t>
            </w:r>
          </w:p>
          <w:p>
            <w:pPr>
              <w:pStyle w:val="61"/>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方式3（供应商库随机抽取）：通过省级以上财政部门建立的供应商库中随机抽取供应商。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采购预算</w:t>
            </w:r>
          </w:p>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294" w:type="dxa"/>
          </w:tcPr>
          <w:p>
            <w:pPr>
              <w:pStyle w:val="61"/>
              <w:autoSpaceDE/>
              <w:autoSpaceDN/>
              <w:snapToGrid w:val="0"/>
              <w:spacing w:line="360" w:lineRule="auto"/>
              <w:ind w:firstLine="211" w:firstLineChars="1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本项目采购预算金额为：</w:t>
            </w:r>
            <w:r>
              <w:rPr>
                <w:rFonts w:hint="eastAsia" w:cs="宋体"/>
                <w:b/>
                <w:bCs/>
                <w:color w:val="auto"/>
                <w:sz w:val="21"/>
                <w:szCs w:val="21"/>
                <w:highlight w:val="none"/>
                <w:lang w:eastAsia="zh-CN"/>
              </w:rPr>
              <w:t>42万元</w:t>
            </w:r>
            <w:r>
              <w:rPr>
                <w:rFonts w:hint="eastAsia" w:ascii="宋体" w:hAnsi="宋体" w:eastAsia="宋体" w:cs="宋体"/>
                <w:b/>
                <w:bCs/>
                <w:color w:val="auto"/>
                <w:sz w:val="21"/>
                <w:szCs w:val="21"/>
                <w:highlight w:val="none"/>
                <w:lang w:val="zh-CN"/>
              </w:rPr>
              <w:t>。</w:t>
            </w:r>
          </w:p>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最高限价</w:t>
            </w:r>
          </w:p>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294" w:type="dxa"/>
            <w:vAlign w:val="center"/>
          </w:tcPr>
          <w:p>
            <w:pPr>
              <w:pStyle w:val="61"/>
              <w:autoSpaceDE/>
              <w:autoSpaceDN/>
              <w:snapToGrid w:val="0"/>
              <w:spacing w:line="360" w:lineRule="auto"/>
              <w:ind w:firstLine="211" w:firstLineChars="1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本项目最高限价为：</w:t>
            </w:r>
            <w:r>
              <w:rPr>
                <w:rFonts w:hint="eastAsia" w:cs="宋体"/>
                <w:b/>
                <w:bCs/>
                <w:color w:val="auto"/>
                <w:sz w:val="21"/>
                <w:szCs w:val="21"/>
                <w:highlight w:val="none"/>
                <w:u w:val="none"/>
                <w:lang w:val="en-US" w:eastAsia="zh-CN"/>
              </w:rPr>
              <w:t>42万元</w:t>
            </w:r>
            <w:r>
              <w:rPr>
                <w:rFonts w:hint="eastAsia" w:ascii="宋体" w:hAnsi="宋体" w:eastAsia="宋体" w:cs="宋体"/>
                <w:b/>
                <w:bCs/>
                <w:color w:val="auto"/>
                <w:sz w:val="21"/>
                <w:szCs w:val="21"/>
                <w:highlight w:val="none"/>
                <w:lang w:val="en-US" w:eastAsia="zh-CN"/>
              </w:rPr>
              <w:t>。</w:t>
            </w:r>
          </w:p>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超过最高限价</w:t>
            </w:r>
            <w:r>
              <w:rPr>
                <w:rFonts w:hint="eastAsia" w:ascii="宋体" w:hAnsi="宋体" w:eastAsia="宋体" w:cs="宋体"/>
                <w:b w:val="0"/>
                <w:bCs w:val="0"/>
                <w:color w:val="auto"/>
                <w:sz w:val="21"/>
                <w:szCs w:val="21"/>
                <w:highlight w:val="none"/>
                <w:lang w:val="zh-CN"/>
              </w:rPr>
              <w:t>的</w:t>
            </w:r>
            <w:r>
              <w:rPr>
                <w:rFonts w:hint="eastAsia" w:ascii="宋体" w:hAnsi="宋体" w:eastAsia="宋体" w:cs="宋体"/>
                <w:color w:val="auto"/>
                <w:sz w:val="21"/>
                <w:szCs w:val="21"/>
                <w:highlight w:val="none"/>
                <w:lang w:val="zh-CN"/>
              </w:rPr>
              <w:t>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4</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进口产品</w:t>
            </w:r>
          </w:p>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294" w:type="dxa"/>
            <w:vAlign w:val="center"/>
          </w:tcPr>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本项目不允许采购进口产品。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联合体</w:t>
            </w:r>
          </w:p>
        </w:tc>
        <w:tc>
          <w:tcPr>
            <w:tcW w:w="7294" w:type="dxa"/>
            <w:vAlign w:val="center"/>
          </w:tcPr>
          <w:p>
            <w:pPr>
              <w:pStyle w:val="61"/>
              <w:autoSpaceDE/>
              <w:autoSpaceDN/>
              <w:snapToGrid w:val="0"/>
              <w:spacing w:line="360" w:lineRule="auto"/>
              <w:ind w:firstLine="211"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不接受</w:t>
            </w:r>
            <w:r>
              <w:rPr>
                <w:rFonts w:hint="eastAsia" w:ascii="宋体" w:hAnsi="宋体" w:eastAsia="宋体" w:cs="宋体"/>
                <w:b/>
                <w:bCs/>
                <w:color w:val="auto"/>
                <w:sz w:val="21"/>
                <w:szCs w:val="21"/>
                <w:highlight w:val="none"/>
                <w:lang w:val="zh-CN"/>
              </w:rPr>
              <w:t>联合体</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低于成本价</w:t>
            </w:r>
          </w:p>
          <w:p>
            <w:pPr>
              <w:pStyle w:val="61"/>
              <w:autoSpaceDE/>
              <w:autoSpaceDN/>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不正当竞争预防措施</w:t>
            </w:r>
          </w:p>
          <w:p>
            <w:pPr>
              <w:pStyle w:val="61"/>
              <w:autoSpaceDE/>
              <w:autoSpaceDN/>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w:t>
            </w:r>
          </w:p>
        </w:tc>
        <w:tc>
          <w:tcPr>
            <w:tcW w:w="7294" w:type="dxa"/>
            <w:vAlign w:val="center"/>
          </w:tcPr>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评审过程中，供应商的报价明显低于其他通过实质性审查供应商的报价，有可能影响服务质量或者不能诚信履约的，磋商小组应当要求其在磋商现场90分钟内提供书面说明，并提交相关证明材料，供应商不能证明其报价合理性的，磋商小组应当将其作为无效处理。</w:t>
            </w:r>
          </w:p>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供应商的书面说明材料应当按照国家财务会计制度的规定要求，逐项就供应商提供的货物、工程和服务的主营业务成本、税金及附加、销售费用、管理费用、财务费用等成本构成事项详细陈述。</w:t>
            </w:r>
          </w:p>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2.供应商书面说明应当签字确认或者加盖公章，否则无效。书面说明的签字确认，供应商为法人的，由其法定代表人/单位负责人或者代理人签字确认；供应商为其他组织的，由其主要负责人或者代理人签字确认。</w:t>
            </w:r>
          </w:p>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小微企业（监狱企业、残疾人福利性单位视同小微企业）价格扣除</w:t>
            </w:r>
          </w:p>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294" w:type="dxa"/>
          </w:tcPr>
          <w:p>
            <w:pPr>
              <w:bidi w:val="0"/>
              <w:ind w:left="0" w:leftChars="0" w:firstLine="211" w:firstLineChars="1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zh-CN" w:eastAsia="zh-CN" w:bidi="ar-SA"/>
              </w:rPr>
              <w:t>本项目专门面向中小企业（监狱企业、残疾人福利性单位视同小微企业）采购。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36" w:type="dxa"/>
            <w:vAlign w:val="center"/>
          </w:tcPr>
          <w:p>
            <w:pPr>
              <w:adjustRightInd w:val="0"/>
              <w:snapToGrid w:val="0"/>
              <w:ind w:firstLine="0" w:firstLineChars="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节能、环境标志、无线局域网产品政府采购政策</w:t>
            </w:r>
            <w:r>
              <w:rPr>
                <w:rFonts w:hint="eastAsia" w:cs="宋体"/>
                <w:color w:val="auto"/>
                <w:sz w:val="21"/>
                <w:szCs w:val="21"/>
                <w:highlight w:val="none"/>
                <w:lang w:eastAsia="zh-CN"/>
              </w:rPr>
              <w:t>（本项目不涉及）</w:t>
            </w:r>
          </w:p>
        </w:tc>
        <w:tc>
          <w:tcPr>
            <w:tcW w:w="7294" w:type="dxa"/>
          </w:tcPr>
          <w:p>
            <w:pPr>
              <w:pStyle w:val="72"/>
              <w:snapToGrid w:val="0"/>
              <w:spacing w:line="360" w:lineRule="auto"/>
              <w:ind w:firstLine="211" w:firstLineChars="1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1.节能产品、环境标志产品</w:t>
            </w:r>
          </w:p>
          <w:p>
            <w:pPr>
              <w:pStyle w:val="61"/>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61"/>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本项目采购的产品属于品目清单强制采购范围的，供应商应按上述要求提供产品认证证书复印件并加盖供应商单位公章（鲜章），未提供的作无效响应处理。（实质性要求）</w:t>
            </w:r>
          </w:p>
          <w:p>
            <w:pPr>
              <w:pStyle w:val="61"/>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本项目采购的产品属于品目清单内优先采购产品的，按照本磋商文件第八章中综合评分明细表的规定进行认定。</w:t>
            </w:r>
          </w:p>
          <w:p>
            <w:pPr>
              <w:pStyle w:val="61"/>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pStyle w:val="72"/>
              <w:snapToGrid w:val="0"/>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2.无线局域网产品</w:t>
            </w:r>
          </w:p>
          <w:p>
            <w:pPr>
              <w:pStyle w:val="72"/>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财政部国家发展改革委信息产业部关于印发无线局域网产品政府采购实施意见的通知》财库[2005]366号文要求，本项目采购的产品属于《无线局域网认证产品政府采购清单》的，按照本磋商文件第八章中综合评分明细表的规定进行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9</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磋商情况公告</w:t>
            </w:r>
          </w:p>
        </w:tc>
        <w:tc>
          <w:tcPr>
            <w:tcW w:w="7294" w:type="dxa"/>
            <w:vAlign w:val="center"/>
          </w:tcPr>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10</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磋商保证金</w:t>
            </w:r>
          </w:p>
        </w:tc>
        <w:tc>
          <w:tcPr>
            <w:tcW w:w="7294" w:type="dxa"/>
            <w:vAlign w:val="center"/>
          </w:tcPr>
          <w:p>
            <w:pPr>
              <w:pStyle w:val="73"/>
              <w:snapToGrid w:val="0"/>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本项目无磋商保证金。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11</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履约保证金</w:t>
            </w:r>
          </w:p>
        </w:tc>
        <w:tc>
          <w:tcPr>
            <w:tcW w:w="7294" w:type="dxa"/>
            <w:vAlign w:val="center"/>
          </w:tcPr>
          <w:p>
            <w:pPr>
              <w:pStyle w:val="61"/>
              <w:autoSpaceDE/>
              <w:autoSpaceDN/>
              <w:snapToGrid w:val="0"/>
              <w:spacing w:line="360" w:lineRule="auto"/>
              <w:ind w:firstLine="211" w:firstLineChars="1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本项目无履约保证金。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2</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文件咨询</w:t>
            </w:r>
          </w:p>
        </w:tc>
        <w:tc>
          <w:tcPr>
            <w:tcW w:w="7294" w:type="dxa"/>
            <w:vAlign w:val="center"/>
          </w:tcPr>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rPr>
              <w:t>何</w:t>
            </w:r>
            <w:r>
              <w:rPr>
                <w:rFonts w:hint="eastAsia" w:ascii="宋体" w:hAnsi="宋体" w:eastAsia="宋体" w:cs="宋体"/>
                <w:color w:val="auto"/>
                <w:sz w:val="21"/>
                <w:szCs w:val="21"/>
                <w:highlight w:val="none"/>
                <w:lang w:val="zh-CN"/>
              </w:rPr>
              <w:t>女士、杨女士，联系电话：</w:t>
            </w:r>
            <w:r>
              <w:rPr>
                <w:rFonts w:hint="eastAsia" w:cs="宋体"/>
                <w:color w:val="auto"/>
                <w:sz w:val="21"/>
                <w:szCs w:val="21"/>
                <w:highlight w:val="none"/>
                <w:lang w:val="zh-CN"/>
              </w:rPr>
              <w:t>028-87701706</w:t>
            </w:r>
            <w:r>
              <w:rPr>
                <w:rFonts w:hint="eastAsia" w:ascii="宋体" w:hAnsi="宋体" w:eastAsia="宋体" w:cs="宋体"/>
                <w:color w:val="auto"/>
                <w:sz w:val="21"/>
                <w:szCs w:val="21"/>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3</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磋商过程、结果</w:t>
            </w:r>
          </w:p>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工作咨询</w:t>
            </w:r>
          </w:p>
        </w:tc>
        <w:tc>
          <w:tcPr>
            <w:tcW w:w="7294" w:type="dxa"/>
            <w:vAlign w:val="center"/>
          </w:tcPr>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联系人：王女士、郑女士，联系电话：</w:t>
            </w:r>
            <w:r>
              <w:rPr>
                <w:rFonts w:hint="eastAsia" w:cs="宋体"/>
                <w:color w:val="auto"/>
                <w:sz w:val="21"/>
                <w:szCs w:val="21"/>
                <w:highlight w:val="none"/>
                <w:lang w:val="zh-CN"/>
              </w:rPr>
              <w:t>028-87701706</w:t>
            </w:r>
            <w:r>
              <w:rPr>
                <w:rFonts w:hint="eastAsia" w:ascii="宋体" w:hAnsi="宋体" w:eastAsia="宋体" w:cs="宋体"/>
                <w:color w:val="auto"/>
                <w:sz w:val="21"/>
                <w:szCs w:val="21"/>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4</w:t>
            </w:r>
          </w:p>
        </w:tc>
        <w:tc>
          <w:tcPr>
            <w:tcW w:w="1436" w:type="dxa"/>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成交通知书</w:t>
            </w:r>
          </w:p>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领取</w:t>
            </w:r>
          </w:p>
        </w:tc>
        <w:tc>
          <w:tcPr>
            <w:tcW w:w="7294" w:type="dxa"/>
            <w:vAlign w:val="center"/>
          </w:tcPr>
          <w:p>
            <w:pPr>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成交公告在四川政府采购网上发布后，请成交供应商凭公司介绍信（注明项目名称、项目编号以及经办事项等，加盖公章）、经办人身份证（复印件并加盖公章）到四川天力招标有限责任公司领取成交通知书。</w:t>
            </w:r>
          </w:p>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联系人：王女士、郑女士 </w:t>
            </w:r>
          </w:p>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cs="宋体"/>
                <w:color w:val="auto"/>
                <w:sz w:val="21"/>
                <w:szCs w:val="21"/>
                <w:highlight w:val="none"/>
                <w:lang w:val="zh-CN"/>
              </w:rPr>
              <w:t>028-87701706</w:t>
            </w:r>
            <w:r>
              <w:rPr>
                <w:rFonts w:hint="eastAsia" w:ascii="宋体" w:hAnsi="宋体" w:eastAsia="宋体" w:cs="宋体"/>
                <w:color w:val="auto"/>
                <w:sz w:val="21"/>
                <w:szCs w:val="21"/>
                <w:highlight w:val="none"/>
                <w:lang w:val="zh-CN"/>
              </w:rPr>
              <w:t xml:space="preserve">   </w:t>
            </w:r>
          </w:p>
          <w:p>
            <w:pPr>
              <w:pStyle w:val="61"/>
              <w:autoSpaceDE/>
              <w:autoSpaceDN/>
              <w:snapToGrid w:val="0"/>
              <w:spacing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地址：成都市金牛区九里堤南路93号6楼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p>
        </w:tc>
        <w:tc>
          <w:tcPr>
            <w:tcW w:w="1436" w:type="dxa"/>
            <w:tcBorders>
              <w:top w:val="single" w:color="auto" w:sz="8" w:space="0"/>
              <w:left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p>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供应商询问、</w:t>
            </w:r>
          </w:p>
          <w:p>
            <w:pPr>
              <w:pStyle w:val="61"/>
              <w:autoSpaceDE/>
              <w:autoSpaceDN/>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w:t>
            </w:r>
          </w:p>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p>
        </w:tc>
        <w:tc>
          <w:tcPr>
            <w:tcW w:w="7294" w:type="dxa"/>
            <w:tcBorders>
              <w:top w:val="single" w:color="auto" w:sz="8" w:space="0"/>
              <w:left w:val="single" w:color="auto" w:sz="8" w:space="0"/>
              <w:right w:val="single" w:color="auto" w:sz="18" w:space="0"/>
            </w:tcBorders>
          </w:tcPr>
          <w:p>
            <w:pPr>
              <w:pStyle w:val="61"/>
              <w:autoSpaceDE/>
              <w:autoSpaceDN/>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根据委托代理协议约定，对</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文件技术要求的询问、质疑，向采购人提出，并由采购人按相关规定作出答复。</w:t>
            </w:r>
          </w:p>
          <w:p>
            <w:pPr>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采购人的联系人：</w:t>
            </w:r>
            <w:r>
              <w:rPr>
                <w:rFonts w:hint="eastAsia" w:cs="宋体"/>
                <w:color w:val="auto"/>
                <w:sz w:val="21"/>
                <w:szCs w:val="21"/>
                <w:highlight w:val="none"/>
                <w:lang w:val="en-US" w:eastAsia="zh-CN"/>
              </w:rPr>
              <w:t>李</w:t>
            </w:r>
            <w:r>
              <w:rPr>
                <w:rFonts w:hint="eastAsia" w:ascii="宋体" w:hAnsi="宋体" w:eastAsia="宋体" w:cs="宋体"/>
                <w:color w:val="auto"/>
                <w:sz w:val="21"/>
                <w:szCs w:val="21"/>
                <w:highlight w:val="none"/>
                <w:lang w:val="zh-CN"/>
              </w:rPr>
              <w:t xml:space="preserve">老师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联系电话：</w:t>
            </w:r>
            <w:r>
              <w:rPr>
                <w:rFonts w:hint="eastAsia" w:cs="宋体"/>
                <w:color w:val="auto"/>
                <w:sz w:val="21"/>
                <w:szCs w:val="21"/>
                <w:highlight w:val="none"/>
                <w:lang w:val="zh-CN" w:eastAsia="zh-CN"/>
              </w:rPr>
              <w:t>028-87506389</w:t>
            </w:r>
          </w:p>
          <w:p>
            <w:pPr>
              <w:pStyle w:val="61"/>
              <w:autoSpaceDE/>
              <w:autoSpaceDN/>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根据委托代理协议约定，对</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文件中的其他内容、采购过程及</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val="zh-CN"/>
              </w:rPr>
              <w:t>结果的询问、质疑，向代理机构提出，并由代理机构按相关规定作出答复。</w:t>
            </w:r>
          </w:p>
          <w:p>
            <w:pPr>
              <w:pStyle w:val="61"/>
              <w:autoSpaceDE/>
              <w:autoSpaceDN/>
              <w:snapToGrid w:val="0"/>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采购代理机构的联系人：王女士、</w:t>
            </w:r>
            <w:r>
              <w:rPr>
                <w:rFonts w:hint="eastAsia" w:ascii="宋体" w:hAnsi="宋体" w:eastAsia="宋体" w:cs="宋体"/>
                <w:color w:val="auto"/>
                <w:sz w:val="21"/>
                <w:szCs w:val="21"/>
                <w:highlight w:val="none"/>
              </w:rPr>
              <w:t>郑</w:t>
            </w:r>
            <w:r>
              <w:rPr>
                <w:rFonts w:hint="eastAsia" w:ascii="宋体" w:hAnsi="宋体" w:eastAsia="宋体" w:cs="宋体"/>
                <w:color w:val="auto"/>
                <w:sz w:val="21"/>
                <w:szCs w:val="21"/>
                <w:highlight w:val="none"/>
                <w:lang w:val="zh-CN"/>
              </w:rPr>
              <w:t>女士  联系电话：</w:t>
            </w:r>
            <w:r>
              <w:rPr>
                <w:rFonts w:hint="eastAsia" w:cs="宋体"/>
                <w:color w:val="auto"/>
                <w:sz w:val="21"/>
                <w:szCs w:val="21"/>
                <w:highlight w:val="none"/>
                <w:lang w:eastAsia="zh-CN"/>
              </w:rPr>
              <w:t>028-87701706</w:t>
            </w:r>
          </w:p>
          <w:p>
            <w:pPr>
              <w:pStyle w:val="61"/>
              <w:autoSpaceDE/>
              <w:autoSpaceDN/>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注：根据《中华人民共和国政府采购法》的规定，供应商质疑不得超出采购文件、采购过程、采购结果的范围。供应商针对同一采购程序环节的质疑应在法定质疑期内一次性提出。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6</w:t>
            </w:r>
          </w:p>
        </w:tc>
        <w:tc>
          <w:tcPr>
            <w:tcW w:w="1436" w:type="dxa"/>
            <w:tcBorders>
              <w:top w:val="single" w:color="auto" w:sz="8" w:space="0"/>
              <w:left w:val="single" w:color="auto" w:sz="8" w:space="0"/>
              <w:bottom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供应商投诉</w:t>
            </w:r>
          </w:p>
        </w:tc>
        <w:tc>
          <w:tcPr>
            <w:tcW w:w="7294" w:type="dxa"/>
            <w:tcBorders>
              <w:top w:val="single" w:color="auto" w:sz="8" w:space="0"/>
              <w:left w:val="single" w:color="auto" w:sz="8" w:space="0"/>
              <w:bottom w:val="single" w:color="auto" w:sz="8" w:space="0"/>
              <w:right w:val="single" w:color="auto" w:sz="18" w:space="0"/>
            </w:tcBorders>
            <w:vAlign w:val="center"/>
          </w:tcPr>
          <w:p>
            <w:pPr>
              <w:pStyle w:val="61"/>
              <w:autoSpaceDE/>
              <w:autoSpaceDN/>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质疑供应商对采购人或采购代理机构的质疑答复不满意可在答复期满后十五个工作日内向同级政府采购监督管理部门投诉。</w:t>
            </w:r>
          </w:p>
          <w:p>
            <w:pPr>
              <w:pStyle w:val="61"/>
              <w:autoSpaceDE/>
              <w:autoSpaceDN/>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投诉受理单位：本项目同级财政部门，即成都市金牛区财政局。</w:t>
            </w:r>
          </w:p>
          <w:p>
            <w:pPr>
              <w:pStyle w:val="61"/>
              <w:autoSpaceDE/>
              <w:autoSpaceDN/>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联系电话：</w:t>
            </w:r>
            <w:r>
              <w:rPr>
                <w:rFonts w:hint="eastAsia" w:cs="宋体"/>
                <w:color w:val="auto"/>
                <w:sz w:val="21"/>
                <w:szCs w:val="21"/>
                <w:highlight w:val="none"/>
                <w:lang w:val="zh-CN"/>
              </w:rPr>
              <w:t>028-87705190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联系地址：成都市金牛区沙湾路65号</w:t>
            </w:r>
          </w:p>
          <w:p>
            <w:pPr>
              <w:pStyle w:val="61"/>
              <w:autoSpaceDE/>
              <w:autoSpaceDN/>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注：根据《政府采购质疑和投诉办法》——中华人民共和国财政部令第94号的规定，供应商投诉事项不得超出已质疑事项的范围，但基于质疑答复内容提出的投诉事项除外。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7</w:t>
            </w:r>
          </w:p>
        </w:tc>
        <w:tc>
          <w:tcPr>
            <w:tcW w:w="1436" w:type="dxa"/>
            <w:tcBorders>
              <w:top w:val="single" w:color="auto" w:sz="8" w:space="0"/>
              <w:left w:val="single" w:color="auto" w:sz="8" w:space="0"/>
              <w:bottom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政府采购合同公告备案</w:t>
            </w:r>
          </w:p>
        </w:tc>
        <w:tc>
          <w:tcPr>
            <w:tcW w:w="7294" w:type="dxa"/>
            <w:tcBorders>
              <w:top w:val="single" w:color="auto" w:sz="8" w:space="0"/>
              <w:left w:val="single" w:color="auto" w:sz="8" w:space="0"/>
              <w:bottom w:val="single" w:color="auto" w:sz="8" w:space="0"/>
              <w:right w:val="single" w:color="auto" w:sz="18" w:space="0"/>
            </w:tcBorders>
            <w:vAlign w:val="center"/>
          </w:tcPr>
          <w:p>
            <w:pPr>
              <w:pStyle w:val="61"/>
              <w:autoSpaceDE/>
              <w:autoSpaceDN/>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政府采购合同签订之日起2个工作日内，政府采购合同将在四川政府采购网公告；政府采购合同签订之日起</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个工作日内，政府采购合同将向采购项目同级财政部门备案，即成都市金牛区财政局备案。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436" w:type="dxa"/>
            <w:tcBorders>
              <w:top w:val="single" w:color="auto" w:sz="8" w:space="0"/>
              <w:left w:val="single" w:color="auto" w:sz="8" w:space="0"/>
              <w:bottom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代理服务费</w:t>
            </w:r>
          </w:p>
        </w:tc>
        <w:tc>
          <w:tcPr>
            <w:tcW w:w="7294" w:type="dxa"/>
            <w:tcBorders>
              <w:top w:val="single" w:color="auto" w:sz="8" w:space="0"/>
              <w:left w:val="single" w:color="auto" w:sz="8" w:space="0"/>
              <w:bottom w:val="single" w:color="auto" w:sz="8" w:space="0"/>
              <w:right w:val="single" w:color="auto" w:sz="18" w:space="0"/>
            </w:tcBorders>
            <w:vAlign w:val="center"/>
          </w:tcPr>
          <w:p>
            <w:pPr>
              <w:adjustRightInd w:val="0"/>
              <w:snapToGrid w:val="0"/>
              <w:ind w:firstLine="210" w:firstLineChars="1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本项目代理服务费由成交供应商支付，按包干价</w:t>
            </w:r>
            <w:r>
              <w:rPr>
                <w:rFonts w:hint="eastAsia" w:ascii="宋体" w:hAnsi="宋体" w:eastAsia="宋体" w:cs="宋体"/>
                <w:b/>
                <w:bCs/>
                <w:color w:val="auto"/>
                <w:sz w:val="21"/>
                <w:szCs w:val="21"/>
                <w:highlight w:val="none"/>
                <w:lang w:val="zh-CN" w:eastAsia="zh-CN" w:bidi="ar-SA"/>
              </w:rPr>
              <w:t>人民币1</w:t>
            </w:r>
            <w:r>
              <w:rPr>
                <w:rFonts w:hint="eastAsia" w:cs="宋体"/>
                <w:b/>
                <w:bCs/>
                <w:color w:val="auto"/>
                <w:sz w:val="21"/>
                <w:szCs w:val="21"/>
                <w:highlight w:val="none"/>
                <w:lang w:val="en-US" w:eastAsia="zh-CN" w:bidi="ar-SA"/>
              </w:rPr>
              <w:t>00</w:t>
            </w:r>
            <w:r>
              <w:rPr>
                <w:rFonts w:hint="eastAsia" w:ascii="宋体" w:hAnsi="宋体" w:eastAsia="宋体" w:cs="宋体"/>
                <w:b/>
                <w:bCs/>
                <w:color w:val="auto"/>
                <w:sz w:val="21"/>
                <w:szCs w:val="21"/>
                <w:highlight w:val="none"/>
                <w:lang w:val="zh-CN" w:eastAsia="zh-CN" w:bidi="ar-SA"/>
              </w:rPr>
              <w:t>00元（大写：壹万元整）</w:t>
            </w:r>
            <w:r>
              <w:rPr>
                <w:rFonts w:hint="eastAsia" w:ascii="宋体" w:hAnsi="宋体" w:eastAsia="宋体" w:cs="宋体"/>
                <w:color w:val="auto"/>
                <w:sz w:val="21"/>
                <w:szCs w:val="21"/>
                <w:highlight w:val="none"/>
                <w:lang w:val="zh-CN" w:eastAsia="zh-CN" w:bidi="ar-SA"/>
              </w:rPr>
              <w:t>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436" w:type="dxa"/>
            <w:tcBorders>
              <w:top w:val="single" w:color="auto" w:sz="8" w:space="0"/>
              <w:left w:val="single" w:color="auto" w:sz="8" w:space="0"/>
              <w:bottom w:val="single" w:color="auto" w:sz="8" w:space="0"/>
              <w:right w:val="single" w:color="auto" w:sz="4" w:space="0"/>
            </w:tcBorders>
            <w:vAlign w:val="center"/>
          </w:tcPr>
          <w:p>
            <w:pPr>
              <w:ind w:firstLine="0" w:firstLineChars="0"/>
              <w:jc w:val="center"/>
              <w:rPr>
                <w:rFonts w:hint="eastAsia"/>
                <w:color w:val="auto"/>
                <w:sz w:val="21"/>
                <w:szCs w:val="21"/>
                <w:highlight w:val="none"/>
                <w:lang w:val="zh-CN" w:eastAsia="zh-CN"/>
              </w:rPr>
            </w:pPr>
            <w:r>
              <w:rPr>
                <w:rFonts w:hint="eastAsia"/>
                <w:color w:val="auto"/>
                <w:sz w:val="21"/>
                <w:szCs w:val="21"/>
                <w:highlight w:val="none"/>
                <w:lang w:val="zh-CN" w:eastAsia="zh-CN"/>
              </w:rPr>
              <w:t>采购标的</w:t>
            </w:r>
          </w:p>
        </w:tc>
        <w:tc>
          <w:tcPr>
            <w:tcW w:w="7294" w:type="dxa"/>
            <w:tcBorders>
              <w:top w:val="single" w:color="auto" w:sz="8" w:space="0"/>
              <w:left w:val="single" w:color="auto" w:sz="4" w:space="0"/>
              <w:bottom w:val="single" w:color="auto" w:sz="8" w:space="0"/>
              <w:right w:val="single" w:color="auto" w:sz="18" w:space="0"/>
            </w:tcBorders>
            <w:vAlign w:val="center"/>
          </w:tcPr>
          <w:p>
            <w:pPr>
              <w:ind w:firstLine="0" w:firstLineChars="0"/>
              <w:jc w:val="center"/>
              <w:rPr>
                <w:rFonts w:hint="eastAsia"/>
                <w:color w:val="auto"/>
                <w:sz w:val="21"/>
                <w:szCs w:val="21"/>
                <w:highlight w:val="none"/>
                <w:lang w:val="en-US" w:eastAsia="zh-CN"/>
              </w:rPr>
            </w:pPr>
            <w:r>
              <w:rPr>
                <w:rFonts w:hint="eastAsia"/>
                <w:color w:val="auto"/>
                <w:sz w:val="21"/>
                <w:szCs w:val="21"/>
                <w:highlight w:val="none"/>
                <w:lang w:eastAsia="zh-CN"/>
              </w:rPr>
              <w:t>基坑变形观测及主体结构沉降观测服务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61"/>
              <w:autoSpaceDE/>
              <w:autoSpaceDN/>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436" w:type="dxa"/>
            <w:tcBorders>
              <w:top w:val="single" w:color="auto" w:sz="8" w:space="0"/>
              <w:left w:val="single" w:color="auto" w:sz="8" w:space="0"/>
              <w:bottom w:val="single" w:color="auto" w:sz="8" w:space="0"/>
              <w:right w:val="single" w:color="auto" w:sz="4" w:space="0"/>
            </w:tcBorders>
            <w:vAlign w:val="center"/>
          </w:tcPr>
          <w:p>
            <w:pPr>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所属行业</w:t>
            </w:r>
          </w:p>
        </w:tc>
        <w:tc>
          <w:tcPr>
            <w:tcW w:w="7294" w:type="dxa"/>
            <w:tcBorders>
              <w:top w:val="single" w:color="auto" w:sz="8" w:space="0"/>
              <w:left w:val="single" w:color="auto" w:sz="4" w:space="0"/>
              <w:bottom w:val="single" w:color="auto" w:sz="8" w:space="0"/>
              <w:right w:val="single" w:color="auto" w:sz="18" w:space="0"/>
            </w:tcBorders>
            <w:vAlign w:val="center"/>
          </w:tcPr>
          <w:p>
            <w:pPr>
              <w:ind w:firstLine="0" w:firstLineChars="0"/>
              <w:jc w:val="center"/>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其他未列明行业</w:t>
            </w:r>
          </w:p>
        </w:tc>
      </w:tr>
    </w:tbl>
    <w:p>
      <w:pPr>
        <w:pStyle w:val="5"/>
        <w:jc w:val="center"/>
        <w:rPr>
          <w:rFonts w:hint="eastAsia" w:ascii="宋体" w:hAnsi="宋体" w:eastAsia="宋体" w:cs="宋体"/>
          <w:color w:val="auto"/>
          <w:highlight w:val="none"/>
        </w:rPr>
      </w:pPr>
      <w:bookmarkStart w:id="80" w:name="_Toc21051"/>
      <w:bookmarkStart w:id="81" w:name="_Toc28961"/>
      <w:r>
        <w:rPr>
          <w:rFonts w:hint="eastAsia" w:ascii="宋体" w:hAnsi="宋体" w:eastAsia="宋体" w:cs="宋体"/>
          <w:color w:val="auto"/>
          <w:highlight w:val="none"/>
        </w:rPr>
        <w:t>二、总  则</w:t>
      </w:r>
      <w:bookmarkEnd w:id="80"/>
      <w:bookmarkEnd w:id="81"/>
    </w:p>
    <w:p>
      <w:pPr>
        <w:pStyle w:val="6"/>
        <w:rPr>
          <w:rFonts w:hint="eastAsia" w:ascii="宋体" w:hAnsi="宋体" w:eastAsia="宋体" w:cs="宋体"/>
          <w:color w:val="auto"/>
          <w:highlight w:val="none"/>
        </w:rPr>
      </w:pPr>
      <w:bookmarkStart w:id="82" w:name="_Toc3741"/>
      <w:r>
        <w:rPr>
          <w:rFonts w:hint="eastAsia" w:ascii="宋体" w:hAnsi="宋体" w:eastAsia="宋体" w:cs="宋体"/>
          <w:color w:val="auto"/>
          <w:highlight w:val="none"/>
        </w:rPr>
        <w:t>2.1适用范围</w:t>
      </w:r>
      <w:bookmarkEnd w:id="75"/>
      <w:bookmarkEnd w:id="76"/>
      <w:bookmarkEnd w:id="77"/>
      <w:bookmarkEnd w:id="8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1、本磋商文件仅适用于本次磋商所叙述的采购项目。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2、本磋商文件的解释权归采购人和采购代理机构所有。</w:t>
      </w:r>
    </w:p>
    <w:p>
      <w:pPr>
        <w:pStyle w:val="6"/>
        <w:rPr>
          <w:rFonts w:hint="eastAsia" w:ascii="宋体" w:hAnsi="宋体" w:eastAsia="宋体" w:cs="宋体"/>
          <w:color w:val="auto"/>
          <w:highlight w:val="none"/>
        </w:rPr>
      </w:pPr>
      <w:bookmarkStart w:id="83" w:name="_Toc954"/>
      <w:bookmarkStart w:id="84" w:name="_Toc22695"/>
      <w:bookmarkStart w:id="85" w:name="_Toc20948"/>
      <w:bookmarkStart w:id="86" w:name="_Toc17017"/>
      <w:r>
        <w:rPr>
          <w:rFonts w:hint="eastAsia" w:ascii="宋体" w:hAnsi="宋体" w:eastAsia="宋体" w:cs="宋体"/>
          <w:color w:val="auto"/>
          <w:highlight w:val="none"/>
        </w:rPr>
        <w:t>2.2</w:t>
      </w:r>
      <w:bookmarkEnd w:id="83"/>
      <w:bookmarkEnd w:id="84"/>
      <w:bookmarkEnd w:id="85"/>
      <w:bookmarkEnd w:id="86"/>
      <w:r>
        <w:rPr>
          <w:rFonts w:hint="eastAsia" w:ascii="宋体" w:hAnsi="宋体" w:eastAsia="宋体" w:cs="宋体"/>
          <w:color w:val="auto"/>
          <w:highlight w:val="none"/>
        </w:rPr>
        <w:t>采购主体</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1、本次磋商的采购人是</w:t>
      </w:r>
      <w:r>
        <w:rPr>
          <w:rFonts w:hint="eastAsia" w:cs="宋体"/>
          <w:b/>
          <w:bCs/>
          <w:color w:val="auto"/>
          <w:highlight w:val="none"/>
          <w:u w:val="single"/>
          <w:lang w:eastAsia="zh-CN"/>
        </w:rPr>
        <w:t>成都市金牛区医疗机构管理服务中心</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2、本次磋商的采购代理机构是</w:t>
      </w:r>
      <w:r>
        <w:rPr>
          <w:rFonts w:hint="eastAsia" w:ascii="宋体" w:hAnsi="宋体" w:eastAsia="宋体" w:cs="宋体"/>
          <w:b/>
          <w:bCs/>
          <w:color w:val="auto"/>
          <w:highlight w:val="none"/>
          <w:u w:val="single"/>
        </w:rPr>
        <w:t>四川天力招标有限责任公司</w:t>
      </w:r>
      <w:r>
        <w:rPr>
          <w:rFonts w:hint="eastAsia" w:ascii="宋体" w:hAnsi="宋体" w:eastAsia="宋体" w:cs="宋体"/>
          <w:color w:val="auto"/>
          <w:highlight w:val="none"/>
        </w:rPr>
        <w:t>。</w:t>
      </w:r>
    </w:p>
    <w:p>
      <w:pPr>
        <w:pStyle w:val="6"/>
        <w:rPr>
          <w:rFonts w:hint="eastAsia" w:ascii="宋体" w:hAnsi="宋体" w:eastAsia="宋体" w:cs="宋体"/>
          <w:color w:val="auto"/>
          <w:highlight w:val="none"/>
        </w:rPr>
      </w:pPr>
      <w:bookmarkStart w:id="87" w:name="_Toc3854"/>
      <w:bookmarkStart w:id="88" w:name="_Toc27033"/>
      <w:bookmarkStart w:id="89" w:name="_Toc31953"/>
      <w:bookmarkStart w:id="90" w:name="_Toc5765"/>
      <w:r>
        <w:rPr>
          <w:rFonts w:hint="eastAsia" w:ascii="宋体" w:hAnsi="宋体" w:eastAsia="宋体" w:cs="宋体"/>
          <w:color w:val="auto"/>
          <w:highlight w:val="none"/>
        </w:rPr>
        <w:t>2.3合格的供应商</w:t>
      </w:r>
      <w:bookmarkEnd w:id="87"/>
      <w:bookmarkEnd w:id="88"/>
      <w:bookmarkEnd w:id="89"/>
      <w:bookmarkEnd w:id="90"/>
      <w:r>
        <w:rPr>
          <w:rFonts w:hint="eastAsia" w:ascii="宋体" w:hAnsi="宋体" w:eastAsia="宋体" w:cs="宋体"/>
          <w:color w:val="auto"/>
          <w:highlight w:val="none"/>
        </w:rPr>
        <w:t>（实质性要求）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合格的供应商应具备以下条件：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一、具备法律法规和本采购文件规定的资格条件；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二、不属于禁止参加本项目采购活动的供应商；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三、按照规定获取了磋商文件，属于实质性参加政府采购活动的供应商。</w:t>
      </w:r>
      <w:bookmarkStart w:id="91" w:name="_Toc30639"/>
      <w:bookmarkStart w:id="92" w:name="_Toc10374"/>
      <w:bookmarkStart w:id="93" w:name="_Toc27814"/>
    </w:p>
    <w:p>
      <w:pPr>
        <w:pStyle w:val="6"/>
        <w:rPr>
          <w:rFonts w:hint="eastAsia" w:ascii="宋体" w:hAnsi="宋体" w:eastAsia="宋体" w:cs="宋体"/>
          <w:color w:val="auto"/>
          <w:highlight w:val="none"/>
        </w:rPr>
      </w:pPr>
      <w:bookmarkStart w:id="94" w:name="_Toc13044"/>
      <w:r>
        <w:rPr>
          <w:rFonts w:hint="eastAsia" w:ascii="宋体" w:hAnsi="宋体" w:eastAsia="宋体" w:cs="宋体"/>
          <w:color w:val="auto"/>
          <w:highlight w:val="none"/>
        </w:rPr>
        <w:t>2.4磋商费用</w:t>
      </w:r>
      <w:bookmarkEnd w:id="91"/>
      <w:bookmarkEnd w:id="92"/>
      <w:bookmarkEnd w:id="93"/>
      <w:bookmarkEnd w:id="9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供应商应自行承担参加磋商活动的全部费用。</w:t>
      </w:r>
    </w:p>
    <w:p>
      <w:pPr>
        <w:pStyle w:val="6"/>
        <w:rPr>
          <w:rFonts w:hint="eastAsia" w:ascii="宋体" w:hAnsi="宋体" w:eastAsia="宋体" w:cs="宋体"/>
          <w:color w:val="auto"/>
          <w:highlight w:val="none"/>
        </w:rPr>
      </w:pPr>
      <w:bookmarkStart w:id="95" w:name="_Toc5830"/>
      <w:bookmarkStart w:id="96" w:name="_Toc3253"/>
      <w:bookmarkStart w:id="97" w:name="_Toc28016"/>
      <w:bookmarkStart w:id="98" w:name="_Toc9202"/>
      <w:r>
        <w:rPr>
          <w:rFonts w:hint="eastAsia" w:ascii="宋体" w:hAnsi="宋体" w:eastAsia="宋体" w:cs="宋体"/>
          <w:color w:val="auto"/>
          <w:highlight w:val="none"/>
        </w:rPr>
        <w:t>2.5充分、公平竞争保障措施</w:t>
      </w:r>
      <w:bookmarkEnd w:id="95"/>
      <w:bookmarkEnd w:id="96"/>
      <w:bookmarkEnd w:id="97"/>
      <w:r>
        <w:rPr>
          <w:rFonts w:hint="eastAsia" w:ascii="宋体" w:hAnsi="宋体" w:eastAsia="宋体" w:cs="宋体"/>
          <w:color w:val="auto"/>
          <w:highlight w:val="none"/>
        </w:rPr>
        <w:t>（实质性要求）</w:t>
      </w:r>
      <w:bookmarkEnd w:id="98"/>
    </w:p>
    <w:p>
      <w:pPr>
        <w:ind w:firstLine="480"/>
        <w:rPr>
          <w:rFonts w:hint="eastAsia" w:ascii="宋体" w:hAnsi="宋体" w:eastAsia="宋体" w:cs="宋体"/>
          <w:color w:val="auto"/>
          <w:highlight w:val="none"/>
        </w:rPr>
      </w:pPr>
      <w:bookmarkStart w:id="99" w:name="_Toc16886"/>
      <w:bookmarkStart w:id="100" w:name="_Toc13098"/>
      <w:bookmarkStart w:id="101" w:name="_Toc11443"/>
      <w:bookmarkStart w:id="102" w:name="_Toc6994"/>
      <w:bookmarkStart w:id="103" w:name="_Toc17358"/>
      <w:r>
        <w:rPr>
          <w:rFonts w:hint="eastAsia" w:ascii="宋体" w:hAnsi="宋体" w:eastAsia="宋体" w:cs="宋体"/>
          <w:color w:val="auto"/>
          <w:highlight w:val="none"/>
        </w:rPr>
        <w:t>2.5.1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2.5.2利害关系授权代表处理。两家以上的供应商不得在同一合同项下的采购项目中，委托同一个自然人、同一家庭的人员、同一单位的人员作为其授权代表，否则，其响应文件作为无效处理。</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2.5.3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2.5.4供应商实际控制人或者中高级管理人员，同时是采购代理机构工作人员，不得参与本项目政府采购活动。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2.5.5同一母公司的两家以上的子公司只能组成联合体参加本项目同一合同项下的采购活动，不得以不同供应商身份同时参加本项目同一合同项下的采购活动。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2.5.6供应商与采购代理机构存在关联关系，或者是采购代理机构的母公司或子公司，不得参加本项目政府采购活动。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2.5.7回避。政府采购活动中，采购人员及相关人员与供应商有下列利害关系之一的，应当回避：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2.6.联合体竞争性磋商（实质性要求）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b/>
          <w:bCs/>
          <w:color w:val="auto"/>
          <w:highlight w:val="none"/>
        </w:rPr>
        <w:t>不接受</w:t>
      </w:r>
      <w:r>
        <w:rPr>
          <w:rFonts w:hint="eastAsia" w:ascii="宋体" w:hAnsi="宋体" w:eastAsia="宋体" w:cs="宋体"/>
          <w:color w:val="auto"/>
          <w:highlight w:val="none"/>
        </w:rPr>
        <w:t>联合体参与采购活动。</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2.7.磋商保证金（实质性要求）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本项目无磋商保证金。</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2.8.响应文件有效期（实质性要求）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2.9.知识产权（实质性要求）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2.9.2 除非磋商文件特别规定，采购人享有本项目实施过程中产生的知识成果及知识产权。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2.9.4 如采用供应商所不拥有的知识产权，则在报价中必须包括合法获取该知识产权的相关费用。</w:t>
      </w:r>
    </w:p>
    <w:p>
      <w:pPr>
        <w:pStyle w:val="5"/>
        <w:jc w:val="center"/>
        <w:rPr>
          <w:rFonts w:hint="eastAsia" w:ascii="宋体" w:hAnsi="宋体" w:eastAsia="宋体" w:cs="宋体"/>
          <w:color w:val="auto"/>
          <w:highlight w:val="none"/>
        </w:rPr>
      </w:pPr>
      <w:bookmarkStart w:id="104" w:name="_Toc11414"/>
      <w:bookmarkStart w:id="105" w:name="_Toc20200"/>
      <w:r>
        <w:rPr>
          <w:rFonts w:hint="eastAsia" w:ascii="宋体" w:hAnsi="宋体" w:eastAsia="宋体" w:cs="宋体"/>
          <w:color w:val="auto"/>
          <w:highlight w:val="none"/>
        </w:rPr>
        <w:t>三、磋商文件</w:t>
      </w:r>
      <w:bookmarkEnd w:id="104"/>
      <w:bookmarkEnd w:id="105"/>
      <w:bookmarkStart w:id="106" w:name="_Toc183682347"/>
      <w:bookmarkStart w:id="107" w:name="_Toc183582210"/>
      <w:bookmarkStart w:id="108" w:name="_Toc217446039"/>
    </w:p>
    <w:p>
      <w:pPr>
        <w:pStyle w:val="6"/>
        <w:rPr>
          <w:rFonts w:hint="eastAsia" w:ascii="宋体" w:hAnsi="宋体" w:eastAsia="宋体" w:cs="宋体"/>
          <w:color w:val="auto"/>
          <w:highlight w:val="none"/>
        </w:rPr>
      </w:pPr>
      <w:bookmarkStart w:id="109" w:name="_Toc27328"/>
      <w:r>
        <w:rPr>
          <w:rFonts w:hint="eastAsia" w:ascii="宋体" w:hAnsi="宋体" w:eastAsia="宋体" w:cs="宋体"/>
          <w:color w:val="auto"/>
          <w:highlight w:val="none"/>
        </w:rPr>
        <w:t>2.10.磋商文件的构成</w:t>
      </w:r>
      <w:bookmarkEnd w:id="106"/>
      <w:bookmarkEnd w:id="107"/>
      <w:bookmarkEnd w:id="108"/>
      <w:r>
        <w:rPr>
          <w:rFonts w:hint="eastAsia" w:ascii="宋体" w:hAnsi="宋体" w:eastAsia="宋体" w:cs="宋体"/>
          <w:color w:val="auto"/>
          <w:highlight w:val="none"/>
        </w:rPr>
        <w:t>（实质性要求）</w:t>
      </w:r>
      <w:bookmarkEnd w:id="109"/>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2.10.1 磋商文件是供应商准备响应文件和参加磋商的依据，同时也是磋商的重要依据。磋商文件用以阐明磋商项目所需的资质、技术、服务及报价等要求、磋商程序、有关规定和注意事项以及合同主要条款等。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110" w:name="_Toc183682348"/>
      <w:bookmarkStart w:id="111" w:name="_Toc183582211"/>
      <w:bookmarkStart w:id="112" w:name="_Toc217446040"/>
    </w:p>
    <w:p>
      <w:pPr>
        <w:pStyle w:val="6"/>
        <w:rPr>
          <w:rFonts w:hint="eastAsia" w:ascii="宋体" w:hAnsi="宋体" w:eastAsia="宋体" w:cs="宋体"/>
          <w:color w:val="auto"/>
          <w:highlight w:val="none"/>
        </w:rPr>
      </w:pPr>
      <w:bookmarkStart w:id="113" w:name="_Toc10032"/>
      <w:r>
        <w:rPr>
          <w:rFonts w:hint="eastAsia" w:ascii="宋体" w:hAnsi="宋体" w:eastAsia="宋体" w:cs="宋体"/>
          <w:color w:val="auto"/>
          <w:highlight w:val="none"/>
        </w:rPr>
        <w:t>2.11.磋商文件的澄清</w:t>
      </w:r>
      <w:bookmarkEnd w:id="110"/>
      <w:bookmarkEnd w:id="111"/>
      <w:r>
        <w:rPr>
          <w:rFonts w:hint="eastAsia" w:ascii="宋体" w:hAnsi="宋体" w:eastAsia="宋体" w:cs="宋体"/>
          <w:color w:val="auto"/>
          <w:highlight w:val="none"/>
        </w:rPr>
        <w:t>和修改</w:t>
      </w:r>
      <w:bookmarkEnd w:id="112"/>
      <w:bookmarkEnd w:id="11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2.11.1 在递交响应文件截止时间前，采购人、采购代理机构可以对磋商文件进行澄清或者修改。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2.11.2 采购人或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至少5日前；不足上述时间的，应当顺延递交响应文件的截止时间。</w:t>
      </w:r>
    </w:p>
    <w:p>
      <w:pPr>
        <w:pStyle w:val="6"/>
        <w:rPr>
          <w:rFonts w:hint="eastAsia" w:ascii="宋体" w:hAnsi="宋体" w:eastAsia="宋体" w:cs="宋体"/>
          <w:color w:val="auto"/>
          <w:highlight w:val="none"/>
        </w:rPr>
      </w:pPr>
      <w:bookmarkStart w:id="114" w:name="_Toc20357"/>
      <w:bookmarkStart w:id="115" w:name="_Toc217446041"/>
      <w:bookmarkStart w:id="116" w:name="_Toc208848971"/>
      <w:r>
        <w:rPr>
          <w:rFonts w:hint="eastAsia" w:ascii="宋体" w:hAnsi="宋体" w:eastAsia="宋体" w:cs="宋体"/>
          <w:color w:val="auto"/>
          <w:highlight w:val="none"/>
        </w:rPr>
        <w:t>2.12.答疑会和现场考察</w:t>
      </w:r>
      <w:bookmarkEnd w:id="114"/>
      <w:bookmarkEnd w:id="115"/>
      <w:bookmarkEnd w:id="11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本项目不组织答疑会和现场考察。</w:t>
      </w:r>
    </w:p>
    <w:p>
      <w:pPr>
        <w:pStyle w:val="5"/>
        <w:jc w:val="center"/>
        <w:rPr>
          <w:rFonts w:hint="eastAsia" w:ascii="宋体" w:hAnsi="宋体" w:eastAsia="宋体" w:cs="宋体"/>
          <w:color w:val="auto"/>
          <w:highlight w:val="none"/>
        </w:rPr>
      </w:pPr>
      <w:bookmarkStart w:id="117" w:name="_Toc183582214"/>
      <w:bookmarkStart w:id="118" w:name="_Toc183682351"/>
      <w:bookmarkStart w:id="119" w:name="_Toc13891"/>
      <w:bookmarkStart w:id="120" w:name="_Toc217446042"/>
      <w:bookmarkStart w:id="121" w:name="_Toc77400780"/>
      <w:bookmarkStart w:id="122" w:name="_Toc22783"/>
      <w:bookmarkStart w:id="123" w:name="_Toc89075876"/>
      <w:r>
        <w:rPr>
          <w:rFonts w:hint="eastAsia" w:ascii="宋体" w:hAnsi="宋体" w:eastAsia="宋体" w:cs="宋体"/>
          <w:color w:val="auto"/>
          <w:highlight w:val="none"/>
        </w:rPr>
        <w:t>四、响应文件</w:t>
      </w:r>
      <w:bookmarkEnd w:id="117"/>
      <w:bookmarkEnd w:id="118"/>
      <w:bookmarkEnd w:id="119"/>
      <w:bookmarkEnd w:id="120"/>
      <w:bookmarkEnd w:id="121"/>
      <w:bookmarkEnd w:id="122"/>
      <w:bookmarkEnd w:id="123"/>
    </w:p>
    <w:p>
      <w:pPr>
        <w:pStyle w:val="6"/>
        <w:rPr>
          <w:rFonts w:hint="eastAsia" w:ascii="宋体" w:hAnsi="宋体" w:eastAsia="宋体" w:cs="宋体"/>
          <w:color w:val="auto"/>
          <w:highlight w:val="none"/>
        </w:rPr>
      </w:pPr>
      <w:bookmarkStart w:id="124" w:name="_Toc14531"/>
      <w:bookmarkStart w:id="125" w:name="_Toc217446043"/>
      <w:bookmarkStart w:id="126" w:name="_Toc183582215"/>
      <w:bookmarkStart w:id="127" w:name="_Toc183682352"/>
      <w:r>
        <w:rPr>
          <w:rFonts w:hint="eastAsia" w:ascii="宋体" w:hAnsi="宋体" w:eastAsia="宋体" w:cs="宋体"/>
          <w:color w:val="auto"/>
          <w:highlight w:val="none"/>
        </w:rPr>
        <w:t>2.13.响应文件的组成（实质性要求）</w:t>
      </w:r>
      <w:bookmarkEnd w:id="12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供应商应按照磋商文件的规定和要求编制响应文件。</w:t>
      </w:r>
    </w:p>
    <w:p>
      <w:pPr>
        <w:pStyle w:val="6"/>
        <w:rPr>
          <w:rFonts w:hint="eastAsia" w:ascii="宋体" w:hAnsi="宋体" w:eastAsia="宋体" w:cs="宋体"/>
          <w:color w:val="auto"/>
          <w:highlight w:val="none"/>
        </w:rPr>
      </w:pPr>
      <w:bookmarkStart w:id="128" w:name="_Toc19270"/>
      <w:r>
        <w:rPr>
          <w:rFonts w:hint="eastAsia" w:ascii="宋体" w:hAnsi="宋体" w:eastAsia="宋体" w:cs="宋体"/>
          <w:color w:val="auto"/>
          <w:highlight w:val="none"/>
        </w:rPr>
        <w:t>2.14.响应文件的语言</w:t>
      </w:r>
      <w:bookmarkEnd w:id="125"/>
      <w:bookmarkEnd w:id="126"/>
      <w:bookmarkEnd w:id="127"/>
      <w:r>
        <w:rPr>
          <w:rFonts w:hint="eastAsia" w:ascii="宋体" w:hAnsi="宋体" w:eastAsia="宋体" w:cs="宋体"/>
          <w:color w:val="auto"/>
          <w:highlight w:val="none"/>
        </w:rPr>
        <w:t>（实质性要求）</w:t>
      </w:r>
      <w:bookmarkEnd w:id="12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单位负责人为外籍人士的，法定代表人/单位负责人的签字和护照除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2.14.2 翻译的中文资料与外文资料如果出现差异和矛盾，以中文为准。但不能故意错误翻译，否则，供应商的响应文件将作为无效处理。</w:t>
      </w:r>
      <w:bookmarkStart w:id="129" w:name="_Toc183582216"/>
      <w:bookmarkStart w:id="130" w:name="_Toc183682353"/>
      <w:bookmarkStart w:id="131" w:name="_Toc217446044"/>
    </w:p>
    <w:p>
      <w:pPr>
        <w:pStyle w:val="6"/>
        <w:rPr>
          <w:rFonts w:hint="eastAsia" w:ascii="宋体" w:hAnsi="宋体" w:eastAsia="宋体" w:cs="宋体"/>
          <w:color w:val="auto"/>
          <w:highlight w:val="none"/>
        </w:rPr>
      </w:pPr>
      <w:bookmarkStart w:id="132" w:name="_Toc19238"/>
      <w:r>
        <w:rPr>
          <w:rFonts w:hint="eastAsia" w:ascii="宋体" w:hAnsi="宋体" w:eastAsia="宋体" w:cs="宋体"/>
          <w:color w:val="auto"/>
          <w:highlight w:val="none"/>
        </w:rPr>
        <w:t>2.15计量单位</w:t>
      </w:r>
      <w:bookmarkEnd w:id="129"/>
      <w:bookmarkEnd w:id="130"/>
      <w:bookmarkEnd w:id="131"/>
      <w:r>
        <w:rPr>
          <w:rFonts w:hint="eastAsia" w:ascii="宋体" w:hAnsi="宋体" w:eastAsia="宋体" w:cs="宋体"/>
          <w:color w:val="auto"/>
          <w:highlight w:val="none"/>
        </w:rPr>
        <w:t>（实质性要求）</w:t>
      </w:r>
      <w:bookmarkEnd w:id="13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除磋商文件中另有规定外，本次采购项目所有合同项下的报价均采用国家法定的计量单位。</w:t>
      </w:r>
      <w:bookmarkStart w:id="133" w:name="_Toc217446045"/>
    </w:p>
    <w:p>
      <w:pPr>
        <w:pStyle w:val="6"/>
        <w:rPr>
          <w:rFonts w:hint="eastAsia" w:ascii="宋体" w:hAnsi="宋体" w:eastAsia="宋体" w:cs="宋体"/>
          <w:color w:val="auto"/>
          <w:highlight w:val="none"/>
        </w:rPr>
      </w:pPr>
      <w:bookmarkStart w:id="134" w:name="_Toc21756"/>
      <w:r>
        <w:rPr>
          <w:rFonts w:hint="eastAsia" w:ascii="宋体" w:hAnsi="宋体" w:eastAsia="宋体" w:cs="宋体"/>
          <w:color w:val="auto"/>
          <w:highlight w:val="none"/>
        </w:rPr>
        <w:t>2.16.报价货币（实质性要求）</w:t>
      </w:r>
      <w:bookmarkEnd w:id="13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本次磋商项目的报价货币为人民币，报价以磋商文件规定为准。</w:t>
      </w:r>
    </w:p>
    <w:bookmarkEnd w:id="133"/>
    <w:p>
      <w:pPr>
        <w:pStyle w:val="6"/>
        <w:rPr>
          <w:rFonts w:hint="eastAsia" w:ascii="宋体" w:hAnsi="宋体" w:eastAsia="宋体" w:cs="宋体"/>
          <w:color w:val="auto"/>
          <w:highlight w:val="none"/>
        </w:rPr>
      </w:pPr>
      <w:bookmarkStart w:id="135" w:name="_Toc19461"/>
      <w:r>
        <w:rPr>
          <w:rFonts w:hint="eastAsia" w:ascii="宋体" w:hAnsi="宋体" w:eastAsia="宋体" w:cs="宋体"/>
          <w:color w:val="auto"/>
          <w:highlight w:val="none"/>
        </w:rPr>
        <w:t>2.17.响应文件格式</w:t>
      </w:r>
      <w:bookmarkEnd w:id="13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2.17.1 供应商应执行磋商文件第七章的规定要求。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2.17.2 对于没有格式要求的磋商文件由供应商自行编写。</w:t>
      </w:r>
      <w:bookmarkStart w:id="136" w:name="_Toc183582224"/>
      <w:bookmarkStart w:id="137" w:name="_Toc217446051"/>
      <w:bookmarkStart w:id="138" w:name="_Toc183682361"/>
    </w:p>
    <w:p>
      <w:pPr>
        <w:pStyle w:val="6"/>
        <w:rPr>
          <w:rFonts w:hint="eastAsia" w:ascii="宋体" w:hAnsi="宋体" w:eastAsia="宋体" w:cs="宋体"/>
          <w:color w:val="auto"/>
          <w:highlight w:val="none"/>
        </w:rPr>
      </w:pPr>
      <w:bookmarkStart w:id="139" w:name="_Toc22142"/>
      <w:r>
        <w:rPr>
          <w:rFonts w:hint="eastAsia" w:ascii="宋体" w:hAnsi="宋体" w:eastAsia="宋体" w:cs="宋体"/>
          <w:color w:val="auto"/>
          <w:highlight w:val="none"/>
        </w:rPr>
        <w:t>2.18.响应文件的编制和签署</w:t>
      </w:r>
      <w:bookmarkEnd w:id="136"/>
      <w:bookmarkEnd w:id="137"/>
      <w:bookmarkEnd w:id="138"/>
      <w:bookmarkEnd w:id="139"/>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1、资格性响应文件正本一份副本二份</w:t>
      </w:r>
      <w:r>
        <w:rPr>
          <w:rFonts w:hint="eastAsia" w:ascii="宋体" w:hAnsi="宋体" w:eastAsia="宋体" w:cs="宋体"/>
          <w:color w:val="auto"/>
          <w:highlight w:val="none"/>
        </w:rPr>
        <w:t>，并在其封面上清楚地标明</w:t>
      </w:r>
      <w:r>
        <w:rPr>
          <w:rFonts w:hint="eastAsia" w:ascii="宋体" w:hAnsi="宋体" w:eastAsia="宋体" w:cs="宋体"/>
          <w:b/>
          <w:bCs/>
          <w:color w:val="auto"/>
          <w:highlight w:val="none"/>
          <w:u w:val="single"/>
        </w:rPr>
        <w:t>资格性响应文件、项目名称、项目编号、供应商名称以及“正本”或“副本”字样</w:t>
      </w:r>
      <w:r>
        <w:rPr>
          <w:rFonts w:hint="eastAsia" w:ascii="宋体" w:hAnsi="宋体" w:eastAsia="宋体" w:cs="宋体"/>
          <w:color w:val="auto"/>
          <w:highlight w:val="none"/>
        </w:rPr>
        <w:t>。</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2、其他响应文件正本一份副本二份</w:t>
      </w:r>
      <w:r>
        <w:rPr>
          <w:rFonts w:hint="eastAsia" w:ascii="宋体" w:hAnsi="宋体" w:eastAsia="宋体" w:cs="宋体"/>
          <w:color w:val="auto"/>
          <w:highlight w:val="none"/>
        </w:rPr>
        <w:t>，并在其封面上清楚地标明</w:t>
      </w:r>
      <w:r>
        <w:rPr>
          <w:rFonts w:hint="eastAsia" w:ascii="宋体" w:hAnsi="宋体" w:eastAsia="宋体" w:cs="宋体"/>
          <w:b/>
          <w:bCs/>
          <w:color w:val="auto"/>
          <w:highlight w:val="none"/>
          <w:u w:val="single"/>
        </w:rPr>
        <w:t>其他响应文件、项目名称、项目编号、供应商名称以及“正本”或“副本”字样</w:t>
      </w:r>
      <w:r>
        <w:rPr>
          <w:rFonts w:hint="eastAsia" w:ascii="宋体" w:hAnsi="宋体" w:eastAsia="宋体" w:cs="宋体"/>
          <w:color w:val="auto"/>
          <w:highlight w:val="none"/>
        </w:rPr>
        <w:t>。</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3、电子文档一份，电子文档用U盘或光盘的形式提供</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应当按照磋商文件的规定编制响应文件，对于没有格式要求的响应文件由供应商自行编写。响应文件应用不褪色的墨水书写或打印，并将所有响应文件的书面材料装订成册。响应文件副本可用正本的复印件，响应文件副本与正本有差异时以正本为准。</w:t>
      </w:r>
    </w:p>
    <w:p>
      <w:pPr>
        <w:ind w:firstLine="480"/>
        <w:rPr>
          <w:rFonts w:hint="eastAsia" w:ascii="宋体" w:hAnsi="宋体" w:eastAsia="宋体" w:cs="宋体"/>
          <w:b/>
          <w:bCs/>
          <w:color w:val="auto"/>
          <w:highlight w:val="none"/>
        </w:rPr>
      </w:pPr>
      <w:r>
        <w:rPr>
          <w:rFonts w:hint="eastAsia" w:ascii="宋体" w:hAnsi="宋体" w:eastAsia="宋体" w:cs="宋体"/>
          <w:color w:val="auto"/>
          <w:highlight w:val="none"/>
        </w:rPr>
        <w:t>5、响应文件应由供应商法定代表人（单位负责人）或授权代理人在响应文件要求的地方签字或加盖公章。</w:t>
      </w:r>
      <w:r>
        <w:rPr>
          <w:rFonts w:hint="eastAsia" w:ascii="宋体" w:hAnsi="宋体" w:eastAsia="宋体" w:cs="宋体"/>
          <w:b/>
          <w:bCs/>
          <w:color w:val="auto"/>
          <w:highlight w:val="none"/>
        </w:rPr>
        <w:t>[注：所有要求盖公章的地方都应加盖供应商（法定名称）章（鲜章），不得使用专用章（如经济合同章、磋商专用章等）或下属单位印章代替。]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6、响应文件的打印和书写应清楚工整，任何行间插字、涂改或增删，必须由供应商的法定代表人（单位负责人）或其授权代理人签字。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7、响应文件正本和副本需要逐页编码。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8、响应文件正本和副本应当采用</w:t>
      </w:r>
      <w:r>
        <w:rPr>
          <w:rFonts w:hint="eastAsia" w:ascii="宋体" w:hAnsi="宋体" w:eastAsia="宋体" w:cs="宋体"/>
          <w:b/>
          <w:bCs/>
          <w:color w:val="auto"/>
          <w:highlight w:val="none"/>
        </w:rPr>
        <w:t>胶装</w:t>
      </w:r>
      <w:r>
        <w:rPr>
          <w:rFonts w:hint="eastAsia" w:ascii="宋体" w:hAnsi="宋体" w:eastAsia="宋体" w:cs="宋体"/>
          <w:color w:val="auto"/>
          <w:highlight w:val="none"/>
        </w:rPr>
        <w:t>方式装订成册。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9、响应文件应根据磋商文件的要求制作，签署、盖章。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10、响应文件统一用A4幅面纸印制，除另有规定外。</w:t>
      </w:r>
    </w:p>
    <w:p>
      <w:pPr>
        <w:pStyle w:val="6"/>
        <w:rPr>
          <w:rFonts w:hint="eastAsia" w:ascii="宋体" w:hAnsi="宋体" w:eastAsia="宋体" w:cs="宋体"/>
          <w:color w:val="auto"/>
          <w:highlight w:val="none"/>
        </w:rPr>
      </w:pPr>
      <w:bookmarkStart w:id="140" w:name="_Toc8392"/>
      <w:bookmarkStart w:id="141" w:name="_Toc183682363"/>
      <w:bookmarkStart w:id="142" w:name="_Toc89075877"/>
      <w:bookmarkStart w:id="143" w:name="_Toc217446053"/>
      <w:bookmarkStart w:id="144" w:name="_Toc77400781"/>
      <w:bookmarkStart w:id="145" w:name="_Toc183582226"/>
      <w:r>
        <w:rPr>
          <w:rFonts w:hint="eastAsia" w:ascii="宋体" w:hAnsi="宋体" w:eastAsia="宋体" w:cs="宋体"/>
          <w:color w:val="auto"/>
          <w:highlight w:val="none"/>
        </w:rPr>
        <w:t>2.19.响应文件的密封和标注（不属于本项目磋商小组评审范畴，由采购代理机构在接收响应文件时及时处理）</w:t>
      </w:r>
      <w:bookmarkEnd w:id="140"/>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2.19.1</w:t>
      </w:r>
      <w:r>
        <w:rPr>
          <w:rFonts w:hint="eastAsia" w:ascii="宋体" w:hAnsi="宋体" w:eastAsia="宋体" w:cs="宋体"/>
          <w:b/>
          <w:bCs/>
          <w:color w:val="auto"/>
          <w:highlight w:val="none"/>
          <w:u w:val="single"/>
        </w:rPr>
        <w:t>响应文件可以单独密封包装，也可以所有响应文件密封包装在一个密封袋内</w:t>
      </w:r>
      <w:r>
        <w:rPr>
          <w:rFonts w:hint="eastAsia" w:ascii="宋体" w:hAnsi="宋体" w:eastAsia="宋体" w:cs="宋体"/>
          <w:b/>
          <w:bCs/>
          <w:color w:val="auto"/>
          <w:highlight w:val="none"/>
        </w:rPr>
        <w:t>。</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2.19.2</w:t>
      </w:r>
      <w:r>
        <w:rPr>
          <w:rFonts w:hint="eastAsia" w:ascii="宋体" w:hAnsi="宋体" w:eastAsia="宋体" w:cs="宋体"/>
          <w:b/>
          <w:bCs/>
          <w:color w:val="auto"/>
          <w:highlight w:val="none"/>
          <w:u w:val="single"/>
        </w:rPr>
        <w:t>响应文件密封袋的最外层应清楚地标明项目名称、项目编号、供应商名称</w:t>
      </w:r>
      <w:r>
        <w:rPr>
          <w:rFonts w:hint="eastAsia" w:ascii="宋体" w:hAnsi="宋体" w:eastAsia="宋体" w:cs="宋体"/>
          <w:b/>
          <w:bCs/>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2.19.3 所有外层密封袋的封口处应粘贴牢固。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2.19.4 未按以上要求进行密封和标注的响应文件，采购代理机构将拒收或者在时间允许的范围内，要求修改完善后接收。</w:t>
      </w:r>
    </w:p>
    <w:p>
      <w:pPr>
        <w:pStyle w:val="6"/>
        <w:rPr>
          <w:rFonts w:hint="eastAsia" w:ascii="宋体" w:hAnsi="宋体" w:eastAsia="宋体" w:cs="宋体"/>
          <w:color w:val="auto"/>
          <w:highlight w:val="none"/>
        </w:rPr>
      </w:pPr>
      <w:bookmarkStart w:id="146" w:name="_Toc7032"/>
      <w:r>
        <w:rPr>
          <w:rFonts w:hint="eastAsia" w:ascii="宋体" w:hAnsi="宋体" w:eastAsia="宋体" w:cs="宋体"/>
          <w:color w:val="auto"/>
          <w:highlight w:val="none"/>
        </w:rPr>
        <w:t>2.20.响应文件的递交</w:t>
      </w:r>
      <w:bookmarkEnd w:id="14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2.20.1 资格性响应文件、其他响应文件、电子文档应于递交响应文件截止时间前送达指定地点，采购代理机构拒绝接收截止时间后送达的响应文件。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2.20.2 采购代理机构将向通过资格审查的供应商发出磋商邀请；告知未通过资格审查的供应商未通过的原因。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2.20.3 本次采购不接收邮寄的响应文件。</w:t>
      </w:r>
    </w:p>
    <w:bookmarkEnd w:id="141"/>
    <w:bookmarkEnd w:id="142"/>
    <w:bookmarkEnd w:id="143"/>
    <w:bookmarkEnd w:id="144"/>
    <w:bookmarkEnd w:id="145"/>
    <w:p>
      <w:pPr>
        <w:pStyle w:val="6"/>
        <w:rPr>
          <w:rFonts w:hint="eastAsia" w:ascii="宋体" w:hAnsi="宋体" w:eastAsia="宋体" w:cs="宋体"/>
          <w:color w:val="auto"/>
          <w:highlight w:val="none"/>
        </w:rPr>
      </w:pPr>
      <w:bookmarkStart w:id="147" w:name="_Toc6830"/>
      <w:bookmarkStart w:id="148" w:name="_Toc217446055"/>
      <w:bookmarkStart w:id="149" w:name="_Toc183682365"/>
      <w:bookmarkStart w:id="150" w:name="_Toc183582228"/>
      <w:r>
        <w:rPr>
          <w:rFonts w:hint="eastAsia" w:ascii="宋体" w:hAnsi="宋体" w:eastAsia="宋体" w:cs="宋体"/>
          <w:color w:val="auto"/>
          <w:highlight w:val="none"/>
        </w:rPr>
        <w:t>2.21.响应文件的修改和撤回（补充、修改响应文件的密封和标注按照本章“2.19.响应文件的密封和标注”规定处理）</w:t>
      </w:r>
      <w:bookmarkEnd w:id="14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2.21.2供应商对响应文件修改的书面材料或撤回的通知应该按规定进行编写、密封、标注和递送，并注明“修改响应文件”字样。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2.21.3供应商不得在递交截止时间起至响应文件有效期期满前撤销其响应文件。2.21.4 响应文件中报价如果出现下列不一致的，可按以下原则进行修改：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（一）大写金额和小写金额不一致的，以大写金额为准，但大写金额文字存在错误的，应当先对大写金额的文字错误进行澄清、说明或者更正，再行修正。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（二）总价金额与按单价汇总金额不一致的，以单价金额计算结果为准，但单价或者单价汇总金额存在数字或者文字错误的，应当先对数字或者文字错误进行澄清、说明或者更正，再行修正。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（三）单价金额小数点或者百分比有明显错位的，以总价为准，修正单价。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2.21.5供应商对其提交的响应文件的真实性、合法性承担法律责任。</w:t>
      </w:r>
      <w:bookmarkEnd w:id="148"/>
      <w:bookmarkEnd w:id="149"/>
      <w:bookmarkEnd w:id="150"/>
    </w:p>
    <w:p>
      <w:pPr>
        <w:pStyle w:val="5"/>
        <w:numPr>
          <w:ilvl w:val="0"/>
          <w:numId w:val="2"/>
        </w:numPr>
        <w:jc w:val="center"/>
        <w:rPr>
          <w:rFonts w:hint="eastAsia" w:ascii="宋体" w:hAnsi="宋体" w:eastAsia="宋体" w:cs="宋体"/>
          <w:color w:val="auto"/>
          <w:highlight w:val="none"/>
        </w:rPr>
      </w:pPr>
      <w:bookmarkStart w:id="151" w:name="_Toc17509"/>
      <w:bookmarkStart w:id="152" w:name="_Toc7019"/>
      <w:r>
        <w:rPr>
          <w:rFonts w:hint="eastAsia" w:ascii="宋体" w:hAnsi="宋体" w:eastAsia="宋体" w:cs="宋体"/>
          <w:color w:val="auto"/>
          <w:highlight w:val="none"/>
        </w:rPr>
        <w:t>评审</w:t>
      </w:r>
      <w:bookmarkEnd w:id="151"/>
      <w:bookmarkEnd w:id="152"/>
    </w:p>
    <w:p>
      <w:pPr>
        <w:ind w:firstLine="480"/>
        <w:rPr>
          <w:rFonts w:hint="eastAsia" w:ascii="宋体" w:hAnsi="宋体" w:eastAsia="宋体" w:cs="宋体"/>
          <w:color w:val="auto"/>
          <w:highlight w:val="none"/>
        </w:rPr>
      </w:pPr>
      <w:bookmarkStart w:id="153" w:name="_Toc31109"/>
      <w:r>
        <w:rPr>
          <w:rFonts w:hint="eastAsia" w:ascii="宋体" w:hAnsi="宋体" w:eastAsia="宋体" w:cs="宋体"/>
          <w:color w:val="auto"/>
          <w:highlight w:val="none"/>
        </w:rPr>
        <w:t>2.22.磋商小组的组建及其评审工作按照有关法律制度和本文件第八章的规定进行。</w:t>
      </w:r>
      <w:bookmarkEnd w:id="153"/>
    </w:p>
    <w:p>
      <w:pPr>
        <w:pStyle w:val="5"/>
        <w:jc w:val="center"/>
        <w:rPr>
          <w:rFonts w:hint="eastAsia" w:ascii="宋体" w:hAnsi="宋体" w:eastAsia="宋体" w:cs="宋体"/>
          <w:color w:val="auto"/>
          <w:highlight w:val="none"/>
        </w:rPr>
      </w:pPr>
      <w:bookmarkStart w:id="154" w:name="_Toc27640"/>
      <w:bookmarkStart w:id="155" w:name="_Toc18784"/>
      <w:r>
        <w:rPr>
          <w:rFonts w:hint="eastAsia" w:ascii="宋体" w:hAnsi="宋体" w:eastAsia="宋体" w:cs="宋体"/>
          <w:color w:val="auto"/>
          <w:highlight w:val="none"/>
        </w:rPr>
        <w:t>六、成交事项</w:t>
      </w:r>
      <w:bookmarkEnd w:id="154"/>
      <w:bookmarkEnd w:id="155"/>
    </w:p>
    <w:p>
      <w:pPr>
        <w:pStyle w:val="6"/>
        <w:rPr>
          <w:rFonts w:hint="eastAsia" w:ascii="宋体" w:hAnsi="宋体" w:eastAsia="宋体" w:cs="宋体"/>
          <w:color w:val="auto"/>
          <w:highlight w:val="none"/>
        </w:rPr>
      </w:pPr>
      <w:bookmarkStart w:id="156" w:name="_Toc9547"/>
      <w:r>
        <w:rPr>
          <w:rFonts w:hint="eastAsia" w:ascii="宋体" w:hAnsi="宋体" w:eastAsia="宋体" w:cs="宋体"/>
          <w:color w:val="auto"/>
          <w:highlight w:val="none"/>
        </w:rPr>
        <w:t>2.23.确定成交供应商</w:t>
      </w:r>
      <w:bookmarkEnd w:id="15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方式一：采购人将按磋商小组推荐的成交候选供应商顺序确定成交供应商。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方式二：采购人授权磋商小组根据综合评分排名直接确定成交供应商。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本项目采用方式一确定成交供应商。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2.23.1采购代理机构自评审结束后2个工作日内将磋商报告及有关资料送交采购人确定成交供应商。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2.23.2采购人收到磋商报告及有关资料后，将在5个工作日内按照磋商报告中推荐的成交候选供应商顺序确定成交供应商。成交候选供应商并列的，采购人自主采取随机抽签的方式选择成交供应商。采购人逾期未确定成交供应商且不提出异议的，视为确定磋商报告提出的排序第一的供应商为成交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2.23.3采购人确定成交供应商过程中，发现成交候选供应商有下列情形之一的，应当不予确定其为成交供应商：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（1）发现成交候选供应商存在禁止参加本项目采购活动的违法行为的；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（2）成交候选供应商因不可抗力，不能继续参加政府采购活动；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（3）成交候选供应商无偿赠与或者低于成本价竞争；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（4）成交候选供应商提供虚假材料；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（5）成交候选供应商恶意串通。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成交候选供应商有本条情形之一的，采购人可以确定后一位成交候选供应商为成交供应商，依次类推。无法确定成交供应商的，应当重新组织采购。</w:t>
      </w:r>
    </w:p>
    <w:p>
      <w:pPr>
        <w:pStyle w:val="6"/>
        <w:rPr>
          <w:rFonts w:hint="eastAsia" w:ascii="宋体" w:hAnsi="宋体" w:eastAsia="宋体" w:cs="宋体"/>
          <w:color w:val="auto"/>
          <w:highlight w:val="none"/>
        </w:rPr>
      </w:pPr>
      <w:bookmarkStart w:id="157" w:name="_Toc24034"/>
      <w:r>
        <w:rPr>
          <w:rFonts w:hint="eastAsia" w:ascii="宋体" w:hAnsi="宋体" w:eastAsia="宋体" w:cs="宋体"/>
          <w:color w:val="auto"/>
          <w:highlight w:val="none"/>
        </w:rPr>
        <w:t>2.24.成交结果</w:t>
      </w:r>
      <w:bookmarkEnd w:id="15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2.24.1采购人确定成交供应商后，将及时书面通知采购代理机构，发出成交通知书并发布成交结果公告。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2.24.2成交供应商应当及时领取成交通知书。本项目需要交纳履约保证金的，成交供应商应当及时向采购人交纳。</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2.24.3成交通知书领取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成交公告在四川政府采购网上发布后，请成交供应商凭公司介绍信（注明项目名称、项目编号以及经办事项等，加盖公章）、经办人身份证（复印件并加盖公章）到四川天力招标有限责任公司领取成交通知书。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王女士</w:t>
      </w:r>
      <w:r>
        <w:rPr>
          <w:rFonts w:hint="eastAsia" w:ascii="宋体" w:hAnsi="宋体" w:eastAsia="宋体" w:cs="宋体"/>
          <w:color w:val="auto"/>
          <w:highlight w:val="none"/>
        </w:rPr>
        <w:t xml:space="preserve">、郑女士 </w:t>
      </w:r>
    </w:p>
    <w:p>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cs="宋体"/>
          <w:color w:val="auto"/>
          <w:highlight w:val="none"/>
          <w:lang w:eastAsia="zh-CN"/>
        </w:rPr>
        <w:t>028-87701706</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地址：成都市金牛区九里堤南路93号6楼</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2.24.4成交供应商不能及时领取成交通知书，采购人或者采购代理机应当通过邮寄、快递等方式将项目成交通知书送达成交供应商。</w:t>
      </w:r>
    </w:p>
    <w:p>
      <w:pPr>
        <w:pStyle w:val="6"/>
        <w:rPr>
          <w:rFonts w:hint="eastAsia" w:ascii="宋体" w:hAnsi="宋体" w:eastAsia="宋体" w:cs="宋体"/>
          <w:color w:val="auto"/>
          <w:highlight w:val="none"/>
        </w:rPr>
      </w:pPr>
      <w:bookmarkStart w:id="158" w:name="_Toc18301"/>
      <w:r>
        <w:rPr>
          <w:rFonts w:hint="eastAsia" w:ascii="宋体" w:hAnsi="宋体" w:eastAsia="宋体" w:cs="宋体"/>
          <w:color w:val="auto"/>
          <w:highlight w:val="none"/>
        </w:rPr>
        <w:t>2.25.成交通知书</w:t>
      </w:r>
      <w:bookmarkEnd w:id="15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2.25.1成交通知书为签订政府采购合同的依据之一，是合同的有效组成部分。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2.25.2成交通知书对采购人和成交供应商均具有法律效力。成交通知书发出后，采购人无正当理由改变成交结果，或者成交供应商无正当理由放弃成交的，将承担相应的法律责任。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2.25.3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5"/>
        <w:jc w:val="center"/>
        <w:rPr>
          <w:rFonts w:hint="eastAsia" w:ascii="宋体" w:hAnsi="宋体" w:eastAsia="宋体" w:cs="宋体"/>
          <w:color w:val="auto"/>
          <w:highlight w:val="none"/>
        </w:rPr>
      </w:pPr>
      <w:bookmarkStart w:id="159" w:name="_Toc22828"/>
      <w:bookmarkStart w:id="160" w:name="_Toc30805"/>
      <w:r>
        <w:rPr>
          <w:rFonts w:hint="eastAsia" w:ascii="宋体" w:hAnsi="宋体" w:eastAsia="宋体" w:cs="宋体"/>
          <w:color w:val="auto"/>
          <w:highlight w:val="none"/>
        </w:rPr>
        <w:t>七、合同事项</w:t>
      </w:r>
      <w:bookmarkEnd w:id="159"/>
      <w:bookmarkEnd w:id="160"/>
    </w:p>
    <w:p>
      <w:pPr>
        <w:pStyle w:val="6"/>
        <w:rPr>
          <w:rFonts w:hint="eastAsia" w:ascii="宋体" w:hAnsi="宋体" w:eastAsia="宋体" w:cs="宋体"/>
          <w:color w:val="auto"/>
          <w:highlight w:val="none"/>
        </w:rPr>
      </w:pPr>
      <w:bookmarkStart w:id="161" w:name="_Toc101174151"/>
      <w:bookmarkStart w:id="162" w:name="_Toc430773927"/>
      <w:bookmarkStart w:id="163" w:name="_Toc101338364"/>
      <w:bookmarkStart w:id="164" w:name="_Toc209847069"/>
      <w:bookmarkStart w:id="165" w:name="_Toc101250646"/>
      <w:bookmarkStart w:id="166" w:name="_Toc21196"/>
      <w:r>
        <w:rPr>
          <w:rFonts w:hint="eastAsia" w:ascii="宋体" w:hAnsi="宋体" w:eastAsia="宋体" w:cs="宋体"/>
          <w:color w:val="auto"/>
          <w:highlight w:val="none"/>
        </w:rPr>
        <w:t>2.26.签订合同</w:t>
      </w:r>
      <w:bookmarkEnd w:id="161"/>
      <w:bookmarkEnd w:id="162"/>
      <w:bookmarkEnd w:id="163"/>
      <w:bookmarkEnd w:id="164"/>
      <w:bookmarkEnd w:id="165"/>
      <w:bookmarkEnd w:id="16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2.26.1 成交供应商应在成交通知书发出之日起三十日内与采购人签订采购合同。由于成交供应商的原因逾期未与采购人签订采购合同的，将视为放弃成交，取消其成交资格并将按相关规定进行处理。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2.26.2 磋商文件、成交供应商的响应文件及双方确认的澄清文件等，均为有法律约束力的合同组成部分。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2.26.4 成交供应商因不可抗力原因不能履行采购合同或放弃成交的，采购人可以与排在成交供应商之后第一位的成交候选人签订采购合同，以此类推。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2.26.5竞争性磋商文件、成交供应商提交的响应文件、磋商中的最后报价、成交供应商承诺书、成交通知书等均称为有法律约束力的合同组成内容。</w:t>
      </w:r>
    </w:p>
    <w:p>
      <w:pPr>
        <w:pStyle w:val="6"/>
        <w:rPr>
          <w:rFonts w:hint="eastAsia" w:ascii="宋体" w:hAnsi="宋体" w:eastAsia="宋体" w:cs="宋体"/>
          <w:color w:val="auto"/>
          <w:highlight w:val="none"/>
        </w:rPr>
      </w:pPr>
      <w:bookmarkStart w:id="167" w:name="_Toc19283"/>
      <w:r>
        <w:rPr>
          <w:rFonts w:hint="eastAsia" w:ascii="宋体" w:hAnsi="宋体" w:eastAsia="宋体" w:cs="宋体"/>
          <w:color w:val="auto"/>
          <w:highlight w:val="none"/>
        </w:rPr>
        <w:t>2.27.合同分包（实质性要求）</w:t>
      </w:r>
      <w:bookmarkEnd w:id="16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本项目不允许分包。</w:t>
      </w:r>
    </w:p>
    <w:p>
      <w:pPr>
        <w:pStyle w:val="6"/>
        <w:rPr>
          <w:rFonts w:hint="eastAsia" w:ascii="宋体" w:hAnsi="宋体" w:eastAsia="宋体" w:cs="宋体"/>
          <w:color w:val="auto"/>
          <w:highlight w:val="none"/>
        </w:rPr>
      </w:pPr>
      <w:bookmarkStart w:id="168" w:name="_Toc7480"/>
      <w:r>
        <w:rPr>
          <w:rFonts w:hint="eastAsia" w:ascii="宋体" w:hAnsi="宋体" w:eastAsia="宋体" w:cs="宋体"/>
          <w:color w:val="auto"/>
          <w:highlight w:val="none"/>
        </w:rPr>
        <w:t>2.28.合同转包（实质性要求）</w:t>
      </w:r>
      <w:bookmarkEnd w:id="16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本项目不允许转包。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成交供应商转包的，视同拒绝履行政府采购合同义务，将依法追究法律责任。</w:t>
      </w:r>
    </w:p>
    <w:p>
      <w:pPr>
        <w:pStyle w:val="6"/>
        <w:rPr>
          <w:rFonts w:hint="eastAsia" w:ascii="宋体" w:hAnsi="宋体" w:eastAsia="宋体" w:cs="宋体"/>
          <w:color w:val="auto"/>
          <w:highlight w:val="none"/>
        </w:rPr>
      </w:pPr>
      <w:bookmarkStart w:id="169" w:name="_Toc29194"/>
      <w:r>
        <w:rPr>
          <w:rFonts w:hint="eastAsia" w:ascii="宋体" w:hAnsi="宋体" w:eastAsia="宋体" w:cs="宋体"/>
          <w:color w:val="auto"/>
          <w:highlight w:val="none"/>
        </w:rPr>
        <w:t>2.29.补充合同</w:t>
      </w:r>
      <w:bookmarkEnd w:id="169"/>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rPr>
          <w:rFonts w:hint="eastAsia" w:ascii="宋体" w:hAnsi="宋体" w:eastAsia="宋体" w:cs="宋体"/>
          <w:color w:val="auto"/>
          <w:highlight w:val="none"/>
        </w:rPr>
      </w:pPr>
      <w:bookmarkStart w:id="170" w:name="_Toc23873"/>
      <w:r>
        <w:rPr>
          <w:rFonts w:hint="eastAsia" w:ascii="宋体" w:hAnsi="宋体" w:eastAsia="宋体" w:cs="宋体"/>
          <w:color w:val="auto"/>
          <w:highlight w:val="none"/>
        </w:rPr>
        <w:t>2.30.履约保证金</w:t>
      </w:r>
      <w:bookmarkEnd w:id="170"/>
    </w:p>
    <w:p>
      <w:pPr>
        <w:bidi w:val="0"/>
        <w:rPr>
          <w:rFonts w:hint="eastAsia"/>
          <w:color w:val="auto"/>
          <w:highlight w:val="none"/>
          <w:lang w:val="en-US" w:eastAsia="zh-CN"/>
        </w:rPr>
      </w:pPr>
      <w:bookmarkStart w:id="171" w:name="_Toc17154"/>
      <w:r>
        <w:rPr>
          <w:rFonts w:hint="eastAsia"/>
          <w:color w:val="auto"/>
          <w:highlight w:val="none"/>
          <w:lang w:val="en-US" w:eastAsia="zh-CN"/>
        </w:rPr>
        <w:t>本项目无履约保证金。</w:t>
      </w:r>
    </w:p>
    <w:p>
      <w:pPr>
        <w:pStyle w:val="6"/>
        <w:bidi w:val="0"/>
        <w:rPr>
          <w:rFonts w:hint="eastAsia"/>
          <w:color w:val="auto"/>
          <w:highlight w:val="none"/>
        </w:rPr>
      </w:pPr>
      <w:r>
        <w:rPr>
          <w:rFonts w:hint="eastAsia"/>
          <w:color w:val="auto"/>
          <w:highlight w:val="none"/>
        </w:rPr>
        <w:t>2.31.合同公告</w:t>
      </w:r>
      <w:bookmarkEnd w:id="17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6"/>
        <w:rPr>
          <w:rFonts w:hint="eastAsia" w:ascii="宋体" w:hAnsi="宋体" w:eastAsia="宋体" w:cs="宋体"/>
          <w:color w:val="auto"/>
          <w:highlight w:val="none"/>
        </w:rPr>
      </w:pPr>
      <w:bookmarkStart w:id="172" w:name="_Toc11842"/>
      <w:r>
        <w:rPr>
          <w:rFonts w:hint="eastAsia" w:ascii="宋体" w:hAnsi="宋体" w:eastAsia="宋体" w:cs="宋体"/>
          <w:color w:val="auto"/>
          <w:highlight w:val="none"/>
        </w:rPr>
        <w:t>2.32.合同备案</w:t>
      </w:r>
      <w:bookmarkEnd w:id="17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采购人应当将政府采购合同副本自签订（双方当事人均已签字盖章）之日起7个工作日内通过四川政府采购网报同级财政部门备案。</w:t>
      </w:r>
    </w:p>
    <w:p>
      <w:pPr>
        <w:pStyle w:val="6"/>
        <w:rPr>
          <w:rFonts w:hint="eastAsia" w:ascii="宋体" w:hAnsi="宋体" w:eastAsia="宋体" w:cs="宋体"/>
          <w:color w:val="auto"/>
          <w:highlight w:val="none"/>
        </w:rPr>
      </w:pPr>
      <w:bookmarkStart w:id="173" w:name="_Toc7918"/>
      <w:r>
        <w:rPr>
          <w:rFonts w:hint="eastAsia" w:ascii="宋体" w:hAnsi="宋体" w:eastAsia="宋体" w:cs="宋体"/>
          <w:color w:val="auto"/>
          <w:highlight w:val="none"/>
        </w:rPr>
        <w:t>2.33.履行合同</w:t>
      </w:r>
      <w:bookmarkEnd w:id="17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2.33.1 成交供应商与采购人签订合同后，合同双方应严格执行合同条款，履行合同规定的义务，保证合同的顺利完成。</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2.33.2 在合同履行过程中，如发生合同纠纷，合同双方应按照《中华人民共和国民法典》的有关规定进行处理。</w:t>
      </w:r>
    </w:p>
    <w:p>
      <w:pPr>
        <w:pStyle w:val="6"/>
        <w:rPr>
          <w:rFonts w:hint="eastAsia" w:ascii="宋体" w:hAnsi="宋体" w:eastAsia="宋体" w:cs="宋体"/>
          <w:color w:val="auto"/>
          <w:highlight w:val="none"/>
        </w:rPr>
      </w:pPr>
      <w:bookmarkStart w:id="174" w:name="_Toc24022"/>
      <w:r>
        <w:rPr>
          <w:rFonts w:hint="eastAsia" w:ascii="宋体" w:hAnsi="宋体" w:eastAsia="宋体" w:cs="宋体"/>
          <w:color w:val="auto"/>
          <w:highlight w:val="none"/>
        </w:rPr>
        <w:t>2.34.履约验收</w:t>
      </w:r>
      <w:bookmarkEnd w:id="174"/>
    </w:p>
    <w:p>
      <w:pPr>
        <w:bidi w:val="0"/>
        <w:rPr>
          <w:rFonts w:hint="eastAsia" w:ascii="宋体" w:hAnsi="宋体" w:eastAsia="宋体" w:cs="宋体"/>
          <w:color w:val="auto"/>
          <w:highlight w:val="none"/>
          <w:lang w:eastAsia="zh-CN"/>
        </w:rPr>
      </w:pPr>
      <w:bookmarkStart w:id="175" w:name="_Toc13772"/>
      <w:r>
        <w:rPr>
          <w:rFonts w:hint="eastAsia" w:ascii="宋体" w:hAnsi="宋体" w:eastAsia="宋体" w:cs="宋体"/>
          <w:color w:val="auto"/>
          <w:highlight w:val="none"/>
          <w:lang w:eastAsia="zh-CN"/>
        </w:rPr>
        <w:t>验收时间、期限、方式和标准等相关验收事项，采购人可按照政府采购相关法律法规以及《财政部关于进一步加强政府采购需求和履约验收管理的指导意见》（财库〔2016〕205号）等进行验收。如实际提供的服务与响应方案不一致，采购人有权拒绝验收。由于服务质量造成某些指标达不到采购人要求时，采购人有权要求成交供应商赔偿损失，并保留进一步的追诉权利。</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2.35.资金支付</w:t>
      </w:r>
      <w:bookmarkEnd w:id="17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采购人将按照政府采购合同规定，及时向成交供应商支付采购资金。本项目采购资金采取直接支付，支付程序为：</w:t>
      </w:r>
      <w:r>
        <w:rPr>
          <w:rFonts w:hint="eastAsia" w:ascii="宋体" w:hAnsi="宋体" w:eastAsia="宋体" w:cs="宋体"/>
          <w:b/>
          <w:bCs/>
          <w:color w:val="auto"/>
          <w:highlight w:val="none"/>
        </w:rPr>
        <w:t>详见磋商文件第五章</w:t>
      </w:r>
      <w:r>
        <w:rPr>
          <w:rFonts w:hint="eastAsia" w:ascii="宋体" w:hAnsi="宋体" w:eastAsia="宋体" w:cs="宋体"/>
          <w:color w:val="auto"/>
          <w:highlight w:val="none"/>
        </w:rPr>
        <w:t>。对于满足政府采购合同约定支付条件的，采购人应当自收到发票后</w:t>
      </w:r>
      <w:r>
        <w:rPr>
          <w:rFonts w:hint="eastAsia" w:cs="宋体"/>
          <w:color w:val="auto"/>
          <w:highlight w:val="none"/>
          <w:lang w:eastAsia="zh-CN"/>
        </w:rPr>
        <w:t>按照财政相关要求</w:t>
      </w:r>
      <w:r>
        <w:rPr>
          <w:rFonts w:hint="eastAsia" w:ascii="宋体" w:hAnsi="宋体" w:eastAsia="宋体" w:cs="宋体"/>
          <w:color w:val="auto"/>
          <w:highlight w:val="none"/>
        </w:rPr>
        <w:t>将资金支付到合同约定的供应商账户，不得以机构变动、人员更替、政策调整等为延迟付款，不得将采购文件和合同中未规定的义务作为向供应商付款的条件。采购人逾期支付采购资金的，将按照有关规定承担违约责任。</w:t>
      </w:r>
    </w:p>
    <w:p>
      <w:pPr>
        <w:pStyle w:val="5"/>
        <w:jc w:val="center"/>
        <w:rPr>
          <w:rFonts w:hint="eastAsia" w:ascii="宋体" w:hAnsi="宋体" w:eastAsia="宋体" w:cs="宋体"/>
          <w:color w:val="auto"/>
          <w:highlight w:val="none"/>
        </w:rPr>
      </w:pPr>
      <w:bookmarkStart w:id="176" w:name="_Toc14198"/>
      <w:bookmarkStart w:id="177" w:name="_Toc22925"/>
      <w:r>
        <w:rPr>
          <w:rFonts w:hint="eastAsia" w:ascii="宋体" w:hAnsi="宋体" w:eastAsia="宋体" w:cs="宋体"/>
          <w:color w:val="auto"/>
          <w:highlight w:val="none"/>
        </w:rPr>
        <w:t>八、磋商纪律要求</w:t>
      </w:r>
      <w:bookmarkEnd w:id="176"/>
      <w:bookmarkEnd w:id="177"/>
    </w:p>
    <w:p>
      <w:pPr>
        <w:pStyle w:val="6"/>
        <w:rPr>
          <w:rFonts w:hint="eastAsia" w:ascii="宋体" w:hAnsi="宋体" w:eastAsia="宋体" w:cs="宋体"/>
          <w:color w:val="auto"/>
          <w:highlight w:val="none"/>
        </w:rPr>
      </w:pPr>
      <w:bookmarkStart w:id="178" w:name="_Toc28237"/>
      <w:r>
        <w:rPr>
          <w:rFonts w:hint="eastAsia" w:ascii="宋体" w:hAnsi="宋体" w:eastAsia="宋体" w:cs="宋体"/>
          <w:color w:val="auto"/>
          <w:highlight w:val="none"/>
        </w:rPr>
        <w:t>2.36.供应商不得具有的情形</w:t>
      </w:r>
      <w:bookmarkEnd w:id="17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供应商参加本项目磋商不得有下列情形：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（1）提供虚假材料谋取成交；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（2）采取不正当手段诋毁、排挤其他供应商；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（3）与采购人、采购代理机构、或其他供应商恶意串通；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（4）向采购人、采购代理机构、磋商小组成员行贿或者提供其他不正当利益；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（5）在磋商过程中与采购人、采购代理机构进行协商；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（6）成交后无正当理由拒不与采购人签订政府采购合同；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（7）未按照磋商文件确定的事项签订政府采购合同；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（8）将政府采购合同转包或者违规分包；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（9）提供假冒伪劣产品；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（10）擅自变更、中止或者终止政府采购合同；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（11）拒绝有关部门的监督检查或者向监督检查部门提供虚假情况；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（12）法律法规规定的其他情形。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供应商有上述情形的，按照规定追究法律责任，具备（1）-（10）条情形之一的，同时将取消被确认为成交供应商的资格或者认定成交无效。</w:t>
      </w:r>
    </w:p>
    <w:p>
      <w:pPr>
        <w:pStyle w:val="5"/>
        <w:jc w:val="center"/>
        <w:rPr>
          <w:rFonts w:hint="eastAsia" w:ascii="宋体" w:hAnsi="宋体" w:eastAsia="宋体" w:cs="宋体"/>
          <w:color w:val="auto"/>
          <w:highlight w:val="none"/>
        </w:rPr>
      </w:pPr>
      <w:r>
        <w:rPr>
          <w:rFonts w:hint="eastAsia" w:ascii="宋体" w:hAnsi="宋体" w:eastAsia="宋体" w:cs="宋体"/>
          <w:color w:val="auto"/>
          <w:highlight w:val="none"/>
        </w:rPr>
        <w:t>九、询问、质疑和投诉</w:t>
      </w:r>
    </w:p>
    <w:p>
      <w:pPr>
        <w:ind w:firstLine="480"/>
        <w:rPr>
          <w:rFonts w:hint="eastAsia" w:ascii="宋体" w:hAnsi="宋体" w:eastAsia="宋体" w:cs="宋体"/>
          <w:color w:val="auto"/>
          <w:highlight w:val="none"/>
        </w:rPr>
      </w:pPr>
      <w:bookmarkStart w:id="179" w:name="_Toc26416"/>
      <w:r>
        <w:rPr>
          <w:rFonts w:hint="eastAsia" w:ascii="宋体" w:hAnsi="宋体" w:eastAsia="宋体" w:cs="宋体"/>
          <w:color w:val="auto"/>
          <w:highlight w:val="none"/>
        </w:rPr>
        <w:t>2.37.询问、质疑、投诉的接收和处理严格按照《中华人共和国政府采购法》、《中华人民共和国政府采购法实施条例》、《政府采购质疑和投诉办法》（94号令）</w:t>
      </w:r>
      <w:bookmarkEnd w:id="179"/>
      <w:r>
        <w:rPr>
          <w:rFonts w:hint="eastAsia" w:ascii="宋体" w:hAnsi="宋体" w:eastAsia="宋体" w:cs="宋体"/>
          <w:color w:val="auto"/>
          <w:highlight w:val="none"/>
        </w:rPr>
        <w:t>、《财政部关于加强政府采购供应商投诉受理审查工作的通知》和《四川省政府采购供应商投诉处理工作规程》的规定办理（详细规定请在四川政府采购网政策法规模块查询）。</w:t>
      </w:r>
    </w:p>
    <w:p>
      <w:pPr>
        <w:pStyle w:val="5"/>
        <w:jc w:val="center"/>
        <w:rPr>
          <w:rFonts w:hint="eastAsia" w:ascii="宋体" w:hAnsi="宋体" w:eastAsia="宋体" w:cs="宋体"/>
          <w:color w:val="auto"/>
          <w:highlight w:val="none"/>
        </w:rPr>
      </w:pPr>
      <w:r>
        <w:rPr>
          <w:rFonts w:hint="eastAsia" w:ascii="宋体" w:hAnsi="宋体" w:eastAsia="宋体" w:cs="宋体"/>
          <w:color w:val="auto"/>
          <w:highlight w:val="none"/>
        </w:rPr>
        <w:t>十、中小企业政府采购信用融资</w:t>
      </w:r>
    </w:p>
    <w:p>
      <w:pPr>
        <w:pStyle w:val="5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2.38根据《四川省财政厅关于推进四川省政府采购供应商信用融资工作的通知》（川财采[2018]123号）文件要求，为助力解决政府采购中标、成交供应商资金不足、融资难、融资贵的困难，有融资需求的供应商可根据四川政府采购网公示的银行及其“政采贷”产品，凭中标（成交）通知书向银行提出贷款意向申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2.39根据《成都市财政局关于增补“蓉采贷”政策合作银行及做好相关工作的通知》（成财采发〔2020〕20号），参加本次采购活动的中小企业供应商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w:t>
      </w:r>
    </w:p>
    <w:p>
      <w:pPr>
        <w:pStyle w:val="5"/>
        <w:jc w:val="center"/>
        <w:rPr>
          <w:rFonts w:hint="eastAsia" w:ascii="宋体" w:hAnsi="宋体" w:eastAsia="宋体" w:cs="宋体"/>
          <w:color w:val="auto"/>
          <w:highlight w:val="none"/>
        </w:rPr>
      </w:pPr>
      <w:r>
        <w:rPr>
          <w:rFonts w:hint="eastAsia" w:ascii="宋体" w:hAnsi="宋体" w:eastAsia="宋体" w:cs="宋体"/>
          <w:color w:val="auto"/>
          <w:highlight w:val="none"/>
        </w:rPr>
        <w:t>十一、其  他</w:t>
      </w:r>
    </w:p>
    <w:p>
      <w:pPr>
        <w:ind w:firstLine="480"/>
        <w:rPr>
          <w:rFonts w:hint="eastAsia" w:ascii="宋体" w:hAnsi="宋体" w:eastAsia="宋体" w:cs="宋体"/>
          <w:color w:val="auto"/>
          <w:highlight w:val="none"/>
        </w:rPr>
      </w:pPr>
      <w:bookmarkStart w:id="180" w:name="_Toc29068"/>
      <w:r>
        <w:rPr>
          <w:rFonts w:hint="eastAsia" w:ascii="宋体" w:hAnsi="宋体" w:eastAsia="宋体" w:cs="宋体"/>
          <w:color w:val="auto"/>
          <w:highlight w:val="none"/>
        </w:rPr>
        <w:t>2.40.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bookmarkEnd w:id="180"/>
      <w:bookmarkStart w:id="181" w:name="_Toc25627"/>
      <w:r>
        <w:rPr>
          <w:rFonts w:hint="eastAsia" w:ascii="宋体" w:hAnsi="宋体" w:eastAsia="宋体" w:cs="宋体"/>
          <w:color w:val="auto"/>
          <w:highlight w:val="none"/>
        </w:rPr>
        <w:t>律制度规定执行，本磋商文件不再做调整。</w:t>
      </w:r>
      <w:bookmarkEnd w:id="78"/>
      <w:bookmarkEnd w:id="79"/>
      <w:bookmarkEnd w:id="99"/>
      <w:bookmarkEnd w:id="100"/>
      <w:bookmarkEnd w:id="101"/>
      <w:bookmarkEnd w:id="102"/>
      <w:bookmarkEnd w:id="103"/>
      <w:bookmarkEnd w:id="181"/>
      <w:bookmarkStart w:id="182" w:name="_Toc19052"/>
      <w:bookmarkStart w:id="183" w:name="_Toc17670"/>
      <w:bookmarkStart w:id="184" w:name="_Toc18645"/>
      <w:bookmarkStart w:id="185" w:name="_Toc30484"/>
      <w:bookmarkStart w:id="186" w:name="_Toc17784"/>
      <w:bookmarkStart w:id="187" w:name="_Toc9257"/>
      <w:bookmarkStart w:id="188" w:name="_Toc6069"/>
      <w:bookmarkStart w:id="189" w:name="_Toc16949"/>
      <w:bookmarkStart w:id="190" w:name="_Toc2166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rPr>
          <w:rFonts w:hint="eastAsia" w:ascii="宋体" w:hAnsi="宋体" w:eastAsia="宋体" w:cs="宋体"/>
          <w:color w:val="auto"/>
          <w:highlight w:val="none"/>
        </w:rPr>
      </w:pPr>
      <w:bookmarkStart w:id="191" w:name="_Toc2915"/>
      <w:r>
        <w:rPr>
          <w:rFonts w:hint="eastAsia" w:ascii="宋体" w:hAnsi="宋体" w:eastAsia="宋体" w:cs="宋体"/>
          <w:color w:val="auto"/>
          <w:highlight w:val="none"/>
        </w:rPr>
        <w:t>第三章 供应商资格条件要求</w:t>
      </w:r>
      <w:bookmarkEnd w:id="182"/>
      <w:bookmarkEnd w:id="183"/>
      <w:bookmarkEnd w:id="184"/>
      <w:bookmarkEnd w:id="185"/>
      <w:bookmarkEnd w:id="186"/>
      <w:bookmarkEnd w:id="191"/>
    </w:p>
    <w:p>
      <w:pPr>
        <w:pStyle w:val="5"/>
        <w:rPr>
          <w:rFonts w:hint="eastAsia" w:ascii="宋体" w:hAnsi="宋体" w:eastAsia="宋体" w:cs="宋体"/>
          <w:color w:val="auto"/>
          <w:highlight w:val="none"/>
        </w:rPr>
      </w:pPr>
      <w:r>
        <w:rPr>
          <w:rFonts w:hint="eastAsia" w:ascii="宋体" w:hAnsi="宋体" w:eastAsia="宋体" w:cs="宋体"/>
          <w:color w:val="auto"/>
          <w:highlight w:val="none"/>
        </w:rPr>
        <w:t>3.1供应商参加本次政府采购活动应具备的条件</w:t>
      </w:r>
    </w:p>
    <w:p>
      <w:pPr>
        <w:numPr>
          <w:ilvl w:val="0"/>
          <w:numId w:val="3"/>
        </w:numPr>
        <w:bidi w:val="0"/>
        <w:ind w:left="0" w:leftChars="0" w:firstLine="403"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满足《中华人民共和国政府采购法》第二十二条规定；</w:t>
      </w:r>
    </w:p>
    <w:p>
      <w:pPr>
        <w:numPr>
          <w:ilvl w:val="0"/>
          <w:numId w:val="3"/>
        </w:numPr>
        <w:bidi w:val="0"/>
        <w:ind w:left="0" w:leftChars="0" w:firstLine="403"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落实政府采购政策需满足的资格要求：本项目专门面向中小企业（监狱企业、残疾人福利性单位视同小微企业）</w:t>
      </w:r>
      <w:r>
        <w:rPr>
          <w:rFonts w:hint="eastAsia" w:cs="宋体"/>
          <w:b/>
          <w:bCs/>
          <w:color w:val="auto"/>
          <w:highlight w:val="none"/>
          <w:lang w:eastAsia="zh-CN"/>
        </w:rPr>
        <w:t>采购</w:t>
      </w:r>
      <w:r>
        <w:rPr>
          <w:rFonts w:hint="eastAsia" w:ascii="宋体" w:hAnsi="宋体" w:eastAsia="宋体" w:cs="宋体"/>
          <w:b/>
          <w:bCs/>
          <w:color w:val="auto"/>
          <w:highlight w:val="none"/>
          <w:lang w:eastAsia="zh-CN"/>
        </w:rPr>
        <w:t>。</w:t>
      </w:r>
    </w:p>
    <w:p>
      <w:pPr>
        <w:numPr>
          <w:ilvl w:val="0"/>
          <w:numId w:val="3"/>
        </w:numPr>
        <w:bidi w:val="0"/>
        <w:ind w:left="0" w:leftChars="0" w:firstLine="403"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本项目的特定资格要求：</w:t>
      </w:r>
      <w:r>
        <w:rPr>
          <w:rFonts w:hint="eastAsia" w:cs="宋体"/>
          <w:b/>
          <w:bCs/>
          <w:color w:val="auto"/>
          <w:highlight w:val="none"/>
          <w:u w:val="none"/>
          <w:lang w:eastAsia="zh-CN"/>
        </w:rPr>
        <w:t>供应商具有建设行政主管部门颁发的建设工程质量检测机构资质证书（专业范围至少包含：地基基础工程检测、主体结构工程检测）和市场监管部门颁发的检验检测机构资质认定证书</w:t>
      </w:r>
      <w:r>
        <w:rPr>
          <w:rFonts w:hint="eastAsia" w:ascii="宋体" w:hAnsi="宋体" w:eastAsia="宋体" w:cs="宋体"/>
          <w:b/>
          <w:bCs/>
          <w:color w:val="auto"/>
          <w:highlight w:val="none"/>
        </w:rPr>
        <w:t>。</w:t>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其他类似效力要求</w:t>
      </w:r>
    </w:p>
    <w:p>
      <w:pPr>
        <w:numPr>
          <w:ilvl w:val="0"/>
          <w:numId w:val="4"/>
        </w:numPr>
        <w:bidi w:val="0"/>
        <w:ind w:left="0" w:leftChars="0" w:firstLine="40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本项目参加政府采购活动的供应商及其现任法定代表人/主要负责人在前三年内不得具有行贿犯罪记录；</w:t>
      </w:r>
    </w:p>
    <w:p>
      <w:pPr>
        <w:numPr>
          <w:ilvl w:val="0"/>
          <w:numId w:val="4"/>
        </w:numPr>
        <w:bidi w:val="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b/>
          <w:bCs/>
          <w:color w:val="auto"/>
          <w:highlight w:val="none"/>
        </w:rPr>
        <w:t>不接受</w:t>
      </w:r>
      <w:r>
        <w:rPr>
          <w:rFonts w:hint="eastAsia" w:ascii="宋体" w:hAnsi="宋体" w:eastAsia="宋体" w:cs="宋体"/>
          <w:color w:val="auto"/>
          <w:highlight w:val="none"/>
        </w:rPr>
        <w:t>联合体参加磋商</w:t>
      </w:r>
      <w:r>
        <w:rPr>
          <w:rFonts w:hint="eastAsia" w:ascii="宋体" w:hAnsi="宋体" w:eastAsia="宋体" w:cs="宋体"/>
          <w:color w:val="auto"/>
          <w:highlight w:val="none"/>
          <w:lang w:eastAsia="zh-CN"/>
        </w:rPr>
        <w:t>。</w:t>
      </w:r>
    </w:p>
    <w:p>
      <w:pPr>
        <w:numPr>
          <w:ilvl w:val="0"/>
          <w:numId w:val="4"/>
        </w:numPr>
        <w:bidi w:val="0"/>
        <w:rPr>
          <w:rFonts w:hint="eastAsia" w:ascii="宋体" w:hAnsi="宋体" w:eastAsia="宋体" w:cs="宋体"/>
          <w:color w:val="auto"/>
          <w:highlight w:val="none"/>
        </w:rPr>
      </w:pPr>
      <w:r>
        <w:rPr>
          <w:rFonts w:hint="eastAsia" w:ascii="宋体" w:hAnsi="宋体" w:eastAsia="宋体" w:cs="宋体"/>
          <w:color w:val="auto"/>
          <w:highlight w:val="none"/>
        </w:rPr>
        <w:t>供应商依据采购公告获取了本项目竞争性磋商文件；</w:t>
      </w:r>
    </w:p>
    <w:p>
      <w:pPr>
        <w:numPr>
          <w:ilvl w:val="0"/>
          <w:numId w:val="4"/>
        </w:numPr>
        <w:bidi w:val="0"/>
        <w:rPr>
          <w:rFonts w:hint="eastAsia" w:ascii="宋体" w:hAnsi="宋体" w:eastAsia="宋体" w:cs="宋体"/>
          <w:color w:val="auto"/>
          <w:highlight w:val="none"/>
        </w:rPr>
      </w:pPr>
      <w:r>
        <w:rPr>
          <w:rFonts w:hint="eastAsia" w:ascii="宋体" w:hAnsi="宋体" w:eastAsia="宋体" w:cs="宋体"/>
          <w:color w:val="auto"/>
          <w:highlight w:val="none"/>
        </w:rPr>
        <w:t>参加本次采购活动的法定代表人（单位负责人）或授权参加本次采购活动的供应商代表证明材料。</w:t>
      </w:r>
    </w:p>
    <w:p>
      <w:pPr>
        <w:adjustRightInd w:val="0"/>
        <w:snapToGrid w:val="0"/>
        <w:ind w:firstLine="0" w:firstLineChars="0"/>
        <w:rPr>
          <w:rFonts w:hint="eastAsia" w:ascii="宋体" w:hAnsi="宋体" w:eastAsia="宋体" w:cs="宋体"/>
          <w:b/>
          <w:bCs/>
          <w:color w:val="auto"/>
          <w:sz w:val="21"/>
          <w:szCs w:val="21"/>
          <w:highlight w:val="none"/>
        </w:rPr>
      </w:pPr>
    </w:p>
    <w:p>
      <w:pPr>
        <w:adjustRightInd w:val="0"/>
        <w:snapToGrid w:val="0"/>
        <w:ind w:firstLine="422"/>
        <w:rPr>
          <w:rFonts w:hint="eastAsia" w:ascii="宋体" w:hAnsi="宋体" w:eastAsia="宋体" w:cs="宋体"/>
          <w:b/>
          <w:bCs/>
          <w:color w:val="auto"/>
          <w:sz w:val="21"/>
          <w:szCs w:val="21"/>
          <w:highlight w:val="none"/>
        </w:rPr>
      </w:pPr>
    </w:p>
    <w:p>
      <w:pPr>
        <w:adjustRightInd w:val="0"/>
        <w:snapToGrid w:val="0"/>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adjustRightInd w:val="0"/>
        <w:snapToGrid w:val="0"/>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eastAsia="宋体" w:cs="宋体"/>
          <w:b/>
          <w:bCs/>
          <w:color w:val="auto"/>
          <w:sz w:val="21"/>
          <w:szCs w:val="21"/>
          <w:highlight w:val="none"/>
        </w:rPr>
        <w:br w:type="page"/>
      </w:r>
      <w:bookmarkStart w:id="192" w:name="_Toc4461"/>
      <w:bookmarkStart w:id="193" w:name="_Toc18486"/>
    </w:p>
    <w:p>
      <w:pPr>
        <w:pStyle w:val="4"/>
        <w:rPr>
          <w:rFonts w:hint="eastAsia" w:ascii="宋体" w:hAnsi="宋体" w:eastAsia="宋体" w:cs="宋体"/>
          <w:color w:val="auto"/>
          <w:highlight w:val="none"/>
        </w:rPr>
      </w:pPr>
      <w:bookmarkStart w:id="194" w:name="_Toc23170"/>
      <w:bookmarkStart w:id="195" w:name="_Toc9993"/>
      <w:bookmarkStart w:id="196" w:name="_Toc13528"/>
      <w:bookmarkStart w:id="197" w:name="_Toc19537"/>
      <w:r>
        <w:rPr>
          <w:rFonts w:hint="eastAsia" w:ascii="宋体" w:hAnsi="宋体" w:eastAsia="宋体" w:cs="宋体"/>
          <w:color w:val="auto"/>
          <w:highlight w:val="none"/>
        </w:rPr>
        <w:t>第四章 供应商资格证明材料</w:t>
      </w:r>
      <w:bookmarkEnd w:id="192"/>
      <w:bookmarkEnd w:id="193"/>
      <w:bookmarkEnd w:id="194"/>
      <w:bookmarkEnd w:id="195"/>
      <w:bookmarkEnd w:id="196"/>
      <w:bookmarkEnd w:id="197"/>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具有独立承担民事责任的能力提供以下证明材料：</w:t>
      </w:r>
    </w:p>
    <w:p>
      <w:pPr>
        <w:bidi w:val="0"/>
        <w:rPr>
          <w:rFonts w:hint="eastAsia" w:ascii="宋体" w:hAnsi="宋体" w:eastAsia="宋体" w:cs="宋体"/>
          <w:color w:val="auto"/>
          <w:highlight w:val="none"/>
        </w:rPr>
      </w:pPr>
      <w:r>
        <w:rPr>
          <w:rFonts w:hint="eastAsia" w:ascii="宋体" w:hAnsi="宋体" w:eastAsia="宋体" w:cs="宋体"/>
          <w:color w:val="auto"/>
          <w:highlight w:val="none"/>
        </w:rPr>
        <w:t>①企业法人：提交“统一社会信用代码的营业执照”；</w:t>
      </w:r>
    </w:p>
    <w:p>
      <w:pPr>
        <w:bidi w:val="0"/>
        <w:rPr>
          <w:rFonts w:hint="eastAsia" w:ascii="宋体" w:hAnsi="宋体" w:eastAsia="宋体" w:cs="宋体"/>
          <w:color w:val="auto"/>
          <w:highlight w:val="none"/>
        </w:rPr>
      </w:pPr>
      <w:r>
        <w:rPr>
          <w:rFonts w:hint="eastAsia" w:ascii="宋体" w:hAnsi="宋体" w:eastAsia="宋体" w:cs="宋体"/>
          <w:color w:val="auto"/>
          <w:highlight w:val="none"/>
        </w:rPr>
        <w:t>②事业法人：提交“统一社会信用代码的事业单位法人证书”；</w:t>
      </w:r>
    </w:p>
    <w:p>
      <w:pPr>
        <w:ind w:firstLine="480"/>
        <w:rPr>
          <w:rFonts w:hint="eastAsia" w:eastAsia="宋体"/>
          <w:color w:val="auto"/>
          <w:highlight w:val="none"/>
          <w:lang w:eastAsia="zh-CN"/>
        </w:rPr>
      </w:pPr>
      <w:r>
        <w:rPr>
          <w:rFonts w:hint="eastAsia" w:ascii="宋体" w:hAnsi="宋体" w:eastAsia="宋体" w:cs="宋体"/>
          <w:color w:val="auto"/>
          <w:highlight w:val="none"/>
        </w:rPr>
        <w:t>③其他组织：提交“相关主管部门颁发的准许执业证明文件或其他证明材料”</w:t>
      </w:r>
      <w:r>
        <w:rPr>
          <w:rFonts w:hint="eastAsia"/>
          <w:color w:val="auto"/>
          <w:highlight w:val="none"/>
          <w:lang w:eastAsia="zh-CN"/>
        </w:rPr>
        <w:t>。</w:t>
      </w:r>
    </w:p>
    <w:p>
      <w:pPr>
        <w:ind w:firstLine="480"/>
        <w:rPr>
          <w:rFonts w:hint="eastAsia" w:ascii="宋体" w:hAnsi="宋体" w:eastAsia="宋体" w:cs="宋体"/>
          <w:color w:val="auto"/>
          <w:highlight w:val="none"/>
          <w:lang w:eastAsia="zh-CN"/>
        </w:rPr>
      </w:pPr>
      <w:r>
        <w:rPr>
          <w:rFonts w:hint="eastAsia"/>
          <w:color w:val="auto"/>
          <w:highlight w:val="none"/>
        </w:rPr>
        <w:t xml:space="preserve"> （提供复印件加盖公章。）</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具有良好的商业信誉的证明材料（提供承诺函，格式详见磋商文件第七章）；</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有健全的财务会计制度的证明材料；｛注：①可提供2019或2020年度经审计的财务报告复印件（包含审计报告、审计报告中所涉及的财务报表和报表附注）；②也可提供2020或2021年供应商内部的财务报表复印件（至少包含资产负债表）；③也可提供响应文件递交截止日前一年内银行出具的有效资信证明；④供应商注册时间距响应文件递交截止日不足一年的，也可提供在</w:t>
      </w:r>
      <w:r>
        <w:rPr>
          <w:rFonts w:hint="eastAsia" w:cs="宋体"/>
          <w:color w:val="auto"/>
          <w:highlight w:val="none"/>
          <w:lang w:eastAsia="zh-CN"/>
        </w:rPr>
        <w:t>行政主管部门</w:t>
      </w:r>
      <w:r>
        <w:rPr>
          <w:rFonts w:hint="eastAsia" w:ascii="宋体" w:hAnsi="宋体" w:eastAsia="宋体" w:cs="宋体"/>
          <w:color w:val="auto"/>
          <w:highlight w:val="none"/>
        </w:rPr>
        <w:t>备案的公司章程复印件。</w:t>
      </w:r>
      <w:r>
        <w:rPr>
          <w:rFonts w:hint="eastAsia" w:cs="宋体"/>
          <w:color w:val="auto"/>
          <w:highlight w:val="none"/>
          <w:lang w:val="en-US" w:eastAsia="zh-CN"/>
        </w:rPr>
        <w:t>(提供</w:t>
      </w:r>
      <w:r>
        <w:rPr>
          <w:rFonts w:hint="eastAsia" w:ascii="宋体" w:hAnsi="宋体" w:eastAsia="宋体" w:cs="宋体"/>
          <w:color w:val="auto"/>
          <w:highlight w:val="none"/>
        </w:rPr>
        <w:t>复印件加盖公章</w:t>
      </w:r>
      <w:r>
        <w:rPr>
          <w:rFonts w:hint="eastAsia" w:cs="宋体"/>
          <w:color w:val="auto"/>
          <w:highlight w:val="none"/>
          <w:lang w:val="en-US" w:eastAsia="zh-CN"/>
        </w:rPr>
        <w:t>)</w:t>
      </w:r>
      <w:r>
        <w:rPr>
          <w:rFonts w:hint="eastAsia" w:ascii="宋体" w:hAnsi="宋体" w:eastAsia="宋体" w:cs="宋体"/>
          <w:color w:val="auto"/>
          <w:highlight w:val="none"/>
        </w:rPr>
        <w:t>｝；</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具备履行合同所必需的设备和专业技术能力的证明材料（提供承诺函，格式详见磋商文件第七章）；</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有依法缴纳税收和社会保障资金的良好记录的证明材料：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①缴纳税收：提供2021年1月（含）以来任意时段（至少1个月）的缴纳税收的银行电子回单或者税务部门出具的纳税证明或完税证明或有效票据的复印件【1.复印件加盖公章；2.依法免税的供应商，应提供相应文件证明其依法免税（不含供应商承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②缴纳社会保障资金：提供2021年1月（含）以来任意时段（至少1个月）的缴纳社保的银行电子回单或社保部门出具的社保缴纳证明材料或有效票据复印件（复印件加盖公章）。</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参加政府采购活动前三年内在经营活动中没有重大违法记录的证明材料（提供承诺函，格式详见磋商文件第七章）；</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法律、行政法规规定的其他条件的证明材料（提供承诺函，格式详见磋商文件第七章）；</w:t>
      </w:r>
    </w:p>
    <w:p>
      <w:pPr>
        <w:numPr>
          <w:ilvl w:val="0"/>
          <w:numId w:val="5"/>
        </w:numPr>
        <w:ind w:left="0" w:leftChars="0" w:firstLine="480" w:firstLineChars="200"/>
        <w:rPr>
          <w:rFonts w:hint="eastAsia" w:ascii="宋体" w:hAnsi="宋体" w:eastAsia="宋体" w:cs="宋体"/>
          <w:color w:val="auto"/>
          <w:highlight w:val="none"/>
          <w:lang w:eastAsia="zh-CN"/>
        </w:rPr>
      </w:pPr>
      <w:r>
        <w:rPr>
          <w:rFonts w:hint="eastAsia"/>
          <w:color w:val="auto"/>
          <w:highlight w:val="none"/>
        </w:rPr>
        <w:t>本项目专门面向中小企业（监狱企业、残疾人福利性单位视同小微企业）采购（提供中小企业声明函或监狱企业证明文件或残疾人福利性单位声明函）</w:t>
      </w:r>
      <w:r>
        <w:rPr>
          <w:rFonts w:hint="eastAsia"/>
          <w:color w:val="auto"/>
          <w:highlight w:val="none"/>
          <w:lang w:eastAsia="zh-CN"/>
        </w:rPr>
        <w:t>；</w:t>
      </w:r>
    </w:p>
    <w:p>
      <w:pPr>
        <w:numPr>
          <w:ilvl w:val="0"/>
          <w:numId w:val="5"/>
        </w:numPr>
        <w:ind w:left="0" w:leftChars="0" w:firstLine="480" w:firstLineChars="200"/>
        <w:rPr>
          <w:rFonts w:hint="eastAsia"/>
          <w:color w:val="auto"/>
          <w:highlight w:val="none"/>
          <w:lang w:eastAsia="zh-CN"/>
        </w:rPr>
      </w:pPr>
      <w:r>
        <w:rPr>
          <w:rFonts w:hint="eastAsia"/>
          <w:color w:val="auto"/>
          <w:highlight w:val="none"/>
          <w:lang w:eastAsia="zh-CN"/>
        </w:rPr>
        <w:t>供应商具有建设行政主管部门颁发的建设工程质量检测机构资质证书（专业范围至少包含：地基基础工程检测、主体结构工程检测）和市场监管部门颁发的检验检测机构资质认定证书</w:t>
      </w:r>
      <w:r>
        <w:rPr>
          <w:rFonts w:hint="eastAsia"/>
          <w:color w:val="auto"/>
          <w:highlight w:val="none"/>
          <w:lang w:val="en-US" w:eastAsia="zh-CN"/>
        </w:rPr>
        <w:t>（提供复印件加盖公章）；</w:t>
      </w:r>
    </w:p>
    <w:p>
      <w:pPr>
        <w:numPr>
          <w:ilvl w:val="0"/>
          <w:numId w:val="5"/>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本项目参加政府采购活动的供应商及其现任法定代表人/主要负责人在前三年内不得具有行贿犯罪记录（提供供应商及其现任法定代表人/主要负责人在参加政府采购活动前三年内无行贿犯罪记录的承诺函原件）；</w:t>
      </w:r>
    </w:p>
    <w:p>
      <w:pPr>
        <w:numPr>
          <w:ilvl w:val="0"/>
          <w:numId w:val="5"/>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供应商依据采购公告获取了本项目竞争性磋商文件（注：由采购代理机构提供供应商获取了磋商文件情况的相关证明材料，供应商不需要提供其他证明材料）；</w:t>
      </w:r>
    </w:p>
    <w:p>
      <w:pPr>
        <w:numPr>
          <w:ilvl w:val="0"/>
          <w:numId w:val="5"/>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提供法定代表人（单位负责人）身份证明书原件及法定代表人（单位负责人）身份证复印件或护照复印件【①法定代表人（单位负责人）身份证明书原件；②法定代表人（单位负责人）身份证复印件（在有效期内, 身份证两面均应复印）或护照复印件（供应商的法定代表人（单位负责人）为外籍人士的，按此提供）；③满足磋商文件的要求。】；</w:t>
      </w:r>
    </w:p>
    <w:p>
      <w:pPr>
        <w:numPr>
          <w:ilvl w:val="0"/>
          <w:numId w:val="5"/>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法定代表人（单位负责人）授权书原件及授权代表身份证明材料复印件【①法定代表人授权书原件需加盖公章；②授权代表身份证复印件（在有效期内,身份证两面均应复印）；③满足磋商文件的要求；④如响应文件均由供应商法定代表人（单位负责人）签字的则可不提供。】；</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供应商未提供本项目整体设计、规范编制或者项目管理、监理、检测等服务的证明材料（提供承诺函，格式详见磋商文件第七章）。</w:t>
      </w:r>
    </w:p>
    <w:p>
      <w:pPr>
        <w:pStyle w:val="16"/>
        <w:ind w:firstLine="0" w:firstLineChars="0"/>
        <w:rPr>
          <w:rFonts w:hint="eastAsia" w:ascii="宋体" w:hAnsi="宋体" w:eastAsia="宋体" w:cs="宋体"/>
          <w:color w:val="auto"/>
          <w:highlight w:val="none"/>
        </w:rPr>
      </w:pPr>
    </w:p>
    <w:p>
      <w:pPr>
        <w:adjustRightInd w:val="0"/>
        <w:snapToGrid w:val="0"/>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说明：（1）如有意愿参与本项目的潜在供应商，请按磋商文件要求提供相关承诺，严禁提供虚假承诺，如提供虚假承诺将报告监管部门严肃追究法律责任。</w:t>
      </w:r>
    </w:p>
    <w:p>
      <w:pPr>
        <w:adjustRightInd w:val="0"/>
        <w:snapToGrid w:val="0"/>
        <w:ind w:firstLine="42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（2）除供应商自愿以外，不能要求供应商提供额外的证明材料。如果要求提供额外的证明材料，供应商有权不予提供，且不影响响应文件的有效性和完整性。</w:t>
      </w:r>
    </w:p>
    <w:p>
      <w:pPr>
        <w:ind w:firstLine="480"/>
        <w:rPr>
          <w:rFonts w:hint="eastAsia" w:ascii="宋体" w:hAnsi="宋体" w:eastAsia="宋体" w:cs="宋体"/>
          <w:color w:val="auto"/>
          <w:highlight w:val="none"/>
        </w:rPr>
      </w:pPr>
      <w:bookmarkStart w:id="198" w:name="_Toc25682"/>
      <w:bookmarkStart w:id="199" w:name="_Toc23977"/>
      <w:bookmarkStart w:id="200" w:name="_Toc17562"/>
      <w:bookmarkStart w:id="201" w:name="_Toc4933"/>
      <w:bookmarkStart w:id="202" w:name="_Toc29136"/>
      <w:r>
        <w:rPr>
          <w:rFonts w:hint="eastAsia" w:ascii="宋体" w:hAnsi="宋体" w:eastAsia="宋体" w:cs="宋体"/>
          <w:color w:val="auto"/>
          <w:highlight w:val="none"/>
        </w:rPr>
        <w:br w:type="page"/>
      </w:r>
    </w:p>
    <w:bookmarkEnd w:id="187"/>
    <w:bookmarkEnd w:id="188"/>
    <w:bookmarkEnd w:id="189"/>
    <w:bookmarkEnd w:id="190"/>
    <w:bookmarkEnd w:id="198"/>
    <w:bookmarkEnd w:id="199"/>
    <w:bookmarkEnd w:id="200"/>
    <w:bookmarkEnd w:id="201"/>
    <w:bookmarkEnd w:id="202"/>
    <w:p>
      <w:pPr>
        <w:pStyle w:val="4"/>
        <w:rPr>
          <w:rFonts w:hint="eastAsia" w:ascii="宋体" w:hAnsi="宋体" w:eastAsia="宋体" w:cs="宋体"/>
          <w:color w:val="auto"/>
          <w:highlight w:val="none"/>
        </w:rPr>
      </w:pPr>
      <w:bookmarkStart w:id="203" w:name="_Toc26063"/>
      <w:bookmarkStart w:id="204" w:name="_Toc19854"/>
      <w:bookmarkStart w:id="205" w:name="_Toc15022"/>
      <w:bookmarkStart w:id="206" w:name="_Toc14736"/>
      <w:bookmarkStart w:id="207" w:name="_Toc6686"/>
      <w:bookmarkStart w:id="208" w:name="_Toc7520"/>
      <w:bookmarkStart w:id="209" w:name="_Toc17553"/>
      <w:r>
        <w:rPr>
          <w:rFonts w:hint="eastAsia" w:ascii="宋体" w:hAnsi="宋体" w:eastAsia="宋体" w:cs="宋体"/>
          <w:color w:val="auto"/>
          <w:highlight w:val="none"/>
        </w:rPr>
        <w:t>第五章 采购项目技术服务、商务及其他要求</w:t>
      </w:r>
      <w:bookmarkEnd w:id="203"/>
    </w:p>
    <w:p>
      <w:pPr>
        <w:pStyle w:val="5"/>
        <w:bidi w:val="0"/>
        <w:rPr>
          <w:color w:val="auto"/>
          <w:highlight w:val="none"/>
        </w:rPr>
      </w:pPr>
      <w:bookmarkStart w:id="371" w:name="_GoBack"/>
      <w:bookmarkEnd w:id="371"/>
      <w:r>
        <w:rPr>
          <w:rFonts w:hint="eastAsia"/>
          <w:color w:val="auto"/>
          <w:highlight w:val="none"/>
          <w:lang w:val="en-US" w:eastAsia="zh-CN"/>
        </w:rPr>
        <w:t>5</w:t>
      </w:r>
      <w:r>
        <w:rPr>
          <w:color w:val="auto"/>
          <w:highlight w:val="none"/>
        </w:rPr>
        <w:t>.1</w:t>
      </w:r>
      <w:r>
        <w:rPr>
          <w:rFonts w:hint="eastAsia"/>
          <w:color w:val="auto"/>
          <w:highlight w:val="none"/>
        </w:rPr>
        <w:t>项目概况</w:t>
      </w:r>
    </w:p>
    <w:p>
      <w:pPr>
        <w:bidi w:val="0"/>
        <w:rPr>
          <w:rFonts w:hint="eastAsia"/>
          <w:color w:val="auto"/>
          <w:highlight w:val="none"/>
          <w:lang w:val="en-US" w:eastAsia="zh-CN"/>
        </w:rPr>
      </w:pPr>
      <w:bookmarkStart w:id="210" w:name="_Toc29377"/>
      <w:bookmarkStart w:id="211" w:name="_Toc494464917"/>
      <w:r>
        <w:rPr>
          <w:color w:val="auto"/>
          <w:highlight w:val="none"/>
        </w:rPr>
        <w:t>成都市金牛区中医医院项目位于成都市金牛区天回镇街道万圣社区7组，新建1所700张床位（含20张负压床位）的三级中医医院</w:t>
      </w:r>
      <w:r>
        <w:rPr>
          <w:rFonts w:hint="eastAsia"/>
          <w:color w:val="auto"/>
          <w:highlight w:val="none"/>
          <w:lang w:eastAsia="zh-CN"/>
        </w:rPr>
        <w:t>。</w:t>
      </w:r>
      <w:r>
        <w:rPr>
          <w:rFonts w:hint="eastAsia"/>
          <w:color w:val="auto"/>
          <w:highlight w:val="none"/>
        </w:rPr>
        <w:t>项目规划建设用地面积</w:t>
      </w:r>
      <w:r>
        <w:rPr>
          <w:rFonts w:hint="eastAsia"/>
          <w:color w:val="auto"/>
          <w:highlight w:val="none"/>
          <w:lang w:eastAsia="zh-CN"/>
        </w:rPr>
        <w:t>约</w:t>
      </w:r>
      <w:r>
        <w:rPr>
          <w:rFonts w:hint="eastAsia"/>
          <w:color w:val="auto"/>
          <w:highlight w:val="none"/>
        </w:rPr>
        <w:t>24587.76平方米，规划总建筑面积</w:t>
      </w:r>
      <w:r>
        <w:rPr>
          <w:rFonts w:hint="eastAsia"/>
          <w:color w:val="auto"/>
          <w:highlight w:val="none"/>
          <w:lang w:eastAsia="zh-CN"/>
        </w:rPr>
        <w:t>约</w:t>
      </w:r>
      <w:r>
        <w:rPr>
          <w:rFonts w:hint="eastAsia"/>
          <w:color w:val="auto"/>
          <w:highlight w:val="none"/>
        </w:rPr>
        <w:t>112481.03平方米</w:t>
      </w:r>
      <w:r>
        <w:rPr>
          <w:rFonts w:hint="eastAsia"/>
          <w:color w:val="auto"/>
          <w:highlight w:val="none"/>
          <w:lang w:eastAsia="zh-CN"/>
        </w:rPr>
        <w:t>。</w:t>
      </w:r>
      <w:r>
        <w:rPr>
          <w:rFonts w:hint="eastAsia"/>
          <w:color w:val="auto"/>
          <w:highlight w:val="none"/>
        </w:rPr>
        <w:t>地块南北长约 200 米，东西长约 125 米，地势平坦，呈矩形状</w:t>
      </w:r>
      <w:r>
        <w:rPr>
          <w:rFonts w:hint="eastAsia"/>
          <w:color w:val="auto"/>
          <w:highlight w:val="none"/>
          <w:lang w:eastAsia="zh-CN"/>
        </w:rPr>
        <w:t>；</w:t>
      </w:r>
      <w:r>
        <w:rPr>
          <w:rFonts w:hint="eastAsia"/>
          <w:color w:val="auto"/>
          <w:highlight w:val="none"/>
        </w:rPr>
        <w:t>基坑深度为 10.55 米（基坑最大开挖深度约 12.0m）</w:t>
      </w:r>
      <w:r>
        <w:rPr>
          <w:rFonts w:hint="eastAsia"/>
          <w:color w:val="auto"/>
          <w:highlight w:val="none"/>
          <w:lang w:eastAsia="zh-CN"/>
        </w:rPr>
        <w:t>；</w:t>
      </w:r>
      <w:r>
        <w:rPr>
          <w:rFonts w:hint="eastAsia"/>
          <w:color w:val="auto"/>
          <w:highlight w:val="none"/>
        </w:rPr>
        <w:t>基坑安全等级：一级</w:t>
      </w:r>
      <w:r>
        <w:rPr>
          <w:rFonts w:hint="eastAsia"/>
          <w:color w:val="auto"/>
          <w:highlight w:val="none"/>
          <w:lang w:eastAsia="zh-CN"/>
        </w:rPr>
        <w:t>；</w:t>
      </w:r>
      <w:r>
        <w:rPr>
          <w:rFonts w:hint="eastAsia"/>
          <w:color w:val="auto"/>
          <w:highlight w:val="none"/>
        </w:rPr>
        <w:t>基坑防护要求：围护结构为钻孔灌注桩+锚索形式，桩直径为 800mm，间距为1800mm。计划工期</w:t>
      </w:r>
      <w:r>
        <w:rPr>
          <w:rFonts w:hint="eastAsia"/>
          <w:color w:val="auto"/>
          <w:highlight w:val="none"/>
          <w:lang w:eastAsia="zh-CN"/>
        </w:rPr>
        <w:t>：</w:t>
      </w:r>
      <w:r>
        <w:rPr>
          <w:rFonts w:hint="eastAsia"/>
          <w:color w:val="auto"/>
          <w:highlight w:val="none"/>
        </w:rPr>
        <w:t>1020日历天</w:t>
      </w:r>
      <w:r>
        <w:rPr>
          <w:rFonts w:hint="eastAsia"/>
          <w:color w:val="auto"/>
          <w:highlight w:val="none"/>
          <w:lang w:eastAsia="zh-CN"/>
        </w:rPr>
        <w:t>。</w:t>
      </w:r>
      <w:r>
        <w:rPr>
          <w:color w:val="auto"/>
          <w:highlight w:val="none"/>
        </w:rPr>
        <w:t>项目建设内容包含急诊部、门诊部、住院部、医技科室、药剂科室等基本用房及保障系统、行政管理、院内生活服务等辅助用房，具体包括土建工程、安装工程、装饰工程、设备工程以及总平工程等。</w:t>
      </w:r>
      <w:r>
        <w:rPr>
          <w:rFonts w:hint="eastAsia"/>
          <w:color w:val="auto"/>
          <w:highlight w:val="none"/>
          <w:lang w:eastAsia="zh-CN"/>
        </w:rPr>
        <w:t>本项目为</w:t>
      </w:r>
      <w:r>
        <w:rPr>
          <w:color w:val="auto"/>
          <w:highlight w:val="none"/>
        </w:rPr>
        <w:t>成都市金牛区中医医院</w:t>
      </w:r>
      <w:r>
        <w:rPr>
          <w:rFonts w:hint="eastAsia"/>
          <w:color w:val="auto"/>
          <w:highlight w:val="none"/>
          <w:lang w:val="en-US" w:eastAsia="zh-CN"/>
        </w:rPr>
        <w:t>工程基坑变形观测及主体结构沉降观测服务，共1个包件。</w:t>
      </w:r>
    </w:p>
    <w:p>
      <w:pPr>
        <w:pStyle w:val="5"/>
        <w:bidi w:val="0"/>
        <w:rPr>
          <w:color w:val="auto"/>
          <w:highlight w:val="none"/>
        </w:rPr>
      </w:pPr>
      <w:r>
        <w:rPr>
          <w:rFonts w:hint="eastAsia"/>
          <w:color w:val="auto"/>
          <w:highlight w:val="none"/>
          <w:lang w:val="en-US" w:eastAsia="zh-CN"/>
        </w:rPr>
        <w:t>5</w:t>
      </w:r>
      <w:r>
        <w:rPr>
          <w:color w:val="auto"/>
          <w:highlight w:val="none"/>
        </w:rPr>
        <w:t>.</w:t>
      </w:r>
      <w:bookmarkEnd w:id="210"/>
      <w:bookmarkEnd w:id="211"/>
      <w:r>
        <w:rPr>
          <w:color w:val="auto"/>
          <w:highlight w:val="none"/>
        </w:rPr>
        <w:t>2</w:t>
      </w:r>
      <w:r>
        <w:rPr>
          <w:rFonts w:hint="eastAsia"/>
          <w:color w:val="auto"/>
          <w:highlight w:val="none"/>
        </w:rPr>
        <w:t>服务内容</w:t>
      </w:r>
    </w:p>
    <w:p>
      <w:pPr>
        <w:bidi w:val="0"/>
        <w:rPr>
          <w:rFonts w:hint="eastAsia"/>
          <w:color w:val="auto"/>
          <w:highlight w:val="none"/>
          <w:lang w:val="en-US" w:eastAsia="zh-CN"/>
        </w:rPr>
      </w:pPr>
      <w:r>
        <w:rPr>
          <w:rFonts w:hint="eastAsia"/>
          <w:color w:val="auto"/>
          <w:highlight w:val="none"/>
          <w:lang w:val="en-US" w:eastAsia="zh-CN"/>
        </w:rPr>
        <w:t>开展</w:t>
      </w:r>
      <w:r>
        <w:rPr>
          <w:color w:val="auto"/>
          <w:highlight w:val="none"/>
        </w:rPr>
        <w:t>成都市金牛区中医医院</w:t>
      </w:r>
      <w:r>
        <w:rPr>
          <w:rFonts w:hint="eastAsia"/>
          <w:color w:val="auto"/>
          <w:highlight w:val="none"/>
          <w:lang w:val="en-US" w:eastAsia="zh-CN"/>
        </w:rPr>
        <w:t>工程基坑变形观测及主体结构沉降观测工作。包含但不限于以下内容：</w:t>
      </w:r>
      <w:r>
        <w:rPr>
          <w:rFonts w:hint="eastAsia"/>
          <w:color w:val="auto"/>
          <w:highlight w:val="none"/>
        </w:rPr>
        <w:t>建筑基坑边坡水平位移</w:t>
      </w:r>
      <w:r>
        <w:rPr>
          <w:rFonts w:hint="eastAsia"/>
          <w:color w:val="auto"/>
          <w:highlight w:val="none"/>
          <w:lang w:eastAsia="zh-CN"/>
        </w:rPr>
        <w:t>监测；</w:t>
      </w:r>
      <w:r>
        <w:rPr>
          <w:rFonts w:hint="eastAsia"/>
          <w:color w:val="auto"/>
          <w:highlight w:val="none"/>
        </w:rPr>
        <w:t>建筑基坑边坡竖向位移</w:t>
      </w:r>
      <w:r>
        <w:rPr>
          <w:rFonts w:hint="eastAsia"/>
          <w:color w:val="auto"/>
          <w:highlight w:val="none"/>
          <w:lang w:eastAsia="zh-CN"/>
        </w:rPr>
        <w:t>监测；</w:t>
      </w:r>
      <w:r>
        <w:rPr>
          <w:rFonts w:hint="eastAsia"/>
          <w:color w:val="auto"/>
          <w:highlight w:val="none"/>
        </w:rPr>
        <w:t>建筑基坑周边地表沉降</w:t>
      </w:r>
      <w:r>
        <w:rPr>
          <w:rFonts w:hint="eastAsia"/>
          <w:color w:val="auto"/>
          <w:highlight w:val="none"/>
          <w:lang w:eastAsia="zh-CN"/>
        </w:rPr>
        <w:t>监测；</w:t>
      </w:r>
      <w:r>
        <w:rPr>
          <w:rFonts w:hint="eastAsia"/>
          <w:color w:val="auto"/>
          <w:highlight w:val="none"/>
        </w:rPr>
        <w:t>主体工程沉降监测</w:t>
      </w:r>
      <w:r>
        <w:rPr>
          <w:rFonts w:hint="eastAsia"/>
          <w:color w:val="auto"/>
          <w:highlight w:val="none"/>
          <w:lang w:eastAsia="zh-CN"/>
        </w:rPr>
        <w:t>。</w:t>
      </w:r>
    </w:p>
    <w:p>
      <w:pPr>
        <w:pStyle w:val="5"/>
        <w:bidi w:val="0"/>
        <w:rPr>
          <w:color w:val="auto"/>
          <w:highlight w:val="none"/>
        </w:rPr>
      </w:pPr>
      <w:r>
        <w:rPr>
          <w:rFonts w:hint="eastAsia"/>
          <w:color w:val="auto"/>
          <w:highlight w:val="none"/>
          <w:lang w:val="en-US" w:eastAsia="zh-CN"/>
        </w:rPr>
        <w:t>5</w:t>
      </w:r>
      <w:r>
        <w:rPr>
          <w:color w:val="auto"/>
          <w:highlight w:val="none"/>
        </w:rPr>
        <w:t>.3</w:t>
      </w:r>
      <w:r>
        <w:rPr>
          <w:rFonts w:hint="eastAsia"/>
          <w:color w:val="auto"/>
          <w:highlight w:val="none"/>
        </w:rPr>
        <w:t>技术、服务要求</w:t>
      </w:r>
    </w:p>
    <w:p>
      <w:pPr>
        <w:pStyle w:val="6"/>
        <w:bidi w:val="0"/>
        <w:rPr>
          <w:rFonts w:hint="eastAsia"/>
          <w:color w:val="auto"/>
          <w:highlight w:val="none"/>
          <w:lang w:val="en-US" w:eastAsia="zh-CN"/>
        </w:rPr>
      </w:pPr>
      <w:r>
        <w:rPr>
          <w:rFonts w:hint="eastAsia"/>
          <w:color w:val="auto"/>
          <w:highlight w:val="none"/>
          <w:lang w:val="en-US" w:eastAsia="zh-CN"/>
        </w:rPr>
        <w:t>5.3.1</w:t>
      </w:r>
      <w:r>
        <w:rPr>
          <w:rFonts w:hint="eastAsia"/>
          <w:color w:val="auto"/>
          <w:highlight w:val="none"/>
        </w:rPr>
        <w:t>技术标准和依据</w:t>
      </w:r>
    </w:p>
    <w:p>
      <w:pPr>
        <w:bidi w:val="0"/>
        <w:rPr>
          <w:rFonts w:hint="eastAsia"/>
          <w:color w:val="auto"/>
          <w:highlight w:val="none"/>
          <w:lang w:val="en-US" w:eastAsia="zh-CN"/>
        </w:rPr>
      </w:pPr>
      <w:r>
        <w:rPr>
          <w:rFonts w:hint="eastAsia"/>
          <w:color w:val="auto"/>
          <w:highlight w:val="none"/>
          <w:lang w:val="en-US" w:eastAsia="zh-CN"/>
        </w:rPr>
        <w:t>《国家一、二等水准测量规范》(GB/T 12897-2006)</w:t>
      </w:r>
    </w:p>
    <w:p>
      <w:pPr>
        <w:bidi w:val="0"/>
        <w:rPr>
          <w:rFonts w:hint="eastAsia"/>
          <w:color w:val="auto"/>
          <w:highlight w:val="none"/>
          <w:lang w:val="en-US" w:eastAsia="zh-CN"/>
        </w:rPr>
      </w:pPr>
      <w:r>
        <w:rPr>
          <w:rFonts w:hint="eastAsia"/>
          <w:color w:val="auto"/>
          <w:highlight w:val="none"/>
          <w:lang w:val="en-US" w:eastAsia="zh-CN"/>
        </w:rPr>
        <w:t>《建筑变形测量规范》（JGJ 8-2016）</w:t>
      </w:r>
    </w:p>
    <w:p>
      <w:pPr>
        <w:bidi w:val="0"/>
        <w:rPr>
          <w:rFonts w:hint="eastAsia"/>
          <w:color w:val="auto"/>
          <w:highlight w:val="none"/>
          <w:lang w:val="en-US" w:eastAsia="zh-CN"/>
        </w:rPr>
      </w:pPr>
      <w:r>
        <w:rPr>
          <w:rFonts w:hint="eastAsia"/>
          <w:color w:val="auto"/>
          <w:highlight w:val="none"/>
          <w:lang w:val="en-US" w:eastAsia="zh-CN"/>
        </w:rPr>
        <w:t>《成都地区建筑地基基础设计规范》（DB51/T 5026-2001）</w:t>
      </w:r>
    </w:p>
    <w:p>
      <w:pPr>
        <w:bidi w:val="0"/>
        <w:rPr>
          <w:rFonts w:hint="eastAsia"/>
          <w:color w:val="auto"/>
          <w:highlight w:val="none"/>
          <w:lang w:val="en-US" w:eastAsia="zh-CN"/>
        </w:rPr>
      </w:pPr>
      <w:r>
        <w:rPr>
          <w:rFonts w:hint="eastAsia"/>
          <w:color w:val="auto"/>
          <w:highlight w:val="none"/>
          <w:lang w:val="en-US" w:eastAsia="zh-CN"/>
        </w:rPr>
        <w:t>《工程测量标准》（GB50026-2020）</w:t>
      </w:r>
    </w:p>
    <w:p>
      <w:pPr>
        <w:bidi w:val="0"/>
        <w:rPr>
          <w:rFonts w:hint="eastAsia"/>
          <w:color w:val="auto"/>
          <w:highlight w:val="none"/>
          <w:lang w:val="en-US" w:eastAsia="zh-CN"/>
        </w:rPr>
      </w:pPr>
      <w:r>
        <w:rPr>
          <w:rFonts w:hint="eastAsia"/>
          <w:color w:val="auto"/>
          <w:highlight w:val="none"/>
          <w:lang w:val="en-US" w:eastAsia="zh-CN"/>
        </w:rPr>
        <w:t>《建筑地基基础设计规范》（GB50007-2011）</w:t>
      </w:r>
    </w:p>
    <w:p>
      <w:pPr>
        <w:bidi w:val="0"/>
        <w:rPr>
          <w:rFonts w:hint="eastAsia"/>
          <w:color w:val="auto"/>
          <w:highlight w:val="none"/>
          <w:lang w:val="en-US" w:eastAsia="zh-CN"/>
        </w:rPr>
      </w:pPr>
      <w:r>
        <w:rPr>
          <w:rFonts w:hint="eastAsia"/>
          <w:color w:val="auto"/>
          <w:highlight w:val="none"/>
          <w:lang w:val="en-US" w:eastAsia="zh-CN"/>
        </w:rPr>
        <w:t>《建筑地基处理技术规范》（JGJ79-2012）</w:t>
      </w:r>
    </w:p>
    <w:p>
      <w:pPr>
        <w:bidi w:val="0"/>
        <w:rPr>
          <w:rFonts w:hint="eastAsia"/>
          <w:color w:val="auto"/>
          <w:highlight w:val="none"/>
          <w:lang w:val="en-US" w:eastAsia="zh-CN"/>
        </w:rPr>
      </w:pPr>
      <w:r>
        <w:rPr>
          <w:rFonts w:hint="eastAsia"/>
          <w:color w:val="auto"/>
          <w:highlight w:val="none"/>
          <w:lang w:val="en-US" w:eastAsia="zh-CN"/>
        </w:rPr>
        <w:t>《建筑边坡工程技术规范》（GB50330-2013）</w:t>
      </w:r>
    </w:p>
    <w:p>
      <w:pPr>
        <w:bidi w:val="0"/>
        <w:rPr>
          <w:rFonts w:hint="default"/>
          <w:color w:val="auto"/>
          <w:highlight w:val="none"/>
          <w:lang w:val="en-US" w:eastAsia="zh-CN"/>
        </w:rPr>
      </w:pPr>
      <w:r>
        <w:rPr>
          <w:rFonts w:hint="eastAsia"/>
          <w:color w:val="auto"/>
          <w:highlight w:val="none"/>
          <w:lang w:val="en-US" w:eastAsia="zh-CN"/>
        </w:rPr>
        <w:t>《</w:t>
      </w:r>
      <w:r>
        <w:rPr>
          <w:rFonts w:hint="default"/>
          <w:color w:val="auto"/>
          <w:highlight w:val="none"/>
        </w:rPr>
        <w:t>建筑基坑工程监测技术标准</w:t>
      </w:r>
      <w:r>
        <w:rPr>
          <w:rFonts w:hint="eastAsia"/>
          <w:color w:val="auto"/>
          <w:highlight w:val="none"/>
          <w:lang w:val="en-US" w:eastAsia="zh-CN"/>
        </w:rPr>
        <w:t>》(</w:t>
      </w:r>
      <w:r>
        <w:rPr>
          <w:color w:val="auto"/>
          <w:highlight w:val="none"/>
        </w:rPr>
        <w:t>GB 50497-2019</w:t>
      </w:r>
      <w:r>
        <w:rPr>
          <w:rFonts w:hint="eastAsia"/>
          <w:color w:val="auto"/>
          <w:highlight w:val="none"/>
          <w:lang w:val="en-US" w:eastAsia="zh-CN"/>
        </w:rPr>
        <w:t>)</w:t>
      </w:r>
    </w:p>
    <w:p>
      <w:pPr>
        <w:bidi w:val="0"/>
        <w:rPr>
          <w:rFonts w:hint="eastAsia"/>
          <w:color w:val="auto"/>
          <w:highlight w:val="none"/>
          <w:lang w:val="en-US" w:eastAsia="zh-CN"/>
        </w:rPr>
      </w:pPr>
      <w:r>
        <w:rPr>
          <w:rFonts w:hint="eastAsia"/>
          <w:color w:val="auto"/>
          <w:highlight w:val="none"/>
          <w:lang w:val="en-US" w:eastAsia="zh-CN"/>
        </w:rPr>
        <w:t>《成都地区基坑工程安全技术规范》（DB51/T5072-2011）</w:t>
      </w:r>
    </w:p>
    <w:p>
      <w:pPr>
        <w:bidi w:val="0"/>
        <w:rPr>
          <w:rFonts w:hint="eastAsia"/>
          <w:color w:val="auto"/>
          <w:highlight w:val="none"/>
          <w:lang w:val="en-US" w:eastAsia="zh-CN"/>
        </w:rPr>
      </w:pPr>
      <w:r>
        <w:rPr>
          <w:rFonts w:hint="eastAsia"/>
          <w:color w:val="auto"/>
          <w:highlight w:val="none"/>
          <w:lang w:val="en-US" w:eastAsia="zh-CN"/>
        </w:rPr>
        <w:t>本项目变形监测技术设计书</w:t>
      </w:r>
    </w:p>
    <w:p>
      <w:pPr>
        <w:bidi w:val="0"/>
        <w:rPr>
          <w:rFonts w:hint="eastAsia"/>
          <w:color w:val="auto"/>
          <w:highlight w:val="none"/>
          <w:lang w:val="en-US" w:eastAsia="zh-CN"/>
        </w:rPr>
      </w:pPr>
      <w:r>
        <w:rPr>
          <w:rFonts w:hint="eastAsia"/>
          <w:color w:val="auto"/>
          <w:highlight w:val="none"/>
          <w:lang w:val="en-US" w:eastAsia="zh-CN"/>
        </w:rPr>
        <w:t>国家及地方其他现行相关规范、标准文件及有关规定</w:t>
      </w:r>
    </w:p>
    <w:p>
      <w:pPr>
        <w:pStyle w:val="6"/>
        <w:bidi w:val="0"/>
        <w:rPr>
          <w:rFonts w:hint="eastAsia"/>
          <w:color w:val="auto"/>
          <w:highlight w:val="none"/>
          <w:lang w:val="en-US" w:eastAsia="zh-CN"/>
        </w:rPr>
      </w:pPr>
      <w:r>
        <w:rPr>
          <w:rFonts w:hint="eastAsia"/>
          <w:color w:val="auto"/>
          <w:highlight w:val="none"/>
          <w:lang w:val="en-US" w:eastAsia="zh-CN"/>
        </w:rPr>
        <w:t>5.3.2具体服务要求</w:t>
      </w:r>
    </w:p>
    <w:p>
      <w:pPr>
        <w:numPr>
          <w:ilvl w:val="0"/>
          <w:numId w:val="6"/>
        </w:numPr>
        <w:bidi w:val="0"/>
        <w:rPr>
          <w:color w:val="auto"/>
          <w:highlight w:val="none"/>
        </w:rPr>
      </w:pPr>
      <w:r>
        <w:rPr>
          <w:color w:val="auto"/>
          <w:highlight w:val="none"/>
        </w:rPr>
        <w:t>针对项目现场地势条件及建筑物分布等现场实际，提供</w:t>
      </w:r>
      <w:r>
        <w:rPr>
          <w:rFonts w:hint="eastAsia"/>
          <w:color w:val="auto"/>
          <w:highlight w:val="none"/>
          <w:lang w:eastAsia="zh-CN"/>
        </w:rPr>
        <w:t>观</w:t>
      </w:r>
      <w:r>
        <w:rPr>
          <w:color w:val="auto"/>
          <w:highlight w:val="none"/>
        </w:rPr>
        <w:t>测方案；</w:t>
      </w:r>
    </w:p>
    <w:p>
      <w:pPr>
        <w:numPr>
          <w:ilvl w:val="0"/>
          <w:numId w:val="6"/>
        </w:numPr>
        <w:bidi w:val="0"/>
        <w:rPr>
          <w:rFonts w:hint="eastAsia"/>
          <w:color w:val="auto"/>
          <w:highlight w:val="none"/>
          <w:lang w:val="en-US" w:eastAsia="zh-CN"/>
        </w:rPr>
      </w:pPr>
      <w:r>
        <w:rPr>
          <w:color w:val="auto"/>
          <w:highlight w:val="none"/>
        </w:rPr>
        <w:t xml:space="preserve">依据相关规范要求作出的判断，能有效地提出风险控制点，并能有效地对风险进行防控； </w:t>
      </w:r>
    </w:p>
    <w:p>
      <w:pPr>
        <w:numPr>
          <w:ilvl w:val="0"/>
          <w:numId w:val="6"/>
        </w:numPr>
        <w:bidi w:val="0"/>
        <w:rPr>
          <w:rFonts w:hint="eastAsia"/>
          <w:color w:val="auto"/>
          <w:highlight w:val="none"/>
          <w:lang w:val="en-US" w:eastAsia="zh-CN"/>
        </w:rPr>
      </w:pPr>
      <w:r>
        <w:rPr>
          <w:rFonts w:hint="eastAsia"/>
          <w:color w:val="auto"/>
          <w:highlight w:val="none"/>
          <w:lang w:val="en-US" w:eastAsia="zh-CN"/>
        </w:rPr>
        <w:t>供应商应在签订合同后14 天内向委托人提交实施性变形监测方案计划，供应商按照采购人批准的方案实施。</w:t>
      </w:r>
    </w:p>
    <w:p>
      <w:pPr>
        <w:numPr>
          <w:ilvl w:val="0"/>
          <w:numId w:val="6"/>
        </w:numPr>
        <w:bidi w:val="0"/>
        <w:rPr>
          <w:rFonts w:hint="eastAsia"/>
          <w:color w:val="auto"/>
          <w:highlight w:val="none"/>
          <w:lang w:val="en-US" w:eastAsia="zh-CN"/>
        </w:rPr>
      </w:pPr>
      <w:r>
        <w:rPr>
          <w:rFonts w:hint="eastAsia"/>
          <w:color w:val="auto"/>
          <w:highlight w:val="none"/>
          <w:lang w:val="en-US" w:eastAsia="zh-CN"/>
        </w:rPr>
        <w:t>供应商应于每期观测完成后3天内提交观测数据，并于7天内提供分期的观测报告。最后一期观测完成后，于15天内提交基坑及主体总结报告。观测变形量超过预警值时应立即通知相关单位。</w:t>
      </w:r>
    </w:p>
    <w:p>
      <w:pPr>
        <w:numPr>
          <w:ilvl w:val="0"/>
          <w:numId w:val="6"/>
        </w:numPr>
        <w:bidi w:val="0"/>
        <w:rPr>
          <w:rFonts w:hint="eastAsia"/>
          <w:color w:val="auto"/>
          <w:highlight w:val="none"/>
          <w:lang w:val="en-US" w:eastAsia="zh-CN"/>
        </w:rPr>
      </w:pPr>
      <w:r>
        <w:rPr>
          <w:rFonts w:hint="eastAsia"/>
          <w:color w:val="auto"/>
          <w:highlight w:val="none"/>
          <w:lang w:val="en-US" w:eastAsia="zh-CN"/>
        </w:rPr>
        <w:t>观测内容及观测频率须满足相关技术标准及规范要求。</w:t>
      </w:r>
    </w:p>
    <w:p>
      <w:pPr>
        <w:pStyle w:val="6"/>
        <w:bidi w:val="0"/>
        <w:rPr>
          <w:rFonts w:hint="eastAsia"/>
          <w:color w:val="auto"/>
          <w:highlight w:val="none"/>
          <w:lang w:val="en-US" w:eastAsia="zh-CN"/>
        </w:rPr>
      </w:pPr>
      <w:r>
        <w:rPr>
          <w:rFonts w:hint="eastAsia"/>
          <w:color w:val="auto"/>
          <w:highlight w:val="none"/>
          <w:lang w:val="en-US" w:eastAsia="zh-CN"/>
        </w:rPr>
        <w:t>5.3.3成果文件要求</w:t>
      </w:r>
    </w:p>
    <w:p>
      <w:pPr>
        <w:bidi w:val="0"/>
        <w:rPr>
          <w:rFonts w:hint="eastAsia"/>
          <w:color w:val="auto"/>
          <w:highlight w:val="none"/>
          <w:lang w:val="en-US" w:eastAsia="zh-CN"/>
        </w:rPr>
      </w:pPr>
      <w:r>
        <w:rPr>
          <w:rFonts w:hint="eastAsia"/>
          <w:color w:val="auto"/>
          <w:highlight w:val="none"/>
          <w:lang w:val="en-US" w:eastAsia="zh-CN"/>
        </w:rPr>
        <w:t>最终成果文件包括分期监测报告及监测总结报告，报告纸质版一式四份。最终成果文件须满足当地建设工程质量安全监督站要求。</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1.3.4</w:t>
      </w:r>
      <w:r>
        <w:rPr>
          <w:rFonts w:hint="eastAsia" w:asciiTheme="minorEastAsia" w:hAnsiTheme="minorEastAsia" w:eastAsiaTheme="minorEastAsia" w:cstheme="minorEastAsia"/>
          <w:color w:val="auto"/>
          <w:sz w:val="24"/>
          <w:szCs w:val="24"/>
          <w:highlight w:val="none"/>
        </w:rPr>
        <w:t>其他要求</w:t>
      </w:r>
    </w:p>
    <w:p>
      <w:pPr>
        <w:numPr>
          <w:ilvl w:val="0"/>
          <w:numId w:val="7"/>
        </w:numPr>
        <w:bidi w:val="0"/>
        <w:ind w:left="0" w:leftChars="0" w:firstLine="400" w:firstLineChars="0"/>
        <w:rPr>
          <w:rFonts w:hint="eastAsia"/>
          <w:color w:val="auto"/>
          <w:highlight w:val="none"/>
        </w:rPr>
      </w:pPr>
      <w:r>
        <w:rPr>
          <w:rFonts w:hint="eastAsia"/>
          <w:color w:val="auto"/>
          <w:highlight w:val="none"/>
        </w:rPr>
        <w:t>服务过程中，</w:t>
      </w:r>
      <w:r>
        <w:rPr>
          <w:rFonts w:hint="eastAsia"/>
          <w:color w:val="auto"/>
          <w:highlight w:val="none"/>
          <w:lang w:eastAsia="zh-CN"/>
        </w:rPr>
        <w:t>供应商</w:t>
      </w:r>
      <w:r>
        <w:rPr>
          <w:rFonts w:hint="eastAsia"/>
          <w:color w:val="auto"/>
          <w:highlight w:val="none"/>
        </w:rPr>
        <w:t>须严格相关法律规定，维护</w:t>
      </w:r>
      <w:r>
        <w:rPr>
          <w:rFonts w:hint="eastAsia"/>
          <w:color w:val="auto"/>
          <w:highlight w:val="none"/>
          <w:lang w:eastAsia="zh-CN"/>
        </w:rPr>
        <w:t>采购人</w:t>
      </w:r>
      <w:r>
        <w:rPr>
          <w:rFonts w:hint="eastAsia"/>
          <w:color w:val="auto"/>
          <w:highlight w:val="none"/>
        </w:rPr>
        <w:t>的合法权益，不得从事任何损害</w:t>
      </w:r>
      <w:r>
        <w:rPr>
          <w:rFonts w:hint="eastAsia"/>
          <w:color w:val="auto"/>
          <w:highlight w:val="none"/>
          <w:lang w:eastAsia="zh-CN"/>
        </w:rPr>
        <w:t>采购人</w:t>
      </w:r>
      <w:r>
        <w:rPr>
          <w:rFonts w:hint="eastAsia"/>
          <w:color w:val="auto"/>
          <w:highlight w:val="none"/>
        </w:rPr>
        <w:t>合法权益的行为。</w:t>
      </w:r>
    </w:p>
    <w:p>
      <w:pPr>
        <w:numPr>
          <w:ilvl w:val="0"/>
          <w:numId w:val="7"/>
        </w:numPr>
        <w:bidi w:val="0"/>
        <w:ind w:left="0" w:leftChars="0" w:firstLine="400" w:firstLineChars="0"/>
        <w:rPr>
          <w:rFonts w:hint="eastAsia"/>
          <w:color w:val="auto"/>
          <w:highlight w:val="none"/>
          <w:lang w:val="en-US" w:eastAsia="zh-CN"/>
        </w:rPr>
      </w:pPr>
      <w:r>
        <w:rPr>
          <w:rFonts w:hint="eastAsia"/>
          <w:color w:val="auto"/>
          <w:highlight w:val="none"/>
          <w:lang w:val="en-US" w:eastAsia="zh-CN"/>
        </w:rPr>
        <w:t>供应商应对本项目涉及到的商业和技术等内容保密，违者应对由此造成的后果承担法律责任。</w:t>
      </w:r>
    </w:p>
    <w:p>
      <w:pPr>
        <w:numPr>
          <w:ilvl w:val="0"/>
          <w:numId w:val="7"/>
        </w:numPr>
        <w:bidi w:val="0"/>
        <w:ind w:left="0" w:leftChars="0" w:firstLine="400" w:firstLineChars="0"/>
        <w:rPr>
          <w:rFonts w:hint="eastAsia"/>
          <w:color w:val="auto"/>
          <w:highlight w:val="none"/>
          <w:lang w:eastAsia="zh-CN"/>
        </w:rPr>
      </w:pPr>
      <w:r>
        <w:rPr>
          <w:rFonts w:hint="eastAsia"/>
          <w:color w:val="auto"/>
          <w:highlight w:val="none"/>
          <w:lang w:eastAsia="zh-CN"/>
        </w:rPr>
        <w:t>供应商应</w:t>
      </w:r>
      <w:r>
        <w:rPr>
          <w:rFonts w:hint="eastAsia"/>
          <w:color w:val="auto"/>
          <w:highlight w:val="none"/>
        </w:rPr>
        <w:t>具有针对本项目的服务方案</w:t>
      </w:r>
      <w:r>
        <w:rPr>
          <w:rFonts w:hint="eastAsia"/>
          <w:color w:val="auto"/>
          <w:highlight w:val="none"/>
          <w:lang w:eastAsia="zh-CN"/>
        </w:rPr>
        <w:t>。</w:t>
      </w:r>
    </w:p>
    <w:p>
      <w:pPr>
        <w:numPr>
          <w:ilvl w:val="0"/>
          <w:numId w:val="7"/>
        </w:numPr>
        <w:bidi w:val="0"/>
        <w:ind w:left="0" w:leftChars="0" w:firstLine="400" w:firstLineChars="0"/>
        <w:rPr>
          <w:rFonts w:hint="eastAsia"/>
          <w:color w:val="auto"/>
          <w:highlight w:val="none"/>
        </w:rPr>
      </w:pPr>
      <w:r>
        <w:rPr>
          <w:rFonts w:hint="eastAsia"/>
          <w:color w:val="auto"/>
          <w:highlight w:val="none"/>
          <w:lang w:val="en-US" w:eastAsia="zh-CN"/>
        </w:rPr>
        <w:t>供应商</w:t>
      </w:r>
      <w:r>
        <w:rPr>
          <w:rFonts w:hint="eastAsia"/>
          <w:color w:val="auto"/>
          <w:highlight w:val="none"/>
        </w:rPr>
        <w:t>应具有履约能力，有从事类似项目的业绩，为本项目配备的服务人员未经</w:t>
      </w:r>
      <w:r>
        <w:rPr>
          <w:rFonts w:hint="eastAsia"/>
          <w:color w:val="auto"/>
          <w:highlight w:val="none"/>
          <w:lang w:eastAsia="zh-CN"/>
        </w:rPr>
        <w:t>采购人</w:t>
      </w:r>
      <w:r>
        <w:rPr>
          <w:rFonts w:hint="eastAsia"/>
          <w:color w:val="auto"/>
          <w:highlight w:val="none"/>
        </w:rPr>
        <w:t>同意不得更换。</w:t>
      </w:r>
    </w:p>
    <w:p>
      <w:pPr>
        <w:bidi w:val="0"/>
        <w:rPr>
          <w:rFonts w:hint="eastAsia"/>
          <w:b/>
          <w:bCs/>
          <w:color w:val="auto"/>
          <w:highlight w:val="none"/>
        </w:rPr>
      </w:pPr>
      <w:r>
        <w:rPr>
          <w:rFonts w:hint="eastAsia"/>
          <w:b/>
          <w:bCs/>
          <w:color w:val="auto"/>
          <w:highlight w:val="none"/>
          <w:lang w:val="en-US" w:eastAsia="zh-CN"/>
        </w:rPr>
        <w:t>★5.供应商负责服务期间安全并承担一切安全责任。</w:t>
      </w:r>
      <w:r>
        <w:rPr>
          <w:rFonts w:hint="eastAsia"/>
          <w:b/>
          <w:bCs/>
          <w:color w:val="auto"/>
          <w:highlight w:val="none"/>
          <w:lang w:eastAsia="zh-CN"/>
        </w:rPr>
        <w:t>（提供承诺函）</w:t>
      </w:r>
    </w:p>
    <w:p>
      <w:pPr>
        <w:bidi w:val="0"/>
        <w:rPr>
          <w:rFonts w:hint="eastAsia"/>
          <w:b/>
          <w:bCs/>
          <w:color w:val="auto"/>
          <w:highlight w:val="none"/>
          <w:lang w:eastAsia="zh-CN"/>
        </w:rPr>
      </w:pPr>
      <w:r>
        <w:rPr>
          <w:rFonts w:hint="eastAsia"/>
          <w:b/>
          <w:bCs/>
          <w:color w:val="auto"/>
          <w:highlight w:val="none"/>
          <w:lang w:val="en-US" w:eastAsia="zh-CN"/>
        </w:rPr>
        <w:t>★6.</w:t>
      </w:r>
      <w:r>
        <w:rPr>
          <w:rFonts w:hint="eastAsia"/>
          <w:b/>
          <w:bCs/>
          <w:color w:val="auto"/>
          <w:highlight w:val="none"/>
          <w:lang w:eastAsia="zh-CN"/>
        </w:rPr>
        <w:t>供应商</w:t>
      </w:r>
      <w:r>
        <w:rPr>
          <w:rFonts w:hint="eastAsia"/>
          <w:b/>
          <w:bCs/>
          <w:color w:val="auto"/>
          <w:highlight w:val="none"/>
        </w:rPr>
        <w:t>为本项目提供的所有服务应符合现行的国家相关标准、行业标准、地方标准或者其他标准、规范。</w:t>
      </w:r>
      <w:r>
        <w:rPr>
          <w:rFonts w:hint="eastAsia"/>
          <w:b/>
          <w:bCs/>
          <w:color w:val="auto"/>
          <w:highlight w:val="none"/>
          <w:lang w:eastAsia="zh-CN"/>
        </w:rPr>
        <w:t>（提供承诺函）</w:t>
      </w:r>
    </w:p>
    <w:p>
      <w:pPr>
        <w:pStyle w:val="5"/>
        <w:bidi w:val="0"/>
        <w:rPr>
          <w:rFonts w:hint="eastAsia"/>
          <w:color w:val="auto"/>
          <w:highlight w:val="none"/>
          <w:lang w:val="en-US" w:eastAsia="zh-CN"/>
        </w:rPr>
      </w:pPr>
      <w:r>
        <w:rPr>
          <w:rFonts w:hint="eastAsia"/>
          <w:b/>
          <w:bCs/>
          <w:color w:val="auto"/>
          <w:highlight w:val="none"/>
          <w:lang w:val="en-US" w:eastAsia="zh-CN"/>
        </w:rPr>
        <w:t>★</w:t>
      </w:r>
      <w:r>
        <w:rPr>
          <w:rFonts w:hint="eastAsia"/>
          <w:color w:val="auto"/>
          <w:highlight w:val="none"/>
          <w:lang w:val="en-US" w:eastAsia="zh-CN"/>
        </w:rPr>
        <w:t>5.</w:t>
      </w:r>
      <w:bookmarkStart w:id="212" w:name="_Toc10834"/>
      <w:bookmarkStart w:id="213" w:name="_Toc494464918"/>
      <w:r>
        <w:rPr>
          <w:rFonts w:hint="eastAsia"/>
          <w:color w:val="auto"/>
          <w:highlight w:val="none"/>
          <w:lang w:val="en-US" w:eastAsia="zh-CN"/>
        </w:rPr>
        <w:t>4商务要求</w:t>
      </w:r>
      <w:bookmarkEnd w:id="212"/>
      <w:bookmarkEnd w:id="213"/>
    </w:p>
    <w:p>
      <w:pPr>
        <w:pStyle w:val="6"/>
        <w:bidi w:val="0"/>
        <w:rPr>
          <w:rFonts w:hint="eastAsia"/>
          <w:color w:val="auto"/>
          <w:highlight w:val="none"/>
        </w:rPr>
      </w:pPr>
      <w:r>
        <w:rPr>
          <w:rFonts w:hint="eastAsia"/>
          <w:color w:val="auto"/>
          <w:highlight w:val="none"/>
          <w:lang w:val="en-US" w:eastAsia="zh-CN"/>
        </w:rPr>
        <w:t>5.4.1</w:t>
      </w:r>
      <w:r>
        <w:rPr>
          <w:rFonts w:hint="eastAsia"/>
          <w:color w:val="auto"/>
          <w:highlight w:val="none"/>
        </w:rPr>
        <w:t>服务期限</w:t>
      </w:r>
    </w:p>
    <w:p>
      <w:pPr>
        <w:bidi w:val="0"/>
        <w:rPr>
          <w:rFonts w:hint="eastAsia" w:eastAsia="宋体"/>
          <w:color w:val="auto"/>
          <w:highlight w:val="none"/>
          <w:lang w:eastAsia="zh-CN"/>
        </w:rPr>
      </w:pPr>
      <w:r>
        <w:rPr>
          <w:rFonts w:hint="eastAsia"/>
          <w:color w:val="auto"/>
          <w:highlight w:val="none"/>
          <w:lang w:eastAsia="zh-CN"/>
        </w:rPr>
        <w:t>自合同签订之日起至竣工验收止。</w:t>
      </w:r>
    </w:p>
    <w:p>
      <w:pPr>
        <w:pStyle w:val="6"/>
        <w:bidi w:val="0"/>
        <w:rPr>
          <w:rFonts w:hint="eastAsia"/>
          <w:color w:val="auto"/>
          <w:highlight w:val="none"/>
        </w:rPr>
      </w:pPr>
      <w:r>
        <w:rPr>
          <w:rFonts w:hint="eastAsia"/>
          <w:color w:val="auto"/>
          <w:highlight w:val="none"/>
          <w:lang w:val="en-US" w:eastAsia="zh-CN"/>
        </w:rPr>
        <w:t>5.4.2</w:t>
      </w:r>
      <w:r>
        <w:rPr>
          <w:rFonts w:hint="eastAsia"/>
          <w:color w:val="auto"/>
          <w:highlight w:val="none"/>
        </w:rPr>
        <w:t>服务地点</w:t>
      </w:r>
    </w:p>
    <w:p>
      <w:pPr>
        <w:bidi w:val="0"/>
        <w:rPr>
          <w:rFonts w:hint="eastAsia"/>
          <w:color w:val="auto"/>
          <w:highlight w:val="none"/>
        </w:rPr>
      </w:pPr>
      <w:r>
        <w:rPr>
          <w:rFonts w:hint="eastAsia"/>
          <w:color w:val="auto"/>
          <w:highlight w:val="none"/>
        </w:rPr>
        <w:t>金牛区天回镇街道万圣社区7组。</w:t>
      </w:r>
    </w:p>
    <w:p>
      <w:pPr>
        <w:pStyle w:val="6"/>
        <w:bidi w:val="0"/>
        <w:rPr>
          <w:rFonts w:hint="eastAsia"/>
          <w:color w:val="auto"/>
          <w:highlight w:val="none"/>
          <w:lang w:val="en-US" w:eastAsia="zh-CN"/>
        </w:rPr>
      </w:pPr>
      <w:r>
        <w:rPr>
          <w:rFonts w:hint="eastAsia"/>
          <w:color w:val="auto"/>
          <w:highlight w:val="none"/>
          <w:lang w:val="en-US" w:eastAsia="zh-CN"/>
        </w:rPr>
        <w:t>5.4.3成果提交地点</w:t>
      </w:r>
    </w:p>
    <w:p>
      <w:pPr>
        <w:bidi w:val="0"/>
        <w:rPr>
          <w:rFonts w:hint="eastAsia"/>
          <w:color w:val="auto"/>
          <w:highlight w:val="none"/>
          <w:lang w:val="en-US" w:eastAsia="zh-CN"/>
        </w:rPr>
      </w:pPr>
      <w:r>
        <w:rPr>
          <w:rFonts w:hint="eastAsia"/>
          <w:color w:val="auto"/>
          <w:highlight w:val="none"/>
          <w:lang w:val="en-US" w:eastAsia="zh-CN"/>
        </w:rPr>
        <w:t>成都市金牛区中医医院工程项目部。</w:t>
      </w:r>
    </w:p>
    <w:p>
      <w:pPr>
        <w:pStyle w:val="6"/>
        <w:bidi w:val="0"/>
        <w:rPr>
          <w:rFonts w:hint="eastAsia"/>
          <w:color w:val="auto"/>
          <w:highlight w:val="none"/>
        </w:rPr>
      </w:pPr>
      <w:r>
        <w:rPr>
          <w:rFonts w:hint="eastAsia"/>
          <w:color w:val="auto"/>
          <w:highlight w:val="none"/>
          <w:lang w:val="en-US" w:eastAsia="zh-CN"/>
        </w:rPr>
        <w:t>5.4.4</w:t>
      </w:r>
      <w:r>
        <w:rPr>
          <w:rFonts w:hint="eastAsia"/>
          <w:color w:val="auto"/>
          <w:highlight w:val="none"/>
        </w:rPr>
        <w:t>付款方式</w:t>
      </w:r>
    </w:p>
    <w:p>
      <w:pPr>
        <w:bidi w:val="0"/>
        <w:rPr>
          <w:rFonts w:hint="default"/>
          <w:color w:val="auto"/>
          <w:highlight w:val="none"/>
          <w:lang w:val="en-US" w:eastAsia="zh-CN"/>
        </w:rPr>
      </w:pPr>
      <w:r>
        <w:rPr>
          <w:rFonts w:hint="eastAsia"/>
          <w:color w:val="auto"/>
          <w:highlight w:val="none"/>
          <w:lang w:val="en-US" w:eastAsia="zh-CN"/>
        </w:rPr>
        <w:t>合同签订后10个工作日内支付合同金额的30%；提交基坑监测完整符合要求的</w:t>
      </w:r>
      <w:r>
        <w:rPr>
          <w:rFonts w:hint="eastAsia"/>
          <w:color w:val="auto"/>
          <w:highlight w:val="none"/>
          <w:lang w:eastAsia="zh-CN"/>
        </w:rPr>
        <w:t>成果文件后</w:t>
      </w:r>
      <w:r>
        <w:rPr>
          <w:rFonts w:hint="eastAsia"/>
          <w:color w:val="auto"/>
          <w:highlight w:val="none"/>
          <w:lang w:val="en-US" w:eastAsia="zh-CN"/>
        </w:rPr>
        <w:t>10个工作日内支付至合同金额的60%；提交主体结构监测完整符合要求的</w:t>
      </w:r>
      <w:r>
        <w:rPr>
          <w:rFonts w:hint="eastAsia"/>
          <w:color w:val="auto"/>
          <w:highlight w:val="none"/>
          <w:lang w:eastAsia="zh-CN"/>
        </w:rPr>
        <w:t>成果文件后</w:t>
      </w:r>
      <w:r>
        <w:rPr>
          <w:rFonts w:hint="eastAsia"/>
          <w:color w:val="auto"/>
          <w:highlight w:val="none"/>
          <w:lang w:val="en-US" w:eastAsia="zh-CN"/>
        </w:rPr>
        <w:t>10个工作日内支付至合同金额的100%。</w:t>
      </w:r>
    </w:p>
    <w:p>
      <w:pPr>
        <w:pStyle w:val="6"/>
        <w:bidi w:val="0"/>
        <w:rPr>
          <w:rFonts w:hint="eastAsia"/>
          <w:color w:val="auto"/>
          <w:highlight w:val="none"/>
          <w:lang w:val="en-US" w:eastAsia="zh-CN"/>
        </w:rPr>
      </w:pPr>
      <w:r>
        <w:rPr>
          <w:rFonts w:hint="eastAsia"/>
          <w:color w:val="auto"/>
          <w:highlight w:val="none"/>
          <w:lang w:val="en-US" w:eastAsia="zh-CN"/>
        </w:rPr>
        <w:t>5.4.5履约保证金</w:t>
      </w:r>
    </w:p>
    <w:p>
      <w:pPr>
        <w:bidi w:val="0"/>
        <w:rPr>
          <w:color w:val="auto"/>
          <w:highlight w:val="none"/>
        </w:rPr>
      </w:pPr>
      <w:r>
        <w:rPr>
          <w:rFonts w:hint="eastAsia"/>
          <w:color w:val="auto"/>
          <w:highlight w:val="none"/>
        </w:rPr>
        <w:t>本项目无履约保证金。</w:t>
      </w:r>
    </w:p>
    <w:p>
      <w:pPr>
        <w:pStyle w:val="6"/>
        <w:bidi w:val="0"/>
        <w:rPr>
          <w:rFonts w:hint="eastAsia"/>
          <w:color w:val="auto"/>
          <w:highlight w:val="none"/>
        </w:rPr>
      </w:pPr>
      <w:r>
        <w:rPr>
          <w:rFonts w:hint="eastAsia"/>
          <w:color w:val="auto"/>
          <w:highlight w:val="none"/>
          <w:lang w:val="en-US" w:eastAsia="zh-CN"/>
        </w:rPr>
        <w:t>5.4.6</w:t>
      </w:r>
      <w:r>
        <w:rPr>
          <w:rFonts w:hint="eastAsia"/>
          <w:color w:val="auto"/>
          <w:highlight w:val="none"/>
        </w:rPr>
        <w:t>履行合同要求</w:t>
      </w:r>
    </w:p>
    <w:p>
      <w:pPr>
        <w:numPr>
          <w:ilvl w:val="0"/>
          <w:numId w:val="8"/>
        </w:numPr>
        <w:bidi w:val="0"/>
        <w:ind w:left="0" w:leftChars="0" w:firstLine="400" w:firstLineChars="0"/>
        <w:rPr>
          <w:color w:val="auto"/>
          <w:highlight w:val="none"/>
        </w:rPr>
      </w:pPr>
      <w:r>
        <w:rPr>
          <w:rFonts w:hint="eastAsia"/>
          <w:color w:val="auto"/>
          <w:highlight w:val="none"/>
        </w:rPr>
        <w:t>本项目不允许分包、转包。</w:t>
      </w:r>
    </w:p>
    <w:p>
      <w:pPr>
        <w:numPr>
          <w:ilvl w:val="0"/>
          <w:numId w:val="8"/>
        </w:numPr>
        <w:bidi w:val="0"/>
        <w:ind w:left="0" w:leftChars="0" w:firstLine="400" w:firstLineChars="0"/>
        <w:rPr>
          <w:color w:val="auto"/>
          <w:highlight w:val="none"/>
          <w:lang w:val="en-US"/>
        </w:rPr>
      </w:pPr>
      <w:r>
        <w:rPr>
          <w:rFonts w:hint="eastAsia"/>
          <w:color w:val="auto"/>
          <w:highlight w:val="none"/>
        </w:rPr>
        <w:t>供应商提供的服务未达到磋商文件规定要求，且对采购人造成损失的，由供应商承担一切责任，并赔偿所造成的损失。</w:t>
      </w:r>
    </w:p>
    <w:p>
      <w:pPr>
        <w:pStyle w:val="6"/>
        <w:bidi w:val="0"/>
        <w:rPr>
          <w:color w:val="auto"/>
          <w:highlight w:val="none"/>
        </w:rPr>
      </w:pPr>
      <w:r>
        <w:rPr>
          <w:rFonts w:hint="eastAsia"/>
          <w:color w:val="auto"/>
          <w:highlight w:val="none"/>
          <w:lang w:val="en-US" w:eastAsia="zh-CN"/>
        </w:rPr>
        <w:t>5.4.7履约</w:t>
      </w:r>
      <w:r>
        <w:rPr>
          <w:rFonts w:hint="eastAsia"/>
          <w:color w:val="auto"/>
          <w:highlight w:val="none"/>
        </w:rPr>
        <w:t>验收</w:t>
      </w:r>
    </w:p>
    <w:p>
      <w:pPr>
        <w:bidi w:val="0"/>
        <w:rPr>
          <w:color w:val="auto"/>
          <w:highlight w:val="none"/>
        </w:rPr>
      </w:pPr>
      <w:r>
        <w:rPr>
          <w:rFonts w:hint="eastAsia"/>
          <w:color w:val="auto"/>
          <w:highlight w:val="none"/>
        </w:rPr>
        <w:t>验收时间、期限、方式和标准等相关验收事项，采购人可参照政府采购相关法律法规以及《财政部关于进一步加强政府采购需求和履约验收管理的指导意见》（财库〔</w:t>
      </w:r>
      <w:r>
        <w:rPr>
          <w:color w:val="auto"/>
          <w:highlight w:val="none"/>
        </w:rPr>
        <w:t>2016</w:t>
      </w:r>
      <w:r>
        <w:rPr>
          <w:rFonts w:hint="eastAsia"/>
          <w:color w:val="auto"/>
          <w:highlight w:val="none"/>
        </w:rPr>
        <w:t>〕</w:t>
      </w:r>
      <w:r>
        <w:rPr>
          <w:color w:val="auto"/>
          <w:highlight w:val="none"/>
        </w:rPr>
        <w:t>205</w:t>
      </w:r>
      <w:r>
        <w:rPr>
          <w:rFonts w:hint="eastAsia"/>
          <w:color w:val="auto"/>
          <w:highlight w:val="none"/>
        </w:rPr>
        <w:t>号）的要求进行验收。</w:t>
      </w:r>
    </w:p>
    <w:p>
      <w:pPr>
        <w:pStyle w:val="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cs="宋体"/>
          <w:color w:val="auto"/>
          <w:highlight w:val="none"/>
          <w:lang w:val="en-US" w:eastAsia="zh-CN"/>
        </w:rPr>
        <w:t>5</w:t>
      </w:r>
      <w:r>
        <w:rPr>
          <w:rFonts w:hint="eastAsia" w:ascii="宋体" w:hAnsi="宋体" w:eastAsia="宋体" w:cs="宋体"/>
          <w:color w:val="auto"/>
          <w:highlight w:val="none"/>
        </w:rPr>
        <w:t>报价要求</w:t>
      </w:r>
    </w:p>
    <w:p>
      <w:pPr>
        <w:bidi w:val="0"/>
        <w:rPr>
          <w:b/>
          <w:bCs/>
          <w:color w:val="auto"/>
          <w:highlight w:val="none"/>
        </w:rPr>
      </w:pPr>
      <w:r>
        <w:rPr>
          <w:rFonts w:hint="eastAsia"/>
          <w:b/>
          <w:bCs/>
          <w:color w:val="auto"/>
          <w:highlight w:val="none"/>
        </w:rPr>
        <w:t>★最高限价：本项目最高限价为</w:t>
      </w:r>
      <w:r>
        <w:rPr>
          <w:rFonts w:hint="eastAsia"/>
          <w:b/>
          <w:bCs/>
          <w:color w:val="auto"/>
          <w:highlight w:val="none"/>
          <w:u w:val="single"/>
        </w:rPr>
        <w:t>人民币</w:t>
      </w:r>
      <w:r>
        <w:rPr>
          <w:rFonts w:hint="eastAsia"/>
          <w:b/>
          <w:bCs/>
          <w:color w:val="auto"/>
          <w:highlight w:val="none"/>
          <w:u w:val="single"/>
          <w:lang w:eastAsia="zh-CN"/>
        </w:rPr>
        <w:t>42万元</w:t>
      </w:r>
      <w:r>
        <w:rPr>
          <w:rFonts w:hint="eastAsia"/>
          <w:b/>
          <w:bCs/>
          <w:color w:val="auto"/>
          <w:highlight w:val="none"/>
        </w:rPr>
        <w:t>。供应商报价高于最高限价的，则其响应文件按</w:t>
      </w:r>
      <w:r>
        <w:rPr>
          <w:rFonts w:hint="eastAsia"/>
          <w:b/>
          <w:bCs/>
          <w:color w:val="auto"/>
          <w:highlight w:val="none"/>
          <w:lang w:val="zh-CN"/>
        </w:rPr>
        <w:t>无效</w:t>
      </w:r>
      <w:r>
        <w:rPr>
          <w:rFonts w:hint="eastAsia"/>
          <w:b/>
          <w:bCs/>
          <w:color w:val="auto"/>
          <w:highlight w:val="none"/>
        </w:rPr>
        <w:t>响应</w:t>
      </w:r>
      <w:r>
        <w:rPr>
          <w:rFonts w:hint="eastAsia"/>
          <w:b/>
          <w:bCs/>
          <w:color w:val="auto"/>
          <w:highlight w:val="none"/>
          <w:lang w:val="zh-CN"/>
        </w:rPr>
        <w:t>文件处理</w:t>
      </w:r>
      <w:r>
        <w:rPr>
          <w:rFonts w:hint="eastAsia"/>
          <w:b/>
          <w:bCs/>
          <w:color w:val="auto"/>
          <w:highlight w:val="none"/>
        </w:rPr>
        <w:t>。</w:t>
      </w:r>
    </w:p>
    <w:p>
      <w:pPr>
        <w:bidi w:val="0"/>
        <w:rPr>
          <w:rFonts w:hint="eastAsia"/>
          <w:color w:val="auto"/>
          <w:highlight w:val="none"/>
          <w:lang w:val="en-US" w:eastAsia="zh-CN"/>
        </w:rPr>
      </w:pPr>
      <w:r>
        <w:rPr>
          <w:rFonts w:hint="eastAsia"/>
          <w:color w:val="auto"/>
          <w:highlight w:val="none"/>
          <w:lang w:val="en-US" w:eastAsia="zh-CN"/>
        </w:rPr>
        <w:t>供应商报价应包含完成本项目所需的一切费用（报价应是最终用户验收合格后的总价，包括完成项目所需人员、保险、检测、成果提交、利润、税金等和磋商文件规定的其它费用）。</w:t>
      </w:r>
    </w:p>
    <w:p>
      <w:pPr>
        <w:pStyle w:val="5"/>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cs="宋体"/>
          <w:color w:val="auto"/>
          <w:highlight w:val="none"/>
          <w:lang w:val="en-US" w:eastAsia="zh-CN"/>
        </w:rPr>
        <w:t>6</w:t>
      </w:r>
      <w:r>
        <w:rPr>
          <w:rFonts w:hint="eastAsia" w:ascii="宋体" w:hAnsi="宋体" w:eastAsia="宋体" w:cs="宋体"/>
          <w:color w:val="auto"/>
          <w:highlight w:val="none"/>
        </w:rPr>
        <w:t>满足采购需求、质量和服务相等的采购项目实质性要求</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1、带★的要求为满足采购需求、质量和服务相等的采购项目实质性要求，不允许有负偏离，否则作无效响应文件处理。</w:t>
      </w:r>
    </w:p>
    <w:p>
      <w:pPr>
        <w:ind w:firstLine="482"/>
        <w:rPr>
          <w:rFonts w:hint="eastAsia" w:ascii="宋体" w:hAnsi="宋体" w:eastAsia="宋体" w:cs="宋体"/>
          <w:b/>
          <w:color w:val="auto"/>
          <w:szCs w:val="30"/>
          <w:highlight w:val="none"/>
        </w:rPr>
      </w:pPr>
      <w:r>
        <w:rPr>
          <w:rFonts w:hint="eastAsia" w:ascii="宋体" w:hAnsi="宋体" w:eastAsia="宋体" w:cs="宋体"/>
          <w:b/>
          <w:bCs/>
          <w:color w:val="auto"/>
          <w:highlight w:val="none"/>
        </w:rPr>
        <w:t>2、供应商响应文件中所提供的资料必须是真实准确的，若发现存在提供虚假材料谋取成交的，成交无效，并处以采购金额5‰以上10‰以下的罚款，列入不良行为记录名单，在一至三年内禁止参加政府采购活动，有违法所得的，并没收违法所得，情节严重的，由工商行政管理机关吊销营业执照；构成犯罪的，依法追究刑事责任。</w:t>
      </w:r>
      <w:r>
        <w:rPr>
          <w:rFonts w:hint="eastAsia" w:ascii="宋体" w:hAnsi="宋体" w:eastAsia="宋体" w:cs="宋体"/>
          <w:b/>
          <w:color w:val="auto"/>
          <w:szCs w:val="30"/>
          <w:highlight w:val="none"/>
        </w:rPr>
        <w:br w:type="page"/>
      </w:r>
    </w:p>
    <w:p>
      <w:pPr>
        <w:pStyle w:val="4"/>
        <w:rPr>
          <w:rFonts w:hint="eastAsia" w:ascii="宋体" w:hAnsi="宋体" w:eastAsia="宋体" w:cs="宋体"/>
          <w:color w:val="auto"/>
          <w:highlight w:val="none"/>
        </w:rPr>
      </w:pPr>
      <w:bookmarkStart w:id="214" w:name="_Toc12076"/>
      <w:bookmarkStart w:id="215" w:name="_Toc12269"/>
      <w:bookmarkStart w:id="216" w:name="_Toc21211"/>
      <w:bookmarkStart w:id="217" w:name="_Toc11697"/>
      <w:bookmarkStart w:id="218" w:name="_Toc19040"/>
      <w:r>
        <w:rPr>
          <w:rFonts w:hint="eastAsia" w:ascii="宋体" w:hAnsi="宋体" w:eastAsia="宋体" w:cs="宋体"/>
          <w:color w:val="auto"/>
          <w:highlight w:val="none"/>
        </w:rPr>
        <w:t>第六章 磋商内容、磋商过程中可实质性变动的内容</w:t>
      </w:r>
      <w:bookmarkEnd w:id="214"/>
      <w:bookmarkEnd w:id="215"/>
      <w:bookmarkEnd w:id="216"/>
      <w:bookmarkEnd w:id="217"/>
      <w:bookmarkEnd w:id="218"/>
    </w:p>
    <w:p>
      <w:pPr>
        <w:pStyle w:val="50"/>
        <w:autoSpaceDE/>
        <w:autoSpaceDN/>
        <w:snapToGrid w:val="0"/>
        <w:spacing w:line="360" w:lineRule="auto"/>
        <w:jc w:val="both"/>
        <w:rPr>
          <w:rFonts w:hint="eastAsia" w:ascii="宋体" w:hAnsi="宋体" w:eastAsia="宋体" w:cs="宋体"/>
          <w:b/>
          <w:color w:val="auto"/>
          <w:sz w:val="30"/>
          <w:szCs w:val="30"/>
          <w:highlight w:val="none"/>
        </w:rPr>
      </w:pPr>
    </w:p>
    <w:p>
      <w:pPr>
        <w:pStyle w:val="50"/>
        <w:autoSpaceDE/>
        <w:autoSpaceDN/>
        <w:snapToGrid w:val="0"/>
        <w:spacing w:line="360" w:lineRule="auto"/>
        <w:jc w:val="both"/>
        <w:rPr>
          <w:rFonts w:hint="eastAsia" w:ascii="宋体" w:hAnsi="宋体" w:eastAsia="宋体" w:cs="宋体"/>
          <w:b/>
          <w:color w:val="auto"/>
          <w:sz w:val="30"/>
          <w:szCs w:val="30"/>
          <w:highlight w:val="none"/>
        </w:rPr>
      </w:pP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由磋商小组根据磋商情况实质性变动磋商文件的第五章技术、服务要求和第九章合同草案条款，但不得变动磋商文件中的其他内容。磋商实质性变动的内容，须经采购人代表书面确认。对磋商文件作出的实质性变动是磋商文件的有效组成部分，磋商小组应当及时以书面形式同时通知所有参加磋商的供应商。</w:t>
      </w:r>
    </w:p>
    <w:p>
      <w:pPr>
        <w:pStyle w:val="50"/>
        <w:autoSpaceDE/>
        <w:autoSpaceDN/>
        <w:snapToGrid w:val="0"/>
        <w:spacing w:line="360" w:lineRule="auto"/>
        <w:jc w:val="both"/>
        <w:rPr>
          <w:rFonts w:hint="eastAsia" w:ascii="宋体" w:hAnsi="宋体" w:eastAsia="宋体" w:cs="宋体"/>
          <w:b/>
          <w:color w:val="auto"/>
          <w:sz w:val="30"/>
          <w:szCs w:val="30"/>
          <w:highlight w:val="none"/>
        </w:rPr>
      </w:pPr>
    </w:p>
    <w:p>
      <w:pPr>
        <w:pStyle w:val="50"/>
        <w:autoSpaceDE/>
        <w:autoSpaceDN/>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bookmarkEnd w:id="204"/>
    <w:bookmarkEnd w:id="205"/>
    <w:bookmarkEnd w:id="206"/>
    <w:bookmarkEnd w:id="207"/>
    <w:bookmarkEnd w:id="208"/>
    <w:bookmarkEnd w:id="209"/>
    <w:p>
      <w:pPr>
        <w:pStyle w:val="4"/>
        <w:rPr>
          <w:rFonts w:hint="eastAsia" w:ascii="宋体" w:hAnsi="宋体" w:eastAsia="宋体" w:cs="宋体"/>
          <w:color w:val="auto"/>
          <w:highlight w:val="none"/>
        </w:rPr>
      </w:pPr>
      <w:bookmarkStart w:id="219" w:name="_Toc15963"/>
      <w:bookmarkStart w:id="220" w:name="_Toc31610"/>
      <w:bookmarkStart w:id="221" w:name="_Toc2608"/>
      <w:bookmarkStart w:id="222" w:name="_Toc13324"/>
      <w:bookmarkStart w:id="223" w:name="_Toc27201"/>
      <w:bookmarkStart w:id="224" w:name="_Toc21449"/>
      <w:bookmarkStart w:id="225" w:name="_Toc3446"/>
      <w:bookmarkStart w:id="226" w:name="_Toc263753605"/>
      <w:bookmarkStart w:id="227" w:name="_Toc302997926"/>
      <w:bookmarkStart w:id="228" w:name="_Toc263768870"/>
      <w:bookmarkStart w:id="229" w:name="_Toc220299393"/>
      <w:bookmarkStart w:id="230" w:name="_Toc217446083"/>
      <w:r>
        <w:rPr>
          <w:rFonts w:hint="eastAsia" w:ascii="宋体" w:hAnsi="宋体" w:eastAsia="宋体" w:cs="宋体"/>
          <w:color w:val="auto"/>
          <w:highlight w:val="none"/>
        </w:rPr>
        <w:t>第七章 响应文件格式</w:t>
      </w:r>
      <w:bookmarkEnd w:id="219"/>
      <w:bookmarkEnd w:id="220"/>
      <w:bookmarkEnd w:id="221"/>
      <w:bookmarkEnd w:id="222"/>
    </w:p>
    <w:p>
      <w:pPr>
        <w:ind w:firstLine="480"/>
        <w:rPr>
          <w:rFonts w:hint="eastAsia" w:ascii="宋体" w:hAnsi="宋体" w:eastAsia="宋体" w:cs="宋体"/>
          <w:color w:val="auto"/>
          <w:highlight w:val="none"/>
        </w:rPr>
      </w:pPr>
      <w:bookmarkStart w:id="231" w:name="_Toc182629023"/>
      <w:bookmarkStart w:id="232" w:name="_Toc239849853"/>
      <w:bookmarkStart w:id="233" w:name="_Toc231030275"/>
      <w:bookmarkStart w:id="234" w:name="_Toc229802674"/>
      <w:bookmarkStart w:id="235" w:name="_Toc237145395"/>
      <w:bookmarkStart w:id="236" w:name="_Toc314574804"/>
      <w:bookmarkStart w:id="237" w:name="_Toc211218954"/>
      <w:bookmarkStart w:id="238" w:name="_Toc9850"/>
      <w:bookmarkStart w:id="239" w:name="_Toc240865266"/>
      <w:bookmarkStart w:id="240" w:name="_Toc265494342"/>
      <w:bookmarkStart w:id="241" w:name="_Toc515"/>
      <w:bookmarkStart w:id="242" w:name="_Toc11573"/>
      <w:bookmarkStart w:id="243" w:name="_Toc287367101"/>
      <w:bookmarkStart w:id="244" w:name="_Toc18893"/>
      <w:bookmarkStart w:id="245" w:name="_Toc240367172"/>
      <w:bookmarkStart w:id="246" w:name="_Toc7103"/>
      <w:bookmarkStart w:id="247" w:name="_Toc295978802"/>
      <w:bookmarkStart w:id="248" w:name="_Toc182759327"/>
      <w:bookmarkStart w:id="249" w:name="_Toc239846734"/>
      <w:bookmarkStart w:id="250" w:name="_Toc294688711"/>
      <w:bookmarkStart w:id="251" w:name="_Toc316462354"/>
      <w:bookmarkStart w:id="252" w:name="_Toc294701519"/>
      <w:bookmarkStart w:id="253" w:name="_Toc13840"/>
      <w:r>
        <w:rPr>
          <w:rFonts w:hint="eastAsia" w:ascii="宋体" w:hAnsi="宋体" w:eastAsia="宋体" w:cs="宋体"/>
          <w:color w:val="auto"/>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二、本章所制响应文件格式有关表格中的备注栏，由供应商根据自身响应情况作解释性说明，不作为必填项。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三、本章所制响应文件格式中需要填写的相关内容事项，可能会与本采购项目无关，在不改变响应文件原义、不影响本项目采购需求的情况下，供应商可以不予填写，但应当注明。</w:t>
      </w:r>
    </w:p>
    <w:p>
      <w:pPr>
        <w:adjustRightInd w:val="0"/>
        <w:snapToGrid w:val="0"/>
        <w:ind w:left="-425" w:firstLine="482"/>
        <w:rPr>
          <w:rFonts w:hint="eastAsia" w:ascii="宋体" w:hAnsi="宋体" w:eastAsia="宋体" w:cs="宋体"/>
          <w:b/>
          <w:bCs/>
          <w:color w:val="auto"/>
          <w:highlight w:val="none"/>
        </w:rPr>
      </w:pPr>
    </w:p>
    <w:p>
      <w:pPr>
        <w:adjustRightInd w:val="0"/>
        <w:snapToGrid w:val="0"/>
        <w:ind w:left="-425" w:firstLine="482"/>
        <w:rPr>
          <w:rFonts w:hint="eastAsia" w:ascii="宋体" w:hAnsi="宋体" w:eastAsia="宋体" w:cs="宋体"/>
          <w:b/>
          <w:bCs/>
          <w:color w:val="auto"/>
          <w:highlight w:val="none"/>
        </w:rPr>
      </w:pPr>
    </w:p>
    <w:p>
      <w:pPr>
        <w:adjustRightInd w:val="0"/>
        <w:snapToGrid w:val="0"/>
        <w:ind w:left="-425" w:firstLine="482"/>
        <w:rPr>
          <w:rFonts w:hint="eastAsia" w:ascii="宋体" w:hAnsi="宋体" w:eastAsia="宋体" w:cs="宋体"/>
          <w:b/>
          <w:bCs/>
          <w:color w:val="auto"/>
          <w:highlight w:val="none"/>
        </w:rPr>
      </w:pPr>
    </w:p>
    <w:p>
      <w:pPr>
        <w:adjustRightInd w:val="0"/>
        <w:snapToGrid w:val="0"/>
        <w:ind w:left="-425" w:firstLine="482"/>
        <w:rPr>
          <w:rFonts w:hint="eastAsia" w:ascii="宋体" w:hAnsi="宋体" w:eastAsia="宋体" w:cs="宋体"/>
          <w:b/>
          <w:bCs/>
          <w:color w:val="auto"/>
          <w:highlight w:val="none"/>
        </w:rPr>
      </w:pPr>
    </w:p>
    <w:p>
      <w:pPr>
        <w:adjustRightInd w:val="0"/>
        <w:snapToGrid w:val="0"/>
        <w:ind w:left="-425" w:firstLine="482"/>
        <w:rPr>
          <w:rFonts w:hint="eastAsia" w:ascii="宋体" w:hAnsi="宋体" w:eastAsia="宋体" w:cs="宋体"/>
          <w:b/>
          <w:bCs/>
          <w:color w:val="auto"/>
          <w:highlight w:val="none"/>
        </w:rPr>
      </w:pPr>
    </w:p>
    <w:p>
      <w:pPr>
        <w:adjustRightInd w:val="0"/>
        <w:snapToGrid w:val="0"/>
        <w:ind w:firstLine="0" w:firstLineChars="0"/>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Start w:id="254" w:name="_Toc26353"/>
      <w:bookmarkStart w:id="255" w:name="_Toc4131"/>
      <w:r>
        <w:rPr>
          <w:rStyle w:val="46"/>
          <w:rFonts w:hint="eastAsia" w:ascii="宋体" w:hAnsi="宋体" w:eastAsia="宋体" w:cs="宋体"/>
          <w:color w:val="auto"/>
          <w:highlight w:val="none"/>
        </w:rPr>
        <w:t>7.1资格性响应文件格式</w:t>
      </w:r>
      <w:bookmarkEnd w:id="254"/>
      <w:bookmarkEnd w:id="255"/>
    </w:p>
    <w:p>
      <w:pPr>
        <w:pStyle w:val="6"/>
        <w:ind w:left="0" w:leftChars="0" w:firstLine="0" w:firstLineChars="0"/>
        <w:rPr>
          <w:rFonts w:hint="eastAsia" w:ascii="宋体" w:hAnsi="宋体" w:eastAsia="宋体" w:cs="宋体"/>
          <w:color w:val="auto"/>
          <w:highlight w:val="none"/>
        </w:rPr>
      </w:pPr>
      <w:bookmarkStart w:id="256" w:name="_Toc19948"/>
      <w:r>
        <w:rPr>
          <w:rFonts w:hint="eastAsia" w:ascii="宋体" w:hAnsi="宋体" w:eastAsia="宋体" w:cs="宋体"/>
          <w:color w:val="auto"/>
          <w:highlight w:val="none"/>
        </w:rPr>
        <w:t>7.1.1资格性响应文件封面格式</w:t>
      </w:r>
      <w:bookmarkEnd w:id="256"/>
    </w:p>
    <w:tbl>
      <w:tblPr>
        <w:tblStyle w:val="32"/>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jc w:val="center"/>
        </w:trPr>
        <w:tc>
          <w:tcPr>
            <w:tcW w:w="8396" w:type="dxa"/>
          </w:tcPr>
          <w:p>
            <w:pPr>
              <w:adjustRightInd w:val="0"/>
              <w:snapToGrid w:val="0"/>
              <w:ind w:firstLine="0" w:firstLineChars="0"/>
              <w:rPr>
                <w:rFonts w:hint="eastAsia" w:ascii="宋体" w:hAnsi="宋体" w:eastAsia="宋体" w:cs="宋体"/>
                <w:b/>
                <w:bCs/>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color w:val="auto"/>
                <w:highlight w:val="none"/>
                <w:u w:val="single"/>
              </w:rPr>
              <w:t xml:space="preserve">        </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项目编号：</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w:t>
            </w:r>
          </w:p>
          <w:p>
            <w:pPr>
              <w:adjustRightInd w:val="0"/>
              <w:snapToGrid w:val="0"/>
              <w:ind w:firstLine="480"/>
              <w:rPr>
                <w:rFonts w:hint="eastAsia" w:ascii="宋体" w:hAnsi="宋体" w:eastAsia="宋体" w:cs="宋体"/>
                <w:color w:val="auto"/>
                <w:highlight w:val="none"/>
                <w:u w:val="single"/>
              </w:rPr>
            </w:pPr>
          </w:p>
          <w:p>
            <w:pPr>
              <w:adjustRightInd w:val="0"/>
              <w:snapToGrid w:val="0"/>
              <w:ind w:firstLine="480"/>
              <w:jc w:val="center"/>
              <w:rPr>
                <w:rFonts w:hint="eastAsia" w:ascii="宋体" w:hAnsi="宋体" w:eastAsia="宋体" w:cs="宋体"/>
                <w:color w:val="auto"/>
                <w:highlight w:val="none"/>
              </w:rPr>
            </w:pPr>
          </w:p>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资格性响应文件</w:t>
            </w:r>
          </w:p>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（正本或副本）</w:t>
            </w:r>
          </w:p>
          <w:p>
            <w:pPr>
              <w:adjustRightInd w:val="0"/>
              <w:snapToGrid w:val="0"/>
              <w:ind w:firstLine="480"/>
              <w:jc w:val="center"/>
              <w:rPr>
                <w:rFonts w:hint="eastAsia" w:ascii="宋体" w:hAnsi="宋体" w:eastAsia="宋体" w:cs="宋体"/>
                <w:color w:val="auto"/>
                <w:highlight w:val="none"/>
              </w:rPr>
            </w:pPr>
          </w:p>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（加盖公章）</w:t>
            </w:r>
          </w:p>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tc>
      </w:tr>
    </w:tbl>
    <w:p>
      <w:pPr>
        <w:adjustRightInd w:val="0"/>
        <w:snapToGrid w:val="0"/>
        <w:ind w:firstLine="480"/>
        <w:rPr>
          <w:rFonts w:hint="eastAsia" w:ascii="宋体" w:hAnsi="宋体" w:eastAsia="宋体" w:cs="宋体"/>
          <w:color w:val="auto"/>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温馨提示：</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一、资格性响应文件正本一份、副本二份；</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二、资格性响应文件应于截止时间前送达指定地点；</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三、供应商提供的资格证明材料如发证机关有年检要求的则应通过年检且年检章要清楚，如有有效期的则应提供在有效期内的证明材料。</w:t>
      </w:r>
    </w:p>
    <w:p>
      <w:pPr>
        <w:pStyle w:val="50"/>
        <w:autoSpaceDE/>
        <w:autoSpaceDN/>
        <w:snapToGrid w:val="0"/>
        <w:spacing w:line="360" w:lineRule="auto"/>
        <w:rPr>
          <w:rFonts w:hint="eastAsia" w:ascii="宋体" w:hAnsi="宋体" w:eastAsia="宋体" w:cs="宋体"/>
          <w:b/>
          <w:color w:val="auto"/>
          <w:sz w:val="21"/>
          <w:szCs w:val="21"/>
          <w:highlight w:val="none"/>
        </w:rPr>
      </w:pPr>
    </w:p>
    <w:p>
      <w:pPr>
        <w:pStyle w:val="50"/>
        <w:autoSpaceDE/>
        <w:autoSpaceDN/>
        <w:snapToGrid w:val="0"/>
        <w:spacing w:line="360" w:lineRule="auto"/>
        <w:rPr>
          <w:rFonts w:hint="eastAsia" w:ascii="宋体" w:hAnsi="宋体" w:eastAsia="宋体" w:cs="宋体"/>
          <w:b/>
          <w:color w:val="auto"/>
          <w:sz w:val="21"/>
          <w:szCs w:val="21"/>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600" w:firstLineChars="250"/>
        <w:rPr>
          <w:rFonts w:hint="eastAsia" w:ascii="宋体" w:hAnsi="宋体" w:eastAsia="宋体" w:cs="宋体"/>
          <w:color w:val="auto"/>
          <w:highlight w:val="none"/>
        </w:rPr>
      </w:pPr>
    </w:p>
    <w:p>
      <w:pPr>
        <w:adjustRightInd w:val="0"/>
        <w:snapToGrid w:val="0"/>
        <w:ind w:firstLine="560"/>
        <w:rPr>
          <w:rFonts w:hint="eastAsia" w:ascii="宋体" w:hAnsi="宋体" w:eastAsia="宋体" w:cs="宋体"/>
          <w:color w:val="auto"/>
          <w:sz w:val="28"/>
          <w:szCs w:val="28"/>
          <w:highlight w:val="none"/>
        </w:rPr>
        <w:sectPr>
          <w:footerReference r:id="rId7" w:type="first"/>
          <w:footerReference r:id="rId6" w:type="default"/>
          <w:pgSz w:w="11850" w:h="16783"/>
          <w:pgMar w:top="1440" w:right="1800" w:bottom="1440" w:left="1800" w:header="851" w:footer="992" w:gutter="0"/>
          <w:pgNumType w:fmt="decimal" w:start="1"/>
          <w:cols w:space="720" w:num="1"/>
          <w:docGrid w:type="lines" w:linePitch="312" w:charSpace="0"/>
        </w:sectPr>
      </w:pPr>
    </w:p>
    <w:p>
      <w:pPr>
        <w:pStyle w:val="6"/>
        <w:ind w:left="0" w:leftChars="0" w:firstLine="0" w:firstLineChars="0"/>
        <w:rPr>
          <w:rFonts w:hint="eastAsia" w:ascii="宋体" w:hAnsi="宋体" w:eastAsia="宋体" w:cs="宋体"/>
          <w:color w:val="auto"/>
          <w:highlight w:val="none"/>
        </w:rPr>
      </w:pPr>
      <w:bookmarkStart w:id="257" w:name="_Toc9275"/>
      <w:r>
        <w:rPr>
          <w:rFonts w:hint="eastAsia" w:ascii="宋体" w:hAnsi="宋体" w:eastAsia="宋体" w:cs="宋体"/>
          <w:color w:val="auto"/>
          <w:highlight w:val="none"/>
        </w:rPr>
        <w:t>7.1.2法定代表人/单位负责人身份证明书</w:t>
      </w:r>
      <w:bookmarkEnd w:id="257"/>
    </w:p>
    <w:p>
      <w:pPr>
        <w:tabs>
          <w:tab w:val="left" w:pos="6300"/>
        </w:tabs>
        <w:adjustRightInd w:val="0"/>
        <w:snapToGrid w:val="0"/>
        <w:ind w:firstLine="480"/>
        <w:rPr>
          <w:rFonts w:hint="eastAsia" w:ascii="宋体" w:hAnsi="宋体" w:eastAsia="宋体" w:cs="宋体"/>
          <w:color w:val="auto"/>
          <w:highlight w:val="none"/>
          <w:u w:val="single"/>
          <w:lang w:val="zh-CN"/>
        </w:rPr>
      </w:pPr>
    </w:p>
    <w:p>
      <w:pPr>
        <w:tabs>
          <w:tab w:val="left" w:pos="6300"/>
        </w:tabs>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 xml:space="preserve">   （法定代表人</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zh-CN"/>
        </w:rPr>
        <w:t xml:space="preserve">单位负责人姓名）         </w:t>
      </w:r>
      <w:r>
        <w:rPr>
          <w:rFonts w:hint="eastAsia" w:ascii="宋体" w:hAnsi="宋体" w:eastAsia="宋体" w:cs="宋体"/>
          <w:color w:val="auto"/>
          <w:highlight w:val="none"/>
          <w:lang w:val="zh-CN"/>
        </w:rPr>
        <w:t>在</w:t>
      </w:r>
      <w:r>
        <w:rPr>
          <w:rFonts w:hint="eastAsia" w:ascii="宋体" w:hAnsi="宋体" w:eastAsia="宋体" w:cs="宋体"/>
          <w:color w:val="auto"/>
          <w:highlight w:val="none"/>
          <w:u w:val="single"/>
          <w:lang w:val="zh-CN"/>
        </w:rPr>
        <w:t xml:space="preserve">          （供应商名称）  </w:t>
      </w:r>
      <w:r>
        <w:rPr>
          <w:rFonts w:hint="eastAsia" w:ascii="宋体" w:hAnsi="宋体" w:eastAsia="宋体" w:cs="宋体"/>
          <w:color w:val="auto"/>
          <w:highlight w:val="none"/>
          <w:lang w:val="zh-CN"/>
        </w:rPr>
        <w:t>处任</w:t>
      </w:r>
      <w:r>
        <w:rPr>
          <w:rFonts w:hint="eastAsia" w:ascii="宋体" w:hAnsi="宋体" w:eastAsia="宋体" w:cs="宋体"/>
          <w:color w:val="auto"/>
          <w:highlight w:val="none"/>
          <w:u w:val="single"/>
          <w:lang w:val="zh-CN"/>
        </w:rPr>
        <w:t xml:space="preserve">         （职务名称）       </w:t>
      </w:r>
      <w:r>
        <w:rPr>
          <w:rFonts w:hint="eastAsia" w:ascii="宋体" w:hAnsi="宋体" w:eastAsia="宋体" w:cs="宋体"/>
          <w:color w:val="auto"/>
          <w:highlight w:val="none"/>
          <w:lang w:val="zh-CN"/>
        </w:rPr>
        <w:t>职务，是</w:t>
      </w:r>
      <w:r>
        <w:rPr>
          <w:rFonts w:hint="eastAsia" w:ascii="宋体" w:hAnsi="宋体" w:eastAsia="宋体" w:cs="宋体"/>
          <w:color w:val="auto"/>
          <w:highlight w:val="none"/>
          <w:u w:val="single"/>
          <w:lang w:val="zh-CN"/>
        </w:rPr>
        <w:t xml:space="preserve">      （供应商名称）    </w:t>
      </w:r>
      <w:r>
        <w:rPr>
          <w:rFonts w:hint="eastAsia" w:ascii="宋体" w:hAnsi="宋体" w:eastAsia="宋体" w:cs="宋体"/>
          <w:color w:val="auto"/>
          <w:highlight w:val="none"/>
          <w:lang w:val="zh-CN"/>
        </w:rPr>
        <w:t>的法定代表人</w:t>
      </w:r>
      <w:r>
        <w:rPr>
          <w:rFonts w:hint="eastAsia" w:ascii="宋体" w:hAnsi="宋体" w:eastAsia="宋体" w:cs="宋体"/>
          <w:color w:val="auto"/>
          <w:highlight w:val="none"/>
        </w:rPr>
        <w:t>/单位负责人</w:t>
      </w:r>
      <w:r>
        <w:rPr>
          <w:rFonts w:hint="eastAsia" w:ascii="宋体" w:hAnsi="宋体" w:eastAsia="宋体" w:cs="宋体"/>
          <w:color w:val="auto"/>
          <w:highlight w:val="none"/>
          <w:lang w:val="zh-CN"/>
        </w:rPr>
        <w:t>。</w:t>
      </w:r>
    </w:p>
    <w:p>
      <w:pPr>
        <w:tabs>
          <w:tab w:val="left" w:pos="6300"/>
        </w:tabs>
        <w:adjustRightInd w:val="0"/>
        <w:snapToGrid w:val="0"/>
        <w:ind w:firstLine="480"/>
        <w:rPr>
          <w:rFonts w:hint="eastAsia" w:ascii="宋体" w:hAnsi="宋体" w:eastAsia="宋体" w:cs="宋体"/>
          <w:color w:val="auto"/>
          <w:highlight w:val="none"/>
          <w:lang w:val="zh-CN"/>
        </w:rPr>
      </w:pPr>
    </w:p>
    <w:p>
      <w:pPr>
        <w:tabs>
          <w:tab w:val="left" w:pos="6300"/>
        </w:tabs>
        <w:adjustRightInd w:val="0"/>
        <w:snapToGrid w:val="0"/>
        <w:ind w:firstLine="480"/>
        <w:rPr>
          <w:rFonts w:hint="eastAsia" w:ascii="宋体" w:hAnsi="宋体" w:eastAsia="宋体" w:cs="宋体"/>
          <w:color w:val="auto"/>
          <w:highlight w:val="none"/>
          <w:lang w:val="zh-CN"/>
        </w:rPr>
      </w:pPr>
    </w:p>
    <w:p>
      <w:pPr>
        <w:tabs>
          <w:tab w:val="left" w:pos="6300"/>
        </w:tabs>
        <w:adjustRightInd w:val="0"/>
        <w:snapToGrid w:val="0"/>
        <w:ind w:firstLine="480"/>
        <w:rPr>
          <w:rFonts w:hint="eastAsia" w:ascii="宋体" w:hAnsi="宋体" w:eastAsia="宋体" w:cs="宋体"/>
          <w:color w:val="auto"/>
          <w:highlight w:val="none"/>
          <w:lang w:val="zh-CN"/>
        </w:rPr>
      </w:pPr>
      <w:bookmarkStart w:id="258" w:name="_Toc263768866"/>
      <w:r>
        <w:rPr>
          <w:rFonts w:hint="eastAsia" w:ascii="宋体" w:hAnsi="宋体" w:eastAsia="宋体" w:cs="宋体"/>
          <w:color w:val="auto"/>
          <w:highlight w:val="none"/>
          <w:lang w:val="zh-CN"/>
        </w:rPr>
        <w:t>特此证明。</w:t>
      </w:r>
      <w:bookmarkEnd w:id="258"/>
    </w:p>
    <w:p>
      <w:pPr>
        <w:tabs>
          <w:tab w:val="left" w:pos="6300"/>
        </w:tabs>
        <w:adjustRightInd w:val="0"/>
        <w:snapToGrid w:val="0"/>
        <w:ind w:firstLine="480"/>
        <w:rPr>
          <w:rFonts w:hint="eastAsia" w:ascii="宋体" w:hAnsi="宋体" w:eastAsia="宋体" w:cs="宋体"/>
          <w:color w:val="auto"/>
          <w:highlight w:val="none"/>
          <w:lang w:val="zh-CN"/>
        </w:rPr>
      </w:pPr>
    </w:p>
    <w:p>
      <w:pPr>
        <w:tabs>
          <w:tab w:val="left" w:pos="6300"/>
        </w:tabs>
        <w:adjustRightInd w:val="0"/>
        <w:snapToGrid w:val="0"/>
        <w:ind w:firstLine="480"/>
        <w:rPr>
          <w:rFonts w:hint="eastAsia" w:ascii="宋体" w:hAnsi="宋体" w:eastAsia="宋体" w:cs="宋体"/>
          <w:color w:val="auto"/>
          <w:highlight w:val="none"/>
          <w:lang w:val="zh-CN"/>
        </w:rPr>
      </w:pPr>
    </w:p>
    <w:p>
      <w:pPr>
        <w:tabs>
          <w:tab w:val="left" w:pos="6300"/>
        </w:tabs>
        <w:adjustRightInd w:val="0"/>
        <w:snapToGrid w:val="0"/>
        <w:ind w:firstLine="480"/>
        <w:rPr>
          <w:rFonts w:hint="eastAsia" w:ascii="宋体" w:hAnsi="宋体" w:eastAsia="宋体" w:cs="宋体"/>
          <w:color w:val="auto"/>
          <w:highlight w:val="none"/>
          <w:lang w:val="zh-CN"/>
        </w:rPr>
      </w:pPr>
    </w:p>
    <w:p>
      <w:pPr>
        <w:tabs>
          <w:tab w:val="left" w:pos="6300"/>
        </w:tabs>
        <w:adjustRightInd w:val="0"/>
        <w:snapToGrid w:val="0"/>
        <w:ind w:firstLine="480"/>
        <w:rPr>
          <w:rFonts w:hint="eastAsia" w:ascii="宋体" w:hAnsi="宋体" w:eastAsia="宋体" w:cs="宋体"/>
          <w:color w:val="auto"/>
          <w:highlight w:val="none"/>
          <w:lang w:val="zh-CN"/>
        </w:rPr>
      </w:pPr>
    </w:p>
    <w:p>
      <w:pPr>
        <w:tabs>
          <w:tab w:val="left" w:pos="6300"/>
        </w:tabs>
        <w:adjustRightInd w:val="0"/>
        <w:snapToGrid w:val="0"/>
        <w:ind w:firstLine="480"/>
        <w:rPr>
          <w:rFonts w:hint="eastAsia" w:ascii="宋体" w:hAnsi="宋体" w:eastAsia="宋体" w:cs="宋体"/>
          <w:color w:val="auto"/>
          <w:highlight w:val="none"/>
          <w:lang w:val="zh-CN"/>
        </w:rPr>
      </w:pPr>
    </w:p>
    <w:p>
      <w:pPr>
        <w:tabs>
          <w:tab w:val="left" w:pos="6300"/>
        </w:tabs>
        <w:adjustRightInd w:val="0"/>
        <w:snapToGrid w:val="0"/>
        <w:ind w:firstLine="480"/>
        <w:rPr>
          <w:rFonts w:hint="eastAsia" w:ascii="宋体" w:hAnsi="宋体" w:eastAsia="宋体" w:cs="宋体"/>
          <w:color w:val="auto"/>
          <w:highlight w:val="none"/>
          <w:lang w:val="zh-CN"/>
        </w:rPr>
      </w:pPr>
    </w:p>
    <w:p>
      <w:pPr>
        <w:adjustRightInd w:val="0"/>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供应商名称：</w:t>
      </w:r>
      <w:r>
        <w:rPr>
          <w:rFonts w:hint="eastAsia" w:ascii="宋体" w:hAnsi="宋体" w:eastAsia="宋体" w:cs="宋体"/>
          <w:color w:val="auto"/>
          <w:highlight w:val="none"/>
          <w:u w:val="single"/>
          <w:lang w:val="zh-CN"/>
        </w:rPr>
        <w:tab/>
      </w:r>
      <w:r>
        <w:rPr>
          <w:rFonts w:hint="eastAsia" w:ascii="宋体" w:hAnsi="宋体" w:eastAsia="宋体" w:cs="宋体"/>
          <w:color w:val="auto"/>
          <w:highlight w:val="none"/>
          <w:u w:val="single"/>
          <w:lang w:val="zh-CN"/>
        </w:rPr>
        <w:tab/>
      </w:r>
      <w:r>
        <w:rPr>
          <w:rFonts w:hint="eastAsia" w:ascii="宋体" w:hAnsi="宋体" w:eastAsia="宋体" w:cs="宋体"/>
          <w:color w:val="auto"/>
          <w:highlight w:val="none"/>
          <w:u w:val="single"/>
          <w:lang w:val="zh-CN"/>
        </w:rPr>
        <w:tab/>
      </w:r>
      <w:r>
        <w:rPr>
          <w:rFonts w:hint="eastAsia" w:ascii="宋体" w:hAnsi="宋体" w:eastAsia="宋体" w:cs="宋体"/>
          <w:color w:val="auto"/>
          <w:highlight w:val="none"/>
          <w:u w:val="single"/>
          <w:lang w:val="zh-CN"/>
        </w:rPr>
        <w:tab/>
      </w:r>
      <w:r>
        <w:rPr>
          <w:rFonts w:hint="eastAsia" w:ascii="宋体" w:hAnsi="宋体" w:eastAsia="宋体" w:cs="宋体"/>
          <w:color w:val="auto"/>
          <w:highlight w:val="none"/>
          <w:u w:val="single"/>
          <w:lang w:val="zh-CN"/>
        </w:rPr>
        <w:tab/>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（加盖公章）</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tabs>
          <w:tab w:val="left" w:pos="6300"/>
        </w:tabs>
        <w:adjustRightInd w:val="0"/>
        <w:snapToGrid w:val="0"/>
        <w:ind w:firstLine="482"/>
        <w:rPr>
          <w:rFonts w:hint="eastAsia" w:ascii="宋体" w:hAnsi="宋体" w:eastAsia="宋体" w:cs="宋体"/>
          <w:b/>
          <w:color w:val="auto"/>
          <w:highlight w:val="none"/>
          <w:u w:val="single"/>
          <w:lang w:val="zh-CN"/>
        </w:rPr>
      </w:pPr>
    </w:p>
    <w:p>
      <w:pPr>
        <w:pStyle w:val="10"/>
        <w:adjustRightInd w:val="0"/>
        <w:snapToGrid w:val="0"/>
        <w:spacing w:after="0" w:line="360" w:lineRule="auto"/>
        <w:ind w:firstLine="484" w:firstLineChars="202"/>
        <w:rPr>
          <w:rFonts w:hint="eastAsia" w:ascii="宋体" w:hAnsi="宋体" w:eastAsia="宋体" w:cs="宋体"/>
          <w:color w:val="auto"/>
          <w:szCs w:val="24"/>
          <w:highlight w:val="none"/>
        </w:rPr>
      </w:pPr>
    </w:p>
    <w:p>
      <w:pPr>
        <w:ind w:firstLine="42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 w:val="21"/>
          <w:szCs w:val="21"/>
          <w:highlight w:val="none"/>
          <w:lang w:val="zh-CN"/>
        </w:rPr>
        <w:t>1、供应商为法人单位时提供“法定代表人身份证明书”，供应商为其他组织时提供“单位负责人身份证明书”。</w:t>
      </w:r>
    </w:p>
    <w:p>
      <w:pPr>
        <w:ind w:firstLine="42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zh-CN"/>
        </w:rPr>
        <w:t>应附法定代表人/单位负责人身份证复印件（身份证两面均应复印）或护照复印件（供应商的法定代表人/单位负责人为外籍人士的，则提供护照复印件）时才能生效。</w:t>
      </w:r>
    </w:p>
    <w:p>
      <w:pPr>
        <w:pStyle w:val="10"/>
        <w:adjustRightInd w:val="0"/>
        <w:snapToGrid w:val="0"/>
        <w:spacing w:after="0" w:line="360" w:lineRule="auto"/>
        <w:ind w:firstLine="487" w:firstLineChars="202"/>
        <w:rPr>
          <w:rFonts w:hint="eastAsia" w:ascii="宋体" w:hAnsi="宋体" w:eastAsia="宋体" w:cs="宋体"/>
          <w:b/>
          <w:color w:val="auto"/>
          <w:szCs w:val="24"/>
          <w:highlight w:val="none"/>
        </w:rPr>
      </w:pPr>
    </w:p>
    <w:p>
      <w:pPr>
        <w:pStyle w:val="10"/>
        <w:adjustRightInd w:val="0"/>
        <w:snapToGrid w:val="0"/>
        <w:spacing w:after="0" w:line="360" w:lineRule="auto"/>
        <w:ind w:firstLine="487" w:firstLineChars="202"/>
        <w:rPr>
          <w:rFonts w:hint="eastAsia" w:ascii="宋体" w:hAnsi="宋体" w:eastAsia="宋体" w:cs="宋体"/>
          <w:b/>
          <w:color w:val="auto"/>
          <w:szCs w:val="24"/>
          <w:highlight w:val="none"/>
        </w:rPr>
      </w:pPr>
    </w:p>
    <w:p>
      <w:pPr>
        <w:pStyle w:val="10"/>
        <w:adjustRightInd w:val="0"/>
        <w:snapToGrid w:val="0"/>
        <w:spacing w:after="0" w:line="360" w:lineRule="auto"/>
        <w:ind w:firstLine="487" w:firstLineChars="202"/>
        <w:rPr>
          <w:rFonts w:hint="eastAsia" w:ascii="宋体" w:hAnsi="宋体" w:eastAsia="宋体" w:cs="宋体"/>
          <w:b/>
          <w:color w:val="auto"/>
          <w:szCs w:val="24"/>
          <w:highlight w:val="none"/>
        </w:rPr>
      </w:pPr>
    </w:p>
    <w:p>
      <w:pPr>
        <w:pStyle w:val="6"/>
        <w:keepNext w:val="0"/>
        <w:numPr>
          <w:ilvl w:val="0"/>
          <w:numId w:val="0"/>
        </w:numPr>
        <w:adjustRightInd w:val="0"/>
        <w:snapToGrid w:val="0"/>
        <w:rPr>
          <w:rFonts w:hint="eastAsia" w:ascii="宋体" w:hAnsi="宋体" w:eastAsia="宋体" w:cs="宋体"/>
          <w:b w:val="0"/>
          <w:bCs w:val="0"/>
          <w:color w:val="auto"/>
          <w:highlight w:val="none"/>
          <w:u w:val="single"/>
        </w:rPr>
      </w:pPr>
      <w:bookmarkStart w:id="259" w:name="_Toc302997919"/>
      <w:bookmarkStart w:id="260" w:name="_Toc263768867"/>
      <w:bookmarkStart w:id="261" w:name="_Toc181520573"/>
      <w:bookmarkStart w:id="262" w:name="_Toc12100"/>
      <w:bookmarkStart w:id="263" w:name="_Toc263753602"/>
      <w:bookmarkStart w:id="264" w:name="_Toc256175396"/>
      <w:bookmarkStart w:id="265" w:name="_Toc233512320"/>
      <w:bookmarkStart w:id="266" w:name="_Toc214858829"/>
      <w:r>
        <w:rPr>
          <w:rFonts w:hint="eastAsia" w:ascii="宋体" w:hAnsi="宋体" w:eastAsia="宋体" w:cs="宋体"/>
          <w:color w:val="auto"/>
          <w:highlight w:val="none"/>
        </w:rPr>
        <w:br w:type="page"/>
      </w:r>
      <w:bookmarkStart w:id="267" w:name="_Toc2564"/>
      <w:r>
        <w:rPr>
          <w:rFonts w:hint="eastAsia" w:ascii="宋体" w:hAnsi="宋体" w:eastAsia="宋体" w:cs="宋体"/>
          <w:color w:val="auto"/>
          <w:highlight w:val="none"/>
        </w:rPr>
        <w:t>7.1.</w:t>
      </w:r>
      <w:bookmarkEnd w:id="259"/>
      <w:bookmarkEnd w:id="260"/>
      <w:bookmarkEnd w:id="261"/>
      <w:bookmarkEnd w:id="262"/>
      <w:bookmarkEnd w:id="263"/>
      <w:bookmarkEnd w:id="264"/>
      <w:bookmarkEnd w:id="265"/>
      <w:bookmarkEnd w:id="266"/>
      <w:r>
        <w:rPr>
          <w:rFonts w:hint="eastAsia" w:ascii="宋体" w:hAnsi="宋体" w:eastAsia="宋体" w:cs="宋体"/>
          <w:color w:val="auto"/>
          <w:highlight w:val="none"/>
        </w:rPr>
        <w:t>3法定代表人/单位负责人授权书</w:t>
      </w:r>
      <w:bookmarkEnd w:id="267"/>
    </w:p>
    <w:p>
      <w:pPr>
        <w:ind w:firstLine="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四川天力招标有限责任公司</w:t>
      </w:r>
      <w:r>
        <w:rPr>
          <w:rFonts w:hint="eastAsia" w:ascii="宋体" w:hAnsi="宋体" w:eastAsia="宋体" w:cs="宋体"/>
          <w:b/>
          <w:bCs/>
          <w:color w:val="auto"/>
          <w:highlight w:val="none"/>
        </w:rPr>
        <w:t>：</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本授权声明：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（法定代表人/单位负责人姓名、职务）授权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（被授权人姓名、职务）为我方参加</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）磋商采购活动的合法代表，以我方名义全权处理该项目有关磋商、报价、签订合同以及执行合同等一切事宜。授权代理人无转让委托权。</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本授权书有效期自签署之日起至本项目磋商文件规定的磋商有效期结束止。</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法定代表人（单位负责人）（签字或盖章）：</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被授权人签字：</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adjustRightInd w:val="0"/>
        <w:snapToGrid w:val="0"/>
        <w:ind w:firstLine="482"/>
        <w:rPr>
          <w:rFonts w:hint="eastAsia" w:ascii="宋体" w:hAnsi="宋体" w:eastAsia="宋体" w:cs="宋体"/>
          <w:b/>
          <w:color w:val="auto"/>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说明：</w:t>
      </w:r>
    </w:p>
    <w:p>
      <w:pPr>
        <w:ind w:firstLine="42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zh-CN"/>
        </w:rPr>
        <w:t>供应商为法人单位时提供“法定代表人授权书”，供应商为其他组织时提供“单位负责人授权书”。</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上述证明文件在</w:t>
      </w:r>
      <w:r>
        <w:rPr>
          <w:rFonts w:hint="eastAsia" w:ascii="宋体" w:hAnsi="宋体" w:eastAsia="宋体" w:cs="宋体"/>
          <w:b/>
          <w:bCs/>
          <w:color w:val="auto"/>
          <w:sz w:val="21"/>
          <w:szCs w:val="21"/>
          <w:highlight w:val="none"/>
        </w:rPr>
        <w:t>资格性响应</w:t>
      </w:r>
      <w:r>
        <w:rPr>
          <w:rFonts w:hint="eastAsia" w:ascii="宋体" w:hAnsi="宋体" w:eastAsia="宋体" w:cs="宋体"/>
          <w:b/>
          <w:bCs/>
          <w:color w:val="auto"/>
          <w:sz w:val="21"/>
          <w:szCs w:val="21"/>
          <w:highlight w:val="none"/>
          <w:lang w:val="zh-CN"/>
        </w:rPr>
        <w:t>文件中</w:t>
      </w:r>
      <w:r>
        <w:rPr>
          <w:rFonts w:hint="eastAsia" w:ascii="宋体" w:hAnsi="宋体" w:eastAsia="宋体" w:cs="宋体"/>
          <w:b/>
          <w:bCs/>
          <w:color w:val="auto"/>
          <w:sz w:val="21"/>
          <w:szCs w:val="21"/>
          <w:highlight w:val="none"/>
        </w:rPr>
        <w:t>应</w:t>
      </w:r>
      <w:r>
        <w:rPr>
          <w:rFonts w:hint="eastAsia" w:ascii="宋体" w:hAnsi="宋体" w:eastAsia="宋体" w:cs="宋体"/>
          <w:b/>
          <w:bCs/>
          <w:color w:val="auto"/>
          <w:sz w:val="21"/>
          <w:szCs w:val="21"/>
          <w:highlight w:val="none"/>
          <w:lang w:val="zh-CN"/>
        </w:rPr>
        <w:t>附授权代表身份证复印件（身份证两面均应复印）</w:t>
      </w:r>
      <w:r>
        <w:rPr>
          <w:rFonts w:hint="eastAsia" w:ascii="宋体" w:hAnsi="宋体" w:eastAsia="宋体" w:cs="宋体"/>
          <w:b/>
          <w:bCs/>
          <w:color w:val="auto"/>
          <w:sz w:val="21"/>
          <w:szCs w:val="21"/>
          <w:highlight w:val="none"/>
        </w:rPr>
        <w:t>。</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3.响应文件均由供应商法定代表人（单位负责人）签字的,响应文件中可不提供该附件的内容。</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4.两家以上的供应商不得在同一合同项下的采购项目中，委托同一个自然人、同一家庭的人员、同一单位的人员作为其授权代表，否则，其响应文件作为无效处理。</w:t>
      </w:r>
    </w:p>
    <w:p>
      <w:pPr>
        <w:ind w:firstLine="482"/>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br w:type="page"/>
      </w:r>
    </w:p>
    <w:p>
      <w:pPr>
        <w:pStyle w:val="6"/>
        <w:ind w:left="0" w:leftChars="0" w:firstLine="0" w:firstLineChars="0"/>
        <w:rPr>
          <w:rFonts w:hint="eastAsia" w:ascii="宋体" w:hAnsi="宋体" w:eastAsia="宋体" w:cs="宋体"/>
          <w:color w:val="auto"/>
          <w:highlight w:val="none"/>
        </w:rPr>
      </w:pPr>
      <w:bookmarkStart w:id="268" w:name="_Toc7067"/>
      <w:r>
        <w:rPr>
          <w:rFonts w:hint="eastAsia" w:ascii="宋体" w:hAnsi="宋体" w:eastAsia="宋体" w:cs="宋体"/>
          <w:color w:val="auto"/>
          <w:highlight w:val="none"/>
        </w:rPr>
        <w:t>7.1.4承诺函</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致：四川天力招标有限责任公司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我单位作为本次采购项目的供应商，根据磋商文件要求，现郑重承诺如下：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一、具备《中华人民共和国政府采购法》第二十二条规定的条件：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（一）具有独立承担民事责任的能力；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（二）具有良好的商业信誉和健全的财务会计制度；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（三）具</w:t>
      </w:r>
      <w:r>
        <w:rPr>
          <w:rFonts w:hint="eastAsia" w:ascii="宋体" w:hAnsi="宋体" w:eastAsia="宋体" w:cs="宋体"/>
          <w:color w:val="auto"/>
          <w:highlight w:val="none"/>
          <w:lang w:eastAsia="zh-CN"/>
        </w:rPr>
        <w:t>备</w:t>
      </w:r>
      <w:r>
        <w:rPr>
          <w:rFonts w:hint="eastAsia" w:ascii="宋体" w:hAnsi="宋体" w:eastAsia="宋体" w:cs="宋体"/>
          <w:color w:val="auto"/>
          <w:highlight w:val="none"/>
        </w:rPr>
        <w:t>履行合同所必需的设备和专业技术能力；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（四）有依法缴纳税收和社会保障资金的良好记录；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（五）参加政府采购活动前三年内，在经营活动中没有重大违法记录；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（六）法律、行政法规规定的其他条件。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二、我单位及我单位现任法定代表人/主要负责人在参加政府采购活动前三年内无行贿犯罪记录。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三、我单位承诺未提供本项目整体设计、规范编制或者项目管理、监理、检测等服务。</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本单位对上述承诺的内容事项真实性负责。如经查实上述承诺的内容事项存在虚假，我单位愿意接受以提供虚假材料谋取成交追究法律责任。</w:t>
      </w:r>
    </w:p>
    <w:p>
      <w:pPr>
        <w:ind w:firstLine="48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268"/>
    <w:p>
      <w:pPr>
        <w:pStyle w:val="6"/>
        <w:ind w:left="0" w:leftChars="0" w:firstLine="0" w:firstLineChars="0"/>
        <w:rPr>
          <w:rFonts w:hint="eastAsia" w:ascii="宋体" w:hAnsi="宋体" w:eastAsia="宋体" w:cs="宋体"/>
          <w:color w:val="auto"/>
          <w:highlight w:val="none"/>
        </w:rPr>
      </w:pPr>
      <w:bookmarkStart w:id="269" w:name="_Toc24916"/>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中小企业声明函</w:t>
      </w:r>
    </w:p>
    <w:p>
      <w:pPr>
        <w:ind w:firstLine="480"/>
        <w:rPr>
          <w:rFonts w:hint="eastAsia" w:ascii="宋体" w:hAnsi="宋体" w:eastAsia="宋体" w:cs="宋体"/>
          <w:color w:val="auto"/>
          <w:highlight w:val="none"/>
        </w:rPr>
      </w:pPr>
      <w:bookmarkStart w:id="270" w:name="_Toc1429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本公司郑重声明，根据《政府采购促进中小企业发展管理办法》（财库〔2020〕46 号）的规定，本公司参加 </w:t>
      </w:r>
      <w:r>
        <w:rPr>
          <w:rFonts w:hint="eastAsia" w:ascii="宋体" w:hAnsi="宋体" w:eastAsia="宋体" w:cs="宋体"/>
          <w:color w:val="auto"/>
          <w:highlight w:val="none"/>
          <w:u w:val="single"/>
        </w:rPr>
        <w:t xml:space="preserve">（单位名称） </w:t>
      </w:r>
      <w:r>
        <w:rPr>
          <w:rFonts w:hint="eastAsia" w:ascii="宋体" w:hAnsi="宋体" w:eastAsia="宋体" w:cs="宋体"/>
          <w:color w:val="auto"/>
          <w:highlight w:val="none"/>
        </w:rPr>
        <w:t xml:space="preserve">的 </w:t>
      </w:r>
      <w:r>
        <w:rPr>
          <w:rFonts w:hint="eastAsia" w:ascii="宋体" w:hAnsi="宋体" w:eastAsia="宋体" w:cs="宋体"/>
          <w:color w:val="auto"/>
          <w:highlight w:val="none"/>
          <w:u w:val="single"/>
        </w:rPr>
        <w:t xml:space="preserve">（项目名称） </w:t>
      </w:r>
      <w:r>
        <w:rPr>
          <w:rFonts w:hint="eastAsia" w:ascii="宋体" w:hAnsi="宋体" w:eastAsia="宋体" w:cs="宋体"/>
          <w:color w:val="auto"/>
          <w:highlight w:val="none"/>
        </w:rPr>
        <w:t>采购活动，服务全部由符合政策要求的中小企业承接。相关企业的具体情况如下：</w:t>
      </w:r>
      <w:bookmarkStart w:id="271" w:name="_Toc417911732"/>
      <w:bookmarkStart w:id="272" w:name="_Toc387147344"/>
      <w:bookmarkStart w:id="273" w:name="_Toc419811733"/>
      <w:bookmarkStart w:id="274" w:name="_Toc413748654"/>
      <w:bookmarkStart w:id="275" w:name="_Toc387658050"/>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1. </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（采购文件中明确的所属行业） </w:t>
      </w:r>
      <w:r>
        <w:rPr>
          <w:rFonts w:hint="eastAsia" w:ascii="宋体" w:hAnsi="宋体" w:eastAsia="宋体" w:cs="宋体"/>
          <w:color w:val="auto"/>
          <w:highlight w:val="none"/>
        </w:rPr>
        <w:t>；承接企业为</w:t>
      </w:r>
      <w:r>
        <w:rPr>
          <w:rFonts w:hint="eastAsia" w:ascii="宋体" w:hAnsi="宋体" w:eastAsia="宋体" w:cs="宋体"/>
          <w:color w:val="auto"/>
          <w:highlight w:val="none"/>
          <w:u w:val="single"/>
        </w:rPr>
        <w:t xml:space="preserve"> （企业名称） </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pPr>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（采购文件中明确的所属行业） </w:t>
      </w:r>
      <w:r>
        <w:rPr>
          <w:rFonts w:hint="eastAsia" w:ascii="宋体" w:hAnsi="宋体" w:eastAsia="宋体" w:cs="宋体"/>
          <w:color w:val="auto"/>
          <w:highlight w:val="none"/>
        </w:rPr>
        <w:t>；承接企业为</w:t>
      </w:r>
      <w:r>
        <w:rPr>
          <w:rFonts w:hint="eastAsia" w:ascii="宋体" w:hAnsi="宋体" w:eastAsia="宋体" w:cs="宋体"/>
          <w:color w:val="auto"/>
          <w:highlight w:val="none"/>
          <w:u w:val="single"/>
        </w:rPr>
        <w:t xml:space="preserve"> （企业名称） </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pPr>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5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5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5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企业名称（盖章）：</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spacing w:val="6"/>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2"/>
        <w:ind w:firstLine="0" w:firstLineChars="0"/>
        <w:rPr>
          <w:rFonts w:hint="eastAsia" w:ascii="宋体" w:hAnsi="宋体" w:eastAsia="宋体" w:cs="宋体"/>
          <w:color w:val="auto"/>
          <w:highlight w:val="none"/>
        </w:rPr>
      </w:pPr>
    </w:p>
    <w:bookmarkEnd w:id="271"/>
    <w:bookmarkEnd w:id="272"/>
    <w:bookmarkEnd w:id="273"/>
    <w:bookmarkEnd w:id="274"/>
    <w:bookmarkEnd w:id="275"/>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从业人员、营业收入、资产总额填报上一年度数据，无上一年度数据的新成立企业可不填报。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监狱企业证明文件</w:t>
      </w:r>
      <w:bookmarkEnd w:id="270"/>
    </w:p>
    <w:p>
      <w:pPr>
        <w:pStyle w:val="50"/>
        <w:rPr>
          <w:rFonts w:hint="eastAsia" w:ascii="宋体" w:hAnsi="宋体" w:eastAsia="宋体" w:cs="宋体"/>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pStyle w:val="50"/>
        <w:autoSpaceDE/>
        <w:autoSpaceDN/>
        <w:snapToGrid w:val="0"/>
        <w:spacing w:line="360" w:lineRule="auto"/>
        <w:rPr>
          <w:rFonts w:hint="eastAsia" w:ascii="宋体" w:hAnsi="宋体" w:eastAsia="宋体" w:cs="宋体"/>
          <w:b/>
          <w:color w:val="auto"/>
          <w:szCs w:val="24"/>
          <w:highlight w:val="none"/>
        </w:rPr>
      </w:pPr>
    </w:p>
    <w:p>
      <w:pPr>
        <w:pStyle w:val="50"/>
        <w:autoSpaceDE/>
        <w:autoSpaceDN/>
        <w:snapToGrid w:val="0"/>
        <w:spacing w:line="360" w:lineRule="auto"/>
        <w:rPr>
          <w:rFonts w:hint="eastAsia" w:ascii="宋体" w:hAnsi="宋体" w:eastAsia="宋体" w:cs="宋体"/>
          <w:b/>
          <w:color w:val="auto"/>
          <w:szCs w:val="24"/>
          <w:highlight w:val="none"/>
        </w:rPr>
      </w:pPr>
    </w:p>
    <w:p>
      <w:pPr>
        <w:pStyle w:val="50"/>
        <w:autoSpaceDE/>
        <w:autoSpaceDN/>
        <w:snapToGrid w:val="0"/>
        <w:spacing w:line="360" w:lineRule="auto"/>
        <w:rPr>
          <w:rFonts w:hint="eastAsia" w:ascii="宋体" w:hAnsi="宋体" w:eastAsia="宋体" w:cs="宋体"/>
          <w:b/>
          <w:color w:val="auto"/>
          <w:szCs w:val="24"/>
          <w:highlight w:val="none"/>
        </w:rPr>
      </w:pPr>
    </w:p>
    <w:p>
      <w:pPr>
        <w:pStyle w:val="50"/>
        <w:autoSpaceDE/>
        <w:autoSpaceDN/>
        <w:snapToGrid w:val="0"/>
        <w:spacing w:line="360" w:lineRule="auto"/>
        <w:rPr>
          <w:rFonts w:hint="eastAsia" w:ascii="宋体" w:hAnsi="宋体" w:eastAsia="宋体" w:cs="宋体"/>
          <w:b/>
          <w:color w:val="auto"/>
          <w:szCs w:val="24"/>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注：1、监狱企业</w:t>
      </w:r>
      <w:r>
        <w:rPr>
          <w:rFonts w:hint="eastAsia" w:ascii="宋体" w:hAnsi="宋体" w:eastAsia="宋体" w:cs="宋体"/>
          <w:b/>
          <w:bCs/>
          <w:color w:val="auto"/>
          <w:sz w:val="21"/>
          <w:szCs w:val="21"/>
          <w:highlight w:val="none"/>
          <w:lang w:val="zh-CN"/>
        </w:rPr>
        <w:t>应当提供由省级以上监狱管理局、戒毒管理局（含新疆生产建设兵团）出具的属于监狱企业的证明文件复印件，复印件加盖公章。</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2、供应商如提供虚假的监狱企业证明文件，则采购人有权取消参加磋商、成交候选或成交资格，有权终止合同，并报政府采购监管部门。</w:t>
      </w:r>
    </w:p>
    <w:p>
      <w:pPr>
        <w:ind w:firstLine="482"/>
        <w:rPr>
          <w:rFonts w:hint="eastAsia" w:ascii="宋体" w:hAnsi="宋体" w:eastAsia="宋体" w:cs="宋体"/>
          <w:b/>
          <w:color w:val="auto"/>
          <w:highlight w:val="none"/>
        </w:rPr>
      </w:pPr>
      <w:bookmarkStart w:id="276" w:name="_Toc8823"/>
      <w:r>
        <w:rPr>
          <w:rFonts w:hint="eastAsia" w:ascii="宋体" w:hAnsi="宋体" w:eastAsia="宋体" w:cs="宋体"/>
          <w:b/>
          <w:color w:val="auto"/>
          <w:highlight w:val="none"/>
        </w:rPr>
        <w:br w:type="page"/>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残疾人福利性单位声明函</w:t>
      </w:r>
      <w:bookmarkEnd w:id="276"/>
    </w:p>
    <w:p>
      <w:pPr>
        <w:adjustRightInd w:val="0"/>
        <w:snapToGrid w:val="0"/>
        <w:ind w:firstLine="504"/>
        <w:rPr>
          <w:rFonts w:hint="eastAsia" w:ascii="宋体" w:hAnsi="宋体" w:eastAsia="宋体" w:cs="宋体"/>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项目采购活动提供本单位制造的货物（由本单位承担工程/提供服务），或者提供其他残疾人福利性单位制造的货物（不包括使用非残疾人福利性单位注册商标的货物）。</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adjustRightInd w:val="0"/>
        <w:snapToGrid w:val="0"/>
        <w:ind w:firstLine="504"/>
        <w:rPr>
          <w:rFonts w:hint="eastAsia" w:ascii="宋体" w:hAnsi="宋体" w:eastAsia="宋体" w:cs="宋体"/>
          <w:color w:val="auto"/>
          <w:spacing w:val="6"/>
          <w:highlight w:val="none"/>
        </w:rPr>
      </w:pPr>
    </w:p>
    <w:p>
      <w:pPr>
        <w:adjustRightInd w:val="0"/>
        <w:snapToGrid w:val="0"/>
        <w:ind w:firstLine="504"/>
        <w:rPr>
          <w:rFonts w:hint="eastAsia" w:ascii="宋体" w:hAnsi="宋体" w:eastAsia="宋体" w:cs="宋体"/>
          <w:color w:val="auto"/>
          <w:spacing w:val="6"/>
          <w:highlight w:val="none"/>
        </w:rPr>
      </w:pPr>
    </w:p>
    <w:p>
      <w:pPr>
        <w:pStyle w:val="50"/>
        <w:autoSpaceDE/>
        <w:autoSpaceDN/>
        <w:snapToGrid w:val="0"/>
        <w:spacing w:line="360" w:lineRule="auto"/>
        <w:rPr>
          <w:rFonts w:hint="eastAsia" w:ascii="宋体" w:hAnsi="宋体" w:eastAsia="宋体" w:cs="宋体"/>
          <w:color w:val="auto"/>
          <w:spacing w:val="6"/>
          <w:szCs w:val="24"/>
          <w:highlight w:val="none"/>
        </w:rPr>
      </w:pPr>
    </w:p>
    <w:p>
      <w:pPr>
        <w:pStyle w:val="50"/>
        <w:autoSpaceDE/>
        <w:autoSpaceDN/>
        <w:snapToGrid w:val="0"/>
        <w:spacing w:line="360" w:lineRule="auto"/>
        <w:rPr>
          <w:rFonts w:hint="eastAsia" w:ascii="宋体" w:hAnsi="宋体" w:eastAsia="宋体" w:cs="宋体"/>
          <w:color w:val="auto"/>
          <w:spacing w:val="6"/>
          <w:szCs w:val="24"/>
          <w:highlight w:val="none"/>
        </w:rPr>
      </w:pPr>
    </w:p>
    <w:p>
      <w:pPr>
        <w:pStyle w:val="50"/>
        <w:autoSpaceDE/>
        <w:autoSpaceDN/>
        <w:snapToGrid w:val="0"/>
        <w:spacing w:line="360" w:lineRule="auto"/>
        <w:rPr>
          <w:rFonts w:hint="eastAsia" w:ascii="宋体" w:hAnsi="宋体" w:eastAsia="宋体" w:cs="宋体"/>
          <w:color w:val="auto"/>
          <w:spacing w:val="6"/>
          <w:szCs w:val="24"/>
          <w:highlight w:val="none"/>
        </w:rPr>
      </w:pPr>
    </w:p>
    <w:p>
      <w:pPr>
        <w:tabs>
          <w:tab w:val="left" w:pos="4860"/>
        </w:tabs>
        <w:adjustRightInd w:val="0"/>
        <w:snapToGrid w:val="0"/>
        <w:ind w:firstLine="504"/>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单位名称（盖章）：</w:t>
      </w:r>
      <w:r>
        <w:rPr>
          <w:rFonts w:hint="eastAsia" w:ascii="宋体" w:hAnsi="宋体" w:eastAsia="宋体" w:cs="宋体"/>
          <w:color w:val="auto"/>
          <w:spacing w:val="6"/>
          <w:highlight w:val="none"/>
          <w:u w:val="single"/>
        </w:rPr>
        <w:t xml:space="preserve">               </w:t>
      </w:r>
    </w:p>
    <w:p>
      <w:pPr>
        <w:tabs>
          <w:tab w:val="left" w:pos="4860"/>
        </w:tabs>
        <w:adjustRightInd w:val="0"/>
        <w:snapToGrid w:val="0"/>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adjustRightInd w:val="0"/>
        <w:snapToGrid w:val="0"/>
        <w:ind w:firstLine="482"/>
        <w:rPr>
          <w:rFonts w:hint="eastAsia" w:ascii="宋体" w:hAnsi="宋体" w:eastAsia="宋体" w:cs="宋体"/>
          <w:b/>
          <w:color w:val="auto"/>
          <w:highlight w:val="none"/>
        </w:rPr>
      </w:pPr>
    </w:p>
    <w:p>
      <w:pPr>
        <w:pStyle w:val="50"/>
        <w:rPr>
          <w:rFonts w:hint="eastAsia" w:ascii="宋体" w:hAnsi="宋体" w:eastAsia="宋体" w:cs="宋体"/>
          <w:color w:val="auto"/>
          <w:highlight w:val="none"/>
        </w:rPr>
      </w:pPr>
    </w:p>
    <w:p>
      <w:pPr>
        <w:adjustRightInd w:val="0"/>
        <w:snapToGrid w:val="0"/>
        <w:ind w:firstLine="482"/>
        <w:rPr>
          <w:rFonts w:hint="eastAsia" w:ascii="宋体" w:hAnsi="宋体" w:eastAsia="宋体" w:cs="宋体"/>
          <w:b/>
          <w:color w:val="auto"/>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注：供应商如提供虚假残疾人福利性单位声明函的，则采购人有权取消参加磋商、成交候选或成交资格，有权终止合同，并报政府采购监管部门。</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7.1.</w:t>
      </w:r>
      <w:bookmarkEnd w:id="269"/>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供应商应当提供的资格、资质性及其他具有类似效力要求的相关证明材料</w:t>
      </w:r>
    </w:p>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注：复印件加盖公章。</w:t>
      </w: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b/>
          <w:color w:val="auto"/>
          <w:highlight w:val="none"/>
        </w:rPr>
      </w:pPr>
    </w:p>
    <w:p>
      <w:pPr>
        <w:pStyle w:val="50"/>
        <w:rPr>
          <w:rFonts w:hint="eastAsia" w:ascii="宋体" w:hAnsi="宋体" w:eastAsia="宋体" w:cs="宋体"/>
          <w:b/>
          <w:color w:val="auto"/>
          <w:szCs w:val="24"/>
          <w:highlight w:val="none"/>
        </w:rPr>
      </w:pPr>
    </w:p>
    <w:p>
      <w:pPr>
        <w:pStyle w:val="50"/>
        <w:rPr>
          <w:rFonts w:hint="eastAsia" w:ascii="宋体" w:hAnsi="宋体" w:eastAsia="宋体" w:cs="宋体"/>
          <w:b/>
          <w:color w:val="auto"/>
          <w:szCs w:val="24"/>
          <w:highlight w:val="none"/>
        </w:rPr>
      </w:pPr>
    </w:p>
    <w:p>
      <w:pPr>
        <w:pStyle w:val="50"/>
        <w:rPr>
          <w:rFonts w:hint="eastAsia" w:ascii="宋体" w:hAnsi="宋体" w:eastAsia="宋体" w:cs="宋体"/>
          <w:b/>
          <w:color w:val="auto"/>
          <w:szCs w:val="24"/>
          <w:highlight w:val="none"/>
        </w:rPr>
      </w:pPr>
    </w:p>
    <w:p>
      <w:pPr>
        <w:pStyle w:val="50"/>
        <w:rPr>
          <w:rFonts w:hint="eastAsia" w:ascii="宋体" w:hAnsi="宋体" w:eastAsia="宋体" w:cs="宋体"/>
          <w:b/>
          <w:color w:val="auto"/>
          <w:szCs w:val="24"/>
          <w:highlight w:val="none"/>
        </w:rPr>
      </w:pPr>
    </w:p>
    <w:p>
      <w:pPr>
        <w:pStyle w:val="50"/>
        <w:rPr>
          <w:rFonts w:hint="eastAsia" w:ascii="宋体" w:hAnsi="宋体" w:eastAsia="宋体" w:cs="宋体"/>
          <w:b/>
          <w:color w:val="auto"/>
          <w:szCs w:val="24"/>
          <w:highlight w:val="none"/>
        </w:rPr>
      </w:pPr>
    </w:p>
    <w:p>
      <w:pPr>
        <w:pStyle w:val="50"/>
        <w:rPr>
          <w:rFonts w:hint="eastAsia" w:ascii="宋体" w:hAnsi="宋体" w:eastAsia="宋体" w:cs="宋体"/>
          <w:b/>
          <w:color w:val="auto"/>
          <w:szCs w:val="24"/>
          <w:highlight w:val="none"/>
        </w:rPr>
      </w:pPr>
    </w:p>
    <w:p>
      <w:pPr>
        <w:pStyle w:val="50"/>
        <w:rPr>
          <w:rFonts w:hint="eastAsia" w:ascii="宋体" w:hAnsi="宋体" w:eastAsia="宋体" w:cs="宋体"/>
          <w:b/>
          <w:color w:val="auto"/>
          <w:szCs w:val="24"/>
          <w:highlight w:val="none"/>
        </w:rPr>
      </w:pPr>
    </w:p>
    <w:p>
      <w:pPr>
        <w:pStyle w:val="50"/>
        <w:rPr>
          <w:rFonts w:hint="eastAsia" w:ascii="宋体" w:hAnsi="宋体" w:eastAsia="宋体" w:cs="宋体"/>
          <w:b/>
          <w:color w:val="auto"/>
          <w:szCs w:val="24"/>
          <w:highlight w:val="none"/>
        </w:rPr>
      </w:pPr>
    </w:p>
    <w:p>
      <w:pPr>
        <w:pStyle w:val="5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pStyle w:val="5"/>
        <w:ind w:left="0" w:leftChars="0" w:firstLine="0" w:firstLineChars="0"/>
        <w:rPr>
          <w:rFonts w:hint="eastAsia" w:ascii="宋体" w:hAnsi="宋体" w:eastAsia="宋体" w:cs="宋体"/>
          <w:color w:val="auto"/>
          <w:highlight w:val="none"/>
        </w:rPr>
      </w:pPr>
      <w:bookmarkStart w:id="277" w:name="_Toc4762"/>
      <w:bookmarkStart w:id="278" w:name="_Toc1534"/>
      <w:bookmarkStart w:id="279" w:name="_Toc461622400"/>
      <w:bookmarkStart w:id="280" w:name="_Toc17346"/>
      <w:bookmarkStart w:id="281" w:name="_Toc30717"/>
      <w:bookmarkStart w:id="282" w:name="_Toc448403805"/>
      <w:bookmarkStart w:id="283" w:name="_Toc12993"/>
      <w:r>
        <w:rPr>
          <w:rFonts w:hint="eastAsia" w:ascii="宋体" w:hAnsi="宋体" w:eastAsia="宋体" w:cs="宋体"/>
          <w:color w:val="auto"/>
          <w:highlight w:val="none"/>
        </w:rPr>
        <w:t>7.2其他响应文件格式</w:t>
      </w:r>
      <w:bookmarkEnd w:id="277"/>
      <w:bookmarkEnd w:id="278"/>
      <w:bookmarkEnd w:id="279"/>
      <w:bookmarkEnd w:id="280"/>
      <w:bookmarkEnd w:id="281"/>
      <w:bookmarkEnd w:id="282"/>
      <w:bookmarkEnd w:id="283"/>
    </w:p>
    <w:p>
      <w:pPr>
        <w:pStyle w:val="6"/>
        <w:ind w:left="0" w:leftChars="0" w:firstLine="0" w:firstLineChars="0"/>
        <w:rPr>
          <w:rFonts w:hint="eastAsia" w:ascii="宋体" w:hAnsi="宋体" w:eastAsia="宋体" w:cs="宋体"/>
          <w:color w:val="auto"/>
          <w:highlight w:val="none"/>
        </w:rPr>
      </w:pPr>
      <w:bookmarkStart w:id="284" w:name="_Toc12613"/>
      <w:r>
        <w:rPr>
          <w:rFonts w:hint="eastAsia" w:ascii="宋体" w:hAnsi="宋体" w:eastAsia="宋体" w:cs="宋体"/>
          <w:color w:val="auto"/>
          <w:highlight w:val="none"/>
        </w:rPr>
        <w:t>7.2.1其他响应文件封面格式</w:t>
      </w:r>
      <w:bookmarkEnd w:id="284"/>
    </w:p>
    <w:tbl>
      <w:tblPr>
        <w:tblStyle w:val="32"/>
        <w:tblW w:w="825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8250" w:type="dxa"/>
          </w:tcPr>
          <w:p>
            <w:pPr>
              <w:adjustRightInd w:val="0"/>
              <w:snapToGrid w:val="0"/>
              <w:ind w:firstLine="0" w:firstLineChars="0"/>
              <w:rPr>
                <w:rFonts w:hint="eastAsia" w:ascii="宋体" w:hAnsi="宋体" w:eastAsia="宋体" w:cs="宋体"/>
                <w:b/>
                <w:bCs/>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color w:val="auto"/>
                <w:highlight w:val="none"/>
                <w:u w:val="single"/>
              </w:rPr>
              <w:t xml:space="preserve">        </w:t>
            </w:r>
          </w:p>
          <w:p>
            <w:pPr>
              <w:adjustRightInd w:val="0"/>
              <w:snapToGrid w:val="0"/>
              <w:ind w:firstLine="0" w:firstLineChars="0"/>
              <w:jc w:val="both"/>
              <w:rPr>
                <w:rFonts w:hint="eastAsia" w:ascii="宋体" w:hAnsi="宋体" w:eastAsia="宋体" w:cs="宋体"/>
                <w:color w:val="auto"/>
                <w:highlight w:val="none"/>
              </w:rPr>
            </w:pPr>
            <w:r>
              <w:rPr>
                <w:rFonts w:hint="eastAsia" w:ascii="宋体" w:hAnsi="宋体" w:eastAsia="宋体" w:cs="宋体"/>
                <w:b/>
                <w:color w:val="auto"/>
                <w:highlight w:val="none"/>
              </w:rPr>
              <w:t>项目编号：</w:t>
            </w:r>
            <w:r>
              <w:rPr>
                <w:rFonts w:hint="eastAsia" w:ascii="宋体" w:hAnsi="宋体" w:eastAsia="宋体" w:cs="宋体"/>
                <w:b/>
                <w:color w:val="auto"/>
                <w:highlight w:val="none"/>
                <w:u w:val="single"/>
              </w:rPr>
              <w:t xml:space="preserve">        </w:t>
            </w:r>
          </w:p>
          <w:p>
            <w:pPr>
              <w:pStyle w:val="50"/>
              <w:rPr>
                <w:rFonts w:hint="eastAsia" w:ascii="宋体" w:hAnsi="宋体" w:eastAsia="宋体" w:cs="宋体"/>
                <w:color w:val="auto"/>
                <w:szCs w:val="24"/>
                <w:highlight w:val="none"/>
              </w:rPr>
            </w:pPr>
          </w:p>
          <w:p>
            <w:pPr>
              <w:pStyle w:val="50"/>
              <w:rPr>
                <w:rFonts w:hint="eastAsia" w:ascii="宋体" w:hAnsi="宋体" w:eastAsia="宋体" w:cs="宋体"/>
                <w:color w:val="auto"/>
                <w:szCs w:val="24"/>
                <w:highlight w:val="none"/>
              </w:rPr>
            </w:pPr>
          </w:p>
          <w:p>
            <w:pPr>
              <w:adjustRightInd w:val="0"/>
              <w:snapToGrid w:val="0"/>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其他响应文件</w:t>
            </w:r>
          </w:p>
          <w:p>
            <w:pPr>
              <w:adjustRightInd w:val="0"/>
              <w:snapToGrid w:val="0"/>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（正本或副本）</w:t>
            </w:r>
          </w:p>
          <w:p>
            <w:pPr>
              <w:pStyle w:val="50"/>
              <w:rPr>
                <w:rFonts w:hint="eastAsia" w:ascii="宋体" w:hAnsi="宋体" w:eastAsia="宋体" w:cs="宋体"/>
                <w:color w:val="auto"/>
                <w:highlight w:val="none"/>
              </w:rPr>
            </w:pPr>
          </w:p>
          <w:p>
            <w:pPr>
              <w:adjustRightInd w:val="0"/>
              <w:snapToGrid w:val="0"/>
              <w:ind w:left="1541" w:hanging="1540" w:hangingChars="642"/>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（加盖公章）</w:t>
            </w:r>
          </w:p>
          <w:p>
            <w:pPr>
              <w:adjustRightInd w:val="0"/>
              <w:snapToGrid w:val="0"/>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tc>
      </w:tr>
    </w:tbl>
    <w:p>
      <w:pPr>
        <w:adjustRightInd w:val="0"/>
        <w:snapToGrid w:val="0"/>
        <w:ind w:firstLine="482"/>
        <w:rPr>
          <w:rFonts w:hint="eastAsia" w:ascii="宋体" w:hAnsi="宋体" w:eastAsia="宋体" w:cs="宋体"/>
          <w:b/>
          <w:color w:val="auto"/>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温馨提示：</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一、其他响应文件正本一份、副本二份；</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二、其他响应文件应于截止时间前送指定地点；</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三、签字、盖章应符合磋商文件要求。</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7.2.2报价函</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四川天力招标有限责任公司：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1.我方全面研究了“</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（项目名称）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），决定参加贵单位组织的本项目磋商采购。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2.我方自愿按照磋商文件规定的各项要求向采购人提供所需服务，</w:t>
      </w:r>
      <w:r>
        <w:rPr>
          <w:rFonts w:hint="eastAsia" w:ascii="宋体" w:hAnsi="宋体" w:eastAsia="宋体" w:cs="宋体"/>
          <w:b/>
          <w:bCs/>
          <w:color w:val="auto"/>
          <w:highlight w:val="none"/>
        </w:rPr>
        <w:t>总报价为人民币</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元（大写：</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3.一旦我方成交，我方将严格履行政府采购合同规定的责任和义务。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4.我方为本项目提交的响应文件正本1份，副本2份、电子文档1份，用于磋商报价。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5.我方愿意提供贵单位可能另外要求的，与磋商报价有关的文件资料，并保证我方已提供和将要提供的文件资料是真实、准确的。</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6.本次磋商，我方递交的响应文件有效期为磋商文件规定起算之日起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p>
    <w:p>
      <w:pPr>
        <w:pStyle w:val="5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供应商名称：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法定代表人（单位负责人）或授权代表（签字或盖章）：</w:t>
      </w:r>
      <w:r>
        <w:rPr>
          <w:rFonts w:hint="eastAsia" w:ascii="宋体" w:hAnsi="宋体" w:eastAsia="宋体" w:cs="宋体"/>
          <w:color w:val="auto"/>
          <w:highlight w:val="none"/>
          <w:u w:val="single"/>
        </w:rPr>
        <w:t xml:space="preserve">          </w:t>
      </w:r>
    </w:p>
    <w:p>
      <w:pPr>
        <w:adjustRightInd w:val="0"/>
        <w:snapToGrid w:val="0"/>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color w:val="auto"/>
          <w:highlight w:val="none"/>
          <w:u w:val="single"/>
        </w:rPr>
        <w:t xml:space="preserve">           </w:t>
      </w:r>
    </w:p>
    <w:p>
      <w:pPr>
        <w:adjustRightInd w:val="0"/>
        <w:snapToGrid w:val="0"/>
        <w:ind w:firstLine="470" w:firstLineChars="196"/>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pPr>
        <w:adjustRightInd w:val="0"/>
        <w:snapToGrid w:val="0"/>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pPr>
        <w:adjustRightInd w:val="0"/>
        <w:snapToGrid w:val="0"/>
        <w:ind w:firstLine="470" w:firstLineChars="196"/>
        <w:rPr>
          <w:rFonts w:hint="eastAsia" w:ascii="宋体" w:hAnsi="宋体" w:eastAsia="宋体" w:cs="宋体"/>
          <w:color w:val="auto"/>
          <w:highlight w:val="none"/>
          <w:u w:val="singl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pPr>
        <w:adjustRightInd w:val="0"/>
        <w:snapToGrid w:val="0"/>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bidi w:val="0"/>
        <w:rPr>
          <w:rFonts w:hint="eastAsia" w:ascii="宋体" w:hAnsi="宋体" w:eastAsia="宋体" w:cs="宋体"/>
          <w:color w:val="auto"/>
          <w:highlight w:val="none"/>
        </w:rPr>
      </w:pPr>
      <w:bookmarkStart w:id="285" w:name="_Toc17055"/>
      <w:r>
        <w:rPr>
          <w:rFonts w:hint="eastAsia" w:ascii="宋体" w:hAnsi="宋体" w:eastAsia="宋体" w:cs="宋体"/>
          <w:color w:val="auto"/>
          <w:highlight w:val="none"/>
        </w:rPr>
        <w:t>7.2.3报价一览表</w:t>
      </w:r>
    </w:p>
    <w:p>
      <w:pPr>
        <w:adjustRightInd w:val="0"/>
        <w:snapToGrid w:val="0"/>
        <w:ind w:firstLine="0" w:firstLineChars="0"/>
        <w:rPr>
          <w:rFonts w:hint="eastAsia" w:ascii="宋体" w:hAnsi="宋体" w:eastAsia="宋体" w:cs="宋体"/>
          <w:b/>
          <w:bCs/>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bCs/>
          <w:color w:val="auto"/>
          <w:highlight w:val="none"/>
          <w:u w:val="single"/>
        </w:rPr>
        <w:t xml:space="preserve">          </w:t>
      </w:r>
    </w:p>
    <w:p>
      <w:pPr>
        <w:adjustRightInd w:val="0"/>
        <w:snapToGrid w:val="0"/>
        <w:ind w:firstLine="0" w:firstLineChars="0"/>
        <w:rPr>
          <w:rFonts w:hint="eastAsia" w:ascii="宋体" w:hAnsi="宋体" w:eastAsia="宋体" w:cs="宋体"/>
          <w:color w:val="auto"/>
          <w:sz w:val="28"/>
          <w:szCs w:val="28"/>
          <w:highlight w:val="none"/>
        </w:rPr>
      </w:pPr>
      <w:r>
        <w:rPr>
          <w:rFonts w:hint="eastAsia" w:ascii="宋体" w:hAnsi="宋体" w:eastAsia="宋体" w:cs="宋体"/>
          <w:b/>
          <w:color w:val="auto"/>
          <w:highlight w:val="none"/>
        </w:rPr>
        <w:t>项目编号：</w:t>
      </w:r>
      <w:r>
        <w:rPr>
          <w:rFonts w:hint="eastAsia" w:ascii="宋体" w:hAnsi="宋体" w:eastAsia="宋体" w:cs="宋体"/>
          <w:b/>
          <w:color w:val="auto"/>
          <w:highlight w:val="none"/>
          <w:u w:val="single"/>
        </w:rPr>
        <w:t xml:space="preserve">          </w:t>
      </w:r>
    </w:p>
    <w:tbl>
      <w:tblPr>
        <w:tblStyle w:val="3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95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2" w:type="dxa"/>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b/>
                <w:color w:val="auto"/>
                <w:highlight w:val="none"/>
              </w:rPr>
              <w:t>序号</w:t>
            </w:r>
          </w:p>
        </w:tc>
        <w:tc>
          <w:tcPr>
            <w:tcW w:w="3954" w:type="dxa"/>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b/>
                <w:color w:val="auto"/>
                <w:highlight w:val="none"/>
              </w:rPr>
              <w:t>项目名称</w:t>
            </w:r>
          </w:p>
        </w:tc>
        <w:tc>
          <w:tcPr>
            <w:tcW w:w="3543" w:type="dxa"/>
            <w:noWrap w:val="0"/>
            <w:vAlign w:val="center"/>
          </w:tcPr>
          <w:p>
            <w:pPr>
              <w:pStyle w:val="50"/>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b/>
                <w:bCs/>
                <w:color w:val="auto"/>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02" w:type="dxa"/>
            <w:noWrap w:val="0"/>
            <w:vAlign w:val="center"/>
          </w:tcPr>
          <w:p>
            <w:pPr>
              <w:pStyle w:val="50"/>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954" w:type="dxa"/>
            <w:noWrap w:val="0"/>
            <w:vAlign w:val="center"/>
          </w:tcPr>
          <w:p>
            <w:pPr>
              <w:pStyle w:val="50"/>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3543" w:type="dxa"/>
            <w:noWrap w:val="0"/>
            <w:vAlign w:val="center"/>
          </w:tcPr>
          <w:p>
            <w:pPr>
              <w:pStyle w:val="50"/>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756" w:type="dxa"/>
            <w:gridSpan w:val="2"/>
            <w:noWrap w:val="0"/>
            <w:vAlign w:val="center"/>
          </w:tcPr>
          <w:p>
            <w:pPr>
              <w:pStyle w:val="50"/>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b/>
                <w:bCs/>
                <w:color w:val="auto"/>
                <w:highlight w:val="none"/>
              </w:rPr>
              <w:t>报价</w:t>
            </w:r>
          </w:p>
        </w:tc>
        <w:tc>
          <w:tcPr>
            <w:tcW w:w="3543" w:type="dxa"/>
            <w:noWrap w:val="0"/>
            <w:vAlign w:val="center"/>
          </w:tcPr>
          <w:p>
            <w:pPr>
              <w:pStyle w:val="50"/>
              <w:keepNext w:val="0"/>
              <w:keepLines w:val="0"/>
              <w:suppressLineNumbers w:val="0"/>
              <w:spacing w:before="0" w:beforeAutospacing="0" w:after="0" w:afterAutospacing="0"/>
              <w:ind w:left="0" w:right="0" w:firstLine="964" w:firstLineChars="400"/>
              <w:jc w:val="both"/>
              <w:rPr>
                <w:rFonts w:hint="eastAsia" w:ascii="宋体" w:hAnsi="宋体" w:eastAsia="宋体" w:cs="宋体"/>
                <w:color w:val="auto"/>
                <w:highlight w:val="none"/>
              </w:rPr>
            </w:pP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元</w:t>
            </w:r>
          </w:p>
        </w:tc>
      </w:tr>
    </w:tbl>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注:1.报价应与“报价函”中“总报价”一致。</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2.所有报价均用人民币表示，报价保留小数点后两位。</w:t>
      </w:r>
    </w:p>
    <w:p>
      <w:pPr>
        <w:pStyle w:val="2"/>
        <w:ind w:firstLine="0" w:firstLineChars="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日  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pPr>
        <w:pStyle w:val="6"/>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7.2.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报价</w:t>
      </w:r>
      <w:r>
        <w:rPr>
          <w:rFonts w:hint="eastAsia" w:ascii="宋体" w:hAnsi="宋体" w:eastAsia="宋体" w:cs="宋体"/>
          <w:color w:val="auto"/>
          <w:highlight w:val="none"/>
          <w:lang w:eastAsia="zh-CN"/>
        </w:rPr>
        <w:t>明细表</w:t>
      </w:r>
    </w:p>
    <w:p>
      <w:pPr>
        <w:adjustRightInd w:val="0"/>
        <w:snapToGrid w:val="0"/>
        <w:ind w:firstLine="0" w:firstLineChars="0"/>
        <w:rPr>
          <w:rFonts w:hint="eastAsia" w:ascii="宋体" w:hAnsi="宋体" w:eastAsia="宋体" w:cs="宋体"/>
          <w:b/>
          <w:bCs/>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bCs/>
          <w:color w:val="auto"/>
          <w:highlight w:val="none"/>
          <w:u w:val="single"/>
        </w:rPr>
        <w:t xml:space="preserve">          </w:t>
      </w:r>
    </w:p>
    <w:p>
      <w:pPr>
        <w:adjustRightInd w:val="0"/>
        <w:snapToGrid w:val="0"/>
        <w:ind w:firstLine="0" w:firstLineChars="0"/>
        <w:rPr>
          <w:rFonts w:hint="eastAsia" w:ascii="宋体" w:hAnsi="宋体" w:eastAsia="宋体" w:cs="宋体"/>
          <w:color w:val="auto"/>
          <w:sz w:val="28"/>
          <w:szCs w:val="28"/>
          <w:highlight w:val="none"/>
        </w:rPr>
      </w:pPr>
      <w:r>
        <w:rPr>
          <w:rFonts w:hint="eastAsia" w:ascii="宋体" w:hAnsi="宋体" w:eastAsia="宋体" w:cs="宋体"/>
          <w:b/>
          <w:color w:val="auto"/>
          <w:highlight w:val="none"/>
        </w:rPr>
        <w:t>项目编号：</w:t>
      </w:r>
      <w:r>
        <w:rPr>
          <w:rFonts w:hint="eastAsia" w:ascii="宋体" w:hAnsi="宋体" w:eastAsia="宋体" w:cs="宋体"/>
          <w:b/>
          <w:color w:val="auto"/>
          <w:highlight w:val="none"/>
          <w:u w:val="single"/>
        </w:rPr>
        <w:t xml:space="preserve">          </w:t>
      </w:r>
    </w:p>
    <w:tbl>
      <w:tblPr>
        <w:tblStyle w:val="3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436"/>
        <w:gridCol w:w="292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05" w:type="dxa"/>
            <w:vAlign w:val="center"/>
          </w:tcPr>
          <w:p>
            <w:pPr>
              <w:pStyle w:val="5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36" w:type="dxa"/>
            <w:vAlign w:val="center"/>
          </w:tcPr>
          <w:p>
            <w:pPr>
              <w:pStyle w:val="50"/>
              <w:jc w:val="center"/>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2925" w:type="dxa"/>
            <w:vAlign w:val="center"/>
          </w:tcPr>
          <w:p>
            <w:pPr>
              <w:pStyle w:val="50"/>
              <w:jc w:val="center"/>
              <w:rPr>
                <w:rFonts w:hint="eastAsia" w:ascii="宋体" w:hAnsi="宋体" w:eastAsia="宋体" w:cs="宋体"/>
                <w:color w:val="auto"/>
                <w:highlight w:val="none"/>
              </w:rPr>
            </w:pPr>
            <w:r>
              <w:rPr>
                <w:rFonts w:hint="eastAsia" w:ascii="宋体" w:hAnsi="宋体" w:eastAsia="宋体" w:cs="宋体"/>
                <w:color w:val="auto"/>
                <w:highlight w:val="none"/>
              </w:rPr>
              <w:t>分项报价（元）</w:t>
            </w:r>
          </w:p>
        </w:tc>
        <w:tc>
          <w:tcPr>
            <w:tcW w:w="1965" w:type="dxa"/>
            <w:vAlign w:val="center"/>
          </w:tcPr>
          <w:p>
            <w:pPr>
              <w:pStyle w:val="5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05" w:type="dxa"/>
            <w:vAlign w:val="center"/>
          </w:tcPr>
          <w:p>
            <w:pPr>
              <w:pStyle w:val="50"/>
              <w:jc w:val="center"/>
              <w:rPr>
                <w:rFonts w:hint="eastAsia" w:ascii="宋体" w:hAnsi="宋体" w:eastAsia="宋体" w:cs="宋体"/>
                <w:color w:val="auto"/>
                <w:highlight w:val="none"/>
              </w:rPr>
            </w:pPr>
          </w:p>
        </w:tc>
        <w:tc>
          <w:tcPr>
            <w:tcW w:w="2436" w:type="dxa"/>
            <w:vAlign w:val="center"/>
          </w:tcPr>
          <w:p>
            <w:pPr>
              <w:pStyle w:val="50"/>
              <w:jc w:val="center"/>
              <w:rPr>
                <w:rFonts w:hint="eastAsia" w:ascii="宋体" w:hAnsi="宋体" w:eastAsia="宋体" w:cs="宋体"/>
                <w:color w:val="auto"/>
                <w:highlight w:val="none"/>
              </w:rPr>
            </w:pPr>
          </w:p>
        </w:tc>
        <w:tc>
          <w:tcPr>
            <w:tcW w:w="2925" w:type="dxa"/>
            <w:vAlign w:val="center"/>
          </w:tcPr>
          <w:p>
            <w:pPr>
              <w:pStyle w:val="50"/>
              <w:jc w:val="center"/>
              <w:rPr>
                <w:rFonts w:hint="eastAsia" w:ascii="宋体" w:hAnsi="宋体" w:eastAsia="宋体" w:cs="宋体"/>
                <w:color w:val="auto"/>
                <w:highlight w:val="none"/>
              </w:rPr>
            </w:pPr>
          </w:p>
        </w:tc>
        <w:tc>
          <w:tcPr>
            <w:tcW w:w="1965" w:type="dxa"/>
            <w:vAlign w:val="center"/>
          </w:tcPr>
          <w:p>
            <w:pPr>
              <w:pStyle w:val="5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05" w:type="dxa"/>
            <w:vAlign w:val="center"/>
          </w:tcPr>
          <w:p>
            <w:pPr>
              <w:pStyle w:val="50"/>
              <w:jc w:val="center"/>
              <w:rPr>
                <w:rFonts w:hint="eastAsia" w:ascii="宋体" w:hAnsi="宋体" w:eastAsia="宋体" w:cs="宋体"/>
                <w:color w:val="auto"/>
                <w:highlight w:val="none"/>
              </w:rPr>
            </w:pPr>
          </w:p>
        </w:tc>
        <w:tc>
          <w:tcPr>
            <w:tcW w:w="2436" w:type="dxa"/>
            <w:vAlign w:val="center"/>
          </w:tcPr>
          <w:p>
            <w:pPr>
              <w:pStyle w:val="50"/>
              <w:jc w:val="center"/>
              <w:rPr>
                <w:rFonts w:hint="eastAsia" w:ascii="宋体" w:hAnsi="宋体" w:eastAsia="宋体" w:cs="宋体"/>
                <w:color w:val="auto"/>
                <w:highlight w:val="none"/>
              </w:rPr>
            </w:pPr>
          </w:p>
        </w:tc>
        <w:tc>
          <w:tcPr>
            <w:tcW w:w="2925" w:type="dxa"/>
            <w:vAlign w:val="center"/>
          </w:tcPr>
          <w:p>
            <w:pPr>
              <w:pStyle w:val="50"/>
              <w:jc w:val="center"/>
              <w:rPr>
                <w:rFonts w:hint="eastAsia" w:ascii="宋体" w:hAnsi="宋体" w:eastAsia="宋体" w:cs="宋体"/>
                <w:color w:val="auto"/>
                <w:highlight w:val="none"/>
              </w:rPr>
            </w:pPr>
          </w:p>
        </w:tc>
        <w:tc>
          <w:tcPr>
            <w:tcW w:w="1965" w:type="dxa"/>
            <w:vAlign w:val="center"/>
          </w:tcPr>
          <w:p>
            <w:pPr>
              <w:pStyle w:val="5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05" w:type="dxa"/>
            <w:vAlign w:val="center"/>
          </w:tcPr>
          <w:p>
            <w:pPr>
              <w:pStyle w:val="50"/>
              <w:jc w:val="center"/>
              <w:rPr>
                <w:rFonts w:hint="eastAsia" w:ascii="宋体" w:hAnsi="宋体" w:eastAsia="宋体" w:cs="宋体"/>
                <w:color w:val="auto"/>
                <w:highlight w:val="none"/>
              </w:rPr>
            </w:pPr>
          </w:p>
        </w:tc>
        <w:tc>
          <w:tcPr>
            <w:tcW w:w="2436" w:type="dxa"/>
            <w:vAlign w:val="center"/>
          </w:tcPr>
          <w:p>
            <w:pPr>
              <w:pStyle w:val="50"/>
              <w:jc w:val="center"/>
              <w:rPr>
                <w:rFonts w:hint="eastAsia" w:ascii="宋体" w:hAnsi="宋体" w:eastAsia="宋体" w:cs="宋体"/>
                <w:color w:val="auto"/>
                <w:highlight w:val="none"/>
              </w:rPr>
            </w:pPr>
          </w:p>
        </w:tc>
        <w:tc>
          <w:tcPr>
            <w:tcW w:w="2925" w:type="dxa"/>
            <w:vAlign w:val="center"/>
          </w:tcPr>
          <w:p>
            <w:pPr>
              <w:pStyle w:val="50"/>
              <w:jc w:val="center"/>
              <w:rPr>
                <w:rFonts w:hint="eastAsia" w:ascii="宋体" w:hAnsi="宋体" w:eastAsia="宋体" w:cs="宋体"/>
                <w:color w:val="auto"/>
                <w:highlight w:val="none"/>
              </w:rPr>
            </w:pPr>
          </w:p>
        </w:tc>
        <w:tc>
          <w:tcPr>
            <w:tcW w:w="1965" w:type="dxa"/>
            <w:vAlign w:val="center"/>
          </w:tcPr>
          <w:p>
            <w:pPr>
              <w:pStyle w:val="5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441" w:type="dxa"/>
            <w:gridSpan w:val="2"/>
            <w:vAlign w:val="center"/>
          </w:tcPr>
          <w:p>
            <w:pPr>
              <w:pStyle w:val="50"/>
              <w:jc w:val="center"/>
              <w:rPr>
                <w:rFonts w:hint="eastAsia" w:ascii="宋体" w:hAnsi="宋体" w:eastAsia="宋体" w:cs="宋体"/>
                <w:color w:val="auto"/>
                <w:highlight w:val="none"/>
              </w:rPr>
            </w:pPr>
            <w:r>
              <w:rPr>
                <w:rFonts w:hint="eastAsia" w:ascii="宋体" w:hAnsi="宋体" w:eastAsia="宋体" w:cs="宋体"/>
                <w:b/>
                <w:bCs/>
                <w:color w:val="auto"/>
                <w:highlight w:val="none"/>
              </w:rPr>
              <w:t>总报价（分项报价合计）</w:t>
            </w:r>
          </w:p>
        </w:tc>
        <w:tc>
          <w:tcPr>
            <w:tcW w:w="4890" w:type="dxa"/>
            <w:gridSpan w:val="2"/>
            <w:vAlign w:val="center"/>
          </w:tcPr>
          <w:p>
            <w:pPr>
              <w:pStyle w:val="5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小写：</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元</w:t>
            </w:r>
          </w:p>
          <w:p>
            <w:pPr>
              <w:pStyle w:val="50"/>
              <w:jc w:val="center"/>
              <w:rPr>
                <w:rFonts w:hint="eastAsia" w:ascii="宋体" w:hAnsi="宋体" w:eastAsia="宋体" w:cs="宋体"/>
                <w:b/>
                <w:bCs/>
                <w:color w:val="auto"/>
                <w:highlight w:val="none"/>
              </w:rPr>
            </w:pPr>
          </w:p>
          <w:p>
            <w:pPr>
              <w:pStyle w:val="50"/>
              <w:ind w:firstLine="1205" w:firstLineChars="500"/>
              <w:jc w:val="left"/>
              <w:rPr>
                <w:rFonts w:hint="eastAsia" w:ascii="宋体" w:hAnsi="宋体" w:eastAsia="宋体" w:cs="宋体"/>
                <w:color w:val="auto"/>
                <w:highlight w:val="none"/>
              </w:rPr>
            </w:pPr>
            <w:r>
              <w:rPr>
                <w:rFonts w:hint="eastAsia" w:ascii="宋体" w:hAnsi="宋体" w:eastAsia="宋体" w:cs="宋体"/>
                <w:b/>
                <w:bCs/>
                <w:color w:val="auto"/>
                <w:highlight w:val="none"/>
              </w:rPr>
              <w:t>大写：</w:t>
            </w:r>
          </w:p>
        </w:tc>
      </w:tr>
    </w:tbl>
    <w:p>
      <w:pPr>
        <w:ind w:firstLine="0" w:firstLineChars="0"/>
        <w:rPr>
          <w:rFonts w:hint="eastAsia" w:ascii="宋体" w:hAnsi="宋体" w:eastAsia="宋体" w:cs="宋体"/>
          <w:color w:val="auto"/>
          <w:sz w:val="21"/>
          <w:szCs w:val="21"/>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1.供应商应详细报出服务内容清单中每项内容的报价。</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2.“报价明细表”各分项报价合计应当与“报价一览表”报价合计相等。</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3.所有报价均用人民币表示，报价保留小数点后两位。</w:t>
      </w:r>
    </w:p>
    <w:p>
      <w:pPr>
        <w:pStyle w:val="13"/>
        <w:ind w:left="0" w:leftChars="0" w:firstLine="0" w:firstLineChars="0"/>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rPr>
        <w:t>日  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供应商基本情况表</w:t>
      </w:r>
      <w:bookmarkEnd w:id="285"/>
    </w:p>
    <w:p>
      <w:pPr>
        <w:adjustRightInd w:val="0"/>
        <w:snapToGrid w:val="0"/>
        <w:ind w:firstLine="0" w:firstLineChars="0"/>
        <w:rPr>
          <w:rFonts w:hint="eastAsia" w:ascii="宋体" w:hAnsi="宋体" w:eastAsia="宋体" w:cs="宋体"/>
          <w:b/>
          <w:bCs/>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bCs/>
          <w:color w:val="auto"/>
          <w:highlight w:val="none"/>
          <w:u w:val="single"/>
        </w:rPr>
        <w:t xml:space="preserve">        </w:t>
      </w:r>
    </w:p>
    <w:p>
      <w:pPr>
        <w:adjustRightInd w:val="0"/>
        <w:snapToGrid w:val="0"/>
        <w:ind w:firstLine="0" w:firstLineChars="0"/>
        <w:rPr>
          <w:rFonts w:hint="eastAsia" w:ascii="宋体" w:hAnsi="宋体" w:eastAsia="宋体" w:cs="宋体"/>
          <w:bCs/>
          <w:color w:val="auto"/>
          <w:kern w:val="2"/>
          <w:highlight w:val="none"/>
        </w:rPr>
      </w:pPr>
      <w:r>
        <w:rPr>
          <w:rFonts w:hint="eastAsia" w:ascii="宋体" w:hAnsi="宋体" w:eastAsia="宋体" w:cs="宋体"/>
          <w:b/>
          <w:color w:val="auto"/>
          <w:highlight w:val="none"/>
        </w:rPr>
        <w:t>项目编号：</w:t>
      </w:r>
      <w:r>
        <w:rPr>
          <w:rFonts w:hint="eastAsia" w:ascii="宋体" w:hAnsi="宋体" w:eastAsia="宋体" w:cs="宋体"/>
          <w:b/>
          <w:color w:val="auto"/>
          <w:highlight w:val="none"/>
          <w:u w:val="single"/>
        </w:rPr>
        <w:t xml:space="preserve">        </w:t>
      </w:r>
    </w:p>
    <w:tbl>
      <w:tblPr>
        <w:tblStyle w:val="32"/>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41"/>
        <w:gridCol w:w="994"/>
        <w:gridCol w:w="1260"/>
        <w:gridCol w:w="420"/>
        <w:gridCol w:w="480"/>
        <w:gridCol w:w="360"/>
        <w:gridCol w:w="840"/>
        <w:gridCol w:w="60"/>
        <w:gridCol w:w="36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供应商名称</w:t>
            </w:r>
          </w:p>
        </w:tc>
        <w:tc>
          <w:tcPr>
            <w:tcW w:w="6928" w:type="dxa"/>
            <w:gridSpan w:val="10"/>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注册地址</w:t>
            </w:r>
          </w:p>
        </w:tc>
        <w:tc>
          <w:tcPr>
            <w:tcW w:w="4295" w:type="dxa"/>
            <w:gridSpan w:val="5"/>
            <w:vAlign w:val="center"/>
          </w:tcPr>
          <w:p>
            <w:pPr>
              <w:adjustRightInd w:val="0"/>
              <w:snapToGrid w:val="0"/>
              <w:ind w:firstLine="480"/>
              <w:jc w:val="center"/>
              <w:rPr>
                <w:rFonts w:hint="eastAsia" w:ascii="宋体" w:hAnsi="宋体" w:eastAsia="宋体" w:cs="宋体"/>
                <w:bCs/>
                <w:color w:val="auto"/>
                <w:highlight w:val="none"/>
              </w:rPr>
            </w:pPr>
          </w:p>
        </w:tc>
        <w:tc>
          <w:tcPr>
            <w:tcW w:w="126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邮政编码</w:t>
            </w:r>
          </w:p>
        </w:tc>
        <w:tc>
          <w:tcPr>
            <w:tcW w:w="1373" w:type="dxa"/>
            <w:gridSpan w:val="2"/>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0" w:type="dxa"/>
            <w:vMerge w:val="restart"/>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联系方式</w:t>
            </w:r>
          </w:p>
        </w:tc>
        <w:tc>
          <w:tcPr>
            <w:tcW w:w="1141"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联系人</w:t>
            </w:r>
          </w:p>
        </w:tc>
        <w:tc>
          <w:tcPr>
            <w:tcW w:w="3154" w:type="dxa"/>
            <w:gridSpan w:val="4"/>
            <w:vAlign w:val="center"/>
          </w:tcPr>
          <w:p>
            <w:pPr>
              <w:adjustRightInd w:val="0"/>
              <w:snapToGrid w:val="0"/>
              <w:ind w:firstLine="480"/>
              <w:jc w:val="center"/>
              <w:rPr>
                <w:rFonts w:hint="eastAsia" w:ascii="宋体" w:hAnsi="宋体" w:eastAsia="宋体" w:cs="宋体"/>
                <w:bCs/>
                <w:color w:val="auto"/>
                <w:highlight w:val="none"/>
              </w:rPr>
            </w:pPr>
          </w:p>
        </w:tc>
        <w:tc>
          <w:tcPr>
            <w:tcW w:w="126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联系电话</w:t>
            </w:r>
          </w:p>
        </w:tc>
        <w:tc>
          <w:tcPr>
            <w:tcW w:w="1373" w:type="dxa"/>
            <w:gridSpan w:val="2"/>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60" w:type="dxa"/>
            <w:vMerge w:val="continue"/>
            <w:vAlign w:val="center"/>
          </w:tcPr>
          <w:p>
            <w:pPr>
              <w:adjustRightInd w:val="0"/>
              <w:snapToGrid w:val="0"/>
              <w:ind w:firstLine="480"/>
              <w:jc w:val="center"/>
              <w:rPr>
                <w:rFonts w:hint="eastAsia" w:ascii="宋体" w:hAnsi="宋体" w:eastAsia="宋体" w:cs="宋体"/>
                <w:bCs/>
                <w:color w:val="auto"/>
                <w:highlight w:val="none"/>
              </w:rPr>
            </w:pPr>
          </w:p>
        </w:tc>
        <w:tc>
          <w:tcPr>
            <w:tcW w:w="1141"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传真</w:t>
            </w:r>
          </w:p>
        </w:tc>
        <w:tc>
          <w:tcPr>
            <w:tcW w:w="3154" w:type="dxa"/>
            <w:gridSpan w:val="4"/>
            <w:vAlign w:val="center"/>
          </w:tcPr>
          <w:p>
            <w:pPr>
              <w:adjustRightInd w:val="0"/>
              <w:snapToGrid w:val="0"/>
              <w:ind w:firstLine="480"/>
              <w:jc w:val="center"/>
              <w:rPr>
                <w:rFonts w:hint="eastAsia" w:ascii="宋体" w:hAnsi="宋体" w:eastAsia="宋体" w:cs="宋体"/>
                <w:bCs/>
                <w:color w:val="auto"/>
                <w:highlight w:val="none"/>
              </w:rPr>
            </w:pPr>
          </w:p>
        </w:tc>
        <w:tc>
          <w:tcPr>
            <w:tcW w:w="126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网址</w:t>
            </w:r>
          </w:p>
        </w:tc>
        <w:tc>
          <w:tcPr>
            <w:tcW w:w="1373" w:type="dxa"/>
            <w:gridSpan w:val="2"/>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组织结构</w:t>
            </w:r>
          </w:p>
        </w:tc>
        <w:tc>
          <w:tcPr>
            <w:tcW w:w="6928" w:type="dxa"/>
            <w:gridSpan w:val="10"/>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p>
        </w:tc>
        <w:tc>
          <w:tcPr>
            <w:tcW w:w="1141"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姓名</w:t>
            </w:r>
          </w:p>
        </w:tc>
        <w:tc>
          <w:tcPr>
            <w:tcW w:w="994" w:type="dxa"/>
            <w:vAlign w:val="center"/>
          </w:tcPr>
          <w:p>
            <w:pPr>
              <w:adjustRightInd w:val="0"/>
              <w:snapToGrid w:val="0"/>
              <w:ind w:firstLine="480"/>
              <w:jc w:val="center"/>
              <w:rPr>
                <w:rFonts w:hint="eastAsia" w:ascii="宋体" w:hAnsi="宋体" w:eastAsia="宋体" w:cs="宋体"/>
                <w:bCs/>
                <w:color w:val="auto"/>
                <w:highlight w:val="none"/>
              </w:rPr>
            </w:pPr>
          </w:p>
        </w:tc>
        <w:tc>
          <w:tcPr>
            <w:tcW w:w="12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技术职称</w:t>
            </w:r>
          </w:p>
        </w:tc>
        <w:tc>
          <w:tcPr>
            <w:tcW w:w="1260" w:type="dxa"/>
            <w:gridSpan w:val="3"/>
            <w:vAlign w:val="center"/>
          </w:tcPr>
          <w:p>
            <w:pPr>
              <w:adjustRightInd w:val="0"/>
              <w:snapToGrid w:val="0"/>
              <w:ind w:firstLine="480"/>
              <w:jc w:val="center"/>
              <w:rPr>
                <w:rFonts w:hint="eastAsia" w:ascii="宋体" w:hAnsi="宋体" w:eastAsia="宋体" w:cs="宋体"/>
                <w:bCs/>
                <w:color w:val="auto"/>
                <w:highlight w:val="none"/>
              </w:rPr>
            </w:pPr>
          </w:p>
        </w:tc>
        <w:tc>
          <w:tcPr>
            <w:tcW w:w="126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联系电话</w:t>
            </w:r>
          </w:p>
        </w:tc>
        <w:tc>
          <w:tcPr>
            <w:tcW w:w="1013" w:type="dxa"/>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技术负责人</w:t>
            </w:r>
          </w:p>
        </w:tc>
        <w:tc>
          <w:tcPr>
            <w:tcW w:w="1141"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姓名</w:t>
            </w:r>
          </w:p>
        </w:tc>
        <w:tc>
          <w:tcPr>
            <w:tcW w:w="994" w:type="dxa"/>
            <w:vAlign w:val="center"/>
          </w:tcPr>
          <w:p>
            <w:pPr>
              <w:adjustRightInd w:val="0"/>
              <w:snapToGrid w:val="0"/>
              <w:ind w:firstLine="480"/>
              <w:jc w:val="center"/>
              <w:rPr>
                <w:rFonts w:hint="eastAsia" w:ascii="宋体" w:hAnsi="宋体" w:eastAsia="宋体" w:cs="宋体"/>
                <w:bCs/>
                <w:color w:val="auto"/>
                <w:highlight w:val="none"/>
              </w:rPr>
            </w:pPr>
          </w:p>
        </w:tc>
        <w:tc>
          <w:tcPr>
            <w:tcW w:w="12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技术职称</w:t>
            </w:r>
          </w:p>
        </w:tc>
        <w:tc>
          <w:tcPr>
            <w:tcW w:w="1260" w:type="dxa"/>
            <w:gridSpan w:val="3"/>
            <w:vAlign w:val="center"/>
          </w:tcPr>
          <w:p>
            <w:pPr>
              <w:adjustRightInd w:val="0"/>
              <w:snapToGrid w:val="0"/>
              <w:ind w:firstLine="480"/>
              <w:jc w:val="center"/>
              <w:rPr>
                <w:rFonts w:hint="eastAsia" w:ascii="宋体" w:hAnsi="宋体" w:eastAsia="宋体" w:cs="宋体"/>
                <w:bCs/>
                <w:color w:val="auto"/>
                <w:highlight w:val="none"/>
              </w:rPr>
            </w:pPr>
          </w:p>
        </w:tc>
        <w:tc>
          <w:tcPr>
            <w:tcW w:w="126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联系电话</w:t>
            </w:r>
          </w:p>
        </w:tc>
        <w:tc>
          <w:tcPr>
            <w:tcW w:w="1013" w:type="dxa"/>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成立时间</w:t>
            </w:r>
          </w:p>
        </w:tc>
        <w:tc>
          <w:tcPr>
            <w:tcW w:w="2135" w:type="dxa"/>
            <w:gridSpan w:val="2"/>
            <w:vAlign w:val="center"/>
          </w:tcPr>
          <w:p>
            <w:pPr>
              <w:adjustRightInd w:val="0"/>
              <w:snapToGrid w:val="0"/>
              <w:ind w:firstLine="480"/>
              <w:jc w:val="center"/>
              <w:rPr>
                <w:rFonts w:hint="eastAsia" w:ascii="宋体" w:hAnsi="宋体" w:eastAsia="宋体" w:cs="宋体"/>
                <w:bCs/>
                <w:color w:val="auto"/>
                <w:highlight w:val="none"/>
              </w:rPr>
            </w:pPr>
          </w:p>
        </w:tc>
        <w:tc>
          <w:tcPr>
            <w:tcW w:w="4793" w:type="dxa"/>
            <w:gridSpan w:val="8"/>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企业资质</w:t>
            </w:r>
          </w:p>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等级</w:t>
            </w:r>
          </w:p>
        </w:tc>
        <w:tc>
          <w:tcPr>
            <w:tcW w:w="2135" w:type="dxa"/>
            <w:gridSpan w:val="2"/>
            <w:vAlign w:val="center"/>
          </w:tcPr>
          <w:p>
            <w:pPr>
              <w:adjustRightInd w:val="0"/>
              <w:snapToGrid w:val="0"/>
              <w:ind w:firstLine="480"/>
              <w:jc w:val="center"/>
              <w:rPr>
                <w:rFonts w:hint="eastAsia" w:ascii="宋体" w:hAnsi="宋体" w:eastAsia="宋体" w:cs="宋体"/>
                <w:bCs/>
                <w:color w:val="auto"/>
                <w:highlight w:val="none"/>
              </w:rPr>
            </w:pPr>
          </w:p>
        </w:tc>
        <w:tc>
          <w:tcPr>
            <w:tcW w:w="1680" w:type="dxa"/>
            <w:gridSpan w:val="2"/>
            <w:vMerge w:val="restart"/>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其中</w:t>
            </w:r>
          </w:p>
        </w:tc>
        <w:tc>
          <w:tcPr>
            <w:tcW w:w="168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项目经理</w:t>
            </w:r>
          </w:p>
        </w:tc>
        <w:tc>
          <w:tcPr>
            <w:tcW w:w="1433" w:type="dxa"/>
            <w:gridSpan w:val="3"/>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营业执照</w:t>
            </w:r>
            <w:r>
              <w:rPr>
                <w:rFonts w:hint="eastAsia" w:ascii="宋体" w:hAnsi="宋体" w:eastAsia="宋体" w:cs="宋体"/>
                <w:color w:val="auto"/>
                <w:highlight w:val="none"/>
              </w:rPr>
              <w:t>号</w:t>
            </w:r>
          </w:p>
        </w:tc>
        <w:tc>
          <w:tcPr>
            <w:tcW w:w="2135" w:type="dxa"/>
            <w:gridSpan w:val="2"/>
            <w:vAlign w:val="center"/>
          </w:tcPr>
          <w:p>
            <w:pPr>
              <w:adjustRightInd w:val="0"/>
              <w:snapToGrid w:val="0"/>
              <w:ind w:firstLine="480"/>
              <w:jc w:val="center"/>
              <w:rPr>
                <w:rFonts w:hint="eastAsia" w:ascii="宋体" w:hAnsi="宋体" w:eastAsia="宋体" w:cs="宋体"/>
                <w:bCs/>
                <w:color w:val="auto"/>
                <w:highlight w:val="none"/>
              </w:rPr>
            </w:pPr>
          </w:p>
        </w:tc>
        <w:tc>
          <w:tcPr>
            <w:tcW w:w="1680" w:type="dxa"/>
            <w:gridSpan w:val="2"/>
            <w:vMerge w:val="continue"/>
            <w:vAlign w:val="center"/>
          </w:tcPr>
          <w:p>
            <w:pPr>
              <w:adjustRightInd w:val="0"/>
              <w:snapToGrid w:val="0"/>
              <w:ind w:firstLine="480"/>
              <w:jc w:val="center"/>
              <w:rPr>
                <w:rFonts w:hint="eastAsia" w:ascii="宋体" w:hAnsi="宋体" w:eastAsia="宋体" w:cs="宋体"/>
                <w:bCs/>
                <w:color w:val="auto"/>
                <w:highlight w:val="none"/>
              </w:rPr>
            </w:pPr>
          </w:p>
        </w:tc>
        <w:tc>
          <w:tcPr>
            <w:tcW w:w="168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高级职称人员</w:t>
            </w:r>
          </w:p>
        </w:tc>
        <w:tc>
          <w:tcPr>
            <w:tcW w:w="1433" w:type="dxa"/>
            <w:gridSpan w:val="3"/>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注册资金</w:t>
            </w:r>
          </w:p>
        </w:tc>
        <w:tc>
          <w:tcPr>
            <w:tcW w:w="2135" w:type="dxa"/>
            <w:gridSpan w:val="2"/>
            <w:vAlign w:val="center"/>
          </w:tcPr>
          <w:p>
            <w:pPr>
              <w:adjustRightInd w:val="0"/>
              <w:snapToGrid w:val="0"/>
              <w:ind w:firstLine="480"/>
              <w:jc w:val="center"/>
              <w:rPr>
                <w:rFonts w:hint="eastAsia" w:ascii="宋体" w:hAnsi="宋体" w:eastAsia="宋体" w:cs="宋体"/>
                <w:bCs/>
                <w:color w:val="auto"/>
                <w:highlight w:val="none"/>
              </w:rPr>
            </w:pPr>
          </w:p>
        </w:tc>
        <w:tc>
          <w:tcPr>
            <w:tcW w:w="1680" w:type="dxa"/>
            <w:gridSpan w:val="2"/>
            <w:vMerge w:val="continue"/>
            <w:vAlign w:val="center"/>
          </w:tcPr>
          <w:p>
            <w:pPr>
              <w:adjustRightInd w:val="0"/>
              <w:snapToGrid w:val="0"/>
              <w:ind w:firstLine="480"/>
              <w:jc w:val="center"/>
              <w:rPr>
                <w:rFonts w:hint="eastAsia" w:ascii="宋体" w:hAnsi="宋体" w:eastAsia="宋体" w:cs="宋体"/>
                <w:bCs/>
                <w:color w:val="auto"/>
                <w:highlight w:val="none"/>
              </w:rPr>
            </w:pPr>
          </w:p>
        </w:tc>
        <w:tc>
          <w:tcPr>
            <w:tcW w:w="168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中级职称人员</w:t>
            </w:r>
          </w:p>
        </w:tc>
        <w:tc>
          <w:tcPr>
            <w:tcW w:w="1433" w:type="dxa"/>
            <w:gridSpan w:val="3"/>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开户银行</w:t>
            </w:r>
          </w:p>
        </w:tc>
        <w:tc>
          <w:tcPr>
            <w:tcW w:w="2135" w:type="dxa"/>
            <w:gridSpan w:val="2"/>
            <w:vAlign w:val="center"/>
          </w:tcPr>
          <w:p>
            <w:pPr>
              <w:adjustRightInd w:val="0"/>
              <w:snapToGrid w:val="0"/>
              <w:ind w:firstLine="480"/>
              <w:jc w:val="center"/>
              <w:rPr>
                <w:rFonts w:hint="eastAsia" w:ascii="宋体" w:hAnsi="宋体" w:eastAsia="宋体" w:cs="宋体"/>
                <w:bCs/>
                <w:color w:val="auto"/>
                <w:highlight w:val="none"/>
              </w:rPr>
            </w:pPr>
          </w:p>
        </w:tc>
        <w:tc>
          <w:tcPr>
            <w:tcW w:w="1680" w:type="dxa"/>
            <w:gridSpan w:val="2"/>
            <w:vMerge w:val="continue"/>
            <w:vAlign w:val="center"/>
          </w:tcPr>
          <w:p>
            <w:pPr>
              <w:adjustRightInd w:val="0"/>
              <w:snapToGrid w:val="0"/>
              <w:ind w:firstLine="480"/>
              <w:jc w:val="center"/>
              <w:rPr>
                <w:rFonts w:hint="eastAsia" w:ascii="宋体" w:hAnsi="宋体" w:eastAsia="宋体" w:cs="宋体"/>
                <w:bCs/>
                <w:color w:val="auto"/>
                <w:highlight w:val="none"/>
              </w:rPr>
            </w:pPr>
          </w:p>
        </w:tc>
        <w:tc>
          <w:tcPr>
            <w:tcW w:w="168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初级职称人员</w:t>
            </w:r>
          </w:p>
        </w:tc>
        <w:tc>
          <w:tcPr>
            <w:tcW w:w="1433" w:type="dxa"/>
            <w:gridSpan w:val="3"/>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账号</w:t>
            </w:r>
          </w:p>
        </w:tc>
        <w:tc>
          <w:tcPr>
            <w:tcW w:w="2135" w:type="dxa"/>
            <w:gridSpan w:val="2"/>
            <w:vAlign w:val="center"/>
          </w:tcPr>
          <w:p>
            <w:pPr>
              <w:adjustRightInd w:val="0"/>
              <w:snapToGrid w:val="0"/>
              <w:ind w:firstLine="480"/>
              <w:jc w:val="center"/>
              <w:rPr>
                <w:rFonts w:hint="eastAsia" w:ascii="宋体" w:hAnsi="宋体" w:eastAsia="宋体" w:cs="宋体"/>
                <w:bCs/>
                <w:color w:val="auto"/>
                <w:highlight w:val="none"/>
              </w:rPr>
            </w:pPr>
          </w:p>
        </w:tc>
        <w:tc>
          <w:tcPr>
            <w:tcW w:w="1680" w:type="dxa"/>
            <w:gridSpan w:val="2"/>
            <w:vMerge w:val="continue"/>
            <w:vAlign w:val="center"/>
          </w:tcPr>
          <w:p>
            <w:pPr>
              <w:adjustRightInd w:val="0"/>
              <w:snapToGrid w:val="0"/>
              <w:ind w:firstLine="480"/>
              <w:jc w:val="center"/>
              <w:rPr>
                <w:rFonts w:hint="eastAsia" w:ascii="宋体" w:hAnsi="宋体" w:eastAsia="宋体" w:cs="宋体"/>
                <w:bCs/>
                <w:color w:val="auto"/>
                <w:highlight w:val="none"/>
              </w:rPr>
            </w:pPr>
          </w:p>
        </w:tc>
        <w:tc>
          <w:tcPr>
            <w:tcW w:w="1680" w:type="dxa"/>
            <w:gridSpan w:val="3"/>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技工</w:t>
            </w:r>
          </w:p>
        </w:tc>
        <w:tc>
          <w:tcPr>
            <w:tcW w:w="1433" w:type="dxa"/>
            <w:gridSpan w:val="3"/>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经营范围</w:t>
            </w:r>
          </w:p>
        </w:tc>
        <w:tc>
          <w:tcPr>
            <w:tcW w:w="6928" w:type="dxa"/>
            <w:gridSpan w:val="10"/>
            <w:vAlign w:val="center"/>
          </w:tcPr>
          <w:p>
            <w:pPr>
              <w:adjustRightInd w:val="0"/>
              <w:snapToGrid w:val="0"/>
              <w:ind w:firstLine="480"/>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60" w:type="dxa"/>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备注</w:t>
            </w:r>
          </w:p>
        </w:tc>
        <w:tc>
          <w:tcPr>
            <w:tcW w:w="6928" w:type="dxa"/>
            <w:gridSpan w:val="10"/>
            <w:vAlign w:val="center"/>
          </w:tcPr>
          <w:p>
            <w:pPr>
              <w:adjustRightInd w:val="0"/>
              <w:snapToGrid w:val="0"/>
              <w:ind w:firstLine="480"/>
              <w:jc w:val="center"/>
              <w:rPr>
                <w:rFonts w:hint="eastAsia" w:ascii="宋体" w:hAnsi="宋体" w:eastAsia="宋体" w:cs="宋体"/>
                <w:bCs/>
                <w:color w:val="auto"/>
                <w:highlight w:val="none"/>
              </w:rPr>
            </w:pPr>
          </w:p>
        </w:tc>
      </w:tr>
    </w:tbl>
    <w:p>
      <w:pPr>
        <w:adjustRightInd w:val="0"/>
        <w:snapToGrid w:val="0"/>
        <w:ind w:firstLine="480"/>
        <w:rPr>
          <w:rFonts w:hint="eastAsia" w:ascii="宋体" w:hAnsi="宋体" w:eastAsia="宋体" w:cs="宋体"/>
          <w:bCs/>
          <w:color w:val="auto"/>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日  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bookmarkStart w:id="286" w:name="_Toc5477"/>
    </w:p>
    <w:p>
      <w:pPr>
        <w:ind w:firstLine="480"/>
        <w:rPr>
          <w:rFonts w:hint="eastAsia" w:ascii="宋体" w:hAnsi="宋体" w:eastAsia="宋体" w:cs="宋体"/>
          <w:bCs/>
          <w:color w:val="auto"/>
          <w:highlight w:val="none"/>
        </w:rPr>
      </w:pPr>
      <w:r>
        <w:rPr>
          <w:rFonts w:hint="eastAsia" w:ascii="宋体" w:hAnsi="宋体" w:eastAsia="宋体" w:cs="宋体"/>
          <w:bCs/>
          <w:color w:val="auto"/>
          <w:highlight w:val="none"/>
        </w:rPr>
        <w:br w:type="page"/>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承诺函</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四川天力招标有限责任公司</w:t>
      </w:r>
      <w:r>
        <w:rPr>
          <w:rFonts w:hint="eastAsia" w:ascii="宋体" w:hAnsi="宋体" w:eastAsia="宋体" w:cs="宋体"/>
          <w:b/>
          <w:bCs/>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我公司作为本次采购项目的供应商，根据磋商文件要求，现郑重承诺如下：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完全接受和满足本项目磋商文件中规定的实质性要求（如合格的供应商、充分、公平竞争保障措施、磋商保证金、响应文件有效期、知识产权、磋商文件的构成、响应文件的组成、响应文件的语言、计量单位、报价货币、合同分包、合同转包等实质性要求），如对磋商文件有异议，已经在递交响应文件截止时间届满前依法进行维权救济，不存在对磋商文件有异议的同时又参加磋商以求侥幸成交或者为实现其他非法目的的行为。</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二、与我单位负责人为同一人或者存在直接控股、管理关系的相关供应商： </w:t>
      </w:r>
      <w:r>
        <w:rPr>
          <w:rFonts w:hint="eastAsia" w:ascii="宋体" w:hAnsi="宋体" w:eastAsia="宋体" w:cs="宋体"/>
          <w:b/>
          <w:bCs/>
          <w:color w:val="auto"/>
          <w:highlight w:val="none"/>
          <w:u w:val="single"/>
        </w:rPr>
        <w:t>（说明：填写“无”或“（一）供应商名称1；（二）供应商名称2；（三）……”）</w:t>
      </w:r>
      <w:r>
        <w:rPr>
          <w:rFonts w:hint="eastAsia" w:ascii="宋体" w:hAnsi="宋体" w:eastAsia="宋体" w:cs="宋体"/>
          <w:b/>
          <w:bCs/>
          <w:color w:val="auto"/>
          <w:highlight w:val="none"/>
        </w:rPr>
        <w:t>。（注：单位负责人为同一人或者存在直接控股、管理关系的不同供应商不得参加同一合同项下的政府采购活动。）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三、在参加本次采购活动中，不存在和其他供应商在同一合同项下的采购项目中，同时委托同一个自然人、同一家庭的人员、同一单位的人员作为代理人的行为。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我单位保证在本项目中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采购项目实施过程中采用自有或者第三方知识成果的，使用该知识成果后，我单位承诺提供开发接口和开发手册等技术文档，并提供无限期支持，采购人享有使用权（含采购人委托第三方在该项目后续开发的使用权）。如我单位在采购项目实施过程中采用非自有的知识产权，则在报价中已包括合法获取该知识产权的相关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五、响应文件中提供的任何资料和技术、服务、商务等响应承诺情况都是真实的、有效的、合法的。</w:t>
      </w:r>
    </w:p>
    <w:p>
      <w:pPr>
        <w:bidi w:val="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六、如果我方成交，成交后同意按磋商文件要求支付本项目代理服务费。</w:t>
      </w:r>
    </w:p>
    <w:p>
      <w:pPr>
        <w:pStyle w:val="5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本公司对上述承诺的内容事项真实性负责。如经查实上述承诺的内容事项存在虚假，我公司愿意接受以提供虚假材料谋取成交的法律责任。</w:t>
      </w:r>
    </w:p>
    <w:p>
      <w:pPr>
        <w:pStyle w:val="50"/>
        <w:rPr>
          <w:rFonts w:hint="eastAsia" w:ascii="宋体" w:hAnsi="宋体" w:eastAsia="宋体" w:cs="宋体"/>
          <w:color w:val="auto"/>
          <w:highlight w:val="none"/>
        </w:rPr>
      </w:pPr>
    </w:p>
    <w:p>
      <w:pPr>
        <w:pStyle w:val="50"/>
        <w:spacing w:line="500" w:lineRule="exact"/>
        <w:rPr>
          <w:rFonts w:hint="eastAsia" w:ascii="宋体" w:hAnsi="宋体" w:eastAsia="宋体" w:cs="宋体"/>
          <w:color w:val="auto"/>
          <w:szCs w:val="24"/>
          <w:highlight w:val="none"/>
        </w:rPr>
      </w:pPr>
    </w:p>
    <w:p>
      <w:pPr>
        <w:adjustRightInd w:val="0"/>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spacing w:line="500" w:lineRule="exact"/>
        <w:ind w:firstLine="480"/>
        <w:rPr>
          <w:rFonts w:hint="eastAsia" w:ascii="宋体" w:hAnsi="宋体" w:eastAsia="宋体" w:cs="宋体"/>
          <w:bCs/>
          <w:color w:val="auto"/>
          <w:highlight w:val="none"/>
          <w:u w:val="single"/>
        </w:rPr>
      </w:pPr>
      <w:r>
        <w:rPr>
          <w:rFonts w:hint="eastAsia" w:ascii="宋体" w:hAnsi="宋体" w:eastAsia="宋体" w:cs="宋体"/>
          <w:bCs/>
          <w:color w:val="auto"/>
          <w:highlight w:val="none"/>
        </w:rPr>
        <w:t>法定代表人（单位负责人）或授权代表（签字或盖章）：</w:t>
      </w:r>
      <w:r>
        <w:rPr>
          <w:rFonts w:hint="eastAsia" w:ascii="宋体" w:hAnsi="宋体" w:eastAsia="宋体" w:cs="宋体"/>
          <w:bCs/>
          <w:color w:val="auto"/>
          <w:highlight w:val="none"/>
          <w:u w:val="single"/>
        </w:rPr>
        <w:t xml:space="preserve">            </w:t>
      </w:r>
    </w:p>
    <w:p>
      <w:pPr>
        <w:adjustRightInd w:val="0"/>
        <w:snapToGrid w:val="0"/>
        <w:spacing w:line="5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日  期</w:t>
      </w:r>
      <w:r>
        <w:rPr>
          <w:rFonts w:hint="eastAsia" w:ascii="宋体" w:hAnsi="宋体" w:eastAsia="宋体" w:cs="宋体"/>
          <w:color w:val="auto"/>
          <w:highlight w:val="none"/>
        </w:rPr>
        <w:t>：</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7.2.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技术、服务要求应答表</w:t>
      </w:r>
    </w:p>
    <w:p>
      <w:pPr>
        <w:adjustRightInd w:val="0"/>
        <w:snapToGrid w:val="0"/>
        <w:ind w:firstLine="0" w:firstLineChars="0"/>
        <w:rPr>
          <w:rFonts w:hint="eastAsia" w:ascii="宋体" w:hAnsi="宋体" w:eastAsia="宋体" w:cs="宋体"/>
          <w:b/>
          <w:bCs/>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color w:val="auto"/>
          <w:highlight w:val="none"/>
          <w:u w:val="single"/>
        </w:rPr>
        <w:t xml:space="preserve">            </w:t>
      </w:r>
    </w:p>
    <w:p>
      <w:pPr>
        <w:pStyle w:val="21"/>
        <w:pBdr>
          <w:bottom w:val="none" w:color="auto" w:sz="0" w:space="0"/>
        </w:pBdr>
        <w:tabs>
          <w:tab w:val="clear" w:pos="4153"/>
          <w:tab w:val="clear" w:pos="8306"/>
        </w:tabs>
        <w:snapToGrid/>
        <w:ind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u w:val="single"/>
        </w:rPr>
        <w:t xml:space="preserve">            </w:t>
      </w:r>
    </w:p>
    <w:tbl>
      <w:tblPr>
        <w:tblStyle w:val="32"/>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54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320" w:type="dxa"/>
            <w:vAlign w:val="center"/>
          </w:tcPr>
          <w:p>
            <w:pPr>
              <w:widowControl/>
              <w:spacing w:line="360" w:lineRule="atLeast"/>
              <w:ind w:firstLine="0" w:firstLineChars="0"/>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540"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竞争性磋商文件要求</w:t>
            </w:r>
          </w:p>
        </w:tc>
        <w:tc>
          <w:tcPr>
            <w:tcW w:w="3540"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32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c>
          <w:tcPr>
            <w:tcW w:w="354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c>
          <w:tcPr>
            <w:tcW w:w="354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32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c>
          <w:tcPr>
            <w:tcW w:w="354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c>
          <w:tcPr>
            <w:tcW w:w="354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32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c>
          <w:tcPr>
            <w:tcW w:w="354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c>
          <w:tcPr>
            <w:tcW w:w="354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32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c>
          <w:tcPr>
            <w:tcW w:w="354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c>
          <w:tcPr>
            <w:tcW w:w="3540" w:type="dxa"/>
            <w:vAlign w:val="center"/>
          </w:tcPr>
          <w:p>
            <w:pPr>
              <w:widowControl/>
              <w:spacing w:line="360" w:lineRule="atLeast"/>
              <w:ind w:firstLine="470" w:firstLineChars="196"/>
              <w:jc w:val="center"/>
              <w:rPr>
                <w:rFonts w:hint="eastAsia" w:ascii="宋体" w:hAnsi="宋体" w:eastAsia="宋体" w:cs="宋体"/>
                <w:color w:val="auto"/>
                <w:highlight w:val="none"/>
              </w:rPr>
            </w:pPr>
          </w:p>
        </w:tc>
      </w:tr>
    </w:tbl>
    <w:p>
      <w:pPr>
        <w:ind w:firstLine="482"/>
        <w:rPr>
          <w:rFonts w:hint="eastAsia" w:ascii="宋体" w:hAnsi="宋体" w:eastAsia="宋体" w:cs="宋体"/>
          <w:b/>
          <w:color w:val="auto"/>
          <w:highlight w:val="none"/>
        </w:rPr>
      </w:pP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注：1.供应商应当把磋商文件</w:t>
      </w:r>
      <w:r>
        <w:rPr>
          <w:rFonts w:hint="eastAsia" w:ascii="宋体" w:hAnsi="宋体" w:eastAsia="宋体" w:cs="宋体"/>
          <w:b/>
          <w:bCs/>
          <w:color w:val="auto"/>
          <w:sz w:val="21"/>
          <w:szCs w:val="21"/>
          <w:highlight w:val="none"/>
        </w:rPr>
        <w:t>第五章的5.</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技术、服务要求</w:t>
      </w:r>
      <w:r>
        <w:rPr>
          <w:rFonts w:hint="eastAsia" w:ascii="宋体" w:hAnsi="宋体" w:eastAsia="宋体" w:cs="宋体"/>
          <w:color w:val="auto"/>
          <w:sz w:val="21"/>
          <w:szCs w:val="21"/>
          <w:highlight w:val="none"/>
        </w:rPr>
        <w:t>的内容全部进行响应。</w:t>
      </w:r>
    </w:p>
    <w:p>
      <w:pPr>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2.供应商必须据实填写，不得虚假响应，虚假响应的，其响应文件无效并按规定追究其相关责任。</w:t>
      </w:r>
    </w:p>
    <w:p>
      <w:pPr>
        <w:adjustRightInd w:val="0"/>
        <w:snapToGrid w:val="0"/>
        <w:ind w:firstLine="48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日  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商务要求应答表</w:t>
      </w:r>
    </w:p>
    <w:p>
      <w:pPr>
        <w:adjustRightInd w:val="0"/>
        <w:snapToGrid w:val="0"/>
        <w:ind w:firstLine="0" w:firstLineChars="0"/>
        <w:rPr>
          <w:rFonts w:hint="eastAsia" w:ascii="宋体" w:hAnsi="宋体" w:eastAsia="宋体" w:cs="宋体"/>
          <w:b/>
          <w:bCs/>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color w:val="auto"/>
          <w:highlight w:val="none"/>
          <w:u w:val="single"/>
        </w:rPr>
        <w:t xml:space="preserve">           </w:t>
      </w:r>
    </w:p>
    <w:p>
      <w:pPr>
        <w:pStyle w:val="21"/>
        <w:pBdr>
          <w:bottom w:val="none" w:color="auto" w:sz="0" w:space="0"/>
        </w:pBdr>
        <w:tabs>
          <w:tab w:val="clear" w:pos="4153"/>
          <w:tab w:val="clear" w:pos="8306"/>
        </w:tabs>
        <w:snapToGrid/>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u w:val="single"/>
        </w:rPr>
        <w:t xml:space="preserve">           </w:t>
      </w:r>
    </w:p>
    <w:tbl>
      <w:tblPr>
        <w:tblStyle w:val="32"/>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3562"/>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90"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56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竞争性磋商文件要求</w:t>
            </w:r>
          </w:p>
        </w:tc>
        <w:tc>
          <w:tcPr>
            <w:tcW w:w="356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290" w:type="dxa"/>
            <w:vAlign w:val="center"/>
          </w:tcPr>
          <w:p>
            <w:pPr>
              <w:ind w:firstLine="480"/>
              <w:jc w:val="center"/>
              <w:rPr>
                <w:rFonts w:hint="eastAsia" w:ascii="宋体" w:hAnsi="宋体" w:eastAsia="宋体" w:cs="宋体"/>
                <w:color w:val="auto"/>
                <w:highlight w:val="none"/>
              </w:rPr>
            </w:pPr>
          </w:p>
        </w:tc>
        <w:tc>
          <w:tcPr>
            <w:tcW w:w="3562" w:type="dxa"/>
            <w:vAlign w:val="center"/>
          </w:tcPr>
          <w:p>
            <w:pPr>
              <w:ind w:firstLine="480"/>
              <w:jc w:val="center"/>
              <w:rPr>
                <w:rFonts w:hint="eastAsia" w:ascii="宋体" w:hAnsi="宋体" w:eastAsia="宋体" w:cs="宋体"/>
                <w:color w:val="auto"/>
                <w:highlight w:val="none"/>
              </w:rPr>
            </w:pPr>
          </w:p>
        </w:tc>
        <w:tc>
          <w:tcPr>
            <w:tcW w:w="3563" w:type="dxa"/>
            <w:vAlign w:val="center"/>
          </w:tcPr>
          <w:p>
            <w:pPr>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290" w:type="dxa"/>
            <w:vAlign w:val="center"/>
          </w:tcPr>
          <w:p>
            <w:pPr>
              <w:ind w:firstLine="480"/>
              <w:jc w:val="center"/>
              <w:rPr>
                <w:rFonts w:hint="eastAsia" w:ascii="宋体" w:hAnsi="宋体" w:eastAsia="宋体" w:cs="宋体"/>
                <w:color w:val="auto"/>
                <w:highlight w:val="none"/>
              </w:rPr>
            </w:pPr>
          </w:p>
        </w:tc>
        <w:tc>
          <w:tcPr>
            <w:tcW w:w="3562" w:type="dxa"/>
            <w:vAlign w:val="center"/>
          </w:tcPr>
          <w:p>
            <w:pPr>
              <w:ind w:firstLine="480"/>
              <w:jc w:val="center"/>
              <w:rPr>
                <w:rFonts w:hint="eastAsia" w:ascii="宋体" w:hAnsi="宋体" w:eastAsia="宋体" w:cs="宋体"/>
                <w:color w:val="auto"/>
                <w:highlight w:val="none"/>
              </w:rPr>
            </w:pPr>
          </w:p>
        </w:tc>
        <w:tc>
          <w:tcPr>
            <w:tcW w:w="3563" w:type="dxa"/>
            <w:vAlign w:val="center"/>
          </w:tcPr>
          <w:p>
            <w:pPr>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290" w:type="dxa"/>
            <w:vAlign w:val="center"/>
          </w:tcPr>
          <w:p>
            <w:pPr>
              <w:ind w:firstLine="480"/>
              <w:jc w:val="center"/>
              <w:rPr>
                <w:rFonts w:hint="eastAsia" w:ascii="宋体" w:hAnsi="宋体" w:eastAsia="宋体" w:cs="宋体"/>
                <w:color w:val="auto"/>
                <w:highlight w:val="none"/>
              </w:rPr>
            </w:pPr>
          </w:p>
        </w:tc>
        <w:tc>
          <w:tcPr>
            <w:tcW w:w="3562" w:type="dxa"/>
            <w:vAlign w:val="center"/>
          </w:tcPr>
          <w:p>
            <w:pPr>
              <w:ind w:firstLine="480"/>
              <w:jc w:val="center"/>
              <w:rPr>
                <w:rFonts w:hint="eastAsia" w:ascii="宋体" w:hAnsi="宋体" w:eastAsia="宋体" w:cs="宋体"/>
                <w:color w:val="auto"/>
                <w:highlight w:val="none"/>
              </w:rPr>
            </w:pPr>
          </w:p>
        </w:tc>
        <w:tc>
          <w:tcPr>
            <w:tcW w:w="3563" w:type="dxa"/>
            <w:vAlign w:val="center"/>
          </w:tcPr>
          <w:p>
            <w:pPr>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90" w:type="dxa"/>
            <w:vAlign w:val="center"/>
          </w:tcPr>
          <w:p>
            <w:pPr>
              <w:ind w:firstLine="480"/>
              <w:jc w:val="center"/>
              <w:rPr>
                <w:rFonts w:hint="eastAsia" w:ascii="宋体" w:hAnsi="宋体" w:eastAsia="宋体" w:cs="宋体"/>
                <w:color w:val="auto"/>
                <w:highlight w:val="none"/>
              </w:rPr>
            </w:pPr>
          </w:p>
        </w:tc>
        <w:tc>
          <w:tcPr>
            <w:tcW w:w="3562" w:type="dxa"/>
            <w:vAlign w:val="center"/>
          </w:tcPr>
          <w:p>
            <w:pPr>
              <w:ind w:firstLine="480"/>
              <w:jc w:val="center"/>
              <w:rPr>
                <w:rFonts w:hint="eastAsia" w:ascii="宋体" w:hAnsi="宋体" w:eastAsia="宋体" w:cs="宋体"/>
                <w:color w:val="auto"/>
                <w:highlight w:val="none"/>
              </w:rPr>
            </w:pPr>
          </w:p>
        </w:tc>
        <w:tc>
          <w:tcPr>
            <w:tcW w:w="3563" w:type="dxa"/>
            <w:vAlign w:val="center"/>
          </w:tcPr>
          <w:p>
            <w:pPr>
              <w:ind w:firstLine="480"/>
              <w:jc w:val="center"/>
              <w:rPr>
                <w:rFonts w:hint="eastAsia" w:ascii="宋体" w:hAnsi="宋体" w:eastAsia="宋体" w:cs="宋体"/>
                <w:color w:val="auto"/>
                <w:highlight w:val="none"/>
              </w:rPr>
            </w:pPr>
          </w:p>
        </w:tc>
      </w:tr>
    </w:tbl>
    <w:p>
      <w:pPr>
        <w:ind w:firstLine="482"/>
        <w:rPr>
          <w:rFonts w:hint="eastAsia" w:ascii="宋体" w:hAnsi="宋体" w:eastAsia="宋体" w:cs="宋体"/>
          <w:b/>
          <w:color w:val="auto"/>
          <w:highlight w:val="none"/>
        </w:rPr>
      </w:pP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注：1.供应商必须把磋商文件</w:t>
      </w:r>
      <w:r>
        <w:rPr>
          <w:rFonts w:hint="eastAsia" w:ascii="宋体" w:hAnsi="宋体" w:eastAsia="宋体" w:cs="宋体"/>
          <w:b/>
          <w:bCs/>
          <w:color w:val="auto"/>
          <w:sz w:val="21"/>
          <w:szCs w:val="21"/>
          <w:highlight w:val="none"/>
        </w:rPr>
        <w:t>第五章的5.</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商务要求</w:t>
      </w:r>
      <w:r>
        <w:rPr>
          <w:rFonts w:hint="eastAsia" w:ascii="宋体" w:hAnsi="宋体" w:eastAsia="宋体" w:cs="宋体"/>
          <w:color w:val="auto"/>
          <w:sz w:val="21"/>
          <w:szCs w:val="21"/>
          <w:highlight w:val="none"/>
        </w:rPr>
        <w:t>列入此表。</w:t>
      </w:r>
    </w:p>
    <w:p>
      <w:pPr>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2.供应商必须据实填写，不得虚假响应，虚假响应的，其响应文件无效并按规定追究其相关责任。</w:t>
      </w:r>
    </w:p>
    <w:p>
      <w:pPr>
        <w:adjustRightInd w:val="0"/>
        <w:snapToGrid w:val="0"/>
        <w:ind w:firstLine="482"/>
        <w:rPr>
          <w:rFonts w:hint="eastAsia" w:ascii="宋体" w:hAnsi="宋体" w:eastAsia="宋体" w:cs="宋体"/>
          <w:b/>
          <w:color w:val="auto"/>
          <w:highlight w:val="none"/>
        </w:rPr>
      </w:pPr>
    </w:p>
    <w:p>
      <w:pPr>
        <w:adjustRightInd w:val="0"/>
        <w:snapToGrid w:val="0"/>
        <w:ind w:firstLine="48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bookmarkEnd w:id="286"/>
    <w:p>
      <w:pPr>
        <w:adjustRightInd w:val="0"/>
        <w:snapToGrid w:val="0"/>
        <w:ind w:firstLine="480"/>
        <w:rPr>
          <w:rFonts w:hint="eastAsia" w:ascii="宋体" w:hAnsi="宋体" w:eastAsia="宋体" w:cs="宋体"/>
          <w:color w:val="auto"/>
          <w:highlight w:val="none"/>
        </w:rPr>
      </w:pPr>
      <w:bookmarkStart w:id="287" w:name="_Toc8691"/>
      <w:bookmarkStart w:id="288" w:name="_Toc27483"/>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日  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拟派本项目团队人员配置表</w:t>
      </w:r>
    </w:p>
    <w:p>
      <w:pPr>
        <w:adjustRightInd w:val="0"/>
        <w:snapToGrid w:val="0"/>
        <w:ind w:firstLine="0" w:firstLineChars="0"/>
        <w:rPr>
          <w:rFonts w:hint="eastAsia" w:ascii="宋体" w:hAnsi="宋体" w:eastAsia="宋体" w:cs="宋体"/>
          <w:b/>
          <w:bCs/>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color w:val="auto"/>
          <w:highlight w:val="none"/>
          <w:u w:val="single"/>
        </w:rPr>
        <w:t xml:space="preserve">          </w:t>
      </w:r>
    </w:p>
    <w:p>
      <w:pPr>
        <w:adjustRightInd w:val="0"/>
        <w:snapToGrid w:val="0"/>
        <w:ind w:firstLine="0" w:firstLineChars="0"/>
        <w:rPr>
          <w:rFonts w:hint="eastAsia" w:ascii="宋体" w:hAnsi="宋体" w:eastAsia="宋体" w:cs="宋体"/>
          <w:b/>
          <w:color w:val="auto"/>
          <w:highlight w:val="none"/>
          <w:u w:val="single"/>
        </w:rPr>
      </w:pPr>
      <w:r>
        <w:rPr>
          <w:rFonts w:hint="eastAsia" w:ascii="宋体" w:hAnsi="宋体" w:eastAsia="宋体" w:cs="宋体"/>
          <w:b/>
          <w:color w:val="auto"/>
          <w:highlight w:val="none"/>
        </w:rPr>
        <w:t>项目编号：</w:t>
      </w:r>
      <w:r>
        <w:rPr>
          <w:rFonts w:hint="eastAsia" w:ascii="宋体" w:hAnsi="宋体" w:eastAsia="宋体" w:cs="宋体"/>
          <w:b/>
          <w:color w:val="auto"/>
          <w:highlight w:val="none"/>
          <w:u w:val="single"/>
        </w:rPr>
        <w:t xml:space="preserve">          </w:t>
      </w:r>
    </w:p>
    <w:tbl>
      <w:tblPr>
        <w:tblStyle w:val="3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65"/>
        <w:gridCol w:w="795"/>
        <w:gridCol w:w="826"/>
        <w:gridCol w:w="1151"/>
        <w:gridCol w:w="1287"/>
        <w:gridCol w:w="1150"/>
        <w:gridCol w:w="103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23" w:type="dxa"/>
            <w:vMerge w:val="restart"/>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类别</w:t>
            </w:r>
          </w:p>
        </w:tc>
        <w:tc>
          <w:tcPr>
            <w:tcW w:w="765" w:type="dxa"/>
            <w:vMerge w:val="restart"/>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795" w:type="dxa"/>
            <w:vMerge w:val="restart"/>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26" w:type="dxa"/>
            <w:vMerge w:val="restart"/>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151" w:type="dxa"/>
            <w:vMerge w:val="restart"/>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常住地</w:t>
            </w:r>
          </w:p>
        </w:tc>
        <w:tc>
          <w:tcPr>
            <w:tcW w:w="4263" w:type="dxa"/>
            <w:gridSpan w:val="4"/>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3"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765"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795"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826"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1151"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150"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037"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789"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3" w:type="dxa"/>
            <w:vMerge w:val="restart"/>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管理人员</w:t>
            </w:r>
          </w:p>
        </w:tc>
        <w:tc>
          <w:tcPr>
            <w:tcW w:w="765" w:type="dxa"/>
            <w:vAlign w:val="center"/>
          </w:tcPr>
          <w:p>
            <w:pPr>
              <w:adjustRightInd w:val="0"/>
              <w:snapToGrid w:val="0"/>
              <w:ind w:firstLine="480"/>
              <w:jc w:val="center"/>
              <w:rPr>
                <w:rFonts w:hint="eastAsia" w:ascii="宋体" w:hAnsi="宋体" w:eastAsia="宋体" w:cs="宋体"/>
                <w:color w:val="auto"/>
                <w:highlight w:val="none"/>
              </w:rPr>
            </w:pPr>
          </w:p>
        </w:tc>
        <w:tc>
          <w:tcPr>
            <w:tcW w:w="795" w:type="dxa"/>
            <w:vAlign w:val="center"/>
          </w:tcPr>
          <w:p>
            <w:pPr>
              <w:adjustRightInd w:val="0"/>
              <w:snapToGrid w:val="0"/>
              <w:ind w:firstLine="480"/>
              <w:jc w:val="center"/>
              <w:rPr>
                <w:rFonts w:hint="eastAsia" w:ascii="宋体" w:hAnsi="宋体" w:eastAsia="宋体" w:cs="宋体"/>
                <w:color w:val="auto"/>
                <w:highlight w:val="none"/>
              </w:rPr>
            </w:pPr>
          </w:p>
        </w:tc>
        <w:tc>
          <w:tcPr>
            <w:tcW w:w="826" w:type="dxa"/>
            <w:vAlign w:val="center"/>
          </w:tcPr>
          <w:p>
            <w:pPr>
              <w:adjustRightInd w:val="0"/>
              <w:snapToGrid w:val="0"/>
              <w:ind w:firstLine="480"/>
              <w:jc w:val="center"/>
              <w:rPr>
                <w:rFonts w:hint="eastAsia" w:ascii="宋体" w:hAnsi="宋体" w:eastAsia="宋体" w:cs="宋体"/>
                <w:color w:val="auto"/>
                <w:highlight w:val="none"/>
              </w:rPr>
            </w:pPr>
          </w:p>
        </w:tc>
        <w:tc>
          <w:tcPr>
            <w:tcW w:w="1151" w:type="dxa"/>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480"/>
              <w:jc w:val="center"/>
              <w:rPr>
                <w:rFonts w:hint="eastAsia" w:ascii="宋体" w:hAnsi="宋体" w:eastAsia="宋体" w:cs="宋体"/>
                <w:color w:val="auto"/>
                <w:highlight w:val="none"/>
              </w:rPr>
            </w:pPr>
          </w:p>
        </w:tc>
        <w:tc>
          <w:tcPr>
            <w:tcW w:w="1150" w:type="dxa"/>
            <w:vAlign w:val="center"/>
          </w:tcPr>
          <w:p>
            <w:pPr>
              <w:adjustRightInd w:val="0"/>
              <w:snapToGrid w:val="0"/>
              <w:ind w:firstLine="480"/>
              <w:jc w:val="center"/>
              <w:rPr>
                <w:rFonts w:hint="eastAsia" w:ascii="宋体" w:hAnsi="宋体" w:eastAsia="宋体" w:cs="宋体"/>
                <w:color w:val="auto"/>
                <w:highlight w:val="none"/>
              </w:rPr>
            </w:pPr>
          </w:p>
        </w:tc>
        <w:tc>
          <w:tcPr>
            <w:tcW w:w="1037" w:type="dxa"/>
            <w:vAlign w:val="center"/>
          </w:tcPr>
          <w:p>
            <w:pPr>
              <w:adjustRightInd w:val="0"/>
              <w:snapToGrid w:val="0"/>
              <w:ind w:firstLine="480"/>
              <w:jc w:val="center"/>
              <w:rPr>
                <w:rFonts w:hint="eastAsia" w:ascii="宋体" w:hAnsi="宋体" w:eastAsia="宋体" w:cs="宋体"/>
                <w:color w:val="auto"/>
                <w:highlight w:val="none"/>
              </w:rPr>
            </w:pPr>
          </w:p>
        </w:tc>
        <w:tc>
          <w:tcPr>
            <w:tcW w:w="789" w:type="dxa"/>
            <w:vAlign w:val="center"/>
          </w:tcPr>
          <w:p>
            <w:pPr>
              <w:adjustRightInd w:val="0"/>
              <w:snapToGrid w:val="0"/>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3"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765" w:type="dxa"/>
            <w:vAlign w:val="center"/>
          </w:tcPr>
          <w:p>
            <w:pPr>
              <w:adjustRightInd w:val="0"/>
              <w:snapToGrid w:val="0"/>
              <w:ind w:firstLine="480"/>
              <w:jc w:val="center"/>
              <w:rPr>
                <w:rFonts w:hint="eastAsia" w:ascii="宋体" w:hAnsi="宋体" w:eastAsia="宋体" w:cs="宋体"/>
                <w:color w:val="auto"/>
                <w:highlight w:val="none"/>
              </w:rPr>
            </w:pPr>
          </w:p>
        </w:tc>
        <w:tc>
          <w:tcPr>
            <w:tcW w:w="795" w:type="dxa"/>
            <w:vAlign w:val="center"/>
          </w:tcPr>
          <w:p>
            <w:pPr>
              <w:adjustRightInd w:val="0"/>
              <w:snapToGrid w:val="0"/>
              <w:ind w:firstLine="480"/>
              <w:jc w:val="center"/>
              <w:rPr>
                <w:rFonts w:hint="eastAsia" w:ascii="宋体" w:hAnsi="宋体" w:eastAsia="宋体" w:cs="宋体"/>
                <w:color w:val="auto"/>
                <w:highlight w:val="none"/>
              </w:rPr>
            </w:pPr>
          </w:p>
        </w:tc>
        <w:tc>
          <w:tcPr>
            <w:tcW w:w="826" w:type="dxa"/>
            <w:vAlign w:val="center"/>
          </w:tcPr>
          <w:p>
            <w:pPr>
              <w:adjustRightInd w:val="0"/>
              <w:snapToGrid w:val="0"/>
              <w:ind w:firstLine="480"/>
              <w:jc w:val="center"/>
              <w:rPr>
                <w:rFonts w:hint="eastAsia" w:ascii="宋体" w:hAnsi="宋体" w:eastAsia="宋体" w:cs="宋体"/>
                <w:color w:val="auto"/>
                <w:highlight w:val="none"/>
              </w:rPr>
            </w:pPr>
          </w:p>
        </w:tc>
        <w:tc>
          <w:tcPr>
            <w:tcW w:w="1151" w:type="dxa"/>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480"/>
              <w:jc w:val="center"/>
              <w:rPr>
                <w:rFonts w:hint="eastAsia" w:ascii="宋体" w:hAnsi="宋体" w:eastAsia="宋体" w:cs="宋体"/>
                <w:color w:val="auto"/>
                <w:highlight w:val="none"/>
              </w:rPr>
            </w:pPr>
          </w:p>
        </w:tc>
        <w:tc>
          <w:tcPr>
            <w:tcW w:w="1150" w:type="dxa"/>
            <w:vAlign w:val="center"/>
          </w:tcPr>
          <w:p>
            <w:pPr>
              <w:adjustRightInd w:val="0"/>
              <w:snapToGrid w:val="0"/>
              <w:ind w:firstLine="480"/>
              <w:jc w:val="center"/>
              <w:rPr>
                <w:rFonts w:hint="eastAsia" w:ascii="宋体" w:hAnsi="宋体" w:eastAsia="宋体" w:cs="宋体"/>
                <w:color w:val="auto"/>
                <w:highlight w:val="none"/>
              </w:rPr>
            </w:pPr>
          </w:p>
        </w:tc>
        <w:tc>
          <w:tcPr>
            <w:tcW w:w="1037" w:type="dxa"/>
            <w:vAlign w:val="center"/>
          </w:tcPr>
          <w:p>
            <w:pPr>
              <w:adjustRightInd w:val="0"/>
              <w:snapToGrid w:val="0"/>
              <w:ind w:firstLine="480"/>
              <w:jc w:val="center"/>
              <w:rPr>
                <w:rFonts w:hint="eastAsia" w:ascii="宋体" w:hAnsi="宋体" w:eastAsia="宋体" w:cs="宋体"/>
                <w:color w:val="auto"/>
                <w:highlight w:val="none"/>
              </w:rPr>
            </w:pPr>
          </w:p>
        </w:tc>
        <w:tc>
          <w:tcPr>
            <w:tcW w:w="789" w:type="dxa"/>
            <w:vAlign w:val="center"/>
          </w:tcPr>
          <w:p>
            <w:pPr>
              <w:adjustRightInd w:val="0"/>
              <w:snapToGrid w:val="0"/>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3"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765" w:type="dxa"/>
            <w:vAlign w:val="center"/>
          </w:tcPr>
          <w:p>
            <w:pPr>
              <w:adjustRightInd w:val="0"/>
              <w:snapToGrid w:val="0"/>
              <w:ind w:firstLine="480"/>
              <w:jc w:val="center"/>
              <w:rPr>
                <w:rFonts w:hint="eastAsia" w:ascii="宋体" w:hAnsi="宋体" w:eastAsia="宋体" w:cs="宋体"/>
                <w:color w:val="auto"/>
                <w:highlight w:val="none"/>
              </w:rPr>
            </w:pPr>
          </w:p>
        </w:tc>
        <w:tc>
          <w:tcPr>
            <w:tcW w:w="795" w:type="dxa"/>
            <w:vAlign w:val="center"/>
          </w:tcPr>
          <w:p>
            <w:pPr>
              <w:adjustRightInd w:val="0"/>
              <w:snapToGrid w:val="0"/>
              <w:ind w:firstLine="480"/>
              <w:jc w:val="center"/>
              <w:rPr>
                <w:rFonts w:hint="eastAsia" w:ascii="宋体" w:hAnsi="宋体" w:eastAsia="宋体" w:cs="宋体"/>
                <w:color w:val="auto"/>
                <w:highlight w:val="none"/>
              </w:rPr>
            </w:pPr>
          </w:p>
        </w:tc>
        <w:tc>
          <w:tcPr>
            <w:tcW w:w="826" w:type="dxa"/>
            <w:vAlign w:val="center"/>
          </w:tcPr>
          <w:p>
            <w:pPr>
              <w:adjustRightInd w:val="0"/>
              <w:snapToGrid w:val="0"/>
              <w:ind w:firstLine="480"/>
              <w:jc w:val="center"/>
              <w:rPr>
                <w:rFonts w:hint="eastAsia" w:ascii="宋体" w:hAnsi="宋体" w:eastAsia="宋体" w:cs="宋体"/>
                <w:color w:val="auto"/>
                <w:highlight w:val="none"/>
              </w:rPr>
            </w:pPr>
          </w:p>
        </w:tc>
        <w:tc>
          <w:tcPr>
            <w:tcW w:w="1151" w:type="dxa"/>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480"/>
              <w:jc w:val="center"/>
              <w:rPr>
                <w:rFonts w:hint="eastAsia" w:ascii="宋体" w:hAnsi="宋体" w:eastAsia="宋体" w:cs="宋体"/>
                <w:color w:val="auto"/>
                <w:highlight w:val="none"/>
              </w:rPr>
            </w:pPr>
          </w:p>
        </w:tc>
        <w:tc>
          <w:tcPr>
            <w:tcW w:w="1150" w:type="dxa"/>
            <w:vAlign w:val="center"/>
          </w:tcPr>
          <w:p>
            <w:pPr>
              <w:adjustRightInd w:val="0"/>
              <w:snapToGrid w:val="0"/>
              <w:ind w:firstLine="480"/>
              <w:jc w:val="center"/>
              <w:rPr>
                <w:rFonts w:hint="eastAsia" w:ascii="宋体" w:hAnsi="宋体" w:eastAsia="宋体" w:cs="宋体"/>
                <w:color w:val="auto"/>
                <w:highlight w:val="none"/>
              </w:rPr>
            </w:pPr>
          </w:p>
        </w:tc>
        <w:tc>
          <w:tcPr>
            <w:tcW w:w="1037" w:type="dxa"/>
            <w:vAlign w:val="center"/>
          </w:tcPr>
          <w:p>
            <w:pPr>
              <w:adjustRightInd w:val="0"/>
              <w:snapToGrid w:val="0"/>
              <w:ind w:firstLine="480"/>
              <w:jc w:val="center"/>
              <w:rPr>
                <w:rFonts w:hint="eastAsia" w:ascii="宋体" w:hAnsi="宋体" w:eastAsia="宋体" w:cs="宋体"/>
                <w:color w:val="auto"/>
                <w:highlight w:val="none"/>
              </w:rPr>
            </w:pPr>
          </w:p>
        </w:tc>
        <w:tc>
          <w:tcPr>
            <w:tcW w:w="789" w:type="dxa"/>
            <w:vAlign w:val="center"/>
          </w:tcPr>
          <w:p>
            <w:pPr>
              <w:adjustRightInd w:val="0"/>
              <w:snapToGrid w:val="0"/>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23" w:type="dxa"/>
            <w:vMerge w:val="restart"/>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技术</w:t>
            </w:r>
          </w:p>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人员</w:t>
            </w:r>
          </w:p>
        </w:tc>
        <w:tc>
          <w:tcPr>
            <w:tcW w:w="765" w:type="dxa"/>
            <w:vAlign w:val="center"/>
          </w:tcPr>
          <w:p>
            <w:pPr>
              <w:adjustRightInd w:val="0"/>
              <w:snapToGrid w:val="0"/>
              <w:ind w:firstLine="480"/>
              <w:jc w:val="center"/>
              <w:rPr>
                <w:rFonts w:hint="eastAsia" w:ascii="宋体" w:hAnsi="宋体" w:eastAsia="宋体" w:cs="宋体"/>
                <w:color w:val="auto"/>
                <w:highlight w:val="none"/>
              </w:rPr>
            </w:pPr>
          </w:p>
        </w:tc>
        <w:tc>
          <w:tcPr>
            <w:tcW w:w="795" w:type="dxa"/>
            <w:vAlign w:val="center"/>
          </w:tcPr>
          <w:p>
            <w:pPr>
              <w:adjustRightInd w:val="0"/>
              <w:snapToGrid w:val="0"/>
              <w:ind w:firstLine="480"/>
              <w:jc w:val="center"/>
              <w:rPr>
                <w:rFonts w:hint="eastAsia" w:ascii="宋体" w:hAnsi="宋体" w:eastAsia="宋体" w:cs="宋体"/>
                <w:color w:val="auto"/>
                <w:highlight w:val="none"/>
              </w:rPr>
            </w:pPr>
          </w:p>
        </w:tc>
        <w:tc>
          <w:tcPr>
            <w:tcW w:w="826" w:type="dxa"/>
            <w:vAlign w:val="center"/>
          </w:tcPr>
          <w:p>
            <w:pPr>
              <w:adjustRightInd w:val="0"/>
              <w:snapToGrid w:val="0"/>
              <w:ind w:firstLine="480"/>
              <w:jc w:val="center"/>
              <w:rPr>
                <w:rFonts w:hint="eastAsia" w:ascii="宋体" w:hAnsi="宋体" w:eastAsia="宋体" w:cs="宋体"/>
                <w:color w:val="auto"/>
                <w:highlight w:val="none"/>
              </w:rPr>
            </w:pPr>
          </w:p>
        </w:tc>
        <w:tc>
          <w:tcPr>
            <w:tcW w:w="1151" w:type="dxa"/>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480"/>
              <w:jc w:val="center"/>
              <w:rPr>
                <w:rFonts w:hint="eastAsia" w:ascii="宋体" w:hAnsi="宋体" w:eastAsia="宋体" w:cs="宋体"/>
                <w:color w:val="auto"/>
                <w:highlight w:val="none"/>
              </w:rPr>
            </w:pPr>
          </w:p>
        </w:tc>
        <w:tc>
          <w:tcPr>
            <w:tcW w:w="1150" w:type="dxa"/>
            <w:vAlign w:val="center"/>
          </w:tcPr>
          <w:p>
            <w:pPr>
              <w:adjustRightInd w:val="0"/>
              <w:snapToGrid w:val="0"/>
              <w:ind w:firstLine="480"/>
              <w:jc w:val="center"/>
              <w:rPr>
                <w:rFonts w:hint="eastAsia" w:ascii="宋体" w:hAnsi="宋体" w:eastAsia="宋体" w:cs="宋体"/>
                <w:color w:val="auto"/>
                <w:highlight w:val="none"/>
              </w:rPr>
            </w:pPr>
          </w:p>
        </w:tc>
        <w:tc>
          <w:tcPr>
            <w:tcW w:w="1037" w:type="dxa"/>
            <w:vAlign w:val="center"/>
          </w:tcPr>
          <w:p>
            <w:pPr>
              <w:adjustRightInd w:val="0"/>
              <w:snapToGrid w:val="0"/>
              <w:ind w:firstLine="480"/>
              <w:jc w:val="center"/>
              <w:rPr>
                <w:rFonts w:hint="eastAsia" w:ascii="宋体" w:hAnsi="宋体" w:eastAsia="宋体" w:cs="宋体"/>
                <w:color w:val="auto"/>
                <w:highlight w:val="none"/>
              </w:rPr>
            </w:pPr>
          </w:p>
        </w:tc>
        <w:tc>
          <w:tcPr>
            <w:tcW w:w="789" w:type="dxa"/>
            <w:vAlign w:val="center"/>
          </w:tcPr>
          <w:p>
            <w:pPr>
              <w:adjustRightInd w:val="0"/>
              <w:snapToGrid w:val="0"/>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3"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765" w:type="dxa"/>
            <w:vAlign w:val="center"/>
          </w:tcPr>
          <w:p>
            <w:pPr>
              <w:adjustRightInd w:val="0"/>
              <w:snapToGrid w:val="0"/>
              <w:ind w:firstLine="480"/>
              <w:jc w:val="center"/>
              <w:rPr>
                <w:rFonts w:hint="eastAsia" w:ascii="宋体" w:hAnsi="宋体" w:eastAsia="宋体" w:cs="宋体"/>
                <w:color w:val="auto"/>
                <w:highlight w:val="none"/>
              </w:rPr>
            </w:pPr>
          </w:p>
        </w:tc>
        <w:tc>
          <w:tcPr>
            <w:tcW w:w="795" w:type="dxa"/>
            <w:vAlign w:val="center"/>
          </w:tcPr>
          <w:p>
            <w:pPr>
              <w:adjustRightInd w:val="0"/>
              <w:snapToGrid w:val="0"/>
              <w:ind w:firstLine="480"/>
              <w:jc w:val="center"/>
              <w:rPr>
                <w:rFonts w:hint="eastAsia" w:ascii="宋体" w:hAnsi="宋体" w:eastAsia="宋体" w:cs="宋体"/>
                <w:color w:val="auto"/>
                <w:highlight w:val="none"/>
              </w:rPr>
            </w:pPr>
          </w:p>
        </w:tc>
        <w:tc>
          <w:tcPr>
            <w:tcW w:w="826" w:type="dxa"/>
            <w:vAlign w:val="center"/>
          </w:tcPr>
          <w:p>
            <w:pPr>
              <w:adjustRightInd w:val="0"/>
              <w:snapToGrid w:val="0"/>
              <w:ind w:firstLine="480"/>
              <w:jc w:val="center"/>
              <w:rPr>
                <w:rFonts w:hint="eastAsia" w:ascii="宋体" w:hAnsi="宋体" w:eastAsia="宋体" w:cs="宋体"/>
                <w:color w:val="auto"/>
                <w:highlight w:val="none"/>
              </w:rPr>
            </w:pPr>
          </w:p>
        </w:tc>
        <w:tc>
          <w:tcPr>
            <w:tcW w:w="1151" w:type="dxa"/>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480"/>
              <w:jc w:val="center"/>
              <w:rPr>
                <w:rFonts w:hint="eastAsia" w:ascii="宋体" w:hAnsi="宋体" w:eastAsia="宋体" w:cs="宋体"/>
                <w:color w:val="auto"/>
                <w:highlight w:val="none"/>
              </w:rPr>
            </w:pPr>
          </w:p>
        </w:tc>
        <w:tc>
          <w:tcPr>
            <w:tcW w:w="1150" w:type="dxa"/>
            <w:vAlign w:val="center"/>
          </w:tcPr>
          <w:p>
            <w:pPr>
              <w:adjustRightInd w:val="0"/>
              <w:snapToGrid w:val="0"/>
              <w:ind w:firstLine="480"/>
              <w:jc w:val="center"/>
              <w:rPr>
                <w:rFonts w:hint="eastAsia" w:ascii="宋体" w:hAnsi="宋体" w:eastAsia="宋体" w:cs="宋体"/>
                <w:color w:val="auto"/>
                <w:highlight w:val="none"/>
              </w:rPr>
            </w:pPr>
          </w:p>
        </w:tc>
        <w:tc>
          <w:tcPr>
            <w:tcW w:w="1037" w:type="dxa"/>
            <w:vAlign w:val="center"/>
          </w:tcPr>
          <w:p>
            <w:pPr>
              <w:adjustRightInd w:val="0"/>
              <w:snapToGrid w:val="0"/>
              <w:ind w:firstLine="480"/>
              <w:jc w:val="center"/>
              <w:rPr>
                <w:rFonts w:hint="eastAsia" w:ascii="宋体" w:hAnsi="宋体" w:eastAsia="宋体" w:cs="宋体"/>
                <w:color w:val="auto"/>
                <w:highlight w:val="none"/>
              </w:rPr>
            </w:pPr>
          </w:p>
        </w:tc>
        <w:tc>
          <w:tcPr>
            <w:tcW w:w="789" w:type="dxa"/>
            <w:vAlign w:val="center"/>
          </w:tcPr>
          <w:p>
            <w:pPr>
              <w:adjustRightInd w:val="0"/>
              <w:snapToGrid w:val="0"/>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23"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765" w:type="dxa"/>
            <w:vAlign w:val="center"/>
          </w:tcPr>
          <w:p>
            <w:pPr>
              <w:adjustRightInd w:val="0"/>
              <w:snapToGrid w:val="0"/>
              <w:ind w:firstLine="480"/>
              <w:jc w:val="center"/>
              <w:rPr>
                <w:rFonts w:hint="eastAsia" w:ascii="宋体" w:hAnsi="宋体" w:eastAsia="宋体" w:cs="宋体"/>
                <w:color w:val="auto"/>
                <w:highlight w:val="none"/>
              </w:rPr>
            </w:pPr>
          </w:p>
        </w:tc>
        <w:tc>
          <w:tcPr>
            <w:tcW w:w="795" w:type="dxa"/>
            <w:vAlign w:val="center"/>
          </w:tcPr>
          <w:p>
            <w:pPr>
              <w:adjustRightInd w:val="0"/>
              <w:snapToGrid w:val="0"/>
              <w:ind w:firstLine="480"/>
              <w:jc w:val="center"/>
              <w:rPr>
                <w:rFonts w:hint="eastAsia" w:ascii="宋体" w:hAnsi="宋体" w:eastAsia="宋体" w:cs="宋体"/>
                <w:color w:val="auto"/>
                <w:highlight w:val="none"/>
              </w:rPr>
            </w:pPr>
          </w:p>
        </w:tc>
        <w:tc>
          <w:tcPr>
            <w:tcW w:w="826" w:type="dxa"/>
            <w:vAlign w:val="center"/>
          </w:tcPr>
          <w:p>
            <w:pPr>
              <w:adjustRightInd w:val="0"/>
              <w:snapToGrid w:val="0"/>
              <w:ind w:firstLine="480"/>
              <w:jc w:val="center"/>
              <w:rPr>
                <w:rFonts w:hint="eastAsia" w:ascii="宋体" w:hAnsi="宋体" w:eastAsia="宋体" w:cs="宋体"/>
                <w:color w:val="auto"/>
                <w:highlight w:val="none"/>
              </w:rPr>
            </w:pPr>
          </w:p>
        </w:tc>
        <w:tc>
          <w:tcPr>
            <w:tcW w:w="1151" w:type="dxa"/>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480"/>
              <w:jc w:val="center"/>
              <w:rPr>
                <w:rFonts w:hint="eastAsia" w:ascii="宋体" w:hAnsi="宋体" w:eastAsia="宋体" w:cs="宋体"/>
                <w:color w:val="auto"/>
                <w:highlight w:val="none"/>
              </w:rPr>
            </w:pPr>
          </w:p>
        </w:tc>
        <w:tc>
          <w:tcPr>
            <w:tcW w:w="1150" w:type="dxa"/>
            <w:vAlign w:val="center"/>
          </w:tcPr>
          <w:p>
            <w:pPr>
              <w:adjustRightInd w:val="0"/>
              <w:snapToGrid w:val="0"/>
              <w:ind w:firstLine="480"/>
              <w:jc w:val="center"/>
              <w:rPr>
                <w:rFonts w:hint="eastAsia" w:ascii="宋体" w:hAnsi="宋体" w:eastAsia="宋体" w:cs="宋体"/>
                <w:color w:val="auto"/>
                <w:highlight w:val="none"/>
              </w:rPr>
            </w:pPr>
          </w:p>
        </w:tc>
        <w:tc>
          <w:tcPr>
            <w:tcW w:w="1037" w:type="dxa"/>
            <w:vAlign w:val="center"/>
          </w:tcPr>
          <w:p>
            <w:pPr>
              <w:adjustRightInd w:val="0"/>
              <w:snapToGrid w:val="0"/>
              <w:ind w:firstLine="480"/>
              <w:jc w:val="center"/>
              <w:rPr>
                <w:rFonts w:hint="eastAsia" w:ascii="宋体" w:hAnsi="宋体" w:eastAsia="宋体" w:cs="宋体"/>
                <w:color w:val="auto"/>
                <w:highlight w:val="none"/>
              </w:rPr>
            </w:pPr>
          </w:p>
        </w:tc>
        <w:tc>
          <w:tcPr>
            <w:tcW w:w="789" w:type="dxa"/>
            <w:vAlign w:val="center"/>
          </w:tcPr>
          <w:p>
            <w:pPr>
              <w:adjustRightInd w:val="0"/>
              <w:snapToGrid w:val="0"/>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3" w:type="dxa"/>
            <w:vMerge w:val="restart"/>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其他人员</w:t>
            </w:r>
          </w:p>
        </w:tc>
        <w:tc>
          <w:tcPr>
            <w:tcW w:w="765" w:type="dxa"/>
            <w:vAlign w:val="center"/>
          </w:tcPr>
          <w:p>
            <w:pPr>
              <w:adjustRightInd w:val="0"/>
              <w:snapToGrid w:val="0"/>
              <w:ind w:firstLine="480"/>
              <w:jc w:val="center"/>
              <w:rPr>
                <w:rFonts w:hint="eastAsia" w:ascii="宋体" w:hAnsi="宋体" w:eastAsia="宋体" w:cs="宋体"/>
                <w:color w:val="auto"/>
                <w:highlight w:val="none"/>
              </w:rPr>
            </w:pPr>
          </w:p>
        </w:tc>
        <w:tc>
          <w:tcPr>
            <w:tcW w:w="795" w:type="dxa"/>
            <w:vAlign w:val="center"/>
          </w:tcPr>
          <w:p>
            <w:pPr>
              <w:adjustRightInd w:val="0"/>
              <w:snapToGrid w:val="0"/>
              <w:ind w:firstLine="480"/>
              <w:jc w:val="center"/>
              <w:rPr>
                <w:rFonts w:hint="eastAsia" w:ascii="宋体" w:hAnsi="宋体" w:eastAsia="宋体" w:cs="宋体"/>
                <w:color w:val="auto"/>
                <w:highlight w:val="none"/>
              </w:rPr>
            </w:pPr>
          </w:p>
        </w:tc>
        <w:tc>
          <w:tcPr>
            <w:tcW w:w="826" w:type="dxa"/>
            <w:vAlign w:val="center"/>
          </w:tcPr>
          <w:p>
            <w:pPr>
              <w:adjustRightInd w:val="0"/>
              <w:snapToGrid w:val="0"/>
              <w:ind w:firstLine="480"/>
              <w:jc w:val="center"/>
              <w:rPr>
                <w:rFonts w:hint="eastAsia" w:ascii="宋体" w:hAnsi="宋体" w:eastAsia="宋体" w:cs="宋体"/>
                <w:color w:val="auto"/>
                <w:highlight w:val="none"/>
              </w:rPr>
            </w:pPr>
          </w:p>
        </w:tc>
        <w:tc>
          <w:tcPr>
            <w:tcW w:w="1151" w:type="dxa"/>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480"/>
              <w:jc w:val="center"/>
              <w:rPr>
                <w:rFonts w:hint="eastAsia" w:ascii="宋体" w:hAnsi="宋体" w:eastAsia="宋体" w:cs="宋体"/>
                <w:color w:val="auto"/>
                <w:highlight w:val="none"/>
              </w:rPr>
            </w:pPr>
          </w:p>
        </w:tc>
        <w:tc>
          <w:tcPr>
            <w:tcW w:w="1150" w:type="dxa"/>
            <w:vAlign w:val="center"/>
          </w:tcPr>
          <w:p>
            <w:pPr>
              <w:adjustRightInd w:val="0"/>
              <w:snapToGrid w:val="0"/>
              <w:ind w:firstLine="480"/>
              <w:jc w:val="center"/>
              <w:rPr>
                <w:rFonts w:hint="eastAsia" w:ascii="宋体" w:hAnsi="宋体" w:eastAsia="宋体" w:cs="宋体"/>
                <w:color w:val="auto"/>
                <w:highlight w:val="none"/>
              </w:rPr>
            </w:pPr>
          </w:p>
        </w:tc>
        <w:tc>
          <w:tcPr>
            <w:tcW w:w="1037" w:type="dxa"/>
            <w:vAlign w:val="center"/>
          </w:tcPr>
          <w:p>
            <w:pPr>
              <w:adjustRightInd w:val="0"/>
              <w:snapToGrid w:val="0"/>
              <w:ind w:firstLine="480"/>
              <w:jc w:val="center"/>
              <w:rPr>
                <w:rFonts w:hint="eastAsia" w:ascii="宋体" w:hAnsi="宋体" w:eastAsia="宋体" w:cs="宋体"/>
                <w:color w:val="auto"/>
                <w:highlight w:val="none"/>
              </w:rPr>
            </w:pPr>
          </w:p>
        </w:tc>
        <w:tc>
          <w:tcPr>
            <w:tcW w:w="789" w:type="dxa"/>
            <w:vAlign w:val="center"/>
          </w:tcPr>
          <w:p>
            <w:pPr>
              <w:adjustRightInd w:val="0"/>
              <w:snapToGrid w:val="0"/>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3"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765" w:type="dxa"/>
            <w:vAlign w:val="center"/>
          </w:tcPr>
          <w:p>
            <w:pPr>
              <w:adjustRightInd w:val="0"/>
              <w:snapToGrid w:val="0"/>
              <w:ind w:firstLine="480"/>
              <w:jc w:val="center"/>
              <w:rPr>
                <w:rFonts w:hint="eastAsia" w:ascii="宋体" w:hAnsi="宋体" w:eastAsia="宋体" w:cs="宋体"/>
                <w:color w:val="auto"/>
                <w:highlight w:val="none"/>
              </w:rPr>
            </w:pPr>
          </w:p>
        </w:tc>
        <w:tc>
          <w:tcPr>
            <w:tcW w:w="795" w:type="dxa"/>
            <w:vAlign w:val="center"/>
          </w:tcPr>
          <w:p>
            <w:pPr>
              <w:adjustRightInd w:val="0"/>
              <w:snapToGrid w:val="0"/>
              <w:ind w:firstLine="480"/>
              <w:jc w:val="center"/>
              <w:rPr>
                <w:rFonts w:hint="eastAsia" w:ascii="宋体" w:hAnsi="宋体" w:eastAsia="宋体" w:cs="宋体"/>
                <w:color w:val="auto"/>
                <w:highlight w:val="none"/>
              </w:rPr>
            </w:pPr>
          </w:p>
        </w:tc>
        <w:tc>
          <w:tcPr>
            <w:tcW w:w="826" w:type="dxa"/>
            <w:vAlign w:val="center"/>
          </w:tcPr>
          <w:p>
            <w:pPr>
              <w:adjustRightInd w:val="0"/>
              <w:snapToGrid w:val="0"/>
              <w:ind w:firstLine="480"/>
              <w:jc w:val="center"/>
              <w:rPr>
                <w:rFonts w:hint="eastAsia" w:ascii="宋体" w:hAnsi="宋体" w:eastAsia="宋体" w:cs="宋体"/>
                <w:color w:val="auto"/>
                <w:highlight w:val="none"/>
              </w:rPr>
            </w:pPr>
          </w:p>
        </w:tc>
        <w:tc>
          <w:tcPr>
            <w:tcW w:w="1151" w:type="dxa"/>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480"/>
              <w:jc w:val="center"/>
              <w:rPr>
                <w:rFonts w:hint="eastAsia" w:ascii="宋体" w:hAnsi="宋体" w:eastAsia="宋体" w:cs="宋体"/>
                <w:color w:val="auto"/>
                <w:highlight w:val="none"/>
              </w:rPr>
            </w:pPr>
          </w:p>
        </w:tc>
        <w:tc>
          <w:tcPr>
            <w:tcW w:w="1150" w:type="dxa"/>
            <w:vAlign w:val="center"/>
          </w:tcPr>
          <w:p>
            <w:pPr>
              <w:adjustRightInd w:val="0"/>
              <w:snapToGrid w:val="0"/>
              <w:ind w:firstLine="480"/>
              <w:jc w:val="center"/>
              <w:rPr>
                <w:rFonts w:hint="eastAsia" w:ascii="宋体" w:hAnsi="宋体" w:eastAsia="宋体" w:cs="宋体"/>
                <w:color w:val="auto"/>
                <w:highlight w:val="none"/>
              </w:rPr>
            </w:pPr>
          </w:p>
        </w:tc>
        <w:tc>
          <w:tcPr>
            <w:tcW w:w="1037" w:type="dxa"/>
            <w:vAlign w:val="center"/>
          </w:tcPr>
          <w:p>
            <w:pPr>
              <w:adjustRightInd w:val="0"/>
              <w:snapToGrid w:val="0"/>
              <w:ind w:firstLine="480"/>
              <w:jc w:val="center"/>
              <w:rPr>
                <w:rFonts w:hint="eastAsia" w:ascii="宋体" w:hAnsi="宋体" w:eastAsia="宋体" w:cs="宋体"/>
                <w:color w:val="auto"/>
                <w:highlight w:val="none"/>
              </w:rPr>
            </w:pPr>
          </w:p>
        </w:tc>
        <w:tc>
          <w:tcPr>
            <w:tcW w:w="789" w:type="dxa"/>
            <w:vAlign w:val="center"/>
          </w:tcPr>
          <w:p>
            <w:pPr>
              <w:adjustRightInd w:val="0"/>
              <w:snapToGrid w:val="0"/>
              <w:ind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3" w:type="dxa"/>
            <w:vMerge w:val="continue"/>
            <w:vAlign w:val="center"/>
          </w:tcPr>
          <w:p>
            <w:pPr>
              <w:adjustRightInd w:val="0"/>
              <w:snapToGrid w:val="0"/>
              <w:ind w:firstLine="480"/>
              <w:jc w:val="center"/>
              <w:rPr>
                <w:rFonts w:hint="eastAsia" w:ascii="宋体" w:hAnsi="宋体" w:eastAsia="宋体" w:cs="宋体"/>
                <w:color w:val="auto"/>
                <w:highlight w:val="none"/>
              </w:rPr>
            </w:pPr>
          </w:p>
        </w:tc>
        <w:tc>
          <w:tcPr>
            <w:tcW w:w="765" w:type="dxa"/>
            <w:vAlign w:val="center"/>
          </w:tcPr>
          <w:p>
            <w:pPr>
              <w:adjustRightInd w:val="0"/>
              <w:snapToGrid w:val="0"/>
              <w:ind w:firstLine="480"/>
              <w:jc w:val="center"/>
              <w:rPr>
                <w:rFonts w:hint="eastAsia" w:ascii="宋体" w:hAnsi="宋体" w:eastAsia="宋体" w:cs="宋体"/>
                <w:color w:val="auto"/>
                <w:highlight w:val="none"/>
              </w:rPr>
            </w:pPr>
          </w:p>
        </w:tc>
        <w:tc>
          <w:tcPr>
            <w:tcW w:w="795" w:type="dxa"/>
            <w:vAlign w:val="center"/>
          </w:tcPr>
          <w:p>
            <w:pPr>
              <w:adjustRightInd w:val="0"/>
              <w:snapToGrid w:val="0"/>
              <w:ind w:firstLine="480"/>
              <w:jc w:val="center"/>
              <w:rPr>
                <w:rFonts w:hint="eastAsia" w:ascii="宋体" w:hAnsi="宋体" w:eastAsia="宋体" w:cs="宋体"/>
                <w:color w:val="auto"/>
                <w:highlight w:val="none"/>
              </w:rPr>
            </w:pPr>
          </w:p>
        </w:tc>
        <w:tc>
          <w:tcPr>
            <w:tcW w:w="826" w:type="dxa"/>
            <w:vAlign w:val="center"/>
          </w:tcPr>
          <w:p>
            <w:pPr>
              <w:adjustRightInd w:val="0"/>
              <w:snapToGrid w:val="0"/>
              <w:ind w:firstLine="480"/>
              <w:jc w:val="center"/>
              <w:rPr>
                <w:rFonts w:hint="eastAsia" w:ascii="宋体" w:hAnsi="宋体" w:eastAsia="宋体" w:cs="宋体"/>
                <w:color w:val="auto"/>
                <w:highlight w:val="none"/>
              </w:rPr>
            </w:pPr>
          </w:p>
        </w:tc>
        <w:tc>
          <w:tcPr>
            <w:tcW w:w="1151" w:type="dxa"/>
            <w:vAlign w:val="center"/>
          </w:tcPr>
          <w:p>
            <w:pPr>
              <w:adjustRightInd w:val="0"/>
              <w:snapToGrid w:val="0"/>
              <w:ind w:firstLine="480"/>
              <w:jc w:val="center"/>
              <w:rPr>
                <w:rFonts w:hint="eastAsia" w:ascii="宋体" w:hAnsi="宋体" w:eastAsia="宋体" w:cs="宋体"/>
                <w:color w:val="auto"/>
                <w:highlight w:val="none"/>
              </w:rPr>
            </w:pPr>
          </w:p>
        </w:tc>
        <w:tc>
          <w:tcPr>
            <w:tcW w:w="1287" w:type="dxa"/>
            <w:vAlign w:val="center"/>
          </w:tcPr>
          <w:p>
            <w:pPr>
              <w:adjustRightInd w:val="0"/>
              <w:snapToGrid w:val="0"/>
              <w:ind w:firstLine="480"/>
              <w:jc w:val="center"/>
              <w:rPr>
                <w:rFonts w:hint="eastAsia" w:ascii="宋体" w:hAnsi="宋体" w:eastAsia="宋体" w:cs="宋体"/>
                <w:color w:val="auto"/>
                <w:highlight w:val="none"/>
              </w:rPr>
            </w:pPr>
          </w:p>
        </w:tc>
        <w:tc>
          <w:tcPr>
            <w:tcW w:w="1150" w:type="dxa"/>
            <w:vAlign w:val="center"/>
          </w:tcPr>
          <w:p>
            <w:pPr>
              <w:adjustRightInd w:val="0"/>
              <w:snapToGrid w:val="0"/>
              <w:ind w:firstLine="480"/>
              <w:jc w:val="center"/>
              <w:rPr>
                <w:rFonts w:hint="eastAsia" w:ascii="宋体" w:hAnsi="宋体" w:eastAsia="宋体" w:cs="宋体"/>
                <w:color w:val="auto"/>
                <w:highlight w:val="none"/>
              </w:rPr>
            </w:pPr>
          </w:p>
        </w:tc>
        <w:tc>
          <w:tcPr>
            <w:tcW w:w="1037" w:type="dxa"/>
            <w:vAlign w:val="center"/>
          </w:tcPr>
          <w:p>
            <w:pPr>
              <w:adjustRightInd w:val="0"/>
              <w:snapToGrid w:val="0"/>
              <w:ind w:firstLine="480"/>
              <w:jc w:val="center"/>
              <w:rPr>
                <w:rFonts w:hint="eastAsia" w:ascii="宋体" w:hAnsi="宋体" w:eastAsia="宋体" w:cs="宋体"/>
                <w:color w:val="auto"/>
                <w:highlight w:val="none"/>
              </w:rPr>
            </w:pPr>
          </w:p>
        </w:tc>
        <w:tc>
          <w:tcPr>
            <w:tcW w:w="789" w:type="dxa"/>
            <w:vAlign w:val="center"/>
          </w:tcPr>
          <w:p>
            <w:pPr>
              <w:adjustRightInd w:val="0"/>
              <w:snapToGrid w:val="0"/>
              <w:ind w:firstLine="480"/>
              <w:jc w:val="center"/>
              <w:rPr>
                <w:rFonts w:hint="eastAsia" w:ascii="宋体" w:hAnsi="宋体" w:eastAsia="宋体" w:cs="宋体"/>
                <w:color w:val="auto"/>
                <w:highlight w:val="none"/>
              </w:rPr>
            </w:pPr>
          </w:p>
        </w:tc>
      </w:tr>
    </w:tbl>
    <w:p>
      <w:pPr>
        <w:pStyle w:val="50"/>
        <w:autoSpaceDE/>
        <w:autoSpaceDN/>
        <w:snapToGrid w:val="0"/>
        <w:spacing w:line="360" w:lineRule="auto"/>
        <w:rPr>
          <w:rFonts w:hint="eastAsia" w:ascii="宋体" w:hAnsi="宋体" w:eastAsia="宋体" w:cs="宋体"/>
          <w:color w:val="auto"/>
          <w:highlight w:val="none"/>
        </w:rPr>
      </w:pPr>
    </w:p>
    <w:p>
      <w:pPr>
        <w:adjustRightInd w:val="0"/>
        <w:snapToGrid w:val="0"/>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注：表格不够供应商可自行增加。</w:t>
      </w:r>
    </w:p>
    <w:p>
      <w:pPr>
        <w:pStyle w:val="50"/>
        <w:autoSpaceDE/>
        <w:autoSpaceDN/>
        <w:snapToGrid w:val="0"/>
        <w:spacing w:line="360" w:lineRule="auto"/>
        <w:rPr>
          <w:rFonts w:hint="eastAsia" w:ascii="宋体" w:hAnsi="宋体" w:eastAsia="宋体" w:cs="宋体"/>
          <w:color w:val="auto"/>
          <w:highlight w:val="none"/>
        </w:rPr>
      </w:pPr>
    </w:p>
    <w:p>
      <w:pPr>
        <w:pStyle w:val="50"/>
        <w:autoSpaceDE/>
        <w:autoSpaceDN/>
        <w:snapToGrid w:val="0"/>
        <w:spacing w:line="360" w:lineRule="auto"/>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日  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pPr>
        <w:tabs>
          <w:tab w:val="left" w:pos="567"/>
        </w:tabs>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color w:val="auto"/>
          <w:highlight w:val="none"/>
        </w:rPr>
      </w:pPr>
    </w:p>
    <w:p>
      <w:pPr>
        <w:adjustRightInd w:val="0"/>
        <w:snapToGrid w:val="0"/>
        <w:ind w:firstLine="482"/>
        <w:jc w:val="center"/>
        <w:rPr>
          <w:rFonts w:hint="eastAsia" w:ascii="宋体" w:hAnsi="宋体" w:eastAsia="宋体" w:cs="宋体"/>
          <w:b/>
          <w:color w:val="auto"/>
          <w:highlight w:val="none"/>
        </w:rPr>
      </w:pPr>
    </w:p>
    <w:p>
      <w:pPr>
        <w:pStyle w:val="6"/>
        <w:ind w:left="0" w:leftChars="0" w:firstLine="0" w:firstLineChars="0"/>
        <w:rPr>
          <w:rFonts w:hint="eastAsia" w:ascii="宋体" w:hAnsi="宋体" w:eastAsia="宋体" w:cs="宋体"/>
          <w:color w:val="auto"/>
          <w:highlight w:val="none"/>
        </w:rPr>
      </w:pPr>
      <w:bookmarkStart w:id="289" w:name="_Toc31246"/>
      <w:r>
        <w:rPr>
          <w:rFonts w:hint="eastAsia" w:ascii="宋体" w:hAnsi="宋体" w:eastAsia="宋体" w:cs="宋体"/>
          <w:color w:val="auto"/>
          <w:highlight w:val="none"/>
        </w:rPr>
        <w:t>7.2.</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供应商类似项目业绩一览表</w:t>
      </w:r>
      <w:bookmarkEnd w:id="287"/>
      <w:bookmarkEnd w:id="288"/>
      <w:bookmarkEnd w:id="289"/>
    </w:p>
    <w:tbl>
      <w:tblPr>
        <w:tblStyle w:val="32"/>
        <w:tblW w:w="8381" w:type="dxa"/>
        <w:jc w:val="center"/>
        <w:tblLayout w:type="fixed"/>
        <w:tblCellMar>
          <w:top w:w="0" w:type="dxa"/>
          <w:left w:w="0" w:type="dxa"/>
          <w:bottom w:w="0" w:type="dxa"/>
          <w:right w:w="0" w:type="dxa"/>
        </w:tblCellMar>
      </w:tblPr>
      <w:tblGrid>
        <w:gridCol w:w="780"/>
        <w:gridCol w:w="1395"/>
        <w:gridCol w:w="1701"/>
        <w:gridCol w:w="1559"/>
        <w:gridCol w:w="1748"/>
        <w:gridCol w:w="1198"/>
      </w:tblGrid>
      <w:tr>
        <w:tblPrEx>
          <w:tblCellMar>
            <w:top w:w="0" w:type="dxa"/>
            <w:left w:w="0" w:type="dxa"/>
            <w:bottom w:w="0" w:type="dxa"/>
            <w:right w:w="0" w:type="dxa"/>
          </w:tblCellMar>
        </w:tblPrEx>
        <w:trPr>
          <w:cantSplit/>
          <w:trHeight w:val="600"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b/>
                <w:bCs/>
                <w:color w:val="auto"/>
                <w:highlight w:val="none"/>
              </w:rPr>
              <w:t>年份</w:t>
            </w: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b/>
                <w:bCs/>
                <w:color w:val="auto"/>
                <w:highlight w:val="none"/>
              </w:rPr>
              <w:t>用户名称</w:t>
            </w: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b/>
                <w:bCs/>
                <w:color w:val="auto"/>
                <w:highlight w:val="none"/>
              </w:rPr>
              <w:t>项目名称</w:t>
            </w: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b/>
                <w:bCs/>
                <w:color w:val="auto"/>
                <w:highlight w:val="none"/>
              </w:rPr>
              <w:t>合同签订时间</w:t>
            </w: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b/>
                <w:bCs/>
                <w:color w:val="auto"/>
                <w:highlight w:val="none"/>
              </w:rPr>
              <w:t>合同金额（元）</w:t>
            </w: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b/>
                <w:bCs/>
                <w:color w:val="auto"/>
                <w:highlight w:val="none"/>
              </w:rPr>
              <w:t>备注</w:t>
            </w: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nil"/>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cantSplit/>
          <w:trHeight w:val="554"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395"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c>
          <w:tcPr>
            <w:tcW w:w="119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ind w:firstLine="480"/>
              <w:jc w:val="center"/>
              <w:rPr>
                <w:rFonts w:hint="eastAsia" w:ascii="宋体" w:hAnsi="宋体" w:eastAsia="宋体" w:cs="宋体"/>
                <w:color w:val="auto"/>
                <w:highlight w:val="none"/>
              </w:rPr>
            </w:pPr>
          </w:p>
        </w:tc>
      </w:tr>
    </w:tbl>
    <w:p>
      <w:pPr>
        <w:adjustRightInd w:val="0"/>
        <w:snapToGrid w:val="0"/>
        <w:ind w:firstLine="0" w:firstLineChars="0"/>
        <w:rPr>
          <w:rFonts w:hint="eastAsia" w:ascii="宋体" w:hAnsi="宋体" w:eastAsia="宋体" w:cs="宋体"/>
          <w:b/>
          <w:bCs/>
          <w:color w:val="auto"/>
          <w:sz w:val="21"/>
          <w:szCs w:val="21"/>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注：1、以上业绩（仅限于供应商自己实施的）需提供相关证明材料。</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2、表格不够供应商可自行增加。</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50"/>
        <w:rPr>
          <w:rFonts w:hint="eastAsia" w:ascii="宋体" w:hAnsi="宋体" w:eastAsia="宋体" w:cs="宋体"/>
          <w:color w:val="auto"/>
          <w:szCs w:val="24"/>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日  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pPr>
        <w:ind w:firstLine="480"/>
        <w:rPr>
          <w:rFonts w:hint="eastAsia" w:ascii="宋体" w:hAnsi="宋体" w:eastAsia="宋体" w:cs="宋体"/>
          <w:color w:val="auto"/>
          <w:highlight w:val="none"/>
        </w:rPr>
      </w:pPr>
      <w:bookmarkStart w:id="290" w:name="_Toc7504"/>
      <w:r>
        <w:rPr>
          <w:rFonts w:hint="eastAsia" w:ascii="宋体" w:hAnsi="宋体" w:eastAsia="宋体" w:cs="宋体"/>
          <w:color w:val="auto"/>
          <w:highlight w:val="none"/>
        </w:rPr>
        <w:br w:type="page"/>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7.2.</w:t>
      </w:r>
      <w:bookmarkEnd w:id="290"/>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服务方案</w:t>
      </w:r>
    </w:p>
    <w:p>
      <w:pPr>
        <w:adjustRightInd w:val="0"/>
        <w:snapToGrid w:val="0"/>
        <w:ind w:firstLine="0" w:firstLineChars="0"/>
        <w:rPr>
          <w:rFonts w:hint="eastAsia" w:ascii="宋体" w:hAnsi="宋体" w:eastAsia="宋体" w:cs="宋体"/>
          <w:b/>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color w:val="auto"/>
          <w:highlight w:val="none"/>
          <w:u w:val="single"/>
        </w:rPr>
        <w:t xml:space="preserve">        </w:t>
      </w:r>
    </w:p>
    <w:p>
      <w:pPr>
        <w:adjustRightInd w:val="0"/>
        <w:snapToGrid w:val="0"/>
        <w:ind w:firstLine="0" w:firstLineChars="0"/>
        <w:rPr>
          <w:rFonts w:hint="eastAsia" w:ascii="宋体" w:hAnsi="宋体" w:eastAsia="宋体" w:cs="宋体"/>
          <w:bCs/>
          <w:color w:val="auto"/>
          <w:kern w:val="2"/>
          <w:highlight w:val="none"/>
          <w:u w:val="single"/>
        </w:rPr>
      </w:pPr>
      <w:r>
        <w:rPr>
          <w:rFonts w:hint="eastAsia" w:ascii="宋体" w:hAnsi="宋体" w:eastAsia="宋体" w:cs="宋体"/>
          <w:b/>
          <w:color w:val="auto"/>
          <w:highlight w:val="none"/>
        </w:rPr>
        <w:t>项目编号：</w:t>
      </w:r>
      <w:r>
        <w:rPr>
          <w:rFonts w:hint="eastAsia" w:ascii="宋体" w:hAnsi="宋体" w:eastAsia="宋体" w:cs="宋体"/>
          <w:b/>
          <w:color w:val="auto"/>
          <w:highlight w:val="none"/>
          <w:u w:val="single"/>
        </w:rPr>
        <w:t xml:space="preserve">        </w:t>
      </w: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注：此部分格式自拟。</w:t>
      </w: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日  期：</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7.2.1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其他资料</w:t>
      </w:r>
    </w:p>
    <w:p>
      <w:pPr>
        <w:adjustRightInd w:val="0"/>
        <w:snapToGrid w:val="0"/>
        <w:rPr>
          <w:rFonts w:hint="eastAsia" w:ascii="宋体" w:hAnsi="宋体" w:eastAsia="宋体" w:cs="宋体"/>
          <w:b/>
          <w:bCs/>
          <w:color w:val="auto"/>
          <w:sz w:val="28"/>
          <w:szCs w:val="28"/>
          <w:highlight w:val="none"/>
        </w:rPr>
      </w:pPr>
    </w:p>
    <w:p>
      <w:pPr>
        <w:adjustRightInd w:val="0"/>
        <w:snapToGrid w:val="0"/>
        <w:ind w:firstLine="482"/>
        <w:rPr>
          <w:rFonts w:hint="eastAsia" w:ascii="宋体" w:hAnsi="宋体" w:eastAsia="宋体" w:cs="宋体"/>
          <w:b/>
          <w:color w:val="auto"/>
          <w:highlight w:val="none"/>
        </w:rPr>
      </w:pPr>
    </w:p>
    <w:p>
      <w:pPr>
        <w:pStyle w:val="50"/>
        <w:autoSpaceDE/>
        <w:autoSpaceDN/>
        <w:snapToGrid w:val="0"/>
        <w:spacing w:line="360" w:lineRule="auto"/>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adjustRightInd w:val="0"/>
        <w:snapToGrid w:val="0"/>
        <w:ind w:firstLine="480"/>
        <w:rPr>
          <w:rFonts w:hint="eastAsia" w:ascii="宋体" w:hAnsi="宋体" w:eastAsia="宋体" w:cs="宋体"/>
          <w:color w:val="auto"/>
          <w:highlight w:val="none"/>
        </w:rPr>
      </w:pPr>
    </w:p>
    <w:p>
      <w:pPr>
        <w:pStyle w:val="50"/>
        <w:autoSpaceDE/>
        <w:autoSpaceDN/>
        <w:snapToGrid w:val="0"/>
        <w:spacing w:line="360" w:lineRule="auto"/>
        <w:rPr>
          <w:rFonts w:hint="eastAsia" w:ascii="宋体" w:hAnsi="宋体" w:eastAsia="宋体" w:cs="宋体"/>
          <w:color w:val="auto"/>
          <w:szCs w:val="24"/>
          <w:highlight w:val="none"/>
        </w:rPr>
      </w:pPr>
    </w:p>
    <w:p>
      <w:pPr>
        <w:pStyle w:val="50"/>
        <w:autoSpaceDE/>
        <w:autoSpaceDN/>
        <w:snapToGrid w:val="0"/>
        <w:spacing w:line="360" w:lineRule="auto"/>
        <w:rPr>
          <w:rFonts w:hint="eastAsia" w:ascii="宋体" w:hAnsi="宋体" w:eastAsia="宋体" w:cs="宋体"/>
          <w:color w:val="auto"/>
          <w:szCs w:val="24"/>
          <w:highlight w:val="none"/>
        </w:rPr>
      </w:pPr>
    </w:p>
    <w:p>
      <w:p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注：复印件加盖公章。</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附件：</w:t>
      </w:r>
    </w:p>
    <w:p>
      <w:pPr>
        <w:adjustRightInd w:val="0"/>
        <w:snapToGrid w:val="0"/>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磋商报价表（第</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次)</w:t>
      </w:r>
    </w:p>
    <w:p>
      <w:pPr>
        <w:adjustRightInd w:val="0"/>
        <w:snapToGrid w:val="0"/>
        <w:ind w:firstLine="0" w:firstLineChars="0"/>
        <w:rPr>
          <w:rFonts w:hint="eastAsia" w:ascii="宋体" w:hAnsi="宋体" w:eastAsia="宋体" w:cs="宋体"/>
          <w:b/>
          <w:color w:val="auto"/>
          <w:highlight w:val="none"/>
          <w:u w:val="single"/>
        </w:rPr>
      </w:pPr>
      <w:r>
        <w:rPr>
          <w:rFonts w:hint="eastAsia" w:ascii="宋体" w:hAnsi="宋体" w:eastAsia="宋体" w:cs="宋体"/>
          <w:b/>
          <w:color w:val="auto"/>
          <w:highlight w:val="none"/>
        </w:rPr>
        <w:t>项目名称：</w:t>
      </w:r>
      <w:r>
        <w:rPr>
          <w:rFonts w:hint="eastAsia" w:ascii="宋体" w:hAnsi="宋体" w:eastAsia="宋体" w:cs="宋体"/>
          <w:b/>
          <w:color w:val="auto"/>
          <w:highlight w:val="none"/>
          <w:u w:val="single"/>
        </w:rPr>
        <w:t xml:space="preserve">            </w:t>
      </w:r>
    </w:p>
    <w:p>
      <w:pPr>
        <w:adjustRightInd w:val="0"/>
        <w:snapToGrid w:val="0"/>
        <w:ind w:firstLine="0" w:firstLineChars="0"/>
        <w:rPr>
          <w:rFonts w:hint="eastAsia" w:ascii="宋体" w:hAnsi="宋体" w:eastAsia="宋体" w:cs="宋体"/>
          <w:color w:val="auto"/>
          <w:highlight w:val="none"/>
          <w:u w:val="single"/>
        </w:rPr>
      </w:pPr>
      <w:r>
        <w:rPr>
          <w:rFonts w:hint="eastAsia" w:ascii="宋体" w:hAnsi="宋体" w:eastAsia="宋体" w:cs="宋体"/>
          <w:b/>
          <w:color w:val="auto"/>
          <w:highlight w:val="none"/>
        </w:rPr>
        <w:t>项目编号：</w:t>
      </w:r>
      <w:r>
        <w:rPr>
          <w:rFonts w:hint="eastAsia" w:ascii="宋体" w:hAnsi="宋体" w:eastAsia="宋体" w:cs="宋体"/>
          <w:b/>
          <w:color w:val="auto"/>
          <w:highlight w:val="none"/>
          <w:u w:val="singl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32"/>
        <w:tblW w:w="825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493" w:type="dxa"/>
            <w:vAlign w:val="center"/>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次）</w:t>
            </w:r>
          </w:p>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b/>
                <w:bCs/>
                <w:color w:val="auto"/>
                <w:highlight w:val="none"/>
              </w:rPr>
              <w:t>磋商报价</w:t>
            </w:r>
          </w:p>
        </w:tc>
        <w:tc>
          <w:tcPr>
            <w:tcW w:w="6757" w:type="dxa"/>
            <w:vAlign w:val="center"/>
          </w:tcPr>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人民币小写：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pPr>
              <w:adjustRightInd w:val="0"/>
              <w:snapToGrid w:val="0"/>
              <w:ind w:firstLine="480"/>
              <w:rPr>
                <w:rFonts w:hint="eastAsia" w:ascii="宋体" w:hAnsi="宋体" w:eastAsia="宋体" w:cs="宋体"/>
                <w:color w:val="auto"/>
                <w:highlight w:val="none"/>
              </w:rPr>
            </w:pPr>
          </w:p>
          <w:p>
            <w:pPr>
              <w:pStyle w:val="50"/>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人民币大写：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493" w:type="dxa"/>
            <w:vAlign w:val="center"/>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最   后</w:t>
            </w:r>
          </w:p>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b/>
                <w:color w:val="auto"/>
                <w:highlight w:val="none"/>
              </w:rPr>
              <w:t>磋商报价</w:t>
            </w:r>
          </w:p>
        </w:tc>
        <w:tc>
          <w:tcPr>
            <w:tcW w:w="6757" w:type="dxa"/>
            <w:vAlign w:val="center"/>
          </w:tcPr>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人民币小写：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pPr>
              <w:adjustRightInd w:val="0"/>
              <w:snapToGrid w:val="0"/>
              <w:ind w:firstLine="480"/>
              <w:rPr>
                <w:rFonts w:hint="eastAsia" w:ascii="宋体" w:hAnsi="宋体" w:eastAsia="宋体" w:cs="宋体"/>
                <w:color w:val="auto"/>
                <w:highlight w:val="none"/>
              </w:rPr>
            </w:pPr>
          </w:p>
          <w:p>
            <w:pPr>
              <w:pStyle w:val="50"/>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人民币大写：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93" w:type="dxa"/>
            <w:vAlign w:val="center"/>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备   注</w:t>
            </w:r>
          </w:p>
        </w:tc>
        <w:tc>
          <w:tcPr>
            <w:tcW w:w="6757" w:type="dxa"/>
            <w:vAlign w:val="center"/>
          </w:tcPr>
          <w:p>
            <w:pPr>
              <w:adjustRightInd w:val="0"/>
              <w:snapToGrid w:val="0"/>
              <w:ind w:firstLine="480"/>
              <w:rPr>
                <w:rFonts w:hint="eastAsia" w:ascii="宋体" w:hAnsi="宋体" w:eastAsia="宋体" w:cs="宋体"/>
                <w:color w:val="auto"/>
                <w:highlight w:val="none"/>
              </w:rPr>
            </w:pPr>
          </w:p>
        </w:tc>
      </w:tr>
    </w:tbl>
    <w:p>
      <w:pPr>
        <w:pStyle w:val="50"/>
        <w:autoSpaceDE/>
        <w:autoSpaceDN/>
        <w:snapToGrid w:val="0"/>
        <w:spacing w:line="360" w:lineRule="auto"/>
        <w:jc w:val="both"/>
        <w:rPr>
          <w:rFonts w:hint="eastAsia" w:ascii="宋体" w:hAnsi="宋体" w:eastAsia="宋体" w:cs="宋体"/>
          <w:color w:val="auto"/>
          <w:szCs w:val="24"/>
          <w:highlight w:val="none"/>
        </w:rPr>
      </w:pP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napToGrid w:val="0"/>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法定代表人</w:t>
      </w:r>
      <w:r>
        <w:rPr>
          <w:rFonts w:hint="eastAsia" w:ascii="宋体" w:hAnsi="宋体" w:eastAsia="宋体" w:cs="宋体"/>
          <w:color w:val="auto"/>
          <w:highlight w:val="none"/>
        </w:rPr>
        <w:t>（单位负责人）</w:t>
      </w:r>
      <w:r>
        <w:rPr>
          <w:rFonts w:hint="eastAsia" w:ascii="宋体" w:hAnsi="宋体" w:eastAsia="宋体" w:cs="宋体"/>
          <w:bCs/>
          <w:color w:val="auto"/>
          <w:highlight w:val="none"/>
        </w:rPr>
        <w:t>或授权代表（签字或盖章）：</w:t>
      </w:r>
      <w:r>
        <w:rPr>
          <w:rFonts w:hint="eastAsia" w:ascii="宋体" w:hAnsi="宋体" w:eastAsia="宋体" w:cs="宋体"/>
          <w:bCs/>
          <w:color w:val="auto"/>
          <w:highlight w:val="none"/>
          <w:u w:val="single"/>
        </w:rPr>
        <w:t xml:space="preserve">          </w:t>
      </w:r>
    </w:p>
    <w:p>
      <w:pPr>
        <w:pStyle w:val="5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pStyle w:val="55"/>
        <w:adjustRightInd w:val="0"/>
        <w:snapToGrid w:val="0"/>
        <w:ind w:firstLine="480"/>
        <w:rPr>
          <w:rFonts w:hint="eastAsia" w:ascii="宋体" w:hAnsi="宋体" w:eastAsia="宋体" w:cs="宋体"/>
          <w:color w:val="auto"/>
          <w:sz w:val="24"/>
          <w:szCs w:val="24"/>
          <w:highlight w:val="none"/>
        </w:rPr>
      </w:pPr>
    </w:p>
    <w:p>
      <w:pPr>
        <w:ind w:firstLine="422"/>
        <w:rPr>
          <w:rFonts w:hint="eastAsia" w:ascii="宋体" w:hAnsi="宋体" w:eastAsia="宋体" w:cs="宋体"/>
          <w:b/>
          <w:bCs/>
          <w:color w:val="auto"/>
          <w:sz w:val="21"/>
          <w:szCs w:val="21"/>
          <w:highlight w:val="none"/>
        </w:rPr>
      </w:pP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1.供应商可不在响应文件中填写报价表。此表由供应商签字确认或盖上鲜章后到磋商现场经磋商后再填写，经供应商法定代表人或授权代表签字后密封递交给采购代理机构工作人员，由其收集齐后集中递交磋商小组。</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2.所有报价均用人民币表示,供应商报价应包含完成本项目所需的一切费用。</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3.报价保留小数点后两位。</w:t>
      </w:r>
    </w:p>
    <w:p>
      <w:pPr>
        <w:ind w:firstLine="422"/>
        <w:rPr>
          <w:rFonts w:hint="eastAsia" w:ascii="宋体" w:hAnsi="宋体" w:eastAsia="宋体" w:cs="宋体"/>
          <w:bCs/>
          <w:color w:val="auto"/>
          <w:highlight w:val="none"/>
        </w:rPr>
      </w:pPr>
      <w:r>
        <w:rPr>
          <w:rFonts w:hint="eastAsia" w:ascii="宋体" w:hAnsi="宋体" w:eastAsia="宋体" w:cs="宋体"/>
          <w:b/>
          <w:bCs/>
          <w:color w:val="auto"/>
          <w:sz w:val="21"/>
          <w:szCs w:val="21"/>
          <w:highlight w:val="none"/>
        </w:rPr>
        <w:t>4.为方便报价，供应商应携带多份签字确认或加盖鲜章的报价表现场填写。</w:t>
      </w:r>
    </w:p>
    <w:p>
      <w:pPr>
        <w:ind w:firstLine="422"/>
        <w:rPr>
          <w:rFonts w:hint="eastAsia" w:ascii="宋体" w:hAnsi="宋体" w:eastAsia="宋体" w:cs="宋体"/>
          <w:b/>
          <w:bCs/>
          <w:color w:val="auto"/>
          <w:sz w:val="21"/>
          <w:szCs w:val="21"/>
          <w:highlight w:val="none"/>
        </w:rPr>
      </w:pPr>
    </w:p>
    <w:p>
      <w:pPr>
        <w:adjustRightInd w:val="0"/>
        <w:snapToGrid w:val="0"/>
        <w:ind w:firstLine="480"/>
        <w:rPr>
          <w:rFonts w:hint="eastAsia" w:ascii="宋体" w:hAnsi="宋体" w:eastAsia="宋体" w:cs="宋体"/>
          <w:color w:val="auto"/>
          <w:highlight w:val="none"/>
        </w:rPr>
      </w:pPr>
    </w:p>
    <w:bookmarkEnd w:id="7"/>
    <w:bookmarkEnd w:id="8"/>
    <w:bookmarkEnd w:id="9"/>
    <w:bookmarkEnd w:id="10"/>
    <w:bookmarkEnd w:id="223"/>
    <w:bookmarkEnd w:id="224"/>
    <w:bookmarkEnd w:id="225"/>
    <w:bookmarkEnd w:id="226"/>
    <w:bookmarkEnd w:id="227"/>
    <w:bookmarkEnd w:id="228"/>
    <w:bookmarkEnd w:id="229"/>
    <w:bookmarkEnd w:id="230"/>
    <w:p>
      <w:pPr>
        <w:pStyle w:val="4"/>
        <w:rPr>
          <w:rFonts w:hint="eastAsia" w:ascii="宋体" w:hAnsi="宋体" w:eastAsia="宋体" w:cs="宋体"/>
          <w:color w:val="auto"/>
          <w:highlight w:val="none"/>
        </w:rPr>
      </w:pPr>
      <w:bookmarkStart w:id="291" w:name="_Toc19124"/>
      <w:bookmarkStart w:id="292" w:name="_Toc13821"/>
      <w:bookmarkStart w:id="293" w:name="_Toc22504"/>
      <w:bookmarkStart w:id="294" w:name="_Toc20946"/>
      <w:bookmarkStart w:id="295" w:name="_Toc2513"/>
      <w:bookmarkStart w:id="296" w:name="_Toc30399"/>
      <w:bookmarkStart w:id="297" w:name="_Toc12332"/>
      <w:bookmarkStart w:id="298" w:name="_Toc31563"/>
      <w:bookmarkStart w:id="299" w:name="_Toc6078"/>
      <w:bookmarkStart w:id="300" w:name="_Toc14566"/>
      <w:r>
        <w:rPr>
          <w:rFonts w:hint="eastAsia" w:ascii="宋体" w:hAnsi="宋体" w:eastAsia="宋体" w:cs="宋体"/>
          <w:color w:val="auto"/>
          <w:highlight w:val="none"/>
        </w:rPr>
        <w:t>第八章 评审方法</w:t>
      </w:r>
      <w:bookmarkEnd w:id="291"/>
      <w:bookmarkEnd w:id="292"/>
      <w:bookmarkEnd w:id="293"/>
      <w:bookmarkEnd w:id="294"/>
      <w:bookmarkEnd w:id="295"/>
      <w:bookmarkEnd w:id="296"/>
      <w:bookmarkEnd w:id="297"/>
      <w:bookmarkStart w:id="301" w:name="_Toc209847065"/>
      <w:bookmarkStart w:id="302" w:name="_Toc101174146"/>
      <w:bookmarkStart w:id="303" w:name="_Toc101338358"/>
      <w:bookmarkStart w:id="304" w:name="_Toc101250640"/>
      <w:bookmarkStart w:id="305" w:name="_Toc430773924"/>
    </w:p>
    <w:p>
      <w:pPr>
        <w:pStyle w:val="5"/>
        <w:rPr>
          <w:rFonts w:hint="eastAsia" w:ascii="宋体" w:hAnsi="宋体" w:eastAsia="宋体" w:cs="宋体"/>
          <w:color w:val="auto"/>
          <w:highlight w:val="none"/>
        </w:rPr>
      </w:pPr>
      <w:bookmarkStart w:id="306" w:name="_Toc26037"/>
      <w:bookmarkStart w:id="307" w:name="_Toc20459"/>
      <w:r>
        <w:rPr>
          <w:rFonts w:hint="eastAsia" w:ascii="宋体" w:hAnsi="宋体" w:eastAsia="宋体" w:cs="宋体"/>
          <w:color w:val="auto"/>
          <w:highlight w:val="none"/>
        </w:rPr>
        <w:t>8.1.总则</w:t>
      </w:r>
      <w:bookmarkEnd w:id="306"/>
      <w:bookmarkEnd w:id="30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8.1.1 根据《中华人民共和国政府采购法》、《中华人民共和国政府采购法实施条例》、《政府采购竞争性磋商采购方式管理暂行办法》等法律制度，结合本采购项目特点制定本磋商方法。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8.1.2 磋商工作由采购代理机构负责组织，具体磋商由采购代理机构依法组建的磋商小组负责。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8.1.3 磋商工作应遵循公平、公正、科学及择优的原则，并以相同的磋商程序和标准对待所有的供应商。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8.1.4 磋商小组按照磋商文件规定的磋商程序、评分方法和标准进行评审，并独立履行下列职责：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（一）熟悉和理解磋商文件，确定磋商文件内容是否违反国家有关强制性规定或者磋商文件存在歧义、重大缺陷，根据需要书面要求采购人、采购代理机构对磋商文件作出解释；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（二）审查供应商响应文件是否满足磋商文件要求，并作出公正评价；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（三）根据需要要求供应商对响应文件中含义不明确、同类问题表述不一致或者有明显文字和计算错误的内容等作出必要的澄清、说明或者更正；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（四）推荐成交供应商，或者受采购人委托确定成交供应商；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（五）起草评审报告并进行签署；</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（六）向采购人/采购代理机构、财政部门或者其他监督部门报告非法干预评审工作的行为；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（七）法律、法规和规章规定的其他职责。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8.1.5 （实质性要求）磋商过程独立、保密。供应商非法干预磋商过程的，其响应文件作无效处理。</w:t>
      </w:r>
    </w:p>
    <w:p>
      <w:pPr>
        <w:pStyle w:val="5"/>
        <w:rPr>
          <w:rFonts w:hint="eastAsia" w:ascii="宋体" w:hAnsi="宋体" w:eastAsia="宋体" w:cs="宋体"/>
          <w:color w:val="auto"/>
          <w:highlight w:val="none"/>
        </w:rPr>
      </w:pPr>
      <w:bookmarkStart w:id="308" w:name="_Toc30472"/>
      <w:bookmarkStart w:id="309" w:name="_Toc2888"/>
      <w:r>
        <w:rPr>
          <w:rFonts w:hint="eastAsia" w:ascii="宋体" w:hAnsi="宋体" w:eastAsia="宋体" w:cs="宋体"/>
          <w:color w:val="auto"/>
          <w:highlight w:val="none"/>
        </w:rPr>
        <w:t>8.2.磋商程序</w:t>
      </w:r>
      <w:bookmarkEnd w:id="308"/>
      <w:bookmarkEnd w:id="309"/>
      <w:bookmarkStart w:id="310" w:name="_Toc2531"/>
    </w:p>
    <w:p>
      <w:pPr>
        <w:pStyle w:val="6"/>
        <w:rPr>
          <w:rFonts w:hint="eastAsia" w:ascii="宋体" w:hAnsi="宋体" w:eastAsia="宋体" w:cs="宋体"/>
          <w:color w:val="auto"/>
          <w:highlight w:val="none"/>
        </w:rPr>
      </w:pPr>
      <w:r>
        <w:rPr>
          <w:rFonts w:hint="eastAsia" w:ascii="宋体" w:hAnsi="宋体" w:eastAsia="宋体" w:cs="宋体"/>
          <w:color w:val="auto"/>
          <w:highlight w:val="none"/>
        </w:rPr>
        <w:t>8.2.1审查磋商文件和停止评审</w:t>
      </w:r>
      <w:bookmarkEnd w:id="31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8.2.1.1 磋商小组正式评审前，应当对磋商文件进行熟悉和理解，内容主要包括磋商文件中供应商资格条件要求、采购项目技术、服务和商务要求、磋商办法和标准、政府采购政策要求以及政府采购合同主要条款等。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8.2.1.2 本磋商文件有下列情形之一的，磋商小组应当停止评审：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（1）磋商文件的规定存在歧义、重大缺陷的；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（2）磋商文件明显以不合理条件对供应商实行差别待遇或者歧视待遇的；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（3）采购项目属于国家规定的优先、强制采购范围，但是磋商文件未依法体现优先、强制采购相关规定的；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（4）采购项目属于政府采购促进中小企业发展的范围，但是磋商文件未依法体现促进中小企业发展相关规定的；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（5）磋商文件将供应商的资格条件列为评分因素的；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（6）磋商文件有违反国家其他有关强制性规定的情形。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8.2.1.3 出现本条8.2.1.2规定应当停止评审情形的，磋商小组应当向采购人书面说明情况。除本条规定的情形外，磋商小组不得以任何方式和理由停止评审。</w:t>
      </w:r>
    </w:p>
    <w:p>
      <w:pPr>
        <w:pStyle w:val="6"/>
        <w:rPr>
          <w:rFonts w:hint="eastAsia" w:ascii="宋体" w:hAnsi="宋体" w:eastAsia="宋体" w:cs="宋体"/>
          <w:color w:val="auto"/>
          <w:highlight w:val="none"/>
        </w:rPr>
      </w:pPr>
      <w:bookmarkStart w:id="311" w:name="_Toc12016"/>
      <w:r>
        <w:rPr>
          <w:rFonts w:hint="eastAsia" w:ascii="宋体" w:hAnsi="宋体" w:eastAsia="宋体" w:cs="宋体"/>
          <w:color w:val="auto"/>
          <w:highlight w:val="none"/>
        </w:rPr>
        <w:t>8.2.2资格性审查</w:t>
      </w:r>
      <w:bookmarkEnd w:id="31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8.2.2.1本项目需要磋商小组进行资格性审查。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磋商小组应依据法律法规和磋商文件的规定，对响应文件是否按照规定要求提供资格性证明材料、是否属于禁止参加磋商的供应商等进行审查，以确定供应商是否具备磋商资格。</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供应商资格审查的标准</w:t>
      </w:r>
      <w:r>
        <w:rPr>
          <w:rFonts w:hint="eastAsia" w:ascii="宋体" w:hAnsi="宋体" w:eastAsia="宋体" w:cs="宋体"/>
          <w:color w:val="auto"/>
          <w:highlight w:val="none"/>
        </w:rPr>
        <w:t>：</w:t>
      </w:r>
    </w:p>
    <w:tbl>
      <w:tblPr>
        <w:tblStyle w:val="32"/>
        <w:tblW w:w="8283"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25"/>
        <w:gridCol w:w="4998"/>
        <w:gridCol w:w="8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adjustRightInd w:val="0"/>
              <w:snapToGrid w:val="0"/>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25" w:type="dxa"/>
            <w:vAlign w:val="center"/>
          </w:tcPr>
          <w:p>
            <w:pPr>
              <w:adjustRightInd w:val="0"/>
              <w:snapToGrid w:val="0"/>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4998" w:type="dxa"/>
            <w:vAlign w:val="center"/>
          </w:tcPr>
          <w:p>
            <w:pPr>
              <w:adjustRightInd w:val="0"/>
              <w:snapToGrid w:val="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合格条件</w:t>
            </w:r>
          </w:p>
        </w:tc>
        <w:tc>
          <w:tcPr>
            <w:tcW w:w="881" w:type="dxa"/>
            <w:vAlign w:val="center"/>
          </w:tcPr>
          <w:p>
            <w:pPr>
              <w:adjustRightInd w:val="0"/>
              <w:snapToGrid w:val="0"/>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结论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tc>
        <w:tc>
          <w:tcPr>
            <w:tcW w:w="4998"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①企业法人：提交“统一社会信用代码的营业执照”；</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②事业法人：提交“统一社会信用代码的事业单位法人证书”；</w:t>
            </w:r>
          </w:p>
          <w:p>
            <w:pPr>
              <w:ind w:firstLine="0" w:firstLineChars="0"/>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val="en-US" w:eastAsia="zh-CN" w:bidi="ar-SA"/>
              </w:rPr>
              <w:t>③其他组织：提交“相关主管部门颁发的准许执业证明文件或其他证明材料”</w:t>
            </w:r>
            <w:r>
              <w:rPr>
                <w:rFonts w:hint="eastAsia" w:cs="宋体"/>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1"/>
                <w:szCs w:val="21"/>
                <w:highlight w:val="none"/>
              </w:rPr>
            </w:pPr>
            <w:r>
              <w:rPr>
                <w:rFonts w:hint="eastAsia"/>
                <w:color w:val="auto"/>
                <w:sz w:val="21"/>
                <w:szCs w:val="21"/>
                <w:highlight w:val="none"/>
              </w:rPr>
              <w:t>（提供复印件加盖公章。）</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w:t>
            </w:r>
          </w:p>
        </w:tc>
        <w:tc>
          <w:tcPr>
            <w:tcW w:w="4998" w:type="dxa"/>
            <w:vAlign w:val="center"/>
          </w:tcPr>
          <w:p>
            <w:pPr>
              <w:pStyle w:val="91"/>
              <w:tabs>
                <w:tab w:val="left" w:pos="709"/>
                <w:tab w:val="left" w:pos="993"/>
              </w:tabs>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具有健全的财务会计制度</w:t>
            </w:r>
          </w:p>
        </w:tc>
        <w:tc>
          <w:tcPr>
            <w:tcW w:w="4998" w:type="dxa"/>
            <w:vAlign w:val="center"/>
          </w:tcPr>
          <w:p>
            <w:pPr>
              <w:pStyle w:val="91"/>
              <w:tabs>
                <w:tab w:val="left" w:pos="709"/>
                <w:tab w:val="left" w:pos="993"/>
              </w:tabs>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注：①可提供2019或2020年度经审计的财务报告复印件（包含审计报告、审计报告中所涉及的财务报表和报表附注）；②也可提供2020或2021年供应商内部的财务报表复印件（至少包含资产负债表）；③也可提供响应文件递交截止日前一年内银行出具的有效资信证明；④供应商注册时间距响应文件递交截止日不足一年的，也可提供在行政主管部门备案的公司章程复印件。(提供复印件加盖公章)</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具备履行合同所必需的设备和专业技术能力</w:t>
            </w:r>
          </w:p>
        </w:tc>
        <w:tc>
          <w:tcPr>
            <w:tcW w:w="4998" w:type="dxa"/>
            <w:vAlign w:val="center"/>
          </w:tcPr>
          <w:p>
            <w:pPr>
              <w:pStyle w:val="62"/>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tc>
        <w:tc>
          <w:tcPr>
            <w:tcW w:w="4998" w:type="dxa"/>
            <w:vAlign w:val="center"/>
          </w:tcPr>
          <w:p>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缴纳税收：提供2021年1月（含）以来任意时段（至少1个月）的缴纳税收的银行电子回单或者税务部门出具的纳税证明或完税证明或有效票据的复印件【1.复印件加盖公章；2.依法免税的供应商，应提供相应文件证明其依法免税（不含供应商承诺）】；</w:t>
            </w:r>
          </w:p>
          <w:p>
            <w:pPr>
              <w:pStyle w:val="62"/>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②缴纳社会保障资金：提供2021年1月（含）以来任意时段（至少1个月）的缴纳社保的银行电子回单或社保部门出具的社保缴纳证明材料或有效票据复印件（复印件加盖公章）。</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4998" w:type="dxa"/>
            <w:vAlign w:val="center"/>
          </w:tcPr>
          <w:p>
            <w:pPr>
              <w:pStyle w:val="62"/>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tc>
        <w:tc>
          <w:tcPr>
            <w:tcW w:w="4998" w:type="dxa"/>
            <w:vAlign w:val="center"/>
          </w:tcPr>
          <w:p>
            <w:pPr>
              <w:pStyle w:val="62"/>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881" w:type="dxa"/>
            <w:vAlign w:val="center"/>
          </w:tcPr>
          <w:p>
            <w:pPr>
              <w:adjustRightInd w:val="0"/>
              <w:snapToGrid w:val="0"/>
              <w:ind w:firstLine="449" w:firstLineChars="214"/>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本项目专门面向中小企业（监狱企业、残疾人福利性单位视同小微企业）采购</w:t>
            </w:r>
          </w:p>
        </w:tc>
        <w:tc>
          <w:tcPr>
            <w:tcW w:w="4998" w:type="dxa"/>
            <w:vAlign w:val="center"/>
          </w:tcPr>
          <w:p>
            <w:pPr>
              <w:adjustRightInd w:val="0"/>
              <w:snapToGrid w:val="0"/>
              <w:ind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提供中小企业声明函或监狱企业证明文件或残疾人福利性单位声明函</w:t>
            </w:r>
          </w:p>
        </w:tc>
        <w:tc>
          <w:tcPr>
            <w:tcW w:w="881" w:type="dxa"/>
            <w:vAlign w:val="center"/>
          </w:tcPr>
          <w:p>
            <w:pPr>
              <w:adjustRightInd w:val="0"/>
              <w:snapToGrid w:val="0"/>
              <w:ind w:firstLine="449" w:firstLineChars="214"/>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numPr>
                <w:ilvl w:val="0"/>
                <w:numId w:val="0"/>
              </w:numPr>
              <w:ind w:left="0" w:leftChars="0" w:firstLine="0" w:firstLineChars="0"/>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eastAsia="zh-CN"/>
              </w:rPr>
              <w:t>供应商具有建设行政主管部门颁发的建设工程质量检测机构资质证书（专业范围至少包含：地基基础工程检测、主体结构工程检测）和市场监管部门颁发的检验检测机构资质认定证书</w:t>
            </w:r>
          </w:p>
        </w:tc>
        <w:tc>
          <w:tcPr>
            <w:tcW w:w="4998"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提供复印件加盖公章</w:t>
            </w:r>
          </w:p>
          <w:p>
            <w:pPr>
              <w:adjustRightInd w:val="0"/>
              <w:snapToGrid w:val="0"/>
              <w:ind w:firstLine="0" w:firstLineChars="0"/>
              <w:jc w:val="both"/>
              <w:rPr>
                <w:rFonts w:hint="eastAsia" w:ascii="宋体" w:hAnsi="宋体" w:eastAsia="宋体" w:cs="宋体"/>
                <w:color w:val="auto"/>
                <w:sz w:val="21"/>
                <w:szCs w:val="21"/>
                <w:highlight w:val="none"/>
                <w:lang w:val="en-US" w:eastAsia="zh-CN" w:bidi="ar-SA"/>
              </w:rPr>
            </w:pPr>
          </w:p>
        </w:tc>
        <w:tc>
          <w:tcPr>
            <w:tcW w:w="881" w:type="dxa"/>
            <w:vAlign w:val="center"/>
          </w:tcPr>
          <w:p>
            <w:pPr>
              <w:adjustRightInd w:val="0"/>
              <w:snapToGrid w:val="0"/>
              <w:ind w:firstLine="449" w:firstLineChars="214"/>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无行贿犯罪记录</w:t>
            </w:r>
          </w:p>
        </w:tc>
        <w:tc>
          <w:tcPr>
            <w:tcW w:w="4998"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提供供应商及其现任法定代表人/主要负责人在参加政府采购活动前三年内无行贿犯罪记录的承诺函原件</w:t>
            </w:r>
          </w:p>
        </w:tc>
        <w:tc>
          <w:tcPr>
            <w:tcW w:w="881" w:type="dxa"/>
            <w:vAlign w:val="center"/>
          </w:tcPr>
          <w:p>
            <w:pPr>
              <w:adjustRightInd w:val="0"/>
              <w:snapToGrid w:val="0"/>
              <w:ind w:firstLine="449" w:firstLineChars="214"/>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供应商依据采购公告获取了本项目竞争性磋商文件</w:t>
            </w:r>
          </w:p>
        </w:tc>
        <w:tc>
          <w:tcPr>
            <w:tcW w:w="4998"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由采购代理机构提供供应商获取了磋商文件情况的相关证明材料，供应商不需要提供其他证明材料</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提供法定代表人（单位负责人）身份证明书原件及法定代表人（单位负责人）身份证复印件或护照复印件</w:t>
            </w:r>
          </w:p>
        </w:tc>
        <w:tc>
          <w:tcPr>
            <w:tcW w:w="4998"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①法定代表人（单位负责人）身份证明书原件；②法定代表人（单位负责人）身份证复印件（在有效期内, 身份证两面均应复印）或护照复印件（供应商的法定代表人（单位负责人）为外籍人士的，按此提供）；③满足磋商文件的要求。</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提供法定代表人（单位负责人）授权书原件及授权代表身份证明材料复印件</w:t>
            </w:r>
          </w:p>
        </w:tc>
        <w:tc>
          <w:tcPr>
            <w:tcW w:w="4998"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①法定代表人授权书原件需加盖公章；②授权代表身份证复印件（在有效期内,身份证两面均应复印）；③满足磋商文件的要求；④如响应文件均由供应商法定代表人（单位负责人）签字的则可不提供。</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numPr>
                <w:ilvl w:val="0"/>
                <w:numId w:val="9"/>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72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供应商未提供本项目整体设计、规范编制或者项目管理、监理、检测等服务</w:t>
            </w:r>
          </w:p>
        </w:tc>
        <w:tc>
          <w:tcPr>
            <w:tcW w:w="4998"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881"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283" w:type="dxa"/>
            <w:gridSpan w:val="4"/>
            <w:vAlign w:val="center"/>
          </w:tcPr>
          <w:p>
            <w:pPr>
              <w:adjustRightInd w:val="0"/>
              <w:snapToGrid w:val="0"/>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说明：结论填写“合格”或“不合格”，结论均为“合格”才能允许参加磋商，如结论中有一项为“不合格”，则淘汰该供应商并不允许其参加磋商。</w:t>
            </w:r>
          </w:p>
        </w:tc>
      </w:tr>
    </w:tbl>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8.2.2.2资格性审查结束后，磋商小组应当出具资格性审查报告，没有通过资格审查的供应商，磋商小组应当在资格审查报告中说明原因。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8.2.2.3采购代理机构宣布未通过资格性审查的供应商名单时，应当告知供应商未通过审查的原因。</w:t>
      </w:r>
    </w:p>
    <w:p>
      <w:pPr>
        <w:pStyle w:val="6"/>
        <w:rPr>
          <w:rFonts w:hint="eastAsia" w:ascii="宋体" w:hAnsi="宋体" w:eastAsia="宋体" w:cs="宋体"/>
          <w:color w:val="auto"/>
          <w:highlight w:val="none"/>
        </w:rPr>
      </w:pPr>
      <w:bookmarkStart w:id="312" w:name="_Toc1114"/>
      <w:r>
        <w:rPr>
          <w:rFonts w:hint="eastAsia" w:ascii="宋体" w:hAnsi="宋体" w:eastAsia="宋体" w:cs="宋体"/>
          <w:color w:val="auto"/>
          <w:highlight w:val="none"/>
        </w:rPr>
        <w:t>8.2.3 通过资格性审查的供应商不足3家的，终止本次采购活动，并发布终止采购活动公告。</w:t>
      </w:r>
      <w:bookmarkEnd w:id="31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8.2.3.1磋商小组应依据磋商文件规定的实质性要求，对符合资格的响应文件进行有效性、完整性和响应程度审查，以确定参加磋商的供应商名单。</w:t>
      </w:r>
    </w:p>
    <w:p>
      <w:pPr>
        <w:pStyle w:val="6"/>
        <w:rPr>
          <w:rFonts w:hint="eastAsia" w:ascii="宋体" w:hAnsi="宋体" w:eastAsia="宋体" w:cs="宋体"/>
          <w:color w:val="auto"/>
          <w:highlight w:val="none"/>
        </w:rPr>
      </w:pPr>
      <w:bookmarkStart w:id="313" w:name="_Toc222"/>
      <w:r>
        <w:rPr>
          <w:rFonts w:hint="eastAsia" w:ascii="宋体" w:hAnsi="宋体" w:eastAsia="宋体" w:cs="宋体"/>
          <w:color w:val="auto"/>
          <w:highlight w:val="none"/>
        </w:rPr>
        <w:t>8.2.4磋商</w:t>
      </w:r>
      <w:bookmarkEnd w:id="31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8.2.4.1磋商小组所有成员集中与单一供应商分别进行一轮或多轮磋商，并给予所有参加磋商的供应商平等的磋商机会。磋商顺序以现场抽签的方式确定。磋商过程中，磋商小组可以根据磋商情况调整磋商轮次。</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特别提示：</w:t>
      </w:r>
      <w:r>
        <w:rPr>
          <w:rFonts w:hint="eastAsia" w:ascii="宋体" w:hAnsi="宋体" w:eastAsia="宋体" w:cs="宋体"/>
          <w:b/>
          <w:bCs/>
          <w:color w:val="auto"/>
          <w:highlight w:val="none"/>
          <w:u w:val="single"/>
        </w:rPr>
        <w:t>参加磋商的供应商法定代表人（单位负责人）（法定代表人/单位负责人亲自参与磋商的）或其授权代表应持本人有效身份证明原件进入评标室与磋商小组进行磋商</w:t>
      </w:r>
      <w:r>
        <w:rPr>
          <w:rFonts w:hint="eastAsia" w:ascii="宋体" w:hAnsi="宋体" w:eastAsia="宋体" w:cs="宋体"/>
          <w:b/>
          <w:bCs/>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8.2.4.2每轮磋商开始前，磋商小组应根据磋商文件的规定，并结合各供应商的响应文件拟定磋商内容。磋商内容为项目技术、服务及合同条款等内容。其中第五章中加★号的条款为采购项目的最低要求（实质性要求），为非磋商可以降低标准的内容。</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8.2.4.3在磋商过程中，磋商小组可以根据磋商文件和磋商情况实质性变动磋商文件中的第五章技术、服务要求和第九章合同草案条款，但不得变动磋商文件中的其他内容。实质性变动的内容，须经采购人代表书面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8.2.4.4对磋商文件作出的实质性变动是磋商文件的有效组成部分，磋商小组应当及时以书面形式同时通知所有参加磋商的供应商。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8.2.4.5磋商过程中，磋商文件变动的，供应商应当按照磋商文件的变动情况和磋商小组的要求重新提交响应文件，并由其法定代表人（单位负责人）或授权代表签字或者加盖公章。由授权代表签字的，应当附法定代表人（单位负责人）授权书。供应商为自然人的，应当由本人签字并附身份证明。（注：要求供应商重新提交的响应文件，不必按照首次提交的响应文件内容格式提交，只需供应商就变动的内容提交相应的响应文件）。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8.2.4.6磋商过程中，磋商的任何一方不得透露与磋商有关的其他供应商的技术资料、价格和其他信息。</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8.2.4.7磋商过程中，磋商小组发现或者知晓供应商存在违法、违纪行为的，磋商小组应当将该供应商响应文件作无效处理，不允许其提交最后报价。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8.2.4.8磋商小组淘汰供应商的，应当书面通知该供应商，并说明理由。</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8.2.4.9已提交响应文件的供应商，在提交最后报价之前，可以根据磋商情况退出磋商。供应商退出磋商的，应向磋商小组提供退出磋商的书面申明。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8.2.4.10磋商完成后，</w:t>
      </w:r>
      <w:r>
        <w:rPr>
          <w:rFonts w:hint="eastAsia" w:ascii="宋体" w:hAnsi="宋体" w:eastAsia="宋体" w:cs="宋体"/>
          <w:b/>
          <w:bCs/>
          <w:color w:val="auto"/>
          <w:highlight w:val="none"/>
          <w:u w:val="single"/>
        </w:rPr>
        <w:t>磋商小组应出具磋商情况记录表，参与磋商的供应商应对记录确认后签字</w:t>
      </w:r>
      <w:r>
        <w:rPr>
          <w:rFonts w:hint="eastAsia" w:ascii="宋体" w:hAnsi="宋体" w:eastAsia="宋体" w:cs="宋体"/>
          <w:color w:val="auto"/>
          <w:highlight w:val="none"/>
        </w:rPr>
        <w:t>。磋商情况记录表需包含磋商内容、磋商意见、实质性变动内容等。</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8.2.5最后报价</w:t>
      </w:r>
    </w:p>
    <w:p>
      <w:pPr>
        <w:pageBreakBefore w:val="0"/>
        <w:kinsoku/>
        <w:wordWrap/>
        <w:overflowPunct/>
        <w:topLinePunct w:val="0"/>
        <w:bidi w:val="0"/>
        <w:spacing w:line="360" w:lineRule="auto"/>
        <w:rPr>
          <w:rFonts w:hint="eastAsia" w:ascii="宋体" w:hAnsi="宋体" w:eastAsia="宋体" w:cs="宋体"/>
          <w:b/>
          <w:bCs/>
          <w:color w:val="auto"/>
          <w:highlight w:val="none"/>
          <w:u w:val="single"/>
        </w:rPr>
      </w:pPr>
      <w:bookmarkStart w:id="314" w:name="_Toc30140"/>
      <w:r>
        <w:rPr>
          <w:rFonts w:hint="eastAsia" w:ascii="宋体" w:hAnsi="宋体" w:eastAsia="宋体" w:cs="宋体"/>
          <w:color w:val="auto"/>
          <w:highlight w:val="none"/>
          <w:lang w:val="en-US" w:eastAsia="zh-CN"/>
        </w:rPr>
        <w:t>8.2.5.1</w:t>
      </w:r>
      <w:r>
        <w:rPr>
          <w:rFonts w:hint="eastAsia" w:ascii="宋体" w:hAnsi="宋体" w:eastAsia="宋体" w:cs="宋体"/>
          <w:color w:val="auto"/>
          <w:highlight w:val="none"/>
        </w:rPr>
        <w:t>磋商文件能够详细列明采购标的的技术、服务要求的，磋商结束后，磋商小组应当要求所有实质性响应的供应商在规定时间内提交最后报</w:t>
      </w:r>
      <w:r>
        <w:rPr>
          <w:rFonts w:hint="eastAsia" w:ascii="宋体" w:hAnsi="宋体" w:eastAsia="宋体" w:cs="宋体"/>
          <w:color w:val="auto"/>
          <w:highlight w:val="none"/>
          <w:u w:val="none"/>
        </w:rPr>
        <w:t>价，</w:t>
      </w:r>
      <w:r>
        <w:rPr>
          <w:rFonts w:hint="eastAsia" w:ascii="宋体" w:hAnsi="宋体" w:eastAsia="宋体" w:cs="宋体"/>
          <w:b/>
          <w:bCs/>
          <w:color w:val="auto"/>
          <w:highlight w:val="none"/>
          <w:u w:val="none"/>
        </w:rPr>
        <w:t>提交最后报价的供应商不得少于</w:t>
      </w:r>
      <w:r>
        <w:rPr>
          <w:rFonts w:hint="eastAsia" w:ascii="宋体" w:hAnsi="宋体" w:eastAsia="宋体" w:cs="宋体"/>
          <w:b/>
          <w:bCs/>
          <w:color w:val="auto"/>
          <w:highlight w:val="none"/>
          <w:u w:val="none"/>
          <w:lang w:val="en-US" w:eastAsia="zh-CN"/>
        </w:rPr>
        <w:t>3</w:t>
      </w:r>
      <w:r>
        <w:rPr>
          <w:rFonts w:hint="eastAsia" w:ascii="宋体" w:hAnsi="宋体" w:eastAsia="宋体" w:cs="宋体"/>
          <w:b/>
          <w:bCs/>
          <w:color w:val="auto"/>
          <w:highlight w:val="none"/>
          <w:u w:val="none"/>
        </w:rPr>
        <w:t>家。</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磋商结束后，磋商小组应当要求所有实质性响应的供应商在规定时间内提交最后报价。两轮（若有）以上报价的，供</w:t>
      </w:r>
      <w:r>
        <w:rPr>
          <w:rFonts w:hint="eastAsia" w:ascii="宋体" w:hAnsi="宋体" w:eastAsia="宋体" w:cs="宋体"/>
          <w:b/>
          <w:bCs/>
          <w:color w:val="auto"/>
          <w:highlight w:val="none"/>
        </w:rPr>
        <w:t>应商在未提高响应文件中承诺的产品及其服务质量的情况下，其最后报价不得高于对该项目之前的报价</w:t>
      </w:r>
      <w:r>
        <w:rPr>
          <w:rFonts w:hint="eastAsia" w:ascii="宋体" w:hAnsi="宋体" w:eastAsia="宋体" w:cs="宋体"/>
          <w:color w:val="auto"/>
          <w:highlight w:val="none"/>
        </w:rPr>
        <w:t>，否则，磋商小组应当对其响应文件按无效处理，不允许进入综合评分，并书面告知供应商，说明理由。</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8.2.5.</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供应商最后报价应当由法定代表人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或其授权代表签字确认或加盖公章，并密封递交采购代理机构工作人员，由其收集齐后集中递交磋商小组。最后报价是供应商响应文件的有效组成部分。</w:t>
      </w:r>
    </w:p>
    <w:p>
      <w:pPr>
        <w:pStyle w:val="5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1"/>
        <w:textAlignment w:val="auto"/>
        <w:rPr>
          <w:rFonts w:hint="eastAsia" w:ascii="宋体" w:hAnsi="宋体" w:eastAsia="宋体" w:cs="宋体"/>
          <w:color w:val="auto"/>
          <w:highlight w:val="none"/>
        </w:rPr>
      </w:pPr>
      <w:r>
        <w:rPr>
          <w:rFonts w:hint="eastAsia" w:ascii="宋体" w:hAnsi="宋体" w:eastAsia="宋体" w:cs="宋体"/>
          <w:color w:val="auto"/>
          <w:highlight w:val="none"/>
        </w:rPr>
        <w:t>8.2.5.</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8.2.6比较与评价</w:t>
      </w:r>
      <w:bookmarkEnd w:id="314"/>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由磋商小组采用综合评分法对提交最后报价的供应商的响应文件和最后报价进行综合评分，具体要求详见本章综合评分部分。</w:t>
      </w:r>
    </w:p>
    <w:p>
      <w:pPr>
        <w:pStyle w:val="6"/>
        <w:rPr>
          <w:rFonts w:hint="eastAsia" w:ascii="宋体" w:hAnsi="宋体" w:eastAsia="宋体" w:cs="宋体"/>
          <w:color w:val="auto"/>
          <w:highlight w:val="none"/>
        </w:rPr>
      </w:pPr>
      <w:bookmarkStart w:id="315" w:name="_Toc16399"/>
      <w:r>
        <w:rPr>
          <w:rFonts w:hint="eastAsia" w:ascii="宋体" w:hAnsi="宋体" w:eastAsia="宋体" w:cs="宋体"/>
          <w:color w:val="auto"/>
          <w:highlight w:val="none"/>
        </w:rPr>
        <w:t>8.2.7推荐成交候选供应商</w:t>
      </w:r>
      <w:bookmarkEnd w:id="31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磋商小组应当根据综合评分情况，</w:t>
      </w:r>
      <w:r>
        <w:rPr>
          <w:rFonts w:hint="eastAsia" w:ascii="宋体" w:hAnsi="宋体" w:eastAsia="宋体" w:cs="宋体"/>
          <w:b/>
          <w:bCs/>
          <w:color w:val="auto"/>
          <w:highlight w:val="none"/>
        </w:rPr>
        <w:t>按照评审得分由高到低顺序推荐3家以上成交候选供应商</w:t>
      </w:r>
      <w:r>
        <w:rPr>
          <w:rFonts w:hint="eastAsia" w:ascii="宋体" w:hAnsi="宋体" w:eastAsia="宋体" w:cs="宋体"/>
          <w:color w:val="auto"/>
          <w:highlight w:val="none"/>
        </w:rPr>
        <w:t>，并编写磋商报告。评审得分相同的，按照最后报价由低到高的顺序推荐。不发达地区或少数民族地区的供应商排列顺序在非不发达地区或少数民族地区的供应商之前；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pPr>
        <w:pStyle w:val="6"/>
        <w:rPr>
          <w:rFonts w:hint="eastAsia" w:ascii="宋体" w:hAnsi="宋体" w:eastAsia="宋体" w:cs="宋体"/>
          <w:color w:val="auto"/>
          <w:highlight w:val="none"/>
        </w:rPr>
      </w:pPr>
      <w:bookmarkStart w:id="316" w:name="_Toc4024"/>
      <w:r>
        <w:rPr>
          <w:rFonts w:hint="eastAsia" w:ascii="宋体" w:hAnsi="宋体" w:eastAsia="宋体" w:cs="宋体"/>
          <w:color w:val="auto"/>
          <w:highlight w:val="none"/>
        </w:rPr>
        <w:t>8.2.8磋商小组复核</w:t>
      </w:r>
      <w:bookmarkEnd w:id="31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磋商小组评分汇总结束后，磋商小组应当进行评审复核，对拟推荐为成交候选供应商的、报价最低的、供应商资格审查未通过的、供应商响应文件作无效处理的重点复核。</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8.2.9采购组织单位现场复核评审结果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（1）资格性审查认定错误的；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（2）分值汇总计算错误的；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（3）分项评分超出评分标准范围的；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（4）客观评分不一致的；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（5）经磋商小组一致认定评分畸高、畸低的。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采购代理机构复核过程中，磋商小组成员不得离开评审现场。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8.2.9.2有下列情形之一的，不得现场修改评审结果：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（1）磋商小组已经出具磋商报告并且离开评审现场的；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（2）采购代理机构现场复核时，复核工作人员数量不足的；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（3）采购代理机构现场复核时，没有采购监督人员现场监督的；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（4）采购代理机构现场复核内容超出规定范围的；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（5）采购代理机构未提供书面建议的。</w:t>
      </w:r>
    </w:p>
    <w:p>
      <w:pPr>
        <w:ind w:firstLine="482"/>
        <w:rPr>
          <w:rFonts w:hint="eastAsia" w:ascii="宋体" w:hAnsi="宋体" w:eastAsia="宋体" w:cs="宋体"/>
          <w:color w:val="auto"/>
          <w:highlight w:val="none"/>
        </w:rPr>
      </w:pPr>
      <w:bookmarkStart w:id="317" w:name="_Toc11398"/>
      <w:r>
        <w:rPr>
          <w:rStyle w:val="49"/>
          <w:rFonts w:hint="eastAsia" w:ascii="宋体" w:hAnsi="宋体" w:eastAsia="宋体" w:cs="宋体"/>
          <w:color w:val="auto"/>
          <w:highlight w:val="none"/>
        </w:rPr>
        <w:t>8.2.10编写磋商报告。</w:t>
      </w:r>
      <w:r>
        <w:rPr>
          <w:rFonts w:hint="eastAsia" w:ascii="宋体" w:hAnsi="宋体" w:eastAsia="宋体" w:cs="宋体"/>
          <w:color w:val="auto"/>
          <w:highlight w:val="none"/>
        </w:rPr>
        <w:t>磋商小组推荐成交候选供应商后，应向采购代理机构出具磋商报告。磋商报告应当包括以下主要内容：</w:t>
      </w:r>
      <w:bookmarkEnd w:id="31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（1）邀请供应商参加采购活动的具体方式和相关情况；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（2）响应文件开启日期和地点；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（3）获取磋商文件的供应商名单和磋商小组成员名单；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（4）评审情况记录和说明，包括对供应商的资格审查情况、供应商响应文件审查情况、磋商情况、报价情况等；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（5）提出的成交候选供应商的排序名单及理由。</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6"/>
        <w:rPr>
          <w:rFonts w:hint="eastAsia" w:ascii="宋体" w:hAnsi="宋体" w:eastAsia="宋体" w:cs="宋体"/>
          <w:color w:val="auto"/>
          <w:highlight w:val="none"/>
        </w:rPr>
      </w:pPr>
      <w:bookmarkStart w:id="318" w:name="_Toc11183"/>
      <w:r>
        <w:rPr>
          <w:rFonts w:hint="eastAsia" w:ascii="宋体" w:hAnsi="宋体" w:eastAsia="宋体" w:cs="宋体"/>
          <w:color w:val="auto"/>
          <w:highlight w:val="none"/>
        </w:rPr>
        <w:t>8.2.11磋商异议处理规则</w:t>
      </w:r>
      <w:bookmarkEnd w:id="31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
        <w:rPr>
          <w:rFonts w:hint="eastAsia" w:ascii="宋体" w:hAnsi="宋体" w:eastAsia="宋体" w:cs="宋体"/>
          <w:color w:val="auto"/>
          <w:highlight w:val="none"/>
        </w:rPr>
      </w:pPr>
      <w:bookmarkStart w:id="319" w:name="_Toc682"/>
      <w:r>
        <w:rPr>
          <w:rFonts w:hint="eastAsia" w:ascii="宋体" w:hAnsi="宋体" w:eastAsia="宋体" w:cs="宋体"/>
          <w:color w:val="auto"/>
          <w:highlight w:val="none"/>
        </w:rPr>
        <w:t>8.2.12供应商澄清、说明</w:t>
      </w:r>
      <w:bookmarkEnd w:id="319"/>
      <w:r>
        <w:rPr>
          <w:rFonts w:hint="eastAsia" w:ascii="宋体" w:hAnsi="宋体" w:eastAsia="宋体" w:cs="宋体"/>
          <w:color w:val="auto"/>
          <w:highlight w:val="none"/>
        </w:rPr>
        <w:t>或者更正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在对响应文件的有效性、完整性和响应程度进行审查时，对供应商响应文件中含义不明确、同类问题表述不一致或者有明显文字和计算错误的内容，可以书面形式（须由磋商小组全体成员签字）要求供应商作出必要的书面澄清、说明或者更正，并给予供应商必要的反馈时间，</w:t>
      </w:r>
      <w:r>
        <w:rPr>
          <w:rFonts w:hint="eastAsia" w:ascii="宋体" w:hAnsi="宋体" w:eastAsia="宋体" w:cs="宋体"/>
          <w:b/>
          <w:bCs/>
          <w:color w:val="auto"/>
          <w:highlight w:val="none"/>
        </w:rPr>
        <w:t>反馈时间为90分钟</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应当书面澄清、说明或者更正，并由法定代表人（单位负责人）或授权代表签字确认或者加盖公章，否则无效。澄清、说明或者更正不影响响应文件的效力，有效的澄清、说明或者更正材料，是响应文件的组成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磋商小组要求供应商澄清、说明或者更正，不得超出响应文件的范围，不得以此让供应商实质改变响应文件的内容，不得影响供应商公平竞争。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在采购中，按财政部规定应当在评审时不予承认的响应文件内容事项、响应文件中已经明确的内容事项和响应文件未提供的材料，不得澄清、说明或者更正。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磋商小组应当积极履行澄清、说明或者更正的职责，不得滥用权力。供应商的响应文件可以要求澄清、说明或者更正的，不得未经澄清、说明或者更正而直接作无效处理。</w:t>
      </w:r>
    </w:p>
    <w:p>
      <w:pPr>
        <w:pStyle w:val="6"/>
        <w:rPr>
          <w:rFonts w:hint="eastAsia" w:ascii="宋体" w:hAnsi="宋体" w:eastAsia="宋体" w:cs="宋体"/>
          <w:color w:val="auto"/>
          <w:highlight w:val="none"/>
        </w:rPr>
      </w:pPr>
      <w:bookmarkStart w:id="320" w:name="_Toc16583"/>
      <w:r>
        <w:rPr>
          <w:rFonts w:hint="eastAsia" w:ascii="宋体" w:hAnsi="宋体" w:eastAsia="宋体" w:cs="宋体"/>
          <w:color w:val="auto"/>
          <w:highlight w:val="none"/>
        </w:rPr>
        <w:t>8.2.13终止磋商采购活动</w:t>
      </w:r>
      <w:bookmarkEnd w:id="32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（3）在采购过程中符合要求的供应商或者报价未超过采购预算的供应商不足3家的。</w:t>
      </w:r>
    </w:p>
    <w:p>
      <w:pPr>
        <w:pStyle w:val="5"/>
        <w:rPr>
          <w:rFonts w:hint="eastAsia" w:ascii="宋体" w:hAnsi="宋体" w:eastAsia="宋体" w:cs="宋体"/>
          <w:color w:val="auto"/>
          <w:highlight w:val="none"/>
        </w:rPr>
      </w:pPr>
      <w:bookmarkStart w:id="321" w:name="_Toc23497"/>
      <w:bookmarkStart w:id="322" w:name="_Toc15345"/>
      <w:r>
        <w:rPr>
          <w:rFonts w:hint="eastAsia" w:ascii="宋体" w:hAnsi="宋体" w:eastAsia="宋体" w:cs="宋体"/>
          <w:color w:val="auto"/>
          <w:highlight w:val="none"/>
        </w:rPr>
        <w:t>8.3.综合评分</w:t>
      </w:r>
      <w:bookmarkEnd w:id="321"/>
      <w:bookmarkEnd w:id="32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8.3.1本次综合评分的因素是：</w:t>
      </w:r>
      <w:r>
        <w:rPr>
          <w:rFonts w:hint="eastAsia" w:ascii="宋体" w:hAnsi="宋体" w:eastAsia="宋体" w:cs="宋体"/>
          <w:b/>
          <w:bCs/>
          <w:color w:val="auto"/>
          <w:highlight w:val="none"/>
        </w:rPr>
        <w:t>详见综合评分明细表</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8.3.2 本次评审采用综合评分法，评审时，磋商小组各成员应当独立对每个有效响应的文件进行评价、打分，然后汇总每个供应商每项评分因素的得分。磋商小组成员应当根据自身专业情况对每个有效磋商供应商的响应文件进行独立评分，加权汇总每项评分因素的得分，得出每个有效磋商供应商的总分。技术类评分因素由技术方面磋商小组成员独立评分。经济类评分因素由经济方面磋商小组成员独立评分。政策合同类的评分因素由法律方面磋商小组成员独立评分。采购人代表原则上对技术类评分因素独立评分。价格和其他不能明确区分的评分因素由磋商小组成员共同评分。</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磋商文件中没有规定的评审标准不得作为评审的依据。</w:t>
      </w:r>
    </w:p>
    <w:p>
      <w:pPr>
        <w:pStyle w:val="6"/>
        <w:rPr>
          <w:rFonts w:hint="eastAsia" w:ascii="宋体" w:hAnsi="宋体" w:eastAsia="宋体" w:cs="宋体"/>
          <w:color w:val="auto"/>
          <w:highlight w:val="none"/>
        </w:rPr>
      </w:pPr>
      <w:bookmarkStart w:id="323" w:name="_Toc28129"/>
      <w:r>
        <w:rPr>
          <w:rFonts w:hint="eastAsia" w:ascii="宋体" w:hAnsi="宋体" w:eastAsia="宋体" w:cs="宋体"/>
          <w:color w:val="auto"/>
          <w:highlight w:val="none"/>
        </w:rPr>
        <w:t>8.3.3综合评分明细表</w:t>
      </w:r>
      <w:bookmarkEnd w:id="32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8.3.3.1综合评分明细表的制定以科学合理、降低评委会自由裁量权为原则。</w:t>
      </w:r>
    </w:p>
    <w:p>
      <w:pPr>
        <w:ind w:firstLine="480"/>
        <w:rPr>
          <w:rFonts w:hint="eastAsia" w:ascii="宋体" w:hAnsi="宋体" w:eastAsia="宋体" w:cs="宋体"/>
          <w:color w:val="auto"/>
          <w:highlight w:val="none"/>
        </w:rPr>
      </w:pPr>
      <w:bookmarkStart w:id="324" w:name="_Toc25077"/>
      <w:r>
        <w:rPr>
          <w:rFonts w:hint="eastAsia" w:ascii="宋体" w:hAnsi="宋体" w:eastAsia="宋体" w:cs="宋体"/>
          <w:color w:val="auto"/>
          <w:highlight w:val="none"/>
        </w:rPr>
        <w:t>8.3.3.2</w:t>
      </w:r>
      <w:r>
        <w:rPr>
          <w:rFonts w:hint="eastAsia" w:ascii="宋体" w:hAnsi="宋体" w:eastAsia="宋体" w:cs="宋体"/>
          <w:b/>
          <w:bCs/>
          <w:color w:val="auto"/>
          <w:highlight w:val="none"/>
        </w:rPr>
        <w:t>综合评分明细表</w:t>
      </w:r>
      <w:bookmarkEnd w:id="324"/>
    </w:p>
    <w:tbl>
      <w:tblPr>
        <w:tblStyle w:val="3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95"/>
        <w:gridCol w:w="720"/>
        <w:gridCol w:w="622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评委</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62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5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评审委员会成员</w:t>
            </w:r>
          </w:p>
        </w:tc>
        <w:tc>
          <w:tcPr>
            <w:tcW w:w="121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报价评审</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6222" w:type="dxa"/>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满足竞争性磋商文件要求且最后报价最低的供应商的价格为磋商基准价，其价格分为满分。其他供应商的价格分统一按照下列公式计算：</w:t>
            </w:r>
          </w:p>
          <w:p>
            <w:pPr>
              <w:ind w:firstLine="211" w:firstLineChars="1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磋商报价得分=（磋商基准价/最后磋商报价）×</w:t>
            </w:r>
            <w:r>
              <w:rPr>
                <w:rFonts w:hint="eastAsia"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%×100</w:t>
            </w:r>
          </w:p>
        </w:tc>
        <w:tc>
          <w:tcPr>
            <w:tcW w:w="75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6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技术类评委</w:t>
            </w:r>
          </w:p>
        </w:tc>
        <w:tc>
          <w:tcPr>
            <w:tcW w:w="49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服务方案5</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720" w:type="dxa"/>
            <w:shd w:val="clear" w:color="auto" w:fill="auto"/>
            <w:vAlign w:val="center"/>
          </w:tcPr>
          <w:p>
            <w:pPr>
              <w:shd w:val="clear" w:color="auto" w:fill="FFFFFF"/>
              <w:adjustRightInd w:val="0"/>
              <w:snapToGrid w:val="0"/>
              <w:ind w:firstLine="0" w:firstLineChars="0"/>
              <w:jc w:val="center"/>
              <w:rPr>
                <w:rFonts w:hint="eastAsia"/>
                <w:color w:val="auto"/>
                <w:sz w:val="21"/>
                <w:szCs w:val="21"/>
                <w:highlight w:val="none"/>
                <w:lang w:val="en-US" w:eastAsia="zh-CN"/>
              </w:rPr>
            </w:pPr>
            <w:r>
              <w:rPr>
                <w:rFonts w:hint="eastAsia"/>
                <w:color w:val="auto"/>
                <w:sz w:val="21"/>
                <w:szCs w:val="21"/>
                <w:highlight w:val="none"/>
                <w:lang w:eastAsia="zh-CN"/>
              </w:rPr>
              <w:t>项目整体分析</w:t>
            </w:r>
            <w:r>
              <w:rPr>
                <w:rFonts w:hint="eastAsia"/>
                <w:color w:val="auto"/>
                <w:sz w:val="21"/>
                <w:szCs w:val="21"/>
                <w:highlight w:val="none"/>
                <w:lang w:val="en-US" w:eastAsia="zh-CN"/>
              </w:rPr>
              <w:t>8</w:t>
            </w:r>
            <w:r>
              <w:rPr>
                <w:rFonts w:hint="eastAsia"/>
                <w:color w:val="auto"/>
                <w:sz w:val="21"/>
                <w:szCs w:val="21"/>
                <w:highlight w:val="none"/>
              </w:rPr>
              <w:t>%</w:t>
            </w:r>
          </w:p>
        </w:tc>
        <w:tc>
          <w:tcPr>
            <w:tcW w:w="6222" w:type="dxa"/>
            <w:shd w:val="clear" w:color="auto" w:fill="FFFFFF"/>
            <w:vAlign w:val="center"/>
          </w:tcPr>
          <w:p>
            <w:pPr>
              <w:shd w:val="clear" w:color="auto" w:fill="FFFFFF"/>
              <w:adjustRightInd w:val="0"/>
              <w:snapToGrid w:val="0"/>
              <w:ind w:firstLine="210" w:firstLineChars="100"/>
              <w:rPr>
                <w:rFonts w:hint="eastAsia"/>
                <w:color w:val="auto"/>
                <w:sz w:val="21"/>
                <w:szCs w:val="21"/>
                <w:highlight w:val="none"/>
                <w:lang w:val="zh-CN" w:eastAsia="zh-CN"/>
              </w:rPr>
            </w:pPr>
            <w:r>
              <w:rPr>
                <w:rFonts w:hint="eastAsia"/>
                <w:color w:val="auto"/>
                <w:sz w:val="21"/>
                <w:szCs w:val="21"/>
                <w:highlight w:val="none"/>
              </w:rPr>
              <w:t>根据</w:t>
            </w:r>
            <w:r>
              <w:rPr>
                <w:rFonts w:hint="eastAsia"/>
                <w:color w:val="auto"/>
                <w:sz w:val="21"/>
                <w:szCs w:val="21"/>
                <w:highlight w:val="none"/>
                <w:lang w:eastAsia="zh-CN"/>
              </w:rPr>
              <w:t>供应商</w:t>
            </w:r>
            <w:r>
              <w:rPr>
                <w:rFonts w:hint="eastAsia"/>
                <w:color w:val="auto"/>
                <w:sz w:val="21"/>
                <w:szCs w:val="21"/>
                <w:highlight w:val="none"/>
              </w:rPr>
              <w:t>提供的针对本项目的</w:t>
            </w:r>
            <w:r>
              <w:rPr>
                <w:rFonts w:hint="eastAsia"/>
                <w:color w:val="auto"/>
                <w:sz w:val="21"/>
                <w:szCs w:val="21"/>
                <w:highlight w:val="none"/>
                <w:lang w:eastAsia="zh-CN"/>
              </w:rPr>
              <w:t>项目整体分析</w:t>
            </w:r>
            <w:r>
              <w:rPr>
                <w:rFonts w:hint="eastAsia"/>
                <w:color w:val="auto"/>
                <w:sz w:val="21"/>
                <w:szCs w:val="21"/>
                <w:highlight w:val="none"/>
              </w:rPr>
              <w:t>进行评审，内容至少包含：1.项目需求分析；2.</w:t>
            </w:r>
            <w:r>
              <w:rPr>
                <w:rFonts w:hint="eastAsia"/>
                <w:color w:val="auto"/>
                <w:sz w:val="21"/>
                <w:szCs w:val="21"/>
                <w:highlight w:val="none"/>
                <w:lang w:val="en-US" w:eastAsia="zh-CN"/>
              </w:rPr>
              <w:t>重点难点分析及应对；3.观测目的及必要性；4.供应商自身参加本项目的优势分析。项目整体分析完全涵盖以上内容且符合采购需求、全面具体的得8分，每缺一项扣2分，每有一处不完善、不详细</w:t>
            </w:r>
            <w:r>
              <w:rPr>
                <w:rFonts w:hint="eastAsia"/>
                <w:color w:val="auto"/>
                <w:sz w:val="21"/>
                <w:szCs w:val="21"/>
                <w:highlight w:val="none"/>
              </w:rPr>
              <w:t>的扣</w:t>
            </w:r>
            <w:r>
              <w:rPr>
                <w:rFonts w:hint="eastAsia"/>
                <w:color w:val="auto"/>
                <w:sz w:val="21"/>
                <w:szCs w:val="21"/>
                <w:highlight w:val="none"/>
                <w:lang w:val="en-US" w:eastAsia="zh-CN"/>
              </w:rPr>
              <w:t>1</w:t>
            </w:r>
            <w:r>
              <w:rPr>
                <w:rFonts w:hint="eastAsia"/>
                <w:color w:val="auto"/>
                <w:sz w:val="21"/>
                <w:szCs w:val="21"/>
                <w:highlight w:val="none"/>
              </w:rPr>
              <w:t>分，直至扣完为止。</w:t>
            </w:r>
          </w:p>
        </w:tc>
        <w:tc>
          <w:tcPr>
            <w:tcW w:w="758" w:type="dxa"/>
            <w:vAlign w:val="center"/>
          </w:tcPr>
          <w:p>
            <w:pPr>
              <w:shd w:val="clear" w:color="auto" w:fill="FFFFFF"/>
              <w:adjustRightInd w:val="0"/>
              <w:snapToGrid w:val="0"/>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8</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6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p>
        </w:tc>
        <w:tc>
          <w:tcPr>
            <w:tcW w:w="4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p>
        </w:tc>
        <w:tc>
          <w:tcPr>
            <w:tcW w:w="720" w:type="dxa"/>
            <w:shd w:val="clear" w:color="auto" w:fill="auto"/>
            <w:vAlign w:val="center"/>
          </w:tcPr>
          <w:p>
            <w:pPr>
              <w:shd w:val="clear" w:color="auto" w:fill="FFFFFF"/>
              <w:adjustRightInd w:val="0"/>
              <w:snapToGrid w:val="0"/>
              <w:ind w:firstLine="0" w:firstLineChars="0"/>
              <w:jc w:val="center"/>
              <w:rPr>
                <w:rFonts w:hint="eastAsia"/>
                <w:color w:val="auto"/>
                <w:sz w:val="21"/>
                <w:szCs w:val="21"/>
                <w:highlight w:val="none"/>
                <w:lang w:val="en-US" w:eastAsia="zh-CN"/>
              </w:rPr>
            </w:pPr>
            <w:r>
              <w:rPr>
                <w:rFonts w:hint="eastAsia"/>
                <w:color w:val="auto"/>
                <w:sz w:val="21"/>
                <w:szCs w:val="21"/>
                <w:highlight w:val="none"/>
                <w:lang w:eastAsia="zh-CN"/>
              </w:rPr>
              <w:t>观测方案</w:t>
            </w:r>
            <w:r>
              <w:rPr>
                <w:rFonts w:hint="eastAsia"/>
                <w:color w:val="auto"/>
                <w:sz w:val="21"/>
                <w:szCs w:val="21"/>
                <w:highlight w:val="none"/>
                <w:lang w:val="en-US" w:eastAsia="zh-CN"/>
              </w:rPr>
              <w:t>35</w:t>
            </w:r>
            <w:r>
              <w:rPr>
                <w:rFonts w:hint="eastAsia"/>
                <w:color w:val="auto"/>
                <w:sz w:val="21"/>
                <w:szCs w:val="21"/>
                <w:highlight w:val="none"/>
                <w:lang w:val="zh-CN"/>
              </w:rPr>
              <w:t>%</w:t>
            </w:r>
          </w:p>
        </w:tc>
        <w:tc>
          <w:tcPr>
            <w:tcW w:w="6222" w:type="dxa"/>
            <w:shd w:val="clear" w:color="auto" w:fill="FFFFFF"/>
            <w:vAlign w:val="center"/>
          </w:tcPr>
          <w:p>
            <w:pPr>
              <w:shd w:val="clear" w:color="auto" w:fill="FFFFFF"/>
              <w:adjustRightInd w:val="0"/>
              <w:snapToGrid w:val="0"/>
              <w:ind w:firstLine="210" w:firstLineChars="100"/>
              <w:rPr>
                <w:rFonts w:hint="eastAsia"/>
                <w:color w:val="auto"/>
                <w:sz w:val="21"/>
                <w:szCs w:val="21"/>
                <w:highlight w:val="none"/>
                <w:lang w:val="zh-CN" w:eastAsia="zh-CN"/>
              </w:rPr>
            </w:pPr>
            <w:r>
              <w:rPr>
                <w:rFonts w:hint="eastAsia"/>
                <w:color w:val="auto"/>
                <w:sz w:val="21"/>
                <w:szCs w:val="21"/>
                <w:highlight w:val="none"/>
              </w:rPr>
              <w:t>根据供应商提供的</w:t>
            </w:r>
            <w:r>
              <w:rPr>
                <w:rFonts w:hint="eastAsia"/>
                <w:color w:val="auto"/>
                <w:sz w:val="21"/>
                <w:szCs w:val="21"/>
                <w:highlight w:val="none"/>
                <w:lang w:eastAsia="zh-CN"/>
              </w:rPr>
              <w:t>观测方案</w:t>
            </w:r>
            <w:r>
              <w:rPr>
                <w:rFonts w:hint="eastAsia"/>
                <w:color w:val="auto"/>
                <w:sz w:val="21"/>
                <w:szCs w:val="21"/>
                <w:highlight w:val="none"/>
              </w:rPr>
              <w:t>进行评审，内容至少包含：</w:t>
            </w:r>
            <w:r>
              <w:rPr>
                <w:rFonts w:hint="eastAsia"/>
                <w:color w:val="auto"/>
                <w:sz w:val="21"/>
                <w:szCs w:val="21"/>
                <w:highlight w:val="none"/>
                <w:lang w:val="en-US" w:eastAsia="zh-CN"/>
              </w:rPr>
              <w:t>1.基本思路；2.重点关注环节；3.观测方案；4.人员安排；5.工作进度；6.观测仪器设备；7.风险防控</w:t>
            </w:r>
            <w:r>
              <w:rPr>
                <w:rFonts w:hint="eastAsia"/>
                <w:color w:val="auto"/>
                <w:sz w:val="21"/>
                <w:szCs w:val="21"/>
                <w:highlight w:val="none"/>
              </w:rPr>
              <w:t>。</w:t>
            </w:r>
            <w:r>
              <w:rPr>
                <w:rFonts w:hint="eastAsia"/>
                <w:color w:val="auto"/>
                <w:sz w:val="21"/>
                <w:szCs w:val="21"/>
                <w:highlight w:val="none"/>
                <w:lang w:eastAsia="zh-CN"/>
              </w:rPr>
              <w:t>观测方案</w:t>
            </w:r>
            <w:r>
              <w:rPr>
                <w:rFonts w:hint="eastAsia"/>
                <w:color w:val="auto"/>
                <w:sz w:val="21"/>
                <w:szCs w:val="21"/>
                <w:highlight w:val="none"/>
              </w:rPr>
              <w:t>完全涵盖以上内容、符合采购需求且全面具体可行的得</w:t>
            </w:r>
            <w:r>
              <w:rPr>
                <w:rFonts w:hint="eastAsia"/>
                <w:color w:val="auto"/>
                <w:sz w:val="21"/>
                <w:szCs w:val="21"/>
                <w:highlight w:val="none"/>
                <w:lang w:val="en-US" w:eastAsia="zh-CN"/>
              </w:rPr>
              <w:t>35</w:t>
            </w:r>
            <w:r>
              <w:rPr>
                <w:rFonts w:hint="eastAsia"/>
                <w:color w:val="auto"/>
                <w:sz w:val="21"/>
                <w:szCs w:val="21"/>
                <w:highlight w:val="none"/>
              </w:rPr>
              <w:t>分，每缺一项</w:t>
            </w:r>
            <w:r>
              <w:rPr>
                <w:rFonts w:hint="eastAsia"/>
                <w:color w:val="auto"/>
                <w:sz w:val="21"/>
                <w:szCs w:val="21"/>
                <w:highlight w:val="none"/>
                <w:lang w:val="en-US" w:eastAsia="zh-CN"/>
              </w:rPr>
              <w:t>扣5分，每有一处不完善、不详细</w:t>
            </w:r>
            <w:r>
              <w:rPr>
                <w:rFonts w:hint="eastAsia"/>
                <w:color w:val="auto"/>
                <w:sz w:val="21"/>
                <w:szCs w:val="21"/>
                <w:highlight w:val="none"/>
              </w:rPr>
              <w:t>的扣</w:t>
            </w:r>
            <w:r>
              <w:rPr>
                <w:rFonts w:hint="eastAsia"/>
                <w:color w:val="auto"/>
                <w:sz w:val="21"/>
                <w:szCs w:val="21"/>
                <w:highlight w:val="none"/>
                <w:lang w:val="en-US" w:eastAsia="zh-CN"/>
              </w:rPr>
              <w:t>2.5</w:t>
            </w:r>
            <w:r>
              <w:rPr>
                <w:rFonts w:hint="eastAsia"/>
                <w:color w:val="auto"/>
                <w:sz w:val="21"/>
                <w:szCs w:val="21"/>
                <w:highlight w:val="none"/>
              </w:rPr>
              <w:t xml:space="preserve">分，直至扣完为止。 </w:t>
            </w:r>
          </w:p>
        </w:tc>
        <w:tc>
          <w:tcPr>
            <w:tcW w:w="758" w:type="dxa"/>
            <w:vAlign w:val="center"/>
          </w:tcPr>
          <w:p>
            <w:pPr>
              <w:shd w:val="clear" w:color="auto" w:fill="FFFFFF"/>
              <w:adjustRightInd w:val="0"/>
              <w:snapToGrid w:val="0"/>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35</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66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p>
        </w:tc>
        <w:tc>
          <w:tcPr>
            <w:tcW w:w="4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p>
        </w:tc>
        <w:tc>
          <w:tcPr>
            <w:tcW w:w="720" w:type="dxa"/>
            <w:shd w:val="clear" w:color="auto" w:fill="auto"/>
            <w:vAlign w:val="center"/>
          </w:tcPr>
          <w:p>
            <w:pPr>
              <w:shd w:val="clear" w:color="auto" w:fill="FFFFFF"/>
              <w:adjustRightInd w:val="0"/>
              <w:snapToGrid w:val="0"/>
              <w:ind w:firstLine="0" w:firstLineChars="0"/>
              <w:jc w:val="center"/>
              <w:rPr>
                <w:rFonts w:hint="eastAsia"/>
                <w:color w:val="auto"/>
                <w:sz w:val="21"/>
                <w:szCs w:val="21"/>
                <w:highlight w:val="none"/>
                <w:lang w:val="zh-CN" w:eastAsia="zh-CN"/>
              </w:rPr>
            </w:pPr>
            <w:r>
              <w:rPr>
                <w:rFonts w:hint="eastAsia"/>
                <w:color w:val="auto"/>
                <w:sz w:val="21"/>
                <w:szCs w:val="21"/>
                <w:highlight w:val="none"/>
              </w:rPr>
              <w:t>质量保障措施</w:t>
            </w:r>
            <w:r>
              <w:rPr>
                <w:rFonts w:hint="eastAsia"/>
                <w:color w:val="auto"/>
                <w:sz w:val="21"/>
                <w:szCs w:val="21"/>
                <w:highlight w:val="none"/>
                <w:lang w:val="en-US" w:eastAsia="zh-CN"/>
              </w:rPr>
              <w:t>6</w:t>
            </w:r>
            <w:r>
              <w:rPr>
                <w:rFonts w:hint="eastAsia"/>
                <w:color w:val="auto"/>
                <w:sz w:val="21"/>
                <w:szCs w:val="21"/>
                <w:highlight w:val="none"/>
              </w:rPr>
              <w:t>%</w:t>
            </w:r>
          </w:p>
        </w:tc>
        <w:tc>
          <w:tcPr>
            <w:tcW w:w="6222" w:type="dxa"/>
            <w:shd w:val="clear" w:color="auto" w:fill="FFFFFF"/>
            <w:vAlign w:val="center"/>
          </w:tcPr>
          <w:p>
            <w:pPr>
              <w:shd w:val="clear" w:color="auto" w:fill="FFFFFF"/>
              <w:adjustRightInd w:val="0"/>
              <w:snapToGrid w:val="0"/>
              <w:ind w:firstLine="210" w:firstLineChars="100"/>
              <w:rPr>
                <w:rFonts w:hint="eastAsia"/>
                <w:color w:val="auto"/>
                <w:sz w:val="21"/>
                <w:szCs w:val="21"/>
                <w:highlight w:val="none"/>
                <w:lang w:val="en-US" w:eastAsia="zh-CN"/>
              </w:rPr>
            </w:pPr>
            <w:r>
              <w:rPr>
                <w:rFonts w:hint="eastAsia"/>
                <w:color w:val="auto"/>
                <w:sz w:val="21"/>
                <w:szCs w:val="21"/>
                <w:highlight w:val="none"/>
              </w:rPr>
              <w:t>根据供应商提供的质量保障措施进行评审，内容至少包含：1.质量管理</w:t>
            </w:r>
            <w:r>
              <w:rPr>
                <w:rFonts w:hint="eastAsia"/>
                <w:color w:val="auto"/>
                <w:sz w:val="21"/>
                <w:szCs w:val="21"/>
                <w:highlight w:val="none"/>
                <w:lang w:eastAsia="zh-CN"/>
              </w:rPr>
              <w:t>目标</w:t>
            </w: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.质量管理制度</w:t>
            </w:r>
            <w:r>
              <w:rPr>
                <w:rFonts w:hint="eastAsia"/>
                <w:color w:val="auto"/>
                <w:sz w:val="21"/>
                <w:szCs w:val="21"/>
                <w:highlight w:val="none"/>
                <w:lang w:eastAsia="zh-CN"/>
              </w:rPr>
              <w:t>；</w:t>
            </w:r>
            <w:r>
              <w:rPr>
                <w:rFonts w:hint="eastAsia"/>
                <w:color w:val="auto"/>
                <w:sz w:val="21"/>
                <w:szCs w:val="21"/>
                <w:highlight w:val="none"/>
                <w:lang w:val="en-US" w:eastAsia="zh-CN"/>
              </w:rPr>
              <w:t>3.质量保障措施</w:t>
            </w:r>
            <w:r>
              <w:rPr>
                <w:rFonts w:hint="eastAsia"/>
                <w:color w:val="auto"/>
                <w:sz w:val="21"/>
                <w:szCs w:val="21"/>
                <w:highlight w:val="none"/>
              </w:rPr>
              <w:t>。质量保障措施完全涵盖以上内容</w:t>
            </w:r>
            <w:r>
              <w:rPr>
                <w:rFonts w:hint="eastAsia"/>
                <w:color w:val="auto"/>
                <w:sz w:val="21"/>
                <w:szCs w:val="21"/>
                <w:highlight w:val="none"/>
                <w:lang w:val="en-US" w:eastAsia="zh-CN"/>
              </w:rPr>
              <w:t>且符合采购需求、全面具体的</w:t>
            </w:r>
            <w:r>
              <w:rPr>
                <w:rFonts w:hint="eastAsia"/>
                <w:color w:val="auto"/>
                <w:sz w:val="21"/>
                <w:szCs w:val="21"/>
                <w:highlight w:val="none"/>
              </w:rPr>
              <w:t>得</w:t>
            </w:r>
            <w:r>
              <w:rPr>
                <w:rFonts w:hint="eastAsia"/>
                <w:color w:val="auto"/>
                <w:sz w:val="21"/>
                <w:szCs w:val="21"/>
                <w:highlight w:val="none"/>
                <w:lang w:val="en-US" w:eastAsia="zh-CN"/>
              </w:rPr>
              <w:t>6</w:t>
            </w:r>
            <w:r>
              <w:rPr>
                <w:rFonts w:hint="eastAsia"/>
                <w:color w:val="auto"/>
                <w:sz w:val="21"/>
                <w:szCs w:val="21"/>
                <w:highlight w:val="none"/>
              </w:rPr>
              <w:t>分，每缺一项</w:t>
            </w:r>
            <w:r>
              <w:rPr>
                <w:rFonts w:hint="eastAsia"/>
                <w:color w:val="auto"/>
                <w:sz w:val="21"/>
                <w:szCs w:val="21"/>
                <w:highlight w:val="none"/>
                <w:lang w:val="en-US" w:eastAsia="zh-CN"/>
              </w:rPr>
              <w:t>扣2分，每有一处不完善、不详细</w:t>
            </w:r>
            <w:r>
              <w:rPr>
                <w:rFonts w:hint="eastAsia"/>
                <w:color w:val="auto"/>
                <w:sz w:val="21"/>
                <w:szCs w:val="21"/>
                <w:highlight w:val="none"/>
              </w:rPr>
              <w:t>的扣</w:t>
            </w:r>
            <w:r>
              <w:rPr>
                <w:rFonts w:hint="eastAsia"/>
                <w:color w:val="auto"/>
                <w:sz w:val="21"/>
                <w:szCs w:val="21"/>
                <w:highlight w:val="none"/>
                <w:lang w:val="en-US" w:eastAsia="zh-CN"/>
              </w:rPr>
              <w:t>1</w:t>
            </w:r>
            <w:r>
              <w:rPr>
                <w:rFonts w:hint="eastAsia"/>
                <w:color w:val="auto"/>
                <w:sz w:val="21"/>
                <w:szCs w:val="21"/>
                <w:highlight w:val="none"/>
              </w:rPr>
              <w:t>分，直至扣完为止。</w:t>
            </w:r>
            <w:r>
              <w:rPr>
                <w:rFonts w:hint="eastAsia"/>
                <w:color w:val="auto"/>
                <w:sz w:val="21"/>
                <w:szCs w:val="21"/>
                <w:highlight w:val="none"/>
                <w:lang w:val="en-US" w:eastAsia="zh-CN"/>
              </w:rPr>
              <w:t xml:space="preserve"> </w:t>
            </w:r>
          </w:p>
        </w:tc>
        <w:tc>
          <w:tcPr>
            <w:tcW w:w="758" w:type="dxa"/>
            <w:vAlign w:val="center"/>
          </w:tcPr>
          <w:p>
            <w:pPr>
              <w:shd w:val="clear" w:color="auto" w:fill="FFFFFF"/>
              <w:adjustRightInd w:val="0"/>
              <w:snapToGrid w:val="0"/>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6</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p>
        </w:tc>
        <w:tc>
          <w:tcPr>
            <w:tcW w:w="49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p>
        </w:tc>
        <w:tc>
          <w:tcPr>
            <w:tcW w:w="720" w:type="dxa"/>
            <w:shd w:val="clear" w:color="auto" w:fill="auto"/>
            <w:vAlign w:val="center"/>
          </w:tcPr>
          <w:p>
            <w:pPr>
              <w:shd w:val="clear" w:color="auto" w:fill="FFFFFF"/>
              <w:adjustRightInd w:val="0"/>
              <w:snapToGrid w:val="0"/>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应急处理措施6</w:t>
            </w:r>
            <w:r>
              <w:rPr>
                <w:rFonts w:hint="eastAsia"/>
                <w:color w:val="auto"/>
                <w:sz w:val="21"/>
                <w:szCs w:val="21"/>
                <w:highlight w:val="none"/>
              </w:rPr>
              <w:t>%</w:t>
            </w:r>
          </w:p>
        </w:tc>
        <w:tc>
          <w:tcPr>
            <w:tcW w:w="6222" w:type="dxa"/>
            <w:shd w:val="clear" w:color="auto" w:fill="FFFFFF"/>
            <w:vAlign w:val="center"/>
          </w:tcPr>
          <w:p>
            <w:pPr>
              <w:shd w:val="clear" w:color="auto" w:fill="FFFFFF"/>
              <w:adjustRightInd w:val="0"/>
              <w:snapToGrid w:val="0"/>
              <w:ind w:firstLine="210" w:firstLineChars="100"/>
              <w:rPr>
                <w:rFonts w:hint="eastAsia"/>
                <w:color w:val="auto"/>
                <w:sz w:val="21"/>
                <w:szCs w:val="21"/>
                <w:highlight w:val="none"/>
                <w:lang w:val="en-US" w:eastAsia="zh-CN"/>
              </w:rPr>
            </w:pPr>
            <w:r>
              <w:rPr>
                <w:rFonts w:hint="eastAsia"/>
                <w:color w:val="auto"/>
                <w:sz w:val="21"/>
                <w:szCs w:val="21"/>
                <w:highlight w:val="none"/>
              </w:rPr>
              <w:t>根据供应商提供的</w:t>
            </w:r>
            <w:r>
              <w:rPr>
                <w:rFonts w:hint="eastAsia"/>
                <w:color w:val="auto"/>
                <w:sz w:val="21"/>
                <w:szCs w:val="21"/>
                <w:highlight w:val="none"/>
                <w:lang w:val="en-US" w:eastAsia="zh-CN"/>
              </w:rPr>
              <w:t>应急处理</w:t>
            </w:r>
            <w:r>
              <w:rPr>
                <w:rFonts w:hint="eastAsia"/>
                <w:color w:val="auto"/>
                <w:sz w:val="21"/>
                <w:szCs w:val="21"/>
                <w:highlight w:val="none"/>
              </w:rPr>
              <w:t>措施进行评审，内容至少包含：1.应急</w:t>
            </w:r>
            <w:r>
              <w:rPr>
                <w:rFonts w:hint="eastAsia"/>
                <w:color w:val="auto"/>
                <w:sz w:val="21"/>
                <w:szCs w:val="21"/>
                <w:highlight w:val="none"/>
                <w:lang w:eastAsia="zh-CN"/>
              </w:rPr>
              <w:t>处理人员配置</w:t>
            </w:r>
            <w:r>
              <w:rPr>
                <w:rFonts w:hint="eastAsia"/>
                <w:color w:val="auto"/>
                <w:sz w:val="21"/>
                <w:szCs w:val="21"/>
                <w:highlight w:val="none"/>
              </w:rPr>
              <w:t>；2.应急处置流程；3.应急处理责任体系。</w:t>
            </w:r>
            <w:r>
              <w:rPr>
                <w:rFonts w:hint="eastAsia"/>
                <w:color w:val="auto"/>
                <w:sz w:val="21"/>
                <w:szCs w:val="21"/>
                <w:highlight w:val="none"/>
                <w:lang w:val="en-US" w:eastAsia="zh-CN"/>
              </w:rPr>
              <w:t>应急处理</w:t>
            </w:r>
            <w:r>
              <w:rPr>
                <w:rFonts w:hint="eastAsia"/>
                <w:color w:val="auto"/>
                <w:sz w:val="21"/>
                <w:szCs w:val="21"/>
                <w:highlight w:val="none"/>
              </w:rPr>
              <w:t>措施完全涵盖以上内容</w:t>
            </w:r>
            <w:r>
              <w:rPr>
                <w:rFonts w:hint="eastAsia"/>
                <w:color w:val="auto"/>
                <w:sz w:val="21"/>
                <w:szCs w:val="21"/>
                <w:highlight w:val="none"/>
                <w:lang w:val="en-US" w:eastAsia="zh-CN"/>
              </w:rPr>
              <w:t>且符合采购需求、全面具体的</w:t>
            </w:r>
            <w:r>
              <w:rPr>
                <w:rFonts w:hint="eastAsia"/>
                <w:color w:val="auto"/>
                <w:sz w:val="21"/>
                <w:szCs w:val="21"/>
                <w:highlight w:val="none"/>
              </w:rPr>
              <w:t>得</w:t>
            </w:r>
            <w:r>
              <w:rPr>
                <w:rFonts w:hint="eastAsia"/>
                <w:color w:val="auto"/>
                <w:sz w:val="21"/>
                <w:szCs w:val="21"/>
                <w:highlight w:val="none"/>
                <w:lang w:val="en-US" w:eastAsia="zh-CN"/>
              </w:rPr>
              <w:t>6</w:t>
            </w:r>
            <w:r>
              <w:rPr>
                <w:rFonts w:hint="eastAsia"/>
                <w:color w:val="auto"/>
                <w:sz w:val="21"/>
                <w:szCs w:val="21"/>
                <w:highlight w:val="none"/>
              </w:rPr>
              <w:t>分，每缺一项</w:t>
            </w:r>
            <w:r>
              <w:rPr>
                <w:rFonts w:hint="eastAsia"/>
                <w:color w:val="auto"/>
                <w:sz w:val="21"/>
                <w:szCs w:val="21"/>
                <w:highlight w:val="none"/>
                <w:lang w:val="en-US" w:eastAsia="zh-CN"/>
              </w:rPr>
              <w:t>扣2分，每有一处不完善、不详细</w:t>
            </w:r>
            <w:r>
              <w:rPr>
                <w:rFonts w:hint="eastAsia"/>
                <w:color w:val="auto"/>
                <w:sz w:val="21"/>
                <w:szCs w:val="21"/>
                <w:highlight w:val="none"/>
              </w:rPr>
              <w:t>的扣</w:t>
            </w:r>
            <w:r>
              <w:rPr>
                <w:rFonts w:hint="eastAsia"/>
                <w:color w:val="auto"/>
                <w:sz w:val="21"/>
                <w:szCs w:val="21"/>
                <w:highlight w:val="none"/>
                <w:lang w:val="en-US" w:eastAsia="zh-CN"/>
              </w:rPr>
              <w:t>1</w:t>
            </w:r>
            <w:r>
              <w:rPr>
                <w:rFonts w:hint="eastAsia"/>
                <w:color w:val="auto"/>
                <w:sz w:val="21"/>
                <w:szCs w:val="21"/>
                <w:highlight w:val="none"/>
              </w:rPr>
              <w:t>分，直至扣完为止。</w:t>
            </w:r>
          </w:p>
        </w:tc>
        <w:tc>
          <w:tcPr>
            <w:tcW w:w="758" w:type="dxa"/>
            <w:vAlign w:val="center"/>
          </w:tcPr>
          <w:p>
            <w:pPr>
              <w:shd w:val="clear" w:color="auto" w:fill="FFFFFF"/>
              <w:adjustRightInd w:val="0"/>
              <w:snapToGrid w:val="0"/>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6</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69" w:type="dxa"/>
            <w:vMerge w:val="restart"/>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评审委员会成员</w:t>
            </w:r>
          </w:p>
        </w:tc>
        <w:tc>
          <w:tcPr>
            <w:tcW w:w="121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业绩</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w:t>
            </w:r>
          </w:p>
        </w:tc>
        <w:tc>
          <w:tcPr>
            <w:tcW w:w="622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自201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年1月1日（含1日）以来具有类似服务项目业绩的，每提供1个得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分，最多得</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ind w:firstLine="211" w:firstLineChars="1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bCs/>
                <w:color w:val="auto"/>
                <w:sz w:val="21"/>
                <w:szCs w:val="21"/>
                <w:highlight w:val="none"/>
                <w:lang w:val="zh-CN"/>
              </w:rPr>
              <w:t>注：提供合同复印件或中标通知书复印件，并加盖</w:t>
            </w:r>
            <w:r>
              <w:rPr>
                <w:rFonts w:hint="eastAsia" w:ascii="宋体" w:hAnsi="宋体" w:eastAsia="宋体" w:cs="宋体"/>
                <w:b/>
                <w:bCs/>
                <w:color w:val="auto"/>
                <w:sz w:val="21"/>
                <w:szCs w:val="21"/>
                <w:highlight w:val="none"/>
                <w:lang w:val="zh-CN" w:eastAsia="zh-CN"/>
              </w:rPr>
              <w:t>供应商</w:t>
            </w:r>
            <w:r>
              <w:rPr>
                <w:rFonts w:hint="eastAsia" w:ascii="宋体" w:hAnsi="宋体" w:eastAsia="宋体" w:cs="宋体"/>
                <w:b/>
                <w:bCs/>
                <w:color w:val="auto"/>
                <w:sz w:val="21"/>
                <w:szCs w:val="21"/>
                <w:highlight w:val="none"/>
                <w:lang w:val="zh-CN"/>
              </w:rPr>
              <w:t>鲜章，未提供证明材料不得分。</w:t>
            </w:r>
          </w:p>
        </w:tc>
        <w:tc>
          <w:tcPr>
            <w:tcW w:w="7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rPr>
            </w:pPr>
          </w:p>
        </w:tc>
        <w:tc>
          <w:tcPr>
            <w:tcW w:w="1215" w:type="dxa"/>
            <w:gridSpan w:val="2"/>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人员配置</w:t>
            </w: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w:t>
            </w:r>
          </w:p>
        </w:tc>
        <w:tc>
          <w:tcPr>
            <w:tcW w:w="6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1.项目负责人（1人）：具有注册岩土工程师证得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2.技术负责人（1人）：具有建筑类</w:t>
            </w:r>
            <w:r>
              <w:rPr>
                <w:rFonts w:hint="eastAsia" w:cs="宋体"/>
                <w:color w:val="auto"/>
                <w:sz w:val="21"/>
                <w:szCs w:val="21"/>
                <w:highlight w:val="none"/>
                <w:lang w:val="en-US" w:eastAsia="zh-CN"/>
              </w:rPr>
              <w:t>（或测绘类）</w:t>
            </w:r>
            <w:r>
              <w:rPr>
                <w:rFonts w:hint="eastAsia" w:ascii="宋体" w:hAnsi="宋体" w:eastAsia="宋体" w:cs="宋体"/>
                <w:color w:val="auto"/>
                <w:sz w:val="21"/>
                <w:szCs w:val="21"/>
                <w:highlight w:val="none"/>
                <w:lang w:val="en-US" w:eastAsia="zh-CN"/>
              </w:rPr>
              <w:t>相关专业中级技术职称的得3分，具有建筑类</w:t>
            </w:r>
            <w:r>
              <w:rPr>
                <w:rFonts w:hint="eastAsia" w:cs="宋体"/>
                <w:color w:val="auto"/>
                <w:sz w:val="21"/>
                <w:szCs w:val="21"/>
                <w:highlight w:val="none"/>
                <w:lang w:val="en-US" w:eastAsia="zh-CN"/>
              </w:rPr>
              <w:t>（或测绘类）</w:t>
            </w:r>
            <w:r>
              <w:rPr>
                <w:rFonts w:hint="eastAsia" w:ascii="宋体" w:hAnsi="宋体" w:eastAsia="宋体" w:cs="宋体"/>
                <w:color w:val="auto"/>
                <w:sz w:val="21"/>
                <w:szCs w:val="21"/>
                <w:highlight w:val="none"/>
                <w:lang w:val="en-US" w:eastAsia="zh-CN"/>
              </w:rPr>
              <w:t>相关专业高级及以上技术职称的得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分。本项最多得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3.其他人员（除项目负责人、技术负责人外）：每有1</w:t>
            </w:r>
            <w:r>
              <w:rPr>
                <w:rFonts w:hint="eastAsia" w:cs="宋体"/>
                <w:color w:val="auto"/>
                <w:sz w:val="21"/>
                <w:szCs w:val="21"/>
                <w:highlight w:val="none"/>
                <w:lang w:val="en-US" w:eastAsia="zh-CN"/>
              </w:rPr>
              <w:t>名</w:t>
            </w:r>
            <w:r>
              <w:rPr>
                <w:rFonts w:hint="eastAsia" w:ascii="宋体" w:hAnsi="宋体" w:eastAsia="宋体" w:cs="宋体"/>
                <w:color w:val="auto"/>
                <w:sz w:val="21"/>
                <w:szCs w:val="21"/>
                <w:highlight w:val="none"/>
                <w:lang w:val="en-US" w:eastAsia="zh-CN"/>
              </w:rPr>
              <w:t>具有建筑类</w:t>
            </w:r>
            <w:r>
              <w:rPr>
                <w:rFonts w:hint="eastAsia" w:cs="宋体"/>
                <w:color w:val="auto"/>
                <w:sz w:val="21"/>
                <w:szCs w:val="21"/>
                <w:highlight w:val="none"/>
                <w:lang w:val="en-US" w:eastAsia="zh-CN"/>
              </w:rPr>
              <w:t>（或测绘类）</w:t>
            </w:r>
            <w:r>
              <w:rPr>
                <w:rFonts w:hint="eastAsia" w:ascii="宋体" w:hAnsi="宋体" w:eastAsia="宋体" w:cs="宋体"/>
                <w:color w:val="auto"/>
                <w:sz w:val="21"/>
                <w:szCs w:val="21"/>
                <w:highlight w:val="none"/>
                <w:lang w:val="en-US" w:eastAsia="zh-CN"/>
              </w:rPr>
              <w:t>相关专业中级及以上技术职称的得2分。本项最多得</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ind w:firstLine="211" w:firstLineChars="100"/>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注：1</w:t>
            </w:r>
            <w:r>
              <w:rPr>
                <w:rFonts w:hint="eastAsia" w:cs="宋体"/>
                <w:b/>
                <w:bCs/>
                <w:color w:val="auto"/>
                <w:sz w:val="21"/>
                <w:szCs w:val="21"/>
                <w:highlight w:val="none"/>
                <w:lang w:val="en-US" w:eastAsia="zh-CN"/>
              </w:rPr>
              <w:t>）</w:t>
            </w:r>
            <w:r>
              <w:rPr>
                <w:rFonts w:hint="default" w:ascii="宋体" w:hAnsi="宋体" w:eastAsia="宋体" w:cs="宋体"/>
                <w:b/>
                <w:bCs/>
                <w:color w:val="auto"/>
                <w:sz w:val="21"/>
                <w:szCs w:val="21"/>
                <w:highlight w:val="none"/>
                <w:lang w:val="en-US" w:eastAsia="zh-CN"/>
              </w:rPr>
              <w:t>提供人员身份证和</w:t>
            </w:r>
            <w:r>
              <w:rPr>
                <w:rFonts w:hint="eastAsia" w:ascii="宋体" w:hAnsi="宋体" w:eastAsia="宋体" w:cs="宋体"/>
                <w:b/>
                <w:bCs/>
                <w:color w:val="auto"/>
                <w:sz w:val="21"/>
                <w:szCs w:val="21"/>
                <w:highlight w:val="none"/>
                <w:lang w:val="en-US" w:eastAsia="zh-CN"/>
              </w:rPr>
              <w:t>相关</w:t>
            </w:r>
            <w:r>
              <w:rPr>
                <w:rFonts w:hint="default" w:ascii="宋体" w:hAnsi="宋体" w:eastAsia="宋体" w:cs="宋体"/>
                <w:b/>
                <w:bCs/>
                <w:color w:val="auto"/>
                <w:sz w:val="21"/>
                <w:szCs w:val="21"/>
                <w:highlight w:val="none"/>
                <w:lang w:val="en-US" w:eastAsia="zh-CN"/>
              </w:rPr>
              <w:t>证书复印件</w:t>
            </w:r>
            <w:r>
              <w:rPr>
                <w:rFonts w:hint="eastAsia" w:ascii="宋体" w:hAnsi="宋体" w:eastAsia="宋体" w:cs="宋体"/>
                <w:b/>
                <w:bCs/>
                <w:color w:val="auto"/>
                <w:sz w:val="21"/>
                <w:szCs w:val="21"/>
                <w:highlight w:val="none"/>
                <w:lang w:val="en-US" w:eastAsia="zh-CN"/>
              </w:rPr>
              <w:t>，</w:t>
            </w:r>
            <w:r>
              <w:rPr>
                <w:rFonts w:hint="default" w:ascii="宋体" w:hAnsi="宋体" w:eastAsia="宋体" w:cs="宋体"/>
                <w:b/>
                <w:bCs/>
                <w:color w:val="auto"/>
                <w:sz w:val="21"/>
                <w:szCs w:val="21"/>
                <w:highlight w:val="none"/>
                <w:lang w:val="en-US" w:eastAsia="zh-CN"/>
              </w:rPr>
              <w:t>并加盖供应商鲜章，</w:t>
            </w:r>
            <w:r>
              <w:rPr>
                <w:rFonts w:hint="eastAsia" w:ascii="宋体" w:hAnsi="宋体" w:eastAsia="宋体" w:cs="宋体"/>
                <w:b/>
                <w:bCs/>
                <w:color w:val="auto"/>
                <w:sz w:val="21"/>
                <w:szCs w:val="21"/>
                <w:highlight w:val="none"/>
                <w:lang w:val="en-US" w:eastAsia="zh-CN"/>
              </w:rPr>
              <w:t>未</w:t>
            </w:r>
            <w:r>
              <w:rPr>
                <w:rFonts w:hint="default" w:ascii="宋体" w:hAnsi="宋体" w:eastAsia="宋体" w:cs="宋体"/>
                <w:b/>
                <w:bCs/>
                <w:color w:val="auto"/>
                <w:sz w:val="21"/>
                <w:szCs w:val="21"/>
                <w:highlight w:val="none"/>
                <w:lang w:val="en-US" w:eastAsia="zh-CN"/>
              </w:rPr>
              <w:t>提供证明材料</w:t>
            </w:r>
            <w:r>
              <w:rPr>
                <w:rFonts w:hint="eastAsia" w:ascii="宋体" w:hAnsi="宋体" w:eastAsia="宋体" w:cs="宋体"/>
                <w:b/>
                <w:bCs/>
                <w:color w:val="auto"/>
                <w:sz w:val="21"/>
                <w:szCs w:val="21"/>
                <w:highlight w:val="none"/>
                <w:lang w:val="en-US" w:eastAsia="zh-CN"/>
              </w:rPr>
              <w:t>或证明材料不齐全</w:t>
            </w:r>
            <w:r>
              <w:rPr>
                <w:rFonts w:hint="default" w:ascii="宋体" w:hAnsi="宋体" w:eastAsia="宋体" w:cs="宋体"/>
                <w:b/>
                <w:bCs/>
                <w:color w:val="auto"/>
                <w:sz w:val="21"/>
                <w:szCs w:val="21"/>
                <w:highlight w:val="none"/>
                <w:lang w:val="en-US" w:eastAsia="zh-CN"/>
              </w:rPr>
              <w:t>不得分。</w:t>
            </w:r>
            <w:r>
              <w:rPr>
                <w:rFonts w:hint="eastAsia" w:ascii="宋体" w:hAnsi="宋体" w:eastAsia="宋体" w:cs="宋体"/>
                <w:b/>
                <w:bCs/>
                <w:color w:val="auto"/>
                <w:sz w:val="21"/>
                <w:szCs w:val="21"/>
                <w:highlight w:val="none"/>
                <w:lang w:val="en-US" w:eastAsia="zh-CN"/>
              </w:rPr>
              <w:t>2</w:t>
            </w:r>
            <w:r>
              <w:rPr>
                <w:rFonts w:hint="eastAsia" w:cs="宋体"/>
                <w:b/>
                <w:bCs/>
                <w:color w:val="auto"/>
                <w:sz w:val="21"/>
                <w:szCs w:val="21"/>
                <w:highlight w:val="none"/>
                <w:lang w:val="en-US" w:eastAsia="zh-CN"/>
              </w:rPr>
              <w:t>）</w:t>
            </w:r>
            <w:r>
              <w:rPr>
                <w:rFonts w:hint="default" w:ascii="宋体" w:hAnsi="宋体" w:eastAsia="宋体" w:cs="宋体"/>
                <w:b/>
                <w:bCs/>
                <w:color w:val="auto"/>
                <w:sz w:val="21"/>
                <w:szCs w:val="21"/>
                <w:highlight w:val="none"/>
                <w:lang w:val="en-US" w:eastAsia="zh-CN"/>
              </w:rPr>
              <w:t>同一人员不重复计分</w:t>
            </w:r>
            <w:r>
              <w:rPr>
                <w:rFonts w:hint="eastAsia" w:ascii="宋体" w:hAnsi="宋体" w:eastAsia="宋体" w:cs="宋体"/>
                <w:b/>
                <w:bCs/>
                <w:color w:val="auto"/>
                <w:sz w:val="21"/>
                <w:szCs w:val="21"/>
                <w:highlight w:val="none"/>
                <w:lang w:val="en-US" w:eastAsia="zh-CN"/>
              </w:rPr>
              <w:t>，以最高得分项计取</w:t>
            </w:r>
            <w:r>
              <w:rPr>
                <w:rFonts w:hint="default" w:ascii="宋体" w:hAnsi="宋体" w:eastAsia="宋体" w:cs="宋体"/>
                <w:b/>
                <w:bCs/>
                <w:color w:val="auto"/>
                <w:sz w:val="21"/>
                <w:szCs w:val="21"/>
                <w:highlight w:val="none"/>
                <w:lang w:val="en-US" w:eastAsia="zh-CN"/>
              </w:rPr>
              <w:t>。</w:t>
            </w:r>
          </w:p>
        </w:tc>
        <w:tc>
          <w:tcPr>
            <w:tcW w:w="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分</w:t>
            </w:r>
          </w:p>
        </w:tc>
      </w:tr>
    </w:tbl>
    <w:p>
      <w:p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注：1、评分的取值按四舍五入法，保留小数点后两位。</w:t>
      </w:r>
    </w:p>
    <w:p>
      <w:pPr>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2、评分标准中要求提供复印件的证明材料须清晰可辨。</w:t>
      </w:r>
    </w:p>
    <w:bookmarkEnd w:id="301"/>
    <w:bookmarkEnd w:id="302"/>
    <w:bookmarkEnd w:id="303"/>
    <w:bookmarkEnd w:id="304"/>
    <w:p>
      <w:pPr>
        <w:pStyle w:val="5"/>
        <w:rPr>
          <w:rFonts w:hint="eastAsia" w:ascii="宋体" w:hAnsi="宋体" w:eastAsia="宋体" w:cs="宋体"/>
          <w:color w:val="auto"/>
          <w:highlight w:val="none"/>
        </w:rPr>
      </w:pPr>
      <w:bookmarkStart w:id="325" w:name="_Toc19331"/>
      <w:bookmarkStart w:id="326" w:name="_Toc9285"/>
      <w:r>
        <w:rPr>
          <w:rFonts w:hint="eastAsia" w:ascii="宋体" w:hAnsi="宋体" w:eastAsia="宋体" w:cs="宋体"/>
          <w:color w:val="auto"/>
          <w:highlight w:val="none"/>
        </w:rPr>
        <w:t>8.4.磋商纪律及注意事项</w:t>
      </w:r>
      <w:bookmarkEnd w:id="325"/>
      <w:bookmarkEnd w:id="32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8.4.1磋商小组内部讨论的情况和意见必须保密，任何人不得以任何形式透露给供应商或与供应商有关的单位或个人。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8.4.2在磋商过程中，供应商不得以任何形式对磋商小组成员进行旨在影响磋商结果的私下接触，否则将取消其参与磋商的资格。</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8.4.3对各供应商的商业秘密，磋商小组成员应予以保密，不得泄露给其他供应商。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8.4.4 磋商小组独立评判，推荐成交候选人，并写出书面报告。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8.4.5 磋商小组可根据需要对供应商进行实地考察。</w:t>
      </w:r>
    </w:p>
    <w:p>
      <w:pPr>
        <w:pStyle w:val="5"/>
        <w:rPr>
          <w:rFonts w:hint="eastAsia" w:ascii="宋体" w:hAnsi="宋体" w:eastAsia="宋体" w:cs="宋体"/>
          <w:color w:val="auto"/>
          <w:highlight w:val="none"/>
        </w:rPr>
      </w:pPr>
      <w:bookmarkStart w:id="327" w:name="_Toc25545"/>
      <w:bookmarkStart w:id="328" w:name="_Toc21290"/>
      <w:r>
        <w:rPr>
          <w:rFonts w:hint="eastAsia" w:ascii="宋体" w:hAnsi="宋体" w:eastAsia="宋体" w:cs="宋体"/>
          <w:color w:val="auto"/>
          <w:highlight w:val="none"/>
        </w:rPr>
        <w:t>8.5.</w:t>
      </w:r>
      <w:bookmarkEnd w:id="305"/>
      <w:r>
        <w:rPr>
          <w:rFonts w:hint="eastAsia" w:ascii="宋体" w:hAnsi="宋体" w:eastAsia="宋体" w:cs="宋体"/>
          <w:color w:val="auto"/>
          <w:highlight w:val="none"/>
        </w:rPr>
        <w:t>磋商小组在政府采购活动中承担以下义务：</w:t>
      </w:r>
      <w:bookmarkEnd w:id="327"/>
      <w:bookmarkEnd w:id="32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（一）遵守评审工作纪律；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（二）按照客观、公正、审慎的原则，根据磋商文件规定的评审程序、评审方法和评审标准进行独立评审；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（三）不得泄露评审文件、评审情况和在评审过程中获悉的商业秘密；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（四）及时向财政部门报告评审过程中发现的采购人、采购代理机构向评审专家做倾向性、误导性的解释或者说明，以及供应商行贿、提供虚假材料或者串通等违法行为；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（五）发现磋商文件内容违反国家有关强制性规定或者磋商文件存在歧义、重大缺陷导致评审工作无法进行时，停止评审并向采购人或者采购代理机构书面说明情况；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（六）及时向财政、监察等部门举报在评审过程中受到非法干预的情况；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（七）配合答复处理供应商的询问、质疑和投诉等事项；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（八）法律、法规和规章规定的其他义务。</w:t>
      </w:r>
    </w:p>
    <w:p>
      <w:pPr>
        <w:pStyle w:val="5"/>
        <w:rPr>
          <w:rFonts w:hint="eastAsia" w:ascii="宋体" w:hAnsi="宋体" w:eastAsia="宋体" w:cs="宋体"/>
          <w:color w:val="auto"/>
          <w:highlight w:val="none"/>
        </w:rPr>
      </w:pPr>
      <w:bookmarkStart w:id="329" w:name="_Toc8902"/>
      <w:bookmarkStart w:id="330" w:name="_Toc28204"/>
      <w:r>
        <w:rPr>
          <w:rFonts w:hint="eastAsia" w:ascii="宋体" w:hAnsi="宋体" w:eastAsia="宋体" w:cs="宋体"/>
          <w:color w:val="auto"/>
          <w:highlight w:val="none"/>
        </w:rPr>
        <w:t>8.6.评审专家在政府采购活动中应当遵守以下工作纪律：</w:t>
      </w:r>
      <w:bookmarkEnd w:id="329"/>
      <w:bookmarkEnd w:id="33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（一）不得参加与自己有《中华人民共和国政府采购法实施条例》第九条规定的利害关系的政府采购项目的评审活动。发现参加了与自己有利害关系的评审活动，须主动提出回避，退出评审；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（二）评审前，应当将通讯工具或者相关电子设备交由采购代理机构统一保管；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（三）评审过程中，不得与外界联系，因发生不可预见情况，确实需要与外界联系的，应当在监督人员监督之下办理；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（五）在评审过程中和评审结束后，不得记录、复制或带走任何评审资料，不得向外界透露评审内容；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（六）评审现场服从采购代理机构工作人员的管理，接受现场监督人员的合法监督；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（七）遵守有关廉洁自律规定，不得私下接触供应商，不得收受供应商及有关业务单位和个人的财物或好处，不得接受采购代理机构的请托。</w:t>
      </w:r>
    </w:p>
    <w:p>
      <w:pPr>
        <w:adjustRightInd w:val="0"/>
        <w:snapToGrid w:val="0"/>
        <w:ind w:firstLine="643"/>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bookmarkStart w:id="331" w:name="_Toc19058"/>
      <w:bookmarkStart w:id="332" w:name="_Toc21472"/>
      <w:r>
        <w:rPr>
          <w:rStyle w:val="45"/>
          <w:rFonts w:hint="eastAsia" w:ascii="宋体" w:hAnsi="宋体" w:eastAsia="宋体" w:cs="宋体"/>
          <w:color w:val="auto"/>
          <w:highlight w:val="none"/>
        </w:rPr>
        <w:t xml:space="preserve"> </w:t>
      </w:r>
      <w:bookmarkStart w:id="333" w:name="_Toc26643"/>
      <w:bookmarkStart w:id="334" w:name="_Toc5301"/>
      <w:bookmarkStart w:id="335" w:name="_Toc22521"/>
      <w:bookmarkStart w:id="336" w:name="_Toc25198"/>
      <w:r>
        <w:rPr>
          <w:rStyle w:val="45"/>
          <w:rFonts w:hint="eastAsia" w:ascii="宋体" w:hAnsi="宋体" w:eastAsia="宋体" w:cs="宋体"/>
          <w:color w:val="auto"/>
          <w:highlight w:val="none"/>
        </w:rPr>
        <w:t xml:space="preserve">第九章 </w:t>
      </w:r>
      <w:bookmarkEnd w:id="298"/>
      <w:bookmarkEnd w:id="299"/>
      <w:bookmarkEnd w:id="300"/>
      <w:bookmarkEnd w:id="331"/>
      <w:bookmarkEnd w:id="332"/>
      <w:r>
        <w:rPr>
          <w:rStyle w:val="45"/>
          <w:rFonts w:hint="eastAsia" w:ascii="宋体" w:hAnsi="宋体" w:eastAsia="宋体" w:cs="宋体"/>
          <w:color w:val="auto"/>
          <w:highlight w:val="none"/>
        </w:rPr>
        <w:t>政府采购合同（草案）</w:t>
      </w:r>
      <w:bookmarkEnd w:id="333"/>
      <w:bookmarkEnd w:id="334"/>
      <w:bookmarkEnd w:id="335"/>
      <w:bookmarkEnd w:id="336"/>
    </w:p>
    <w:p>
      <w:pPr>
        <w:ind w:firstLine="482"/>
        <w:rPr>
          <w:rFonts w:hint="eastAsia" w:ascii="宋体" w:hAnsi="宋体" w:eastAsia="宋体" w:cs="宋体"/>
          <w:b/>
          <w:bCs/>
          <w:color w:val="auto"/>
          <w:highlight w:val="none"/>
        </w:rPr>
      </w:pP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合同草案条款（仅供参考。特别提醒：采购合同的签订不得偏离竞争性磋商文件要约及响应文件承诺的实质性内容）</w:t>
      </w:r>
    </w:p>
    <w:p>
      <w:pPr>
        <w:adjustRightInd w:val="0"/>
        <w:snapToGrid w:val="0"/>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ind w:firstLine="480"/>
        <w:rPr>
          <w:rFonts w:hint="eastAsia" w:ascii="宋体" w:hAnsi="宋体" w:eastAsia="宋体" w:cs="宋体"/>
          <w:b/>
          <w:bCs/>
          <w:color w:val="auto"/>
          <w:highlight w:val="none"/>
          <w:lang w:eastAsia="zh-CN"/>
        </w:rPr>
      </w:pPr>
      <w:r>
        <w:rPr>
          <w:rFonts w:hint="eastAsia" w:ascii="宋体" w:hAnsi="宋体" w:eastAsia="宋体" w:cs="宋体"/>
          <w:color w:val="auto"/>
          <w:highlight w:val="none"/>
        </w:rPr>
        <w:t>签订地点：</w:t>
      </w:r>
      <w:r>
        <w:rPr>
          <w:rFonts w:hint="eastAsia" w:cs="宋体"/>
          <w:b/>
          <w:bCs/>
          <w:color w:val="auto"/>
          <w:highlight w:val="none"/>
          <w:lang w:eastAsia="zh-CN"/>
        </w:rPr>
        <w:t>成都市金牛区医疗机构管理服务中心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签订时间：    年  月  日</w:t>
      </w:r>
    </w:p>
    <w:p>
      <w:pPr>
        <w:ind w:firstLine="480"/>
        <w:rPr>
          <w:rFonts w:hint="eastAsia" w:ascii="宋体" w:hAnsi="宋体" w:eastAsia="宋体" w:cs="宋体"/>
          <w:b/>
          <w:bCs/>
          <w:color w:val="auto"/>
          <w:highlight w:val="none"/>
          <w:lang w:eastAsia="zh-CN"/>
        </w:rPr>
      </w:pPr>
      <w:r>
        <w:rPr>
          <w:rFonts w:hint="eastAsia" w:ascii="宋体" w:hAnsi="宋体" w:eastAsia="宋体" w:cs="宋体"/>
          <w:color w:val="auto"/>
          <w:highlight w:val="none"/>
        </w:rPr>
        <w:t>采购人（甲方）：</w:t>
      </w:r>
      <w:r>
        <w:rPr>
          <w:rFonts w:hint="eastAsia" w:cs="宋体"/>
          <w:b/>
          <w:bCs/>
          <w:color w:val="auto"/>
          <w:highlight w:val="none"/>
          <w:u w:val="single"/>
          <w:lang w:eastAsia="zh-CN"/>
        </w:rPr>
        <w:t>成都市金牛区医疗机构管理服务中心</w:t>
      </w:r>
    </w:p>
    <w:p>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p>
    <w:p>
      <w:pPr>
        <w:adjustRightInd w:val="0"/>
        <w:snapToGrid w:val="0"/>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依据《中华人民共和国民法典》、《中华人民共和国政府采购法》与项目行业有关的法律法规，以及</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w:t>
      </w:r>
      <w:r>
        <w:rPr>
          <w:rFonts w:hint="eastAsia" w:ascii="宋体" w:hAnsi="宋体" w:eastAsia="宋体" w:cs="宋体"/>
          <w:b/>
          <w:bCs/>
          <w:color w:val="auto"/>
          <w:highlight w:val="none"/>
        </w:rPr>
        <w:t>项目编号：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 xml:space="preserve">）的《竞争性磋商文件》，乙方的《响应文件》及《成交通知书》，甲、乙双方同意签订本合同。    </w:t>
      </w:r>
    </w:p>
    <w:p>
      <w:pPr>
        <w:ind w:firstLine="480"/>
        <w:rPr>
          <w:rFonts w:hint="eastAsia" w:ascii="宋体" w:hAnsi="宋体" w:eastAsia="宋体" w:cs="宋体"/>
          <w:color w:val="auto"/>
          <w:highlight w:val="none"/>
        </w:rPr>
      </w:pP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项目</w:t>
      </w:r>
      <w:r>
        <w:rPr>
          <w:rFonts w:hint="eastAsia" w:cs="宋体"/>
          <w:b/>
          <w:bCs/>
          <w:color w:val="auto"/>
          <w:highlight w:val="none"/>
          <w:lang w:eastAsia="zh-CN"/>
        </w:rPr>
        <w:t>概况</w:t>
      </w:r>
    </w:p>
    <w:p>
      <w:pPr>
        <w:bidi w:val="0"/>
        <w:rPr>
          <w:rFonts w:hint="eastAsia" w:ascii="宋体" w:hAnsi="宋体" w:eastAsia="宋体" w:cs="宋体"/>
          <w:color w:val="auto"/>
          <w:highlight w:val="none"/>
        </w:rPr>
      </w:pPr>
      <w:r>
        <w:rPr>
          <w:color w:val="auto"/>
          <w:highlight w:val="none"/>
        </w:rPr>
        <w:t>成都市金牛区中医医院项目位于成都市金牛区天回镇街道万圣社区7组，新建1所700张床位（含20张负压床位）的三级中医医院</w:t>
      </w:r>
      <w:r>
        <w:rPr>
          <w:rFonts w:hint="eastAsia"/>
          <w:color w:val="auto"/>
          <w:highlight w:val="none"/>
          <w:lang w:eastAsia="zh-CN"/>
        </w:rPr>
        <w:t>。</w:t>
      </w:r>
      <w:r>
        <w:rPr>
          <w:rFonts w:hint="eastAsia"/>
          <w:color w:val="auto"/>
          <w:highlight w:val="none"/>
        </w:rPr>
        <w:t>项目规划建设用地面积</w:t>
      </w:r>
      <w:r>
        <w:rPr>
          <w:rFonts w:hint="eastAsia"/>
          <w:color w:val="auto"/>
          <w:highlight w:val="none"/>
          <w:lang w:eastAsia="zh-CN"/>
        </w:rPr>
        <w:t>约</w:t>
      </w:r>
      <w:r>
        <w:rPr>
          <w:rFonts w:hint="eastAsia"/>
          <w:color w:val="auto"/>
          <w:highlight w:val="none"/>
        </w:rPr>
        <w:t>24587.76平方米，规划总建筑面积</w:t>
      </w:r>
      <w:r>
        <w:rPr>
          <w:rFonts w:hint="eastAsia"/>
          <w:color w:val="auto"/>
          <w:highlight w:val="none"/>
          <w:lang w:eastAsia="zh-CN"/>
        </w:rPr>
        <w:t>约</w:t>
      </w:r>
      <w:r>
        <w:rPr>
          <w:rFonts w:hint="eastAsia"/>
          <w:color w:val="auto"/>
          <w:highlight w:val="none"/>
        </w:rPr>
        <w:t>112481.03平方米</w:t>
      </w:r>
      <w:r>
        <w:rPr>
          <w:rFonts w:hint="eastAsia"/>
          <w:color w:val="auto"/>
          <w:highlight w:val="none"/>
          <w:lang w:eastAsia="zh-CN"/>
        </w:rPr>
        <w:t>。</w:t>
      </w:r>
      <w:r>
        <w:rPr>
          <w:rFonts w:hint="eastAsia"/>
          <w:color w:val="auto"/>
          <w:highlight w:val="none"/>
        </w:rPr>
        <w:t>地块南北长约 200 米，东西长约 125 米，地势平坦，呈矩形状</w:t>
      </w:r>
      <w:r>
        <w:rPr>
          <w:rFonts w:hint="eastAsia"/>
          <w:color w:val="auto"/>
          <w:highlight w:val="none"/>
          <w:lang w:eastAsia="zh-CN"/>
        </w:rPr>
        <w:t>；</w:t>
      </w:r>
      <w:r>
        <w:rPr>
          <w:rFonts w:hint="eastAsia"/>
          <w:color w:val="auto"/>
          <w:highlight w:val="none"/>
        </w:rPr>
        <w:t>基坑深度为 10.55 米（基坑最大开挖深度约 12.0m）</w:t>
      </w:r>
      <w:r>
        <w:rPr>
          <w:rFonts w:hint="eastAsia"/>
          <w:color w:val="auto"/>
          <w:highlight w:val="none"/>
          <w:lang w:eastAsia="zh-CN"/>
        </w:rPr>
        <w:t>；</w:t>
      </w:r>
      <w:r>
        <w:rPr>
          <w:rFonts w:hint="eastAsia"/>
          <w:color w:val="auto"/>
          <w:highlight w:val="none"/>
        </w:rPr>
        <w:t>基坑安全等级：一级</w:t>
      </w:r>
      <w:r>
        <w:rPr>
          <w:rFonts w:hint="eastAsia"/>
          <w:color w:val="auto"/>
          <w:highlight w:val="none"/>
          <w:lang w:eastAsia="zh-CN"/>
        </w:rPr>
        <w:t>；</w:t>
      </w:r>
      <w:r>
        <w:rPr>
          <w:rFonts w:hint="eastAsia"/>
          <w:color w:val="auto"/>
          <w:highlight w:val="none"/>
        </w:rPr>
        <w:t>基坑防护要求：围护结构为钻孔灌注桩+锚索形式，桩直径为 800mm，间距为1800mm。计划工期</w:t>
      </w:r>
      <w:r>
        <w:rPr>
          <w:rFonts w:hint="eastAsia"/>
          <w:color w:val="auto"/>
          <w:highlight w:val="none"/>
          <w:lang w:eastAsia="zh-CN"/>
        </w:rPr>
        <w:t>：</w:t>
      </w:r>
      <w:r>
        <w:rPr>
          <w:rFonts w:hint="eastAsia"/>
          <w:color w:val="auto"/>
          <w:highlight w:val="none"/>
        </w:rPr>
        <w:t>1020日历天</w:t>
      </w:r>
      <w:r>
        <w:rPr>
          <w:rFonts w:hint="eastAsia"/>
          <w:color w:val="auto"/>
          <w:highlight w:val="none"/>
          <w:lang w:eastAsia="zh-CN"/>
        </w:rPr>
        <w:t>。</w:t>
      </w:r>
      <w:r>
        <w:rPr>
          <w:color w:val="auto"/>
          <w:highlight w:val="none"/>
        </w:rPr>
        <w:t>项目建设内容包含急诊部、门诊部、住院部、医技科室、药剂科室等基本用房及保障系统、行政管理、院内生活服务等辅助用房，具体包括土建工程、安装工程、装饰工程、设备工程以及总平工程等。</w:t>
      </w:r>
      <w:r>
        <w:rPr>
          <w:rFonts w:hint="eastAsia"/>
          <w:color w:val="auto"/>
          <w:highlight w:val="none"/>
          <w:lang w:eastAsia="zh-CN"/>
        </w:rPr>
        <w:t>本项目为</w:t>
      </w:r>
      <w:r>
        <w:rPr>
          <w:color w:val="auto"/>
          <w:highlight w:val="none"/>
        </w:rPr>
        <w:t>成都市金牛区中医医院</w:t>
      </w:r>
      <w:r>
        <w:rPr>
          <w:rFonts w:hint="eastAsia"/>
          <w:color w:val="auto"/>
          <w:highlight w:val="none"/>
          <w:lang w:val="en-US" w:eastAsia="zh-CN"/>
        </w:rPr>
        <w:t>工程基坑变形观测及主体结构沉降观测服务，共1个包件。</w:t>
      </w:r>
    </w:p>
    <w:p>
      <w:pPr>
        <w:numPr>
          <w:ilvl w:val="2"/>
          <w:numId w:val="10"/>
        </w:numPr>
        <w:ind w:firstLineChars="0"/>
        <w:rPr>
          <w:rFonts w:hint="eastAsia" w:ascii="宋体" w:hAnsi="宋体" w:eastAsia="宋体" w:cs="宋体"/>
          <w:b/>
          <w:bCs/>
          <w:color w:val="auto"/>
          <w:highlight w:val="none"/>
        </w:rPr>
      </w:pPr>
      <w:r>
        <w:rPr>
          <w:rFonts w:hint="eastAsia" w:cs="宋体"/>
          <w:b/>
          <w:bCs/>
          <w:color w:val="auto"/>
          <w:highlight w:val="none"/>
          <w:lang w:eastAsia="zh-CN"/>
        </w:rPr>
        <w:t>服务内容</w:t>
      </w:r>
    </w:p>
    <w:p>
      <w:pPr>
        <w:ind w:firstLine="480"/>
        <w:rPr>
          <w:rFonts w:hint="eastAsia"/>
          <w:color w:val="auto"/>
          <w:highlight w:val="none"/>
        </w:rPr>
      </w:pPr>
      <w:r>
        <w:rPr>
          <w:rFonts w:hint="eastAsia" w:ascii="宋体" w:hAnsi="宋体" w:eastAsia="宋体" w:cs="宋体"/>
          <w:color w:val="auto"/>
          <w:highlight w:val="none"/>
        </w:rPr>
        <w:t>按竞争性磋商文件的要求提供。</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技术、服务要求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按竞争性磋商文件的要求提供。</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服务</w:t>
      </w:r>
      <w:r>
        <w:rPr>
          <w:rFonts w:hint="eastAsia" w:ascii="宋体" w:hAnsi="宋体" w:eastAsia="宋体" w:cs="宋体"/>
          <w:b/>
          <w:bCs/>
          <w:color w:val="auto"/>
          <w:highlight w:val="none"/>
          <w:lang w:eastAsia="zh-CN"/>
        </w:rPr>
        <w:t>期限</w:t>
      </w:r>
    </w:p>
    <w:p>
      <w:pPr>
        <w:bidi w:val="0"/>
        <w:rPr>
          <w:rFonts w:hint="eastAsia" w:ascii="宋体" w:hAnsi="宋体" w:eastAsia="宋体" w:cs="宋体"/>
          <w:color w:val="auto"/>
          <w:highlight w:val="none"/>
          <w:lang w:val="en-US" w:eastAsia="zh-CN"/>
        </w:rPr>
      </w:pPr>
      <w:r>
        <w:rPr>
          <w:rFonts w:hint="eastAsia"/>
          <w:color w:val="auto"/>
          <w:highlight w:val="none"/>
          <w:lang w:eastAsia="zh-CN"/>
        </w:rPr>
        <w:t>自合同签订之日起至竣工验收止。</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服务地点</w:t>
      </w:r>
    </w:p>
    <w:p>
      <w:pPr>
        <w:bidi w:val="0"/>
        <w:rPr>
          <w:rFonts w:hint="eastAsia"/>
          <w:color w:val="auto"/>
          <w:highlight w:val="none"/>
          <w:lang w:eastAsia="zh-CN"/>
        </w:rPr>
      </w:pPr>
      <w:r>
        <w:rPr>
          <w:rFonts w:hint="eastAsia"/>
          <w:color w:val="auto"/>
          <w:highlight w:val="none"/>
        </w:rPr>
        <w:t>金牛区天回镇街道万圣社区7组</w:t>
      </w:r>
      <w:r>
        <w:rPr>
          <w:rFonts w:hint="eastAsia"/>
          <w:color w:val="auto"/>
          <w:highlight w:val="none"/>
          <w:lang w:eastAsia="zh-CN"/>
        </w:rPr>
        <w:t>。</w:t>
      </w:r>
    </w:p>
    <w:p>
      <w:pPr>
        <w:numPr>
          <w:ilvl w:val="2"/>
          <w:numId w:val="10"/>
        </w:numPr>
        <w:ind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成果提交地点</w:t>
      </w:r>
    </w:p>
    <w:p>
      <w:pPr>
        <w:bidi w:val="0"/>
        <w:rPr>
          <w:rFonts w:hint="eastAsia"/>
          <w:color w:val="auto"/>
          <w:highlight w:val="none"/>
          <w:lang w:eastAsia="zh-CN"/>
        </w:rPr>
      </w:pPr>
      <w:r>
        <w:rPr>
          <w:rFonts w:hint="eastAsia"/>
          <w:color w:val="auto"/>
          <w:highlight w:val="none"/>
          <w:lang w:val="en-US" w:eastAsia="zh-CN"/>
        </w:rPr>
        <w:t>成都市金牛区中医医院工程项目部。</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服务费用</w:t>
      </w:r>
      <w:r>
        <w:rPr>
          <w:rFonts w:hint="eastAsia" w:ascii="宋体" w:hAnsi="宋体" w:eastAsia="宋体" w:cs="宋体"/>
          <w:b/>
          <w:bCs/>
          <w:color w:val="auto"/>
          <w:highlight w:val="none"/>
        </w:rPr>
        <w:t>及支付方式</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eastAsia="zh-CN"/>
        </w:rPr>
      </w:pPr>
      <w:r>
        <w:rPr>
          <w:rFonts w:hint="eastAsia" w:cs="宋体"/>
          <w:b/>
          <w:bCs/>
          <w:color w:val="auto"/>
          <w:highlight w:val="none"/>
          <w:lang w:eastAsia="zh-CN"/>
        </w:rPr>
        <w:t>（一）</w:t>
      </w:r>
      <w:r>
        <w:rPr>
          <w:rFonts w:hint="eastAsia" w:ascii="宋体" w:hAnsi="宋体" w:eastAsia="宋体" w:cs="宋体"/>
          <w:b/>
          <w:bCs/>
          <w:color w:val="auto"/>
          <w:highlight w:val="none"/>
        </w:rPr>
        <w:t>本项目服务费用为人民币元</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（大写：</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w:t>
      </w:r>
      <w:r>
        <w:rPr>
          <w:rFonts w:hint="eastAsia" w:ascii="宋体" w:hAnsi="宋体" w:eastAsia="宋体" w:cs="宋体"/>
          <w:color w:val="auto"/>
          <w:highlight w:val="none"/>
        </w:rPr>
        <w:t>，包含完成本项目所需的一切费用。</w:t>
      </w:r>
    </w:p>
    <w:p>
      <w:pPr>
        <w:bidi w:val="0"/>
        <w:rPr>
          <w:rFonts w:hint="eastAsia" w:ascii="宋体" w:hAnsi="宋体" w:eastAsia="宋体" w:cs="宋体"/>
          <w:b/>
          <w:bCs/>
          <w:color w:val="auto"/>
          <w:highlight w:val="none"/>
        </w:rPr>
      </w:pPr>
      <w:r>
        <w:rPr>
          <w:rFonts w:hint="eastAsia" w:cs="宋体"/>
          <w:b/>
          <w:bCs/>
          <w:color w:val="auto"/>
          <w:highlight w:val="none"/>
          <w:lang w:val="en-US" w:eastAsia="zh-CN"/>
        </w:rPr>
        <w:t>（二）付款</w:t>
      </w:r>
      <w:r>
        <w:rPr>
          <w:rFonts w:hint="eastAsia" w:ascii="宋体" w:hAnsi="宋体" w:eastAsia="宋体" w:cs="宋体"/>
          <w:b/>
          <w:bCs/>
          <w:color w:val="auto"/>
          <w:highlight w:val="none"/>
          <w:lang w:val="en-US" w:eastAsia="zh-CN"/>
        </w:rPr>
        <w:t>方式:</w:t>
      </w:r>
      <w:r>
        <w:rPr>
          <w:rFonts w:hint="eastAsia"/>
          <w:color w:val="auto"/>
          <w:highlight w:val="none"/>
          <w:lang w:val="en-US" w:eastAsia="zh-CN"/>
        </w:rPr>
        <w:t>合同签订后10个工作日内支付合同金额的30%；提交基坑监测完整符合要求的</w:t>
      </w:r>
      <w:r>
        <w:rPr>
          <w:rFonts w:hint="eastAsia"/>
          <w:color w:val="auto"/>
          <w:highlight w:val="none"/>
          <w:lang w:eastAsia="zh-CN"/>
        </w:rPr>
        <w:t>成果文件后</w:t>
      </w:r>
      <w:r>
        <w:rPr>
          <w:rFonts w:hint="eastAsia"/>
          <w:color w:val="auto"/>
          <w:highlight w:val="none"/>
          <w:lang w:val="en-US" w:eastAsia="zh-CN"/>
        </w:rPr>
        <w:t>10个工作日内支付至合同金额的60%；提交主体结构监测完整符合要求的</w:t>
      </w:r>
      <w:r>
        <w:rPr>
          <w:rFonts w:hint="eastAsia"/>
          <w:color w:val="auto"/>
          <w:highlight w:val="none"/>
          <w:lang w:eastAsia="zh-CN"/>
        </w:rPr>
        <w:t>成果文件后</w:t>
      </w:r>
      <w:r>
        <w:rPr>
          <w:rFonts w:hint="eastAsia"/>
          <w:color w:val="auto"/>
          <w:highlight w:val="none"/>
          <w:lang w:val="en-US" w:eastAsia="zh-CN"/>
        </w:rPr>
        <w:t>10个工作日内支付至合同金额的100%。</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履约</w:t>
      </w:r>
      <w:r>
        <w:rPr>
          <w:rFonts w:hint="eastAsia" w:ascii="宋体" w:hAnsi="宋体" w:eastAsia="宋体" w:cs="宋体"/>
          <w:b/>
          <w:bCs/>
          <w:color w:val="auto"/>
          <w:highlight w:val="none"/>
        </w:rPr>
        <w:t>验收</w:t>
      </w:r>
    </w:p>
    <w:p>
      <w:pPr>
        <w:bidi w:val="0"/>
        <w:rPr>
          <w:rFonts w:hint="eastAsia" w:ascii="宋体" w:hAnsi="宋体" w:eastAsia="宋体" w:cs="宋体"/>
          <w:color w:val="auto"/>
          <w:highlight w:val="none"/>
        </w:rPr>
      </w:pPr>
      <w:r>
        <w:rPr>
          <w:rFonts w:hint="eastAsia"/>
          <w:color w:val="auto"/>
          <w:highlight w:val="none"/>
        </w:rPr>
        <w:t>验收时间、期限、方式和标准等相关验收事项，采购人可参照政府采购相关法律法规以及《财政部关于进一步加强政府采购需求和履约验收管理的指导意见》（财库〔</w:t>
      </w:r>
      <w:r>
        <w:rPr>
          <w:color w:val="auto"/>
          <w:highlight w:val="none"/>
        </w:rPr>
        <w:t>2016</w:t>
      </w:r>
      <w:r>
        <w:rPr>
          <w:rFonts w:hint="eastAsia"/>
          <w:color w:val="auto"/>
          <w:highlight w:val="none"/>
        </w:rPr>
        <w:t>〕</w:t>
      </w:r>
      <w:r>
        <w:rPr>
          <w:color w:val="auto"/>
          <w:highlight w:val="none"/>
        </w:rPr>
        <w:t>205</w:t>
      </w:r>
      <w:r>
        <w:rPr>
          <w:rFonts w:hint="eastAsia"/>
          <w:color w:val="auto"/>
          <w:highlight w:val="none"/>
        </w:rPr>
        <w:t>号）的要求进行验收。</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知识产权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甲方享有本项目采购实施过程中产生的知识成果及知识产权。乙方应保证所提供的服务或其任何一部分均不会侵犯任何第三方的专利权、商标权或其他知识产权。如因专利权、商标权或其它知识产权而引起法律和经济纠纷，由乙方承担所有相关责任。</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无产权瑕疵条款</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乙方保证所提供的服务的所有权完全属于乙方且无任何抵押、查封等产权瑕疵。如有产权瑕疵的，视为乙方违约。乙方应负担由此而产生的一切损失。</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甲方的权利和义务</w:t>
      </w:r>
    </w:p>
    <w:p>
      <w:pPr>
        <w:numPr>
          <w:ilvl w:val="0"/>
          <w:numId w:val="11"/>
        </w:numPr>
        <w:bidi w:val="0"/>
        <w:rPr>
          <w:color w:val="auto"/>
          <w:highlight w:val="none"/>
        </w:rPr>
      </w:pPr>
      <w:r>
        <w:rPr>
          <w:rFonts w:hint="eastAsia"/>
          <w:color w:val="auto"/>
          <w:highlight w:val="none"/>
        </w:rPr>
        <w:t>甲方有权对合同规定范围内乙方的服务行为进行监督和检查，拥有监管权。有权核对乙方提供服务所配备的人员数量。对甲方认为不合理的部分有权下达整改通知书，并要求乙方限期整改。</w:t>
      </w:r>
    </w:p>
    <w:p>
      <w:pPr>
        <w:numPr>
          <w:ilvl w:val="0"/>
          <w:numId w:val="11"/>
        </w:numPr>
        <w:bidi w:val="0"/>
        <w:rPr>
          <w:color w:val="auto"/>
          <w:highlight w:val="none"/>
        </w:rPr>
      </w:pPr>
      <w:r>
        <w:rPr>
          <w:rFonts w:hint="eastAsia"/>
          <w:color w:val="auto"/>
          <w:highlight w:val="none"/>
        </w:rPr>
        <w:t>负责检查监督乙方管理工作的实施及制度的执行情况。</w:t>
      </w:r>
    </w:p>
    <w:p>
      <w:pPr>
        <w:numPr>
          <w:ilvl w:val="0"/>
          <w:numId w:val="11"/>
        </w:numPr>
        <w:bidi w:val="0"/>
        <w:rPr>
          <w:color w:val="auto"/>
          <w:highlight w:val="none"/>
        </w:rPr>
      </w:pPr>
      <w:r>
        <w:rPr>
          <w:rFonts w:hint="eastAsia"/>
          <w:color w:val="auto"/>
          <w:highlight w:val="none"/>
        </w:rPr>
        <w:t>根据本合同规定，按时向乙方支付应付服务费用。</w:t>
      </w:r>
    </w:p>
    <w:p>
      <w:pPr>
        <w:numPr>
          <w:ilvl w:val="0"/>
          <w:numId w:val="11"/>
        </w:numPr>
        <w:bidi w:val="0"/>
        <w:rPr>
          <w:color w:val="auto"/>
          <w:highlight w:val="none"/>
        </w:rPr>
      </w:pPr>
      <w:r>
        <w:rPr>
          <w:rFonts w:hint="eastAsia"/>
          <w:color w:val="auto"/>
          <w:highlight w:val="none"/>
        </w:rPr>
        <w:t>国家法律、法规所规定由甲方承担的其它责任。</w:t>
      </w:r>
    </w:p>
    <w:p>
      <w:pPr>
        <w:numPr>
          <w:ilvl w:val="0"/>
          <w:numId w:val="11"/>
        </w:numPr>
        <w:bidi w:val="0"/>
        <w:rPr>
          <w:color w:val="auto"/>
          <w:highlight w:val="none"/>
        </w:rPr>
      </w:pPr>
      <w:r>
        <w:rPr>
          <w:rFonts w:hint="eastAsia"/>
          <w:color w:val="auto"/>
          <w:highlight w:val="none"/>
        </w:rPr>
        <w:t>针对服务期内未明确的事项，或存在争议的事项，甲方有权组织专家进行讨论，并按专家讨论结果执行相关事项。</w:t>
      </w:r>
    </w:p>
    <w:p>
      <w:pPr>
        <w:numPr>
          <w:ilvl w:val="0"/>
          <w:numId w:val="11"/>
        </w:numPr>
        <w:bidi w:val="0"/>
        <w:rPr>
          <w:color w:val="auto"/>
          <w:highlight w:val="none"/>
        </w:rPr>
      </w:pPr>
      <w:r>
        <w:rPr>
          <w:rFonts w:hint="eastAsia"/>
          <w:color w:val="auto"/>
          <w:highlight w:val="none"/>
        </w:rPr>
        <w:t>由于安全事故对公众造成的损失和影响，由乙方承担，甲方不承担任何责任。</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乙方的权利和义务</w:t>
      </w:r>
    </w:p>
    <w:p>
      <w:pPr>
        <w:numPr>
          <w:ilvl w:val="0"/>
          <w:numId w:val="12"/>
        </w:numPr>
        <w:bidi w:val="0"/>
        <w:rPr>
          <w:color w:val="auto"/>
          <w:highlight w:val="none"/>
        </w:rPr>
      </w:pPr>
      <w:r>
        <w:rPr>
          <w:rFonts w:hint="eastAsia"/>
          <w:color w:val="auto"/>
          <w:highlight w:val="none"/>
        </w:rPr>
        <w:t>对本合同规定的委托服务范围内的项目享有管理权及服务义务。乙方不得超过自己履约能力接受该项任务，该工作不允许转包或分包。若乙方有转包或分包的行为，甲方有权无条件单方面解除合同且乙方退回全部甲方已付合同金额，并要求乙方支付成交金额</w:t>
      </w:r>
      <w:r>
        <w:rPr>
          <w:color w:val="auto"/>
          <w:highlight w:val="none"/>
        </w:rPr>
        <w:t>10%</w:t>
      </w:r>
      <w:r>
        <w:rPr>
          <w:rFonts w:hint="eastAsia"/>
          <w:color w:val="auto"/>
          <w:highlight w:val="none"/>
        </w:rPr>
        <w:t>的违约金。</w:t>
      </w:r>
    </w:p>
    <w:p>
      <w:pPr>
        <w:numPr>
          <w:ilvl w:val="0"/>
          <w:numId w:val="12"/>
        </w:numPr>
        <w:bidi w:val="0"/>
        <w:rPr>
          <w:color w:val="auto"/>
          <w:highlight w:val="none"/>
        </w:rPr>
      </w:pPr>
      <w:r>
        <w:rPr>
          <w:rFonts w:hint="eastAsia"/>
          <w:color w:val="auto"/>
          <w:highlight w:val="none"/>
        </w:rPr>
        <w:t>根据本合同的规定向甲方收取相关服务费用，并有权在本项目管理范围内管理及合理使用。</w:t>
      </w:r>
    </w:p>
    <w:p>
      <w:pPr>
        <w:numPr>
          <w:ilvl w:val="0"/>
          <w:numId w:val="12"/>
        </w:numPr>
        <w:bidi w:val="0"/>
        <w:rPr>
          <w:color w:val="auto"/>
          <w:highlight w:val="none"/>
        </w:rPr>
      </w:pPr>
      <w:r>
        <w:rPr>
          <w:rFonts w:hint="eastAsia"/>
          <w:color w:val="auto"/>
          <w:highlight w:val="none"/>
        </w:rPr>
        <w:t>及时向甲方通告本项目服务范围内有关服务的重大事项，及时配合处理投诉。</w:t>
      </w:r>
    </w:p>
    <w:p>
      <w:pPr>
        <w:numPr>
          <w:ilvl w:val="0"/>
          <w:numId w:val="12"/>
        </w:numPr>
        <w:bidi w:val="0"/>
        <w:rPr>
          <w:color w:val="auto"/>
          <w:highlight w:val="none"/>
        </w:rPr>
      </w:pPr>
      <w:r>
        <w:rPr>
          <w:rFonts w:hint="eastAsia"/>
          <w:color w:val="auto"/>
          <w:highlight w:val="none"/>
        </w:rPr>
        <w:t>接受项目行业管理部门及政府有关部门的指导，接受甲方的监督。</w:t>
      </w:r>
    </w:p>
    <w:p>
      <w:pPr>
        <w:numPr>
          <w:ilvl w:val="0"/>
          <w:numId w:val="12"/>
        </w:numPr>
        <w:bidi w:val="0"/>
        <w:rPr>
          <w:color w:val="auto"/>
          <w:highlight w:val="none"/>
        </w:rPr>
      </w:pPr>
      <w:r>
        <w:rPr>
          <w:rFonts w:hint="eastAsia"/>
          <w:color w:val="auto"/>
          <w:highlight w:val="none"/>
        </w:rPr>
        <w:t>国家法律、法规所规定由乙方承担的其它责任。</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违约责任</w:t>
      </w:r>
    </w:p>
    <w:p>
      <w:pPr>
        <w:numPr>
          <w:ilvl w:val="0"/>
          <w:numId w:val="13"/>
        </w:numPr>
        <w:bidi w:val="0"/>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甲乙双方必须遵守本合同并执行合同中的各项规定，保证本合同的正常履行。</w:t>
      </w:r>
    </w:p>
    <w:p>
      <w:pPr>
        <w:numPr>
          <w:ilvl w:val="0"/>
          <w:numId w:val="13"/>
        </w:numPr>
        <w:bidi w:val="0"/>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2"/>
          <w:numId w:val="10"/>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不可抗力事件处理</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在合同有效期内，任何一方因不可抗力事件导致不能履行合同，则合同履行期可延长，其延长期与不可抗力影响期相同。</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不可抗力事件发生后，应立即通知对方，并寄送有关权威机构出具的证明。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不可抗力事件延续</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天以上，双方应通过友好协商，确定是否继续履行合同。</w:t>
      </w:r>
    </w:p>
    <w:p>
      <w:pPr>
        <w:numPr>
          <w:ilvl w:val="2"/>
          <w:numId w:val="10"/>
        </w:numPr>
        <w:ind w:firstLineChars="0"/>
        <w:rPr>
          <w:rFonts w:hint="eastAsia" w:ascii="宋体" w:hAnsi="宋体" w:eastAsia="宋体" w:cs="宋体"/>
          <w:b/>
          <w:bCs/>
          <w:color w:val="auto"/>
          <w:highlight w:val="none"/>
        </w:rPr>
      </w:pPr>
      <w:bookmarkStart w:id="337" w:name="_Toc247334846"/>
      <w:bookmarkStart w:id="338" w:name="_Toc239233919"/>
      <w:bookmarkStart w:id="339" w:name="_Toc251768867"/>
      <w:bookmarkStart w:id="340" w:name="_Toc225244857"/>
      <w:bookmarkStart w:id="341" w:name="_Toc286993792"/>
      <w:bookmarkStart w:id="342" w:name="_Toc185395254"/>
      <w:bookmarkStart w:id="343" w:name="_Toc239568423"/>
      <w:bookmarkStart w:id="344" w:name="_Toc232492933"/>
      <w:bookmarkStart w:id="345" w:name="_Toc241833908"/>
      <w:bookmarkStart w:id="346" w:name="_Toc225670756"/>
      <w:bookmarkStart w:id="347" w:name="_Toc238984980"/>
      <w:bookmarkStart w:id="348" w:name="_Toc237145411"/>
      <w:bookmarkStart w:id="349" w:name="_Toc225654649"/>
      <w:bookmarkStart w:id="350" w:name="_Toc211911353"/>
      <w:bookmarkStart w:id="351" w:name="_Toc211854454"/>
      <w:bookmarkStart w:id="352" w:name="_Toc212019599"/>
      <w:r>
        <w:rPr>
          <w:rFonts w:hint="eastAsia" w:ascii="宋体" w:hAnsi="宋体" w:eastAsia="宋体" w:cs="宋体"/>
          <w:b/>
          <w:bCs/>
          <w:color w:val="auto"/>
          <w:highlight w:val="none"/>
        </w:rPr>
        <w:t>解决合同纠纷的方式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在执行本合同中发生的或与本合同有关的争端，双方应通过友好协商解决，经协商在</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天内不能达成协议时，应提交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成都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仲裁裁决应为最终决定，并对双方具有约束力。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除另有裁决外，仲裁费应由败诉方负担。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在仲裁期间，除正在进行仲裁部分外，合同其他部分继续执行。  </w:t>
      </w:r>
    </w:p>
    <w:p>
      <w:pPr>
        <w:numPr>
          <w:ilvl w:val="2"/>
          <w:numId w:val="10"/>
        </w:numPr>
        <w:ind w:firstLineChars="0"/>
        <w:rPr>
          <w:rFonts w:hint="eastAsia" w:ascii="宋体" w:hAnsi="宋体" w:eastAsia="宋体" w:cs="宋体"/>
          <w:b/>
          <w:bCs/>
          <w:color w:val="auto"/>
          <w:highlight w:val="none"/>
        </w:rPr>
      </w:pPr>
      <w:bookmarkStart w:id="353" w:name="_Toc212019600"/>
      <w:bookmarkStart w:id="354" w:name="_Toc232492934"/>
      <w:bookmarkStart w:id="355" w:name="_Toc247334847"/>
      <w:bookmarkStart w:id="356" w:name="_Toc238984981"/>
      <w:bookmarkStart w:id="357" w:name="_Toc251768868"/>
      <w:bookmarkStart w:id="358" w:name="_Toc283019219"/>
      <w:bookmarkStart w:id="359" w:name="_Toc239233920"/>
      <w:bookmarkStart w:id="360" w:name="_Toc237145412"/>
      <w:bookmarkStart w:id="361" w:name="_Toc241833909"/>
      <w:bookmarkStart w:id="362" w:name="_Toc185395255"/>
      <w:bookmarkStart w:id="363" w:name="_Toc211911354"/>
      <w:bookmarkStart w:id="364" w:name="_Toc286993793"/>
      <w:bookmarkStart w:id="365" w:name="_Toc239568424"/>
      <w:bookmarkStart w:id="366" w:name="_Toc211854455"/>
      <w:bookmarkStart w:id="367" w:name="_Toc225244858"/>
      <w:bookmarkStart w:id="368" w:name="_Toc225654650"/>
      <w:bookmarkStart w:id="369" w:name="_Toc282696231"/>
      <w:bookmarkStart w:id="370" w:name="_Toc225670757"/>
      <w:r>
        <w:rPr>
          <w:rFonts w:hint="eastAsia" w:ascii="宋体" w:hAnsi="宋体" w:eastAsia="宋体" w:cs="宋体"/>
          <w:b/>
          <w:bCs/>
          <w:color w:val="auto"/>
          <w:highlight w:val="none"/>
        </w:rPr>
        <w:t>合同</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宋体" w:hAnsi="宋体" w:eastAsia="宋体" w:cs="宋体"/>
          <w:b/>
          <w:bCs/>
          <w:color w:val="auto"/>
          <w:highlight w:val="none"/>
        </w:rPr>
        <w:t>生效及其他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合同经双方法定代表人或授权委托代理人签字并加盖单位公章后生效。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合同执行中涉及采购资金和采购内容修改或补充的，须经政府采购监管部门审批，并签书面补充协议报政府采购监督管理部门备案，方可作为主合同不可分割的一部分。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份，自双方签章之日起起效。甲方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份，政府采购管理部门、采购代理机构各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份，具有同等法律效力。</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甲    方：     （盖章）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乙   方：     （盖章）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法定代表人/单位负责人（授权代表）：   法定代表人/单位负责人（授权代表）：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地    址：                           地    址：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账    号：                           账    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电    话：                           电    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传    真：                           传    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签约日期：XX年XX月XX日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签约日期：XX年XX月XX日</w:t>
      </w:r>
    </w:p>
    <w:p>
      <w:pPr>
        <w:adjustRightInd w:val="0"/>
        <w:snapToGrid w:val="0"/>
        <w:ind w:firstLine="482"/>
        <w:rPr>
          <w:rFonts w:hint="eastAsia" w:ascii="宋体" w:hAnsi="宋体" w:eastAsia="宋体" w:cs="宋体"/>
          <w:b/>
          <w:color w:val="auto"/>
          <w:highlight w:val="none"/>
        </w:rPr>
      </w:pPr>
    </w:p>
    <w:p>
      <w:pPr>
        <w:adjustRightInd w:val="0"/>
        <w:snapToGrid w:val="0"/>
        <w:ind w:firstLine="48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注：具体合同内容以成交后双方约定内容为准，双方签字盖章后有效。</w:t>
      </w:r>
    </w:p>
    <w:sectPr>
      <w:footerReference r:id="rId8" w:type="default"/>
      <w:pgSz w:w="11850" w:h="16783"/>
      <w:pgMar w:top="1440" w:right="1800" w:bottom="1440" w:left="1800" w:header="851" w:footer="992" w:gutter="0"/>
      <w:pgNumType w:fmt="decimal"/>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20"/>
                      <w:ind w:firstLine="360"/>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38303"/>
    <w:multiLevelType w:val="singleLevel"/>
    <w:tmpl w:val="91B38303"/>
    <w:lvl w:ilvl="0" w:tentative="0">
      <w:start w:val="1"/>
      <w:numFmt w:val="decimal"/>
      <w:suff w:val="nothing"/>
      <w:lvlText w:val="%1．"/>
      <w:lvlJc w:val="left"/>
      <w:pPr>
        <w:ind w:left="0" w:firstLine="403"/>
      </w:pPr>
      <w:rPr>
        <w:rFonts w:hint="default"/>
      </w:rPr>
    </w:lvl>
  </w:abstractNum>
  <w:abstractNum w:abstractNumId="1">
    <w:nsid w:val="A3B8689F"/>
    <w:multiLevelType w:val="singleLevel"/>
    <w:tmpl w:val="A3B8689F"/>
    <w:lvl w:ilvl="0" w:tentative="0">
      <w:start w:val="1"/>
      <w:numFmt w:val="decimal"/>
      <w:suff w:val="nothing"/>
      <w:lvlText w:val="%1．"/>
      <w:lvlJc w:val="left"/>
      <w:pPr>
        <w:ind w:left="0" w:firstLine="400"/>
      </w:pPr>
      <w:rPr>
        <w:rFonts w:hint="default"/>
      </w:rPr>
    </w:lvl>
  </w:abstractNum>
  <w:abstractNum w:abstractNumId="2">
    <w:nsid w:val="B904154E"/>
    <w:multiLevelType w:val="singleLevel"/>
    <w:tmpl w:val="B904154E"/>
    <w:lvl w:ilvl="0" w:tentative="0">
      <w:start w:val="1"/>
      <w:numFmt w:val="decimal"/>
      <w:suff w:val="nothing"/>
      <w:lvlText w:val="%1．"/>
      <w:lvlJc w:val="left"/>
      <w:pPr>
        <w:ind w:left="0" w:firstLine="400"/>
      </w:pPr>
      <w:rPr>
        <w:rFonts w:hint="default"/>
      </w:rPr>
    </w:lvl>
  </w:abstractNum>
  <w:abstractNum w:abstractNumId="3">
    <w:nsid w:val="BBA7A8A9"/>
    <w:multiLevelType w:val="singleLevel"/>
    <w:tmpl w:val="BBA7A8A9"/>
    <w:lvl w:ilvl="0" w:tentative="0">
      <w:start w:val="1"/>
      <w:numFmt w:val="decimal"/>
      <w:suff w:val="nothing"/>
      <w:lvlText w:val="%1．"/>
      <w:lvlJc w:val="left"/>
      <w:pPr>
        <w:ind w:left="0" w:firstLine="400"/>
      </w:pPr>
      <w:rPr>
        <w:rFonts w:hint="default"/>
      </w:rPr>
    </w:lvl>
  </w:abstractNum>
  <w:abstractNum w:abstractNumId="4">
    <w:nsid w:val="C1FFA3DA"/>
    <w:multiLevelType w:val="singleLevel"/>
    <w:tmpl w:val="C1FFA3DA"/>
    <w:lvl w:ilvl="0" w:tentative="0">
      <w:start w:val="1"/>
      <w:numFmt w:val="decimal"/>
      <w:suff w:val="nothing"/>
      <w:lvlText w:val="%1．"/>
      <w:lvlJc w:val="left"/>
      <w:pPr>
        <w:ind w:left="0" w:firstLine="400"/>
      </w:pPr>
      <w:rPr>
        <w:rFonts w:hint="default"/>
      </w:rPr>
    </w:lvl>
  </w:abstractNum>
  <w:abstractNum w:abstractNumId="5">
    <w:nsid w:val="C86E10D7"/>
    <w:multiLevelType w:val="multilevel"/>
    <w:tmpl w:val="C86E10D7"/>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ascii="宋体" w:hAnsi="宋体" w:eastAsia="宋体" w:cs="宋体"/>
      </w:rPr>
    </w:lvl>
    <w:lvl w:ilvl="2" w:tentative="0">
      <w:start w:val="1"/>
      <w:numFmt w:val="chineseCounting"/>
      <w:suff w:val="space"/>
      <w:lvlText w:val="第%3条　"/>
      <w:lvlJc w:val="left"/>
      <w:pPr>
        <w:tabs>
          <w:tab w:val="left" w:pos="420"/>
        </w:tabs>
        <w:ind w:left="0" w:firstLine="0"/>
      </w:pPr>
      <w:rPr>
        <w:rFonts w:hint="eastAsia" w:ascii="宋体" w:hAnsi="宋体" w:eastAsia="宋体" w:cs="宋体"/>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FE0F9FC4"/>
    <w:multiLevelType w:val="singleLevel"/>
    <w:tmpl w:val="FE0F9FC4"/>
    <w:lvl w:ilvl="0" w:tentative="0">
      <w:start w:val="1"/>
      <w:numFmt w:val="decimal"/>
      <w:suff w:val="nothing"/>
      <w:lvlText w:val="%1"/>
      <w:lvlJc w:val="left"/>
      <w:pPr>
        <w:tabs>
          <w:tab w:val="left" w:pos="0"/>
        </w:tabs>
      </w:pPr>
      <w:rPr>
        <w:rFonts w:hint="default" w:ascii="宋体" w:hAnsi="宋体" w:eastAsia="宋体" w:cs="宋体"/>
      </w:rPr>
    </w:lvl>
  </w:abstractNum>
  <w:abstractNum w:abstractNumId="7">
    <w:nsid w:val="00B2A4E3"/>
    <w:multiLevelType w:val="singleLevel"/>
    <w:tmpl w:val="00B2A4E3"/>
    <w:lvl w:ilvl="0" w:tentative="0">
      <w:start w:val="1"/>
      <w:numFmt w:val="decimal"/>
      <w:suff w:val="nothing"/>
      <w:lvlText w:val="%1．"/>
      <w:lvlJc w:val="left"/>
      <w:pPr>
        <w:ind w:left="0" w:firstLine="400"/>
      </w:pPr>
      <w:rPr>
        <w:rFonts w:hint="default"/>
      </w:rPr>
    </w:lvl>
  </w:abstractNum>
  <w:abstractNum w:abstractNumId="8">
    <w:nsid w:val="1F7A499F"/>
    <w:multiLevelType w:val="singleLevel"/>
    <w:tmpl w:val="1F7A499F"/>
    <w:lvl w:ilvl="0" w:tentative="0">
      <w:start w:val="1"/>
      <w:numFmt w:val="decimal"/>
      <w:suff w:val="nothing"/>
      <w:lvlText w:val="%1．"/>
      <w:lvlJc w:val="left"/>
      <w:pPr>
        <w:ind w:left="0" w:firstLine="400"/>
      </w:pPr>
      <w:rPr>
        <w:rFonts w:hint="default"/>
      </w:rPr>
    </w:lvl>
  </w:abstractNum>
  <w:abstractNum w:abstractNumId="9">
    <w:nsid w:val="21811011"/>
    <w:multiLevelType w:val="singleLevel"/>
    <w:tmpl w:val="21811011"/>
    <w:lvl w:ilvl="0" w:tentative="0">
      <w:start w:val="1"/>
      <w:numFmt w:val="decimal"/>
      <w:suff w:val="nothing"/>
      <w:lvlText w:val="%1．"/>
      <w:lvlJc w:val="left"/>
      <w:pPr>
        <w:ind w:left="0" w:firstLine="400"/>
      </w:pPr>
      <w:rPr>
        <w:rFonts w:hint="default"/>
      </w:rPr>
    </w:lvl>
  </w:abstractNum>
  <w:abstractNum w:abstractNumId="10">
    <w:nsid w:val="47EA602F"/>
    <w:multiLevelType w:val="singleLevel"/>
    <w:tmpl w:val="47EA602F"/>
    <w:lvl w:ilvl="0" w:tentative="0">
      <w:start w:val="1"/>
      <w:numFmt w:val="decimal"/>
      <w:suff w:val="nothing"/>
      <w:lvlText w:val="%1．"/>
      <w:lvlJc w:val="left"/>
      <w:pPr>
        <w:ind w:left="0" w:firstLine="400"/>
      </w:pPr>
      <w:rPr>
        <w:rFonts w:hint="default"/>
      </w:rPr>
    </w:lvl>
  </w:abstractNum>
  <w:abstractNum w:abstractNumId="11">
    <w:nsid w:val="5A4DE600"/>
    <w:multiLevelType w:val="singleLevel"/>
    <w:tmpl w:val="5A4DE600"/>
    <w:lvl w:ilvl="0" w:tentative="0">
      <w:start w:val="5"/>
      <w:numFmt w:val="chineseCounting"/>
      <w:suff w:val="nothing"/>
      <w:lvlText w:val="%1、"/>
      <w:lvlJc w:val="left"/>
    </w:lvl>
  </w:abstractNum>
  <w:abstractNum w:abstractNumId="12">
    <w:nsid w:val="72C42E02"/>
    <w:multiLevelType w:val="singleLevel"/>
    <w:tmpl w:val="72C42E02"/>
    <w:lvl w:ilvl="0" w:tentative="0">
      <w:start w:val="1"/>
      <w:numFmt w:val="decimal"/>
      <w:suff w:val="nothing"/>
      <w:lvlText w:val="%1．"/>
      <w:lvlJc w:val="left"/>
      <w:pPr>
        <w:ind w:left="0" w:firstLine="400"/>
      </w:pPr>
      <w:rPr>
        <w:rFonts w:hint="default"/>
      </w:rPr>
    </w:lvl>
  </w:abstractNum>
  <w:num w:numId="1">
    <w:abstractNumId w:val="7"/>
  </w:num>
  <w:num w:numId="2">
    <w:abstractNumId w:val="11"/>
  </w:num>
  <w:num w:numId="3">
    <w:abstractNumId w:val="0"/>
  </w:num>
  <w:num w:numId="4">
    <w:abstractNumId w:val="3"/>
  </w:num>
  <w:num w:numId="5">
    <w:abstractNumId w:val="4"/>
  </w:num>
  <w:num w:numId="6">
    <w:abstractNumId w:val="9"/>
  </w:num>
  <w:num w:numId="7">
    <w:abstractNumId w:val="2"/>
  </w:num>
  <w:num w:numId="8">
    <w:abstractNumId w:val="1"/>
  </w:num>
  <w:num w:numId="9">
    <w:abstractNumId w:val="6"/>
  </w:num>
  <w:num w:numId="10">
    <w:abstractNumId w:val="5"/>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EA2CE9"/>
    <w:rsid w:val="0000006E"/>
    <w:rsid w:val="0000210F"/>
    <w:rsid w:val="00011D0A"/>
    <w:rsid w:val="0001254E"/>
    <w:rsid w:val="000155F3"/>
    <w:rsid w:val="00015822"/>
    <w:rsid w:val="000325B9"/>
    <w:rsid w:val="00047669"/>
    <w:rsid w:val="0005202B"/>
    <w:rsid w:val="000543AB"/>
    <w:rsid w:val="00054624"/>
    <w:rsid w:val="00054F18"/>
    <w:rsid w:val="0005614C"/>
    <w:rsid w:val="000629C6"/>
    <w:rsid w:val="0008365C"/>
    <w:rsid w:val="00093E43"/>
    <w:rsid w:val="000A0AC0"/>
    <w:rsid w:val="000A315C"/>
    <w:rsid w:val="000A3C77"/>
    <w:rsid w:val="000B655B"/>
    <w:rsid w:val="000C1B63"/>
    <w:rsid w:val="000D3BC0"/>
    <w:rsid w:val="000D7447"/>
    <w:rsid w:val="000F2964"/>
    <w:rsid w:val="001014FB"/>
    <w:rsid w:val="00102C12"/>
    <w:rsid w:val="00107231"/>
    <w:rsid w:val="00111ED5"/>
    <w:rsid w:val="00116B29"/>
    <w:rsid w:val="001248B0"/>
    <w:rsid w:val="00154B5C"/>
    <w:rsid w:val="001707C7"/>
    <w:rsid w:val="0017383A"/>
    <w:rsid w:val="00180A62"/>
    <w:rsid w:val="00194BA8"/>
    <w:rsid w:val="001A5409"/>
    <w:rsid w:val="001B484C"/>
    <w:rsid w:val="001C0DC0"/>
    <w:rsid w:val="001C2321"/>
    <w:rsid w:val="001C2F35"/>
    <w:rsid w:val="001E6288"/>
    <w:rsid w:val="001E7363"/>
    <w:rsid w:val="001F42A2"/>
    <w:rsid w:val="0020192E"/>
    <w:rsid w:val="00205602"/>
    <w:rsid w:val="0021295C"/>
    <w:rsid w:val="002336E2"/>
    <w:rsid w:val="00243B0A"/>
    <w:rsid w:val="00243C71"/>
    <w:rsid w:val="0025134C"/>
    <w:rsid w:val="0025628E"/>
    <w:rsid w:val="00261056"/>
    <w:rsid w:val="002622DB"/>
    <w:rsid w:val="0026255C"/>
    <w:rsid w:val="0027081F"/>
    <w:rsid w:val="00274299"/>
    <w:rsid w:val="002755A1"/>
    <w:rsid w:val="0028659A"/>
    <w:rsid w:val="00291571"/>
    <w:rsid w:val="002975DB"/>
    <w:rsid w:val="002A59AE"/>
    <w:rsid w:val="002A66E6"/>
    <w:rsid w:val="002A7535"/>
    <w:rsid w:val="002B4DBF"/>
    <w:rsid w:val="002D0274"/>
    <w:rsid w:val="002F03A6"/>
    <w:rsid w:val="00304116"/>
    <w:rsid w:val="003128B5"/>
    <w:rsid w:val="0032666E"/>
    <w:rsid w:val="00336734"/>
    <w:rsid w:val="003720C3"/>
    <w:rsid w:val="0038164E"/>
    <w:rsid w:val="003854D5"/>
    <w:rsid w:val="00385CBD"/>
    <w:rsid w:val="003934D9"/>
    <w:rsid w:val="00395D3F"/>
    <w:rsid w:val="003B236D"/>
    <w:rsid w:val="003C72E0"/>
    <w:rsid w:val="003D3906"/>
    <w:rsid w:val="003E5111"/>
    <w:rsid w:val="00417261"/>
    <w:rsid w:val="00420206"/>
    <w:rsid w:val="004226DB"/>
    <w:rsid w:val="00425DFD"/>
    <w:rsid w:val="004475C5"/>
    <w:rsid w:val="004A6476"/>
    <w:rsid w:val="004B3CAB"/>
    <w:rsid w:val="004B3EE2"/>
    <w:rsid w:val="004B5610"/>
    <w:rsid w:val="004B65D6"/>
    <w:rsid w:val="004C2A49"/>
    <w:rsid w:val="004F42E9"/>
    <w:rsid w:val="00515AE7"/>
    <w:rsid w:val="00541665"/>
    <w:rsid w:val="0054372B"/>
    <w:rsid w:val="0055249C"/>
    <w:rsid w:val="005636F8"/>
    <w:rsid w:val="00565F37"/>
    <w:rsid w:val="00572347"/>
    <w:rsid w:val="005747F6"/>
    <w:rsid w:val="005769B0"/>
    <w:rsid w:val="00581548"/>
    <w:rsid w:val="005819D0"/>
    <w:rsid w:val="00585A76"/>
    <w:rsid w:val="00586467"/>
    <w:rsid w:val="00586B4B"/>
    <w:rsid w:val="0059022E"/>
    <w:rsid w:val="0059082C"/>
    <w:rsid w:val="0059411D"/>
    <w:rsid w:val="005A045B"/>
    <w:rsid w:val="005A520A"/>
    <w:rsid w:val="005A5228"/>
    <w:rsid w:val="005A72AE"/>
    <w:rsid w:val="005C01E3"/>
    <w:rsid w:val="005C1DC3"/>
    <w:rsid w:val="005C3EFC"/>
    <w:rsid w:val="00624D27"/>
    <w:rsid w:val="0063045E"/>
    <w:rsid w:val="00633C1C"/>
    <w:rsid w:val="0065285D"/>
    <w:rsid w:val="00652FB4"/>
    <w:rsid w:val="00672B3D"/>
    <w:rsid w:val="00676B05"/>
    <w:rsid w:val="0068444F"/>
    <w:rsid w:val="00685167"/>
    <w:rsid w:val="006851B3"/>
    <w:rsid w:val="00692802"/>
    <w:rsid w:val="00697110"/>
    <w:rsid w:val="006979AE"/>
    <w:rsid w:val="006B4011"/>
    <w:rsid w:val="006C469E"/>
    <w:rsid w:val="006D3B91"/>
    <w:rsid w:val="006F49AA"/>
    <w:rsid w:val="006F5FB3"/>
    <w:rsid w:val="006F7E2B"/>
    <w:rsid w:val="00717DA2"/>
    <w:rsid w:val="00772540"/>
    <w:rsid w:val="00782835"/>
    <w:rsid w:val="0079128C"/>
    <w:rsid w:val="00795358"/>
    <w:rsid w:val="007A41FC"/>
    <w:rsid w:val="007A58EC"/>
    <w:rsid w:val="007A6686"/>
    <w:rsid w:val="007B01B0"/>
    <w:rsid w:val="007B3AC8"/>
    <w:rsid w:val="007B5950"/>
    <w:rsid w:val="007D6BCA"/>
    <w:rsid w:val="007F1284"/>
    <w:rsid w:val="0080789B"/>
    <w:rsid w:val="00810587"/>
    <w:rsid w:val="00811105"/>
    <w:rsid w:val="00831C23"/>
    <w:rsid w:val="00842808"/>
    <w:rsid w:val="0084780E"/>
    <w:rsid w:val="00863FC6"/>
    <w:rsid w:val="00874268"/>
    <w:rsid w:val="008751AB"/>
    <w:rsid w:val="0088540F"/>
    <w:rsid w:val="0088552C"/>
    <w:rsid w:val="008A00E5"/>
    <w:rsid w:val="008D3650"/>
    <w:rsid w:val="008D4C21"/>
    <w:rsid w:val="008E487C"/>
    <w:rsid w:val="0090411F"/>
    <w:rsid w:val="00907D2A"/>
    <w:rsid w:val="0091318D"/>
    <w:rsid w:val="00961BC8"/>
    <w:rsid w:val="00977C9D"/>
    <w:rsid w:val="009A66C4"/>
    <w:rsid w:val="009B1A21"/>
    <w:rsid w:val="009C63FA"/>
    <w:rsid w:val="009D07DE"/>
    <w:rsid w:val="009D7103"/>
    <w:rsid w:val="009F680F"/>
    <w:rsid w:val="00A15998"/>
    <w:rsid w:val="00A33087"/>
    <w:rsid w:val="00A36759"/>
    <w:rsid w:val="00A636B8"/>
    <w:rsid w:val="00A71E9F"/>
    <w:rsid w:val="00A84EBC"/>
    <w:rsid w:val="00A9014D"/>
    <w:rsid w:val="00A93717"/>
    <w:rsid w:val="00A9696A"/>
    <w:rsid w:val="00AB48DA"/>
    <w:rsid w:val="00AB7F39"/>
    <w:rsid w:val="00AD28F4"/>
    <w:rsid w:val="00AE5405"/>
    <w:rsid w:val="00AF603C"/>
    <w:rsid w:val="00AF7DA9"/>
    <w:rsid w:val="00B044B7"/>
    <w:rsid w:val="00B06253"/>
    <w:rsid w:val="00B263D9"/>
    <w:rsid w:val="00B34166"/>
    <w:rsid w:val="00B73683"/>
    <w:rsid w:val="00B87D46"/>
    <w:rsid w:val="00BB231C"/>
    <w:rsid w:val="00BB2437"/>
    <w:rsid w:val="00BB2B83"/>
    <w:rsid w:val="00BB3207"/>
    <w:rsid w:val="00BB4134"/>
    <w:rsid w:val="00BB661B"/>
    <w:rsid w:val="00BC4867"/>
    <w:rsid w:val="00BD43D6"/>
    <w:rsid w:val="00BE20B8"/>
    <w:rsid w:val="00BE307A"/>
    <w:rsid w:val="00BF176F"/>
    <w:rsid w:val="00C03DD8"/>
    <w:rsid w:val="00C04962"/>
    <w:rsid w:val="00C16333"/>
    <w:rsid w:val="00C22BA4"/>
    <w:rsid w:val="00C277BD"/>
    <w:rsid w:val="00C53517"/>
    <w:rsid w:val="00C536A4"/>
    <w:rsid w:val="00C56170"/>
    <w:rsid w:val="00C720A5"/>
    <w:rsid w:val="00C8544B"/>
    <w:rsid w:val="00C85AE8"/>
    <w:rsid w:val="00C93945"/>
    <w:rsid w:val="00CC606D"/>
    <w:rsid w:val="00CC7C21"/>
    <w:rsid w:val="00CE24D3"/>
    <w:rsid w:val="00CE2F2D"/>
    <w:rsid w:val="00CE33DD"/>
    <w:rsid w:val="00CE5522"/>
    <w:rsid w:val="00D11EF5"/>
    <w:rsid w:val="00D2133B"/>
    <w:rsid w:val="00D401EB"/>
    <w:rsid w:val="00D41FF8"/>
    <w:rsid w:val="00D44645"/>
    <w:rsid w:val="00D53386"/>
    <w:rsid w:val="00D662B9"/>
    <w:rsid w:val="00D73325"/>
    <w:rsid w:val="00D73E60"/>
    <w:rsid w:val="00DB1994"/>
    <w:rsid w:val="00DB2BC9"/>
    <w:rsid w:val="00DC60AB"/>
    <w:rsid w:val="00DD38BF"/>
    <w:rsid w:val="00DE12FB"/>
    <w:rsid w:val="00DE211D"/>
    <w:rsid w:val="00DE215B"/>
    <w:rsid w:val="00E31B2F"/>
    <w:rsid w:val="00E5480A"/>
    <w:rsid w:val="00E55060"/>
    <w:rsid w:val="00E55C9A"/>
    <w:rsid w:val="00E57AC0"/>
    <w:rsid w:val="00E61D91"/>
    <w:rsid w:val="00E7330F"/>
    <w:rsid w:val="00E818F5"/>
    <w:rsid w:val="00E84459"/>
    <w:rsid w:val="00E96DE1"/>
    <w:rsid w:val="00EB2160"/>
    <w:rsid w:val="00EC6A08"/>
    <w:rsid w:val="00ED6080"/>
    <w:rsid w:val="00EF6765"/>
    <w:rsid w:val="00EF780E"/>
    <w:rsid w:val="00F11B97"/>
    <w:rsid w:val="00F121E7"/>
    <w:rsid w:val="00F12DAB"/>
    <w:rsid w:val="00F17F07"/>
    <w:rsid w:val="00F229FE"/>
    <w:rsid w:val="00F267FB"/>
    <w:rsid w:val="00F34FC4"/>
    <w:rsid w:val="00F449F3"/>
    <w:rsid w:val="00F709D0"/>
    <w:rsid w:val="00F77425"/>
    <w:rsid w:val="00F95995"/>
    <w:rsid w:val="00FB5097"/>
    <w:rsid w:val="00FB6B80"/>
    <w:rsid w:val="00FB7956"/>
    <w:rsid w:val="00FC0E99"/>
    <w:rsid w:val="00FC45FB"/>
    <w:rsid w:val="00FD711F"/>
    <w:rsid w:val="00FF1BDE"/>
    <w:rsid w:val="00FF3D0E"/>
    <w:rsid w:val="01102835"/>
    <w:rsid w:val="01170BEA"/>
    <w:rsid w:val="012023DB"/>
    <w:rsid w:val="0122434C"/>
    <w:rsid w:val="01265003"/>
    <w:rsid w:val="012C050F"/>
    <w:rsid w:val="013556BF"/>
    <w:rsid w:val="01397A0A"/>
    <w:rsid w:val="013B42F6"/>
    <w:rsid w:val="013D0429"/>
    <w:rsid w:val="01497AE8"/>
    <w:rsid w:val="014B5A7C"/>
    <w:rsid w:val="01565F62"/>
    <w:rsid w:val="015A5355"/>
    <w:rsid w:val="016069B3"/>
    <w:rsid w:val="01695C4E"/>
    <w:rsid w:val="016B33FF"/>
    <w:rsid w:val="017627A5"/>
    <w:rsid w:val="0178649B"/>
    <w:rsid w:val="017A3F55"/>
    <w:rsid w:val="017E7A9B"/>
    <w:rsid w:val="0180517C"/>
    <w:rsid w:val="01890502"/>
    <w:rsid w:val="018C4C5A"/>
    <w:rsid w:val="01983E31"/>
    <w:rsid w:val="019A3DC9"/>
    <w:rsid w:val="019E3E5A"/>
    <w:rsid w:val="019F0E71"/>
    <w:rsid w:val="01B51009"/>
    <w:rsid w:val="01B52845"/>
    <w:rsid w:val="01B546E8"/>
    <w:rsid w:val="01B96A51"/>
    <w:rsid w:val="01BD71B8"/>
    <w:rsid w:val="01C054D3"/>
    <w:rsid w:val="01C1351A"/>
    <w:rsid w:val="01CD6F41"/>
    <w:rsid w:val="01D2575C"/>
    <w:rsid w:val="01DD2C8D"/>
    <w:rsid w:val="01DF438A"/>
    <w:rsid w:val="01E32D67"/>
    <w:rsid w:val="01F0244D"/>
    <w:rsid w:val="01F710E0"/>
    <w:rsid w:val="0201055E"/>
    <w:rsid w:val="02011DC0"/>
    <w:rsid w:val="02026340"/>
    <w:rsid w:val="0204132F"/>
    <w:rsid w:val="020A4A63"/>
    <w:rsid w:val="020D2B55"/>
    <w:rsid w:val="020E7329"/>
    <w:rsid w:val="020F174C"/>
    <w:rsid w:val="021761ED"/>
    <w:rsid w:val="02182A2A"/>
    <w:rsid w:val="0218627A"/>
    <w:rsid w:val="021B38AC"/>
    <w:rsid w:val="021B4A7D"/>
    <w:rsid w:val="021B6292"/>
    <w:rsid w:val="021B68C3"/>
    <w:rsid w:val="021D198B"/>
    <w:rsid w:val="021E6237"/>
    <w:rsid w:val="02224CB2"/>
    <w:rsid w:val="02270291"/>
    <w:rsid w:val="022E4C37"/>
    <w:rsid w:val="022F4988"/>
    <w:rsid w:val="02300B57"/>
    <w:rsid w:val="02343A8F"/>
    <w:rsid w:val="023B1A2E"/>
    <w:rsid w:val="023E5C2E"/>
    <w:rsid w:val="0244080F"/>
    <w:rsid w:val="0245082C"/>
    <w:rsid w:val="0249771E"/>
    <w:rsid w:val="024C4E01"/>
    <w:rsid w:val="025723DB"/>
    <w:rsid w:val="025D0548"/>
    <w:rsid w:val="025F7794"/>
    <w:rsid w:val="026131E2"/>
    <w:rsid w:val="026334D0"/>
    <w:rsid w:val="026358E9"/>
    <w:rsid w:val="026471E1"/>
    <w:rsid w:val="02654001"/>
    <w:rsid w:val="026673B7"/>
    <w:rsid w:val="02670C9B"/>
    <w:rsid w:val="026753B3"/>
    <w:rsid w:val="02695786"/>
    <w:rsid w:val="026B7CE4"/>
    <w:rsid w:val="02774DC8"/>
    <w:rsid w:val="02854D3A"/>
    <w:rsid w:val="0286725A"/>
    <w:rsid w:val="02880B83"/>
    <w:rsid w:val="028927D5"/>
    <w:rsid w:val="028D60EC"/>
    <w:rsid w:val="02902DE5"/>
    <w:rsid w:val="0291312B"/>
    <w:rsid w:val="0291692F"/>
    <w:rsid w:val="029210CB"/>
    <w:rsid w:val="02921A1B"/>
    <w:rsid w:val="0296758C"/>
    <w:rsid w:val="02972AF8"/>
    <w:rsid w:val="029E2987"/>
    <w:rsid w:val="02A1344E"/>
    <w:rsid w:val="02AB7306"/>
    <w:rsid w:val="02AF5A06"/>
    <w:rsid w:val="02B105C7"/>
    <w:rsid w:val="02B1324A"/>
    <w:rsid w:val="02B76444"/>
    <w:rsid w:val="02C74323"/>
    <w:rsid w:val="02C93D3B"/>
    <w:rsid w:val="02CE2992"/>
    <w:rsid w:val="02D15269"/>
    <w:rsid w:val="02DD4E67"/>
    <w:rsid w:val="02E06F8E"/>
    <w:rsid w:val="02E466AF"/>
    <w:rsid w:val="02E53223"/>
    <w:rsid w:val="02EC065D"/>
    <w:rsid w:val="02ED127C"/>
    <w:rsid w:val="02EF1867"/>
    <w:rsid w:val="02F373B4"/>
    <w:rsid w:val="02F43B09"/>
    <w:rsid w:val="02F46C9D"/>
    <w:rsid w:val="02F52B39"/>
    <w:rsid w:val="02FA5105"/>
    <w:rsid w:val="02FA6CE3"/>
    <w:rsid w:val="02FC29C3"/>
    <w:rsid w:val="02FE06EE"/>
    <w:rsid w:val="030544B7"/>
    <w:rsid w:val="030565A3"/>
    <w:rsid w:val="030C7174"/>
    <w:rsid w:val="030E7EC3"/>
    <w:rsid w:val="03115082"/>
    <w:rsid w:val="03132FC6"/>
    <w:rsid w:val="0316187D"/>
    <w:rsid w:val="031702A5"/>
    <w:rsid w:val="0318118C"/>
    <w:rsid w:val="03183D2B"/>
    <w:rsid w:val="031D2CC3"/>
    <w:rsid w:val="031E3095"/>
    <w:rsid w:val="032A79FC"/>
    <w:rsid w:val="032B6AD7"/>
    <w:rsid w:val="033120F8"/>
    <w:rsid w:val="03413D05"/>
    <w:rsid w:val="034C53D5"/>
    <w:rsid w:val="034F079F"/>
    <w:rsid w:val="03517729"/>
    <w:rsid w:val="035B054E"/>
    <w:rsid w:val="035C7CCC"/>
    <w:rsid w:val="035E70CF"/>
    <w:rsid w:val="03621591"/>
    <w:rsid w:val="03644DF7"/>
    <w:rsid w:val="03661637"/>
    <w:rsid w:val="0369269C"/>
    <w:rsid w:val="03701CA9"/>
    <w:rsid w:val="03717E40"/>
    <w:rsid w:val="03741BC3"/>
    <w:rsid w:val="037452F5"/>
    <w:rsid w:val="037F5807"/>
    <w:rsid w:val="03871596"/>
    <w:rsid w:val="038859DC"/>
    <w:rsid w:val="03885C07"/>
    <w:rsid w:val="03887414"/>
    <w:rsid w:val="0390626C"/>
    <w:rsid w:val="03AA64B1"/>
    <w:rsid w:val="03AC3381"/>
    <w:rsid w:val="03AD20EB"/>
    <w:rsid w:val="03AE5685"/>
    <w:rsid w:val="03AF5868"/>
    <w:rsid w:val="03B12F92"/>
    <w:rsid w:val="03B616BF"/>
    <w:rsid w:val="03B85D63"/>
    <w:rsid w:val="03BB199C"/>
    <w:rsid w:val="03C07292"/>
    <w:rsid w:val="03C27F9F"/>
    <w:rsid w:val="03C30B8E"/>
    <w:rsid w:val="03CF424E"/>
    <w:rsid w:val="03D259BE"/>
    <w:rsid w:val="03D54BEF"/>
    <w:rsid w:val="03DA0EA9"/>
    <w:rsid w:val="03DF010B"/>
    <w:rsid w:val="03E37565"/>
    <w:rsid w:val="03EC7A52"/>
    <w:rsid w:val="03EF293E"/>
    <w:rsid w:val="03F61E3D"/>
    <w:rsid w:val="03F93D15"/>
    <w:rsid w:val="03FB24E7"/>
    <w:rsid w:val="04001D7A"/>
    <w:rsid w:val="040601FD"/>
    <w:rsid w:val="04095C04"/>
    <w:rsid w:val="040B2EE0"/>
    <w:rsid w:val="040E05AF"/>
    <w:rsid w:val="040E2105"/>
    <w:rsid w:val="0410669D"/>
    <w:rsid w:val="041E4D79"/>
    <w:rsid w:val="041E61D2"/>
    <w:rsid w:val="04217BD8"/>
    <w:rsid w:val="042204D3"/>
    <w:rsid w:val="04222ECF"/>
    <w:rsid w:val="04235522"/>
    <w:rsid w:val="04274D1E"/>
    <w:rsid w:val="042939D2"/>
    <w:rsid w:val="042A7EF1"/>
    <w:rsid w:val="042B6172"/>
    <w:rsid w:val="042E7CAC"/>
    <w:rsid w:val="04381140"/>
    <w:rsid w:val="0439114F"/>
    <w:rsid w:val="043D4DEC"/>
    <w:rsid w:val="043F46D2"/>
    <w:rsid w:val="044A3547"/>
    <w:rsid w:val="044A783A"/>
    <w:rsid w:val="045322C2"/>
    <w:rsid w:val="0455722B"/>
    <w:rsid w:val="045801C8"/>
    <w:rsid w:val="04592077"/>
    <w:rsid w:val="04607294"/>
    <w:rsid w:val="046D1725"/>
    <w:rsid w:val="046F1CDA"/>
    <w:rsid w:val="04787EE6"/>
    <w:rsid w:val="04835D53"/>
    <w:rsid w:val="04843096"/>
    <w:rsid w:val="048933C5"/>
    <w:rsid w:val="049351BC"/>
    <w:rsid w:val="04943259"/>
    <w:rsid w:val="04946AAB"/>
    <w:rsid w:val="049619F4"/>
    <w:rsid w:val="0496473D"/>
    <w:rsid w:val="049A2931"/>
    <w:rsid w:val="04A00BE9"/>
    <w:rsid w:val="04A05DAE"/>
    <w:rsid w:val="04A5029F"/>
    <w:rsid w:val="04A964CD"/>
    <w:rsid w:val="04AA5174"/>
    <w:rsid w:val="04AC5764"/>
    <w:rsid w:val="04AD106A"/>
    <w:rsid w:val="04B37CA6"/>
    <w:rsid w:val="04B6125A"/>
    <w:rsid w:val="04B71D9A"/>
    <w:rsid w:val="04C5497C"/>
    <w:rsid w:val="04C92C77"/>
    <w:rsid w:val="04CA67CC"/>
    <w:rsid w:val="04D17269"/>
    <w:rsid w:val="04DE6402"/>
    <w:rsid w:val="04E02BDF"/>
    <w:rsid w:val="04EC4420"/>
    <w:rsid w:val="04ED12C7"/>
    <w:rsid w:val="04ED6301"/>
    <w:rsid w:val="04F041B1"/>
    <w:rsid w:val="04F31104"/>
    <w:rsid w:val="04F51767"/>
    <w:rsid w:val="04F60CBE"/>
    <w:rsid w:val="04FC717A"/>
    <w:rsid w:val="04FF65CC"/>
    <w:rsid w:val="05096E10"/>
    <w:rsid w:val="051066A8"/>
    <w:rsid w:val="05132C73"/>
    <w:rsid w:val="051568F8"/>
    <w:rsid w:val="05186A99"/>
    <w:rsid w:val="051F7C32"/>
    <w:rsid w:val="05222DFF"/>
    <w:rsid w:val="05225371"/>
    <w:rsid w:val="05236C98"/>
    <w:rsid w:val="05253589"/>
    <w:rsid w:val="052D5ABE"/>
    <w:rsid w:val="053A2585"/>
    <w:rsid w:val="053D622D"/>
    <w:rsid w:val="053E0DC9"/>
    <w:rsid w:val="054401B0"/>
    <w:rsid w:val="054476F5"/>
    <w:rsid w:val="054669CF"/>
    <w:rsid w:val="054B0E92"/>
    <w:rsid w:val="054E684E"/>
    <w:rsid w:val="054F5FEB"/>
    <w:rsid w:val="055139D7"/>
    <w:rsid w:val="05532841"/>
    <w:rsid w:val="05535F16"/>
    <w:rsid w:val="05543763"/>
    <w:rsid w:val="05546C1B"/>
    <w:rsid w:val="05567281"/>
    <w:rsid w:val="055F697E"/>
    <w:rsid w:val="0569742E"/>
    <w:rsid w:val="056B24ED"/>
    <w:rsid w:val="056F5A35"/>
    <w:rsid w:val="05710AEF"/>
    <w:rsid w:val="05751CB6"/>
    <w:rsid w:val="057A48B1"/>
    <w:rsid w:val="057D29B4"/>
    <w:rsid w:val="057D766A"/>
    <w:rsid w:val="057F5131"/>
    <w:rsid w:val="05944D61"/>
    <w:rsid w:val="059A62C6"/>
    <w:rsid w:val="059F726E"/>
    <w:rsid w:val="05A02E35"/>
    <w:rsid w:val="05A22BFF"/>
    <w:rsid w:val="05AD3DDF"/>
    <w:rsid w:val="05B00CF7"/>
    <w:rsid w:val="05B45BB6"/>
    <w:rsid w:val="05BB061E"/>
    <w:rsid w:val="05BC080E"/>
    <w:rsid w:val="05C0606E"/>
    <w:rsid w:val="05C244B4"/>
    <w:rsid w:val="05CB3833"/>
    <w:rsid w:val="05CE0969"/>
    <w:rsid w:val="05D131DC"/>
    <w:rsid w:val="05D2226E"/>
    <w:rsid w:val="05D33715"/>
    <w:rsid w:val="05D967DC"/>
    <w:rsid w:val="05E036A6"/>
    <w:rsid w:val="05E249F5"/>
    <w:rsid w:val="05E971AF"/>
    <w:rsid w:val="05EA722E"/>
    <w:rsid w:val="05EB0D73"/>
    <w:rsid w:val="05EB1D91"/>
    <w:rsid w:val="05EC1CC1"/>
    <w:rsid w:val="05F4195F"/>
    <w:rsid w:val="05F72270"/>
    <w:rsid w:val="05FB42AA"/>
    <w:rsid w:val="060260EE"/>
    <w:rsid w:val="06055241"/>
    <w:rsid w:val="06066DE6"/>
    <w:rsid w:val="060A48BB"/>
    <w:rsid w:val="060C5A2D"/>
    <w:rsid w:val="06112D83"/>
    <w:rsid w:val="061F727B"/>
    <w:rsid w:val="062213C8"/>
    <w:rsid w:val="063053CA"/>
    <w:rsid w:val="063E0875"/>
    <w:rsid w:val="064166F8"/>
    <w:rsid w:val="064A0510"/>
    <w:rsid w:val="06500737"/>
    <w:rsid w:val="06574B86"/>
    <w:rsid w:val="06575643"/>
    <w:rsid w:val="066356A9"/>
    <w:rsid w:val="066867AD"/>
    <w:rsid w:val="066B3928"/>
    <w:rsid w:val="066D13A4"/>
    <w:rsid w:val="06741417"/>
    <w:rsid w:val="067E4BF0"/>
    <w:rsid w:val="068248B8"/>
    <w:rsid w:val="068B34A2"/>
    <w:rsid w:val="068B3FAA"/>
    <w:rsid w:val="068E28F4"/>
    <w:rsid w:val="06912205"/>
    <w:rsid w:val="06941969"/>
    <w:rsid w:val="069846A7"/>
    <w:rsid w:val="06A269D4"/>
    <w:rsid w:val="06A562C1"/>
    <w:rsid w:val="06B80DA3"/>
    <w:rsid w:val="06B96AE4"/>
    <w:rsid w:val="06BB542F"/>
    <w:rsid w:val="06C465A1"/>
    <w:rsid w:val="06C55DBD"/>
    <w:rsid w:val="06CA06EC"/>
    <w:rsid w:val="06CA2394"/>
    <w:rsid w:val="06D02BA9"/>
    <w:rsid w:val="06D256D2"/>
    <w:rsid w:val="06D552FA"/>
    <w:rsid w:val="06DC2BAA"/>
    <w:rsid w:val="06DE323D"/>
    <w:rsid w:val="06E33940"/>
    <w:rsid w:val="06E3644C"/>
    <w:rsid w:val="06E55754"/>
    <w:rsid w:val="06E678F8"/>
    <w:rsid w:val="06E809F0"/>
    <w:rsid w:val="06E823E9"/>
    <w:rsid w:val="06E906B3"/>
    <w:rsid w:val="06E92098"/>
    <w:rsid w:val="06EA4EC1"/>
    <w:rsid w:val="06EE2274"/>
    <w:rsid w:val="06F02531"/>
    <w:rsid w:val="06F351F1"/>
    <w:rsid w:val="06F6463D"/>
    <w:rsid w:val="06F868CB"/>
    <w:rsid w:val="07040769"/>
    <w:rsid w:val="0709777F"/>
    <w:rsid w:val="070B337C"/>
    <w:rsid w:val="070E2813"/>
    <w:rsid w:val="070E6A5E"/>
    <w:rsid w:val="0717514F"/>
    <w:rsid w:val="071940C5"/>
    <w:rsid w:val="071A7411"/>
    <w:rsid w:val="071D557C"/>
    <w:rsid w:val="0721165E"/>
    <w:rsid w:val="07242ED7"/>
    <w:rsid w:val="0725095B"/>
    <w:rsid w:val="072F5747"/>
    <w:rsid w:val="073E1788"/>
    <w:rsid w:val="0740093D"/>
    <w:rsid w:val="07494475"/>
    <w:rsid w:val="074E694E"/>
    <w:rsid w:val="075235B9"/>
    <w:rsid w:val="07536527"/>
    <w:rsid w:val="075A0C7E"/>
    <w:rsid w:val="07602EC5"/>
    <w:rsid w:val="076232B1"/>
    <w:rsid w:val="07627335"/>
    <w:rsid w:val="076A2847"/>
    <w:rsid w:val="076A3E25"/>
    <w:rsid w:val="076B3F39"/>
    <w:rsid w:val="076E546F"/>
    <w:rsid w:val="07722C0F"/>
    <w:rsid w:val="07781401"/>
    <w:rsid w:val="07822465"/>
    <w:rsid w:val="07875C92"/>
    <w:rsid w:val="078A131A"/>
    <w:rsid w:val="0795763A"/>
    <w:rsid w:val="079636B7"/>
    <w:rsid w:val="079A31C7"/>
    <w:rsid w:val="079C53CA"/>
    <w:rsid w:val="07A43C1F"/>
    <w:rsid w:val="07AC5E20"/>
    <w:rsid w:val="07AD5003"/>
    <w:rsid w:val="07AD7FEE"/>
    <w:rsid w:val="07AF5F4F"/>
    <w:rsid w:val="07B11CC5"/>
    <w:rsid w:val="07B6091E"/>
    <w:rsid w:val="07B754F1"/>
    <w:rsid w:val="07BA408A"/>
    <w:rsid w:val="07BD379C"/>
    <w:rsid w:val="07BE4FA9"/>
    <w:rsid w:val="07C0642B"/>
    <w:rsid w:val="07C337BD"/>
    <w:rsid w:val="07C36FEE"/>
    <w:rsid w:val="07CA5ABD"/>
    <w:rsid w:val="07CE7EB4"/>
    <w:rsid w:val="07CF3B21"/>
    <w:rsid w:val="07D13770"/>
    <w:rsid w:val="07D5250F"/>
    <w:rsid w:val="07D673A3"/>
    <w:rsid w:val="07D745D6"/>
    <w:rsid w:val="07DC3D37"/>
    <w:rsid w:val="07DE2839"/>
    <w:rsid w:val="07DF2DB0"/>
    <w:rsid w:val="07E417B0"/>
    <w:rsid w:val="07E578E1"/>
    <w:rsid w:val="07E829EE"/>
    <w:rsid w:val="07ED6A39"/>
    <w:rsid w:val="07F10F26"/>
    <w:rsid w:val="07F3258D"/>
    <w:rsid w:val="07F46DC8"/>
    <w:rsid w:val="08012FAF"/>
    <w:rsid w:val="08035004"/>
    <w:rsid w:val="08060809"/>
    <w:rsid w:val="080D2376"/>
    <w:rsid w:val="080E6950"/>
    <w:rsid w:val="08102BD3"/>
    <w:rsid w:val="081935B8"/>
    <w:rsid w:val="081D656E"/>
    <w:rsid w:val="082139FB"/>
    <w:rsid w:val="08217FB9"/>
    <w:rsid w:val="08231B53"/>
    <w:rsid w:val="082419E6"/>
    <w:rsid w:val="08294C09"/>
    <w:rsid w:val="082E5766"/>
    <w:rsid w:val="082F55C0"/>
    <w:rsid w:val="08314498"/>
    <w:rsid w:val="083B0C5C"/>
    <w:rsid w:val="083E350D"/>
    <w:rsid w:val="0846415B"/>
    <w:rsid w:val="08472A2D"/>
    <w:rsid w:val="084813BE"/>
    <w:rsid w:val="08536532"/>
    <w:rsid w:val="08583B7A"/>
    <w:rsid w:val="08625CA9"/>
    <w:rsid w:val="08653138"/>
    <w:rsid w:val="08666A81"/>
    <w:rsid w:val="08703804"/>
    <w:rsid w:val="087543A7"/>
    <w:rsid w:val="087569B5"/>
    <w:rsid w:val="087813C1"/>
    <w:rsid w:val="08797D88"/>
    <w:rsid w:val="08851D38"/>
    <w:rsid w:val="08896B5F"/>
    <w:rsid w:val="088C02FC"/>
    <w:rsid w:val="08921FCF"/>
    <w:rsid w:val="089639D9"/>
    <w:rsid w:val="08A23FEA"/>
    <w:rsid w:val="08AD1471"/>
    <w:rsid w:val="08AF2208"/>
    <w:rsid w:val="08B13CBF"/>
    <w:rsid w:val="08B41100"/>
    <w:rsid w:val="08C313D3"/>
    <w:rsid w:val="08C349D4"/>
    <w:rsid w:val="08CC5737"/>
    <w:rsid w:val="08D07683"/>
    <w:rsid w:val="08D30303"/>
    <w:rsid w:val="08D96DD8"/>
    <w:rsid w:val="08E260B9"/>
    <w:rsid w:val="08E31F8C"/>
    <w:rsid w:val="08E51963"/>
    <w:rsid w:val="08EF2354"/>
    <w:rsid w:val="08EF60A9"/>
    <w:rsid w:val="08F04399"/>
    <w:rsid w:val="08F30652"/>
    <w:rsid w:val="08F77136"/>
    <w:rsid w:val="08F84EA1"/>
    <w:rsid w:val="08FB7284"/>
    <w:rsid w:val="08FF3F01"/>
    <w:rsid w:val="08FF4277"/>
    <w:rsid w:val="09004BA5"/>
    <w:rsid w:val="090160CD"/>
    <w:rsid w:val="09035B81"/>
    <w:rsid w:val="09082C7A"/>
    <w:rsid w:val="09086531"/>
    <w:rsid w:val="090A0B21"/>
    <w:rsid w:val="090C6332"/>
    <w:rsid w:val="091962B9"/>
    <w:rsid w:val="09291C3F"/>
    <w:rsid w:val="092946EA"/>
    <w:rsid w:val="09344A54"/>
    <w:rsid w:val="093C7D5B"/>
    <w:rsid w:val="094B04A1"/>
    <w:rsid w:val="094E6365"/>
    <w:rsid w:val="09510151"/>
    <w:rsid w:val="09584CC1"/>
    <w:rsid w:val="095F3CA3"/>
    <w:rsid w:val="096013DE"/>
    <w:rsid w:val="0966043C"/>
    <w:rsid w:val="09683F59"/>
    <w:rsid w:val="096E19C2"/>
    <w:rsid w:val="096F7ABC"/>
    <w:rsid w:val="097114E1"/>
    <w:rsid w:val="0977122D"/>
    <w:rsid w:val="097A7459"/>
    <w:rsid w:val="097F3C94"/>
    <w:rsid w:val="098045B9"/>
    <w:rsid w:val="098045E6"/>
    <w:rsid w:val="09871195"/>
    <w:rsid w:val="098805A1"/>
    <w:rsid w:val="098D1134"/>
    <w:rsid w:val="09911DE3"/>
    <w:rsid w:val="0991297D"/>
    <w:rsid w:val="099317FE"/>
    <w:rsid w:val="099346AB"/>
    <w:rsid w:val="09966DBC"/>
    <w:rsid w:val="099A1CEC"/>
    <w:rsid w:val="099A4248"/>
    <w:rsid w:val="09A459C3"/>
    <w:rsid w:val="09A47054"/>
    <w:rsid w:val="09A51C98"/>
    <w:rsid w:val="09AF7AFC"/>
    <w:rsid w:val="09B413B9"/>
    <w:rsid w:val="09B71201"/>
    <w:rsid w:val="09B836E9"/>
    <w:rsid w:val="09B9251A"/>
    <w:rsid w:val="09BA5505"/>
    <w:rsid w:val="09BB312D"/>
    <w:rsid w:val="09BC3BB1"/>
    <w:rsid w:val="09BE1EAA"/>
    <w:rsid w:val="09BF615D"/>
    <w:rsid w:val="09C1189F"/>
    <w:rsid w:val="09CD6FF9"/>
    <w:rsid w:val="09CF4D0D"/>
    <w:rsid w:val="09D10DC8"/>
    <w:rsid w:val="09D157F2"/>
    <w:rsid w:val="09D7041F"/>
    <w:rsid w:val="09E437B7"/>
    <w:rsid w:val="09E4750F"/>
    <w:rsid w:val="09EB5274"/>
    <w:rsid w:val="09F9312A"/>
    <w:rsid w:val="09F95C68"/>
    <w:rsid w:val="09FA08DF"/>
    <w:rsid w:val="09FB6DDB"/>
    <w:rsid w:val="0A052870"/>
    <w:rsid w:val="0A09367D"/>
    <w:rsid w:val="0A097C36"/>
    <w:rsid w:val="0A0A29E6"/>
    <w:rsid w:val="0A0C24A6"/>
    <w:rsid w:val="0A0F2553"/>
    <w:rsid w:val="0A111209"/>
    <w:rsid w:val="0A1752D3"/>
    <w:rsid w:val="0A180179"/>
    <w:rsid w:val="0A1927C0"/>
    <w:rsid w:val="0A1C4018"/>
    <w:rsid w:val="0A2028E9"/>
    <w:rsid w:val="0A28027C"/>
    <w:rsid w:val="0A357558"/>
    <w:rsid w:val="0A363EAA"/>
    <w:rsid w:val="0A382DC2"/>
    <w:rsid w:val="0A411E48"/>
    <w:rsid w:val="0A4338A2"/>
    <w:rsid w:val="0A446163"/>
    <w:rsid w:val="0A4872AD"/>
    <w:rsid w:val="0A4A4BB0"/>
    <w:rsid w:val="0A4C572E"/>
    <w:rsid w:val="0A56083B"/>
    <w:rsid w:val="0A560CC0"/>
    <w:rsid w:val="0A564AA1"/>
    <w:rsid w:val="0A5D1875"/>
    <w:rsid w:val="0A5D4F73"/>
    <w:rsid w:val="0A665D32"/>
    <w:rsid w:val="0A680508"/>
    <w:rsid w:val="0A680A35"/>
    <w:rsid w:val="0A696680"/>
    <w:rsid w:val="0A6C4AC3"/>
    <w:rsid w:val="0A6E6FC5"/>
    <w:rsid w:val="0A707C7F"/>
    <w:rsid w:val="0A717B32"/>
    <w:rsid w:val="0A72564D"/>
    <w:rsid w:val="0A7505A5"/>
    <w:rsid w:val="0A7846E8"/>
    <w:rsid w:val="0A793D75"/>
    <w:rsid w:val="0A7B1A63"/>
    <w:rsid w:val="0A7D5CEC"/>
    <w:rsid w:val="0A7D666A"/>
    <w:rsid w:val="0A7F69F7"/>
    <w:rsid w:val="0A82405D"/>
    <w:rsid w:val="0A8712E9"/>
    <w:rsid w:val="0A8959E6"/>
    <w:rsid w:val="0A905EC4"/>
    <w:rsid w:val="0A91049E"/>
    <w:rsid w:val="0A951267"/>
    <w:rsid w:val="0A9877B5"/>
    <w:rsid w:val="0A9A7E7E"/>
    <w:rsid w:val="0AA23D85"/>
    <w:rsid w:val="0AA47440"/>
    <w:rsid w:val="0AA53BAF"/>
    <w:rsid w:val="0AB02E7B"/>
    <w:rsid w:val="0AC02942"/>
    <w:rsid w:val="0AC24CA5"/>
    <w:rsid w:val="0AC70989"/>
    <w:rsid w:val="0AC80E2F"/>
    <w:rsid w:val="0ACF44F3"/>
    <w:rsid w:val="0AD802EF"/>
    <w:rsid w:val="0AD9249B"/>
    <w:rsid w:val="0ADC7382"/>
    <w:rsid w:val="0ADD743D"/>
    <w:rsid w:val="0AE61854"/>
    <w:rsid w:val="0AE85B9D"/>
    <w:rsid w:val="0AEE4123"/>
    <w:rsid w:val="0AF60515"/>
    <w:rsid w:val="0AF66C72"/>
    <w:rsid w:val="0AF77F9B"/>
    <w:rsid w:val="0AF833C0"/>
    <w:rsid w:val="0B05288F"/>
    <w:rsid w:val="0B08723A"/>
    <w:rsid w:val="0B0F0A4A"/>
    <w:rsid w:val="0B0F3B50"/>
    <w:rsid w:val="0B110F93"/>
    <w:rsid w:val="0B135625"/>
    <w:rsid w:val="0B1D27E1"/>
    <w:rsid w:val="0B282710"/>
    <w:rsid w:val="0B291E51"/>
    <w:rsid w:val="0B2C3A41"/>
    <w:rsid w:val="0B2F6ADE"/>
    <w:rsid w:val="0B3656AD"/>
    <w:rsid w:val="0B374AE7"/>
    <w:rsid w:val="0B414CEC"/>
    <w:rsid w:val="0B4218CD"/>
    <w:rsid w:val="0B460A8A"/>
    <w:rsid w:val="0B4746DB"/>
    <w:rsid w:val="0B4D4A52"/>
    <w:rsid w:val="0B501B4B"/>
    <w:rsid w:val="0B541F50"/>
    <w:rsid w:val="0B5507F2"/>
    <w:rsid w:val="0B5662DD"/>
    <w:rsid w:val="0B5920D6"/>
    <w:rsid w:val="0B6216F7"/>
    <w:rsid w:val="0B656519"/>
    <w:rsid w:val="0B6A65EF"/>
    <w:rsid w:val="0B6C7869"/>
    <w:rsid w:val="0B6E2FAC"/>
    <w:rsid w:val="0B6F3672"/>
    <w:rsid w:val="0B73632A"/>
    <w:rsid w:val="0B755892"/>
    <w:rsid w:val="0B7B10F7"/>
    <w:rsid w:val="0B830010"/>
    <w:rsid w:val="0B861965"/>
    <w:rsid w:val="0B8631C4"/>
    <w:rsid w:val="0B866D59"/>
    <w:rsid w:val="0B9772A5"/>
    <w:rsid w:val="0B9A1AD3"/>
    <w:rsid w:val="0B9D6F59"/>
    <w:rsid w:val="0B9F174E"/>
    <w:rsid w:val="0BA07225"/>
    <w:rsid w:val="0BA16FA6"/>
    <w:rsid w:val="0BA562D3"/>
    <w:rsid w:val="0BA82DD0"/>
    <w:rsid w:val="0BA971CA"/>
    <w:rsid w:val="0BAB001B"/>
    <w:rsid w:val="0BAC09A5"/>
    <w:rsid w:val="0BAE346A"/>
    <w:rsid w:val="0BAF1C62"/>
    <w:rsid w:val="0BAF3C4A"/>
    <w:rsid w:val="0BB3502C"/>
    <w:rsid w:val="0BB869B2"/>
    <w:rsid w:val="0BBD4854"/>
    <w:rsid w:val="0BC171CE"/>
    <w:rsid w:val="0BC44644"/>
    <w:rsid w:val="0BC57DC6"/>
    <w:rsid w:val="0BC65541"/>
    <w:rsid w:val="0BC7504A"/>
    <w:rsid w:val="0BCC4A8E"/>
    <w:rsid w:val="0BD14DB5"/>
    <w:rsid w:val="0BE50737"/>
    <w:rsid w:val="0BE77E07"/>
    <w:rsid w:val="0BE814C1"/>
    <w:rsid w:val="0BE87010"/>
    <w:rsid w:val="0BE969BE"/>
    <w:rsid w:val="0BE97139"/>
    <w:rsid w:val="0BEA13BA"/>
    <w:rsid w:val="0BF3692C"/>
    <w:rsid w:val="0BF60B7D"/>
    <w:rsid w:val="0BF761EA"/>
    <w:rsid w:val="0BF83BD6"/>
    <w:rsid w:val="0BFA4996"/>
    <w:rsid w:val="0BFB3B0E"/>
    <w:rsid w:val="0BFB7870"/>
    <w:rsid w:val="0BFD0758"/>
    <w:rsid w:val="0C000369"/>
    <w:rsid w:val="0C0A7D5A"/>
    <w:rsid w:val="0C0B5578"/>
    <w:rsid w:val="0C0C2568"/>
    <w:rsid w:val="0C0E01E1"/>
    <w:rsid w:val="0C0E4D8E"/>
    <w:rsid w:val="0C106836"/>
    <w:rsid w:val="0C1E6F66"/>
    <w:rsid w:val="0C23121F"/>
    <w:rsid w:val="0C253BA2"/>
    <w:rsid w:val="0C257C89"/>
    <w:rsid w:val="0C262BA5"/>
    <w:rsid w:val="0C295F57"/>
    <w:rsid w:val="0C3111B4"/>
    <w:rsid w:val="0C333D38"/>
    <w:rsid w:val="0C3623F8"/>
    <w:rsid w:val="0C36649E"/>
    <w:rsid w:val="0C39575C"/>
    <w:rsid w:val="0C436FCB"/>
    <w:rsid w:val="0C455DF3"/>
    <w:rsid w:val="0C4B5C06"/>
    <w:rsid w:val="0C6B21BB"/>
    <w:rsid w:val="0C6D7058"/>
    <w:rsid w:val="0C6F0D81"/>
    <w:rsid w:val="0C745F12"/>
    <w:rsid w:val="0C763F7E"/>
    <w:rsid w:val="0C795FC4"/>
    <w:rsid w:val="0C7F5A81"/>
    <w:rsid w:val="0C8103FD"/>
    <w:rsid w:val="0C881852"/>
    <w:rsid w:val="0C89571E"/>
    <w:rsid w:val="0C8C62B3"/>
    <w:rsid w:val="0C910B37"/>
    <w:rsid w:val="0C9A531F"/>
    <w:rsid w:val="0C9D6275"/>
    <w:rsid w:val="0CA47AA4"/>
    <w:rsid w:val="0CA74712"/>
    <w:rsid w:val="0CAC1479"/>
    <w:rsid w:val="0CAD0EF7"/>
    <w:rsid w:val="0CAF3A6A"/>
    <w:rsid w:val="0CAF74C8"/>
    <w:rsid w:val="0CB35CDE"/>
    <w:rsid w:val="0CB845C0"/>
    <w:rsid w:val="0CBA2878"/>
    <w:rsid w:val="0CBD29A7"/>
    <w:rsid w:val="0CBE44BE"/>
    <w:rsid w:val="0CBF0336"/>
    <w:rsid w:val="0CC0789F"/>
    <w:rsid w:val="0CCB6389"/>
    <w:rsid w:val="0CCC3359"/>
    <w:rsid w:val="0CCE0E38"/>
    <w:rsid w:val="0CCF66A8"/>
    <w:rsid w:val="0CD05DFC"/>
    <w:rsid w:val="0CD634AD"/>
    <w:rsid w:val="0CD66B40"/>
    <w:rsid w:val="0CD743C6"/>
    <w:rsid w:val="0CD91B46"/>
    <w:rsid w:val="0CDF6460"/>
    <w:rsid w:val="0CE70D32"/>
    <w:rsid w:val="0CE8211C"/>
    <w:rsid w:val="0CEB498B"/>
    <w:rsid w:val="0CEC7970"/>
    <w:rsid w:val="0CEE1902"/>
    <w:rsid w:val="0CF3294D"/>
    <w:rsid w:val="0CF95A9C"/>
    <w:rsid w:val="0CF96700"/>
    <w:rsid w:val="0CFA5357"/>
    <w:rsid w:val="0D01197D"/>
    <w:rsid w:val="0D06035E"/>
    <w:rsid w:val="0D076D36"/>
    <w:rsid w:val="0D085747"/>
    <w:rsid w:val="0D16420D"/>
    <w:rsid w:val="0D165864"/>
    <w:rsid w:val="0D1A3940"/>
    <w:rsid w:val="0D1A66A8"/>
    <w:rsid w:val="0D1E52BE"/>
    <w:rsid w:val="0D1F17C2"/>
    <w:rsid w:val="0D220568"/>
    <w:rsid w:val="0D275785"/>
    <w:rsid w:val="0D2813E0"/>
    <w:rsid w:val="0D2B2C68"/>
    <w:rsid w:val="0D2F388D"/>
    <w:rsid w:val="0D3010D0"/>
    <w:rsid w:val="0D3345C2"/>
    <w:rsid w:val="0D353BFD"/>
    <w:rsid w:val="0D3579FA"/>
    <w:rsid w:val="0D3E3812"/>
    <w:rsid w:val="0D424DDD"/>
    <w:rsid w:val="0D444927"/>
    <w:rsid w:val="0D4A12AA"/>
    <w:rsid w:val="0D514997"/>
    <w:rsid w:val="0D542F16"/>
    <w:rsid w:val="0D544D56"/>
    <w:rsid w:val="0D550E1D"/>
    <w:rsid w:val="0D5815DB"/>
    <w:rsid w:val="0D5D2365"/>
    <w:rsid w:val="0D6410BD"/>
    <w:rsid w:val="0D6A15EA"/>
    <w:rsid w:val="0D765E91"/>
    <w:rsid w:val="0D8A439A"/>
    <w:rsid w:val="0D9741E3"/>
    <w:rsid w:val="0D9918D9"/>
    <w:rsid w:val="0D9D58C6"/>
    <w:rsid w:val="0DA1625B"/>
    <w:rsid w:val="0DA77AC6"/>
    <w:rsid w:val="0DAD4E45"/>
    <w:rsid w:val="0DB10B86"/>
    <w:rsid w:val="0DB44311"/>
    <w:rsid w:val="0DB72BF0"/>
    <w:rsid w:val="0DBF6C26"/>
    <w:rsid w:val="0DCA1296"/>
    <w:rsid w:val="0DCE494B"/>
    <w:rsid w:val="0DCF1333"/>
    <w:rsid w:val="0DD2795E"/>
    <w:rsid w:val="0DD327B9"/>
    <w:rsid w:val="0DD637A4"/>
    <w:rsid w:val="0DD711D3"/>
    <w:rsid w:val="0DDB793D"/>
    <w:rsid w:val="0DE449B8"/>
    <w:rsid w:val="0DE57348"/>
    <w:rsid w:val="0DE578A7"/>
    <w:rsid w:val="0DE83CB3"/>
    <w:rsid w:val="0DE92889"/>
    <w:rsid w:val="0DEC7AD8"/>
    <w:rsid w:val="0DF15363"/>
    <w:rsid w:val="0DF64A81"/>
    <w:rsid w:val="0DF64BCE"/>
    <w:rsid w:val="0DFE559B"/>
    <w:rsid w:val="0DFF26C9"/>
    <w:rsid w:val="0E010820"/>
    <w:rsid w:val="0E075539"/>
    <w:rsid w:val="0E0C631E"/>
    <w:rsid w:val="0E125972"/>
    <w:rsid w:val="0E130DF5"/>
    <w:rsid w:val="0E131F2C"/>
    <w:rsid w:val="0E167584"/>
    <w:rsid w:val="0E195BD8"/>
    <w:rsid w:val="0E1F7C13"/>
    <w:rsid w:val="0E2209B7"/>
    <w:rsid w:val="0E2911EA"/>
    <w:rsid w:val="0E2B23AA"/>
    <w:rsid w:val="0E350BA8"/>
    <w:rsid w:val="0E3604BE"/>
    <w:rsid w:val="0E382401"/>
    <w:rsid w:val="0E406EC8"/>
    <w:rsid w:val="0E41764F"/>
    <w:rsid w:val="0E4C04A0"/>
    <w:rsid w:val="0E4C562D"/>
    <w:rsid w:val="0E5463A3"/>
    <w:rsid w:val="0E582C75"/>
    <w:rsid w:val="0E5B0474"/>
    <w:rsid w:val="0E5F45CE"/>
    <w:rsid w:val="0E622C08"/>
    <w:rsid w:val="0E6A478F"/>
    <w:rsid w:val="0E70411F"/>
    <w:rsid w:val="0E737A05"/>
    <w:rsid w:val="0E745742"/>
    <w:rsid w:val="0E746643"/>
    <w:rsid w:val="0E771B22"/>
    <w:rsid w:val="0E7D3C66"/>
    <w:rsid w:val="0E7E20E2"/>
    <w:rsid w:val="0E7F7E76"/>
    <w:rsid w:val="0E806792"/>
    <w:rsid w:val="0E823016"/>
    <w:rsid w:val="0E8E3EFE"/>
    <w:rsid w:val="0E933A2E"/>
    <w:rsid w:val="0E933FF0"/>
    <w:rsid w:val="0E955030"/>
    <w:rsid w:val="0E9D7E7E"/>
    <w:rsid w:val="0EA46947"/>
    <w:rsid w:val="0EAC719C"/>
    <w:rsid w:val="0EAD613D"/>
    <w:rsid w:val="0EB2721D"/>
    <w:rsid w:val="0EB77C33"/>
    <w:rsid w:val="0EB9082B"/>
    <w:rsid w:val="0EB963C3"/>
    <w:rsid w:val="0EB965FB"/>
    <w:rsid w:val="0EC25246"/>
    <w:rsid w:val="0EC33309"/>
    <w:rsid w:val="0EC94384"/>
    <w:rsid w:val="0ECC760C"/>
    <w:rsid w:val="0ECC761B"/>
    <w:rsid w:val="0ECF57F8"/>
    <w:rsid w:val="0ED3617E"/>
    <w:rsid w:val="0ED56375"/>
    <w:rsid w:val="0EDF48A5"/>
    <w:rsid w:val="0EE211FE"/>
    <w:rsid w:val="0EE2542E"/>
    <w:rsid w:val="0EE60C94"/>
    <w:rsid w:val="0EE6108B"/>
    <w:rsid w:val="0EEA237A"/>
    <w:rsid w:val="0EF41390"/>
    <w:rsid w:val="0EF855AC"/>
    <w:rsid w:val="0EFD041C"/>
    <w:rsid w:val="0EFE18DC"/>
    <w:rsid w:val="0EFE253C"/>
    <w:rsid w:val="0F093E1D"/>
    <w:rsid w:val="0F0C15CF"/>
    <w:rsid w:val="0F0F7AAB"/>
    <w:rsid w:val="0F13211D"/>
    <w:rsid w:val="0F1676E5"/>
    <w:rsid w:val="0F1877E0"/>
    <w:rsid w:val="0F1C0A69"/>
    <w:rsid w:val="0F1D091D"/>
    <w:rsid w:val="0F1E3485"/>
    <w:rsid w:val="0F211D15"/>
    <w:rsid w:val="0F3827DF"/>
    <w:rsid w:val="0F383859"/>
    <w:rsid w:val="0F392524"/>
    <w:rsid w:val="0F3B7989"/>
    <w:rsid w:val="0F3D65D3"/>
    <w:rsid w:val="0F403CEE"/>
    <w:rsid w:val="0F4229CD"/>
    <w:rsid w:val="0F4A7D7E"/>
    <w:rsid w:val="0F570C6E"/>
    <w:rsid w:val="0F5C1C8A"/>
    <w:rsid w:val="0F5E6273"/>
    <w:rsid w:val="0F5F2A67"/>
    <w:rsid w:val="0F605A0C"/>
    <w:rsid w:val="0F612F5E"/>
    <w:rsid w:val="0F692791"/>
    <w:rsid w:val="0F6957F5"/>
    <w:rsid w:val="0F6C425A"/>
    <w:rsid w:val="0F6D0D7F"/>
    <w:rsid w:val="0F714FE8"/>
    <w:rsid w:val="0F7F6102"/>
    <w:rsid w:val="0F834222"/>
    <w:rsid w:val="0F8B4885"/>
    <w:rsid w:val="0F9059AC"/>
    <w:rsid w:val="0F90729D"/>
    <w:rsid w:val="0F92683B"/>
    <w:rsid w:val="0F992A0F"/>
    <w:rsid w:val="0F9A4B84"/>
    <w:rsid w:val="0FA14797"/>
    <w:rsid w:val="0FA80700"/>
    <w:rsid w:val="0FA927DF"/>
    <w:rsid w:val="0FAD48B3"/>
    <w:rsid w:val="0FAE2A49"/>
    <w:rsid w:val="0FAF48B4"/>
    <w:rsid w:val="0FB511A1"/>
    <w:rsid w:val="0FB516AE"/>
    <w:rsid w:val="0FB74F66"/>
    <w:rsid w:val="0FB83C88"/>
    <w:rsid w:val="0FCC2772"/>
    <w:rsid w:val="0FCD5A52"/>
    <w:rsid w:val="0FD03B67"/>
    <w:rsid w:val="0FD11768"/>
    <w:rsid w:val="0FD16A53"/>
    <w:rsid w:val="0FD21A7E"/>
    <w:rsid w:val="0FD96CFB"/>
    <w:rsid w:val="0FDB749A"/>
    <w:rsid w:val="0FE12286"/>
    <w:rsid w:val="0FE92158"/>
    <w:rsid w:val="0FEF06E6"/>
    <w:rsid w:val="0FF009C4"/>
    <w:rsid w:val="0FF62C43"/>
    <w:rsid w:val="0FF93E9B"/>
    <w:rsid w:val="0FF96486"/>
    <w:rsid w:val="0FFB07B4"/>
    <w:rsid w:val="0FFE43F8"/>
    <w:rsid w:val="10010073"/>
    <w:rsid w:val="100474FF"/>
    <w:rsid w:val="100F59BA"/>
    <w:rsid w:val="10130C4C"/>
    <w:rsid w:val="10154E03"/>
    <w:rsid w:val="101F6525"/>
    <w:rsid w:val="10224A1D"/>
    <w:rsid w:val="103268BF"/>
    <w:rsid w:val="10374FF5"/>
    <w:rsid w:val="10425171"/>
    <w:rsid w:val="104310CB"/>
    <w:rsid w:val="10435294"/>
    <w:rsid w:val="10442E8E"/>
    <w:rsid w:val="104B0B44"/>
    <w:rsid w:val="104B79F4"/>
    <w:rsid w:val="104D310F"/>
    <w:rsid w:val="10505321"/>
    <w:rsid w:val="10510FCD"/>
    <w:rsid w:val="10525938"/>
    <w:rsid w:val="10532D59"/>
    <w:rsid w:val="10542D31"/>
    <w:rsid w:val="10551D82"/>
    <w:rsid w:val="105656F9"/>
    <w:rsid w:val="1058677D"/>
    <w:rsid w:val="10601D89"/>
    <w:rsid w:val="1060242F"/>
    <w:rsid w:val="10613DB2"/>
    <w:rsid w:val="106468DB"/>
    <w:rsid w:val="10677DAF"/>
    <w:rsid w:val="10677DE1"/>
    <w:rsid w:val="106B35E3"/>
    <w:rsid w:val="107F59F9"/>
    <w:rsid w:val="108125B4"/>
    <w:rsid w:val="10834751"/>
    <w:rsid w:val="10844342"/>
    <w:rsid w:val="1089563D"/>
    <w:rsid w:val="108F0CAD"/>
    <w:rsid w:val="10900F14"/>
    <w:rsid w:val="10906C35"/>
    <w:rsid w:val="10983270"/>
    <w:rsid w:val="10991C1D"/>
    <w:rsid w:val="10A02B01"/>
    <w:rsid w:val="10A072B8"/>
    <w:rsid w:val="10A07C4E"/>
    <w:rsid w:val="10A12318"/>
    <w:rsid w:val="10AB278B"/>
    <w:rsid w:val="10B05318"/>
    <w:rsid w:val="10B12281"/>
    <w:rsid w:val="10B305F8"/>
    <w:rsid w:val="10B629D7"/>
    <w:rsid w:val="10BB4E69"/>
    <w:rsid w:val="10BD6AA5"/>
    <w:rsid w:val="10C0050B"/>
    <w:rsid w:val="10C365E8"/>
    <w:rsid w:val="10CD31F2"/>
    <w:rsid w:val="10CE5557"/>
    <w:rsid w:val="10CF4746"/>
    <w:rsid w:val="10D7085E"/>
    <w:rsid w:val="10E17124"/>
    <w:rsid w:val="10E20EE8"/>
    <w:rsid w:val="10E73807"/>
    <w:rsid w:val="10EE342F"/>
    <w:rsid w:val="10F114AC"/>
    <w:rsid w:val="10F15AF5"/>
    <w:rsid w:val="10F44EC6"/>
    <w:rsid w:val="10F6653E"/>
    <w:rsid w:val="10F81424"/>
    <w:rsid w:val="10F841C4"/>
    <w:rsid w:val="10F9264F"/>
    <w:rsid w:val="10FA0016"/>
    <w:rsid w:val="10FE7C9E"/>
    <w:rsid w:val="110208E5"/>
    <w:rsid w:val="1106496E"/>
    <w:rsid w:val="11074476"/>
    <w:rsid w:val="111259FC"/>
    <w:rsid w:val="11181E5F"/>
    <w:rsid w:val="111C6BC0"/>
    <w:rsid w:val="111F786D"/>
    <w:rsid w:val="112414F5"/>
    <w:rsid w:val="11283E3F"/>
    <w:rsid w:val="11283F55"/>
    <w:rsid w:val="112E512C"/>
    <w:rsid w:val="113008FA"/>
    <w:rsid w:val="113248D6"/>
    <w:rsid w:val="1135136C"/>
    <w:rsid w:val="113B22FA"/>
    <w:rsid w:val="1145570C"/>
    <w:rsid w:val="114F1A39"/>
    <w:rsid w:val="114F4B75"/>
    <w:rsid w:val="115262D5"/>
    <w:rsid w:val="11567DB4"/>
    <w:rsid w:val="115832CE"/>
    <w:rsid w:val="115B66DE"/>
    <w:rsid w:val="115F4F0F"/>
    <w:rsid w:val="11676716"/>
    <w:rsid w:val="1169506F"/>
    <w:rsid w:val="116B6A3D"/>
    <w:rsid w:val="116D1992"/>
    <w:rsid w:val="11705C4D"/>
    <w:rsid w:val="11737AAF"/>
    <w:rsid w:val="117479CB"/>
    <w:rsid w:val="11756FFB"/>
    <w:rsid w:val="117866C6"/>
    <w:rsid w:val="117A26DF"/>
    <w:rsid w:val="118044A3"/>
    <w:rsid w:val="11821F66"/>
    <w:rsid w:val="118528EE"/>
    <w:rsid w:val="11881D65"/>
    <w:rsid w:val="118C3244"/>
    <w:rsid w:val="118D3608"/>
    <w:rsid w:val="11910449"/>
    <w:rsid w:val="11911F77"/>
    <w:rsid w:val="11963584"/>
    <w:rsid w:val="119C48F4"/>
    <w:rsid w:val="119E2BF5"/>
    <w:rsid w:val="119E2CF6"/>
    <w:rsid w:val="119F615F"/>
    <w:rsid w:val="11A163F7"/>
    <w:rsid w:val="11A82748"/>
    <w:rsid w:val="11AA4221"/>
    <w:rsid w:val="11AE396E"/>
    <w:rsid w:val="11AF2B43"/>
    <w:rsid w:val="11B274DB"/>
    <w:rsid w:val="11B52C0B"/>
    <w:rsid w:val="11B85101"/>
    <w:rsid w:val="11B93FC3"/>
    <w:rsid w:val="11BE0FB7"/>
    <w:rsid w:val="11C03BDE"/>
    <w:rsid w:val="11C367F4"/>
    <w:rsid w:val="11C476DA"/>
    <w:rsid w:val="11C5477F"/>
    <w:rsid w:val="11C74EBA"/>
    <w:rsid w:val="11C8200E"/>
    <w:rsid w:val="11CB0545"/>
    <w:rsid w:val="11CB202E"/>
    <w:rsid w:val="11CE752E"/>
    <w:rsid w:val="11CF55E9"/>
    <w:rsid w:val="11D05D69"/>
    <w:rsid w:val="11D10E7F"/>
    <w:rsid w:val="11D23753"/>
    <w:rsid w:val="11D53ED1"/>
    <w:rsid w:val="11D90E31"/>
    <w:rsid w:val="11D92729"/>
    <w:rsid w:val="11DA6535"/>
    <w:rsid w:val="11DB5CF0"/>
    <w:rsid w:val="11DF3CC5"/>
    <w:rsid w:val="11E0718F"/>
    <w:rsid w:val="11E23A62"/>
    <w:rsid w:val="11E845E0"/>
    <w:rsid w:val="11F04C58"/>
    <w:rsid w:val="11F33130"/>
    <w:rsid w:val="11F446CE"/>
    <w:rsid w:val="11FA2034"/>
    <w:rsid w:val="11FD3992"/>
    <w:rsid w:val="12065320"/>
    <w:rsid w:val="12083D2C"/>
    <w:rsid w:val="120A5A5E"/>
    <w:rsid w:val="120E5451"/>
    <w:rsid w:val="121746E3"/>
    <w:rsid w:val="12180F0A"/>
    <w:rsid w:val="12213097"/>
    <w:rsid w:val="12245649"/>
    <w:rsid w:val="122A0722"/>
    <w:rsid w:val="122E67DD"/>
    <w:rsid w:val="12323EDA"/>
    <w:rsid w:val="12335322"/>
    <w:rsid w:val="12353862"/>
    <w:rsid w:val="123A36B3"/>
    <w:rsid w:val="124273A9"/>
    <w:rsid w:val="124F49F1"/>
    <w:rsid w:val="12531FFC"/>
    <w:rsid w:val="12541A42"/>
    <w:rsid w:val="125634FC"/>
    <w:rsid w:val="12601501"/>
    <w:rsid w:val="12603B40"/>
    <w:rsid w:val="12611531"/>
    <w:rsid w:val="126565FA"/>
    <w:rsid w:val="12695DEF"/>
    <w:rsid w:val="126F0B26"/>
    <w:rsid w:val="127410AC"/>
    <w:rsid w:val="1275656B"/>
    <w:rsid w:val="127A3A8C"/>
    <w:rsid w:val="128A64BE"/>
    <w:rsid w:val="128B77E9"/>
    <w:rsid w:val="128E3A12"/>
    <w:rsid w:val="129237DB"/>
    <w:rsid w:val="12946104"/>
    <w:rsid w:val="129B026C"/>
    <w:rsid w:val="129F280E"/>
    <w:rsid w:val="129F2A09"/>
    <w:rsid w:val="12A265A4"/>
    <w:rsid w:val="12AA1993"/>
    <w:rsid w:val="12AE0E13"/>
    <w:rsid w:val="12AF003A"/>
    <w:rsid w:val="12B24BDE"/>
    <w:rsid w:val="12B57D3F"/>
    <w:rsid w:val="12C47EEB"/>
    <w:rsid w:val="12C63FF4"/>
    <w:rsid w:val="12CA42A4"/>
    <w:rsid w:val="12CA77E6"/>
    <w:rsid w:val="12D03E30"/>
    <w:rsid w:val="12D47BE1"/>
    <w:rsid w:val="12D550A4"/>
    <w:rsid w:val="12D60AFA"/>
    <w:rsid w:val="12DC376F"/>
    <w:rsid w:val="12DE03BB"/>
    <w:rsid w:val="12E005E1"/>
    <w:rsid w:val="12E43241"/>
    <w:rsid w:val="12E93760"/>
    <w:rsid w:val="12EC2931"/>
    <w:rsid w:val="12F24710"/>
    <w:rsid w:val="12F55F41"/>
    <w:rsid w:val="12F728C7"/>
    <w:rsid w:val="12F879CF"/>
    <w:rsid w:val="130515B0"/>
    <w:rsid w:val="13053706"/>
    <w:rsid w:val="130760BD"/>
    <w:rsid w:val="13085A7D"/>
    <w:rsid w:val="130A0EF9"/>
    <w:rsid w:val="130F0451"/>
    <w:rsid w:val="131478F2"/>
    <w:rsid w:val="13152072"/>
    <w:rsid w:val="131745F6"/>
    <w:rsid w:val="13186F3F"/>
    <w:rsid w:val="131A6496"/>
    <w:rsid w:val="131E5DC4"/>
    <w:rsid w:val="1320347B"/>
    <w:rsid w:val="13250D49"/>
    <w:rsid w:val="1328032C"/>
    <w:rsid w:val="13283C9A"/>
    <w:rsid w:val="1329434E"/>
    <w:rsid w:val="132C024F"/>
    <w:rsid w:val="13347C61"/>
    <w:rsid w:val="13381ACE"/>
    <w:rsid w:val="13382D28"/>
    <w:rsid w:val="133A7FEC"/>
    <w:rsid w:val="133E1D21"/>
    <w:rsid w:val="134121C7"/>
    <w:rsid w:val="134668E9"/>
    <w:rsid w:val="134D6416"/>
    <w:rsid w:val="135246BE"/>
    <w:rsid w:val="13570699"/>
    <w:rsid w:val="13604BE3"/>
    <w:rsid w:val="13623E00"/>
    <w:rsid w:val="13633A05"/>
    <w:rsid w:val="13695EA5"/>
    <w:rsid w:val="13731207"/>
    <w:rsid w:val="13785A58"/>
    <w:rsid w:val="137C4948"/>
    <w:rsid w:val="137D0B0E"/>
    <w:rsid w:val="13800464"/>
    <w:rsid w:val="13846D11"/>
    <w:rsid w:val="138634FC"/>
    <w:rsid w:val="138708FD"/>
    <w:rsid w:val="13870D39"/>
    <w:rsid w:val="13880E95"/>
    <w:rsid w:val="138933D2"/>
    <w:rsid w:val="138B29EC"/>
    <w:rsid w:val="13946357"/>
    <w:rsid w:val="13951196"/>
    <w:rsid w:val="139A537B"/>
    <w:rsid w:val="139B15BC"/>
    <w:rsid w:val="139D26FC"/>
    <w:rsid w:val="139E7954"/>
    <w:rsid w:val="139F5A38"/>
    <w:rsid w:val="139F7432"/>
    <w:rsid w:val="13A93D81"/>
    <w:rsid w:val="13AC7333"/>
    <w:rsid w:val="13B25289"/>
    <w:rsid w:val="13B56306"/>
    <w:rsid w:val="13B75D54"/>
    <w:rsid w:val="13BD3944"/>
    <w:rsid w:val="13C45D56"/>
    <w:rsid w:val="13CF19BA"/>
    <w:rsid w:val="13D27DD5"/>
    <w:rsid w:val="13DE5592"/>
    <w:rsid w:val="13DF75B5"/>
    <w:rsid w:val="13E36D2F"/>
    <w:rsid w:val="13E371B2"/>
    <w:rsid w:val="13E67BE5"/>
    <w:rsid w:val="13EA2A78"/>
    <w:rsid w:val="13EF3C90"/>
    <w:rsid w:val="13F24753"/>
    <w:rsid w:val="13F53914"/>
    <w:rsid w:val="13FB0C15"/>
    <w:rsid w:val="13FC6FD5"/>
    <w:rsid w:val="14027B32"/>
    <w:rsid w:val="14027FA8"/>
    <w:rsid w:val="140A1BBD"/>
    <w:rsid w:val="14120B2C"/>
    <w:rsid w:val="14135B0F"/>
    <w:rsid w:val="141878C3"/>
    <w:rsid w:val="141C2B2B"/>
    <w:rsid w:val="141F0EAA"/>
    <w:rsid w:val="14295E55"/>
    <w:rsid w:val="14314EC0"/>
    <w:rsid w:val="14360D02"/>
    <w:rsid w:val="1440228F"/>
    <w:rsid w:val="144473EE"/>
    <w:rsid w:val="14491261"/>
    <w:rsid w:val="14536524"/>
    <w:rsid w:val="14561E9E"/>
    <w:rsid w:val="14592A56"/>
    <w:rsid w:val="14596486"/>
    <w:rsid w:val="145A67B9"/>
    <w:rsid w:val="145E65C1"/>
    <w:rsid w:val="14605B11"/>
    <w:rsid w:val="14660ED1"/>
    <w:rsid w:val="146D0317"/>
    <w:rsid w:val="148B49EB"/>
    <w:rsid w:val="14987BD0"/>
    <w:rsid w:val="149E4874"/>
    <w:rsid w:val="14A046ED"/>
    <w:rsid w:val="14A05990"/>
    <w:rsid w:val="14A56195"/>
    <w:rsid w:val="14A64E59"/>
    <w:rsid w:val="14AC65CE"/>
    <w:rsid w:val="14AE4837"/>
    <w:rsid w:val="14AE4968"/>
    <w:rsid w:val="14B20E32"/>
    <w:rsid w:val="14BA2D75"/>
    <w:rsid w:val="14BD763A"/>
    <w:rsid w:val="14C07959"/>
    <w:rsid w:val="14C43826"/>
    <w:rsid w:val="14CB304B"/>
    <w:rsid w:val="14D07018"/>
    <w:rsid w:val="14D2520F"/>
    <w:rsid w:val="14D31EA8"/>
    <w:rsid w:val="14D76FF0"/>
    <w:rsid w:val="14DB0C53"/>
    <w:rsid w:val="14DB2F8E"/>
    <w:rsid w:val="14E27B11"/>
    <w:rsid w:val="14EB69F5"/>
    <w:rsid w:val="14ED7BAE"/>
    <w:rsid w:val="14F333F8"/>
    <w:rsid w:val="14F47F25"/>
    <w:rsid w:val="14FE0080"/>
    <w:rsid w:val="15085854"/>
    <w:rsid w:val="150C5D59"/>
    <w:rsid w:val="151A36C3"/>
    <w:rsid w:val="151E19B3"/>
    <w:rsid w:val="15204044"/>
    <w:rsid w:val="15250141"/>
    <w:rsid w:val="152862EC"/>
    <w:rsid w:val="152A6194"/>
    <w:rsid w:val="15361D66"/>
    <w:rsid w:val="153B0805"/>
    <w:rsid w:val="153F4525"/>
    <w:rsid w:val="15405225"/>
    <w:rsid w:val="154D0D05"/>
    <w:rsid w:val="154D4BC6"/>
    <w:rsid w:val="154D6CC8"/>
    <w:rsid w:val="15502C80"/>
    <w:rsid w:val="155A1840"/>
    <w:rsid w:val="155A284B"/>
    <w:rsid w:val="155B2276"/>
    <w:rsid w:val="155C4954"/>
    <w:rsid w:val="155D19F2"/>
    <w:rsid w:val="15611643"/>
    <w:rsid w:val="15666F42"/>
    <w:rsid w:val="156709D7"/>
    <w:rsid w:val="156A0112"/>
    <w:rsid w:val="156A7B38"/>
    <w:rsid w:val="156D77C5"/>
    <w:rsid w:val="157C1B07"/>
    <w:rsid w:val="157F2388"/>
    <w:rsid w:val="15800FC6"/>
    <w:rsid w:val="15826AC1"/>
    <w:rsid w:val="158A266A"/>
    <w:rsid w:val="158F270C"/>
    <w:rsid w:val="15906C4B"/>
    <w:rsid w:val="159101B3"/>
    <w:rsid w:val="159224F7"/>
    <w:rsid w:val="15950A73"/>
    <w:rsid w:val="159E708A"/>
    <w:rsid w:val="15A226DC"/>
    <w:rsid w:val="15A543FE"/>
    <w:rsid w:val="15A6724E"/>
    <w:rsid w:val="15A76DDA"/>
    <w:rsid w:val="15A853E3"/>
    <w:rsid w:val="15AB6598"/>
    <w:rsid w:val="15AE705F"/>
    <w:rsid w:val="15B77AEC"/>
    <w:rsid w:val="15BD72C9"/>
    <w:rsid w:val="15BF6F3F"/>
    <w:rsid w:val="15C42DD2"/>
    <w:rsid w:val="15C43A40"/>
    <w:rsid w:val="15C51B98"/>
    <w:rsid w:val="15C92C5C"/>
    <w:rsid w:val="15CC7032"/>
    <w:rsid w:val="15CD07E9"/>
    <w:rsid w:val="15D358AB"/>
    <w:rsid w:val="15D80736"/>
    <w:rsid w:val="15DA1B48"/>
    <w:rsid w:val="15DA68EB"/>
    <w:rsid w:val="15DF1FE1"/>
    <w:rsid w:val="15DF6DC8"/>
    <w:rsid w:val="15E264D0"/>
    <w:rsid w:val="15E65171"/>
    <w:rsid w:val="15ED54A7"/>
    <w:rsid w:val="15F100D7"/>
    <w:rsid w:val="15F34789"/>
    <w:rsid w:val="15F64363"/>
    <w:rsid w:val="15F66373"/>
    <w:rsid w:val="15FF2C48"/>
    <w:rsid w:val="16007E67"/>
    <w:rsid w:val="16052510"/>
    <w:rsid w:val="16083085"/>
    <w:rsid w:val="16096B6B"/>
    <w:rsid w:val="161547DC"/>
    <w:rsid w:val="16171771"/>
    <w:rsid w:val="16192C0F"/>
    <w:rsid w:val="1619377F"/>
    <w:rsid w:val="1620572C"/>
    <w:rsid w:val="16207439"/>
    <w:rsid w:val="162A788B"/>
    <w:rsid w:val="1635143B"/>
    <w:rsid w:val="16371C00"/>
    <w:rsid w:val="163F48FA"/>
    <w:rsid w:val="16485BC5"/>
    <w:rsid w:val="164C7906"/>
    <w:rsid w:val="165D2072"/>
    <w:rsid w:val="16617BF4"/>
    <w:rsid w:val="166D77B8"/>
    <w:rsid w:val="16771653"/>
    <w:rsid w:val="16796FEE"/>
    <w:rsid w:val="16812D45"/>
    <w:rsid w:val="168360B7"/>
    <w:rsid w:val="168A364E"/>
    <w:rsid w:val="16912419"/>
    <w:rsid w:val="16996A48"/>
    <w:rsid w:val="169B4A4A"/>
    <w:rsid w:val="16A250C9"/>
    <w:rsid w:val="16AA1D1A"/>
    <w:rsid w:val="16AB0EC1"/>
    <w:rsid w:val="16B64703"/>
    <w:rsid w:val="16BB124F"/>
    <w:rsid w:val="16C01894"/>
    <w:rsid w:val="16C077F3"/>
    <w:rsid w:val="16C57A9F"/>
    <w:rsid w:val="16C94F6F"/>
    <w:rsid w:val="16CC179F"/>
    <w:rsid w:val="16CE3E2F"/>
    <w:rsid w:val="16D009DD"/>
    <w:rsid w:val="16D30F93"/>
    <w:rsid w:val="16D42C70"/>
    <w:rsid w:val="16DA6E92"/>
    <w:rsid w:val="16E12E2A"/>
    <w:rsid w:val="16E418DA"/>
    <w:rsid w:val="16EA3AE2"/>
    <w:rsid w:val="16F24406"/>
    <w:rsid w:val="16F62820"/>
    <w:rsid w:val="16F71F47"/>
    <w:rsid w:val="17032B72"/>
    <w:rsid w:val="17045A72"/>
    <w:rsid w:val="17076F9D"/>
    <w:rsid w:val="17081DED"/>
    <w:rsid w:val="17096DA7"/>
    <w:rsid w:val="1709757F"/>
    <w:rsid w:val="171163E0"/>
    <w:rsid w:val="17152159"/>
    <w:rsid w:val="171D0E89"/>
    <w:rsid w:val="171D3D03"/>
    <w:rsid w:val="17203130"/>
    <w:rsid w:val="17256D2E"/>
    <w:rsid w:val="172D31B1"/>
    <w:rsid w:val="1730003B"/>
    <w:rsid w:val="17315E71"/>
    <w:rsid w:val="17377B26"/>
    <w:rsid w:val="173C427D"/>
    <w:rsid w:val="174002B1"/>
    <w:rsid w:val="17400BE8"/>
    <w:rsid w:val="17487782"/>
    <w:rsid w:val="17526012"/>
    <w:rsid w:val="17555369"/>
    <w:rsid w:val="17564256"/>
    <w:rsid w:val="175E1F46"/>
    <w:rsid w:val="176137DF"/>
    <w:rsid w:val="17646235"/>
    <w:rsid w:val="176500FE"/>
    <w:rsid w:val="176A4B9D"/>
    <w:rsid w:val="176E1E17"/>
    <w:rsid w:val="176E6651"/>
    <w:rsid w:val="177126E3"/>
    <w:rsid w:val="177A700F"/>
    <w:rsid w:val="1782562B"/>
    <w:rsid w:val="178672AB"/>
    <w:rsid w:val="178E4B66"/>
    <w:rsid w:val="178F610A"/>
    <w:rsid w:val="17902737"/>
    <w:rsid w:val="179328FE"/>
    <w:rsid w:val="179E14CC"/>
    <w:rsid w:val="17A1286F"/>
    <w:rsid w:val="17A15666"/>
    <w:rsid w:val="17A27EF8"/>
    <w:rsid w:val="17AA2262"/>
    <w:rsid w:val="17AC2A8C"/>
    <w:rsid w:val="17B35B82"/>
    <w:rsid w:val="17B86079"/>
    <w:rsid w:val="17B90B9A"/>
    <w:rsid w:val="17BC2396"/>
    <w:rsid w:val="17BE7588"/>
    <w:rsid w:val="17BE790A"/>
    <w:rsid w:val="17C36B12"/>
    <w:rsid w:val="17CD3FFF"/>
    <w:rsid w:val="17CF7FF2"/>
    <w:rsid w:val="17D82095"/>
    <w:rsid w:val="17D855E0"/>
    <w:rsid w:val="17D867E5"/>
    <w:rsid w:val="17D966A2"/>
    <w:rsid w:val="17DB1DBB"/>
    <w:rsid w:val="17E13428"/>
    <w:rsid w:val="17E2388F"/>
    <w:rsid w:val="17E40AFD"/>
    <w:rsid w:val="17E52018"/>
    <w:rsid w:val="17E77197"/>
    <w:rsid w:val="17EA4FA8"/>
    <w:rsid w:val="17ED05A2"/>
    <w:rsid w:val="17F35855"/>
    <w:rsid w:val="17FB3D95"/>
    <w:rsid w:val="17FB7E60"/>
    <w:rsid w:val="17FD2DC5"/>
    <w:rsid w:val="18022C75"/>
    <w:rsid w:val="18042375"/>
    <w:rsid w:val="180465DC"/>
    <w:rsid w:val="180902EF"/>
    <w:rsid w:val="180F251F"/>
    <w:rsid w:val="18117E68"/>
    <w:rsid w:val="181C3FDD"/>
    <w:rsid w:val="18277705"/>
    <w:rsid w:val="182910C4"/>
    <w:rsid w:val="182A646E"/>
    <w:rsid w:val="18312811"/>
    <w:rsid w:val="18372642"/>
    <w:rsid w:val="18382FB2"/>
    <w:rsid w:val="18387D6D"/>
    <w:rsid w:val="183B40F2"/>
    <w:rsid w:val="183E0A82"/>
    <w:rsid w:val="183F0A01"/>
    <w:rsid w:val="184B4153"/>
    <w:rsid w:val="185054CA"/>
    <w:rsid w:val="18505FA2"/>
    <w:rsid w:val="185B0379"/>
    <w:rsid w:val="185B4389"/>
    <w:rsid w:val="185E4D79"/>
    <w:rsid w:val="185F2190"/>
    <w:rsid w:val="18625515"/>
    <w:rsid w:val="18692A28"/>
    <w:rsid w:val="18726C0E"/>
    <w:rsid w:val="18733A7C"/>
    <w:rsid w:val="18743B51"/>
    <w:rsid w:val="18754C0E"/>
    <w:rsid w:val="187775D9"/>
    <w:rsid w:val="18794161"/>
    <w:rsid w:val="187975BD"/>
    <w:rsid w:val="187A5BC6"/>
    <w:rsid w:val="187B63E6"/>
    <w:rsid w:val="187D4C10"/>
    <w:rsid w:val="1882350E"/>
    <w:rsid w:val="188954AB"/>
    <w:rsid w:val="188E0F1D"/>
    <w:rsid w:val="189230B9"/>
    <w:rsid w:val="18924D66"/>
    <w:rsid w:val="18933186"/>
    <w:rsid w:val="18985AA1"/>
    <w:rsid w:val="189A6378"/>
    <w:rsid w:val="18A7548B"/>
    <w:rsid w:val="18AF2959"/>
    <w:rsid w:val="18B00F24"/>
    <w:rsid w:val="18B10822"/>
    <w:rsid w:val="18B4094A"/>
    <w:rsid w:val="18B657F1"/>
    <w:rsid w:val="18C119AD"/>
    <w:rsid w:val="18C24D25"/>
    <w:rsid w:val="18C40529"/>
    <w:rsid w:val="18C633FA"/>
    <w:rsid w:val="18C7156A"/>
    <w:rsid w:val="18C82BCA"/>
    <w:rsid w:val="18C943D8"/>
    <w:rsid w:val="18C97589"/>
    <w:rsid w:val="18D72AE3"/>
    <w:rsid w:val="18DC5EA8"/>
    <w:rsid w:val="18E54EF9"/>
    <w:rsid w:val="18E66DA3"/>
    <w:rsid w:val="18F00A2A"/>
    <w:rsid w:val="18FB2E13"/>
    <w:rsid w:val="18FD4DE7"/>
    <w:rsid w:val="1902494D"/>
    <w:rsid w:val="19043A33"/>
    <w:rsid w:val="190537CC"/>
    <w:rsid w:val="190913B5"/>
    <w:rsid w:val="190B6EB5"/>
    <w:rsid w:val="190F4352"/>
    <w:rsid w:val="1914011A"/>
    <w:rsid w:val="19157AE4"/>
    <w:rsid w:val="19191963"/>
    <w:rsid w:val="191D6F44"/>
    <w:rsid w:val="191E0CA5"/>
    <w:rsid w:val="191F478B"/>
    <w:rsid w:val="19217F9D"/>
    <w:rsid w:val="19230013"/>
    <w:rsid w:val="192A31F1"/>
    <w:rsid w:val="192A768F"/>
    <w:rsid w:val="192C4CB8"/>
    <w:rsid w:val="192E19C6"/>
    <w:rsid w:val="193524B4"/>
    <w:rsid w:val="19363A0E"/>
    <w:rsid w:val="193A2F09"/>
    <w:rsid w:val="193C058C"/>
    <w:rsid w:val="193D3659"/>
    <w:rsid w:val="19414480"/>
    <w:rsid w:val="194634E3"/>
    <w:rsid w:val="194A07F9"/>
    <w:rsid w:val="194A39CB"/>
    <w:rsid w:val="19504EF4"/>
    <w:rsid w:val="195262CD"/>
    <w:rsid w:val="195440D2"/>
    <w:rsid w:val="1958521D"/>
    <w:rsid w:val="195A7953"/>
    <w:rsid w:val="19693553"/>
    <w:rsid w:val="196C3194"/>
    <w:rsid w:val="19701A5E"/>
    <w:rsid w:val="19710B3A"/>
    <w:rsid w:val="19756512"/>
    <w:rsid w:val="1976659F"/>
    <w:rsid w:val="1977419C"/>
    <w:rsid w:val="19791FD8"/>
    <w:rsid w:val="19806C8E"/>
    <w:rsid w:val="19821CCD"/>
    <w:rsid w:val="19855899"/>
    <w:rsid w:val="19886A3B"/>
    <w:rsid w:val="198C2314"/>
    <w:rsid w:val="198F7DBF"/>
    <w:rsid w:val="199818E0"/>
    <w:rsid w:val="1999604F"/>
    <w:rsid w:val="199D6D10"/>
    <w:rsid w:val="19A775F2"/>
    <w:rsid w:val="19A9759D"/>
    <w:rsid w:val="19AC0D56"/>
    <w:rsid w:val="19B07C2A"/>
    <w:rsid w:val="19B17638"/>
    <w:rsid w:val="19B73747"/>
    <w:rsid w:val="19B77D4B"/>
    <w:rsid w:val="19B849DD"/>
    <w:rsid w:val="19B84F8F"/>
    <w:rsid w:val="19BB6E8F"/>
    <w:rsid w:val="19BC4815"/>
    <w:rsid w:val="19C21B7B"/>
    <w:rsid w:val="19C60126"/>
    <w:rsid w:val="19C84802"/>
    <w:rsid w:val="19C87429"/>
    <w:rsid w:val="19CC4922"/>
    <w:rsid w:val="19D139F1"/>
    <w:rsid w:val="19D15BD1"/>
    <w:rsid w:val="19D461B2"/>
    <w:rsid w:val="19D503D0"/>
    <w:rsid w:val="19D5724A"/>
    <w:rsid w:val="19D82D48"/>
    <w:rsid w:val="19D97586"/>
    <w:rsid w:val="19DE081C"/>
    <w:rsid w:val="19E14003"/>
    <w:rsid w:val="19E61819"/>
    <w:rsid w:val="19EB4D71"/>
    <w:rsid w:val="19ED18E7"/>
    <w:rsid w:val="19F101F2"/>
    <w:rsid w:val="19F2092E"/>
    <w:rsid w:val="19F26AB3"/>
    <w:rsid w:val="19F525FC"/>
    <w:rsid w:val="19F61813"/>
    <w:rsid w:val="19F875C4"/>
    <w:rsid w:val="1A034DF4"/>
    <w:rsid w:val="1A040287"/>
    <w:rsid w:val="1A051610"/>
    <w:rsid w:val="1A08743B"/>
    <w:rsid w:val="1A095AF3"/>
    <w:rsid w:val="1A0A1E6D"/>
    <w:rsid w:val="1A0C595D"/>
    <w:rsid w:val="1A0D6C81"/>
    <w:rsid w:val="1A1A5FD3"/>
    <w:rsid w:val="1A1E4929"/>
    <w:rsid w:val="1A202936"/>
    <w:rsid w:val="1A2C14DD"/>
    <w:rsid w:val="1A334D23"/>
    <w:rsid w:val="1A374365"/>
    <w:rsid w:val="1A3C49EA"/>
    <w:rsid w:val="1A401F31"/>
    <w:rsid w:val="1A4D07E8"/>
    <w:rsid w:val="1A5238A7"/>
    <w:rsid w:val="1A530A88"/>
    <w:rsid w:val="1A56053A"/>
    <w:rsid w:val="1A5B3412"/>
    <w:rsid w:val="1A622730"/>
    <w:rsid w:val="1A6832DB"/>
    <w:rsid w:val="1A6C7C38"/>
    <w:rsid w:val="1A6D1072"/>
    <w:rsid w:val="1A7008BB"/>
    <w:rsid w:val="1A726917"/>
    <w:rsid w:val="1A75425D"/>
    <w:rsid w:val="1A771E6F"/>
    <w:rsid w:val="1A787D1E"/>
    <w:rsid w:val="1A7E16DC"/>
    <w:rsid w:val="1A820A69"/>
    <w:rsid w:val="1A8371E3"/>
    <w:rsid w:val="1A844B79"/>
    <w:rsid w:val="1A8C2442"/>
    <w:rsid w:val="1A915A67"/>
    <w:rsid w:val="1A9214ED"/>
    <w:rsid w:val="1A935D41"/>
    <w:rsid w:val="1A945B8D"/>
    <w:rsid w:val="1A9B5DD7"/>
    <w:rsid w:val="1AA3303E"/>
    <w:rsid w:val="1AA64ED8"/>
    <w:rsid w:val="1AA65D47"/>
    <w:rsid w:val="1AA97BCF"/>
    <w:rsid w:val="1AAA44B7"/>
    <w:rsid w:val="1AAC7607"/>
    <w:rsid w:val="1AB25915"/>
    <w:rsid w:val="1AB95FB3"/>
    <w:rsid w:val="1AC250EE"/>
    <w:rsid w:val="1AC36BB5"/>
    <w:rsid w:val="1AC91466"/>
    <w:rsid w:val="1ACC7BED"/>
    <w:rsid w:val="1ACE14C7"/>
    <w:rsid w:val="1AD573C3"/>
    <w:rsid w:val="1ADC50BF"/>
    <w:rsid w:val="1ADD2096"/>
    <w:rsid w:val="1ADE711F"/>
    <w:rsid w:val="1AE242EA"/>
    <w:rsid w:val="1AEB0EBA"/>
    <w:rsid w:val="1AEC51D1"/>
    <w:rsid w:val="1AF11B82"/>
    <w:rsid w:val="1AFD6675"/>
    <w:rsid w:val="1B011DA3"/>
    <w:rsid w:val="1B072671"/>
    <w:rsid w:val="1B097429"/>
    <w:rsid w:val="1B0A4355"/>
    <w:rsid w:val="1B1D2248"/>
    <w:rsid w:val="1B210ABA"/>
    <w:rsid w:val="1B211F9C"/>
    <w:rsid w:val="1B262CB3"/>
    <w:rsid w:val="1B296C7E"/>
    <w:rsid w:val="1B2B6167"/>
    <w:rsid w:val="1B2C202D"/>
    <w:rsid w:val="1B323281"/>
    <w:rsid w:val="1B326245"/>
    <w:rsid w:val="1B340708"/>
    <w:rsid w:val="1B3841F0"/>
    <w:rsid w:val="1B3C5930"/>
    <w:rsid w:val="1B3D3BAE"/>
    <w:rsid w:val="1B4A1DD0"/>
    <w:rsid w:val="1B57374B"/>
    <w:rsid w:val="1B587952"/>
    <w:rsid w:val="1B5A60CF"/>
    <w:rsid w:val="1B5C34EA"/>
    <w:rsid w:val="1B644FA8"/>
    <w:rsid w:val="1B747F48"/>
    <w:rsid w:val="1B755ED1"/>
    <w:rsid w:val="1B797FA7"/>
    <w:rsid w:val="1B801A87"/>
    <w:rsid w:val="1B821AEB"/>
    <w:rsid w:val="1B85221B"/>
    <w:rsid w:val="1B8C33B2"/>
    <w:rsid w:val="1B8C3714"/>
    <w:rsid w:val="1B8E6A6B"/>
    <w:rsid w:val="1B901C4C"/>
    <w:rsid w:val="1B90322B"/>
    <w:rsid w:val="1B950A67"/>
    <w:rsid w:val="1B961C0A"/>
    <w:rsid w:val="1B973EAE"/>
    <w:rsid w:val="1B9B03F7"/>
    <w:rsid w:val="1B9C2F0C"/>
    <w:rsid w:val="1B9C5B94"/>
    <w:rsid w:val="1BA37D36"/>
    <w:rsid w:val="1BAB629B"/>
    <w:rsid w:val="1BB32E64"/>
    <w:rsid w:val="1BB34D3D"/>
    <w:rsid w:val="1BB37078"/>
    <w:rsid w:val="1BB968A4"/>
    <w:rsid w:val="1BBD0F97"/>
    <w:rsid w:val="1BBD2AAF"/>
    <w:rsid w:val="1BBD3F81"/>
    <w:rsid w:val="1BC267DA"/>
    <w:rsid w:val="1BC8749C"/>
    <w:rsid w:val="1BCB1F47"/>
    <w:rsid w:val="1BCB2F7A"/>
    <w:rsid w:val="1BCB528E"/>
    <w:rsid w:val="1BCE291E"/>
    <w:rsid w:val="1BD81AA1"/>
    <w:rsid w:val="1BE12E08"/>
    <w:rsid w:val="1BE24578"/>
    <w:rsid w:val="1BE378B5"/>
    <w:rsid w:val="1BE40326"/>
    <w:rsid w:val="1BE77758"/>
    <w:rsid w:val="1BE97625"/>
    <w:rsid w:val="1BEB1199"/>
    <w:rsid w:val="1BEE6E55"/>
    <w:rsid w:val="1BF23BAF"/>
    <w:rsid w:val="1BF33CCE"/>
    <w:rsid w:val="1BF3744D"/>
    <w:rsid w:val="1BF64A32"/>
    <w:rsid w:val="1BF76990"/>
    <w:rsid w:val="1BF960BC"/>
    <w:rsid w:val="1BFB0B44"/>
    <w:rsid w:val="1BFC2B1A"/>
    <w:rsid w:val="1BFC7169"/>
    <w:rsid w:val="1BFE3ACD"/>
    <w:rsid w:val="1BFF50AD"/>
    <w:rsid w:val="1C030F8F"/>
    <w:rsid w:val="1C0344D8"/>
    <w:rsid w:val="1C05012F"/>
    <w:rsid w:val="1C0A66CA"/>
    <w:rsid w:val="1C0C775E"/>
    <w:rsid w:val="1C161310"/>
    <w:rsid w:val="1C164351"/>
    <w:rsid w:val="1C1F4F91"/>
    <w:rsid w:val="1C24217E"/>
    <w:rsid w:val="1C255ED0"/>
    <w:rsid w:val="1C2B77DC"/>
    <w:rsid w:val="1C2D58D7"/>
    <w:rsid w:val="1C2D5CF7"/>
    <w:rsid w:val="1C3620F2"/>
    <w:rsid w:val="1C3E3326"/>
    <w:rsid w:val="1C3E4FD7"/>
    <w:rsid w:val="1C405410"/>
    <w:rsid w:val="1C42604E"/>
    <w:rsid w:val="1C454168"/>
    <w:rsid w:val="1C461D04"/>
    <w:rsid w:val="1C4868C8"/>
    <w:rsid w:val="1C4A5768"/>
    <w:rsid w:val="1C4D4656"/>
    <w:rsid w:val="1C5142F3"/>
    <w:rsid w:val="1C570E97"/>
    <w:rsid w:val="1C5B3D60"/>
    <w:rsid w:val="1C62434A"/>
    <w:rsid w:val="1C657EEA"/>
    <w:rsid w:val="1C6C44FD"/>
    <w:rsid w:val="1C6D228C"/>
    <w:rsid w:val="1C6E6195"/>
    <w:rsid w:val="1C6F0819"/>
    <w:rsid w:val="1C70146F"/>
    <w:rsid w:val="1C753F6A"/>
    <w:rsid w:val="1C7565DF"/>
    <w:rsid w:val="1C7B6A3B"/>
    <w:rsid w:val="1C7F4922"/>
    <w:rsid w:val="1C8414C7"/>
    <w:rsid w:val="1C897022"/>
    <w:rsid w:val="1C8C2277"/>
    <w:rsid w:val="1C9043BF"/>
    <w:rsid w:val="1C9F2051"/>
    <w:rsid w:val="1CA7351E"/>
    <w:rsid w:val="1CB21FCC"/>
    <w:rsid w:val="1CB363CB"/>
    <w:rsid w:val="1CB702E6"/>
    <w:rsid w:val="1CC12608"/>
    <w:rsid w:val="1CC13CA2"/>
    <w:rsid w:val="1CC15F17"/>
    <w:rsid w:val="1CC45971"/>
    <w:rsid w:val="1CC55DDC"/>
    <w:rsid w:val="1CC66578"/>
    <w:rsid w:val="1CD26772"/>
    <w:rsid w:val="1CD4619C"/>
    <w:rsid w:val="1CD82172"/>
    <w:rsid w:val="1CE46619"/>
    <w:rsid w:val="1CEB4499"/>
    <w:rsid w:val="1D001385"/>
    <w:rsid w:val="1D05327C"/>
    <w:rsid w:val="1D0F54C9"/>
    <w:rsid w:val="1D100F92"/>
    <w:rsid w:val="1D14526C"/>
    <w:rsid w:val="1D1A0C72"/>
    <w:rsid w:val="1D1F6108"/>
    <w:rsid w:val="1D207EA1"/>
    <w:rsid w:val="1D2309AC"/>
    <w:rsid w:val="1D27013A"/>
    <w:rsid w:val="1D296846"/>
    <w:rsid w:val="1D2F4018"/>
    <w:rsid w:val="1D3217AC"/>
    <w:rsid w:val="1D350232"/>
    <w:rsid w:val="1D3D04EB"/>
    <w:rsid w:val="1D3E4BD4"/>
    <w:rsid w:val="1D46016D"/>
    <w:rsid w:val="1D4C3844"/>
    <w:rsid w:val="1D4E6F1D"/>
    <w:rsid w:val="1D4F7596"/>
    <w:rsid w:val="1D5155BC"/>
    <w:rsid w:val="1D6257F1"/>
    <w:rsid w:val="1D6442C8"/>
    <w:rsid w:val="1D6D3463"/>
    <w:rsid w:val="1D743E37"/>
    <w:rsid w:val="1D755A61"/>
    <w:rsid w:val="1D784264"/>
    <w:rsid w:val="1D8729C8"/>
    <w:rsid w:val="1D890E99"/>
    <w:rsid w:val="1D8A6A81"/>
    <w:rsid w:val="1D8B33B1"/>
    <w:rsid w:val="1D8C289D"/>
    <w:rsid w:val="1D8D34E6"/>
    <w:rsid w:val="1D8F1141"/>
    <w:rsid w:val="1D9305D6"/>
    <w:rsid w:val="1D930E89"/>
    <w:rsid w:val="1D952C94"/>
    <w:rsid w:val="1D995211"/>
    <w:rsid w:val="1D9A08B4"/>
    <w:rsid w:val="1D9A2B0C"/>
    <w:rsid w:val="1DA610D3"/>
    <w:rsid w:val="1DAC2AB0"/>
    <w:rsid w:val="1DAE5496"/>
    <w:rsid w:val="1DB43368"/>
    <w:rsid w:val="1DB8459D"/>
    <w:rsid w:val="1DBA259E"/>
    <w:rsid w:val="1DBE5C58"/>
    <w:rsid w:val="1DBE7F5B"/>
    <w:rsid w:val="1DC12F65"/>
    <w:rsid w:val="1DC1599C"/>
    <w:rsid w:val="1DC341F8"/>
    <w:rsid w:val="1DC44E86"/>
    <w:rsid w:val="1DD36A09"/>
    <w:rsid w:val="1DD84C54"/>
    <w:rsid w:val="1DD91463"/>
    <w:rsid w:val="1DDF1373"/>
    <w:rsid w:val="1DDF61B8"/>
    <w:rsid w:val="1DEA5F9D"/>
    <w:rsid w:val="1DF2482B"/>
    <w:rsid w:val="1DF3199E"/>
    <w:rsid w:val="1DF5257B"/>
    <w:rsid w:val="1DF73CBF"/>
    <w:rsid w:val="1DFA1388"/>
    <w:rsid w:val="1DFB194B"/>
    <w:rsid w:val="1DFB5485"/>
    <w:rsid w:val="1E0230F4"/>
    <w:rsid w:val="1E087ACA"/>
    <w:rsid w:val="1E1106A2"/>
    <w:rsid w:val="1E120262"/>
    <w:rsid w:val="1E2775B3"/>
    <w:rsid w:val="1E315D76"/>
    <w:rsid w:val="1E321558"/>
    <w:rsid w:val="1E346F43"/>
    <w:rsid w:val="1E3650CC"/>
    <w:rsid w:val="1E3B2495"/>
    <w:rsid w:val="1E3F6935"/>
    <w:rsid w:val="1E435D2B"/>
    <w:rsid w:val="1E457BAF"/>
    <w:rsid w:val="1E4622A1"/>
    <w:rsid w:val="1E4663AC"/>
    <w:rsid w:val="1E466D2B"/>
    <w:rsid w:val="1E476751"/>
    <w:rsid w:val="1E4A30AD"/>
    <w:rsid w:val="1E4F1800"/>
    <w:rsid w:val="1E500564"/>
    <w:rsid w:val="1E5077F4"/>
    <w:rsid w:val="1E52533C"/>
    <w:rsid w:val="1E5440B0"/>
    <w:rsid w:val="1E56739E"/>
    <w:rsid w:val="1E577425"/>
    <w:rsid w:val="1E5A4633"/>
    <w:rsid w:val="1E5A7789"/>
    <w:rsid w:val="1E5F7448"/>
    <w:rsid w:val="1E605EE7"/>
    <w:rsid w:val="1E612D43"/>
    <w:rsid w:val="1E682F35"/>
    <w:rsid w:val="1E693D37"/>
    <w:rsid w:val="1E706E4E"/>
    <w:rsid w:val="1E761974"/>
    <w:rsid w:val="1E7E212A"/>
    <w:rsid w:val="1E7F7342"/>
    <w:rsid w:val="1E801958"/>
    <w:rsid w:val="1E867E38"/>
    <w:rsid w:val="1E880902"/>
    <w:rsid w:val="1E894458"/>
    <w:rsid w:val="1E8A5A37"/>
    <w:rsid w:val="1E8C2A2D"/>
    <w:rsid w:val="1E8C7051"/>
    <w:rsid w:val="1E8C762D"/>
    <w:rsid w:val="1E8F3496"/>
    <w:rsid w:val="1E904AD6"/>
    <w:rsid w:val="1E9C23E3"/>
    <w:rsid w:val="1E9C75CE"/>
    <w:rsid w:val="1EA475EE"/>
    <w:rsid w:val="1EA63C79"/>
    <w:rsid w:val="1EA66674"/>
    <w:rsid w:val="1EAA3238"/>
    <w:rsid w:val="1EAC05E2"/>
    <w:rsid w:val="1EAD24DE"/>
    <w:rsid w:val="1EB021C7"/>
    <w:rsid w:val="1EB04538"/>
    <w:rsid w:val="1EB57543"/>
    <w:rsid w:val="1EB81EEE"/>
    <w:rsid w:val="1EBB1935"/>
    <w:rsid w:val="1EBD3CC0"/>
    <w:rsid w:val="1EC316DA"/>
    <w:rsid w:val="1ECB0AFA"/>
    <w:rsid w:val="1ECD4769"/>
    <w:rsid w:val="1ECE07E5"/>
    <w:rsid w:val="1ECE7BB0"/>
    <w:rsid w:val="1ED41AED"/>
    <w:rsid w:val="1ED5476F"/>
    <w:rsid w:val="1ED5526D"/>
    <w:rsid w:val="1EDA065E"/>
    <w:rsid w:val="1EE05AD4"/>
    <w:rsid w:val="1EE12974"/>
    <w:rsid w:val="1EE40E5D"/>
    <w:rsid w:val="1EE8604F"/>
    <w:rsid w:val="1EE86931"/>
    <w:rsid w:val="1EE95331"/>
    <w:rsid w:val="1EEC239D"/>
    <w:rsid w:val="1EF220A4"/>
    <w:rsid w:val="1EFC1E0D"/>
    <w:rsid w:val="1EFC5BC5"/>
    <w:rsid w:val="1EFE5704"/>
    <w:rsid w:val="1F053067"/>
    <w:rsid w:val="1F0839DF"/>
    <w:rsid w:val="1F0950B4"/>
    <w:rsid w:val="1F096921"/>
    <w:rsid w:val="1F0C1E65"/>
    <w:rsid w:val="1F1705C3"/>
    <w:rsid w:val="1F18489E"/>
    <w:rsid w:val="1F1B43A4"/>
    <w:rsid w:val="1F224F00"/>
    <w:rsid w:val="1F2557AE"/>
    <w:rsid w:val="1F2635FE"/>
    <w:rsid w:val="1F265631"/>
    <w:rsid w:val="1F2A6028"/>
    <w:rsid w:val="1F2F4955"/>
    <w:rsid w:val="1F332EF1"/>
    <w:rsid w:val="1F354E31"/>
    <w:rsid w:val="1F357A0E"/>
    <w:rsid w:val="1F407121"/>
    <w:rsid w:val="1F481327"/>
    <w:rsid w:val="1F4A7DDC"/>
    <w:rsid w:val="1F4B4791"/>
    <w:rsid w:val="1F4C1EF0"/>
    <w:rsid w:val="1F4C60F7"/>
    <w:rsid w:val="1F4E6C84"/>
    <w:rsid w:val="1F514D42"/>
    <w:rsid w:val="1F5258FD"/>
    <w:rsid w:val="1F55333A"/>
    <w:rsid w:val="1F5977C6"/>
    <w:rsid w:val="1F7134C0"/>
    <w:rsid w:val="1F7A0A22"/>
    <w:rsid w:val="1F7E30D5"/>
    <w:rsid w:val="1F840EB7"/>
    <w:rsid w:val="1F844DAD"/>
    <w:rsid w:val="1F876BB3"/>
    <w:rsid w:val="1F8A662D"/>
    <w:rsid w:val="1F8F3D7F"/>
    <w:rsid w:val="1F9D48AA"/>
    <w:rsid w:val="1FA07AF9"/>
    <w:rsid w:val="1FA3083F"/>
    <w:rsid w:val="1FA43451"/>
    <w:rsid w:val="1FA507D0"/>
    <w:rsid w:val="1FA808BF"/>
    <w:rsid w:val="1FAA2670"/>
    <w:rsid w:val="1FAA5A8A"/>
    <w:rsid w:val="1FAD6123"/>
    <w:rsid w:val="1FAF59F5"/>
    <w:rsid w:val="1FB565AF"/>
    <w:rsid w:val="1FBD4BCF"/>
    <w:rsid w:val="1FC04547"/>
    <w:rsid w:val="1FC44DAA"/>
    <w:rsid w:val="1FC45D2C"/>
    <w:rsid w:val="1FC61850"/>
    <w:rsid w:val="1FCE50E6"/>
    <w:rsid w:val="1FD161B5"/>
    <w:rsid w:val="1FD16EF2"/>
    <w:rsid w:val="1FD6232C"/>
    <w:rsid w:val="1FD73E2A"/>
    <w:rsid w:val="1FDA38DD"/>
    <w:rsid w:val="1FDB18D9"/>
    <w:rsid w:val="1FDE0102"/>
    <w:rsid w:val="1FE03FCF"/>
    <w:rsid w:val="1FE94DE6"/>
    <w:rsid w:val="1FEF395D"/>
    <w:rsid w:val="1FEF7F6F"/>
    <w:rsid w:val="1FF7357F"/>
    <w:rsid w:val="1FFC3908"/>
    <w:rsid w:val="20032145"/>
    <w:rsid w:val="20076AB1"/>
    <w:rsid w:val="20081991"/>
    <w:rsid w:val="200C6623"/>
    <w:rsid w:val="2010338B"/>
    <w:rsid w:val="20142270"/>
    <w:rsid w:val="2014592D"/>
    <w:rsid w:val="20150FC8"/>
    <w:rsid w:val="201A7F79"/>
    <w:rsid w:val="201F2AA6"/>
    <w:rsid w:val="20204F91"/>
    <w:rsid w:val="20226495"/>
    <w:rsid w:val="20307EAA"/>
    <w:rsid w:val="20325CF9"/>
    <w:rsid w:val="20363FBF"/>
    <w:rsid w:val="203B731B"/>
    <w:rsid w:val="204964B7"/>
    <w:rsid w:val="204A2453"/>
    <w:rsid w:val="204A60D4"/>
    <w:rsid w:val="204B02CC"/>
    <w:rsid w:val="204C795F"/>
    <w:rsid w:val="204F2C9D"/>
    <w:rsid w:val="20503B05"/>
    <w:rsid w:val="20555044"/>
    <w:rsid w:val="205A4233"/>
    <w:rsid w:val="205E0879"/>
    <w:rsid w:val="205E16BD"/>
    <w:rsid w:val="2060251C"/>
    <w:rsid w:val="2061470F"/>
    <w:rsid w:val="20643953"/>
    <w:rsid w:val="20656871"/>
    <w:rsid w:val="20694B39"/>
    <w:rsid w:val="20727809"/>
    <w:rsid w:val="20730172"/>
    <w:rsid w:val="20756DB5"/>
    <w:rsid w:val="207D6240"/>
    <w:rsid w:val="20807D5D"/>
    <w:rsid w:val="208A6B69"/>
    <w:rsid w:val="208D3711"/>
    <w:rsid w:val="208E638F"/>
    <w:rsid w:val="20905823"/>
    <w:rsid w:val="209635DB"/>
    <w:rsid w:val="209659E0"/>
    <w:rsid w:val="209F4501"/>
    <w:rsid w:val="20A0674A"/>
    <w:rsid w:val="20A303F0"/>
    <w:rsid w:val="20A540D4"/>
    <w:rsid w:val="20A81BB4"/>
    <w:rsid w:val="20A820AB"/>
    <w:rsid w:val="20AC67FE"/>
    <w:rsid w:val="20AF4940"/>
    <w:rsid w:val="20B03533"/>
    <w:rsid w:val="20BC7B61"/>
    <w:rsid w:val="20BD6D1F"/>
    <w:rsid w:val="20C678AD"/>
    <w:rsid w:val="20CC3977"/>
    <w:rsid w:val="20CC5737"/>
    <w:rsid w:val="20D51435"/>
    <w:rsid w:val="20D5388A"/>
    <w:rsid w:val="20DC1D32"/>
    <w:rsid w:val="20DC5105"/>
    <w:rsid w:val="20E175BC"/>
    <w:rsid w:val="20E73D00"/>
    <w:rsid w:val="20EA62B2"/>
    <w:rsid w:val="20F14DB6"/>
    <w:rsid w:val="20F5544B"/>
    <w:rsid w:val="20F85440"/>
    <w:rsid w:val="20F86668"/>
    <w:rsid w:val="20FD7F59"/>
    <w:rsid w:val="21023534"/>
    <w:rsid w:val="21076C02"/>
    <w:rsid w:val="210773B7"/>
    <w:rsid w:val="210A7AA4"/>
    <w:rsid w:val="210B7580"/>
    <w:rsid w:val="210B7DD0"/>
    <w:rsid w:val="210F469B"/>
    <w:rsid w:val="21106466"/>
    <w:rsid w:val="21114EC7"/>
    <w:rsid w:val="211531C7"/>
    <w:rsid w:val="2115569B"/>
    <w:rsid w:val="211610D2"/>
    <w:rsid w:val="211D43B7"/>
    <w:rsid w:val="211E104C"/>
    <w:rsid w:val="211F0ABA"/>
    <w:rsid w:val="21255550"/>
    <w:rsid w:val="212564C6"/>
    <w:rsid w:val="212A7888"/>
    <w:rsid w:val="212D1F32"/>
    <w:rsid w:val="21396B88"/>
    <w:rsid w:val="213E4BA4"/>
    <w:rsid w:val="21404676"/>
    <w:rsid w:val="2141359B"/>
    <w:rsid w:val="21431290"/>
    <w:rsid w:val="214A4931"/>
    <w:rsid w:val="214B216F"/>
    <w:rsid w:val="214C44C0"/>
    <w:rsid w:val="21517ED2"/>
    <w:rsid w:val="2152454F"/>
    <w:rsid w:val="21555EA3"/>
    <w:rsid w:val="21572349"/>
    <w:rsid w:val="215A7AF9"/>
    <w:rsid w:val="215C1336"/>
    <w:rsid w:val="21686A61"/>
    <w:rsid w:val="216B4153"/>
    <w:rsid w:val="216E3F0F"/>
    <w:rsid w:val="2173256E"/>
    <w:rsid w:val="21774923"/>
    <w:rsid w:val="21775B6C"/>
    <w:rsid w:val="21791F93"/>
    <w:rsid w:val="218259BD"/>
    <w:rsid w:val="218551FF"/>
    <w:rsid w:val="21861E30"/>
    <w:rsid w:val="21870835"/>
    <w:rsid w:val="21874F74"/>
    <w:rsid w:val="218F65B5"/>
    <w:rsid w:val="21924148"/>
    <w:rsid w:val="21963CC6"/>
    <w:rsid w:val="21976DA6"/>
    <w:rsid w:val="21976EE2"/>
    <w:rsid w:val="2198024A"/>
    <w:rsid w:val="21994457"/>
    <w:rsid w:val="219C27E5"/>
    <w:rsid w:val="21A23221"/>
    <w:rsid w:val="21A25B03"/>
    <w:rsid w:val="21A458D5"/>
    <w:rsid w:val="21AA2FC3"/>
    <w:rsid w:val="21AB16D8"/>
    <w:rsid w:val="21AC3580"/>
    <w:rsid w:val="21B4497E"/>
    <w:rsid w:val="21B67F2F"/>
    <w:rsid w:val="21B97EC9"/>
    <w:rsid w:val="21C20E2B"/>
    <w:rsid w:val="21C2614D"/>
    <w:rsid w:val="21C345A2"/>
    <w:rsid w:val="21C554D4"/>
    <w:rsid w:val="21CF0923"/>
    <w:rsid w:val="21CF760C"/>
    <w:rsid w:val="21D40519"/>
    <w:rsid w:val="21D459BF"/>
    <w:rsid w:val="21D720C8"/>
    <w:rsid w:val="21DD2F5F"/>
    <w:rsid w:val="21DE165D"/>
    <w:rsid w:val="21DF33F3"/>
    <w:rsid w:val="21DF672F"/>
    <w:rsid w:val="21ED2987"/>
    <w:rsid w:val="21EE026F"/>
    <w:rsid w:val="21F0264C"/>
    <w:rsid w:val="21F82613"/>
    <w:rsid w:val="21FC795F"/>
    <w:rsid w:val="21FF6C06"/>
    <w:rsid w:val="220126ED"/>
    <w:rsid w:val="22015F2A"/>
    <w:rsid w:val="22057B83"/>
    <w:rsid w:val="22080E80"/>
    <w:rsid w:val="221471B0"/>
    <w:rsid w:val="221547A9"/>
    <w:rsid w:val="221735E1"/>
    <w:rsid w:val="22176BBE"/>
    <w:rsid w:val="2218489A"/>
    <w:rsid w:val="22186AA7"/>
    <w:rsid w:val="221E7B79"/>
    <w:rsid w:val="22260891"/>
    <w:rsid w:val="222D64DF"/>
    <w:rsid w:val="2231028D"/>
    <w:rsid w:val="22373866"/>
    <w:rsid w:val="22393A15"/>
    <w:rsid w:val="223F0485"/>
    <w:rsid w:val="223F1411"/>
    <w:rsid w:val="22404FA6"/>
    <w:rsid w:val="2244527C"/>
    <w:rsid w:val="224D2AAD"/>
    <w:rsid w:val="22502CEA"/>
    <w:rsid w:val="22537309"/>
    <w:rsid w:val="22570EE1"/>
    <w:rsid w:val="2258609B"/>
    <w:rsid w:val="22656EB7"/>
    <w:rsid w:val="22664C41"/>
    <w:rsid w:val="226929F4"/>
    <w:rsid w:val="227066A9"/>
    <w:rsid w:val="22710BD6"/>
    <w:rsid w:val="227244E3"/>
    <w:rsid w:val="22736F56"/>
    <w:rsid w:val="227D2CE2"/>
    <w:rsid w:val="227E1B38"/>
    <w:rsid w:val="228249C5"/>
    <w:rsid w:val="229114F8"/>
    <w:rsid w:val="22913412"/>
    <w:rsid w:val="22942C4D"/>
    <w:rsid w:val="22943BDF"/>
    <w:rsid w:val="229B2CFA"/>
    <w:rsid w:val="229F725D"/>
    <w:rsid w:val="22A30821"/>
    <w:rsid w:val="22A90CFB"/>
    <w:rsid w:val="22AC749F"/>
    <w:rsid w:val="22AD6AE6"/>
    <w:rsid w:val="22AE523C"/>
    <w:rsid w:val="22B06891"/>
    <w:rsid w:val="22B23C14"/>
    <w:rsid w:val="22BB187F"/>
    <w:rsid w:val="22BD5CAD"/>
    <w:rsid w:val="22C43681"/>
    <w:rsid w:val="22CC154A"/>
    <w:rsid w:val="22D1199A"/>
    <w:rsid w:val="22D961F9"/>
    <w:rsid w:val="22DD0537"/>
    <w:rsid w:val="22DF43B6"/>
    <w:rsid w:val="22DF6FC0"/>
    <w:rsid w:val="22E30604"/>
    <w:rsid w:val="22E60602"/>
    <w:rsid w:val="22E74495"/>
    <w:rsid w:val="22E82F81"/>
    <w:rsid w:val="22EC645A"/>
    <w:rsid w:val="22F01B2F"/>
    <w:rsid w:val="22F114AE"/>
    <w:rsid w:val="22FC7F4B"/>
    <w:rsid w:val="230D6FCC"/>
    <w:rsid w:val="231B2211"/>
    <w:rsid w:val="231F6F00"/>
    <w:rsid w:val="23212E56"/>
    <w:rsid w:val="23216ED2"/>
    <w:rsid w:val="232270C7"/>
    <w:rsid w:val="232A127B"/>
    <w:rsid w:val="232A36DA"/>
    <w:rsid w:val="23366D5B"/>
    <w:rsid w:val="233B6C29"/>
    <w:rsid w:val="233E51EB"/>
    <w:rsid w:val="233F79BC"/>
    <w:rsid w:val="23475AD2"/>
    <w:rsid w:val="23497AE7"/>
    <w:rsid w:val="234B3718"/>
    <w:rsid w:val="234B3A41"/>
    <w:rsid w:val="234D228D"/>
    <w:rsid w:val="235E24FC"/>
    <w:rsid w:val="23616003"/>
    <w:rsid w:val="23670CFD"/>
    <w:rsid w:val="23687657"/>
    <w:rsid w:val="236D40D3"/>
    <w:rsid w:val="2370122A"/>
    <w:rsid w:val="237579B9"/>
    <w:rsid w:val="237824B8"/>
    <w:rsid w:val="2379092E"/>
    <w:rsid w:val="237C4E22"/>
    <w:rsid w:val="2381113E"/>
    <w:rsid w:val="238419A9"/>
    <w:rsid w:val="2389060F"/>
    <w:rsid w:val="238A0579"/>
    <w:rsid w:val="238B3814"/>
    <w:rsid w:val="238B53EA"/>
    <w:rsid w:val="238D7C1A"/>
    <w:rsid w:val="238F3A02"/>
    <w:rsid w:val="23903C02"/>
    <w:rsid w:val="239B3733"/>
    <w:rsid w:val="239B3A20"/>
    <w:rsid w:val="239C5EA6"/>
    <w:rsid w:val="239E4F3E"/>
    <w:rsid w:val="23A0052E"/>
    <w:rsid w:val="23A2529A"/>
    <w:rsid w:val="23B11DFA"/>
    <w:rsid w:val="23B15B97"/>
    <w:rsid w:val="23B325DB"/>
    <w:rsid w:val="23B70060"/>
    <w:rsid w:val="23C068FD"/>
    <w:rsid w:val="23C34A1F"/>
    <w:rsid w:val="23C64155"/>
    <w:rsid w:val="23C67F2D"/>
    <w:rsid w:val="23CB49C0"/>
    <w:rsid w:val="23CC45A5"/>
    <w:rsid w:val="23CF4529"/>
    <w:rsid w:val="23D05BDD"/>
    <w:rsid w:val="23D22335"/>
    <w:rsid w:val="23E87A23"/>
    <w:rsid w:val="23F128A0"/>
    <w:rsid w:val="23FC4FD0"/>
    <w:rsid w:val="24017FE4"/>
    <w:rsid w:val="24047C29"/>
    <w:rsid w:val="240509CB"/>
    <w:rsid w:val="24093CD5"/>
    <w:rsid w:val="240D2E93"/>
    <w:rsid w:val="24166987"/>
    <w:rsid w:val="24215A1B"/>
    <w:rsid w:val="242A610C"/>
    <w:rsid w:val="242B37D3"/>
    <w:rsid w:val="24310FA3"/>
    <w:rsid w:val="24321AC9"/>
    <w:rsid w:val="243369C5"/>
    <w:rsid w:val="24353B78"/>
    <w:rsid w:val="243C69D2"/>
    <w:rsid w:val="244F0FDB"/>
    <w:rsid w:val="2452049F"/>
    <w:rsid w:val="24553C9A"/>
    <w:rsid w:val="24570113"/>
    <w:rsid w:val="2457546E"/>
    <w:rsid w:val="24595CBD"/>
    <w:rsid w:val="245B28B2"/>
    <w:rsid w:val="245C71C0"/>
    <w:rsid w:val="24644C51"/>
    <w:rsid w:val="24662696"/>
    <w:rsid w:val="246647E8"/>
    <w:rsid w:val="2466505A"/>
    <w:rsid w:val="246A4319"/>
    <w:rsid w:val="2472602C"/>
    <w:rsid w:val="2474098E"/>
    <w:rsid w:val="2475233C"/>
    <w:rsid w:val="2475424D"/>
    <w:rsid w:val="247B4292"/>
    <w:rsid w:val="248473B3"/>
    <w:rsid w:val="248F37EB"/>
    <w:rsid w:val="24936F59"/>
    <w:rsid w:val="24971E3F"/>
    <w:rsid w:val="24A31016"/>
    <w:rsid w:val="24A87FC0"/>
    <w:rsid w:val="24B00313"/>
    <w:rsid w:val="24B03FA8"/>
    <w:rsid w:val="24B35F93"/>
    <w:rsid w:val="24B37362"/>
    <w:rsid w:val="24B43605"/>
    <w:rsid w:val="24BC1937"/>
    <w:rsid w:val="24C26E95"/>
    <w:rsid w:val="24D16A01"/>
    <w:rsid w:val="24D20C3F"/>
    <w:rsid w:val="24D25419"/>
    <w:rsid w:val="24DA0A83"/>
    <w:rsid w:val="24DA1F4C"/>
    <w:rsid w:val="24DE4BA8"/>
    <w:rsid w:val="24DE5338"/>
    <w:rsid w:val="24E23B30"/>
    <w:rsid w:val="24E27F3B"/>
    <w:rsid w:val="24ED1DE5"/>
    <w:rsid w:val="24EE2072"/>
    <w:rsid w:val="24F01BA1"/>
    <w:rsid w:val="24F029F5"/>
    <w:rsid w:val="24F225F7"/>
    <w:rsid w:val="24F83C71"/>
    <w:rsid w:val="24F914FC"/>
    <w:rsid w:val="24FA5D31"/>
    <w:rsid w:val="24FC3FE3"/>
    <w:rsid w:val="24FC3FE8"/>
    <w:rsid w:val="25000A90"/>
    <w:rsid w:val="250312AB"/>
    <w:rsid w:val="25033139"/>
    <w:rsid w:val="250531F7"/>
    <w:rsid w:val="2507614B"/>
    <w:rsid w:val="250A504E"/>
    <w:rsid w:val="25101FC4"/>
    <w:rsid w:val="25102F27"/>
    <w:rsid w:val="2512440F"/>
    <w:rsid w:val="25144CB1"/>
    <w:rsid w:val="2516149A"/>
    <w:rsid w:val="2517474C"/>
    <w:rsid w:val="25181E76"/>
    <w:rsid w:val="25230204"/>
    <w:rsid w:val="252722FD"/>
    <w:rsid w:val="252F715E"/>
    <w:rsid w:val="253174BB"/>
    <w:rsid w:val="2538746E"/>
    <w:rsid w:val="2539595D"/>
    <w:rsid w:val="253A5FD5"/>
    <w:rsid w:val="253D2649"/>
    <w:rsid w:val="25451BD0"/>
    <w:rsid w:val="254D157B"/>
    <w:rsid w:val="254E6842"/>
    <w:rsid w:val="25520062"/>
    <w:rsid w:val="25571E9F"/>
    <w:rsid w:val="25597E44"/>
    <w:rsid w:val="255A437E"/>
    <w:rsid w:val="255F37DF"/>
    <w:rsid w:val="2560063A"/>
    <w:rsid w:val="25637CF4"/>
    <w:rsid w:val="2567631E"/>
    <w:rsid w:val="25683760"/>
    <w:rsid w:val="256D6D56"/>
    <w:rsid w:val="257C4FC4"/>
    <w:rsid w:val="25811852"/>
    <w:rsid w:val="25815CC8"/>
    <w:rsid w:val="25856F04"/>
    <w:rsid w:val="25857AB5"/>
    <w:rsid w:val="2587659F"/>
    <w:rsid w:val="25881D1F"/>
    <w:rsid w:val="258E2371"/>
    <w:rsid w:val="259434CD"/>
    <w:rsid w:val="259B4DBD"/>
    <w:rsid w:val="25A65512"/>
    <w:rsid w:val="25A77A67"/>
    <w:rsid w:val="25AC2AE2"/>
    <w:rsid w:val="25AF5845"/>
    <w:rsid w:val="25B034AA"/>
    <w:rsid w:val="25B4718A"/>
    <w:rsid w:val="25B73903"/>
    <w:rsid w:val="25B8703C"/>
    <w:rsid w:val="25CE052F"/>
    <w:rsid w:val="25D073D0"/>
    <w:rsid w:val="25D2032C"/>
    <w:rsid w:val="25D20ED4"/>
    <w:rsid w:val="25D64F42"/>
    <w:rsid w:val="25D83FD0"/>
    <w:rsid w:val="25DA7042"/>
    <w:rsid w:val="25DB1ACF"/>
    <w:rsid w:val="25E26160"/>
    <w:rsid w:val="25E707AA"/>
    <w:rsid w:val="25EE1D75"/>
    <w:rsid w:val="25F07FD0"/>
    <w:rsid w:val="260670FD"/>
    <w:rsid w:val="261C3579"/>
    <w:rsid w:val="261F4076"/>
    <w:rsid w:val="26250AE7"/>
    <w:rsid w:val="262C09A2"/>
    <w:rsid w:val="262E094E"/>
    <w:rsid w:val="2630039D"/>
    <w:rsid w:val="264E7015"/>
    <w:rsid w:val="26514859"/>
    <w:rsid w:val="2655372F"/>
    <w:rsid w:val="26587495"/>
    <w:rsid w:val="265C7027"/>
    <w:rsid w:val="26622B35"/>
    <w:rsid w:val="266764F3"/>
    <w:rsid w:val="26681DE4"/>
    <w:rsid w:val="266C3354"/>
    <w:rsid w:val="266C3B39"/>
    <w:rsid w:val="26742C93"/>
    <w:rsid w:val="267577A3"/>
    <w:rsid w:val="26797413"/>
    <w:rsid w:val="26851903"/>
    <w:rsid w:val="26860856"/>
    <w:rsid w:val="26860CE5"/>
    <w:rsid w:val="26864DBB"/>
    <w:rsid w:val="26877F27"/>
    <w:rsid w:val="268D103D"/>
    <w:rsid w:val="268E5824"/>
    <w:rsid w:val="26901A1C"/>
    <w:rsid w:val="269034FA"/>
    <w:rsid w:val="26945A40"/>
    <w:rsid w:val="26946DF7"/>
    <w:rsid w:val="26997958"/>
    <w:rsid w:val="269C7AEA"/>
    <w:rsid w:val="26A05932"/>
    <w:rsid w:val="26A53BE9"/>
    <w:rsid w:val="26A570E5"/>
    <w:rsid w:val="26A914C0"/>
    <w:rsid w:val="26AC0D92"/>
    <w:rsid w:val="26AC55DB"/>
    <w:rsid w:val="26AE1818"/>
    <w:rsid w:val="26AE2733"/>
    <w:rsid w:val="26B231F7"/>
    <w:rsid w:val="26B46BE9"/>
    <w:rsid w:val="26BB659F"/>
    <w:rsid w:val="26C06B2A"/>
    <w:rsid w:val="26C529F8"/>
    <w:rsid w:val="26CA4850"/>
    <w:rsid w:val="26CE20E3"/>
    <w:rsid w:val="26CE2996"/>
    <w:rsid w:val="26D27136"/>
    <w:rsid w:val="26D86D29"/>
    <w:rsid w:val="26DC64DF"/>
    <w:rsid w:val="26EC70E4"/>
    <w:rsid w:val="26ED2310"/>
    <w:rsid w:val="26F157D8"/>
    <w:rsid w:val="26F30B6D"/>
    <w:rsid w:val="26F727AB"/>
    <w:rsid w:val="26FB0DAE"/>
    <w:rsid w:val="270075E6"/>
    <w:rsid w:val="2703776F"/>
    <w:rsid w:val="2707357A"/>
    <w:rsid w:val="27075123"/>
    <w:rsid w:val="27085891"/>
    <w:rsid w:val="271041EF"/>
    <w:rsid w:val="27136019"/>
    <w:rsid w:val="271426FA"/>
    <w:rsid w:val="271D3985"/>
    <w:rsid w:val="271D64D7"/>
    <w:rsid w:val="2724380A"/>
    <w:rsid w:val="27261EDD"/>
    <w:rsid w:val="273965C5"/>
    <w:rsid w:val="273E6FE3"/>
    <w:rsid w:val="27483200"/>
    <w:rsid w:val="274B19EF"/>
    <w:rsid w:val="274D3798"/>
    <w:rsid w:val="274E4D1F"/>
    <w:rsid w:val="275242DF"/>
    <w:rsid w:val="275356D1"/>
    <w:rsid w:val="275824FA"/>
    <w:rsid w:val="275A67DA"/>
    <w:rsid w:val="275F1935"/>
    <w:rsid w:val="27604E9E"/>
    <w:rsid w:val="27614DF3"/>
    <w:rsid w:val="276744F9"/>
    <w:rsid w:val="2767461F"/>
    <w:rsid w:val="2768778E"/>
    <w:rsid w:val="276D7F76"/>
    <w:rsid w:val="276E6BAC"/>
    <w:rsid w:val="276F1099"/>
    <w:rsid w:val="27704FB6"/>
    <w:rsid w:val="277D6F73"/>
    <w:rsid w:val="27843907"/>
    <w:rsid w:val="27870372"/>
    <w:rsid w:val="27974C6B"/>
    <w:rsid w:val="27981F87"/>
    <w:rsid w:val="279C24F2"/>
    <w:rsid w:val="279F3D28"/>
    <w:rsid w:val="279F6758"/>
    <w:rsid w:val="27A00220"/>
    <w:rsid w:val="27A47DAF"/>
    <w:rsid w:val="27A71457"/>
    <w:rsid w:val="27A936AA"/>
    <w:rsid w:val="27AA2AD4"/>
    <w:rsid w:val="27AC63E1"/>
    <w:rsid w:val="27AE47B6"/>
    <w:rsid w:val="27AF6A8D"/>
    <w:rsid w:val="27B14C40"/>
    <w:rsid w:val="27B74EFB"/>
    <w:rsid w:val="27B76FCB"/>
    <w:rsid w:val="27BA079C"/>
    <w:rsid w:val="27C01825"/>
    <w:rsid w:val="27C556A9"/>
    <w:rsid w:val="27C7002B"/>
    <w:rsid w:val="27C945F0"/>
    <w:rsid w:val="27C97A6C"/>
    <w:rsid w:val="27CB55F1"/>
    <w:rsid w:val="27CC216F"/>
    <w:rsid w:val="27D2540B"/>
    <w:rsid w:val="27D55FB4"/>
    <w:rsid w:val="27D77EC0"/>
    <w:rsid w:val="27D90086"/>
    <w:rsid w:val="27DB725A"/>
    <w:rsid w:val="27DF658F"/>
    <w:rsid w:val="27E61B35"/>
    <w:rsid w:val="27EB076C"/>
    <w:rsid w:val="27EB5ED9"/>
    <w:rsid w:val="27EB75A7"/>
    <w:rsid w:val="27EC2B66"/>
    <w:rsid w:val="27EC7D9E"/>
    <w:rsid w:val="27EE1AF1"/>
    <w:rsid w:val="27F04A0D"/>
    <w:rsid w:val="27F800C6"/>
    <w:rsid w:val="2800514C"/>
    <w:rsid w:val="28010BEA"/>
    <w:rsid w:val="28016EEE"/>
    <w:rsid w:val="2805250C"/>
    <w:rsid w:val="281014F0"/>
    <w:rsid w:val="28102693"/>
    <w:rsid w:val="281063CB"/>
    <w:rsid w:val="282B6FC8"/>
    <w:rsid w:val="2834656A"/>
    <w:rsid w:val="28377D71"/>
    <w:rsid w:val="2842220A"/>
    <w:rsid w:val="284A28BB"/>
    <w:rsid w:val="284E0893"/>
    <w:rsid w:val="285007BB"/>
    <w:rsid w:val="28511B2C"/>
    <w:rsid w:val="285356D7"/>
    <w:rsid w:val="28561E61"/>
    <w:rsid w:val="285C626D"/>
    <w:rsid w:val="285E5799"/>
    <w:rsid w:val="2860227D"/>
    <w:rsid w:val="286B5A64"/>
    <w:rsid w:val="286E395D"/>
    <w:rsid w:val="28704F19"/>
    <w:rsid w:val="287215E6"/>
    <w:rsid w:val="287825AC"/>
    <w:rsid w:val="288764E3"/>
    <w:rsid w:val="288A1996"/>
    <w:rsid w:val="288F2F30"/>
    <w:rsid w:val="288F3FBC"/>
    <w:rsid w:val="28942CA7"/>
    <w:rsid w:val="289550C3"/>
    <w:rsid w:val="289646B0"/>
    <w:rsid w:val="28967A8C"/>
    <w:rsid w:val="28993A68"/>
    <w:rsid w:val="289F4C30"/>
    <w:rsid w:val="28A34630"/>
    <w:rsid w:val="28A506FD"/>
    <w:rsid w:val="28A57C4E"/>
    <w:rsid w:val="28A84BD0"/>
    <w:rsid w:val="28AC2C80"/>
    <w:rsid w:val="28AD44F9"/>
    <w:rsid w:val="28B1745F"/>
    <w:rsid w:val="28B24D60"/>
    <w:rsid w:val="28B32150"/>
    <w:rsid w:val="28B36ACD"/>
    <w:rsid w:val="28B54BB8"/>
    <w:rsid w:val="28BD79B6"/>
    <w:rsid w:val="28C71F8A"/>
    <w:rsid w:val="28C8531A"/>
    <w:rsid w:val="28D62D75"/>
    <w:rsid w:val="28D835EE"/>
    <w:rsid w:val="28DD0F53"/>
    <w:rsid w:val="28DF7BF5"/>
    <w:rsid w:val="28E235AA"/>
    <w:rsid w:val="28E830ED"/>
    <w:rsid w:val="28EE699A"/>
    <w:rsid w:val="28F636ED"/>
    <w:rsid w:val="28F956C5"/>
    <w:rsid w:val="28FC27D6"/>
    <w:rsid w:val="28FD3120"/>
    <w:rsid w:val="28FF7EED"/>
    <w:rsid w:val="290B26A4"/>
    <w:rsid w:val="290B5C93"/>
    <w:rsid w:val="290C3AAA"/>
    <w:rsid w:val="2910328B"/>
    <w:rsid w:val="29105371"/>
    <w:rsid w:val="29141028"/>
    <w:rsid w:val="29221868"/>
    <w:rsid w:val="292A7051"/>
    <w:rsid w:val="292B4D95"/>
    <w:rsid w:val="292F5722"/>
    <w:rsid w:val="29305A43"/>
    <w:rsid w:val="29313243"/>
    <w:rsid w:val="29366158"/>
    <w:rsid w:val="293741AC"/>
    <w:rsid w:val="293B6676"/>
    <w:rsid w:val="293E0CC3"/>
    <w:rsid w:val="29403902"/>
    <w:rsid w:val="294055FB"/>
    <w:rsid w:val="294B5E71"/>
    <w:rsid w:val="2953608C"/>
    <w:rsid w:val="29553A20"/>
    <w:rsid w:val="295C0252"/>
    <w:rsid w:val="296133F3"/>
    <w:rsid w:val="296277A3"/>
    <w:rsid w:val="296938F8"/>
    <w:rsid w:val="296A10BD"/>
    <w:rsid w:val="296B68C4"/>
    <w:rsid w:val="29724BAB"/>
    <w:rsid w:val="29762B7B"/>
    <w:rsid w:val="297A4E2C"/>
    <w:rsid w:val="29837CAC"/>
    <w:rsid w:val="29890D0D"/>
    <w:rsid w:val="298E54D4"/>
    <w:rsid w:val="298F7BA9"/>
    <w:rsid w:val="29913A6B"/>
    <w:rsid w:val="29927245"/>
    <w:rsid w:val="29951B7A"/>
    <w:rsid w:val="29970D6D"/>
    <w:rsid w:val="299D4DBC"/>
    <w:rsid w:val="299E44E4"/>
    <w:rsid w:val="29A01030"/>
    <w:rsid w:val="29A14EB9"/>
    <w:rsid w:val="29A37B76"/>
    <w:rsid w:val="29A73352"/>
    <w:rsid w:val="29B47B36"/>
    <w:rsid w:val="29B765D2"/>
    <w:rsid w:val="29B80DFE"/>
    <w:rsid w:val="29B912A6"/>
    <w:rsid w:val="29BC2E54"/>
    <w:rsid w:val="29BC4199"/>
    <w:rsid w:val="29BD4C7F"/>
    <w:rsid w:val="29BF6075"/>
    <w:rsid w:val="29C27060"/>
    <w:rsid w:val="29C52070"/>
    <w:rsid w:val="29C57C12"/>
    <w:rsid w:val="29C861BF"/>
    <w:rsid w:val="29C913E6"/>
    <w:rsid w:val="29CB228E"/>
    <w:rsid w:val="29CC1E16"/>
    <w:rsid w:val="29D1382A"/>
    <w:rsid w:val="29D53B71"/>
    <w:rsid w:val="29D5512E"/>
    <w:rsid w:val="29D6771C"/>
    <w:rsid w:val="29D977EE"/>
    <w:rsid w:val="29E04ABA"/>
    <w:rsid w:val="29E04F03"/>
    <w:rsid w:val="29E07C0B"/>
    <w:rsid w:val="29E16EFE"/>
    <w:rsid w:val="29E3683F"/>
    <w:rsid w:val="29E54A84"/>
    <w:rsid w:val="29E8155A"/>
    <w:rsid w:val="29EC2E0B"/>
    <w:rsid w:val="29EC32CA"/>
    <w:rsid w:val="29F3606D"/>
    <w:rsid w:val="29F41AD4"/>
    <w:rsid w:val="29F50D56"/>
    <w:rsid w:val="2A015394"/>
    <w:rsid w:val="2A0624C8"/>
    <w:rsid w:val="2A076B59"/>
    <w:rsid w:val="2A085B11"/>
    <w:rsid w:val="2A091B45"/>
    <w:rsid w:val="2A101F4E"/>
    <w:rsid w:val="2A1112EE"/>
    <w:rsid w:val="2A114202"/>
    <w:rsid w:val="2A14582B"/>
    <w:rsid w:val="2A161C46"/>
    <w:rsid w:val="2A165A9D"/>
    <w:rsid w:val="2A231472"/>
    <w:rsid w:val="2A2437E6"/>
    <w:rsid w:val="2A270EBC"/>
    <w:rsid w:val="2A276B4F"/>
    <w:rsid w:val="2A2B67B9"/>
    <w:rsid w:val="2A30682B"/>
    <w:rsid w:val="2A316BAF"/>
    <w:rsid w:val="2A34409A"/>
    <w:rsid w:val="2A451AFE"/>
    <w:rsid w:val="2A4C28C4"/>
    <w:rsid w:val="2A51038F"/>
    <w:rsid w:val="2A5354E8"/>
    <w:rsid w:val="2A535EAA"/>
    <w:rsid w:val="2A5B2524"/>
    <w:rsid w:val="2A5C11B3"/>
    <w:rsid w:val="2A5D2491"/>
    <w:rsid w:val="2A5E29C9"/>
    <w:rsid w:val="2A5F0604"/>
    <w:rsid w:val="2A60523A"/>
    <w:rsid w:val="2A686F93"/>
    <w:rsid w:val="2A6C3E81"/>
    <w:rsid w:val="2A6C7F16"/>
    <w:rsid w:val="2A6D45CA"/>
    <w:rsid w:val="2A713593"/>
    <w:rsid w:val="2A763E55"/>
    <w:rsid w:val="2A770A15"/>
    <w:rsid w:val="2A87440A"/>
    <w:rsid w:val="2A8E2BB3"/>
    <w:rsid w:val="2A960E24"/>
    <w:rsid w:val="2A977D67"/>
    <w:rsid w:val="2A996D09"/>
    <w:rsid w:val="2A9B734E"/>
    <w:rsid w:val="2A9E4820"/>
    <w:rsid w:val="2A9F6641"/>
    <w:rsid w:val="2AA00B3B"/>
    <w:rsid w:val="2AA358DF"/>
    <w:rsid w:val="2AA55FCE"/>
    <w:rsid w:val="2AAD29B4"/>
    <w:rsid w:val="2AB06B5F"/>
    <w:rsid w:val="2AB10B7E"/>
    <w:rsid w:val="2AB25351"/>
    <w:rsid w:val="2AB32A97"/>
    <w:rsid w:val="2AB43F5C"/>
    <w:rsid w:val="2AB52B7D"/>
    <w:rsid w:val="2ABA4A28"/>
    <w:rsid w:val="2ABE6663"/>
    <w:rsid w:val="2ABF3516"/>
    <w:rsid w:val="2AC161B7"/>
    <w:rsid w:val="2ACB70A4"/>
    <w:rsid w:val="2AD14F14"/>
    <w:rsid w:val="2AD6621D"/>
    <w:rsid w:val="2ADB0940"/>
    <w:rsid w:val="2ADE0357"/>
    <w:rsid w:val="2ADF4AEC"/>
    <w:rsid w:val="2AE01849"/>
    <w:rsid w:val="2AE55FDF"/>
    <w:rsid w:val="2AF500FD"/>
    <w:rsid w:val="2AFA258D"/>
    <w:rsid w:val="2AFC2AF0"/>
    <w:rsid w:val="2AFD1B9B"/>
    <w:rsid w:val="2AFD6479"/>
    <w:rsid w:val="2B036448"/>
    <w:rsid w:val="2B0629B7"/>
    <w:rsid w:val="2B0C301E"/>
    <w:rsid w:val="2B0F3D08"/>
    <w:rsid w:val="2B102DEE"/>
    <w:rsid w:val="2B117A7A"/>
    <w:rsid w:val="2B153646"/>
    <w:rsid w:val="2B1720E6"/>
    <w:rsid w:val="2B192047"/>
    <w:rsid w:val="2B1B78F2"/>
    <w:rsid w:val="2B1E5FF8"/>
    <w:rsid w:val="2B1F3D79"/>
    <w:rsid w:val="2B20438B"/>
    <w:rsid w:val="2B215570"/>
    <w:rsid w:val="2B2219BF"/>
    <w:rsid w:val="2B241751"/>
    <w:rsid w:val="2B257256"/>
    <w:rsid w:val="2B28389D"/>
    <w:rsid w:val="2B29134B"/>
    <w:rsid w:val="2B2A16D0"/>
    <w:rsid w:val="2B2A506E"/>
    <w:rsid w:val="2B304C36"/>
    <w:rsid w:val="2B3A7FBC"/>
    <w:rsid w:val="2B426716"/>
    <w:rsid w:val="2B4D2BD1"/>
    <w:rsid w:val="2B56413D"/>
    <w:rsid w:val="2B59633B"/>
    <w:rsid w:val="2B6951AA"/>
    <w:rsid w:val="2B773686"/>
    <w:rsid w:val="2B7B0E80"/>
    <w:rsid w:val="2B80615A"/>
    <w:rsid w:val="2B841569"/>
    <w:rsid w:val="2B863D4B"/>
    <w:rsid w:val="2B8844C9"/>
    <w:rsid w:val="2B8E70D3"/>
    <w:rsid w:val="2B951FE3"/>
    <w:rsid w:val="2B970F7B"/>
    <w:rsid w:val="2B9B3B2D"/>
    <w:rsid w:val="2BA206E1"/>
    <w:rsid w:val="2BA57773"/>
    <w:rsid w:val="2BA8129E"/>
    <w:rsid w:val="2BAA059E"/>
    <w:rsid w:val="2BB018E5"/>
    <w:rsid w:val="2BB2160A"/>
    <w:rsid w:val="2BC27BEA"/>
    <w:rsid w:val="2BC3082F"/>
    <w:rsid w:val="2BC87C5B"/>
    <w:rsid w:val="2BD15FD2"/>
    <w:rsid w:val="2BD41CCF"/>
    <w:rsid w:val="2BD61F66"/>
    <w:rsid w:val="2BDA7424"/>
    <w:rsid w:val="2BDC6A3B"/>
    <w:rsid w:val="2BE23B9D"/>
    <w:rsid w:val="2BE416F1"/>
    <w:rsid w:val="2BEB5B77"/>
    <w:rsid w:val="2BEC6309"/>
    <w:rsid w:val="2BF462BA"/>
    <w:rsid w:val="2BF64A17"/>
    <w:rsid w:val="2BF71A35"/>
    <w:rsid w:val="2BFF24B1"/>
    <w:rsid w:val="2C0479C6"/>
    <w:rsid w:val="2C0622D5"/>
    <w:rsid w:val="2C065227"/>
    <w:rsid w:val="2C1255BD"/>
    <w:rsid w:val="2C146D62"/>
    <w:rsid w:val="2C1803EB"/>
    <w:rsid w:val="2C225280"/>
    <w:rsid w:val="2C2359C3"/>
    <w:rsid w:val="2C25407E"/>
    <w:rsid w:val="2C2C16FE"/>
    <w:rsid w:val="2C2C5873"/>
    <w:rsid w:val="2C2E50A7"/>
    <w:rsid w:val="2C322735"/>
    <w:rsid w:val="2C326AAD"/>
    <w:rsid w:val="2C372B29"/>
    <w:rsid w:val="2C38002D"/>
    <w:rsid w:val="2C3D0FC7"/>
    <w:rsid w:val="2C3E51C7"/>
    <w:rsid w:val="2C3F1BA5"/>
    <w:rsid w:val="2C417D8E"/>
    <w:rsid w:val="2C4213B1"/>
    <w:rsid w:val="2C454A34"/>
    <w:rsid w:val="2C471BFA"/>
    <w:rsid w:val="2C4C47B0"/>
    <w:rsid w:val="2C550F2D"/>
    <w:rsid w:val="2C573F94"/>
    <w:rsid w:val="2C5A1D32"/>
    <w:rsid w:val="2C5F41AC"/>
    <w:rsid w:val="2C601CBD"/>
    <w:rsid w:val="2C627C5F"/>
    <w:rsid w:val="2C6369C0"/>
    <w:rsid w:val="2C6A13B6"/>
    <w:rsid w:val="2C6C7F42"/>
    <w:rsid w:val="2C6F0FCC"/>
    <w:rsid w:val="2C724149"/>
    <w:rsid w:val="2C73506F"/>
    <w:rsid w:val="2C747307"/>
    <w:rsid w:val="2C75601D"/>
    <w:rsid w:val="2C78229F"/>
    <w:rsid w:val="2C792AB3"/>
    <w:rsid w:val="2C7A09AA"/>
    <w:rsid w:val="2C81644E"/>
    <w:rsid w:val="2C842A40"/>
    <w:rsid w:val="2C852E72"/>
    <w:rsid w:val="2C907D25"/>
    <w:rsid w:val="2C925FEA"/>
    <w:rsid w:val="2C990044"/>
    <w:rsid w:val="2C9C5CCE"/>
    <w:rsid w:val="2CA177C8"/>
    <w:rsid w:val="2CA20735"/>
    <w:rsid w:val="2CAB224B"/>
    <w:rsid w:val="2CAF46BC"/>
    <w:rsid w:val="2CB200EF"/>
    <w:rsid w:val="2CB27A6B"/>
    <w:rsid w:val="2CBC0443"/>
    <w:rsid w:val="2CC70DDF"/>
    <w:rsid w:val="2CCC2796"/>
    <w:rsid w:val="2CD13D18"/>
    <w:rsid w:val="2CD522A6"/>
    <w:rsid w:val="2CDB716D"/>
    <w:rsid w:val="2CDB7E01"/>
    <w:rsid w:val="2CF42F94"/>
    <w:rsid w:val="2CF44A8A"/>
    <w:rsid w:val="2CF837A8"/>
    <w:rsid w:val="2CFE0976"/>
    <w:rsid w:val="2CFE2F56"/>
    <w:rsid w:val="2D000478"/>
    <w:rsid w:val="2D04303D"/>
    <w:rsid w:val="2D107356"/>
    <w:rsid w:val="2D113771"/>
    <w:rsid w:val="2D196EE9"/>
    <w:rsid w:val="2D2328AB"/>
    <w:rsid w:val="2D2A65F0"/>
    <w:rsid w:val="2D2C27B5"/>
    <w:rsid w:val="2D2D0965"/>
    <w:rsid w:val="2D2F7D63"/>
    <w:rsid w:val="2D3015C1"/>
    <w:rsid w:val="2D306531"/>
    <w:rsid w:val="2D312CF1"/>
    <w:rsid w:val="2D31781A"/>
    <w:rsid w:val="2D3454A2"/>
    <w:rsid w:val="2D3633F8"/>
    <w:rsid w:val="2D3715F4"/>
    <w:rsid w:val="2D376275"/>
    <w:rsid w:val="2D3D032D"/>
    <w:rsid w:val="2D3E6E89"/>
    <w:rsid w:val="2D4E324B"/>
    <w:rsid w:val="2D4F5E04"/>
    <w:rsid w:val="2D5102A8"/>
    <w:rsid w:val="2D56074E"/>
    <w:rsid w:val="2D571E72"/>
    <w:rsid w:val="2D5A347A"/>
    <w:rsid w:val="2D613AFF"/>
    <w:rsid w:val="2D644371"/>
    <w:rsid w:val="2D692E48"/>
    <w:rsid w:val="2D6D43B9"/>
    <w:rsid w:val="2D6F0BC0"/>
    <w:rsid w:val="2D7212CA"/>
    <w:rsid w:val="2D775BAE"/>
    <w:rsid w:val="2D7D1F4A"/>
    <w:rsid w:val="2D80630F"/>
    <w:rsid w:val="2D812912"/>
    <w:rsid w:val="2D812E70"/>
    <w:rsid w:val="2D83200B"/>
    <w:rsid w:val="2D942CDB"/>
    <w:rsid w:val="2D9E7DD8"/>
    <w:rsid w:val="2D9F630D"/>
    <w:rsid w:val="2DA11020"/>
    <w:rsid w:val="2DA56836"/>
    <w:rsid w:val="2DAD69FD"/>
    <w:rsid w:val="2DB33633"/>
    <w:rsid w:val="2DBC2D44"/>
    <w:rsid w:val="2DC34047"/>
    <w:rsid w:val="2DC73F40"/>
    <w:rsid w:val="2DCB0FBE"/>
    <w:rsid w:val="2DD10598"/>
    <w:rsid w:val="2DD27569"/>
    <w:rsid w:val="2DD62B31"/>
    <w:rsid w:val="2DDD7329"/>
    <w:rsid w:val="2DE66CBA"/>
    <w:rsid w:val="2DE7433D"/>
    <w:rsid w:val="2DE84810"/>
    <w:rsid w:val="2DF222B9"/>
    <w:rsid w:val="2DFB5473"/>
    <w:rsid w:val="2E071D19"/>
    <w:rsid w:val="2E091F15"/>
    <w:rsid w:val="2E0C5EEB"/>
    <w:rsid w:val="2E0F0E33"/>
    <w:rsid w:val="2E1846B7"/>
    <w:rsid w:val="2E1969D7"/>
    <w:rsid w:val="2E1B1C77"/>
    <w:rsid w:val="2E1F58F7"/>
    <w:rsid w:val="2E265330"/>
    <w:rsid w:val="2E295956"/>
    <w:rsid w:val="2E2B7E89"/>
    <w:rsid w:val="2E356B34"/>
    <w:rsid w:val="2E4007D1"/>
    <w:rsid w:val="2E401120"/>
    <w:rsid w:val="2E4702FC"/>
    <w:rsid w:val="2E4D6146"/>
    <w:rsid w:val="2E541723"/>
    <w:rsid w:val="2E582B3F"/>
    <w:rsid w:val="2E59650E"/>
    <w:rsid w:val="2E5C57C2"/>
    <w:rsid w:val="2E5D4AF6"/>
    <w:rsid w:val="2E6144C2"/>
    <w:rsid w:val="2E625D44"/>
    <w:rsid w:val="2E6938B4"/>
    <w:rsid w:val="2E69443F"/>
    <w:rsid w:val="2E7173D5"/>
    <w:rsid w:val="2E752B88"/>
    <w:rsid w:val="2E763EE5"/>
    <w:rsid w:val="2E8610C6"/>
    <w:rsid w:val="2E871CFC"/>
    <w:rsid w:val="2E8974D2"/>
    <w:rsid w:val="2E8A2386"/>
    <w:rsid w:val="2E8E2D9F"/>
    <w:rsid w:val="2E8E5652"/>
    <w:rsid w:val="2E903B79"/>
    <w:rsid w:val="2E9075D5"/>
    <w:rsid w:val="2E9416DD"/>
    <w:rsid w:val="2E9857F4"/>
    <w:rsid w:val="2EA15DF6"/>
    <w:rsid w:val="2EA554A5"/>
    <w:rsid w:val="2EAA2083"/>
    <w:rsid w:val="2EBB0D42"/>
    <w:rsid w:val="2EBE56A3"/>
    <w:rsid w:val="2EC30D80"/>
    <w:rsid w:val="2EC50D5D"/>
    <w:rsid w:val="2EC54B9E"/>
    <w:rsid w:val="2ECD36FA"/>
    <w:rsid w:val="2ECD4211"/>
    <w:rsid w:val="2ED44174"/>
    <w:rsid w:val="2ED55603"/>
    <w:rsid w:val="2ED60AFD"/>
    <w:rsid w:val="2EDA7D6B"/>
    <w:rsid w:val="2EDB20C0"/>
    <w:rsid w:val="2EDB4B9A"/>
    <w:rsid w:val="2EDB633E"/>
    <w:rsid w:val="2EDC0137"/>
    <w:rsid w:val="2EEB3442"/>
    <w:rsid w:val="2EEC7A00"/>
    <w:rsid w:val="2EED2D11"/>
    <w:rsid w:val="2EED3378"/>
    <w:rsid w:val="2EF458CF"/>
    <w:rsid w:val="2EFD00E5"/>
    <w:rsid w:val="2F02700A"/>
    <w:rsid w:val="2F055116"/>
    <w:rsid w:val="2F076C7E"/>
    <w:rsid w:val="2F0B6CD9"/>
    <w:rsid w:val="2F0D2C80"/>
    <w:rsid w:val="2F145CCF"/>
    <w:rsid w:val="2F16257E"/>
    <w:rsid w:val="2F1731F9"/>
    <w:rsid w:val="2F1A500D"/>
    <w:rsid w:val="2F1C36F7"/>
    <w:rsid w:val="2F1D6A9A"/>
    <w:rsid w:val="2F1F6E95"/>
    <w:rsid w:val="2F285E86"/>
    <w:rsid w:val="2F3756F3"/>
    <w:rsid w:val="2F3B0C3F"/>
    <w:rsid w:val="2F406255"/>
    <w:rsid w:val="2F4B43C9"/>
    <w:rsid w:val="2F4E3576"/>
    <w:rsid w:val="2F564C33"/>
    <w:rsid w:val="2F58578B"/>
    <w:rsid w:val="2F5A42CA"/>
    <w:rsid w:val="2F5C5E1F"/>
    <w:rsid w:val="2F61480C"/>
    <w:rsid w:val="2F633CC9"/>
    <w:rsid w:val="2F6728AC"/>
    <w:rsid w:val="2F6934D6"/>
    <w:rsid w:val="2F6F3E1B"/>
    <w:rsid w:val="2F702E51"/>
    <w:rsid w:val="2F752DBE"/>
    <w:rsid w:val="2F783167"/>
    <w:rsid w:val="2F7E5EAF"/>
    <w:rsid w:val="2F866F14"/>
    <w:rsid w:val="2F8B01A2"/>
    <w:rsid w:val="2F92609B"/>
    <w:rsid w:val="2F937F69"/>
    <w:rsid w:val="2FA65D89"/>
    <w:rsid w:val="2FB0756E"/>
    <w:rsid w:val="2FB36121"/>
    <w:rsid w:val="2FB547AE"/>
    <w:rsid w:val="2FB566AB"/>
    <w:rsid w:val="2FB66C8B"/>
    <w:rsid w:val="2FB9546B"/>
    <w:rsid w:val="2FC27B1C"/>
    <w:rsid w:val="2FC415BE"/>
    <w:rsid w:val="2FC429CD"/>
    <w:rsid w:val="2FC50B3B"/>
    <w:rsid w:val="2FCF035E"/>
    <w:rsid w:val="2FD00917"/>
    <w:rsid w:val="2FD13A6D"/>
    <w:rsid w:val="2FD30F48"/>
    <w:rsid w:val="2FD323DD"/>
    <w:rsid w:val="2FD6294E"/>
    <w:rsid w:val="2FD8736C"/>
    <w:rsid w:val="2FDD52EE"/>
    <w:rsid w:val="2FE6175F"/>
    <w:rsid w:val="2FE6516E"/>
    <w:rsid w:val="2FEF0F5D"/>
    <w:rsid w:val="2FF413BD"/>
    <w:rsid w:val="2FF8399F"/>
    <w:rsid w:val="2FFF5507"/>
    <w:rsid w:val="2FFF711A"/>
    <w:rsid w:val="30085FC8"/>
    <w:rsid w:val="300F28E4"/>
    <w:rsid w:val="301111DD"/>
    <w:rsid w:val="30112359"/>
    <w:rsid w:val="30166F7A"/>
    <w:rsid w:val="30175FC0"/>
    <w:rsid w:val="301A6160"/>
    <w:rsid w:val="301A6594"/>
    <w:rsid w:val="302043E7"/>
    <w:rsid w:val="302219DC"/>
    <w:rsid w:val="3027183A"/>
    <w:rsid w:val="30294FA2"/>
    <w:rsid w:val="302A0813"/>
    <w:rsid w:val="302B74C6"/>
    <w:rsid w:val="302D4132"/>
    <w:rsid w:val="302F25A7"/>
    <w:rsid w:val="303307C1"/>
    <w:rsid w:val="30352065"/>
    <w:rsid w:val="303923AD"/>
    <w:rsid w:val="303D79D6"/>
    <w:rsid w:val="304135A1"/>
    <w:rsid w:val="30415BB8"/>
    <w:rsid w:val="3042467E"/>
    <w:rsid w:val="30431AAA"/>
    <w:rsid w:val="30467CC9"/>
    <w:rsid w:val="3049074B"/>
    <w:rsid w:val="305277CC"/>
    <w:rsid w:val="30555C88"/>
    <w:rsid w:val="305A2E66"/>
    <w:rsid w:val="305A6A92"/>
    <w:rsid w:val="305D7263"/>
    <w:rsid w:val="30680EFC"/>
    <w:rsid w:val="306A491C"/>
    <w:rsid w:val="306F3297"/>
    <w:rsid w:val="30700DC9"/>
    <w:rsid w:val="30730464"/>
    <w:rsid w:val="3073147C"/>
    <w:rsid w:val="30772C96"/>
    <w:rsid w:val="307C7F13"/>
    <w:rsid w:val="30801709"/>
    <w:rsid w:val="30804CCD"/>
    <w:rsid w:val="30821DBD"/>
    <w:rsid w:val="30866D13"/>
    <w:rsid w:val="30957482"/>
    <w:rsid w:val="30982A84"/>
    <w:rsid w:val="30995850"/>
    <w:rsid w:val="309A5590"/>
    <w:rsid w:val="309B7787"/>
    <w:rsid w:val="309D5C96"/>
    <w:rsid w:val="309F7A24"/>
    <w:rsid w:val="30A03647"/>
    <w:rsid w:val="30A2437F"/>
    <w:rsid w:val="30A7462C"/>
    <w:rsid w:val="30B66933"/>
    <w:rsid w:val="30B67B28"/>
    <w:rsid w:val="30B67CBF"/>
    <w:rsid w:val="30B83790"/>
    <w:rsid w:val="30BC2E53"/>
    <w:rsid w:val="30CB7AC0"/>
    <w:rsid w:val="30CD0537"/>
    <w:rsid w:val="30E27480"/>
    <w:rsid w:val="30E579BB"/>
    <w:rsid w:val="30E877FC"/>
    <w:rsid w:val="30EA2085"/>
    <w:rsid w:val="30F46427"/>
    <w:rsid w:val="30F86976"/>
    <w:rsid w:val="30FF610E"/>
    <w:rsid w:val="310620E3"/>
    <w:rsid w:val="31076E9A"/>
    <w:rsid w:val="3108583B"/>
    <w:rsid w:val="310C7443"/>
    <w:rsid w:val="311461DC"/>
    <w:rsid w:val="311B74F5"/>
    <w:rsid w:val="312111A7"/>
    <w:rsid w:val="31263091"/>
    <w:rsid w:val="312F6528"/>
    <w:rsid w:val="3134032A"/>
    <w:rsid w:val="31361A7C"/>
    <w:rsid w:val="31374791"/>
    <w:rsid w:val="313A0BC7"/>
    <w:rsid w:val="313B3E7B"/>
    <w:rsid w:val="314A2130"/>
    <w:rsid w:val="315111C9"/>
    <w:rsid w:val="315D299B"/>
    <w:rsid w:val="315F7F43"/>
    <w:rsid w:val="316C51A4"/>
    <w:rsid w:val="316D4358"/>
    <w:rsid w:val="316D5558"/>
    <w:rsid w:val="316F7657"/>
    <w:rsid w:val="31772946"/>
    <w:rsid w:val="317B7494"/>
    <w:rsid w:val="31812BF7"/>
    <w:rsid w:val="318D4E22"/>
    <w:rsid w:val="31921D75"/>
    <w:rsid w:val="31925002"/>
    <w:rsid w:val="31A830CC"/>
    <w:rsid w:val="31A96D3F"/>
    <w:rsid w:val="31B14434"/>
    <w:rsid w:val="31BB1FF0"/>
    <w:rsid w:val="31BD02F7"/>
    <w:rsid w:val="31BE58DE"/>
    <w:rsid w:val="31C356B1"/>
    <w:rsid w:val="31CA07FE"/>
    <w:rsid w:val="31D17A53"/>
    <w:rsid w:val="31DC0FAC"/>
    <w:rsid w:val="31DF0D5A"/>
    <w:rsid w:val="31E17928"/>
    <w:rsid w:val="31E74820"/>
    <w:rsid w:val="31E81A03"/>
    <w:rsid w:val="31E94FC6"/>
    <w:rsid w:val="31F61A1B"/>
    <w:rsid w:val="31F670A3"/>
    <w:rsid w:val="31F70DAF"/>
    <w:rsid w:val="32022977"/>
    <w:rsid w:val="32047FD3"/>
    <w:rsid w:val="320B7E26"/>
    <w:rsid w:val="32105071"/>
    <w:rsid w:val="32163615"/>
    <w:rsid w:val="321B430D"/>
    <w:rsid w:val="321C5392"/>
    <w:rsid w:val="32230823"/>
    <w:rsid w:val="322668D8"/>
    <w:rsid w:val="322719D1"/>
    <w:rsid w:val="32310AA3"/>
    <w:rsid w:val="323729B1"/>
    <w:rsid w:val="324268AB"/>
    <w:rsid w:val="32462DB7"/>
    <w:rsid w:val="324D46B7"/>
    <w:rsid w:val="3254488A"/>
    <w:rsid w:val="32551C6D"/>
    <w:rsid w:val="32577EB1"/>
    <w:rsid w:val="3259274E"/>
    <w:rsid w:val="325C5B7B"/>
    <w:rsid w:val="325F6400"/>
    <w:rsid w:val="326027DA"/>
    <w:rsid w:val="32604FD9"/>
    <w:rsid w:val="326A70A2"/>
    <w:rsid w:val="326D2493"/>
    <w:rsid w:val="32726783"/>
    <w:rsid w:val="32765185"/>
    <w:rsid w:val="327A68FF"/>
    <w:rsid w:val="327F0C5C"/>
    <w:rsid w:val="328A01D2"/>
    <w:rsid w:val="328E046F"/>
    <w:rsid w:val="328F58BE"/>
    <w:rsid w:val="328F59C8"/>
    <w:rsid w:val="32983FFE"/>
    <w:rsid w:val="329A448B"/>
    <w:rsid w:val="329A520A"/>
    <w:rsid w:val="329B6CCF"/>
    <w:rsid w:val="32A719B5"/>
    <w:rsid w:val="32AD5B81"/>
    <w:rsid w:val="32AD71C9"/>
    <w:rsid w:val="32AF377A"/>
    <w:rsid w:val="32B0390C"/>
    <w:rsid w:val="32B24C95"/>
    <w:rsid w:val="32B360BF"/>
    <w:rsid w:val="32C03641"/>
    <w:rsid w:val="32C7109D"/>
    <w:rsid w:val="32CB5E99"/>
    <w:rsid w:val="32CC2F1C"/>
    <w:rsid w:val="32CC477F"/>
    <w:rsid w:val="32CE6E5F"/>
    <w:rsid w:val="32D14E69"/>
    <w:rsid w:val="32D33758"/>
    <w:rsid w:val="32DA54BE"/>
    <w:rsid w:val="32E63303"/>
    <w:rsid w:val="32F4484B"/>
    <w:rsid w:val="32F5252B"/>
    <w:rsid w:val="32F713A9"/>
    <w:rsid w:val="32FA1580"/>
    <w:rsid w:val="32FD55B9"/>
    <w:rsid w:val="33035FB6"/>
    <w:rsid w:val="330A0553"/>
    <w:rsid w:val="33161994"/>
    <w:rsid w:val="331B6BE3"/>
    <w:rsid w:val="3322340F"/>
    <w:rsid w:val="33246742"/>
    <w:rsid w:val="332C0639"/>
    <w:rsid w:val="33302D6B"/>
    <w:rsid w:val="33310BBE"/>
    <w:rsid w:val="33341F40"/>
    <w:rsid w:val="33355B84"/>
    <w:rsid w:val="333759A3"/>
    <w:rsid w:val="333E30D1"/>
    <w:rsid w:val="333E5126"/>
    <w:rsid w:val="33425DFB"/>
    <w:rsid w:val="33465D24"/>
    <w:rsid w:val="334759F0"/>
    <w:rsid w:val="334C3619"/>
    <w:rsid w:val="334E2360"/>
    <w:rsid w:val="3351600D"/>
    <w:rsid w:val="33553AC6"/>
    <w:rsid w:val="33591854"/>
    <w:rsid w:val="335A4CD5"/>
    <w:rsid w:val="336479D8"/>
    <w:rsid w:val="33682269"/>
    <w:rsid w:val="336B02CC"/>
    <w:rsid w:val="336B05EF"/>
    <w:rsid w:val="336B340E"/>
    <w:rsid w:val="336C2314"/>
    <w:rsid w:val="337036D5"/>
    <w:rsid w:val="33756CFB"/>
    <w:rsid w:val="337A10E0"/>
    <w:rsid w:val="337B615B"/>
    <w:rsid w:val="337E7160"/>
    <w:rsid w:val="338021C7"/>
    <w:rsid w:val="33813286"/>
    <w:rsid w:val="3383761B"/>
    <w:rsid w:val="338E79C2"/>
    <w:rsid w:val="339634C4"/>
    <w:rsid w:val="33971FC7"/>
    <w:rsid w:val="339B760E"/>
    <w:rsid w:val="339E747E"/>
    <w:rsid w:val="33A0774B"/>
    <w:rsid w:val="33A151EC"/>
    <w:rsid w:val="33A345AD"/>
    <w:rsid w:val="33AD33B7"/>
    <w:rsid w:val="33BE34B8"/>
    <w:rsid w:val="33C31D27"/>
    <w:rsid w:val="33C54C67"/>
    <w:rsid w:val="33C74979"/>
    <w:rsid w:val="33C84718"/>
    <w:rsid w:val="33C9767B"/>
    <w:rsid w:val="33CD0334"/>
    <w:rsid w:val="33CD75A1"/>
    <w:rsid w:val="33D44BF1"/>
    <w:rsid w:val="33D64355"/>
    <w:rsid w:val="33DF4B40"/>
    <w:rsid w:val="33DF6F85"/>
    <w:rsid w:val="33E33102"/>
    <w:rsid w:val="33E56CEF"/>
    <w:rsid w:val="33EB69AF"/>
    <w:rsid w:val="33ED0A9C"/>
    <w:rsid w:val="33EE5F87"/>
    <w:rsid w:val="33F24E3A"/>
    <w:rsid w:val="34005321"/>
    <w:rsid w:val="34031552"/>
    <w:rsid w:val="340452CB"/>
    <w:rsid w:val="341203E4"/>
    <w:rsid w:val="34142D03"/>
    <w:rsid w:val="341750CD"/>
    <w:rsid w:val="341A650A"/>
    <w:rsid w:val="341E1B65"/>
    <w:rsid w:val="342507B0"/>
    <w:rsid w:val="34255B33"/>
    <w:rsid w:val="342703F6"/>
    <w:rsid w:val="342D6DD3"/>
    <w:rsid w:val="3434138E"/>
    <w:rsid w:val="34341957"/>
    <w:rsid w:val="34373000"/>
    <w:rsid w:val="343A1FD1"/>
    <w:rsid w:val="343A3525"/>
    <w:rsid w:val="343D56DE"/>
    <w:rsid w:val="3441506E"/>
    <w:rsid w:val="344A193A"/>
    <w:rsid w:val="344F5895"/>
    <w:rsid w:val="345346E5"/>
    <w:rsid w:val="345872C7"/>
    <w:rsid w:val="34591983"/>
    <w:rsid w:val="345B54B7"/>
    <w:rsid w:val="345D6C77"/>
    <w:rsid w:val="346025ED"/>
    <w:rsid w:val="34732B4F"/>
    <w:rsid w:val="347749B1"/>
    <w:rsid w:val="34786DD7"/>
    <w:rsid w:val="34792FD9"/>
    <w:rsid w:val="347F22BB"/>
    <w:rsid w:val="34874B0F"/>
    <w:rsid w:val="348A7D9E"/>
    <w:rsid w:val="348C4321"/>
    <w:rsid w:val="349145AF"/>
    <w:rsid w:val="34951185"/>
    <w:rsid w:val="34A40ADF"/>
    <w:rsid w:val="34A45844"/>
    <w:rsid w:val="34A7379F"/>
    <w:rsid w:val="34AB0D8B"/>
    <w:rsid w:val="34AF6424"/>
    <w:rsid w:val="34B039FD"/>
    <w:rsid w:val="34B56F53"/>
    <w:rsid w:val="34B80901"/>
    <w:rsid w:val="34BB0639"/>
    <w:rsid w:val="34BB585E"/>
    <w:rsid w:val="34BD2FAF"/>
    <w:rsid w:val="34BF7AA7"/>
    <w:rsid w:val="34C17A22"/>
    <w:rsid w:val="34CB6FB3"/>
    <w:rsid w:val="34CC1945"/>
    <w:rsid w:val="34CC2CD2"/>
    <w:rsid w:val="34D102BB"/>
    <w:rsid w:val="34D84AB6"/>
    <w:rsid w:val="34D938DB"/>
    <w:rsid w:val="34E066B5"/>
    <w:rsid w:val="34E258D0"/>
    <w:rsid w:val="34E343D5"/>
    <w:rsid w:val="34E62FE8"/>
    <w:rsid w:val="34EB0B1B"/>
    <w:rsid w:val="34F51B6D"/>
    <w:rsid w:val="34F717A0"/>
    <w:rsid w:val="34FA43D3"/>
    <w:rsid w:val="34FB3335"/>
    <w:rsid w:val="34FC69D0"/>
    <w:rsid w:val="34FE042C"/>
    <w:rsid w:val="34FE6430"/>
    <w:rsid w:val="35025C5F"/>
    <w:rsid w:val="350834D8"/>
    <w:rsid w:val="350A46D3"/>
    <w:rsid w:val="350B25C8"/>
    <w:rsid w:val="350D24BB"/>
    <w:rsid w:val="350F7A66"/>
    <w:rsid w:val="3513645B"/>
    <w:rsid w:val="35162EE6"/>
    <w:rsid w:val="35194185"/>
    <w:rsid w:val="352073AB"/>
    <w:rsid w:val="352077CC"/>
    <w:rsid w:val="352356A4"/>
    <w:rsid w:val="3526094E"/>
    <w:rsid w:val="35274AB1"/>
    <w:rsid w:val="352A702D"/>
    <w:rsid w:val="352D1907"/>
    <w:rsid w:val="35312264"/>
    <w:rsid w:val="353143AD"/>
    <w:rsid w:val="354371E1"/>
    <w:rsid w:val="354A34AE"/>
    <w:rsid w:val="354B0A1B"/>
    <w:rsid w:val="354D5838"/>
    <w:rsid w:val="355015AB"/>
    <w:rsid w:val="355351F4"/>
    <w:rsid w:val="355467C3"/>
    <w:rsid w:val="355A07E0"/>
    <w:rsid w:val="355C1B6D"/>
    <w:rsid w:val="355E36F7"/>
    <w:rsid w:val="355E64AB"/>
    <w:rsid w:val="35622AE8"/>
    <w:rsid w:val="35632F83"/>
    <w:rsid w:val="35681206"/>
    <w:rsid w:val="356E2E23"/>
    <w:rsid w:val="35707C33"/>
    <w:rsid w:val="357137DA"/>
    <w:rsid w:val="35767455"/>
    <w:rsid w:val="357935FB"/>
    <w:rsid w:val="357F21C7"/>
    <w:rsid w:val="35825FFA"/>
    <w:rsid w:val="35833526"/>
    <w:rsid w:val="35856DA7"/>
    <w:rsid w:val="35897166"/>
    <w:rsid w:val="358A230C"/>
    <w:rsid w:val="358D2EA1"/>
    <w:rsid w:val="358D5978"/>
    <w:rsid w:val="359431CD"/>
    <w:rsid w:val="35943678"/>
    <w:rsid w:val="35951B8B"/>
    <w:rsid w:val="35984702"/>
    <w:rsid w:val="359905D1"/>
    <w:rsid w:val="35992A89"/>
    <w:rsid w:val="359947F0"/>
    <w:rsid w:val="359C50CC"/>
    <w:rsid w:val="359D72FD"/>
    <w:rsid w:val="35A57E53"/>
    <w:rsid w:val="35AB0E5E"/>
    <w:rsid w:val="35AE39D2"/>
    <w:rsid w:val="35B06551"/>
    <w:rsid w:val="35B12069"/>
    <w:rsid w:val="35B3433D"/>
    <w:rsid w:val="35BF5271"/>
    <w:rsid w:val="35C72639"/>
    <w:rsid w:val="35C81D84"/>
    <w:rsid w:val="35D01B5C"/>
    <w:rsid w:val="35D1215A"/>
    <w:rsid w:val="35D672C9"/>
    <w:rsid w:val="35D9159D"/>
    <w:rsid w:val="35D96B3C"/>
    <w:rsid w:val="35DC360F"/>
    <w:rsid w:val="35E31043"/>
    <w:rsid w:val="35E32C86"/>
    <w:rsid w:val="35E755BB"/>
    <w:rsid w:val="35E86821"/>
    <w:rsid w:val="35EE4B31"/>
    <w:rsid w:val="35F014D0"/>
    <w:rsid w:val="35F35F7F"/>
    <w:rsid w:val="35F4051D"/>
    <w:rsid w:val="35F740EF"/>
    <w:rsid w:val="35F851EB"/>
    <w:rsid w:val="35FC4A5B"/>
    <w:rsid w:val="35FC516A"/>
    <w:rsid w:val="36070B55"/>
    <w:rsid w:val="360E594A"/>
    <w:rsid w:val="360F3EAE"/>
    <w:rsid w:val="361E47DB"/>
    <w:rsid w:val="362A136C"/>
    <w:rsid w:val="36337E00"/>
    <w:rsid w:val="36356B4E"/>
    <w:rsid w:val="3646085E"/>
    <w:rsid w:val="36536C38"/>
    <w:rsid w:val="365A206A"/>
    <w:rsid w:val="365B65BE"/>
    <w:rsid w:val="365E7E0E"/>
    <w:rsid w:val="3670423F"/>
    <w:rsid w:val="367600B5"/>
    <w:rsid w:val="367D568E"/>
    <w:rsid w:val="368150B4"/>
    <w:rsid w:val="36826BB7"/>
    <w:rsid w:val="36846B7B"/>
    <w:rsid w:val="368671DB"/>
    <w:rsid w:val="36896196"/>
    <w:rsid w:val="368F2AEF"/>
    <w:rsid w:val="36916C85"/>
    <w:rsid w:val="369545AC"/>
    <w:rsid w:val="3697479E"/>
    <w:rsid w:val="36995B24"/>
    <w:rsid w:val="36A330EA"/>
    <w:rsid w:val="36A9271D"/>
    <w:rsid w:val="36AD7F1D"/>
    <w:rsid w:val="36AF4049"/>
    <w:rsid w:val="36AF7F31"/>
    <w:rsid w:val="36B4400F"/>
    <w:rsid w:val="36B64491"/>
    <w:rsid w:val="36B862E4"/>
    <w:rsid w:val="36BA392C"/>
    <w:rsid w:val="36BF0C6F"/>
    <w:rsid w:val="36C461C1"/>
    <w:rsid w:val="36C57822"/>
    <w:rsid w:val="36C84E0C"/>
    <w:rsid w:val="36D14731"/>
    <w:rsid w:val="36D20A1A"/>
    <w:rsid w:val="36D54BDA"/>
    <w:rsid w:val="36E04CC1"/>
    <w:rsid w:val="36F37E08"/>
    <w:rsid w:val="36FD435E"/>
    <w:rsid w:val="370112BD"/>
    <w:rsid w:val="370232D9"/>
    <w:rsid w:val="370D0492"/>
    <w:rsid w:val="37103D87"/>
    <w:rsid w:val="371637F4"/>
    <w:rsid w:val="371B10D7"/>
    <w:rsid w:val="371D795C"/>
    <w:rsid w:val="371E230C"/>
    <w:rsid w:val="371F0B58"/>
    <w:rsid w:val="371F5A38"/>
    <w:rsid w:val="37214B2D"/>
    <w:rsid w:val="37264066"/>
    <w:rsid w:val="37297D3B"/>
    <w:rsid w:val="372C53A9"/>
    <w:rsid w:val="372D6EAC"/>
    <w:rsid w:val="373013B9"/>
    <w:rsid w:val="373040ED"/>
    <w:rsid w:val="37316D3E"/>
    <w:rsid w:val="37362CE0"/>
    <w:rsid w:val="373910B0"/>
    <w:rsid w:val="373A2426"/>
    <w:rsid w:val="37471C8C"/>
    <w:rsid w:val="374B0FF8"/>
    <w:rsid w:val="37506D2E"/>
    <w:rsid w:val="37507F1F"/>
    <w:rsid w:val="37515C28"/>
    <w:rsid w:val="375C0348"/>
    <w:rsid w:val="375C37FB"/>
    <w:rsid w:val="375C7E79"/>
    <w:rsid w:val="37605F94"/>
    <w:rsid w:val="376112CD"/>
    <w:rsid w:val="3764288B"/>
    <w:rsid w:val="37693235"/>
    <w:rsid w:val="3769431F"/>
    <w:rsid w:val="376B0F23"/>
    <w:rsid w:val="37735862"/>
    <w:rsid w:val="37780E53"/>
    <w:rsid w:val="37783A63"/>
    <w:rsid w:val="377E4650"/>
    <w:rsid w:val="378425EB"/>
    <w:rsid w:val="378655B5"/>
    <w:rsid w:val="3788768D"/>
    <w:rsid w:val="3789523A"/>
    <w:rsid w:val="378C7B02"/>
    <w:rsid w:val="378D5707"/>
    <w:rsid w:val="379445D2"/>
    <w:rsid w:val="37950093"/>
    <w:rsid w:val="3799369D"/>
    <w:rsid w:val="379A3633"/>
    <w:rsid w:val="379B42E2"/>
    <w:rsid w:val="37A96547"/>
    <w:rsid w:val="37A97CB2"/>
    <w:rsid w:val="37AA694C"/>
    <w:rsid w:val="37AF26DD"/>
    <w:rsid w:val="37B85CD6"/>
    <w:rsid w:val="37BA22D8"/>
    <w:rsid w:val="37C23B40"/>
    <w:rsid w:val="37C50EF6"/>
    <w:rsid w:val="37D2040B"/>
    <w:rsid w:val="37DF1F1A"/>
    <w:rsid w:val="37E056E9"/>
    <w:rsid w:val="37E554B9"/>
    <w:rsid w:val="37E57E8B"/>
    <w:rsid w:val="37E620C6"/>
    <w:rsid w:val="37E7673D"/>
    <w:rsid w:val="37E97171"/>
    <w:rsid w:val="37EB3FB6"/>
    <w:rsid w:val="37ED223A"/>
    <w:rsid w:val="37F03ADF"/>
    <w:rsid w:val="37F343F4"/>
    <w:rsid w:val="37F60AA3"/>
    <w:rsid w:val="37FB4482"/>
    <w:rsid w:val="38056DF8"/>
    <w:rsid w:val="380B19FA"/>
    <w:rsid w:val="380E2254"/>
    <w:rsid w:val="38131ACA"/>
    <w:rsid w:val="38170D4B"/>
    <w:rsid w:val="381A130E"/>
    <w:rsid w:val="381B740F"/>
    <w:rsid w:val="381B7825"/>
    <w:rsid w:val="38224E1C"/>
    <w:rsid w:val="38281240"/>
    <w:rsid w:val="382A1893"/>
    <w:rsid w:val="382D217C"/>
    <w:rsid w:val="38351E65"/>
    <w:rsid w:val="383718A4"/>
    <w:rsid w:val="383B2E2C"/>
    <w:rsid w:val="3841249F"/>
    <w:rsid w:val="38486C8D"/>
    <w:rsid w:val="384F48E5"/>
    <w:rsid w:val="384F713C"/>
    <w:rsid w:val="3855540A"/>
    <w:rsid w:val="38573D53"/>
    <w:rsid w:val="385D3128"/>
    <w:rsid w:val="386506B8"/>
    <w:rsid w:val="3868369E"/>
    <w:rsid w:val="386A0237"/>
    <w:rsid w:val="387E3B2C"/>
    <w:rsid w:val="387F522B"/>
    <w:rsid w:val="3881239D"/>
    <w:rsid w:val="38873838"/>
    <w:rsid w:val="388A3C1A"/>
    <w:rsid w:val="388E6443"/>
    <w:rsid w:val="389430E0"/>
    <w:rsid w:val="389453C7"/>
    <w:rsid w:val="38976BD6"/>
    <w:rsid w:val="389805D2"/>
    <w:rsid w:val="38A21675"/>
    <w:rsid w:val="38AA4124"/>
    <w:rsid w:val="38AA46DE"/>
    <w:rsid w:val="38B70956"/>
    <w:rsid w:val="38C70236"/>
    <w:rsid w:val="38D05E37"/>
    <w:rsid w:val="38DE0BF8"/>
    <w:rsid w:val="38DE7AE0"/>
    <w:rsid w:val="38E56019"/>
    <w:rsid w:val="38E8375D"/>
    <w:rsid w:val="38EA2B28"/>
    <w:rsid w:val="38ED401C"/>
    <w:rsid w:val="38EF0332"/>
    <w:rsid w:val="38F01CA0"/>
    <w:rsid w:val="38F32271"/>
    <w:rsid w:val="38F36C1F"/>
    <w:rsid w:val="38F47154"/>
    <w:rsid w:val="38F87473"/>
    <w:rsid w:val="3906463C"/>
    <w:rsid w:val="39072981"/>
    <w:rsid w:val="3909120F"/>
    <w:rsid w:val="39131441"/>
    <w:rsid w:val="39132ECC"/>
    <w:rsid w:val="3922778B"/>
    <w:rsid w:val="392B174C"/>
    <w:rsid w:val="393361D9"/>
    <w:rsid w:val="393A582E"/>
    <w:rsid w:val="393B3A82"/>
    <w:rsid w:val="393E5CF0"/>
    <w:rsid w:val="39406985"/>
    <w:rsid w:val="39460E9F"/>
    <w:rsid w:val="39494D7F"/>
    <w:rsid w:val="39516EE2"/>
    <w:rsid w:val="39575728"/>
    <w:rsid w:val="395B67D7"/>
    <w:rsid w:val="395D3727"/>
    <w:rsid w:val="395E0FE4"/>
    <w:rsid w:val="395F2068"/>
    <w:rsid w:val="396056C6"/>
    <w:rsid w:val="396153FE"/>
    <w:rsid w:val="39644A60"/>
    <w:rsid w:val="3965721D"/>
    <w:rsid w:val="39735B99"/>
    <w:rsid w:val="39740ED8"/>
    <w:rsid w:val="39785EC1"/>
    <w:rsid w:val="397A2A00"/>
    <w:rsid w:val="397D49B5"/>
    <w:rsid w:val="397D5B1B"/>
    <w:rsid w:val="397F1EE3"/>
    <w:rsid w:val="39833D9F"/>
    <w:rsid w:val="39854CF8"/>
    <w:rsid w:val="39861CE0"/>
    <w:rsid w:val="39872D82"/>
    <w:rsid w:val="398A15C2"/>
    <w:rsid w:val="398C6416"/>
    <w:rsid w:val="398F6D5F"/>
    <w:rsid w:val="399046EB"/>
    <w:rsid w:val="399112C4"/>
    <w:rsid w:val="3999691A"/>
    <w:rsid w:val="39A26448"/>
    <w:rsid w:val="39AC28BE"/>
    <w:rsid w:val="39AD5234"/>
    <w:rsid w:val="39AE0F2C"/>
    <w:rsid w:val="39B056EF"/>
    <w:rsid w:val="39B575D5"/>
    <w:rsid w:val="39B676E7"/>
    <w:rsid w:val="39BE4D4B"/>
    <w:rsid w:val="39BF0821"/>
    <w:rsid w:val="39C62191"/>
    <w:rsid w:val="39C661F7"/>
    <w:rsid w:val="39CA08DB"/>
    <w:rsid w:val="39CE4384"/>
    <w:rsid w:val="39D147E0"/>
    <w:rsid w:val="39D17890"/>
    <w:rsid w:val="39D27584"/>
    <w:rsid w:val="39D63DF5"/>
    <w:rsid w:val="39D768AB"/>
    <w:rsid w:val="39D77F3A"/>
    <w:rsid w:val="39E17299"/>
    <w:rsid w:val="39E17F37"/>
    <w:rsid w:val="39E37C4D"/>
    <w:rsid w:val="39E753A3"/>
    <w:rsid w:val="39EA336A"/>
    <w:rsid w:val="39F5567B"/>
    <w:rsid w:val="39FB3BBF"/>
    <w:rsid w:val="3A016441"/>
    <w:rsid w:val="3A0A381A"/>
    <w:rsid w:val="3A12275B"/>
    <w:rsid w:val="3A1A45B0"/>
    <w:rsid w:val="3A1A6280"/>
    <w:rsid w:val="3A1D0D35"/>
    <w:rsid w:val="3A231242"/>
    <w:rsid w:val="3A25205C"/>
    <w:rsid w:val="3A293797"/>
    <w:rsid w:val="3A2F48C8"/>
    <w:rsid w:val="3A3146E1"/>
    <w:rsid w:val="3A3454DA"/>
    <w:rsid w:val="3A3F1EA6"/>
    <w:rsid w:val="3A404FE5"/>
    <w:rsid w:val="3A414FEF"/>
    <w:rsid w:val="3A45084A"/>
    <w:rsid w:val="3A480EB5"/>
    <w:rsid w:val="3A495F01"/>
    <w:rsid w:val="3A4A20C9"/>
    <w:rsid w:val="3A4C4F64"/>
    <w:rsid w:val="3A4E6B45"/>
    <w:rsid w:val="3A50246F"/>
    <w:rsid w:val="3A590B73"/>
    <w:rsid w:val="3A5B09CB"/>
    <w:rsid w:val="3A5C633E"/>
    <w:rsid w:val="3A647014"/>
    <w:rsid w:val="3A653C40"/>
    <w:rsid w:val="3A6E0581"/>
    <w:rsid w:val="3A6E7C95"/>
    <w:rsid w:val="3A7B1691"/>
    <w:rsid w:val="3A807C69"/>
    <w:rsid w:val="3A8B0AD7"/>
    <w:rsid w:val="3A941CB5"/>
    <w:rsid w:val="3A945B54"/>
    <w:rsid w:val="3A976819"/>
    <w:rsid w:val="3A9D50F1"/>
    <w:rsid w:val="3A9F7D54"/>
    <w:rsid w:val="3AA60207"/>
    <w:rsid w:val="3AA60A7D"/>
    <w:rsid w:val="3AB03D8B"/>
    <w:rsid w:val="3AB55AC6"/>
    <w:rsid w:val="3AC168A8"/>
    <w:rsid w:val="3AC644E2"/>
    <w:rsid w:val="3AC6699E"/>
    <w:rsid w:val="3AC80819"/>
    <w:rsid w:val="3ACB3F5F"/>
    <w:rsid w:val="3ACD0FF5"/>
    <w:rsid w:val="3AD55B5D"/>
    <w:rsid w:val="3ADE760E"/>
    <w:rsid w:val="3AE02C69"/>
    <w:rsid w:val="3AE0730D"/>
    <w:rsid w:val="3AE07B55"/>
    <w:rsid w:val="3AE37886"/>
    <w:rsid w:val="3AE521AE"/>
    <w:rsid w:val="3AE74F1A"/>
    <w:rsid w:val="3AED72D3"/>
    <w:rsid w:val="3AEF1468"/>
    <w:rsid w:val="3AF30F01"/>
    <w:rsid w:val="3AF41EEF"/>
    <w:rsid w:val="3AFA41FD"/>
    <w:rsid w:val="3B000DA9"/>
    <w:rsid w:val="3B023046"/>
    <w:rsid w:val="3B04562C"/>
    <w:rsid w:val="3B117104"/>
    <w:rsid w:val="3B1430A6"/>
    <w:rsid w:val="3B1A3530"/>
    <w:rsid w:val="3B2718B3"/>
    <w:rsid w:val="3B2E5B25"/>
    <w:rsid w:val="3B350697"/>
    <w:rsid w:val="3B354D35"/>
    <w:rsid w:val="3B3622D0"/>
    <w:rsid w:val="3B375EB8"/>
    <w:rsid w:val="3B392688"/>
    <w:rsid w:val="3B3B62FD"/>
    <w:rsid w:val="3B3C18C7"/>
    <w:rsid w:val="3B3C6DF2"/>
    <w:rsid w:val="3B3E38AF"/>
    <w:rsid w:val="3B3F2791"/>
    <w:rsid w:val="3B446363"/>
    <w:rsid w:val="3B4513FD"/>
    <w:rsid w:val="3B4C4A86"/>
    <w:rsid w:val="3B4F5F67"/>
    <w:rsid w:val="3B510980"/>
    <w:rsid w:val="3B5221A9"/>
    <w:rsid w:val="3B52265F"/>
    <w:rsid w:val="3B53035A"/>
    <w:rsid w:val="3B555B09"/>
    <w:rsid w:val="3B6647A2"/>
    <w:rsid w:val="3B6848D1"/>
    <w:rsid w:val="3B6B1F7F"/>
    <w:rsid w:val="3B6C71FD"/>
    <w:rsid w:val="3B765033"/>
    <w:rsid w:val="3B7736CD"/>
    <w:rsid w:val="3B817A50"/>
    <w:rsid w:val="3B935BE5"/>
    <w:rsid w:val="3B93643E"/>
    <w:rsid w:val="3B987CF0"/>
    <w:rsid w:val="3B9A6036"/>
    <w:rsid w:val="3B9B47B2"/>
    <w:rsid w:val="3BA02E64"/>
    <w:rsid w:val="3BA354A0"/>
    <w:rsid w:val="3BA54AD4"/>
    <w:rsid w:val="3BA54DC4"/>
    <w:rsid w:val="3BA60B05"/>
    <w:rsid w:val="3BA72FD3"/>
    <w:rsid w:val="3BA909B7"/>
    <w:rsid w:val="3BAB142B"/>
    <w:rsid w:val="3BAB4931"/>
    <w:rsid w:val="3BBF69FF"/>
    <w:rsid w:val="3BC01B15"/>
    <w:rsid w:val="3BC606C7"/>
    <w:rsid w:val="3BCD6F5D"/>
    <w:rsid w:val="3BD016F4"/>
    <w:rsid w:val="3BD87E79"/>
    <w:rsid w:val="3BD90CBE"/>
    <w:rsid w:val="3BE35833"/>
    <w:rsid w:val="3BE6719F"/>
    <w:rsid w:val="3BE71B4E"/>
    <w:rsid w:val="3BEC2F40"/>
    <w:rsid w:val="3BEF1950"/>
    <w:rsid w:val="3BF01254"/>
    <w:rsid w:val="3BF2410D"/>
    <w:rsid w:val="3BFE45C5"/>
    <w:rsid w:val="3C040BC1"/>
    <w:rsid w:val="3C046FE7"/>
    <w:rsid w:val="3C0623B6"/>
    <w:rsid w:val="3C0E75D1"/>
    <w:rsid w:val="3C1B0E26"/>
    <w:rsid w:val="3C1E143E"/>
    <w:rsid w:val="3C1E2AAA"/>
    <w:rsid w:val="3C220DE6"/>
    <w:rsid w:val="3C245169"/>
    <w:rsid w:val="3C2822BA"/>
    <w:rsid w:val="3C2B0759"/>
    <w:rsid w:val="3C2C4A60"/>
    <w:rsid w:val="3C2D79AB"/>
    <w:rsid w:val="3C3C4FFE"/>
    <w:rsid w:val="3C3C5704"/>
    <w:rsid w:val="3C3F0CD9"/>
    <w:rsid w:val="3C400BB2"/>
    <w:rsid w:val="3C411D4E"/>
    <w:rsid w:val="3C4626A4"/>
    <w:rsid w:val="3C490EF2"/>
    <w:rsid w:val="3C5259B5"/>
    <w:rsid w:val="3C626E09"/>
    <w:rsid w:val="3C6A6658"/>
    <w:rsid w:val="3C6F0C52"/>
    <w:rsid w:val="3C741EF6"/>
    <w:rsid w:val="3C7B1365"/>
    <w:rsid w:val="3C7D4EFF"/>
    <w:rsid w:val="3C7E315A"/>
    <w:rsid w:val="3C7F11C1"/>
    <w:rsid w:val="3C847603"/>
    <w:rsid w:val="3C87230F"/>
    <w:rsid w:val="3C8C1908"/>
    <w:rsid w:val="3C9214D0"/>
    <w:rsid w:val="3C996A14"/>
    <w:rsid w:val="3C997808"/>
    <w:rsid w:val="3C9A203A"/>
    <w:rsid w:val="3CA57838"/>
    <w:rsid w:val="3CA9129D"/>
    <w:rsid w:val="3CAA4DB7"/>
    <w:rsid w:val="3CAD3398"/>
    <w:rsid w:val="3CAD5E95"/>
    <w:rsid w:val="3CB9302A"/>
    <w:rsid w:val="3CBA357F"/>
    <w:rsid w:val="3CBB33C6"/>
    <w:rsid w:val="3CBB5DB9"/>
    <w:rsid w:val="3CBC162C"/>
    <w:rsid w:val="3CC349A3"/>
    <w:rsid w:val="3CC87429"/>
    <w:rsid w:val="3CCF7CF5"/>
    <w:rsid w:val="3CD0019F"/>
    <w:rsid w:val="3CD5416A"/>
    <w:rsid w:val="3CD6200D"/>
    <w:rsid w:val="3CDE57B9"/>
    <w:rsid w:val="3CE32FCF"/>
    <w:rsid w:val="3CF4056C"/>
    <w:rsid w:val="3CF41384"/>
    <w:rsid w:val="3CF55189"/>
    <w:rsid w:val="3CF5542F"/>
    <w:rsid w:val="3CFA6E0D"/>
    <w:rsid w:val="3CFB3E62"/>
    <w:rsid w:val="3CFC166D"/>
    <w:rsid w:val="3CFC3FE9"/>
    <w:rsid w:val="3CFE7F7F"/>
    <w:rsid w:val="3D01150F"/>
    <w:rsid w:val="3D0219A8"/>
    <w:rsid w:val="3D032A39"/>
    <w:rsid w:val="3D077765"/>
    <w:rsid w:val="3D0808BA"/>
    <w:rsid w:val="3D0941B8"/>
    <w:rsid w:val="3D105044"/>
    <w:rsid w:val="3D105C07"/>
    <w:rsid w:val="3D16327B"/>
    <w:rsid w:val="3D1A2EF8"/>
    <w:rsid w:val="3D2064DF"/>
    <w:rsid w:val="3D216EE8"/>
    <w:rsid w:val="3D237D9B"/>
    <w:rsid w:val="3D272BAB"/>
    <w:rsid w:val="3D275CE0"/>
    <w:rsid w:val="3D2E2903"/>
    <w:rsid w:val="3D303F03"/>
    <w:rsid w:val="3D33448E"/>
    <w:rsid w:val="3D392968"/>
    <w:rsid w:val="3D3B568D"/>
    <w:rsid w:val="3D3E0956"/>
    <w:rsid w:val="3D415B70"/>
    <w:rsid w:val="3D4239DC"/>
    <w:rsid w:val="3D493CB9"/>
    <w:rsid w:val="3D4B7BFF"/>
    <w:rsid w:val="3D4C0E2A"/>
    <w:rsid w:val="3D4C24A6"/>
    <w:rsid w:val="3D4D1A91"/>
    <w:rsid w:val="3D5047B9"/>
    <w:rsid w:val="3D53667C"/>
    <w:rsid w:val="3D562A0A"/>
    <w:rsid w:val="3D5A0FE2"/>
    <w:rsid w:val="3D5B6766"/>
    <w:rsid w:val="3D617148"/>
    <w:rsid w:val="3D6F22D8"/>
    <w:rsid w:val="3D705B3C"/>
    <w:rsid w:val="3D7422E1"/>
    <w:rsid w:val="3D767660"/>
    <w:rsid w:val="3D7C2106"/>
    <w:rsid w:val="3D821E6E"/>
    <w:rsid w:val="3D920A88"/>
    <w:rsid w:val="3D994349"/>
    <w:rsid w:val="3D994A0B"/>
    <w:rsid w:val="3D9F2CF1"/>
    <w:rsid w:val="3DA810DF"/>
    <w:rsid w:val="3DAE2798"/>
    <w:rsid w:val="3DB74537"/>
    <w:rsid w:val="3DB76373"/>
    <w:rsid w:val="3DBC395E"/>
    <w:rsid w:val="3DC6435D"/>
    <w:rsid w:val="3DC6707B"/>
    <w:rsid w:val="3DC673C3"/>
    <w:rsid w:val="3DCA413F"/>
    <w:rsid w:val="3DCA7A49"/>
    <w:rsid w:val="3DCB75A1"/>
    <w:rsid w:val="3DD16860"/>
    <w:rsid w:val="3DD3781E"/>
    <w:rsid w:val="3DD46F5E"/>
    <w:rsid w:val="3DD83E80"/>
    <w:rsid w:val="3DDC2DAA"/>
    <w:rsid w:val="3DDD001B"/>
    <w:rsid w:val="3DE4001E"/>
    <w:rsid w:val="3DE4563B"/>
    <w:rsid w:val="3DEF018E"/>
    <w:rsid w:val="3DF01F53"/>
    <w:rsid w:val="3E005D6E"/>
    <w:rsid w:val="3E0C7B42"/>
    <w:rsid w:val="3E0D663A"/>
    <w:rsid w:val="3E102749"/>
    <w:rsid w:val="3E141122"/>
    <w:rsid w:val="3E1E7D29"/>
    <w:rsid w:val="3E201E94"/>
    <w:rsid w:val="3E2275D2"/>
    <w:rsid w:val="3E245997"/>
    <w:rsid w:val="3E294D39"/>
    <w:rsid w:val="3E2C7AED"/>
    <w:rsid w:val="3E324CE0"/>
    <w:rsid w:val="3E396338"/>
    <w:rsid w:val="3E4868D5"/>
    <w:rsid w:val="3E4946BF"/>
    <w:rsid w:val="3E4968C8"/>
    <w:rsid w:val="3E4B242D"/>
    <w:rsid w:val="3E5B5EC0"/>
    <w:rsid w:val="3E5D4F51"/>
    <w:rsid w:val="3E671220"/>
    <w:rsid w:val="3E735B83"/>
    <w:rsid w:val="3E736EC3"/>
    <w:rsid w:val="3E75499A"/>
    <w:rsid w:val="3E7763AF"/>
    <w:rsid w:val="3E8C7979"/>
    <w:rsid w:val="3E901298"/>
    <w:rsid w:val="3E955D3B"/>
    <w:rsid w:val="3E961225"/>
    <w:rsid w:val="3E9654C4"/>
    <w:rsid w:val="3E98659E"/>
    <w:rsid w:val="3E997565"/>
    <w:rsid w:val="3E9A4A0E"/>
    <w:rsid w:val="3E9B2BCF"/>
    <w:rsid w:val="3E9E3DBB"/>
    <w:rsid w:val="3EA53A7B"/>
    <w:rsid w:val="3EA73B2B"/>
    <w:rsid w:val="3EB2268E"/>
    <w:rsid w:val="3EB243AC"/>
    <w:rsid w:val="3EB523F9"/>
    <w:rsid w:val="3EB96FF2"/>
    <w:rsid w:val="3EBA37EC"/>
    <w:rsid w:val="3EBD181D"/>
    <w:rsid w:val="3EC24D1A"/>
    <w:rsid w:val="3ECD3D08"/>
    <w:rsid w:val="3ECD7EE6"/>
    <w:rsid w:val="3ED31006"/>
    <w:rsid w:val="3ED64EF9"/>
    <w:rsid w:val="3EE24A54"/>
    <w:rsid w:val="3EE81CFD"/>
    <w:rsid w:val="3EF04129"/>
    <w:rsid w:val="3EF103E4"/>
    <w:rsid w:val="3EF61EF2"/>
    <w:rsid w:val="3EF7467A"/>
    <w:rsid w:val="3EF95752"/>
    <w:rsid w:val="3EF9663C"/>
    <w:rsid w:val="3EFF7F24"/>
    <w:rsid w:val="3F045D72"/>
    <w:rsid w:val="3F046B58"/>
    <w:rsid w:val="3F07344E"/>
    <w:rsid w:val="3F0F1AE2"/>
    <w:rsid w:val="3F13299D"/>
    <w:rsid w:val="3F256F44"/>
    <w:rsid w:val="3F29741A"/>
    <w:rsid w:val="3F3033CE"/>
    <w:rsid w:val="3F306FE9"/>
    <w:rsid w:val="3F327387"/>
    <w:rsid w:val="3F447C1C"/>
    <w:rsid w:val="3F450EBB"/>
    <w:rsid w:val="3F453DDE"/>
    <w:rsid w:val="3F456A3A"/>
    <w:rsid w:val="3F484B0F"/>
    <w:rsid w:val="3F497A4D"/>
    <w:rsid w:val="3F4A20CB"/>
    <w:rsid w:val="3F4A4A1D"/>
    <w:rsid w:val="3F4F59B5"/>
    <w:rsid w:val="3F527384"/>
    <w:rsid w:val="3F550859"/>
    <w:rsid w:val="3F5735D4"/>
    <w:rsid w:val="3F5D4292"/>
    <w:rsid w:val="3F627C21"/>
    <w:rsid w:val="3F64306A"/>
    <w:rsid w:val="3F6A3EA2"/>
    <w:rsid w:val="3F6F02E5"/>
    <w:rsid w:val="3F6F389B"/>
    <w:rsid w:val="3F762402"/>
    <w:rsid w:val="3F793A0B"/>
    <w:rsid w:val="3F860605"/>
    <w:rsid w:val="3F88133D"/>
    <w:rsid w:val="3F931E88"/>
    <w:rsid w:val="3FA25584"/>
    <w:rsid w:val="3FA642B8"/>
    <w:rsid w:val="3FAA2D01"/>
    <w:rsid w:val="3FAA2E6C"/>
    <w:rsid w:val="3FAD2E04"/>
    <w:rsid w:val="3FAF2286"/>
    <w:rsid w:val="3FB20352"/>
    <w:rsid w:val="3FB56891"/>
    <w:rsid w:val="3FB60C7E"/>
    <w:rsid w:val="3FD05845"/>
    <w:rsid w:val="3FD7447F"/>
    <w:rsid w:val="3FDB2131"/>
    <w:rsid w:val="3FDD6EE3"/>
    <w:rsid w:val="3FE1481B"/>
    <w:rsid w:val="3FE77ED4"/>
    <w:rsid w:val="3FE82976"/>
    <w:rsid w:val="3FE8408B"/>
    <w:rsid w:val="3FEA3058"/>
    <w:rsid w:val="3FEB0741"/>
    <w:rsid w:val="3FF16E1A"/>
    <w:rsid w:val="3FF42DA4"/>
    <w:rsid w:val="3FF5105F"/>
    <w:rsid w:val="3FF6399F"/>
    <w:rsid w:val="3FFF11BC"/>
    <w:rsid w:val="3FFF31A4"/>
    <w:rsid w:val="4003086A"/>
    <w:rsid w:val="400B14CD"/>
    <w:rsid w:val="401108F1"/>
    <w:rsid w:val="40120699"/>
    <w:rsid w:val="40123B2B"/>
    <w:rsid w:val="4019503F"/>
    <w:rsid w:val="401A23B5"/>
    <w:rsid w:val="401A79CB"/>
    <w:rsid w:val="401B01CC"/>
    <w:rsid w:val="401B38D2"/>
    <w:rsid w:val="401F4BE9"/>
    <w:rsid w:val="401F724A"/>
    <w:rsid w:val="401F7AD1"/>
    <w:rsid w:val="402178BB"/>
    <w:rsid w:val="40241435"/>
    <w:rsid w:val="402E6576"/>
    <w:rsid w:val="403030C3"/>
    <w:rsid w:val="40372035"/>
    <w:rsid w:val="403F6F98"/>
    <w:rsid w:val="4048150F"/>
    <w:rsid w:val="404B5988"/>
    <w:rsid w:val="404B74D9"/>
    <w:rsid w:val="40607094"/>
    <w:rsid w:val="4064656E"/>
    <w:rsid w:val="406929BA"/>
    <w:rsid w:val="40766361"/>
    <w:rsid w:val="407663D3"/>
    <w:rsid w:val="407733E6"/>
    <w:rsid w:val="40782A28"/>
    <w:rsid w:val="40825E5D"/>
    <w:rsid w:val="40852CBC"/>
    <w:rsid w:val="408A5727"/>
    <w:rsid w:val="408A5F40"/>
    <w:rsid w:val="408B7E2E"/>
    <w:rsid w:val="408E101E"/>
    <w:rsid w:val="408E54A5"/>
    <w:rsid w:val="40915896"/>
    <w:rsid w:val="4094680C"/>
    <w:rsid w:val="40954EBF"/>
    <w:rsid w:val="409B382D"/>
    <w:rsid w:val="409C2F69"/>
    <w:rsid w:val="409E51F7"/>
    <w:rsid w:val="409F2218"/>
    <w:rsid w:val="40A062B6"/>
    <w:rsid w:val="40A51E55"/>
    <w:rsid w:val="40A8745B"/>
    <w:rsid w:val="40AF70EB"/>
    <w:rsid w:val="40B03C45"/>
    <w:rsid w:val="40B20F09"/>
    <w:rsid w:val="40B34B40"/>
    <w:rsid w:val="40B92411"/>
    <w:rsid w:val="40BC4C6D"/>
    <w:rsid w:val="40BC7777"/>
    <w:rsid w:val="40CC0F86"/>
    <w:rsid w:val="40CF6123"/>
    <w:rsid w:val="40DC6712"/>
    <w:rsid w:val="40DF04BE"/>
    <w:rsid w:val="40E03FFE"/>
    <w:rsid w:val="40E22905"/>
    <w:rsid w:val="40E25BB2"/>
    <w:rsid w:val="40E361EF"/>
    <w:rsid w:val="40E675CB"/>
    <w:rsid w:val="40EB0DF7"/>
    <w:rsid w:val="40EB284C"/>
    <w:rsid w:val="40FC609C"/>
    <w:rsid w:val="40FE0642"/>
    <w:rsid w:val="40FE5ECC"/>
    <w:rsid w:val="41070200"/>
    <w:rsid w:val="410E6DB3"/>
    <w:rsid w:val="41121EAB"/>
    <w:rsid w:val="411827A0"/>
    <w:rsid w:val="411A000B"/>
    <w:rsid w:val="411E16B9"/>
    <w:rsid w:val="412106FD"/>
    <w:rsid w:val="41233BAD"/>
    <w:rsid w:val="41283F69"/>
    <w:rsid w:val="412C2BCC"/>
    <w:rsid w:val="412F1922"/>
    <w:rsid w:val="41376F25"/>
    <w:rsid w:val="413913EF"/>
    <w:rsid w:val="413B0D88"/>
    <w:rsid w:val="413B3C05"/>
    <w:rsid w:val="414B4FA7"/>
    <w:rsid w:val="414C7895"/>
    <w:rsid w:val="41505316"/>
    <w:rsid w:val="415E4469"/>
    <w:rsid w:val="41632D7A"/>
    <w:rsid w:val="41653BCF"/>
    <w:rsid w:val="416544EB"/>
    <w:rsid w:val="416B50C6"/>
    <w:rsid w:val="417670AC"/>
    <w:rsid w:val="418453E8"/>
    <w:rsid w:val="41846F40"/>
    <w:rsid w:val="4187445C"/>
    <w:rsid w:val="418B5CD8"/>
    <w:rsid w:val="41942831"/>
    <w:rsid w:val="419445A8"/>
    <w:rsid w:val="419A2E22"/>
    <w:rsid w:val="419D5E32"/>
    <w:rsid w:val="41AB2B8E"/>
    <w:rsid w:val="41B005A6"/>
    <w:rsid w:val="41B0672A"/>
    <w:rsid w:val="41B14684"/>
    <w:rsid w:val="41B35640"/>
    <w:rsid w:val="41B36D63"/>
    <w:rsid w:val="41B7553D"/>
    <w:rsid w:val="41BC71BD"/>
    <w:rsid w:val="41C104C1"/>
    <w:rsid w:val="41C33228"/>
    <w:rsid w:val="41CA6440"/>
    <w:rsid w:val="41CC4E96"/>
    <w:rsid w:val="41D10544"/>
    <w:rsid w:val="41D10EC2"/>
    <w:rsid w:val="41D25904"/>
    <w:rsid w:val="41D35621"/>
    <w:rsid w:val="41D373F6"/>
    <w:rsid w:val="41D47C41"/>
    <w:rsid w:val="41D67E15"/>
    <w:rsid w:val="41D84B18"/>
    <w:rsid w:val="41DE57FA"/>
    <w:rsid w:val="41E449F6"/>
    <w:rsid w:val="41ED0189"/>
    <w:rsid w:val="41ED519D"/>
    <w:rsid w:val="41EF336D"/>
    <w:rsid w:val="41EF5D72"/>
    <w:rsid w:val="41F05B31"/>
    <w:rsid w:val="41FB4273"/>
    <w:rsid w:val="41FC1540"/>
    <w:rsid w:val="42011021"/>
    <w:rsid w:val="4201188B"/>
    <w:rsid w:val="42022499"/>
    <w:rsid w:val="42055E9C"/>
    <w:rsid w:val="420748E2"/>
    <w:rsid w:val="420E4E3D"/>
    <w:rsid w:val="420E62A2"/>
    <w:rsid w:val="42155A13"/>
    <w:rsid w:val="421D651F"/>
    <w:rsid w:val="421E0C47"/>
    <w:rsid w:val="42217919"/>
    <w:rsid w:val="42244F6A"/>
    <w:rsid w:val="42273FA5"/>
    <w:rsid w:val="42276CE8"/>
    <w:rsid w:val="422A46A1"/>
    <w:rsid w:val="422D564A"/>
    <w:rsid w:val="423076C1"/>
    <w:rsid w:val="423427A0"/>
    <w:rsid w:val="42345AD2"/>
    <w:rsid w:val="423D0FF3"/>
    <w:rsid w:val="42462468"/>
    <w:rsid w:val="42477DE8"/>
    <w:rsid w:val="424856A4"/>
    <w:rsid w:val="424D4389"/>
    <w:rsid w:val="424F0B3C"/>
    <w:rsid w:val="42556587"/>
    <w:rsid w:val="42565034"/>
    <w:rsid w:val="42585565"/>
    <w:rsid w:val="425B2866"/>
    <w:rsid w:val="42612929"/>
    <w:rsid w:val="42637B7B"/>
    <w:rsid w:val="42703C6E"/>
    <w:rsid w:val="42720510"/>
    <w:rsid w:val="42736F99"/>
    <w:rsid w:val="427441CF"/>
    <w:rsid w:val="428103E0"/>
    <w:rsid w:val="42826689"/>
    <w:rsid w:val="42890612"/>
    <w:rsid w:val="42890E5F"/>
    <w:rsid w:val="42956536"/>
    <w:rsid w:val="429B5233"/>
    <w:rsid w:val="429C7F6E"/>
    <w:rsid w:val="42A669FA"/>
    <w:rsid w:val="42AC07EE"/>
    <w:rsid w:val="42AC6CED"/>
    <w:rsid w:val="42AF17EA"/>
    <w:rsid w:val="42B02559"/>
    <w:rsid w:val="42B14C99"/>
    <w:rsid w:val="42B15320"/>
    <w:rsid w:val="42B95577"/>
    <w:rsid w:val="42BA0D66"/>
    <w:rsid w:val="42C81E63"/>
    <w:rsid w:val="42D211C6"/>
    <w:rsid w:val="42D665D7"/>
    <w:rsid w:val="42D740B6"/>
    <w:rsid w:val="42DD1DEC"/>
    <w:rsid w:val="42DF359A"/>
    <w:rsid w:val="42DF4BDB"/>
    <w:rsid w:val="42E40A74"/>
    <w:rsid w:val="42E44259"/>
    <w:rsid w:val="42E67B9D"/>
    <w:rsid w:val="42E7557B"/>
    <w:rsid w:val="42F3126A"/>
    <w:rsid w:val="42F45D1D"/>
    <w:rsid w:val="42F77626"/>
    <w:rsid w:val="42FD60DF"/>
    <w:rsid w:val="43001F5B"/>
    <w:rsid w:val="43027A2D"/>
    <w:rsid w:val="43065C50"/>
    <w:rsid w:val="43086A84"/>
    <w:rsid w:val="430A4B03"/>
    <w:rsid w:val="430E23FD"/>
    <w:rsid w:val="430E3C97"/>
    <w:rsid w:val="430F2C5C"/>
    <w:rsid w:val="431168F4"/>
    <w:rsid w:val="432173DF"/>
    <w:rsid w:val="432434DD"/>
    <w:rsid w:val="432D6DDF"/>
    <w:rsid w:val="43381B93"/>
    <w:rsid w:val="433F0106"/>
    <w:rsid w:val="433F5C5F"/>
    <w:rsid w:val="43460219"/>
    <w:rsid w:val="43492A03"/>
    <w:rsid w:val="435130DD"/>
    <w:rsid w:val="43555ABC"/>
    <w:rsid w:val="43561F69"/>
    <w:rsid w:val="435D104A"/>
    <w:rsid w:val="435F5D0A"/>
    <w:rsid w:val="43637B42"/>
    <w:rsid w:val="436567A7"/>
    <w:rsid w:val="43695DC3"/>
    <w:rsid w:val="436A0BC3"/>
    <w:rsid w:val="43722A11"/>
    <w:rsid w:val="43731E7B"/>
    <w:rsid w:val="43765E6B"/>
    <w:rsid w:val="43773FA3"/>
    <w:rsid w:val="437C127F"/>
    <w:rsid w:val="437C2E4E"/>
    <w:rsid w:val="437C7972"/>
    <w:rsid w:val="43803C88"/>
    <w:rsid w:val="4388526B"/>
    <w:rsid w:val="438A23F8"/>
    <w:rsid w:val="438A54DC"/>
    <w:rsid w:val="438F5102"/>
    <w:rsid w:val="43987342"/>
    <w:rsid w:val="43A06043"/>
    <w:rsid w:val="43A6772F"/>
    <w:rsid w:val="43AC377B"/>
    <w:rsid w:val="43AD49D9"/>
    <w:rsid w:val="43B73790"/>
    <w:rsid w:val="43B775C5"/>
    <w:rsid w:val="43B847DC"/>
    <w:rsid w:val="43BD743A"/>
    <w:rsid w:val="43C7231E"/>
    <w:rsid w:val="43C80BCB"/>
    <w:rsid w:val="43CC6A9D"/>
    <w:rsid w:val="43D065B7"/>
    <w:rsid w:val="43D63B27"/>
    <w:rsid w:val="43DB748E"/>
    <w:rsid w:val="43DC1DE5"/>
    <w:rsid w:val="43DC2CF4"/>
    <w:rsid w:val="43DC79A0"/>
    <w:rsid w:val="43DE0C8A"/>
    <w:rsid w:val="43E75141"/>
    <w:rsid w:val="43F11046"/>
    <w:rsid w:val="44034F44"/>
    <w:rsid w:val="440656E1"/>
    <w:rsid w:val="440713CC"/>
    <w:rsid w:val="440803C4"/>
    <w:rsid w:val="44090FCB"/>
    <w:rsid w:val="440B0A9B"/>
    <w:rsid w:val="440D362F"/>
    <w:rsid w:val="440F2192"/>
    <w:rsid w:val="44165109"/>
    <w:rsid w:val="44192535"/>
    <w:rsid w:val="441F58AC"/>
    <w:rsid w:val="44300A0E"/>
    <w:rsid w:val="443511A7"/>
    <w:rsid w:val="443A248C"/>
    <w:rsid w:val="44471D9B"/>
    <w:rsid w:val="44482070"/>
    <w:rsid w:val="444C28E4"/>
    <w:rsid w:val="444E4A44"/>
    <w:rsid w:val="44520E9C"/>
    <w:rsid w:val="44533989"/>
    <w:rsid w:val="445901DE"/>
    <w:rsid w:val="445B7218"/>
    <w:rsid w:val="445C24C8"/>
    <w:rsid w:val="445F440A"/>
    <w:rsid w:val="4462172C"/>
    <w:rsid w:val="44624473"/>
    <w:rsid w:val="44633635"/>
    <w:rsid w:val="446E5382"/>
    <w:rsid w:val="4470198B"/>
    <w:rsid w:val="447122CD"/>
    <w:rsid w:val="44723C11"/>
    <w:rsid w:val="447452A5"/>
    <w:rsid w:val="4479337D"/>
    <w:rsid w:val="447A6BFB"/>
    <w:rsid w:val="447F770F"/>
    <w:rsid w:val="448077FB"/>
    <w:rsid w:val="44896F6B"/>
    <w:rsid w:val="44935D08"/>
    <w:rsid w:val="44957197"/>
    <w:rsid w:val="44966287"/>
    <w:rsid w:val="44A27909"/>
    <w:rsid w:val="44A748AF"/>
    <w:rsid w:val="44A94703"/>
    <w:rsid w:val="44A97090"/>
    <w:rsid w:val="44AC668E"/>
    <w:rsid w:val="44AD5D5D"/>
    <w:rsid w:val="44AE6312"/>
    <w:rsid w:val="44B103B2"/>
    <w:rsid w:val="44B64614"/>
    <w:rsid w:val="44BB052D"/>
    <w:rsid w:val="44C9011A"/>
    <w:rsid w:val="44C941AD"/>
    <w:rsid w:val="44C94432"/>
    <w:rsid w:val="44C957B7"/>
    <w:rsid w:val="44CE4BC2"/>
    <w:rsid w:val="44D4124F"/>
    <w:rsid w:val="44DB3E2E"/>
    <w:rsid w:val="44DE4656"/>
    <w:rsid w:val="44E84429"/>
    <w:rsid w:val="44ED76E9"/>
    <w:rsid w:val="44EE7B2A"/>
    <w:rsid w:val="44F72BBF"/>
    <w:rsid w:val="44FF6732"/>
    <w:rsid w:val="450470C1"/>
    <w:rsid w:val="450972B6"/>
    <w:rsid w:val="450B6F79"/>
    <w:rsid w:val="45104A43"/>
    <w:rsid w:val="451B3EC1"/>
    <w:rsid w:val="452026AC"/>
    <w:rsid w:val="45225EE9"/>
    <w:rsid w:val="45245E97"/>
    <w:rsid w:val="45260DF4"/>
    <w:rsid w:val="452A38C7"/>
    <w:rsid w:val="4537132F"/>
    <w:rsid w:val="453B1DD7"/>
    <w:rsid w:val="453C393A"/>
    <w:rsid w:val="454224C4"/>
    <w:rsid w:val="4546519B"/>
    <w:rsid w:val="454972A4"/>
    <w:rsid w:val="454F561E"/>
    <w:rsid w:val="455014EB"/>
    <w:rsid w:val="4557259F"/>
    <w:rsid w:val="45652FE0"/>
    <w:rsid w:val="45654D9E"/>
    <w:rsid w:val="45666AC4"/>
    <w:rsid w:val="45686773"/>
    <w:rsid w:val="456D6AA6"/>
    <w:rsid w:val="456E30C2"/>
    <w:rsid w:val="45790BDA"/>
    <w:rsid w:val="457D54F7"/>
    <w:rsid w:val="457E0448"/>
    <w:rsid w:val="45811D08"/>
    <w:rsid w:val="45840F39"/>
    <w:rsid w:val="45866FD0"/>
    <w:rsid w:val="4588219C"/>
    <w:rsid w:val="45882EA3"/>
    <w:rsid w:val="45901488"/>
    <w:rsid w:val="45914592"/>
    <w:rsid w:val="45945425"/>
    <w:rsid w:val="459500CD"/>
    <w:rsid w:val="459E07F2"/>
    <w:rsid w:val="459E6B1C"/>
    <w:rsid w:val="459F633C"/>
    <w:rsid w:val="45A26D88"/>
    <w:rsid w:val="45A7090B"/>
    <w:rsid w:val="45AD1BA2"/>
    <w:rsid w:val="45B42874"/>
    <w:rsid w:val="45B753EB"/>
    <w:rsid w:val="45C65BF2"/>
    <w:rsid w:val="45C7284A"/>
    <w:rsid w:val="45D21DB5"/>
    <w:rsid w:val="45D67E32"/>
    <w:rsid w:val="45DA749A"/>
    <w:rsid w:val="45DF78F6"/>
    <w:rsid w:val="45E2145A"/>
    <w:rsid w:val="45EE6BB5"/>
    <w:rsid w:val="45F668D4"/>
    <w:rsid w:val="45F85E73"/>
    <w:rsid w:val="46091456"/>
    <w:rsid w:val="460D22B5"/>
    <w:rsid w:val="460D45F5"/>
    <w:rsid w:val="46144AA7"/>
    <w:rsid w:val="4617497C"/>
    <w:rsid w:val="461C1EFC"/>
    <w:rsid w:val="46211A59"/>
    <w:rsid w:val="46216F29"/>
    <w:rsid w:val="46247A4C"/>
    <w:rsid w:val="463A48A0"/>
    <w:rsid w:val="463C57AA"/>
    <w:rsid w:val="463D0892"/>
    <w:rsid w:val="463F1B8B"/>
    <w:rsid w:val="46456982"/>
    <w:rsid w:val="46482ED0"/>
    <w:rsid w:val="464867D7"/>
    <w:rsid w:val="46496E0D"/>
    <w:rsid w:val="464B463F"/>
    <w:rsid w:val="464C1772"/>
    <w:rsid w:val="464D71B2"/>
    <w:rsid w:val="465437D0"/>
    <w:rsid w:val="46554DD5"/>
    <w:rsid w:val="46557AA7"/>
    <w:rsid w:val="4664102D"/>
    <w:rsid w:val="466B066F"/>
    <w:rsid w:val="466C0FE0"/>
    <w:rsid w:val="46702972"/>
    <w:rsid w:val="467C503E"/>
    <w:rsid w:val="467D1E19"/>
    <w:rsid w:val="467E387F"/>
    <w:rsid w:val="468A07B2"/>
    <w:rsid w:val="468A0843"/>
    <w:rsid w:val="468A6F9E"/>
    <w:rsid w:val="468B1CA0"/>
    <w:rsid w:val="469067E4"/>
    <w:rsid w:val="4693460F"/>
    <w:rsid w:val="46952697"/>
    <w:rsid w:val="469D223F"/>
    <w:rsid w:val="46A42820"/>
    <w:rsid w:val="46A7530F"/>
    <w:rsid w:val="46A85BA5"/>
    <w:rsid w:val="46AA0719"/>
    <w:rsid w:val="46AA2AED"/>
    <w:rsid w:val="46AA30B7"/>
    <w:rsid w:val="46AB46BC"/>
    <w:rsid w:val="46B23D9E"/>
    <w:rsid w:val="46BB614A"/>
    <w:rsid w:val="46BD3094"/>
    <w:rsid w:val="46C2038A"/>
    <w:rsid w:val="46C3786F"/>
    <w:rsid w:val="46C83104"/>
    <w:rsid w:val="46CD5BB3"/>
    <w:rsid w:val="46CE45B1"/>
    <w:rsid w:val="46D02270"/>
    <w:rsid w:val="46D94BC6"/>
    <w:rsid w:val="46DA75E9"/>
    <w:rsid w:val="46E17DE9"/>
    <w:rsid w:val="46E33CD2"/>
    <w:rsid w:val="46E457F8"/>
    <w:rsid w:val="46E63C4C"/>
    <w:rsid w:val="46E855C9"/>
    <w:rsid w:val="46EE7C9C"/>
    <w:rsid w:val="46F03A8A"/>
    <w:rsid w:val="46F32F9A"/>
    <w:rsid w:val="46F609CB"/>
    <w:rsid w:val="46FA3872"/>
    <w:rsid w:val="46FC363C"/>
    <w:rsid w:val="46FF1D13"/>
    <w:rsid w:val="47021FE6"/>
    <w:rsid w:val="47047B07"/>
    <w:rsid w:val="47091332"/>
    <w:rsid w:val="470C15CA"/>
    <w:rsid w:val="470F53D8"/>
    <w:rsid w:val="4714253C"/>
    <w:rsid w:val="47160B88"/>
    <w:rsid w:val="47190BE0"/>
    <w:rsid w:val="47213B69"/>
    <w:rsid w:val="47215822"/>
    <w:rsid w:val="472207D2"/>
    <w:rsid w:val="472F1953"/>
    <w:rsid w:val="47316190"/>
    <w:rsid w:val="473A6BBC"/>
    <w:rsid w:val="473C41CB"/>
    <w:rsid w:val="473E702B"/>
    <w:rsid w:val="473E7944"/>
    <w:rsid w:val="47445D2A"/>
    <w:rsid w:val="474859E1"/>
    <w:rsid w:val="474A7025"/>
    <w:rsid w:val="47503A74"/>
    <w:rsid w:val="47531930"/>
    <w:rsid w:val="47572288"/>
    <w:rsid w:val="475A1439"/>
    <w:rsid w:val="47636860"/>
    <w:rsid w:val="476C4FA0"/>
    <w:rsid w:val="476D6256"/>
    <w:rsid w:val="47703182"/>
    <w:rsid w:val="4770320A"/>
    <w:rsid w:val="477205CA"/>
    <w:rsid w:val="47735692"/>
    <w:rsid w:val="47761A41"/>
    <w:rsid w:val="4776783D"/>
    <w:rsid w:val="477E13D0"/>
    <w:rsid w:val="477E7A8A"/>
    <w:rsid w:val="47880E29"/>
    <w:rsid w:val="478B2108"/>
    <w:rsid w:val="47914176"/>
    <w:rsid w:val="47916698"/>
    <w:rsid w:val="47955E72"/>
    <w:rsid w:val="479963B0"/>
    <w:rsid w:val="479973F2"/>
    <w:rsid w:val="47A03280"/>
    <w:rsid w:val="47A36121"/>
    <w:rsid w:val="47A64D7D"/>
    <w:rsid w:val="47A9082E"/>
    <w:rsid w:val="47B03E93"/>
    <w:rsid w:val="47B25415"/>
    <w:rsid w:val="47B60C46"/>
    <w:rsid w:val="47C26269"/>
    <w:rsid w:val="47C30952"/>
    <w:rsid w:val="47C33882"/>
    <w:rsid w:val="47C71475"/>
    <w:rsid w:val="47C97F68"/>
    <w:rsid w:val="47CB4622"/>
    <w:rsid w:val="47D10E25"/>
    <w:rsid w:val="47D23092"/>
    <w:rsid w:val="47DC4E04"/>
    <w:rsid w:val="47E046CF"/>
    <w:rsid w:val="47EB4339"/>
    <w:rsid w:val="47F37451"/>
    <w:rsid w:val="47F6507B"/>
    <w:rsid w:val="47F8249C"/>
    <w:rsid w:val="47FA098E"/>
    <w:rsid w:val="47FE0D61"/>
    <w:rsid w:val="48022A93"/>
    <w:rsid w:val="480B3BCA"/>
    <w:rsid w:val="48130663"/>
    <w:rsid w:val="48167B6D"/>
    <w:rsid w:val="481F73DD"/>
    <w:rsid w:val="48246AC0"/>
    <w:rsid w:val="482474F8"/>
    <w:rsid w:val="48265BEB"/>
    <w:rsid w:val="48273530"/>
    <w:rsid w:val="482B4A34"/>
    <w:rsid w:val="48341054"/>
    <w:rsid w:val="483B6EAA"/>
    <w:rsid w:val="483B7668"/>
    <w:rsid w:val="4841223D"/>
    <w:rsid w:val="48486326"/>
    <w:rsid w:val="484D35B2"/>
    <w:rsid w:val="484E2D8B"/>
    <w:rsid w:val="484E4457"/>
    <w:rsid w:val="484E493A"/>
    <w:rsid w:val="48511BA8"/>
    <w:rsid w:val="48584DC4"/>
    <w:rsid w:val="486176AF"/>
    <w:rsid w:val="486235C3"/>
    <w:rsid w:val="486423F8"/>
    <w:rsid w:val="48660A43"/>
    <w:rsid w:val="48675062"/>
    <w:rsid w:val="486B321F"/>
    <w:rsid w:val="48702917"/>
    <w:rsid w:val="487375BC"/>
    <w:rsid w:val="487457C7"/>
    <w:rsid w:val="487645B8"/>
    <w:rsid w:val="48797D22"/>
    <w:rsid w:val="487D2F31"/>
    <w:rsid w:val="487E2597"/>
    <w:rsid w:val="487F4410"/>
    <w:rsid w:val="48830E35"/>
    <w:rsid w:val="48A07699"/>
    <w:rsid w:val="48A20FE3"/>
    <w:rsid w:val="48A36814"/>
    <w:rsid w:val="48A41347"/>
    <w:rsid w:val="48A50E39"/>
    <w:rsid w:val="48A56704"/>
    <w:rsid w:val="48AE3E99"/>
    <w:rsid w:val="48AF2EB4"/>
    <w:rsid w:val="48B80B24"/>
    <w:rsid w:val="48B92D7F"/>
    <w:rsid w:val="48BA40C6"/>
    <w:rsid w:val="48BB3C81"/>
    <w:rsid w:val="48BB5C6E"/>
    <w:rsid w:val="48C27535"/>
    <w:rsid w:val="48C308D5"/>
    <w:rsid w:val="48C732A2"/>
    <w:rsid w:val="48C8556B"/>
    <w:rsid w:val="48C86107"/>
    <w:rsid w:val="48CB2CF7"/>
    <w:rsid w:val="48CE7842"/>
    <w:rsid w:val="48D0682A"/>
    <w:rsid w:val="48D10268"/>
    <w:rsid w:val="48DA2407"/>
    <w:rsid w:val="48DA2945"/>
    <w:rsid w:val="48DC5374"/>
    <w:rsid w:val="48DD6C39"/>
    <w:rsid w:val="48E37077"/>
    <w:rsid w:val="48E50E60"/>
    <w:rsid w:val="48E86BCD"/>
    <w:rsid w:val="48EB7AF8"/>
    <w:rsid w:val="48EC0691"/>
    <w:rsid w:val="48ED17EC"/>
    <w:rsid w:val="48ED2497"/>
    <w:rsid w:val="48EF3636"/>
    <w:rsid w:val="48EF5289"/>
    <w:rsid w:val="48F3635F"/>
    <w:rsid w:val="48F435E3"/>
    <w:rsid w:val="48F9461A"/>
    <w:rsid w:val="48FE0718"/>
    <w:rsid w:val="49023072"/>
    <w:rsid w:val="49071779"/>
    <w:rsid w:val="49094F13"/>
    <w:rsid w:val="490A7F36"/>
    <w:rsid w:val="490D7292"/>
    <w:rsid w:val="49112E27"/>
    <w:rsid w:val="4913696C"/>
    <w:rsid w:val="49154C59"/>
    <w:rsid w:val="49192E5F"/>
    <w:rsid w:val="49286EA8"/>
    <w:rsid w:val="49380485"/>
    <w:rsid w:val="493A2F5E"/>
    <w:rsid w:val="494230F7"/>
    <w:rsid w:val="4946034E"/>
    <w:rsid w:val="49461FE7"/>
    <w:rsid w:val="494B2574"/>
    <w:rsid w:val="494C20B1"/>
    <w:rsid w:val="494F16B1"/>
    <w:rsid w:val="49544A65"/>
    <w:rsid w:val="495F55B8"/>
    <w:rsid w:val="496243CB"/>
    <w:rsid w:val="49624B7C"/>
    <w:rsid w:val="496529F1"/>
    <w:rsid w:val="49656244"/>
    <w:rsid w:val="49672CF7"/>
    <w:rsid w:val="4968436E"/>
    <w:rsid w:val="496F1E7C"/>
    <w:rsid w:val="49735275"/>
    <w:rsid w:val="497A2D92"/>
    <w:rsid w:val="497E19F2"/>
    <w:rsid w:val="49893C35"/>
    <w:rsid w:val="498F3FFA"/>
    <w:rsid w:val="49903064"/>
    <w:rsid w:val="499126BD"/>
    <w:rsid w:val="499824CD"/>
    <w:rsid w:val="4998588C"/>
    <w:rsid w:val="49992636"/>
    <w:rsid w:val="49A63E2E"/>
    <w:rsid w:val="49A7510E"/>
    <w:rsid w:val="49A933BF"/>
    <w:rsid w:val="49AE1A89"/>
    <w:rsid w:val="49AE7064"/>
    <w:rsid w:val="49AF75C9"/>
    <w:rsid w:val="49BA71BE"/>
    <w:rsid w:val="49BD62CF"/>
    <w:rsid w:val="49BF7E95"/>
    <w:rsid w:val="49C3206A"/>
    <w:rsid w:val="49C33C81"/>
    <w:rsid w:val="49CA0468"/>
    <w:rsid w:val="49CC4C26"/>
    <w:rsid w:val="49CF4516"/>
    <w:rsid w:val="49D552E3"/>
    <w:rsid w:val="49D744B4"/>
    <w:rsid w:val="49DB125E"/>
    <w:rsid w:val="49DD35C5"/>
    <w:rsid w:val="49E15DF8"/>
    <w:rsid w:val="49E421C9"/>
    <w:rsid w:val="49E62A57"/>
    <w:rsid w:val="49F62DAA"/>
    <w:rsid w:val="49FA4404"/>
    <w:rsid w:val="49FE733E"/>
    <w:rsid w:val="4A017BF9"/>
    <w:rsid w:val="4A097593"/>
    <w:rsid w:val="4A0D7389"/>
    <w:rsid w:val="4A0E3D7A"/>
    <w:rsid w:val="4A111063"/>
    <w:rsid w:val="4A13449F"/>
    <w:rsid w:val="4A1409EC"/>
    <w:rsid w:val="4A16069A"/>
    <w:rsid w:val="4A166961"/>
    <w:rsid w:val="4A17538D"/>
    <w:rsid w:val="4A1D1804"/>
    <w:rsid w:val="4A1E5FF8"/>
    <w:rsid w:val="4A255B83"/>
    <w:rsid w:val="4A291E6D"/>
    <w:rsid w:val="4A2A7685"/>
    <w:rsid w:val="4A326CC0"/>
    <w:rsid w:val="4A335230"/>
    <w:rsid w:val="4A362EB1"/>
    <w:rsid w:val="4A392262"/>
    <w:rsid w:val="4A3C3D0D"/>
    <w:rsid w:val="4A3F3194"/>
    <w:rsid w:val="4A417133"/>
    <w:rsid w:val="4A462AE6"/>
    <w:rsid w:val="4A4C2D67"/>
    <w:rsid w:val="4A4D5EE9"/>
    <w:rsid w:val="4A4F008E"/>
    <w:rsid w:val="4A511683"/>
    <w:rsid w:val="4A524B97"/>
    <w:rsid w:val="4A5331A6"/>
    <w:rsid w:val="4A56216D"/>
    <w:rsid w:val="4A5B4F4F"/>
    <w:rsid w:val="4A5C5738"/>
    <w:rsid w:val="4A625232"/>
    <w:rsid w:val="4A6318A7"/>
    <w:rsid w:val="4A671D7C"/>
    <w:rsid w:val="4A7118BE"/>
    <w:rsid w:val="4A740A08"/>
    <w:rsid w:val="4A7833A1"/>
    <w:rsid w:val="4A7A31EE"/>
    <w:rsid w:val="4A7F5F9B"/>
    <w:rsid w:val="4A8170A4"/>
    <w:rsid w:val="4A86021F"/>
    <w:rsid w:val="4A86563E"/>
    <w:rsid w:val="4A87706D"/>
    <w:rsid w:val="4A8B29B5"/>
    <w:rsid w:val="4A8F1716"/>
    <w:rsid w:val="4A906BA2"/>
    <w:rsid w:val="4A916E04"/>
    <w:rsid w:val="4A9426A7"/>
    <w:rsid w:val="4A957D45"/>
    <w:rsid w:val="4A9A7614"/>
    <w:rsid w:val="4AA24897"/>
    <w:rsid w:val="4AA252CE"/>
    <w:rsid w:val="4AA2548B"/>
    <w:rsid w:val="4AA622BF"/>
    <w:rsid w:val="4AA90D98"/>
    <w:rsid w:val="4AAB2F35"/>
    <w:rsid w:val="4AAE7B37"/>
    <w:rsid w:val="4AB169DC"/>
    <w:rsid w:val="4AB44D35"/>
    <w:rsid w:val="4AB633FC"/>
    <w:rsid w:val="4AB94210"/>
    <w:rsid w:val="4ABE674C"/>
    <w:rsid w:val="4ABF4FCF"/>
    <w:rsid w:val="4AC13F4B"/>
    <w:rsid w:val="4AC71832"/>
    <w:rsid w:val="4ACA637E"/>
    <w:rsid w:val="4ACB1CE1"/>
    <w:rsid w:val="4AD06800"/>
    <w:rsid w:val="4AD35DD7"/>
    <w:rsid w:val="4AD854B8"/>
    <w:rsid w:val="4AD90337"/>
    <w:rsid w:val="4ADB1E93"/>
    <w:rsid w:val="4AE069E9"/>
    <w:rsid w:val="4AE16952"/>
    <w:rsid w:val="4AE223DE"/>
    <w:rsid w:val="4AEB1DEB"/>
    <w:rsid w:val="4AF70EC9"/>
    <w:rsid w:val="4AFA64CB"/>
    <w:rsid w:val="4AFA7D6B"/>
    <w:rsid w:val="4AFE70E6"/>
    <w:rsid w:val="4B0C20F8"/>
    <w:rsid w:val="4B0F5A48"/>
    <w:rsid w:val="4B102CBB"/>
    <w:rsid w:val="4B120A2F"/>
    <w:rsid w:val="4B133EEB"/>
    <w:rsid w:val="4B16607B"/>
    <w:rsid w:val="4B2C63B8"/>
    <w:rsid w:val="4B2D0CF3"/>
    <w:rsid w:val="4B2D640B"/>
    <w:rsid w:val="4B3076E7"/>
    <w:rsid w:val="4B311F84"/>
    <w:rsid w:val="4B360502"/>
    <w:rsid w:val="4B3728EE"/>
    <w:rsid w:val="4B392C74"/>
    <w:rsid w:val="4B3D46ED"/>
    <w:rsid w:val="4B472A72"/>
    <w:rsid w:val="4B49751A"/>
    <w:rsid w:val="4B497693"/>
    <w:rsid w:val="4B507645"/>
    <w:rsid w:val="4B5A5FE0"/>
    <w:rsid w:val="4B5B2B20"/>
    <w:rsid w:val="4B5E4A0F"/>
    <w:rsid w:val="4B5F3A90"/>
    <w:rsid w:val="4B611B32"/>
    <w:rsid w:val="4B6305EA"/>
    <w:rsid w:val="4B657C13"/>
    <w:rsid w:val="4B76302E"/>
    <w:rsid w:val="4B791B8F"/>
    <w:rsid w:val="4B7B2B55"/>
    <w:rsid w:val="4B7F62CD"/>
    <w:rsid w:val="4B8A362A"/>
    <w:rsid w:val="4B8C7973"/>
    <w:rsid w:val="4B907629"/>
    <w:rsid w:val="4BA07CF1"/>
    <w:rsid w:val="4BA928BE"/>
    <w:rsid w:val="4BA95BF2"/>
    <w:rsid w:val="4BB3684A"/>
    <w:rsid w:val="4BB677AF"/>
    <w:rsid w:val="4BB903A7"/>
    <w:rsid w:val="4BB941C0"/>
    <w:rsid w:val="4BB965F8"/>
    <w:rsid w:val="4BBC7A55"/>
    <w:rsid w:val="4BBD4F2C"/>
    <w:rsid w:val="4BBF52DE"/>
    <w:rsid w:val="4BCA007E"/>
    <w:rsid w:val="4BCD5A68"/>
    <w:rsid w:val="4BD64CF6"/>
    <w:rsid w:val="4BD96C11"/>
    <w:rsid w:val="4BDD5D97"/>
    <w:rsid w:val="4BE006EE"/>
    <w:rsid w:val="4BE17E12"/>
    <w:rsid w:val="4BE542ED"/>
    <w:rsid w:val="4BEA2CE9"/>
    <w:rsid w:val="4BEE5C3D"/>
    <w:rsid w:val="4BEF5BD1"/>
    <w:rsid w:val="4BF025DB"/>
    <w:rsid w:val="4BF052E5"/>
    <w:rsid w:val="4BF12265"/>
    <w:rsid w:val="4BF16A84"/>
    <w:rsid w:val="4BF26204"/>
    <w:rsid w:val="4BF3798B"/>
    <w:rsid w:val="4C005E72"/>
    <w:rsid w:val="4C013867"/>
    <w:rsid w:val="4C0B4C68"/>
    <w:rsid w:val="4C0D4284"/>
    <w:rsid w:val="4C0F5609"/>
    <w:rsid w:val="4C142711"/>
    <w:rsid w:val="4C165C3D"/>
    <w:rsid w:val="4C1704C2"/>
    <w:rsid w:val="4C174090"/>
    <w:rsid w:val="4C17454B"/>
    <w:rsid w:val="4C176694"/>
    <w:rsid w:val="4C1A53CC"/>
    <w:rsid w:val="4C1B255B"/>
    <w:rsid w:val="4C26759F"/>
    <w:rsid w:val="4C2835BB"/>
    <w:rsid w:val="4C285AEC"/>
    <w:rsid w:val="4C2864CB"/>
    <w:rsid w:val="4C2A2338"/>
    <w:rsid w:val="4C2B73D1"/>
    <w:rsid w:val="4C2F30F2"/>
    <w:rsid w:val="4C3173DF"/>
    <w:rsid w:val="4C31771C"/>
    <w:rsid w:val="4C34337E"/>
    <w:rsid w:val="4C3C1A19"/>
    <w:rsid w:val="4C422222"/>
    <w:rsid w:val="4C473A4B"/>
    <w:rsid w:val="4C4C7120"/>
    <w:rsid w:val="4C4D290D"/>
    <w:rsid w:val="4C4E2D55"/>
    <w:rsid w:val="4C527DD0"/>
    <w:rsid w:val="4C55725B"/>
    <w:rsid w:val="4C5655A8"/>
    <w:rsid w:val="4C5B64BC"/>
    <w:rsid w:val="4C5C6C95"/>
    <w:rsid w:val="4C635475"/>
    <w:rsid w:val="4C672420"/>
    <w:rsid w:val="4C674954"/>
    <w:rsid w:val="4C67536F"/>
    <w:rsid w:val="4C6C0CF1"/>
    <w:rsid w:val="4C6C7C12"/>
    <w:rsid w:val="4C6D21FF"/>
    <w:rsid w:val="4C7122A8"/>
    <w:rsid w:val="4C731306"/>
    <w:rsid w:val="4C754583"/>
    <w:rsid w:val="4C761665"/>
    <w:rsid w:val="4C7A09E6"/>
    <w:rsid w:val="4C7A2EBB"/>
    <w:rsid w:val="4C7A77FC"/>
    <w:rsid w:val="4C7F62AA"/>
    <w:rsid w:val="4C80140E"/>
    <w:rsid w:val="4C867F56"/>
    <w:rsid w:val="4C872C0B"/>
    <w:rsid w:val="4C8858A6"/>
    <w:rsid w:val="4C8A2BBE"/>
    <w:rsid w:val="4C8C7E64"/>
    <w:rsid w:val="4C9E7682"/>
    <w:rsid w:val="4CA16B2D"/>
    <w:rsid w:val="4CA44D36"/>
    <w:rsid w:val="4CA64097"/>
    <w:rsid w:val="4CAA1E3C"/>
    <w:rsid w:val="4CAB18B5"/>
    <w:rsid w:val="4CAF59C0"/>
    <w:rsid w:val="4CB12014"/>
    <w:rsid w:val="4CB9677B"/>
    <w:rsid w:val="4CBC1721"/>
    <w:rsid w:val="4CBD75EE"/>
    <w:rsid w:val="4CC142D5"/>
    <w:rsid w:val="4CC24A06"/>
    <w:rsid w:val="4CC450C1"/>
    <w:rsid w:val="4CCB63FC"/>
    <w:rsid w:val="4CD16FFC"/>
    <w:rsid w:val="4CD20B0E"/>
    <w:rsid w:val="4CD81D1C"/>
    <w:rsid w:val="4CDB7C22"/>
    <w:rsid w:val="4CDC0564"/>
    <w:rsid w:val="4CDF6C91"/>
    <w:rsid w:val="4CE245EC"/>
    <w:rsid w:val="4CE467E5"/>
    <w:rsid w:val="4CE874EE"/>
    <w:rsid w:val="4CF81D38"/>
    <w:rsid w:val="4CF9151F"/>
    <w:rsid w:val="4CFB7B4F"/>
    <w:rsid w:val="4D005D65"/>
    <w:rsid w:val="4D0061DD"/>
    <w:rsid w:val="4D052144"/>
    <w:rsid w:val="4D072384"/>
    <w:rsid w:val="4D0B0A62"/>
    <w:rsid w:val="4D0C68A3"/>
    <w:rsid w:val="4D0E59BE"/>
    <w:rsid w:val="4D113D70"/>
    <w:rsid w:val="4D1255A9"/>
    <w:rsid w:val="4D163525"/>
    <w:rsid w:val="4D1734C1"/>
    <w:rsid w:val="4D173F22"/>
    <w:rsid w:val="4D186379"/>
    <w:rsid w:val="4D1E5930"/>
    <w:rsid w:val="4D1F2924"/>
    <w:rsid w:val="4D22479D"/>
    <w:rsid w:val="4D234121"/>
    <w:rsid w:val="4D2463D2"/>
    <w:rsid w:val="4D266D5A"/>
    <w:rsid w:val="4D2902D0"/>
    <w:rsid w:val="4D2C091D"/>
    <w:rsid w:val="4D2D3B4D"/>
    <w:rsid w:val="4D312F1D"/>
    <w:rsid w:val="4D3503C1"/>
    <w:rsid w:val="4D376480"/>
    <w:rsid w:val="4D3B4FE5"/>
    <w:rsid w:val="4D4A7E12"/>
    <w:rsid w:val="4D4B5A96"/>
    <w:rsid w:val="4D4E452C"/>
    <w:rsid w:val="4D55497E"/>
    <w:rsid w:val="4D562C97"/>
    <w:rsid w:val="4D5705EB"/>
    <w:rsid w:val="4D5727EB"/>
    <w:rsid w:val="4D5A7F82"/>
    <w:rsid w:val="4D5F1BEF"/>
    <w:rsid w:val="4D6012C7"/>
    <w:rsid w:val="4D666386"/>
    <w:rsid w:val="4D6B714A"/>
    <w:rsid w:val="4D720D6E"/>
    <w:rsid w:val="4D773690"/>
    <w:rsid w:val="4D777484"/>
    <w:rsid w:val="4D7C1CFA"/>
    <w:rsid w:val="4D852B6C"/>
    <w:rsid w:val="4D8C1DF6"/>
    <w:rsid w:val="4D906F54"/>
    <w:rsid w:val="4D944B8D"/>
    <w:rsid w:val="4D9C6660"/>
    <w:rsid w:val="4DA15CC9"/>
    <w:rsid w:val="4DA97133"/>
    <w:rsid w:val="4DAC5DA9"/>
    <w:rsid w:val="4DB36BA6"/>
    <w:rsid w:val="4DB716ED"/>
    <w:rsid w:val="4DBC6754"/>
    <w:rsid w:val="4DC82A4C"/>
    <w:rsid w:val="4DCA4A40"/>
    <w:rsid w:val="4DCA76A0"/>
    <w:rsid w:val="4DCE5D0F"/>
    <w:rsid w:val="4DD018A2"/>
    <w:rsid w:val="4DD66CE4"/>
    <w:rsid w:val="4DDB19AB"/>
    <w:rsid w:val="4DE25570"/>
    <w:rsid w:val="4DE42106"/>
    <w:rsid w:val="4DEE61CD"/>
    <w:rsid w:val="4DF1301B"/>
    <w:rsid w:val="4DF77166"/>
    <w:rsid w:val="4DF80FFC"/>
    <w:rsid w:val="4DFA61F5"/>
    <w:rsid w:val="4DFB0592"/>
    <w:rsid w:val="4DFD18C7"/>
    <w:rsid w:val="4DFF22E9"/>
    <w:rsid w:val="4E0055D2"/>
    <w:rsid w:val="4E05295D"/>
    <w:rsid w:val="4E066D3A"/>
    <w:rsid w:val="4E0D193C"/>
    <w:rsid w:val="4E0E134F"/>
    <w:rsid w:val="4E0E78ED"/>
    <w:rsid w:val="4E12189F"/>
    <w:rsid w:val="4E136E0D"/>
    <w:rsid w:val="4E1B211F"/>
    <w:rsid w:val="4E1C5B65"/>
    <w:rsid w:val="4E1F489B"/>
    <w:rsid w:val="4E2010F9"/>
    <w:rsid w:val="4E297D03"/>
    <w:rsid w:val="4E2F43D7"/>
    <w:rsid w:val="4E335F84"/>
    <w:rsid w:val="4E340F5E"/>
    <w:rsid w:val="4E3C52B9"/>
    <w:rsid w:val="4E4170F1"/>
    <w:rsid w:val="4E41760A"/>
    <w:rsid w:val="4E436E72"/>
    <w:rsid w:val="4E487E89"/>
    <w:rsid w:val="4E4B4561"/>
    <w:rsid w:val="4E4E02CA"/>
    <w:rsid w:val="4E4F0103"/>
    <w:rsid w:val="4E584998"/>
    <w:rsid w:val="4E5C699A"/>
    <w:rsid w:val="4E5F14AB"/>
    <w:rsid w:val="4E6A5476"/>
    <w:rsid w:val="4E702361"/>
    <w:rsid w:val="4E733BA5"/>
    <w:rsid w:val="4E737749"/>
    <w:rsid w:val="4E74373C"/>
    <w:rsid w:val="4E7810EB"/>
    <w:rsid w:val="4E7814E8"/>
    <w:rsid w:val="4E7A4CA5"/>
    <w:rsid w:val="4E7C7DD1"/>
    <w:rsid w:val="4E8A588D"/>
    <w:rsid w:val="4E965A78"/>
    <w:rsid w:val="4EA06B78"/>
    <w:rsid w:val="4EA4714C"/>
    <w:rsid w:val="4EA5382D"/>
    <w:rsid w:val="4EA67BA9"/>
    <w:rsid w:val="4EAA75D2"/>
    <w:rsid w:val="4EAB0440"/>
    <w:rsid w:val="4EB0712A"/>
    <w:rsid w:val="4EB57CED"/>
    <w:rsid w:val="4EBC0EE9"/>
    <w:rsid w:val="4EC26208"/>
    <w:rsid w:val="4EC54530"/>
    <w:rsid w:val="4EC556CA"/>
    <w:rsid w:val="4EC866A5"/>
    <w:rsid w:val="4EC866F0"/>
    <w:rsid w:val="4ECB4438"/>
    <w:rsid w:val="4ED01B9F"/>
    <w:rsid w:val="4ED52E4A"/>
    <w:rsid w:val="4ED721FB"/>
    <w:rsid w:val="4ED87931"/>
    <w:rsid w:val="4EDB6FCD"/>
    <w:rsid w:val="4EDD6DDB"/>
    <w:rsid w:val="4EDE13E3"/>
    <w:rsid w:val="4EE26050"/>
    <w:rsid w:val="4EE4638A"/>
    <w:rsid w:val="4EE5662D"/>
    <w:rsid w:val="4EE647DE"/>
    <w:rsid w:val="4EE75235"/>
    <w:rsid w:val="4EE907CF"/>
    <w:rsid w:val="4EED56DB"/>
    <w:rsid w:val="4EEE40C2"/>
    <w:rsid w:val="4EF2104F"/>
    <w:rsid w:val="4EF316B2"/>
    <w:rsid w:val="4EF40013"/>
    <w:rsid w:val="4EF72D3E"/>
    <w:rsid w:val="4EFC6737"/>
    <w:rsid w:val="4EFE220C"/>
    <w:rsid w:val="4EFE53DC"/>
    <w:rsid w:val="4F0D77F6"/>
    <w:rsid w:val="4F143577"/>
    <w:rsid w:val="4F160AAB"/>
    <w:rsid w:val="4F1610B3"/>
    <w:rsid w:val="4F17451E"/>
    <w:rsid w:val="4F1A3C86"/>
    <w:rsid w:val="4F1B7A76"/>
    <w:rsid w:val="4F1C621A"/>
    <w:rsid w:val="4F265E64"/>
    <w:rsid w:val="4F280EE3"/>
    <w:rsid w:val="4F2C13EC"/>
    <w:rsid w:val="4F314C6F"/>
    <w:rsid w:val="4F352A19"/>
    <w:rsid w:val="4F3A3625"/>
    <w:rsid w:val="4F3F2BF4"/>
    <w:rsid w:val="4F417AF7"/>
    <w:rsid w:val="4F465D41"/>
    <w:rsid w:val="4F4B6F8D"/>
    <w:rsid w:val="4F4C6060"/>
    <w:rsid w:val="4F4C71C0"/>
    <w:rsid w:val="4F513070"/>
    <w:rsid w:val="4F55229F"/>
    <w:rsid w:val="4F60434D"/>
    <w:rsid w:val="4F642959"/>
    <w:rsid w:val="4F663063"/>
    <w:rsid w:val="4F672A4E"/>
    <w:rsid w:val="4F6F40F2"/>
    <w:rsid w:val="4F777867"/>
    <w:rsid w:val="4F7826BD"/>
    <w:rsid w:val="4F794264"/>
    <w:rsid w:val="4F7B49A0"/>
    <w:rsid w:val="4F825C51"/>
    <w:rsid w:val="4F845551"/>
    <w:rsid w:val="4F8C2FB6"/>
    <w:rsid w:val="4F8D1329"/>
    <w:rsid w:val="4F8E4AB3"/>
    <w:rsid w:val="4F8E5CF3"/>
    <w:rsid w:val="4F916278"/>
    <w:rsid w:val="4F945328"/>
    <w:rsid w:val="4F9810FF"/>
    <w:rsid w:val="4F9C5C03"/>
    <w:rsid w:val="4F9F25C6"/>
    <w:rsid w:val="4FA00831"/>
    <w:rsid w:val="4FAE6AD5"/>
    <w:rsid w:val="4FB03C21"/>
    <w:rsid w:val="4FB049B0"/>
    <w:rsid w:val="4FB269FD"/>
    <w:rsid w:val="4FB819F4"/>
    <w:rsid w:val="4FB97ED4"/>
    <w:rsid w:val="4FC20ADE"/>
    <w:rsid w:val="4FC8267F"/>
    <w:rsid w:val="4FCF0AE0"/>
    <w:rsid w:val="4FD06650"/>
    <w:rsid w:val="4FDF4114"/>
    <w:rsid w:val="4FE271CF"/>
    <w:rsid w:val="4FE61E4B"/>
    <w:rsid w:val="4FEA5B4F"/>
    <w:rsid w:val="4FF41896"/>
    <w:rsid w:val="4FF67424"/>
    <w:rsid w:val="4FF8520D"/>
    <w:rsid w:val="5002385D"/>
    <w:rsid w:val="500941DA"/>
    <w:rsid w:val="500A01A8"/>
    <w:rsid w:val="50101D0E"/>
    <w:rsid w:val="50115702"/>
    <w:rsid w:val="50162BB9"/>
    <w:rsid w:val="50180467"/>
    <w:rsid w:val="501B0EA9"/>
    <w:rsid w:val="501D2FB4"/>
    <w:rsid w:val="501E1BC3"/>
    <w:rsid w:val="50247FBE"/>
    <w:rsid w:val="50251C58"/>
    <w:rsid w:val="5026588C"/>
    <w:rsid w:val="502D03BD"/>
    <w:rsid w:val="50302E33"/>
    <w:rsid w:val="503A1CE4"/>
    <w:rsid w:val="503D3595"/>
    <w:rsid w:val="50427896"/>
    <w:rsid w:val="50437883"/>
    <w:rsid w:val="50443BA2"/>
    <w:rsid w:val="504852A0"/>
    <w:rsid w:val="504972EE"/>
    <w:rsid w:val="504C4F5C"/>
    <w:rsid w:val="50516FC3"/>
    <w:rsid w:val="50521447"/>
    <w:rsid w:val="50522361"/>
    <w:rsid w:val="50525F01"/>
    <w:rsid w:val="50545447"/>
    <w:rsid w:val="505D7791"/>
    <w:rsid w:val="50644459"/>
    <w:rsid w:val="506730D9"/>
    <w:rsid w:val="506A474F"/>
    <w:rsid w:val="50732F38"/>
    <w:rsid w:val="5077491D"/>
    <w:rsid w:val="507A03ED"/>
    <w:rsid w:val="507F526E"/>
    <w:rsid w:val="50804590"/>
    <w:rsid w:val="50817153"/>
    <w:rsid w:val="50821567"/>
    <w:rsid w:val="50852CF6"/>
    <w:rsid w:val="508550AA"/>
    <w:rsid w:val="508B5075"/>
    <w:rsid w:val="508D5704"/>
    <w:rsid w:val="5094645C"/>
    <w:rsid w:val="5095338D"/>
    <w:rsid w:val="509761E3"/>
    <w:rsid w:val="509936FA"/>
    <w:rsid w:val="509A0551"/>
    <w:rsid w:val="509B25A6"/>
    <w:rsid w:val="50B0348B"/>
    <w:rsid w:val="50B22C21"/>
    <w:rsid w:val="50BA1DB6"/>
    <w:rsid w:val="50BC1072"/>
    <w:rsid w:val="50BC2109"/>
    <w:rsid w:val="50BD4CBA"/>
    <w:rsid w:val="50C011A2"/>
    <w:rsid w:val="50C72AA7"/>
    <w:rsid w:val="50C93154"/>
    <w:rsid w:val="50CE0E85"/>
    <w:rsid w:val="50CF6657"/>
    <w:rsid w:val="50D10111"/>
    <w:rsid w:val="50D124F8"/>
    <w:rsid w:val="50D1467D"/>
    <w:rsid w:val="50D56A8D"/>
    <w:rsid w:val="50D625C4"/>
    <w:rsid w:val="50D74963"/>
    <w:rsid w:val="50DC0C05"/>
    <w:rsid w:val="50DD03EC"/>
    <w:rsid w:val="50DE57D0"/>
    <w:rsid w:val="50DE6521"/>
    <w:rsid w:val="50E07F45"/>
    <w:rsid w:val="50E42B2F"/>
    <w:rsid w:val="50ED7868"/>
    <w:rsid w:val="50F06279"/>
    <w:rsid w:val="50F906CA"/>
    <w:rsid w:val="51032D4F"/>
    <w:rsid w:val="51077079"/>
    <w:rsid w:val="51090998"/>
    <w:rsid w:val="510B25F4"/>
    <w:rsid w:val="51174BFF"/>
    <w:rsid w:val="511B1689"/>
    <w:rsid w:val="51215D4E"/>
    <w:rsid w:val="512528D0"/>
    <w:rsid w:val="51261408"/>
    <w:rsid w:val="512C48D2"/>
    <w:rsid w:val="512F5584"/>
    <w:rsid w:val="513E5D45"/>
    <w:rsid w:val="5142623D"/>
    <w:rsid w:val="51466547"/>
    <w:rsid w:val="514A43CB"/>
    <w:rsid w:val="514D6264"/>
    <w:rsid w:val="51597A8A"/>
    <w:rsid w:val="515F6DF6"/>
    <w:rsid w:val="5161392A"/>
    <w:rsid w:val="5167030A"/>
    <w:rsid w:val="516B6BD6"/>
    <w:rsid w:val="516E6895"/>
    <w:rsid w:val="516F0B6F"/>
    <w:rsid w:val="517010B1"/>
    <w:rsid w:val="517E5B61"/>
    <w:rsid w:val="517F0C9D"/>
    <w:rsid w:val="518121D7"/>
    <w:rsid w:val="518274D9"/>
    <w:rsid w:val="51846661"/>
    <w:rsid w:val="51852565"/>
    <w:rsid w:val="518A252B"/>
    <w:rsid w:val="518E0252"/>
    <w:rsid w:val="518E5A18"/>
    <w:rsid w:val="51946476"/>
    <w:rsid w:val="5195228B"/>
    <w:rsid w:val="5195477E"/>
    <w:rsid w:val="51956129"/>
    <w:rsid w:val="51990CE7"/>
    <w:rsid w:val="519B7116"/>
    <w:rsid w:val="51A80763"/>
    <w:rsid w:val="51AB54BC"/>
    <w:rsid w:val="51AB77BE"/>
    <w:rsid w:val="51AE4C1A"/>
    <w:rsid w:val="51B14A5A"/>
    <w:rsid w:val="51B92E33"/>
    <w:rsid w:val="51D26C1C"/>
    <w:rsid w:val="51D34C67"/>
    <w:rsid w:val="51D6219A"/>
    <w:rsid w:val="51D82963"/>
    <w:rsid w:val="51DD018D"/>
    <w:rsid w:val="51E20384"/>
    <w:rsid w:val="51EF3F91"/>
    <w:rsid w:val="51FC2507"/>
    <w:rsid w:val="51FF48A9"/>
    <w:rsid w:val="52024156"/>
    <w:rsid w:val="5203022A"/>
    <w:rsid w:val="52043ACB"/>
    <w:rsid w:val="520627B7"/>
    <w:rsid w:val="520910F1"/>
    <w:rsid w:val="520A2D05"/>
    <w:rsid w:val="520B7F1F"/>
    <w:rsid w:val="520C5A43"/>
    <w:rsid w:val="520D0116"/>
    <w:rsid w:val="52130322"/>
    <w:rsid w:val="521F5D51"/>
    <w:rsid w:val="52212CB3"/>
    <w:rsid w:val="522261FD"/>
    <w:rsid w:val="52231538"/>
    <w:rsid w:val="522E3AAD"/>
    <w:rsid w:val="52302486"/>
    <w:rsid w:val="52322E3F"/>
    <w:rsid w:val="523402F5"/>
    <w:rsid w:val="524738ED"/>
    <w:rsid w:val="524830E9"/>
    <w:rsid w:val="52530122"/>
    <w:rsid w:val="5255347B"/>
    <w:rsid w:val="52564112"/>
    <w:rsid w:val="52565F30"/>
    <w:rsid w:val="52597F65"/>
    <w:rsid w:val="525B1C16"/>
    <w:rsid w:val="526414C0"/>
    <w:rsid w:val="526A53FF"/>
    <w:rsid w:val="526C0E08"/>
    <w:rsid w:val="526E0111"/>
    <w:rsid w:val="52744AC8"/>
    <w:rsid w:val="52794D4A"/>
    <w:rsid w:val="528253F9"/>
    <w:rsid w:val="52954B1F"/>
    <w:rsid w:val="5296266A"/>
    <w:rsid w:val="5296281D"/>
    <w:rsid w:val="52A426B8"/>
    <w:rsid w:val="52A47033"/>
    <w:rsid w:val="52A9303C"/>
    <w:rsid w:val="52A94B22"/>
    <w:rsid w:val="52AC7D03"/>
    <w:rsid w:val="52AE78AF"/>
    <w:rsid w:val="52B20E6F"/>
    <w:rsid w:val="52BA3B0C"/>
    <w:rsid w:val="52BE1D80"/>
    <w:rsid w:val="52C04E0B"/>
    <w:rsid w:val="52C62BD0"/>
    <w:rsid w:val="52CA6CE4"/>
    <w:rsid w:val="52CA7A31"/>
    <w:rsid w:val="52D1229A"/>
    <w:rsid w:val="52DB4C19"/>
    <w:rsid w:val="52DB7ADD"/>
    <w:rsid w:val="52E92CD0"/>
    <w:rsid w:val="52E93AF6"/>
    <w:rsid w:val="52EC247B"/>
    <w:rsid w:val="52F31E61"/>
    <w:rsid w:val="52F41975"/>
    <w:rsid w:val="52F4304D"/>
    <w:rsid w:val="52F84290"/>
    <w:rsid w:val="52FC0D2C"/>
    <w:rsid w:val="53033508"/>
    <w:rsid w:val="530656B0"/>
    <w:rsid w:val="530F6F84"/>
    <w:rsid w:val="531335B0"/>
    <w:rsid w:val="53176374"/>
    <w:rsid w:val="531C216C"/>
    <w:rsid w:val="53255AA3"/>
    <w:rsid w:val="5329255E"/>
    <w:rsid w:val="532A187A"/>
    <w:rsid w:val="532D02FF"/>
    <w:rsid w:val="532F0611"/>
    <w:rsid w:val="533801E5"/>
    <w:rsid w:val="53425AB4"/>
    <w:rsid w:val="53427051"/>
    <w:rsid w:val="534367B3"/>
    <w:rsid w:val="53465E8B"/>
    <w:rsid w:val="534C012F"/>
    <w:rsid w:val="534F274B"/>
    <w:rsid w:val="534F4522"/>
    <w:rsid w:val="535603F0"/>
    <w:rsid w:val="53583094"/>
    <w:rsid w:val="536208C8"/>
    <w:rsid w:val="536F79BE"/>
    <w:rsid w:val="53713AD4"/>
    <w:rsid w:val="53736328"/>
    <w:rsid w:val="5376540F"/>
    <w:rsid w:val="537D2BE6"/>
    <w:rsid w:val="537D71AF"/>
    <w:rsid w:val="53893956"/>
    <w:rsid w:val="538C2B23"/>
    <w:rsid w:val="538F4031"/>
    <w:rsid w:val="539039AD"/>
    <w:rsid w:val="539215FA"/>
    <w:rsid w:val="539657FB"/>
    <w:rsid w:val="53A3598C"/>
    <w:rsid w:val="53A743AD"/>
    <w:rsid w:val="53A854F0"/>
    <w:rsid w:val="53AB6EA0"/>
    <w:rsid w:val="53B140B7"/>
    <w:rsid w:val="53B5559C"/>
    <w:rsid w:val="53BD4FB1"/>
    <w:rsid w:val="53C4551E"/>
    <w:rsid w:val="53C62B09"/>
    <w:rsid w:val="53CA19E9"/>
    <w:rsid w:val="53CB0A27"/>
    <w:rsid w:val="53CD0CAD"/>
    <w:rsid w:val="53CE476F"/>
    <w:rsid w:val="53D02B44"/>
    <w:rsid w:val="53D177D7"/>
    <w:rsid w:val="53E17A8D"/>
    <w:rsid w:val="53E407A9"/>
    <w:rsid w:val="53E849C8"/>
    <w:rsid w:val="53EE7C30"/>
    <w:rsid w:val="53F114A1"/>
    <w:rsid w:val="53F1555A"/>
    <w:rsid w:val="53F37E85"/>
    <w:rsid w:val="53F85C8F"/>
    <w:rsid w:val="53FB7E1B"/>
    <w:rsid w:val="53FF7FE8"/>
    <w:rsid w:val="54011CDA"/>
    <w:rsid w:val="54082C43"/>
    <w:rsid w:val="541973D8"/>
    <w:rsid w:val="541B70DE"/>
    <w:rsid w:val="541E7495"/>
    <w:rsid w:val="54246EA3"/>
    <w:rsid w:val="542550D9"/>
    <w:rsid w:val="5427009E"/>
    <w:rsid w:val="5429649B"/>
    <w:rsid w:val="542B23A1"/>
    <w:rsid w:val="54337534"/>
    <w:rsid w:val="54374128"/>
    <w:rsid w:val="54385B05"/>
    <w:rsid w:val="54394453"/>
    <w:rsid w:val="54464E50"/>
    <w:rsid w:val="54476484"/>
    <w:rsid w:val="544822B5"/>
    <w:rsid w:val="54485028"/>
    <w:rsid w:val="54485A84"/>
    <w:rsid w:val="544C51EC"/>
    <w:rsid w:val="544E3D16"/>
    <w:rsid w:val="544E50F7"/>
    <w:rsid w:val="545B7610"/>
    <w:rsid w:val="545C259D"/>
    <w:rsid w:val="545D244D"/>
    <w:rsid w:val="54650694"/>
    <w:rsid w:val="5469515B"/>
    <w:rsid w:val="546C059C"/>
    <w:rsid w:val="54723DC1"/>
    <w:rsid w:val="54752D81"/>
    <w:rsid w:val="54765172"/>
    <w:rsid w:val="54780E5A"/>
    <w:rsid w:val="54787A7E"/>
    <w:rsid w:val="54797EE2"/>
    <w:rsid w:val="547A59F0"/>
    <w:rsid w:val="547D7648"/>
    <w:rsid w:val="547F084C"/>
    <w:rsid w:val="5484664B"/>
    <w:rsid w:val="54857D0E"/>
    <w:rsid w:val="548C3583"/>
    <w:rsid w:val="548F0C1C"/>
    <w:rsid w:val="548F66F8"/>
    <w:rsid w:val="54915A91"/>
    <w:rsid w:val="549163B3"/>
    <w:rsid w:val="549174F4"/>
    <w:rsid w:val="54957D05"/>
    <w:rsid w:val="5497692E"/>
    <w:rsid w:val="549D75D7"/>
    <w:rsid w:val="549E5AC0"/>
    <w:rsid w:val="549F6C66"/>
    <w:rsid w:val="54A33DA7"/>
    <w:rsid w:val="54A344D5"/>
    <w:rsid w:val="54A74CA4"/>
    <w:rsid w:val="54AF1EEE"/>
    <w:rsid w:val="54B21FC2"/>
    <w:rsid w:val="54B846CE"/>
    <w:rsid w:val="54B8593A"/>
    <w:rsid w:val="54C07950"/>
    <w:rsid w:val="54C71D8E"/>
    <w:rsid w:val="54C977F9"/>
    <w:rsid w:val="54CA7CEC"/>
    <w:rsid w:val="54CE4336"/>
    <w:rsid w:val="54D35E50"/>
    <w:rsid w:val="54D37B11"/>
    <w:rsid w:val="54D53E0E"/>
    <w:rsid w:val="54D70896"/>
    <w:rsid w:val="54DA3FDE"/>
    <w:rsid w:val="54E62DBE"/>
    <w:rsid w:val="54EA1F72"/>
    <w:rsid w:val="54FE7134"/>
    <w:rsid w:val="54FF46A6"/>
    <w:rsid w:val="55012D97"/>
    <w:rsid w:val="55040904"/>
    <w:rsid w:val="55076ABC"/>
    <w:rsid w:val="550D4F08"/>
    <w:rsid w:val="551009FB"/>
    <w:rsid w:val="5516145D"/>
    <w:rsid w:val="551C53F3"/>
    <w:rsid w:val="55220537"/>
    <w:rsid w:val="552373C3"/>
    <w:rsid w:val="552B21BD"/>
    <w:rsid w:val="552D10C9"/>
    <w:rsid w:val="552D1BEA"/>
    <w:rsid w:val="552E1113"/>
    <w:rsid w:val="5534551E"/>
    <w:rsid w:val="55360C89"/>
    <w:rsid w:val="55362E6A"/>
    <w:rsid w:val="553B541C"/>
    <w:rsid w:val="554313E7"/>
    <w:rsid w:val="55441869"/>
    <w:rsid w:val="554615EA"/>
    <w:rsid w:val="55510097"/>
    <w:rsid w:val="55547B36"/>
    <w:rsid w:val="556369FC"/>
    <w:rsid w:val="55651169"/>
    <w:rsid w:val="556C081C"/>
    <w:rsid w:val="556E11B3"/>
    <w:rsid w:val="556E5B60"/>
    <w:rsid w:val="55743710"/>
    <w:rsid w:val="5574600F"/>
    <w:rsid w:val="557879F6"/>
    <w:rsid w:val="557A53DD"/>
    <w:rsid w:val="557D04ED"/>
    <w:rsid w:val="55806594"/>
    <w:rsid w:val="558962D7"/>
    <w:rsid w:val="558C269A"/>
    <w:rsid w:val="558C5A76"/>
    <w:rsid w:val="558C5BF6"/>
    <w:rsid w:val="5596780D"/>
    <w:rsid w:val="55A107AF"/>
    <w:rsid w:val="55A608EF"/>
    <w:rsid w:val="55A83ACF"/>
    <w:rsid w:val="55AC5F4B"/>
    <w:rsid w:val="55AF4DF8"/>
    <w:rsid w:val="55B03674"/>
    <w:rsid w:val="55B146FB"/>
    <w:rsid w:val="55B50503"/>
    <w:rsid w:val="55B53B29"/>
    <w:rsid w:val="55B870BD"/>
    <w:rsid w:val="55BC59F9"/>
    <w:rsid w:val="55C07435"/>
    <w:rsid w:val="55C141B4"/>
    <w:rsid w:val="55C3431A"/>
    <w:rsid w:val="55C73955"/>
    <w:rsid w:val="55D0668D"/>
    <w:rsid w:val="55D13C63"/>
    <w:rsid w:val="55E02FF4"/>
    <w:rsid w:val="55E15E03"/>
    <w:rsid w:val="55E34CC8"/>
    <w:rsid w:val="55E60EA3"/>
    <w:rsid w:val="55EB502E"/>
    <w:rsid w:val="55F12821"/>
    <w:rsid w:val="55F26525"/>
    <w:rsid w:val="55F47356"/>
    <w:rsid w:val="5602308C"/>
    <w:rsid w:val="5604182E"/>
    <w:rsid w:val="56074C11"/>
    <w:rsid w:val="560833D5"/>
    <w:rsid w:val="560C3ECC"/>
    <w:rsid w:val="560E502D"/>
    <w:rsid w:val="560F05F7"/>
    <w:rsid w:val="560F6263"/>
    <w:rsid w:val="56130A58"/>
    <w:rsid w:val="561533A5"/>
    <w:rsid w:val="561D0DFA"/>
    <w:rsid w:val="561E4B49"/>
    <w:rsid w:val="56246895"/>
    <w:rsid w:val="56264E36"/>
    <w:rsid w:val="562D75AA"/>
    <w:rsid w:val="563F03D8"/>
    <w:rsid w:val="56425AA2"/>
    <w:rsid w:val="5643272A"/>
    <w:rsid w:val="56450DB4"/>
    <w:rsid w:val="564653B7"/>
    <w:rsid w:val="56480099"/>
    <w:rsid w:val="5649353F"/>
    <w:rsid w:val="564B6F89"/>
    <w:rsid w:val="564F034F"/>
    <w:rsid w:val="56506A66"/>
    <w:rsid w:val="56513619"/>
    <w:rsid w:val="56546E22"/>
    <w:rsid w:val="56551FB9"/>
    <w:rsid w:val="56596DA2"/>
    <w:rsid w:val="565D74CB"/>
    <w:rsid w:val="565D7E9B"/>
    <w:rsid w:val="565E627E"/>
    <w:rsid w:val="565F018E"/>
    <w:rsid w:val="56696F2C"/>
    <w:rsid w:val="56713BC7"/>
    <w:rsid w:val="5672161C"/>
    <w:rsid w:val="56726B52"/>
    <w:rsid w:val="56751512"/>
    <w:rsid w:val="5678208A"/>
    <w:rsid w:val="567D3AF3"/>
    <w:rsid w:val="56830A0E"/>
    <w:rsid w:val="568A3C42"/>
    <w:rsid w:val="568E2DD8"/>
    <w:rsid w:val="569074B3"/>
    <w:rsid w:val="56912D81"/>
    <w:rsid w:val="569253E0"/>
    <w:rsid w:val="569C16D1"/>
    <w:rsid w:val="569D5F9E"/>
    <w:rsid w:val="569F2D34"/>
    <w:rsid w:val="569F3639"/>
    <w:rsid w:val="56A60D19"/>
    <w:rsid w:val="56AA64CD"/>
    <w:rsid w:val="56BA7BD4"/>
    <w:rsid w:val="56BC2804"/>
    <w:rsid w:val="56BC5264"/>
    <w:rsid w:val="56BF619C"/>
    <w:rsid w:val="56C31BB8"/>
    <w:rsid w:val="56C6341A"/>
    <w:rsid w:val="56CC5B38"/>
    <w:rsid w:val="56D9740B"/>
    <w:rsid w:val="56DA2A9B"/>
    <w:rsid w:val="56DD1FA2"/>
    <w:rsid w:val="56DE527D"/>
    <w:rsid w:val="56DE5DD3"/>
    <w:rsid w:val="56E37A3F"/>
    <w:rsid w:val="56E64A87"/>
    <w:rsid w:val="56E66C14"/>
    <w:rsid w:val="56E8048D"/>
    <w:rsid w:val="56E90288"/>
    <w:rsid w:val="56EB00BC"/>
    <w:rsid w:val="56F30118"/>
    <w:rsid w:val="56F720D5"/>
    <w:rsid w:val="57036FC1"/>
    <w:rsid w:val="570544D9"/>
    <w:rsid w:val="57074872"/>
    <w:rsid w:val="57084370"/>
    <w:rsid w:val="57091FE7"/>
    <w:rsid w:val="570A652E"/>
    <w:rsid w:val="570E6000"/>
    <w:rsid w:val="57107949"/>
    <w:rsid w:val="57171CBC"/>
    <w:rsid w:val="571C1254"/>
    <w:rsid w:val="571E72A3"/>
    <w:rsid w:val="57261E48"/>
    <w:rsid w:val="57285803"/>
    <w:rsid w:val="572A0AC4"/>
    <w:rsid w:val="572E2A2E"/>
    <w:rsid w:val="573014D5"/>
    <w:rsid w:val="573D7FCB"/>
    <w:rsid w:val="574533A4"/>
    <w:rsid w:val="57474B68"/>
    <w:rsid w:val="574A589E"/>
    <w:rsid w:val="574D296A"/>
    <w:rsid w:val="57572C4F"/>
    <w:rsid w:val="57590B0E"/>
    <w:rsid w:val="575A39AA"/>
    <w:rsid w:val="575A515E"/>
    <w:rsid w:val="575B362E"/>
    <w:rsid w:val="57630630"/>
    <w:rsid w:val="57674493"/>
    <w:rsid w:val="576B3B91"/>
    <w:rsid w:val="576F02C5"/>
    <w:rsid w:val="577543F5"/>
    <w:rsid w:val="57792687"/>
    <w:rsid w:val="577C1720"/>
    <w:rsid w:val="57805F0A"/>
    <w:rsid w:val="578B0142"/>
    <w:rsid w:val="578E0A43"/>
    <w:rsid w:val="578F2751"/>
    <w:rsid w:val="57903E65"/>
    <w:rsid w:val="579176F9"/>
    <w:rsid w:val="57971BB7"/>
    <w:rsid w:val="57974529"/>
    <w:rsid w:val="579B4A35"/>
    <w:rsid w:val="579E0143"/>
    <w:rsid w:val="57A138C6"/>
    <w:rsid w:val="57A36DFC"/>
    <w:rsid w:val="57AA17CF"/>
    <w:rsid w:val="57AC5293"/>
    <w:rsid w:val="57B1287B"/>
    <w:rsid w:val="57BF07E3"/>
    <w:rsid w:val="57CE2882"/>
    <w:rsid w:val="57D05566"/>
    <w:rsid w:val="57D351C2"/>
    <w:rsid w:val="57D92503"/>
    <w:rsid w:val="57DA6E8D"/>
    <w:rsid w:val="57DD3F5D"/>
    <w:rsid w:val="57E4772E"/>
    <w:rsid w:val="57EC79FE"/>
    <w:rsid w:val="57EF0E52"/>
    <w:rsid w:val="57F23962"/>
    <w:rsid w:val="57F50E89"/>
    <w:rsid w:val="57F6720C"/>
    <w:rsid w:val="57FF759D"/>
    <w:rsid w:val="58001296"/>
    <w:rsid w:val="58014A7B"/>
    <w:rsid w:val="5803130E"/>
    <w:rsid w:val="5804706E"/>
    <w:rsid w:val="58187E0B"/>
    <w:rsid w:val="581A4D00"/>
    <w:rsid w:val="58224EE3"/>
    <w:rsid w:val="58227846"/>
    <w:rsid w:val="5826449C"/>
    <w:rsid w:val="5829106D"/>
    <w:rsid w:val="5829496F"/>
    <w:rsid w:val="58334028"/>
    <w:rsid w:val="58376EBD"/>
    <w:rsid w:val="583B0009"/>
    <w:rsid w:val="583D7A71"/>
    <w:rsid w:val="5849528E"/>
    <w:rsid w:val="5857257D"/>
    <w:rsid w:val="585D17B1"/>
    <w:rsid w:val="586B21C1"/>
    <w:rsid w:val="586C0281"/>
    <w:rsid w:val="586D5DAF"/>
    <w:rsid w:val="586E1277"/>
    <w:rsid w:val="58704E4C"/>
    <w:rsid w:val="58745444"/>
    <w:rsid w:val="58762B51"/>
    <w:rsid w:val="587673E0"/>
    <w:rsid w:val="587F2D2E"/>
    <w:rsid w:val="58804EA0"/>
    <w:rsid w:val="58814AD7"/>
    <w:rsid w:val="588278D2"/>
    <w:rsid w:val="588A7BA0"/>
    <w:rsid w:val="58921C6B"/>
    <w:rsid w:val="58974425"/>
    <w:rsid w:val="58997710"/>
    <w:rsid w:val="589B13F1"/>
    <w:rsid w:val="589D6C21"/>
    <w:rsid w:val="589F001C"/>
    <w:rsid w:val="589F0AEA"/>
    <w:rsid w:val="589F469B"/>
    <w:rsid w:val="58A67F75"/>
    <w:rsid w:val="58AC164D"/>
    <w:rsid w:val="58B14960"/>
    <w:rsid w:val="58B37A4C"/>
    <w:rsid w:val="58B750C6"/>
    <w:rsid w:val="58B932A6"/>
    <w:rsid w:val="58BA6F66"/>
    <w:rsid w:val="58BD1BF7"/>
    <w:rsid w:val="58BE593E"/>
    <w:rsid w:val="58CB588B"/>
    <w:rsid w:val="58CC33BA"/>
    <w:rsid w:val="58CF7274"/>
    <w:rsid w:val="58D53932"/>
    <w:rsid w:val="58DC5376"/>
    <w:rsid w:val="58DF1921"/>
    <w:rsid w:val="58EE5FAE"/>
    <w:rsid w:val="58F26743"/>
    <w:rsid w:val="58F76A21"/>
    <w:rsid w:val="590250E2"/>
    <w:rsid w:val="5903690D"/>
    <w:rsid w:val="59091EF1"/>
    <w:rsid w:val="590D235C"/>
    <w:rsid w:val="590F19AC"/>
    <w:rsid w:val="59100827"/>
    <w:rsid w:val="59263C9F"/>
    <w:rsid w:val="592A6AEC"/>
    <w:rsid w:val="592D7984"/>
    <w:rsid w:val="593258AC"/>
    <w:rsid w:val="593639AE"/>
    <w:rsid w:val="59364799"/>
    <w:rsid w:val="59377398"/>
    <w:rsid w:val="59383657"/>
    <w:rsid w:val="593B383E"/>
    <w:rsid w:val="593D6CFB"/>
    <w:rsid w:val="593F26AD"/>
    <w:rsid w:val="59436AA2"/>
    <w:rsid w:val="59471538"/>
    <w:rsid w:val="594F0984"/>
    <w:rsid w:val="595409D5"/>
    <w:rsid w:val="595911E8"/>
    <w:rsid w:val="595F5E6F"/>
    <w:rsid w:val="5960536B"/>
    <w:rsid w:val="596333A3"/>
    <w:rsid w:val="596B56B4"/>
    <w:rsid w:val="597241B9"/>
    <w:rsid w:val="597264E3"/>
    <w:rsid w:val="597811D3"/>
    <w:rsid w:val="59790232"/>
    <w:rsid w:val="597F505D"/>
    <w:rsid w:val="598073E2"/>
    <w:rsid w:val="59810236"/>
    <w:rsid w:val="598124BA"/>
    <w:rsid w:val="59851EBD"/>
    <w:rsid w:val="5989491A"/>
    <w:rsid w:val="598E3607"/>
    <w:rsid w:val="5997190B"/>
    <w:rsid w:val="59987AEB"/>
    <w:rsid w:val="599A76C7"/>
    <w:rsid w:val="59A22292"/>
    <w:rsid w:val="59A8428F"/>
    <w:rsid w:val="59B02E78"/>
    <w:rsid w:val="59B5167D"/>
    <w:rsid w:val="59B53CE1"/>
    <w:rsid w:val="59B71E33"/>
    <w:rsid w:val="59B726D9"/>
    <w:rsid w:val="59B86CAD"/>
    <w:rsid w:val="59BA41B3"/>
    <w:rsid w:val="59BB1B88"/>
    <w:rsid w:val="59BC66DF"/>
    <w:rsid w:val="59BD1CB0"/>
    <w:rsid w:val="59BE1E37"/>
    <w:rsid w:val="59C068B9"/>
    <w:rsid w:val="59C37F41"/>
    <w:rsid w:val="59C46BB5"/>
    <w:rsid w:val="59CB4B87"/>
    <w:rsid w:val="59D350DD"/>
    <w:rsid w:val="59D41351"/>
    <w:rsid w:val="59DA6A48"/>
    <w:rsid w:val="59DC02AE"/>
    <w:rsid w:val="59DD7439"/>
    <w:rsid w:val="59DE24FA"/>
    <w:rsid w:val="59DE5EED"/>
    <w:rsid w:val="59E012DB"/>
    <w:rsid w:val="59EF6AF2"/>
    <w:rsid w:val="59F04B33"/>
    <w:rsid w:val="59F04EF3"/>
    <w:rsid w:val="59F35628"/>
    <w:rsid w:val="59F711D2"/>
    <w:rsid w:val="59F96D39"/>
    <w:rsid w:val="59FF4EC8"/>
    <w:rsid w:val="5A053D8A"/>
    <w:rsid w:val="5A065474"/>
    <w:rsid w:val="5A07158B"/>
    <w:rsid w:val="5A0C0409"/>
    <w:rsid w:val="5A0E08F4"/>
    <w:rsid w:val="5A0E5754"/>
    <w:rsid w:val="5A10139E"/>
    <w:rsid w:val="5A1F5A51"/>
    <w:rsid w:val="5A223D87"/>
    <w:rsid w:val="5A277018"/>
    <w:rsid w:val="5A2A09D6"/>
    <w:rsid w:val="5A2B3381"/>
    <w:rsid w:val="5A2F65E0"/>
    <w:rsid w:val="5A322ED9"/>
    <w:rsid w:val="5A3770A9"/>
    <w:rsid w:val="5A386091"/>
    <w:rsid w:val="5A3C4B76"/>
    <w:rsid w:val="5A3F7400"/>
    <w:rsid w:val="5A46777F"/>
    <w:rsid w:val="5A4A74CB"/>
    <w:rsid w:val="5A4D23B9"/>
    <w:rsid w:val="5A5716D2"/>
    <w:rsid w:val="5A583138"/>
    <w:rsid w:val="5A5A23DB"/>
    <w:rsid w:val="5A636962"/>
    <w:rsid w:val="5A6D76A8"/>
    <w:rsid w:val="5A744930"/>
    <w:rsid w:val="5A79602F"/>
    <w:rsid w:val="5A8273BC"/>
    <w:rsid w:val="5A860EF1"/>
    <w:rsid w:val="5A8830A8"/>
    <w:rsid w:val="5A8F6F60"/>
    <w:rsid w:val="5A935D3C"/>
    <w:rsid w:val="5A950F0A"/>
    <w:rsid w:val="5A956041"/>
    <w:rsid w:val="5A97556C"/>
    <w:rsid w:val="5A9A540E"/>
    <w:rsid w:val="5A9D3D40"/>
    <w:rsid w:val="5A9F35DB"/>
    <w:rsid w:val="5AA467EA"/>
    <w:rsid w:val="5AAC5F30"/>
    <w:rsid w:val="5AB11F95"/>
    <w:rsid w:val="5AB206FE"/>
    <w:rsid w:val="5AB70BD9"/>
    <w:rsid w:val="5AB9763A"/>
    <w:rsid w:val="5AC23B01"/>
    <w:rsid w:val="5AD06302"/>
    <w:rsid w:val="5ADA71DD"/>
    <w:rsid w:val="5AEA03E1"/>
    <w:rsid w:val="5AF104E3"/>
    <w:rsid w:val="5AF3414F"/>
    <w:rsid w:val="5AF53FF4"/>
    <w:rsid w:val="5AF75909"/>
    <w:rsid w:val="5AF92500"/>
    <w:rsid w:val="5AFA337F"/>
    <w:rsid w:val="5AFB3BCB"/>
    <w:rsid w:val="5AFC4030"/>
    <w:rsid w:val="5AFE0A60"/>
    <w:rsid w:val="5B07501E"/>
    <w:rsid w:val="5B102095"/>
    <w:rsid w:val="5B103E50"/>
    <w:rsid w:val="5B1A0FF5"/>
    <w:rsid w:val="5B1E0329"/>
    <w:rsid w:val="5B1F09D1"/>
    <w:rsid w:val="5B205561"/>
    <w:rsid w:val="5B21687A"/>
    <w:rsid w:val="5B225FAC"/>
    <w:rsid w:val="5B230982"/>
    <w:rsid w:val="5B231F76"/>
    <w:rsid w:val="5B264B5A"/>
    <w:rsid w:val="5B2677C7"/>
    <w:rsid w:val="5B300CF1"/>
    <w:rsid w:val="5B326751"/>
    <w:rsid w:val="5B4059F5"/>
    <w:rsid w:val="5B427037"/>
    <w:rsid w:val="5B4911BE"/>
    <w:rsid w:val="5B4F1E11"/>
    <w:rsid w:val="5B525EF8"/>
    <w:rsid w:val="5B535401"/>
    <w:rsid w:val="5B560F4F"/>
    <w:rsid w:val="5B564B83"/>
    <w:rsid w:val="5B567752"/>
    <w:rsid w:val="5B606F71"/>
    <w:rsid w:val="5B623E69"/>
    <w:rsid w:val="5B695E6F"/>
    <w:rsid w:val="5B6C3EF5"/>
    <w:rsid w:val="5B7075BE"/>
    <w:rsid w:val="5B711EEE"/>
    <w:rsid w:val="5B7139B8"/>
    <w:rsid w:val="5B7A5FCF"/>
    <w:rsid w:val="5B7C3ED6"/>
    <w:rsid w:val="5B8402FF"/>
    <w:rsid w:val="5B85414A"/>
    <w:rsid w:val="5B856DA5"/>
    <w:rsid w:val="5B8806D5"/>
    <w:rsid w:val="5B8B6A3D"/>
    <w:rsid w:val="5B8C3F6B"/>
    <w:rsid w:val="5B933C02"/>
    <w:rsid w:val="5B947101"/>
    <w:rsid w:val="5B9C3F6E"/>
    <w:rsid w:val="5B9E2F55"/>
    <w:rsid w:val="5BA2522A"/>
    <w:rsid w:val="5BA3672F"/>
    <w:rsid w:val="5BAD6723"/>
    <w:rsid w:val="5BB356ED"/>
    <w:rsid w:val="5BC07EE7"/>
    <w:rsid w:val="5BC46E83"/>
    <w:rsid w:val="5BC66581"/>
    <w:rsid w:val="5BC6728C"/>
    <w:rsid w:val="5BC74697"/>
    <w:rsid w:val="5BCE62C4"/>
    <w:rsid w:val="5BD4663D"/>
    <w:rsid w:val="5BDC541A"/>
    <w:rsid w:val="5BDE0709"/>
    <w:rsid w:val="5BE275E8"/>
    <w:rsid w:val="5BE40124"/>
    <w:rsid w:val="5BE7237E"/>
    <w:rsid w:val="5BE76FF7"/>
    <w:rsid w:val="5BEE0580"/>
    <w:rsid w:val="5BF01EAB"/>
    <w:rsid w:val="5BF66378"/>
    <w:rsid w:val="5BF77959"/>
    <w:rsid w:val="5BF80014"/>
    <w:rsid w:val="5BF951E5"/>
    <w:rsid w:val="5BFB0D00"/>
    <w:rsid w:val="5BFD0709"/>
    <w:rsid w:val="5C004637"/>
    <w:rsid w:val="5C06342A"/>
    <w:rsid w:val="5C0B7995"/>
    <w:rsid w:val="5C0C4D0B"/>
    <w:rsid w:val="5C1230C1"/>
    <w:rsid w:val="5C142C6A"/>
    <w:rsid w:val="5C173059"/>
    <w:rsid w:val="5C1A0587"/>
    <w:rsid w:val="5C1B615D"/>
    <w:rsid w:val="5C1D5746"/>
    <w:rsid w:val="5C1F2083"/>
    <w:rsid w:val="5C1F2BAD"/>
    <w:rsid w:val="5C216AAC"/>
    <w:rsid w:val="5C2634CA"/>
    <w:rsid w:val="5C294ABB"/>
    <w:rsid w:val="5C2C7087"/>
    <w:rsid w:val="5C327142"/>
    <w:rsid w:val="5C355726"/>
    <w:rsid w:val="5C494C60"/>
    <w:rsid w:val="5C4A4700"/>
    <w:rsid w:val="5C4C66C4"/>
    <w:rsid w:val="5C4F6778"/>
    <w:rsid w:val="5C515CAB"/>
    <w:rsid w:val="5C5279A9"/>
    <w:rsid w:val="5C536B9F"/>
    <w:rsid w:val="5C5A5C91"/>
    <w:rsid w:val="5C611980"/>
    <w:rsid w:val="5C6126A8"/>
    <w:rsid w:val="5C6B4D8F"/>
    <w:rsid w:val="5C6F4C16"/>
    <w:rsid w:val="5C737AEB"/>
    <w:rsid w:val="5C741FC8"/>
    <w:rsid w:val="5C77624C"/>
    <w:rsid w:val="5C7B73D9"/>
    <w:rsid w:val="5C7E3043"/>
    <w:rsid w:val="5C8020E6"/>
    <w:rsid w:val="5C8C0F42"/>
    <w:rsid w:val="5C92199E"/>
    <w:rsid w:val="5C98179F"/>
    <w:rsid w:val="5C983D65"/>
    <w:rsid w:val="5C986944"/>
    <w:rsid w:val="5C9A31D8"/>
    <w:rsid w:val="5C9B46B9"/>
    <w:rsid w:val="5C9C7947"/>
    <w:rsid w:val="5CA0267F"/>
    <w:rsid w:val="5CA42B4F"/>
    <w:rsid w:val="5CA75219"/>
    <w:rsid w:val="5CA76A13"/>
    <w:rsid w:val="5CA85086"/>
    <w:rsid w:val="5CAB1C4D"/>
    <w:rsid w:val="5CAF380D"/>
    <w:rsid w:val="5CB72AC1"/>
    <w:rsid w:val="5CB9684B"/>
    <w:rsid w:val="5CBE02B5"/>
    <w:rsid w:val="5CD03C8B"/>
    <w:rsid w:val="5CD255BF"/>
    <w:rsid w:val="5CD52D2C"/>
    <w:rsid w:val="5CD630B0"/>
    <w:rsid w:val="5CD97A71"/>
    <w:rsid w:val="5CDC02FC"/>
    <w:rsid w:val="5CE12CC9"/>
    <w:rsid w:val="5CE24EE6"/>
    <w:rsid w:val="5CE852C3"/>
    <w:rsid w:val="5CEB4A54"/>
    <w:rsid w:val="5CEC5589"/>
    <w:rsid w:val="5CF07E27"/>
    <w:rsid w:val="5CF523CC"/>
    <w:rsid w:val="5CF85173"/>
    <w:rsid w:val="5CFB14A7"/>
    <w:rsid w:val="5CFE206C"/>
    <w:rsid w:val="5D035017"/>
    <w:rsid w:val="5D041462"/>
    <w:rsid w:val="5D115570"/>
    <w:rsid w:val="5D16656E"/>
    <w:rsid w:val="5D2B060B"/>
    <w:rsid w:val="5D2F0E4C"/>
    <w:rsid w:val="5D3016B6"/>
    <w:rsid w:val="5D341262"/>
    <w:rsid w:val="5D39108A"/>
    <w:rsid w:val="5D3A0AD8"/>
    <w:rsid w:val="5D3D5121"/>
    <w:rsid w:val="5D4C7D3F"/>
    <w:rsid w:val="5D50113C"/>
    <w:rsid w:val="5D512CCA"/>
    <w:rsid w:val="5D536139"/>
    <w:rsid w:val="5D544460"/>
    <w:rsid w:val="5D57542D"/>
    <w:rsid w:val="5D646A93"/>
    <w:rsid w:val="5D6E4E26"/>
    <w:rsid w:val="5D722B5C"/>
    <w:rsid w:val="5D7557EA"/>
    <w:rsid w:val="5D77509B"/>
    <w:rsid w:val="5D935981"/>
    <w:rsid w:val="5D9706AE"/>
    <w:rsid w:val="5D9B5F1F"/>
    <w:rsid w:val="5D9C3AAE"/>
    <w:rsid w:val="5D9C4908"/>
    <w:rsid w:val="5D9F26DD"/>
    <w:rsid w:val="5DAE1B3F"/>
    <w:rsid w:val="5DAF1FE6"/>
    <w:rsid w:val="5DB70023"/>
    <w:rsid w:val="5DB93576"/>
    <w:rsid w:val="5DB96930"/>
    <w:rsid w:val="5DBD35AB"/>
    <w:rsid w:val="5DBF3730"/>
    <w:rsid w:val="5DC00E6E"/>
    <w:rsid w:val="5DC322BD"/>
    <w:rsid w:val="5DC60DA3"/>
    <w:rsid w:val="5DC84F38"/>
    <w:rsid w:val="5DCA2AEC"/>
    <w:rsid w:val="5DD34B1D"/>
    <w:rsid w:val="5DD95CEC"/>
    <w:rsid w:val="5DE03559"/>
    <w:rsid w:val="5DE53036"/>
    <w:rsid w:val="5DE80F48"/>
    <w:rsid w:val="5DE84FDB"/>
    <w:rsid w:val="5DF513F3"/>
    <w:rsid w:val="5E074FC2"/>
    <w:rsid w:val="5E0813C9"/>
    <w:rsid w:val="5E0E2180"/>
    <w:rsid w:val="5E1A6EEB"/>
    <w:rsid w:val="5E1C05E6"/>
    <w:rsid w:val="5E270089"/>
    <w:rsid w:val="5E2B6A85"/>
    <w:rsid w:val="5E2C3705"/>
    <w:rsid w:val="5E2D5653"/>
    <w:rsid w:val="5E2F1195"/>
    <w:rsid w:val="5E30121C"/>
    <w:rsid w:val="5E341CB3"/>
    <w:rsid w:val="5E3973E4"/>
    <w:rsid w:val="5E3D5365"/>
    <w:rsid w:val="5E436DDF"/>
    <w:rsid w:val="5E4744F1"/>
    <w:rsid w:val="5E534A9D"/>
    <w:rsid w:val="5E564C9F"/>
    <w:rsid w:val="5E5A698D"/>
    <w:rsid w:val="5E674D52"/>
    <w:rsid w:val="5E682EEC"/>
    <w:rsid w:val="5E692F08"/>
    <w:rsid w:val="5E6B7A21"/>
    <w:rsid w:val="5E6C4E53"/>
    <w:rsid w:val="5E6D6442"/>
    <w:rsid w:val="5E711DF5"/>
    <w:rsid w:val="5E73386E"/>
    <w:rsid w:val="5E790E12"/>
    <w:rsid w:val="5E7A47CF"/>
    <w:rsid w:val="5E7F0789"/>
    <w:rsid w:val="5E8632A2"/>
    <w:rsid w:val="5E8647DB"/>
    <w:rsid w:val="5E893B18"/>
    <w:rsid w:val="5E947113"/>
    <w:rsid w:val="5E951B3C"/>
    <w:rsid w:val="5E9541D9"/>
    <w:rsid w:val="5E985C4D"/>
    <w:rsid w:val="5EA1132A"/>
    <w:rsid w:val="5EB017C9"/>
    <w:rsid w:val="5EB04F4D"/>
    <w:rsid w:val="5EB32217"/>
    <w:rsid w:val="5EB608CE"/>
    <w:rsid w:val="5EB61BA8"/>
    <w:rsid w:val="5EB756B8"/>
    <w:rsid w:val="5EBA3DDB"/>
    <w:rsid w:val="5EBB06D1"/>
    <w:rsid w:val="5EC1475F"/>
    <w:rsid w:val="5ECC0E53"/>
    <w:rsid w:val="5ECF1C8F"/>
    <w:rsid w:val="5ECF634B"/>
    <w:rsid w:val="5ED20F60"/>
    <w:rsid w:val="5EDC1126"/>
    <w:rsid w:val="5EDE513A"/>
    <w:rsid w:val="5EE237F8"/>
    <w:rsid w:val="5EE94446"/>
    <w:rsid w:val="5EEE2C34"/>
    <w:rsid w:val="5EEF7784"/>
    <w:rsid w:val="5EF45704"/>
    <w:rsid w:val="5EF54272"/>
    <w:rsid w:val="5EFA07A3"/>
    <w:rsid w:val="5EFA7E42"/>
    <w:rsid w:val="5EFB041F"/>
    <w:rsid w:val="5F017228"/>
    <w:rsid w:val="5F02041F"/>
    <w:rsid w:val="5F0220AB"/>
    <w:rsid w:val="5F0F4950"/>
    <w:rsid w:val="5F155442"/>
    <w:rsid w:val="5F1B457C"/>
    <w:rsid w:val="5F1D3FA7"/>
    <w:rsid w:val="5F1F38AC"/>
    <w:rsid w:val="5F220394"/>
    <w:rsid w:val="5F2229AE"/>
    <w:rsid w:val="5F260ED8"/>
    <w:rsid w:val="5F261E28"/>
    <w:rsid w:val="5F2A5261"/>
    <w:rsid w:val="5F2D2128"/>
    <w:rsid w:val="5F2F2CF6"/>
    <w:rsid w:val="5F314AF3"/>
    <w:rsid w:val="5F316637"/>
    <w:rsid w:val="5F34342B"/>
    <w:rsid w:val="5F366D61"/>
    <w:rsid w:val="5F3A4B42"/>
    <w:rsid w:val="5F3D7B2E"/>
    <w:rsid w:val="5F4243EB"/>
    <w:rsid w:val="5F450221"/>
    <w:rsid w:val="5F451566"/>
    <w:rsid w:val="5F490B78"/>
    <w:rsid w:val="5F4E0D20"/>
    <w:rsid w:val="5F562723"/>
    <w:rsid w:val="5F5B6EDE"/>
    <w:rsid w:val="5F5E2A1D"/>
    <w:rsid w:val="5F641C28"/>
    <w:rsid w:val="5F706693"/>
    <w:rsid w:val="5F7F4B7B"/>
    <w:rsid w:val="5F875646"/>
    <w:rsid w:val="5F88706B"/>
    <w:rsid w:val="5F8E796C"/>
    <w:rsid w:val="5F904932"/>
    <w:rsid w:val="5F9450A2"/>
    <w:rsid w:val="5F94716B"/>
    <w:rsid w:val="5F9564BE"/>
    <w:rsid w:val="5F9A5B79"/>
    <w:rsid w:val="5F9B762C"/>
    <w:rsid w:val="5FA02A28"/>
    <w:rsid w:val="5FA14B7B"/>
    <w:rsid w:val="5FA20845"/>
    <w:rsid w:val="5FAA38A1"/>
    <w:rsid w:val="5FB017DD"/>
    <w:rsid w:val="5FB02A2B"/>
    <w:rsid w:val="5FB139EF"/>
    <w:rsid w:val="5FB20065"/>
    <w:rsid w:val="5FB476FE"/>
    <w:rsid w:val="5FB62695"/>
    <w:rsid w:val="5FB76D76"/>
    <w:rsid w:val="5FBF01D9"/>
    <w:rsid w:val="5FC03559"/>
    <w:rsid w:val="5FC41097"/>
    <w:rsid w:val="5FC71E43"/>
    <w:rsid w:val="5FC95A85"/>
    <w:rsid w:val="5FCD3130"/>
    <w:rsid w:val="5FD00A60"/>
    <w:rsid w:val="5FD0474E"/>
    <w:rsid w:val="5FD120A7"/>
    <w:rsid w:val="5FD23EDF"/>
    <w:rsid w:val="5FD63DDA"/>
    <w:rsid w:val="5FDE0CE4"/>
    <w:rsid w:val="5FEC1EFD"/>
    <w:rsid w:val="5FF04903"/>
    <w:rsid w:val="5FFE6507"/>
    <w:rsid w:val="60034945"/>
    <w:rsid w:val="60052B5E"/>
    <w:rsid w:val="600C7B4E"/>
    <w:rsid w:val="600F09D2"/>
    <w:rsid w:val="600F261C"/>
    <w:rsid w:val="601142F3"/>
    <w:rsid w:val="601346EE"/>
    <w:rsid w:val="6019043A"/>
    <w:rsid w:val="60196EAF"/>
    <w:rsid w:val="601A20E3"/>
    <w:rsid w:val="601B3107"/>
    <w:rsid w:val="601C76DB"/>
    <w:rsid w:val="60220E32"/>
    <w:rsid w:val="60222913"/>
    <w:rsid w:val="60237350"/>
    <w:rsid w:val="602E587E"/>
    <w:rsid w:val="603060DC"/>
    <w:rsid w:val="60362D0B"/>
    <w:rsid w:val="603871A2"/>
    <w:rsid w:val="603B58DB"/>
    <w:rsid w:val="603E42EC"/>
    <w:rsid w:val="60430013"/>
    <w:rsid w:val="60433773"/>
    <w:rsid w:val="60481630"/>
    <w:rsid w:val="60492DC4"/>
    <w:rsid w:val="60495D48"/>
    <w:rsid w:val="604B74FE"/>
    <w:rsid w:val="604D7977"/>
    <w:rsid w:val="60516711"/>
    <w:rsid w:val="6053285B"/>
    <w:rsid w:val="60540824"/>
    <w:rsid w:val="60557A15"/>
    <w:rsid w:val="605E4BBD"/>
    <w:rsid w:val="60600E33"/>
    <w:rsid w:val="60626BB7"/>
    <w:rsid w:val="60660291"/>
    <w:rsid w:val="606B36F2"/>
    <w:rsid w:val="606E4583"/>
    <w:rsid w:val="607D4751"/>
    <w:rsid w:val="6083219A"/>
    <w:rsid w:val="608657C3"/>
    <w:rsid w:val="608F47AD"/>
    <w:rsid w:val="609434F9"/>
    <w:rsid w:val="609C6ADE"/>
    <w:rsid w:val="609D2C2D"/>
    <w:rsid w:val="609D4D1B"/>
    <w:rsid w:val="60A83D19"/>
    <w:rsid w:val="60A84656"/>
    <w:rsid w:val="60A935D2"/>
    <w:rsid w:val="60A95C69"/>
    <w:rsid w:val="60AB253B"/>
    <w:rsid w:val="60AD653D"/>
    <w:rsid w:val="60AF5980"/>
    <w:rsid w:val="60BB1BC6"/>
    <w:rsid w:val="60BC2BB7"/>
    <w:rsid w:val="60BE0093"/>
    <w:rsid w:val="60BE49B5"/>
    <w:rsid w:val="60BE705B"/>
    <w:rsid w:val="60BF076D"/>
    <w:rsid w:val="60C62090"/>
    <w:rsid w:val="60C90B23"/>
    <w:rsid w:val="60CF1A06"/>
    <w:rsid w:val="60D07DE0"/>
    <w:rsid w:val="60D14123"/>
    <w:rsid w:val="60D17521"/>
    <w:rsid w:val="60D272F1"/>
    <w:rsid w:val="60D65E76"/>
    <w:rsid w:val="60D82CB3"/>
    <w:rsid w:val="60DF0778"/>
    <w:rsid w:val="60DF39B8"/>
    <w:rsid w:val="60E04BF0"/>
    <w:rsid w:val="60E1256C"/>
    <w:rsid w:val="60E149D0"/>
    <w:rsid w:val="60E85F71"/>
    <w:rsid w:val="60EF3693"/>
    <w:rsid w:val="60F203D6"/>
    <w:rsid w:val="60F44D3F"/>
    <w:rsid w:val="60F52FBF"/>
    <w:rsid w:val="60F77BA4"/>
    <w:rsid w:val="60FC3F6F"/>
    <w:rsid w:val="610159DC"/>
    <w:rsid w:val="61073712"/>
    <w:rsid w:val="61096B3E"/>
    <w:rsid w:val="610E6997"/>
    <w:rsid w:val="610F2779"/>
    <w:rsid w:val="611307AC"/>
    <w:rsid w:val="611D3CA7"/>
    <w:rsid w:val="61222812"/>
    <w:rsid w:val="612261B1"/>
    <w:rsid w:val="6124521C"/>
    <w:rsid w:val="61294A55"/>
    <w:rsid w:val="612E42FB"/>
    <w:rsid w:val="612E7387"/>
    <w:rsid w:val="613021BF"/>
    <w:rsid w:val="61331709"/>
    <w:rsid w:val="6135638A"/>
    <w:rsid w:val="613D058B"/>
    <w:rsid w:val="613F2B62"/>
    <w:rsid w:val="61483A97"/>
    <w:rsid w:val="6149173D"/>
    <w:rsid w:val="614B3170"/>
    <w:rsid w:val="6155798A"/>
    <w:rsid w:val="6156318E"/>
    <w:rsid w:val="615B6C10"/>
    <w:rsid w:val="615D066B"/>
    <w:rsid w:val="61625EF6"/>
    <w:rsid w:val="61693207"/>
    <w:rsid w:val="61713958"/>
    <w:rsid w:val="61727839"/>
    <w:rsid w:val="6178205C"/>
    <w:rsid w:val="617A0F68"/>
    <w:rsid w:val="617A2B83"/>
    <w:rsid w:val="617A4700"/>
    <w:rsid w:val="61804690"/>
    <w:rsid w:val="61815FCB"/>
    <w:rsid w:val="61854281"/>
    <w:rsid w:val="619426C8"/>
    <w:rsid w:val="619511B1"/>
    <w:rsid w:val="61962ACD"/>
    <w:rsid w:val="619C4F89"/>
    <w:rsid w:val="61A242F5"/>
    <w:rsid w:val="61A351B1"/>
    <w:rsid w:val="61A36B58"/>
    <w:rsid w:val="61B413DD"/>
    <w:rsid w:val="61B441E5"/>
    <w:rsid w:val="61B7660D"/>
    <w:rsid w:val="61BA725B"/>
    <w:rsid w:val="61C065D0"/>
    <w:rsid w:val="61C438DE"/>
    <w:rsid w:val="61CB7F2D"/>
    <w:rsid w:val="61DA3688"/>
    <w:rsid w:val="61E40B8A"/>
    <w:rsid w:val="61EA72EA"/>
    <w:rsid w:val="61EC6888"/>
    <w:rsid w:val="61FE24F0"/>
    <w:rsid w:val="61FF08CC"/>
    <w:rsid w:val="62031EFF"/>
    <w:rsid w:val="620371C2"/>
    <w:rsid w:val="620623CE"/>
    <w:rsid w:val="62067A90"/>
    <w:rsid w:val="620908AE"/>
    <w:rsid w:val="620E2202"/>
    <w:rsid w:val="621032A4"/>
    <w:rsid w:val="62122491"/>
    <w:rsid w:val="6225626D"/>
    <w:rsid w:val="62283205"/>
    <w:rsid w:val="622A6BF9"/>
    <w:rsid w:val="622B54A0"/>
    <w:rsid w:val="623F53B8"/>
    <w:rsid w:val="624020A5"/>
    <w:rsid w:val="6243576B"/>
    <w:rsid w:val="624410E3"/>
    <w:rsid w:val="62490A58"/>
    <w:rsid w:val="62490D62"/>
    <w:rsid w:val="6252208A"/>
    <w:rsid w:val="625334BE"/>
    <w:rsid w:val="625530B1"/>
    <w:rsid w:val="6256613E"/>
    <w:rsid w:val="62574090"/>
    <w:rsid w:val="62597A3D"/>
    <w:rsid w:val="625A2476"/>
    <w:rsid w:val="625D1538"/>
    <w:rsid w:val="625D1F6E"/>
    <w:rsid w:val="62642619"/>
    <w:rsid w:val="62687DBA"/>
    <w:rsid w:val="627D0658"/>
    <w:rsid w:val="627D5FE1"/>
    <w:rsid w:val="627F7E83"/>
    <w:rsid w:val="62872E5C"/>
    <w:rsid w:val="628A42AB"/>
    <w:rsid w:val="628B025D"/>
    <w:rsid w:val="628F3A05"/>
    <w:rsid w:val="6290189C"/>
    <w:rsid w:val="6293419C"/>
    <w:rsid w:val="62944304"/>
    <w:rsid w:val="62974140"/>
    <w:rsid w:val="62A34A5F"/>
    <w:rsid w:val="62A95944"/>
    <w:rsid w:val="62AC2232"/>
    <w:rsid w:val="62AC6386"/>
    <w:rsid w:val="62C72D62"/>
    <w:rsid w:val="62CC6013"/>
    <w:rsid w:val="62D117D4"/>
    <w:rsid w:val="62E1312A"/>
    <w:rsid w:val="62E35487"/>
    <w:rsid w:val="62E367CD"/>
    <w:rsid w:val="62E42B22"/>
    <w:rsid w:val="62E8287D"/>
    <w:rsid w:val="62E831DD"/>
    <w:rsid w:val="62E85479"/>
    <w:rsid w:val="62EE5937"/>
    <w:rsid w:val="62F12012"/>
    <w:rsid w:val="62F7451C"/>
    <w:rsid w:val="62F821A3"/>
    <w:rsid w:val="62F83708"/>
    <w:rsid w:val="62FC54B1"/>
    <w:rsid w:val="62FD095E"/>
    <w:rsid w:val="62FD46AD"/>
    <w:rsid w:val="62FD6BFD"/>
    <w:rsid w:val="63021AEB"/>
    <w:rsid w:val="63156E7E"/>
    <w:rsid w:val="63176CE7"/>
    <w:rsid w:val="6318677E"/>
    <w:rsid w:val="63251189"/>
    <w:rsid w:val="63296B2B"/>
    <w:rsid w:val="632C2E53"/>
    <w:rsid w:val="6332106C"/>
    <w:rsid w:val="63360AC7"/>
    <w:rsid w:val="63362665"/>
    <w:rsid w:val="633B5735"/>
    <w:rsid w:val="633F53DF"/>
    <w:rsid w:val="63401D02"/>
    <w:rsid w:val="634020AA"/>
    <w:rsid w:val="634171B7"/>
    <w:rsid w:val="634274E7"/>
    <w:rsid w:val="634339A4"/>
    <w:rsid w:val="63434A00"/>
    <w:rsid w:val="634613AF"/>
    <w:rsid w:val="63486CEF"/>
    <w:rsid w:val="634D28AD"/>
    <w:rsid w:val="6350689C"/>
    <w:rsid w:val="63524805"/>
    <w:rsid w:val="63575BC5"/>
    <w:rsid w:val="635876FF"/>
    <w:rsid w:val="635A0203"/>
    <w:rsid w:val="635D5D4D"/>
    <w:rsid w:val="63632291"/>
    <w:rsid w:val="63654A9B"/>
    <w:rsid w:val="636B38AA"/>
    <w:rsid w:val="637045F2"/>
    <w:rsid w:val="63706113"/>
    <w:rsid w:val="63732E39"/>
    <w:rsid w:val="6379622E"/>
    <w:rsid w:val="637D2A9E"/>
    <w:rsid w:val="63814E36"/>
    <w:rsid w:val="638761B0"/>
    <w:rsid w:val="6388010E"/>
    <w:rsid w:val="638B6853"/>
    <w:rsid w:val="638E3FD7"/>
    <w:rsid w:val="638E5847"/>
    <w:rsid w:val="63922518"/>
    <w:rsid w:val="63923815"/>
    <w:rsid w:val="6394308D"/>
    <w:rsid w:val="63A25C7A"/>
    <w:rsid w:val="63A85F49"/>
    <w:rsid w:val="63A9490F"/>
    <w:rsid w:val="63AE03CA"/>
    <w:rsid w:val="63B77712"/>
    <w:rsid w:val="63BC28EE"/>
    <w:rsid w:val="63C1166A"/>
    <w:rsid w:val="63C44502"/>
    <w:rsid w:val="63C52432"/>
    <w:rsid w:val="63C91E96"/>
    <w:rsid w:val="63D95B0D"/>
    <w:rsid w:val="63DA5041"/>
    <w:rsid w:val="63DB00E4"/>
    <w:rsid w:val="63E12B34"/>
    <w:rsid w:val="63E2094C"/>
    <w:rsid w:val="63E5671F"/>
    <w:rsid w:val="63E86698"/>
    <w:rsid w:val="63E9403E"/>
    <w:rsid w:val="63EA5EFD"/>
    <w:rsid w:val="63F7180C"/>
    <w:rsid w:val="63FB26D1"/>
    <w:rsid w:val="63FB3297"/>
    <w:rsid w:val="63FC3CAA"/>
    <w:rsid w:val="640217CB"/>
    <w:rsid w:val="64041332"/>
    <w:rsid w:val="64063D9E"/>
    <w:rsid w:val="64082AF2"/>
    <w:rsid w:val="640839E4"/>
    <w:rsid w:val="640A38BE"/>
    <w:rsid w:val="640B5692"/>
    <w:rsid w:val="640F2C4B"/>
    <w:rsid w:val="64106A64"/>
    <w:rsid w:val="64164D4C"/>
    <w:rsid w:val="641875DB"/>
    <w:rsid w:val="6421757E"/>
    <w:rsid w:val="642B3419"/>
    <w:rsid w:val="642D2CE0"/>
    <w:rsid w:val="642D4581"/>
    <w:rsid w:val="64312DBC"/>
    <w:rsid w:val="64315C0B"/>
    <w:rsid w:val="64337A85"/>
    <w:rsid w:val="643706EB"/>
    <w:rsid w:val="643E32C9"/>
    <w:rsid w:val="643F6DC3"/>
    <w:rsid w:val="64423F45"/>
    <w:rsid w:val="644824BA"/>
    <w:rsid w:val="644A0AEF"/>
    <w:rsid w:val="644C5433"/>
    <w:rsid w:val="644D7E43"/>
    <w:rsid w:val="64615FB9"/>
    <w:rsid w:val="64622541"/>
    <w:rsid w:val="64627808"/>
    <w:rsid w:val="64672632"/>
    <w:rsid w:val="64676D04"/>
    <w:rsid w:val="646E19C2"/>
    <w:rsid w:val="64710368"/>
    <w:rsid w:val="64766AE0"/>
    <w:rsid w:val="64774428"/>
    <w:rsid w:val="6481134D"/>
    <w:rsid w:val="64875CC2"/>
    <w:rsid w:val="648A5E63"/>
    <w:rsid w:val="648A73A6"/>
    <w:rsid w:val="64931902"/>
    <w:rsid w:val="649465FA"/>
    <w:rsid w:val="649B2B13"/>
    <w:rsid w:val="64AB6F0C"/>
    <w:rsid w:val="64B16602"/>
    <w:rsid w:val="64BA30A6"/>
    <w:rsid w:val="64BA3128"/>
    <w:rsid w:val="64C21A00"/>
    <w:rsid w:val="64C3677A"/>
    <w:rsid w:val="64C616A2"/>
    <w:rsid w:val="64C62771"/>
    <w:rsid w:val="64C85BED"/>
    <w:rsid w:val="64C91EDD"/>
    <w:rsid w:val="64CA3203"/>
    <w:rsid w:val="64CB6AF7"/>
    <w:rsid w:val="64CC0833"/>
    <w:rsid w:val="64CD33EF"/>
    <w:rsid w:val="64D5730F"/>
    <w:rsid w:val="64D839CD"/>
    <w:rsid w:val="64DC1F9B"/>
    <w:rsid w:val="64DD7974"/>
    <w:rsid w:val="64E52BF7"/>
    <w:rsid w:val="64E8402A"/>
    <w:rsid w:val="64E97254"/>
    <w:rsid w:val="64F03939"/>
    <w:rsid w:val="64F4313D"/>
    <w:rsid w:val="64F62951"/>
    <w:rsid w:val="64FC7725"/>
    <w:rsid w:val="64FE4527"/>
    <w:rsid w:val="65072972"/>
    <w:rsid w:val="650742A5"/>
    <w:rsid w:val="650B4B97"/>
    <w:rsid w:val="651023A6"/>
    <w:rsid w:val="651348A8"/>
    <w:rsid w:val="651937F9"/>
    <w:rsid w:val="651D0073"/>
    <w:rsid w:val="652263D4"/>
    <w:rsid w:val="65240C68"/>
    <w:rsid w:val="652474C3"/>
    <w:rsid w:val="652A3CC4"/>
    <w:rsid w:val="652D00E4"/>
    <w:rsid w:val="652E2263"/>
    <w:rsid w:val="652F698D"/>
    <w:rsid w:val="65366852"/>
    <w:rsid w:val="65397FC8"/>
    <w:rsid w:val="653A433C"/>
    <w:rsid w:val="653B34F7"/>
    <w:rsid w:val="653F2942"/>
    <w:rsid w:val="65404D13"/>
    <w:rsid w:val="654278BD"/>
    <w:rsid w:val="65475368"/>
    <w:rsid w:val="65476DD8"/>
    <w:rsid w:val="654A43D3"/>
    <w:rsid w:val="654C1F1E"/>
    <w:rsid w:val="654F0AD3"/>
    <w:rsid w:val="654F5EC7"/>
    <w:rsid w:val="65521BCE"/>
    <w:rsid w:val="65565D06"/>
    <w:rsid w:val="65575195"/>
    <w:rsid w:val="65586EFE"/>
    <w:rsid w:val="655F29B2"/>
    <w:rsid w:val="65637AB9"/>
    <w:rsid w:val="656E2F5B"/>
    <w:rsid w:val="6572117D"/>
    <w:rsid w:val="657321A0"/>
    <w:rsid w:val="65757929"/>
    <w:rsid w:val="6577230B"/>
    <w:rsid w:val="657B510B"/>
    <w:rsid w:val="658141BC"/>
    <w:rsid w:val="6587377D"/>
    <w:rsid w:val="658A7478"/>
    <w:rsid w:val="658F1822"/>
    <w:rsid w:val="659220F9"/>
    <w:rsid w:val="65930A62"/>
    <w:rsid w:val="659416CF"/>
    <w:rsid w:val="65953C83"/>
    <w:rsid w:val="65955703"/>
    <w:rsid w:val="659A759E"/>
    <w:rsid w:val="659E2997"/>
    <w:rsid w:val="65A05BF4"/>
    <w:rsid w:val="65A2099C"/>
    <w:rsid w:val="65A77CF3"/>
    <w:rsid w:val="65A87AD9"/>
    <w:rsid w:val="65AD1E9B"/>
    <w:rsid w:val="65BD07A4"/>
    <w:rsid w:val="65C07568"/>
    <w:rsid w:val="65C51253"/>
    <w:rsid w:val="65C55519"/>
    <w:rsid w:val="65C663C5"/>
    <w:rsid w:val="65C85AC3"/>
    <w:rsid w:val="65D02E47"/>
    <w:rsid w:val="65DD178A"/>
    <w:rsid w:val="65E11260"/>
    <w:rsid w:val="65E43FBB"/>
    <w:rsid w:val="65E5150F"/>
    <w:rsid w:val="65E622CE"/>
    <w:rsid w:val="65E8040C"/>
    <w:rsid w:val="65E8079F"/>
    <w:rsid w:val="65E844FA"/>
    <w:rsid w:val="65F22691"/>
    <w:rsid w:val="65F62CB7"/>
    <w:rsid w:val="65F63500"/>
    <w:rsid w:val="65FC02CA"/>
    <w:rsid w:val="66081164"/>
    <w:rsid w:val="660A28DD"/>
    <w:rsid w:val="660C6BD8"/>
    <w:rsid w:val="66126805"/>
    <w:rsid w:val="66134836"/>
    <w:rsid w:val="66246611"/>
    <w:rsid w:val="662A4EB8"/>
    <w:rsid w:val="662B4069"/>
    <w:rsid w:val="66315B34"/>
    <w:rsid w:val="66346BDF"/>
    <w:rsid w:val="66360024"/>
    <w:rsid w:val="663E6217"/>
    <w:rsid w:val="664170BB"/>
    <w:rsid w:val="664454D1"/>
    <w:rsid w:val="664C1E7A"/>
    <w:rsid w:val="6659563A"/>
    <w:rsid w:val="665A452D"/>
    <w:rsid w:val="665E17BE"/>
    <w:rsid w:val="665E3690"/>
    <w:rsid w:val="66691CA5"/>
    <w:rsid w:val="666B573E"/>
    <w:rsid w:val="666B621B"/>
    <w:rsid w:val="666C31A7"/>
    <w:rsid w:val="66725B4F"/>
    <w:rsid w:val="6675279D"/>
    <w:rsid w:val="66772928"/>
    <w:rsid w:val="667B26E3"/>
    <w:rsid w:val="667D0410"/>
    <w:rsid w:val="667E53AA"/>
    <w:rsid w:val="668141B5"/>
    <w:rsid w:val="66823607"/>
    <w:rsid w:val="668253EA"/>
    <w:rsid w:val="66845F73"/>
    <w:rsid w:val="66852F75"/>
    <w:rsid w:val="66884846"/>
    <w:rsid w:val="66891445"/>
    <w:rsid w:val="668F65B8"/>
    <w:rsid w:val="669013C9"/>
    <w:rsid w:val="66910A4E"/>
    <w:rsid w:val="66971E82"/>
    <w:rsid w:val="669747E3"/>
    <w:rsid w:val="669B3C62"/>
    <w:rsid w:val="669F4432"/>
    <w:rsid w:val="66A0025A"/>
    <w:rsid w:val="66A43D75"/>
    <w:rsid w:val="66A835C7"/>
    <w:rsid w:val="66AE5421"/>
    <w:rsid w:val="66AF303A"/>
    <w:rsid w:val="66B24583"/>
    <w:rsid w:val="66B422A3"/>
    <w:rsid w:val="66B55F38"/>
    <w:rsid w:val="66B604D7"/>
    <w:rsid w:val="66B9473D"/>
    <w:rsid w:val="66BA78B9"/>
    <w:rsid w:val="66D044B0"/>
    <w:rsid w:val="66D10D01"/>
    <w:rsid w:val="66D7050A"/>
    <w:rsid w:val="66DE5792"/>
    <w:rsid w:val="66EB1AC1"/>
    <w:rsid w:val="66EC22F3"/>
    <w:rsid w:val="66EF1EBB"/>
    <w:rsid w:val="66F0488E"/>
    <w:rsid w:val="66FB3F18"/>
    <w:rsid w:val="67013DFD"/>
    <w:rsid w:val="670203AA"/>
    <w:rsid w:val="67094EDA"/>
    <w:rsid w:val="670A0ACA"/>
    <w:rsid w:val="670B5E17"/>
    <w:rsid w:val="670E75E8"/>
    <w:rsid w:val="671152D3"/>
    <w:rsid w:val="67161742"/>
    <w:rsid w:val="67177E60"/>
    <w:rsid w:val="671F3F3A"/>
    <w:rsid w:val="672C1100"/>
    <w:rsid w:val="672C2662"/>
    <w:rsid w:val="673026E5"/>
    <w:rsid w:val="6730749E"/>
    <w:rsid w:val="67355E20"/>
    <w:rsid w:val="673A2810"/>
    <w:rsid w:val="673A3DCA"/>
    <w:rsid w:val="673B23D0"/>
    <w:rsid w:val="673F63EB"/>
    <w:rsid w:val="6740532C"/>
    <w:rsid w:val="67414BEF"/>
    <w:rsid w:val="67471253"/>
    <w:rsid w:val="674A47FE"/>
    <w:rsid w:val="674D07D4"/>
    <w:rsid w:val="67567AF3"/>
    <w:rsid w:val="67574FFA"/>
    <w:rsid w:val="675D7B7C"/>
    <w:rsid w:val="675E5CF1"/>
    <w:rsid w:val="67623630"/>
    <w:rsid w:val="67653476"/>
    <w:rsid w:val="676B6985"/>
    <w:rsid w:val="6771381B"/>
    <w:rsid w:val="67727209"/>
    <w:rsid w:val="67731779"/>
    <w:rsid w:val="67740E19"/>
    <w:rsid w:val="677A33EB"/>
    <w:rsid w:val="67840399"/>
    <w:rsid w:val="678A0804"/>
    <w:rsid w:val="678B7BA0"/>
    <w:rsid w:val="679500C8"/>
    <w:rsid w:val="679D5832"/>
    <w:rsid w:val="67A23709"/>
    <w:rsid w:val="67A43F4F"/>
    <w:rsid w:val="67AC5AA9"/>
    <w:rsid w:val="67B675C8"/>
    <w:rsid w:val="67C437E3"/>
    <w:rsid w:val="67C6626A"/>
    <w:rsid w:val="67CB44AB"/>
    <w:rsid w:val="67CC6E9A"/>
    <w:rsid w:val="67CE0F10"/>
    <w:rsid w:val="67D71F58"/>
    <w:rsid w:val="67D90AB1"/>
    <w:rsid w:val="67DB39AA"/>
    <w:rsid w:val="67E041E0"/>
    <w:rsid w:val="67E50A66"/>
    <w:rsid w:val="67E5489D"/>
    <w:rsid w:val="67ED5141"/>
    <w:rsid w:val="67F23EB5"/>
    <w:rsid w:val="67F7112F"/>
    <w:rsid w:val="67F82328"/>
    <w:rsid w:val="67FB6353"/>
    <w:rsid w:val="67FE75FC"/>
    <w:rsid w:val="68020FF0"/>
    <w:rsid w:val="68050BEF"/>
    <w:rsid w:val="68074629"/>
    <w:rsid w:val="680D13F4"/>
    <w:rsid w:val="68126E6F"/>
    <w:rsid w:val="68157BEF"/>
    <w:rsid w:val="681B7DBF"/>
    <w:rsid w:val="681D24AE"/>
    <w:rsid w:val="681D3AC4"/>
    <w:rsid w:val="68274823"/>
    <w:rsid w:val="682E0335"/>
    <w:rsid w:val="68393493"/>
    <w:rsid w:val="683B1BA8"/>
    <w:rsid w:val="683B3530"/>
    <w:rsid w:val="683E665E"/>
    <w:rsid w:val="684228DA"/>
    <w:rsid w:val="68425F8A"/>
    <w:rsid w:val="6858552E"/>
    <w:rsid w:val="685D591E"/>
    <w:rsid w:val="685E779F"/>
    <w:rsid w:val="686261FC"/>
    <w:rsid w:val="68626967"/>
    <w:rsid w:val="686A0E5D"/>
    <w:rsid w:val="686B4D7E"/>
    <w:rsid w:val="686C07DA"/>
    <w:rsid w:val="68713B0E"/>
    <w:rsid w:val="687308A2"/>
    <w:rsid w:val="68746E06"/>
    <w:rsid w:val="687A319B"/>
    <w:rsid w:val="687F2EAB"/>
    <w:rsid w:val="6881784A"/>
    <w:rsid w:val="688F354B"/>
    <w:rsid w:val="689547A4"/>
    <w:rsid w:val="68990F6F"/>
    <w:rsid w:val="689D3025"/>
    <w:rsid w:val="689F5217"/>
    <w:rsid w:val="689F6AA4"/>
    <w:rsid w:val="68A71D95"/>
    <w:rsid w:val="68A874F1"/>
    <w:rsid w:val="68A87C07"/>
    <w:rsid w:val="68B70472"/>
    <w:rsid w:val="68B70F98"/>
    <w:rsid w:val="68BB4964"/>
    <w:rsid w:val="68BD7822"/>
    <w:rsid w:val="68BE149B"/>
    <w:rsid w:val="68BF7FB6"/>
    <w:rsid w:val="68C07993"/>
    <w:rsid w:val="68C23C97"/>
    <w:rsid w:val="68D255DE"/>
    <w:rsid w:val="68D42DFA"/>
    <w:rsid w:val="68D44B0D"/>
    <w:rsid w:val="68D60703"/>
    <w:rsid w:val="68D62A34"/>
    <w:rsid w:val="68D858B1"/>
    <w:rsid w:val="68D948D3"/>
    <w:rsid w:val="68DC7824"/>
    <w:rsid w:val="68DD42D2"/>
    <w:rsid w:val="68E15F49"/>
    <w:rsid w:val="68E3501D"/>
    <w:rsid w:val="68F26776"/>
    <w:rsid w:val="68F37D38"/>
    <w:rsid w:val="68F52AA4"/>
    <w:rsid w:val="68F761C5"/>
    <w:rsid w:val="68F92D1C"/>
    <w:rsid w:val="68FB3514"/>
    <w:rsid w:val="69001ACF"/>
    <w:rsid w:val="69042990"/>
    <w:rsid w:val="69087377"/>
    <w:rsid w:val="690D3A39"/>
    <w:rsid w:val="69112374"/>
    <w:rsid w:val="691544C7"/>
    <w:rsid w:val="691736D5"/>
    <w:rsid w:val="69173A4C"/>
    <w:rsid w:val="691A2959"/>
    <w:rsid w:val="691C438F"/>
    <w:rsid w:val="6927454C"/>
    <w:rsid w:val="692E0F87"/>
    <w:rsid w:val="69314F89"/>
    <w:rsid w:val="69354B17"/>
    <w:rsid w:val="694445FC"/>
    <w:rsid w:val="69452BA1"/>
    <w:rsid w:val="6946434B"/>
    <w:rsid w:val="694E0316"/>
    <w:rsid w:val="69503379"/>
    <w:rsid w:val="69516F8E"/>
    <w:rsid w:val="6952549A"/>
    <w:rsid w:val="69565244"/>
    <w:rsid w:val="69580F93"/>
    <w:rsid w:val="695A06A3"/>
    <w:rsid w:val="695A625D"/>
    <w:rsid w:val="69657F60"/>
    <w:rsid w:val="69676A01"/>
    <w:rsid w:val="696E321B"/>
    <w:rsid w:val="69714B48"/>
    <w:rsid w:val="69777A71"/>
    <w:rsid w:val="69784E0C"/>
    <w:rsid w:val="697D1A6C"/>
    <w:rsid w:val="6986113D"/>
    <w:rsid w:val="698636FB"/>
    <w:rsid w:val="698733AC"/>
    <w:rsid w:val="698C11A6"/>
    <w:rsid w:val="699136B5"/>
    <w:rsid w:val="699276FC"/>
    <w:rsid w:val="69996943"/>
    <w:rsid w:val="699E2707"/>
    <w:rsid w:val="69A14582"/>
    <w:rsid w:val="69AB2D1A"/>
    <w:rsid w:val="69AC7FE4"/>
    <w:rsid w:val="69AD108E"/>
    <w:rsid w:val="69B22DAF"/>
    <w:rsid w:val="69B415C3"/>
    <w:rsid w:val="69B62B89"/>
    <w:rsid w:val="69BA2402"/>
    <w:rsid w:val="69BA7A7C"/>
    <w:rsid w:val="69C1604D"/>
    <w:rsid w:val="69CB54C2"/>
    <w:rsid w:val="69D07C1B"/>
    <w:rsid w:val="69D6388E"/>
    <w:rsid w:val="69D72F85"/>
    <w:rsid w:val="69DC5C54"/>
    <w:rsid w:val="69E93F36"/>
    <w:rsid w:val="69EA6297"/>
    <w:rsid w:val="69F23D4A"/>
    <w:rsid w:val="69FA7D41"/>
    <w:rsid w:val="69FE00A2"/>
    <w:rsid w:val="69FE42E7"/>
    <w:rsid w:val="6A043686"/>
    <w:rsid w:val="6A087AF5"/>
    <w:rsid w:val="6A0900FD"/>
    <w:rsid w:val="6A0B0B01"/>
    <w:rsid w:val="6A112AFA"/>
    <w:rsid w:val="6A143D0F"/>
    <w:rsid w:val="6A1533D6"/>
    <w:rsid w:val="6A167014"/>
    <w:rsid w:val="6A191E28"/>
    <w:rsid w:val="6A1E4CE9"/>
    <w:rsid w:val="6A204CCD"/>
    <w:rsid w:val="6A214C16"/>
    <w:rsid w:val="6A255A41"/>
    <w:rsid w:val="6A29281B"/>
    <w:rsid w:val="6A293EA1"/>
    <w:rsid w:val="6A2E7A85"/>
    <w:rsid w:val="6A310874"/>
    <w:rsid w:val="6A347B2D"/>
    <w:rsid w:val="6A347C00"/>
    <w:rsid w:val="6A366B06"/>
    <w:rsid w:val="6A385E2C"/>
    <w:rsid w:val="6A484ECE"/>
    <w:rsid w:val="6A4F18D0"/>
    <w:rsid w:val="6A501CBF"/>
    <w:rsid w:val="6A540420"/>
    <w:rsid w:val="6A5419DA"/>
    <w:rsid w:val="6A591242"/>
    <w:rsid w:val="6A595197"/>
    <w:rsid w:val="6A5E73D2"/>
    <w:rsid w:val="6A65626B"/>
    <w:rsid w:val="6A663E64"/>
    <w:rsid w:val="6A672E3C"/>
    <w:rsid w:val="6A6770DF"/>
    <w:rsid w:val="6A680F94"/>
    <w:rsid w:val="6A6F313A"/>
    <w:rsid w:val="6A70727C"/>
    <w:rsid w:val="6A762DAF"/>
    <w:rsid w:val="6A796A80"/>
    <w:rsid w:val="6A7A2088"/>
    <w:rsid w:val="6A7B56ED"/>
    <w:rsid w:val="6A7B7A05"/>
    <w:rsid w:val="6A7C6627"/>
    <w:rsid w:val="6A8B7ABD"/>
    <w:rsid w:val="6A90125B"/>
    <w:rsid w:val="6A9103DF"/>
    <w:rsid w:val="6A911A7E"/>
    <w:rsid w:val="6A9457D8"/>
    <w:rsid w:val="6AA01286"/>
    <w:rsid w:val="6AA05A81"/>
    <w:rsid w:val="6AA0702A"/>
    <w:rsid w:val="6AA261BD"/>
    <w:rsid w:val="6AAD57C8"/>
    <w:rsid w:val="6AAF5AA9"/>
    <w:rsid w:val="6AB03A5B"/>
    <w:rsid w:val="6AB432E6"/>
    <w:rsid w:val="6AB865CF"/>
    <w:rsid w:val="6ABC3A1E"/>
    <w:rsid w:val="6AC72E51"/>
    <w:rsid w:val="6AC771FC"/>
    <w:rsid w:val="6AC8220A"/>
    <w:rsid w:val="6ACB2AC3"/>
    <w:rsid w:val="6ACB7020"/>
    <w:rsid w:val="6AD35DF7"/>
    <w:rsid w:val="6AD3722B"/>
    <w:rsid w:val="6AD42A41"/>
    <w:rsid w:val="6ADD048B"/>
    <w:rsid w:val="6AE1341D"/>
    <w:rsid w:val="6AE938E4"/>
    <w:rsid w:val="6AEB6213"/>
    <w:rsid w:val="6AED0FD5"/>
    <w:rsid w:val="6AEF78B9"/>
    <w:rsid w:val="6AFB3909"/>
    <w:rsid w:val="6AFB7F3C"/>
    <w:rsid w:val="6B02319F"/>
    <w:rsid w:val="6B070937"/>
    <w:rsid w:val="6B102C5B"/>
    <w:rsid w:val="6B115220"/>
    <w:rsid w:val="6B126F24"/>
    <w:rsid w:val="6B197394"/>
    <w:rsid w:val="6B1B4A91"/>
    <w:rsid w:val="6B1B7CD6"/>
    <w:rsid w:val="6B233183"/>
    <w:rsid w:val="6B2A681E"/>
    <w:rsid w:val="6B2B283A"/>
    <w:rsid w:val="6B30014F"/>
    <w:rsid w:val="6B3052F4"/>
    <w:rsid w:val="6B362E7C"/>
    <w:rsid w:val="6B3765D8"/>
    <w:rsid w:val="6B38246E"/>
    <w:rsid w:val="6B3C1F29"/>
    <w:rsid w:val="6B435B38"/>
    <w:rsid w:val="6B467332"/>
    <w:rsid w:val="6B4B361B"/>
    <w:rsid w:val="6B5A70AB"/>
    <w:rsid w:val="6B5E1AE7"/>
    <w:rsid w:val="6B677513"/>
    <w:rsid w:val="6B697CCF"/>
    <w:rsid w:val="6B752DE4"/>
    <w:rsid w:val="6B7F52F0"/>
    <w:rsid w:val="6B800A5B"/>
    <w:rsid w:val="6B801F09"/>
    <w:rsid w:val="6B846E87"/>
    <w:rsid w:val="6B85083A"/>
    <w:rsid w:val="6B9041D0"/>
    <w:rsid w:val="6BA21341"/>
    <w:rsid w:val="6BAF1069"/>
    <w:rsid w:val="6BB34BCA"/>
    <w:rsid w:val="6BB54C3C"/>
    <w:rsid w:val="6BB61CF9"/>
    <w:rsid w:val="6BB81101"/>
    <w:rsid w:val="6BB91FF4"/>
    <w:rsid w:val="6BB95884"/>
    <w:rsid w:val="6BBA7717"/>
    <w:rsid w:val="6BC34C4E"/>
    <w:rsid w:val="6BCA7496"/>
    <w:rsid w:val="6BCC3CD4"/>
    <w:rsid w:val="6BCE0237"/>
    <w:rsid w:val="6BD366C8"/>
    <w:rsid w:val="6BDA17C1"/>
    <w:rsid w:val="6BDA3500"/>
    <w:rsid w:val="6BDC4664"/>
    <w:rsid w:val="6BDD14AA"/>
    <w:rsid w:val="6BDD4FD0"/>
    <w:rsid w:val="6BDE224B"/>
    <w:rsid w:val="6BE44C46"/>
    <w:rsid w:val="6BE70081"/>
    <w:rsid w:val="6BF01215"/>
    <w:rsid w:val="6BF46363"/>
    <w:rsid w:val="6BF96385"/>
    <w:rsid w:val="6BFA155A"/>
    <w:rsid w:val="6BFA2A3B"/>
    <w:rsid w:val="6C014842"/>
    <w:rsid w:val="6C0678F6"/>
    <w:rsid w:val="6C075B31"/>
    <w:rsid w:val="6C0B1E87"/>
    <w:rsid w:val="6C0C5708"/>
    <w:rsid w:val="6C0F3DEF"/>
    <w:rsid w:val="6C1011BF"/>
    <w:rsid w:val="6C180A20"/>
    <w:rsid w:val="6C275EB2"/>
    <w:rsid w:val="6C2C39B4"/>
    <w:rsid w:val="6C303422"/>
    <w:rsid w:val="6C30605A"/>
    <w:rsid w:val="6C381064"/>
    <w:rsid w:val="6C3C0CBA"/>
    <w:rsid w:val="6C3F46F1"/>
    <w:rsid w:val="6C45026D"/>
    <w:rsid w:val="6C465871"/>
    <w:rsid w:val="6C481127"/>
    <w:rsid w:val="6C4C0E41"/>
    <w:rsid w:val="6C503331"/>
    <w:rsid w:val="6C5821B6"/>
    <w:rsid w:val="6C630F5D"/>
    <w:rsid w:val="6C63319F"/>
    <w:rsid w:val="6C684BF5"/>
    <w:rsid w:val="6C7C648A"/>
    <w:rsid w:val="6C7D1ADC"/>
    <w:rsid w:val="6C80399C"/>
    <w:rsid w:val="6C8453F4"/>
    <w:rsid w:val="6C8A7C4F"/>
    <w:rsid w:val="6C8C06D1"/>
    <w:rsid w:val="6C8E0438"/>
    <w:rsid w:val="6C8E165E"/>
    <w:rsid w:val="6C8E37AF"/>
    <w:rsid w:val="6C8E58DE"/>
    <w:rsid w:val="6C98255E"/>
    <w:rsid w:val="6C9A78C4"/>
    <w:rsid w:val="6C9D47E6"/>
    <w:rsid w:val="6C9E7DE5"/>
    <w:rsid w:val="6C9F28AC"/>
    <w:rsid w:val="6CAA6E2B"/>
    <w:rsid w:val="6CAF66F7"/>
    <w:rsid w:val="6CB66261"/>
    <w:rsid w:val="6CBB0E69"/>
    <w:rsid w:val="6CC02A3C"/>
    <w:rsid w:val="6CC6302D"/>
    <w:rsid w:val="6CC87361"/>
    <w:rsid w:val="6CCB7AA4"/>
    <w:rsid w:val="6CD12A25"/>
    <w:rsid w:val="6CD334AD"/>
    <w:rsid w:val="6CD95252"/>
    <w:rsid w:val="6CDA51F1"/>
    <w:rsid w:val="6CDA6184"/>
    <w:rsid w:val="6CED7AA0"/>
    <w:rsid w:val="6CEE3621"/>
    <w:rsid w:val="6CF01B59"/>
    <w:rsid w:val="6CF46FB5"/>
    <w:rsid w:val="6CF51920"/>
    <w:rsid w:val="6CF73606"/>
    <w:rsid w:val="6CF7389A"/>
    <w:rsid w:val="6CFC519E"/>
    <w:rsid w:val="6CFF2D7D"/>
    <w:rsid w:val="6D004138"/>
    <w:rsid w:val="6D0146A4"/>
    <w:rsid w:val="6D01520E"/>
    <w:rsid w:val="6D065EA1"/>
    <w:rsid w:val="6D1131BD"/>
    <w:rsid w:val="6D1538EB"/>
    <w:rsid w:val="6D293905"/>
    <w:rsid w:val="6D2A7111"/>
    <w:rsid w:val="6D305DF1"/>
    <w:rsid w:val="6D3746EC"/>
    <w:rsid w:val="6D3C74F3"/>
    <w:rsid w:val="6D3E3FCF"/>
    <w:rsid w:val="6D400CAD"/>
    <w:rsid w:val="6D416114"/>
    <w:rsid w:val="6D4B7561"/>
    <w:rsid w:val="6D52687A"/>
    <w:rsid w:val="6D5417F9"/>
    <w:rsid w:val="6D5672CA"/>
    <w:rsid w:val="6D5B54EA"/>
    <w:rsid w:val="6D637205"/>
    <w:rsid w:val="6D6617D7"/>
    <w:rsid w:val="6D6B3C43"/>
    <w:rsid w:val="6D780C5D"/>
    <w:rsid w:val="6D817A53"/>
    <w:rsid w:val="6D85283B"/>
    <w:rsid w:val="6D894A24"/>
    <w:rsid w:val="6D895470"/>
    <w:rsid w:val="6D8E37D6"/>
    <w:rsid w:val="6D904C3E"/>
    <w:rsid w:val="6D912B8C"/>
    <w:rsid w:val="6D99060F"/>
    <w:rsid w:val="6DA96E7F"/>
    <w:rsid w:val="6DAE03AB"/>
    <w:rsid w:val="6DB73B28"/>
    <w:rsid w:val="6DB85DED"/>
    <w:rsid w:val="6DB954E3"/>
    <w:rsid w:val="6DBE20C8"/>
    <w:rsid w:val="6DBE2636"/>
    <w:rsid w:val="6DC12FB3"/>
    <w:rsid w:val="6DC27557"/>
    <w:rsid w:val="6DC61DEF"/>
    <w:rsid w:val="6DC932DB"/>
    <w:rsid w:val="6DCA3D7E"/>
    <w:rsid w:val="6DCF5CFA"/>
    <w:rsid w:val="6DD0169F"/>
    <w:rsid w:val="6DDA7F67"/>
    <w:rsid w:val="6DE629F0"/>
    <w:rsid w:val="6DE76650"/>
    <w:rsid w:val="6DEA7E41"/>
    <w:rsid w:val="6DEF0F9B"/>
    <w:rsid w:val="6DF37B75"/>
    <w:rsid w:val="6DF55249"/>
    <w:rsid w:val="6E020C5A"/>
    <w:rsid w:val="6E02605B"/>
    <w:rsid w:val="6E130E3E"/>
    <w:rsid w:val="6E1B3116"/>
    <w:rsid w:val="6E1C1014"/>
    <w:rsid w:val="6E1C392E"/>
    <w:rsid w:val="6E1D5541"/>
    <w:rsid w:val="6E1E7672"/>
    <w:rsid w:val="6E210314"/>
    <w:rsid w:val="6E222A02"/>
    <w:rsid w:val="6E360AF0"/>
    <w:rsid w:val="6E365916"/>
    <w:rsid w:val="6E3B59A3"/>
    <w:rsid w:val="6E4612E5"/>
    <w:rsid w:val="6E462583"/>
    <w:rsid w:val="6E4831AD"/>
    <w:rsid w:val="6E505826"/>
    <w:rsid w:val="6E550FD3"/>
    <w:rsid w:val="6E5D42E5"/>
    <w:rsid w:val="6E62075F"/>
    <w:rsid w:val="6E6554F2"/>
    <w:rsid w:val="6E7957C9"/>
    <w:rsid w:val="6E817EA5"/>
    <w:rsid w:val="6E850902"/>
    <w:rsid w:val="6E88568C"/>
    <w:rsid w:val="6E8E2EED"/>
    <w:rsid w:val="6E9101C1"/>
    <w:rsid w:val="6E962A16"/>
    <w:rsid w:val="6E9671A9"/>
    <w:rsid w:val="6E98388A"/>
    <w:rsid w:val="6E9A0924"/>
    <w:rsid w:val="6E9D1333"/>
    <w:rsid w:val="6E9E0F3C"/>
    <w:rsid w:val="6EA03617"/>
    <w:rsid w:val="6EA07DFA"/>
    <w:rsid w:val="6EA45295"/>
    <w:rsid w:val="6EAB738E"/>
    <w:rsid w:val="6EB0667F"/>
    <w:rsid w:val="6EB22B87"/>
    <w:rsid w:val="6EB25A9F"/>
    <w:rsid w:val="6EB8364E"/>
    <w:rsid w:val="6EB84738"/>
    <w:rsid w:val="6EB87FFA"/>
    <w:rsid w:val="6EBC341C"/>
    <w:rsid w:val="6EC03443"/>
    <w:rsid w:val="6EC50F15"/>
    <w:rsid w:val="6ECC6BC9"/>
    <w:rsid w:val="6ECD77DE"/>
    <w:rsid w:val="6ECF0947"/>
    <w:rsid w:val="6ECF1EB9"/>
    <w:rsid w:val="6EDE5A64"/>
    <w:rsid w:val="6EE40B49"/>
    <w:rsid w:val="6EE4112B"/>
    <w:rsid w:val="6EE4489C"/>
    <w:rsid w:val="6EE44F0D"/>
    <w:rsid w:val="6EE57A34"/>
    <w:rsid w:val="6EE711FF"/>
    <w:rsid w:val="6EE956A3"/>
    <w:rsid w:val="6EF10025"/>
    <w:rsid w:val="6EF31E30"/>
    <w:rsid w:val="6EF50D32"/>
    <w:rsid w:val="6EFB2394"/>
    <w:rsid w:val="6EFD614D"/>
    <w:rsid w:val="6EFE0FE7"/>
    <w:rsid w:val="6EFF399D"/>
    <w:rsid w:val="6F0058EE"/>
    <w:rsid w:val="6F0B5E0A"/>
    <w:rsid w:val="6F0E5747"/>
    <w:rsid w:val="6F0F6AE5"/>
    <w:rsid w:val="6F11180A"/>
    <w:rsid w:val="6F135518"/>
    <w:rsid w:val="6F1773FE"/>
    <w:rsid w:val="6F1E0FDC"/>
    <w:rsid w:val="6F1E66E0"/>
    <w:rsid w:val="6F1F0AC1"/>
    <w:rsid w:val="6F201348"/>
    <w:rsid w:val="6F2127C3"/>
    <w:rsid w:val="6F2E3ABE"/>
    <w:rsid w:val="6F2F52F5"/>
    <w:rsid w:val="6F320E88"/>
    <w:rsid w:val="6F367AB7"/>
    <w:rsid w:val="6F3C6660"/>
    <w:rsid w:val="6F42033C"/>
    <w:rsid w:val="6F43118E"/>
    <w:rsid w:val="6F473AB9"/>
    <w:rsid w:val="6F4A042F"/>
    <w:rsid w:val="6F4A2AD2"/>
    <w:rsid w:val="6F4B4AB1"/>
    <w:rsid w:val="6F5444D5"/>
    <w:rsid w:val="6F637362"/>
    <w:rsid w:val="6F691598"/>
    <w:rsid w:val="6F702A8F"/>
    <w:rsid w:val="6F716965"/>
    <w:rsid w:val="6F720AC3"/>
    <w:rsid w:val="6F725DE7"/>
    <w:rsid w:val="6F736798"/>
    <w:rsid w:val="6F7528FB"/>
    <w:rsid w:val="6F7543D7"/>
    <w:rsid w:val="6F7A07BE"/>
    <w:rsid w:val="6F8266F3"/>
    <w:rsid w:val="6F86307F"/>
    <w:rsid w:val="6F932F44"/>
    <w:rsid w:val="6F982ECC"/>
    <w:rsid w:val="6F9B290A"/>
    <w:rsid w:val="6FA31C45"/>
    <w:rsid w:val="6FA33537"/>
    <w:rsid w:val="6FAD47C7"/>
    <w:rsid w:val="6FAF2813"/>
    <w:rsid w:val="6FB07836"/>
    <w:rsid w:val="6FB16065"/>
    <w:rsid w:val="6FB4067E"/>
    <w:rsid w:val="6FB94A10"/>
    <w:rsid w:val="6FBB195E"/>
    <w:rsid w:val="6FBB5AA2"/>
    <w:rsid w:val="6FBC44A2"/>
    <w:rsid w:val="6FBD3C38"/>
    <w:rsid w:val="6FC168D3"/>
    <w:rsid w:val="6FC36712"/>
    <w:rsid w:val="6FCF2BD5"/>
    <w:rsid w:val="6FCF35AA"/>
    <w:rsid w:val="6FD21198"/>
    <w:rsid w:val="6FD72971"/>
    <w:rsid w:val="6FDB4CCA"/>
    <w:rsid w:val="6FDC30AD"/>
    <w:rsid w:val="6FDC470A"/>
    <w:rsid w:val="6FDF463D"/>
    <w:rsid w:val="6FF0403E"/>
    <w:rsid w:val="6FF9719C"/>
    <w:rsid w:val="6FFF1F5F"/>
    <w:rsid w:val="6FFF3D90"/>
    <w:rsid w:val="70024D59"/>
    <w:rsid w:val="70077D60"/>
    <w:rsid w:val="70081E36"/>
    <w:rsid w:val="70082194"/>
    <w:rsid w:val="70095C5B"/>
    <w:rsid w:val="700B5D41"/>
    <w:rsid w:val="700D0EE2"/>
    <w:rsid w:val="700E5923"/>
    <w:rsid w:val="700F19FD"/>
    <w:rsid w:val="701068AB"/>
    <w:rsid w:val="7020497D"/>
    <w:rsid w:val="70255AE0"/>
    <w:rsid w:val="70266316"/>
    <w:rsid w:val="70280A5A"/>
    <w:rsid w:val="702C6EAF"/>
    <w:rsid w:val="702E0CB5"/>
    <w:rsid w:val="702E2929"/>
    <w:rsid w:val="70301375"/>
    <w:rsid w:val="70357BDC"/>
    <w:rsid w:val="703B1B9A"/>
    <w:rsid w:val="703B343C"/>
    <w:rsid w:val="7042581E"/>
    <w:rsid w:val="70455D0F"/>
    <w:rsid w:val="70501073"/>
    <w:rsid w:val="70505AFF"/>
    <w:rsid w:val="705B3DDE"/>
    <w:rsid w:val="705C55DA"/>
    <w:rsid w:val="706A4D74"/>
    <w:rsid w:val="706D3C89"/>
    <w:rsid w:val="706D7453"/>
    <w:rsid w:val="707431B0"/>
    <w:rsid w:val="70765EC5"/>
    <w:rsid w:val="70825C76"/>
    <w:rsid w:val="708A7FD8"/>
    <w:rsid w:val="708D615D"/>
    <w:rsid w:val="70A458F3"/>
    <w:rsid w:val="70A462E3"/>
    <w:rsid w:val="70AD06AB"/>
    <w:rsid w:val="70B201A5"/>
    <w:rsid w:val="70B30C12"/>
    <w:rsid w:val="70BA7182"/>
    <w:rsid w:val="70C36772"/>
    <w:rsid w:val="70C55A74"/>
    <w:rsid w:val="70CB06C9"/>
    <w:rsid w:val="70CE02C7"/>
    <w:rsid w:val="70CE2ABC"/>
    <w:rsid w:val="70CE5237"/>
    <w:rsid w:val="70D57487"/>
    <w:rsid w:val="70DA4253"/>
    <w:rsid w:val="70DE6C17"/>
    <w:rsid w:val="70E15439"/>
    <w:rsid w:val="70E52E83"/>
    <w:rsid w:val="70EC5072"/>
    <w:rsid w:val="70F25838"/>
    <w:rsid w:val="70F332E5"/>
    <w:rsid w:val="70F74993"/>
    <w:rsid w:val="70F834B6"/>
    <w:rsid w:val="70FE2D5F"/>
    <w:rsid w:val="7100330A"/>
    <w:rsid w:val="710137DC"/>
    <w:rsid w:val="71050797"/>
    <w:rsid w:val="710B627C"/>
    <w:rsid w:val="710D0E20"/>
    <w:rsid w:val="7113798E"/>
    <w:rsid w:val="71182AA4"/>
    <w:rsid w:val="711C68B0"/>
    <w:rsid w:val="712141A1"/>
    <w:rsid w:val="712461F9"/>
    <w:rsid w:val="712E1E8A"/>
    <w:rsid w:val="712F544F"/>
    <w:rsid w:val="7130126D"/>
    <w:rsid w:val="71345788"/>
    <w:rsid w:val="713C444C"/>
    <w:rsid w:val="713F2FC2"/>
    <w:rsid w:val="714127B6"/>
    <w:rsid w:val="71432EFD"/>
    <w:rsid w:val="714650C7"/>
    <w:rsid w:val="71480D1A"/>
    <w:rsid w:val="714F0EFA"/>
    <w:rsid w:val="71582AF1"/>
    <w:rsid w:val="715A1115"/>
    <w:rsid w:val="715D4737"/>
    <w:rsid w:val="7161414D"/>
    <w:rsid w:val="71631501"/>
    <w:rsid w:val="716C0241"/>
    <w:rsid w:val="71705C2B"/>
    <w:rsid w:val="71744D2A"/>
    <w:rsid w:val="717746B0"/>
    <w:rsid w:val="7178484F"/>
    <w:rsid w:val="717A6C02"/>
    <w:rsid w:val="717C1104"/>
    <w:rsid w:val="717C4432"/>
    <w:rsid w:val="717E5122"/>
    <w:rsid w:val="71853B5A"/>
    <w:rsid w:val="71885F94"/>
    <w:rsid w:val="718E62F7"/>
    <w:rsid w:val="719328D0"/>
    <w:rsid w:val="7197532D"/>
    <w:rsid w:val="719E6859"/>
    <w:rsid w:val="71A03FC4"/>
    <w:rsid w:val="71A80510"/>
    <w:rsid w:val="71AC4F49"/>
    <w:rsid w:val="71AC730D"/>
    <w:rsid w:val="71AD631D"/>
    <w:rsid w:val="71AD699A"/>
    <w:rsid w:val="71B6273D"/>
    <w:rsid w:val="71BE5A92"/>
    <w:rsid w:val="71C6178F"/>
    <w:rsid w:val="71CF42DD"/>
    <w:rsid w:val="71D62510"/>
    <w:rsid w:val="71DA7611"/>
    <w:rsid w:val="71DC00F7"/>
    <w:rsid w:val="71E828C4"/>
    <w:rsid w:val="71E87804"/>
    <w:rsid w:val="71E932F8"/>
    <w:rsid w:val="71F4494B"/>
    <w:rsid w:val="71F54066"/>
    <w:rsid w:val="71F66927"/>
    <w:rsid w:val="71FF2834"/>
    <w:rsid w:val="7204294E"/>
    <w:rsid w:val="720D2325"/>
    <w:rsid w:val="7212330A"/>
    <w:rsid w:val="721351C9"/>
    <w:rsid w:val="72135B52"/>
    <w:rsid w:val="72173B5A"/>
    <w:rsid w:val="721946B4"/>
    <w:rsid w:val="721B4562"/>
    <w:rsid w:val="721D1515"/>
    <w:rsid w:val="721F473E"/>
    <w:rsid w:val="72261410"/>
    <w:rsid w:val="72276362"/>
    <w:rsid w:val="72294C09"/>
    <w:rsid w:val="722A513B"/>
    <w:rsid w:val="722A7E6F"/>
    <w:rsid w:val="722C3A17"/>
    <w:rsid w:val="722E75FC"/>
    <w:rsid w:val="722F1E3D"/>
    <w:rsid w:val="723523B3"/>
    <w:rsid w:val="723B2EF2"/>
    <w:rsid w:val="723C301D"/>
    <w:rsid w:val="723D17FB"/>
    <w:rsid w:val="723F18F6"/>
    <w:rsid w:val="723F29E4"/>
    <w:rsid w:val="724C54D6"/>
    <w:rsid w:val="72530AB8"/>
    <w:rsid w:val="72571908"/>
    <w:rsid w:val="725A079D"/>
    <w:rsid w:val="725B284E"/>
    <w:rsid w:val="72606505"/>
    <w:rsid w:val="72670A11"/>
    <w:rsid w:val="726851D9"/>
    <w:rsid w:val="72700DBA"/>
    <w:rsid w:val="72710408"/>
    <w:rsid w:val="727C784D"/>
    <w:rsid w:val="727E5288"/>
    <w:rsid w:val="72824DE8"/>
    <w:rsid w:val="72864398"/>
    <w:rsid w:val="728D0DC5"/>
    <w:rsid w:val="728E4D0C"/>
    <w:rsid w:val="728E6022"/>
    <w:rsid w:val="72913DA9"/>
    <w:rsid w:val="72924CF1"/>
    <w:rsid w:val="72946D51"/>
    <w:rsid w:val="729815B0"/>
    <w:rsid w:val="729B0DD3"/>
    <w:rsid w:val="729E5E75"/>
    <w:rsid w:val="729F1F2B"/>
    <w:rsid w:val="72A21432"/>
    <w:rsid w:val="72AE3808"/>
    <w:rsid w:val="72B462B1"/>
    <w:rsid w:val="72B4797D"/>
    <w:rsid w:val="72B53892"/>
    <w:rsid w:val="72B670DC"/>
    <w:rsid w:val="72B7727D"/>
    <w:rsid w:val="72B93AFE"/>
    <w:rsid w:val="72BB40CA"/>
    <w:rsid w:val="72BD3D39"/>
    <w:rsid w:val="72CA41D2"/>
    <w:rsid w:val="72CD5180"/>
    <w:rsid w:val="72E3517D"/>
    <w:rsid w:val="72E97706"/>
    <w:rsid w:val="72F1137D"/>
    <w:rsid w:val="72F14535"/>
    <w:rsid w:val="72F656BE"/>
    <w:rsid w:val="72F86E59"/>
    <w:rsid w:val="72FC6DFF"/>
    <w:rsid w:val="72FF321C"/>
    <w:rsid w:val="730010F9"/>
    <w:rsid w:val="730021D1"/>
    <w:rsid w:val="73074D91"/>
    <w:rsid w:val="73161344"/>
    <w:rsid w:val="73166AE0"/>
    <w:rsid w:val="731C088D"/>
    <w:rsid w:val="731F5565"/>
    <w:rsid w:val="732250BD"/>
    <w:rsid w:val="732560AD"/>
    <w:rsid w:val="73257DA5"/>
    <w:rsid w:val="732A25B9"/>
    <w:rsid w:val="732E7057"/>
    <w:rsid w:val="732F38C3"/>
    <w:rsid w:val="73330F34"/>
    <w:rsid w:val="7333168B"/>
    <w:rsid w:val="733B46F2"/>
    <w:rsid w:val="733C77F8"/>
    <w:rsid w:val="733D4EDE"/>
    <w:rsid w:val="73457E5C"/>
    <w:rsid w:val="734C6FF5"/>
    <w:rsid w:val="735008EE"/>
    <w:rsid w:val="73516998"/>
    <w:rsid w:val="73530CD9"/>
    <w:rsid w:val="735320B7"/>
    <w:rsid w:val="73533711"/>
    <w:rsid w:val="7358584A"/>
    <w:rsid w:val="735D2C69"/>
    <w:rsid w:val="735F38EF"/>
    <w:rsid w:val="736B3950"/>
    <w:rsid w:val="737007C1"/>
    <w:rsid w:val="73732040"/>
    <w:rsid w:val="73744EAD"/>
    <w:rsid w:val="7377378F"/>
    <w:rsid w:val="73784EEA"/>
    <w:rsid w:val="737B38A6"/>
    <w:rsid w:val="737D58E8"/>
    <w:rsid w:val="73811931"/>
    <w:rsid w:val="738266D3"/>
    <w:rsid w:val="7385757D"/>
    <w:rsid w:val="73874531"/>
    <w:rsid w:val="73875437"/>
    <w:rsid w:val="738A7393"/>
    <w:rsid w:val="738B3B75"/>
    <w:rsid w:val="739F754A"/>
    <w:rsid w:val="73A347CB"/>
    <w:rsid w:val="73A42D1E"/>
    <w:rsid w:val="73A43836"/>
    <w:rsid w:val="73A546AD"/>
    <w:rsid w:val="73A90017"/>
    <w:rsid w:val="73AD6028"/>
    <w:rsid w:val="73B22693"/>
    <w:rsid w:val="73B82578"/>
    <w:rsid w:val="73BB158F"/>
    <w:rsid w:val="73BD7386"/>
    <w:rsid w:val="73BE349E"/>
    <w:rsid w:val="73C83CFF"/>
    <w:rsid w:val="73CB2E69"/>
    <w:rsid w:val="73CB4787"/>
    <w:rsid w:val="73D76AAC"/>
    <w:rsid w:val="73E475CB"/>
    <w:rsid w:val="73EC71A8"/>
    <w:rsid w:val="73F800B0"/>
    <w:rsid w:val="73F80F3B"/>
    <w:rsid w:val="74030529"/>
    <w:rsid w:val="74036DB7"/>
    <w:rsid w:val="7407250D"/>
    <w:rsid w:val="74112A87"/>
    <w:rsid w:val="741619B7"/>
    <w:rsid w:val="74181A22"/>
    <w:rsid w:val="74186973"/>
    <w:rsid w:val="742361AB"/>
    <w:rsid w:val="742509E7"/>
    <w:rsid w:val="74283B06"/>
    <w:rsid w:val="742A2621"/>
    <w:rsid w:val="742C379D"/>
    <w:rsid w:val="743C333A"/>
    <w:rsid w:val="744D2D2A"/>
    <w:rsid w:val="744D5067"/>
    <w:rsid w:val="74500FBE"/>
    <w:rsid w:val="74545813"/>
    <w:rsid w:val="745A72F2"/>
    <w:rsid w:val="745B35A4"/>
    <w:rsid w:val="745F0547"/>
    <w:rsid w:val="74640CCF"/>
    <w:rsid w:val="7464349C"/>
    <w:rsid w:val="74683825"/>
    <w:rsid w:val="746A51D4"/>
    <w:rsid w:val="746F27C4"/>
    <w:rsid w:val="747B7590"/>
    <w:rsid w:val="747D127C"/>
    <w:rsid w:val="748044C0"/>
    <w:rsid w:val="74810153"/>
    <w:rsid w:val="74853ED5"/>
    <w:rsid w:val="74891D33"/>
    <w:rsid w:val="748C23A9"/>
    <w:rsid w:val="748D3A98"/>
    <w:rsid w:val="748E15BF"/>
    <w:rsid w:val="7491699E"/>
    <w:rsid w:val="749717C7"/>
    <w:rsid w:val="74995F17"/>
    <w:rsid w:val="749F053A"/>
    <w:rsid w:val="749F699A"/>
    <w:rsid w:val="74A22C8D"/>
    <w:rsid w:val="74A37CBC"/>
    <w:rsid w:val="74A42443"/>
    <w:rsid w:val="74AB1B7B"/>
    <w:rsid w:val="74B647D0"/>
    <w:rsid w:val="74BC44C7"/>
    <w:rsid w:val="74BD2DC6"/>
    <w:rsid w:val="74BD62A9"/>
    <w:rsid w:val="74BF6D41"/>
    <w:rsid w:val="74C0623F"/>
    <w:rsid w:val="74C62B03"/>
    <w:rsid w:val="74C67FAD"/>
    <w:rsid w:val="74C74B23"/>
    <w:rsid w:val="74C7523B"/>
    <w:rsid w:val="74CF36F3"/>
    <w:rsid w:val="74D517EC"/>
    <w:rsid w:val="74DA2277"/>
    <w:rsid w:val="74DC0EBB"/>
    <w:rsid w:val="74DD22FC"/>
    <w:rsid w:val="74E3049A"/>
    <w:rsid w:val="74E536FB"/>
    <w:rsid w:val="74E55320"/>
    <w:rsid w:val="74EF3541"/>
    <w:rsid w:val="74FA2A9F"/>
    <w:rsid w:val="75013E8E"/>
    <w:rsid w:val="750149A5"/>
    <w:rsid w:val="75023EE3"/>
    <w:rsid w:val="75036F1B"/>
    <w:rsid w:val="75042606"/>
    <w:rsid w:val="750E786A"/>
    <w:rsid w:val="75105314"/>
    <w:rsid w:val="75194B01"/>
    <w:rsid w:val="751A3BC1"/>
    <w:rsid w:val="751B0CB3"/>
    <w:rsid w:val="75285E26"/>
    <w:rsid w:val="75297BF4"/>
    <w:rsid w:val="7535454D"/>
    <w:rsid w:val="75377BC7"/>
    <w:rsid w:val="753A5115"/>
    <w:rsid w:val="753B369D"/>
    <w:rsid w:val="753E029B"/>
    <w:rsid w:val="753E5A1C"/>
    <w:rsid w:val="754252C6"/>
    <w:rsid w:val="75457751"/>
    <w:rsid w:val="75477965"/>
    <w:rsid w:val="754B402B"/>
    <w:rsid w:val="754B5D22"/>
    <w:rsid w:val="75534879"/>
    <w:rsid w:val="75580D09"/>
    <w:rsid w:val="7559755A"/>
    <w:rsid w:val="75606D52"/>
    <w:rsid w:val="756108B8"/>
    <w:rsid w:val="75660869"/>
    <w:rsid w:val="75681861"/>
    <w:rsid w:val="75691F0B"/>
    <w:rsid w:val="756B6451"/>
    <w:rsid w:val="756C0628"/>
    <w:rsid w:val="756D2350"/>
    <w:rsid w:val="756E182A"/>
    <w:rsid w:val="757534C9"/>
    <w:rsid w:val="7578169E"/>
    <w:rsid w:val="757B275A"/>
    <w:rsid w:val="75806C7D"/>
    <w:rsid w:val="75861851"/>
    <w:rsid w:val="75871218"/>
    <w:rsid w:val="758A5D6C"/>
    <w:rsid w:val="758C415B"/>
    <w:rsid w:val="758C6F79"/>
    <w:rsid w:val="758F018F"/>
    <w:rsid w:val="75904170"/>
    <w:rsid w:val="75927D42"/>
    <w:rsid w:val="75955FA8"/>
    <w:rsid w:val="75965528"/>
    <w:rsid w:val="75A15BD1"/>
    <w:rsid w:val="75A66CCD"/>
    <w:rsid w:val="75A9041F"/>
    <w:rsid w:val="75B43592"/>
    <w:rsid w:val="75B529BC"/>
    <w:rsid w:val="75B76425"/>
    <w:rsid w:val="75BB196F"/>
    <w:rsid w:val="75BE6390"/>
    <w:rsid w:val="75C33BAF"/>
    <w:rsid w:val="75CA1441"/>
    <w:rsid w:val="75D9656D"/>
    <w:rsid w:val="75DE1291"/>
    <w:rsid w:val="75DF6856"/>
    <w:rsid w:val="75E60BA8"/>
    <w:rsid w:val="75E77750"/>
    <w:rsid w:val="75EC490A"/>
    <w:rsid w:val="75ED0DD1"/>
    <w:rsid w:val="75EF6A04"/>
    <w:rsid w:val="75F064CC"/>
    <w:rsid w:val="75F444EB"/>
    <w:rsid w:val="75F44CD7"/>
    <w:rsid w:val="75F829E3"/>
    <w:rsid w:val="75FD2765"/>
    <w:rsid w:val="7604099E"/>
    <w:rsid w:val="76092CDF"/>
    <w:rsid w:val="76141AB6"/>
    <w:rsid w:val="76146018"/>
    <w:rsid w:val="76150C37"/>
    <w:rsid w:val="761735C2"/>
    <w:rsid w:val="76193107"/>
    <w:rsid w:val="761A58BA"/>
    <w:rsid w:val="7625210F"/>
    <w:rsid w:val="762854E3"/>
    <w:rsid w:val="762D16D5"/>
    <w:rsid w:val="762D221C"/>
    <w:rsid w:val="762F4C48"/>
    <w:rsid w:val="763013A5"/>
    <w:rsid w:val="7633719A"/>
    <w:rsid w:val="76346D83"/>
    <w:rsid w:val="76366786"/>
    <w:rsid w:val="76436C1E"/>
    <w:rsid w:val="764373D3"/>
    <w:rsid w:val="76476461"/>
    <w:rsid w:val="76476E52"/>
    <w:rsid w:val="764D1134"/>
    <w:rsid w:val="76540629"/>
    <w:rsid w:val="76566D60"/>
    <w:rsid w:val="765865FF"/>
    <w:rsid w:val="76597B9E"/>
    <w:rsid w:val="765D7B1F"/>
    <w:rsid w:val="765E535E"/>
    <w:rsid w:val="765F02EC"/>
    <w:rsid w:val="766050BD"/>
    <w:rsid w:val="76622C02"/>
    <w:rsid w:val="766D7ED3"/>
    <w:rsid w:val="76711520"/>
    <w:rsid w:val="76730999"/>
    <w:rsid w:val="767403CC"/>
    <w:rsid w:val="76790469"/>
    <w:rsid w:val="76803CE6"/>
    <w:rsid w:val="76841477"/>
    <w:rsid w:val="7685640F"/>
    <w:rsid w:val="768A2A89"/>
    <w:rsid w:val="768B7627"/>
    <w:rsid w:val="768D6254"/>
    <w:rsid w:val="76953229"/>
    <w:rsid w:val="76964FE6"/>
    <w:rsid w:val="76983DDA"/>
    <w:rsid w:val="769C3418"/>
    <w:rsid w:val="769C507F"/>
    <w:rsid w:val="76A175B9"/>
    <w:rsid w:val="76A20361"/>
    <w:rsid w:val="76A70DBD"/>
    <w:rsid w:val="76AB6A34"/>
    <w:rsid w:val="76AC191E"/>
    <w:rsid w:val="76B36319"/>
    <w:rsid w:val="76B47341"/>
    <w:rsid w:val="76B56881"/>
    <w:rsid w:val="76BF0481"/>
    <w:rsid w:val="76C535DD"/>
    <w:rsid w:val="76C5568B"/>
    <w:rsid w:val="76C978EA"/>
    <w:rsid w:val="76CC2A0D"/>
    <w:rsid w:val="76CD5E58"/>
    <w:rsid w:val="76CF638F"/>
    <w:rsid w:val="76D32996"/>
    <w:rsid w:val="76D7515E"/>
    <w:rsid w:val="76E746A9"/>
    <w:rsid w:val="76E87D2A"/>
    <w:rsid w:val="76EC2582"/>
    <w:rsid w:val="76ED0920"/>
    <w:rsid w:val="76F10131"/>
    <w:rsid w:val="76F27412"/>
    <w:rsid w:val="76F624B7"/>
    <w:rsid w:val="76F63813"/>
    <w:rsid w:val="76FE3DFD"/>
    <w:rsid w:val="77023E51"/>
    <w:rsid w:val="77062AC7"/>
    <w:rsid w:val="770B01E5"/>
    <w:rsid w:val="77107654"/>
    <w:rsid w:val="7715424D"/>
    <w:rsid w:val="77191A24"/>
    <w:rsid w:val="771B3797"/>
    <w:rsid w:val="771C0B17"/>
    <w:rsid w:val="771F21E7"/>
    <w:rsid w:val="77233FCB"/>
    <w:rsid w:val="772B4D5A"/>
    <w:rsid w:val="772F1094"/>
    <w:rsid w:val="773112FE"/>
    <w:rsid w:val="77320974"/>
    <w:rsid w:val="774345CC"/>
    <w:rsid w:val="77463EBD"/>
    <w:rsid w:val="774935E6"/>
    <w:rsid w:val="774B072A"/>
    <w:rsid w:val="774B441D"/>
    <w:rsid w:val="7758587B"/>
    <w:rsid w:val="77660A05"/>
    <w:rsid w:val="77674D96"/>
    <w:rsid w:val="77682FAB"/>
    <w:rsid w:val="77760F0F"/>
    <w:rsid w:val="77797CAA"/>
    <w:rsid w:val="777B0AF6"/>
    <w:rsid w:val="777C2316"/>
    <w:rsid w:val="777C7480"/>
    <w:rsid w:val="777E5110"/>
    <w:rsid w:val="777F3244"/>
    <w:rsid w:val="77800328"/>
    <w:rsid w:val="778069A7"/>
    <w:rsid w:val="77810EDA"/>
    <w:rsid w:val="77893320"/>
    <w:rsid w:val="778C4DDC"/>
    <w:rsid w:val="778C5FA4"/>
    <w:rsid w:val="778E275A"/>
    <w:rsid w:val="778F6444"/>
    <w:rsid w:val="778F7F07"/>
    <w:rsid w:val="779071D6"/>
    <w:rsid w:val="779261DA"/>
    <w:rsid w:val="779E1EEB"/>
    <w:rsid w:val="779E2EE8"/>
    <w:rsid w:val="779F3206"/>
    <w:rsid w:val="77A01324"/>
    <w:rsid w:val="77A05881"/>
    <w:rsid w:val="77A5055D"/>
    <w:rsid w:val="77A51A8D"/>
    <w:rsid w:val="77A6479D"/>
    <w:rsid w:val="77A81B93"/>
    <w:rsid w:val="77A858F2"/>
    <w:rsid w:val="77A8724D"/>
    <w:rsid w:val="77AC7C03"/>
    <w:rsid w:val="77AE1E3D"/>
    <w:rsid w:val="77B25FBF"/>
    <w:rsid w:val="77B61B60"/>
    <w:rsid w:val="77BA521B"/>
    <w:rsid w:val="77C3011B"/>
    <w:rsid w:val="77CB125F"/>
    <w:rsid w:val="77D44141"/>
    <w:rsid w:val="77D605A9"/>
    <w:rsid w:val="77D87313"/>
    <w:rsid w:val="77DE0CBB"/>
    <w:rsid w:val="77E74E18"/>
    <w:rsid w:val="77E855DA"/>
    <w:rsid w:val="77F11C19"/>
    <w:rsid w:val="77F15CF6"/>
    <w:rsid w:val="77F213F2"/>
    <w:rsid w:val="77F51106"/>
    <w:rsid w:val="77F61EB3"/>
    <w:rsid w:val="77F77911"/>
    <w:rsid w:val="78012F7E"/>
    <w:rsid w:val="780624D9"/>
    <w:rsid w:val="7808767C"/>
    <w:rsid w:val="78090364"/>
    <w:rsid w:val="780D0A8E"/>
    <w:rsid w:val="780F4A79"/>
    <w:rsid w:val="78104D42"/>
    <w:rsid w:val="78112175"/>
    <w:rsid w:val="78114C6C"/>
    <w:rsid w:val="781269C8"/>
    <w:rsid w:val="78184AD9"/>
    <w:rsid w:val="781D063E"/>
    <w:rsid w:val="781D4A00"/>
    <w:rsid w:val="782436E2"/>
    <w:rsid w:val="782673BB"/>
    <w:rsid w:val="782A1830"/>
    <w:rsid w:val="782C6BDB"/>
    <w:rsid w:val="78341F58"/>
    <w:rsid w:val="783605C7"/>
    <w:rsid w:val="78365F94"/>
    <w:rsid w:val="783C6C86"/>
    <w:rsid w:val="78425650"/>
    <w:rsid w:val="78426F3A"/>
    <w:rsid w:val="784322DD"/>
    <w:rsid w:val="78485E1A"/>
    <w:rsid w:val="78496B2D"/>
    <w:rsid w:val="784D2CBD"/>
    <w:rsid w:val="78501EC0"/>
    <w:rsid w:val="78565F4E"/>
    <w:rsid w:val="78597EEB"/>
    <w:rsid w:val="785D4304"/>
    <w:rsid w:val="785F7E16"/>
    <w:rsid w:val="787333FD"/>
    <w:rsid w:val="787569C1"/>
    <w:rsid w:val="787A486E"/>
    <w:rsid w:val="787A78C2"/>
    <w:rsid w:val="787C69DF"/>
    <w:rsid w:val="787C7A2E"/>
    <w:rsid w:val="787D2E1E"/>
    <w:rsid w:val="787F6727"/>
    <w:rsid w:val="788431F8"/>
    <w:rsid w:val="78883D9A"/>
    <w:rsid w:val="788C153E"/>
    <w:rsid w:val="788E03EF"/>
    <w:rsid w:val="78907BCD"/>
    <w:rsid w:val="78915371"/>
    <w:rsid w:val="7895709A"/>
    <w:rsid w:val="78981B95"/>
    <w:rsid w:val="78987074"/>
    <w:rsid w:val="78992AE1"/>
    <w:rsid w:val="789A7C74"/>
    <w:rsid w:val="78A540AC"/>
    <w:rsid w:val="78A65C61"/>
    <w:rsid w:val="78AB3D5E"/>
    <w:rsid w:val="78B15914"/>
    <w:rsid w:val="78B30EB2"/>
    <w:rsid w:val="78B62CA1"/>
    <w:rsid w:val="78BB5AA8"/>
    <w:rsid w:val="78DA6283"/>
    <w:rsid w:val="78DE2381"/>
    <w:rsid w:val="78DF69FB"/>
    <w:rsid w:val="78E25A9C"/>
    <w:rsid w:val="78E45914"/>
    <w:rsid w:val="78E4793B"/>
    <w:rsid w:val="78E56B4F"/>
    <w:rsid w:val="78E64AA3"/>
    <w:rsid w:val="78E75F92"/>
    <w:rsid w:val="78E83197"/>
    <w:rsid w:val="78EB7A40"/>
    <w:rsid w:val="78ED7FD7"/>
    <w:rsid w:val="78F0021C"/>
    <w:rsid w:val="78F0537C"/>
    <w:rsid w:val="78F4155A"/>
    <w:rsid w:val="78F446DE"/>
    <w:rsid w:val="78F565F7"/>
    <w:rsid w:val="78F80320"/>
    <w:rsid w:val="78F844A8"/>
    <w:rsid w:val="78FB082B"/>
    <w:rsid w:val="78FB4604"/>
    <w:rsid w:val="78FD6307"/>
    <w:rsid w:val="78FF7F3E"/>
    <w:rsid w:val="79024B61"/>
    <w:rsid w:val="7904217F"/>
    <w:rsid w:val="79102803"/>
    <w:rsid w:val="79113B91"/>
    <w:rsid w:val="79127754"/>
    <w:rsid w:val="7913669D"/>
    <w:rsid w:val="79153BAA"/>
    <w:rsid w:val="792107CE"/>
    <w:rsid w:val="79285844"/>
    <w:rsid w:val="792D03E6"/>
    <w:rsid w:val="79312492"/>
    <w:rsid w:val="7936230A"/>
    <w:rsid w:val="79363825"/>
    <w:rsid w:val="793E1B3F"/>
    <w:rsid w:val="7952449B"/>
    <w:rsid w:val="7956077D"/>
    <w:rsid w:val="795B1E83"/>
    <w:rsid w:val="79622101"/>
    <w:rsid w:val="79720EEF"/>
    <w:rsid w:val="79792944"/>
    <w:rsid w:val="797C014A"/>
    <w:rsid w:val="79824239"/>
    <w:rsid w:val="79867793"/>
    <w:rsid w:val="79884130"/>
    <w:rsid w:val="798B326A"/>
    <w:rsid w:val="7996169A"/>
    <w:rsid w:val="79994511"/>
    <w:rsid w:val="79A14F31"/>
    <w:rsid w:val="79A33448"/>
    <w:rsid w:val="79A659FD"/>
    <w:rsid w:val="79A81E77"/>
    <w:rsid w:val="79AA3010"/>
    <w:rsid w:val="79AD034D"/>
    <w:rsid w:val="79AE5AE5"/>
    <w:rsid w:val="79AE7502"/>
    <w:rsid w:val="79B0117C"/>
    <w:rsid w:val="79B4213F"/>
    <w:rsid w:val="79B431D1"/>
    <w:rsid w:val="79B65CA4"/>
    <w:rsid w:val="79BF156B"/>
    <w:rsid w:val="79C7367C"/>
    <w:rsid w:val="79CA11C1"/>
    <w:rsid w:val="79CA6808"/>
    <w:rsid w:val="79CF46E0"/>
    <w:rsid w:val="79D54926"/>
    <w:rsid w:val="79DB6B07"/>
    <w:rsid w:val="79E56A71"/>
    <w:rsid w:val="79E66373"/>
    <w:rsid w:val="79E67FC4"/>
    <w:rsid w:val="79EC588E"/>
    <w:rsid w:val="79EF1870"/>
    <w:rsid w:val="79EF5B58"/>
    <w:rsid w:val="79F46DE2"/>
    <w:rsid w:val="79F61645"/>
    <w:rsid w:val="79F70F0D"/>
    <w:rsid w:val="79F84179"/>
    <w:rsid w:val="7A03535C"/>
    <w:rsid w:val="7A042938"/>
    <w:rsid w:val="7A072690"/>
    <w:rsid w:val="7A0E55EC"/>
    <w:rsid w:val="7A0F2D59"/>
    <w:rsid w:val="7A1B1B9F"/>
    <w:rsid w:val="7A1B4184"/>
    <w:rsid w:val="7A1B5E8B"/>
    <w:rsid w:val="7A1F1A2C"/>
    <w:rsid w:val="7A204820"/>
    <w:rsid w:val="7A267481"/>
    <w:rsid w:val="7A284E19"/>
    <w:rsid w:val="7A3212DE"/>
    <w:rsid w:val="7A327A24"/>
    <w:rsid w:val="7A3378D0"/>
    <w:rsid w:val="7A3B09B9"/>
    <w:rsid w:val="7A3E444B"/>
    <w:rsid w:val="7A3F719A"/>
    <w:rsid w:val="7A401C9A"/>
    <w:rsid w:val="7A4170A6"/>
    <w:rsid w:val="7A420D82"/>
    <w:rsid w:val="7A4A5F38"/>
    <w:rsid w:val="7A4E163F"/>
    <w:rsid w:val="7A607E82"/>
    <w:rsid w:val="7A614B48"/>
    <w:rsid w:val="7A662567"/>
    <w:rsid w:val="7A6A097B"/>
    <w:rsid w:val="7A6F18FE"/>
    <w:rsid w:val="7A7065EA"/>
    <w:rsid w:val="7A732045"/>
    <w:rsid w:val="7A793A54"/>
    <w:rsid w:val="7A7B5AF3"/>
    <w:rsid w:val="7A7B5E51"/>
    <w:rsid w:val="7A7C4983"/>
    <w:rsid w:val="7A7D646C"/>
    <w:rsid w:val="7A7E0AAC"/>
    <w:rsid w:val="7A7F6B75"/>
    <w:rsid w:val="7A8A4B88"/>
    <w:rsid w:val="7A8C7EA9"/>
    <w:rsid w:val="7A934458"/>
    <w:rsid w:val="7A97778B"/>
    <w:rsid w:val="7A982E97"/>
    <w:rsid w:val="7AA216C4"/>
    <w:rsid w:val="7AA7509C"/>
    <w:rsid w:val="7AAC1001"/>
    <w:rsid w:val="7AAC3694"/>
    <w:rsid w:val="7AB122E5"/>
    <w:rsid w:val="7AB408B3"/>
    <w:rsid w:val="7AC30871"/>
    <w:rsid w:val="7ACF4F86"/>
    <w:rsid w:val="7AD57EB2"/>
    <w:rsid w:val="7AD775F0"/>
    <w:rsid w:val="7AD92E67"/>
    <w:rsid w:val="7AE00DD7"/>
    <w:rsid w:val="7AE263FE"/>
    <w:rsid w:val="7AE26482"/>
    <w:rsid w:val="7AE85D6A"/>
    <w:rsid w:val="7AEC5A08"/>
    <w:rsid w:val="7AEC6A57"/>
    <w:rsid w:val="7AEF1077"/>
    <w:rsid w:val="7AF33F1C"/>
    <w:rsid w:val="7AFD15EC"/>
    <w:rsid w:val="7B020D87"/>
    <w:rsid w:val="7B042FE2"/>
    <w:rsid w:val="7B064C68"/>
    <w:rsid w:val="7B090B9E"/>
    <w:rsid w:val="7B122D9E"/>
    <w:rsid w:val="7B12489C"/>
    <w:rsid w:val="7B1A5FF6"/>
    <w:rsid w:val="7B1E0C9C"/>
    <w:rsid w:val="7B214D5F"/>
    <w:rsid w:val="7B234184"/>
    <w:rsid w:val="7B253561"/>
    <w:rsid w:val="7B281F41"/>
    <w:rsid w:val="7B2D6699"/>
    <w:rsid w:val="7B2E420C"/>
    <w:rsid w:val="7B2F37BF"/>
    <w:rsid w:val="7B302108"/>
    <w:rsid w:val="7B374749"/>
    <w:rsid w:val="7B3C770D"/>
    <w:rsid w:val="7B411C92"/>
    <w:rsid w:val="7B486BF1"/>
    <w:rsid w:val="7B493931"/>
    <w:rsid w:val="7B4A01D8"/>
    <w:rsid w:val="7B541D2B"/>
    <w:rsid w:val="7B55000C"/>
    <w:rsid w:val="7B550F17"/>
    <w:rsid w:val="7B55166F"/>
    <w:rsid w:val="7B5A738A"/>
    <w:rsid w:val="7B5D7964"/>
    <w:rsid w:val="7B643304"/>
    <w:rsid w:val="7B666765"/>
    <w:rsid w:val="7B7042DD"/>
    <w:rsid w:val="7B71062A"/>
    <w:rsid w:val="7B742A46"/>
    <w:rsid w:val="7B7654CF"/>
    <w:rsid w:val="7B80615B"/>
    <w:rsid w:val="7B856AB6"/>
    <w:rsid w:val="7B87278F"/>
    <w:rsid w:val="7B87789F"/>
    <w:rsid w:val="7B904EE8"/>
    <w:rsid w:val="7B950CCF"/>
    <w:rsid w:val="7B954A71"/>
    <w:rsid w:val="7B9B5E08"/>
    <w:rsid w:val="7B9B6D7C"/>
    <w:rsid w:val="7BA2065A"/>
    <w:rsid w:val="7BA42CCA"/>
    <w:rsid w:val="7BA93E72"/>
    <w:rsid w:val="7BAA3D09"/>
    <w:rsid w:val="7BAD79AE"/>
    <w:rsid w:val="7BAE4D4B"/>
    <w:rsid w:val="7BB27D05"/>
    <w:rsid w:val="7BB42FCE"/>
    <w:rsid w:val="7BB516E1"/>
    <w:rsid w:val="7BB74D30"/>
    <w:rsid w:val="7BBD2D9E"/>
    <w:rsid w:val="7BC0393E"/>
    <w:rsid w:val="7BC16233"/>
    <w:rsid w:val="7BC24E27"/>
    <w:rsid w:val="7BC42420"/>
    <w:rsid w:val="7BC85F8A"/>
    <w:rsid w:val="7BD33A6A"/>
    <w:rsid w:val="7BE111A8"/>
    <w:rsid w:val="7BE21653"/>
    <w:rsid w:val="7BEB6750"/>
    <w:rsid w:val="7BEC790D"/>
    <w:rsid w:val="7BF212CB"/>
    <w:rsid w:val="7BF45F6D"/>
    <w:rsid w:val="7BF61595"/>
    <w:rsid w:val="7BF70684"/>
    <w:rsid w:val="7BF81601"/>
    <w:rsid w:val="7BF915C9"/>
    <w:rsid w:val="7BFA2A39"/>
    <w:rsid w:val="7BFC277E"/>
    <w:rsid w:val="7BFE6431"/>
    <w:rsid w:val="7C001A61"/>
    <w:rsid w:val="7C084C53"/>
    <w:rsid w:val="7C0A6DC0"/>
    <w:rsid w:val="7C0E1984"/>
    <w:rsid w:val="7C0E61E6"/>
    <w:rsid w:val="7C1146D1"/>
    <w:rsid w:val="7C130C54"/>
    <w:rsid w:val="7C13319D"/>
    <w:rsid w:val="7C1448CB"/>
    <w:rsid w:val="7C23184B"/>
    <w:rsid w:val="7C2573DF"/>
    <w:rsid w:val="7C262994"/>
    <w:rsid w:val="7C2B05CA"/>
    <w:rsid w:val="7C2E5800"/>
    <w:rsid w:val="7C326CF5"/>
    <w:rsid w:val="7C3316A3"/>
    <w:rsid w:val="7C3733C1"/>
    <w:rsid w:val="7C3852A1"/>
    <w:rsid w:val="7C3D00A9"/>
    <w:rsid w:val="7C410564"/>
    <w:rsid w:val="7C411A02"/>
    <w:rsid w:val="7C4A5A2E"/>
    <w:rsid w:val="7C4B7D62"/>
    <w:rsid w:val="7C4C3DE5"/>
    <w:rsid w:val="7C4D486F"/>
    <w:rsid w:val="7C5426BA"/>
    <w:rsid w:val="7C561726"/>
    <w:rsid w:val="7C5649BA"/>
    <w:rsid w:val="7C5651EE"/>
    <w:rsid w:val="7C570B1E"/>
    <w:rsid w:val="7C5A171F"/>
    <w:rsid w:val="7C6332C2"/>
    <w:rsid w:val="7C65353E"/>
    <w:rsid w:val="7C6F13AF"/>
    <w:rsid w:val="7C715C94"/>
    <w:rsid w:val="7C7465D5"/>
    <w:rsid w:val="7C7734C6"/>
    <w:rsid w:val="7C784587"/>
    <w:rsid w:val="7C7C570C"/>
    <w:rsid w:val="7C7F7204"/>
    <w:rsid w:val="7C7F7395"/>
    <w:rsid w:val="7C7F7D4E"/>
    <w:rsid w:val="7C807C6E"/>
    <w:rsid w:val="7C851134"/>
    <w:rsid w:val="7C873E14"/>
    <w:rsid w:val="7C8A4B01"/>
    <w:rsid w:val="7C8B5163"/>
    <w:rsid w:val="7C8C26A8"/>
    <w:rsid w:val="7C8F053C"/>
    <w:rsid w:val="7C96037E"/>
    <w:rsid w:val="7C974966"/>
    <w:rsid w:val="7C9B5087"/>
    <w:rsid w:val="7C9F0B92"/>
    <w:rsid w:val="7CA07829"/>
    <w:rsid w:val="7CA10479"/>
    <w:rsid w:val="7CA155EF"/>
    <w:rsid w:val="7CA20783"/>
    <w:rsid w:val="7CA2279F"/>
    <w:rsid w:val="7CAA542E"/>
    <w:rsid w:val="7CAC5529"/>
    <w:rsid w:val="7CB11A7C"/>
    <w:rsid w:val="7CB2078B"/>
    <w:rsid w:val="7CB361E5"/>
    <w:rsid w:val="7CB754EA"/>
    <w:rsid w:val="7CB806BE"/>
    <w:rsid w:val="7CB937F1"/>
    <w:rsid w:val="7CBA52C3"/>
    <w:rsid w:val="7CBC125A"/>
    <w:rsid w:val="7CC0401C"/>
    <w:rsid w:val="7CC421AF"/>
    <w:rsid w:val="7CC43C70"/>
    <w:rsid w:val="7CCB3E37"/>
    <w:rsid w:val="7CD0390A"/>
    <w:rsid w:val="7CD2002B"/>
    <w:rsid w:val="7CD40D71"/>
    <w:rsid w:val="7CD523C3"/>
    <w:rsid w:val="7CD74DDC"/>
    <w:rsid w:val="7CD75E92"/>
    <w:rsid w:val="7CD9575E"/>
    <w:rsid w:val="7CDC1F8F"/>
    <w:rsid w:val="7CE14107"/>
    <w:rsid w:val="7CE20BE5"/>
    <w:rsid w:val="7CE571DA"/>
    <w:rsid w:val="7CEF0EEA"/>
    <w:rsid w:val="7CF47EF9"/>
    <w:rsid w:val="7CF81325"/>
    <w:rsid w:val="7CFF5384"/>
    <w:rsid w:val="7D012C3A"/>
    <w:rsid w:val="7D014E59"/>
    <w:rsid w:val="7D073027"/>
    <w:rsid w:val="7D083358"/>
    <w:rsid w:val="7D100256"/>
    <w:rsid w:val="7D106B84"/>
    <w:rsid w:val="7D137C19"/>
    <w:rsid w:val="7D1625AB"/>
    <w:rsid w:val="7D1A07DA"/>
    <w:rsid w:val="7D1F5D8C"/>
    <w:rsid w:val="7D257023"/>
    <w:rsid w:val="7D2C32D0"/>
    <w:rsid w:val="7D2F4AEE"/>
    <w:rsid w:val="7D303310"/>
    <w:rsid w:val="7D30673B"/>
    <w:rsid w:val="7D307A2C"/>
    <w:rsid w:val="7D312392"/>
    <w:rsid w:val="7D35166E"/>
    <w:rsid w:val="7D3837B2"/>
    <w:rsid w:val="7D3C796B"/>
    <w:rsid w:val="7D4B275D"/>
    <w:rsid w:val="7D536642"/>
    <w:rsid w:val="7D561F61"/>
    <w:rsid w:val="7D564D16"/>
    <w:rsid w:val="7D581CCD"/>
    <w:rsid w:val="7D593C98"/>
    <w:rsid w:val="7D5F39D0"/>
    <w:rsid w:val="7D6162B7"/>
    <w:rsid w:val="7D625B63"/>
    <w:rsid w:val="7D68085B"/>
    <w:rsid w:val="7D694BCE"/>
    <w:rsid w:val="7D745CAB"/>
    <w:rsid w:val="7D791CE1"/>
    <w:rsid w:val="7D795780"/>
    <w:rsid w:val="7D82251D"/>
    <w:rsid w:val="7D872EF3"/>
    <w:rsid w:val="7D8C1848"/>
    <w:rsid w:val="7D8C593A"/>
    <w:rsid w:val="7D927627"/>
    <w:rsid w:val="7DA23CD6"/>
    <w:rsid w:val="7DB00344"/>
    <w:rsid w:val="7DBB1113"/>
    <w:rsid w:val="7DBB29A5"/>
    <w:rsid w:val="7DBE5DBA"/>
    <w:rsid w:val="7DC247C5"/>
    <w:rsid w:val="7DC52D23"/>
    <w:rsid w:val="7DC53500"/>
    <w:rsid w:val="7DC81D76"/>
    <w:rsid w:val="7DC8317C"/>
    <w:rsid w:val="7DC91985"/>
    <w:rsid w:val="7DCF5BFE"/>
    <w:rsid w:val="7DD34EA0"/>
    <w:rsid w:val="7DD365E3"/>
    <w:rsid w:val="7DD43B0F"/>
    <w:rsid w:val="7DD45D86"/>
    <w:rsid w:val="7DD642C2"/>
    <w:rsid w:val="7DE23B19"/>
    <w:rsid w:val="7DE57AB7"/>
    <w:rsid w:val="7DE91D33"/>
    <w:rsid w:val="7DE9317E"/>
    <w:rsid w:val="7DF01C3B"/>
    <w:rsid w:val="7DF06DAB"/>
    <w:rsid w:val="7DF21DE2"/>
    <w:rsid w:val="7DF24514"/>
    <w:rsid w:val="7DF32CF1"/>
    <w:rsid w:val="7DF53177"/>
    <w:rsid w:val="7DF82741"/>
    <w:rsid w:val="7DFA52D1"/>
    <w:rsid w:val="7DFD6246"/>
    <w:rsid w:val="7E0665A5"/>
    <w:rsid w:val="7E070BB1"/>
    <w:rsid w:val="7E094317"/>
    <w:rsid w:val="7E193DAA"/>
    <w:rsid w:val="7E1C4F7F"/>
    <w:rsid w:val="7E1D32EE"/>
    <w:rsid w:val="7E222EFD"/>
    <w:rsid w:val="7E2B1605"/>
    <w:rsid w:val="7E2C17B3"/>
    <w:rsid w:val="7E2C7D03"/>
    <w:rsid w:val="7E2D3AA9"/>
    <w:rsid w:val="7E3F3EDA"/>
    <w:rsid w:val="7E4273B8"/>
    <w:rsid w:val="7E4423DD"/>
    <w:rsid w:val="7E477032"/>
    <w:rsid w:val="7E4817C6"/>
    <w:rsid w:val="7E5237E0"/>
    <w:rsid w:val="7E547D91"/>
    <w:rsid w:val="7E5724F8"/>
    <w:rsid w:val="7E5B5EEE"/>
    <w:rsid w:val="7E626E59"/>
    <w:rsid w:val="7E6A7950"/>
    <w:rsid w:val="7E7407E7"/>
    <w:rsid w:val="7E7968BD"/>
    <w:rsid w:val="7E7A297C"/>
    <w:rsid w:val="7E7B357D"/>
    <w:rsid w:val="7E7F0DDB"/>
    <w:rsid w:val="7E82070A"/>
    <w:rsid w:val="7E851265"/>
    <w:rsid w:val="7E8B639B"/>
    <w:rsid w:val="7E8F5D96"/>
    <w:rsid w:val="7EA057A6"/>
    <w:rsid w:val="7EA16E5A"/>
    <w:rsid w:val="7EA406F9"/>
    <w:rsid w:val="7EA63F59"/>
    <w:rsid w:val="7EA71590"/>
    <w:rsid w:val="7EAB4E31"/>
    <w:rsid w:val="7EAD33E7"/>
    <w:rsid w:val="7EAD42CB"/>
    <w:rsid w:val="7EB07FAD"/>
    <w:rsid w:val="7EB21FC6"/>
    <w:rsid w:val="7EB36F39"/>
    <w:rsid w:val="7EB46FC0"/>
    <w:rsid w:val="7EB61640"/>
    <w:rsid w:val="7EC0329E"/>
    <w:rsid w:val="7ED01C6A"/>
    <w:rsid w:val="7ED2034B"/>
    <w:rsid w:val="7ED51171"/>
    <w:rsid w:val="7EDC684B"/>
    <w:rsid w:val="7EDC7E9B"/>
    <w:rsid w:val="7EDE53BA"/>
    <w:rsid w:val="7EDE7909"/>
    <w:rsid w:val="7EE202C4"/>
    <w:rsid w:val="7EE25704"/>
    <w:rsid w:val="7EE32209"/>
    <w:rsid w:val="7EE80090"/>
    <w:rsid w:val="7EED2988"/>
    <w:rsid w:val="7EEE6379"/>
    <w:rsid w:val="7EF11CE7"/>
    <w:rsid w:val="7EFE0A1E"/>
    <w:rsid w:val="7EFE4B59"/>
    <w:rsid w:val="7F067F68"/>
    <w:rsid w:val="7F087AB5"/>
    <w:rsid w:val="7F0F64E6"/>
    <w:rsid w:val="7F101FF0"/>
    <w:rsid w:val="7F1552CE"/>
    <w:rsid w:val="7F260104"/>
    <w:rsid w:val="7F265B74"/>
    <w:rsid w:val="7F30479A"/>
    <w:rsid w:val="7F3628B9"/>
    <w:rsid w:val="7F377EDA"/>
    <w:rsid w:val="7F38024F"/>
    <w:rsid w:val="7F3B4C9C"/>
    <w:rsid w:val="7F4042B4"/>
    <w:rsid w:val="7F484148"/>
    <w:rsid w:val="7F4925BD"/>
    <w:rsid w:val="7F4C399C"/>
    <w:rsid w:val="7F4C3E2C"/>
    <w:rsid w:val="7F50543B"/>
    <w:rsid w:val="7F52169F"/>
    <w:rsid w:val="7F522361"/>
    <w:rsid w:val="7F5B1133"/>
    <w:rsid w:val="7F5C5ADC"/>
    <w:rsid w:val="7F5E3CCB"/>
    <w:rsid w:val="7F6B3005"/>
    <w:rsid w:val="7F715BB3"/>
    <w:rsid w:val="7F756502"/>
    <w:rsid w:val="7F756ADD"/>
    <w:rsid w:val="7F761A0B"/>
    <w:rsid w:val="7F77382A"/>
    <w:rsid w:val="7F7F410F"/>
    <w:rsid w:val="7F844368"/>
    <w:rsid w:val="7F852A92"/>
    <w:rsid w:val="7F8603C1"/>
    <w:rsid w:val="7F93256E"/>
    <w:rsid w:val="7F965C4A"/>
    <w:rsid w:val="7F9A60BC"/>
    <w:rsid w:val="7F9B6136"/>
    <w:rsid w:val="7FAE2CD3"/>
    <w:rsid w:val="7FB13E9C"/>
    <w:rsid w:val="7FB21B08"/>
    <w:rsid w:val="7FB46111"/>
    <w:rsid w:val="7FB54A50"/>
    <w:rsid w:val="7FBD6DAD"/>
    <w:rsid w:val="7FC228B6"/>
    <w:rsid w:val="7FC36C65"/>
    <w:rsid w:val="7FC44D4C"/>
    <w:rsid w:val="7FC52087"/>
    <w:rsid w:val="7FC748F6"/>
    <w:rsid w:val="7FC86CB1"/>
    <w:rsid w:val="7FC96CAE"/>
    <w:rsid w:val="7FD269ED"/>
    <w:rsid w:val="7FDC7F61"/>
    <w:rsid w:val="7FDE261C"/>
    <w:rsid w:val="7FDF0173"/>
    <w:rsid w:val="7FE32F5A"/>
    <w:rsid w:val="7FE52DEB"/>
    <w:rsid w:val="7FE614BA"/>
    <w:rsid w:val="7FE639EF"/>
    <w:rsid w:val="7FE91A2B"/>
    <w:rsid w:val="7FEA18A6"/>
    <w:rsid w:val="7FEA3A98"/>
    <w:rsid w:val="7FF225C0"/>
    <w:rsid w:val="7FF25354"/>
    <w:rsid w:val="7FF838FA"/>
    <w:rsid w:val="7FF91826"/>
    <w:rsid w:val="7FF95CFC"/>
    <w:rsid w:val="7FFF2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2" w:firstLineChars="200"/>
    </w:pPr>
    <w:rPr>
      <w:rFonts w:ascii="宋体" w:hAnsi="宋体" w:eastAsia="宋体" w:cs="宋体"/>
      <w:sz w:val="24"/>
      <w:szCs w:val="24"/>
      <w:lang w:val="en-US" w:eastAsia="zh-CN" w:bidi="ar-SA"/>
    </w:rPr>
  </w:style>
  <w:style w:type="paragraph" w:styleId="4">
    <w:name w:val="heading 1"/>
    <w:basedOn w:val="1"/>
    <w:next w:val="1"/>
    <w:link w:val="45"/>
    <w:qFormat/>
    <w:uiPriority w:val="0"/>
    <w:pPr>
      <w:keepNext/>
      <w:spacing w:line="480" w:lineRule="auto"/>
      <w:ind w:firstLine="0" w:firstLineChars="0"/>
      <w:jc w:val="center"/>
      <w:outlineLvl w:val="0"/>
    </w:pPr>
    <w:rPr>
      <w:b/>
      <w:bCs/>
      <w:sz w:val="30"/>
      <w:szCs w:val="30"/>
    </w:rPr>
  </w:style>
  <w:style w:type="paragraph" w:styleId="5">
    <w:name w:val="heading 2"/>
    <w:basedOn w:val="1"/>
    <w:next w:val="1"/>
    <w:link w:val="46"/>
    <w:qFormat/>
    <w:uiPriority w:val="0"/>
    <w:pPr>
      <w:keepNext/>
      <w:ind w:firstLine="0" w:firstLineChars="0"/>
      <w:outlineLvl w:val="1"/>
    </w:pPr>
    <w:rPr>
      <w:rFonts w:ascii="宋体" w:hAnsi="宋体" w:eastAsia="宋体"/>
      <w:b/>
      <w:bCs/>
      <w:snapToGrid w:val="0"/>
    </w:rPr>
  </w:style>
  <w:style w:type="paragraph" w:styleId="6">
    <w:name w:val="heading 3"/>
    <w:basedOn w:val="1"/>
    <w:next w:val="1"/>
    <w:link w:val="47"/>
    <w:qFormat/>
    <w:uiPriority w:val="0"/>
    <w:pPr>
      <w:keepNext/>
      <w:ind w:firstLine="0" w:firstLineChars="0"/>
      <w:outlineLvl w:val="2"/>
    </w:pPr>
    <w:rPr>
      <w:rFonts w:ascii="宋体" w:hAnsi="宋体" w:eastAsia="宋体"/>
      <w:b/>
      <w:bCs/>
      <w:snapToGrid w:val="0"/>
      <w:color w:val="000000"/>
    </w:rPr>
  </w:style>
  <w:style w:type="paragraph" w:styleId="7">
    <w:name w:val="heading 4"/>
    <w:basedOn w:val="1"/>
    <w:next w:val="1"/>
    <w:link w:val="52"/>
    <w:qFormat/>
    <w:uiPriority w:val="0"/>
    <w:pPr>
      <w:keepNext/>
      <w:keepLines/>
      <w:outlineLvl w:val="3"/>
    </w:pPr>
    <w:rPr>
      <w:rFonts w:ascii="宋体" w:hAnsi="宋体" w:eastAsia="宋体"/>
      <w:b/>
      <w:bCs/>
      <w:snapToGrid w:val="0"/>
    </w:rPr>
  </w:style>
  <w:style w:type="paragraph" w:styleId="8">
    <w:name w:val="heading 9"/>
    <w:basedOn w:val="1"/>
    <w:next w:val="1"/>
    <w:qFormat/>
    <w:uiPriority w:val="0"/>
    <w:pPr>
      <w:keepNext/>
      <w:keepLines/>
      <w:spacing w:before="240" w:after="64" w:line="317" w:lineRule="auto"/>
      <w:outlineLvl w:val="8"/>
    </w:pPr>
    <w:rPr>
      <w:rFonts w:ascii="Arial" w:hAnsi="Arial" w:eastAsia="黑体"/>
      <w:sz w:val="21"/>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toc 7"/>
    <w:basedOn w:val="1"/>
    <w:next w:val="1"/>
    <w:qFormat/>
    <w:uiPriority w:val="0"/>
    <w:pPr>
      <w:ind w:left="2520" w:leftChars="1200"/>
    </w:pPr>
  </w:style>
  <w:style w:type="paragraph" w:styleId="10">
    <w:name w:val="Normal Indent"/>
    <w:basedOn w:val="1"/>
    <w:qFormat/>
    <w:uiPriority w:val="0"/>
    <w:pPr>
      <w:spacing w:after="180" w:line="309" w:lineRule="auto"/>
      <w:ind w:firstLine="420"/>
    </w:pPr>
    <w:rPr>
      <w:rFonts w:ascii="Times New Roman" w:hAnsi="Times New Roman"/>
      <w:szCs w:val="20"/>
    </w:rPr>
  </w:style>
  <w:style w:type="paragraph" w:styleId="11">
    <w:name w:val="Document Map"/>
    <w:basedOn w:val="1"/>
    <w:link w:val="78"/>
    <w:qFormat/>
    <w:uiPriority w:val="0"/>
    <w:rPr>
      <w:sz w:val="18"/>
      <w:szCs w:val="18"/>
    </w:rPr>
  </w:style>
  <w:style w:type="paragraph" w:styleId="12">
    <w:name w:val="annotation text"/>
    <w:basedOn w:val="1"/>
    <w:link w:val="48"/>
    <w:qFormat/>
    <w:uiPriority w:val="0"/>
  </w:style>
  <w:style w:type="paragraph" w:styleId="13">
    <w:name w:val="Body Text Indent"/>
    <w:basedOn w:val="1"/>
    <w:next w:val="1"/>
    <w:qFormat/>
    <w:uiPriority w:val="0"/>
    <w:pPr>
      <w:spacing w:after="120"/>
      <w:ind w:left="420" w:leftChars="200"/>
    </w:pPr>
    <w:rPr>
      <w:rFonts w:ascii="Times New Roman"/>
      <w:sz w:val="20"/>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qFormat/>
    <w:uiPriority w:val="0"/>
    <w:rPr>
      <w:rFonts w:hAnsi="Courier New"/>
      <w:sz w:val="20"/>
      <w:szCs w:val="18"/>
    </w:rPr>
  </w:style>
  <w:style w:type="paragraph" w:styleId="17">
    <w:name w:val="toc 8"/>
    <w:basedOn w:val="1"/>
    <w:next w:val="1"/>
    <w:qFormat/>
    <w:uiPriority w:val="0"/>
    <w:pPr>
      <w:ind w:left="2940" w:leftChars="14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84"/>
    <w:qFormat/>
    <w:uiPriority w:val="0"/>
    <w:rPr>
      <w:sz w:val="18"/>
      <w:szCs w:val="18"/>
    </w:rPr>
  </w:style>
  <w:style w:type="paragraph" w:styleId="20">
    <w:name w:val="footer"/>
    <w:basedOn w:val="1"/>
    <w:link w:val="86"/>
    <w:qFormat/>
    <w:uiPriority w:val="99"/>
    <w:pPr>
      <w:tabs>
        <w:tab w:val="center" w:pos="4153"/>
        <w:tab w:val="right" w:pos="8306"/>
      </w:tabs>
      <w:snapToGrid w:val="0"/>
    </w:pPr>
    <w:rPr>
      <w:rFonts w:ascii="Calibri"/>
      <w:sz w:val="18"/>
      <w:szCs w:val="18"/>
    </w:rPr>
  </w:style>
  <w:style w:type="paragraph" w:styleId="21">
    <w:name w:val="header"/>
    <w:basedOn w:val="1"/>
    <w:link w:val="82"/>
    <w:qFormat/>
    <w:uiPriority w:val="99"/>
    <w:pPr>
      <w:pBdr>
        <w:bottom w:val="single" w:color="auto" w:sz="6" w:space="1"/>
      </w:pBdr>
      <w:tabs>
        <w:tab w:val="center" w:pos="4153"/>
        <w:tab w:val="right" w:pos="8306"/>
      </w:tabs>
      <w:snapToGrid w:val="0"/>
      <w:jc w:val="center"/>
    </w:pPr>
    <w:rPr>
      <w:rFonts w:ascii="Calibri"/>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5">
    <w:name w:val="toc 6"/>
    <w:basedOn w:val="1"/>
    <w:next w:val="1"/>
    <w:qFormat/>
    <w:uiPriority w:val="0"/>
    <w:pPr>
      <w:ind w:left="2100" w:leftChars="1000"/>
    </w:pPr>
  </w:style>
  <w:style w:type="paragraph" w:styleId="26">
    <w:name w:val="Body Text Indent 3"/>
    <w:basedOn w:val="1"/>
    <w:qFormat/>
    <w:uiPriority w:val="0"/>
    <w:pPr>
      <w:ind w:left="153" w:leftChars="85" w:firstLine="560"/>
    </w:pPr>
    <w:rPr>
      <w:sz w:val="28"/>
      <w:szCs w:val="28"/>
    </w:rPr>
  </w:style>
  <w:style w:type="paragraph" w:styleId="27">
    <w:name w:val="toc 2"/>
    <w:basedOn w:val="1"/>
    <w:next w:val="1"/>
    <w:qFormat/>
    <w:uiPriority w:val="0"/>
    <w:pPr>
      <w:ind w:left="420" w:leftChars="200"/>
    </w:pPr>
  </w:style>
  <w:style w:type="paragraph" w:styleId="28">
    <w:name w:val="toc 9"/>
    <w:basedOn w:val="1"/>
    <w:next w:val="1"/>
    <w:qFormat/>
    <w:uiPriority w:val="0"/>
    <w:pPr>
      <w:ind w:left="3360" w:leftChars="1600"/>
    </w:pPr>
  </w:style>
  <w:style w:type="paragraph" w:styleId="29">
    <w:name w:val="Normal (Web)"/>
    <w:basedOn w:val="1"/>
    <w:qFormat/>
    <w:uiPriority w:val="0"/>
    <w:pPr>
      <w:widowControl/>
      <w:spacing w:before="100" w:beforeAutospacing="1" w:after="100" w:afterAutospacing="1"/>
    </w:pPr>
    <w:rPr>
      <w:color w:val="000000"/>
    </w:rPr>
  </w:style>
  <w:style w:type="paragraph" w:styleId="30">
    <w:name w:val="annotation subject"/>
    <w:basedOn w:val="12"/>
    <w:next w:val="12"/>
    <w:link w:val="77"/>
    <w:qFormat/>
    <w:uiPriority w:val="0"/>
    <w:rPr>
      <w:b/>
      <w:bCs/>
    </w:rPr>
  </w:style>
  <w:style w:type="paragraph" w:styleId="31">
    <w:name w:val="Body Text First Indent"/>
    <w:basedOn w:val="2"/>
    <w:qFormat/>
    <w:uiPriority w:val="0"/>
    <w:pPr>
      <w:ind w:firstLine="420" w:firstLineChars="100"/>
      <w:jc w:val="both"/>
    </w:pPr>
    <w:rPr>
      <w:kern w:val="2"/>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33333"/>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Variable"/>
    <w:basedOn w:val="34"/>
    <w:qFormat/>
    <w:uiPriority w:val="0"/>
  </w:style>
  <w:style w:type="character" w:styleId="41">
    <w:name w:val="Hyperlink"/>
    <w:basedOn w:val="34"/>
    <w:qFormat/>
    <w:uiPriority w:val="0"/>
    <w:rPr>
      <w:color w:val="0000FF"/>
      <w:u w:val="single"/>
    </w:rPr>
  </w:style>
  <w:style w:type="character" w:styleId="42">
    <w:name w:val="HTML Code"/>
    <w:basedOn w:val="34"/>
    <w:qFormat/>
    <w:uiPriority w:val="0"/>
    <w:rPr>
      <w:rFonts w:ascii="Courier New" w:hAnsi="Courier New"/>
      <w:sz w:val="20"/>
    </w:rPr>
  </w:style>
  <w:style w:type="character" w:styleId="43">
    <w:name w:val="annotation reference"/>
    <w:qFormat/>
    <w:uiPriority w:val="0"/>
    <w:rPr>
      <w:sz w:val="21"/>
      <w:szCs w:val="21"/>
    </w:rPr>
  </w:style>
  <w:style w:type="character" w:styleId="44">
    <w:name w:val="HTML Cite"/>
    <w:basedOn w:val="34"/>
    <w:qFormat/>
    <w:uiPriority w:val="0"/>
  </w:style>
  <w:style w:type="character" w:customStyle="1" w:styleId="45">
    <w:name w:val="标题 1 字符"/>
    <w:link w:val="4"/>
    <w:qFormat/>
    <w:uiPriority w:val="0"/>
    <w:rPr>
      <w:rFonts w:ascii="宋体" w:hAnsi="宋体" w:eastAsia="宋体"/>
      <w:b/>
      <w:bCs/>
      <w:spacing w:val="0"/>
      <w:kern w:val="0"/>
      <w:sz w:val="30"/>
      <w:szCs w:val="30"/>
    </w:rPr>
  </w:style>
  <w:style w:type="character" w:customStyle="1" w:styleId="46">
    <w:name w:val="标题 2 字符"/>
    <w:link w:val="5"/>
    <w:qFormat/>
    <w:uiPriority w:val="0"/>
    <w:rPr>
      <w:rFonts w:ascii="宋体" w:hAnsi="宋体" w:eastAsia="宋体"/>
      <w:b/>
      <w:bCs/>
      <w:snapToGrid w:val="0"/>
      <w:kern w:val="0"/>
      <w:sz w:val="24"/>
      <w:szCs w:val="24"/>
    </w:rPr>
  </w:style>
  <w:style w:type="character" w:customStyle="1" w:styleId="47">
    <w:name w:val="标题 3 字符"/>
    <w:link w:val="6"/>
    <w:qFormat/>
    <w:uiPriority w:val="0"/>
    <w:rPr>
      <w:rFonts w:ascii="宋体" w:hAnsi="宋体" w:eastAsia="宋体"/>
      <w:b/>
      <w:bCs/>
      <w:snapToGrid w:val="0"/>
    </w:rPr>
  </w:style>
  <w:style w:type="character" w:customStyle="1" w:styleId="48">
    <w:name w:val="批注文字 字符"/>
    <w:link w:val="12"/>
    <w:qFormat/>
    <w:uiPriority w:val="0"/>
    <w:rPr>
      <w:rFonts w:ascii="宋体" w:hAnsi="Calibri"/>
      <w:sz w:val="34"/>
      <w:szCs w:val="22"/>
    </w:rPr>
  </w:style>
  <w:style w:type="character" w:customStyle="1" w:styleId="49">
    <w:name w:val="标题 3 Char"/>
    <w:qFormat/>
    <w:uiPriority w:val="0"/>
    <w:rPr>
      <w:rFonts w:ascii="宋体" w:hAnsi="宋体" w:eastAsia="宋体"/>
      <w:b/>
      <w:bCs/>
      <w:color w:val="000000"/>
      <w:sz w:val="24"/>
      <w:szCs w:val="24"/>
    </w:rPr>
  </w:style>
  <w:style w:type="paragraph" w:customStyle="1" w:styleId="50">
    <w:name w:val="Default"/>
    <w:next w:val="51"/>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51">
    <w:name w:val="Body Text Indent"/>
    <w:basedOn w:val="1"/>
    <w:next w:val="1"/>
    <w:qFormat/>
    <w:uiPriority w:val="0"/>
    <w:pPr>
      <w:ind w:firstLine="630"/>
    </w:pPr>
    <w:rPr>
      <w:rFonts w:ascii="Times New Roman"/>
      <w:kern w:val="2"/>
      <w:sz w:val="32"/>
    </w:rPr>
  </w:style>
  <w:style w:type="character" w:customStyle="1" w:styleId="52">
    <w:name w:val="标题 4 字符"/>
    <w:link w:val="7"/>
    <w:qFormat/>
    <w:uiPriority w:val="0"/>
    <w:rPr>
      <w:rFonts w:ascii="宋体" w:hAnsi="宋体" w:eastAsia="宋体"/>
      <w:b/>
      <w:bCs/>
      <w:snapToGrid w:val="0"/>
      <w:sz w:val="24"/>
      <w:szCs w:val="24"/>
    </w:rPr>
  </w:style>
  <w:style w:type="paragraph" w:customStyle="1" w:styleId="53">
    <w:name w:val="首行缩进"/>
    <w:basedOn w:val="1"/>
    <w:qFormat/>
    <w:uiPriority w:val="0"/>
    <w:pPr>
      <w:ind w:firstLine="480"/>
    </w:pPr>
    <w:rPr>
      <w:lang w:val="zh-CN"/>
    </w:rPr>
  </w:style>
  <w:style w:type="paragraph" w:customStyle="1" w:styleId="54">
    <w:name w:val="列出段落1"/>
    <w:basedOn w:val="1"/>
    <w:unhideWhenUsed/>
    <w:qFormat/>
    <w:uiPriority w:val="99"/>
    <w:pPr>
      <w:ind w:firstLine="420"/>
    </w:pPr>
    <w:rPr>
      <w:rFonts w:hint="eastAsia"/>
      <w:sz w:val="21"/>
    </w:rPr>
  </w:style>
  <w:style w:type="paragraph" w:customStyle="1" w:styleId="55">
    <w:name w:val="CD正文"/>
    <w:basedOn w:val="1"/>
    <w:qFormat/>
    <w:uiPriority w:val="0"/>
    <w:pPr>
      <w:ind w:firstLine="493"/>
    </w:pPr>
    <w:rPr>
      <w:kern w:val="2"/>
      <w:sz w:val="30"/>
      <w:szCs w:val="28"/>
    </w:rPr>
  </w:style>
  <w:style w:type="paragraph" w:customStyle="1" w:styleId="5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7">
    <w:name w:val="样式 首行缩进:  2 字符"/>
    <w:basedOn w:val="1"/>
    <w:qFormat/>
    <w:uiPriority w:val="0"/>
    <w:pPr>
      <w:spacing w:line="400" w:lineRule="exact"/>
      <w:ind w:firstLine="200"/>
    </w:pPr>
  </w:style>
  <w:style w:type="paragraph" w:customStyle="1" w:styleId="58">
    <w:name w:val="_Style 1"/>
    <w:basedOn w:val="1"/>
    <w:qFormat/>
    <w:uiPriority w:val="34"/>
    <w:pPr>
      <w:ind w:firstLine="420"/>
    </w:pPr>
    <w:rPr>
      <w:rFonts w:ascii="Calibri"/>
      <w:kern w:val="2"/>
      <w:sz w:val="21"/>
    </w:rPr>
  </w:style>
  <w:style w:type="paragraph" w:customStyle="1" w:styleId="59">
    <w:name w:val="_Style 48"/>
    <w:basedOn w:val="1"/>
    <w:qFormat/>
    <w:uiPriority w:val="0"/>
    <w:pPr>
      <w:ind w:firstLine="420"/>
    </w:pPr>
    <w:rPr>
      <w:rFonts w:ascii="Calibri"/>
      <w:kern w:val="2"/>
      <w:sz w:val="21"/>
    </w:rPr>
  </w:style>
  <w:style w:type="paragraph" w:customStyle="1" w:styleId="60">
    <w:name w:val="三级标题-正文"/>
    <w:basedOn w:val="5"/>
    <w:link w:val="83"/>
    <w:qFormat/>
    <w:uiPriority w:val="0"/>
    <w:pPr>
      <w:adjustRightInd w:val="0"/>
      <w:snapToGrid w:val="0"/>
      <w:outlineLvl w:val="2"/>
    </w:pPr>
    <w:rPr>
      <w:iCs/>
      <w:color w:val="000000"/>
    </w:rPr>
  </w:style>
  <w:style w:type="paragraph" w:customStyle="1" w:styleId="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2">
    <w:name w:val="正文首行缩进两字符"/>
    <w:basedOn w:val="1"/>
    <w:qFormat/>
    <w:uiPriority w:val="0"/>
    <w:pPr>
      <w:ind w:firstLine="200"/>
    </w:pPr>
    <w:rPr>
      <w:rFonts w:ascii="Times New Roman" w:hAnsi="Times New Roman"/>
    </w:rPr>
  </w:style>
  <w:style w:type="paragraph" w:customStyle="1" w:styleId="63">
    <w:name w:val="彩色列表 - 强调文字颜色 11"/>
    <w:basedOn w:val="1"/>
    <w:qFormat/>
    <w:uiPriority w:val="0"/>
    <w:pPr>
      <w:ind w:firstLine="420"/>
    </w:pPr>
    <w:rPr>
      <w:rFonts w:ascii="Calibri"/>
      <w:kern w:val="2"/>
      <w:sz w:val="21"/>
    </w:rPr>
  </w:style>
  <w:style w:type="paragraph" w:customStyle="1" w:styleId="64">
    <w:name w:val="表格正文"/>
    <w:basedOn w:val="1"/>
    <w:link w:val="80"/>
    <w:qFormat/>
    <w:uiPriority w:val="0"/>
    <w:pPr>
      <w:jc w:val="center"/>
    </w:pPr>
    <w:rPr>
      <w:rFonts w:ascii="仿宋_GB2312"/>
      <w:szCs w:val="28"/>
    </w:rPr>
  </w:style>
  <w:style w:type="paragraph" w:customStyle="1" w:styleId="65">
    <w:name w:val="列出段落2"/>
    <w:basedOn w:val="1"/>
    <w:qFormat/>
    <w:uiPriority w:val="99"/>
    <w:pPr>
      <w:ind w:firstLine="420"/>
    </w:pPr>
  </w:style>
  <w:style w:type="paragraph" w:customStyle="1" w:styleId="66">
    <w:name w:val="正文文本 21"/>
    <w:basedOn w:val="1"/>
    <w:qFormat/>
    <w:uiPriority w:val="0"/>
    <w:pPr>
      <w:adjustRightInd w:val="0"/>
      <w:spacing w:line="300" w:lineRule="auto"/>
      <w:jc w:val="center"/>
      <w:textAlignment w:val="baseline"/>
    </w:pPr>
    <w:rPr>
      <w:szCs w:val="20"/>
    </w:rPr>
  </w:style>
  <w:style w:type="paragraph" w:customStyle="1" w:styleId="67">
    <w:name w:val="论文正文"/>
    <w:basedOn w:val="1"/>
    <w:qFormat/>
    <w:uiPriority w:val="0"/>
    <w:pPr>
      <w:spacing w:line="300" w:lineRule="auto"/>
      <w:ind w:firstLine="200"/>
    </w:pPr>
    <w:rPr>
      <w:kern w:val="2"/>
    </w:rPr>
  </w:style>
  <w:style w:type="paragraph" w:customStyle="1" w:styleId="68">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69">
    <w:name w:val="_Style 3"/>
    <w:basedOn w:val="1"/>
    <w:qFormat/>
    <w:uiPriority w:val="34"/>
    <w:pPr>
      <w:ind w:firstLine="420"/>
    </w:pPr>
    <w:rPr>
      <w:rFonts w:ascii="Calibri"/>
      <w:kern w:val="2"/>
      <w:sz w:val="21"/>
    </w:rPr>
  </w:style>
  <w:style w:type="paragraph" w:customStyle="1" w:styleId="70">
    <w:name w:val="列出段落3"/>
    <w:basedOn w:val="1"/>
    <w:qFormat/>
    <w:uiPriority w:val="0"/>
    <w:pPr>
      <w:ind w:firstLine="420"/>
    </w:pPr>
    <w:rPr>
      <w:rFonts w:ascii="Calibri"/>
      <w:kern w:val="2"/>
      <w:sz w:val="21"/>
    </w:rPr>
  </w:style>
  <w:style w:type="paragraph" w:customStyle="1" w:styleId="71">
    <w:name w:val="表格"/>
    <w:basedOn w:val="1"/>
    <w:qFormat/>
    <w:uiPriority w:val="0"/>
    <w:pPr>
      <w:spacing w:line="400" w:lineRule="exact"/>
    </w:pPr>
  </w:style>
  <w:style w:type="paragraph" w:customStyle="1" w:styleId="7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73">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74">
    <w:name w:val="p0"/>
    <w:basedOn w:val="1"/>
    <w:qFormat/>
    <w:uiPriority w:val="0"/>
    <w:pPr>
      <w:widowControl/>
    </w:pPr>
    <w:rPr>
      <w:rFonts w:ascii="Calibri"/>
      <w:szCs w:val="21"/>
    </w:rPr>
  </w:style>
  <w:style w:type="paragraph" w:customStyle="1" w:styleId="75">
    <w:name w:val="三级标题--"/>
    <w:basedOn w:val="60"/>
    <w:link w:val="81"/>
    <w:qFormat/>
    <w:uiPriority w:val="0"/>
    <w:pPr>
      <w:tabs>
        <w:tab w:val="left" w:pos="1843"/>
      </w:tabs>
      <w:spacing w:beforeLines="50" w:afterLines="50"/>
      <w:ind w:left="2127"/>
    </w:pPr>
    <w:rPr>
      <w:lang w:val="zh-CN"/>
    </w:rPr>
  </w:style>
  <w:style w:type="character" w:customStyle="1" w:styleId="76">
    <w:name w:val="Char Char25"/>
    <w:qFormat/>
    <w:uiPriority w:val="0"/>
    <w:rPr>
      <w:rFonts w:ascii="宋体" w:hAnsi="宋体" w:eastAsia="宋体"/>
      <w:b/>
      <w:bCs/>
      <w:iCs/>
      <w:sz w:val="28"/>
      <w:szCs w:val="28"/>
      <w:lang w:eastAsia="zh-CN" w:bidi="ar-SA"/>
    </w:rPr>
  </w:style>
  <w:style w:type="character" w:customStyle="1" w:styleId="77">
    <w:name w:val="批注主题 字符"/>
    <w:link w:val="30"/>
    <w:qFormat/>
    <w:uiPriority w:val="0"/>
    <w:rPr>
      <w:rFonts w:ascii="宋体" w:hAnsi="Calibri"/>
      <w:b/>
      <w:bCs/>
      <w:sz w:val="34"/>
      <w:szCs w:val="22"/>
    </w:rPr>
  </w:style>
  <w:style w:type="character" w:customStyle="1" w:styleId="78">
    <w:name w:val="文档结构图 字符"/>
    <w:link w:val="11"/>
    <w:qFormat/>
    <w:uiPriority w:val="0"/>
    <w:rPr>
      <w:rFonts w:ascii="宋体" w:hAnsi="Calibri"/>
      <w:sz w:val="18"/>
      <w:szCs w:val="18"/>
    </w:rPr>
  </w:style>
  <w:style w:type="character" w:customStyle="1" w:styleId="79">
    <w:name w:val="font121"/>
    <w:qFormat/>
    <w:uiPriority w:val="0"/>
    <w:rPr>
      <w:rFonts w:hint="default" w:ascii="方正小标宋_GBK" w:hAnsi="方正小标宋_GBK" w:eastAsia="方正小标宋_GBK" w:cs="方正小标宋_GBK"/>
      <w:b/>
      <w:color w:val="000000"/>
      <w:sz w:val="32"/>
      <w:szCs w:val="32"/>
      <w:u w:val="none"/>
    </w:rPr>
  </w:style>
  <w:style w:type="character" w:customStyle="1" w:styleId="80">
    <w:name w:val="表格正文 字符"/>
    <w:link w:val="64"/>
    <w:qFormat/>
    <w:uiPriority w:val="0"/>
    <w:rPr>
      <w:rFonts w:ascii="仿宋_GB2312" w:hAnsi="宋体"/>
      <w:sz w:val="34"/>
      <w:szCs w:val="28"/>
    </w:rPr>
  </w:style>
  <w:style w:type="character" w:customStyle="1" w:styleId="81">
    <w:name w:val="三级标题-- Char"/>
    <w:link w:val="75"/>
    <w:qFormat/>
    <w:uiPriority w:val="0"/>
    <w:rPr>
      <w:rFonts w:ascii="宋体" w:hAnsi="宋体" w:cs="宋体"/>
      <w:b/>
      <w:bCs/>
      <w:iCs/>
      <w:color w:val="000000"/>
      <w:kern w:val="2"/>
      <w:sz w:val="24"/>
      <w:szCs w:val="24"/>
      <w:lang w:val="zh-CN"/>
    </w:rPr>
  </w:style>
  <w:style w:type="character" w:customStyle="1" w:styleId="82">
    <w:name w:val="页眉 字符"/>
    <w:link w:val="21"/>
    <w:qFormat/>
    <w:uiPriority w:val="99"/>
    <w:rPr>
      <w:rFonts w:ascii="Calibri" w:hAnsi="Calibri"/>
      <w:sz w:val="18"/>
      <w:szCs w:val="18"/>
    </w:rPr>
  </w:style>
  <w:style w:type="character" w:customStyle="1" w:styleId="83">
    <w:name w:val="三级标题-正文 Char"/>
    <w:link w:val="60"/>
    <w:qFormat/>
    <w:uiPriority w:val="0"/>
    <w:rPr>
      <w:rFonts w:ascii="宋体" w:hAnsi="宋体"/>
      <w:b/>
      <w:bCs/>
      <w:iCs/>
      <w:color w:val="000000"/>
      <w:kern w:val="2"/>
      <w:sz w:val="24"/>
      <w:szCs w:val="28"/>
    </w:rPr>
  </w:style>
  <w:style w:type="character" w:customStyle="1" w:styleId="84">
    <w:name w:val="批注框文本 字符"/>
    <w:link w:val="19"/>
    <w:qFormat/>
    <w:uiPriority w:val="0"/>
    <w:rPr>
      <w:rFonts w:ascii="宋体" w:hAnsi="Calibri"/>
      <w:sz w:val="18"/>
      <w:szCs w:val="18"/>
    </w:rPr>
  </w:style>
  <w:style w:type="character" w:customStyle="1" w:styleId="85">
    <w:name w:val="font81"/>
    <w:qFormat/>
    <w:uiPriority w:val="0"/>
    <w:rPr>
      <w:rFonts w:ascii="Arial" w:hAnsi="Arial" w:cs="Arial"/>
      <w:color w:val="000000"/>
      <w:sz w:val="24"/>
      <w:szCs w:val="24"/>
      <w:u w:val="none"/>
    </w:rPr>
  </w:style>
  <w:style w:type="character" w:customStyle="1" w:styleId="86">
    <w:name w:val="页脚 字符"/>
    <w:link w:val="20"/>
    <w:qFormat/>
    <w:uiPriority w:val="99"/>
    <w:rPr>
      <w:rFonts w:ascii="Calibri" w:hAnsi="Calibri"/>
      <w:sz w:val="18"/>
      <w:szCs w:val="18"/>
    </w:rPr>
  </w:style>
  <w:style w:type="character" w:customStyle="1" w:styleId="87">
    <w:name w:val="msoins"/>
    <w:basedOn w:val="34"/>
    <w:qFormat/>
    <w:uiPriority w:val="0"/>
  </w:style>
  <w:style w:type="character" w:customStyle="1" w:styleId="88">
    <w:name w:val="font71"/>
    <w:qFormat/>
    <w:uiPriority w:val="0"/>
    <w:rPr>
      <w:rFonts w:hint="default" w:ascii="仿宋" w:hAnsi="仿宋" w:eastAsia="仿宋" w:cs="仿宋"/>
      <w:color w:val="000000"/>
      <w:sz w:val="24"/>
      <w:szCs w:val="24"/>
      <w:u w:val="none"/>
    </w:rPr>
  </w:style>
  <w:style w:type="character" w:customStyle="1" w:styleId="89">
    <w:name w:val="label"/>
    <w:basedOn w:val="34"/>
    <w:qFormat/>
    <w:uiPriority w:val="0"/>
    <w:rPr>
      <w:color w:val="555555"/>
    </w:rPr>
  </w:style>
  <w:style w:type="character" w:customStyle="1" w:styleId="90">
    <w:name w:val="modifier"/>
    <w:basedOn w:val="34"/>
    <w:qFormat/>
    <w:uiPriority w:val="0"/>
    <w:rPr>
      <w:color w:val="FF0000"/>
    </w:rPr>
  </w:style>
  <w:style w:type="paragraph" w:customStyle="1" w:styleId="91">
    <w:name w:val="列出段落21"/>
    <w:basedOn w:val="1"/>
    <w:qFormat/>
    <w:uiPriority w:val="99"/>
    <w:pPr>
      <w:ind w:firstLine="420"/>
    </w:pPr>
  </w:style>
  <w:style w:type="paragraph" w:customStyle="1" w:styleId="92">
    <w:name w:val="列出段落11"/>
    <w:basedOn w:val="1"/>
    <w:qFormat/>
    <w:uiPriority w:val="99"/>
    <w:pPr>
      <w:ind w:firstLine="420"/>
    </w:pPr>
  </w:style>
  <w:style w:type="paragraph" w:customStyle="1" w:styleId="93">
    <w:name w:val="GW-正文"/>
    <w:basedOn w:val="1"/>
    <w:qFormat/>
    <w:uiPriority w:val="0"/>
    <w:pPr>
      <w:ind w:firstLine="200"/>
    </w:pPr>
    <w:rPr>
      <w:rFonts w:eastAsia="仿宋_GB2312"/>
    </w:rPr>
  </w:style>
  <w:style w:type="paragraph" w:styleId="94">
    <w:name w:val="List Paragraph"/>
    <w:basedOn w:val="1"/>
    <w:qFormat/>
    <w:uiPriority w:val="0"/>
    <w:pPr>
      <w:ind w:firstLine="420"/>
    </w:pPr>
  </w:style>
  <w:style w:type="paragraph" w:customStyle="1" w:styleId="95">
    <w:name w:val="_Style 2"/>
    <w:basedOn w:val="1"/>
    <w:qFormat/>
    <w:uiPriority w:val="0"/>
    <w:pPr>
      <w:ind w:firstLine="420"/>
    </w:pPr>
    <w:rPr>
      <w:rFonts w:ascii="Calibri"/>
    </w:rPr>
  </w:style>
  <w:style w:type="character" w:customStyle="1" w:styleId="96">
    <w:name w:val="18"/>
    <w:basedOn w:val="34"/>
    <w:qFormat/>
    <w:uiPriority w:val="0"/>
    <w:rPr>
      <w:rFonts w:hint="default" w:ascii="Calibri" w:hAnsi="Calibri" w:cs="Calibri"/>
      <w:i/>
    </w:rPr>
  </w:style>
  <w:style w:type="paragraph" w:customStyle="1" w:styleId="97">
    <w:name w:val="正文格式"/>
    <w:basedOn w:val="1"/>
    <w:qFormat/>
    <w:uiPriority w:val="0"/>
    <w:pPr>
      <w:adjustRightInd w:val="0"/>
      <w:snapToGrid w:val="0"/>
      <w:spacing w:before="78" w:beforeLines="25"/>
      <w:ind w:firstLine="480"/>
      <w:jc w:val="both"/>
      <w:textAlignment w:val="baseline"/>
    </w:pPr>
    <w:rPr>
      <w:color w:val="000000"/>
    </w:rPr>
  </w:style>
  <w:style w:type="paragraph" w:customStyle="1" w:styleId="98">
    <w:name w:val="WPSOffice手动目录 1"/>
    <w:qFormat/>
    <w:uiPriority w:val="0"/>
    <w:rPr>
      <w:rFonts w:ascii="Calibri" w:hAnsi="Calibri" w:eastAsia="宋体" w:cs="Times New Roman"/>
      <w:lang w:val="en-US" w:eastAsia="zh-CN" w:bidi="ar-SA"/>
    </w:rPr>
  </w:style>
  <w:style w:type="paragraph" w:customStyle="1" w:styleId="99">
    <w:name w:val="Table Paragraph"/>
    <w:basedOn w:val="1"/>
    <w:qFormat/>
    <w:uiPriority w:val="1"/>
    <w:rPr>
      <w:lang w:val="zh-CN" w:bidi="zh-CN"/>
    </w:rPr>
  </w:style>
  <w:style w:type="table" w:customStyle="1" w:styleId="100">
    <w:name w:val="Table Normal1"/>
    <w:qFormat/>
    <w:uiPriority w:val="2"/>
    <w:tblPr>
      <w:tblCellMar>
        <w:top w:w="0" w:type="dxa"/>
        <w:left w:w="0" w:type="dxa"/>
        <w:bottom w:w="0" w:type="dxa"/>
        <w:right w:w="0" w:type="dxa"/>
      </w:tblCellMar>
    </w:tblPr>
  </w:style>
  <w:style w:type="character" w:customStyle="1" w:styleId="101">
    <w:name w:val="NormalCharacter"/>
    <w:qFormat/>
    <w:uiPriority w:val="0"/>
  </w:style>
  <w:style w:type="paragraph" w:customStyle="1" w:styleId="102">
    <w:name w:val="正文12"/>
    <w:basedOn w:val="1"/>
    <w:qFormat/>
    <w:uiPriority w:val="0"/>
    <w:pPr>
      <w:spacing w:line="440" w:lineRule="exact"/>
      <w:ind w:firstLine="480"/>
    </w:pPr>
    <w:rPr>
      <w:rFonts w:ascii="Times New Roman" w:hAnsi="Times New Roman" w:cs="Times New Roman"/>
    </w:rPr>
  </w:style>
  <w:style w:type="paragraph" w:customStyle="1" w:styleId="103">
    <w:name w:val="Body text|1"/>
    <w:basedOn w:val="1"/>
    <w:qFormat/>
    <w:uiPriority w:val="0"/>
    <w:pPr>
      <w:spacing w:after="140" w:line="442" w:lineRule="auto"/>
      <w:ind w:firstLine="400"/>
    </w:pPr>
    <w:rPr>
      <w:sz w:val="22"/>
      <w:szCs w:val="22"/>
      <w:lang w:val="zh-TW" w:eastAsia="zh-TW" w:bidi="zh-TW"/>
    </w:rPr>
  </w:style>
  <w:style w:type="character" w:customStyle="1" w:styleId="104">
    <w:name w:val="img"/>
    <w:basedOn w:val="34"/>
    <w:qFormat/>
    <w:uiPriority w:val="0"/>
  </w:style>
  <w:style w:type="character" w:customStyle="1" w:styleId="105">
    <w:name w:val="img1"/>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32084</Words>
  <Characters>33732</Characters>
  <Lines>284</Lines>
  <Paragraphs>80</Paragraphs>
  <TotalTime>65</TotalTime>
  <ScaleCrop>false</ScaleCrop>
  <LinksUpToDate>false</LinksUpToDate>
  <CharactersWithSpaces>35851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2021-06-08T04:56:00Z</dcterms:created>
  <dc:creator>Administrator</dc:creator>
  <cp:lastModifiedBy>南边来的公鸡</cp:lastModifiedBy>
  <cp:lastPrinted>2021-11-26T01:42:34Z</cp:lastPrinted>
  <dcterms:modified xsi:type="dcterms:W3CDTF">2021-11-26T01:50:41Z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3470B89FADEA4F8C8FB7A95DC64ADA02</vt:lpwstr>
  </property>
</Properties>
</file>